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EA6" w:rsidRPr="00965322" w:rsidRDefault="00B73EA6" w:rsidP="00B73EA6">
      <w:pPr>
        <w:pStyle w:val="Corpodetexto2"/>
        <w:spacing w:line="312" w:lineRule="auto"/>
        <w:ind w:firstLine="567"/>
        <w:jc w:val="center"/>
        <w:rPr>
          <w:rFonts w:ascii="Times New Roman" w:hAnsi="Times New Roman"/>
          <w:b/>
          <w:bCs/>
        </w:rPr>
      </w:pPr>
      <w:r w:rsidRPr="00965322">
        <w:rPr>
          <w:rFonts w:ascii="Times New Roman" w:hAnsi="Times New Roman"/>
          <w:b/>
          <w:bCs/>
        </w:rPr>
        <w:t xml:space="preserve">DELIBERAÇÃO CVM Nº </w:t>
      </w:r>
      <w:r w:rsidR="00D65882">
        <w:rPr>
          <w:rFonts w:ascii="Times New Roman" w:hAnsi="Times New Roman"/>
          <w:b/>
          <w:bCs/>
        </w:rPr>
        <w:t>836</w:t>
      </w:r>
      <w:r w:rsidRPr="00965322">
        <w:rPr>
          <w:rFonts w:ascii="Times New Roman" w:hAnsi="Times New Roman"/>
          <w:b/>
          <w:bCs/>
        </w:rPr>
        <w:t xml:space="preserve">, DE </w:t>
      </w:r>
      <w:r w:rsidR="00D65882">
        <w:rPr>
          <w:rFonts w:ascii="Times New Roman" w:hAnsi="Times New Roman"/>
          <w:b/>
          <w:bCs/>
        </w:rPr>
        <w:t>10</w:t>
      </w:r>
      <w:r w:rsidRPr="00965322">
        <w:rPr>
          <w:rFonts w:ascii="Times New Roman" w:hAnsi="Times New Roman"/>
          <w:b/>
          <w:bCs/>
        </w:rPr>
        <w:t xml:space="preserve"> DE </w:t>
      </w:r>
      <w:r w:rsidR="00FA3F0E">
        <w:rPr>
          <w:rFonts w:ascii="Times New Roman" w:hAnsi="Times New Roman"/>
          <w:b/>
          <w:bCs/>
        </w:rPr>
        <w:t>DEZEMBRO</w:t>
      </w:r>
      <w:r w:rsidR="00A82088" w:rsidRPr="00965322">
        <w:rPr>
          <w:rFonts w:ascii="Times New Roman" w:hAnsi="Times New Roman"/>
          <w:b/>
          <w:bCs/>
        </w:rPr>
        <w:t xml:space="preserve"> </w:t>
      </w:r>
      <w:r w:rsidRPr="00965322">
        <w:rPr>
          <w:rFonts w:ascii="Times New Roman" w:hAnsi="Times New Roman"/>
          <w:b/>
          <w:bCs/>
        </w:rPr>
        <w:t>DE 201</w:t>
      </w:r>
      <w:r w:rsidR="008B110D" w:rsidRPr="00965322">
        <w:rPr>
          <w:rFonts w:ascii="Times New Roman" w:hAnsi="Times New Roman"/>
          <w:b/>
          <w:bCs/>
        </w:rPr>
        <w:t>9</w:t>
      </w:r>
    </w:p>
    <w:p w:rsidR="00B73EA6" w:rsidRPr="00965322" w:rsidRDefault="00B73EA6" w:rsidP="00B73EA6">
      <w:pPr>
        <w:pStyle w:val="Ttulo"/>
        <w:rPr>
          <w:color w:val="auto"/>
          <w:szCs w:val="24"/>
        </w:rPr>
      </w:pPr>
    </w:p>
    <w:p w:rsidR="00B73EA6" w:rsidRPr="00965322" w:rsidRDefault="00B73EA6" w:rsidP="007509FA">
      <w:pPr>
        <w:pStyle w:val="Recuodecorpodetexto"/>
        <w:spacing w:before="0" w:after="0"/>
        <w:ind w:left="5103" w:firstLine="0"/>
        <w:rPr>
          <w:bCs w:val="0"/>
          <w:iCs/>
          <w:szCs w:val="24"/>
        </w:rPr>
      </w:pPr>
      <w:r w:rsidRPr="00965322">
        <w:rPr>
          <w:bCs w:val="0"/>
          <w:iCs/>
          <w:szCs w:val="24"/>
        </w:rPr>
        <w:t xml:space="preserve">Aprova o Documento de Revisão de Pronunciamentos Técnicos nº </w:t>
      </w:r>
      <w:r w:rsidR="00A44ACC" w:rsidRPr="00965322">
        <w:rPr>
          <w:bCs w:val="0"/>
          <w:iCs/>
          <w:szCs w:val="24"/>
        </w:rPr>
        <w:t>1</w:t>
      </w:r>
      <w:r w:rsidR="008B110D" w:rsidRPr="00965322">
        <w:rPr>
          <w:bCs w:val="0"/>
          <w:iCs/>
          <w:szCs w:val="24"/>
        </w:rPr>
        <w:t>4</w:t>
      </w:r>
      <w:r w:rsidRPr="00965322">
        <w:rPr>
          <w:bCs w:val="0"/>
          <w:iCs/>
          <w:szCs w:val="24"/>
        </w:rPr>
        <w:t xml:space="preserve"> referente aos Pronunciamentos </w:t>
      </w:r>
      <w:r w:rsidR="007509FA" w:rsidRPr="00965322">
        <w:rPr>
          <w:bCs w:val="0"/>
          <w:iCs/>
          <w:szCs w:val="24"/>
        </w:rPr>
        <w:t xml:space="preserve">Técnicos </w:t>
      </w:r>
      <w:r w:rsidR="00A35EFE" w:rsidRPr="00965322">
        <w:rPr>
          <w:bCs w:val="0"/>
          <w:iCs/>
          <w:szCs w:val="24"/>
        </w:rPr>
        <w:t xml:space="preserve">CPC 03 (R2), CPC 04 (R1), CPC 06 (R2), CPC 09, CPC 10 (R1), CPC 11, CPC 15 (R1), CPC 20 (R1), CPC 21 (R1), CPC 23 (R1), CPC 25, CPC 26 (R1), CPC 27, CPC 28, CPC 29, CPC 32, CPC 37 (R1), CPC 46, CPC 47, CPC 48, </w:t>
      </w:r>
      <w:r w:rsidR="007509FA" w:rsidRPr="00965322">
        <w:rPr>
          <w:bCs w:val="0"/>
          <w:iCs/>
          <w:szCs w:val="24"/>
        </w:rPr>
        <w:t xml:space="preserve">às Interpretações Técnicas </w:t>
      </w:r>
      <w:r w:rsidR="00A35EFE" w:rsidRPr="00965322">
        <w:rPr>
          <w:bCs w:val="0"/>
          <w:iCs/>
          <w:szCs w:val="24"/>
        </w:rPr>
        <w:t>ICPC 01 (R1), ICPC 16, ICPC 17, ICPC 18, ICPC 21 e à Orientação OCPC 05</w:t>
      </w:r>
      <w:r w:rsidR="0090274E" w:rsidRPr="00965322">
        <w:rPr>
          <w:bCs w:val="0"/>
          <w:iCs/>
          <w:szCs w:val="24"/>
        </w:rPr>
        <w:t xml:space="preserve"> </w:t>
      </w:r>
      <w:r w:rsidR="007509FA" w:rsidRPr="00965322">
        <w:rPr>
          <w:bCs w:val="0"/>
          <w:iCs/>
          <w:szCs w:val="24"/>
        </w:rPr>
        <w:t>emitidos pelo Comitê de Pronunciamentos Contábeis - CPC.</w:t>
      </w:r>
    </w:p>
    <w:p w:rsidR="007509FA" w:rsidRPr="00965322" w:rsidRDefault="007509FA" w:rsidP="007509FA">
      <w:pPr>
        <w:pStyle w:val="Recuodecorpodetexto"/>
        <w:spacing w:before="0" w:after="0"/>
        <w:ind w:left="5103" w:firstLine="0"/>
        <w:rPr>
          <w:bCs w:val="0"/>
          <w:iCs/>
          <w:szCs w:val="24"/>
        </w:rPr>
      </w:pPr>
    </w:p>
    <w:p w:rsidR="007509FA" w:rsidRPr="00965322" w:rsidRDefault="007509FA" w:rsidP="007509FA">
      <w:pPr>
        <w:pStyle w:val="Recuodecorpodetexto"/>
        <w:spacing w:before="0" w:after="0"/>
        <w:ind w:left="5103" w:firstLine="0"/>
        <w:rPr>
          <w:bCs w:val="0"/>
          <w:iCs/>
          <w:szCs w:val="24"/>
        </w:rPr>
      </w:pPr>
    </w:p>
    <w:p w:rsidR="00B73EA6" w:rsidRPr="00965322" w:rsidRDefault="00B73EA6" w:rsidP="007509FA">
      <w:pPr>
        <w:pStyle w:val="Corpodetexto2"/>
        <w:spacing w:line="312" w:lineRule="auto"/>
        <w:ind w:firstLine="567"/>
        <w:jc w:val="both"/>
        <w:rPr>
          <w:rFonts w:ascii="Times New Roman" w:hAnsi="Times New Roman"/>
          <w:bCs/>
        </w:rPr>
      </w:pPr>
      <w:r w:rsidRPr="00965322">
        <w:rPr>
          <w:rFonts w:ascii="Times New Roman" w:hAnsi="Times New Roman"/>
          <w:b/>
          <w:bCs/>
        </w:rPr>
        <w:t>O PRESIDENTE DA COMISSÃO DE VALORES MOBILIÁRIOS - CVM</w:t>
      </w:r>
      <w:r w:rsidRPr="00965322">
        <w:rPr>
          <w:rFonts w:ascii="Times New Roman" w:hAnsi="Times New Roman"/>
          <w:bCs/>
        </w:rPr>
        <w:t xml:space="preserve"> torna público que o Colegiado, em reunião realizada em </w:t>
      </w:r>
      <w:r w:rsidR="00FA3F0E">
        <w:rPr>
          <w:rFonts w:ascii="Times New Roman" w:hAnsi="Times New Roman"/>
          <w:bCs/>
        </w:rPr>
        <w:t>04</w:t>
      </w:r>
      <w:r w:rsidRPr="00965322">
        <w:rPr>
          <w:rFonts w:ascii="Times New Roman" w:hAnsi="Times New Roman"/>
          <w:bCs/>
        </w:rPr>
        <w:t xml:space="preserve"> de </w:t>
      </w:r>
      <w:r w:rsidR="00FA3F0E">
        <w:rPr>
          <w:rFonts w:ascii="Times New Roman" w:hAnsi="Times New Roman"/>
          <w:bCs/>
        </w:rPr>
        <w:t>dezembro</w:t>
      </w:r>
      <w:r w:rsidR="00ED7B7A" w:rsidRPr="00965322">
        <w:rPr>
          <w:rFonts w:ascii="Times New Roman" w:hAnsi="Times New Roman"/>
          <w:bCs/>
        </w:rPr>
        <w:t xml:space="preserve"> </w:t>
      </w:r>
      <w:r w:rsidRPr="00965322">
        <w:rPr>
          <w:rFonts w:ascii="Times New Roman" w:hAnsi="Times New Roman"/>
          <w:bCs/>
        </w:rPr>
        <w:t>de 201</w:t>
      </w:r>
      <w:r w:rsidR="003927C9" w:rsidRPr="00965322">
        <w:rPr>
          <w:rFonts w:ascii="Times New Roman" w:hAnsi="Times New Roman"/>
          <w:bCs/>
        </w:rPr>
        <w:t>9</w:t>
      </w:r>
      <w:r w:rsidRPr="00965322">
        <w:rPr>
          <w:rFonts w:ascii="Times New Roman" w:hAnsi="Times New Roman"/>
          <w:bCs/>
        </w:rPr>
        <w:t xml:space="preserve">, com fundamento nos §§ 3º e 5º do art. 177 da Lei no 6.404, de 15 de dezembro de 1976, combinados com os incisos II e IV do § 1o do art. 22 da Lei no 6.385, de 7 de dezembro de 1976, </w:t>
      </w:r>
      <w:r w:rsidRPr="00965322">
        <w:rPr>
          <w:rFonts w:ascii="Times New Roman" w:hAnsi="Times New Roman"/>
          <w:b/>
          <w:bCs/>
        </w:rPr>
        <w:t>DELIBEROU</w:t>
      </w:r>
      <w:r w:rsidRPr="00965322">
        <w:rPr>
          <w:rFonts w:ascii="Times New Roman" w:hAnsi="Times New Roman"/>
          <w:bCs/>
        </w:rPr>
        <w:t>:</w:t>
      </w:r>
    </w:p>
    <w:p w:rsidR="008B110D" w:rsidRPr="00965322" w:rsidRDefault="008B110D" w:rsidP="00B73EA6">
      <w:pPr>
        <w:pStyle w:val="Corpodetexto2"/>
        <w:spacing w:line="312" w:lineRule="auto"/>
        <w:ind w:firstLine="567"/>
        <w:rPr>
          <w:rFonts w:ascii="Times New Roman" w:hAnsi="Times New Roman"/>
          <w:bCs/>
        </w:rPr>
      </w:pPr>
    </w:p>
    <w:p w:rsidR="00B73EA6" w:rsidRPr="00965322" w:rsidRDefault="00B73EA6" w:rsidP="00A35EFE">
      <w:pPr>
        <w:spacing w:line="312" w:lineRule="auto"/>
        <w:ind w:firstLine="567"/>
        <w:jc w:val="both"/>
        <w:rPr>
          <w:rFonts w:ascii="Times New Roman" w:hAnsi="Times New Roman"/>
        </w:rPr>
      </w:pPr>
      <w:r w:rsidRPr="00965322">
        <w:rPr>
          <w:rFonts w:ascii="Times New Roman" w:hAnsi="Times New Roman"/>
        </w:rPr>
        <w:t xml:space="preserve">I – aprovar e tornar obrigatório, para as companhias abertas, o Documento de Revisão de Pronunciamentos Técnicos nº </w:t>
      </w:r>
      <w:r w:rsidR="007509FA" w:rsidRPr="00965322">
        <w:rPr>
          <w:rFonts w:ascii="Times New Roman" w:hAnsi="Times New Roman"/>
        </w:rPr>
        <w:t>1</w:t>
      </w:r>
      <w:r w:rsidR="003927C9" w:rsidRPr="00965322">
        <w:rPr>
          <w:rFonts w:ascii="Times New Roman" w:hAnsi="Times New Roman"/>
        </w:rPr>
        <w:t>4</w:t>
      </w:r>
      <w:r w:rsidR="00E723FA" w:rsidRPr="00965322">
        <w:rPr>
          <w:rFonts w:ascii="Times New Roman" w:hAnsi="Times New Roman"/>
        </w:rPr>
        <w:t xml:space="preserve"> referente aos Pronunciamentos</w:t>
      </w:r>
      <w:r w:rsidR="007509FA" w:rsidRPr="00965322">
        <w:rPr>
          <w:rFonts w:ascii="Times New Roman" w:hAnsi="Times New Roman"/>
        </w:rPr>
        <w:t xml:space="preserve"> Técnicos </w:t>
      </w:r>
      <w:r w:rsidR="00A35EFE" w:rsidRPr="00965322">
        <w:rPr>
          <w:rFonts w:ascii="Times New Roman" w:hAnsi="Times New Roman"/>
        </w:rPr>
        <w:t xml:space="preserve">CPC 03 (R2), CPC 04 (R1), CPC 06 (R2), CPC 09, CPC 10 (R1), CPC 11, CPC 15 (R1), CPC 20 (R1), CPC 21 (R1), CPC 23 (R1), CPC 25, CPC 26 (R1), CPC 27, CPC 28, CPC 29, CPC 32, CPC 37 (R1), CPC 46, CPC 47, CPC 48, às Interpretações Técnicas ICPC 01 (R1), ICPC 16, ICPC 17, ICPC 18, ICPC 21 e à Orientação OCPC 05 </w:t>
      </w:r>
      <w:r w:rsidR="007509FA" w:rsidRPr="00965322">
        <w:rPr>
          <w:rFonts w:ascii="Times New Roman" w:hAnsi="Times New Roman"/>
        </w:rPr>
        <w:t>emitidos pelo Comitê de Pronunciamentos Contábeis - CPC</w:t>
      </w:r>
      <w:r w:rsidRPr="00965322">
        <w:rPr>
          <w:rFonts w:ascii="Times New Roman" w:hAnsi="Times New Roman"/>
        </w:rPr>
        <w:t>, anexo à presente Deliberação; e</w:t>
      </w:r>
    </w:p>
    <w:p w:rsidR="00B73EA6" w:rsidRPr="00965322" w:rsidRDefault="00B73EA6" w:rsidP="00E723FA">
      <w:pPr>
        <w:spacing w:line="312" w:lineRule="auto"/>
        <w:ind w:firstLine="567"/>
        <w:jc w:val="both"/>
        <w:rPr>
          <w:rFonts w:ascii="Times New Roman" w:hAnsi="Times New Roman"/>
        </w:rPr>
      </w:pPr>
    </w:p>
    <w:p w:rsidR="00B73EA6" w:rsidRPr="00965322" w:rsidRDefault="00B73EA6" w:rsidP="007509FA">
      <w:pPr>
        <w:spacing w:line="312" w:lineRule="auto"/>
        <w:ind w:firstLine="567"/>
        <w:jc w:val="both"/>
        <w:rPr>
          <w:rFonts w:ascii="Times New Roman" w:hAnsi="Times New Roman"/>
        </w:rPr>
      </w:pPr>
      <w:r w:rsidRPr="00965322">
        <w:rPr>
          <w:rFonts w:ascii="Times New Roman" w:hAnsi="Times New Roman"/>
        </w:rPr>
        <w:t xml:space="preserve">II - </w:t>
      </w:r>
      <w:proofErr w:type="gramStart"/>
      <w:r w:rsidRPr="00965322">
        <w:rPr>
          <w:rFonts w:ascii="Times New Roman" w:hAnsi="Times New Roman"/>
        </w:rPr>
        <w:t>que</w:t>
      </w:r>
      <w:proofErr w:type="gramEnd"/>
      <w:r w:rsidRPr="00965322">
        <w:rPr>
          <w:rFonts w:ascii="Times New Roman" w:hAnsi="Times New Roman"/>
        </w:rPr>
        <w:t xml:space="preserve"> </w:t>
      </w:r>
      <w:proofErr w:type="spellStart"/>
      <w:r w:rsidRPr="00965322">
        <w:rPr>
          <w:rFonts w:ascii="Times New Roman" w:hAnsi="Times New Roman"/>
        </w:rPr>
        <w:t>esta</w:t>
      </w:r>
      <w:proofErr w:type="spellEnd"/>
      <w:r w:rsidRPr="00965322">
        <w:rPr>
          <w:rFonts w:ascii="Times New Roman" w:hAnsi="Times New Roman"/>
        </w:rPr>
        <w:t xml:space="preserve"> Deliberação entra em vigor na data da sua publicação no Diário Oficial da União, aplicando-se aos exercícios iniciados em ou após 01 de janeiro de 20</w:t>
      </w:r>
      <w:r w:rsidR="00A35EFE" w:rsidRPr="00965322">
        <w:rPr>
          <w:rFonts w:ascii="Times New Roman" w:hAnsi="Times New Roman"/>
        </w:rPr>
        <w:t>20</w:t>
      </w:r>
      <w:r w:rsidRPr="00965322">
        <w:rPr>
          <w:rFonts w:ascii="Times New Roman" w:hAnsi="Times New Roman"/>
        </w:rPr>
        <w:t>.</w:t>
      </w:r>
    </w:p>
    <w:p w:rsidR="00B73EA6" w:rsidRPr="00965322" w:rsidRDefault="00B73EA6" w:rsidP="00B73EA6">
      <w:pPr>
        <w:rPr>
          <w:rFonts w:ascii="Times New Roman" w:hAnsi="Times New Roman"/>
        </w:rPr>
      </w:pPr>
    </w:p>
    <w:p w:rsidR="00B73EA6" w:rsidRPr="00965322" w:rsidRDefault="00B73EA6" w:rsidP="00B73EA6">
      <w:pPr>
        <w:rPr>
          <w:rFonts w:ascii="Times New Roman" w:hAnsi="Times New Roman"/>
        </w:rPr>
      </w:pPr>
    </w:p>
    <w:p w:rsidR="00B73EA6" w:rsidRPr="00965322" w:rsidRDefault="00B73EA6" w:rsidP="00B73EA6">
      <w:pPr>
        <w:rPr>
          <w:rFonts w:ascii="Times New Roman" w:hAnsi="Times New Roman"/>
        </w:rPr>
      </w:pPr>
    </w:p>
    <w:p w:rsidR="00912946" w:rsidRPr="00912946" w:rsidRDefault="00912946" w:rsidP="00B73EA6">
      <w:pPr>
        <w:spacing w:line="312" w:lineRule="auto"/>
        <w:ind w:firstLine="567"/>
        <w:jc w:val="center"/>
        <w:rPr>
          <w:rFonts w:ascii="Times New Roman" w:hAnsi="Times New Roman"/>
          <w:i/>
          <w:sz w:val="22"/>
          <w:szCs w:val="22"/>
        </w:rPr>
      </w:pPr>
      <w:bookmarkStart w:id="0" w:name="_GoBack"/>
      <w:bookmarkEnd w:id="0"/>
      <w:r w:rsidRPr="00912946">
        <w:rPr>
          <w:rFonts w:ascii="Times New Roman" w:hAnsi="Times New Roman"/>
          <w:i/>
          <w:sz w:val="22"/>
          <w:szCs w:val="22"/>
        </w:rPr>
        <w:t>Original assinado por</w:t>
      </w:r>
    </w:p>
    <w:p w:rsidR="00B73EA6" w:rsidRPr="00965322" w:rsidRDefault="007509FA" w:rsidP="00B73EA6">
      <w:pPr>
        <w:spacing w:line="312" w:lineRule="auto"/>
        <w:ind w:firstLine="567"/>
        <w:jc w:val="center"/>
        <w:rPr>
          <w:rFonts w:ascii="Times New Roman" w:hAnsi="Times New Roman"/>
          <w:b/>
          <w:bCs/>
        </w:rPr>
      </w:pPr>
      <w:r w:rsidRPr="00965322">
        <w:rPr>
          <w:rFonts w:ascii="Times New Roman" w:hAnsi="Times New Roman"/>
          <w:b/>
        </w:rPr>
        <w:t>MARCELO BARBOSA</w:t>
      </w:r>
    </w:p>
    <w:p w:rsidR="00B73EA6" w:rsidRPr="00965322" w:rsidRDefault="00B73EA6" w:rsidP="00B73EA6">
      <w:pPr>
        <w:spacing w:line="312" w:lineRule="auto"/>
        <w:ind w:firstLine="567"/>
        <w:jc w:val="center"/>
        <w:rPr>
          <w:rFonts w:ascii="Times New Roman" w:hAnsi="Times New Roman"/>
          <w:b/>
          <w:bCs/>
        </w:rPr>
      </w:pPr>
      <w:r w:rsidRPr="00965322">
        <w:rPr>
          <w:rFonts w:ascii="Times New Roman" w:hAnsi="Times New Roman"/>
          <w:b/>
          <w:bCs/>
        </w:rPr>
        <w:t>Presidente</w:t>
      </w:r>
    </w:p>
    <w:p w:rsidR="00B73EA6" w:rsidRPr="00965322" w:rsidRDefault="00B73EA6" w:rsidP="00B73EA6">
      <w:pPr>
        <w:spacing w:after="80"/>
        <w:jc w:val="center"/>
        <w:outlineLvl w:val="0"/>
        <w:rPr>
          <w:rFonts w:ascii="Times New Roman" w:hAnsi="Times New Roman"/>
          <w:b/>
        </w:rPr>
      </w:pPr>
    </w:p>
    <w:p w:rsidR="0090274E" w:rsidRPr="00965322" w:rsidRDefault="0090274E" w:rsidP="00B73EA6">
      <w:pPr>
        <w:spacing w:after="80"/>
        <w:jc w:val="center"/>
        <w:outlineLvl w:val="0"/>
        <w:rPr>
          <w:rFonts w:ascii="Times New Roman" w:hAnsi="Times New Roman"/>
          <w:b/>
        </w:rPr>
      </w:pPr>
    </w:p>
    <w:p w:rsidR="0090274E" w:rsidRPr="00965322" w:rsidRDefault="0090274E" w:rsidP="00B73EA6">
      <w:pPr>
        <w:spacing w:after="80"/>
        <w:jc w:val="center"/>
        <w:outlineLvl w:val="0"/>
        <w:rPr>
          <w:rFonts w:ascii="Times New Roman" w:hAnsi="Times New Roman"/>
          <w:b/>
        </w:rPr>
      </w:pPr>
    </w:p>
    <w:p w:rsidR="00965322" w:rsidRPr="00965322" w:rsidRDefault="00965322" w:rsidP="00B73EA6">
      <w:pPr>
        <w:spacing w:after="80"/>
        <w:jc w:val="center"/>
        <w:outlineLvl w:val="0"/>
        <w:rPr>
          <w:rFonts w:ascii="Times New Roman" w:hAnsi="Times New Roman"/>
          <w:b/>
        </w:rPr>
      </w:pPr>
    </w:p>
    <w:p w:rsidR="00965322" w:rsidRPr="00965322" w:rsidRDefault="00965322" w:rsidP="00965322">
      <w:pPr>
        <w:jc w:val="center"/>
        <w:outlineLvl w:val="0"/>
        <w:rPr>
          <w:rFonts w:ascii="Times New Roman" w:eastAsia="Times New Roman" w:hAnsi="Times New Roman"/>
          <w:b/>
        </w:rPr>
      </w:pPr>
      <w:r w:rsidRPr="00965322">
        <w:rPr>
          <w:rFonts w:ascii="Times New Roman" w:eastAsia="Times New Roman" w:hAnsi="Times New Roman"/>
          <w:b/>
        </w:rPr>
        <w:lastRenderedPageBreak/>
        <w:t>COMITÊ DE PRONUNCIAMENTOS CONTÁBEIS</w:t>
      </w:r>
    </w:p>
    <w:p w:rsidR="00965322" w:rsidRPr="00965322" w:rsidRDefault="00965322" w:rsidP="00965322">
      <w:pPr>
        <w:jc w:val="center"/>
        <w:outlineLvl w:val="0"/>
        <w:rPr>
          <w:rFonts w:ascii="Times New Roman" w:eastAsia="Times New Roman" w:hAnsi="Times New Roman"/>
          <w:b/>
        </w:rPr>
      </w:pPr>
    </w:p>
    <w:p w:rsidR="00965322" w:rsidRPr="00965322" w:rsidRDefault="00965322" w:rsidP="00965322">
      <w:pPr>
        <w:jc w:val="center"/>
        <w:rPr>
          <w:rFonts w:ascii="Times New Roman" w:hAnsi="Times New Roman"/>
          <w:color w:val="231F20"/>
        </w:rPr>
      </w:pPr>
      <w:r w:rsidRPr="00965322">
        <w:rPr>
          <w:rFonts w:ascii="Times New Roman" w:eastAsia="Times New Roman" w:hAnsi="Times New Roman"/>
          <w:b/>
        </w:rPr>
        <w:t xml:space="preserve">REVISÃO DE PRONUNCIAMENTOS TÉCNICOS – </w:t>
      </w:r>
      <w:proofErr w:type="gramStart"/>
      <w:r w:rsidRPr="00965322">
        <w:rPr>
          <w:rFonts w:ascii="Times New Roman" w:eastAsia="Times New Roman" w:hAnsi="Times New Roman"/>
          <w:b/>
        </w:rPr>
        <w:t>N.º</w:t>
      </w:r>
      <w:proofErr w:type="gramEnd"/>
      <w:r w:rsidRPr="00965322">
        <w:rPr>
          <w:rFonts w:ascii="Times New Roman" w:eastAsia="Times New Roman" w:hAnsi="Times New Roman"/>
          <w:b/>
        </w:rPr>
        <w:t xml:space="preserve"> 14/2019</w:t>
      </w:r>
    </w:p>
    <w:p w:rsidR="00965322" w:rsidRPr="00965322" w:rsidRDefault="00965322" w:rsidP="00965322">
      <w:pPr>
        <w:tabs>
          <w:tab w:val="left" w:pos="1919"/>
        </w:tabs>
        <w:ind w:left="1920" w:right="549" w:hanging="851"/>
        <w:jc w:val="center"/>
        <w:rPr>
          <w:rFonts w:ascii="Times New Roman" w:hAnsi="Times New Roman"/>
          <w:color w:val="231F20"/>
        </w:rPr>
      </w:pPr>
    </w:p>
    <w:p w:rsidR="00965322" w:rsidRPr="00965322" w:rsidRDefault="00965322" w:rsidP="00965322">
      <w:pPr>
        <w:pBdr>
          <w:top w:val="single" w:sz="4" w:space="1" w:color="auto"/>
          <w:left w:val="single" w:sz="4" w:space="4" w:color="auto"/>
          <w:bottom w:val="single" w:sz="4" w:space="1" w:color="auto"/>
          <w:right w:val="single" w:sz="4" w:space="4" w:color="auto"/>
          <w:between w:val="single" w:sz="4" w:space="1" w:color="auto"/>
          <w:bar w:val="single" w:sz="4" w:color="auto"/>
        </w:pBdr>
        <w:ind w:right="-1"/>
        <w:jc w:val="both"/>
        <w:rPr>
          <w:rFonts w:ascii="Times New Roman" w:hAnsi="Times New Roman"/>
          <w:b/>
        </w:rPr>
      </w:pPr>
      <w:r w:rsidRPr="00965322">
        <w:rPr>
          <w:rFonts w:ascii="Times New Roman" w:eastAsia="Times New Roman" w:hAnsi="Times New Roman"/>
          <w:b/>
        </w:rPr>
        <w:t xml:space="preserve">Este documento de revisão apresenta alterações nos Pronunciamentos e Interpretações Técnicos: </w:t>
      </w:r>
      <w:r w:rsidRPr="00965322">
        <w:rPr>
          <w:rFonts w:ascii="Times New Roman" w:hAnsi="Times New Roman"/>
          <w:b/>
        </w:rPr>
        <w:t>CPC 03 (R2), CPC 04 (R1), CPC 06 (R2), CPC 09, CPC 10 (R1), CPC 11, CPC 15 (R1), CPC 20 (R1), CPC 21 (R1), CPC 23, CPC 25, CPC 26 (R1), CPC 27, CPC 28, CPC 29, CPC 32, CPC 37 (R1), CPC 46, CPC 47, CPC 48, CPC PME (R1), ICPC 01 (R1), ICPC 16, ICPC 17, ICPC 18, ICPC 21 e OCPC 05.</w:t>
      </w:r>
    </w:p>
    <w:p w:rsidR="00965322" w:rsidRPr="00965322" w:rsidRDefault="00965322" w:rsidP="00965322">
      <w:pPr>
        <w:ind w:right="-1"/>
        <w:jc w:val="both"/>
        <w:rPr>
          <w:rFonts w:ascii="Times New Roman" w:hAnsi="Times New Roman"/>
          <w:b/>
        </w:rPr>
      </w:pPr>
    </w:p>
    <w:p w:rsidR="00965322" w:rsidRPr="00965322" w:rsidRDefault="00965322" w:rsidP="00965322">
      <w:pPr>
        <w:ind w:right="-1"/>
        <w:jc w:val="both"/>
        <w:rPr>
          <w:rFonts w:ascii="Times New Roman" w:eastAsia="Times New Roman" w:hAnsi="Times New Roman"/>
        </w:rPr>
      </w:pPr>
      <w:r w:rsidRPr="00965322">
        <w:rPr>
          <w:rFonts w:ascii="Times New Roman" w:eastAsia="Times New Roman" w:hAnsi="Times New Roman"/>
        </w:rPr>
        <w:t>Este documento estabelece alterações em diversos Pronunciamentos, Interpretações e Orientação Técnicos em decorrência da edição do CPC 00 (Estrutura Conceitual), da alteração na definição de combinação de negócios no CPC 15 (R1), da alteração da definição de omissão material ou divulgação distorcida material e da alteração da denominação do CPC 06 (R2) para Arrendamentos.</w:t>
      </w:r>
    </w:p>
    <w:p w:rsidR="00965322" w:rsidRPr="00965322" w:rsidRDefault="00965322" w:rsidP="00965322">
      <w:pPr>
        <w:ind w:right="-1"/>
        <w:jc w:val="both"/>
        <w:rPr>
          <w:rFonts w:ascii="Times New Roman" w:eastAsia="Times New Roman" w:hAnsi="Times New Roman"/>
        </w:rPr>
      </w:pPr>
    </w:p>
    <w:p w:rsidR="00965322" w:rsidRPr="00965322" w:rsidRDefault="00965322" w:rsidP="00965322">
      <w:pPr>
        <w:ind w:right="-1"/>
        <w:jc w:val="both"/>
        <w:rPr>
          <w:rFonts w:ascii="Times New Roman" w:hAnsi="Times New Roman"/>
        </w:rPr>
      </w:pPr>
    </w:p>
    <w:p w:rsidR="00965322" w:rsidRPr="00965322" w:rsidRDefault="00965322" w:rsidP="00965322">
      <w:pPr>
        <w:pStyle w:val="PargrafodaLista"/>
        <w:numPr>
          <w:ilvl w:val="0"/>
          <w:numId w:val="13"/>
        </w:numPr>
        <w:ind w:left="567" w:right="-1" w:hanging="567"/>
        <w:contextualSpacing/>
        <w:jc w:val="both"/>
      </w:pPr>
      <w:r w:rsidRPr="00965322">
        <w:rPr>
          <w:b/>
        </w:rPr>
        <w:t>Inclui nota de rodapé na definição de “Ativo</w:t>
      </w:r>
      <w:r w:rsidRPr="00965322">
        <w:rPr>
          <w:b/>
          <w:i/>
        </w:rPr>
        <w:t>”</w:t>
      </w:r>
      <w:r w:rsidRPr="00965322">
        <w:rPr>
          <w:b/>
        </w:rPr>
        <w:t xml:space="preserve"> do item 8 e altera o item 5 da Interpretação Técnica anexa ao CPC 04 (R1) – Ativo Intangível, que passam a vigorar com as seguintes redações:</w:t>
      </w:r>
    </w:p>
    <w:p w:rsidR="00965322" w:rsidRPr="00965322" w:rsidRDefault="00965322" w:rsidP="00965322">
      <w:pPr>
        <w:pStyle w:val="Textoembloco"/>
        <w:tabs>
          <w:tab w:val="left" w:pos="175"/>
        </w:tabs>
        <w:spacing w:before="0" w:after="0" w:line="240" w:lineRule="auto"/>
        <w:ind w:left="34" w:firstLine="0"/>
        <w:jc w:val="both"/>
        <w:rPr>
          <w:rFonts w:ascii="Times New Roman" w:hAnsi="Times New Roman"/>
          <w:color w:val="000000"/>
          <w:sz w:val="24"/>
          <w:lang w:val="pt-BR"/>
        </w:rPr>
      </w:pPr>
    </w:p>
    <w:p w:rsidR="00965322" w:rsidRPr="00965322" w:rsidRDefault="00965322" w:rsidP="00965322">
      <w:pPr>
        <w:pStyle w:val="Textoembloco"/>
        <w:tabs>
          <w:tab w:val="clear" w:pos="6804"/>
        </w:tabs>
        <w:spacing w:before="0" w:after="0" w:line="240" w:lineRule="auto"/>
        <w:ind w:left="567" w:firstLine="0"/>
        <w:jc w:val="both"/>
        <w:rPr>
          <w:rFonts w:ascii="Times New Roman" w:hAnsi="Times New Roman"/>
          <w:color w:val="000000"/>
          <w:sz w:val="24"/>
          <w:lang w:val="pt-BR"/>
        </w:rPr>
      </w:pPr>
      <w:r w:rsidRPr="00965322">
        <w:rPr>
          <w:rFonts w:ascii="Times New Roman" w:hAnsi="Times New Roman"/>
          <w:color w:val="000000"/>
          <w:sz w:val="24"/>
          <w:lang w:val="pt-BR"/>
        </w:rPr>
        <w:t>Ativo</w:t>
      </w:r>
      <w:r w:rsidRPr="00965322">
        <w:rPr>
          <w:rFonts w:ascii="Times New Roman" w:hAnsi="Times New Roman"/>
          <w:color w:val="000000"/>
          <w:sz w:val="24"/>
          <w:vertAlign w:val="superscript"/>
          <w:lang w:val="pt-BR"/>
        </w:rPr>
        <w:t>1</w:t>
      </w:r>
      <w:r w:rsidRPr="00965322">
        <w:rPr>
          <w:rFonts w:ascii="Times New Roman" w:hAnsi="Times New Roman"/>
          <w:color w:val="000000"/>
          <w:sz w:val="24"/>
          <w:lang w:val="pt-BR"/>
        </w:rPr>
        <w:t xml:space="preserve"> é um recurso:</w:t>
      </w:r>
    </w:p>
    <w:p w:rsidR="00965322" w:rsidRPr="00965322" w:rsidRDefault="00965322" w:rsidP="00965322">
      <w:pPr>
        <w:pStyle w:val="Textoembloco"/>
        <w:numPr>
          <w:ilvl w:val="2"/>
          <w:numId w:val="6"/>
        </w:numPr>
        <w:tabs>
          <w:tab w:val="clear" w:pos="6804"/>
        </w:tabs>
        <w:spacing w:before="0" w:after="0" w:line="240" w:lineRule="auto"/>
        <w:ind w:left="993" w:hanging="426"/>
        <w:jc w:val="both"/>
        <w:rPr>
          <w:rFonts w:ascii="Times New Roman" w:hAnsi="Times New Roman"/>
          <w:bCs/>
          <w:iCs/>
          <w:color w:val="000000"/>
          <w:sz w:val="24"/>
        </w:rPr>
      </w:pPr>
      <w:r w:rsidRPr="00965322">
        <w:rPr>
          <w:rFonts w:ascii="Times New Roman" w:hAnsi="Times New Roman"/>
          <w:bCs/>
          <w:iCs/>
          <w:color w:val="000000"/>
          <w:sz w:val="24"/>
        </w:rPr>
        <w:t>controlado pela entidade como resultado de eventos passados; e</w:t>
      </w:r>
    </w:p>
    <w:p w:rsidR="00965322" w:rsidRPr="00965322" w:rsidRDefault="00965322" w:rsidP="00965322">
      <w:pPr>
        <w:pStyle w:val="Textoembloco"/>
        <w:numPr>
          <w:ilvl w:val="2"/>
          <w:numId w:val="6"/>
        </w:numPr>
        <w:tabs>
          <w:tab w:val="clear" w:pos="6804"/>
        </w:tabs>
        <w:spacing w:before="0" w:after="0" w:line="240" w:lineRule="auto"/>
        <w:ind w:left="993" w:hanging="426"/>
        <w:jc w:val="both"/>
        <w:rPr>
          <w:rFonts w:ascii="Times New Roman" w:hAnsi="Times New Roman"/>
          <w:color w:val="000000"/>
          <w:sz w:val="24"/>
        </w:rPr>
      </w:pPr>
      <w:r w:rsidRPr="00965322">
        <w:rPr>
          <w:rFonts w:ascii="Times New Roman" w:hAnsi="Times New Roman"/>
          <w:bCs/>
          <w:iCs/>
          <w:color w:val="000000"/>
          <w:sz w:val="24"/>
        </w:rPr>
        <w:t>do qual se espera que resultem benefícios econômicos futuros para a entidade.</w:t>
      </w:r>
    </w:p>
    <w:p w:rsidR="00965322" w:rsidRPr="00965322" w:rsidRDefault="00965322" w:rsidP="00965322">
      <w:pPr>
        <w:pStyle w:val="Textoembloco"/>
        <w:tabs>
          <w:tab w:val="clear" w:pos="6804"/>
        </w:tabs>
        <w:spacing w:before="0" w:after="0" w:line="240" w:lineRule="auto"/>
        <w:ind w:left="993" w:firstLine="0"/>
        <w:jc w:val="both"/>
        <w:rPr>
          <w:rFonts w:ascii="Times New Roman" w:hAnsi="Times New Roman"/>
          <w:color w:val="000000"/>
          <w:sz w:val="24"/>
        </w:rPr>
      </w:pPr>
    </w:p>
    <w:p w:rsidR="00965322" w:rsidRPr="00965322" w:rsidRDefault="00965322" w:rsidP="00965322">
      <w:pPr>
        <w:ind w:left="567"/>
        <w:jc w:val="both"/>
        <w:rPr>
          <w:rFonts w:ascii="Times New Roman" w:hAnsi="Times New Roman"/>
          <w:bCs/>
          <w:iCs/>
          <w:color w:val="000000"/>
        </w:rPr>
      </w:pPr>
      <w:r w:rsidRPr="00965322">
        <w:rPr>
          <w:rFonts w:ascii="Times New Roman" w:hAnsi="Times New Roman"/>
          <w:color w:val="000000"/>
          <w:vertAlign w:val="superscript"/>
        </w:rPr>
        <w:t xml:space="preserve">1 </w:t>
      </w:r>
      <w:r w:rsidRPr="00965322">
        <w:rPr>
          <w:rFonts w:ascii="Times New Roman" w:hAnsi="Times New Roman"/>
          <w:color w:val="000000"/>
        </w:rPr>
        <w:t>A definição de ativo neste Pronunciamento não foi revisada após a revisão da definição de ativo no CPC 00 – Estrutura Conceitual para Relatório Financeiro.</w:t>
      </w:r>
    </w:p>
    <w:p w:rsidR="00965322" w:rsidRPr="00965322" w:rsidRDefault="00965322" w:rsidP="00965322">
      <w:pPr>
        <w:ind w:right="-1"/>
        <w:jc w:val="both"/>
        <w:rPr>
          <w:rFonts w:ascii="Times New Roman" w:hAnsi="Times New Roman"/>
        </w:rPr>
      </w:pPr>
    </w:p>
    <w:p w:rsidR="00965322" w:rsidRPr="00965322" w:rsidRDefault="00965322" w:rsidP="00965322">
      <w:pPr>
        <w:ind w:left="567" w:right="-1" w:hanging="567"/>
        <w:jc w:val="both"/>
        <w:rPr>
          <w:rFonts w:ascii="Times New Roman" w:hAnsi="Times New Roman"/>
        </w:rPr>
      </w:pPr>
      <w:r w:rsidRPr="00965322">
        <w:rPr>
          <w:rFonts w:ascii="Times New Roman" w:hAnsi="Times New Roman"/>
          <w:color w:val="000000"/>
        </w:rPr>
        <w:t xml:space="preserve">5. </w:t>
      </w:r>
      <w:r w:rsidRPr="00965322">
        <w:rPr>
          <w:rFonts w:ascii="Times New Roman" w:hAnsi="Times New Roman"/>
          <w:color w:val="000000"/>
        </w:rPr>
        <w:tab/>
        <w:t xml:space="preserve">Esta Interpretação não se aplica aos gastos com a aquisição, desenvolvimento e operação de </w:t>
      </w:r>
      <w:r w:rsidRPr="00965322">
        <w:rPr>
          <w:rFonts w:ascii="Times New Roman" w:hAnsi="Times New Roman"/>
          <w:i/>
          <w:color w:val="000000"/>
        </w:rPr>
        <w:t>hardware</w:t>
      </w:r>
      <w:r w:rsidRPr="00965322">
        <w:rPr>
          <w:rFonts w:ascii="Times New Roman" w:hAnsi="Times New Roman"/>
          <w:color w:val="000000"/>
        </w:rPr>
        <w:t xml:space="preserve"> (por exemplo, servidores de sítio na internet, servidores de teste, servidores de produção e conexões à internet) de sítio na internet. Gastos dessa natureza devem ser contabilizados, de acordo com o Pronunciamento Técnico CPC 27 – Ativo Imobilizado. Além disso, quando a entidade incorre em gastos com o fornecedor de serviços da internet, o qual realiza a hospedagem do sítio da entidade, o gasto deve ser reconhecido como despesa, de acordo com o Pronunciamento Técnico CPC 26 – Apresentação das Demonstrações Contábeis, item 88, e com o CPC 00 – Estrutura Conceitual para Relatório Financeiro do CPC, quando os serviços são recebidos.</w:t>
      </w:r>
    </w:p>
    <w:p w:rsidR="00965322" w:rsidRPr="00965322" w:rsidRDefault="00965322" w:rsidP="00965322">
      <w:pPr>
        <w:ind w:right="-1"/>
        <w:jc w:val="both"/>
        <w:rPr>
          <w:rFonts w:ascii="Times New Roman" w:hAnsi="Times New Roman"/>
        </w:rPr>
      </w:pPr>
    </w:p>
    <w:p w:rsidR="00965322" w:rsidRPr="00965322" w:rsidRDefault="00965322" w:rsidP="00965322">
      <w:pPr>
        <w:ind w:right="-1"/>
        <w:jc w:val="both"/>
        <w:rPr>
          <w:rFonts w:ascii="Times New Roman" w:hAnsi="Times New Roman"/>
        </w:rPr>
      </w:pPr>
    </w:p>
    <w:p w:rsidR="00965322" w:rsidRPr="00965322" w:rsidRDefault="00965322" w:rsidP="00965322">
      <w:pPr>
        <w:pStyle w:val="PargrafodaLista"/>
        <w:numPr>
          <w:ilvl w:val="0"/>
          <w:numId w:val="13"/>
        </w:numPr>
        <w:ind w:left="567" w:right="-1" w:hanging="567"/>
        <w:contextualSpacing/>
        <w:jc w:val="both"/>
      </w:pPr>
      <w:r w:rsidRPr="00965322">
        <w:rPr>
          <w:b/>
        </w:rPr>
        <w:t>Altera a definição “Instrumento patrimonial” do Apêndice A do CPC 10 (R1) – Pagamento Baseado em Ações, que passa a vigorar com a seguinte redação:</w:t>
      </w:r>
    </w:p>
    <w:p w:rsidR="00965322" w:rsidRPr="00965322" w:rsidRDefault="00965322" w:rsidP="00965322">
      <w:pPr>
        <w:ind w:right="-1"/>
        <w:jc w:val="both"/>
        <w:rPr>
          <w:rFonts w:ascii="Times New Roman" w:hAnsi="Times New Roman"/>
          <w:i/>
          <w:color w:val="000000"/>
        </w:rPr>
      </w:pPr>
    </w:p>
    <w:p w:rsidR="00965322" w:rsidRPr="00965322" w:rsidRDefault="00965322" w:rsidP="00965322">
      <w:pPr>
        <w:ind w:left="567" w:right="-1"/>
        <w:jc w:val="both"/>
        <w:rPr>
          <w:rFonts w:ascii="Times New Roman" w:hAnsi="Times New Roman"/>
        </w:rPr>
      </w:pPr>
      <w:r w:rsidRPr="00965322">
        <w:rPr>
          <w:rFonts w:ascii="Times New Roman" w:hAnsi="Times New Roman"/>
          <w:i/>
          <w:color w:val="000000"/>
        </w:rPr>
        <w:t>Instrumento patrimonial</w:t>
      </w:r>
      <w:r w:rsidRPr="00965322">
        <w:rPr>
          <w:rFonts w:ascii="Times New Roman" w:hAnsi="Times New Roman"/>
          <w:color w:val="000000"/>
        </w:rPr>
        <w:t xml:space="preserve"> é um contrato que evidencia um interesse residual nos ativos da entidade após a dedução de todos os seus passivos.</w:t>
      </w:r>
      <w:r w:rsidRPr="00965322">
        <w:rPr>
          <w:rFonts w:ascii="Times New Roman" w:hAnsi="Times New Roman"/>
        </w:rPr>
        <w:t xml:space="preserve"> 4 </w:t>
      </w:r>
    </w:p>
    <w:p w:rsidR="00965322" w:rsidRPr="00965322" w:rsidRDefault="00965322" w:rsidP="00965322">
      <w:pPr>
        <w:ind w:right="-1"/>
        <w:jc w:val="both"/>
        <w:rPr>
          <w:rFonts w:ascii="Times New Roman" w:hAnsi="Times New Roman"/>
        </w:rPr>
      </w:pPr>
    </w:p>
    <w:p w:rsidR="00965322" w:rsidRDefault="00965322" w:rsidP="00965322">
      <w:pPr>
        <w:ind w:left="567"/>
        <w:jc w:val="both"/>
        <w:rPr>
          <w:rFonts w:ascii="Times New Roman" w:eastAsia="Times New Roman" w:hAnsi="Times New Roman"/>
        </w:rPr>
      </w:pPr>
      <w:r w:rsidRPr="00965322">
        <w:rPr>
          <w:rFonts w:ascii="Times New Roman" w:eastAsia="Times New Roman" w:hAnsi="Times New Roman"/>
          <w:vertAlign w:val="superscript"/>
        </w:rPr>
        <w:t>4</w:t>
      </w:r>
      <w:r w:rsidRPr="00965322">
        <w:rPr>
          <w:rFonts w:ascii="Times New Roman" w:eastAsia="Times New Roman" w:hAnsi="Times New Roman"/>
        </w:rPr>
        <w:t xml:space="preserve"> O CPC 00 – Estrutura Conceitual para Relatório Financeiro define passivo como obrigação presente da entidade de transferir recurso econômico como resultado de eventos passados. </w:t>
      </w:r>
    </w:p>
    <w:p w:rsidR="00055B84" w:rsidRPr="00965322" w:rsidRDefault="00055B84" w:rsidP="00965322">
      <w:pPr>
        <w:ind w:left="567"/>
        <w:jc w:val="both"/>
        <w:rPr>
          <w:rFonts w:ascii="Times New Roman" w:eastAsia="Times New Roman" w:hAnsi="Times New Roman"/>
          <w:strike/>
        </w:rPr>
      </w:pPr>
    </w:p>
    <w:p w:rsidR="00965322" w:rsidRPr="00965322" w:rsidRDefault="00965322" w:rsidP="00965322">
      <w:pPr>
        <w:pStyle w:val="PargrafodaLista"/>
        <w:numPr>
          <w:ilvl w:val="0"/>
          <w:numId w:val="13"/>
        </w:numPr>
        <w:ind w:left="567" w:right="-1" w:hanging="567"/>
        <w:contextualSpacing/>
        <w:jc w:val="both"/>
      </w:pPr>
      <w:r w:rsidRPr="00965322">
        <w:rPr>
          <w:b/>
        </w:rPr>
        <w:lastRenderedPageBreak/>
        <w:t>Altera os itens 3, 11, B7, B8, e inclui seu título, B9, B12, e inclui seu título, a definição de “Negócio” do Apêndice A, inclui os itens B7A e seu título, B7B, B7C, B8A, de B12A a B12D e exclui o item B10 do CPC 15 (R1) – Combinação de Negócios, que passam a vigorar com as seguintes redações:</w:t>
      </w:r>
    </w:p>
    <w:p w:rsidR="00965322" w:rsidRPr="00965322" w:rsidRDefault="00965322" w:rsidP="00965322">
      <w:pPr>
        <w:ind w:right="-1"/>
        <w:jc w:val="both"/>
        <w:rPr>
          <w:rFonts w:ascii="Times New Roman" w:eastAsia="Bookman Old Style" w:hAnsi="Times New Roman"/>
          <w:b/>
          <w:color w:val="231F20"/>
          <w:w w:val="105"/>
          <w:lang w:bidi="en-US"/>
        </w:rPr>
      </w:pPr>
    </w:p>
    <w:p w:rsidR="00965322" w:rsidRPr="00965322" w:rsidRDefault="00965322" w:rsidP="00965322">
      <w:pPr>
        <w:ind w:left="567" w:right="-1" w:hanging="567"/>
        <w:jc w:val="both"/>
        <w:rPr>
          <w:rFonts w:ascii="Times New Roman" w:hAnsi="Times New Roman"/>
        </w:rPr>
      </w:pPr>
      <w:r w:rsidRPr="00965322">
        <w:rPr>
          <w:rFonts w:ascii="Times New Roman" w:hAnsi="Times New Roman"/>
        </w:rPr>
        <w:t>3.</w:t>
      </w:r>
      <w:r w:rsidRPr="00965322">
        <w:rPr>
          <w:rFonts w:ascii="Times New Roman" w:hAnsi="Times New Roman"/>
        </w:rPr>
        <w:tab/>
        <w:t xml:space="preserve">A entidade deve determinar se uma operação, ou outro evento, é uma combinação de negócios pela aplicação da definição utilizada neste Pronunciamento, a qual exige que os ativos adquiridos e os passivos assumidos constituam um negócio. Se os ativos adquiridos não constituem um negócio, a entidade deve contabilizar a operação ou o evento como aquisição de ativos. Os itens B5 </w:t>
      </w:r>
      <w:proofErr w:type="gramStart"/>
      <w:r w:rsidRPr="00965322">
        <w:rPr>
          <w:rFonts w:ascii="Times New Roman" w:hAnsi="Times New Roman"/>
        </w:rPr>
        <w:t>a B12D fornecem</w:t>
      </w:r>
      <w:proofErr w:type="gramEnd"/>
      <w:r w:rsidRPr="00965322">
        <w:rPr>
          <w:rFonts w:ascii="Times New Roman" w:hAnsi="Times New Roman"/>
        </w:rPr>
        <w:t xml:space="preserve"> orientações sobre a identificação da combinação de negócios e a definição de negócio.</w:t>
      </w:r>
    </w:p>
    <w:p w:rsidR="00965322" w:rsidRPr="00965322" w:rsidRDefault="00965322" w:rsidP="00965322">
      <w:pPr>
        <w:ind w:right="-1"/>
        <w:jc w:val="both"/>
        <w:rPr>
          <w:rFonts w:ascii="Times New Roman" w:hAnsi="Times New Roman"/>
        </w:rPr>
      </w:pPr>
    </w:p>
    <w:p w:rsidR="00965322" w:rsidRPr="00965322" w:rsidRDefault="00965322" w:rsidP="00965322">
      <w:pPr>
        <w:ind w:left="567" w:right="-1" w:hanging="567"/>
        <w:jc w:val="both"/>
        <w:rPr>
          <w:rFonts w:ascii="Times New Roman" w:hAnsi="Times New Roman"/>
        </w:rPr>
      </w:pPr>
      <w:r w:rsidRPr="00965322">
        <w:rPr>
          <w:rFonts w:ascii="Times New Roman" w:hAnsi="Times New Roman"/>
        </w:rPr>
        <w:t xml:space="preserve">11. </w:t>
      </w:r>
      <w:proofErr w:type="gramStart"/>
      <w:r w:rsidRPr="00965322">
        <w:rPr>
          <w:rFonts w:ascii="Times New Roman" w:hAnsi="Times New Roman"/>
        </w:rPr>
        <w:tab/>
        <w:t>Para</w:t>
      </w:r>
      <w:proofErr w:type="gramEnd"/>
      <w:r w:rsidRPr="00965322">
        <w:rPr>
          <w:rFonts w:ascii="Times New Roman" w:hAnsi="Times New Roman"/>
        </w:rPr>
        <w:t xml:space="preserve"> se qualificarem para reconhecimento, como parte da aplicação do método de aquisição, os ativos identificáveis adquiridos e os passivos assumidos devem atender, na data da aquisição, às definições de ativo e de passivo dispostas no CPC 00 – Estrutura Conceitual para Relatório Financeiro. Por exemplo, os custos que o adquirente espera, porém não está obrigado a incorrer no futuro, para efetivar um plano para encerrar uma atividade da adquirida, ou os custos para realocar ou desligar empregados da adquirida não constituem passivo na data da aquisição. Portanto, o adquirente não deve reconhecer tais custos como parte da aplicação do método de aquisição. Em vez disso, o adquirente deve reconhecer tais custos em suas demonstrações contábeis pós-combinação, de acordo com o disposto em outros pronunciamentos, interpretações e orientações do CPC.</w:t>
      </w:r>
    </w:p>
    <w:p w:rsidR="00965322" w:rsidRPr="00965322" w:rsidRDefault="00965322" w:rsidP="00965322">
      <w:pPr>
        <w:ind w:right="-1"/>
        <w:jc w:val="both"/>
        <w:rPr>
          <w:rFonts w:ascii="Times New Roman" w:hAnsi="Times New Roman"/>
        </w:rPr>
      </w:pPr>
    </w:p>
    <w:p w:rsidR="00965322" w:rsidRPr="00965322" w:rsidRDefault="00965322" w:rsidP="00965322">
      <w:pPr>
        <w:ind w:left="567"/>
        <w:jc w:val="both"/>
        <w:rPr>
          <w:rFonts w:ascii="Times New Roman" w:hAnsi="Times New Roman"/>
        </w:rPr>
      </w:pPr>
      <w:r w:rsidRPr="00965322">
        <w:rPr>
          <w:rFonts w:ascii="Times New Roman" w:hAnsi="Times New Roman"/>
          <w:i/>
        </w:rPr>
        <w:t>Negócio</w:t>
      </w:r>
      <w:r w:rsidRPr="00965322">
        <w:rPr>
          <w:rFonts w:ascii="Times New Roman" w:hAnsi="Times New Roman"/>
        </w:rPr>
        <w:t xml:space="preserve"> é um conjunto integrado de atividades e ativos capaz de ser conduzido e gerenciado com o objetivo de fornecer bens ou serviços a clientes, gerando receita de investimento (como dividendos ou juros) ou gerando outras receitas de atividades ordinárias.</w:t>
      </w:r>
      <w:r w:rsidRPr="00965322">
        <w:rPr>
          <w:rFonts w:ascii="Times New Roman" w:hAnsi="Times New Roman"/>
          <w:i/>
        </w:rPr>
        <w:t xml:space="preserve"> </w:t>
      </w:r>
    </w:p>
    <w:p w:rsidR="00965322" w:rsidRPr="00965322" w:rsidRDefault="00965322" w:rsidP="00965322">
      <w:pPr>
        <w:ind w:right="-1"/>
        <w:jc w:val="both"/>
        <w:rPr>
          <w:rFonts w:ascii="Times New Roman" w:hAnsi="Times New Roman"/>
        </w:rPr>
      </w:pPr>
    </w:p>
    <w:p w:rsidR="00965322" w:rsidRPr="00965322" w:rsidRDefault="00965322" w:rsidP="00965322">
      <w:pPr>
        <w:ind w:left="567" w:right="-1" w:hanging="567"/>
        <w:jc w:val="both"/>
        <w:rPr>
          <w:rFonts w:ascii="Times New Roman" w:hAnsi="Times New Roman"/>
        </w:rPr>
      </w:pPr>
      <w:r w:rsidRPr="00965322">
        <w:rPr>
          <w:rFonts w:ascii="Times New Roman" w:hAnsi="Times New Roman"/>
        </w:rPr>
        <w:t>B7.</w:t>
      </w:r>
      <w:r w:rsidRPr="00965322">
        <w:rPr>
          <w:rFonts w:ascii="Times New Roman" w:hAnsi="Times New Roman"/>
        </w:rPr>
        <w:tab/>
        <w:t xml:space="preserve">Um negócio consiste de </w:t>
      </w:r>
      <w:r w:rsidRPr="00965322">
        <w:rPr>
          <w:rFonts w:ascii="Times New Roman" w:hAnsi="Times New Roman"/>
          <w:i/>
        </w:rPr>
        <w:t xml:space="preserve">inputs – </w:t>
      </w:r>
      <w:r w:rsidRPr="00965322">
        <w:rPr>
          <w:rFonts w:ascii="Times New Roman" w:hAnsi="Times New Roman"/>
        </w:rPr>
        <w:t xml:space="preserve">entrada de recursos – e processos (os processos são aplicados aos </w:t>
      </w:r>
      <w:r w:rsidRPr="00965322">
        <w:rPr>
          <w:rFonts w:ascii="Times New Roman" w:hAnsi="Times New Roman"/>
          <w:i/>
        </w:rPr>
        <w:t>inputs</w:t>
      </w:r>
      <w:r w:rsidRPr="00965322">
        <w:rPr>
          <w:rFonts w:ascii="Times New Roman" w:hAnsi="Times New Roman"/>
        </w:rPr>
        <w:t xml:space="preserve">), os quais têm a capacidade de contribuir para gerar </w:t>
      </w:r>
      <w:r w:rsidRPr="00965322">
        <w:rPr>
          <w:rFonts w:ascii="Times New Roman" w:hAnsi="Times New Roman"/>
          <w:i/>
        </w:rPr>
        <w:t xml:space="preserve">outputs – </w:t>
      </w:r>
      <w:r w:rsidRPr="00965322">
        <w:rPr>
          <w:rFonts w:ascii="Times New Roman" w:hAnsi="Times New Roman"/>
        </w:rPr>
        <w:t>saída de recursos. Os três elementos de um negócio são definidos a seguir (consulte os itens B8 a B12D para obter orientação sobre os elementos de negócio):</w:t>
      </w:r>
    </w:p>
    <w:p w:rsidR="00965322" w:rsidRPr="00965322" w:rsidRDefault="00965322" w:rsidP="00965322">
      <w:pPr>
        <w:numPr>
          <w:ilvl w:val="0"/>
          <w:numId w:val="12"/>
        </w:numPr>
        <w:tabs>
          <w:tab w:val="clear" w:pos="1070"/>
        </w:tabs>
        <w:autoSpaceDE/>
        <w:autoSpaceDN/>
        <w:adjustRightInd/>
        <w:ind w:left="993" w:hanging="426"/>
        <w:jc w:val="both"/>
        <w:rPr>
          <w:rFonts w:ascii="Times New Roman" w:hAnsi="Times New Roman"/>
          <w:lang w:val="pt-PT"/>
        </w:rPr>
      </w:pPr>
      <w:proofErr w:type="gramStart"/>
      <w:r w:rsidRPr="00965322">
        <w:rPr>
          <w:rFonts w:ascii="Times New Roman" w:hAnsi="Times New Roman"/>
          <w:bCs/>
          <w:i/>
          <w:iCs/>
        </w:rPr>
        <w:t>input</w:t>
      </w:r>
      <w:proofErr w:type="gramEnd"/>
      <w:r w:rsidRPr="00965322">
        <w:rPr>
          <w:rFonts w:ascii="Times New Roman" w:hAnsi="Times New Roman"/>
        </w:rPr>
        <w:t xml:space="preserve">: qualquer recurso econômico que gera </w:t>
      </w:r>
      <w:r w:rsidRPr="00965322">
        <w:rPr>
          <w:rFonts w:ascii="Times New Roman" w:hAnsi="Times New Roman"/>
          <w:i/>
        </w:rPr>
        <w:t>outputs</w:t>
      </w:r>
      <w:r w:rsidRPr="00965322">
        <w:rPr>
          <w:rFonts w:ascii="Times New Roman" w:hAnsi="Times New Roman"/>
        </w:rPr>
        <w:t xml:space="preserve"> ou tem a capacidade de contribuir para gerar </w:t>
      </w:r>
      <w:r w:rsidRPr="00965322">
        <w:rPr>
          <w:rFonts w:ascii="Times New Roman" w:hAnsi="Times New Roman"/>
          <w:i/>
        </w:rPr>
        <w:t>outputs</w:t>
      </w:r>
      <w:r w:rsidRPr="00965322">
        <w:rPr>
          <w:rFonts w:ascii="Times New Roman" w:hAnsi="Times New Roman"/>
        </w:rPr>
        <w:t xml:space="preserve"> quando um ou mais processos são aplicados sobre </w:t>
      </w:r>
      <w:r w:rsidRPr="00965322">
        <w:rPr>
          <w:rFonts w:ascii="Times New Roman" w:hAnsi="Times New Roman"/>
          <w:bCs/>
          <w:iCs/>
        </w:rPr>
        <w:t>ele.</w:t>
      </w:r>
      <w:r w:rsidRPr="00965322">
        <w:rPr>
          <w:rFonts w:ascii="Times New Roman" w:hAnsi="Times New Roman"/>
        </w:rPr>
        <w:t xml:space="preserve"> Exemplos incluem ativos não circulantes (incluindo ativos intangíveis ou direitos ao uso de ativos não </w:t>
      </w:r>
      <w:r w:rsidRPr="00965322">
        <w:rPr>
          <w:rFonts w:ascii="Times New Roman" w:hAnsi="Times New Roman"/>
          <w:bCs/>
          <w:iCs/>
        </w:rPr>
        <w:t>circulantes</w:t>
      </w:r>
      <w:r w:rsidRPr="00965322">
        <w:rPr>
          <w:rFonts w:ascii="Times New Roman" w:hAnsi="Times New Roman"/>
        </w:rPr>
        <w:t xml:space="preserve">), propriedade intelectual, a </w:t>
      </w:r>
      <w:r w:rsidRPr="00965322">
        <w:rPr>
          <w:rFonts w:ascii="Times New Roman" w:hAnsi="Times New Roman"/>
          <w:bCs/>
          <w:iCs/>
        </w:rPr>
        <w:t>habilidade</w:t>
      </w:r>
      <w:r w:rsidRPr="00965322">
        <w:rPr>
          <w:rFonts w:ascii="Times New Roman" w:hAnsi="Times New Roman"/>
        </w:rPr>
        <w:t xml:space="preserve"> de obter acesso aos materiais</w:t>
      </w:r>
      <w:r w:rsidRPr="00965322">
        <w:rPr>
          <w:rFonts w:ascii="Times New Roman" w:hAnsi="Times New Roman"/>
          <w:bCs/>
          <w:iCs/>
        </w:rPr>
        <w:t xml:space="preserve"> necessários ou</w:t>
      </w:r>
      <w:r w:rsidRPr="00965322">
        <w:rPr>
          <w:rFonts w:ascii="Times New Roman" w:hAnsi="Times New Roman"/>
        </w:rPr>
        <w:t xml:space="preserve"> direitos e empregados;</w:t>
      </w:r>
    </w:p>
    <w:p w:rsidR="00965322" w:rsidRPr="00965322" w:rsidRDefault="00965322" w:rsidP="00965322">
      <w:pPr>
        <w:numPr>
          <w:ilvl w:val="0"/>
          <w:numId w:val="12"/>
        </w:numPr>
        <w:tabs>
          <w:tab w:val="clear" w:pos="1070"/>
        </w:tabs>
        <w:autoSpaceDE/>
        <w:autoSpaceDN/>
        <w:adjustRightInd/>
        <w:ind w:left="993" w:hanging="426"/>
        <w:jc w:val="both"/>
        <w:rPr>
          <w:rFonts w:ascii="Times New Roman" w:hAnsi="Times New Roman"/>
        </w:rPr>
      </w:pPr>
      <w:proofErr w:type="gramStart"/>
      <w:r w:rsidRPr="00965322">
        <w:rPr>
          <w:rFonts w:ascii="Times New Roman" w:hAnsi="Times New Roman"/>
          <w:i/>
        </w:rPr>
        <w:t>processos</w:t>
      </w:r>
      <w:proofErr w:type="gramEnd"/>
      <w:r w:rsidRPr="00965322">
        <w:rPr>
          <w:rFonts w:ascii="Times New Roman" w:hAnsi="Times New Roman"/>
          <w:i/>
        </w:rPr>
        <w:t>:</w:t>
      </w:r>
      <w:r w:rsidRPr="00965322">
        <w:rPr>
          <w:rFonts w:ascii="Times New Roman" w:hAnsi="Times New Roman"/>
        </w:rPr>
        <w:t xml:space="preserve"> qualquer sistema, padrão, protocolo, convenção ou regra que, quando aplicado </w:t>
      </w:r>
      <w:r w:rsidRPr="00965322">
        <w:rPr>
          <w:rFonts w:ascii="Times New Roman" w:hAnsi="Times New Roman"/>
          <w:bCs/>
          <w:iCs/>
        </w:rPr>
        <w:t xml:space="preserve">a um </w:t>
      </w:r>
      <w:r w:rsidRPr="00965322">
        <w:rPr>
          <w:rFonts w:ascii="Times New Roman" w:hAnsi="Times New Roman"/>
          <w:bCs/>
          <w:i/>
          <w:iCs/>
        </w:rPr>
        <w:t>input</w:t>
      </w:r>
      <w:r w:rsidRPr="00965322">
        <w:rPr>
          <w:rFonts w:ascii="Times New Roman" w:hAnsi="Times New Roman"/>
          <w:bCs/>
          <w:iCs/>
        </w:rPr>
        <w:t xml:space="preserve"> ou </w:t>
      </w:r>
      <w:r w:rsidRPr="00965322">
        <w:rPr>
          <w:rFonts w:ascii="Times New Roman" w:hAnsi="Times New Roman"/>
          <w:i/>
        </w:rPr>
        <w:t>inputs</w:t>
      </w:r>
      <w:r w:rsidRPr="00965322">
        <w:rPr>
          <w:rFonts w:ascii="Times New Roman" w:hAnsi="Times New Roman"/>
        </w:rPr>
        <w:t xml:space="preserve">, </w:t>
      </w:r>
      <w:r w:rsidRPr="00965322">
        <w:rPr>
          <w:rFonts w:ascii="Times New Roman" w:hAnsi="Times New Roman"/>
          <w:bCs/>
          <w:iCs/>
        </w:rPr>
        <w:t>gera</w:t>
      </w:r>
      <w:r w:rsidRPr="00965322">
        <w:rPr>
          <w:rFonts w:ascii="Times New Roman" w:hAnsi="Times New Roman"/>
        </w:rPr>
        <w:t xml:space="preserve"> </w:t>
      </w:r>
      <w:r w:rsidRPr="00965322">
        <w:rPr>
          <w:rFonts w:ascii="Times New Roman" w:hAnsi="Times New Roman"/>
          <w:i/>
        </w:rPr>
        <w:t>outputs</w:t>
      </w:r>
      <w:r w:rsidRPr="00965322">
        <w:rPr>
          <w:rFonts w:ascii="Times New Roman" w:hAnsi="Times New Roman"/>
        </w:rPr>
        <w:t xml:space="preserve"> ou </w:t>
      </w:r>
      <w:r w:rsidRPr="00965322">
        <w:rPr>
          <w:rFonts w:ascii="Times New Roman" w:hAnsi="Times New Roman"/>
          <w:bCs/>
          <w:iCs/>
        </w:rPr>
        <w:t>tem</w:t>
      </w:r>
      <w:r w:rsidRPr="00965322">
        <w:rPr>
          <w:rFonts w:ascii="Times New Roman" w:hAnsi="Times New Roman"/>
        </w:rPr>
        <w:t xml:space="preserve"> a capacidade de contribuir para gerar </w:t>
      </w:r>
      <w:r w:rsidRPr="00965322">
        <w:rPr>
          <w:rFonts w:ascii="Times New Roman" w:hAnsi="Times New Roman"/>
          <w:i/>
        </w:rPr>
        <w:t>outputs</w:t>
      </w:r>
      <w:r w:rsidRPr="00965322">
        <w:rPr>
          <w:rFonts w:ascii="Times New Roman" w:hAnsi="Times New Roman"/>
        </w:rPr>
        <w:t xml:space="preserve">. Exemplos incluem processos de gestão estratégica, processos operacionais e processos de gestão de recursos. Esses processos normalmente são documentados, porém a capacidade intelectual da força de trabalho organizada, que detém a experiência e </w:t>
      </w:r>
      <w:r w:rsidRPr="00965322">
        <w:rPr>
          <w:rFonts w:ascii="Times New Roman" w:hAnsi="Times New Roman"/>
          <w:bCs/>
          <w:iCs/>
        </w:rPr>
        <w:t>as habilidades necessárias</w:t>
      </w:r>
      <w:r w:rsidRPr="00965322">
        <w:rPr>
          <w:rFonts w:ascii="Times New Roman" w:hAnsi="Times New Roman"/>
        </w:rPr>
        <w:t xml:space="preserve"> para seguir regras e convenções, pode gerar os processos necessários e ser capaz de aplicá-los aos </w:t>
      </w:r>
      <w:r w:rsidRPr="00965322">
        <w:rPr>
          <w:rFonts w:ascii="Times New Roman" w:hAnsi="Times New Roman"/>
          <w:i/>
        </w:rPr>
        <w:t>inputs</w:t>
      </w:r>
      <w:r w:rsidRPr="00965322">
        <w:rPr>
          <w:rFonts w:ascii="Times New Roman" w:hAnsi="Times New Roman"/>
        </w:rPr>
        <w:t xml:space="preserve"> para gerar </w:t>
      </w:r>
      <w:r w:rsidRPr="00965322">
        <w:rPr>
          <w:rFonts w:ascii="Times New Roman" w:hAnsi="Times New Roman"/>
          <w:i/>
        </w:rPr>
        <w:t>outputs</w:t>
      </w:r>
      <w:r w:rsidRPr="00965322">
        <w:rPr>
          <w:rFonts w:ascii="Times New Roman" w:hAnsi="Times New Roman"/>
        </w:rPr>
        <w:t xml:space="preserve"> (faturamento, contabilidade, folha de pagamento e outros sistemas administrativos normalmente não são processos usados para criar </w:t>
      </w:r>
      <w:r w:rsidRPr="00965322">
        <w:rPr>
          <w:rFonts w:ascii="Times New Roman" w:hAnsi="Times New Roman"/>
          <w:i/>
        </w:rPr>
        <w:t>outputs</w:t>
      </w:r>
      <w:r w:rsidRPr="00965322">
        <w:rPr>
          <w:rFonts w:ascii="Times New Roman" w:hAnsi="Times New Roman"/>
        </w:rPr>
        <w:t>);</w:t>
      </w:r>
    </w:p>
    <w:p w:rsidR="00965322" w:rsidRPr="00965322" w:rsidRDefault="00965322" w:rsidP="00965322">
      <w:pPr>
        <w:numPr>
          <w:ilvl w:val="0"/>
          <w:numId w:val="12"/>
        </w:numPr>
        <w:tabs>
          <w:tab w:val="clear" w:pos="1070"/>
        </w:tabs>
        <w:autoSpaceDE/>
        <w:autoSpaceDN/>
        <w:adjustRightInd/>
        <w:ind w:left="993" w:hanging="426"/>
        <w:jc w:val="both"/>
        <w:rPr>
          <w:rFonts w:ascii="Times New Roman" w:eastAsia="Arial" w:hAnsi="Times New Roman"/>
          <w:bCs/>
          <w:color w:val="231F20"/>
          <w:lang w:bidi="en-US"/>
        </w:rPr>
      </w:pPr>
      <w:proofErr w:type="gramStart"/>
      <w:r w:rsidRPr="00965322">
        <w:rPr>
          <w:rFonts w:ascii="Times New Roman" w:hAnsi="Times New Roman"/>
          <w:bCs/>
          <w:i/>
          <w:iCs/>
        </w:rPr>
        <w:t>output</w:t>
      </w:r>
      <w:proofErr w:type="gramEnd"/>
      <w:r w:rsidRPr="00965322">
        <w:rPr>
          <w:rFonts w:ascii="Times New Roman" w:hAnsi="Times New Roman"/>
          <w:bCs/>
          <w:iCs/>
        </w:rPr>
        <w:t xml:space="preserve">: </w:t>
      </w:r>
      <w:r w:rsidRPr="00965322">
        <w:rPr>
          <w:rFonts w:ascii="Times New Roman" w:eastAsia="Arial" w:hAnsi="Times New Roman"/>
          <w:bCs/>
          <w:color w:val="231F20"/>
          <w:lang w:bidi="en-US"/>
        </w:rPr>
        <w:t xml:space="preserve">o resultado de </w:t>
      </w:r>
      <w:r w:rsidRPr="00965322">
        <w:rPr>
          <w:rFonts w:ascii="Times New Roman" w:eastAsia="Arial" w:hAnsi="Times New Roman"/>
          <w:bCs/>
          <w:i/>
          <w:color w:val="231F20"/>
          <w:lang w:bidi="en-US"/>
        </w:rPr>
        <w:t>inputs</w:t>
      </w:r>
      <w:r w:rsidRPr="00965322">
        <w:rPr>
          <w:rFonts w:ascii="Times New Roman" w:eastAsia="Arial" w:hAnsi="Times New Roman"/>
          <w:bCs/>
          <w:color w:val="231F20"/>
          <w:lang w:bidi="en-US"/>
        </w:rPr>
        <w:t xml:space="preserve"> e processos aplicados aos </w:t>
      </w:r>
      <w:r w:rsidRPr="00965322">
        <w:rPr>
          <w:rFonts w:ascii="Times New Roman" w:eastAsia="Arial" w:hAnsi="Times New Roman"/>
          <w:bCs/>
          <w:i/>
          <w:color w:val="231F20"/>
          <w:lang w:bidi="en-US"/>
        </w:rPr>
        <w:t>inputs</w:t>
      </w:r>
      <w:r w:rsidRPr="00965322">
        <w:rPr>
          <w:rFonts w:ascii="Times New Roman" w:eastAsia="Arial" w:hAnsi="Times New Roman"/>
          <w:bCs/>
          <w:color w:val="231F20"/>
          <w:lang w:bidi="en-US"/>
        </w:rPr>
        <w:t xml:space="preserve"> que fornecem bens ou serviços a clientes, geram receita de investimento (como dividendos ou juros) ou geram outras receitas de atividades ordinárias.</w:t>
      </w:r>
    </w:p>
    <w:p w:rsidR="00965322" w:rsidRDefault="00965322" w:rsidP="00965322">
      <w:pPr>
        <w:jc w:val="both"/>
        <w:rPr>
          <w:rFonts w:ascii="Times New Roman" w:eastAsia="Bookman Old Style" w:hAnsi="Times New Roman"/>
          <w:b/>
          <w:color w:val="231F20"/>
          <w:w w:val="105"/>
          <w:lang w:bidi="en-US"/>
        </w:rPr>
      </w:pPr>
    </w:p>
    <w:p w:rsidR="00055B84" w:rsidRDefault="00055B84" w:rsidP="00965322">
      <w:pPr>
        <w:jc w:val="both"/>
        <w:rPr>
          <w:rFonts w:ascii="Times New Roman" w:eastAsia="Bookman Old Style" w:hAnsi="Times New Roman"/>
          <w:b/>
          <w:color w:val="231F20"/>
          <w:w w:val="105"/>
          <w:lang w:bidi="en-US"/>
        </w:rPr>
      </w:pPr>
    </w:p>
    <w:p w:rsidR="00055B84" w:rsidRDefault="00055B84" w:rsidP="00965322">
      <w:pPr>
        <w:jc w:val="both"/>
        <w:rPr>
          <w:rFonts w:ascii="Times New Roman" w:eastAsia="Bookman Old Style" w:hAnsi="Times New Roman"/>
          <w:b/>
          <w:color w:val="231F20"/>
          <w:w w:val="105"/>
          <w:lang w:bidi="en-US"/>
        </w:rPr>
      </w:pPr>
    </w:p>
    <w:p w:rsidR="00965322" w:rsidRPr="00965322" w:rsidRDefault="00965322" w:rsidP="00965322">
      <w:pPr>
        <w:jc w:val="both"/>
        <w:rPr>
          <w:rFonts w:ascii="Times New Roman" w:eastAsia="Bookman Old Style" w:hAnsi="Times New Roman"/>
          <w:lang w:bidi="en-US"/>
        </w:rPr>
      </w:pPr>
      <w:r w:rsidRPr="00965322">
        <w:rPr>
          <w:rFonts w:ascii="Times New Roman" w:eastAsia="Bookman Old Style" w:hAnsi="Times New Roman"/>
          <w:b/>
          <w:lang w:bidi="en-US"/>
        </w:rPr>
        <w:lastRenderedPageBreak/>
        <w:t>Teste opcional para identificar concentração de valor justo</w:t>
      </w:r>
    </w:p>
    <w:p w:rsidR="00965322" w:rsidRPr="00965322" w:rsidRDefault="00965322" w:rsidP="00965322">
      <w:pPr>
        <w:jc w:val="both"/>
        <w:rPr>
          <w:rFonts w:ascii="Times New Roman" w:eastAsia="Bookman Old Style" w:hAnsi="Times New Roman"/>
          <w:u w:val="single"/>
          <w:lang w:bidi="en-US"/>
        </w:rPr>
      </w:pPr>
    </w:p>
    <w:p w:rsidR="00965322" w:rsidRPr="00965322" w:rsidRDefault="00965322" w:rsidP="00965322">
      <w:pPr>
        <w:ind w:left="567" w:hanging="567"/>
        <w:jc w:val="both"/>
        <w:rPr>
          <w:rFonts w:ascii="Times New Roman" w:eastAsia="Bookman Old Style" w:hAnsi="Times New Roman"/>
          <w:lang w:bidi="en-US"/>
        </w:rPr>
      </w:pPr>
      <w:r w:rsidRPr="00965322">
        <w:rPr>
          <w:rFonts w:ascii="Times New Roman" w:eastAsia="Bookman Old Style" w:hAnsi="Times New Roman"/>
          <w:lang w:bidi="en-US"/>
        </w:rPr>
        <w:t>B7A.</w:t>
      </w:r>
      <w:r w:rsidRPr="00965322">
        <w:rPr>
          <w:rFonts w:ascii="Times New Roman" w:eastAsia="Bookman Old Style" w:hAnsi="Times New Roman"/>
          <w:lang w:bidi="en-US"/>
        </w:rPr>
        <w:tab/>
        <w:t>O item B7B estabelece um teste opcional (teste de concentração) para permitir avaliação simplificada sobre se o conjunto de atividades e ativos adquiridos não é um negócio. A entidade pode optar por aplicar ou não aplicar o teste. A entidade pode fazer tal escolha separadamente para cada transação ou outro evento. O teste de concentração tem as seguintes consequências:</w:t>
      </w:r>
    </w:p>
    <w:p w:rsidR="00965322" w:rsidRPr="00965322" w:rsidRDefault="00965322" w:rsidP="00965322">
      <w:pPr>
        <w:ind w:left="993" w:hanging="426"/>
        <w:jc w:val="both"/>
        <w:rPr>
          <w:rFonts w:ascii="Times New Roman" w:eastAsia="Bookman Old Style" w:hAnsi="Times New Roman"/>
          <w:lang w:bidi="en-US"/>
        </w:rPr>
      </w:pPr>
      <w:r w:rsidRPr="00965322">
        <w:rPr>
          <w:rFonts w:ascii="Times New Roman" w:eastAsia="Bookman Old Style" w:hAnsi="Times New Roman"/>
          <w:lang w:bidi="en-US"/>
        </w:rPr>
        <w:t xml:space="preserve">(a) </w:t>
      </w:r>
      <w:r w:rsidRPr="00965322">
        <w:rPr>
          <w:rFonts w:ascii="Times New Roman" w:eastAsia="Bookman Old Style" w:hAnsi="Times New Roman"/>
          <w:lang w:bidi="en-US"/>
        </w:rPr>
        <w:tab/>
        <w:t>se o teste de concentração for atendido, o conjunto de atividades e ativos é determinado como não sendo um negócio e nenhuma avaliação adicional é necessária;</w:t>
      </w:r>
    </w:p>
    <w:p w:rsidR="00965322" w:rsidRPr="00965322" w:rsidRDefault="00965322" w:rsidP="00965322">
      <w:pPr>
        <w:ind w:left="993" w:hanging="426"/>
        <w:jc w:val="both"/>
        <w:rPr>
          <w:rFonts w:ascii="Times New Roman" w:eastAsia="Bookman Old Style" w:hAnsi="Times New Roman"/>
          <w:lang w:bidi="en-US"/>
        </w:rPr>
      </w:pPr>
      <w:r w:rsidRPr="00965322">
        <w:rPr>
          <w:rFonts w:ascii="Times New Roman" w:eastAsia="Bookman Old Style" w:hAnsi="Times New Roman"/>
          <w:lang w:bidi="en-US"/>
        </w:rPr>
        <w:t xml:space="preserve">(b) </w:t>
      </w:r>
      <w:r w:rsidRPr="00965322">
        <w:rPr>
          <w:rFonts w:ascii="Times New Roman" w:eastAsia="Bookman Old Style" w:hAnsi="Times New Roman"/>
          <w:lang w:bidi="en-US"/>
        </w:rPr>
        <w:tab/>
        <w:t>se o teste de concentração não for atendido, ou se a entidade optar por não aplicar o teste, a entidade deve então realizar a avaliação prevista nos itens de B8 a B12D.</w:t>
      </w:r>
    </w:p>
    <w:p w:rsidR="00965322" w:rsidRPr="00965322" w:rsidRDefault="00965322" w:rsidP="00965322">
      <w:pPr>
        <w:ind w:right="-1"/>
        <w:jc w:val="both"/>
        <w:rPr>
          <w:rFonts w:ascii="Times New Roman" w:hAnsi="Times New Roman"/>
        </w:rPr>
      </w:pPr>
    </w:p>
    <w:p w:rsidR="00965322" w:rsidRPr="00965322" w:rsidRDefault="00965322" w:rsidP="00965322">
      <w:pPr>
        <w:ind w:left="567" w:hanging="567"/>
        <w:jc w:val="both"/>
        <w:rPr>
          <w:rFonts w:ascii="Times New Roman" w:eastAsia="Bookman Old Style" w:hAnsi="Times New Roman"/>
          <w:color w:val="231F20"/>
          <w:lang w:bidi="en-US"/>
        </w:rPr>
      </w:pPr>
      <w:r w:rsidRPr="00965322">
        <w:rPr>
          <w:rFonts w:ascii="Times New Roman" w:eastAsia="Bookman Old Style" w:hAnsi="Times New Roman"/>
          <w:color w:val="231F20"/>
          <w:lang w:bidi="en-US"/>
        </w:rPr>
        <w:t xml:space="preserve">B7B. </w:t>
      </w:r>
      <w:r w:rsidRPr="00965322">
        <w:rPr>
          <w:rFonts w:ascii="Times New Roman" w:eastAsia="Bookman Old Style" w:hAnsi="Times New Roman"/>
          <w:color w:val="231F20"/>
          <w:lang w:bidi="en-US"/>
        </w:rPr>
        <w:tab/>
        <w:t>O teste de concentração é atendido se, substancialmente, todo o valor justo dos ativos brutos adquiridos estiver concentrado em um único ativo identificável ou grupo de ativos identificáveis similares. Para o teste de concentração:</w:t>
      </w:r>
    </w:p>
    <w:p w:rsidR="00965322" w:rsidRPr="00965322" w:rsidRDefault="00965322" w:rsidP="00965322">
      <w:pPr>
        <w:ind w:left="993" w:hanging="426"/>
        <w:jc w:val="both"/>
        <w:rPr>
          <w:rFonts w:ascii="Times New Roman" w:eastAsia="Bookman Old Style" w:hAnsi="Times New Roman"/>
          <w:color w:val="231F20"/>
          <w:lang w:bidi="en-US"/>
        </w:rPr>
      </w:pPr>
      <w:r w:rsidRPr="00965322">
        <w:rPr>
          <w:rFonts w:ascii="Times New Roman" w:eastAsia="Bookman Old Style" w:hAnsi="Times New Roman"/>
          <w:color w:val="231F20"/>
          <w:lang w:bidi="en-US"/>
        </w:rPr>
        <w:t xml:space="preserve">(a) </w:t>
      </w:r>
      <w:r w:rsidRPr="00965322">
        <w:rPr>
          <w:rFonts w:ascii="Times New Roman" w:eastAsia="Bookman Old Style" w:hAnsi="Times New Roman"/>
          <w:color w:val="231F20"/>
          <w:lang w:bidi="en-US"/>
        </w:rPr>
        <w:tab/>
        <w:t>os ativos brutos adquiridos devem excluir caixa e equivalentes de caixa, ativos fiscais diferidos e ágio resultante dos efeitos de passivos fiscais diferidos;</w:t>
      </w:r>
    </w:p>
    <w:p w:rsidR="00965322" w:rsidRPr="00965322" w:rsidRDefault="00965322" w:rsidP="00965322">
      <w:pPr>
        <w:ind w:left="993" w:hanging="426"/>
        <w:jc w:val="both"/>
        <w:rPr>
          <w:rFonts w:ascii="Times New Roman" w:eastAsia="Bookman Old Style" w:hAnsi="Times New Roman"/>
          <w:color w:val="231F20"/>
          <w:lang w:bidi="en-US"/>
        </w:rPr>
      </w:pPr>
      <w:r w:rsidRPr="00965322">
        <w:rPr>
          <w:rFonts w:ascii="Times New Roman" w:eastAsia="Bookman Old Style" w:hAnsi="Times New Roman"/>
          <w:color w:val="231F20"/>
          <w:lang w:bidi="en-US"/>
        </w:rPr>
        <w:t xml:space="preserve">(b) </w:t>
      </w:r>
      <w:r w:rsidRPr="00965322">
        <w:rPr>
          <w:rFonts w:ascii="Times New Roman" w:eastAsia="Bookman Old Style" w:hAnsi="Times New Roman"/>
          <w:color w:val="231F20"/>
          <w:lang w:bidi="en-US"/>
        </w:rPr>
        <w:tab/>
        <w:t xml:space="preserve">o valor justo dos ativos brutos adquiridos deve incluir qualquer contraprestação transferida (acrescido do valor justo de qualquer participação de não </w:t>
      </w:r>
      <w:proofErr w:type="gramStart"/>
      <w:r w:rsidRPr="00965322">
        <w:rPr>
          <w:rFonts w:ascii="Times New Roman" w:eastAsia="Bookman Old Style" w:hAnsi="Times New Roman"/>
          <w:color w:val="231F20"/>
          <w:lang w:bidi="en-US"/>
        </w:rPr>
        <w:t>controladores  e</w:t>
      </w:r>
      <w:proofErr w:type="gramEnd"/>
      <w:r w:rsidRPr="00965322">
        <w:rPr>
          <w:rFonts w:ascii="Times New Roman" w:eastAsia="Bookman Old Style" w:hAnsi="Times New Roman"/>
          <w:color w:val="231F20"/>
          <w:lang w:bidi="en-US"/>
        </w:rPr>
        <w:t xml:space="preserve"> do valor justo de qualquer participação anteriormente detida) em excesso do valor justo dos ativos líquidos identificáveis ​​adquiridos. O valor justo dos ativos brutos adquiridos pode normalmente ser determinado como o total obtido pela soma do valor justo da contraprestação transferida (acrescido do valor justo de qualquer participação de não controladores e do valor justo de qualquer participação anteriormente detida) ao valor justo de passivos assumidos (exceto passivos de impostos diferidos), excluindo os itens identificados na alínea (a). No entanto, se o valor justo dos ativos brutos adquiridos for maior que o total, cálculo mais preciso pode, às vezes, ser necessário;</w:t>
      </w:r>
    </w:p>
    <w:p w:rsidR="00965322" w:rsidRPr="00965322" w:rsidRDefault="00965322" w:rsidP="00965322">
      <w:pPr>
        <w:ind w:left="993" w:hanging="426"/>
        <w:jc w:val="both"/>
        <w:rPr>
          <w:rFonts w:ascii="Times New Roman" w:eastAsia="Bookman Old Style" w:hAnsi="Times New Roman"/>
          <w:color w:val="231F20"/>
          <w:lang w:bidi="en-US"/>
        </w:rPr>
      </w:pPr>
      <w:r w:rsidRPr="00965322">
        <w:rPr>
          <w:rFonts w:ascii="Times New Roman" w:eastAsia="Bookman Old Style" w:hAnsi="Times New Roman"/>
          <w:color w:val="231F20"/>
          <w:lang w:bidi="en-US"/>
        </w:rPr>
        <w:t xml:space="preserve">(c) </w:t>
      </w:r>
      <w:r w:rsidRPr="00965322">
        <w:rPr>
          <w:rFonts w:ascii="Times New Roman" w:eastAsia="Bookman Old Style" w:hAnsi="Times New Roman"/>
          <w:color w:val="231F20"/>
          <w:lang w:bidi="en-US"/>
        </w:rPr>
        <w:tab/>
        <w:t>um único ativo identificável deve incluir qualquer ativo ou grupo de ativos que seriam reconhecidos e mensurados como um único ativo identificável na combinação de negócios;</w:t>
      </w:r>
    </w:p>
    <w:p w:rsidR="00965322" w:rsidRPr="00965322" w:rsidRDefault="00965322" w:rsidP="00965322">
      <w:pPr>
        <w:ind w:left="993" w:hanging="426"/>
        <w:jc w:val="both"/>
        <w:rPr>
          <w:rFonts w:ascii="Times New Roman" w:eastAsia="Bookman Old Style" w:hAnsi="Times New Roman"/>
          <w:color w:val="231F20"/>
          <w:lang w:bidi="en-US"/>
        </w:rPr>
      </w:pPr>
      <w:r w:rsidRPr="00965322">
        <w:rPr>
          <w:rFonts w:ascii="Times New Roman" w:eastAsia="Bookman Old Style" w:hAnsi="Times New Roman"/>
          <w:color w:val="231F20"/>
          <w:lang w:bidi="en-US"/>
        </w:rPr>
        <w:t xml:space="preserve">(d) </w:t>
      </w:r>
      <w:r w:rsidRPr="00965322">
        <w:rPr>
          <w:rFonts w:ascii="Times New Roman" w:eastAsia="Bookman Old Style" w:hAnsi="Times New Roman"/>
          <w:color w:val="231F20"/>
          <w:lang w:bidi="en-US"/>
        </w:rPr>
        <w:tab/>
        <w:t>se o ativo tangível for anexado e não puder ser fisicamente removido e usado separadamente de outro ativo tangível (ou de ativo subjacente sujeito a arrendamento, conforme definido no CPC 06 – Arrendamentos), sem incorrer em custos significativos ou significativa diminuição na utilidade ou valor justo dos referidos ativos (por exemplo, terrenos e edifícios), esses ativos devem ser considerados um único ativo identificável;</w:t>
      </w:r>
    </w:p>
    <w:p w:rsidR="00965322" w:rsidRPr="00965322" w:rsidRDefault="00965322" w:rsidP="00965322">
      <w:pPr>
        <w:ind w:left="993" w:hanging="426"/>
        <w:jc w:val="both"/>
        <w:rPr>
          <w:rFonts w:ascii="Times New Roman" w:eastAsia="Bookman Old Style" w:hAnsi="Times New Roman"/>
          <w:color w:val="231F20"/>
          <w:lang w:bidi="en-US"/>
        </w:rPr>
      </w:pPr>
      <w:r w:rsidRPr="00965322">
        <w:rPr>
          <w:rFonts w:ascii="Times New Roman" w:eastAsia="Bookman Old Style" w:hAnsi="Times New Roman"/>
          <w:color w:val="231F20"/>
          <w:lang w:bidi="en-US"/>
        </w:rPr>
        <w:t xml:space="preserve">(e) </w:t>
      </w:r>
      <w:r w:rsidRPr="00965322">
        <w:rPr>
          <w:rFonts w:ascii="Times New Roman" w:eastAsia="Bookman Old Style" w:hAnsi="Times New Roman"/>
          <w:color w:val="231F20"/>
          <w:lang w:bidi="en-US"/>
        </w:rPr>
        <w:tab/>
        <w:t xml:space="preserve">ao avaliar se os ativos são semelhantes, a entidade deve considerar a natureza de cada ativo individual identificável e os riscos associados à gestão e à criação de </w:t>
      </w:r>
      <w:r w:rsidRPr="00965322">
        <w:rPr>
          <w:rFonts w:ascii="Times New Roman" w:eastAsia="Bookman Old Style" w:hAnsi="Times New Roman"/>
          <w:i/>
          <w:color w:val="231F20"/>
          <w:lang w:bidi="en-US"/>
        </w:rPr>
        <w:t>outputs</w:t>
      </w:r>
      <w:r w:rsidRPr="00965322">
        <w:rPr>
          <w:rFonts w:ascii="Times New Roman" w:eastAsia="Bookman Old Style" w:hAnsi="Times New Roman"/>
          <w:color w:val="231F20"/>
          <w:lang w:bidi="en-US"/>
        </w:rPr>
        <w:t xml:space="preserve"> pelos ativos (isto é, às características de risco);</w:t>
      </w:r>
    </w:p>
    <w:p w:rsidR="00965322" w:rsidRPr="00965322" w:rsidRDefault="00965322" w:rsidP="00965322">
      <w:pPr>
        <w:ind w:left="993" w:hanging="426"/>
        <w:jc w:val="both"/>
        <w:rPr>
          <w:rFonts w:ascii="Times New Roman" w:eastAsia="Bookman Old Style" w:hAnsi="Times New Roman"/>
          <w:color w:val="231F20"/>
          <w:lang w:bidi="en-US"/>
        </w:rPr>
      </w:pPr>
      <w:r w:rsidRPr="00965322">
        <w:rPr>
          <w:rFonts w:ascii="Times New Roman" w:eastAsia="Bookman Old Style" w:hAnsi="Times New Roman"/>
          <w:color w:val="231F20"/>
          <w:lang w:bidi="en-US"/>
        </w:rPr>
        <w:t xml:space="preserve">(f) </w:t>
      </w:r>
      <w:r w:rsidRPr="00965322">
        <w:rPr>
          <w:rFonts w:ascii="Times New Roman" w:eastAsia="Bookman Old Style" w:hAnsi="Times New Roman"/>
          <w:color w:val="231F20"/>
          <w:lang w:bidi="en-US"/>
        </w:rPr>
        <w:tab/>
        <w:t>os seguintes itens não devem ser considerados ativos similares:</w:t>
      </w:r>
    </w:p>
    <w:p w:rsidR="00965322" w:rsidRPr="00965322" w:rsidRDefault="00965322" w:rsidP="00965322">
      <w:pPr>
        <w:ind w:left="1418" w:hanging="425"/>
        <w:jc w:val="both"/>
        <w:rPr>
          <w:rFonts w:ascii="Times New Roman" w:eastAsia="Bookman Old Style" w:hAnsi="Times New Roman"/>
          <w:color w:val="231F20"/>
          <w:lang w:bidi="en-US"/>
        </w:rPr>
      </w:pPr>
      <w:r w:rsidRPr="00965322">
        <w:rPr>
          <w:rFonts w:ascii="Times New Roman" w:eastAsia="Bookman Old Style" w:hAnsi="Times New Roman"/>
          <w:color w:val="231F20"/>
          <w:lang w:bidi="en-US"/>
        </w:rPr>
        <w:t xml:space="preserve">(i) </w:t>
      </w:r>
      <w:r w:rsidRPr="00965322">
        <w:rPr>
          <w:rFonts w:ascii="Times New Roman" w:eastAsia="Bookman Old Style" w:hAnsi="Times New Roman"/>
          <w:color w:val="231F20"/>
          <w:lang w:bidi="en-US"/>
        </w:rPr>
        <w:tab/>
        <w:t>ativo tangível e ativo intangível;</w:t>
      </w:r>
    </w:p>
    <w:p w:rsidR="00965322" w:rsidRPr="00965322" w:rsidRDefault="00965322" w:rsidP="00965322">
      <w:pPr>
        <w:ind w:left="1418" w:hanging="425"/>
        <w:jc w:val="both"/>
        <w:rPr>
          <w:rFonts w:ascii="Times New Roman" w:eastAsia="Bookman Old Style" w:hAnsi="Times New Roman"/>
          <w:color w:val="231F20"/>
          <w:lang w:bidi="en-US"/>
        </w:rPr>
      </w:pPr>
      <w:r w:rsidRPr="00965322">
        <w:rPr>
          <w:rFonts w:ascii="Times New Roman" w:eastAsia="Bookman Old Style" w:hAnsi="Times New Roman"/>
          <w:color w:val="231F20"/>
          <w:lang w:bidi="en-US"/>
        </w:rPr>
        <w:t>(</w:t>
      </w:r>
      <w:proofErr w:type="spellStart"/>
      <w:r w:rsidRPr="00965322">
        <w:rPr>
          <w:rFonts w:ascii="Times New Roman" w:eastAsia="Bookman Old Style" w:hAnsi="Times New Roman"/>
          <w:color w:val="231F20"/>
          <w:lang w:bidi="en-US"/>
        </w:rPr>
        <w:t>ii</w:t>
      </w:r>
      <w:proofErr w:type="spellEnd"/>
      <w:r w:rsidRPr="00965322">
        <w:rPr>
          <w:rFonts w:ascii="Times New Roman" w:eastAsia="Bookman Old Style" w:hAnsi="Times New Roman"/>
          <w:color w:val="231F20"/>
          <w:lang w:bidi="en-US"/>
        </w:rPr>
        <w:t xml:space="preserve">) </w:t>
      </w:r>
      <w:r w:rsidRPr="00965322">
        <w:rPr>
          <w:rFonts w:ascii="Times New Roman" w:eastAsia="Bookman Old Style" w:hAnsi="Times New Roman"/>
          <w:color w:val="231F20"/>
          <w:lang w:bidi="en-US"/>
        </w:rPr>
        <w:tab/>
        <w:t>ativos tangíveis em diferentes classes (por exemplo, estoque, equipamentos de fabricação e automóveis), a menos que sejam considerados um único ativo identificável de acordo com o critério da alínea (d);</w:t>
      </w:r>
    </w:p>
    <w:p w:rsidR="00965322" w:rsidRPr="00965322" w:rsidRDefault="00965322" w:rsidP="00965322">
      <w:pPr>
        <w:ind w:left="1418" w:hanging="425"/>
        <w:jc w:val="both"/>
        <w:rPr>
          <w:rFonts w:ascii="Times New Roman" w:eastAsia="Bookman Old Style" w:hAnsi="Times New Roman"/>
          <w:color w:val="231F20"/>
          <w:lang w:bidi="en-US"/>
        </w:rPr>
      </w:pPr>
      <w:r w:rsidRPr="00965322">
        <w:rPr>
          <w:rFonts w:ascii="Times New Roman" w:eastAsia="Bookman Old Style" w:hAnsi="Times New Roman"/>
          <w:color w:val="231F20"/>
          <w:lang w:bidi="en-US"/>
        </w:rPr>
        <w:t>(</w:t>
      </w:r>
      <w:proofErr w:type="spellStart"/>
      <w:r w:rsidRPr="00965322">
        <w:rPr>
          <w:rFonts w:ascii="Times New Roman" w:eastAsia="Bookman Old Style" w:hAnsi="Times New Roman"/>
          <w:color w:val="231F20"/>
          <w:lang w:bidi="en-US"/>
        </w:rPr>
        <w:t>iii</w:t>
      </w:r>
      <w:proofErr w:type="spellEnd"/>
      <w:r w:rsidRPr="00965322">
        <w:rPr>
          <w:rFonts w:ascii="Times New Roman" w:eastAsia="Bookman Old Style" w:hAnsi="Times New Roman"/>
          <w:color w:val="231F20"/>
          <w:lang w:bidi="en-US"/>
        </w:rPr>
        <w:t>) ativos intangíveis identificáveis em diferentes classes (por exemplo, nomes de marcas, licenças e ativos intangíveis em desenvolvimento);</w:t>
      </w:r>
    </w:p>
    <w:p w:rsidR="00965322" w:rsidRPr="00965322" w:rsidRDefault="00965322" w:rsidP="00965322">
      <w:pPr>
        <w:ind w:left="1418" w:hanging="425"/>
        <w:jc w:val="both"/>
        <w:rPr>
          <w:rFonts w:ascii="Times New Roman" w:eastAsia="Bookman Old Style" w:hAnsi="Times New Roman"/>
          <w:color w:val="231F20"/>
          <w:lang w:bidi="en-US"/>
        </w:rPr>
      </w:pPr>
      <w:r w:rsidRPr="00965322">
        <w:rPr>
          <w:rFonts w:ascii="Times New Roman" w:eastAsia="Bookman Old Style" w:hAnsi="Times New Roman"/>
          <w:color w:val="231F20"/>
          <w:lang w:bidi="en-US"/>
        </w:rPr>
        <w:t>(</w:t>
      </w:r>
      <w:proofErr w:type="spellStart"/>
      <w:r w:rsidRPr="00965322">
        <w:rPr>
          <w:rFonts w:ascii="Times New Roman" w:eastAsia="Bookman Old Style" w:hAnsi="Times New Roman"/>
          <w:color w:val="231F20"/>
          <w:lang w:bidi="en-US"/>
        </w:rPr>
        <w:t>iv</w:t>
      </w:r>
      <w:proofErr w:type="spellEnd"/>
      <w:r w:rsidRPr="00965322">
        <w:rPr>
          <w:rFonts w:ascii="Times New Roman" w:eastAsia="Bookman Old Style" w:hAnsi="Times New Roman"/>
          <w:color w:val="231F20"/>
          <w:lang w:bidi="en-US"/>
        </w:rPr>
        <w:t xml:space="preserve">) </w:t>
      </w:r>
      <w:r w:rsidRPr="00965322">
        <w:rPr>
          <w:rFonts w:ascii="Times New Roman" w:eastAsia="Bookman Old Style" w:hAnsi="Times New Roman"/>
          <w:color w:val="231F20"/>
          <w:lang w:bidi="en-US"/>
        </w:rPr>
        <w:tab/>
        <w:t>ativo financeiro e ativo não financeiro;</w:t>
      </w:r>
    </w:p>
    <w:p w:rsidR="00965322" w:rsidRPr="00965322" w:rsidRDefault="00965322" w:rsidP="00965322">
      <w:pPr>
        <w:ind w:left="1418" w:hanging="425"/>
        <w:jc w:val="both"/>
        <w:rPr>
          <w:rFonts w:ascii="Times New Roman" w:eastAsia="Bookman Old Style" w:hAnsi="Times New Roman"/>
          <w:color w:val="231F20"/>
          <w:lang w:bidi="en-US"/>
        </w:rPr>
      </w:pPr>
      <w:r w:rsidRPr="00965322">
        <w:rPr>
          <w:rFonts w:ascii="Times New Roman" w:eastAsia="Bookman Old Style" w:hAnsi="Times New Roman"/>
          <w:color w:val="231F20"/>
          <w:lang w:bidi="en-US"/>
        </w:rPr>
        <w:t>(v) ativos financeiros em diferentes classes (por exemplo, contas a receber e investimentos em instrumentos patrimoniais); e</w:t>
      </w:r>
    </w:p>
    <w:p w:rsidR="00965322" w:rsidRPr="00965322" w:rsidRDefault="00965322" w:rsidP="00965322">
      <w:pPr>
        <w:ind w:left="1418" w:hanging="425"/>
        <w:jc w:val="both"/>
        <w:rPr>
          <w:rFonts w:ascii="Times New Roman" w:eastAsia="Bookman Old Style" w:hAnsi="Times New Roman"/>
          <w:color w:val="231F20"/>
          <w:lang w:bidi="en-US"/>
        </w:rPr>
      </w:pPr>
      <w:r w:rsidRPr="00965322">
        <w:rPr>
          <w:rFonts w:ascii="Times New Roman" w:eastAsia="Bookman Old Style" w:hAnsi="Times New Roman"/>
          <w:color w:val="231F20"/>
          <w:lang w:bidi="en-US"/>
        </w:rPr>
        <w:t xml:space="preserve">(vi) ativos identificáveis que estão dentro da mesma classe de ativo, mas possuem características </w:t>
      </w:r>
      <w:r w:rsidRPr="00965322">
        <w:rPr>
          <w:rFonts w:ascii="Times New Roman" w:eastAsia="Bookman Old Style" w:hAnsi="Times New Roman"/>
          <w:color w:val="231F20"/>
          <w:lang w:bidi="en-US"/>
        </w:rPr>
        <w:lastRenderedPageBreak/>
        <w:t>de risco significativamente diferentes.</w:t>
      </w:r>
    </w:p>
    <w:p w:rsidR="001514D1" w:rsidRPr="00965322" w:rsidRDefault="001514D1" w:rsidP="00965322">
      <w:pPr>
        <w:ind w:right="-1"/>
        <w:jc w:val="both"/>
        <w:rPr>
          <w:rFonts w:ascii="Times New Roman" w:hAnsi="Times New Roman"/>
        </w:rPr>
      </w:pPr>
    </w:p>
    <w:p w:rsidR="00965322" w:rsidRPr="00965322" w:rsidRDefault="00965322" w:rsidP="00965322">
      <w:pPr>
        <w:ind w:left="567" w:right="-1" w:hanging="567"/>
        <w:jc w:val="both"/>
        <w:rPr>
          <w:rFonts w:ascii="Times New Roman" w:hAnsi="Times New Roman"/>
        </w:rPr>
      </w:pPr>
      <w:r w:rsidRPr="00965322">
        <w:rPr>
          <w:rFonts w:ascii="Times New Roman" w:eastAsia="Bookman Old Style" w:hAnsi="Times New Roman"/>
          <w:lang w:bidi="en-US"/>
        </w:rPr>
        <w:t xml:space="preserve">B7C. </w:t>
      </w:r>
      <w:r w:rsidRPr="00965322">
        <w:rPr>
          <w:rFonts w:ascii="Times New Roman" w:eastAsia="Bookman Old Style" w:hAnsi="Times New Roman"/>
          <w:lang w:bidi="en-US"/>
        </w:rPr>
        <w:tab/>
        <w:t>Os requisitos do item B7B não modificam a orientação sobre ativos similares no CPC 04 – Ativo Intangível, nem modificam o significado do termo "classe" no CPC 27 – Ativo Imobilizado, no CPC 04 e no CPC 40 – Instrumentos Financeiros: Evidenciação.</w:t>
      </w:r>
    </w:p>
    <w:p w:rsidR="00965322" w:rsidRPr="00965322" w:rsidRDefault="00965322" w:rsidP="00965322">
      <w:pPr>
        <w:ind w:right="-1"/>
        <w:jc w:val="both"/>
        <w:rPr>
          <w:rFonts w:ascii="Times New Roman" w:hAnsi="Times New Roman"/>
        </w:rPr>
      </w:pPr>
    </w:p>
    <w:p w:rsidR="00965322" w:rsidRPr="00965322" w:rsidRDefault="00965322" w:rsidP="00965322">
      <w:pPr>
        <w:ind w:right="-1"/>
        <w:jc w:val="both"/>
        <w:rPr>
          <w:rFonts w:ascii="Times New Roman" w:hAnsi="Times New Roman"/>
        </w:rPr>
      </w:pPr>
      <w:r w:rsidRPr="00965322">
        <w:rPr>
          <w:rFonts w:ascii="Times New Roman" w:hAnsi="Times New Roman"/>
          <w:b/>
        </w:rPr>
        <w:t>Elementos de negócio</w:t>
      </w:r>
    </w:p>
    <w:p w:rsidR="00965322" w:rsidRPr="00965322" w:rsidRDefault="00965322" w:rsidP="00965322">
      <w:pPr>
        <w:ind w:right="-1"/>
        <w:jc w:val="both"/>
        <w:rPr>
          <w:rFonts w:ascii="Times New Roman" w:hAnsi="Times New Roman"/>
        </w:rPr>
      </w:pPr>
    </w:p>
    <w:p w:rsidR="00965322" w:rsidRPr="00965322" w:rsidRDefault="00965322" w:rsidP="00965322">
      <w:pPr>
        <w:ind w:left="567" w:right="-1" w:hanging="567"/>
        <w:jc w:val="both"/>
        <w:rPr>
          <w:rFonts w:ascii="Times New Roman" w:hAnsi="Times New Roman"/>
        </w:rPr>
      </w:pPr>
      <w:r w:rsidRPr="00965322">
        <w:rPr>
          <w:rFonts w:ascii="Times New Roman" w:hAnsi="Times New Roman"/>
        </w:rPr>
        <w:t>B8.</w:t>
      </w:r>
      <w:r w:rsidRPr="00965322">
        <w:rPr>
          <w:rFonts w:ascii="Times New Roman" w:hAnsi="Times New Roman"/>
        </w:rPr>
        <w:tab/>
        <w:t xml:space="preserve">Embora um negócio geralmente tenha </w:t>
      </w:r>
      <w:r w:rsidRPr="00965322">
        <w:rPr>
          <w:rFonts w:ascii="Times New Roman" w:hAnsi="Times New Roman"/>
          <w:i/>
        </w:rPr>
        <w:t>outputs</w:t>
      </w:r>
      <w:r w:rsidRPr="00965322">
        <w:rPr>
          <w:rFonts w:ascii="Times New Roman" w:hAnsi="Times New Roman"/>
        </w:rPr>
        <w:t xml:space="preserve">, </w:t>
      </w:r>
      <w:r w:rsidRPr="00965322">
        <w:rPr>
          <w:rFonts w:ascii="Times New Roman" w:hAnsi="Times New Roman"/>
          <w:i/>
        </w:rPr>
        <w:t>outputs</w:t>
      </w:r>
      <w:r w:rsidRPr="00965322">
        <w:rPr>
          <w:rFonts w:ascii="Times New Roman" w:hAnsi="Times New Roman"/>
        </w:rPr>
        <w:t xml:space="preserve"> não são necessários para que o conjunto integrado de atividades e ativos se qualifique como negócio. Para ser capaz de ser conduzido e gerenciado para o objetivo identificado na definição de negócio, o conjunto integrado de atividades e ativos precisa ter dois elementos essenciais – os </w:t>
      </w:r>
      <w:r w:rsidRPr="00965322">
        <w:rPr>
          <w:rFonts w:ascii="Times New Roman" w:hAnsi="Times New Roman"/>
          <w:i/>
        </w:rPr>
        <w:t>inputs</w:t>
      </w:r>
      <w:r w:rsidRPr="00965322">
        <w:rPr>
          <w:rFonts w:ascii="Times New Roman" w:hAnsi="Times New Roman"/>
        </w:rPr>
        <w:t xml:space="preserve"> e os processos a serem aplicados sobre os </w:t>
      </w:r>
      <w:r w:rsidRPr="00965322">
        <w:rPr>
          <w:rFonts w:ascii="Times New Roman" w:hAnsi="Times New Roman"/>
          <w:i/>
        </w:rPr>
        <w:t>inputs</w:t>
      </w:r>
      <w:r w:rsidRPr="00965322">
        <w:rPr>
          <w:rFonts w:ascii="Times New Roman" w:hAnsi="Times New Roman"/>
        </w:rPr>
        <w:t xml:space="preserve">. O negócio não precisa incluir todos os </w:t>
      </w:r>
      <w:r w:rsidRPr="00965322">
        <w:rPr>
          <w:rFonts w:ascii="Times New Roman" w:hAnsi="Times New Roman"/>
          <w:i/>
        </w:rPr>
        <w:t>inputs</w:t>
      </w:r>
      <w:r w:rsidRPr="00965322">
        <w:rPr>
          <w:rFonts w:ascii="Times New Roman" w:hAnsi="Times New Roman"/>
        </w:rPr>
        <w:t xml:space="preserve"> e os processos que o vendedor utilizava na operacionalização daquele negócio. Entretanto, para ser considerado um negócio, o conjunto integrado de atividades e ativos deve incluir, no mínimo, o </w:t>
      </w:r>
      <w:r w:rsidRPr="00965322">
        <w:rPr>
          <w:rFonts w:ascii="Times New Roman" w:hAnsi="Times New Roman"/>
          <w:i/>
        </w:rPr>
        <w:t>input</w:t>
      </w:r>
      <w:r w:rsidRPr="00965322">
        <w:rPr>
          <w:rFonts w:ascii="Times New Roman" w:hAnsi="Times New Roman"/>
        </w:rPr>
        <w:t xml:space="preserve"> e o processo substantivo que juntos contribuam, significativamente, para a capacidade de gerar </w:t>
      </w:r>
      <w:r w:rsidRPr="00965322">
        <w:rPr>
          <w:rFonts w:ascii="Times New Roman" w:hAnsi="Times New Roman"/>
          <w:i/>
        </w:rPr>
        <w:t>output</w:t>
      </w:r>
      <w:r w:rsidRPr="00965322">
        <w:rPr>
          <w:rFonts w:ascii="Times New Roman" w:hAnsi="Times New Roman"/>
        </w:rPr>
        <w:t>. Os itens de B12 a B12D especificam como avaliar se o processo é substantivo.</w:t>
      </w:r>
    </w:p>
    <w:p w:rsidR="00965322" w:rsidRPr="00965322" w:rsidRDefault="00965322" w:rsidP="00965322">
      <w:pPr>
        <w:ind w:right="-1"/>
        <w:jc w:val="both"/>
        <w:rPr>
          <w:rFonts w:ascii="Times New Roman" w:hAnsi="Times New Roman"/>
        </w:rPr>
      </w:pPr>
    </w:p>
    <w:p w:rsidR="00965322" w:rsidRPr="00965322" w:rsidRDefault="00965322" w:rsidP="00965322">
      <w:pPr>
        <w:ind w:left="567" w:right="-1" w:hanging="567"/>
        <w:jc w:val="both"/>
        <w:rPr>
          <w:rFonts w:ascii="Times New Roman" w:hAnsi="Times New Roman"/>
        </w:rPr>
      </w:pPr>
      <w:r w:rsidRPr="00965322">
        <w:rPr>
          <w:rFonts w:ascii="Times New Roman" w:eastAsia="Bookman Old Style" w:hAnsi="Times New Roman"/>
          <w:lang w:bidi="en-US"/>
        </w:rPr>
        <w:t xml:space="preserve">B8A. </w:t>
      </w:r>
      <w:r w:rsidRPr="00965322">
        <w:rPr>
          <w:rFonts w:ascii="Times New Roman" w:eastAsia="Bookman Old Style" w:hAnsi="Times New Roman"/>
          <w:lang w:bidi="en-US"/>
        </w:rPr>
        <w:tab/>
        <w:t xml:space="preserve">Se o conjunto de atividades e ativos adquiridos tiver </w:t>
      </w:r>
      <w:r w:rsidRPr="00965322">
        <w:rPr>
          <w:rFonts w:ascii="Times New Roman" w:eastAsia="Bookman Old Style" w:hAnsi="Times New Roman"/>
          <w:i/>
          <w:lang w:bidi="en-US"/>
        </w:rPr>
        <w:t>outputs</w:t>
      </w:r>
      <w:r w:rsidRPr="00965322">
        <w:rPr>
          <w:rFonts w:ascii="Times New Roman" w:eastAsia="Bookman Old Style" w:hAnsi="Times New Roman"/>
          <w:lang w:bidi="en-US"/>
        </w:rPr>
        <w:t xml:space="preserve">, a continuação da receita não indica, por si só, que tanto o </w:t>
      </w:r>
      <w:r w:rsidRPr="00965322">
        <w:rPr>
          <w:rFonts w:ascii="Times New Roman" w:eastAsia="Bookman Old Style" w:hAnsi="Times New Roman"/>
          <w:i/>
          <w:lang w:bidi="en-US"/>
        </w:rPr>
        <w:t>input</w:t>
      </w:r>
      <w:r w:rsidRPr="00965322">
        <w:rPr>
          <w:rFonts w:ascii="Times New Roman" w:eastAsia="Bookman Old Style" w:hAnsi="Times New Roman"/>
          <w:lang w:bidi="en-US"/>
        </w:rPr>
        <w:t xml:space="preserve"> quanto o processo substantivo foram adquiridos.</w:t>
      </w:r>
    </w:p>
    <w:p w:rsidR="00965322" w:rsidRPr="00965322" w:rsidRDefault="00965322" w:rsidP="00965322">
      <w:pPr>
        <w:ind w:right="-1"/>
        <w:jc w:val="both"/>
        <w:rPr>
          <w:rFonts w:ascii="Times New Roman" w:hAnsi="Times New Roman"/>
        </w:rPr>
      </w:pPr>
    </w:p>
    <w:p w:rsidR="00965322" w:rsidRPr="00965322" w:rsidRDefault="00965322" w:rsidP="00965322">
      <w:pPr>
        <w:ind w:left="567" w:right="-1" w:hanging="567"/>
        <w:jc w:val="both"/>
        <w:rPr>
          <w:rFonts w:ascii="Times New Roman" w:hAnsi="Times New Roman"/>
        </w:rPr>
      </w:pPr>
      <w:r w:rsidRPr="00965322">
        <w:rPr>
          <w:rFonts w:ascii="Times New Roman" w:hAnsi="Times New Roman"/>
        </w:rPr>
        <w:t>B9.</w:t>
      </w:r>
      <w:r w:rsidRPr="00965322">
        <w:rPr>
          <w:rFonts w:ascii="Times New Roman" w:hAnsi="Times New Roman"/>
        </w:rPr>
        <w:tab/>
        <w:t xml:space="preserve">A natureza dos elementos do negócio varia conforme o tipo de indústria, segmento e estrutura das operações da entidade (atividades), incluindo o estágio de desenvolvimento da entidade. Negócios estabelecidos frequentemente têm diferentes tipos de </w:t>
      </w:r>
      <w:r w:rsidRPr="00965322">
        <w:rPr>
          <w:rFonts w:ascii="Times New Roman" w:hAnsi="Times New Roman"/>
          <w:i/>
        </w:rPr>
        <w:t>inputs</w:t>
      </w:r>
      <w:r w:rsidRPr="00965322">
        <w:rPr>
          <w:rFonts w:ascii="Times New Roman" w:hAnsi="Times New Roman"/>
        </w:rPr>
        <w:t xml:space="preserve">, processos e </w:t>
      </w:r>
      <w:r w:rsidRPr="00965322">
        <w:rPr>
          <w:rFonts w:ascii="Times New Roman" w:hAnsi="Times New Roman"/>
          <w:i/>
        </w:rPr>
        <w:t>outputs</w:t>
      </w:r>
      <w:r w:rsidRPr="00965322">
        <w:rPr>
          <w:rFonts w:ascii="Times New Roman" w:hAnsi="Times New Roman"/>
        </w:rPr>
        <w:t xml:space="preserve">, enquanto que novos negócios, com frequência, têm poucos </w:t>
      </w:r>
      <w:r w:rsidRPr="00965322">
        <w:rPr>
          <w:rFonts w:ascii="Times New Roman" w:hAnsi="Times New Roman"/>
          <w:i/>
        </w:rPr>
        <w:t>inputs</w:t>
      </w:r>
      <w:r w:rsidRPr="00965322">
        <w:rPr>
          <w:rFonts w:ascii="Times New Roman" w:hAnsi="Times New Roman"/>
        </w:rPr>
        <w:t xml:space="preserve"> e processos e, às vezes, somente um único </w:t>
      </w:r>
      <w:r w:rsidRPr="00965322">
        <w:rPr>
          <w:rFonts w:ascii="Times New Roman" w:hAnsi="Times New Roman"/>
          <w:i/>
        </w:rPr>
        <w:t>output</w:t>
      </w:r>
      <w:r w:rsidRPr="00965322">
        <w:rPr>
          <w:rFonts w:ascii="Times New Roman" w:hAnsi="Times New Roman"/>
        </w:rPr>
        <w:t xml:space="preserve"> (produto). Quase todos os negócios também têm passivos, mas não é necessário que um negócio contenha passivos. Além disso, o conjunto de atividades e ativos adquiridos que não seja um negócio pode ter passivos.</w:t>
      </w:r>
    </w:p>
    <w:p w:rsidR="00965322" w:rsidRPr="00965322" w:rsidRDefault="00965322" w:rsidP="00965322">
      <w:pPr>
        <w:ind w:right="-1"/>
        <w:jc w:val="both"/>
        <w:rPr>
          <w:rFonts w:ascii="Times New Roman" w:hAnsi="Times New Roman"/>
        </w:rPr>
      </w:pPr>
    </w:p>
    <w:p w:rsidR="00965322" w:rsidRPr="00965322" w:rsidRDefault="00965322" w:rsidP="00965322">
      <w:pPr>
        <w:ind w:left="567" w:right="-1" w:hanging="567"/>
        <w:jc w:val="both"/>
        <w:rPr>
          <w:rFonts w:ascii="Times New Roman" w:hAnsi="Times New Roman"/>
        </w:rPr>
      </w:pPr>
      <w:r w:rsidRPr="00965322">
        <w:rPr>
          <w:rFonts w:ascii="Times New Roman" w:hAnsi="Times New Roman"/>
        </w:rPr>
        <w:t xml:space="preserve">B10. </w:t>
      </w:r>
      <w:r w:rsidRPr="00965322">
        <w:rPr>
          <w:rFonts w:ascii="Times New Roman" w:hAnsi="Times New Roman"/>
        </w:rPr>
        <w:tab/>
        <w:t>Eliminado.</w:t>
      </w:r>
    </w:p>
    <w:p w:rsidR="00965322" w:rsidRPr="00965322" w:rsidRDefault="00965322" w:rsidP="00965322">
      <w:pPr>
        <w:ind w:right="-1"/>
        <w:jc w:val="both"/>
        <w:rPr>
          <w:rFonts w:ascii="Times New Roman" w:hAnsi="Times New Roman"/>
        </w:rPr>
      </w:pPr>
    </w:p>
    <w:p w:rsidR="00965322" w:rsidRPr="00965322" w:rsidRDefault="00965322" w:rsidP="00965322">
      <w:pPr>
        <w:ind w:right="-1"/>
        <w:jc w:val="both"/>
        <w:rPr>
          <w:rFonts w:ascii="Times New Roman" w:hAnsi="Times New Roman"/>
        </w:rPr>
      </w:pPr>
      <w:r w:rsidRPr="00965322">
        <w:rPr>
          <w:rFonts w:ascii="Times New Roman" w:hAnsi="Times New Roman"/>
          <w:b/>
        </w:rPr>
        <w:t>Avaliar se o processo adquirido é substantivo</w:t>
      </w:r>
    </w:p>
    <w:p w:rsidR="00965322" w:rsidRPr="00965322" w:rsidRDefault="00965322" w:rsidP="00965322">
      <w:pPr>
        <w:ind w:right="-1"/>
        <w:jc w:val="both"/>
        <w:rPr>
          <w:rFonts w:ascii="Times New Roman" w:hAnsi="Times New Roman"/>
        </w:rPr>
      </w:pPr>
    </w:p>
    <w:p w:rsidR="00965322" w:rsidRPr="00965322" w:rsidRDefault="00965322" w:rsidP="00965322">
      <w:pPr>
        <w:ind w:left="567" w:right="-1" w:hanging="567"/>
        <w:jc w:val="both"/>
        <w:rPr>
          <w:rFonts w:ascii="Times New Roman" w:hAnsi="Times New Roman"/>
        </w:rPr>
      </w:pPr>
      <w:r w:rsidRPr="00965322">
        <w:rPr>
          <w:rFonts w:ascii="Times New Roman" w:hAnsi="Times New Roman"/>
        </w:rPr>
        <w:t>B12.</w:t>
      </w:r>
      <w:r w:rsidRPr="00965322">
        <w:rPr>
          <w:rFonts w:ascii="Times New Roman" w:hAnsi="Times New Roman"/>
        </w:rPr>
        <w:tab/>
        <w:t xml:space="preserve">Os itens de B12A a B12D explicam como avaliar se o processo adquirido é substantivo; se o conjunto de atividades e ativos adquiridos não possui </w:t>
      </w:r>
      <w:r w:rsidRPr="00965322">
        <w:rPr>
          <w:rFonts w:ascii="Times New Roman" w:hAnsi="Times New Roman"/>
          <w:i/>
        </w:rPr>
        <w:t>outputs</w:t>
      </w:r>
      <w:r w:rsidRPr="00965322">
        <w:rPr>
          <w:rFonts w:ascii="Times New Roman" w:hAnsi="Times New Roman"/>
        </w:rPr>
        <w:t xml:space="preserve"> (item B12B); e se possui </w:t>
      </w:r>
      <w:r w:rsidRPr="00965322">
        <w:rPr>
          <w:rFonts w:ascii="Times New Roman" w:hAnsi="Times New Roman"/>
          <w:i/>
        </w:rPr>
        <w:t>outputs</w:t>
      </w:r>
      <w:r w:rsidRPr="00965322">
        <w:rPr>
          <w:rFonts w:ascii="Times New Roman" w:hAnsi="Times New Roman"/>
        </w:rPr>
        <w:t xml:space="preserve"> (item B12C).</w:t>
      </w:r>
    </w:p>
    <w:p w:rsidR="00965322" w:rsidRPr="00965322" w:rsidRDefault="00965322" w:rsidP="00965322">
      <w:pPr>
        <w:ind w:right="-1"/>
        <w:jc w:val="both"/>
        <w:rPr>
          <w:rFonts w:ascii="Times New Roman" w:hAnsi="Times New Roman"/>
        </w:rPr>
      </w:pPr>
    </w:p>
    <w:p w:rsidR="00965322" w:rsidRPr="00965322" w:rsidRDefault="00965322" w:rsidP="00965322">
      <w:pPr>
        <w:ind w:left="567" w:right="-1" w:hanging="567"/>
        <w:jc w:val="both"/>
        <w:rPr>
          <w:rFonts w:ascii="Times New Roman" w:hAnsi="Times New Roman"/>
        </w:rPr>
      </w:pPr>
      <w:r w:rsidRPr="00965322">
        <w:rPr>
          <w:rFonts w:ascii="Times New Roman" w:eastAsia="Bookman Old Style" w:hAnsi="Times New Roman"/>
          <w:lang w:bidi="en-US"/>
        </w:rPr>
        <w:t xml:space="preserve">B12A. Um exemplo de conjunto de atividades e ativos adquiridos que não possui </w:t>
      </w:r>
      <w:r w:rsidRPr="00965322">
        <w:rPr>
          <w:rFonts w:ascii="Times New Roman" w:eastAsia="Bookman Old Style" w:hAnsi="Times New Roman"/>
          <w:i/>
          <w:lang w:bidi="en-US"/>
        </w:rPr>
        <w:t>outputs</w:t>
      </w:r>
      <w:r w:rsidRPr="00965322">
        <w:rPr>
          <w:rFonts w:ascii="Times New Roman" w:eastAsia="Bookman Old Style" w:hAnsi="Times New Roman"/>
          <w:lang w:bidi="en-US"/>
        </w:rPr>
        <w:t xml:space="preserve"> na data de aquisição é uma entidade em estágio inicial que não começou a gerar receita. Além disso, se o conjunto de atividades e ativos adquiridos estava gerando receita na data de aquisição, considera-se que possui </w:t>
      </w:r>
      <w:r w:rsidRPr="00965322">
        <w:rPr>
          <w:rFonts w:ascii="Times New Roman" w:eastAsia="Bookman Old Style" w:hAnsi="Times New Roman"/>
          <w:i/>
          <w:lang w:bidi="en-US"/>
        </w:rPr>
        <w:t>outputs</w:t>
      </w:r>
      <w:r w:rsidRPr="00965322">
        <w:rPr>
          <w:rFonts w:ascii="Times New Roman" w:eastAsia="Bookman Old Style" w:hAnsi="Times New Roman"/>
          <w:lang w:bidi="en-US"/>
        </w:rPr>
        <w:t xml:space="preserve"> nessa data, mesmo que subsequentemente deixe de gerar receita de clientes externos, por exemplo, porque será integrado pela entidade adquirente.</w:t>
      </w:r>
    </w:p>
    <w:p w:rsidR="00965322" w:rsidRPr="00965322" w:rsidRDefault="00965322" w:rsidP="00965322">
      <w:pPr>
        <w:ind w:right="-1"/>
        <w:jc w:val="both"/>
        <w:rPr>
          <w:rFonts w:ascii="Times New Roman" w:hAnsi="Times New Roman"/>
        </w:rPr>
      </w:pPr>
    </w:p>
    <w:p w:rsidR="00965322" w:rsidRPr="00965322" w:rsidRDefault="00965322" w:rsidP="00965322">
      <w:pPr>
        <w:ind w:left="567" w:hanging="567"/>
        <w:jc w:val="both"/>
        <w:rPr>
          <w:rFonts w:ascii="Times New Roman" w:eastAsia="Bookman Old Style" w:hAnsi="Times New Roman"/>
          <w:color w:val="231F20"/>
          <w:lang w:bidi="en-US"/>
        </w:rPr>
      </w:pPr>
      <w:r w:rsidRPr="00965322">
        <w:rPr>
          <w:rFonts w:ascii="Times New Roman" w:eastAsia="Bookman Old Style" w:hAnsi="Times New Roman"/>
          <w:color w:val="231F20"/>
          <w:lang w:bidi="en-US"/>
        </w:rPr>
        <w:t xml:space="preserve">B12B. Se o conjunto de atividades e ativos não tiver </w:t>
      </w:r>
      <w:r w:rsidRPr="00965322">
        <w:rPr>
          <w:rFonts w:ascii="Times New Roman" w:eastAsia="Bookman Old Style" w:hAnsi="Times New Roman"/>
          <w:i/>
          <w:color w:val="231F20"/>
          <w:lang w:bidi="en-US"/>
        </w:rPr>
        <w:t>outputs</w:t>
      </w:r>
      <w:r w:rsidRPr="00965322">
        <w:rPr>
          <w:rFonts w:ascii="Times New Roman" w:eastAsia="Bookman Old Style" w:hAnsi="Times New Roman"/>
          <w:color w:val="231F20"/>
          <w:lang w:bidi="en-US"/>
        </w:rPr>
        <w:t xml:space="preserve"> na data de aquisição, o processo adquirido (ou grupo de processos) só deve ser considerado substantivo se:</w:t>
      </w:r>
    </w:p>
    <w:p w:rsidR="00965322" w:rsidRPr="00965322" w:rsidRDefault="00965322" w:rsidP="00965322">
      <w:pPr>
        <w:ind w:left="993" w:hanging="426"/>
        <w:jc w:val="both"/>
        <w:rPr>
          <w:rFonts w:ascii="Times New Roman" w:eastAsia="Bookman Old Style" w:hAnsi="Times New Roman"/>
          <w:color w:val="231F20"/>
          <w:lang w:bidi="en-US"/>
        </w:rPr>
      </w:pPr>
      <w:r w:rsidRPr="00965322">
        <w:rPr>
          <w:rFonts w:ascii="Times New Roman" w:eastAsia="Bookman Old Style" w:hAnsi="Times New Roman"/>
          <w:color w:val="231F20"/>
          <w:lang w:bidi="en-US"/>
        </w:rPr>
        <w:t xml:space="preserve">(a) </w:t>
      </w:r>
      <w:r w:rsidRPr="00965322">
        <w:rPr>
          <w:rFonts w:ascii="Times New Roman" w:eastAsia="Bookman Old Style" w:hAnsi="Times New Roman"/>
          <w:color w:val="231F20"/>
          <w:lang w:bidi="en-US"/>
        </w:rPr>
        <w:tab/>
        <w:t xml:space="preserve">for essencial para a capacidade de desenvolver ou converter o </w:t>
      </w:r>
      <w:r w:rsidRPr="00965322">
        <w:rPr>
          <w:rFonts w:ascii="Times New Roman" w:eastAsia="Bookman Old Style" w:hAnsi="Times New Roman"/>
          <w:i/>
          <w:color w:val="231F20"/>
          <w:lang w:bidi="en-US"/>
        </w:rPr>
        <w:t>input</w:t>
      </w:r>
      <w:r w:rsidRPr="00965322">
        <w:rPr>
          <w:rFonts w:ascii="Times New Roman" w:eastAsia="Bookman Old Style" w:hAnsi="Times New Roman"/>
          <w:color w:val="231F20"/>
          <w:lang w:bidi="en-US"/>
        </w:rPr>
        <w:t xml:space="preserve"> ou </w:t>
      </w:r>
      <w:r w:rsidRPr="00965322">
        <w:rPr>
          <w:rFonts w:ascii="Times New Roman" w:eastAsia="Bookman Old Style" w:hAnsi="Times New Roman"/>
          <w:i/>
          <w:color w:val="231F20"/>
          <w:lang w:bidi="en-US"/>
        </w:rPr>
        <w:t>inputs</w:t>
      </w:r>
      <w:r w:rsidRPr="00965322">
        <w:rPr>
          <w:rFonts w:ascii="Times New Roman" w:eastAsia="Bookman Old Style" w:hAnsi="Times New Roman"/>
          <w:color w:val="231F20"/>
          <w:lang w:bidi="en-US"/>
        </w:rPr>
        <w:t xml:space="preserve"> adquiridos em </w:t>
      </w:r>
      <w:r w:rsidRPr="00965322">
        <w:rPr>
          <w:rFonts w:ascii="Times New Roman" w:eastAsia="Bookman Old Style" w:hAnsi="Times New Roman"/>
          <w:i/>
          <w:color w:val="231F20"/>
          <w:lang w:bidi="en-US"/>
        </w:rPr>
        <w:t>outputs</w:t>
      </w:r>
      <w:r w:rsidRPr="00965322">
        <w:rPr>
          <w:rFonts w:ascii="Times New Roman" w:eastAsia="Bookman Old Style" w:hAnsi="Times New Roman"/>
          <w:color w:val="231F20"/>
          <w:lang w:bidi="en-US"/>
        </w:rPr>
        <w:t>; e</w:t>
      </w:r>
    </w:p>
    <w:p w:rsidR="00965322" w:rsidRPr="00965322" w:rsidRDefault="00965322" w:rsidP="00965322">
      <w:pPr>
        <w:ind w:left="993" w:hanging="426"/>
        <w:jc w:val="both"/>
        <w:rPr>
          <w:rFonts w:ascii="Times New Roman" w:eastAsia="Bookman Old Style" w:hAnsi="Times New Roman"/>
          <w:color w:val="231F20"/>
          <w:lang w:bidi="en-US"/>
        </w:rPr>
      </w:pPr>
      <w:r w:rsidRPr="00965322">
        <w:rPr>
          <w:rFonts w:ascii="Times New Roman" w:eastAsia="Bookman Old Style" w:hAnsi="Times New Roman"/>
          <w:color w:val="231F20"/>
          <w:lang w:bidi="en-US"/>
        </w:rPr>
        <w:t xml:space="preserve">(b) os </w:t>
      </w:r>
      <w:r w:rsidRPr="00965322">
        <w:rPr>
          <w:rFonts w:ascii="Times New Roman" w:eastAsia="Bookman Old Style" w:hAnsi="Times New Roman"/>
          <w:i/>
          <w:color w:val="231F20"/>
          <w:lang w:bidi="en-US"/>
        </w:rPr>
        <w:t>inputs</w:t>
      </w:r>
      <w:r w:rsidRPr="00965322">
        <w:rPr>
          <w:rFonts w:ascii="Times New Roman" w:eastAsia="Bookman Old Style" w:hAnsi="Times New Roman"/>
          <w:color w:val="231F20"/>
          <w:lang w:bidi="en-US"/>
        </w:rPr>
        <w:t xml:space="preserve"> adquiridos incluírem tanto a força de trabalho organizada que possui a habilidade </w:t>
      </w:r>
      <w:r w:rsidRPr="00965322">
        <w:rPr>
          <w:rFonts w:ascii="Times New Roman" w:eastAsia="Bookman Old Style" w:hAnsi="Times New Roman"/>
          <w:color w:val="231F20"/>
          <w:lang w:bidi="en-US"/>
        </w:rPr>
        <w:lastRenderedPageBreak/>
        <w:t xml:space="preserve">necessária, conhecimento ou experiência para executar esse processo (ou grupo de processos) e outros </w:t>
      </w:r>
      <w:r w:rsidRPr="00965322">
        <w:rPr>
          <w:rFonts w:ascii="Times New Roman" w:eastAsia="Bookman Old Style" w:hAnsi="Times New Roman"/>
          <w:i/>
          <w:color w:val="231F20"/>
          <w:lang w:bidi="en-US"/>
        </w:rPr>
        <w:t>inputs</w:t>
      </w:r>
      <w:r w:rsidRPr="00965322">
        <w:rPr>
          <w:rFonts w:ascii="Times New Roman" w:eastAsia="Bookman Old Style" w:hAnsi="Times New Roman"/>
          <w:color w:val="231F20"/>
          <w:lang w:bidi="en-US"/>
        </w:rPr>
        <w:t xml:space="preserve"> que a força de trabalho organizada poderia desenvolver ou converter em </w:t>
      </w:r>
      <w:r w:rsidRPr="00965322">
        <w:rPr>
          <w:rFonts w:ascii="Times New Roman" w:eastAsia="Bookman Old Style" w:hAnsi="Times New Roman"/>
          <w:i/>
          <w:color w:val="231F20"/>
          <w:lang w:bidi="en-US"/>
        </w:rPr>
        <w:t>outputs</w:t>
      </w:r>
      <w:r w:rsidRPr="00965322">
        <w:rPr>
          <w:rFonts w:ascii="Times New Roman" w:eastAsia="Bookman Old Style" w:hAnsi="Times New Roman"/>
          <w:color w:val="231F20"/>
          <w:lang w:bidi="en-US"/>
        </w:rPr>
        <w:t xml:space="preserve">. Esses outros </w:t>
      </w:r>
      <w:r w:rsidRPr="00965322">
        <w:rPr>
          <w:rFonts w:ascii="Times New Roman" w:eastAsia="Bookman Old Style" w:hAnsi="Times New Roman"/>
          <w:i/>
          <w:color w:val="231F20"/>
          <w:lang w:bidi="en-US"/>
        </w:rPr>
        <w:t>inputs</w:t>
      </w:r>
      <w:r w:rsidRPr="00965322">
        <w:rPr>
          <w:rFonts w:ascii="Times New Roman" w:eastAsia="Bookman Old Style" w:hAnsi="Times New Roman"/>
          <w:color w:val="231F20"/>
          <w:lang w:bidi="en-US"/>
        </w:rPr>
        <w:t xml:space="preserve"> podem incluir:</w:t>
      </w:r>
    </w:p>
    <w:p w:rsidR="00965322" w:rsidRPr="00965322" w:rsidRDefault="00965322" w:rsidP="00965322">
      <w:pPr>
        <w:ind w:left="1418" w:hanging="425"/>
        <w:jc w:val="both"/>
        <w:rPr>
          <w:rFonts w:ascii="Times New Roman" w:eastAsia="Bookman Old Style" w:hAnsi="Times New Roman"/>
          <w:color w:val="231F20"/>
          <w:lang w:bidi="en-US"/>
        </w:rPr>
      </w:pPr>
      <w:r w:rsidRPr="00965322">
        <w:rPr>
          <w:rFonts w:ascii="Times New Roman" w:eastAsia="Bookman Old Style" w:hAnsi="Times New Roman"/>
          <w:color w:val="231F20"/>
          <w:lang w:bidi="en-US"/>
        </w:rPr>
        <w:t xml:space="preserve">(i) </w:t>
      </w:r>
      <w:r w:rsidRPr="00965322">
        <w:rPr>
          <w:rFonts w:ascii="Times New Roman" w:eastAsia="Bookman Old Style" w:hAnsi="Times New Roman"/>
          <w:color w:val="231F20"/>
          <w:lang w:bidi="en-US"/>
        </w:rPr>
        <w:tab/>
        <w:t>propriedade intelectual que poderia ser usada para desenvolver o bem ou serviço;</w:t>
      </w:r>
    </w:p>
    <w:p w:rsidR="00965322" w:rsidRPr="00965322" w:rsidRDefault="00965322" w:rsidP="00965322">
      <w:pPr>
        <w:ind w:left="1418" w:hanging="425"/>
        <w:jc w:val="both"/>
        <w:rPr>
          <w:rFonts w:ascii="Times New Roman" w:eastAsia="Bookman Old Style" w:hAnsi="Times New Roman"/>
          <w:color w:val="231F20"/>
          <w:lang w:bidi="en-US"/>
        </w:rPr>
      </w:pPr>
      <w:r w:rsidRPr="00965322">
        <w:rPr>
          <w:rFonts w:ascii="Times New Roman" w:eastAsia="Bookman Old Style" w:hAnsi="Times New Roman"/>
          <w:color w:val="231F20"/>
          <w:lang w:bidi="en-US"/>
        </w:rPr>
        <w:t>(</w:t>
      </w:r>
      <w:proofErr w:type="spellStart"/>
      <w:r w:rsidRPr="00965322">
        <w:rPr>
          <w:rFonts w:ascii="Times New Roman" w:eastAsia="Bookman Old Style" w:hAnsi="Times New Roman"/>
          <w:color w:val="231F20"/>
          <w:lang w:bidi="en-US"/>
        </w:rPr>
        <w:t>ii</w:t>
      </w:r>
      <w:proofErr w:type="spellEnd"/>
      <w:r w:rsidRPr="00965322">
        <w:rPr>
          <w:rFonts w:ascii="Times New Roman" w:eastAsia="Bookman Old Style" w:hAnsi="Times New Roman"/>
          <w:color w:val="231F20"/>
          <w:lang w:bidi="en-US"/>
        </w:rPr>
        <w:t xml:space="preserve">) </w:t>
      </w:r>
      <w:r w:rsidRPr="00965322">
        <w:rPr>
          <w:rFonts w:ascii="Times New Roman" w:eastAsia="Bookman Old Style" w:hAnsi="Times New Roman"/>
          <w:color w:val="231F20"/>
          <w:lang w:bidi="en-US"/>
        </w:rPr>
        <w:tab/>
        <w:t xml:space="preserve">outros recursos econômicos que poderiam ser desenvolvidos para gerar </w:t>
      </w:r>
      <w:r w:rsidRPr="00965322">
        <w:rPr>
          <w:rFonts w:ascii="Times New Roman" w:eastAsia="Bookman Old Style" w:hAnsi="Times New Roman"/>
          <w:i/>
          <w:color w:val="231F20"/>
          <w:lang w:bidi="en-US"/>
        </w:rPr>
        <w:t>outputs</w:t>
      </w:r>
      <w:r w:rsidRPr="00965322">
        <w:rPr>
          <w:rFonts w:ascii="Times New Roman" w:eastAsia="Bookman Old Style" w:hAnsi="Times New Roman"/>
          <w:color w:val="231F20"/>
          <w:lang w:bidi="en-US"/>
        </w:rPr>
        <w:t>; ou</w:t>
      </w:r>
    </w:p>
    <w:p w:rsidR="00965322" w:rsidRPr="00965322" w:rsidRDefault="00965322" w:rsidP="00965322">
      <w:pPr>
        <w:ind w:left="1418" w:hanging="425"/>
        <w:jc w:val="both"/>
        <w:rPr>
          <w:rFonts w:ascii="Times New Roman" w:eastAsia="Bookman Old Style" w:hAnsi="Times New Roman"/>
          <w:color w:val="231F20"/>
          <w:lang w:bidi="en-US"/>
        </w:rPr>
      </w:pPr>
      <w:r w:rsidRPr="00965322">
        <w:rPr>
          <w:rFonts w:ascii="Times New Roman" w:eastAsia="Bookman Old Style" w:hAnsi="Times New Roman"/>
          <w:color w:val="231F20"/>
          <w:lang w:bidi="en-US"/>
        </w:rPr>
        <w:t>(</w:t>
      </w:r>
      <w:proofErr w:type="spellStart"/>
      <w:r w:rsidRPr="00965322">
        <w:rPr>
          <w:rFonts w:ascii="Times New Roman" w:eastAsia="Bookman Old Style" w:hAnsi="Times New Roman"/>
          <w:color w:val="231F20"/>
          <w:lang w:bidi="en-US"/>
        </w:rPr>
        <w:t>iii</w:t>
      </w:r>
      <w:proofErr w:type="spellEnd"/>
      <w:r w:rsidRPr="00965322">
        <w:rPr>
          <w:rFonts w:ascii="Times New Roman" w:eastAsia="Bookman Old Style" w:hAnsi="Times New Roman"/>
          <w:color w:val="231F20"/>
          <w:lang w:bidi="en-US"/>
        </w:rPr>
        <w:t xml:space="preserve">) direitos para obter acesso a materiais ou direitos necessários que permitam a geração de </w:t>
      </w:r>
      <w:r w:rsidRPr="00965322">
        <w:rPr>
          <w:rFonts w:ascii="Times New Roman" w:eastAsia="Bookman Old Style" w:hAnsi="Times New Roman"/>
          <w:i/>
          <w:color w:val="231F20"/>
          <w:lang w:bidi="en-US"/>
        </w:rPr>
        <w:t>outputs</w:t>
      </w:r>
      <w:r w:rsidRPr="00965322">
        <w:rPr>
          <w:rFonts w:ascii="Times New Roman" w:eastAsia="Bookman Old Style" w:hAnsi="Times New Roman"/>
          <w:color w:val="231F20"/>
          <w:lang w:bidi="en-US"/>
        </w:rPr>
        <w:t xml:space="preserve"> futuros.</w:t>
      </w:r>
    </w:p>
    <w:p w:rsidR="00965322" w:rsidRPr="00965322" w:rsidRDefault="00965322" w:rsidP="00965322">
      <w:pPr>
        <w:ind w:left="567"/>
        <w:jc w:val="both"/>
        <w:rPr>
          <w:rFonts w:ascii="Times New Roman" w:eastAsia="Bookman Old Style" w:hAnsi="Times New Roman"/>
          <w:color w:val="231F20"/>
          <w:lang w:bidi="en-US"/>
        </w:rPr>
      </w:pPr>
      <w:r w:rsidRPr="00965322">
        <w:rPr>
          <w:rFonts w:ascii="Times New Roman" w:eastAsia="Bookman Old Style" w:hAnsi="Times New Roman"/>
          <w:color w:val="231F20"/>
          <w:lang w:bidi="en-US"/>
        </w:rPr>
        <w:t xml:space="preserve">Exemplos de </w:t>
      </w:r>
      <w:r w:rsidRPr="00965322">
        <w:rPr>
          <w:rFonts w:ascii="Times New Roman" w:eastAsia="Bookman Old Style" w:hAnsi="Times New Roman"/>
          <w:i/>
          <w:color w:val="231F20"/>
          <w:lang w:bidi="en-US"/>
        </w:rPr>
        <w:t>inputs</w:t>
      </w:r>
      <w:r w:rsidRPr="00965322">
        <w:rPr>
          <w:rFonts w:ascii="Times New Roman" w:eastAsia="Bookman Old Style" w:hAnsi="Times New Roman"/>
          <w:color w:val="231F20"/>
          <w:lang w:bidi="en-US"/>
        </w:rPr>
        <w:t xml:space="preserve"> mencionados nos incisos de (i) a (</w:t>
      </w:r>
      <w:proofErr w:type="spellStart"/>
      <w:r w:rsidRPr="00965322">
        <w:rPr>
          <w:rFonts w:ascii="Times New Roman" w:eastAsia="Bookman Old Style" w:hAnsi="Times New Roman"/>
          <w:color w:val="231F20"/>
          <w:lang w:bidi="en-US"/>
        </w:rPr>
        <w:t>iii</w:t>
      </w:r>
      <w:proofErr w:type="spellEnd"/>
      <w:r w:rsidRPr="00965322">
        <w:rPr>
          <w:rFonts w:ascii="Times New Roman" w:eastAsia="Bookman Old Style" w:hAnsi="Times New Roman"/>
          <w:color w:val="231F20"/>
          <w:lang w:bidi="en-US"/>
        </w:rPr>
        <w:t>) da alínea (b) incluem tecnologia, projetos de pesquisa e desenvolvimento em andamento, bens imóveis e interesses minerais.</w:t>
      </w:r>
    </w:p>
    <w:p w:rsidR="00965322" w:rsidRPr="00965322" w:rsidRDefault="00965322" w:rsidP="00965322">
      <w:pPr>
        <w:ind w:right="-1"/>
        <w:jc w:val="both"/>
        <w:rPr>
          <w:rFonts w:ascii="Times New Roman" w:hAnsi="Times New Roman"/>
        </w:rPr>
      </w:pPr>
    </w:p>
    <w:p w:rsidR="00965322" w:rsidRPr="00965322" w:rsidRDefault="00965322" w:rsidP="00965322">
      <w:pPr>
        <w:ind w:left="567" w:hanging="567"/>
        <w:jc w:val="both"/>
        <w:rPr>
          <w:rFonts w:ascii="Times New Roman" w:eastAsia="Bookman Old Style" w:hAnsi="Times New Roman"/>
          <w:lang w:bidi="en-US"/>
        </w:rPr>
      </w:pPr>
      <w:r w:rsidRPr="00965322">
        <w:rPr>
          <w:rFonts w:ascii="Times New Roman" w:eastAsia="Bookman Old Style" w:hAnsi="Times New Roman"/>
          <w:lang w:bidi="en-US"/>
        </w:rPr>
        <w:t xml:space="preserve">B12C. Se o conjunto de atividades e ativos tiver </w:t>
      </w:r>
      <w:r w:rsidRPr="00965322">
        <w:rPr>
          <w:rFonts w:ascii="Times New Roman" w:eastAsia="Bookman Old Style" w:hAnsi="Times New Roman"/>
          <w:i/>
          <w:lang w:bidi="en-US"/>
        </w:rPr>
        <w:t>outputs</w:t>
      </w:r>
      <w:r w:rsidRPr="00965322">
        <w:rPr>
          <w:rFonts w:ascii="Times New Roman" w:eastAsia="Bookman Old Style" w:hAnsi="Times New Roman"/>
          <w:lang w:bidi="en-US"/>
        </w:rPr>
        <w:t xml:space="preserve"> na data de aquisição, o processo adquirido (ou grupo de processos) deve ser considerado substantivo, se, quando aplicado a </w:t>
      </w:r>
      <w:r w:rsidRPr="00965322">
        <w:rPr>
          <w:rFonts w:ascii="Times New Roman" w:eastAsia="Bookman Old Style" w:hAnsi="Times New Roman"/>
          <w:i/>
          <w:lang w:bidi="en-US"/>
        </w:rPr>
        <w:t>input</w:t>
      </w:r>
      <w:r w:rsidRPr="00965322">
        <w:rPr>
          <w:rFonts w:ascii="Times New Roman" w:eastAsia="Bookman Old Style" w:hAnsi="Times New Roman"/>
          <w:lang w:bidi="en-US"/>
        </w:rPr>
        <w:t xml:space="preserve"> ou </w:t>
      </w:r>
      <w:r w:rsidRPr="00965322">
        <w:rPr>
          <w:rFonts w:ascii="Times New Roman" w:eastAsia="Bookman Old Style" w:hAnsi="Times New Roman"/>
          <w:i/>
          <w:lang w:bidi="en-US"/>
        </w:rPr>
        <w:t>inputs</w:t>
      </w:r>
      <w:r w:rsidRPr="00965322">
        <w:rPr>
          <w:rFonts w:ascii="Times New Roman" w:eastAsia="Bookman Old Style" w:hAnsi="Times New Roman"/>
          <w:lang w:bidi="en-US"/>
        </w:rPr>
        <w:t xml:space="preserve"> adquiridos, ele:</w:t>
      </w:r>
    </w:p>
    <w:p w:rsidR="00965322" w:rsidRPr="00965322" w:rsidRDefault="00965322" w:rsidP="00965322">
      <w:pPr>
        <w:ind w:left="993" w:hanging="426"/>
        <w:jc w:val="both"/>
        <w:rPr>
          <w:rFonts w:ascii="Times New Roman" w:eastAsia="Bookman Old Style" w:hAnsi="Times New Roman"/>
          <w:lang w:bidi="en-US"/>
        </w:rPr>
      </w:pPr>
      <w:r w:rsidRPr="00965322">
        <w:rPr>
          <w:rFonts w:ascii="Times New Roman" w:eastAsia="Bookman Old Style" w:hAnsi="Times New Roman"/>
          <w:lang w:bidi="en-US"/>
        </w:rPr>
        <w:t xml:space="preserve">(a) </w:t>
      </w:r>
      <w:r w:rsidRPr="00965322">
        <w:rPr>
          <w:rFonts w:ascii="Times New Roman" w:eastAsia="Bookman Old Style" w:hAnsi="Times New Roman"/>
          <w:lang w:bidi="en-US"/>
        </w:rPr>
        <w:tab/>
        <w:t xml:space="preserve">for fundamental para a capacidade de continuar a produzir </w:t>
      </w:r>
      <w:r w:rsidRPr="00965322">
        <w:rPr>
          <w:rFonts w:ascii="Times New Roman" w:eastAsia="Bookman Old Style" w:hAnsi="Times New Roman"/>
          <w:i/>
          <w:lang w:bidi="en-US"/>
        </w:rPr>
        <w:t>outputs</w:t>
      </w:r>
      <w:r w:rsidRPr="00965322">
        <w:rPr>
          <w:rFonts w:ascii="Times New Roman" w:eastAsia="Bookman Old Style" w:hAnsi="Times New Roman"/>
          <w:lang w:bidi="en-US"/>
        </w:rPr>
        <w:t xml:space="preserve">, e os </w:t>
      </w:r>
      <w:r w:rsidRPr="00965322">
        <w:rPr>
          <w:rFonts w:ascii="Times New Roman" w:eastAsia="Bookman Old Style" w:hAnsi="Times New Roman"/>
          <w:i/>
          <w:lang w:bidi="en-US"/>
        </w:rPr>
        <w:t>inputs</w:t>
      </w:r>
      <w:r w:rsidRPr="00965322">
        <w:rPr>
          <w:rFonts w:ascii="Times New Roman" w:eastAsia="Bookman Old Style" w:hAnsi="Times New Roman"/>
          <w:lang w:bidi="en-US"/>
        </w:rPr>
        <w:t xml:space="preserve"> adquiridos incluírem a força de trabalho organizada com as habilidades necessárias, conhecimento ou experiência para executar esse processo (ou grupo de processos); ou</w:t>
      </w:r>
    </w:p>
    <w:p w:rsidR="00965322" w:rsidRPr="00965322" w:rsidRDefault="00965322" w:rsidP="00965322">
      <w:pPr>
        <w:ind w:left="993" w:hanging="426"/>
        <w:jc w:val="both"/>
        <w:rPr>
          <w:rFonts w:ascii="Times New Roman" w:eastAsia="Bookman Old Style" w:hAnsi="Times New Roman"/>
          <w:lang w:bidi="en-US"/>
        </w:rPr>
      </w:pPr>
      <w:r w:rsidRPr="00965322">
        <w:rPr>
          <w:rFonts w:ascii="Times New Roman" w:eastAsia="Bookman Old Style" w:hAnsi="Times New Roman"/>
          <w:lang w:bidi="en-US"/>
        </w:rPr>
        <w:t xml:space="preserve">(b) </w:t>
      </w:r>
      <w:r w:rsidRPr="00965322">
        <w:rPr>
          <w:rFonts w:ascii="Times New Roman" w:eastAsia="Bookman Old Style" w:hAnsi="Times New Roman"/>
          <w:lang w:bidi="en-US"/>
        </w:rPr>
        <w:tab/>
        <w:t xml:space="preserve">contribui significativamente para a capacidade de continuar produzindo </w:t>
      </w:r>
      <w:r w:rsidRPr="00965322">
        <w:rPr>
          <w:rFonts w:ascii="Times New Roman" w:eastAsia="Bookman Old Style" w:hAnsi="Times New Roman"/>
          <w:i/>
          <w:lang w:bidi="en-US"/>
        </w:rPr>
        <w:t>outputs</w:t>
      </w:r>
      <w:r w:rsidRPr="00965322">
        <w:rPr>
          <w:rFonts w:ascii="Times New Roman" w:eastAsia="Bookman Old Style" w:hAnsi="Times New Roman"/>
          <w:lang w:bidi="en-US"/>
        </w:rPr>
        <w:t xml:space="preserve"> e:</w:t>
      </w:r>
    </w:p>
    <w:p w:rsidR="00965322" w:rsidRPr="00965322" w:rsidRDefault="00965322" w:rsidP="00965322">
      <w:pPr>
        <w:ind w:left="1418" w:hanging="425"/>
        <w:jc w:val="both"/>
        <w:rPr>
          <w:rFonts w:ascii="Times New Roman" w:eastAsia="Bookman Old Style" w:hAnsi="Times New Roman"/>
          <w:lang w:bidi="en-US"/>
        </w:rPr>
      </w:pPr>
      <w:r w:rsidRPr="00965322">
        <w:rPr>
          <w:rFonts w:ascii="Times New Roman" w:eastAsia="Bookman Old Style" w:hAnsi="Times New Roman"/>
          <w:lang w:bidi="en-US"/>
        </w:rPr>
        <w:t xml:space="preserve">(i) </w:t>
      </w:r>
      <w:r w:rsidRPr="00965322">
        <w:rPr>
          <w:rFonts w:ascii="Times New Roman" w:eastAsia="Bookman Old Style" w:hAnsi="Times New Roman"/>
          <w:lang w:bidi="en-US"/>
        </w:rPr>
        <w:tab/>
        <w:t>é considerado único ou escasso; ou</w:t>
      </w:r>
    </w:p>
    <w:p w:rsidR="00965322" w:rsidRPr="00965322" w:rsidRDefault="00965322" w:rsidP="00965322">
      <w:pPr>
        <w:ind w:left="1418" w:hanging="425"/>
        <w:jc w:val="both"/>
        <w:rPr>
          <w:rFonts w:ascii="Times New Roman" w:eastAsia="Bookman Old Style" w:hAnsi="Times New Roman"/>
          <w:lang w:bidi="en-US"/>
        </w:rPr>
      </w:pPr>
      <w:r w:rsidRPr="00965322">
        <w:rPr>
          <w:rFonts w:ascii="Times New Roman" w:eastAsia="Bookman Old Style" w:hAnsi="Times New Roman"/>
          <w:lang w:bidi="en-US"/>
        </w:rPr>
        <w:t>(</w:t>
      </w:r>
      <w:proofErr w:type="spellStart"/>
      <w:r w:rsidRPr="00965322">
        <w:rPr>
          <w:rFonts w:ascii="Times New Roman" w:eastAsia="Bookman Old Style" w:hAnsi="Times New Roman"/>
          <w:lang w:bidi="en-US"/>
        </w:rPr>
        <w:t>ii</w:t>
      </w:r>
      <w:proofErr w:type="spellEnd"/>
      <w:r w:rsidRPr="00965322">
        <w:rPr>
          <w:rFonts w:ascii="Times New Roman" w:eastAsia="Bookman Old Style" w:hAnsi="Times New Roman"/>
          <w:lang w:bidi="en-US"/>
        </w:rPr>
        <w:t xml:space="preserve">) </w:t>
      </w:r>
      <w:r w:rsidRPr="00965322">
        <w:rPr>
          <w:rFonts w:ascii="Times New Roman" w:eastAsia="Bookman Old Style" w:hAnsi="Times New Roman"/>
          <w:lang w:bidi="en-US"/>
        </w:rPr>
        <w:tab/>
        <w:t xml:space="preserve">não pode ser substituído sem custo, esforço ou atraso significativos na capacidade de continuar produzindo </w:t>
      </w:r>
      <w:r w:rsidRPr="00965322">
        <w:rPr>
          <w:rFonts w:ascii="Times New Roman" w:eastAsia="Bookman Old Style" w:hAnsi="Times New Roman"/>
          <w:i/>
          <w:lang w:bidi="en-US"/>
        </w:rPr>
        <w:t>outputs</w:t>
      </w:r>
      <w:r w:rsidRPr="00965322">
        <w:rPr>
          <w:rFonts w:ascii="Times New Roman" w:eastAsia="Bookman Old Style" w:hAnsi="Times New Roman"/>
          <w:lang w:bidi="en-US"/>
        </w:rPr>
        <w:t>.</w:t>
      </w:r>
    </w:p>
    <w:p w:rsidR="00965322" w:rsidRPr="00965322" w:rsidRDefault="00965322" w:rsidP="00965322">
      <w:pPr>
        <w:ind w:right="-1"/>
        <w:jc w:val="both"/>
        <w:rPr>
          <w:rFonts w:ascii="Times New Roman" w:hAnsi="Times New Roman"/>
        </w:rPr>
      </w:pPr>
    </w:p>
    <w:p w:rsidR="00965322" w:rsidRPr="00965322" w:rsidRDefault="00965322" w:rsidP="00965322">
      <w:pPr>
        <w:ind w:left="567" w:hanging="567"/>
        <w:jc w:val="both"/>
        <w:rPr>
          <w:rFonts w:ascii="Times New Roman" w:eastAsia="Bookman Old Style" w:hAnsi="Times New Roman"/>
          <w:lang w:bidi="en-US"/>
        </w:rPr>
      </w:pPr>
      <w:r w:rsidRPr="00965322">
        <w:rPr>
          <w:rFonts w:ascii="Times New Roman" w:eastAsia="Bookman Old Style" w:hAnsi="Times New Roman"/>
          <w:lang w:bidi="en-US"/>
        </w:rPr>
        <w:t xml:space="preserve">B12D. </w:t>
      </w:r>
      <w:r w:rsidRPr="00965322">
        <w:rPr>
          <w:rFonts w:ascii="Times New Roman" w:eastAsia="Bookman Old Style" w:hAnsi="Times New Roman"/>
          <w:lang w:bidi="en-US"/>
        </w:rPr>
        <w:tab/>
        <w:t>A seguinte discussão dá suporte a ambos os itens B12B e B12C:</w:t>
      </w:r>
    </w:p>
    <w:p w:rsidR="00965322" w:rsidRPr="00965322" w:rsidRDefault="00965322" w:rsidP="00965322">
      <w:pPr>
        <w:ind w:left="993" w:hanging="426"/>
        <w:jc w:val="both"/>
        <w:rPr>
          <w:rFonts w:ascii="Times New Roman" w:eastAsia="Bookman Old Style" w:hAnsi="Times New Roman"/>
          <w:lang w:bidi="en-US"/>
        </w:rPr>
      </w:pPr>
      <w:r w:rsidRPr="00965322">
        <w:rPr>
          <w:rFonts w:ascii="Times New Roman" w:eastAsia="Bookman Old Style" w:hAnsi="Times New Roman"/>
          <w:lang w:bidi="en-US"/>
        </w:rPr>
        <w:t xml:space="preserve">(a) </w:t>
      </w:r>
      <w:r w:rsidRPr="00965322">
        <w:rPr>
          <w:rFonts w:ascii="Times New Roman" w:eastAsia="Bookman Old Style" w:hAnsi="Times New Roman"/>
          <w:lang w:bidi="en-US"/>
        </w:rPr>
        <w:tab/>
        <w:t xml:space="preserve">contrato adquirido é um </w:t>
      </w:r>
      <w:r w:rsidRPr="00965322">
        <w:rPr>
          <w:rFonts w:ascii="Times New Roman" w:eastAsia="Bookman Old Style" w:hAnsi="Times New Roman"/>
          <w:i/>
          <w:lang w:bidi="en-US"/>
        </w:rPr>
        <w:t>input</w:t>
      </w:r>
      <w:r w:rsidRPr="00965322">
        <w:rPr>
          <w:rFonts w:ascii="Times New Roman" w:eastAsia="Bookman Old Style" w:hAnsi="Times New Roman"/>
          <w:lang w:bidi="en-US"/>
        </w:rPr>
        <w:t xml:space="preserve"> e não um processo substantivo. No entanto, o contrato adquirido, por exemplo, contrato de gerenciamento de propriedade terceirizada ou gerenciamento de ativos terceirizados, pode dar acesso à força de trabalho organizada. A entidade deve avaliar se a força de trabalho organizada acessada por meio de tal contrato realiza processo substantivo que a entidade controla e, portanto, adquiriu. Os fatores a serem considerados ao fazer essa avaliação incluem a duração do contrato e seus termos de renovação;</w:t>
      </w:r>
    </w:p>
    <w:p w:rsidR="00965322" w:rsidRPr="00965322" w:rsidRDefault="00965322" w:rsidP="00965322">
      <w:pPr>
        <w:ind w:left="993" w:hanging="426"/>
        <w:jc w:val="both"/>
        <w:rPr>
          <w:rFonts w:ascii="Times New Roman" w:eastAsia="Bookman Old Style" w:hAnsi="Times New Roman"/>
          <w:lang w:bidi="en-US"/>
        </w:rPr>
      </w:pPr>
      <w:r w:rsidRPr="00965322">
        <w:rPr>
          <w:rFonts w:ascii="Times New Roman" w:eastAsia="Bookman Old Style" w:hAnsi="Times New Roman"/>
          <w:lang w:bidi="en-US"/>
        </w:rPr>
        <w:t xml:space="preserve">(b) </w:t>
      </w:r>
      <w:r w:rsidRPr="00965322">
        <w:rPr>
          <w:rFonts w:ascii="Times New Roman" w:eastAsia="Bookman Old Style" w:hAnsi="Times New Roman"/>
          <w:lang w:bidi="en-US"/>
        </w:rPr>
        <w:tab/>
        <w:t xml:space="preserve">dificuldades em substituir a força de trabalho organizada adquirida podem indicar que a força de trabalho organizada adquirida realiza processo que é crítico para a capacidade de criar </w:t>
      </w:r>
      <w:r w:rsidRPr="00965322">
        <w:rPr>
          <w:rFonts w:ascii="Times New Roman" w:eastAsia="Bookman Old Style" w:hAnsi="Times New Roman"/>
          <w:i/>
          <w:lang w:bidi="en-US"/>
        </w:rPr>
        <w:t>outputs</w:t>
      </w:r>
      <w:r w:rsidRPr="00965322">
        <w:rPr>
          <w:rFonts w:ascii="Times New Roman" w:eastAsia="Bookman Old Style" w:hAnsi="Times New Roman"/>
          <w:lang w:bidi="en-US"/>
        </w:rPr>
        <w:t>;</w:t>
      </w:r>
    </w:p>
    <w:p w:rsidR="00965322" w:rsidRPr="00965322" w:rsidRDefault="00965322" w:rsidP="00965322">
      <w:pPr>
        <w:ind w:left="993" w:hanging="426"/>
        <w:jc w:val="both"/>
        <w:rPr>
          <w:rFonts w:ascii="Times New Roman" w:eastAsia="Bookman Old Style" w:hAnsi="Times New Roman"/>
          <w:lang w:bidi="en-US"/>
        </w:rPr>
      </w:pPr>
      <w:r w:rsidRPr="00965322">
        <w:rPr>
          <w:rFonts w:ascii="Times New Roman" w:eastAsia="Bookman Old Style" w:hAnsi="Times New Roman"/>
          <w:lang w:bidi="en-US"/>
        </w:rPr>
        <w:t xml:space="preserve">(c) processo (ou grupo de processos) não é crítico se, por exemplo, for secundário ou menor no contexto de todos os processos necessários para criar </w:t>
      </w:r>
      <w:r w:rsidRPr="00965322">
        <w:rPr>
          <w:rFonts w:ascii="Times New Roman" w:eastAsia="Bookman Old Style" w:hAnsi="Times New Roman"/>
          <w:i/>
          <w:lang w:bidi="en-US"/>
        </w:rPr>
        <w:t>outputs</w:t>
      </w:r>
      <w:r w:rsidRPr="00965322">
        <w:rPr>
          <w:rFonts w:ascii="Times New Roman" w:eastAsia="Bookman Old Style" w:hAnsi="Times New Roman"/>
          <w:lang w:bidi="en-US"/>
        </w:rPr>
        <w:t>.</w:t>
      </w:r>
    </w:p>
    <w:p w:rsidR="00965322" w:rsidRPr="00965322" w:rsidRDefault="00965322" w:rsidP="00965322">
      <w:pPr>
        <w:ind w:left="993" w:hanging="426"/>
        <w:jc w:val="both"/>
        <w:rPr>
          <w:rFonts w:ascii="Times New Roman" w:eastAsia="Bookman Old Style" w:hAnsi="Times New Roman"/>
          <w:lang w:bidi="en-US"/>
        </w:rPr>
      </w:pPr>
    </w:p>
    <w:p w:rsidR="00965322" w:rsidRPr="00965322" w:rsidRDefault="00965322" w:rsidP="00965322">
      <w:pPr>
        <w:ind w:left="993" w:hanging="426"/>
        <w:jc w:val="both"/>
        <w:rPr>
          <w:rFonts w:ascii="Times New Roman" w:eastAsia="Bookman Old Style" w:hAnsi="Times New Roman"/>
          <w:u w:val="single"/>
          <w:lang w:bidi="en-US"/>
        </w:rPr>
      </w:pPr>
    </w:p>
    <w:p w:rsidR="00965322" w:rsidRPr="00965322" w:rsidRDefault="00965322" w:rsidP="00965322">
      <w:pPr>
        <w:pStyle w:val="PargrafodaLista"/>
        <w:numPr>
          <w:ilvl w:val="0"/>
          <w:numId w:val="13"/>
        </w:numPr>
        <w:ind w:left="567" w:right="-1" w:hanging="567"/>
        <w:contextualSpacing/>
        <w:jc w:val="both"/>
      </w:pPr>
      <w:r w:rsidRPr="00965322">
        <w:rPr>
          <w:b/>
        </w:rPr>
        <w:t>Altera os itens 31 e 33 do CPC 21 (R1) – Demonstração Intermediária, que passam a vigorar com as seguintes redações:</w:t>
      </w:r>
    </w:p>
    <w:p w:rsidR="00965322" w:rsidRPr="00965322" w:rsidRDefault="00965322" w:rsidP="00965322">
      <w:pPr>
        <w:ind w:right="-1"/>
        <w:jc w:val="both"/>
        <w:rPr>
          <w:rFonts w:ascii="Times New Roman" w:eastAsia="Times New Roman" w:hAnsi="Times New Roman"/>
          <w:color w:val="000000"/>
        </w:rPr>
      </w:pPr>
    </w:p>
    <w:p w:rsidR="00965322" w:rsidRPr="00965322" w:rsidRDefault="00965322" w:rsidP="00965322">
      <w:pPr>
        <w:ind w:left="567" w:right="-1" w:hanging="567"/>
        <w:jc w:val="both"/>
        <w:rPr>
          <w:rFonts w:ascii="Times New Roman" w:hAnsi="Times New Roman"/>
        </w:rPr>
      </w:pPr>
      <w:r w:rsidRPr="00965322">
        <w:rPr>
          <w:rFonts w:ascii="Times New Roman" w:eastAsia="Times New Roman" w:hAnsi="Times New Roman"/>
          <w:color w:val="000000"/>
        </w:rPr>
        <w:t xml:space="preserve">31. </w:t>
      </w:r>
      <w:proofErr w:type="gramStart"/>
      <w:r w:rsidRPr="00965322">
        <w:rPr>
          <w:rFonts w:ascii="Times New Roman" w:eastAsia="Times New Roman" w:hAnsi="Times New Roman"/>
          <w:color w:val="000000"/>
        </w:rPr>
        <w:t xml:space="preserve"> </w:t>
      </w:r>
      <w:r w:rsidRPr="00965322">
        <w:rPr>
          <w:rFonts w:ascii="Times New Roman" w:eastAsia="Times New Roman" w:hAnsi="Times New Roman"/>
          <w:color w:val="000000"/>
        </w:rPr>
        <w:tab/>
        <w:t>Pelo</w:t>
      </w:r>
      <w:proofErr w:type="gramEnd"/>
      <w:r w:rsidRPr="00965322">
        <w:rPr>
          <w:rFonts w:ascii="Times New Roman" w:eastAsia="Times New Roman" w:hAnsi="Times New Roman"/>
          <w:color w:val="000000"/>
        </w:rPr>
        <w:t xml:space="preserve"> </w:t>
      </w:r>
      <w:r w:rsidRPr="00965322">
        <w:rPr>
          <w:rFonts w:ascii="Times New Roman" w:hAnsi="Times New Roman"/>
        </w:rPr>
        <w:t>CPC 00</w:t>
      </w:r>
      <w:r w:rsidRPr="00965322">
        <w:rPr>
          <w:rFonts w:ascii="Times New Roman" w:eastAsia="Times New Roman" w:hAnsi="Times New Roman"/>
          <w:color w:val="000000"/>
        </w:rPr>
        <w:t xml:space="preserve"> – Estrutura Conceitual para Relatório Financeiro, reconhecimento é o processo de captura, para inclusão no balanço patrimonial ou na demonstração do resultado, de item que atende à definição de um dos elementos das demonstrações contábeis. As definições de ativos, passivos, receitas e despesas são fundamentais para o reconhecimento ao término de ambos os períodos de reporte anuais e intermediários.</w:t>
      </w:r>
    </w:p>
    <w:p w:rsidR="00965322" w:rsidRPr="00965322" w:rsidRDefault="00965322" w:rsidP="00965322">
      <w:pPr>
        <w:ind w:right="-1"/>
        <w:jc w:val="both"/>
        <w:rPr>
          <w:rFonts w:ascii="Times New Roman" w:hAnsi="Times New Roman"/>
        </w:rPr>
      </w:pPr>
    </w:p>
    <w:p w:rsidR="00965322" w:rsidRPr="00965322" w:rsidRDefault="00965322" w:rsidP="00965322">
      <w:pPr>
        <w:ind w:left="567" w:right="-1" w:hanging="567"/>
        <w:jc w:val="both"/>
        <w:rPr>
          <w:rFonts w:ascii="Times New Roman" w:hAnsi="Times New Roman"/>
        </w:rPr>
      </w:pPr>
      <w:proofErr w:type="gramStart"/>
      <w:r w:rsidRPr="00965322">
        <w:rPr>
          <w:rFonts w:ascii="Times New Roman" w:hAnsi="Times New Roman"/>
          <w:color w:val="000000"/>
        </w:rPr>
        <w:t>33.</w:t>
      </w:r>
      <w:r w:rsidRPr="00965322">
        <w:rPr>
          <w:rFonts w:ascii="Times New Roman" w:hAnsi="Times New Roman"/>
          <w:color w:val="000000"/>
        </w:rPr>
        <w:tab/>
        <w:t>Uma</w:t>
      </w:r>
      <w:proofErr w:type="gramEnd"/>
      <w:r w:rsidRPr="00965322">
        <w:rPr>
          <w:rFonts w:ascii="Times New Roman" w:hAnsi="Times New Roman"/>
          <w:color w:val="000000"/>
        </w:rPr>
        <w:t xml:space="preserve"> característica essencial das receitas e despesas é que as entradas e as saídas de ativos e </w:t>
      </w:r>
      <w:r w:rsidRPr="00965322">
        <w:rPr>
          <w:rFonts w:ascii="Times New Roman" w:hAnsi="Times New Roman"/>
        </w:rPr>
        <w:t>passivos</w:t>
      </w:r>
      <w:r w:rsidRPr="00965322">
        <w:rPr>
          <w:rFonts w:ascii="Times New Roman" w:hAnsi="Times New Roman"/>
          <w:color w:val="000000"/>
        </w:rPr>
        <w:t xml:space="preserve"> correspondentes já ocorreram. Se tais entradas e saídas já ocorreram, as correspondentes receitas e despesas devem ser reconhecidas, caso contrário elas não devem ser reconhecidas. </w:t>
      </w:r>
      <w:r w:rsidRPr="00965322">
        <w:rPr>
          <w:rFonts w:ascii="Times New Roman" w:hAnsi="Times New Roman"/>
        </w:rPr>
        <w:t xml:space="preserve">O CPC 00 </w:t>
      </w:r>
      <w:r w:rsidRPr="00965322">
        <w:rPr>
          <w:rFonts w:ascii="Times New Roman" w:hAnsi="Times New Roman"/>
          <w:color w:val="000000"/>
        </w:rPr>
        <w:t xml:space="preserve">não autoriza o reconhecimento de itens no balanço patrimonial que não satisfaçam à definição de ativos </w:t>
      </w:r>
      <w:r w:rsidRPr="00965322">
        <w:rPr>
          <w:rFonts w:ascii="Times New Roman" w:hAnsi="Times New Roman"/>
          <w:color w:val="000000"/>
        </w:rPr>
        <w:lastRenderedPageBreak/>
        <w:t>ou passivos.</w:t>
      </w:r>
    </w:p>
    <w:p w:rsidR="00965322" w:rsidRPr="00965322" w:rsidRDefault="00965322" w:rsidP="00965322">
      <w:pPr>
        <w:ind w:right="-1"/>
        <w:jc w:val="both"/>
        <w:rPr>
          <w:rFonts w:ascii="Times New Roman" w:hAnsi="Times New Roman"/>
        </w:rPr>
      </w:pPr>
    </w:p>
    <w:p w:rsidR="00965322" w:rsidRPr="00965322" w:rsidRDefault="00965322" w:rsidP="00965322">
      <w:pPr>
        <w:ind w:right="-1"/>
        <w:jc w:val="both"/>
        <w:rPr>
          <w:rFonts w:ascii="Times New Roman" w:hAnsi="Times New Roman"/>
        </w:rPr>
      </w:pPr>
    </w:p>
    <w:p w:rsidR="00965322" w:rsidRPr="00965322" w:rsidRDefault="00965322" w:rsidP="00965322">
      <w:pPr>
        <w:pStyle w:val="PargrafodaLista"/>
        <w:numPr>
          <w:ilvl w:val="0"/>
          <w:numId w:val="13"/>
        </w:numPr>
        <w:ind w:left="567" w:right="-1" w:hanging="567"/>
        <w:contextualSpacing/>
        <w:jc w:val="both"/>
      </w:pPr>
      <w:r w:rsidRPr="00965322">
        <w:rPr>
          <w:b/>
        </w:rPr>
        <w:t>Altera os itens 5 e 11 e exclui o item 6 no CPC 23 – Políticas Contábeis, Mudança de Estimativa e Retificação de Erro, que passam a vigorar com as seguintes redações:</w:t>
      </w:r>
    </w:p>
    <w:p w:rsidR="00965322" w:rsidRPr="00965322" w:rsidRDefault="00965322" w:rsidP="00965322">
      <w:pPr>
        <w:ind w:right="-1"/>
        <w:jc w:val="both"/>
        <w:rPr>
          <w:rFonts w:ascii="Times New Roman" w:hAnsi="Times New Roman"/>
          <w:bCs/>
          <w:iCs/>
        </w:rPr>
      </w:pPr>
    </w:p>
    <w:p w:rsidR="00965322" w:rsidRPr="00965322" w:rsidRDefault="00965322" w:rsidP="00965322">
      <w:pPr>
        <w:ind w:left="567" w:right="-1" w:hanging="567"/>
        <w:jc w:val="both"/>
        <w:rPr>
          <w:rFonts w:ascii="Times New Roman" w:hAnsi="Times New Roman"/>
          <w:bCs/>
          <w:iCs/>
        </w:rPr>
      </w:pPr>
      <w:r w:rsidRPr="00965322">
        <w:rPr>
          <w:rFonts w:ascii="Times New Roman" w:hAnsi="Times New Roman"/>
          <w:bCs/>
          <w:iCs/>
        </w:rPr>
        <w:t>5.</w:t>
      </w:r>
      <w:r w:rsidRPr="00965322">
        <w:rPr>
          <w:rFonts w:ascii="Times New Roman" w:hAnsi="Times New Roman"/>
          <w:bCs/>
          <w:iCs/>
        </w:rPr>
        <w:tab/>
        <w:t>(...)</w:t>
      </w:r>
    </w:p>
    <w:p w:rsidR="00965322" w:rsidRPr="00965322" w:rsidRDefault="00965322" w:rsidP="00965322">
      <w:pPr>
        <w:ind w:left="567" w:right="-1"/>
        <w:jc w:val="both"/>
        <w:rPr>
          <w:rFonts w:ascii="Times New Roman" w:hAnsi="Times New Roman"/>
          <w:bCs/>
          <w:iCs/>
        </w:rPr>
      </w:pPr>
      <w:r w:rsidRPr="00965322">
        <w:rPr>
          <w:rFonts w:ascii="Times New Roman" w:hAnsi="Times New Roman"/>
          <w:bCs/>
          <w:iCs/>
        </w:rPr>
        <w:t>Material é definido no item 7 do CPC 26 e é utilizado neste Pronunciamento com o mesmo significado.</w:t>
      </w:r>
    </w:p>
    <w:p w:rsidR="00965322" w:rsidRPr="00965322" w:rsidRDefault="00965322" w:rsidP="00965322">
      <w:pPr>
        <w:ind w:left="567" w:right="-1"/>
        <w:jc w:val="both"/>
        <w:rPr>
          <w:rFonts w:ascii="Times New Roman" w:hAnsi="Times New Roman"/>
        </w:rPr>
      </w:pPr>
      <w:r w:rsidRPr="00965322">
        <w:rPr>
          <w:rFonts w:ascii="Times New Roman" w:hAnsi="Times New Roman"/>
          <w:bCs/>
          <w:iCs/>
        </w:rPr>
        <w:t>(...)</w:t>
      </w:r>
    </w:p>
    <w:p w:rsidR="00965322" w:rsidRPr="00965322" w:rsidRDefault="00965322" w:rsidP="00965322">
      <w:pPr>
        <w:ind w:right="-1"/>
        <w:jc w:val="both"/>
        <w:rPr>
          <w:rFonts w:ascii="Times New Roman" w:hAnsi="Times New Roman"/>
        </w:rPr>
      </w:pPr>
    </w:p>
    <w:p w:rsidR="00965322" w:rsidRPr="00965322" w:rsidRDefault="00965322" w:rsidP="00965322">
      <w:pPr>
        <w:ind w:left="567" w:right="-1" w:hanging="567"/>
        <w:jc w:val="both"/>
        <w:rPr>
          <w:rFonts w:ascii="Times New Roman" w:hAnsi="Times New Roman"/>
        </w:rPr>
      </w:pPr>
      <w:r w:rsidRPr="00965322">
        <w:rPr>
          <w:rFonts w:ascii="Times New Roman" w:hAnsi="Times New Roman"/>
        </w:rPr>
        <w:t xml:space="preserve">6. </w:t>
      </w:r>
      <w:proofErr w:type="gramStart"/>
      <w:r w:rsidRPr="00965322">
        <w:rPr>
          <w:rFonts w:ascii="Times New Roman" w:hAnsi="Times New Roman"/>
        </w:rPr>
        <w:tab/>
        <w:t>Eliminado</w:t>
      </w:r>
      <w:proofErr w:type="gramEnd"/>
      <w:r w:rsidRPr="00965322">
        <w:rPr>
          <w:rFonts w:ascii="Times New Roman" w:hAnsi="Times New Roman"/>
        </w:rPr>
        <w:t>.</w:t>
      </w:r>
    </w:p>
    <w:p w:rsidR="00965322" w:rsidRPr="00965322" w:rsidRDefault="00965322" w:rsidP="00965322">
      <w:pPr>
        <w:ind w:right="-1"/>
        <w:jc w:val="both"/>
        <w:rPr>
          <w:rFonts w:ascii="Times New Roman" w:hAnsi="Times New Roman"/>
        </w:rPr>
      </w:pPr>
    </w:p>
    <w:p w:rsidR="00965322" w:rsidRPr="00965322" w:rsidRDefault="00965322" w:rsidP="00965322">
      <w:pPr>
        <w:pStyle w:val="Textoembloco"/>
        <w:spacing w:before="0" w:after="0" w:line="240" w:lineRule="auto"/>
        <w:ind w:left="567" w:hanging="567"/>
        <w:jc w:val="both"/>
        <w:rPr>
          <w:rFonts w:ascii="Times New Roman" w:hAnsi="Times New Roman"/>
          <w:color w:val="000000"/>
          <w:sz w:val="24"/>
        </w:rPr>
      </w:pPr>
      <w:r w:rsidRPr="00965322">
        <w:rPr>
          <w:rFonts w:ascii="Times New Roman" w:hAnsi="Times New Roman"/>
          <w:color w:val="000000"/>
          <w:sz w:val="24"/>
          <w:lang w:val="pt-BR"/>
        </w:rPr>
        <w:t xml:space="preserve">11. </w:t>
      </w:r>
      <w:proofErr w:type="gramStart"/>
      <w:r w:rsidRPr="00965322">
        <w:rPr>
          <w:rFonts w:ascii="Times New Roman" w:hAnsi="Times New Roman"/>
          <w:color w:val="000000"/>
          <w:sz w:val="24"/>
          <w:lang w:val="pt-BR"/>
        </w:rPr>
        <w:tab/>
        <w:t>Ao</w:t>
      </w:r>
      <w:proofErr w:type="gramEnd"/>
      <w:r w:rsidRPr="00965322">
        <w:rPr>
          <w:rFonts w:ascii="Times New Roman" w:hAnsi="Times New Roman"/>
          <w:color w:val="000000"/>
          <w:sz w:val="24"/>
          <w:lang w:val="pt-BR"/>
        </w:rPr>
        <w:t xml:space="preserve"> exercer os julgamentos descritos no item </w:t>
      </w:r>
      <w:smartTag w:uri="urn:schemas-microsoft-com:office:smarttags" w:element="metricconverter">
        <w:smartTagPr>
          <w:attr w:name="ProductID" w:val="10, a"/>
        </w:smartTagPr>
        <w:r w:rsidRPr="00965322">
          <w:rPr>
            <w:rFonts w:ascii="Times New Roman" w:hAnsi="Times New Roman"/>
            <w:color w:val="000000"/>
            <w:sz w:val="24"/>
            <w:lang w:val="pt-BR"/>
          </w:rPr>
          <w:t>10, a</w:t>
        </w:r>
      </w:smartTag>
      <w:r w:rsidRPr="00965322">
        <w:rPr>
          <w:rFonts w:ascii="Times New Roman" w:hAnsi="Times New Roman"/>
          <w:color w:val="000000"/>
          <w:sz w:val="24"/>
          <w:lang w:val="pt-BR"/>
        </w:rPr>
        <w:t xml:space="preserve"> administração deve consultar e considerar a aplicabilidade das seguintes fontes por ordem decrescente: </w:t>
      </w:r>
    </w:p>
    <w:p w:rsidR="00965322" w:rsidRPr="00965322" w:rsidRDefault="00965322" w:rsidP="00965322">
      <w:pPr>
        <w:numPr>
          <w:ilvl w:val="0"/>
          <w:numId w:val="11"/>
        </w:numPr>
        <w:tabs>
          <w:tab w:val="clear" w:pos="1070"/>
        </w:tabs>
        <w:autoSpaceDE/>
        <w:autoSpaceDN/>
        <w:adjustRightInd/>
        <w:ind w:left="993" w:hanging="426"/>
        <w:jc w:val="both"/>
        <w:rPr>
          <w:rFonts w:ascii="Times New Roman" w:hAnsi="Times New Roman"/>
          <w:bCs/>
          <w:iCs/>
          <w:color w:val="000000"/>
        </w:rPr>
      </w:pPr>
      <w:r w:rsidRPr="00965322">
        <w:rPr>
          <w:rFonts w:ascii="Times New Roman" w:hAnsi="Times New Roman"/>
          <w:bCs/>
          <w:iCs/>
          <w:color w:val="000000"/>
        </w:rPr>
        <w:t xml:space="preserve">os requisitos e a orientação de pronunciamentos, interpretações e orientações que tratem de assuntos semelhantes e relacionados; e </w:t>
      </w:r>
    </w:p>
    <w:p w:rsidR="00965322" w:rsidRPr="00965322" w:rsidRDefault="00965322" w:rsidP="00965322">
      <w:pPr>
        <w:numPr>
          <w:ilvl w:val="0"/>
          <w:numId w:val="11"/>
        </w:numPr>
        <w:tabs>
          <w:tab w:val="clear" w:pos="1070"/>
        </w:tabs>
        <w:autoSpaceDE/>
        <w:autoSpaceDN/>
        <w:adjustRightInd/>
        <w:ind w:left="993" w:hanging="426"/>
        <w:jc w:val="both"/>
        <w:rPr>
          <w:rFonts w:ascii="Times New Roman" w:hAnsi="Times New Roman"/>
          <w:bCs/>
          <w:iCs/>
          <w:color w:val="000000"/>
        </w:rPr>
      </w:pPr>
      <w:r w:rsidRPr="00965322">
        <w:rPr>
          <w:rFonts w:ascii="Times New Roman" w:hAnsi="Times New Roman"/>
          <w:bCs/>
          <w:iCs/>
          <w:color w:val="000000"/>
        </w:rPr>
        <w:t xml:space="preserve">as definições, os critérios de reconhecimento e os conceitos de mensuração para ativos, passivos, receitas e despesas contidos </w:t>
      </w:r>
      <w:r w:rsidRPr="00965322">
        <w:rPr>
          <w:rFonts w:ascii="Times New Roman" w:hAnsi="Times New Roman"/>
        </w:rPr>
        <w:t>no CPC 00 –</w:t>
      </w:r>
      <w:r w:rsidRPr="00965322">
        <w:rPr>
          <w:rFonts w:ascii="Times New Roman" w:hAnsi="Times New Roman"/>
          <w:bCs/>
          <w:iCs/>
          <w:color w:val="000000"/>
        </w:rPr>
        <w:t xml:space="preserve"> Estrutura Conceitual para Relatório Financeiro. </w:t>
      </w:r>
    </w:p>
    <w:p w:rsidR="00965322" w:rsidRPr="00965322" w:rsidRDefault="00965322" w:rsidP="00965322">
      <w:pPr>
        <w:ind w:right="-1"/>
        <w:jc w:val="both"/>
        <w:rPr>
          <w:rFonts w:ascii="Times New Roman" w:hAnsi="Times New Roman"/>
        </w:rPr>
      </w:pPr>
    </w:p>
    <w:p w:rsidR="00965322" w:rsidRPr="00965322" w:rsidRDefault="00965322" w:rsidP="00965322">
      <w:pPr>
        <w:pStyle w:val="PargrafodaLista"/>
        <w:numPr>
          <w:ilvl w:val="0"/>
          <w:numId w:val="13"/>
        </w:numPr>
        <w:ind w:left="567" w:right="-1" w:hanging="567"/>
        <w:contextualSpacing/>
        <w:jc w:val="both"/>
      </w:pPr>
      <w:r w:rsidRPr="00965322">
        <w:rPr>
          <w:b/>
        </w:rPr>
        <w:t>Inclui nota de rodapé na definição de “Passivo</w:t>
      </w:r>
      <w:r w:rsidRPr="00965322">
        <w:rPr>
          <w:b/>
          <w:i/>
        </w:rPr>
        <w:t>”</w:t>
      </w:r>
      <w:r w:rsidRPr="00965322">
        <w:rPr>
          <w:b/>
        </w:rPr>
        <w:t xml:space="preserve"> do item 10 do CPC 25 – Provisões, Passivos Contingentes e Ativos Contingentes, que passa a vigorar com a seguinte redação:</w:t>
      </w:r>
    </w:p>
    <w:p w:rsidR="00965322" w:rsidRPr="00965322" w:rsidRDefault="00965322" w:rsidP="00965322">
      <w:pPr>
        <w:pStyle w:val="Textoembloco"/>
        <w:tabs>
          <w:tab w:val="left" w:pos="175"/>
        </w:tabs>
        <w:spacing w:before="0" w:after="0" w:line="240" w:lineRule="auto"/>
        <w:ind w:left="34" w:firstLine="0"/>
        <w:jc w:val="both"/>
        <w:rPr>
          <w:rFonts w:ascii="Times New Roman" w:hAnsi="Times New Roman"/>
          <w:i/>
          <w:color w:val="000000"/>
          <w:sz w:val="24"/>
          <w:lang w:val="pt-BR"/>
        </w:rPr>
      </w:pPr>
    </w:p>
    <w:p w:rsidR="00965322" w:rsidRPr="00965322" w:rsidRDefault="00965322" w:rsidP="00965322">
      <w:pPr>
        <w:pStyle w:val="Textoembloco"/>
        <w:tabs>
          <w:tab w:val="clear" w:pos="6804"/>
        </w:tabs>
        <w:spacing w:before="0" w:after="0" w:line="240" w:lineRule="auto"/>
        <w:ind w:left="567" w:firstLine="0"/>
        <w:jc w:val="both"/>
        <w:rPr>
          <w:rFonts w:ascii="Times New Roman" w:hAnsi="Times New Roman"/>
          <w:color w:val="000000"/>
          <w:sz w:val="24"/>
        </w:rPr>
      </w:pPr>
      <w:r w:rsidRPr="00965322">
        <w:rPr>
          <w:rFonts w:ascii="Times New Roman" w:hAnsi="Times New Roman"/>
          <w:color w:val="000000"/>
          <w:sz w:val="24"/>
          <w:lang w:val="pt-BR"/>
        </w:rPr>
        <w:t>Passivo</w:t>
      </w:r>
      <w:r w:rsidRPr="00965322">
        <w:rPr>
          <w:rFonts w:ascii="Times New Roman" w:hAnsi="Times New Roman"/>
          <w:color w:val="000000"/>
          <w:sz w:val="24"/>
          <w:vertAlign w:val="superscript"/>
          <w:lang w:val="pt-BR"/>
        </w:rPr>
        <w:t>1</w:t>
      </w:r>
      <w:r w:rsidRPr="00965322">
        <w:rPr>
          <w:rFonts w:ascii="Times New Roman" w:hAnsi="Times New Roman"/>
          <w:color w:val="000000"/>
          <w:sz w:val="24"/>
          <w:lang w:val="pt-BR"/>
        </w:rPr>
        <w:t xml:space="preserve"> é uma obrigação presente da entidade, derivada de eventos já ocorridos, cuja liquidação se espera que resulte em saída de recursos da entidade capazes de gerar benefícios econômicos.</w:t>
      </w:r>
    </w:p>
    <w:p w:rsidR="00965322" w:rsidRPr="00965322" w:rsidRDefault="00965322" w:rsidP="00965322">
      <w:pPr>
        <w:pStyle w:val="Textoembloco"/>
        <w:tabs>
          <w:tab w:val="clear" w:pos="6804"/>
        </w:tabs>
        <w:spacing w:before="0" w:after="0" w:line="240" w:lineRule="auto"/>
        <w:ind w:left="567" w:firstLine="0"/>
        <w:jc w:val="both"/>
        <w:rPr>
          <w:rFonts w:ascii="Times New Roman" w:hAnsi="Times New Roman"/>
          <w:color w:val="000000"/>
          <w:sz w:val="24"/>
        </w:rPr>
      </w:pPr>
      <w:r w:rsidRPr="00965322">
        <w:rPr>
          <w:rFonts w:ascii="Times New Roman" w:hAnsi="Times New Roman"/>
          <w:color w:val="000000"/>
          <w:sz w:val="24"/>
          <w:vertAlign w:val="superscript"/>
          <w:lang w:val="pt-BR"/>
        </w:rPr>
        <w:t xml:space="preserve">1 </w:t>
      </w:r>
      <w:r w:rsidRPr="00965322">
        <w:rPr>
          <w:rFonts w:ascii="Times New Roman" w:hAnsi="Times New Roman"/>
          <w:color w:val="000000"/>
          <w:sz w:val="24"/>
          <w:lang w:val="pt-BR"/>
        </w:rPr>
        <w:t>A definição de passivo neste Pronunciamento não foi revisada após a revisão da definição de passivo no CPC 00 – Estrutura Conceitual para Relatório Financeiro.</w:t>
      </w:r>
    </w:p>
    <w:p w:rsidR="00965322" w:rsidRPr="00965322" w:rsidRDefault="00965322" w:rsidP="00965322">
      <w:pPr>
        <w:ind w:right="-1"/>
        <w:jc w:val="both"/>
        <w:rPr>
          <w:rFonts w:ascii="Times New Roman" w:hAnsi="Times New Roman"/>
        </w:rPr>
      </w:pPr>
    </w:p>
    <w:p w:rsidR="00965322" w:rsidRPr="00965322" w:rsidRDefault="00965322" w:rsidP="00965322">
      <w:pPr>
        <w:ind w:right="-1"/>
        <w:jc w:val="both"/>
        <w:rPr>
          <w:rFonts w:ascii="Times New Roman" w:hAnsi="Times New Roman"/>
        </w:rPr>
      </w:pPr>
    </w:p>
    <w:p w:rsidR="00965322" w:rsidRPr="00965322" w:rsidRDefault="00965322" w:rsidP="00965322">
      <w:pPr>
        <w:pStyle w:val="PargrafodaLista"/>
        <w:numPr>
          <w:ilvl w:val="0"/>
          <w:numId w:val="13"/>
        </w:numPr>
        <w:ind w:left="567" w:right="-1" w:hanging="567"/>
        <w:contextualSpacing/>
        <w:jc w:val="both"/>
        <w:rPr>
          <w:b/>
        </w:rPr>
      </w:pPr>
      <w:r w:rsidRPr="00965322">
        <w:rPr>
          <w:b/>
        </w:rPr>
        <w:t xml:space="preserve">Altera os itens 7, 15, 19, 20, 23, 24, 28 e 89 do CPC 26 (R1) – Apresentação das Demonstrações Contábeis, que passam a vigorar com as seguintes redações: </w:t>
      </w:r>
    </w:p>
    <w:p w:rsidR="00965322" w:rsidRPr="00965322" w:rsidRDefault="00965322" w:rsidP="00965322">
      <w:pPr>
        <w:ind w:left="567" w:right="-1" w:hanging="567"/>
        <w:jc w:val="both"/>
        <w:rPr>
          <w:rFonts w:ascii="Times New Roman" w:hAnsi="Times New Roman"/>
        </w:rPr>
      </w:pPr>
    </w:p>
    <w:p w:rsidR="00965322" w:rsidRPr="00965322" w:rsidRDefault="00965322" w:rsidP="00965322">
      <w:pPr>
        <w:ind w:left="567" w:hanging="567"/>
        <w:jc w:val="both"/>
        <w:rPr>
          <w:rFonts w:ascii="Times New Roman" w:eastAsia="Bookman Old Style" w:hAnsi="Times New Roman"/>
          <w:lang w:bidi="en-US"/>
        </w:rPr>
      </w:pPr>
      <w:r w:rsidRPr="00965322">
        <w:rPr>
          <w:rFonts w:ascii="Times New Roman" w:eastAsia="Bookman Old Style" w:hAnsi="Times New Roman"/>
          <w:lang w:bidi="en-US"/>
        </w:rPr>
        <w:t xml:space="preserve">7. </w:t>
      </w:r>
      <w:r w:rsidRPr="00965322">
        <w:rPr>
          <w:rFonts w:ascii="Times New Roman" w:eastAsia="Bookman Old Style" w:hAnsi="Times New Roman"/>
          <w:lang w:bidi="en-US"/>
        </w:rPr>
        <w:tab/>
        <w:t>(...)</w:t>
      </w:r>
    </w:p>
    <w:p w:rsidR="00965322" w:rsidRPr="00965322" w:rsidRDefault="00965322" w:rsidP="00965322">
      <w:pPr>
        <w:ind w:left="567"/>
        <w:jc w:val="both"/>
        <w:rPr>
          <w:rFonts w:ascii="Times New Roman" w:eastAsia="Bookman Old Style" w:hAnsi="Times New Roman"/>
          <w:lang w:bidi="en-US"/>
        </w:rPr>
      </w:pPr>
      <w:r w:rsidRPr="00965322">
        <w:rPr>
          <w:rFonts w:ascii="Times New Roman" w:eastAsia="Bookman Old Style" w:hAnsi="Times New Roman"/>
          <w:lang w:bidi="en-US"/>
        </w:rPr>
        <w:t>Material – A informação é material se sua omissão, distorção ou obscuridade pode influenciar, de modo razoável, decisões que os usuários primários das demonstrações contábeis de propósito geral tomam como base nessas demonstrações contábeis, que fornecem informações financeiras sobre relatório específico da entidade.</w:t>
      </w:r>
    </w:p>
    <w:p w:rsidR="00965322" w:rsidRPr="00965322" w:rsidRDefault="00965322" w:rsidP="00965322">
      <w:pPr>
        <w:ind w:left="567"/>
        <w:jc w:val="both"/>
        <w:rPr>
          <w:rFonts w:ascii="Times New Roman" w:eastAsia="Bookman Old Style" w:hAnsi="Times New Roman"/>
          <w:lang w:bidi="en-US"/>
        </w:rPr>
      </w:pPr>
      <w:r w:rsidRPr="00965322">
        <w:rPr>
          <w:rFonts w:ascii="Times New Roman" w:eastAsia="Bookman Old Style" w:hAnsi="Times New Roman"/>
          <w:lang w:bidi="en-US"/>
        </w:rPr>
        <w:t>A materialidade depende da natureza ou magnitude da informação, ou de ambas. A entidade avalia se a informação, individualmente ou em combinação com outra informação, é material no contexto das suas demonstrações contábeis tomadas como um todo.</w:t>
      </w:r>
    </w:p>
    <w:p w:rsidR="00965322" w:rsidRPr="00965322" w:rsidRDefault="00965322" w:rsidP="00965322">
      <w:pPr>
        <w:ind w:left="567"/>
        <w:jc w:val="both"/>
        <w:rPr>
          <w:rFonts w:ascii="Times New Roman" w:eastAsia="Bookman Old Style" w:hAnsi="Times New Roman"/>
          <w:lang w:bidi="en-US"/>
        </w:rPr>
      </w:pPr>
      <w:r w:rsidRPr="00965322">
        <w:rPr>
          <w:rFonts w:ascii="Times New Roman" w:eastAsia="Bookman Old Style" w:hAnsi="Times New Roman"/>
          <w:lang w:bidi="en-US"/>
        </w:rPr>
        <w:t>A informação é obscura se for comunicada de forma que teria efeito semelhante, para os usuários primários das demonstrações contábeis, à omissão ou ao erro dessa informação. Seguem-se exemplos de circunstâncias que podem resultar na ocultação de informações relevantes:</w:t>
      </w:r>
    </w:p>
    <w:p w:rsidR="00965322" w:rsidRPr="00965322" w:rsidRDefault="00965322" w:rsidP="00965322">
      <w:pPr>
        <w:ind w:left="567"/>
        <w:jc w:val="both"/>
        <w:rPr>
          <w:rFonts w:ascii="Times New Roman" w:eastAsia="Bookman Old Style" w:hAnsi="Times New Roman"/>
          <w:lang w:bidi="en-US"/>
        </w:rPr>
      </w:pPr>
      <w:r w:rsidRPr="00965322">
        <w:rPr>
          <w:rFonts w:ascii="Times New Roman" w:eastAsia="Bookman Old Style" w:hAnsi="Times New Roman"/>
          <w:lang w:bidi="en-US"/>
        </w:rPr>
        <w:t xml:space="preserve">(a) </w:t>
      </w:r>
      <w:r w:rsidRPr="00965322">
        <w:rPr>
          <w:rFonts w:ascii="Times New Roman" w:eastAsia="Bookman Old Style" w:hAnsi="Times New Roman"/>
          <w:lang w:bidi="en-US"/>
        </w:rPr>
        <w:tab/>
        <w:t>as informações relativas ao item, transação ou outro evento relevante são divulgadas nas demonstrações contábeis, mas a linguagem utilizada é vaga ou pouco clara;</w:t>
      </w:r>
    </w:p>
    <w:p w:rsidR="00965322" w:rsidRPr="00965322" w:rsidRDefault="00965322" w:rsidP="00965322">
      <w:pPr>
        <w:ind w:left="567"/>
        <w:jc w:val="both"/>
        <w:rPr>
          <w:rFonts w:ascii="Times New Roman" w:eastAsia="Bookman Old Style" w:hAnsi="Times New Roman"/>
          <w:lang w:bidi="en-US"/>
        </w:rPr>
      </w:pPr>
      <w:r w:rsidRPr="00965322">
        <w:rPr>
          <w:rFonts w:ascii="Times New Roman" w:eastAsia="Bookman Old Style" w:hAnsi="Times New Roman"/>
          <w:lang w:bidi="en-US"/>
        </w:rPr>
        <w:t>(b) as informações relativas ao item, transação ou outro evento relevante estão dispersas nas demonstrações contábeis;</w:t>
      </w:r>
    </w:p>
    <w:p w:rsidR="00965322" w:rsidRPr="00965322" w:rsidRDefault="00965322" w:rsidP="00965322">
      <w:pPr>
        <w:ind w:left="567"/>
        <w:jc w:val="both"/>
        <w:rPr>
          <w:rFonts w:ascii="Times New Roman" w:eastAsia="Bookman Old Style" w:hAnsi="Times New Roman"/>
          <w:lang w:bidi="en-US"/>
        </w:rPr>
      </w:pPr>
      <w:r w:rsidRPr="00965322">
        <w:rPr>
          <w:rFonts w:ascii="Times New Roman" w:eastAsia="Bookman Old Style" w:hAnsi="Times New Roman"/>
          <w:lang w:bidi="en-US"/>
        </w:rPr>
        <w:t xml:space="preserve">(c) </w:t>
      </w:r>
      <w:r w:rsidRPr="00965322">
        <w:rPr>
          <w:rFonts w:ascii="Times New Roman" w:eastAsia="Bookman Old Style" w:hAnsi="Times New Roman"/>
          <w:lang w:bidi="en-US"/>
        </w:rPr>
        <w:tab/>
        <w:t>itens distintos, transações ou outros eventos são agregados de forma inadequada;</w:t>
      </w:r>
    </w:p>
    <w:p w:rsidR="00965322" w:rsidRPr="00965322" w:rsidRDefault="00965322" w:rsidP="00965322">
      <w:pPr>
        <w:ind w:left="567"/>
        <w:jc w:val="both"/>
        <w:rPr>
          <w:rFonts w:ascii="Times New Roman" w:eastAsia="Bookman Old Style" w:hAnsi="Times New Roman"/>
          <w:lang w:bidi="en-US"/>
        </w:rPr>
      </w:pPr>
      <w:r w:rsidRPr="00965322">
        <w:rPr>
          <w:rFonts w:ascii="Times New Roman" w:eastAsia="Bookman Old Style" w:hAnsi="Times New Roman"/>
          <w:lang w:bidi="en-US"/>
        </w:rPr>
        <w:lastRenderedPageBreak/>
        <w:t xml:space="preserve">(d) </w:t>
      </w:r>
      <w:r w:rsidRPr="00965322">
        <w:rPr>
          <w:rFonts w:ascii="Times New Roman" w:eastAsia="Bookman Old Style" w:hAnsi="Times New Roman"/>
          <w:lang w:bidi="en-US"/>
        </w:rPr>
        <w:tab/>
        <w:t>itens similares, transações ou outros eventos são desagregados inadequadamente; e</w:t>
      </w:r>
    </w:p>
    <w:p w:rsidR="00965322" w:rsidRPr="00965322" w:rsidRDefault="00965322" w:rsidP="00965322">
      <w:pPr>
        <w:ind w:left="567"/>
        <w:jc w:val="both"/>
        <w:rPr>
          <w:rFonts w:ascii="Times New Roman" w:eastAsia="Bookman Old Style" w:hAnsi="Times New Roman"/>
          <w:lang w:bidi="en-US"/>
        </w:rPr>
      </w:pPr>
      <w:r w:rsidRPr="00965322">
        <w:rPr>
          <w:rFonts w:ascii="Times New Roman" w:eastAsia="Bookman Old Style" w:hAnsi="Times New Roman"/>
          <w:lang w:bidi="en-US"/>
        </w:rPr>
        <w:t xml:space="preserve">(e) </w:t>
      </w:r>
      <w:r w:rsidRPr="00965322">
        <w:rPr>
          <w:rFonts w:ascii="Times New Roman" w:eastAsia="Bookman Old Style" w:hAnsi="Times New Roman"/>
          <w:lang w:bidi="en-US"/>
        </w:rPr>
        <w:tab/>
        <w:t>a compreensibilidade das demonstrações contábeis é reduzida como resultado de informações materiais ocultas por informações imateriais, na medida em que o usuário principal não consegue determinar quais informações são relevantes.</w:t>
      </w:r>
    </w:p>
    <w:p w:rsidR="00965322" w:rsidRPr="00965322" w:rsidRDefault="00965322" w:rsidP="00965322">
      <w:pPr>
        <w:ind w:left="567"/>
        <w:jc w:val="both"/>
        <w:rPr>
          <w:rFonts w:ascii="Times New Roman" w:eastAsia="Bookman Old Style" w:hAnsi="Times New Roman"/>
          <w:lang w:bidi="en-US"/>
        </w:rPr>
      </w:pPr>
      <w:r w:rsidRPr="00965322">
        <w:rPr>
          <w:rFonts w:ascii="Times New Roman" w:eastAsia="Bookman Old Style" w:hAnsi="Times New Roman"/>
          <w:lang w:bidi="en-US"/>
        </w:rPr>
        <w:t>Avaliar se poderia ser razoavelmente esperado que a informação influencie as decisões tomadas pelos usuários primários das demonstrações contábeis para fins gerais de entidade específica requer que a entidade considere as características desses usuários e, ao mesmo tempo, considere as próprias circunstâncias da entidade.</w:t>
      </w:r>
    </w:p>
    <w:p w:rsidR="00965322" w:rsidRPr="00965322" w:rsidRDefault="00965322" w:rsidP="00965322">
      <w:pPr>
        <w:ind w:left="567"/>
        <w:jc w:val="both"/>
        <w:rPr>
          <w:rFonts w:ascii="Times New Roman" w:eastAsia="Bookman Old Style" w:hAnsi="Times New Roman"/>
          <w:lang w:bidi="en-US"/>
        </w:rPr>
      </w:pPr>
      <w:r w:rsidRPr="00965322">
        <w:rPr>
          <w:rFonts w:ascii="Times New Roman" w:eastAsia="Bookman Old Style" w:hAnsi="Times New Roman"/>
          <w:lang w:bidi="en-US"/>
        </w:rPr>
        <w:t>Muitos investidores, mutuantes e outros credores existentes e potenciais não podem exigir que a entidade que reporta forneça informações diretamente a eles e devem confiar nas demonstrações contábeis para fins gerais para grande parte das informações financeiras de que precisam. Consequentemente, eles são os usuários primários para os quais as demonstrações contábeis para fins gerais são direcionadas. As demonstrações contábeis são elaboradas para usuários que tenham conhecimento razoável das atividades econômicas e de negócios e que revisem e analisem as informações com diligência. Às vezes, até mesmo usuários bem informados e diligentes podem precisar buscar ajuda de consultor para entender às informações sobre fenômenos econômicos complexos.</w:t>
      </w:r>
    </w:p>
    <w:p w:rsidR="00965322" w:rsidRPr="00965322" w:rsidRDefault="00965322" w:rsidP="00965322">
      <w:pPr>
        <w:ind w:left="567"/>
        <w:jc w:val="both"/>
        <w:rPr>
          <w:rFonts w:ascii="Times New Roman" w:eastAsia="Bookman Old Style" w:hAnsi="Times New Roman"/>
          <w:lang w:bidi="en-US"/>
        </w:rPr>
      </w:pPr>
      <w:r w:rsidRPr="00965322">
        <w:rPr>
          <w:rFonts w:ascii="Times New Roman" w:eastAsia="Bookman Old Style" w:hAnsi="Times New Roman"/>
          <w:lang w:bidi="en-US"/>
        </w:rPr>
        <w:t>(...)</w:t>
      </w:r>
    </w:p>
    <w:p w:rsidR="00965322" w:rsidRPr="00965322" w:rsidRDefault="00965322" w:rsidP="00965322">
      <w:pPr>
        <w:ind w:right="-1"/>
        <w:jc w:val="both"/>
        <w:rPr>
          <w:rFonts w:ascii="Times New Roman" w:hAnsi="Times New Roman"/>
        </w:rPr>
      </w:pPr>
    </w:p>
    <w:p w:rsidR="00965322" w:rsidRPr="00965322" w:rsidRDefault="00965322" w:rsidP="00965322">
      <w:pPr>
        <w:ind w:left="567" w:hanging="567"/>
        <w:jc w:val="both"/>
        <w:rPr>
          <w:rFonts w:ascii="Times New Roman" w:hAnsi="Times New Roman"/>
        </w:rPr>
      </w:pPr>
      <w:r w:rsidRPr="00965322">
        <w:rPr>
          <w:rFonts w:ascii="Times New Roman" w:hAnsi="Times New Roman"/>
        </w:rPr>
        <w:t>15.</w:t>
      </w:r>
      <w:r w:rsidRPr="00965322">
        <w:rPr>
          <w:rFonts w:ascii="Times New Roman" w:hAnsi="Times New Roman"/>
        </w:rPr>
        <w:tab/>
        <w:t xml:space="preserve">As demonstrações contábeis devem representar apropriadamente a posição financeira e patrimonial, o desempenho e os fluxos de caixa da entidade. Para apresentação adequada, é necessária a representação fidedigna dos efeitos das transações, outros eventos e condições de acordo com as definições e critérios de reconhecimento para ativos, passivos, receitas e despesas como estabelecidos no CPC 00 – Estrutura Conceitual para </w:t>
      </w:r>
      <w:r w:rsidRPr="00965322">
        <w:rPr>
          <w:rFonts w:ascii="Times New Roman" w:eastAsia="EUAlbertina-BoldItalic-Identity" w:hAnsi="Times New Roman"/>
          <w:bCs/>
          <w:iCs/>
        </w:rPr>
        <w:t>Relatório Financeiro</w:t>
      </w:r>
      <w:r w:rsidRPr="00965322">
        <w:rPr>
          <w:rFonts w:ascii="Times New Roman" w:hAnsi="Times New Roman"/>
        </w:rPr>
        <w:t xml:space="preserve">. Presume-se que a aplicação dos pronunciamentos técnicos, interpretações e orientações do CPC, com divulgação adicional quando necessária, resulta em demonstrações contábeis que se enquadram como representação apropriada. </w:t>
      </w:r>
    </w:p>
    <w:p w:rsidR="00965322" w:rsidRPr="00965322" w:rsidRDefault="00965322" w:rsidP="00965322">
      <w:pPr>
        <w:ind w:right="-1"/>
        <w:jc w:val="both"/>
        <w:rPr>
          <w:rFonts w:ascii="Times New Roman" w:hAnsi="Times New Roman"/>
        </w:rPr>
      </w:pPr>
    </w:p>
    <w:p w:rsidR="00965322" w:rsidRPr="00965322" w:rsidRDefault="00965322" w:rsidP="00965322">
      <w:pPr>
        <w:ind w:left="567" w:hanging="567"/>
        <w:jc w:val="both"/>
        <w:rPr>
          <w:rFonts w:ascii="Times New Roman" w:hAnsi="Times New Roman"/>
        </w:rPr>
      </w:pPr>
      <w:r w:rsidRPr="00965322">
        <w:rPr>
          <w:rFonts w:ascii="Times New Roman" w:hAnsi="Times New Roman"/>
        </w:rPr>
        <w:t>19.</w:t>
      </w:r>
      <w:r w:rsidRPr="00965322">
        <w:rPr>
          <w:rFonts w:ascii="Times New Roman" w:hAnsi="Times New Roman"/>
        </w:rPr>
        <w:tab/>
        <w:t>Em circunstâncias extremamente raras, nas quais a administração vier a concluir que a conformidade com um requisito de pronunciamento técnico, interpretação ou orientação do CPC conduziria a uma apresentação tão enganosa que entraria em conflito com o objetivo das demonstrações contábeis estabelecido no CPC 00, a entidade não deve aplicar esse requisito e deve seguir o disposto no item 20, a não ser que esse procedimento seja terminantemente vedado do ponto de vista legal e regulatório.</w:t>
      </w:r>
    </w:p>
    <w:p w:rsidR="00965322" w:rsidRPr="00965322" w:rsidRDefault="00965322" w:rsidP="00965322">
      <w:pPr>
        <w:ind w:right="-1"/>
        <w:jc w:val="both"/>
        <w:rPr>
          <w:rFonts w:ascii="Times New Roman" w:hAnsi="Times New Roman"/>
        </w:rPr>
      </w:pPr>
    </w:p>
    <w:p w:rsidR="00965322" w:rsidRPr="00965322" w:rsidRDefault="00965322" w:rsidP="00965322">
      <w:pPr>
        <w:pStyle w:val="Textoembloco"/>
        <w:spacing w:before="0" w:after="0" w:line="240" w:lineRule="auto"/>
        <w:ind w:left="567" w:hanging="567"/>
        <w:jc w:val="both"/>
        <w:rPr>
          <w:rFonts w:ascii="Times New Roman" w:hAnsi="Times New Roman"/>
          <w:sz w:val="24"/>
        </w:rPr>
      </w:pPr>
      <w:r w:rsidRPr="00965322">
        <w:rPr>
          <w:rFonts w:ascii="Times New Roman" w:hAnsi="Times New Roman"/>
          <w:sz w:val="24"/>
          <w:lang w:val="pt-BR"/>
        </w:rPr>
        <w:t xml:space="preserve">20. </w:t>
      </w:r>
      <w:r w:rsidRPr="00965322">
        <w:rPr>
          <w:rFonts w:ascii="Times New Roman" w:hAnsi="Times New Roman"/>
          <w:sz w:val="24"/>
          <w:lang w:val="pt-BR"/>
        </w:rPr>
        <w:tab/>
        <w:t>Quando a entidade não aplicar um requisito de pronunciamento técnico, interpretação ou orientação do CPC ou de acordo com o item 19, deve divulgar:</w:t>
      </w:r>
      <w:r w:rsidRPr="00965322">
        <w:rPr>
          <w:rFonts w:ascii="Times New Roman" w:hAnsi="Times New Roman"/>
          <w:sz w:val="24"/>
          <w:lang w:val="pt-BR"/>
        </w:rPr>
        <w:tab/>
        <w:t xml:space="preserve"> </w:t>
      </w:r>
    </w:p>
    <w:p w:rsidR="00965322" w:rsidRPr="00965322" w:rsidRDefault="00965322" w:rsidP="00965322">
      <w:pPr>
        <w:numPr>
          <w:ilvl w:val="0"/>
          <w:numId w:val="8"/>
        </w:numPr>
        <w:tabs>
          <w:tab w:val="clear" w:pos="1070"/>
        </w:tabs>
        <w:autoSpaceDE/>
        <w:autoSpaceDN/>
        <w:adjustRightInd/>
        <w:ind w:left="993" w:hanging="426"/>
        <w:jc w:val="both"/>
        <w:rPr>
          <w:rFonts w:ascii="Times New Roman" w:hAnsi="Times New Roman"/>
          <w:bCs/>
          <w:iCs/>
          <w:lang w:val="pt-PT"/>
        </w:rPr>
      </w:pPr>
      <w:r w:rsidRPr="00965322">
        <w:rPr>
          <w:rFonts w:ascii="Times New Roman" w:hAnsi="Times New Roman"/>
          <w:bCs/>
          <w:iCs/>
        </w:rPr>
        <w:t>que a administração concluiu que as demonstrações contábeis apresentam de forma apropriada a posição financeira e patrimonial, o desempenho e os fluxos de caixa da entidade;</w:t>
      </w:r>
    </w:p>
    <w:p w:rsidR="00965322" w:rsidRPr="00965322" w:rsidRDefault="00965322" w:rsidP="00965322">
      <w:pPr>
        <w:numPr>
          <w:ilvl w:val="0"/>
          <w:numId w:val="8"/>
        </w:numPr>
        <w:tabs>
          <w:tab w:val="clear" w:pos="1070"/>
        </w:tabs>
        <w:autoSpaceDE/>
        <w:autoSpaceDN/>
        <w:adjustRightInd/>
        <w:ind w:left="993" w:hanging="426"/>
        <w:jc w:val="both"/>
        <w:rPr>
          <w:rFonts w:ascii="Times New Roman" w:hAnsi="Times New Roman"/>
          <w:bCs/>
          <w:iCs/>
        </w:rPr>
      </w:pPr>
      <w:r w:rsidRPr="00965322">
        <w:rPr>
          <w:rFonts w:ascii="Times New Roman" w:hAnsi="Times New Roman"/>
          <w:bCs/>
          <w:iCs/>
        </w:rPr>
        <w:t>que aplicou os pronunciamentos técnicos, interpretações e orientações do CPC aplicáveis, exceto pela não aplicação de requisito específico com o propósito de obter representação apropriada;</w:t>
      </w:r>
    </w:p>
    <w:p w:rsidR="00965322" w:rsidRPr="00965322" w:rsidRDefault="00965322" w:rsidP="00965322">
      <w:pPr>
        <w:numPr>
          <w:ilvl w:val="0"/>
          <w:numId w:val="8"/>
        </w:numPr>
        <w:tabs>
          <w:tab w:val="clear" w:pos="1070"/>
        </w:tabs>
        <w:autoSpaceDE/>
        <w:autoSpaceDN/>
        <w:adjustRightInd/>
        <w:ind w:left="993" w:hanging="426"/>
        <w:jc w:val="both"/>
        <w:rPr>
          <w:rFonts w:ascii="Times New Roman" w:hAnsi="Times New Roman"/>
          <w:bCs/>
          <w:iCs/>
        </w:rPr>
      </w:pPr>
      <w:r w:rsidRPr="00965322">
        <w:rPr>
          <w:rFonts w:ascii="Times New Roman" w:hAnsi="Times New Roman"/>
          <w:bCs/>
          <w:iCs/>
        </w:rPr>
        <w:t>o título do pronunciamento técnico, interpretação ou orientação do CPC que a entidade não aplicou, a natureza dessa exceção, incluindo o tratamento que o Pronunciamento Técnico, Interpretação ou Orientação do CPC exigiria; a razão pela qual esse tratamento seria tão enganoso que entraria em conflito com o objetivo das demonstrações contábeis, estabelecido no CPC 00; e o tratamento efetivamente adotado; e</w:t>
      </w:r>
    </w:p>
    <w:p w:rsidR="00965322" w:rsidRPr="00965322" w:rsidRDefault="00965322" w:rsidP="00965322">
      <w:pPr>
        <w:numPr>
          <w:ilvl w:val="0"/>
          <w:numId w:val="8"/>
        </w:numPr>
        <w:tabs>
          <w:tab w:val="clear" w:pos="1070"/>
        </w:tabs>
        <w:autoSpaceDE/>
        <w:autoSpaceDN/>
        <w:adjustRightInd/>
        <w:ind w:left="993" w:hanging="426"/>
        <w:jc w:val="both"/>
        <w:rPr>
          <w:rFonts w:ascii="Times New Roman" w:hAnsi="Times New Roman"/>
          <w:bCs/>
          <w:iCs/>
        </w:rPr>
      </w:pPr>
      <w:r w:rsidRPr="00965322">
        <w:rPr>
          <w:rFonts w:ascii="Times New Roman" w:hAnsi="Times New Roman"/>
          <w:bCs/>
          <w:iCs/>
        </w:rPr>
        <w:t>para cada período apresentado, o impacto financeiro da não aplicação do pronunciamento técnico, interpretação ou orientação do CPC vigente em cada item nas demonstrações contábeis que teria sido informado, caso tivesse sido cumprido o requisito não aplicado.</w:t>
      </w:r>
    </w:p>
    <w:p w:rsidR="00965322" w:rsidRPr="00965322" w:rsidRDefault="00965322" w:rsidP="00965322">
      <w:pPr>
        <w:ind w:right="-1"/>
        <w:jc w:val="both"/>
        <w:rPr>
          <w:rFonts w:ascii="Times New Roman" w:hAnsi="Times New Roman"/>
        </w:rPr>
      </w:pPr>
    </w:p>
    <w:p w:rsidR="00965322" w:rsidRPr="00965322" w:rsidRDefault="00965322" w:rsidP="00965322">
      <w:pPr>
        <w:pStyle w:val="Textoembloco"/>
        <w:spacing w:before="0" w:after="0" w:line="240" w:lineRule="auto"/>
        <w:ind w:left="567" w:hanging="567"/>
        <w:jc w:val="both"/>
        <w:rPr>
          <w:rFonts w:ascii="Times New Roman" w:hAnsi="Times New Roman"/>
          <w:sz w:val="24"/>
        </w:rPr>
      </w:pPr>
      <w:r w:rsidRPr="00965322">
        <w:rPr>
          <w:rFonts w:ascii="Times New Roman" w:hAnsi="Times New Roman"/>
          <w:sz w:val="24"/>
          <w:lang w:val="pt-BR"/>
        </w:rPr>
        <w:t>23.</w:t>
      </w:r>
      <w:r w:rsidRPr="00965322">
        <w:rPr>
          <w:rFonts w:ascii="Times New Roman" w:hAnsi="Times New Roman"/>
          <w:sz w:val="24"/>
          <w:lang w:val="pt-BR"/>
        </w:rPr>
        <w:tab/>
        <w:t>Em circunstâncias extremamente raras, nas quais a administração vier a concluir que a conformidade com requisito de pronunciamento técnico, interpretação ou orientação do CPC conduziria a uma apresentação tão enganosa que entraria em conflito com o objetivo das demonstrações contábeis estabelecido no CPC 00, mas a estrutura regulatória vigente proibir a não aplicação do requisito, a entidade deve, na maior extensão possível, reduzir os aspectos inadequados identificados no cumprimento estrito do pronunciamento técnico, interpretação ou orientação do CPC divulgando:</w:t>
      </w:r>
    </w:p>
    <w:p w:rsidR="00965322" w:rsidRPr="00965322" w:rsidRDefault="00965322" w:rsidP="00965322">
      <w:pPr>
        <w:numPr>
          <w:ilvl w:val="0"/>
          <w:numId w:val="9"/>
        </w:numPr>
        <w:tabs>
          <w:tab w:val="clear" w:pos="1070"/>
        </w:tabs>
        <w:autoSpaceDE/>
        <w:autoSpaceDN/>
        <w:adjustRightInd/>
        <w:ind w:left="993" w:hanging="426"/>
        <w:jc w:val="both"/>
        <w:rPr>
          <w:rFonts w:ascii="Times New Roman" w:hAnsi="Times New Roman"/>
          <w:bCs/>
          <w:iCs/>
          <w:lang w:val="pt-PT"/>
        </w:rPr>
      </w:pPr>
      <w:r w:rsidRPr="00965322">
        <w:rPr>
          <w:rFonts w:ascii="Times New Roman" w:hAnsi="Times New Roman"/>
          <w:bCs/>
          <w:iCs/>
        </w:rPr>
        <w:t xml:space="preserve">o título do pronunciamento técnico, interpretação ou orientação do CPC em questão, a natureza do requisito e as razões que levaram a administração a concluir que o cumprimento desse requisito tornaria as demonstrações contábeis tão enganosas que entraria em conflito com o objetivo das demonstrações contábeis estabelecido </w:t>
      </w:r>
      <w:r w:rsidRPr="00965322">
        <w:rPr>
          <w:rFonts w:ascii="Times New Roman" w:hAnsi="Times New Roman"/>
        </w:rPr>
        <w:t>no CPC 00</w:t>
      </w:r>
      <w:r w:rsidRPr="00965322">
        <w:rPr>
          <w:rFonts w:ascii="Times New Roman" w:hAnsi="Times New Roman"/>
          <w:bCs/>
          <w:iCs/>
        </w:rPr>
        <w:t>; e</w:t>
      </w:r>
    </w:p>
    <w:p w:rsidR="00965322" w:rsidRPr="00965322" w:rsidRDefault="00965322" w:rsidP="00965322">
      <w:pPr>
        <w:numPr>
          <w:ilvl w:val="0"/>
          <w:numId w:val="9"/>
        </w:numPr>
        <w:tabs>
          <w:tab w:val="clear" w:pos="1070"/>
        </w:tabs>
        <w:autoSpaceDE/>
        <w:autoSpaceDN/>
        <w:adjustRightInd/>
        <w:ind w:left="993" w:hanging="426"/>
        <w:jc w:val="both"/>
        <w:rPr>
          <w:rFonts w:ascii="Times New Roman" w:hAnsi="Times New Roman"/>
          <w:bCs/>
          <w:iCs/>
        </w:rPr>
      </w:pPr>
      <w:r w:rsidRPr="00965322">
        <w:rPr>
          <w:rFonts w:ascii="Times New Roman" w:hAnsi="Times New Roman"/>
          <w:bCs/>
          <w:iCs/>
        </w:rPr>
        <w:t>para cada período apresentado, os ajustes de cada item nas demonstrações contábeis que a administração concluiu serem necessários para se obter representação apropriada.</w:t>
      </w:r>
    </w:p>
    <w:p w:rsidR="00965322" w:rsidRPr="00965322" w:rsidRDefault="00965322" w:rsidP="00965322">
      <w:pPr>
        <w:ind w:right="-1"/>
        <w:jc w:val="both"/>
        <w:rPr>
          <w:rFonts w:ascii="Times New Roman" w:hAnsi="Times New Roman"/>
        </w:rPr>
      </w:pPr>
    </w:p>
    <w:p w:rsidR="00965322" w:rsidRPr="00965322" w:rsidRDefault="00965322" w:rsidP="00965322">
      <w:pPr>
        <w:pStyle w:val="Textoembloco"/>
        <w:spacing w:before="0" w:after="0" w:line="240" w:lineRule="auto"/>
        <w:ind w:left="567" w:hanging="567"/>
        <w:jc w:val="both"/>
        <w:rPr>
          <w:rFonts w:ascii="Times New Roman" w:hAnsi="Times New Roman"/>
          <w:sz w:val="24"/>
        </w:rPr>
      </w:pPr>
      <w:r w:rsidRPr="00965322">
        <w:rPr>
          <w:rFonts w:ascii="Times New Roman" w:hAnsi="Times New Roman"/>
          <w:sz w:val="24"/>
          <w:lang w:val="pt-BR"/>
        </w:rPr>
        <w:t>24.</w:t>
      </w:r>
      <w:r w:rsidRPr="00965322">
        <w:rPr>
          <w:rFonts w:ascii="Times New Roman" w:hAnsi="Times New Roman"/>
          <w:sz w:val="24"/>
          <w:lang w:val="pt-BR"/>
        </w:rPr>
        <w:tab/>
        <w:t xml:space="preserve">Para a finalidade dos itens de 19 a 23, um item de informação entra em conflito com o objetivo das demonstrações contábeis quando não representa fidedignamente as transações, outros eventos e condições a que se propõe representar, ou que se poderia esperar razoavelmente que representasse e, consequentemente, seria provável que influenciasse as decisões econômicas tomadas pelos usuários das demonstrações contábeis. Ao avaliar se o cumprimento de requisito específico de pronunciamento técnico, interpretação ou orientação do CPC </w:t>
      </w:r>
      <w:r w:rsidRPr="00965322">
        <w:rPr>
          <w:rFonts w:ascii="Times New Roman" w:hAnsi="Times New Roman"/>
          <w:bCs/>
          <w:iCs/>
          <w:sz w:val="24"/>
        </w:rPr>
        <w:t>resultaria em divulgação tão distorcida a ponto de</w:t>
      </w:r>
      <w:r w:rsidRPr="00965322">
        <w:rPr>
          <w:rFonts w:ascii="Times New Roman" w:hAnsi="Times New Roman"/>
          <w:sz w:val="24"/>
          <w:lang w:val="pt-BR"/>
        </w:rPr>
        <w:t xml:space="preserve"> entrar em conflito com o objetivo das demonstrações contábeis, estabelecido </w:t>
      </w:r>
      <w:r w:rsidRPr="00965322">
        <w:rPr>
          <w:rFonts w:ascii="Times New Roman" w:hAnsi="Times New Roman"/>
          <w:sz w:val="24"/>
        </w:rPr>
        <w:t>no CPC 00</w:t>
      </w:r>
      <w:r w:rsidRPr="00965322">
        <w:rPr>
          <w:rFonts w:ascii="Times New Roman" w:hAnsi="Times New Roman"/>
          <w:sz w:val="24"/>
          <w:lang w:val="pt-BR"/>
        </w:rPr>
        <w:t>, a administração deve considerar:</w:t>
      </w:r>
    </w:p>
    <w:p w:rsidR="00965322" w:rsidRPr="00965322" w:rsidRDefault="00965322" w:rsidP="00965322">
      <w:pPr>
        <w:numPr>
          <w:ilvl w:val="0"/>
          <w:numId w:val="10"/>
        </w:numPr>
        <w:tabs>
          <w:tab w:val="clear" w:pos="1070"/>
        </w:tabs>
        <w:autoSpaceDE/>
        <w:autoSpaceDN/>
        <w:adjustRightInd/>
        <w:ind w:left="993" w:hanging="426"/>
        <w:jc w:val="both"/>
        <w:rPr>
          <w:rFonts w:ascii="Times New Roman" w:hAnsi="Times New Roman"/>
          <w:bCs/>
          <w:iCs/>
          <w:lang w:val="pt-PT"/>
        </w:rPr>
      </w:pPr>
      <w:r w:rsidRPr="00965322">
        <w:rPr>
          <w:rFonts w:ascii="Times New Roman" w:hAnsi="Times New Roman"/>
          <w:bCs/>
          <w:iCs/>
        </w:rPr>
        <w:t>a razão pela qual o objetivo das demonstrações contábeis não é alcançado nessa circunstância particular; e</w:t>
      </w:r>
    </w:p>
    <w:p w:rsidR="00965322" w:rsidRPr="00965322" w:rsidRDefault="00965322" w:rsidP="00965322">
      <w:pPr>
        <w:numPr>
          <w:ilvl w:val="0"/>
          <w:numId w:val="10"/>
        </w:numPr>
        <w:tabs>
          <w:tab w:val="clear" w:pos="1070"/>
        </w:tabs>
        <w:autoSpaceDE/>
        <w:autoSpaceDN/>
        <w:adjustRightInd/>
        <w:ind w:left="993" w:hanging="426"/>
        <w:jc w:val="both"/>
        <w:rPr>
          <w:rFonts w:ascii="Times New Roman" w:hAnsi="Times New Roman"/>
          <w:bCs/>
          <w:iCs/>
        </w:rPr>
      </w:pPr>
      <w:r w:rsidRPr="00965322">
        <w:rPr>
          <w:rFonts w:ascii="Times New Roman" w:hAnsi="Times New Roman"/>
          <w:bCs/>
          <w:iCs/>
        </w:rPr>
        <w:t xml:space="preserve">como as circunstâncias da entidade diferem das circunstâncias de outras entidades que cumprem o requisito. Se outras entidades em circunstâncias similares cumprem o requisito, há um pressuposto refutável de que o cumprimento do requisito por parte da entidade não resultaria em divulgação tão enganosa e, portanto, não entraria em conflito com o objetivo das demonstrações contábeis, estabelecido </w:t>
      </w:r>
      <w:r w:rsidRPr="00965322">
        <w:rPr>
          <w:rFonts w:ascii="Times New Roman" w:hAnsi="Times New Roman"/>
        </w:rPr>
        <w:t>no CPC 00</w:t>
      </w:r>
      <w:r w:rsidRPr="00965322">
        <w:rPr>
          <w:rFonts w:ascii="Times New Roman" w:hAnsi="Times New Roman"/>
          <w:bCs/>
          <w:iCs/>
        </w:rPr>
        <w:t>.</w:t>
      </w:r>
    </w:p>
    <w:p w:rsidR="00965322" w:rsidRPr="00965322" w:rsidRDefault="00965322" w:rsidP="00965322">
      <w:pPr>
        <w:ind w:right="-1"/>
        <w:jc w:val="both"/>
        <w:rPr>
          <w:rFonts w:ascii="Times New Roman" w:hAnsi="Times New Roman"/>
        </w:rPr>
      </w:pPr>
    </w:p>
    <w:p w:rsidR="00965322" w:rsidRPr="00965322" w:rsidRDefault="00965322" w:rsidP="00965322">
      <w:pPr>
        <w:pStyle w:val="Textoembloco"/>
        <w:spacing w:before="0" w:after="0" w:line="240" w:lineRule="auto"/>
        <w:ind w:left="567" w:hanging="567"/>
        <w:jc w:val="both"/>
        <w:rPr>
          <w:rFonts w:ascii="Times New Roman" w:hAnsi="Times New Roman"/>
          <w:sz w:val="24"/>
        </w:rPr>
      </w:pPr>
      <w:r w:rsidRPr="00965322">
        <w:rPr>
          <w:rFonts w:ascii="Times New Roman" w:hAnsi="Times New Roman"/>
          <w:sz w:val="24"/>
        </w:rPr>
        <w:t>28.</w:t>
      </w:r>
      <w:r w:rsidRPr="00965322">
        <w:rPr>
          <w:rFonts w:ascii="Times New Roman" w:hAnsi="Times New Roman"/>
          <w:sz w:val="24"/>
        </w:rPr>
        <w:tab/>
        <w:t>Quando o regime de competência é utilizado, os itens devem ser reconhecidos como ativos, passivos, patrimônio líquido, receitas e despesas (elementos das demonstrações contábeis) quando satisfazem às definições e aos critérios de reconhecimento para esses elementos contidos no CPC 00.</w:t>
      </w:r>
    </w:p>
    <w:p w:rsidR="00965322" w:rsidRPr="00965322" w:rsidRDefault="00965322" w:rsidP="00965322">
      <w:pPr>
        <w:ind w:right="-1"/>
        <w:jc w:val="both"/>
        <w:rPr>
          <w:rFonts w:ascii="Times New Roman" w:hAnsi="Times New Roman"/>
        </w:rPr>
      </w:pPr>
    </w:p>
    <w:p w:rsidR="00965322" w:rsidRPr="00965322" w:rsidRDefault="00965322" w:rsidP="00965322">
      <w:pPr>
        <w:pStyle w:val="Textoembloco"/>
        <w:spacing w:before="0" w:after="0" w:line="240" w:lineRule="auto"/>
        <w:ind w:left="567" w:hanging="567"/>
        <w:jc w:val="both"/>
        <w:rPr>
          <w:rFonts w:ascii="Times New Roman" w:hAnsi="Times New Roman"/>
          <w:sz w:val="24"/>
        </w:rPr>
      </w:pPr>
      <w:r w:rsidRPr="00965322">
        <w:rPr>
          <w:rFonts w:ascii="Times New Roman" w:hAnsi="Times New Roman"/>
          <w:sz w:val="24"/>
        </w:rPr>
        <w:t>89.</w:t>
      </w:r>
      <w:r w:rsidRPr="00965322">
        <w:rPr>
          <w:rFonts w:ascii="Times New Roman" w:hAnsi="Times New Roman"/>
          <w:sz w:val="24"/>
        </w:rPr>
        <w:tab/>
        <w:t>Alguns pronunciamentos técnicos, interpretações e orientações do CPC especificam circunstâncias em que determinados itens podem ser excluídos dos resultados líquidos do período. O CPC 23 – Políticas Contábeis, Mudança de Estimativa e Retificação de Erro trata de duas dessas circunstâncias, a saber: a correção de erros e o efeito de alterações nas políticas contábeis. Outros pronunciamentos técnicos, interpretações e orientações do CPC requerem ou permitem que outros resultados abrangentes que se enquadram na definição de receitas e despesas do CPC 00 sejam excluídos do resultado líquido (ver item 7).</w:t>
      </w:r>
    </w:p>
    <w:p w:rsidR="00965322" w:rsidRPr="00965322" w:rsidRDefault="00965322" w:rsidP="00965322">
      <w:pPr>
        <w:ind w:right="-1"/>
        <w:jc w:val="both"/>
        <w:rPr>
          <w:rFonts w:ascii="Times New Roman" w:hAnsi="Times New Roman"/>
        </w:rPr>
      </w:pPr>
    </w:p>
    <w:p w:rsidR="00965322" w:rsidRPr="00965322" w:rsidRDefault="00965322" w:rsidP="00965322">
      <w:pPr>
        <w:ind w:right="-1"/>
        <w:jc w:val="both"/>
        <w:rPr>
          <w:rFonts w:ascii="Times New Roman" w:hAnsi="Times New Roman"/>
        </w:rPr>
      </w:pPr>
    </w:p>
    <w:p w:rsidR="00965322" w:rsidRPr="00965322" w:rsidRDefault="00965322" w:rsidP="00965322">
      <w:pPr>
        <w:pStyle w:val="PargrafodaLista"/>
        <w:numPr>
          <w:ilvl w:val="0"/>
          <w:numId w:val="13"/>
        </w:numPr>
        <w:ind w:left="567" w:right="-1" w:hanging="567"/>
        <w:contextualSpacing/>
        <w:jc w:val="both"/>
      </w:pPr>
      <w:r w:rsidRPr="00965322">
        <w:rPr>
          <w:b/>
        </w:rPr>
        <w:t>Altera o item D1 do CPC 37(R1) – Adoção Inicial das Normas Internacionais de Contabilidade, que passa a vigorar com a seguinte redação:</w:t>
      </w:r>
    </w:p>
    <w:p w:rsidR="00965322" w:rsidRPr="00965322" w:rsidRDefault="00965322" w:rsidP="00965322">
      <w:pPr>
        <w:ind w:right="-1"/>
        <w:jc w:val="both"/>
        <w:rPr>
          <w:rFonts w:ascii="Times New Roman" w:hAnsi="Times New Roman"/>
          <w:color w:val="000000"/>
        </w:rPr>
      </w:pPr>
    </w:p>
    <w:p w:rsidR="00965322" w:rsidRPr="00965322" w:rsidRDefault="00965322" w:rsidP="00965322">
      <w:pPr>
        <w:ind w:left="567" w:right="-1" w:hanging="567"/>
        <w:jc w:val="both"/>
        <w:rPr>
          <w:rFonts w:ascii="Times New Roman" w:hAnsi="Times New Roman"/>
        </w:rPr>
      </w:pPr>
      <w:r w:rsidRPr="00965322">
        <w:rPr>
          <w:rFonts w:ascii="Times New Roman" w:hAnsi="Times New Roman"/>
          <w:color w:val="000000"/>
        </w:rPr>
        <w:t xml:space="preserve">D1. </w:t>
      </w:r>
      <w:r w:rsidRPr="00965322">
        <w:rPr>
          <w:rFonts w:ascii="Times New Roman" w:hAnsi="Times New Roman"/>
          <w:color w:val="000000"/>
        </w:rPr>
        <w:tab/>
        <w:t>A entidade pode optar por uma ou mais das seguintes isenções:</w:t>
      </w:r>
    </w:p>
    <w:p w:rsidR="00965322" w:rsidRPr="00965322" w:rsidRDefault="00965322" w:rsidP="00965322">
      <w:pPr>
        <w:numPr>
          <w:ilvl w:val="0"/>
          <w:numId w:val="14"/>
        </w:numPr>
        <w:autoSpaceDE/>
        <w:autoSpaceDN/>
        <w:adjustRightInd/>
        <w:jc w:val="both"/>
        <w:rPr>
          <w:rFonts w:ascii="Times New Roman" w:hAnsi="Times New Roman"/>
          <w:bCs/>
          <w:iCs/>
          <w:color w:val="000000"/>
        </w:rPr>
      </w:pPr>
      <w:r w:rsidRPr="00965322">
        <w:rPr>
          <w:rFonts w:ascii="Times New Roman" w:hAnsi="Times New Roman"/>
          <w:bCs/>
          <w:iCs/>
          <w:color w:val="000000"/>
        </w:rPr>
        <w:lastRenderedPageBreak/>
        <w:t>(...);</w:t>
      </w:r>
    </w:p>
    <w:p w:rsidR="00965322" w:rsidRPr="00965322" w:rsidRDefault="00965322" w:rsidP="00965322">
      <w:pPr>
        <w:numPr>
          <w:ilvl w:val="0"/>
          <w:numId w:val="14"/>
        </w:numPr>
        <w:autoSpaceDE/>
        <w:autoSpaceDN/>
        <w:adjustRightInd/>
        <w:jc w:val="both"/>
        <w:rPr>
          <w:rFonts w:ascii="Times New Roman" w:hAnsi="Times New Roman"/>
          <w:bCs/>
          <w:iCs/>
          <w:color w:val="000000"/>
        </w:rPr>
      </w:pPr>
      <w:r w:rsidRPr="00965322">
        <w:rPr>
          <w:rFonts w:ascii="Times New Roman" w:hAnsi="Times New Roman"/>
          <w:bCs/>
          <w:iCs/>
          <w:color w:val="000000"/>
        </w:rPr>
        <w:t>(eliminada);</w:t>
      </w:r>
    </w:p>
    <w:p w:rsidR="00965322" w:rsidRPr="00965322" w:rsidRDefault="00965322" w:rsidP="00965322">
      <w:pPr>
        <w:numPr>
          <w:ilvl w:val="0"/>
          <w:numId w:val="14"/>
        </w:numPr>
        <w:autoSpaceDE/>
        <w:autoSpaceDN/>
        <w:adjustRightInd/>
        <w:jc w:val="both"/>
        <w:rPr>
          <w:rFonts w:ascii="Times New Roman" w:hAnsi="Times New Roman"/>
          <w:bCs/>
          <w:iCs/>
          <w:color w:val="000000"/>
        </w:rPr>
      </w:pPr>
      <w:r w:rsidRPr="00965322">
        <w:rPr>
          <w:rFonts w:ascii="Times New Roman" w:hAnsi="Times New Roman"/>
          <w:bCs/>
          <w:iCs/>
          <w:color w:val="000000"/>
        </w:rPr>
        <w:t>(...)</w:t>
      </w:r>
    </w:p>
    <w:p w:rsidR="00965322" w:rsidRPr="00965322" w:rsidRDefault="00965322" w:rsidP="00965322">
      <w:pPr>
        <w:numPr>
          <w:ilvl w:val="0"/>
          <w:numId w:val="14"/>
        </w:numPr>
        <w:autoSpaceDE/>
        <w:autoSpaceDN/>
        <w:adjustRightInd/>
        <w:jc w:val="both"/>
        <w:rPr>
          <w:rFonts w:ascii="Times New Roman" w:hAnsi="Times New Roman"/>
          <w:bCs/>
          <w:iCs/>
          <w:color w:val="000000"/>
        </w:rPr>
      </w:pPr>
      <w:r w:rsidRPr="00965322">
        <w:rPr>
          <w:rFonts w:ascii="Times New Roman" w:hAnsi="Times New Roman"/>
          <w:bCs/>
          <w:iCs/>
          <w:color w:val="000000"/>
        </w:rPr>
        <w:t>(...)</w:t>
      </w:r>
    </w:p>
    <w:p w:rsidR="00965322" w:rsidRPr="00965322" w:rsidRDefault="00965322" w:rsidP="00965322">
      <w:pPr>
        <w:pStyle w:val="PargrafodaLista"/>
        <w:widowControl w:val="0"/>
        <w:numPr>
          <w:ilvl w:val="0"/>
          <w:numId w:val="14"/>
        </w:numPr>
        <w:contextualSpacing/>
        <w:jc w:val="both"/>
        <w:rPr>
          <w:bCs/>
          <w:iCs/>
          <w:color w:val="000000"/>
        </w:rPr>
      </w:pPr>
      <w:r w:rsidRPr="00965322">
        <w:rPr>
          <w:bCs/>
          <w:iCs/>
          <w:color w:val="000000"/>
        </w:rPr>
        <w:t>(eliminada);</w:t>
      </w:r>
    </w:p>
    <w:p w:rsidR="00965322" w:rsidRPr="00965322" w:rsidRDefault="00965322" w:rsidP="00965322">
      <w:pPr>
        <w:ind w:left="710"/>
        <w:jc w:val="both"/>
        <w:rPr>
          <w:rFonts w:ascii="Times New Roman" w:hAnsi="Times New Roman"/>
          <w:bCs/>
          <w:iCs/>
          <w:color w:val="000000"/>
        </w:rPr>
      </w:pPr>
      <w:r w:rsidRPr="00965322">
        <w:rPr>
          <w:rFonts w:ascii="Times New Roman" w:hAnsi="Times New Roman"/>
          <w:bCs/>
          <w:iCs/>
          <w:color w:val="000000"/>
        </w:rPr>
        <w:t>(o) (eliminada);</w:t>
      </w:r>
    </w:p>
    <w:p w:rsidR="00965322" w:rsidRPr="00965322" w:rsidRDefault="00965322" w:rsidP="00965322">
      <w:pPr>
        <w:pStyle w:val="PargrafodaLista"/>
        <w:ind w:left="1070" w:right="-1"/>
        <w:jc w:val="both"/>
      </w:pPr>
      <w:r w:rsidRPr="00965322">
        <w:t>(...)</w:t>
      </w:r>
    </w:p>
    <w:p w:rsidR="00965322" w:rsidRPr="00965322" w:rsidRDefault="00965322" w:rsidP="00965322">
      <w:pPr>
        <w:ind w:right="-1"/>
        <w:jc w:val="both"/>
        <w:rPr>
          <w:rFonts w:ascii="Times New Roman" w:hAnsi="Times New Roman"/>
        </w:rPr>
      </w:pPr>
    </w:p>
    <w:p w:rsidR="00965322" w:rsidRPr="00965322" w:rsidRDefault="00965322" w:rsidP="00965322">
      <w:pPr>
        <w:ind w:right="-1"/>
        <w:jc w:val="both"/>
        <w:rPr>
          <w:rFonts w:ascii="Times New Roman" w:hAnsi="Times New Roman"/>
        </w:rPr>
      </w:pPr>
    </w:p>
    <w:p w:rsidR="00965322" w:rsidRPr="00965322" w:rsidRDefault="00965322" w:rsidP="00965322">
      <w:pPr>
        <w:pStyle w:val="PargrafodaLista"/>
        <w:numPr>
          <w:ilvl w:val="0"/>
          <w:numId w:val="13"/>
        </w:numPr>
        <w:ind w:left="567" w:right="-1" w:hanging="567"/>
        <w:contextualSpacing/>
        <w:jc w:val="both"/>
      </w:pPr>
      <w:r w:rsidRPr="00965322">
        <w:rPr>
          <w:b/>
        </w:rPr>
        <w:t xml:space="preserve">Altera a denominação do CPC 00 – Estrutura Conceitual </w:t>
      </w:r>
      <w:r w:rsidRPr="00965322">
        <w:rPr>
          <w:b/>
          <w:color w:val="000000"/>
        </w:rPr>
        <w:t>para Elaboração e Divulgação de Relatório Contábil-Financeiro</w:t>
      </w:r>
      <w:r w:rsidRPr="00965322">
        <w:rPr>
          <w:b/>
        </w:rPr>
        <w:t xml:space="preserve"> citado na ICPC 01 (R1) – Contratos de Concessão, que passa a vigorar com a seguinte redação:</w:t>
      </w:r>
    </w:p>
    <w:p w:rsidR="00965322" w:rsidRPr="00965322" w:rsidRDefault="00965322" w:rsidP="00965322">
      <w:pPr>
        <w:pStyle w:val="Textoembloco"/>
        <w:spacing w:before="0" w:after="0" w:line="240" w:lineRule="auto"/>
        <w:jc w:val="both"/>
        <w:rPr>
          <w:rFonts w:ascii="Times New Roman" w:hAnsi="Times New Roman"/>
          <w:b/>
          <w:sz w:val="24"/>
          <w:lang w:val="pt-BR"/>
        </w:rPr>
      </w:pPr>
    </w:p>
    <w:p w:rsidR="00965322" w:rsidRPr="00965322" w:rsidRDefault="00965322" w:rsidP="00965322">
      <w:pPr>
        <w:pStyle w:val="Textoembloco"/>
        <w:tabs>
          <w:tab w:val="clear" w:pos="6804"/>
        </w:tabs>
        <w:spacing w:before="0" w:after="0" w:line="240" w:lineRule="auto"/>
        <w:ind w:left="567" w:firstLine="0"/>
        <w:jc w:val="both"/>
        <w:rPr>
          <w:rFonts w:ascii="Times New Roman" w:hAnsi="Times New Roman"/>
          <w:b/>
          <w:sz w:val="24"/>
        </w:rPr>
      </w:pPr>
      <w:r w:rsidRPr="00965322">
        <w:rPr>
          <w:rFonts w:ascii="Times New Roman" w:hAnsi="Times New Roman"/>
          <w:b/>
          <w:sz w:val="24"/>
          <w:lang w:val="pt-BR"/>
        </w:rPr>
        <w:t>Referências</w:t>
      </w:r>
    </w:p>
    <w:p w:rsidR="00965322" w:rsidRPr="00965322" w:rsidRDefault="00965322" w:rsidP="00965322">
      <w:pPr>
        <w:pStyle w:val="Textoembloco"/>
        <w:numPr>
          <w:ilvl w:val="0"/>
          <w:numId w:val="7"/>
        </w:numPr>
        <w:tabs>
          <w:tab w:val="clear" w:pos="6804"/>
        </w:tabs>
        <w:spacing w:before="0" w:after="0" w:line="240" w:lineRule="auto"/>
        <w:ind w:left="851" w:hanging="284"/>
        <w:jc w:val="both"/>
        <w:rPr>
          <w:rFonts w:ascii="Times New Roman" w:hAnsi="Times New Roman"/>
          <w:b/>
          <w:sz w:val="24"/>
        </w:rPr>
      </w:pPr>
      <w:r w:rsidRPr="00965322">
        <w:rPr>
          <w:rFonts w:ascii="Times New Roman" w:hAnsi="Times New Roman"/>
          <w:color w:val="000000"/>
          <w:sz w:val="24"/>
          <w:lang w:val="pt-BR"/>
        </w:rPr>
        <w:t>CPC 00 – Estrutura Conceitual para Relatório Financeiro</w:t>
      </w:r>
    </w:p>
    <w:p w:rsidR="00965322" w:rsidRPr="00965322" w:rsidRDefault="00965322" w:rsidP="00965322">
      <w:pPr>
        <w:pStyle w:val="Textoembloco"/>
        <w:numPr>
          <w:ilvl w:val="0"/>
          <w:numId w:val="7"/>
        </w:numPr>
        <w:tabs>
          <w:tab w:val="clear" w:pos="6804"/>
        </w:tabs>
        <w:spacing w:before="0" w:after="0" w:line="240" w:lineRule="auto"/>
        <w:ind w:left="851" w:hanging="284"/>
        <w:jc w:val="both"/>
        <w:rPr>
          <w:rFonts w:ascii="Times New Roman" w:hAnsi="Times New Roman"/>
          <w:b/>
          <w:sz w:val="24"/>
        </w:rPr>
      </w:pPr>
      <w:r w:rsidRPr="00965322">
        <w:rPr>
          <w:rFonts w:ascii="Times New Roman" w:hAnsi="Times New Roman"/>
          <w:b/>
          <w:sz w:val="24"/>
        </w:rPr>
        <w:t>(...)</w:t>
      </w:r>
    </w:p>
    <w:p w:rsidR="00965322" w:rsidRPr="00965322" w:rsidRDefault="00965322" w:rsidP="00965322">
      <w:pPr>
        <w:pStyle w:val="Textoembloco"/>
        <w:spacing w:before="0" w:after="0" w:line="240" w:lineRule="auto"/>
        <w:ind w:left="851" w:firstLine="0"/>
        <w:jc w:val="both"/>
        <w:rPr>
          <w:rFonts w:ascii="Times New Roman" w:hAnsi="Times New Roman"/>
          <w:color w:val="000000"/>
          <w:sz w:val="24"/>
        </w:rPr>
      </w:pPr>
    </w:p>
    <w:p w:rsidR="00965322" w:rsidRPr="00965322" w:rsidRDefault="00965322" w:rsidP="00965322">
      <w:pPr>
        <w:ind w:right="-1"/>
        <w:jc w:val="both"/>
        <w:rPr>
          <w:rFonts w:ascii="Times New Roman" w:hAnsi="Times New Roman"/>
        </w:rPr>
      </w:pPr>
    </w:p>
    <w:p w:rsidR="00965322" w:rsidRPr="00965322" w:rsidRDefault="00965322" w:rsidP="00965322">
      <w:pPr>
        <w:pStyle w:val="PargrafodaLista"/>
        <w:numPr>
          <w:ilvl w:val="0"/>
          <w:numId w:val="13"/>
        </w:numPr>
        <w:ind w:left="567" w:right="-1" w:hanging="567"/>
        <w:contextualSpacing/>
        <w:jc w:val="both"/>
      </w:pPr>
      <w:r w:rsidRPr="00965322">
        <w:rPr>
          <w:b/>
        </w:rPr>
        <w:t xml:space="preserve">Altera a denominação do CPC 00 – Estrutura Conceitual </w:t>
      </w:r>
      <w:r w:rsidRPr="00965322">
        <w:rPr>
          <w:b/>
          <w:color w:val="000000"/>
        </w:rPr>
        <w:t>para Elaboração e Divulgação de Relatório Contábil-Financeiro</w:t>
      </w:r>
      <w:r w:rsidRPr="00965322">
        <w:rPr>
          <w:b/>
        </w:rPr>
        <w:t xml:space="preserve"> citado na ICPC 16 – Extinção de Passivos Financeiros com Instrumentos Patrimoniais, que passa a vigorar com a seguinte redação:</w:t>
      </w:r>
    </w:p>
    <w:p w:rsidR="00965322" w:rsidRPr="00965322" w:rsidRDefault="00965322" w:rsidP="00965322">
      <w:pPr>
        <w:pStyle w:val="Textoembloco"/>
        <w:tabs>
          <w:tab w:val="clear" w:pos="6804"/>
        </w:tabs>
        <w:spacing w:before="0" w:after="0" w:line="240" w:lineRule="auto"/>
        <w:ind w:left="567" w:firstLine="0"/>
        <w:jc w:val="both"/>
        <w:rPr>
          <w:rFonts w:ascii="Times New Roman" w:hAnsi="Times New Roman"/>
          <w:b/>
          <w:sz w:val="24"/>
          <w:lang w:val="pt-BR"/>
        </w:rPr>
      </w:pPr>
    </w:p>
    <w:p w:rsidR="00965322" w:rsidRPr="00965322" w:rsidRDefault="00965322" w:rsidP="00965322">
      <w:pPr>
        <w:pStyle w:val="Textoembloco"/>
        <w:tabs>
          <w:tab w:val="clear" w:pos="6804"/>
        </w:tabs>
        <w:spacing w:before="0" w:after="0" w:line="240" w:lineRule="auto"/>
        <w:ind w:left="567" w:firstLine="0"/>
        <w:jc w:val="both"/>
        <w:rPr>
          <w:rFonts w:ascii="Times New Roman" w:hAnsi="Times New Roman"/>
          <w:b/>
          <w:sz w:val="24"/>
          <w:lang w:val="pt-BR"/>
        </w:rPr>
      </w:pPr>
      <w:r w:rsidRPr="00965322">
        <w:rPr>
          <w:rFonts w:ascii="Times New Roman" w:hAnsi="Times New Roman"/>
          <w:b/>
          <w:sz w:val="24"/>
          <w:lang w:val="pt-BR"/>
        </w:rPr>
        <w:t>Referências</w:t>
      </w:r>
    </w:p>
    <w:p w:rsidR="00965322" w:rsidRPr="00965322" w:rsidRDefault="00965322" w:rsidP="00965322">
      <w:pPr>
        <w:pStyle w:val="Textoembloco"/>
        <w:numPr>
          <w:ilvl w:val="0"/>
          <w:numId w:val="7"/>
        </w:numPr>
        <w:tabs>
          <w:tab w:val="clear" w:pos="6804"/>
        </w:tabs>
        <w:spacing w:before="0" w:after="0" w:line="240" w:lineRule="auto"/>
        <w:ind w:left="851" w:hanging="284"/>
        <w:jc w:val="both"/>
        <w:rPr>
          <w:rFonts w:ascii="Times New Roman" w:hAnsi="Times New Roman"/>
          <w:sz w:val="24"/>
          <w:lang w:val="pt-BR"/>
        </w:rPr>
      </w:pPr>
      <w:r w:rsidRPr="00965322">
        <w:rPr>
          <w:rFonts w:ascii="Times New Roman" w:hAnsi="Times New Roman"/>
          <w:sz w:val="24"/>
          <w:lang w:val="pt-BR"/>
        </w:rPr>
        <w:t>CPC 00 – Estrutura Conceitual para Relatório Financeiro</w:t>
      </w:r>
    </w:p>
    <w:p w:rsidR="00965322" w:rsidRPr="00965322" w:rsidRDefault="00965322" w:rsidP="00965322">
      <w:pPr>
        <w:pStyle w:val="Textoembloco"/>
        <w:numPr>
          <w:ilvl w:val="0"/>
          <w:numId w:val="7"/>
        </w:numPr>
        <w:tabs>
          <w:tab w:val="clear" w:pos="6804"/>
        </w:tabs>
        <w:spacing w:before="0" w:after="0" w:line="240" w:lineRule="auto"/>
        <w:ind w:left="851" w:hanging="284"/>
        <w:jc w:val="both"/>
        <w:rPr>
          <w:rFonts w:ascii="Times New Roman" w:hAnsi="Times New Roman"/>
          <w:sz w:val="24"/>
          <w:lang w:val="pt-BR"/>
        </w:rPr>
      </w:pPr>
      <w:r w:rsidRPr="00965322">
        <w:rPr>
          <w:rFonts w:ascii="Times New Roman" w:hAnsi="Times New Roman"/>
          <w:sz w:val="24"/>
          <w:lang w:val="pt-BR"/>
        </w:rPr>
        <w:t>(...)</w:t>
      </w:r>
    </w:p>
    <w:p w:rsidR="00965322" w:rsidRPr="00965322" w:rsidRDefault="00965322" w:rsidP="00965322">
      <w:pPr>
        <w:pStyle w:val="Textoembloco"/>
        <w:tabs>
          <w:tab w:val="clear" w:pos="6804"/>
        </w:tabs>
        <w:spacing w:before="0" w:after="0" w:line="240" w:lineRule="auto"/>
        <w:ind w:left="567" w:firstLine="0"/>
        <w:jc w:val="both"/>
        <w:rPr>
          <w:rFonts w:ascii="Times New Roman" w:hAnsi="Times New Roman"/>
          <w:b/>
          <w:sz w:val="24"/>
        </w:rPr>
      </w:pPr>
    </w:p>
    <w:p w:rsidR="00965322" w:rsidRPr="00965322" w:rsidRDefault="00965322" w:rsidP="00965322">
      <w:pPr>
        <w:pStyle w:val="Textoembloco"/>
        <w:tabs>
          <w:tab w:val="clear" w:pos="6804"/>
        </w:tabs>
        <w:spacing w:before="0" w:after="0" w:line="240" w:lineRule="auto"/>
        <w:ind w:left="567" w:firstLine="0"/>
        <w:jc w:val="both"/>
        <w:rPr>
          <w:rFonts w:ascii="Times New Roman" w:hAnsi="Times New Roman"/>
          <w:b/>
          <w:sz w:val="24"/>
        </w:rPr>
      </w:pPr>
    </w:p>
    <w:p w:rsidR="00965322" w:rsidRPr="00965322" w:rsidRDefault="00965322" w:rsidP="00965322">
      <w:pPr>
        <w:pStyle w:val="PargrafodaLista"/>
        <w:numPr>
          <w:ilvl w:val="0"/>
          <w:numId w:val="13"/>
        </w:numPr>
        <w:ind w:left="567" w:right="-1" w:hanging="567"/>
        <w:contextualSpacing/>
        <w:jc w:val="both"/>
        <w:rPr>
          <w:b/>
        </w:rPr>
      </w:pPr>
      <w:r w:rsidRPr="00965322">
        <w:rPr>
          <w:b/>
        </w:rPr>
        <w:t xml:space="preserve">Altera a denominação do CPC 00 – Estrutura Conceitual </w:t>
      </w:r>
      <w:r w:rsidRPr="00965322">
        <w:rPr>
          <w:b/>
          <w:color w:val="000000"/>
        </w:rPr>
        <w:t>para Elaboração e Divulgação de Relatório Contábil-Financeiro</w:t>
      </w:r>
      <w:r w:rsidRPr="00965322">
        <w:rPr>
          <w:b/>
        </w:rPr>
        <w:t xml:space="preserve"> citado na ICPC 18 – Custos de Remoção de Estéril de Mina de Superfície na Fase de Produção, que passa a vigorar com a seguinte redação:</w:t>
      </w:r>
    </w:p>
    <w:p w:rsidR="00965322" w:rsidRPr="00965322" w:rsidRDefault="00965322" w:rsidP="00965322">
      <w:pPr>
        <w:pStyle w:val="Textoembloco"/>
        <w:tabs>
          <w:tab w:val="clear" w:pos="6804"/>
        </w:tabs>
        <w:spacing w:before="0" w:after="0" w:line="240" w:lineRule="auto"/>
        <w:ind w:left="567" w:firstLine="0"/>
        <w:jc w:val="both"/>
        <w:rPr>
          <w:rFonts w:ascii="Times New Roman" w:hAnsi="Times New Roman"/>
          <w:b/>
          <w:sz w:val="24"/>
        </w:rPr>
      </w:pPr>
    </w:p>
    <w:p w:rsidR="00965322" w:rsidRPr="00965322" w:rsidRDefault="00965322" w:rsidP="00965322">
      <w:pPr>
        <w:pStyle w:val="Textoembloco"/>
        <w:tabs>
          <w:tab w:val="clear" w:pos="6804"/>
        </w:tabs>
        <w:spacing w:before="0" w:after="0" w:line="240" w:lineRule="auto"/>
        <w:ind w:left="567" w:firstLine="0"/>
        <w:jc w:val="both"/>
        <w:rPr>
          <w:rFonts w:ascii="Times New Roman" w:hAnsi="Times New Roman"/>
          <w:b/>
          <w:sz w:val="24"/>
        </w:rPr>
      </w:pPr>
      <w:r w:rsidRPr="00965322">
        <w:rPr>
          <w:rFonts w:ascii="Times New Roman" w:hAnsi="Times New Roman"/>
          <w:b/>
          <w:sz w:val="24"/>
          <w:lang w:val="pt-BR"/>
        </w:rPr>
        <w:t>Referências:</w:t>
      </w:r>
    </w:p>
    <w:p w:rsidR="00965322" w:rsidRPr="00965322" w:rsidRDefault="00965322" w:rsidP="00965322">
      <w:pPr>
        <w:pStyle w:val="Textoembloco"/>
        <w:numPr>
          <w:ilvl w:val="0"/>
          <w:numId w:val="7"/>
        </w:numPr>
        <w:tabs>
          <w:tab w:val="clear" w:pos="6804"/>
        </w:tabs>
        <w:spacing w:before="0" w:after="0" w:line="240" w:lineRule="auto"/>
        <w:ind w:left="851" w:hanging="284"/>
        <w:jc w:val="both"/>
        <w:rPr>
          <w:rFonts w:ascii="Times New Roman" w:hAnsi="Times New Roman"/>
          <w:b/>
          <w:sz w:val="24"/>
        </w:rPr>
      </w:pPr>
      <w:r w:rsidRPr="00965322">
        <w:rPr>
          <w:rFonts w:ascii="Times New Roman" w:hAnsi="Times New Roman"/>
          <w:sz w:val="24"/>
        </w:rPr>
        <w:t>CPC 00 – Estrutura Conceitual para Relatório Financeiro</w:t>
      </w:r>
    </w:p>
    <w:p w:rsidR="00965322" w:rsidRPr="00965322" w:rsidRDefault="00965322" w:rsidP="00965322">
      <w:pPr>
        <w:pStyle w:val="Textoembloco"/>
        <w:numPr>
          <w:ilvl w:val="0"/>
          <w:numId w:val="7"/>
        </w:numPr>
        <w:tabs>
          <w:tab w:val="clear" w:pos="6804"/>
        </w:tabs>
        <w:spacing w:before="0" w:after="0" w:line="240" w:lineRule="auto"/>
        <w:ind w:left="851" w:hanging="284"/>
        <w:jc w:val="both"/>
        <w:rPr>
          <w:rFonts w:ascii="Times New Roman" w:hAnsi="Times New Roman"/>
          <w:b/>
          <w:sz w:val="24"/>
        </w:rPr>
      </w:pPr>
      <w:r w:rsidRPr="00965322">
        <w:rPr>
          <w:rFonts w:ascii="Times New Roman" w:hAnsi="Times New Roman"/>
          <w:sz w:val="24"/>
        </w:rPr>
        <w:t>(...)</w:t>
      </w:r>
    </w:p>
    <w:p w:rsidR="00965322" w:rsidRPr="00965322" w:rsidRDefault="00965322" w:rsidP="00965322">
      <w:pPr>
        <w:ind w:right="-1"/>
        <w:jc w:val="both"/>
        <w:rPr>
          <w:rFonts w:ascii="Times New Roman" w:hAnsi="Times New Roman"/>
        </w:rPr>
      </w:pPr>
    </w:p>
    <w:p w:rsidR="00965322" w:rsidRPr="00965322" w:rsidRDefault="00965322" w:rsidP="00965322">
      <w:pPr>
        <w:ind w:right="-1"/>
        <w:jc w:val="both"/>
        <w:rPr>
          <w:rFonts w:ascii="Times New Roman" w:hAnsi="Times New Roman"/>
        </w:rPr>
      </w:pPr>
    </w:p>
    <w:p w:rsidR="00965322" w:rsidRPr="00965322" w:rsidRDefault="00965322" w:rsidP="00965322">
      <w:pPr>
        <w:pStyle w:val="PargrafodaLista"/>
        <w:numPr>
          <w:ilvl w:val="0"/>
          <w:numId w:val="13"/>
        </w:numPr>
        <w:ind w:left="567" w:right="-1" w:hanging="567"/>
        <w:contextualSpacing/>
        <w:jc w:val="both"/>
      </w:pPr>
      <w:r w:rsidRPr="00965322">
        <w:rPr>
          <w:b/>
        </w:rPr>
        <w:t xml:space="preserve">Altera a denominação do CPC 00 – Estrutura Conceitual </w:t>
      </w:r>
      <w:r w:rsidRPr="00965322">
        <w:rPr>
          <w:b/>
          <w:color w:val="000000"/>
        </w:rPr>
        <w:t>para Elaboração e Divulgação de Relatório Contábil-Financeiro</w:t>
      </w:r>
      <w:r w:rsidRPr="00965322">
        <w:rPr>
          <w:b/>
        </w:rPr>
        <w:t xml:space="preserve"> citado na ICPC 21 – Transação em Moeda Estrangeira e Adiantamento, que passa a vigorar com a seguinte redação:</w:t>
      </w:r>
    </w:p>
    <w:p w:rsidR="00965322" w:rsidRPr="00965322" w:rsidRDefault="00965322" w:rsidP="00965322">
      <w:pPr>
        <w:jc w:val="both"/>
        <w:rPr>
          <w:rFonts w:ascii="Times New Roman" w:hAnsi="Times New Roman"/>
          <w:b/>
        </w:rPr>
      </w:pPr>
    </w:p>
    <w:p w:rsidR="00965322" w:rsidRPr="00965322" w:rsidRDefault="00965322" w:rsidP="00965322">
      <w:pPr>
        <w:ind w:left="567"/>
        <w:jc w:val="both"/>
        <w:rPr>
          <w:rFonts w:ascii="Times New Roman" w:hAnsi="Times New Roman"/>
          <w:b/>
        </w:rPr>
      </w:pPr>
      <w:r w:rsidRPr="00965322">
        <w:rPr>
          <w:rFonts w:ascii="Times New Roman" w:hAnsi="Times New Roman"/>
          <w:b/>
        </w:rPr>
        <w:t>Referências</w:t>
      </w:r>
    </w:p>
    <w:p w:rsidR="00965322" w:rsidRPr="00965322" w:rsidRDefault="00965322" w:rsidP="00965322">
      <w:pPr>
        <w:pStyle w:val="Textoembloco"/>
        <w:numPr>
          <w:ilvl w:val="0"/>
          <w:numId w:val="7"/>
        </w:numPr>
        <w:tabs>
          <w:tab w:val="clear" w:pos="6804"/>
        </w:tabs>
        <w:spacing w:before="0" w:after="0" w:line="240" w:lineRule="auto"/>
        <w:ind w:left="851" w:hanging="284"/>
        <w:jc w:val="both"/>
        <w:rPr>
          <w:rFonts w:ascii="Times New Roman" w:hAnsi="Times New Roman"/>
          <w:sz w:val="24"/>
        </w:rPr>
      </w:pPr>
      <w:r w:rsidRPr="00965322">
        <w:rPr>
          <w:rFonts w:ascii="Times New Roman" w:hAnsi="Times New Roman"/>
          <w:sz w:val="24"/>
        </w:rPr>
        <w:t xml:space="preserve">CPC 00 – Estrutura Conceitual para Relatório Financeiro </w:t>
      </w:r>
    </w:p>
    <w:p w:rsidR="00965322" w:rsidRPr="00965322" w:rsidRDefault="00965322" w:rsidP="00965322">
      <w:pPr>
        <w:pStyle w:val="Textoembloco"/>
        <w:numPr>
          <w:ilvl w:val="0"/>
          <w:numId w:val="7"/>
        </w:numPr>
        <w:tabs>
          <w:tab w:val="clear" w:pos="6804"/>
        </w:tabs>
        <w:spacing w:before="0" w:after="0" w:line="240" w:lineRule="auto"/>
        <w:ind w:left="851" w:hanging="284"/>
        <w:jc w:val="both"/>
        <w:rPr>
          <w:rFonts w:ascii="Times New Roman" w:hAnsi="Times New Roman"/>
          <w:b/>
          <w:sz w:val="24"/>
        </w:rPr>
      </w:pPr>
      <w:r w:rsidRPr="00965322">
        <w:rPr>
          <w:rFonts w:ascii="Times New Roman" w:hAnsi="Times New Roman"/>
          <w:sz w:val="24"/>
        </w:rPr>
        <w:t>(...)</w:t>
      </w:r>
    </w:p>
    <w:p w:rsidR="00965322" w:rsidRPr="00965322" w:rsidRDefault="00965322" w:rsidP="00965322">
      <w:pPr>
        <w:ind w:right="-1"/>
        <w:jc w:val="both"/>
        <w:rPr>
          <w:rFonts w:ascii="Times New Roman" w:hAnsi="Times New Roman"/>
        </w:rPr>
      </w:pPr>
    </w:p>
    <w:p w:rsidR="00965322" w:rsidRDefault="00965322" w:rsidP="00965322">
      <w:pPr>
        <w:ind w:right="-1"/>
        <w:jc w:val="both"/>
        <w:rPr>
          <w:rFonts w:ascii="Times New Roman" w:hAnsi="Times New Roman"/>
        </w:rPr>
      </w:pPr>
    </w:p>
    <w:p w:rsidR="00965322" w:rsidRDefault="00965322" w:rsidP="00965322">
      <w:pPr>
        <w:ind w:right="-1"/>
        <w:jc w:val="both"/>
        <w:rPr>
          <w:rFonts w:ascii="Times New Roman" w:hAnsi="Times New Roman"/>
        </w:rPr>
      </w:pPr>
    </w:p>
    <w:p w:rsidR="00965322" w:rsidRDefault="00965322" w:rsidP="00965322">
      <w:pPr>
        <w:ind w:right="-1"/>
        <w:jc w:val="both"/>
        <w:rPr>
          <w:rFonts w:ascii="Times New Roman" w:hAnsi="Times New Roman"/>
        </w:rPr>
      </w:pPr>
    </w:p>
    <w:p w:rsidR="001514D1" w:rsidRPr="00965322" w:rsidRDefault="001514D1" w:rsidP="00965322">
      <w:pPr>
        <w:ind w:right="-1"/>
        <w:jc w:val="both"/>
        <w:rPr>
          <w:rFonts w:ascii="Times New Roman" w:hAnsi="Times New Roman"/>
        </w:rPr>
      </w:pPr>
    </w:p>
    <w:p w:rsidR="00965322" w:rsidRPr="00965322" w:rsidRDefault="00965322" w:rsidP="00965322">
      <w:pPr>
        <w:pStyle w:val="PargrafodaLista"/>
        <w:numPr>
          <w:ilvl w:val="0"/>
          <w:numId w:val="13"/>
        </w:numPr>
        <w:ind w:left="567" w:right="-1" w:hanging="567"/>
        <w:contextualSpacing/>
        <w:jc w:val="both"/>
        <w:rPr>
          <w:b/>
        </w:rPr>
      </w:pPr>
      <w:r w:rsidRPr="00965322">
        <w:rPr>
          <w:b/>
        </w:rPr>
        <w:t>Altera, no CPC 06 (R2), a sua denominação:</w:t>
      </w:r>
    </w:p>
    <w:p w:rsidR="00965322" w:rsidRPr="00965322" w:rsidRDefault="00965322" w:rsidP="00965322">
      <w:pPr>
        <w:pStyle w:val="PargrafodaLista"/>
        <w:ind w:left="567"/>
        <w:jc w:val="both"/>
        <w:rPr>
          <w:b/>
        </w:rPr>
      </w:pPr>
    </w:p>
    <w:p w:rsidR="00965322" w:rsidRPr="00965322" w:rsidRDefault="00965322" w:rsidP="00965322">
      <w:pPr>
        <w:pStyle w:val="PargrafodaLista"/>
        <w:ind w:left="567"/>
        <w:jc w:val="both"/>
      </w:pPr>
      <w:r w:rsidRPr="00965322">
        <w:t xml:space="preserve">De: </w:t>
      </w:r>
      <w:r w:rsidRPr="00965322">
        <w:tab/>
        <w:t xml:space="preserve">Operações de Arrendamento Mercantil;  </w:t>
      </w:r>
    </w:p>
    <w:p w:rsidR="00965322" w:rsidRPr="00965322" w:rsidRDefault="00965322" w:rsidP="00965322">
      <w:pPr>
        <w:pStyle w:val="PargrafodaLista"/>
        <w:ind w:left="567"/>
        <w:jc w:val="both"/>
      </w:pPr>
      <w:r w:rsidRPr="00965322">
        <w:t xml:space="preserve">Para: </w:t>
      </w:r>
      <w:r w:rsidRPr="00965322">
        <w:tab/>
        <w:t>Arrendamentos</w:t>
      </w:r>
    </w:p>
    <w:p w:rsidR="00965322" w:rsidRPr="00965322" w:rsidRDefault="00965322" w:rsidP="00965322">
      <w:pPr>
        <w:pStyle w:val="PargrafodaLista"/>
        <w:ind w:left="567"/>
        <w:jc w:val="both"/>
        <w:rPr>
          <w:b/>
        </w:rPr>
      </w:pPr>
    </w:p>
    <w:p w:rsidR="00965322" w:rsidRPr="00965322" w:rsidRDefault="00965322" w:rsidP="00965322">
      <w:pPr>
        <w:pStyle w:val="PargrafodaLista"/>
        <w:numPr>
          <w:ilvl w:val="0"/>
          <w:numId w:val="13"/>
        </w:numPr>
        <w:ind w:left="567" w:right="-1" w:hanging="567"/>
        <w:contextualSpacing/>
        <w:jc w:val="both"/>
        <w:rPr>
          <w:b/>
        </w:rPr>
      </w:pPr>
      <w:r w:rsidRPr="00965322">
        <w:rPr>
          <w:b/>
        </w:rPr>
        <w:t>Inclui no item 1 do CPC 06 (R2) a seguinte nota de rodapé:</w:t>
      </w:r>
    </w:p>
    <w:p w:rsidR="00965322" w:rsidRPr="00965322" w:rsidRDefault="00965322" w:rsidP="00965322">
      <w:pPr>
        <w:jc w:val="both"/>
        <w:rPr>
          <w:rFonts w:ascii="Times New Roman" w:hAnsi="Times New Roman"/>
        </w:rPr>
      </w:pPr>
      <w:r w:rsidRPr="00965322">
        <w:rPr>
          <w:rFonts w:ascii="Times New Roman" w:hAnsi="Times New Roman"/>
        </w:rPr>
        <w:t xml:space="preserve"> </w:t>
      </w:r>
    </w:p>
    <w:p w:rsidR="00965322" w:rsidRPr="00965322" w:rsidRDefault="00965322" w:rsidP="00965322">
      <w:pPr>
        <w:ind w:left="567"/>
        <w:jc w:val="both"/>
        <w:rPr>
          <w:rFonts w:ascii="Times New Roman" w:hAnsi="Times New Roman"/>
        </w:rPr>
      </w:pPr>
      <w:r w:rsidRPr="00965322">
        <w:rPr>
          <w:rFonts w:ascii="Times New Roman" w:hAnsi="Times New Roman"/>
        </w:rPr>
        <w:t>O termo "arrendamentos" adotado neste pronunciamento corresponde à tradução do termo '</w:t>
      </w:r>
      <w:proofErr w:type="spellStart"/>
      <w:r w:rsidRPr="00965322">
        <w:rPr>
          <w:rFonts w:ascii="Times New Roman" w:hAnsi="Times New Roman"/>
        </w:rPr>
        <w:t>leases</w:t>
      </w:r>
      <w:proofErr w:type="spellEnd"/>
      <w:r w:rsidRPr="00965322">
        <w:rPr>
          <w:rFonts w:ascii="Times New Roman" w:hAnsi="Times New Roman"/>
        </w:rPr>
        <w:t>' na língua inglesa e pode abranger contratos (mas não se limita a) de arrendamento, aluguel, locação e outros contratos que conferem à entidade que reporta o direito de uso de um ativo em troca de uma contraprestação.</w:t>
      </w:r>
    </w:p>
    <w:p w:rsidR="00965322" w:rsidRPr="00965322" w:rsidRDefault="00965322" w:rsidP="00965322">
      <w:pPr>
        <w:jc w:val="both"/>
        <w:rPr>
          <w:rFonts w:ascii="Times New Roman" w:hAnsi="Times New Roman"/>
        </w:rPr>
      </w:pPr>
    </w:p>
    <w:p w:rsidR="00965322" w:rsidRPr="00965322" w:rsidRDefault="00965322" w:rsidP="00965322">
      <w:pPr>
        <w:pStyle w:val="PargrafodaLista"/>
        <w:numPr>
          <w:ilvl w:val="0"/>
          <w:numId w:val="13"/>
        </w:numPr>
        <w:ind w:left="567" w:right="-1" w:hanging="567"/>
        <w:contextualSpacing/>
        <w:jc w:val="both"/>
        <w:rPr>
          <w:b/>
        </w:rPr>
      </w:pPr>
      <w:r w:rsidRPr="00965322">
        <w:rPr>
          <w:b/>
        </w:rPr>
        <w:t>Altera a denominação do CPC 06 (R2) para Arrendamentos e</w:t>
      </w:r>
      <w:r w:rsidRPr="00965322">
        <w:t xml:space="preserve"> </w:t>
      </w:r>
      <w:r w:rsidRPr="00965322">
        <w:rPr>
          <w:b/>
        </w:rPr>
        <w:t>substitui a expressão “arrendamento(s) mercantil(</w:t>
      </w:r>
      <w:proofErr w:type="spellStart"/>
      <w:r w:rsidRPr="00965322">
        <w:rPr>
          <w:b/>
        </w:rPr>
        <w:t>is</w:t>
      </w:r>
      <w:proofErr w:type="spellEnd"/>
      <w:r w:rsidRPr="00965322">
        <w:rPr>
          <w:b/>
        </w:rPr>
        <w:t>)” por “arrendamento(s)”, se aplicável, nos seguintes Pronunciamentos, Interpretações e Orientação Técnicos: CPC 03 (R2), CPC 04 (R1), CPC 09, CPC 11, CPC 15 (R1), CPC 20 (R1), CPC 25, CPC 27, CPC 28, CPC 29, CPC 32, CPC 37 (R1), CPC 46, CPC 47, CPC 48, CPC PME, ICPC 01 (R1), ICPC 17 e OCPC 05.</w:t>
      </w:r>
    </w:p>
    <w:p w:rsidR="00965322" w:rsidRPr="00965322" w:rsidRDefault="00965322" w:rsidP="00965322">
      <w:pPr>
        <w:ind w:left="567" w:hanging="567"/>
        <w:jc w:val="both"/>
        <w:rPr>
          <w:rFonts w:ascii="Times New Roman" w:hAnsi="Times New Roman"/>
        </w:rPr>
      </w:pPr>
    </w:p>
    <w:p w:rsidR="00965322" w:rsidRPr="00965322" w:rsidRDefault="00965322" w:rsidP="00965322">
      <w:pPr>
        <w:ind w:right="-1"/>
        <w:jc w:val="both"/>
        <w:rPr>
          <w:rFonts w:ascii="Times New Roman" w:hAnsi="Times New Roman"/>
        </w:rPr>
      </w:pPr>
    </w:p>
    <w:p w:rsidR="00965322" w:rsidRPr="00965322" w:rsidRDefault="00965322" w:rsidP="00965322">
      <w:pPr>
        <w:ind w:right="-1"/>
        <w:jc w:val="both"/>
        <w:rPr>
          <w:rFonts w:ascii="Times New Roman" w:hAnsi="Times New Roman"/>
        </w:rPr>
      </w:pPr>
    </w:p>
    <w:p w:rsidR="00965322" w:rsidRPr="00965322" w:rsidRDefault="00965322" w:rsidP="00B73EA6">
      <w:pPr>
        <w:spacing w:after="80"/>
        <w:jc w:val="center"/>
        <w:outlineLvl w:val="0"/>
        <w:rPr>
          <w:rFonts w:ascii="Times New Roman" w:hAnsi="Times New Roman"/>
          <w:b/>
        </w:rPr>
      </w:pPr>
    </w:p>
    <w:sectPr w:rsidR="00965322" w:rsidRPr="00965322" w:rsidSect="001514D1">
      <w:headerReference w:type="default" r:id="rId8"/>
      <w:footerReference w:type="even" r:id="rId9"/>
      <w:headerReference w:type="first" r:id="rId10"/>
      <w:footerReference w:type="first" r:id="rId11"/>
      <w:type w:val="continuous"/>
      <w:pgSz w:w="11909" w:h="16834" w:code="9"/>
      <w:pgMar w:top="2552" w:right="567" w:bottom="567" w:left="1134" w:header="426"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DC7" w:rsidRDefault="003D3DC7">
      <w:r>
        <w:separator/>
      </w:r>
    </w:p>
  </w:endnote>
  <w:endnote w:type="continuationSeparator" w:id="0">
    <w:p w:rsidR="003D3DC7" w:rsidRDefault="003D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EUAlbertina-BoldItalic-Identity">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2BB" w:rsidRDefault="007672BB">
    <w:pPr>
      <w:pStyle w:val="Rodap"/>
    </w:pPr>
  </w:p>
  <w:p w:rsidR="007672BB" w:rsidRDefault="007672BB" w:rsidP="00F22DDC">
    <w:pPr>
      <w:pStyle w:val="DSLxSty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2BB" w:rsidRDefault="007672BB">
    <w:pPr>
      <w:pStyle w:val="Rodap"/>
    </w:pPr>
  </w:p>
  <w:p w:rsidR="007672BB" w:rsidRDefault="007672BB" w:rsidP="00F22DDC">
    <w:pPr>
      <w:pStyle w:val="DSLxSty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DC7" w:rsidRDefault="003D3DC7">
      <w:r>
        <w:separator/>
      </w:r>
    </w:p>
  </w:footnote>
  <w:footnote w:type="continuationSeparator" w:id="0">
    <w:p w:rsidR="003D3DC7" w:rsidRDefault="003D3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882" w:rsidRPr="007A1E4D" w:rsidRDefault="00D65882" w:rsidP="00D65882">
    <w:pPr>
      <w:tabs>
        <w:tab w:val="center" w:pos="4419"/>
        <w:tab w:val="right" w:pos="8838"/>
      </w:tabs>
      <w:jc w:val="center"/>
    </w:pPr>
    <w:r w:rsidRPr="006D09A1">
      <w:rPr>
        <w:noProof/>
        <w:lang w:eastAsia="pt-BR"/>
      </w:rPr>
      <w:drawing>
        <wp:inline distT="0" distB="0" distL="0" distR="0" wp14:anchorId="022BC4CD" wp14:editId="6429A258">
          <wp:extent cx="636270" cy="628015"/>
          <wp:effectExtent l="0" t="0" r="0" b="635"/>
          <wp:docPr id="9" name="Imagem 9"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628015"/>
                  </a:xfrm>
                  <a:prstGeom prst="rect">
                    <a:avLst/>
                  </a:prstGeom>
                  <a:noFill/>
                  <a:ln>
                    <a:noFill/>
                  </a:ln>
                </pic:spPr>
              </pic:pic>
            </a:graphicData>
          </a:graphic>
        </wp:inline>
      </w:drawing>
    </w:r>
  </w:p>
  <w:p w:rsidR="00D65882" w:rsidRPr="000B67E6" w:rsidRDefault="00D65882" w:rsidP="00D65882">
    <w:pPr>
      <w:jc w:val="center"/>
      <w:rPr>
        <w:rFonts w:ascii="Times New Roman" w:hAnsi="Times New Roman"/>
        <w:b/>
      </w:rPr>
    </w:pPr>
    <w:r w:rsidRPr="000B67E6">
      <w:rPr>
        <w:rFonts w:ascii="Times New Roman" w:hAnsi="Times New Roman"/>
        <w:b/>
      </w:rPr>
      <w:t>COMISSÃO DE VALORES MOBILIÁRIOS</w:t>
    </w:r>
  </w:p>
  <w:p w:rsidR="00D65882" w:rsidRPr="000B67E6" w:rsidRDefault="00D65882" w:rsidP="00D65882">
    <w:pPr>
      <w:spacing w:line="180" w:lineRule="exact"/>
      <w:jc w:val="center"/>
      <w:rPr>
        <w:rFonts w:ascii="Times New Roman" w:hAnsi="Times New Roman"/>
        <w:sz w:val="16"/>
        <w:szCs w:val="16"/>
      </w:rPr>
    </w:pPr>
    <w:r w:rsidRPr="000B67E6">
      <w:rPr>
        <w:rFonts w:ascii="Times New Roman" w:hAnsi="Times New Roman"/>
        <w:sz w:val="16"/>
        <w:szCs w:val="16"/>
      </w:rPr>
      <w:t>Rua Sete de Setembro, 111/2-5º e 23-34º Andares, Centro, Rio de Janeiro/RJ – CEP: 20050-901 – Brasil - Tel.: (21) 3554-8686</w:t>
    </w:r>
  </w:p>
  <w:p w:rsidR="00D65882" w:rsidRPr="000B67E6" w:rsidRDefault="00D65882" w:rsidP="00D65882">
    <w:pPr>
      <w:spacing w:line="180" w:lineRule="exact"/>
      <w:jc w:val="center"/>
      <w:rPr>
        <w:rFonts w:ascii="Times New Roman" w:hAnsi="Times New Roman"/>
        <w:sz w:val="16"/>
        <w:szCs w:val="16"/>
      </w:rPr>
    </w:pPr>
    <w:r w:rsidRPr="000B67E6">
      <w:rPr>
        <w:rFonts w:ascii="Times New Roman" w:hAnsi="Times New Roman"/>
        <w:sz w:val="16"/>
        <w:szCs w:val="16"/>
      </w:rPr>
      <w:t>Rua Cincinato Braga, 340/2º, 3º e 4º Andares, Bela Vista, São Paulo/ SP – CEP: 01333-010 – Brasil - Tel.: (11) 2146-2000</w:t>
    </w:r>
  </w:p>
  <w:p w:rsidR="00D65882" w:rsidRPr="000B67E6" w:rsidRDefault="00D65882" w:rsidP="00D65882">
    <w:pPr>
      <w:spacing w:line="180" w:lineRule="exact"/>
      <w:jc w:val="center"/>
      <w:rPr>
        <w:rFonts w:ascii="Times New Roman" w:hAnsi="Times New Roman"/>
        <w:sz w:val="16"/>
        <w:szCs w:val="16"/>
      </w:rPr>
    </w:pPr>
    <w:r w:rsidRPr="000B67E6">
      <w:rPr>
        <w:rFonts w:ascii="Times New Roman" w:hAnsi="Times New Roman"/>
        <w:sz w:val="16"/>
        <w:szCs w:val="16"/>
      </w:rPr>
      <w:t xml:space="preserve">SCN Q.02 – </w:t>
    </w:r>
    <w:proofErr w:type="spellStart"/>
    <w:r w:rsidRPr="000B67E6">
      <w:rPr>
        <w:rFonts w:ascii="Times New Roman" w:hAnsi="Times New Roman"/>
        <w:sz w:val="16"/>
        <w:szCs w:val="16"/>
      </w:rPr>
      <w:t>Bl</w:t>
    </w:r>
    <w:proofErr w:type="spellEnd"/>
    <w:r w:rsidRPr="000B67E6">
      <w:rPr>
        <w:rFonts w:ascii="Times New Roman" w:hAnsi="Times New Roman"/>
        <w:sz w:val="16"/>
        <w:szCs w:val="16"/>
      </w:rPr>
      <w:t>. A – Ed. Corporate Financial Center, S.404/4º Andar, Brasília/DF – CEP: 70712-900 – Brasil -Tel.: (61) 3327-2030/2031</w:t>
    </w:r>
  </w:p>
  <w:p w:rsidR="00D65882" w:rsidRPr="000B67E6" w:rsidRDefault="00912946" w:rsidP="00D65882">
    <w:pPr>
      <w:spacing w:line="180" w:lineRule="exact"/>
      <w:jc w:val="center"/>
      <w:rPr>
        <w:rFonts w:ascii="Times New Roman" w:hAnsi="Times New Roman"/>
      </w:rPr>
    </w:pPr>
    <w:hyperlink r:id="rId2" w:history="1">
      <w:r w:rsidR="00D65882" w:rsidRPr="000B67E6">
        <w:rPr>
          <w:rStyle w:val="Hyperlink"/>
          <w:rFonts w:ascii="Times New Roman" w:hAnsi="Times New Roman"/>
          <w:sz w:val="18"/>
          <w:szCs w:val="18"/>
        </w:rPr>
        <w:t>www.cvm.gov.br</w:t>
      </w:r>
    </w:hyperlink>
  </w:p>
  <w:p w:rsidR="00D65882" w:rsidRPr="001A3B74" w:rsidRDefault="00D65882" w:rsidP="00D65882">
    <w:pPr>
      <w:pStyle w:val="Ttulo"/>
      <w:jc w:val="left"/>
      <w:rPr>
        <w:b w:val="0"/>
        <w:sz w:val="18"/>
        <w:szCs w:val="18"/>
      </w:rPr>
    </w:pPr>
  </w:p>
  <w:p w:rsidR="00D65882" w:rsidRPr="003C6C73" w:rsidRDefault="00D65882" w:rsidP="00D65882">
    <w:pPr>
      <w:tabs>
        <w:tab w:val="right" w:pos="9781"/>
      </w:tabs>
      <w:rPr>
        <w:rFonts w:ascii="Times New Roman" w:eastAsia="Times New Roman" w:hAnsi="Times New Roman"/>
        <w:sz w:val="18"/>
        <w:szCs w:val="18"/>
        <w:lang w:eastAsia="pt-BR"/>
      </w:rPr>
    </w:pPr>
    <w:r w:rsidRPr="003C6C73">
      <w:rPr>
        <w:rFonts w:ascii="Times New Roman" w:eastAsia="Times New Roman" w:hAnsi="Times New Roman"/>
        <w:sz w:val="18"/>
        <w:szCs w:val="18"/>
        <w:lang w:eastAsia="pt-BR"/>
      </w:rPr>
      <w:t>DELIBERAÇÃO CVM Nº 8</w:t>
    </w:r>
    <w:r>
      <w:rPr>
        <w:rFonts w:ascii="Times New Roman" w:eastAsia="Times New Roman" w:hAnsi="Times New Roman"/>
        <w:sz w:val="18"/>
        <w:szCs w:val="18"/>
        <w:lang w:eastAsia="pt-BR"/>
      </w:rPr>
      <w:t>36</w:t>
    </w:r>
    <w:r w:rsidRPr="003C6C73">
      <w:rPr>
        <w:rFonts w:ascii="Times New Roman" w:eastAsia="Times New Roman" w:hAnsi="Times New Roman"/>
        <w:sz w:val="18"/>
        <w:szCs w:val="18"/>
        <w:lang w:eastAsia="pt-BR"/>
      </w:rPr>
      <w:t xml:space="preserve">, DE 10 DE </w:t>
    </w:r>
    <w:r>
      <w:rPr>
        <w:rFonts w:ascii="Times New Roman" w:eastAsia="Times New Roman" w:hAnsi="Times New Roman"/>
        <w:sz w:val="18"/>
        <w:szCs w:val="18"/>
        <w:lang w:eastAsia="pt-BR"/>
      </w:rPr>
      <w:t>DEZEMBRO</w:t>
    </w:r>
    <w:r w:rsidRPr="003C6C73">
      <w:rPr>
        <w:rFonts w:ascii="Times New Roman" w:eastAsia="Times New Roman" w:hAnsi="Times New Roman"/>
        <w:sz w:val="18"/>
        <w:szCs w:val="18"/>
        <w:lang w:eastAsia="pt-BR"/>
      </w:rPr>
      <w:t xml:space="preserve"> DE 2019</w:t>
    </w:r>
    <w:r w:rsidRPr="003C6C73">
      <w:rPr>
        <w:rFonts w:ascii="Times New Roman" w:eastAsia="Times New Roman" w:hAnsi="Times New Roman"/>
        <w:sz w:val="18"/>
        <w:szCs w:val="18"/>
        <w:lang w:eastAsia="pt-BR"/>
      </w:rPr>
      <w:tab/>
    </w:r>
    <w:r w:rsidRPr="003C6C73">
      <w:rPr>
        <w:rFonts w:ascii="Times New Roman" w:eastAsia="Times New Roman" w:hAnsi="Times New Roman"/>
        <w:sz w:val="18"/>
        <w:szCs w:val="18"/>
        <w:lang w:eastAsia="pt-BR"/>
      </w:rPr>
      <w:fldChar w:fldCharType="begin"/>
    </w:r>
    <w:r w:rsidRPr="003C6C73">
      <w:rPr>
        <w:rFonts w:ascii="Times New Roman" w:eastAsia="Times New Roman" w:hAnsi="Times New Roman"/>
        <w:sz w:val="18"/>
        <w:szCs w:val="18"/>
        <w:lang w:eastAsia="pt-BR"/>
      </w:rPr>
      <w:instrText>PAGE   \* MERGEFORMAT</w:instrText>
    </w:r>
    <w:r w:rsidRPr="003C6C73">
      <w:rPr>
        <w:rFonts w:ascii="Times New Roman" w:eastAsia="Times New Roman" w:hAnsi="Times New Roman"/>
        <w:sz w:val="18"/>
        <w:szCs w:val="18"/>
        <w:lang w:eastAsia="pt-BR"/>
      </w:rPr>
      <w:fldChar w:fldCharType="separate"/>
    </w:r>
    <w:r w:rsidR="00912946">
      <w:rPr>
        <w:rFonts w:ascii="Times New Roman" w:eastAsia="Times New Roman" w:hAnsi="Times New Roman"/>
        <w:noProof/>
        <w:sz w:val="18"/>
        <w:szCs w:val="18"/>
        <w:lang w:eastAsia="pt-BR"/>
      </w:rPr>
      <w:t>10</w:t>
    </w:r>
    <w:r w:rsidRPr="003C6C73">
      <w:rPr>
        <w:rFonts w:ascii="Times New Roman" w:eastAsia="Times New Roman" w:hAnsi="Times New Roman"/>
        <w:sz w:val="18"/>
        <w:szCs w:val="18"/>
        <w:lang w:eastAsia="pt-BR"/>
      </w:rPr>
      <w:fldChar w:fldCharType="end"/>
    </w:r>
  </w:p>
  <w:p w:rsidR="007672BB" w:rsidRDefault="007672BB" w:rsidP="00A55D4F">
    <w:pPr>
      <w:pStyle w:val="Ttulo"/>
      <w:jc w:val="lef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882" w:rsidRPr="007A1E4D" w:rsidRDefault="00D65882" w:rsidP="00D65882">
    <w:pPr>
      <w:tabs>
        <w:tab w:val="center" w:pos="4419"/>
        <w:tab w:val="right" w:pos="8838"/>
      </w:tabs>
      <w:jc w:val="center"/>
    </w:pPr>
    <w:r w:rsidRPr="006D09A1">
      <w:rPr>
        <w:noProof/>
        <w:lang w:eastAsia="pt-BR"/>
      </w:rPr>
      <w:drawing>
        <wp:inline distT="0" distB="0" distL="0" distR="0" wp14:anchorId="2F6EC166" wp14:editId="46FE24FF">
          <wp:extent cx="636270" cy="628015"/>
          <wp:effectExtent l="0" t="0" r="0" b="635"/>
          <wp:docPr id="10" name="Imagem 10"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628015"/>
                  </a:xfrm>
                  <a:prstGeom prst="rect">
                    <a:avLst/>
                  </a:prstGeom>
                  <a:noFill/>
                  <a:ln>
                    <a:noFill/>
                  </a:ln>
                </pic:spPr>
              </pic:pic>
            </a:graphicData>
          </a:graphic>
        </wp:inline>
      </w:drawing>
    </w:r>
  </w:p>
  <w:p w:rsidR="00D65882" w:rsidRPr="000B67E6" w:rsidRDefault="00D65882" w:rsidP="00D65882">
    <w:pPr>
      <w:jc w:val="center"/>
      <w:rPr>
        <w:rFonts w:ascii="Times New Roman" w:hAnsi="Times New Roman"/>
        <w:b/>
      </w:rPr>
    </w:pPr>
    <w:r w:rsidRPr="000B67E6">
      <w:rPr>
        <w:rFonts w:ascii="Times New Roman" w:hAnsi="Times New Roman"/>
        <w:b/>
      </w:rPr>
      <w:t>COMISSÃO DE VALORES MOBILIÁRIOS</w:t>
    </w:r>
  </w:p>
  <w:p w:rsidR="00D65882" w:rsidRPr="000B67E6" w:rsidRDefault="00D65882" w:rsidP="00D65882">
    <w:pPr>
      <w:spacing w:line="180" w:lineRule="exact"/>
      <w:jc w:val="center"/>
      <w:rPr>
        <w:rFonts w:ascii="Times New Roman" w:hAnsi="Times New Roman"/>
        <w:sz w:val="16"/>
        <w:szCs w:val="16"/>
      </w:rPr>
    </w:pPr>
    <w:r w:rsidRPr="000B67E6">
      <w:rPr>
        <w:rFonts w:ascii="Times New Roman" w:hAnsi="Times New Roman"/>
        <w:sz w:val="16"/>
        <w:szCs w:val="16"/>
      </w:rPr>
      <w:t>Rua Sete de Setembro, 111/2-5º e 23-34º Andares, Centro, Rio de Janeiro/RJ – CEP: 20050-901 – Brasil - Tel.: (21) 3554-8686</w:t>
    </w:r>
  </w:p>
  <w:p w:rsidR="00D65882" w:rsidRPr="000B67E6" w:rsidRDefault="00D65882" w:rsidP="00D65882">
    <w:pPr>
      <w:spacing w:line="180" w:lineRule="exact"/>
      <w:jc w:val="center"/>
      <w:rPr>
        <w:rFonts w:ascii="Times New Roman" w:hAnsi="Times New Roman"/>
        <w:sz w:val="16"/>
        <w:szCs w:val="16"/>
      </w:rPr>
    </w:pPr>
    <w:r w:rsidRPr="000B67E6">
      <w:rPr>
        <w:rFonts w:ascii="Times New Roman" w:hAnsi="Times New Roman"/>
        <w:sz w:val="16"/>
        <w:szCs w:val="16"/>
      </w:rPr>
      <w:t>Rua Cincinato Braga, 340/2º, 3º e 4º Andares, Bela Vista, São Paulo/ SP – CEP: 01333-010 – Brasil - Tel.: (11) 2146-2000</w:t>
    </w:r>
  </w:p>
  <w:p w:rsidR="00D65882" w:rsidRPr="000B67E6" w:rsidRDefault="00D65882" w:rsidP="00D65882">
    <w:pPr>
      <w:spacing w:line="180" w:lineRule="exact"/>
      <w:jc w:val="center"/>
      <w:rPr>
        <w:rFonts w:ascii="Times New Roman" w:hAnsi="Times New Roman"/>
        <w:sz w:val="16"/>
        <w:szCs w:val="16"/>
      </w:rPr>
    </w:pPr>
    <w:r w:rsidRPr="000B67E6">
      <w:rPr>
        <w:rFonts w:ascii="Times New Roman" w:hAnsi="Times New Roman"/>
        <w:sz w:val="16"/>
        <w:szCs w:val="16"/>
      </w:rPr>
      <w:t xml:space="preserve">SCN Q.02 – </w:t>
    </w:r>
    <w:proofErr w:type="spellStart"/>
    <w:r w:rsidRPr="000B67E6">
      <w:rPr>
        <w:rFonts w:ascii="Times New Roman" w:hAnsi="Times New Roman"/>
        <w:sz w:val="16"/>
        <w:szCs w:val="16"/>
      </w:rPr>
      <w:t>Bl</w:t>
    </w:r>
    <w:proofErr w:type="spellEnd"/>
    <w:r w:rsidRPr="000B67E6">
      <w:rPr>
        <w:rFonts w:ascii="Times New Roman" w:hAnsi="Times New Roman"/>
        <w:sz w:val="16"/>
        <w:szCs w:val="16"/>
      </w:rPr>
      <w:t>. A – Ed. Corporate Financial Center, S.404/4º Andar, Brasília/DF – CEP: 70712-900 – Brasil -Tel.: (61) 3327-2030/2031</w:t>
    </w:r>
  </w:p>
  <w:p w:rsidR="00D65882" w:rsidRDefault="00912946" w:rsidP="00D65882">
    <w:pPr>
      <w:spacing w:line="180" w:lineRule="exact"/>
      <w:jc w:val="center"/>
      <w:rPr>
        <w:rFonts w:ascii="Times New Roman" w:hAnsi="Times New Roman"/>
      </w:rPr>
    </w:pPr>
    <w:hyperlink r:id="rId2" w:history="1">
      <w:r w:rsidR="00D65882" w:rsidRPr="000B67E6">
        <w:rPr>
          <w:rStyle w:val="Hyperlink"/>
          <w:rFonts w:ascii="Times New Roman" w:hAnsi="Times New Roman"/>
          <w:sz w:val="18"/>
          <w:szCs w:val="18"/>
        </w:rPr>
        <w:t>www.cvm.gov.br</w:t>
      </w:r>
    </w:hyperlink>
  </w:p>
  <w:p w:rsidR="007672BB" w:rsidRDefault="007672B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13691"/>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27854AD0"/>
    <w:multiLevelType w:val="hybridMultilevel"/>
    <w:tmpl w:val="26E0D798"/>
    <w:lvl w:ilvl="0" w:tplc="B5588766">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278E3C6F"/>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28EE6181"/>
    <w:multiLevelType w:val="multilevel"/>
    <w:tmpl w:val="B5DA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B92935"/>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2DA25706"/>
    <w:multiLevelType w:val="hybridMultilevel"/>
    <w:tmpl w:val="C8CA665A"/>
    <w:lvl w:ilvl="0" w:tplc="FEDC0788">
      <w:start w:val="1"/>
      <w:numFmt w:val="lowerLetter"/>
      <w:lvlText w:val="(%1)"/>
      <w:lvlJc w:val="left"/>
      <w:pPr>
        <w:tabs>
          <w:tab w:val="num" w:pos="1070"/>
        </w:tabs>
        <w:ind w:left="1070" w:hanging="360"/>
      </w:pPr>
      <w:rPr>
        <w:b w:val="0"/>
        <w:i w:val="0"/>
        <w:sz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396B7CA8"/>
    <w:multiLevelType w:val="hybridMultilevel"/>
    <w:tmpl w:val="03B0D8A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7287A38"/>
    <w:multiLevelType w:val="hybridMultilevel"/>
    <w:tmpl w:val="26E0D798"/>
    <w:lvl w:ilvl="0" w:tplc="B5588766">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4B9D009B"/>
    <w:multiLevelType w:val="hybridMultilevel"/>
    <w:tmpl w:val="0B88D50A"/>
    <w:lvl w:ilvl="0" w:tplc="E8FCB09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8E62E26"/>
    <w:multiLevelType w:val="hybridMultilevel"/>
    <w:tmpl w:val="2E28FD8C"/>
    <w:lvl w:ilvl="0" w:tplc="B5588766">
      <w:start w:val="1"/>
      <w:numFmt w:val="lowerLetter"/>
      <w:lvlText w:val="(%1)"/>
      <w:lvlJc w:val="left"/>
      <w:pPr>
        <w:ind w:left="1070" w:hanging="360"/>
      </w:pPr>
      <w:rPr>
        <w:b w:val="0"/>
        <w:i w:val="0"/>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15:restartNumberingAfterBreak="0">
    <w:nsid w:val="5FA04965"/>
    <w:multiLevelType w:val="hybridMultilevel"/>
    <w:tmpl w:val="8872EF06"/>
    <w:lvl w:ilvl="0" w:tplc="F5404DB8">
      <w:start w:val="19"/>
      <w:numFmt w:val="decimal"/>
      <w:lvlText w:val="%1."/>
      <w:lvlJc w:val="left"/>
      <w:pPr>
        <w:ind w:left="1670" w:hanging="360"/>
      </w:pPr>
      <w:rPr>
        <w:rFonts w:hint="default"/>
        <w:color w:val="231F20"/>
        <w:w w:val="105"/>
      </w:rPr>
    </w:lvl>
    <w:lvl w:ilvl="1" w:tplc="04160019">
      <w:start w:val="1"/>
      <w:numFmt w:val="lowerLetter"/>
      <w:lvlText w:val="%2."/>
      <w:lvlJc w:val="left"/>
      <w:pPr>
        <w:ind w:left="2390" w:hanging="360"/>
      </w:pPr>
    </w:lvl>
    <w:lvl w:ilvl="2" w:tplc="447E2538">
      <w:start w:val="1"/>
      <w:numFmt w:val="lowerLetter"/>
      <w:lvlText w:val="(%3)"/>
      <w:lvlJc w:val="left"/>
      <w:pPr>
        <w:ind w:left="3290" w:hanging="360"/>
      </w:pPr>
      <w:rPr>
        <w:rFonts w:hint="default"/>
      </w:rPr>
    </w:lvl>
    <w:lvl w:ilvl="3" w:tplc="0416000F" w:tentative="1">
      <w:start w:val="1"/>
      <w:numFmt w:val="decimal"/>
      <w:lvlText w:val="%4."/>
      <w:lvlJc w:val="left"/>
      <w:pPr>
        <w:ind w:left="3830" w:hanging="360"/>
      </w:pPr>
    </w:lvl>
    <w:lvl w:ilvl="4" w:tplc="04160019" w:tentative="1">
      <w:start w:val="1"/>
      <w:numFmt w:val="lowerLetter"/>
      <w:lvlText w:val="%5."/>
      <w:lvlJc w:val="left"/>
      <w:pPr>
        <w:ind w:left="4550" w:hanging="360"/>
      </w:pPr>
    </w:lvl>
    <w:lvl w:ilvl="5" w:tplc="0416001B" w:tentative="1">
      <w:start w:val="1"/>
      <w:numFmt w:val="lowerRoman"/>
      <w:lvlText w:val="%6."/>
      <w:lvlJc w:val="right"/>
      <w:pPr>
        <w:ind w:left="5270" w:hanging="180"/>
      </w:pPr>
    </w:lvl>
    <w:lvl w:ilvl="6" w:tplc="0416000F" w:tentative="1">
      <w:start w:val="1"/>
      <w:numFmt w:val="decimal"/>
      <w:lvlText w:val="%7."/>
      <w:lvlJc w:val="left"/>
      <w:pPr>
        <w:ind w:left="5990" w:hanging="360"/>
      </w:pPr>
    </w:lvl>
    <w:lvl w:ilvl="7" w:tplc="04160019" w:tentative="1">
      <w:start w:val="1"/>
      <w:numFmt w:val="lowerLetter"/>
      <w:lvlText w:val="%8."/>
      <w:lvlJc w:val="left"/>
      <w:pPr>
        <w:ind w:left="6710" w:hanging="360"/>
      </w:pPr>
    </w:lvl>
    <w:lvl w:ilvl="8" w:tplc="0416001B" w:tentative="1">
      <w:start w:val="1"/>
      <w:numFmt w:val="lowerRoman"/>
      <w:lvlText w:val="%9."/>
      <w:lvlJc w:val="right"/>
      <w:pPr>
        <w:ind w:left="7430" w:hanging="180"/>
      </w:pPr>
    </w:lvl>
  </w:abstractNum>
  <w:abstractNum w:abstractNumId="11" w15:restartNumberingAfterBreak="0">
    <w:nsid w:val="65AA6C74"/>
    <w:multiLevelType w:val="hybridMultilevel"/>
    <w:tmpl w:val="26E0D798"/>
    <w:lvl w:ilvl="0" w:tplc="B5588766">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73611F79"/>
    <w:multiLevelType w:val="hybridMultilevel"/>
    <w:tmpl w:val="C56C515A"/>
    <w:lvl w:ilvl="0" w:tplc="E86AB1F0">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74B33BD0"/>
    <w:multiLevelType w:val="hybridMultilevel"/>
    <w:tmpl w:val="D8CC86B2"/>
    <w:lvl w:ilvl="0" w:tplc="38AEDCD8">
      <w:start w:val="1"/>
      <w:numFmt w:val="lowerLetter"/>
      <w:lvlText w:val="(%1)"/>
      <w:lvlJc w:val="left"/>
      <w:pPr>
        <w:ind w:left="999" w:hanging="432"/>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15:restartNumberingAfterBreak="0">
    <w:nsid w:val="7DDA73C6"/>
    <w:multiLevelType w:val="hybridMultilevel"/>
    <w:tmpl w:val="58E6CCBE"/>
    <w:lvl w:ilvl="0" w:tplc="24924D5E">
      <w:start w:val="1"/>
      <w:numFmt w:val="bullet"/>
      <w:lvlText w:val=""/>
      <w:lvlJc w:val="left"/>
      <w:pPr>
        <w:ind w:left="720" w:hanging="360"/>
      </w:pPr>
      <w:rPr>
        <w:rFonts w:ascii="Symbol" w:hAnsi="Symbol" w:hint="default"/>
        <w:strike w:val="0"/>
        <w:dstrike w:val="0"/>
        <w:u w:val="none"/>
        <w:effect w:val="none"/>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num>
  <w:num w:numId="2">
    <w:abstractNumId w:val="6"/>
  </w:num>
  <w:num w:numId="3">
    <w:abstractNumId w:val="3"/>
  </w:num>
  <w:num w:numId="4">
    <w:abstractNumId w:val="8"/>
  </w:num>
  <w:num w:numId="5">
    <w:abstractNumId w:val="2"/>
  </w:num>
  <w:num w:numId="6">
    <w:abstractNumId w:val="10"/>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
  </w:num>
  <w:num w:numId="10">
    <w:abstractNumId w:val="7"/>
  </w:num>
  <w:num w:numId="11">
    <w:abstractNumId w:val="4"/>
  </w:num>
  <w:num w:numId="12">
    <w:abstractNumId w:val="5"/>
  </w:num>
  <w:num w:numId="13">
    <w:abstractNumId w:val="12"/>
  </w:num>
  <w:num w:numId="14">
    <w:abstractNumId w:val="9"/>
  </w:num>
  <w:num w:numId="1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activeWritingStyle w:appName="MSWord" w:lang="pt-BR" w:vendorID="1" w:dllVersion="513" w:checkStyle="1"/>
  <w:activeWritingStyle w:appName="MSWord" w:lang="pt-PT" w:vendorID="1"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5601"/>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BmTagged" w:val="11"/>
    <w:docVar w:name="WfGraphics" w:val="X"/>
    <w:docVar w:name="WfLargeDoc" w:val="11"/>
    <w:docVar w:name="WfLastSegment" w:val=" 336974 n"/>
    <w:docVar w:name="WfProtection" w:val="1"/>
    <w:docVar w:name="WfStyles" w:val=" 329   no"/>
  </w:docVars>
  <w:rsids>
    <w:rsidRoot w:val="00D17099"/>
    <w:rsid w:val="00002058"/>
    <w:rsid w:val="00010C4A"/>
    <w:rsid w:val="00011B57"/>
    <w:rsid w:val="00012639"/>
    <w:rsid w:val="00013830"/>
    <w:rsid w:val="000141D7"/>
    <w:rsid w:val="00014E00"/>
    <w:rsid w:val="00016FA1"/>
    <w:rsid w:val="00020718"/>
    <w:rsid w:val="00021271"/>
    <w:rsid w:val="00022547"/>
    <w:rsid w:val="00025187"/>
    <w:rsid w:val="00027474"/>
    <w:rsid w:val="00030A93"/>
    <w:rsid w:val="00030F9E"/>
    <w:rsid w:val="000329F3"/>
    <w:rsid w:val="00033C2C"/>
    <w:rsid w:val="0003468D"/>
    <w:rsid w:val="000370AC"/>
    <w:rsid w:val="00040825"/>
    <w:rsid w:val="00041B10"/>
    <w:rsid w:val="000449BE"/>
    <w:rsid w:val="00051A02"/>
    <w:rsid w:val="00052F3C"/>
    <w:rsid w:val="000554AD"/>
    <w:rsid w:val="00055B84"/>
    <w:rsid w:val="00057988"/>
    <w:rsid w:val="00057CED"/>
    <w:rsid w:val="00061BE0"/>
    <w:rsid w:val="00064D5E"/>
    <w:rsid w:val="00066606"/>
    <w:rsid w:val="00067661"/>
    <w:rsid w:val="00070541"/>
    <w:rsid w:val="00072C81"/>
    <w:rsid w:val="00075A72"/>
    <w:rsid w:val="00076FF1"/>
    <w:rsid w:val="000779A9"/>
    <w:rsid w:val="00080A0C"/>
    <w:rsid w:val="000814F5"/>
    <w:rsid w:val="00084E40"/>
    <w:rsid w:val="0008769A"/>
    <w:rsid w:val="00095AFB"/>
    <w:rsid w:val="00095DA4"/>
    <w:rsid w:val="00096461"/>
    <w:rsid w:val="00097293"/>
    <w:rsid w:val="00097449"/>
    <w:rsid w:val="000A2911"/>
    <w:rsid w:val="000A2F4D"/>
    <w:rsid w:val="000A78A4"/>
    <w:rsid w:val="000B0508"/>
    <w:rsid w:val="000B0FDB"/>
    <w:rsid w:val="000B1915"/>
    <w:rsid w:val="000B3D70"/>
    <w:rsid w:val="000B4EF9"/>
    <w:rsid w:val="000B6514"/>
    <w:rsid w:val="000C4246"/>
    <w:rsid w:val="000C5307"/>
    <w:rsid w:val="000D18B0"/>
    <w:rsid w:val="000D3302"/>
    <w:rsid w:val="000E0C8B"/>
    <w:rsid w:val="000E24AA"/>
    <w:rsid w:val="000F2B59"/>
    <w:rsid w:val="000F3D6B"/>
    <w:rsid w:val="000F7514"/>
    <w:rsid w:val="00105072"/>
    <w:rsid w:val="001143B4"/>
    <w:rsid w:val="0011522A"/>
    <w:rsid w:val="00116F19"/>
    <w:rsid w:val="001205DD"/>
    <w:rsid w:val="0012177D"/>
    <w:rsid w:val="00121D3D"/>
    <w:rsid w:val="00124804"/>
    <w:rsid w:val="00126572"/>
    <w:rsid w:val="00136525"/>
    <w:rsid w:val="00136A60"/>
    <w:rsid w:val="00143C0E"/>
    <w:rsid w:val="001464E8"/>
    <w:rsid w:val="001472A8"/>
    <w:rsid w:val="00150A7A"/>
    <w:rsid w:val="001514D1"/>
    <w:rsid w:val="00151609"/>
    <w:rsid w:val="00151833"/>
    <w:rsid w:val="00153492"/>
    <w:rsid w:val="00153EE9"/>
    <w:rsid w:val="00153F6C"/>
    <w:rsid w:val="001607A6"/>
    <w:rsid w:val="0016090D"/>
    <w:rsid w:val="001610A2"/>
    <w:rsid w:val="001629DF"/>
    <w:rsid w:val="00165C67"/>
    <w:rsid w:val="00167342"/>
    <w:rsid w:val="00171D45"/>
    <w:rsid w:val="0017248A"/>
    <w:rsid w:val="0017361F"/>
    <w:rsid w:val="00173D96"/>
    <w:rsid w:val="00174445"/>
    <w:rsid w:val="00176DD9"/>
    <w:rsid w:val="00181E41"/>
    <w:rsid w:val="001831F8"/>
    <w:rsid w:val="001839E6"/>
    <w:rsid w:val="00185512"/>
    <w:rsid w:val="00186174"/>
    <w:rsid w:val="00193D30"/>
    <w:rsid w:val="001A0633"/>
    <w:rsid w:val="001A1446"/>
    <w:rsid w:val="001A14A9"/>
    <w:rsid w:val="001A614D"/>
    <w:rsid w:val="001A7B80"/>
    <w:rsid w:val="001B09F9"/>
    <w:rsid w:val="001B17FF"/>
    <w:rsid w:val="001B4065"/>
    <w:rsid w:val="001C164F"/>
    <w:rsid w:val="001C1E2E"/>
    <w:rsid w:val="001C4CCE"/>
    <w:rsid w:val="001C4E1F"/>
    <w:rsid w:val="001D0CA2"/>
    <w:rsid w:val="001D18E3"/>
    <w:rsid w:val="001D4B57"/>
    <w:rsid w:val="001D5215"/>
    <w:rsid w:val="001D52BC"/>
    <w:rsid w:val="001D6034"/>
    <w:rsid w:val="001E12F3"/>
    <w:rsid w:val="001E515C"/>
    <w:rsid w:val="001E6989"/>
    <w:rsid w:val="001F4F9C"/>
    <w:rsid w:val="00201CEF"/>
    <w:rsid w:val="00210CCF"/>
    <w:rsid w:val="0021527F"/>
    <w:rsid w:val="002160BC"/>
    <w:rsid w:val="002164D9"/>
    <w:rsid w:val="00217BC2"/>
    <w:rsid w:val="0022699F"/>
    <w:rsid w:val="002326B6"/>
    <w:rsid w:val="00242F08"/>
    <w:rsid w:val="002576DB"/>
    <w:rsid w:val="0026181A"/>
    <w:rsid w:val="00261827"/>
    <w:rsid w:val="00264EE0"/>
    <w:rsid w:val="00264F02"/>
    <w:rsid w:val="00266307"/>
    <w:rsid w:val="002675F0"/>
    <w:rsid w:val="00267F94"/>
    <w:rsid w:val="0027136A"/>
    <w:rsid w:val="002740A2"/>
    <w:rsid w:val="002747E6"/>
    <w:rsid w:val="002775B1"/>
    <w:rsid w:val="00277C53"/>
    <w:rsid w:val="00282377"/>
    <w:rsid w:val="002825B0"/>
    <w:rsid w:val="00285A0F"/>
    <w:rsid w:val="00294169"/>
    <w:rsid w:val="002959D4"/>
    <w:rsid w:val="002A247F"/>
    <w:rsid w:val="002B45CB"/>
    <w:rsid w:val="002C17E1"/>
    <w:rsid w:val="002C1D7A"/>
    <w:rsid w:val="002C2904"/>
    <w:rsid w:val="002C2D5B"/>
    <w:rsid w:val="002C4145"/>
    <w:rsid w:val="002C793C"/>
    <w:rsid w:val="002D0535"/>
    <w:rsid w:val="002D29D9"/>
    <w:rsid w:val="002D33DD"/>
    <w:rsid w:val="002D3B06"/>
    <w:rsid w:val="002D5D57"/>
    <w:rsid w:val="002E03EF"/>
    <w:rsid w:val="002E4C2D"/>
    <w:rsid w:val="002E542D"/>
    <w:rsid w:val="002E5FAF"/>
    <w:rsid w:val="002F0A9E"/>
    <w:rsid w:val="002F3BB8"/>
    <w:rsid w:val="002F5687"/>
    <w:rsid w:val="002F6D0B"/>
    <w:rsid w:val="003014DC"/>
    <w:rsid w:val="003050C0"/>
    <w:rsid w:val="00305F49"/>
    <w:rsid w:val="003177F0"/>
    <w:rsid w:val="00320E23"/>
    <w:rsid w:val="00321C8F"/>
    <w:rsid w:val="00324A01"/>
    <w:rsid w:val="003266AD"/>
    <w:rsid w:val="00326FD5"/>
    <w:rsid w:val="003304D5"/>
    <w:rsid w:val="00330E1A"/>
    <w:rsid w:val="003323A0"/>
    <w:rsid w:val="00336B91"/>
    <w:rsid w:val="00342849"/>
    <w:rsid w:val="00344615"/>
    <w:rsid w:val="00346CCA"/>
    <w:rsid w:val="003521AF"/>
    <w:rsid w:val="003569BA"/>
    <w:rsid w:val="00365197"/>
    <w:rsid w:val="00366AC2"/>
    <w:rsid w:val="00366F18"/>
    <w:rsid w:val="003751F0"/>
    <w:rsid w:val="00375689"/>
    <w:rsid w:val="00380393"/>
    <w:rsid w:val="00380900"/>
    <w:rsid w:val="003828AA"/>
    <w:rsid w:val="00382A5B"/>
    <w:rsid w:val="00382E4E"/>
    <w:rsid w:val="00382E91"/>
    <w:rsid w:val="00383D83"/>
    <w:rsid w:val="003927C9"/>
    <w:rsid w:val="003943CE"/>
    <w:rsid w:val="00397EB1"/>
    <w:rsid w:val="003A1A57"/>
    <w:rsid w:val="003A33A0"/>
    <w:rsid w:val="003B4AB6"/>
    <w:rsid w:val="003B4D49"/>
    <w:rsid w:val="003C4A68"/>
    <w:rsid w:val="003C5CC8"/>
    <w:rsid w:val="003C5F15"/>
    <w:rsid w:val="003D1725"/>
    <w:rsid w:val="003D1B46"/>
    <w:rsid w:val="003D2BF5"/>
    <w:rsid w:val="003D338A"/>
    <w:rsid w:val="003D3DC7"/>
    <w:rsid w:val="003D5FEF"/>
    <w:rsid w:val="003E073B"/>
    <w:rsid w:val="003E32EB"/>
    <w:rsid w:val="003E511B"/>
    <w:rsid w:val="003F4062"/>
    <w:rsid w:val="003F4126"/>
    <w:rsid w:val="004005C2"/>
    <w:rsid w:val="004047B0"/>
    <w:rsid w:val="00406274"/>
    <w:rsid w:val="00406C36"/>
    <w:rsid w:val="00410952"/>
    <w:rsid w:val="004152B6"/>
    <w:rsid w:val="00416833"/>
    <w:rsid w:val="00417B95"/>
    <w:rsid w:val="0042067A"/>
    <w:rsid w:val="004226AA"/>
    <w:rsid w:val="00424403"/>
    <w:rsid w:val="00424DC6"/>
    <w:rsid w:val="00427659"/>
    <w:rsid w:val="00427A9B"/>
    <w:rsid w:val="00430BD8"/>
    <w:rsid w:val="00430CA4"/>
    <w:rsid w:val="00435A61"/>
    <w:rsid w:val="0043623F"/>
    <w:rsid w:val="0043702B"/>
    <w:rsid w:val="0043752B"/>
    <w:rsid w:val="0043759B"/>
    <w:rsid w:val="00442132"/>
    <w:rsid w:val="00443D77"/>
    <w:rsid w:val="004441DA"/>
    <w:rsid w:val="0045361B"/>
    <w:rsid w:val="00453E81"/>
    <w:rsid w:val="00456D5F"/>
    <w:rsid w:val="0046435C"/>
    <w:rsid w:val="00467276"/>
    <w:rsid w:val="0046767E"/>
    <w:rsid w:val="00471DC5"/>
    <w:rsid w:val="004746F3"/>
    <w:rsid w:val="0047508A"/>
    <w:rsid w:val="004757D3"/>
    <w:rsid w:val="0047747C"/>
    <w:rsid w:val="004815F4"/>
    <w:rsid w:val="004904CB"/>
    <w:rsid w:val="00490803"/>
    <w:rsid w:val="004934E1"/>
    <w:rsid w:val="00496D95"/>
    <w:rsid w:val="004A01BF"/>
    <w:rsid w:val="004A37C9"/>
    <w:rsid w:val="004A5F85"/>
    <w:rsid w:val="004A7198"/>
    <w:rsid w:val="004A7433"/>
    <w:rsid w:val="004B46CA"/>
    <w:rsid w:val="004B584A"/>
    <w:rsid w:val="004B75AF"/>
    <w:rsid w:val="004C6AA1"/>
    <w:rsid w:val="004D13BE"/>
    <w:rsid w:val="004D1E8F"/>
    <w:rsid w:val="004D388B"/>
    <w:rsid w:val="004E07D6"/>
    <w:rsid w:val="004E4BEF"/>
    <w:rsid w:val="004E70F6"/>
    <w:rsid w:val="004F105C"/>
    <w:rsid w:val="004F2127"/>
    <w:rsid w:val="004F2356"/>
    <w:rsid w:val="004F347A"/>
    <w:rsid w:val="004F59F3"/>
    <w:rsid w:val="004F7369"/>
    <w:rsid w:val="005009EC"/>
    <w:rsid w:val="00510ABA"/>
    <w:rsid w:val="005152F9"/>
    <w:rsid w:val="00516ACD"/>
    <w:rsid w:val="00517E6E"/>
    <w:rsid w:val="005217CE"/>
    <w:rsid w:val="0052280E"/>
    <w:rsid w:val="0052565B"/>
    <w:rsid w:val="0052602B"/>
    <w:rsid w:val="00530612"/>
    <w:rsid w:val="005311CA"/>
    <w:rsid w:val="00531ADA"/>
    <w:rsid w:val="005322E6"/>
    <w:rsid w:val="005325DB"/>
    <w:rsid w:val="00534E5D"/>
    <w:rsid w:val="005410AD"/>
    <w:rsid w:val="005416A3"/>
    <w:rsid w:val="0055419E"/>
    <w:rsid w:val="00554AC2"/>
    <w:rsid w:val="00560CFB"/>
    <w:rsid w:val="0056138E"/>
    <w:rsid w:val="00562797"/>
    <w:rsid w:val="005631E0"/>
    <w:rsid w:val="00571C8B"/>
    <w:rsid w:val="00574C2D"/>
    <w:rsid w:val="005812D7"/>
    <w:rsid w:val="0058393A"/>
    <w:rsid w:val="00583E80"/>
    <w:rsid w:val="0058683E"/>
    <w:rsid w:val="0059272B"/>
    <w:rsid w:val="0059567D"/>
    <w:rsid w:val="00595BA7"/>
    <w:rsid w:val="005966C9"/>
    <w:rsid w:val="005A23F6"/>
    <w:rsid w:val="005A669D"/>
    <w:rsid w:val="005A7773"/>
    <w:rsid w:val="005B2750"/>
    <w:rsid w:val="005B6E6B"/>
    <w:rsid w:val="005C07A0"/>
    <w:rsid w:val="005C0DDF"/>
    <w:rsid w:val="005C1854"/>
    <w:rsid w:val="005C201E"/>
    <w:rsid w:val="005C4C0F"/>
    <w:rsid w:val="005C5FC3"/>
    <w:rsid w:val="005E182B"/>
    <w:rsid w:val="005E290C"/>
    <w:rsid w:val="005E60AD"/>
    <w:rsid w:val="005E6E5F"/>
    <w:rsid w:val="005F22D1"/>
    <w:rsid w:val="005F4A11"/>
    <w:rsid w:val="005F57CD"/>
    <w:rsid w:val="005F6892"/>
    <w:rsid w:val="005F78CA"/>
    <w:rsid w:val="006128E1"/>
    <w:rsid w:val="00617331"/>
    <w:rsid w:val="0062368A"/>
    <w:rsid w:val="00623B17"/>
    <w:rsid w:val="00623C2C"/>
    <w:rsid w:val="00626B21"/>
    <w:rsid w:val="00627CC7"/>
    <w:rsid w:val="00640490"/>
    <w:rsid w:val="006431E6"/>
    <w:rsid w:val="0064409D"/>
    <w:rsid w:val="006520B4"/>
    <w:rsid w:val="0065777D"/>
    <w:rsid w:val="00661007"/>
    <w:rsid w:val="006623A5"/>
    <w:rsid w:val="00663E36"/>
    <w:rsid w:val="006659A1"/>
    <w:rsid w:val="00671775"/>
    <w:rsid w:val="0067657C"/>
    <w:rsid w:val="00680AD6"/>
    <w:rsid w:val="006816E9"/>
    <w:rsid w:val="006906DB"/>
    <w:rsid w:val="006934E4"/>
    <w:rsid w:val="0069421F"/>
    <w:rsid w:val="006A1ADC"/>
    <w:rsid w:val="006A2037"/>
    <w:rsid w:val="006A50E7"/>
    <w:rsid w:val="006B59B7"/>
    <w:rsid w:val="006B636D"/>
    <w:rsid w:val="006B770F"/>
    <w:rsid w:val="006C4962"/>
    <w:rsid w:val="006D12CB"/>
    <w:rsid w:val="006D1559"/>
    <w:rsid w:val="006D1779"/>
    <w:rsid w:val="006D44B1"/>
    <w:rsid w:val="006D660C"/>
    <w:rsid w:val="006E10CD"/>
    <w:rsid w:val="006E25B3"/>
    <w:rsid w:val="006E5AEF"/>
    <w:rsid w:val="006E6B73"/>
    <w:rsid w:val="006F1A45"/>
    <w:rsid w:val="006F5F35"/>
    <w:rsid w:val="006F770B"/>
    <w:rsid w:val="006F7BAE"/>
    <w:rsid w:val="00703A05"/>
    <w:rsid w:val="0070798B"/>
    <w:rsid w:val="00711E0D"/>
    <w:rsid w:val="0071336F"/>
    <w:rsid w:val="00715B77"/>
    <w:rsid w:val="00722878"/>
    <w:rsid w:val="0072315A"/>
    <w:rsid w:val="00723BFD"/>
    <w:rsid w:val="00735BA7"/>
    <w:rsid w:val="007437EB"/>
    <w:rsid w:val="00745E7D"/>
    <w:rsid w:val="007509FA"/>
    <w:rsid w:val="0075118D"/>
    <w:rsid w:val="00753317"/>
    <w:rsid w:val="00753CB7"/>
    <w:rsid w:val="00754462"/>
    <w:rsid w:val="0076015D"/>
    <w:rsid w:val="00762B70"/>
    <w:rsid w:val="00763FB9"/>
    <w:rsid w:val="007672BB"/>
    <w:rsid w:val="00767E4D"/>
    <w:rsid w:val="00770341"/>
    <w:rsid w:val="00770CA1"/>
    <w:rsid w:val="00771ACF"/>
    <w:rsid w:val="00771C9E"/>
    <w:rsid w:val="00772AE2"/>
    <w:rsid w:val="00773A70"/>
    <w:rsid w:val="00773F2D"/>
    <w:rsid w:val="007743D1"/>
    <w:rsid w:val="00774555"/>
    <w:rsid w:val="0077578F"/>
    <w:rsid w:val="007800BF"/>
    <w:rsid w:val="00784F04"/>
    <w:rsid w:val="0078587F"/>
    <w:rsid w:val="00791074"/>
    <w:rsid w:val="00795AAD"/>
    <w:rsid w:val="007976CA"/>
    <w:rsid w:val="007A1D4F"/>
    <w:rsid w:val="007A2D0B"/>
    <w:rsid w:val="007A3CE1"/>
    <w:rsid w:val="007A3E21"/>
    <w:rsid w:val="007A5AC5"/>
    <w:rsid w:val="007A694D"/>
    <w:rsid w:val="007A7D1E"/>
    <w:rsid w:val="007B17C3"/>
    <w:rsid w:val="007B4E2C"/>
    <w:rsid w:val="007B74DE"/>
    <w:rsid w:val="007C2BCD"/>
    <w:rsid w:val="007C4D9D"/>
    <w:rsid w:val="007D0408"/>
    <w:rsid w:val="007D5D02"/>
    <w:rsid w:val="007D70C2"/>
    <w:rsid w:val="007E0AF4"/>
    <w:rsid w:val="007E48A5"/>
    <w:rsid w:val="007E4BCF"/>
    <w:rsid w:val="007E5BAE"/>
    <w:rsid w:val="007E5F61"/>
    <w:rsid w:val="007E6CC8"/>
    <w:rsid w:val="007E7D80"/>
    <w:rsid w:val="007F3F8E"/>
    <w:rsid w:val="007F775D"/>
    <w:rsid w:val="007F7EC1"/>
    <w:rsid w:val="00800C36"/>
    <w:rsid w:val="00801CC3"/>
    <w:rsid w:val="00801EC9"/>
    <w:rsid w:val="008102C3"/>
    <w:rsid w:val="00810742"/>
    <w:rsid w:val="0081507E"/>
    <w:rsid w:val="00815611"/>
    <w:rsid w:val="00815973"/>
    <w:rsid w:val="00817E95"/>
    <w:rsid w:val="00822D8E"/>
    <w:rsid w:val="00823F94"/>
    <w:rsid w:val="0082656F"/>
    <w:rsid w:val="008272FC"/>
    <w:rsid w:val="008278C6"/>
    <w:rsid w:val="00830AD1"/>
    <w:rsid w:val="00833D67"/>
    <w:rsid w:val="00840B2D"/>
    <w:rsid w:val="00845478"/>
    <w:rsid w:val="0084792F"/>
    <w:rsid w:val="00847946"/>
    <w:rsid w:val="00851C4E"/>
    <w:rsid w:val="00853088"/>
    <w:rsid w:val="008565E3"/>
    <w:rsid w:val="00857E5F"/>
    <w:rsid w:val="00862575"/>
    <w:rsid w:val="0086291A"/>
    <w:rsid w:val="008637D4"/>
    <w:rsid w:val="00866D25"/>
    <w:rsid w:val="00867C99"/>
    <w:rsid w:val="0087218D"/>
    <w:rsid w:val="0087424E"/>
    <w:rsid w:val="0087731B"/>
    <w:rsid w:val="00882FE3"/>
    <w:rsid w:val="008830EA"/>
    <w:rsid w:val="00883F49"/>
    <w:rsid w:val="00884B62"/>
    <w:rsid w:val="0089029A"/>
    <w:rsid w:val="00891819"/>
    <w:rsid w:val="00891A11"/>
    <w:rsid w:val="00894F41"/>
    <w:rsid w:val="008A1E47"/>
    <w:rsid w:val="008A2B9A"/>
    <w:rsid w:val="008A6ACE"/>
    <w:rsid w:val="008A6C5A"/>
    <w:rsid w:val="008B110D"/>
    <w:rsid w:val="008B1BC2"/>
    <w:rsid w:val="008B2707"/>
    <w:rsid w:val="008B3199"/>
    <w:rsid w:val="008B3C8F"/>
    <w:rsid w:val="008B4984"/>
    <w:rsid w:val="008B6F12"/>
    <w:rsid w:val="008B70EF"/>
    <w:rsid w:val="008C1C52"/>
    <w:rsid w:val="008C6155"/>
    <w:rsid w:val="008D22C6"/>
    <w:rsid w:val="008E2552"/>
    <w:rsid w:val="008F44C8"/>
    <w:rsid w:val="008F6A08"/>
    <w:rsid w:val="0090127A"/>
    <w:rsid w:val="0090274E"/>
    <w:rsid w:val="00902B06"/>
    <w:rsid w:val="009065D1"/>
    <w:rsid w:val="00906A40"/>
    <w:rsid w:val="009075E5"/>
    <w:rsid w:val="009120C2"/>
    <w:rsid w:val="0091233D"/>
    <w:rsid w:val="00912946"/>
    <w:rsid w:val="00920142"/>
    <w:rsid w:val="00920755"/>
    <w:rsid w:val="00920B1E"/>
    <w:rsid w:val="00926D80"/>
    <w:rsid w:val="00935247"/>
    <w:rsid w:val="0094413A"/>
    <w:rsid w:val="009459FE"/>
    <w:rsid w:val="00945D5B"/>
    <w:rsid w:val="00951A5E"/>
    <w:rsid w:val="00951D20"/>
    <w:rsid w:val="00952E4E"/>
    <w:rsid w:val="00953BF0"/>
    <w:rsid w:val="00954098"/>
    <w:rsid w:val="00955F51"/>
    <w:rsid w:val="0095626B"/>
    <w:rsid w:val="009609FE"/>
    <w:rsid w:val="00960B34"/>
    <w:rsid w:val="00965322"/>
    <w:rsid w:val="00966323"/>
    <w:rsid w:val="009710AF"/>
    <w:rsid w:val="00985143"/>
    <w:rsid w:val="00987535"/>
    <w:rsid w:val="00991B62"/>
    <w:rsid w:val="0099763C"/>
    <w:rsid w:val="009A6B1F"/>
    <w:rsid w:val="009B03B1"/>
    <w:rsid w:val="009B08CD"/>
    <w:rsid w:val="009B0955"/>
    <w:rsid w:val="009B1C6E"/>
    <w:rsid w:val="009B21B4"/>
    <w:rsid w:val="009B4785"/>
    <w:rsid w:val="009B4FC3"/>
    <w:rsid w:val="009C06B0"/>
    <w:rsid w:val="009C1C6B"/>
    <w:rsid w:val="009C3BD2"/>
    <w:rsid w:val="009C783F"/>
    <w:rsid w:val="009D08B4"/>
    <w:rsid w:val="009D1382"/>
    <w:rsid w:val="009D19CB"/>
    <w:rsid w:val="009D2E0C"/>
    <w:rsid w:val="009D6337"/>
    <w:rsid w:val="009D6CC0"/>
    <w:rsid w:val="009E1A92"/>
    <w:rsid w:val="009E453B"/>
    <w:rsid w:val="009E6349"/>
    <w:rsid w:val="009F0C09"/>
    <w:rsid w:val="009F4B90"/>
    <w:rsid w:val="009F4BCE"/>
    <w:rsid w:val="009F4C1D"/>
    <w:rsid w:val="009F646E"/>
    <w:rsid w:val="009F7F20"/>
    <w:rsid w:val="00A05055"/>
    <w:rsid w:val="00A05901"/>
    <w:rsid w:val="00A05B36"/>
    <w:rsid w:val="00A05DB6"/>
    <w:rsid w:val="00A064C7"/>
    <w:rsid w:val="00A14207"/>
    <w:rsid w:val="00A1560A"/>
    <w:rsid w:val="00A1570B"/>
    <w:rsid w:val="00A1704D"/>
    <w:rsid w:val="00A25E3F"/>
    <w:rsid w:val="00A265A0"/>
    <w:rsid w:val="00A2721F"/>
    <w:rsid w:val="00A3383F"/>
    <w:rsid w:val="00A33B2B"/>
    <w:rsid w:val="00A35EFE"/>
    <w:rsid w:val="00A36BF8"/>
    <w:rsid w:val="00A4153C"/>
    <w:rsid w:val="00A44ACC"/>
    <w:rsid w:val="00A44CEE"/>
    <w:rsid w:val="00A45848"/>
    <w:rsid w:val="00A46A90"/>
    <w:rsid w:val="00A52C57"/>
    <w:rsid w:val="00A55D4F"/>
    <w:rsid w:val="00A6260D"/>
    <w:rsid w:val="00A631E9"/>
    <w:rsid w:val="00A656DD"/>
    <w:rsid w:val="00A73AD8"/>
    <w:rsid w:val="00A75413"/>
    <w:rsid w:val="00A804C2"/>
    <w:rsid w:val="00A80926"/>
    <w:rsid w:val="00A809C2"/>
    <w:rsid w:val="00A82088"/>
    <w:rsid w:val="00A8256B"/>
    <w:rsid w:val="00A839DA"/>
    <w:rsid w:val="00A83C3D"/>
    <w:rsid w:val="00A83EBE"/>
    <w:rsid w:val="00A83F55"/>
    <w:rsid w:val="00A847EC"/>
    <w:rsid w:val="00A84CD7"/>
    <w:rsid w:val="00A85D30"/>
    <w:rsid w:val="00A9140B"/>
    <w:rsid w:val="00AA1E01"/>
    <w:rsid w:val="00AA7223"/>
    <w:rsid w:val="00AB7962"/>
    <w:rsid w:val="00AC1CB4"/>
    <w:rsid w:val="00AC285B"/>
    <w:rsid w:val="00AC592D"/>
    <w:rsid w:val="00AC6A5A"/>
    <w:rsid w:val="00AC71E9"/>
    <w:rsid w:val="00AD0859"/>
    <w:rsid w:val="00AD1D74"/>
    <w:rsid w:val="00AD6541"/>
    <w:rsid w:val="00AE1547"/>
    <w:rsid w:val="00AE5D59"/>
    <w:rsid w:val="00AE75A1"/>
    <w:rsid w:val="00AF2A68"/>
    <w:rsid w:val="00AF30D7"/>
    <w:rsid w:val="00AF499E"/>
    <w:rsid w:val="00AF4FFC"/>
    <w:rsid w:val="00AF74E2"/>
    <w:rsid w:val="00B003B4"/>
    <w:rsid w:val="00B10927"/>
    <w:rsid w:val="00B12FC5"/>
    <w:rsid w:val="00B1471D"/>
    <w:rsid w:val="00B1476A"/>
    <w:rsid w:val="00B211E3"/>
    <w:rsid w:val="00B21591"/>
    <w:rsid w:val="00B220B7"/>
    <w:rsid w:val="00B23314"/>
    <w:rsid w:val="00B2694C"/>
    <w:rsid w:val="00B30CF9"/>
    <w:rsid w:val="00B3494E"/>
    <w:rsid w:val="00B349A0"/>
    <w:rsid w:val="00B3725A"/>
    <w:rsid w:val="00B40B66"/>
    <w:rsid w:val="00B4117B"/>
    <w:rsid w:val="00B42D65"/>
    <w:rsid w:val="00B4612E"/>
    <w:rsid w:val="00B46598"/>
    <w:rsid w:val="00B523E3"/>
    <w:rsid w:val="00B64A6E"/>
    <w:rsid w:val="00B714CD"/>
    <w:rsid w:val="00B7188D"/>
    <w:rsid w:val="00B73EA6"/>
    <w:rsid w:val="00B75364"/>
    <w:rsid w:val="00B7537F"/>
    <w:rsid w:val="00B77846"/>
    <w:rsid w:val="00B823C0"/>
    <w:rsid w:val="00B82F90"/>
    <w:rsid w:val="00B83417"/>
    <w:rsid w:val="00B838B1"/>
    <w:rsid w:val="00B84DC3"/>
    <w:rsid w:val="00B84FEA"/>
    <w:rsid w:val="00B85872"/>
    <w:rsid w:val="00B873B3"/>
    <w:rsid w:val="00B87E39"/>
    <w:rsid w:val="00B93331"/>
    <w:rsid w:val="00B96D01"/>
    <w:rsid w:val="00BA0515"/>
    <w:rsid w:val="00BA686D"/>
    <w:rsid w:val="00BA6D90"/>
    <w:rsid w:val="00BB26F6"/>
    <w:rsid w:val="00BB7C62"/>
    <w:rsid w:val="00BC0DF1"/>
    <w:rsid w:val="00BC1837"/>
    <w:rsid w:val="00BC2024"/>
    <w:rsid w:val="00BC2A63"/>
    <w:rsid w:val="00BC50AD"/>
    <w:rsid w:val="00BC6BCA"/>
    <w:rsid w:val="00BC72B7"/>
    <w:rsid w:val="00BC75BF"/>
    <w:rsid w:val="00BD012D"/>
    <w:rsid w:val="00BD19C0"/>
    <w:rsid w:val="00BD251A"/>
    <w:rsid w:val="00BD4620"/>
    <w:rsid w:val="00BD660E"/>
    <w:rsid w:val="00BD683D"/>
    <w:rsid w:val="00BD7F34"/>
    <w:rsid w:val="00BE16C0"/>
    <w:rsid w:val="00BF06EF"/>
    <w:rsid w:val="00BF2BCA"/>
    <w:rsid w:val="00C03AC8"/>
    <w:rsid w:val="00C22F94"/>
    <w:rsid w:val="00C24353"/>
    <w:rsid w:val="00C25856"/>
    <w:rsid w:val="00C27118"/>
    <w:rsid w:val="00C30FBF"/>
    <w:rsid w:val="00C31BED"/>
    <w:rsid w:val="00C32719"/>
    <w:rsid w:val="00C34AA9"/>
    <w:rsid w:val="00C36468"/>
    <w:rsid w:val="00C36A36"/>
    <w:rsid w:val="00C409B4"/>
    <w:rsid w:val="00C43DFC"/>
    <w:rsid w:val="00C44AD9"/>
    <w:rsid w:val="00C44CA8"/>
    <w:rsid w:val="00C50B9E"/>
    <w:rsid w:val="00C51603"/>
    <w:rsid w:val="00C5226D"/>
    <w:rsid w:val="00C5388F"/>
    <w:rsid w:val="00C53892"/>
    <w:rsid w:val="00C551D1"/>
    <w:rsid w:val="00C554C8"/>
    <w:rsid w:val="00C57FCC"/>
    <w:rsid w:val="00C60D5D"/>
    <w:rsid w:val="00C651DE"/>
    <w:rsid w:val="00C6714D"/>
    <w:rsid w:val="00C73E6A"/>
    <w:rsid w:val="00C77E3C"/>
    <w:rsid w:val="00C93EE6"/>
    <w:rsid w:val="00C9486F"/>
    <w:rsid w:val="00CA24F2"/>
    <w:rsid w:val="00CA3287"/>
    <w:rsid w:val="00CA5023"/>
    <w:rsid w:val="00CA75C8"/>
    <w:rsid w:val="00CB0988"/>
    <w:rsid w:val="00CB0998"/>
    <w:rsid w:val="00CB3953"/>
    <w:rsid w:val="00CC0315"/>
    <w:rsid w:val="00CC2246"/>
    <w:rsid w:val="00CC2C1C"/>
    <w:rsid w:val="00CD55E5"/>
    <w:rsid w:val="00CD5C0A"/>
    <w:rsid w:val="00CD7210"/>
    <w:rsid w:val="00CD7BFB"/>
    <w:rsid w:val="00CE2696"/>
    <w:rsid w:val="00CF47FE"/>
    <w:rsid w:val="00CF75F2"/>
    <w:rsid w:val="00D035E7"/>
    <w:rsid w:val="00D05E5C"/>
    <w:rsid w:val="00D10240"/>
    <w:rsid w:val="00D17099"/>
    <w:rsid w:val="00D21297"/>
    <w:rsid w:val="00D2467E"/>
    <w:rsid w:val="00D25271"/>
    <w:rsid w:val="00D26124"/>
    <w:rsid w:val="00D27E61"/>
    <w:rsid w:val="00D31382"/>
    <w:rsid w:val="00D3234A"/>
    <w:rsid w:val="00D33012"/>
    <w:rsid w:val="00D33B34"/>
    <w:rsid w:val="00D35535"/>
    <w:rsid w:val="00D36E1D"/>
    <w:rsid w:val="00D411A3"/>
    <w:rsid w:val="00D41927"/>
    <w:rsid w:val="00D43D52"/>
    <w:rsid w:val="00D45656"/>
    <w:rsid w:val="00D51EC8"/>
    <w:rsid w:val="00D521B4"/>
    <w:rsid w:val="00D52C9D"/>
    <w:rsid w:val="00D55F36"/>
    <w:rsid w:val="00D6028D"/>
    <w:rsid w:val="00D629A4"/>
    <w:rsid w:val="00D65434"/>
    <w:rsid w:val="00D65882"/>
    <w:rsid w:val="00D661B5"/>
    <w:rsid w:val="00D70335"/>
    <w:rsid w:val="00D740B9"/>
    <w:rsid w:val="00D754E7"/>
    <w:rsid w:val="00D80279"/>
    <w:rsid w:val="00D80B33"/>
    <w:rsid w:val="00D90353"/>
    <w:rsid w:val="00D92AD3"/>
    <w:rsid w:val="00D95772"/>
    <w:rsid w:val="00DA3569"/>
    <w:rsid w:val="00DB001E"/>
    <w:rsid w:val="00DB64B5"/>
    <w:rsid w:val="00DB656F"/>
    <w:rsid w:val="00DC1F4B"/>
    <w:rsid w:val="00DC2242"/>
    <w:rsid w:val="00DC7318"/>
    <w:rsid w:val="00DC7B4D"/>
    <w:rsid w:val="00DD00B2"/>
    <w:rsid w:val="00DD0877"/>
    <w:rsid w:val="00DD1C3B"/>
    <w:rsid w:val="00DD3526"/>
    <w:rsid w:val="00DD4BC8"/>
    <w:rsid w:val="00DE1566"/>
    <w:rsid w:val="00DE38D0"/>
    <w:rsid w:val="00DE3AF9"/>
    <w:rsid w:val="00DE4917"/>
    <w:rsid w:val="00DF173F"/>
    <w:rsid w:val="00DF1B3F"/>
    <w:rsid w:val="00E050BD"/>
    <w:rsid w:val="00E06A0F"/>
    <w:rsid w:val="00E10CB4"/>
    <w:rsid w:val="00E1148D"/>
    <w:rsid w:val="00E11DBC"/>
    <w:rsid w:val="00E12B6D"/>
    <w:rsid w:val="00E13962"/>
    <w:rsid w:val="00E15137"/>
    <w:rsid w:val="00E1552B"/>
    <w:rsid w:val="00E17D58"/>
    <w:rsid w:val="00E25881"/>
    <w:rsid w:val="00E2621F"/>
    <w:rsid w:val="00E3009A"/>
    <w:rsid w:val="00E320E8"/>
    <w:rsid w:val="00E352A4"/>
    <w:rsid w:val="00E356D1"/>
    <w:rsid w:val="00E37933"/>
    <w:rsid w:val="00E4327B"/>
    <w:rsid w:val="00E466B7"/>
    <w:rsid w:val="00E51B0F"/>
    <w:rsid w:val="00E52DEC"/>
    <w:rsid w:val="00E54B94"/>
    <w:rsid w:val="00E55639"/>
    <w:rsid w:val="00E623E4"/>
    <w:rsid w:val="00E62B19"/>
    <w:rsid w:val="00E63076"/>
    <w:rsid w:val="00E70AE8"/>
    <w:rsid w:val="00E70B33"/>
    <w:rsid w:val="00E71262"/>
    <w:rsid w:val="00E723FA"/>
    <w:rsid w:val="00E736A7"/>
    <w:rsid w:val="00E739FF"/>
    <w:rsid w:val="00E747B1"/>
    <w:rsid w:val="00E75ABA"/>
    <w:rsid w:val="00E76147"/>
    <w:rsid w:val="00E820C8"/>
    <w:rsid w:val="00E9418C"/>
    <w:rsid w:val="00EA0925"/>
    <w:rsid w:val="00EA25EF"/>
    <w:rsid w:val="00EA529F"/>
    <w:rsid w:val="00EA7D34"/>
    <w:rsid w:val="00EB219C"/>
    <w:rsid w:val="00EB290A"/>
    <w:rsid w:val="00EB3734"/>
    <w:rsid w:val="00EB4A8C"/>
    <w:rsid w:val="00EB5355"/>
    <w:rsid w:val="00EB6037"/>
    <w:rsid w:val="00EB6941"/>
    <w:rsid w:val="00EB75F1"/>
    <w:rsid w:val="00EC31BC"/>
    <w:rsid w:val="00EC4297"/>
    <w:rsid w:val="00EC456C"/>
    <w:rsid w:val="00EC5537"/>
    <w:rsid w:val="00EC6C3B"/>
    <w:rsid w:val="00ED1078"/>
    <w:rsid w:val="00ED44A6"/>
    <w:rsid w:val="00ED64A8"/>
    <w:rsid w:val="00ED6C6F"/>
    <w:rsid w:val="00ED6F86"/>
    <w:rsid w:val="00ED7B7A"/>
    <w:rsid w:val="00EE0518"/>
    <w:rsid w:val="00EE24B1"/>
    <w:rsid w:val="00EE4E7A"/>
    <w:rsid w:val="00EF1393"/>
    <w:rsid w:val="00EF50A8"/>
    <w:rsid w:val="00EF6BCD"/>
    <w:rsid w:val="00F036D9"/>
    <w:rsid w:val="00F05D3E"/>
    <w:rsid w:val="00F11C22"/>
    <w:rsid w:val="00F12617"/>
    <w:rsid w:val="00F128AA"/>
    <w:rsid w:val="00F20BD4"/>
    <w:rsid w:val="00F22DDC"/>
    <w:rsid w:val="00F2535A"/>
    <w:rsid w:val="00F25D73"/>
    <w:rsid w:val="00F2665E"/>
    <w:rsid w:val="00F27AAF"/>
    <w:rsid w:val="00F30F9A"/>
    <w:rsid w:val="00F3148B"/>
    <w:rsid w:val="00F33121"/>
    <w:rsid w:val="00F33B2B"/>
    <w:rsid w:val="00F34471"/>
    <w:rsid w:val="00F345A1"/>
    <w:rsid w:val="00F3673D"/>
    <w:rsid w:val="00F411D7"/>
    <w:rsid w:val="00F43397"/>
    <w:rsid w:val="00F43608"/>
    <w:rsid w:val="00F43C53"/>
    <w:rsid w:val="00F461DE"/>
    <w:rsid w:val="00F463E0"/>
    <w:rsid w:val="00F50F41"/>
    <w:rsid w:val="00F52636"/>
    <w:rsid w:val="00F709D3"/>
    <w:rsid w:val="00F718E2"/>
    <w:rsid w:val="00F73061"/>
    <w:rsid w:val="00F76DF2"/>
    <w:rsid w:val="00F77BFB"/>
    <w:rsid w:val="00F85929"/>
    <w:rsid w:val="00F85E94"/>
    <w:rsid w:val="00F95366"/>
    <w:rsid w:val="00FA03A4"/>
    <w:rsid w:val="00FA0DC2"/>
    <w:rsid w:val="00FA36E0"/>
    <w:rsid w:val="00FA3965"/>
    <w:rsid w:val="00FA3F0E"/>
    <w:rsid w:val="00FA44AF"/>
    <w:rsid w:val="00FA4574"/>
    <w:rsid w:val="00FA74AA"/>
    <w:rsid w:val="00FA760D"/>
    <w:rsid w:val="00FB178B"/>
    <w:rsid w:val="00FC080F"/>
    <w:rsid w:val="00FC1764"/>
    <w:rsid w:val="00FD077A"/>
    <w:rsid w:val="00FD2BA4"/>
    <w:rsid w:val="00FD3B00"/>
    <w:rsid w:val="00FD47AD"/>
    <w:rsid w:val="00FD53A7"/>
    <w:rsid w:val="00FE57F3"/>
    <w:rsid w:val="00FE6945"/>
    <w:rsid w:val="00FE7739"/>
    <w:rsid w:val="00FE794C"/>
    <w:rsid w:val="00FE7CD9"/>
    <w:rsid w:val="00FF19FE"/>
    <w:rsid w:val="00FF380A"/>
    <w:rsid w:val="00FF64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1"/>
    <o:shapelayout v:ext="edit">
      <o:idmap v:ext="edit" data="1"/>
    </o:shapelayout>
  </w:shapeDefaults>
  <w:decimalSymbol w:val=","/>
  <w:listSeparator w:val=";"/>
  <w14:docId w14:val="22F8B74A"/>
  <w15:docId w15:val="{07CA9F08-AF1E-474E-99EF-512D40FF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Batang"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6F6"/>
    <w:pPr>
      <w:widowControl w:val="0"/>
      <w:autoSpaceDE w:val="0"/>
      <w:autoSpaceDN w:val="0"/>
      <w:adjustRightInd w:val="0"/>
    </w:pPr>
    <w:rPr>
      <w:rFonts w:hAnsi="Cambria"/>
      <w:sz w:val="24"/>
      <w:szCs w:val="24"/>
      <w:lang w:eastAsia="ko-KR"/>
    </w:rPr>
  </w:style>
  <w:style w:type="paragraph" w:styleId="Ttulo1">
    <w:name w:val="heading 1"/>
    <w:basedOn w:val="Normal"/>
    <w:next w:val="Normal"/>
    <w:link w:val="Ttulo1Char"/>
    <w:qFormat/>
    <w:rsid w:val="00B73EA6"/>
    <w:pPr>
      <w:keepNext/>
      <w:widowControl/>
      <w:autoSpaceDE/>
      <w:autoSpaceDN/>
      <w:adjustRightInd/>
      <w:outlineLvl w:val="0"/>
    </w:pPr>
    <w:rPr>
      <w:rFonts w:ascii="Times New Roman" w:eastAsia="Times New Roman" w:hAnsi="Times New Roman"/>
      <w:b/>
      <w:szCs w:val="20"/>
      <w:lang w:eastAsia="en-US"/>
    </w:rPr>
  </w:style>
  <w:style w:type="paragraph" w:styleId="Ttulo2">
    <w:name w:val="heading 2"/>
    <w:basedOn w:val="Normal"/>
    <w:next w:val="Normal"/>
    <w:link w:val="Ttulo2Char"/>
    <w:qFormat/>
    <w:rsid w:val="00B73EA6"/>
    <w:pPr>
      <w:keepNext/>
      <w:widowControl/>
      <w:autoSpaceDE/>
      <w:autoSpaceDN/>
      <w:adjustRightInd/>
      <w:jc w:val="right"/>
      <w:outlineLvl w:val="1"/>
    </w:pPr>
    <w:rPr>
      <w:rFonts w:ascii="Times New Roman" w:eastAsia="Times New Roman" w:hAnsi="Times New Roman"/>
      <w:i/>
      <w:iCs/>
      <w:sz w:val="20"/>
      <w:lang w:eastAsia="pt-BR"/>
    </w:rPr>
  </w:style>
  <w:style w:type="paragraph" w:styleId="Ttulo3">
    <w:name w:val="heading 3"/>
    <w:basedOn w:val="Normal"/>
    <w:next w:val="Normal"/>
    <w:link w:val="Ttulo3Char"/>
    <w:qFormat/>
    <w:rsid w:val="00B73EA6"/>
    <w:pPr>
      <w:keepNext/>
      <w:widowControl/>
      <w:autoSpaceDE/>
      <w:autoSpaceDN/>
      <w:adjustRightInd/>
      <w:jc w:val="center"/>
      <w:outlineLvl w:val="2"/>
    </w:pPr>
    <w:rPr>
      <w:rFonts w:ascii="Times New Roman" w:eastAsia="Times New Roman" w:hAnsi="Times New Roman"/>
      <w:b/>
      <w:u w:val="single"/>
      <w:lang w:eastAsia="pt-BR"/>
    </w:rPr>
  </w:style>
  <w:style w:type="paragraph" w:styleId="Ttulo4">
    <w:name w:val="heading 4"/>
    <w:basedOn w:val="Normal"/>
    <w:next w:val="Normal"/>
    <w:link w:val="Ttulo4Char"/>
    <w:qFormat/>
    <w:rsid w:val="00B73EA6"/>
    <w:pPr>
      <w:keepNext/>
      <w:widowControl/>
      <w:autoSpaceDE/>
      <w:autoSpaceDN/>
      <w:adjustRightInd/>
      <w:jc w:val="center"/>
      <w:outlineLvl w:val="3"/>
    </w:pPr>
    <w:rPr>
      <w:rFonts w:ascii="Times New Roman" w:eastAsia="Times New Roman" w:hAnsi="Times New Roman"/>
      <w:i/>
      <w:iCs/>
      <w:lang w:eastAsia="pt-BR"/>
    </w:rPr>
  </w:style>
  <w:style w:type="paragraph" w:styleId="Ttulo5">
    <w:name w:val="heading 5"/>
    <w:basedOn w:val="Normal"/>
    <w:next w:val="Normal"/>
    <w:link w:val="Ttulo5Char"/>
    <w:qFormat/>
    <w:rsid w:val="00B73EA6"/>
    <w:pPr>
      <w:keepNext/>
      <w:widowControl/>
      <w:autoSpaceDE/>
      <w:autoSpaceDN/>
      <w:adjustRightInd/>
      <w:ind w:firstLine="540"/>
      <w:outlineLvl w:val="4"/>
    </w:pPr>
    <w:rPr>
      <w:rFonts w:ascii="Times New Roman" w:eastAsia="Times New Roman" w:hAnsi="Times New Roman"/>
      <w:b/>
      <w:lang w:eastAsia="pt-BR"/>
    </w:rPr>
  </w:style>
  <w:style w:type="paragraph" w:styleId="Ttulo6">
    <w:name w:val="heading 6"/>
    <w:basedOn w:val="Normal"/>
    <w:next w:val="Normal"/>
    <w:link w:val="Ttulo6Char"/>
    <w:qFormat/>
    <w:rsid w:val="00B73EA6"/>
    <w:pPr>
      <w:keepNext/>
      <w:widowControl/>
      <w:autoSpaceDE/>
      <w:autoSpaceDN/>
      <w:adjustRightInd/>
      <w:spacing w:before="120" w:after="120"/>
      <w:jc w:val="both"/>
      <w:outlineLvl w:val="5"/>
    </w:pPr>
    <w:rPr>
      <w:rFonts w:ascii="Times New Roman" w:eastAsia="Times New Roman" w:hAnsi="Times New Roman"/>
      <w:b/>
      <w:caps/>
      <w:sz w:val="22"/>
      <w:szCs w:val="20"/>
      <w:lang w:eastAsia="en-US"/>
    </w:rPr>
  </w:style>
  <w:style w:type="paragraph" w:styleId="Ttulo7">
    <w:name w:val="heading 7"/>
    <w:basedOn w:val="Normal"/>
    <w:next w:val="Normal"/>
    <w:link w:val="Ttulo7Char"/>
    <w:qFormat/>
    <w:rsid w:val="00B73EA6"/>
    <w:pPr>
      <w:keepNext/>
      <w:widowControl/>
      <w:autoSpaceDE/>
      <w:autoSpaceDN/>
      <w:adjustRightInd/>
      <w:ind w:firstLine="540"/>
      <w:outlineLvl w:val="6"/>
    </w:pPr>
    <w:rPr>
      <w:rFonts w:ascii="Times New Roman" w:eastAsia="Times New Roman" w:hAnsi="Times New Roman"/>
      <w:b/>
      <w:sz w:val="28"/>
      <w:szCs w:val="28"/>
      <w:lang w:eastAsia="pt-BR"/>
    </w:rPr>
  </w:style>
  <w:style w:type="paragraph" w:styleId="Ttulo8">
    <w:name w:val="heading 8"/>
    <w:basedOn w:val="Normal"/>
    <w:next w:val="Normal"/>
    <w:link w:val="Ttulo8Char"/>
    <w:qFormat/>
    <w:rsid w:val="00B73EA6"/>
    <w:pPr>
      <w:keepNext/>
      <w:widowControl/>
      <w:autoSpaceDE/>
      <w:autoSpaceDN/>
      <w:adjustRightInd/>
      <w:ind w:firstLine="540"/>
      <w:jc w:val="both"/>
      <w:outlineLvl w:val="7"/>
    </w:pPr>
    <w:rPr>
      <w:rFonts w:ascii="Times New Roman" w:eastAsia="Times New Roman" w:hAnsi="Times New Roman"/>
      <w:b/>
      <w:sz w:val="28"/>
      <w:szCs w:val="28"/>
      <w:lang w:eastAsia="pt-BR"/>
    </w:rPr>
  </w:style>
  <w:style w:type="paragraph" w:styleId="Ttulo9">
    <w:name w:val="heading 9"/>
    <w:basedOn w:val="Normal"/>
    <w:next w:val="Normal"/>
    <w:link w:val="Ttulo9Char"/>
    <w:qFormat/>
    <w:rsid w:val="00B73EA6"/>
    <w:pPr>
      <w:keepNext/>
      <w:widowControl/>
      <w:autoSpaceDE/>
      <w:autoSpaceDN/>
      <w:adjustRightInd/>
      <w:ind w:left="567" w:hanging="567"/>
      <w:outlineLvl w:val="8"/>
    </w:pPr>
    <w:rPr>
      <w:rFonts w:ascii="Times New Roman" w:eastAsia="Times New Roman" w:hAnsi="Times New Roman"/>
      <w:b/>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rsid w:val="0055419E"/>
  </w:style>
  <w:style w:type="paragraph" w:customStyle="1" w:styleId="Style2">
    <w:name w:val="Style2"/>
    <w:basedOn w:val="Normal"/>
    <w:rsid w:val="0055419E"/>
  </w:style>
  <w:style w:type="paragraph" w:customStyle="1" w:styleId="Style3">
    <w:name w:val="Style3"/>
    <w:basedOn w:val="Normal"/>
    <w:rsid w:val="0055419E"/>
  </w:style>
  <w:style w:type="paragraph" w:customStyle="1" w:styleId="Style4">
    <w:name w:val="Style4"/>
    <w:basedOn w:val="Normal"/>
    <w:rsid w:val="0055419E"/>
  </w:style>
  <w:style w:type="paragraph" w:customStyle="1" w:styleId="Style5">
    <w:name w:val="Style5"/>
    <w:basedOn w:val="Normal"/>
    <w:rsid w:val="0055419E"/>
  </w:style>
  <w:style w:type="paragraph" w:customStyle="1" w:styleId="Style6">
    <w:name w:val="Style6"/>
    <w:basedOn w:val="Normal"/>
    <w:rsid w:val="0055419E"/>
  </w:style>
  <w:style w:type="paragraph" w:customStyle="1" w:styleId="Style7">
    <w:name w:val="Style7"/>
    <w:basedOn w:val="Normal"/>
    <w:rsid w:val="0055419E"/>
  </w:style>
  <w:style w:type="paragraph" w:customStyle="1" w:styleId="Style8">
    <w:name w:val="Style8"/>
    <w:basedOn w:val="Normal"/>
    <w:rsid w:val="0055419E"/>
  </w:style>
  <w:style w:type="paragraph" w:customStyle="1" w:styleId="Style9">
    <w:name w:val="Style9"/>
    <w:basedOn w:val="Normal"/>
    <w:rsid w:val="0055419E"/>
  </w:style>
  <w:style w:type="paragraph" w:customStyle="1" w:styleId="Style10">
    <w:name w:val="Style10"/>
    <w:basedOn w:val="Normal"/>
    <w:rsid w:val="0055419E"/>
  </w:style>
  <w:style w:type="paragraph" w:customStyle="1" w:styleId="Style11">
    <w:name w:val="Style11"/>
    <w:basedOn w:val="Normal"/>
    <w:rsid w:val="0055419E"/>
  </w:style>
  <w:style w:type="paragraph" w:customStyle="1" w:styleId="Style12">
    <w:name w:val="Style12"/>
    <w:basedOn w:val="Normal"/>
    <w:rsid w:val="0055419E"/>
  </w:style>
  <w:style w:type="paragraph" w:customStyle="1" w:styleId="Style13">
    <w:name w:val="Style13"/>
    <w:basedOn w:val="Normal"/>
    <w:rsid w:val="0055419E"/>
  </w:style>
  <w:style w:type="paragraph" w:customStyle="1" w:styleId="Style14">
    <w:name w:val="Style14"/>
    <w:basedOn w:val="Normal"/>
    <w:rsid w:val="0055419E"/>
  </w:style>
  <w:style w:type="paragraph" w:customStyle="1" w:styleId="Style15">
    <w:name w:val="Style15"/>
    <w:basedOn w:val="Normal"/>
    <w:rsid w:val="0055419E"/>
  </w:style>
  <w:style w:type="paragraph" w:customStyle="1" w:styleId="Style16">
    <w:name w:val="Style16"/>
    <w:basedOn w:val="Normal"/>
    <w:rsid w:val="0055419E"/>
  </w:style>
  <w:style w:type="paragraph" w:customStyle="1" w:styleId="Style17">
    <w:name w:val="Style17"/>
    <w:basedOn w:val="Normal"/>
    <w:rsid w:val="0055419E"/>
  </w:style>
  <w:style w:type="paragraph" w:customStyle="1" w:styleId="Style18">
    <w:name w:val="Style18"/>
    <w:basedOn w:val="Normal"/>
    <w:rsid w:val="0055419E"/>
  </w:style>
  <w:style w:type="paragraph" w:customStyle="1" w:styleId="Style19">
    <w:name w:val="Style19"/>
    <w:basedOn w:val="Normal"/>
    <w:rsid w:val="0055419E"/>
  </w:style>
  <w:style w:type="paragraph" w:customStyle="1" w:styleId="Style20">
    <w:name w:val="Style20"/>
    <w:basedOn w:val="Normal"/>
    <w:uiPriority w:val="99"/>
    <w:rsid w:val="0055419E"/>
  </w:style>
  <w:style w:type="paragraph" w:customStyle="1" w:styleId="Style21">
    <w:name w:val="Style21"/>
    <w:basedOn w:val="Normal"/>
    <w:rsid w:val="0055419E"/>
  </w:style>
  <w:style w:type="paragraph" w:customStyle="1" w:styleId="Style22">
    <w:name w:val="Style22"/>
    <w:basedOn w:val="Normal"/>
    <w:rsid w:val="0055419E"/>
  </w:style>
  <w:style w:type="paragraph" w:customStyle="1" w:styleId="Style23">
    <w:name w:val="Style23"/>
    <w:basedOn w:val="Normal"/>
    <w:rsid w:val="0055419E"/>
  </w:style>
  <w:style w:type="paragraph" w:customStyle="1" w:styleId="Style24">
    <w:name w:val="Style24"/>
    <w:basedOn w:val="Normal"/>
    <w:link w:val="Style24Char"/>
    <w:rsid w:val="0055419E"/>
  </w:style>
  <w:style w:type="paragraph" w:customStyle="1" w:styleId="Style25">
    <w:name w:val="Style25"/>
    <w:basedOn w:val="Normal"/>
    <w:rsid w:val="0055419E"/>
  </w:style>
  <w:style w:type="paragraph" w:customStyle="1" w:styleId="Style26">
    <w:name w:val="Style26"/>
    <w:basedOn w:val="Normal"/>
    <w:rsid w:val="0055419E"/>
  </w:style>
  <w:style w:type="paragraph" w:customStyle="1" w:styleId="Style27">
    <w:name w:val="Style27"/>
    <w:basedOn w:val="Normal"/>
    <w:rsid w:val="0055419E"/>
  </w:style>
  <w:style w:type="paragraph" w:customStyle="1" w:styleId="Style28">
    <w:name w:val="Style28"/>
    <w:basedOn w:val="Normal"/>
    <w:rsid w:val="0055419E"/>
  </w:style>
  <w:style w:type="paragraph" w:customStyle="1" w:styleId="Style29">
    <w:name w:val="Style29"/>
    <w:basedOn w:val="Normal"/>
    <w:rsid w:val="0055419E"/>
  </w:style>
  <w:style w:type="paragraph" w:customStyle="1" w:styleId="Style30">
    <w:name w:val="Style30"/>
    <w:basedOn w:val="Normal"/>
    <w:rsid w:val="0055419E"/>
  </w:style>
  <w:style w:type="paragraph" w:customStyle="1" w:styleId="Style31">
    <w:name w:val="Style31"/>
    <w:basedOn w:val="Normal"/>
    <w:rsid w:val="0055419E"/>
  </w:style>
  <w:style w:type="paragraph" w:customStyle="1" w:styleId="Style32">
    <w:name w:val="Style32"/>
    <w:basedOn w:val="Normal"/>
    <w:rsid w:val="0055419E"/>
  </w:style>
  <w:style w:type="paragraph" w:customStyle="1" w:styleId="Style33">
    <w:name w:val="Style33"/>
    <w:basedOn w:val="Normal"/>
    <w:rsid w:val="0055419E"/>
  </w:style>
  <w:style w:type="paragraph" w:customStyle="1" w:styleId="Style34">
    <w:name w:val="Style34"/>
    <w:basedOn w:val="Normal"/>
    <w:rsid w:val="0055419E"/>
  </w:style>
  <w:style w:type="paragraph" w:customStyle="1" w:styleId="Style35">
    <w:name w:val="Style35"/>
    <w:basedOn w:val="Normal"/>
    <w:rsid w:val="0055419E"/>
  </w:style>
  <w:style w:type="character" w:customStyle="1" w:styleId="FontStyle37">
    <w:name w:val="Font Style37"/>
    <w:rsid w:val="0055419E"/>
    <w:rPr>
      <w:rFonts w:ascii="Cambria" w:hAnsi="Cambria" w:cs="Cambria"/>
      <w:spacing w:val="-20"/>
      <w:sz w:val="52"/>
      <w:szCs w:val="52"/>
    </w:rPr>
  </w:style>
  <w:style w:type="character" w:customStyle="1" w:styleId="FontStyle38">
    <w:name w:val="Font Style38"/>
    <w:rsid w:val="0055419E"/>
    <w:rPr>
      <w:rFonts w:ascii="Cambria" w:hAnsi="Cambria" w:cs="Cambria"/>
      <w:spacing w:val="-20"/>
      <w:sz w:val="68"/>
      <w:szCs w:val="68"/>
    </w:rPr>
  </w:style>
  <w:style w:type="character" w:customStyle="1" w:styleId="FontStyle39">
    <w:name w:val="Font Style39"/>
    <w:rsid w:val="0055419E"/>
    <w:rPr>
      <w:rFonts w:ascii="Cambria" w:hAnsi="Cambria" w:cs="Cambria"/>
      <w:spacing w:val="-10"/>
      <w:sz w:val="44"/>
      <w:szCs w:val="44"/>
    </w:rPr>
  </w:style>
  <w:style w:type="character" w:customStyle="1" w:styleId="FontStyle40">
    <w:name w:val="Font Style40"/>
    <w:rsid w:val="0055419E"/>
    <w:rPr>
      <w:rFonts w:ascii="Cambria" w:hAnsi="Cambria" w:cs="Cambria"/>
      <w:b/>
      <w:bCs/>
      <w:spacing w:val="-20"/>
      <w:sz w:val="38"/>
      <w:szCs w:val="38"/>
    </w:rPr>
  </w:style>
  <w:style w:type="character" w:customStyle="1" w:styleId="FontStyle41">
    <w:name w:val="Font Style41"/>
    <w:rsid w:val="0055419E"/>
    <w:rPr>
      <w:rFonts w:ascii="Cambria" w:hAnsi="Cambria" w:cs="Cambria"/>
      <w:sz w:val="36"/>
      <w:szCs w:val="36"/>
    </w:rPr>
  </w:style>
  <w:style w:type="character" w:customStyle="1" w:styleId="FontStyle42">
    <w:name w:val="Font Style42"/>
    <w:rsid w:val="0055419E"/>
    <w:rPr>
      <w:rFonts w:ascii="Arial" w:hAnsi="Arial" w:cs="Arial"/>
      <w:smallCaps/>
      <w:sz w:val="22"/>
      <w:szCs w:val="22"/>
    </w:rPr>
  </w:style>
  <w:style w:type="character" w:customStyle="1" w:styleId="FontStyle43">
    <w:name w:val="Font Style43"/>
    <w:rsid w:val="0055419E"/>
    <w:rPr>
      <w:rFonts w:ascii="Arial" w:hAnsi="Arial" w:cs="Arial"/>
      <w:b/>
      <w:bCs/>
      <w:i/>
      <w:iCs/>
      <w:sz w:val="14"/>
      <w:szCs w:val="14"/>
    </w:rPr>
  </w:style>
  <w:style w:type="character" w:customStyle="1" w:styleId="FontStyle44">
    <w:name w:val="Font Style44"/>
    <w:rsid w:val="0055419E"/>
    <w:rPr>
      <w:rFonts w:ascii="Arial" w:hAnsi="Arial" w:cs="Arial"/>
      <w:b/>
      <w:bCs/>
      <w:sz w:val="14"/>
      <w:szCs w:val="14"/>
    </w:rPr>
  </w:style>
  <w:style w:type="character" w:customStyle="1" w:styleId="FontStyle45">
    <w:name w:val="Font Style45"/>
    <w:rsid w:val="0055419E"/>
    <w:rPr>
      <w:rFonts w:ascii="Cambria" w:hAnsi="Cambria" w:cs="Cambria"/>
      <w:i/>
      <w:iCs/>
      <w:sz w:val="14"/>
      <w:szCs w:val="14"/>
    </w:rPr>
  </w:style>
  <w:style w:type="character" w:customStyle="1" w:styleId="FontStyle46">
    <w:name w:val="Font Style46"/>
    <w:rsid w:val="0055419E"/>
    <w:rPr>
      <w:rFonts w:ascii="Cambria" w:hAnsi="Cambria" w:cs="Cambria"/>
      <w:sz w:val="14"/>
      <w:szCs w:val="14"/>
    </w:rPr>
  </w:style>
  <w:style w:type="character" w:customStyle="1" w:styleId="FontStyle47">
    <w:name w:val="Font Style47"/>
    <w:rsid w:val="0055419E"/>
    <w:rPr>
      <w:rFonts w:ascii="Cambria" w:hAnsi="Cambria" w:cs="Cambria"/>
      <w:b/>
      <w:bCs/>
      <w:i/>
      <w:iCs/>
      <w:sz w:val="14"/>
      <w:szCs w:val="14"/>
    </w:rPr>
  </w:style>
  <w:style w:type="character" w:customStyle="1" w:styleId="FontStyle48">
    <w:name w:val="Font Style48"/>
    <w:rsid w:val="0055419E"/>
    <w:rPr>
      <w:rFonts w:ascii="Arial" w:hAnsi="Arial" w:cs="Arial"/>
      <w:b/>
      <w:bCs/>
      <w:i/>
      <w:iCs/>
      <w:sz w:val="22"/>
      <w:szCs w:val="22"/>
    </w:rPr>
  </w:style>
  <w:style w:type="character" w:customStyle="1" w:styleId="FontStyle49">
    <w:name w:val="Font Style49"/>
    <w:rsid w:val="0055419E"/>
    <w:rPr>
      <w:rFonts w:ascii="Arial" w:hAnsi="Arial" w:cs="Arial"/>
      <w:i/>
      <w:iCs/>
      <w:sz w:val="18"/>
      <w:szCs w:val="18"/>
    </w:rPr>
  </w:style>
  <w:style w:type="character" w:customStyle="1" w:styleId="FontStyle50">
    <w:name w:val="Font Style50"/>
    <w:rsid w:val="0055419E"/>
    <w:rPr>
      <w:rFonts w:ascii="Arial" w:hAnsi="Arial" w:cs="Arial"/>
      <w:b/>
      <w:bCs/>
      <w:sz w:val="18"/>
      <w:szCs w:val="18"/>
    </w:rPr>
  </w:style>
  <w:style w:type="character" w:customStyle="1" w:styleId="FontStyle51">
    <w:name w:val="Font Style51"/>
    <w:rsid w:val="0055419E"/>
    <w:rPr>
      <w:rFonts w:ascii="Arial" w:hAnsi="Arial" w:cs="Arial"/>
      <w:b/>
      <w:bCs/>
      <w:sz w:val="22"/>
      <w:szCs w:val="22"/>
    </w:rPr>
  </w:style>
  <w:style w:type="character" w:customStyle="1" w:styleId="FontStyle52">
    <w:name w:val="Font Style52"/>
    <w:rsid w:val="0055419E"/>
    <w:rPr>
      <w:rFonts w:ascii="Cambria" w:hAnsi="Cambria" w:cs="Cambria"/>
      <w:b/>
      <w:bCs/>
      <w:spacing w:val="-10"/>
      <w:sz w:val="14"/>
      <w:szCs w:val="14"/>
    </w:rPr>
  </w:style>
  <w:style w:type="character" w:customStyle="1" w:styleId="FontStyle53">
    <w:name w:val="Font Style53"/>
    <w:rsid w:val="0055419E"/>
    <w:rPr>
      <w:rFonts w:ascii="Cambria" w:hAnsi="Cambria" w:cs="Cambria"/>
      <w:b/>
      <w:bCs/>
      <w:i/>
      <w:iCs/>
      <w:sz w:val="16"/>
      <w:szCs w:val="16"/>
    </w:rPr>
  </w:style>
  <w:style w:type="character" w:customStyle="1" w:styleId="FontStyle54">
    <w:name w:val="Font Style54"/>
    <w:rsid w:val="0055419E"/>
    <w:rPr>
      <w:rFonts w:ascii="Cambria" w:hAnsi="Cambria" w:cs="Cambria"/>
      <w:b/>
      <w:bCs/>
      <w:sz w:val="16"/>
      <w:szCs w:val="16"/>
    </w:rPr>
  </w:style>
  <w:style w:type="character" w:customStyle="1" w:styleId="FontStyle55">
    <w:name w:val="Font Style55"/>
    <w:rsid w:val="0055419E"/>
    <w:rPr>
      <w:rFonts w:ascii="Arial" w:hAnsi="Arial" w:cs="Arial"/>
      <w:b/>
      <w:bCs/>
      <w:i/>
      <w:iCs/>
      <w:sz w:val="20"/>
      <w:szCs w:val="20"/>
    </w:rPr>
  </w:style>
  <w:style w:type="character" w:customStyle="1" w:styleId="FontStyle56">
    <w:name w:val="Font Style56"/>
    <w:rsid w:val="0055419E"/>
    <w:rPr>
      <w:rFonts w:ascii="Arial" w:hAnsi="Arial" w:cs="Arial"/>
      <w:sz w:val="16"/>
      <w:szCs w:val="16"/>
    </w:rPr>
  </w:style>
  <w:style w:type="character" w:customStyle="1" w:styleId="FontStyle57">
    <w:name w:val="Font Style57"/>
    <w:rsid w:val="0055419E"/>
    <w:rPr>
      <w:rFonts w:ascii="Arial" w:hAnsi="Arial" w:cs="Arial"/>
      <w:b/>
      <w:bCs/>
      <w:sz w:val="20"/>
      <w:szCs w:val="20"/>
    </w:rPr>
  </w:style>
  <w:style w:type="character" w:customStyle="1" w:styleId="FontStyle58">
    <w:name w:val="Font Style58"/>
    <w:rsid w:val="0055419E"/>
    <w:rPr>
      <w:rFonts w:ascii="Cambria" w:hAnsi="Cambria" w:cs="Cambria"/>
      <w:i/>
      <w:iCs/>
      <w:sz w:val="16"/>
      <w:szCs w:val="16"/>
    </w:rPr>
  </w:style>
  <w:style w:type="character" w:customStyle="1" w:styleId="FontStyle59">
    <w:name w:val="Font Style59"/>
    <w:rsid w:val="0055419E"/>
    <w:rPr>
      <w:rFonts w:ascii="Cambria" w:hAnsi="Cambria" w:cs="Cambria"/>
      <w:sz w:val="16"/>
      <w:szCs w:val="16"/>
    </w:rPr>
  </w:style>
  <w:style w:type="character" w:styleId="Hyperlink">
    <w:name w:val="Hyperlink"/>
    <w:uiPriority w:val="99"/>
    <w:rsid w:val="00CE2696"/>
    <w:rPr>
      <w:color w:val="0000FF"/>
      <w:u w:val="single"/>
    </w:rPr>
  </w:style>
  <w:style w:type="character" w:customStyle="1" w:styleId="FontStyle11">
    <w:name w:val="Font Style11"/>
    <w:rsid w:val="00A265A0"/>
    <w:rPr>
      <w:rFonts w:ascii="Cambria" w:hAnsi="Cambria" w:cs="Cambria"/>
      <w:b/>
      <w:bCs/>
      <w:sz w:val="16"/>
      <w:szCs w:val="16"/>
    </w:rPr>
  </w:style>
  <w:style w:type="character" w:customStyle="1" w:styleId="FontStyle14">
    <w:name w:val="Font Style14"/>
    <w:rsid w:val="00A265A0"/>
    <w:rPr>
      <w:rFonts w:ascii="Cambria" w:hAnsi="Cambria" w:cs="Cambria"/>
      <w:sz w:val="16"/>
      <w:szCs w:val="16"/>
    </w:rPr>
  </w:style>
  <w:style w:type="character" w:customStyle="1" w:styleId="tw4winMark">
    <w:name w:val="tw4winMark"/>
    <w:rsid w:val="00BC2A63"/>
    <w:rPr>
      <w:rFonts w:ascii="Courier New" w:hAnsi="Courier New"/>
      <w:vanish/>
      <w:color w:val="800080"/>
      <w:vertAlign w:val="subscript"/>
    </w:rPr>
  </w:style>
  <w:style w:type="paragraph" w:styleId="Textodenotaderodap">
    <w:name w:val="footnote text"/>
    <w:basedOn w:val="Normal"/>
    <w:link w:val="TextodenotaderodapChar"/>
    <w:uiPriority w:val="99"/>
    <w:semiHidden/>
    <w:rsid w:val="00FD3B00"/>
    <w:rPr>
      <w:sz w:val="20"/>
      <w:szCs w:val="20"/>
    </w:rPr>
  </w:style>
  <w:style w:type="character" w:styleId="Refdenotaderodap">
    <w:name w:val="footnote reference"/>
    <w:uiPriority w:val="99"/>
    <w:semiHidden/>
    <w:rsid w:val="00FD3B00"/>
    <w:rPr>
      <w:vertAlign w:val="superscript"/>
    </w:rPr>
  </w:style>
  <w:style w:type="character" w:customStyle="1" w:styleId="FontStyle106">
    <w:name w:val="Font Style106"/>
    <w:rsid w:val="001205DD"/>
    <w:rPr>
      <w:rFonts w:ascii="Arial" w:hAnsi="Arial" w:cs="Arial"/>
      <w:b/>
      <w:bCs/>
      <w:i/>
      <w:iCs/>
      <w:sz w:val="20"/>
      <w:szCs w:val="20"/>
    </w:rPr>
  </w:style>
  <w:style w:type="character" w:customStyle="1" w:styleId="FontStyle69">
    <w:name w:val="Font Style69"/>
    <w:rsid w:val="00F128AA"/>
    <w:rPr>
      <w:rFonts w:ascii="Times New Roman" w:eastAsia="Times New Roman" w:cs="Times New Roman"/>
      <w:b/>
      <w:bCs/>
      <w:i/>
      <w:iCs/>
      <w:spacing w:val="20"/>
      <w:sz w:val="18"/>
      <w:szCs w:val="18"/>
    </w:rPr>
  </w:style>
  <w:style w:type="character" w:customStyle="1" w:styleId="FontStyle87">
    <w:name w:val="Font Style87"/>
    <w:rsid w:val="00F128AA"/>
    <w:rPr>
      <w:rFonts w:ascii="Arial" w:hAnsi="Arial" w:cs="Arial"/>
      <w:b/>
      <w:bCs/>
      <w:sz w:val="14"/>
      <w:szCs w:val="14"/>
    </w:rPr>
  </w:style>
  <w:style w:type="character" w:customStyle="1" w:styleId="xreffmt">
    <w:name w:val="xref_fmt"/>
    <w:rsid w:val="00F128AA"/>
  </w:style>
  <w:style w:type="paragraph" w:styleId="MapadoDocumento">
    <w:name w:val="Document Map"/>
    <w:basedOn w:val="Normal"/>
    <w:link w:val="MapadoDocumentoChar"/>
    <w:rsid w:val="00562797"/>
    <w:rPr>
      <w:rFonts w:ascii="Tahoma" w:hAnsi="Tahoma"/>
      <w:sz w:val="16"/>
      <w:szCs w:val="16"/>
    </w:rPr>
  </w:style>
  <w:style w:type="character" w:customStyle="1" w:styleId="MapadoDocumentoChar">
    <w:name w:val="Mapa do Documento Char"/>
    <w:link w:val="MapadoDocumento"/>
    <w:rsid w:val="00562797"/>
    <w:rPr>
      <w:rFonts w:ascii="Tahoma" w:hAnsi="Tahoma" w:cs="Tahoma"/>
      <w:sz w:val="16"/>
      <w:szCs w:val="16"/>
      <w:lang w:eastAsia="ko-KR"/>
    </w:rPr>
  </w:style>
  <w:style w:type="paragraph" w:styleId="PargrafodaLista">
    <w:name w:val="List Paragraph"/>
    <w:basedOn w:val="Normal"/>
    <w:uiPriority w:val="34"/>
    <w:qFormat/>
    <w:rsid w:val="00E12B6D"/>
    <w:pPr>
      <w:widowControl/>
      <w:autoSpaceDE/>
      <w:autoSpaceDN/>
      <w:adjustRightInd/>
      <w:ind w:left="708"/>
    </w:pPr>
    <w:rPr>
      <w:rFonts w:ascii="Times New Roman" w:eastAsia="Times New Roman" w:hAnsi="Times New Roman"/>
      <w:lang w:eastAsia="pt-BR"/>
    </w:rPr>
  </w:style>
  <w:style w:type="paragraph" w:customStyle="1" w:styleId="Default">
    <w:name w:val="Default"/>
    <w:rsid w:val="00070541"/>
    <w:pPr>
      <w:autoSpaceDE w:val="0"/>
      <w:autoSpaceDN w:val="0"/>
      <w:adjustRightInd w:val="0"/>
    </w:pPr>
    <w:rPr>
      <w:rFonts w:ascii="Times New Roman"/>
      <w:color w:val="000000"/>
      <w:sz w:val="24"/>
      <w:szCs w:val="24"/>
    </w:rPr>
  </w:style>
  <w:style w:type="paragraph" w:styleId="Textodebalo">
    <w:name w:val="Balloon Text"/>
    <w:basedOn w:val="Normal"/>
    <w:link w:val="TextodebaloChar"/>
    <w:uiPriority w:val="99"/>
    <w:rsid w:val="00051A02"/>
    <w:rPr>
      <w:rFonts w:ascii="Tahoma" w:hAnsi="Tahoma"/>
      <w:sz w:val="16"/>
      <w:szCs w:val="16"/>
    </w:rPr>
  </w:style>
  <w:style w:type="character" w:customStyle="1" w:styleId="TextodebaloChar">
    <w:name w:val="Texto de balão Char"/>
    <w:link w:val="Textodebalo"/>
    <w:uiPriority w:val="99"/>
    <w:rsid w:val="00051A02"/>
    <w:rPr>
      <w:rFonts w:ascii="Tahoma" w:hAnsi="Tahoma" w:cs="Tahoma"/>
      <w:sz w:val="16"/>
      <w:szCs w:val="16"/>
      <w:lang w:eastAsia="ko-KR"/>
    </w:rPr>
  </w:style>
  <w:style w:type="paragraph" w:styleId="Reviso">
    <w:name w:val="Revision"/>
    <w:hidden/>
    <w:uiPriority w:val="99"/>
    <w:semiHidden/>
    <w:rsid w:val="00095DA4"/>
    <w:rPr>
      <w:rFonts w:hAnsi="Cambria"/>
      <w:sz w:val="24"/>
      <w:szCs w:val="24"/>
      <w:lang w:eastAsia="ko-KR"/>
    </w:rPr>
  </w:style>
  <w:style w:type="paragraph" w:styleId="Recuodecorpodetexto">
    <w:name w:val="Body Text Indent"/>
    <w:basedOn w:val="Normal"/>
    <w:link w:val="RecuodecorpodetextoChar"/>
    <w:rsid w:val="003A33A0"/>
    <w:pPr>
      <w:widowControl/>
      <w:autoSpaceDE/>
      <w:autoSpaceDN/>
      <w:adjustRightInd/>
      <w:spacing w:before="200" w:after="200"/>
      <w:ind w:firstLine="567"/>
      <w:jc w:val="both"/>
    </w:pPr>
    <w:rPr>
      <w:rFonts w:ascii="Times New Roman" w:eastAsia="Times New Roman" w:hAnsi="Times New Roman"/>
      <w:bCs/>
      <w:szCs w:val="20"/>
    </w:rPr>
  </w:style>
  <w:style w:type="character" w:customStyle="1" w:styleId="RecuodecorpodetextoChar">
    <w:name w:val="Recuo de corpo de texto Char"/>
    <w:link w:val="Recuodecorpodetexto"/>
    <w:rsid w:val="003A33A0"/>
    <w:rPr>
      <w:rFonts w:ascii="Times New Roman" w:eastAsia="Times New Roman"/>
      <w:bCs/>
      <w:sz w:val="24"/>
    </w:rPr>
  </w:style>
  <w:style w:type="paragraph" w:styleId="Corpodetexto3">
    <w:name w:val="Body Text 3"/>
    <w:basedOn w:val="Normal"/>
    <w:link w:val="Corpodetexto3Char"/>
    <w:rsid w:val="003A33A0"/>
    <w:pPr>
      <w:widowControl/>
      <w:autoSpaceDE/>
      <w:autoSpaceDN/>
      <w:adjustRightInd/>
      <w:spacing w:before="120" w:after="120"/>
      <w:jc w:val="both"/>
    </w:pPr>
    <w:rPr>
      <w:rFonts w:ascii="Arial" w:eastAsia="Times New Roman" w:hAnsi="Arial"/>
      <w:sz w:val="16"/>
      <w:szCs w:val="16"/>
      <w:lang w:val="pt-PT"/>
    </w:rPr>
  </w:style>
  <w:style w:type="character" w:customStyle="1" w:styleId="Corpodetexto3Char">
    <w:name w:val="Corpo de texto 3 Char"/>
    <w:link w:val="Corpodetexto3"/>
    <w:rsid w:val="003A33A0"/>
    <w:rPr>
      <w:rFonts w:ascii="Arial" w:eastAsia="Times New Roman" w:hAnsi="Arial"/>
      <w:sz w:val="16"/>
      <w:szCs w:val="16"/>
      <w:lang w:val="pt-PT"/>
    </w:rPr>
  </w:style>
  <w:style w:type="character" w:customStyle="1" w:styleId="CharChar">
    <w:name w:val="Char Char"/>
    <w:semiHidden/>
    <w:rsid w:val="003A33A0"/>
    <w:rPr>
      <w:rFonts w:ascii="Cambria" w:eastAsia="Times New Roman" w:hAnsi="Cambria" w:cs="Times New Roman"/>
      <w:i/>
      <w:iCs/>
      <w:sz w:val="24"/>
      <w:szCs w:val="24"/>
      <w:lang w:val="pt-PT" w:eastAsia="pt-BR"/>
    </w:rPr>
  </w:style>
  <w:style w:type="paragraph" w:styleId="Textoembloco">
    <w:name w:val="Block Text"/>
    <w:basedOn w:val="Normal"/>
    <w:link w:val="TextoemblocoChar"/>
    <w:uiPriority w:val="99"/>
    <w:rsid w:val="003A33A0"/>
    <w:pPr>
      <w:tabs>
        <w:tab w:val="left" w:pos="6804"/>
      </w:tabs>
      <w:autoSpaceDE/>
      <w:autoSpaceDN/>
      <w:adjustRightInd/>
      <w:spacing w:before="2" w:after="2" w:line="250" w:lineRule="auto"/>
      <w:ind w:left="336" w:right="57" w:hanging="279"/>
    </w:pPr>
    <w:rPr>
      <w:rFonts w:ascii="Arial" w:eastAsia="Times New Roman" w:hAnsi="Arial"/>
      <w:sz w:val="20"/>
      <w:lang w:val="pt-PT"/>
    </w:rPr>
  </w:style>
  <w:style w:type="character" w:styleId="Refdecomentrio">
    <w:name w:val="annotation reference"/>
    <w:uiPriority w:val="99"/>
    <w:rsid w:val="0017361F"/>
    <w:rPr>
      <w:sz w:val="16"/>
      <w:szCs w:val="16"/>
    </w:rPr>
  </w:style>
  <w:style w:type="paragraph" w:styleId="Textodecomentrio">
    <w:name w:val="annotation text"/>
    <w:basedOn w:val="Normal"/>
    <w:link w:val="TextodecomentrioChar"/>
    <w:uiPriority w:val="99"/>
    <w:rsid w:val="0017361F"/>
    <w:rPr>
      <w:sz w:val="20"/>
      <w:szCs w:val="20"/>
    </w:rPr>
  </w:style>
  <w:style w:type="character" w:customStyle="1" w:styleId="TextodecomentrioChar">
    <w:name w:val="Texto de comentário Char"/>
    <w:link w:val="Textodecomentrio"/>
    <w:uiPriority w:val="99"/>
    <w:rsid w:val="0017361F"/>
    <w:rPr>
      <w:rFonts w:hAnsi="Cambria"/>
      <w:lang w:eastAsia="ko-KR"/>
    </w:rPr>
  </w:style>
  <w:style w:type="paragraph" w:styleId="Assuntodocomentrio">
    <w:name w:val="annotation subject"/>
    <w:basedOn w:val="Textodecomentrio"/>
    <w:next w:val="Textodecomentrio"/>
    <w:link w:val="AssuntodocomentrioChar"/>
    <w:uiPriority w:val="99"/>
    <w:rsid w:val="0017361F"/>
    <w:rPr>
      <w:b/>
      <w:bCs/>
    </w:rPr>
  </w:style>
  <w:style w:type="character" w:customStyle="1" w:styleId="AssuntodocomentrioChar">
    <w:name w:val="Assunto do comentário Char"/>
    <w:link w:val="Assuntodocomentrio"/>
    <w:uiPriority w:val="99"/>
    <w:rsid w:val="0017361F"/>
    <w:rPr>
      <w:rFonts w:hAnsi="Cambria"/>
      <w:b/>
      <w:bCs/>
      <w:lang w:eastAsia="ko-KR"/>
    </w:rPr>
  </w:style>
  <w:style w:type="paragraph" w:customStyle="1" w:styleId="DSLxStyle">
    <w:name w:val="DSLxStyle"/>
    <w:basedOn w:val="Style24"/>
    <w:link w:val="DSLxStyleChar"/>
    <w:rsid w:val="00F22DDC"/>
    <w:pPr>
      <w:widowControl/>
      <w:tabs>
        <w:tab w:val="left" w:pos="1701"/>
      </w:tabs>
      <w:ind w:left="1701" w:hanging="425"/>
      <w:jc w:val="right"/>
    </w:pPr>
    <w:rPr>
      <w:rFonts w:ascii="Times New Roman" w:eastAsia="Times New Roman"/>
      <w:color w:val="666666"/>
      <w:sz w:val="12"/>
    </w:rPr>
  </w:style>
  <w:style w:type="character" w:customStyle="1" w:styleId="Style24Char">
    <w:name w:val="Style24 Char"/>
    <w:link w:val="Style24"/>
    <w:rsid w:val="00F22DDC"/>
    <w:rPr>
      <w:rFonts w:hAnsi="Cambria"/>
      <w:sz w:val="24"/>
      <w:szCs w:val="24"/>
      <w:lang w:eastAsia="ko-KR"/>
    </w:rPr>
  </w:style>
  <w:style w:type="character" w:customStyle="1" w:styleId="DSLxStyleChar">
    <w:name w:val="DSLxStyle Char"/>
    <w:link w:val="DSLxStyle"/>
    <w:rsid w:val="00F22DDC"/>
    <w:rPr>
      <w:rFonts w:ascii="Times New Roman" w:eastAsia="Times New Roman" w:hAnsi="Cambria"/>
      <w:color w:val="666666"/>
      <w:sz w:val="12"/>
      <w:szCs w:val="24"/>
      <w:lang w:eastAsia="ko-KR"/>
    </w:rPr>
  </w:style>
  <w:style w:type="paragraph" w:styleId="Cabealho">
    <w:name w:val="header"/>
    <w:basedOn w:val="Normal"/>
    <w:link w:val="CabealhoChar"/>
    <w:uiPriority w:val="99"/>
    <w:rsid w:val="00F22DDC"/>
    <w:pPr>
      <w:tabs>
        <w:tab w:val="center" w:pos="4252"/>
        <w:tab w:val="right" w:pos="8504"/>
      </w:tabs>
    </w:pPr>
  </w:style>
  <w:style w:type="character" w:customStyle="1" w:styleId="CabealhoChar">
    <w:name w:val="Cabeçalho Char"/>
    <w:link w:val="Cabealho"/>
    <w:uiPriority w:val="99"/>
    <w:rsid w:val="00F22DDC"/>
    <w:rPr>
      <w:rFonts w:hAnsi="Cambria"/>
      <w:sz w:val="24"/>
      <w:szCs w:val="24"/>
      <w:lang w:eastAsia="ko-KR"/>
    </w:rPr>
  </w:style>
  <w:style w:type="paragraph" w:styleId="Rodap">
    <w:name w:val="footer"/>
    <w:basedOn w:val="Normal"/>
    <w:link w:val="RodapChar"/>
    <w:uiPriority w:val="99"/>
    <w:rsid w:val="00F22DDC"/>
    <w:pPr>
      <w:tabs>
        <w:tab w:val="center" w:pos="4252"/>
        <w:tab w:val="right" w:pos="8504"/>
      </w:tabs>
    </w:pPr>
  </w:style>
  <w:style w:type="character" w:customStyle="1" w:styleId="RodapChar">
    <w:name w:val="Rodapé Char"/>
    <w:link w:val="Rodap"/>
    <w:uiPriority w:val="99"/>
    <w:rsid w:val="00F22DDC"/>
    <w:rPr>
      <w:rFonts w:hAnsi="Cambria"/>
      <w:sz w:val="24"/>
      <w:szCs w:val="24"/>
      <w:lang w:eastAsia="ko-KR"/>
    </w:rPr>
  </w:style>
  <w:style w:type="paragraph" w:styleId="Textodenotadefim">
    <w:name w:val="endnote text"/>
    <w:basedOn w:val="Normal"/>
    <w:link w:val="TextodenotadefimChar"/>
    <w:rsid w:val="005B2750"/>
    <w:rPr>
      <w:sz w:val="20"/>
      <w:szCs w:val="20"/>
    </w:rPr>
  </w:style>
  <w:style w:type="character" w:customStyle="1" w:styleId="TextodenotadefimChar">
    <w:name w:val="Texto de nota de fim Char"/>
    <w:link w:val="Textodenotadefim"/>
    <w:rsid w:val="005B2750"/>
    <w:rPr>
      <w:rFonts w:hAnsi="Cambria"/>
      <w:lang w:eastAsia="ko-KR"/>
    </w:rPr>
  </w:style>
  <w:style w:type="character" w:styleId="Refdenotadefim">
    <w:name w:val="endnote reference"/>
    <w:uiPriority w:val="99"/>
    <w:rsid w:val="005B2750"/>
    <w:rPr>
      <w:vertAlign w:val="superscript"/>
    </w:rPr>
  </w:style>
  <w:style w:type="character" w:customStyle="1" w:styleId="hps">
    <w:name w:val="hps"/>
    <w:basedOn w:val="Fontepargpadro"/>
    <w:uiPriority w:val="99"/>
    <w:rsid w:val="00012639"/>
  </w:style>
  <w:style w:type="paragraph" w:customStyle="1" w:styleId="IASBNormalnpara">
    <w:name w:val="IASB Normal npara"/>
    <w:basedOn w:val="Normal"/>
    <w:rsid w:val="00623C2C"/>
    <w:pPr>
      <w:widowControl/>
      <w:autoSpaceDE/>
      <w:autoSpaceDN/>
      <w:adjustRightInd/>
      <w:spacing w:before="100"/>
      <w:ind w:left="782" w:hanging="782"/>
      <w:jc w:val="both"/>
    </w:pPr>
    <w:rPr>
      <w:rFonts w:ascii="Times New Roman" w:eastAsia="Times New Roman" w:hAnsi="Times New Roman"/>
      <w:sz w:val="19"/>
      <w:szCs w:val="20"/>
      <w:lang w:val="en-US" w:eastAsia="en-US"/>
    </w:rPr>
  </w:style>
  <w:style w:type="paragraph" w:customStyle="1" w:styleId="IASBNormalnparaL1">
    <w:name w:val="IASB Normal nparaL1"/>
    <w:basedOn w:val="IASBNormalnpara"/>
    <w:rsid w:val="00623C2C"/>
    <w:pPr>
      <w:ind w:left="1564"/>
    </w:pPr>
  </w:style>
  <w:style w:type="character" w:customStyle="1" w:styleId="TextodenotaderodapChar">
    <w:name w:val="Texto de nota de rodapé Char"/>
    <w:link w:val="Textodenotaderodap"/>
    <w:uiPriority w:val="99"/>
    <w:semiHidden/>
    <w:rsid w:val="00DC7318"/>
    <w:rPr>
      <w:rFonts w:hAnsi="Cambria"/>
      <w:lang w:eastAsia="ko-KR"/>
    </w:rPr>
  </w:style>
  <w:style w:type="paragraph" w:styleId="Corpodetexto">
    <w:name w:val="Body Text"/>
    <w:basedOn w:val="Normal"/>
    <w:link w:val="CorpodetextoChar"/>
    <w:rsid w:val="000554AD"/>
    <w:pPr>
      <w:spacing w:after="120"/>
    </w:pPr>
  </w:style>
  <w:style w:type="character" w:customStyle="1" w:styleId="CorpodetextoChar">
    <w:name w:val="Corpo de texto Char"/>
    <w:link w:val="Corpodetexto"/>
    <w:rsid w:val="000554AD"/>
    <w:rPr>
      <w:rFonts w:hAnsi="Cambria"/>
      <w:sz w:val="24"/>
      <w:szCs w:val="24"/>
      <w:lang w:eastAsia="ko-KR"/>
    </w:rPr>
  </w:style>
  <w:style w:type="character" w:styleId="Forte">
    <w:name w:val="Strong"/>
    <w:uiPriority w:val="22"/>
    <w:qFormat/>
    <w:rsid w:val="000554AD"/>
    <w:rPr>
      <w:b/>
      <w:bCs/>
    </w:rPr>
  </w:style>
  <w:style w:type="paragraph" w:customStyle="1" w:styleId="texton">
    <w:name w:val="texto_n"/>
    <w:basedOn w:val="Normal"/>
    <w:rsid w:val="000554AD"/>
    <w:pPr>
      <w:widowControl/>
      <w:autoSpaceDE/>
      <w:autoSpaceDN/>
      <w:adjustRightInd/>
      <w:spacing w:before="100" w:beforeAutospacing="1" w:after="100" w:afterAutospacing="1"/>
      <w:jc w:val="both"/>
    </w:pPr>
    <w:rPr>
      <w:rFonts w:ascii="Verdana" w:eastAsia="Times New Roman" w:hAnsi="Verdana"/>
      <w:color w:val="2C2175"/>
      <w:sz w:val="15"/>
      <w:szCs w:val="15"/>
      <w:lang w:eastAsia="pt-BR"/>
    </w:rPr>
  </w:style>
  <w:style w:type="paragraph" w:styleId="NormalWeb">
    <w:name w:val="Normal (Web)"/>
    <w:basedOn w:val="Normal"/>
    <w:uiPriority w:val="99"/>
    <w:unhideWhenUsed/>
    <w:rsid w:val="000554AD"/>
    <w:pPr>
      <w:widowControl/>
      <w:autoSpaceDE/>
      <w:autoSpaceDN/>
      <w:adjustRightInd/>
      <w:spacing w:before="100" w:beforeAutospacing="1" w:after="100" w:afterAutospacing="1"/>
    </w:pPr>
    <w:rPr>
      <w:rFonts w:ascii="Times New Roman" w:eastAsia="Times New Roman" w:hAnsi="Times New Roman"/>
      <w:lang w:eastAsia="pt-BR"/>
    </w:rPr>
  </w:style>
  <w:style w:type="character" w:customStyle="1" w:styleId="texton1">
    <w:name w:val="texto_n1"/>
    <w:rsid w:val="000554AD"/>
    <w:rPr>
      <w:rFonts w:ascii="Verdana" w:hAnsi="Verdana" w:hint="default"/>
      <w:b w:val="0"/>
      <w:bCs w:val="0"/>
      <w:i w:val="0"/>
      <w:iCs w:val="0"/>
      <w:strike w:val="0"/>
      <w:dstrike w:val="0"/>
      <w:color w:val="2C2175"/>
      <w:sz w:val="15"/>
      <w:szCs w:val="15"/>
      <w:u w:val="none"/>
      <w:effect w:val="none"/>
    </w:rPr>
  </w:style>
  <w:style w:type="paragraph" w:styleId="Ttulo">
    <w:name w:val="Title"/>
    <w:basedOn w:val="Normal"/>
    <w:link w:val="TtuloChar"/>
    <w:qFormat/>
    <w:rsid w:val="00EC31BC"/>
    <w:pPr>
      <w:widowControl/>
      <w:jc w:val="center"/>
    </w:pPr>
    <w:rPr>
      <w:rFonts w:ascii="Times New Roman" w:eastAsia="Times New Roman" w:hAnsi="Times New Roman"/>
      <w:b/>
      <w:noProof/>
      <w:color w:val="000000"/>
      <w:szCs w:val="20"/>
      <w:lang w:eastAsia="pt-BR"/>
    </w:rPr>
  </w:style>
  <w:style w:type="character" w:customStyle="1" w:styleId="TtuloChar">
    <w:name w:val="Título Char"/>
    <w:link w:val="Ttulo"/>
    <w:rsid w:val="00EC31BC"/>
    <w:rPr>
      <w:rFonts w:ascii="Times New Roman" w:eastAsia="Times New Roman"/>
      <w:b/>
      <w:noProof/>
      <w:color w:val="000000"/>
      <w:sz w:val="24"/>
    </w:rPr>
  </w:style>
  <w:style w:type="paragraph" w:styleId="Corpodetexto2">
    <w:name w:val="Body Text 2"/>
    <w:basedOn w:val="Normal"/>
    <w:link w:val="Corpodetexto2Char"/>
    <w:rsid w:val="00EC31BC"/>
    <w:pPr>
      <w:spacing w:after="120" w:line="480" w:lineRule="auto"/>
    </w:pPr>
  </w:style>
  <w:style w:type="character" w:customStyle="1" w:styleId="Corpodetexto2Char">
    <w:name w:val="Corpo de texto 2 Char"/>
    <w:link w:val="Corpodetexto2"/>
    <w:rsid w:val="00EC31BC"/>
    <w:rPr>
      <w:rFonts w:hAnsi="Cambria"/>
      <w:sz w:val="24"/>
      <w:szCs w:val="24"/>
      <w:lang w:eastAsia="ko-KR"/>
    </w:rPr>
  </w:style>
  <w:style w:type="paragraph" w:customStyle="1" w:styleId="ListaColorida-nfase11">
    <w:name w:val="Lista Colorida - Ênfase 11"/>
    <w:basedOn w:val="Normal"/>
    <w:uiPriority w:val="34"/>
    <w:qFormat/>
    <w:rsid w:val="007E48A5"/>
    <w:pPr>
      <w:widowControl/>
      <w:autoSpaceDE/>
      <w:autoSpaceDN/>
      <w:adjustRightInd/>
      <w:ind w:left="708"/>
    </w:pPr>
    <w:rPr>
      <w:rFonts w:ascii="Times New Roman" w:eastAsia="Times New Roman" w:hAnsi="Times New Roman"/>
      <w:lang w:eastAsia="pt-BR"/>
    </w:rPr>
  </w:style>
  <w:style w:type="character" w:customStyle="1" w:styleId="TextoemblocoChar">
    <w:name w:val="Texto em bloco Char"/>
    <w:link w:val="Textoembloco"/>
    <w:uiPriority w:val="99"/>
    <w:locked/>
    <w:rsid w:val="007E48A5"/>
    <w:rPr>
      <w:rFonts w:ascii="Arial" w:eastAsia="Times New Roman" w:hAnsi="Arial" w:cs="Arial"/>
      <w:szCs w:val="24"/>
      <w:lang w:val="pt-PT"/>
    </w:rPr>
  </w:style>
  <w:style w:type="character" w:customStyle="1" w:styleId="Ttulo1Char">
    <w:name w:val="Título 1 Char"/>
    <w:link w:val="Ttulo1"/>
    <w:rsid w:val="00B73EA6"/>
    <w:rPr>
      <w:rFonts w:ascii="Times New Roman" w:eastAsia="Times New Roman"/>
      <w:b/>
      <w:sz w:val="24"/>
      <w:lang w:eastAsia="en-US"/>
    </w:rPr>
  </w:style>
  <w:style w:type="character" w:customStyle="1" w:styleId="Ttulo2Char">
    <w:name w:val="Título 2 Char"/>
    <w:link w:val="Ttulo2"/>
    <w:rsid w:val="00B73EA6"/>
    <w:rPr>
      <w:rFonts w:ascii="Times New Roman" w:eastAsia="Times New Roman"/>
      <w:i/>
      <w:iCs/>
      <w:szCs w:val="24"/>
    </w:rPr>
  </w:style>
  <w:style w:type="character" w:customStyle="1" w:styleId="Ttulo3Char">
    <w:name w:val="Título 3 Char"/>
    <w:link w:val="Ttulo3"/>
    <w:rsid w:val="00B73EA6"/>
    <w:rPr>
      <w:rFonts w:ascii="Times New Roman" w:eastAsia="Times New Roman"/>
      <w:b/>
      <w:sz w:val="24"/>
      <w:szCs w:val="24"/>
      <w:u w:val="single"/>
    </w:rPr>
  </w:style>
  <w:style w:type="character" w:customStyle="1" w:styleId="Ttulo4Char">
    <w:name w:val="Título 4 Char"/>
    <w:link w:val="Ttulo4"/>
    <w:rsid w:val="00B73EA6"/>
    <w:rPr>
      <w:rFonts w:ascii="Times New Roman" w:eastAsia="Times New Roman"/>
      <w:i/>
      <w:iCs/>
      <w:sz w:val="24"/>
      <w:szCs w:val="24"/>
    </w:rPr>
  </w:style>
  <w:style w:type="character" w:customStyle="1" w:styleId="Ttulo5Char">
    <w:name w:val="Título 5 Char"/>
    <w:link w:val="Ttulo5"/>
    <w:rsid w:val="00B73EA6"/>
    <w:rPr>
      <w:rFonts w:ascii="Times New Roman" w:eastAsia="Times New Roman"/>
      <w:b/>
      <w:sz w:val="24"/>
      <w:szCs w:val="24"/>
    </w:rPr>
  </w:style>
  <w:style w:type="character" w:customStyle="1" w:styleId="Ttulo6Char">
    <w:name w:val="Título 6 Char"/>
    <w:link w:val="Ttulo6"/>
    <w:rsid w:val="00B73EA6"/>
    <w:rPr>
      <w:rFonts w:ascii="Times New Roman" w:eastAsia="Times New Roman"/>
      <w:b/>
      <w:caps/>
      <w:sz w:val="22"/>
      <w:lang w:eastAsia="en-US"/>
    </w:rPr>
  </w:style>
  <w:style w:type="character" w:customStyle="1" w:styleId="Ttulo7Char">
    <w:name w:val="Título 7 Char"/>
    <w:link w:val="Ttulo7"/>
    <w:rsid w:val="00B73EA6"/>
    <w:rPr>
      <w:rFonts w:ascii="Times New Roman" w:eastAsia="Times New Roman"/>
      <w:b/>
      <w:sz w:val="28"/>
      <w:szCs w:val="28"/>
    </w:rPr>
  </w:style>
  <w:style w:type="character" w:customStyle="1" w:styleId="Ttulo8Char">
    <w:name w:val="Título 8 Char"/>
    <w:link w:val="Ttulo8"/>
    <w:rsid w:val="00B73EA6"/>
    <w:rPr>
      <w:rFonts w:ascii="Times New Roman" w:eastAsia="Times New Roman"/>
      <w:b/>
      <w:sz w:val="28"/>
      <w:szCs w:val="28"/>
    </w:rPr>
  </w:style>
  <w:style w:type="character" w:customStyle="1" w:styleId="Ttulo9Char">
    <w:name w:val="Título 9 Char"/>
    <w:link w:val="Ttulo9"/>
    <w:rsid w:val="00B73EA6"/>
    <w:rPr>
      <w:rFonts w:ascii="Times New Roman" w:eastAsia="Times New Roman"/>
      <w:b/>
      <w:sz w:val="24"/>
      <w:szCs w:val="24"/>
    </w:rPr>
  </w:style>
  <w:style w:type="paragraph" w:customStyle="1" w:styleId="15-BulletNvel1">
    <w:name w:val="15 - «Bullet» Nível 1"/>
    <w:basedOn w:val="Normal"/>
    <w:rsid w:val="00B73EA6"/>
    <w:pPr>
      <w:widowControl/>
      <w:autoSpaceDE/>
      <w:autoSpaceDN/>
      <w:adjustRightInd/>
      <w:spacing w:line="260" w:lineRule="atLeast"/>
      <w:ind w:left="360" w:hanging="360"/>
      <w:jc w:val="both"/>
    </w:pPr>
    <w:rPr>
      <w:rFonts w:ascii="Times New Roman" w:eastAsia="Times New Roman" w:hAnsi="Times New Roman"/>
      <w:sz w:val="22"/>
      <w:szCs w:val="20"/>
      <w:lang w:val="en-US" w:eastAsia="en-US"/>
    </w:rPr>
  </w:style>
  <w:style w:type="character" w:styleId="Nmerodepgina">
    <w:name w:val="page number"/>
    <w:basedOn w:val="Fontepargpadro"/>
    <w:rsid w:val="00B73EA6"/>
  </w:style>
  <w:style w:type="character" w:customStyle="1" w:styleId="FontStyle85">
    <w:name w:val="Font Style85"/>
    <w:rsid w:val="00B73EA6"/>
    <w:rPr>
      <w:rFonts w:ascii="Arial" w:hAnsi="Arial" w:cs="Arial"/>
      <w:b/>
      <w:bCs/>
      <w:sz w:val="20"/>
      <w:szCs w:val="20"/>
    </w:rPr>
  </w:style>
  <w:style w:type="paragraph" w:customStyle="1" w:styleId="western">
    <w:name w:val="western"/>
    <w:basedOn w:val="Normal"/>
    <w:rsid w:val="00B73EA6"/>
    <w:pPr>
      <w:widowControl/>
      <w:autoSpaceDE/>
      <w:autoSpaceDN/>
      <w:adjustRightInd/>
      <w:spacing w:before="100" w:beforeAutospacing="1" w:after="100" w:afterAutospacing="1"/>
    </w:pPr>
    <w:rPr>
      <w:rFonts w:ascii="Times New Roman" w:eastAsia="Times New Roman" w:hAnsi="Times New Roman"/>
      <w:color w:val="000000"/>
      <w:lang w:eastAsia="pt-BR"/>
    </w:rPr>
  </w:style>
  <w:style w:type="paragraph" w:customStyle="1" w:styleId="IASBNormal">
    <w:name w:val="IASB Normal"/>
    <w:rsid w:val="00B73EA6"/>
    <w:pPr>
      <w:spacing w:before="100" w:after="100"/>
      <w:jc w:val="both"/>
    </w:pPr>
    <w:rPr>
      <w:rFonts w:ascii="Times New Roman" w:eastAsia="Times New Roman"/>
      <w:sz w:val="19"/>
      <w:lang w:val="en-US" w:eastAsia="en-US"/>
    </w:rPr>
  </w:style>
  <w:style w:type="paragraph" w:customStyle="1" w:styleId="IASBIdentifier">
    <w:name w:val="IASB Identifier"/>
    <w:basedOn w:val="Normal"/>
    <w:rsid w:val="00B73EA6"/>
    <w:pPr>
      <w:keepNext/>
      <w:keepLines/>
      <w:widowControl/>
      <w:autoSpaceDE/>
      <w:autoSpaceDN/>
      <w:adjustRightInd/>
      <w:snapToGrid w:val="0"/>
      <w:spacing w:before="300" w:after="400"/>
    </w:pPr>
    <w:rPr>
      <w:rFonts w:ascii="Arial" w:eastAsia="Times New Roman" w:hAnsi="Arial" w:cs="Arial"/>
      <w:b/>
      <w:szCs w:val="20"/>
      <w:lang w:val="en-US" w:eastAsia="pt-BR"/>
    </w:rPr>
  </w:style>
  <w:style w:type="paragraph" w:customStyle="1" w:styleId="IASBSectionTitle1Ind">
    <w:name w:val="IASB Section Title 1 Ind"/>
    <w:basedOn w:val="Normal"/>
    <w:rsid w:val="007B17C3"/>
    <w:pPr>
      <w:keepNext/>
      <w:keepLines/>
      <w:widowControl/>
      <w:pBdr>
        <w:bottom w:val="single" w:sz="4" w:space="0" w:color="auto"/>
      </w:pBdr>
      <w:autoSpaceDE/>
      <w:autoSpaceDN/>
      <w:adjustRightInd/>
      <w:spacing w:before="400" w:after="200"/>
      <w:ind w:left="782"/>
    </w:pPr>
    <w:rPr>
      <w:rFonts w:ascii="Arial" w:eastAsia="Times New Roman" w:hAnsi="Arial" w:cs="Arial"/>
      <w:b/>
      <w:sz w:val="26"/>
      <w:szCs w:val="20"/>
      <w:lang w:eastAsia="pt-BR"/>
    </w:rPr>
  </w:style>
  <w:style w:type="paragraph" w:customStyle="1" w:styleId="IASBSectionTitle1NonInd">
    <w:name w:val="IASB Section Title 1 NonInd"/>
    <w:basedOn w:val="Normal"/>
    <w:rsid w:val="007B17C3"/>
    <w:pPr>
      <w:keepNext/>
      <w:keepLines/>
      <w:widowControl/>
      <w:pBdr>
        <w:bottom w:val="single" w:sz="4" w:space="0" w:color="auto"/>
      </w:pBdr>
      <w:autoSpaceDE/>
      <w:autoSpaceDN/>
      <w:adjustRightInd/>
      <w:spacing w:before="400" w:after="200"/>
    </w:pPr>
    <w:rPr>
      <w:rFonts w:ascii="Arial" w:eastAsia="Times New Roman" w:hAnsi="Arial" w:cs="Arial"/>
      <w:b/>
      <w:sz w:val="26"/>
      <w:szCs w:val="20"/>
      <w:lang w:eastAsia="pt-BR"/>
    </w:rPr>
  </w:style>
  <w:style w:type="paragraph" w:customStyle="1" w:styleId="IASBSectionTitle2NonInd">
    <w:name w:val="IASB Section Title 2 NonInd"/>
    <w:basedOn w:val="Normal"/>
    <w:rsid w:val="007B17C3"/>
    <w:pPr>
      <w:keepNext/>
      <w:keepLines/>
      <w:widowControl/>
      <w:autoSpaceDE/>
      <w:autoSpaceDN/>
      <w:adjustRightInd/>
      <w:spacing w:before="300" w:after="200"/>
    </w:pPr>
    <w:rPr>
      <w:rFonts w:ascii="Arial" w:eastAsia="Times New Roman" w:hAnsi="Arial" w:cs="Arial"/>
      <w:b/>
      <w:sz w:val="26"/>
      <w:szCs w:val="20"/>
      <w:lang w:eastAsia="pt-BR"/>
    </w:rPr>
  </w:style>
  <w:style w:type="paragraph" w:customStyle="1" w:styleId="IASBSectionTitle2Ind">
    <w:name w:val="IASB Section Title 2 Ind"/>
    <w:basedOn w:val="IASBSectionTitle2NonInd"/>
    <w:rsid w:val="007B17C3"/>
    <w:pPr>
      <w:spacing w:before="240"/>
      <w:ind w:left="782"/>
    </w:pPr>
  </w:style>
  <w:style w:type="paragraph" w:customStyle="1" w:styleId="IASBSectionTitle3NonInd">
    <w:name w:val="IASB Section Title 3 NonInd"/>
    <w:basedOn w:val="Normal"/>
    <w:rsid w:val="007B17C3"/>
    <w:pPr>
      <w:keepNext/>
      <w:keepLines/>
      <w:widowControl/>
      <w:autoSpaceDE/>
      <w:autoSpaceDN/>
      <w:adjustRightInd/>
      <w:spacing w:before="300" w:after="200"/>
    </w:pPr>
    <w:rPr>
      <w:rFonts w:ascii="Arial" w:eastAsia="Times New Roman" w:hAnsi="Arial" w:cs="Arial"/>
      <w:b/>
      <w:sz w:val="22"/>
      <w:szCs w:val="20"/>
      <w:lang w:eastAsia="pt-BR"/>
    </w:rPr>
  </w:style>
  <w:style w:type="paragraph" w:customStyle="1" w:styleId="IASBSectionTitle3Ind">
    <w:name w:val="IASB Section Title 3 Ind"/>
    <w:basedOn w:val="IASBSectionTitle3NonInd"/>
    <w:rsid w:val="007B17C3"/>
    <w:pPr>
      <w:spacing w:before="240"/>
      <w:ind w:left="782"/>
    </w:pPr>
  </w:style>
  <w:style w:type="paragraph" w:customStyle="1" w:styleId="IASBSectionTitle4NonInd">
    <w:name w:val="IASB Section Title 4 NonInd"/>
    <w:basedOn w:val="Normal"/>
    <w:rsid w:val="007B17C3"/>
    <w:pPr>
      <w:keepNext/>
      <w:keepLines/>
      <w:widowControl/>
      <w:autoSpaceDE/>
      <w:autoSpaceDN/>
      <w:adjustRightInd/>
      <w:spacing w:before="300" w:after="200"/>
    </w:pPr>
    <w:rPr>
      <w:rFonts w:ascii="Arial" w:eastAsia="Times New Roman" w:hAnsi="Arial" w:cs="Arial"/>
      <w:i/>
      <w:sz w:val="22"/>
      <w:szCs w:val="20"/>
      <w:lang w:eastAsia="pt-BR"/>
    </w:rPr>
  </w:style>
  <w:style w:type="paragraph" w:customStyle="1" w:styleId="IASBSectionTitle4Ind">
    <w:name w:val="IASB Section Title 4 Ind"/>
    <w:basedOn w:val="IASBSectionTitle4NonInd"/>
    <w:rsid w:val="007B17C3"/>
    <w:pPr>
      <w:ind w:left="782"/>
    </w:pPr>
  </w:style>
  <w:style w:type="paragraph" w:customStyle="1" w:styleId="IASBSectionTitle5NonInd">
    <w:name w:val="IASB Section Title 5 NonInd"/>
    <w:basedOn w:val="Normal"/>
    <w:rsid w:val="007B17C3"/>
    <w:pPr>
      <w:keepNext/>
      <w:keepLines/>
      <w:widowControl/>
      <w:autoSpaceDE/>
      <w:autoSpaceDN/>
      <w:adjustRightInd/>
      <w:spacing w:before="300" w:after="200"/>
    </w:pPr>
    <w:rPr>
      <w:rFonts w:ascii="Arial" w:eastAsia="Times New Roman" w:hAnsi="Arial" w:cs="Arial"/>
      <w:b/>
      <w:sz w:val="20"/>
      <w:szCs w:val="20"/>
      <w:lang w:eastAsia="pt-BR"/>
    </w:rPr>
  </w:style>
  <w:style w:type="paragraph" w:customStyle="1" w:styleId="IASBSectionTitle5Ind">
    <w:name w:val="IASB Section Title 5 Ind"/>
    <w:basedOn w:val="IASBSectionTitle5NonInd"/>
    <w:rsid w:val="007B17C3"/>
    <w:pPr>
      <w:ind w:left="782"/>
    </w:pPr>
  </w:style>
  <w:style w:type="paragraph" w:customStyle="1" w:styleId="IASBSectionTitle6NonInd">
    <w:name w:val="IASB Section Title 6 NonInd"/>
    <w:basedOn w:val="IASBSectionTitle5NonInd"/>
    <w:rsid w:val="007B17C3"/>
    <w:rPr>
      <w:b w:val="0"/>
      <w:i/>
    </w:rPr>
  </w:style>
  <w:style w:type="paragraph" w:customStyle="1" w:styleId="IASBSectionTitle6Ind">
    <w:name w:val="IASB Section Title 6 Ind"/>
    <w:basedOn w:val="IASBSectionTitle6NonInd"/>
    <w:rsid w:val="007B17C3"/>
    <w:pPr>
      <w:ind w:left="782"/>
    </w:pPr>
  </w:style>
  <w:style w:type="paragraph" w:customStyle="1" w:styleId="IASBTitle">
    <w:name w:val="IASB Title"/>
    <w:rsid w:val="007B17C3"/>
    <w:pPr>
      <w:keepNext/>
      <w:keepLines/>
      <w:spacing w:before="300" w:after="400"/>
    </w:pPr>
    <w:rPr>
      <w:rFonts w:ascii="Times New Roman" w:eastAsia="Times New Roman" w:cs="Arial"/>
      <w:sz w:val="36"/>
    </w:rPr>
  </w:style>
  <w:style w:type="paragraph" w:customStyle="1" w:styleId="IASBNormalnparaP">
    <w:name w:val="IASB Normal nparaP"/>
    <w:basedOn w:val="IASBNormal"/>
    <w:rsid w:val="007B17C3"/>
    <w:pPr>
      <w:tabs>
        <w:tab w:val="left" w:pos="4253"/>
      </w:tabs>
      <w:ind w:left="782"/>
    </w:pPr>
    <w:rPr>
      <w:lang w:val="pt-BR" w:eastAsia="pt-BR"/>
    </w:rPr>
  </w:style>
  <w:style w:type="paragraph" w:customStyle="1" w:styleId="IASBTOCPrimary">
    <w:name w:val="IASB TOC Primary"/>
    <w:basedOn w:val="Normal"/>
    <w:rsid w:val="007B17C3"/>
    <w:pPr>
      <w:widowControl/>
      <w:tabs>
        <w:tab w:val="right" w:pos="8647"/>
      </w:tabs>
      <w:autoSpaceDE/>
      <w:autoSpaceDN/>
      <w:adjustRightInd/>
      <w:spacing w:before="100" w:after="100"/>
    </w:pPr>
    <w:rPr>
      <w:rFonts w:ascii="Arial" w:eastAsia="Times New Roman" w:hAnsi="Arial" w:cs="Arial"/>
      <w:b/>
      <w:caps/>
      <w:sz w:val="18"/>
      <w:szCs w:val="20"/>
      <w:lang w:eastAsia="pt-BR"/>
    </w:rPr>
  </w:style>
  <w:style w:type="paragraph" w:customStyle="1" w:styleId="IASBTOCParagraph">
    <w:name w:val="IASB TOC Paragraph"/>
    <w:basedOn w:val="Normal"/>
    <w:rsid w:val="007B17C3"/>
    <w:pPr>
      <w:widowControl/>
      <w:autoSpaceDE/>
      <w:autoSpaceDN/>
      <w:adjustRightInd/>
      <w:spacing w:before="30" w:after="30"/>
    </w:pPr>
    <w:rPr>
      <w:rFonts w:ascii="Arial" w:eastAsia="Times New Roman" w:hAnsi="Arial" w:cs="Arial"/>
      <w:i/>
      <w:sz w:val="18"/>
      <w:szCs w:val="20"/>
      <w:lang w:eastAsia="pt-BR"/>
    </w:rPr>
  </w:style>
  <w:style w:type="paragraph" w:customStyle="1" w:styleId="IASBTOCSecondary">
    <w:name w:val="IASB TOC Secondary"/>
    <w:basedOn w:val="Normal"/>
    <w:rsid w:val="007B17C3"/>
    <w:pPr>
      <w:widowControl/>
      <w:tabs>
        <w:tab w:val="right" w:pos="8647"/>
      </w:tabs>
      <w:autoSpaceDE/>
      <w:autoSpaceDN/>
      <w:adjustRightInd/>
      <w:spacing w:before="30" w:after="30"/>
    </w:pPr>
    <w:rPr>
      <w:rFonts w:ascii="Arial" w:eastAsia="Times New Roman" w:hAnsi="Arial" w:cs="Arial"/>
      <w:b/>
      <w:sz w:val="18"/>
      <w:szCs w:val="20"/>
      <w:lang w:eastAsia="pt-BR"/>
    </w:rPr>
  </w:style>
  <w:style w:type="paragraph" w:customStyle="1" w:styleId="IASBTOCTertiary">
    <w:name w:val="IASB TOC Tertiary"/>
    <w:basedOn w:val="Normal"/>
    <w:rsid w:val="007B17C3"/>
    <w:pPr>
      <w:widowControl/>
      <w:tabs>
        <w:tab w:val="right" w:pos="8647"/>
      </w:tabs>
      <w:autoSpaceDE/>
      <w:autoSpaceDN/>
      <w:adjustRightInd/>
      <w:spacing w:before="30" w:after="30"/>
      <w:ind w:left="390"/>
    </w:pPr>
    <w:rPr>
      <w:rFonts w:ascii="Arial" w:eastAsia="Times New Roman" w:hAnsi="Arial" w:cs="Arial"/>
      <w:sz w:val="18"/>
      <w:szCs w:val="20"/>
      <w:lang w:eastAsia="pt-BR"/>
    </w:rPr>
  </w:style>
  <w:style w:type="paragraph" w:customStyle="1" w:styleId="IASBTOCExternal">
    <w:name w:val="IASB TOC External"/>
    <w:basedOn w:val="Normal"/>
    <w:rsid w:val="007B17C3"/>
    <w:pPr>
      <w:widowControl/>
      <w:pBdr>
        <w:top w:val="single" w:sz="4" w:space="1" w:color="auto"/>
        <w:left w:val="single" w:sz="4" w:space="4" w:color="auto"/>
        <w:bottom w:val="single" w:sz="4" w:space="1" w:color="auto"/>
        <w:right w:val="single" w:sz="4" w:space="4" w:color="auto"/>
      </w:pBdr>
      <w:autoSpaceDE/>
      <w:autoSpaceDN/>
      <w:adjustRightInd/>
      <w:spacing w:before="30" w:after="30"/>
    </w:pPr>
    <w:rPr>
      <w:rFonts w:ascii="Arial" w:eastAsia="Times New Roman" w:hAnsi="Arial" w:cs="Arial"/>
      <w:b/>
      <w:sz w:val="18"/>
      <w:szCs w:val="20"/>
      <w:lang w:eastAsia="pt-BR"/>
    </w:rPr>
  </w:style>
  <w:style w:type="paragraph" w:customStyle="1" w:styleId="IASBRubric">
    <w:name w:val="IASB Rubric"/>
    <w:basedOn w:val="IASBNormal"/>
    <w:rsid w:val="007B17C3"/>
    <w:pPr>
      <w:pBdr>
        <w:top w:val="single" w:sz="2" w:space="8" w:color="auto"/>
        <w:left w:val="single" w:sz="2" w:space="5" w:color="auto"/>
        <w:bottom w:val="single" w:sz="2" w:space="5" w:color="auto"/>
        <w:right w:val="single" w:sz="2" w:space="5" w:color="auto"/>
      </w:pBdr>
      <w:tabs>
        <w:tab w:val="left" w:pos="4253"/>
      </w:tabs>
    </w:pPr>
    <w:rPr>
      <w:lang w:val="pt-BR" w:eastAsia="pt-BR"/>
    </w:rPr>
  </w:style>
  <w:style w:type="paragraph" w:customStyle="1" w:styleId="IASBNote">
    <w:name w:val="IASB Note"/>
    <w:basedOn w:val="IASBNormal"/>
    <w:rsid w:val="007B17C3"/>
    <w:pPr>
      <w:tabs>
        <w:tab w:val="left" w:pos="4253"/>
      </w:tabs>
    </w:pPr>
    <w:rPr>
      <w:i/>
      <w:lang w:val="pt-BR" w:eastAsia="pt-BR"/>
    </w:rPr>
  </w:style>
  <w:style w:type="paragraph" w:customStyle="1" w:styleId="IASBBlockquote">
    <w:name w:val="IASB Blockquote"/>
    <w:basedOn w:val="IASBNormal"/>
    <w:rsid w:val="007B17C3"/>
    <w:pPr>
      <w:tabs>
        <w:tab w:val="left" w:pos="4253"/>
      </w:tabs>
      <w:ind w:left="1565"/>
    </w:pPr>
    <w:rPr>
      <w:sz w:val="16"/>
      <w:lang w:val="pt-BR" w:eastAsia="pt-BR"/>
    </w:rPr>
  </w:style>
  <w:style w:type="character" w:customStyle="1" w:styleId="IASBEduinsert">
    <w:name w:val="IASB Edu insert"/>
    <w:qFormat/>
    <w:rsid w:val="007B17C3"/>
  </w:style>
  <w:style w:type="paragraph" w:customStyle="1" w:styleId="IASBNormalL1">
    <w:name w:val="IASB Normal L1"/>
    <w:basedOn w:val="IASBNormalnpara"/>
    <w:rsid w:val="007B17C3"/>
    <w:rPr>
      <w:lang w:val="pt-BR" w:eastAsia="pt-BR"/>
    </w:rPr>
  </w:style>
  <w:style w:type="paragraph" w:customStyle="1" w:styleId="IASBRubricL1">
    <w:name w:val="IASB RubricL1"/>
    <w:basedOn w:val="IASBRubric"/>
    <w:rsid w:val="007B17C3"/>
    <w:pPr>
      <w:ind w:left="782" w:hanging="782"/>
      <w:jc w:val="left"/>
    </w:pPr>
  </w:style>
  <w:style w:type="paragraph" w:customStyle="1" w:styleId="IASBRubricL2">
    <w:name w:val="IASB RubricL2"/>
    <w:basedOn w:val="IASBRubricL1"/>
    <w:rsid w:val="007B17C3"/>
    <w:pPr>
      <w:tabs>
        <w:tab w:val="left" w:pos="782"/>
      </w:tabs>
      <w:ind w:left="1565" w:hanging="1565"/>
    </w:pPr>
  </w:style>
  <w:style w:type="paragraph" w:customStyle="1" w:styleId="IASBRubricL3">
    <w:name w:val="IASB RubricL3"/>
    <w:basedOn w:val="IASBRubricL2"/>
    <w:rsid w:val="007B17C3"/>
    <w:pPr>
      <w:tabs>
        <w:tab w:val="clear" w:pos="782"/>
        <w:tab w:val="left" w:pos="1565"/>
      </w:tabs>
      <w:ind w:left="2347" w:hanging="2347"/>
    </w:pPr>
  </w:style>
  <w:style w:type="paragraph" w:customStyle="1" w:styleId="IASBNormalnparaL2">
    <w:name w:val="IASB Normal nparaL2"/>
    <w:basedOn w:val="IASBNormalnparaL1"/>
    <w:rsid w:val="007B17C3"/>
    <w:pPr>
      <w:ind w:left="2347"/>
    </w:pPr>
    <w:rPr>
      <w:lang w:val="pt-BR" w:eastAsia="pt-BR"/>
    </w:rPr>
  </w:style>
  <w:style w:type="paragraph" w:customStyle="1" w:styleId="IASBNormalnparaL3">
    <w:name w:val="IASB Normal nparaL3"/>
    <w:basedOn w:val="IASBNormalnparaL2"/>
    <w:rsid w:val="007B17C3"/>
    <w:pPr>
      <w:ind w:left="3129"/>
    </w:pPr>
  </w:style>
  <w:style w:type="paragraph" w:customStyle="1" w:styleId="IASBNormalnparaL4">
    <w:name w:val="IASB Normal nparaL4"/>
    <w:basedOn w:val="IASBNormalnparaL3"/>
    <w:rsid w:val="007B17C3"/>
    <w:pPr>
      <w:ind w:left="3912"/>
    </w:pPr>
  </w:style>
  <w:style w:type="paragraph" w:customStyle="1" w:styleId="IASBNormalnparaL5">
    <w:name w:val="IASB Normal nparaL5"/>
    <w:basedOn w:val="IASBNormalnparaL4"/>
    <w:rsid w:val="007B17C3"/>
    <w:pPr>
      <w:ind w:left="4694"/>
    </w:pPr>
  </w:style>
  <w:style w:type="paragraph" w:customStyle="1" w:styleId="IASBNormalnparaL1P">
    <w:name w:val="IASB Normal nparaL1P"/>
    <w:basedOn w:val="IASBNormalnparaL2"/>
    <w:rsid w:val="007B17C3"/>
    <w:pPr>
      <w:ind w:left="1565" w:firstLine="0"/>
    </w:pPr>
  </w:style>
  <w:style w:type="paragraph" w:customStyle="1" w:styleId="IASBNormalnparaL2P">
    <w:name w:val="IASB Normal nparaL2P"/>
    <w:basedOn w:val="IASBNormalnparaL1P"/>
    <w:rsid w:val="007B17C3"/>
    <w:pPr>
      <w:ind w:left="2347"/>
    </w:pPr>
  </w:style>
  <w:style w:type="paragraph" w:customStyle="1" w:styleId="IASBNormalnparaL3P">
    <w:name w:val="IASB Normal nparaL3P"/>
    <w:basedOn w:val="IASBNormalnparaL2P"/>
    <w:rsid w:val="007B17C3"/>
    <w:pPr>
      <w:ind w:left="3130"/>
    </w:pPr>
  </w:style>
  <w:style w:type="paragraph" w:customStyle="1" w:styleId="IASBNormalnparaL4P">
    <w:name w:val="IASB Normal nparaL4P"/>
    <w:basedOn w:val="IASBNormalnparaL3P"/>
    <w:rsid w:val="007B17C3"/>
    <w:pPr>
      <w:ind w:left="3912"/>
    </w:pPr>
  </w:style>
  <w:style w:type="paragraph" w:customStyle="1" w:styleId="IASBNormalnparaL5P">
    <w:name w:val="IASB Normal nparaL5P"/>
    <w:basedOn w:val="IASBNormalnparaL4P"/>
    <w:rsid w:val="007B17C3"/>
    <w:pPr>
      <w:ind w:left="4751"/>
    </w:pPr>
  </w:style>
  <w:style w:type="paragraph" w:customStyle="1" w:styleId="IASBBlockquoteL1">
    <w:name w:val="IASB BlockquoteL1"/>
    <w:basedOn w:val="IASBBlockquote"/>
    <w:rsid w:val="007B17C3"/>
    <w:pPr>
      <w:ind w:left="2347" w:hanging="782"/>
    </w:pPr>
  </w:style>
  <w:style w:type="paragraph" w:customStyle="1" w:styleId="IASBBlockquoteL2">
    <w:name w:val="IASB BlockquoteL2"/>
    <w:basedOn w:val="IASBBlockquoteL1"/>
    <w:rsid w:val="007B17C3"/>
    <w:pPr>
      <w:ind w:left="3129"/>
    </w:pPr>
  </w:style>
  <w:style w:type="paragraph" w:customStyle="1" w:styleId="IASBNormalL2">
    <w:name w:val="IASB Normal L2"/>
    <w:basedOn w:val="IASBNormalL1"/>
    <w:rsid w:val="007B17C3"/>
    <w:pPr>
      <w:ind w:left="1564"/>
    </w:pPr>
  </w:style>
  <w:style w:type="paragraph" w:customStyle="1" w:styleId="IASBTOCQuartery">
    <w:name w:val="IASB TOC Quartery"/>
    <w:basedOn w:val="IASBTOCTertiary"/>
    <w:rsid w:val="007B17C3"/>
    <w:pPr>
      <w:ind w:left="851"/>
    </w:pPr>
  </w:style>
  <w:style w:type="paragraph" w:customStyle="1" w:styleId="IASBNoteTitle">
    <w:name w:val="IASB Note Title"/>
    <w:basedOn w:val="IASBTOCPrimary"/>
    <w:rsid w:val="007B17C3"/>
    <w:pPr>
      <w:jc w:val="center"/>
    </w:pPr>
    <w:rPr>
      <w:b w:val="0"/>
      <w:caps w:val="0"/>
      <w:sz w:val="24"/>
    </w:rPr>
  </w:style>
  <w:style w:type="paragraph" w:customStyle="1" w:styleId="IASBNormalL1P">
    <w:name w:val="IASB Normal L1P"/>
    <w:basedOn w:val="IASBNormalL1"/>
    <w:qFormat/>
    <w:rsid w:val="007B17C3"/>
    <w:pPr>
      <w:ind w:firstLine="0"/>
    </w:pPr>
  </w:style>
  <w:style w:type="paragraph" w:customStyle="1" w:styleId="IASBNormalL2P">
    <w:name w:val="IASB Normal L2P"/>
    <w:basedOn w:val="IASBNormalL1P"/>
    <w:qFormat/>
    <w:rsid w:val="007B17C3"/>
    <w:pPr>
      <w:ind w:left="1565"/>
    </w:pPr>
  </w:style>
  <w:style w:type="paragraph" w:customStyle="1" w:styleId="IASBNormalnparaC">
    <w:name w:val="IASB Normal nparaC"/>
    <w:basedOn w:val="IASBNormalnpara"/>
    <w:qFormat/>
    <w:rsid w:val="007B17C3"/>
    <w:pPr>
      <w:spacing w:before="0"/>
    </w:pPr>
    <w:rPr>
      <w:lang w:val="pt-BR" w:eastAsia="pt-BR"/>
    </w:rPr>
  </w:style>
  <w:style w:type="paragraph" w:customStyle="1" w:styleId="IASBEdupara">
    <w:name w:val="IASB Edu para"/>
    <w:basedOn w:val="IASBNormal"/>
    <w:qFormat/>
    <w:rsid w:val="007B17C3"/>
    <w:pPr>
      <w:tabs>
        <w:tab w:val="left" w:pos="4253"/>
      </w:tabs>
    </w:pPr>
    <w:rPr>
      <w:lang w:val="pt-BR" w:eastAsia="pt-BR"/>
    </w:rPr>
  </w:style>
  <w:style w:type="paragraph" w:customStyle="1" w:styleId="IASBTableBoldTNR">
    <w:name w:val="IASB Table Bold TNR"/>
    <w:basedOn w:val="Normal"/>
    <w:qFormat/>
    <w:rsid w:val="007B17C3"/>
    <w:pPr>
      <w:widowControl/>
      <w:autoSpaceDE/>
      <w:autoSpaceDN/>
      <w:adjustRightInd/>
      <w:spacing w:before="120"/>
    </w:pPr>
    <w:rPr>
      <w:rFonts w:ascii="Times New Roman" w:eastAsia="Times New Roman" w:hAnsi="Times New Roman"/>
      <w:b/>
      <w:sz w:val="19"/>
      <w:szCs w:val="20"/>
      <w:lang w:eastAsia="pt-BR"/>
    </w:rPr>
  </w:style>
  <w:style w:type="paragraph" w:customStyle="1" w:styleId="IASBTableHeaderTNR">
    <w:name w:val="IASB Table Header TNR"/>
    <w:basedOn w:val="Normal"/>
    <w:qFormat/>
    <w:rsid w:val="007B17C3"/>
    <w:pPr>
      <w:keepNext/>
      <w:widowControl/>
      <w:autoSpaceDE/>
      <w:autoSpaceDN/>
      <w:adjustRightInd/>
      <w:spacing w:before="120" w:after="200" w:line="276" w:lineRule="auto"/>
    </w:pPr>
    <w:rPr>
      <w:rFonts w:ascii="Times New Roman" w:eastAsia="Times New Roman" w:hAnsi="Times New Roman"/>
      <w:sz w:val="19"/>
      <w:szCs w:val="20"/>
      <w:lang w:eastAsia="pt-BR"/>
    </w:rPr>
  </w:style>
  <w:style w:type="paragraph" w:customStyle="1" w:styleId="IASBTableTNR">
    <w:name w:val="IASB Table TNR"/>
    <w:basedOn w:val="Normal"/>
    <w:qFormat/>
    <w:rsid w:val="007B17C3"/>
    <w:pPr>
      <w:widowControl/>
      <w:autoSpaceDE/>
      <w:autoSpaceDN/>
      <w:adjustRightInd/>
      <w:spacing w:before="120"/>
    </w:pPr>
    <w:rPr>
      <w:rFonts w:ascii="Times New Roman" w:eastAsia="Times New Roman" w:hAnsi="Times New Roman"/>
      <w:sz w:val="19"/>
      <w:szCs w:val="20"/>
      <w:lang w:eastAsia="pt-BR"/>
    </w:rPr>
  </w:style>
  <w:style w:type="paragraph" w:customStyle="1" w:styleId="IASBTableArial">
    <w:name w:val="IASB Table Arial"/>
    <w:basedOn w:val="Normal"/>
    <w:rsid w:val="007B17C3"/>
    <w:pPr>
      <w:widowControl/>
      <w:autoSpaceDE/>
      <w:autoSpaceDN/>
      <w:adjustRightInd/>
      <w:spacing w:before="120"/>
    </w:pPr>
    <w:rPr>
      <w:rFonts w:ascii="Arial" w:eastAsia="Times New Roman" w:hAnsi="Arial"/>
      <w:sz w:val="18"/>
      <w:szCs w:val="20"/>
      <w:lang w:eastAsia="pt-BR"/>
    </w:rPr>
  </w:style>
  <w:style w:type="paragraph" w:customStyle="1" w:styleId="IASBTableBoldArial">
    <w:name w:val="IASB Table Bold Arial"/>
    <w:basedOn w:val="IASBTableArial"/>
    <w:qFormat/>
    <w:rsid w:val="007B17C3"/>
    <w:rPr>
      <w:b/>
    </w:rPr>
  </w:style>
  <w:style w:type="paragraph" w:customStyle="1" w:styleId="IASBTableHeaderArial">
    <w:name w:val="IASB Table Header Arial"/>
    <w:basedOn w:val="IASBTableArial"/>
    <w:qFormat/>
    <w:rsid w:val="007B17C3"/>
    <w:pPr>
      <w:keepNext/>
      <w:spacing w:after="200" w:line="276" w:lineRule="auto"/>
    </w:pPr>
  </w:style>
  <w:style w:type="character" w:customStyle="1" w:styleId="apple-converted-space">
    <w:name w:val="apple-converted-space"/>
    <w:basedOn w:val="Fontepargpadro"/>
    <w:rsid w:val="007B17C3"/>
  </w:style>
  <w:style w:type="character" w:customStyle="1" w:styleId="definition">
    <w:name w:val="definition"/>
    <w:basedOn w:val="Fontepargpadro"/>
    <w:rsid w:val="007B17C3"/>
  </w:style>
  <w:style w:type="character" w:customStyle="1" w:styleId="italic">
    <w:name w:val="italic"/>
    <w:basedOn w:val="Fontepargpadro"/>
    <w:rsid w:val="007B17C3"/>
  </w:style>
  <w:style w:type="character" w:styleId="HiperlinkVisitado">
    <w:name w:val="FollowedHyperlink"/>
    <w:uiPriority w:val="99"/>
    <w:unhideWhenUsed/>
    <w:rsid w:val="007B17C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0933">
      <w:bodyDiv w:val="1"/>
      <w:marLeft w:val="0"/>
      <w:marRight w:val="0"/>
      <w:marTop w:val="0"/>
      <w:marBottom w:val="0"/>
      <w:divBdr>
        <w:top w:val="none" w:sz="0" w:space="0" w:color="auto"/>
        <w:left w:val="none" w:sz="0" w:space="0" w:color="auto"/>
        <w:bottom w:val="none" w:sz="0" w:space="0" w:color="auto"/>
        <w:right w:val="none" w:sz="0" w:space="0" w:color="auto"/>
      </w:divBdr>
    </w:div>
    <w:div w:id="57825898">
      <w:bodyDiv w:val="1"/>
      <w:marLeft w:val="0"/>
      <w:marRight w:val="0"/>
      <w:marTop w:val="0"/>
      <w:marBottom w:val="0"/>
      <w:divBdr>
        <w:top w:val="none" w:sz="0" w:space="0" w:color="auto"/>
        <w:left w:val="none" w:sz="0" w:space="0" w:color="auto"/>
        <w:bottom w:val="none" w:sz="0" w:space="0" w:color="auto"/>
        <w:right w:val="none" w:sz="0" w:space="0" w:color="auto"/>
      </w:divBdr>
    </w:div>
    <w:div w:id="77529839">
      <w:bodyDiv w:val="1"/>
      <w:marLeft w:val="0"/>
      <w:marRight w:val="0"/>
      <w:marTop w:val="0"/>
      <w:marBottom w:val="0"/>
      <w:divBdr>
        <w:top w:val="none" w:sz="0" w:space="0" w:color="auto"/>
        <w:left w:val="none" w:sz="0" w:space="0" w:color="auto"/>
        <w:bottom w:val="none" w:sz="0" w:space="0" w:color="auto"/>
        <w:right w:val="none" w:sz="0" w:space="0" w:color="auto"/>
      </w:divBdr>
    </w:div>
    <w:div w:id="104465901">
      <w:bodyDiv w:val="1"/>
      <w:marLeft w:val="0"/>
      <w:marRight w:val="0"/>
      <w:marTop w:val="0"/>
      <w:marBottom w:val="0"/>
      <w:divBdr>
        <w:top w:val="none" w:sz="0" w:space="0" w:color="auto"/>
        <w:left w:val="none" w:sz="0" w:space="0" w:color="auto"/>
        <w:bottom w:val="none" w:sz="0" w:space="0" w:color="auto"/>
        <w:right w:val="none" w:sz="0" w:space="0" w:color="auto"/>
      </w:divBdr>
    </w:div>
    <w:div w:id="139424469">
      <w:bodyDiv w:val="1"/>
      <w:marLeft w:val="0"/>
      <w:marRight w:val="0"/>
      <w:marTop w:val="0"/>
      <w:marBottom w:val="0"/>
      <w:divBdr>
        <w:top w:val="none" w:sz="0" w:space="0" w:color="auto"/>
        <w:left w:val="none" w:sz="0" w:space="0" w:color="auto"/>
        <w:bottom w:val="none" w:sz="0" w:space="0" w:color="auto"/>
        <w:right w:val="none" w:sz="0" w:space="0" w:color="auto"/>
      </w:divBdr>
    </w:div>
    <w:div w:id="163084406">
      <w:bodyDiv w:val="1"/>
      <w:marLeft w:val="0"/>
      <w:marRight w:val="0"/>
      <w:marTop w:val="0"/>
      <w:marBottom w:val="0"/>
      <w:divBdr>
        <w:top w:val="none" w:sz="0" w:space="0" w:color="auto"/>
        <w:left w:val="none" w:sz="0" w:space="0" w:color="auto"/>
        <w:bottom w:val="none" w:sz="0" w:space="0" w:color="auto"/>
        <w:right w:val="none" w:sz="0" w:space="0" w:color="auto"/>
      </w:divBdr>
    </w:div>
    <w:div w:id="167061965">
      <w:bodyDiv w:val="1"/>
      <w:marLeft w:val="0"/>
      <w:marRight w:val="0"/>
      <w:marTop w:val="0"/>
      <w:marBottom w:val="0"/>
      <w:divBdr>
        <w:top w:val="none" w:sz="0" w:space="0" w:color="auto"/>
        <w:left w:val="none" w:sz="0" w:space="0" w:color="auto"/>
        <w:bottom w:val="none" w:sz="0" w:space="0" w:color="auto"/>
        <w:right w:val="none" w:sz="0" w:space="0" w:color="auto"/>
      </w:divBdr>
    </w:div>
    <w:div w:id="174423611">
      <w:bodyDiv w:val="1"/>
      <w:marLeft w:val="0"/>
      <w:marRight w:val="0"/>
      <w:marTop w:val="0"/>
      <w:marBottom w:val="0"/>
      <w:divBdr>
        <w:top w:val="none" w:sz="0" w:space="0" w:color="auto"/>
        <w:left w:val="none" w:sz="0" w:space="0" w:color="auto"/>
        <w:bottom w:val="none" w:sz="0" w:space="0" w:color="auto"/>
        <w:right w:val="none" w:sz="0" w:space="0" w:color="auto"/>
      </w:divBdr>
    </w:div>
    <w:div w:id="179860074">
      <w:bodyDiv w:val="1"/>
      <w:marLeft w:val="0"/>
      <w:marRight w:val="0"/>
      <w:marTop w:val="0"/>
      <w:marBottom w:val="0"/>
      <w:divBdr>
        <w:top w:val="none" w:sz="0" w:space="0" w:color="auto"/>
        <w:left w:val="none" w:sz="0" w:space="0" w:color="auto"/>
        <w:bottom w:val="none" w:sz="0" w:space="0" w:color="auto"/>
        <w:right w:val="none" w:sz="0" w:space="0" w:color="auto"/>
      </w:divBdr>
    </w:div>
    <w:div w:id="213352120">
      <w:bodyDiv w:val="1"/>
      <w:marLeft w:val="0"/>
      <w:marRight w:val="0"/>
      <w:marTop w:val="0"/>
      <w:marBottom w:val="0"/>
      <w:divBdr>
        <w:top w:val="none" w:sz="0" w:space="0" w:color="auto"/>
        <w:left w:val="none" w:sz="0" w:space="0" w:color="auto"/>
        <w:bottom w:val="none" w:sz="0" w:space="0" w:color="auto"/>
        <w:right w:val="none" w:sz="0" w:space="0" w:color="auto"/>
      </w:divBdr>
    </w:div>
    <w:div w:id="239683891">
      <w:bodyDiv w:val="1"/>
      <w:marLeft w:val="0"/>
      <w:marRight w:val="0"/>
      <w:marTop w:val="0"/>
      <w:marBottom w:val="0"/>
      <w:divBdr>
        <w:top w:val="none" w:sz="0" w:space="0" w:color="auto"/>
        <w:left w:val="none" w:sz="0" w:space="0" w:color="auto"/>
        <w:bottom w:val="none" w:sz="0" w:space="0" w:color="auto"/>
        <w:right w:val="none" w:sz="0" w:space="0" w:color="auto"/>
      </w:divBdr>
    </w:div>
    <w:div w:id="333845013">
      <w:bodyDiv w:val="1"/>
      <w:marLeft w:val="0"/>
      <w:marRight w:val="0"/>
      <w:marTop w:val="0"/>
      <w:marBottom w:val="0"/>
      <w:divBdr>
        <w:top w:val="none" w:sz="0" w:space="0" w:color="auto"/>
        <w:left w:val="none" w:sz="0" w:space="0" w:color="auto"/>
        <w:bottom w:val="none" w:sz="0" w:space="0" w:color="auto"/>
        <w:right w:val="none" w:sz="0" w:space="0" w:color="auto"/>
      </w:divBdr>
    </w:div>
    <w:div w:id="380910510">
      <w:bodyDiv w:val="1"/>
      <w:marLeft w:val="0"/>
      <w:marRight w:val="0"/>
      <w:marTop w:val="0"/>
      <w:marBottom w:val="0"/>
      <w:divBdr>
        <w:top w:val="none" w:sz="0" w:space="0" w:color="auto"/>
        <w:left w:val="none" w:sz="0" w:space="0" w:color="auto"/>
        <w:bottom w:val="none" w:sz="0" w:space="0" w:color="auto"/>
        <w:right w:val="none" w:sz="0" w:space="0" w:color="auto"/>
      </w:divBdr>
    </w:div>
    <w:div w:id="383605332">
      <w:bodyDiv w:val="1"/>
      <w:marLeft w:val="0"/>
      <w:marRight w:val="0"/>
      <w:marTop w:val="0"/>
      <w:marBottom w:val="0"/>
      <w:divBdr>
        <w:top w:val="none" w:sz="0" w:space="0" w:color="auto"/>
        <w:left w:val="none" w:sz="0" w:space="0" w:color="auto"/>
        <w:bottom w:val="none" w:sz="0" w:space="0" w:color="auto"/>
        <w:right w:val="none" w:sz="0" w:space="0" w:color="auto"/>
      </w:divBdr>
    </w:div>
    <w:div w:id="420024702">
      <w:bodyDiv w:val="1"/>
      <w:marLeft w:val="0"/>
      <w:marRight w:val="0"/>
      <w:marTop w:val="0"/>
      <w:marBottom w:val="0"/>
      <w:divBdr>
        <w:top w:val="none" w:sz="0" w:space="0" w:color="auto"/>
        <w:left w:val="none" w:sz="0" w:space="0" w:color="auto"/>
        <w:bottom w:val="none" w:sz="0" w:space="0" w:color="auto"/>
        <w:right w:val="none" w:sz="0" w:space="0" w:color="auto"/>
      </w:divBdr>
    </w:div>
    <w:div w:id="422801782">
      <w:bodyDiv w:val="1"/>
      <w:marLeft w:val="0"/>
      <w:marRight w:val="0"/>
      <w:marTop w:val="0"/>
      <w:marBottom w:val="0"/>
      <w:divBdr>
        <w:top w:val="none" w:sz="0" w:space="0" w:color="auto"/>
        <w:left w:val="none" w:sz="0" w:space="0" w:color="auto"/>
        <w:bottom w:val="none" w:sz="0" w:space="0" w:color="auto"/>
        <w:right w:val="none" w:sz="0" w:space="0" w:color="auto"/>
      </w:divBdr>
    </w:div>
    <w:div w:id="431972681">
      <w:bodyDiv w:val="1"/>
      <w:marLeft w:val="0"/>
      <w:marRight w:val="0"/>
      <w:marTop w:val="0"/>
      <w:marBottom w:val="0"/>
      <w:divBdr>
        <w:top w:val="none" w:sz="0" w:space="0" w:color="auto"/>
        <w:left w:val="none" w:sz="0" w:space="0" w:color="auto"/>
        <w:bottom w:val="none" w:sz="0" w:space="0" w:color="auto"/>
        <w:right w:val="none" w:sz="0" w:space="0" w:color="auto"/>
      </w:divBdr>
    </w:div>
    <w:div w:id="445269886">
      <w:bodyDiv w:val="1"/>
      <w:marLeft w:val="0"/>
      <w:marRight w:val="0"/>
      <w:marTop w:val="0"/>
      <w:marBottom w:val="0"/>
      <w:divBdr>
        <w:top w:val="none" w:sz="0" w:space="0" w:color="auto"/>
        <w:left w:val="none" w:sz="0" w:space="0" w:color="auto"/>
        <w:bottom w:val="none" w:sz="0" w:space="0" w:color="auto"/>
        <w:right w:val="none" w:sz="0" w:space="0" w:color="auto"/>
      </w:divBdr>
    </w:div>
    <w:div w:id="495272139">
      <w:bodyDiv w:val="1"/>
      <w:marLeft w:val="0"/>
      <w:marRight w:val="0"/>
      <w:marTop w:val="0"/>
      <w:marBottom w:val="0"/>
      <w:divBdr>
        <w:top w:val="none" w:sz="0" w:space="0" w:color="auto"/>
        <w:left w:val="none" w:sz="0" w:space="0" w:color="auto"/>
        <w:bottom w:val="none" w:sz="0" w:space="0" w:color="auto"/>
        <w:right w:val="none" w:sz="0" w:space="0" w:color="auto"/>
      </w:divBdr>
    </w:div>
    <w:div w:id="506214637">
      <w:bodyDiv w:val="1"/>
      <w:marLeft w:val="0"/>
      <w:marRight w:val="0"/>
      <w:marTop w:val="0"/>
      <w:marBottom w:val="0"/>
      <w:divBdr>
        <w:top w:val="none" w:sz="0" w:space="0" w:color="auto"/>
        <w:left w:val="none" w:sz="0" w:space="0" w:color="auto"/>
        <w:bottom w:val="none" w:sz="0" w:space="0" w:color="auto"/>
        <w:right w:val="none" w:sz="0" w:space="0" w:color="auto"/>
      </w:divBdr>
    </w:div>
    <w:div w:id="525555770">
      <w:bodyDiv w:val="1"/>
      <w:marLeft w:val="0"/>
      <w:marRight w:val="0"/>
      <w:marTop w:val="0"/>
      <w:marBottom w:val="0"/>
      <w:divBdr>
        <w:top w:val="none" w:sz="0" w:space="0" w:color="auto"/>
        <w:left w:val="none" w:sz="0" w:space="0" w:color="auto"/>
        <w:bottom w:val="none" w:sz="0" w:space="0" w:color="auto"/>
        <w:right w:val="none" w:sz="0" w:space="0" w:color="auto"/>
      </w:divBdr>
    </w:div>
    <w:div w:id="555166174">
      <w:bodyDiv w:val="1"/>
      <w:marLeft w:val="0"/>
      <w:marRight w:val="0"/>
      <w:marTop w:val="0"/>
      <w:marBottom w:val="0"/>
      <w:divBdr>
        <w:top w:val="none" w:sz="0" w:space="0" w:color="auto"/>
        <w:left w:val="none" w:sz="0" w:space="0" w:color="auto"/>
        <w:bottom w:val="none" w:sz="0" w:space="0" w:color="auto"/>
        <w:right w:val="none" w:sz="0" w:space="0" w:color="auto"/>
      </w:divBdr>
    </w:div>
    <w:div w:id="578901489">
      <w:bodyDiv w:val="1"/>
      <w:marLeft w:val="0"/>
      <w:marRight w:val="0"/>
      <w:marTop w:val="0"/>
      <w:marBottom w:val="0"/>
      <w:divBdr>
        <w:top w:val="none" w:sz="0" w:space="0" w:color="auto"/>
        <w:left w:val="none" w:sz="0" w:space="0" w:color="auto"/>
        <w:bottom w:val="none" w:sz="0" w:space="0" w:color="auto"/>
        <w:right w:val="none" w:sz="0" w:space="0" w:color="auto"/>
      </w:divBdr>
    </w:div>
    <w:div w:id="640887603">
      <w:bodyDiv w:val="1"/>
      <w:marLeft w:val="0"/>
      <w:marRight w:val="0"/>
      <w:marTop w:val="0"/>
      <w:marBottom w:val="0"/>
      <w:divBdr>
        <w:top w:val="none" w:sz="0" w:space="0" w:color="auto"/>
        <w:left w:val="none" w:sz="0" w:space="0" w:color="auto"/>
        <w:bottom w:val="none" w:sz="0" w:space="0" w:color="auto"/>
        <w:right w:val="none" w:sz="0" w:space="0" w:color="auto"/>
      </w:divBdr>
    </w:div>
    <w:div w:id="646712636">
      <w:bodyDiv w:val="1"/>
      <w:marLeft w:val="0"/>
      <w:marRight w:val="0"/>
      <w:marTop w:val="0"/>
      <w:marBottom w:val="0"/>
      <w:divBdr>
        <w:top w:val="none" w:sz="0" w:space="0" w:color="auto"/>
        <w:left w:val="none" w:sz="0" w:space="0" w:color="auto"/>
        <w:bottom w:val="none" w:sz="0" w:space="0" w:color="auto"/>
        <w:right w:val="none" w:sz="0" w:space="0" w:color="auto"/>
      </w:divBdr>
    </w:div>
    <w:div w:id="649134747">
      <w:bodyDiv w:val="1"/>
      <w:marLeft w:val="0"/>
      <w:marRight w:val="0"/>
      <w:marTop w:val="0"/>
      <w:marBottom w:val="0"/>
      <w:divBdr>
        <w:top w:val="none" w:sz="0" w:space="0" w:color="auto"/>
        <w:left w:val="none" w:sz="0" w:space="0" w:color="auto"/>
        <w:bottom w:val="none" w:sz="0" w:space="0" w:color="auto"/>
        <w:right w:val="none" w:sz="0" w:space="0" w:color="auto"/>
      </w:divBdr>
    </w:div>
    <w:div w:id="660500157">
      <w:bodyDiv w:val="1"/>
      <w:marLeft w:val="0"/>
      <w:marRight w:val="0"/>
      <w:marTop w:val="0"/>
      <w:marBottom w:val="0"/>
      <w:divBdr>
        <w:top w:val="none" w:sz="0" w:space="0" w:color="auto"/>
        <w:left w:val="none" w:sz="0" w:space="0" w:color="auto"/>
        <w:bottom w:val="none" w:sz="0" w:space="0" w:color="auto"/>
        <w:right w:val="none" w:sz="0" w:space="0" w:color="auto"/>
      </w:divBdr>
    </w:div>
    <w:div w:id="703794137">
      <w:bodyDiv w:val="1"/>
      <w:marLeft w:val="0"/>
      <w:marRight w:val="0"/>
      <w:marTop w:val="0"/>
      <w:marBottom w:val="0"/>
      <w:divBdr>
        <w:top w:val="none" w:sz="0" w:space="0" w:color="auto"/>
        <w:left w:val="none" w:sz="0" w:space="0" w:color="auto"/>
        <w:bottom w:val="none" w:sz="0" w:space="0" w:color="auto"/>
        <w:right w:val="none" w:sz="0" w:space="0" w:color="auto"/>
      </w:divBdr>
    </w:div>
    <w:div w:id="728573913">
      <w:bodyDiv w:val="1"/>
      <w:marLeft w:val="0"/>
      <w:marRight w:val="0"/>
      <w:marTop w:val="0"/>
      <w:marBottom w:val="0"/>
      <w:divBdr>
        <w:top w:val="none" w:sz="0" w:space="0" w:color="auto"/>
        <w:left w:val="none" w:sz="0" w:space="0" w:color="auto"/>
        <w:bottom w:val="none" w:sz="0" w:space="0" w:color="auto"/>
        <w:right w:val="none" w:sz="0" w:space="0" w:color="auto"/>
      </w:divBdr>
    </w:div>
    <w:div w:id="741876335">
      <w:bodyDiv w:val="1"/>
      <w:marLeft w:val="0"/>
      <w:marRight w:val="0"/>
      <w:marTop w:val="0"/>
      <w:marBottom w:val="0"/>
      <w:divBdr>
        <w:top w:val="none" w:sz="0" w:space="0" w:color="auto"/>
        <w:left w:val="none" w:sz="0" w:space="0" w:color="auto"/>
        <w:bottom w:val="none" w:sz="0" w:space="0" w:color="auto"/>
        <w:right w:val="none" w:sz="0" w:space="0" w:color="auto"/>
      </w:divBdr>
    </w:div>
    <w:div w:id="783579482">
      <w:bodyDiv w:val="1"/>
      <w:marLeft w:val="0"/>
      <w:marRight w:val="0"/>
      <w:marTop w:val="0"/>
      <w:marBottom w:val="0"/>
      <w:divBdr>
        <w:top w:val="none" w:sz="0" w:space="0" w:color="auto"/>
        <w:left w:val="none" w:sz="0" w:space="0" w:color="auto"/>
        <w:bottom w:val="none" w:sz="0" w:space="0" w:color="auto"/>
        <w:right w:val="none" w:sz="0" w:space="0" w:color="auto"/>
      </w:divBdr>
    </w:div>
    <w:div w:id="790441064">
      <w:bodyDiv w:val="1"/>
      <w:marLeft w:val="0"/>
      <w:marRight w:val="0"/>
      <w:marTop w:val="0"/>
      <w:marBottom w:val="0"/>
      <w:divBdr>
        <w:top w:val="none" w:sz="0" w:space="0" w:color="auto"/>
        <w:left w:val="none" w:sz="0" w:space="0" w:color="auto"/>
        <w:bottom w:val="none" w:sz="0" w:space="0" w:color="auto"/>
        <w:right w:val="none" w:sz="0" w:space="0" w:color="auto"/>
      </w:divBdr>
    </w:div>
    <w:div w:id="819078124">
      <w:bodyDiv w:val="1"/>
      <w:marLeft w:val="0"/>
      <w:marRight w:val="0"/>
      <w:marTop w:val="0"/>
      <w:marBottom w:val="0"/>
      <w:divBdr>
        <w:top w:val="none" w:sz="0" w:space="0" w:color="auto"/>
        <w:left w:val="none" w:sz="0" w:space="0" w:color="auto"/>
        <w:bottom w:val="none" w:sz="0" w:space="0" w:color="auto"/>
        <w:right w:val="none" w:sz="0" w:space="0" w:color="auto"/>
      </w:divBdr>
    </w:div>
    <w:div w:id="825635670">
      <w:bodyDiv w:val="1"/>
      <w:marLeft w:val="0"/>
      <w:marRight w:val="0"/>
      <w:marTop w:val="0"/>
      <w:marBottom w:val="0"/>
      <w:divBdr>
        <w:top w:val="none" w:sz="0" w:space="0" w:color="auto"/>
        <w:left w:val="none" w:sz="0" w:space="0" w:color="auto"/>
        <w:bottom w:val="none" w:sz="0" w:space="0" w:color="auto"/>
        <w:right w:val="none" w:sz="0" w:space="0" w:color="auto"/>
      </w:divBdr>
    </w:div>
    <w:div w:id="829248840">
      <w:bodyDiv w:val="1"/>
      <w:marLeft w:val="0"/>
      <w:marRight w:val="0"/>
      <w:marTop w:val="0"/>
      <w:marBottom w:val="0"/>
      <w:divBdr>
        <w:top w:val="none" w:sz="0" w:space="0" w:color="auto"/>
        <w:left w:val="none" w:sz="0" w:space="0" w:color="auto"/>
        <w:bottom w:val="none" w:sz="0" w:space="0" w:color="auto"/>
        <w:right w:val="none" w:sz="0" w:space="0" w:color="auto"/>
      </w:divBdr>
    </w:div>
    <w:div w:id="840506955">
      <w:bodyDiv w:val="1"/>
      <w:marLeft w:val="0"/>
      <w:marRight w:val="0"/>
      <w:marTop w:val="0"/>
      <w:marBottom w:val="0"/>
      <w:divBdr>
        <w:top w:val="none" w:sz="0" w:space="0" w:color="auto"/>
        <w:left w:val="none" w:sz="0" w:space="0" w:color="auto"/>
        <w:bottom w:val="none" w:sz="0" w:space="0" w:color="auto"/>
        <w:right w:val="none" w:sz="0" w:space="0" w:color="auto"/>
      </w:divBdr>
    </w:div>
    <w:div w:id="843974517">
      <w:bodyDiv w:val="1"/>
      <w:marLeft w:val="0"/>
      <w:marRight w:val="0"/>
      <w:marTop w:val="0"/>
      <w:marBottom w:val="0"/>
      <w:divBdr>
        <w:top w:val="none" w:sz="0" w:space="0" w:color="auto"/>
        <w:left w:val="none" w:sz="0" w:space="0" w:color="auto"/>
        <w:bottom w:val="none" w:sz="0" w:space="0" w:color="auto"/>
        <w:right w:val="none" w:sz="0" w:space="0" w:color="auto"/>
      </w:divBdr>
    </w:div>
    <w:div w:id="854029456">
      <w:bodyDiv w:val="1"/>
      <w:marLeft w:val="0"/>
      <w:marRight w:val="0"/>
      <w:marTop w:val="0"/>
      <w:marBottom w:val="0"/>
      <w:divBdr>
        <w:top w:val="none" w:sz="0" w:space="0" w:color="auto"/>
        <w:left w:val="none" w:sz="0" w:space="0" w:color="auto"/>
        <w:bottom w:val="none" w:sz="0" w:space="0" w:color="auto"/>
        <w:right w:val="none" w:sz="0" w:space="0" w:color="auto"/>
      </w:divBdr>
    </w:div>
    <w:div w:id="863323331">
      <w:bodyDiv w:val="1"/>
      <w:marLeft w:val="0"/>
      <w:marRight w:val="0"/>
      <w:marTop w:val="0"/>
      <w:marBottom w:val="0"/>
      <w:divBdr>
        <w:top w:val="none" w:sz="0" w:space="0" w:color="auto"/>
        <w:left w:val="none" w:sz="0" w:space="0" w:color="auto"/>
        <w:bottom w:val="none" w:sz="0" w:space="0" w:color="auto"/>
        <w:right w:val="none" w:sz="0" w:space="0" w:color="auto"/>
      </w:divBdr>
    </w:div>
    <w:div w:id="888419635">
      <w:bodyDiv w:val="1"/>
      <w:marLeft w:val="0"/>
      <w:marRight w:val="0"/>
      <w:marTop w:val="0"/>
      <w:marBottom w:val="0"/>
      <w:divBdr>
        <w:top w:val="none" w:sz="0" w:space="0" w:color="auto"/>
        <w:left w:val="none" w:sz="0" w:space="0" w:color="auto"/>
        <w:bottom w:val="none" w:sz="0" w:space="0" w:color="auto"/>
        <w:right w:val="none" w:sz="0" w:space="0" w:color="auto"/>
      </w:divBdr>
    </w:div>
    <w:div w:id="899170713">
      <w:bodyDiv w:val="1"/>
      <w:marLeft w:val="0"/>
      <w:marRight w:val="0"/>
      <w:marTop w:val="0"/>
      <w:marBottom w:val="0"/>
      <w:divBdr>
        <w:top w:val="none" w:sz="0" w:space="0" w:color="auto"/>
        <w:left w:val="none" w:sz="0" w:space="0" w:color="auto"/>
        <w:bottom w:val="none" w:sz="0" w:space="0" w:color="auto"/>
        <w:right w:val="none" w:sz="0" w:space="0" w:color="auto"/>
      </w:divBdr>
    </w:div>
    <w:div w:id="912545588">
      <w:bodyDiv w:val="1"/>
      <w:marLeft w:val="0"/>
      <w:marRight w:val="0"/>
      <w:marTop w:val="0"/>
      <w:marBottom w:val="0"/>
      <w:divBdr>
        <w:top w:val="none" w:sz="0" w:space="0" w:color="auto"/>
        <w:left w:val="none" w:sz="0" w:space="0" w:color="auto"/>
        <w:bottom w:val="none" w:sz="0" w:space="0" w:color="auto"/>
        <w:right w:val="none" w:sz="0" w:space="0" w:color="auto"/>
      </w:divBdr>
    </w:div>
    <w:div w:id="913322937">
      <w:bodyDiv w:val="1"/>
      <w:marLeft w:val="0"/>
      <w:marRight w:val="0"/>
      <w:marTop w:val="0"/>
      <w:marBottom w:val="0"/>
      <w:divBdr>
        <w:top w:val="none" w:sz="0" w:space="0" w:color="auto"/>
        <w:left w:val="none" w:sz="0" w:space="0" w:color="auto"/>
        <w:bottom w:val="none" w:sz="0" w:space="0" w:color="auto"/>
        <w:right w:val="none" w:sz="0" w:space="0" w:color="auto"/>
      </w:divBdr>
    </w:div>
    <w:div w:id="956260544">
      <w:bodyDiv w:val="1"/>
      <w:marLeft w:val="0"/>
      <w:marRight w:val="0"/>
      <w:marTop w:val="0"/>
      <w:marBottom w:val="0"/>
      <w:divBdr>
        <w:top w:val="none" w:sz="0" w:space="0" w:color="auto"/>
        <w:left w:val="none" w:sz="0" w:space="0" w:color="auto"/>
        <w:bottom w:val="none" w:sz="0" w:space="0" w:color="auto"/>
        <w:right w:val="none" w:sz="0" w:space="0" w:color="auto"/>
      </w:divBdr>
    </w:div>
    <w:div w:id="977226010">
      <w:bodyDiv w:val="1"/>
      <w:marLeft w:val="0"/>
      <w:marRight w:val="0"/>
      <w:marTop w:val="0"/>
      <w:marBottom w:val="0"/>
      <w:divBdr>
        <w:top w:val="none" w:sz="0" w:space="0" w:color="auto"/>
        <w:left w:val="none" w:sz="0" w:space="0" w:color="auto"/>
        <w:bottom w:val="none" w:sz="0" w:space="0" w:color="auto"/>
        <w:right w:val="none" w:sz="0" w:space="0" w:color="auto"/>
      </w:divBdr>
    </w:div>
    <w:div w:id="980844004">
      <w:bodyDiv w:val="1"/>
      <w:marLeft w:val="0"/>
      <w:marRight w:val="0"/>
      <w:marTop w:val="0"/>
      <w:marBottom w:val="0"/>
      <w:divBdr>
        <w:top w:val="none" w:sz="0" w:space="0" w:color="auto"/>
        <w:left w:val="none" w:sz="0" w:space="0" w:color="auto"/>
        <w:bottom w:val="none" w:sz="0" w:space="0" w:color="auto"/>
        <w:right w:val="none" w:sz="0" w:space="0" w:color="auto"/>
      </w:divBdr>
    </w:div>
    <w:div w:id="989212653">
      <w:bodyDiv w:val="1"/>
      <w:marLeft w:val="0"/>
      <w:marRight w:val="0"/>
      <w:marTop w:val="0"/>
      <w:marBottom w:val="0"/>
      <w:divBdr>
        <w:top w:val="none" w:sz="0" w:space="0" w:color="auto"/>
        <w:left w:val="none" w:sz="0" w:space="0" w:color="auto"/>
        <w:bottom w:val="none" w:sz="0" w:space="0" w:color="auto"/>
        <w:right w:val="none" w:sz="0" w:space="0" w:color="auto"/>
      </w:divBdr>
    </w:div>
    <w:div w:id="997735155">
      <w:bodyDiv w:val="1"/>
      <w:marLeft w:val="0"/>
      <w:marRight w:val="0"/>
      <w:marTop w:val="0"/>
      <w:marBottom w:val="0"/>
      <w:divBdr>
        <w:top w:val="none" w:sz="0" w:space="0" w:color="auto"/>
        <w:left w:val="none" w:sz="0" w:space="0" w:color="auto"/>
        <w:bottom w:val="none" w:sz="0" w:space="0" w:color="auto"/>
        <w:right w:val="none" w:sz="0" w:space="0" w:color="auto"/>
      </w:divBdr>
    </w:div>
    <w:div w:id="1126781187">
      <w:bodyDiv w:val="1"/>
      <w:marLeft w:val="0"/>
      <w:marRight w:val="0"/>
      <w:marTop w:val="0"/>
      <w:marBottom w:val="0"/>
      <w:divBdr>
        <w:top w:val="none" w:sz="0" w:space="0" w:color="auto"/>
        <w:left w:val="none" w:sz="0" w:space="0" w:color="auto"/>
        <w:bottom w:val="none" w:sz="0" w:space="0" w:color="auto"/>
        <w:right w:val="none" w:sz="0" w:space="0" w:color="auto"/>
      </w:divBdr>
    </w:div>
    <w:div w:id="1183544699">
      <w:bodyDiv w:val="1"/>
      <w:marLeft w:val="0"/>
      <w:marRight w:val="0"/>
      <w:marTop w:val="0"/>
      <w:marBottom w:val="0"/>
      <w:divBdr>
        <w:top w:val="none" w:sz="0" w:space="0" w:color="auto"/>
        <w:left w:val="none" w:sz="0" w:space="0" w:color="auto"/>
        <w:bottom w:val="none" w:sz="0" w:space="0" w:color="auto"/>
        <w:right w:val="none" w:sz="0" w:space="0" w:color="auto"/>
      </w:divBdr>
    </w:div>
    <w:div w:id="1218594296">
      <w:bodyDiv w:val="1"/>
      <w:marLeft w:val="0"/>
      <w:marRight w:val="0"/>
      <w:marTop w:val="0"/>
      <w:marBottom w:val="0"/>
      <w:divBdr>
        <w:top w:val="none" w:sz="0" w:space="0" w:color="auto"/>
        <w:left w:val="none" w:sz="0" w:space="0" w:color="auto"/>
        <w:bottom w:val="none" w:sz="0" w:space="0" w:color="auto"/>
        <w:right w:val="none" w:sz="0" w:space="0" w:color="auto"/>
      </w:divBdr>
    </w:div>
    <w:div w:id="1222061529">
      <w:bodyDiv w:val="1"/>
      <w:marLeft w:val="0"/>
      <w:marRight w:val="0"/>
      <w:marTop w:val="0"/>
      <w:marBottom w:val="0"/>
      <w:divBdr>
        <w:top w:val="none" w:sz="0" w:space="0" w:color="auto"/>
        <w:left w:val="none" w:sz="0" w:space="0" w:color="auto"/>
        <w:bottom w:val="none" w:sz="0" w:space="0" w:color="auto"/>
        <w:right w:val="none" w:sz="0" w:space="0" w:color="auto"/>
      </w:divBdr>
    </w:div>
    <w:div w:id="1228108675">
      <w:bodyDiv w:val="1"/>
      <w:marLeft w:val="0"/>
      <w:marRight w:val="0"/>
      <w:marTop w:val="0"/>
      <w:marBottom w:val="0"/>
      <w:divBdr>
        <w:top w:val="none" w:sz="0" w:space="0" w:color="auto"/>
        <w:left w:val="none" w:sz="0" w:space="0" w:color="auto"/>
        <w:bottom w:val="none" w:sz="0" w:space="0" w:color="auto"/>
        <w:right w:val="none" w:sz="0" w:space="0" w:color="auto"/>
      </w:divBdr>
    </w:div>
    <w:div w:id="1238321688">
      <w:bodyDiv w:val="1"/>
      <w:marLeft w:val="0"/>
      <w:marRight w:val="0"/>
      <w:marTop w:val="0"/>
      <w:marBottom w:val="0"/>
      <w:divBdr>
        <w:top w:val="none" w:sz="0" w:space="0" w:color="auto"/>
        <w:left w:val="none" w:sz="0" w:space="0" w:color="auto"/>
        <w:bottom w:val="none" w:sz="0" w:space="0" w:color="auto"/>
        <w:right w:val="none" w:sz="0" w:space="0" w:color="auto"/>
      </w:divBdr>
    </w:div>
    <w:div w:id="1255700282">
      <w:bodyDiv w:val="1"/>
      <w:marLeft w:val="0"/>
      <w:marRight w:val="0"/>
      <w:marTop w:val="0"/>
      <w:marBottom w:val="0"/>
      <w:divBdr>
        <w:top w:val="none" w:sz="0" w:space="0" w:color="auto"/>
        <w:left w:val="none" w:sz="0" w:space="0" w:color="auto"/>
        <w:bottom w:val="none" w:sz="0" w:space="0" w:color="auto"/>
        <w:right w:val="none" w:sz="0" w:space="0" w:color="auto"/>
      </w:divBdr>
    </w:div>
    <w:div w:id="1262494606">
      <w:bodyDiv w:val="1"/>
      <w:marLeft w:val="0"/>
      <w:marRight w:val="0"/>
      <w:marTop w:val="0"/>
      <w:marBottom w:val="0"/>
      <w:divBdr>
        <w:top w:val="none" w:sz="0" w:space="0" w:color="auto"/>
        <w:left w:val="none" w:sz="0" w:space="0" w:color="auto"/>
        <w:bottom w:val="none" w:sz="0" w:space="0" w:color="auto"/>
        <w:right w:val="none" w:sz="0" w:space="0" w:color="auto"/>
      </w:divBdr>
    </w:div>
    <w:div w:id="1289631641">
      <w:bodyDiv w:val="1"/>
      <w:marLeft w:val="0"/>
      <w:marRight w:val="0"/>
      <w:marTop w:val="0"/>
      <w:marBottom w:val="0"/>
      <w:divBdr>
        <w:top w:val="none" w:sz="0" w:space="0" w:color="auto"/>
        <w:left w:val="none" w:sz="0" w:space="0" w:color="auto"/>
        <w:bottom w:val="none" w:sz="0" w:space="0" w:color="auto"/>
        <w:right w:val="none" w:sz="0" w:space="0" w:color="auto"/>
      </w:divBdr>
    </w:div>
    <w:div w:id="1291590292">
      <w:bodyDiv w:val="1"/>
      <w:marLeft w:val="0"/>
      <w:marRight w:val="0"/>
      <w:marTop w:val="0"/>
      <w:marBottom w:val="0"/>
      <w:divBdr>
        <w:top w:val="none" w:sz="0" w:space="0" w:color="auto"/>
        <w:left w:val="none" w:sz="0" w:space="0" w:color="auto"/>
        <w:bottom w:val="none" w:sz="0" w:space="0" w:color="auto"/>
        <w:right w:val="none" w:sz="0" w:space="0" w:color="auto"/>
      </w:divBdr>
    </w:div>
    <w:div w:id="1389035661">
      <w:bodyDiv w:val="1"/>
      <w:marLeft w:val="0"/>
      <w:marRight w:val="0"/>
      <w:marTop w:val="0"/>
      <w:marBottom w:val="0"/>
      <w:divBdr>
        <w:top w:val="none" w:sz="0" w:space="0" w:color="auto"/>
        <w:left w:val="none" w:sz="0" w:space="0" w:color="auto"/>
        <w:bottom w:val="none" w:sz="0" w:space="0" w:color="auto"/>
        <w:right w:val="none" w:sz="0" w:space="0" w:color="auto"/>
      </w:divBdr>
    </w:div>
    <w:div w:id="1421025643">
      <w:bodyDiv w:val="1"/>
      <w:marLeft w:val="0"/>
      <w:marRight w:val="0"/>
      <w:marTop w:val="0"/>
      <w:marBottom w:val="0"/>
      <w:divBdr>
        <w:top w:val="none" w:sz="0" w:space="0" w:color="auto"/>
        <w:left w:val="none" w:sz="0" w:space="0" w:color="auto"/>
        <w:bottom w:val="none" w:sz="0" w:space="0" w:color="auto"/>
        <w:right w:val="none" w:sz="0" w:space="0" w:color="auto"/>
      </w:divBdr>
    </w:div>
    <w:div w:id="1444574004">
      <w:bodyDiv w:val="1"/>
      <w:marLeft w:val="0"/>
      <w:marRight w:val="0"/>
      <w:marTop w:val="0"/>
      <w:marBottom w:val="0"/>
      <w:divBdr>
        <w:top w:val="none" w:sz="0" w:space="0" w:color="auto"/>
        <w:left w:val="none" w:sz="0" w:space="0" w:color="auto"/>
        <w:bottom w:val="none" w:sz="0" w:space="0" w:color="auto"/>
        <w:right w:val="none" w:sz="0" w:space="0" w:color="auto"/>
      </w:divBdr>
    </w:div>
    <w:div w:id="1448428082">
      <w:bodyDiv w:val="1"/>
      <w:marLeft w:val="0"/>
      <w:marRight w:val="0"/>
      <w:marTop w:val="0"/>
      <w:marBottom w:val="0"/>
      <w:divBdr>
        <w:top w:val="none" w:sz="0" w:space="0" w:color="auto"/>
        <w:left w:val="none" w:sz="0" w:space="0" w:color="auto"/>
        <w:bottom w:val="none" w:sz="0" w:space="0" w:color="auto"/>
        <w:right w:val="none" w:sz="0" w:space="0" w:color="auto"/>
      </w:divBdr>
    </w:div>
    <w:div w:id="1494028368">
      <w:bodyDiv w:val="1"/>
      <w:marLeft w:val="0"/>
      <w:marRight w:val="0"/>
      <w:marTop w:val="0"/>
      <w:marBottom w:val="0"/>
      <w:divBdr>
        <w:top w:val="none" w:sz="0" w:space="0" w:color="auto"/>
        <w:left w:val="none" w:sz="0" w:space="0" w:color="auto"/>
        <w:bottom w:val="none" w:sz="0" w:space="0" w:color="auto"/>
        <w:right w:val="none" w:sz="0" w:space="0" w:color="auto"/>
      </w:divBdr>
    </w:div>
    <w:div w:id="1496797671">
      <w:bodyDiv w:val="1"/>
      <w:marLeft w:val="0"/>
      <w:marRight w:val="0"/>
      <w:marTop w:val="0"/>
      <w:marBottom w:val="0"/>
      <w:divBdr>
        <w:top w:val="none" w:sz="0" w:space="0" w:color="auto"/>
        <w:left w:val="none" w:sz="0" w:space="0" w:color="auto"/>
        <w:bottom w:val="none" w:sz="0" w:space="0" w:color="auto"/>
        <w:right w:val="none" w:sz="0" w:space="0" w:color="auto"/>
      </w:divBdr>
    </w:div>
    <w:div w:id="1557233610">
      <w:bodyDiv w:val="1"/>
      <w:marLeft w:val="0"/>
      <w:marRight w:val="0"/>
      <w:marTop w:val="0"/>
      <w:marBottom w:val="0"/>
      <w:divBdr>
        <w:top w:val="none" w:sz="0" w:space="0" w:color="auto"/>
        <w:left w:val="none" w:sz="0" w:space="0" w:color="auto"/>
        <w:bottom w:val="none" w:sz="0" w:space="0" w:color="auto"/>
        <w:right w:val="none" w:sz="0" w:space="0" w:color="auto"/>
      </w:divBdr>
    </w:div>
    <w:div w:id="1570994233">
      <w:bodyDiv w:val="1"/>
      <w:marLeft w:val="0"/>
      <w:marRight w:val="0"/>
      <w:marTop w:val="0"/>
      <w:marBottom w:val="0"/>
      <w:divBdr>
        <w:top w:val="none" w:sz="0" w:space="0" w:color="auto"/>
        <w:left w:val="none" w:sz="0" w:space="0" w:color="auto"/>
        <w:bottom w:val="none" w:sz="0" w:space="0" w:color="auto"/>
        <w:right w:val="none" w:sz="0" w:space="0" w:color="auto"/>
      </w:divBdr>
    </w:div>
    <w:div w:id="1581720801">
      <w:bodyDiv w:val="1"/>
      <w:marLeft w:val="0"/>
      <w:marRight w:val="0"/>
      <w:marTop w:val="0"/>
      <w:marBottom w:val="0"/>
      <w:divBdr>
        <w:top w:val="none" w:sz="0" w:space="0" w:color="auto"/>
        <w:left w:val="none" w:sz="0" w:space="0" w:color="auto"/>
        <w:bottom w:val="none" w:sz="0" w:space="0" w:color="auto"/>
        <w:right w:val="none" w:sz="0" w:space="0" w:color="auto"/>
      </w:divBdr>
    </w:div>
    <w:div w:id="1596161892">
      <w:bodyDiv w:val="1"/>
      <w:marLeft w:val="0"/>
      <w:marRight w:val="0"/>
      <w:marTop w:val="0"/>
      <w:marBottom w:val="0"/>
      <w:divBdr>
        <w:top w:val="none" w:sz="0" w:space="0" w:color="auto"/>
        <w:left w:val="none" w:sz="0" w:space="0" w:color="auto"/>
        <w:bottom w:val="none" w:sz="0" w:space="0" w:color="auto"/>
        <w:right w:val="none" w:sz="0" w:space="0" w:color="auto"/>
      </w:divBdr>
    </w:div>
    <w:div w:id="1612130051">
      <w:bodyDiv w:val="1"/>
      <w:marLeft w:val="0"/>
      <w:marRight w:val="0"/>
      <w:marTop w:val="0"/>
      <w:marBottom w:val="0"/>
      <w:divBdr>
        <w:top w:val="none" w:sz="0" w:space="0" w:color="auto"/>
        <w:left w:val="none" w:sz="0" w:space="0" w:color="auto"/>
        <w:bottom w:val="none" w:sz="0" w:space="0" w:color="auto"/>
        <w:right w:val="none" w:sz="0" w:space="0" w:color="auto"/>
      </w:divBdr>
    </w:div>
    <w:div w:id="1617567522">
      <w:bodyDiv w:val="1"/>
      <w:marLeft w:val="0"/>
      <w:marRight w:val="0"/>
      <w:marTop w:val="0"/>
      <w:marBottom w:val="0"/>
      <w:divBdr>
        <w:top w:val="none" w:sz="0" w:space="0" w:color="auto"/>
        <w:left w:val="none" w:sz="0" w:space="0" w:color="auto"/>
        <w:bottom w:val="none" w:sz="0" w:space="0" w:color="auto"/>
        <w:right w:val="none" w:sz="0" w:space="0" w:color="auto"/>
      </w:divBdr>
    </w:div>
    <w:div w:id="1619680465">
      <w:bodyDiv w:val="1"/>
      <w:marLeft w:val="0"/>
      <w:marRight w:val="0"/>
      <w:marTop w:val="0"/>
      <w:marBottom w:val="0"/>
      <w:divBdr>
        <w:top w:val="none" w:sz="0" w:space="0" w:color="auto"/>
        <w:left w:val="none" w:sz="0" w:space="0" w:color="auto"/>
        <w:bottom w:val="none" w:sz="0" w:space="0" w:color="auto"/>
        <w:right w:val="none" w:sz="0" w:space="0" w:color="auto"/>
      </w:divBdr>
    </w:div>
    <w:div w:id="1633900622">
      <w:bodyDiv w:val="1"/>
      <w:marLeft w:val="0"/>
      <w:marRight w:val="0"/>
      <w:marTop w:val="0"/>
      <w:marBottom w:val="0"/>
      <w:divBdr>
        <w:top w:val="none" w:sz="0" w:space="0" w:color="auto"/>
        <w:left w:val="none" w:sz="0" w:space="0" w:color="auto"/>
        <w:bottom w:val="none" w:sz="0" w:space="0" w:color="auto"/>
        <w:right w:val="none" w:sz="0" w:space="0" w:color="auto"/>
      </w:divBdr>
    </w:div>
    <w:div w:id="1790775757">
      <w:bodyDiv w:val="1"/>
      <w:marLeft w:val="0"/>
      <w:marRight w:val="0"/>
      <w:marTop w:val="0"/>
      <w:marBottom w:val="0"/>
      <w:divBdr>
        <w:top w:val="none" w:sz="0" w:space="0" w:color="auto"/>
        <w:left w:val="none" w:sz="0" w:space="0" w:color="auto"/>
        <w:bottom w:val="none" w:sz="0" w:space="0" w:color="auto"/>
        <w:right w:val="none" w:sz="0" w:space="0" w:color="auto"/>
      </w:divBdr>
    </w:div>
    <w:div w:id="1825658959">
      <w:bodyDiv w:val="1"/>
      <w:marLeft w:val="0"/>
      <w:marRight w:val="0"/>
      <w:marTop w:val="0"/>
      <w:marBottom w:val="0"/>
      <w:divBdr>
        <w:top w:val="none" w:sz="0" w:space="0" w:color="auto"/>
        <w:left w:val="none" w:sz="0" w:space="0" w:color="auto"/>
        <w:bottom w:val="none" w:sz="0" w:space="0" w:color="auto"/>
        <w:right w:val="none" w:sz="0" w:space="0" w:color="auto"/>
      </w:divBdr>
    </w:div>
    <w:div w:id="1828014070">
      <w:bodyDiv w:val="1"/>
      <w:marLeft w:val="0"/>
      <w:marRight w:val="0"/>
      <w:marTop w:val="0"/>
      <w:marBottom w:val="0"/>
      <w:divBdr>
        <w:top w:val="none" w:sz="0" w:space="0" w:color="auto"/>
        <w:left w:val="none" w:sz="0" w:space="0" w:color="auto"/>
        <w:bottom w:val="none" w:sz="0" w:space="0" w:color="auto"/>
        <w:right w:val="none" w:sz="0" w:space="0" w:color="auto"/>
      </w:divBdr>
    </w:div>
    <w:div w:id="1829781981">
      <w:bodyDiv w:val="1"/>
      <w:marLeft w:val="0"/>
      <w:marRight w:val="0"/>
      <w:marTop w:val="0"/>
      <w:marBottom w:val="0"/>
      <w:divBdr>
        <w:top w:val="none" w:sz="0" w:space="0" w:color="auto"/>
        <w:left w:val="none" w:sz="0" w:space="0" w:color="auto"/>
        <w:bottom w:val="none" w:sz="0" w:space="0" w:color="auto"/>
        <w:right w:val="none" w:sz="0" w:space="0" w:color="auto"/>
      </w:divBdr>
    </w:div>
    <w:div w:id="1839806872">
      <w:bodyDiv w:val="1"/>
      <w:marLeft w:val="0"/>
      <w:marRight w:val="0"/>
      <w:marTop w:val="0"/>
      <w:marBottom w:val="0"/>
      <w:divBdr>
        <w:top w:val="none" w:sz="0" w:space="0" w:color="auto"/>
        <w:left w:val="none" w:sz="0" w:space="0" w:color="auto"/>
        <w:bottom w:val="none" w:sz="0" w:space="0" w:color="auto"/>
        <w:right w:val="none" w:sz="0" w:space="0" w:color="auto"/>
      </w:divBdr>
    </w:div>
    <w:div w:id="1846239177">
      <w:bodyDiv w:val="1"/>
      <w:marLeft w:val="0"/>
      <w:marRight w:val="0"/>
      <w:marTop w:val="0"/>
      <w:marBottom w:val="0"/>
      <w:divBdr>
        <w:top w:val="none" w:sz="0" w:space="0" w:color="auto"/>
        <w:left w:val="none" w:sz="0" w:space="0" w:color="auto"/>
        <w:bottom w:val="none" w:sz="0" w:space="0" w:color="auto"/>
        <w:right w:val="none" w:sz="0" w:space="0" w:color="auto"/>
      </w:divBdr>
    </w:div>
    <w:div w:id="1849101270">
      <w:bodyDiv w:val="1"/>
      <w:marLeft w:val="0"/>
      <w:marRight w:val="0"/>
      <w:marTop w:val="0"/>
      <w:marBottom w:val="0"/>
      <w:divBdr>
        <w:top w:val="none" w:sz="0" w:space="0" w:color="auto"/>
        <w:left w:val="none" w:sz="0" w:space="0" w:color="auto"/>
        <w:bottom w:val="none" w:sz="0" w:space="0" w:color="auto"/>
        <w:right w:val="none" w:sz="0" w:space="0" w:color="auto"/>
      </w:divBdr>
    </w:div>
    <w:div w:id="1959288137">
      <w:bodyDiv w:val="1"/>
      <w:marLeft w:val="0"/>
      <w:marRight w:val="0"/>
      <w:marTop w:val="0"/>
      <w:marBottom w:val="0"/>
      <w:divBdr>
        <w:top w:val="none" w:sz="0" w:space="0" w:color="auto"/>
        <w:left w:val="none" w:sz="0" w:space="0" w:color="auto"/>
        <w:bottom w:val="none" w:sz="0" w:space="0" w:color="auto"/>
        <w:right w:val="none" w:sz="0" w:space="0" w:color="auto"/>
      </w:divBdr>
    </w:div>
    <w:div w:id="1961642458">
      <w:bodyDiv w:val="1"/>
      <w:marLeft w:val="0"/>
      <w:marRight w:val="0"/>
      <w:marTop w:val="0"/>
      <w:marBottom w:val="0"/>
      <w:divBdr>
        <w:top w:val="none" w:sz="0" w:space="0" w:color="auto"/>
        <w:left w:val="none" w:sz="0" w:space="0" w:color="auto"/>
        <w:bottom w:val="none" w:sz="0" w:space="0" w:color="auto"/>
        <w:right w:val="none" w:sz="0" w:space="0" w:color="auto"/>
      </w:divBdr>
    </w:div>
    <w:div w:id="1962613035">
      <w:bodyDiv w:val="1"/>
      <w:marLeft w:val="0"/>
      <w:marRight w:val="0"/>
      <w:marTop w:val="0"/>
      <w:marBottom w:val="0"/>
      <w:divBdr>
        <w:top w:val="none" w:sz="0" w:space="0" w:color="auto"/>
        <w:left w:val="none" w:sz="0" w:space="0" w:color="auto"/>
        <w:bottom w:val="none" w:sz="0" w:space="0" w:color="auto"/>
        <w:right w:val="none" w:sz="0" w:space="0" w:color="auto"/>
      </w:divBdr>
    </w:div>
    <w:div w:id="1962804288">
      <w:bodyDiv w:val="1"/>
      <w:marLeft w:val="0"/>
      <w:marRight w:val="0"/>
      <w:marTop w:val="0"/>
      <w:marBottom w:val="0"/>
      <w:divBdr>
        <w:top w:val="none" w:sz="0" w:space="0" w:color="auto"/>
        <w:left w:val="none" w:sz="0" w:space="0" w:color="auto"/>
        <w:bottom w:val="none" w:sz="0" w:space="0" w:color="auto"/>
        <w:right w:val="none" w:sz="0" w:space="0" w:color="auto"/>
      </w:divBdr>
    </w:div>
    <w:div w:id="1976447499">
      <w:bodyDiv w:val="1"/>
      <w:marLeft w:val="0"/>
      <w:marRight w:val="0"/>
      <w:marTop w:val="0"/>
      <w:marBottom w:val="0"/>
      <w:divBdr>
        <w:top w:val="none" w:sz="0" w:space="0" w:color="auto"/>
        <w:left w:val="none" w:sz="0" w:space="0" w:color="auto"/>
        <w:bottom w:val="none" w:sz="0" w:space="0" w:color="auto"/>
        <w:right w:val="none" w:sz="0" w:space="0" w:color="auto"/>
      </w:divBdr>
    </w:div>
    <w:div w:id="1988509166">
      <w:bodyDiv w:val="1"/>
      <w:marLeft w:val="0"/>
      <w:marRight w:val="0"/>
      <w:marTop w:val="0"/>
      <w:marBottom w:val="0"/>
      <w:divBdr>
        <w:top w:val="none" w:sz="0" w:space="0" w:color="auto"/>
        <w:left w:val="none" w:sz="0" w:space="0" w:color="auto"/>
        <w:bottom w:val="none" w:sz="0" w:space="0" w:color="auto"/>
        <w:right w:val="none" w:sz="0" w:space="0" w:color="auto"/>
      </w:divBdr>
    </w:div>
    <w:div w:id="1991014892">
      <w:bodyDiv w:val="1"/>
      <w:marLeft w:val="0"/>
      <w:marRight w:val="0"/>
      <w:marTop w:val="0"/>
      <w:marBottom w:val="0"/>
      <w:divBdr>
        <w:top w:val="none" w:sz="0" w:space="0" w:color="auto"/>
        <w:left w:val="none" w:sz="0" w:space="0" w:color="auto"/>
        <w:bottom w:val="none" w:sz="0" w:space="0" w:color="auto"/>
        <w:right w:val="none" w:sz="0" w:space="0" w:color="auto"/>
      </w:divBdr>
    </w:div>
    <w:div w:id="2012904350">
      <w:bodyDiv w:val="1"/>
      <w:marLeft w:val="0"/>
      <w:marRight w:val="0"/>
      <w:marTop w:val="0"/>
      <w:marBottom w:val="0"/>
      <w:divBdr>
        <w:top w:val="none" w:sz="0" w:space="0" w:color="auto"/>
        <w:left w:val="none" w:sz="0" w:space="0" w:color="auto"/>
        <w:bottom w:val="none" w:sz="0" w:space="0" w:color="auto"/>
        <w:right w:val="none" w:sz="0" w:space="0" w:color="auto"/>
      </w:divBdr>
    </w:div>
    <w:div w:id="2015836213">
      <w:bodyDiv w:val="1"/>
      <w:marLeft w:val="0"/>
      <w:marRight w:val="0"/>
      <w:marTop w:val="0"/>
      <w:marBottom w:val="0"/>
      <w:divBdr>
        <w:top w:val="none" w:sz="0" w:space="0" w:color="auto"/>
        <w:left w:val="none" w:sz="0" w:space="0" w:color="auto"/>
        <w:bottom w:val="none" w:sz="0" w:space="0" w:color="auto"/>
        <w:right w:val="none" w:sz="0" w:space="0" w:color="auto"/>
      </w:divBdr>
    </w:div>
    <w:div w:id="2034918823">
      <w:bodyDiv w:val="1"/>
      <w:marLeft w:val="0"/>
      <w:marRight w:val="0"/>
      <w:marTop w:val="0"/>
      <w:marBottom w:val="0"/>
      <w:divBdr>
        <w:top w:val="none" w:sz="0" w:space="0" w:color="auto"/>
        <w:left w:val="none" w:sz="0" w:space="0" w:color="auto"/>
        <w:bottom w:val="none" w:sz="0" w:space="0" w:color="auto"/>
        <w:right w:val="none" w:sz="0" w:space="0" w:color="auto"/>
      </w:divBdr>
    </w:div>
    <w:div w:id="2040469886">
      <w:bodyDiv w:val="1"/>
      <w:marLeft w:val="0"/>
      <w:marRight w:val="0"/>
      <w:marTop w:val="0"/>
      <w:marBottom w:val="0"/>
      <w:divBdr>
        <w:top w:val="none" w:sz="0" w:space="0" w:color="auto"/>
        <w:left w:val="none" w:sz="0" w:space="0" w:color="auto"/>
        <w:bottom w:val="none" w:sz="0" w:space="0" w:color="auto"/>
        <w:right w:val="none" w:sz="0" w:space="0" w:color="auto"/>
      </w:divBdr>
    </w:div>
    <w:div w:id="2073575903">
      <w:bodyDiv w:val="1"/>
      <w:marLeft w:val="0"/>
      <w:marRight w:val="0"/>
      <w:marTop w:val="0"/>
      <w:marBottom w:val="0"/>
      <w:divBdr>
        <w:top w:val="none" w:sz="0" w:space="0" w:color="auto"/>
        <w:left w:val="none" w:sz="0" w:space="0" w:color="auto"/>
        <w:bottom w:val="none" w:sz="0" w:space="0" w:color="auto"/>
        <w:right w:val="none" w:sz="0" w:space="0" w:color="auto"/>
      </w:divBdr>
    </w:div>
    <w:div w:id="208537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file:///M:\Exclusivo%20ASC\COMUNICA&#199;&#195;O%20INTERNA\Arquivos\Modelos%20de%20Arquivos%20CVM\documentos%20oficiais\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file:///M:\Exclusivo%20ASC\COMUNICA&#199;&#195;O%20INTERNA\Arquivos\Modelos%20de%20Arquivos%20CVM\documentos%20oficiais\www.cvm.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981C4-76DC-4172-9974-F822A353B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4585</Words>
  <Characters>25185</Characters>
  <Application>Microsoft Office Word</Application>
  <DocSecurity>0</DocSecurity>
  <Lines>209</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Invest Entities (Amendments to IFRS 10 IFRS 12 and IAS 27)_new.fm</vt:lpstr>
      <vt:lpstr>Invest Entities (Amendments to IFRS 10 IFRS 12 and IAS 27)_new.fm</vt:lpstr>
    </vt:vector>
  </TitlesOfParts>
  <Company>PricewaterhouseCoopers</Company>
  <LinksUpToDate>false</LinksUpToDate>
  <CharactersWithSpaces>29711</CharactersWithSpaces>
  <SharedDoc>false</SharedDoc>
  <HLinks>
    <vt:vector size="12" baseType="variant">
      <vt:variant>
        <vt:i4>7208992</vt:i4>
      </vt:variant>
      <vt:variant>
        <vt:i4>3</vt:i4>
      </vt:variant>
      <vt:variant>
        <vt:i4>0</vt:i4>
      </vt:variant>
      <vt:variant>
        <vt:i4>5</vt:i4>
      </vt:variant>
      <vt:variant>
        <vt:lpwstr>http://www.cpc.org.br/</vt:lpwstr>
      </vt:variant>
      <vt:variant>
        <vt:lpwstr/>
      </vt:variant>
      <vt:variant>
        <vt:i4>7864339</vt:i4>
      </vt:variant>
      <vt:variant>
        <vt:i4>0</vt:i4>
      </vt:variant>
      <vt:variant>
        <vt:i4>0</vt:i4>
      </vt:variant>
      <vt:variant>
        <vt:i4>5</vt:i4>
      </vt:variant>
      <vt:variant>
        <vt:lpwstr>mailto:AudPublicaSNC0119@cvm.gov.br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 Entities (Amendments to IFRS 10 IFRS 12 and IAS 27)_new.fm</dc:title>
  <dc:subject/>
  <dc:creator>Master Traduções</dc:creator>
  <cp:keywords/>
  <dc:description/>
  <cp:lastModifiedBy>Mônica Pinheiro Regis de Brito</cp:lastModifiedBy>
  <cp:revision>5</cp:revision>
  <cp:lastPrinted>2015-05-04T17:51:00Z</cp:lastPrinted>
  <dcterms:created xsi:type="dcterms:W3CDTF">2019-12-09T15:22:00Z</dcterms:created>
  <dcterms:modified xsi:type="dcterms:W3CDTF">2019-12-09T15:33:00Z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DCxCLASSFICATION_LEVEL">
    <vt:lpwstr>1</vt:lpwstr>
  </property>
  <property fmtid="{D5CDD505-2E9C-101B-9397-08002B2CF9AE}" pid="3" name="SSDCxCLASSFICATION_USER">
    <vt:lpwstr>SOACAT\042358</vt:lpwstr>
  </property>
  <property fmtid="{D5CDD505-2E9C-101B-9397-08002B2CF9AE}" pid="4" name="SSDCxCLASSFICATION_DATE">
    <vt:lpwstr>08/11/2013 15:35:14</vt:lpwstr>
  </property>
  <property fmtid="{D5CDD505-2E9C-101B-9397-08002B2CF9AE}" pid="5" name="SSDCxCLASSFICATION_GUID">
    <vt:lpwstr>E0BF82B113D0489B9EFE279070560C80</vt:lpwstr>
  </property>
</Properties>
</file>