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EE8" w14:textId="42B747E7" w:rsidR="00841BBF" w:rsidRPr="00E110CD" w:rsidRDefault="003E5D99" w:rsidP="00C1691E">
      <w:pPr>
        <w:pStyle w:val="TtulodaResoluo"/>
        <w:rPr>
          <w:b/>
          <w:bCs/>
        </w:rPr>
      </w:pPr>
      <w:r w:rsidRPr="00E110CD">
        <w:rPr>
          <w:b/>
          <w:bCs/>
        </w:rPr>
        <w:t>DELIBERAÇÃO</w:t>
      </w:r>
      <w:r w:rsidR="00841BBF" w:rsidRPr="00E110CD">
        <w:rPr>
          <w:b/>
          <w:bCs/>
        </w:rPr>
        <w:t xml:space="preserve"> CVM nº </w:t>
      </w:r>
      <w:sdt>
        <w:sdtPr>
          <w:rPr>
            <w:b/>
            <w:bCs/>
          </w:rPr>
          <w:alias w:val="Título"/>
          <w:tag w:val=""/>
          <w:id w:val="253094646"/>
          <w:placeholder>
            <w:docPart w:val="887CEEC9F8AC48EFB79F845C7A3B07D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110CD" w:rsidRPr="00E110CD">
            <w:rPr>
              <w:b/>
              <w:bCs/>
            </w:rPr>
            <w:t>875</w:t>
          </w:r>
          <w:r w:rsidR="009B69B0" w:rsidRPr="00E110CD">
            <w:rPr>
              <w:b/>
              <w:bCs/>
            </w:rPr>
            <w:t xml:space="preserve">, de </w:t>
          </w:r>
          <w:r w:rsidR="00E110CD" w:rsidRPr="00E110CD">
            <w:rPr>
              <w:b/>
              <w:bCs/>
            </w:rPr>
            <w:t>30</w:t>
          </w:r>
          <w:r w:rsidR="00FA29E1" w:rsidRPr="00E110CD">
            <w:rPr>
              <w:b/>
              <w:bCs/>
            </w:rPr>
            <w:t xml:space="preserve"> de </w:t>
          </w:r>
          <w:r w:rsidR="00E110CD" w:rsidRPr="00E110CD">
            <w:rPr>
              <w:b/>
              <w:bCs/>
            </w:rPr>
            <w:t>SETEMBRO DE</w:t>
          </w:r>
          <w:r w:rsidR="009B69B0" w:rsidRPr="00E110CD">
            <w:rPr>
              <w:b/>
              <w:bCs/>
            </w:rPr>
            <w:t xml:space="preserve"> </w:t>
          </w:r>
          <w:r w:rsidR="00E110CD" w:rsidRPr="00E110CD">
            <w:rPr>
              <w:b/>
              <w:bCs/>
            </w:rPr>
            <w:t>2021</w:t>
          </w:r>
        </w:sdtContent>
      </w:sdt>
      <w:r w:rsidR="00B1307A">
        <w:rPr>
          <w:b/>
          <w:bCs/>
        </w:rPr>
        <w:t>, com as alterações introduzidas pela</w:t>
      </w:r>
      <w:r w:rsidR="00A92162">
        <w:rPr>
          <w:b/>
          <w:bCs/>
        </w:rPr>
        <w:t>S</w:t>
      </w:r>
      <w:r w:rsidR="00B1307A">
        <w:rPr>
          <w:b/>
          <w:bCs/>
        </w:rPr>
        <w:t xml:space="preserve"> deliberaç</w:t>
      </w:r>
      <w:r w:rsidR="00A92162">
        <w:rPr>
          <w:b/>
          <w:bCs/>
        </w:rPr>
        <w:t>ÕES</w:t>
      </w:r>
      <w:r w:rsidR="00B1307A">
        <w:rPr>
          <w:b/>
          <w:bCs/>
        </w:rPr>
        <w:t xml:space="preserve"> CVM Nº </w:t>
      </w:r>
      <w:r w:rsidR="00F9448B">
        <w:rPr>
          <w:b/>
          <w:bCs/>
        </w:rPr>
        <w:t>878</w:t>
      </w:r>
      <w:r w:rsidR="00D52267">
        <w:rPr>
          <w:b/>
          <w:bCs/>
        </w:rPr>
        <w:t>/22</w:t>
      </w:r>
      <w:r w:rsidR="00F9448B">
        <w:rPr>
          <w:b/>
          <w:bCs/>
        </w:rPr>
        <w:t xml:space="preserve">, </w:t>
      </w:r>
      <w:r w:rsidR="000E7DB3">
        <w:rPr>
          <w:b/>
          <w:bCs/>
        </w:rPr>
        <w:t xml:space="preserve">886/23 E </w:t>
      </w:r>
      <w:r w:rsidR="00CE736F">
        <w:rPr>
          <w:b/>
          <w:bCs/>
        </w:rPr>
        <w:t>891/24.</w:t>
      </w:r>
    </w:p>
    <w:p w14:paraId="6B315EE4" w14:textId="1BBB4AEA" w:rsidR="00E110CD" w:rsidRDefault="00E110CD" w:rsidP="00E110CD">
      <w:pPr>
        <w:spacing w:before="240" w:after="240"/>
        <w:ind w:left="5103" w:firstLine="0"/>
        <w:rPr>
          <w:rFonts w:ascii="Calibri" w:hAnsi="Calibri" w:cs="Calibri"/>
          <w:color w:val="000000" w:themeColor="text1"/>
        </w:rPr>
      </w:pPr>
      <w:r w:rsidRPr="304726FE">
        <w:rPr>
          <w:rFonts w:ascii="Calibri" w:hAnsi="Calibri" w:cs="Calibri"/>
          <w:color w:val="000000" w:themeColor="text1"/>
        </w:rPr>
        <w:t>Autoriza</w:t>
      </w:r>
      <w:r>
        <w:rPr>
          <w:rFonts w:ascii="Calibri" w:hAnsi="Calibri" w:cs="Calibri"/>
          <w:color w:val="000000" w:themeColor="text1"/>
        </w:rPr>
        <w:t>,</w:t>
      </w:r>
      <w:r>
        <w:rPr>
          <w:rFonts w:ascii="Calibri" w:hAnsi="Calibri" w:cs="Calibri"/>
        </w:rPr>
        <w:t xml:space="preserve"> em caráter temporário,</w:t>
      </w:r>
      <w:r w:rsidRPr="7658B8DB">
        <w:rPr>
          <w:rFonts w:ascii="Calibri" w:hAnsi="Calibri" w:cs="Calibri"/>
        </w:rPr>
        <w:t xml:space="preserve"> </w:t>
      </w:r>
      <w:r w:rsidRPr="304726FE">
        <w:rPr>
          <w:rFonts w:ascii="Calibri" w:hAnsi="Calibri" w:cs="Calibri"/>
          <w:color w:val="000000" w:themeColor="text1"/>
        </w:rPr>
        <w:t xml:space="preserve">Vórtx Distribuidora de Títulos e Valores Mobiliários Ltda. e Vórtx QR Tokenizadora Ltda. a realizarem atividades reguladas pela CVM no âmbito do </w:t>
      </w:r>
      <w:r w:rsidRPr="00A33DDF">
        <w:rPr>
          <w:rFonts w:ascii="Calibri" w:hAnsi="Calibri" w:cs="Calibri"/>
          <w:b/>
          <w:color w:val="000000" w:themeColor="text1"/>
        </w:rPr>
        <w:t>Sandbox</w:t>
      </w:r>
      <w:r w:rsidRPr="304726FE">
        <w:rPr>
          <w:rFonts w:ascii="Calibri" w:hAnsi="Calibri" w:cs="Calibri"/>
          <w:color w:val="000000" w:themeColor="text1"/>
        </w:rPr>
        <w:t xml:space="preserve"> Regulatório, nos termos e condições previst</w:t>
      </w:r>
      <w:r>
        <w:rPr>
          <w:rFonts w:ascii="Calibri" w:hAnsi="Calibri" w:cs="Calibri"/>
          <w:color w:val="000000" w:themeColor="text1"/>
        </w:rPr>
        <w:t>o</w:t>
      </w:r>
      <w:r w:rsidRPr="304726FE">
        <w:rPr>
          <w:rFonts w:ascii="Calibri" w:hAnsi="Calibri" w:cs="Calibri"/>
          <w:color w:val="000000" w:themeColor="text1"/>
        </w:rPr>
        <w:t>s nesta Deliberação.</w:t>
      </w:r>
    </w:p>
    <w:p w14:paraId="4CD95977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color w:val="000000" w:themeColor="text1"/>
        </w:rPr>
      </w:pPr>
    </w:p>
    <w:p w14:paraId="38F23AB5" w14:textId="57D2CB98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color w:val="000000" w:themeColor="text1"/>
        </w:rPr>
      </w:pPr>
      <w:r w:rsidRPr="0E7E4C79">
        <w:rPr>
          <w:rFonts w:ascii="Calibri" w:hAnsi="Calibri" w:cs="Calibri"/>
          <w:color w:val="000000" w:themeColor="text1"/>
        </w:rPr>
        <w:t>O </w:t>
      </w:r>
      <w:r w:rsidRPr="0E7E4C79">
        <w:rPr>
          <w:rFonts w:ascii="Calibri" w:hAnsi="Calibri" w:cs="Calibri"/>
          <w:b/>
          <w:bCs/>
          <w:color w:val="000000" w:themeColor="text1"/>
        </w:rPr>
        <w:t>PRESIDENTE DA COMISSÃO DE VALORES MOBILIÁRIOS – CVM</w:t>
      </w:r>
      <w:r w:rsidRPr="0E7E4C79">
        <w:rPr>
          <w:rFonts w:ascii="Calibri" w:hAnsi="Calibri" w:cs="Calibri"/>
          <w:color w:val="000000" w:themeColor="text1"/>
        </w:rPr>
        <w:t> torna público que o Colegiado, em reunião realizada em 29 de setembro de 2021, com fundamento no inciso II do art. 8º da Lei nº 6.385, de 7 de setembro de 1976, e no § 1º do art. 12 da Resolução CVM nº 29, de 11 de maio de 2021, e considerando que:</w:t>
      </w:r>
    </w:p>
    <w:p w14:paraId="3FC2FFAE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color w:val="000000" w:themeColor="text1"/>
        </w:rPr>
      </w:pPr>
      <w:r w:rsidRPr="304726FE">
        <w:rPr>
          <w:rFonts w:ascii="Calibri" w:hAnsi="Calibri" w:cs="Calibri"/>
          <w:color w:val="000000" w:themeColor="text1"/>
        </w:rPr>
        <w:t xml:space="preserve">a) o </w:t>
      </w:r>
      <w:r w:rsidRPr="00A33DDF">
        <w:rPr>
          <w:rFonts w:ascii="Calibri" w:hAnsi="Calibri" w:cs="Calibri"/>
          <w:b/>
          <w:color w:val="000000" w:themeColor="text1"/>
        </w:rPr>
        <w:t>Sandbox</w:t>
      </w:r>
      <w:r w:rsidRPr="304726FE">
        <w:rPr>
          <w:rFonts w:ascii="Calibri" w:hAnsi="Calibri" w:cs="Calibri"/>
          <w:color w:val="000000" w:themeColor="text1"/>
        </w:rPr>
        <w:t xml:space="preserve"> Regulatório é um ambiente regulatório experimental em que são concedidas autorizações temporárias para testar modelos de negócio inovadores em atividades no mercado de valores mobiliários regulamentadas pela Comissão de Valores Mobiliários;</w:t>
      </w:r>
    </w:p>
    <w:p w14:paraId="36D78C74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color w:val="000000" w:themeColor="text1"/>
        </w:rPr>
      </w:pPr>
      <w:r w:rsidRPr="304726FE">
        <w:rPr>
          <w:rFonts w:ascii="Calibri" w:hAnsi="Calibri" w:cs="Calibri"/>
          <w:color w:val="000000" w:themeColor="text1"/>
        </w:rPr>
        <w:t>b) as autorizações temporárias são concedidas em regime diverso do ordinário, com dispensas de requisitos regulatórios específicos existentes nas regulamentações vigentes; e</w:t>
      </w:r>
    </w:p>
    <w:p w14:paraId="06341A9B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color w:val="000000" w:themeColor="text1"/>
        </w:rPr>
      </w:pPr>
      <w:r w:rsidRPr="304726FE">
        <w:rPr>
          <w:rFonts w:ascii="Calibri" w:hAnsi="Calibri" w:cs="Calibri"/>
          <w:color w:val="000000" w:themeColor="text1"/>
        </w:rPr>
        <w:t>c) as pessoas jurídicas mencionadas nest</w:t>
      </w:r>
      <w:r>
        <w:rPr>
          <w:rFonts w:ascii="Calibri" w:hAnsi="Calibri" w:cs="Calibri"/>
          <w:color w:val="000000" w:themeColor="text1"/>
        </w:rPr>
        <w:t>a</w:t>
      </w:r>
      <w:r w:rsidRPr="304726FE">
        <w:rPr>
          <w:rFonts w:ascii="Calibri" w:hAnsi="Calibri" w:cs="Calibri"/>
          <w:color w:val="000000" w:themeColor="text1"/>
        </w:rPr>
        <w:t xml:space="preserve"> Deliberação enviaram proposta de participação no primeiro processo de admissão do âmbito do </w:t>
      </w:r>
      <w:r w:rsidRPr="00A33DDF">
        <w:rPr>
          <w:rFonts w:ascii="Calibri" w:hAnsi="Calibri" w:cs="Calibri"/>
          <w:b/>
          <w:color w:val="000000" w:themeColor="text1"/>
        </w:rPr>
        <w:t>Sandbox</w:t>
      </w:r>
      <w:r w:rsidRPr="304726FE">
        <w:rPr>
          <w:rFonts w:ascii="Calibri" w:hAnsi="Calibri" w:cs="Calibri"/>
          <w:color w:val="000000" w:themeColor="text1"/>
        </w:rPr>
        <w:t xml:space="preserve"> Regulatório promovido pela Comissão de Valores Mobiliários e tiveram a sua proposta considerada apta;</w:t>
      </w:r>
    </w:p>
    <w:p w14:paraId="17ED6555" w14:textId="77777777" w:rsidR="00E110CD" w:rsidRPr="00D01893" w:rsidRDefault="00E110CD" w:rsidP="00E110CD">
      <w:pPr>
        <w:pStyle w:val="textojustificado"/>
        <w:spacing w:before="120" w:beforeAutospacing="0" w:after="120" w:afterAutospacing="0" w:line="312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a proposta de participação foi objeto de recomendação de aceitação por parte do Comitê de </w:t>
      </w:r>
      <w:r w:rsidRPr="00483F88">
        <w:rPr>
          <w:rFonts w:ascii="Calibri" w:hAnsi="Calibri" w:cs="Calibri"/>
          <w:b/>
        </w:rPr>
        <w:t>Sandbox</w:t>
      </w:r>
      <w:r>
        <w:rPr>
          <w:rFonts w:ascii="Calibri" w:hAnsi="Calibri" w:cs="Calibri"/>
        </w:rPr>
        <w:t xml:space="preserve"> ao Colegiado por meio do relatório previsto no art. 9º da Resolução CVM nº 29, de 2021;</w:t>
      </w:r>
    </w:p>
    <w:p w14:paraId="09552A20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color w:val="000000" w:themeColor="text1"/>
        </w:rPr>
      </w:pPr>
      <w:r w:rsidRPr="304726FE">
        <w:rPr>
          <w:rFonts w:ascii="Calibri" w:hAnsi="Calibri" w:cs="Calibri"/>
          <w:b/>
          <w:bCs/>
          <w:color w:val="000000" w:themeColor="text1"/>
        </w:rPr>
        <w:t>DELIBEROU:</w:t>
      </w:r>
    </w:p>
    <w:p w14:paraId="233DC29A" w14:textId="77777777" w:rsidR="00E110CD" w:rsidRPr="009E776A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Theme="minorHAnsi" w:hAnsiTheme="minorHAnsi" w:cstheme="minorHAnsi"/>
          <w:strike/>
        </w:rPr>
      </w:pPr>
      <w:r w:rsidRPr="009E776A">
        <w:rPr>
          <w:rFonts w:ascii="Calibri" w:hAnsi="Calibri" w:cs="Calibri"/>
          <w:strike/>
          <w:color w:val="000000" w:themeColor="text1"/>
        </w:rPr>
        <w:t xml:space="preserve">I – autorizar a Vórtx QR Tokenizadora </w:t>
      </w:r>
      <w:r w:rsidRPr="009E776A">
        <w:rPr>
          <w:rFonts w:ascii="Calibri" w:hAnsi="Calibri" w:cs="Calibri"/>
          <w:strike/>
        </w:rPr>
        <w:t>Ltda. (“Vórtx QR Tokenizadora”)</w:t>
      </w:r>
      <w:r w:rsidRPr="009E776A">
        <w:rPr>
          <w:strike/>
          <w:sz w:val="22"/>
          <w:szCs w:val="22"/>
        </w:rPr>
        <w:t xml:space="preserve"> </w:t>
      </w:r>
      <w:r w:rsidRPr="009E776A">
        <w:rPr>
          <w:rFonts w:ascii="Calibri" w:hAnsi="Calibri" w:cs="Calibri"/>
          <w:strike/>
        </w:rPr>
        <w:t xml:space="preserve">a realizar a atividade de constituição e administração de mercados organizados de valores </w:t>
      </w:r>
      <w:r w:rsidRPr="009E776A" w:rsidDel="00905753">
        <w:rPr>
          <w:rFonts w:ascii="Calibri" w:hAnsi="Calibri" w:cs="Calibri"/>
          <w:strike/>
        </w:rPr>
        <w:t>mobiliários</w:t>
      </w:r>
      <w:r w:rsidRPr="009E776A">
        <w:rPr>
          <w:rFonts w:ascii="Calibri" w:hAnsi="Calibri" w:cs="Calibri"/>
          <w:strike/>
        </w:rPr>
        <w:t>, nos termos da Instrução CVM nº 461, de 23 de outubro de 2007</w:t>
      </w:r>
      <w:r w:rsidRPr="009E776A" w:rsidDel="00FA0D2E">
        <w:rPr>
          <w:rFonts w:ascii="Calibri" w:hAnsi="Calibri" w:cs="Calibri"/>
          <w:strike/>
          <w:color w:val="000000" w:themeColor="text1"/>
        </w:rPr>
        <w:t xml:space="preserve">, </w:t>
      </w:r>
      <w:r w:rsidRPr="009E776A">
        <w:rPr>
          <w:rFonts w:ascii="Calibri" w:hAnsi="Calibri" w:cs="Calibri"/>
          <w:strike/>
          <w:color w:val="000000" w:themeColor="text1"/>
        </w:rPr>
        <w:t xml:space="preserve">com dispensa de observância dos seguintes dispositivos: art. 9º, </w:t>
      </w:r>
      <w:r w:rsidRPr="009E776A">
        <w:rPr>
          <w:rFonts w:ascii="Calibri" w:hAnsi="Calibri" w:cs="Calibri"/>
          <w:b/>
          <w:strike/>
          <w:color w:val="000000" w:themeColor="text1"/>
        </w:rPr>
        <w:t>caput</w:t>
      </w:r>
      <w:r w:rsidRPr="009E776A">
        <w:rPr>
          <w:rFonts w:ascii="Calibri" w:hAnsi="Calibri" w:cs="Calibri"/>
          <w:i/>
          <w:iCs/>
          <w:strike/>
          <w:color w:val="000000" w:themeColor="text1"/>
        </w:rPr>
        <w:t xml:space="preserve">; </w:t>
      </w:r>
      <w:r w:rsidRPr="009E776A">
        <w:rPr>
          <w:rFonts w:ascii="Calibri" w:hAnsi="Calibri" w:cs="Calibri"/>
          <w:strike/>
          <w:color w:val="000000" w:themeColor="text1"/>
        </w:rPr>
        <w:t>art. 16, parágrafo único; ar</w:t>
      </w:r>
      <w:r w:rsidRPr="009E776A">
        <w:rPr>
          <w:rFonts w:asciiTheme="minorHAnsi" w:hAnsiTheme="minorHAnsi" w:cstheme="minorHAnsi"/>
          <w:strike/>
          <w:color w:val="000000" w:themeColor="text1"/>
        </w:rPr>
        <w:t xml:space="preserve">t. 19, incisos I a V; art. 20, VII; art. 31, </w:t>
      </w:r>
      <w:r w:rsidRPr="009E776A">
        <w:rPr>
          <w:rFonts w:asciiTheme="minorHAnsi" w:hAnsiTheme="minorHAnsi" w:cstheme="minorHAnsi"/>
          <w:strike/>
        </w:rPr>
        <w:t xml:space="preserve">§§ 3º e 4º; art. 44, inciso II; art. 45; art. 47, </w:t>
      </w:r>
      <w:r w:rsidRPr="009E776A">
        <w:rPr>
          <w:rFonts w:asciiTheme="minorHAnsi" w:hAnsiTheme="minorHAnsi" w:cstheme="minorHAnsi"/>
          <w:b/>
          <w:strike/>
        </w:rPr>
        <w:t>caput</w:t>
      </w:r>
      <w:r w:rsidRPr="009E776A">
        <w:rPr>
          <w:rFonts w:asciiTheme="minorHAnsi" w:hAnsiTheme="minorHAnsi" w:cstheme="minorHAnsi"/>
          <w:strike/>
        </w:rPr>
        <w:t xml:space="preserve"> e § 1º; art. 51; art. 57; art. 105, § 2º e art. 121;</w:t>
      </w:r>
    </w:p>
    <w:p w14:paraId="1C1BA93E" w14:textId="78E37289" w:rsidR="00C22189" w:rsidRDefault="00C22465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Theme="minorHAnsi" w:hAnsiTheme="minorHAnsi" w:cstheme="minorHAnsi"/>
          <w:color w:val="000000" w:themeColor="text1"/>
        </w:rPr>
      </w:pPr>
      <w:r w:rsidRPr="00C22465">
        <w:rPr>
          <w:rFonts w:asciiTheme="minorHAnsi" w:hAnsiTheme="minorHAnsi" w:cstheme="minorHAnsi"/>
          <w:color w:val="000000" w:themeColor="text1"/>
        </w:rPr>
        <w:lastRenderedPageBreak/>
        <w:t>I – autorizar Vórtx QR Tokenizadora S.A (“Vórtx QR Tokenizadora”) a realizar a atividade de constituição e administração de mercados organizados de valores mobiliários, nos termos da Resolução CVM nº 135, de 10 de junho de 2022, com dispensa de observância dos seguintes dispositivos: art. 16, inciso II, alíneas "a" e "b"; art. 20, incisos II a VII; art. 21, § 1º, inciso V; art. 33; art. 41, § 1º, inciso II; art. 42; art. 53, § 2º; art. 54; art. 67, incisos II, III e IV, §§ 1º e 2º; art. 71; art. 73; art. 74, § 1º; art. 80, parágrafo único; art. 83, § 1º; art. 103.</w:t>
      </w:r>
    </w:p>
    <w:p w14:paraId="7AEECE8E" w14:textId="5302E6BF" w:rsidR="009E776A" w:rsidRPr="0096249A" w:rsidRDefault="009E776A" w:rsidP="009E776A">
      <w:pPr>
        <w:pStyle w:val="textojustificado"/>
        <w:numPr>
          <w:ilvl w:val="0"/>
          <w:numId w:val="12"/>
        </w:numPr>
        <w:spacing w:before="120" w:beforeAutospacing="0" w:after="120" w:afterAutospacing="0" w:line="312" w:lineRule="auto"/>
        <w:ind w:left="993" w:hanging="284"/>
        <w:jc w:val="both"/>
        <w:rPr>
          <w:rFonts w:asciiTheme="minorHAnsi" w:hAnsiTheme="minorHAnsi" w:cstheme="minorHAnsi"/>
        </w:rPr>
      </w:pPr>
      <w:r w:rsidRPr="0096249A">
        <w:rPr>
          <w:rFonts w:ascii="Calibri" w:hAnsi="Calibri" w:cs="Calibri"/>
          <w:b/>
          <w:bCs/>
          <w:i/>
          <w:iCs/>
          <w:color w:val="000000" w:themeColor="text1"/>
        </w:rPr>
        <w:t>Item I com redação dada pela Deliberação CVM nº 88</w:t>
      </w:r>
      <w:r w:rsidR="00630673">
        <w:rPr>
          <w:rFonts w:ascii="Calibri" w:hAnsi="Calibri" w:cs="Calibri"/>
          <w:b/>
          <w:bCs/>
          <w:i/>
          <w:iCs/>
          <w:color w:val="000000" w:themeColor="text1"/>
        </w:rPr>
        <w:t>6</w:t>
      </w:r>
      <w:r>
        <w:rPr>
          <w:rFonts w:ascii="Calibri" w:hAnsi="Calibri" w:cs="Calibri"/>
          <w:b/>
          <w:bCs/>
          <w:i/>
          <w:iCs/>
          <w:color w:val="000000" w:themeColor="text1"/>
        </w:rPr>
        <w:t xml:space="preserve">, de </w:t>
      </w:r>
      <w:r w:rsidR="006C3888">
        <w:rPr>
          <w:rFonts w:ascii="Calibri" w:hAnsi="Calibri" w:cs="Calibri"/>
          <w:b/>
          <w:bCs/>
          <w:i/>
          <w:iCs/>
          <w:color w:val="000000" w:themeColor="text1"/>
        </w:rPr>
        <w:t>15</w:t>
      </w:r>
      <w:r>
        <w:rPr>
          <w:rFonts w:ascii="Calibri" w:hAnsi="Calibri" w:cs="Calibri"/>
          <w:b/>
          <w:bCs/>
          <w:i/>
          <w:iCs/>
          <w:color w:val="000000" w:themeColor="text1"/>
        </w:rPr>
        <w:t xml:space="preserve"> de </w:t>
      </w:r>
      <w:r w:rsidR="006C3888">
        <w:rPr>
          <w:rFonts w:ascii="Calibri" w:hAnsi="Calibri" w:cs="Calibri"/>
          <w:b/>
          <w:bCs/>
          <w:i/>
          <w:iCs/>
          <w:color w:val="000000" w:themeColor="text1"/>
        </w:rPr>
        <w:t>fevereiro</w:t>
      </w:r>
      <w:r>
        <w:rPr>
          <w:rFonts w:ascii="Calibri" w:hAnsi="Calibri" w:cs="Calibri"/>
          <w:b/>
          <w:bCs/>
          <w:i/>
          <w:iCs/>
          <w:color w:val="000000" w:themeColor="text1"/>
        </w:rPr>
        <w:t xml:space="preserve"> de 2023</w:t>
      </w:r>
      <w:r w:rsidRPr="0096249A">
        <w:rPr>
          <w:rFonts w:ascii="Calibri" w:hAnsi="Calibri" w:cs="Calibri"/>
          <w:b/>
          <w:bCs/>
          <w:i/>
          <w:iCs/>
          <w:color w:val="000000" w:themeColor="text1"/>
        </w:rPr>
        <w:t>.</w:t>
      </w:r>
    </w:p>
    <w:p w14:paraId="135F5189" w14:textId="77777777" w:rsidR="00E110CD" w:rsidRPr="00693382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693382">
        <w:rPr>
          <w:rFonts w:asciiTheme="minorHAnsi" w:hAnsiTheme="minorHAnsi" w:cstheme="minorHAnsi"/>
          <w:strike/>
          <w:color w:val="000000" w:themeColor="text1"/>
        </w:rPr>
        <w:t>II – autorizar a Vórtx Distribuidora de Títulos e Valores Mobiliários Ltda. (“Vórtx DTVM”), instituição integrante do sistema de distribuição de valores mobiliários, a realizar,</w:t>
      </w:r>
      <w:r w:rsidRPr="00693382">
        <w:rPr>
          <w:rFonts w:asciiTheme="minorHAnsi" w:hAnsiTheme="minorHAnsi" w:cstheme="minorHAnsi"/>
          <w:strike/>
        </w:rPr>
        <w:t xml:space="preserve"> no âmbito do </w:t>
      </w:r>
      <w:r w:rsidRPr="00693382">
        <w:rPr>
          <w:rFonts w:asciiTheme="minorHAnsi" w:hAnsiTheme="minorHAnsi" w:cstheme="minorHAnsi"/>
          <w:b/>
          <w:strike/>
        </w:rPr>
        <w:t>Sandbox</w:t>
      </w:r>
      <w:r w:rsidRPr="00693382">
        <w:rPr>
          <w:rFonts w:asciiTheme="minorHAnsi" w:hAnsiTheme="minorHAnsi" w:cstheme="minorHAnsi"/>
          <w:strike/>
        </w:rPr>
        <w:t xml:space="preserve"> Regulatório</w:t>
      </w:r>
      <w:r w:rsidRPr="00693382">
        <w:rPr>
          <w:rFonts w:asciiTheme="minorHAnsi" w:hAnsiTheme="minorHAnsi" w:cstheme="minorHAnsi"/>
          <w:strike/>
          <w:color w:val="000000" w:themeColor="text1"/>
        </w:rPr>
        <w:t xml:space="preserve">, a atividade de intermediação de ofertas públicas de valores mobiliários realizadas sob o rito da Instrução CVM nº 476, de 16 de janeiro de 2009, com dispensa de observância do art. 2º, </w:t>
      </w:r>
      <w:r w:rsidRPr="00693382">
        <w:rPr>
          <w:rFonts w:asciiTheme="minorHAnsi" w:hAnsiTheme="minorHAnsi" w:cstheme="minorHAnsi"/>
          <w:b/>
          <w:strike/>
          <w:color w:val="000000" w:themeColor="text1"/>
        </w:rPr>
        <w:t>caput</w:t>
      </w:r>
      <w:r w:rsidRPr="00693382">
        <w:rPr>
          <w:rFonts w:asciiTheme="minorHAnsi" w:hAnsiTheme="minorHAnsi" w:cstheme="minorHAnsi"/>
          <w:strike/>
          <w:color w:val="000000" w:themeColor="text1"/>
        </w:rPr>
        <w:t xml:space="preserve"> e parágrafo único; art. 3º, incisos I e II; art. 9º, </w:t>
      </w:r>
      <w:r w:rsidRPr="00693382">
        <w:rPr>
          <w:rFonts w:asciiTheme="minorHAnsi" w:hAnsiTheme="minorHAnsi" w:cstheme="minorHAnsi"/>
          <w:b/>
          <w:strike/>
          <w:color w:val="000000" w:themeColor="text1"/>
        </w:rPr>
        <w:t>caput</w:t>
      </w:r>
      <w:r w:rsidRPr="00693382">
        <w:rPr>
          <w:rFonts w:asciiTheme="minorHAnsi" w:hAnsiTheme="minorHAnsi" w:cstheme="minorHAnsi"/>
          <w:strike/>
          <w:color w:val="000000" w:themeColor="text1"/>
        </w:rPr>
        <w:t xml:space="preserve">; e art. 13, </w:t>
      </w:r>
      <w:r w:rsidRPr="00693382">
        <w:rPr>
          <w:rFonts w:asciiTheme="minorHAnsi" w:hAnsiTheme="minorHAnsi" w:cstheme="minorHAnsi"/>
          <w:b/>
          <w:bCs/>
          <w:strike/>
          <w:color w:val="000000" w:themeColor="text1"/>
        </w:rPr>
        <w:t>caput</w:t>
      </w:r>
      <w:r w:rsidRPr="00693382">
        <w:rPr>
          <w:rFonts w:asciiTheme="minorHAnsi" w:hAnsiTheme="minorHAnsi" w:cstheme="minorHAnsi"/>
          <w:strike/>
          <w:color w:val="000000" w:themeColor="text1"/>
        </w:rPr>
        <w:t>;</w:t>
      </w:r>
    </w:p>
    <w:p w14:paraId="1E050408" w14:textId="77777777" w:rsidR="00693382" w:rsidRDefault="00693382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Theme="minorHAnsi" w:hAnsiTheme="minorHAnsi" w:cstheme="minorHAnsi"/>
          <w:color w:val="000000" w:themeColor="text1"/>
        </w:rPr>
      </w:pPr>
      <w:r w:rsidRPr="00693382">
        <w:rPr>
          <w:rFonts w:asciiTheme="minorHAnsi" w:hAnsiTheme="minorHAnsi" w:cstheme="minorHAnsi"/>
          <w:color w:val="000000" w:themeColor="text1"/>
        </w:rPr>
        <w:t xml:space="preserve">II - autorizar a Vórtx Distribuidora de Títulos e Valores Mobiliários Ltda. (“Vórtx DTVM”), instituição integrante do sistema de distribuição de valores mobiliários, a realizar, no âmbito do </w:t>
      </w:r>
      <w:r w:rsidRPr="00693382">
        <w:rPr>
          <w:rFonts w:asciiTheme="minorHAnsi" w:hAnsiTheme="minorHAnsi" w:cstheme="minorHAnsi"/>
          <w:b/>
          <w:bCs/>
          <w:color w:val="000000" w:themeColor="text1"/>
        </w:rPr>
        <w:t>Sandbox</w:t>
      </w:r>
      <w:r w:rsidRPr="00693382">
        <w:rPr>
          <w:rFonts w:asciiTheme="minorHAnsi" w:hAnsiTheme="minorHAnsi" w:cstheme="minorHAnsi"/>
          <w:color w:val="000000" w:themeColor="text1"/>
        </w:rPr>
        <w:t xml:space="preserve"> Regulatório, a atividade de intermediação de ofertas públicas de valores mobiliários realizadas sob o rito da Resolução CVM nº 160, de 13 de julho de 2022, com dispensa de observância do art. 27, inciso II, alínea b; e art. 25, parágrafo segundo.</w:t>
      </w:r>
    </w:p>
    <w:p w14:paraId="417861F3" w14:textId="602F5EE1" w:rsidR="00693382" w:rsidRPr="0096249A" w:rsidRDefault="00693382" w:rsidP="00693382">
      <w:pPr>
        <w:pStyle w:val="textojustificado"/>
        <w:numPr>
          <w:ilvl w:val="0"/>
          <w:numId w:val="12"/>
        </w:numPr>
        <w:spacing w:before="120" w:beforeAutospacing="0" w:after="120" w:afterAutospacing="0" w:line="312" w:lineRule="auto"/>
        <w:ind w:left="993" w:hanging="284"/>
        <w:jc w:val="both"/>
        <w:rPr>
          <w:rFonts w:asciiTheme="minorHAnsi" w:hAnsiTheme="minorHAnsi" w:cstheme="minorHAnsi"/>
        </w:rPr>
      </w:pPr>
      <w:r w:rsidRPr="0096249A">
        <w:rPr>
          <w:rFonts w:ascii="Calibri" w:hAnsi="Calibri" w:cs="Calibri"/>
          <w:b/>
          <w:bCs/>
          <w:i/>
          <w:iCs/>
          <w:color w:val="000000" w:themeColor="text1"/>
        </w:rPr>
        <w:t xml:space="preserve">Item </w:t>
      </w:r>
      <w:r>
        <w:rPr>
          <w:rFonts w:ascii="Calibri" w:hAnsi="Calibri" w:cs="Calibri"/>
          <w:b/>
          <w:bCs/>
          <w:i/>
          <w:iCs/>
          <w:color w:val="000000" w:themeColor="text1"/>
        </w:rPr>
        <w:t>I</w:t>
      </w:r>
      <w:r w:rsidRPr="0096249A">
        <w:rPr>
          <w:rFonts w:ascii="Calibri" w:hAnsi="Calibri" w:cs="Calibri"/>
          <w:b/>
          <w:bCs/>
          <w:i/>
          <w:iCs/>
          <w:color w:val="000000" w:themeColor="text1"/>
        </w:rPr>
        <w:t>I com redação dada pela Deliberação CVM nº 88</w:t>
      </w:r>
      <w:r>
        <w:rPr>
          <w:rFonts w:ascii="Calibri" w:hAnsi="Calibri" w:cs="Calibri"/>
          <w:b/>
          <w:bCs/>
          <w:i/>
          <w:iCs/>
          <w:color w:val="000000" w:themeColor="text1"/>
        </w:rPr>
        <w:t>6, de 15 de fevereiro de 2023</w:t>
      </w:r>
      <w:r w:rsidRPr="0096249A">
        <w:rPr>
          <w:rFonts w:ascii="Calibri" w:hAnsi="Calibri" w:cs="Calibri"/>
          <w:b/>
          <w:bCs/>
          <w:i/>
          <w:iCs/>
          <w:color w:val="000000" w:themeColor="text1"/>
        </w:rPr>
        <w:t>.</w:t>
      </w:r>
    </w:p>
    <w:p w14:paraId="4AC7A21A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</w:pPr>
      <w:r>
        <w:rPr>
          <w:rFonts w:ascii="Calibri" w:hAnsi="Calibri" w:cs="Calibri"/>
          <w:color w:val="000000" w:themeColor="text1"/>
        </w:rPr>
        <w:t>III</w:t>
      </w:r>
      <w:r w:rsidRPr="212D3F92">
        <w:rPr>
          <w:rFonts w:ascii="Calibri" w:hAnsi="Calibri" w:cs="Calibri"/>
          <w:color w:val="000000" w:themeColor="text1"/>
        </w:rPr>
        <w:t xml:space="preserve"> – autorizar a </w:t>
      </w:r>
      <w:r w:rsidRPr="006C700A">
        <w:rPr>
          <w:rFonts w:ascii="Calibri" w:hAnsi="Calibri" w:cs="Calibri"/>
          <w:color w:val="000000" w:themeColor="text1"/>
        </w:rPr>
        <w:t>Vórtx DTVM</w:t>
      </w:r>
      <w:r>
        <w:rPr>
          <w:rFonts w:ascii="Calibri" w:hAnsi="Calibri" w:cs="Calibri"/>
          <w:color w:val="000000" w:themeColor="text1"/>
        </w:rPr>
        <w:t>, entidade autorizada a prestar serviços de escrituração de valores mobiliários,</w:t>
      </w:r>
      <w:r w:rsidRPr="212D3F92" w:rsidDel="006C700A">
        <w:rPr>
          <w:rFonts w:ascii="Calibri" w:hAnsi="Calibri" w:cs="Calibri"/>
          <w:color w:val="000000" w:themeColor="text1"/>
        </w:rPr>
        <w:t xml:space="preserve"> </w:t>
      </w:r>
      <w:r w:rsidRPr="212D3F92">
        <w:rPr>
          <w:rFonts w:ascii="Calibri" w:hAnsi="Calibri" w:cs="Calibri"/>
          <w:color w:val="000000" w:themeColor="text1"/>
        </w:rPr>
        <w:t>a realizar</w:t>
      </w:r>
      <w:r>
        <w:rPr>
          <w:rFonts w:asciiTheme="minorHAnsi" w:hAnsiTheme="minorHAnsi" w:cstheme="minorHAnsi"/>
          <w:color w:val="000000" w:themeColor="text1"/>
        </w:rPr>
        <w:t>,</w:t>
      </w:r>
      <w:r w:rsidRPr="00F62004">
        <w:rPr>
          <w:rFonts w:asciiTheme="minorHAnsi" w:hAnsiTheme="minorHAnsi" w:cstheme="minorHAnsi"/>
        </w:rPr>
        <w:t xml:space="preserve"> </w:t>
      </w:r>
      <w:r w:rsidRPr="00680335">
        <w:rPr>
          <w:rFonts w:asciiTheme="minorHAnsi" w:hAnsiTheme="minorHAnsi" w:cstheme="minorHAnsi"/>
        </w:rPr>
        <w:t xml:space="preserve">no âmbito do </w:t>
      </w:r>
      <w:r w:rsidRPr="00680335">
        <w:rPr>
          <w:rFonts w:asciiTheme="minorHAnsi" w:hAnsiTheme="minorHAnsi" w:cstheme="minorHAnsi"/>
          <w:b/>
        </w:rPr>
        <w:t>Sandbox</w:t>
      </w:r>
      <w:r w:rsidRPr="00680335">
        <w:rPr>
          <w:rFonts w:asciiTheme="minorHAnsi" w:hAnsiTheme="minorHAnsi" w:cstheme="minorHAnsi"/>
        </w:rPr>
        <w:t xml:space="preserve"> Regulatório</w:t>
      </w:r>
      <w:r w:rsidRPr="00680335">
        <w:rPr>
          <w:rFonts w:asciiTheme="minorHAnsi" w:hAnsiTheme="minorHAnsi" w:cstheme="minorHAnsi"/>
          <w:color w:val="000000" w:themeColor="text1"/>
        </w:rPr>
        <w:t>,</w:t>
      </w:r>
      <w:r w:rsidRPr="0015291A">
        <w:rPr>
          <w:rFonts w:asciiTheme="minorHAnsi" w:hAnsiTheme="minorHAnsi" w:cstheme="minorHAnsi"/>
          <w:color w:val="000000" w:themeColor="text1"/>
        </w:rPr>
        <w:t xml:space="preserve"> </w:t>
      </w:r>
      <w:r w:rsidRPr="212D3F92">
        <w:rPr>
          <w:rFonts w:ascii="Calibri" w:hAnsi="Calibri" w:cs="Calibri"/>
          <w:color w:val="000000" w:themeColor="text1"/>
        </w:rPr>
        <w:t>a prestação de serviço de escrituração de valores mobiliários, nos termos da Resolução CVM nº 33, de 15 de maio de 2021, com dispensa de observância do</w:t>
      </w:r>
      <w:r w:rsidDel="0090711C">
        <w:rPr>
          <w:rFonts w:ascii="Calibri" w:hAnsi="Calibri" w:cs="Calibri"/>
        </w:rPr>
        <w:t xml:space="preserve"> </w:t>
      </w:r>
      <w:r w:rsidRPr="26093F84" w:rsidDel="0090711C">
        <w:rPr>
          <w:rFonts w:ascii="Calibri" w:hAnsi="Calibri" w:cs="Calibri"/>
        </w:rPr>
        <w:t>art</w:t>
      </w:r>
      <w:r w:rsidRPr="26093F84" w:rsidDel="003660A1">
        <w:rPr>
          <w:rFonts w:ascii="Calibri" w:hAnsi="Calibri" w:cs="Calibri"/>
        </w:rPr>
        <w:t xml:space="preserve">. </w:t>
      </w:r>
      <w:r w:rsidRPr="5D09316D">
        <w:rPr>
          <w:rFonts w:ascii="Calibri" w:hAnsi="Calibri" w:cs="Calibri"/>
        </w:rPr>
        <w:t>23</w:t>
      </w:r>
      <w:r>
        <w:t>;</w:t>
      </w:r>
    </w:p>
    <w:p w14:paraId="67A29529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</w:t>
      </w:r>
      <w:r w:rsidRPr="304726FE">
        <w:rPr>
          <w:rFonts w:ascii="Calibri" w:hAnsi="Calibri" w:cs="Calibri"/>
          <w:color w:val="000000" w:themeColor="text1"/>
        </w:rPr>
        <w:t>V – dispensar a observância do art. 4º, I</w:t>
      </w:r>
      <w:r w:rsidRPr="5CEF89A8">
        <w:rPr>
          <w:rFonts w:ascii="Calibri" w:hAnsi="Calibri" w:cs="Calibri"/>
          <w:color w:val="000000" w:themeColor="text1"/>
        </w:rPr>
        <w:t xml:space="preserve"> e II</w:t>
      </w:r>
      <w:r w:rsidRPr="304726FE">
        <w:rPr>
          <w:rFonts w:ascii="Calibri" w:hAnsi="Calibri" w:cs="Calibri"/>
          <w:color w:val="000000" w:themeColor="text1"/>
        </w:rPr>
        <w:t xml:space="preserve">, da Resolução CVM nº 31, de 19 de maio de 2021, para as atividades realizadas pela </w:t>
      </w:r>
      <w:r w:rsidRPr="006C700A">
        <w:rPr>
          <w:rFonts w:ascii="Calibri" w:hAnsi="Calibri" w:cs="Calibri"/>
          <w:color w:val="000000" w:themeColor="text1"/>
        </w:rPr>
        <w:t>Vórtx DTVM</w:t>
      </w:r>
      <w:r w:rsidRPr="304726FE" w:rsidDel="006C700A">
        <w:rPr>
          <w:rFonts w:ascii="Calibri" w:hAnsi="Calibri" w:cs="Calibri"/>
          <w:color w:val="000000" w:themeColor="text1"/>
        </w:rPr>
        <w:t xml:space="preserve"> </w:t>
      </w:r>
      <w:r w:rsidRPr="566666A2">
        <w:rPr>
          <w:rFonts w:ascii="Calibri" w:hAnsi="Calibri" w:cs="Calibri"/>
          <w:color w:val="000000" w:themeColor="text1"/>
        </w:rPr>
        <w:t xml:space="preserve">e </w:t>
      </w:r>
      <w:r>
        <w:rPr>
          <w:rFonts w:ascii="Calibri" w:hAnsi="Calibri" w:cs="Calibri"/>
          <w:color w:val="000000" w:themeColor="text1"/>
        </w:rPr>
        <w:t xml:space="preserve">pela </w:t>
      </w:r>
      <w:r w:rsidRPr="566666A2">
        <w:rPr>
          <w:rFonts w:ascii="Calibri" w:hAnsi="Calibri" w:cs="Calibri"/>
          <w:color w:val="000000" w:themeColor="text1"/>
        </w:rPr>
        <w:t>Vórtx QR Tokenizadora</w:t>
      </w:r>
      <w:r w:rsidRPr="00F62004">
        <w:rPr>
          <w:rFonts w:asciiTheme="minorHAnsi" w:hAnsiTheme="minorHAnsi" w:cstheme="minorHAnsi"/>
        </w:rPr>
        <w:t xml:space="preserve"> </w:t>
      </w:r>
      <w:r w:rsidRPr="00680335">
        <w:rPr>
          <w:rFonts w:asciiTheme="minorHAnsi" w:hAnsiTheme="minorHAnsi" w:cstheme="minorHAnsi"/>
        </w:rPr>
        <w:t xml:space="preserve">no âmbito do </w:t>
      </w:r>
      <w:r w:rsidRPr="00680335">
        <w:rPr>
          <w:rFonts w:asciiTheme="minorHAnsi" w:hAnsiTheme="minorHAnsi" w:cstheme="minorHAnsi"/>
          <w:b/>
        </w:rPr>
        <w:t>Sandbox</w:t>
      </w:r>
      <w:r w:rsidRPr="00680335">
        <w:rPr>
          <w:rFonts w:asciiTheme="minorHAnsi" w:hAnsiTheme="minorHAnsi" w:cstheme="minorHAnsi"/>
        </w:rPr>
        <w:t xml:space="preserve"> Regulatório</w:t>
      </w:r>
      <w:r w:rsidRPr="566666A2">
        <w:rPr>
          <w:rFonts w:ascii="Calibri" w:hAnsi="Calibri" w:cs="Calibri"/>
          <w:color w:val="000000" w:themeColor="text1"/>
        </w:rPr>
        <w:t xml:space="preserve">; </w:t>
      </w:r>
    </w:p>
    <w:p w14:paraId="54B421A9" w14:textId="1A078897" w:rsidR="000F4BE8" w:rsidRDefault="000F4BE8" w:rsidP="000F4BE8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</w:t>
      </w:r>
      <w:r w:rsidRPr="304726FE">
        <w:rPr>
          <w:rFonts w:ascii="Calibri" w:hAnsi="Calibri" w:cs="Calibri"/>
          <w:color w:val="000000" w:themeColor="text1"/>
        </w:rPr>
        <w:t>V</w:t>
      </w:r>
      <w:r>
        <w:rPr>
          <w:rFonts w:ascii="Calibri" w:hAnsi="Calibri" w:cs="Calibri"/>
          <w:color w:val="000000" w:themeColor="text1"/>
        </w:rPr>
        <w:t>-A</w:t>
      </w:r>
      <w:r w:rsidRPr="304726FE">
        <w:rPr>
          <w:rFonts w:ascii="Calibri" w:hAnsi="Calibri" w:cs="Calibri"/>
          <w:color w:val="000000" w:themeColor="text1"/>
        </w:rPr>
        <w:t xml:space="preserve"> –</w:t>
      </w:r>
      <w:r w:rsidR="004A6E99" w:rsidRPr="004A6E99">
        <w:rPr>
          <w:rFonts w:ascii="Calibri" w:hAnsi="Calibri" w:cs="Calibri"/>
          <w:color w:val="000000" w:themeColor="text1"/>
        </w:rPr>
        <w:t xml:space="preserve"> dispensar a observância do art. 6º, III e VII, da Resolução CVM 17, de 9 de fevereiro de 2021, para as atividades realizadas pela Vórtx Distribuidora de Títulos e Valores Mobiliários Ltda. e Vórtx QR Tokenizadora Ltda. no âmbito do Sandbox Regulatório</w:t>
      </w:r>
      <w:r w:rsidRPr="566666A2">
        <w:rPr>
          <w:rFonts w:ascii="Calibri" w:hAnsi="Calibri" w:cs="Calibri"/>
          <w:color w:val="000000" w:themeColor="text1"/>
        </w:rPr>
        <w:t xml:space="preserve">; </w:t>
      </w:r>
    </w:p>
    <w:p w14:paraId="550C3E9B" w14:textId="2F2A7288" w:rsidR="006709D3" w:rsidRPr="00A32BD1" w:rsidRDefault="006709D3" w:rsidP="00293E24">
      <w:pPr>
        <w:pStyle w:val="textojustificado"/>
        <w:numPr>
          <w:ilvl w:val="0"/>
          <w:numId w:val="11"/>
        </w:numPr>
        <w:spacing w:before="120" w:beforeAutospacing="0" w:after="120" w:afterAutospacing="0" w:line="312" w:lineRule="auto"/>
        <w:ind w:left="993" w:hanging="284"/>
        <w:jc w:val="both"/>
        <w:rPr>
          <w:rFonts w:ascii="Calibri" w:hAnsi="Calibri" w:cs="Calibri"/>
          <w:b/>
          <w:bCs/>
          <w:i/>
          <w:iCs/>
          <w:color w:val="000000" w:themeColor="text1"/>
        </w:rPr>
      </w:pPr>
      <w:r w:rsidRPr="00A32BD1">
        <w:rPr>
          <w:rFonts w:ascii="Calibri" w:hAnsi="Calibri" w:cs="Calibri"/>
          <w:b/>
          <w:bCs/>
          <w:i/>
          <w:iCs/>
          <w:color w:val="000000" w:themeColor="text1"/>
        </w:rPr>
        <w:t xml:space="preserve">Item IV-A incluído pela Deliberação CVM nº 878, de 15 de fevereiro de 2022. </w:t>
      </w:r>
    </w:p>
    <w:p w14:paraId="63413E4D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color w:val="000000" w:themeColor="text1"/>
        </w:rPr>
      </w:pPr>
      <w:r w:rsidRPr="304726FE">
        <w:rPr>
          <w:rFonts w:ascii="Calibri" w:hAnsi="Calibri" w:cs="Calibri"/>
          <w:color w:val="000000" w:themeColor="text1"/>
        </w:rPr>
        <w:lastRenderedPageBreak/>
        <w:t>V – que a realização das atividades autorizadas deve observar os seguintes limites</w:t>
      </w:r>
      <w:r>
        <w:rPr>
          <w:rFonts w:ascii="Calibri" w:hAnsi="Calibri" w:cs="Calibri"/>
          <w:color w:val="000000" w:themeColor="text1"/>
        </w:rPr>
        <w:t>,</w:t>
      </w:r>
      <w:r w:rsidRPr="304726FE">
        <w:rPr>
          <w:rFonts w:ascii="Calibri" w:hAnsi="Calibri" w:cs="Calibri"/>
          <w:color w:val="000000" w:themeColor="text1"/>
        </w:rPr>
        <w:t xml:space="preserve"> condições</w:t>
      </w:r>
      <w:r>
        <w:rPr>
          <w:rFonts w:ascii="Calibri" w:hAnsi="Calibri" w:cs="Calibri"/>
          <w:color w:val="000000" w:themeColor="text1"/>
        </w:rPr>
        <w:t xml:space="preserve"> e salvaguardas</w:t>
      </w:r>
      <w:r w:rsidRPr="304726FE">
        <w:rPr>
          <w:rFonts w:ascii="Calibri" w:hAnsi="Calibri" w:cs="Calibri"/>
          <w:color w:val="000000" w:themeColor="text1"/>
        </w:rPr>
        <w:t>:</w:t>
      </w:r>
    </w:p>
    <w:p w14:paraId="59000C34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E7E4C79">
        <w:rPr>
          <w:rFonts w:ascii="Calibri" w:hAnsi="Calibri" w:cs="Calibri"/>
        </w:rPr>
        <w:t>a) apenas investidores profissionais e qualificados, nos termos da Resolução CVM</w:t>
      </w:r>
      <w:r>
        <w:rPr>
          <w:rFonts w:ascii="Calibri" w:hAnsi="Calibri" w:cs="Calibri"/>
        </w:rPr>
        <w:t xml:space="preserve"> nº</w:t>
      </w:r>
      <w:r w:rsidRPr="0E7E4C79">
        <w:rPr>
          <w:rFonts w:ascii="Calibri" w:hAnsi="Calibri" w:cs="Calibri"/>
        </w:rPr>
        <w:t xml:space="preserve"> 30</w:t>
      </w:r>
      <w:r>
        <w:rPr>
          <w:rFonts w:ascii="Calibri" w:hAnsi="Calibri" w:cs="Calibri"/>
        </w:rPr>
        <w:t>,</w:t>
      </w:r>
      <w:r w:rsidRPr="00947041">
        <w:rPr>
          <w:rFonts w:ascii="Calibri" w:hAnsi="Calibri" w:cs="Calibri"/>
        </w:rPr>
        <w:t xml:space="preserve"> de 11 de maio de 2021</w:t>
      </w:r>
      <w:r w:rsidRPr="0E7E4C79">
        <w:rPr>
          <w:rFonts w:ascii="Calibri" w:hAnsi="Calibri" w:cs="Calibri"/>
        </w:rPr>
        <w:t xml:space="preserve">, poderão participar das ofertas e negociações realizadas </w:t>
      </w:r>
      <w:r w:rsidRPr="00680335">
        <w:rPr>
          <w:rFonts w:asciiTheme="minorHAnsi" w:hAnsiTheme="minorHAnsi" w:cstheme="minorHAnsi"/>
        </w:rPr>
        <w:t xml:space="preserve">no âmbito do </w:t>
      </w:r>
      <w:r w:rsidRPr="00680335">
        <w:rPr>
          <w:rFonts w:asciiTheme="minorHAnsi" w:hAnsiTheme="minorHAnsi" w:cstheme="minorHAnsi"/>
          <w:b/>
        </w:rPr>
        <w:t>Sandbox</w:t>
      </w:r>
      <w:r w:rsidRPr="00680335">
        <w:rPr>
          <w:rFonts w:asciiTheme="minorHAnsi" w:hAnsiTheme="minorHAnsi" w:cstheme="minorHAnsi"/>
        </w:rPr>
        <w:t xml:space="preserve"> Regulatório</w:t>
      </w:r>
      <w:r w:rsidRPr="0E7E4C79">
        <w:rPr>
          <w:rFonts w:ascii="Calibri" w:hAnsi="Calibri" w:cs="Calibri"/>
        </w:rPr>
        <w:t>;</w:t>
      </w:r>
    </w:p>
    <w:p w14:paraId="71E106DF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</w:rPr>
      </w:pPr>
      <w:r w:rsidRPr="0E7E4C79">
        <w:rPr>
          <w:rFonts w:ascii="Calibri" w:hAnsi="Calibri" w:cs="Calibri"/>
        </w:rPr>
        <w:t xml:space="preserve">b) o mercado de balcão organizado </w:t>
      </w:r>
      <w:r>
        <w:rPr>
          <w:rFonts w:ascii="Calibri" w:hAnsi="Calibri" w:cs="Calibri"/>
        </w:rPr>
        <w:t>deve funcionar</w:t>
      </w:r>
      <w:r w:rsidRPr="0E7E4C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apenas</w:t>
      </w:r>
      <w:r w:rsidRPr="0E7E4C79">
        <w:rPr>
          <w:rFonts w:ascii="Calibri" w:hAnsi="Calibri" w:cs="Calibri"/>
        </w:rPr>
        <w:t xml:space="preserve"> na modalidade de</w:t>
      </w:r>
      <w:r>
        <w:rPr>
          <w:rFonts w:ascii="Calibri" w:hAnsi="Calibri" w:cs="Calibri"/>
        </w:rPr>
        <w:t xml:space="preserve"> </w:t>
      </w:r>
      <w:r w:rsidRPr="0E7E4C79">
        <w:rPr>
          <w:rFonts w:ascii="Calibri" w:hAnsi="Calibri" w:cs="Calibri"/>
        </w:rPr>
        <w:t>sistema</w:t>
      </w:r>
      <w:r>
        <w:rPr>
          <w:rFonts w:ascii="Calibri" w:hAnsi="Calibri" w:cs="Calibri"/>
        </w:rPr>
        <w:t xml:space="preserve"> centralizado e</w:t>
      </w:r>
      <w:r w:rsidRPr="0E7E4C79">
        <w:rPr>
          <w:rFonts w:ascii="Calibri" w:hAnsi="Calibri" w:cs="Calibri"/>
          <w:color w:val="881798"/>
        </w:rPr>
        <w:t xml:space="preserve"> </w:t>
      </w:r>
      <w:r w:rsidRPr="0E7E4C79">
        <w:rPr>
          <w:rFonts w:ascii="Calibri" w:hAnsi="Calibri" w:cs="Calibri"/>
        </w:rPr>
        <w:t>multilateral de negociação, nos termos do art. 92, inc</w:t>
      </w:r>
      <w:r>
        <w:rPr>
          <w:rFonts w:ascii="Calibri" w:hAnsi="Calibri" w:cs="Calibri"/>
        </w:rPr>
        <w:t>iso</w:t>
      </w:r>
      <w:r w:rsidRPr="0E7E4C79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>,</w:t>
      </w:r>
      <w:r w:rsidRPr="0E7E4C79">
        <w:rPr>
          <w:rFonts w:ascii="Calibri" w:hAnsi="Calibri" w:cs="Calibri"/>
        </w:rPr>
        <w:t xml:space="preserve"> da Instrução CVM </w:t>
      </w:r>
      <w:r>
        <w:rPr>
          <w:rFonts w:ascii="Calibri" w:hAnsi="Calibri" w:cs="Calibri"/>
        </w:rPr>
        <w:t xml:space="preserve">nº </w:t>
      </w:r>
      <w:r w:rsidRPr="0E7E4C79">
        <w:rPr>
          <w:rFonts w:ascii="Calibri" w:hAnsi="Calibri" w:cs="Calibri"/>
        </w:rPr>
        <w:t>461,</w:t>
      </w:r>
      <w:r>
        <w:rPr>
          <w:rFonts w:ascii="Calibri" w:hAnsi="Calibri" w:cs="Calibri"/>
        </w:rPr>
        <w:t xml:space="preserve"> de 2007</w:t>
      </w:r>
      <w:r w:rsidRPr="0E7E4C79">
        <w:rPr>
          <w:rFonts w:ascii="Calibri" w:hAnsi="Calibri" w:cs="Calibri"/>
        </w:rPr>
        <w:t>;</w:t>
      </w:r>
    </w:p>
    <w:p w14:paraId="2FAC6C5F" w14:textId="77777777" w:rsidR="00156AE5" w:rsidRPr="00D54168" w:rsidRDefault="00E110CD" w:rsidP="00E110CD">
      <w:pPr>
        <w:pStyle w:val="PargrafodaLista"/>
        <w:tabs>
          <w:tab w:val="left" w:pos="1134"/>
        </w:tabs>
        <w:ind w:left="0" w:firstLine="703"/>
        <w:rPr>
          <w:strike/>
        </w:rPr>
      </w:pPr>
      <w:r w:rsidRPr="00D54168">
        <w:rPr>
          <w:rFonts w:ascii="Calibri" w:hAnsi="Calibri" w:cs="Calibri"/>
          <w:strike/>
        </w:rPr>
        <w:t xml:space="preserve">c) </w:t>
      </w:r>
      <w:r w:rsidRPr="00D54168">
        <w:rPr>
          <w:strike/>
          <w:color w:val="000000" w:themeColor="text1"/>
        </w:rPr>
        <w:t xml:space="preserve">as ofertas públicas de valores mobiliários e as negociações em mercado organizado realizadas nos termos desta Deliberação são restritas </w:t>
      </w:r>
      <w:r w:rsidRPr="00D54168">
        <w:rPr>
          <w:strike/>
        </w:rPr>
        <w:t>a, no máximo, 12 (doze) emissores ativos;</w:t>
      </w:r>
    </w:p>
    <w:p w14:paraId="04C65068" w14:textId="77777777" w:rsidR="00156AE5" w:rsidRPr="00792FF5" w:rsidRDefault="00156AE5" w:rsidP="004A5293">
      <w:pPr>
        <w:ind w:firstLine="709"/>
      </w:pPr>
      <w:r w:rsidRPr="00792FF5">
        <w:t>c) as ofertas públicas de valores mobiliários e as negociações em mercado organizado realizadas nos termos desta Deliberação são restritas a: (i) no máximo, 12 (doze) emissores ativos, no caso de operações envolvendo debêntures, cotas de fundos de investimento fechados e certificados de depósito e certificados de valores mobiliários que tenham como lastro tais valores mobiliários; e (ii) no máximo, 12 (doze) emissões ativas, no caso de operações envolvendo certificados de recebíveis imobiliários e certificados de recebíveis do agronegócio e certificados de depósito e certificados de valores mobiliários que tenham como lastro tais valores mobiliários.</w:t>
      </w:r>
    </w:p>
    <w:p w14:paraId="457717A2" w14:textId="1796C707" w:rsidR="004A5293" w:rsidRPr="0096249A" w:rsidRDefault="00E110CD" w:rsidP="004A5293">
      <w:pPr>
        <w:pStyle w:val="textojustificado"/>
        <w:numPr>
          <w:ilvl w:val="0"/>
          <w:numId w:val="12"/>
        </w:numPr>
        <w:spacing w:before="120" w:beforeAutospacing="0" w:after="120" w:afterAutospacing="0" w:line="312" w:lineRule="auto"/>
        <w:ind w:left="993" w:hanging="284"/>
        <w:jc w:val="both"/>
        <w:rPr>
          <w:rFonts w:asciiTheme="minorHAnsi" w:hAnsiTheme="minorHAnsi" w:cstheme="minorHAnsi"/>
        </w:rPr>
      </w:pPr>
      <w:r>
        <w:t xml:space="preserve"> </w:t>
      </w:r>
      <w:r w:rsidR="00F64FBB">
        <w:rPr>
          <w:rFonts w:ascii="Calibri" w:hAnsi="Calibri" w:cs="Calibri"/>
          <w:b/>
          <w:bCs/>
          <w:i/>
          <w:iCs/>
          <w:color w:val="000000" w:themeColor="text1"/>
        </w:rPr>
        <w:t>Alínea “c”</w:t>
      </w:r>
      <w:r w:rsidR="004A5293" w:rsidRPr="0096249A">
        <w:rPr>
          <w:rFonts w:ascii="Calibri" w:hAnsi="Calibri" w:cs="Calibri"/>
          <w:b/>
          <w:bCs/>
          <w:i/>
          <w:iCs/>
          <w:color w:val="000000" w:themeColor="text1"/>
        </w:rPr>
        <w:t xml:space="preserve"> com redação dada pela Deliberação CVM nº 88</w:t>
      </w:r>
      <w:r w:rsidR="004A5293">
        <w:rPr>
          <w:rFonts w:ascii="Calibri" w:hAnsi="Calibri" w:cs="Calibri"/>
          <w:b/>
          <w:bCs/>
          <w:i/>
          <w:iCs/>
          <w:color w:val="000000" w:themeColor="text1"/>
        </w:rPr>
        <w:t>6, de 15 de fevereiro de 2023</w:t>
      </w:r>
      <w:r w:rsidR="004A5293" w:rsidRPr="0096249A">
        <w:rPr>
          <w:rFonts w:ascii="Calibri" w:hAnsi="Calibri" w:cs="Calibri"/>
          <w:b/>
          <w:bCs/>
          <w:i/>
          <w:iCs/>
          <w:color w:val="000000" w:themeColor="text1"/>
        </w:rPr>
        <w:t>.</w:t>
      </w:r>
    </w:p>
    <w:p w14:paraId="621B19BB" w14:textId="66688962" w:rsidR="00E110CD" w:rsidRPr="00E85D53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Style w:val="normaltextrun"/>
          <w:rFonts w:ascii="Calibri" w:hAnsi="Calibri" w:cs="Calibri"/>
          <w:strike/>
        </w:rPr>
      </w:pPr>
      <w:r w:rsidRPr="00E85D53">
        <w:rPr>
          <w:rStyle w:val="normaltextrun"/>
          <w:rFonts w:ascii="Calibri" w:hAnsi="Calibri" w:cs="Calibri"/>
          <w:strike/>
        </w:rPr>
        <w:t xml:space="preserve">d) as operações </w:t>
      </w:r>
      <w:r w:rsidRPr="00E85D53">
        <w:rPr>
          <w:rFonts w:ascii="Calibri" w:hAnsi="Calibri" w:cs="Calibri"/>
          <w:strike/>
          <w:color w:val="000000" w:themeColor="text1"/>
        </w:rPr>
        <w:t xml:space="preserve">da Vórtx DTVM e da Vórtx QR Tokenizadora </w:t>
      </w:r>
      <w:r w:rsidRPr="00E85D53">
        <w:rPr>
          <w:rStyle w:val="normaltextrun"/>
          <w:rFonts w:ascii="Calibri" w:hAnsi="Calibri" w:cs="Calibri"/>
          <w:strike/>
        </w:rPr>
        <w:t xml:space="preserve">no âmbito do </w:t>
      </w:r>
      <w:r w:rsidRPr="00E85D53">
        <w:rPr>
          <w:rStyle w:val="normaltextrun"/>
          <w:rFonts w:ascii="Calibri" w:hAnsi="Calibri" w:cs="Calibri"/>
          <w:b/>
          <w:bCs/>
          <w:strike/>
        </w:rPr>
        <w:t>Sandbox</w:t>
      </w:r>
      <w:r w:rsidRPr="00E85D53">
        <w:rPr>
          <w:rStyle w:val="normaltextrun"/>
          <w:rFonts w:ascii="Calibri" w:hAnsi="Calibri" w:cs="Calibri"/>
          <w:strike/>
        </w:rPr>
        <w:t xml:space="preserve"> Regulatório se restringem a debêntures</w:t>
      </w:r>
      <w:r w:rsidR="00C67EF9" w:rsidRPr="00E85D53">
        <w:rPr>
          <w:rStyle w:val="normaltextrun"/>
          <w:rFonts w:ascii="Calibri" w:hAnsi="Calibri" w:cs="Calibri"/>
          <w:strike/>
        </w:rPr>
        <w:t xml:space="preserve"> e</w:t>
      </w:r>
      <w:r w:rsidRPr="00E85D53">
        <w:rPr>
          <w:rStyle w:val="normaltextrun"/>
          <w:rFonts w:ascii="Calibri" w:hAnsi="Calibri" w:cs="Calibri"/>
          <w:strike/>
        </w:rPr>
        <w:t xml:space="preserve"> cotas de fundos de investimento fechados, </w:t>
      </w:r>
      <w:r w:rsidR="00C67EF9" w:rsidRPr="00E85D53">
        <w:rPr>
          <w:rStyle w:val="normaltextrun"/>
          <w:rFonts w:ascii="Calibri" w:hAnsi="Calibri" w:cs="Calibri"/>
          <w:strike/>
        </w:rPr>
        <w:t>bem como</w:t>
      </w:r>
      <w:r w:rsidRPr="00E85D53">
        <w:rPr>
          <w:rStyle w:val="normaltextrun"/>
          <w:rFonts w:ascii="Calibri" w:hAnsi="Calibri" w:cs="Calibri"/>
          <w:strike/>
        </w:rPr>
        <w:t xml:space="preserve"> certificados de depósito e certificados de valores mobiliários</w:t>
      </w:r>
      <w:r w:rsidR="00BA1331" w:rsidRPr="00E85D53">
        <w:rPr>
          <w:rStyle w:val="normaltextrun"/>
          <w:rFonts w:ascii="Calibri" w:hAnsi="Calibri" w:cs="Calibri"/>
          <w:strike/>
        </w:rPr>
        <w:t xml:space="preserve"> que tenham como lastro tais valores</w:t>
      </w:r>
      <w:r w:rsidR="00264D3C" w:rsidRPr="00E85D53">
        <w:rPr>
          <w:rStyle w:val="normaltextrun"/>
          <w:rFonts w:ascii="Calibri" w:hAnsi="Calibri" w:cs="Calibri"/>
          <w:strike/>
        </w:rPr>
        <w:t xml:space="preserve"> mobiliários</w:t>
      </w:r>
      <w:r w:rsidRPr="00E85D53">
        <w:rPr>
          <w:rStyle w:val="normaltextrun"/>
          <w:rFonts w:ascii="Calibri" w:hAnsi="Calibri" w:cs="Calibri"/>
          <w:strike/>
        </w:rPr>
        <w:t>;</w:t>
      </w:r>
    </w:p>
    <w:p w14:paraId="1474A412" w14:textId="18D0A4FC" w:rsidR="00E85D53" w:rsidRDefault="00E85D53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Style w:val="normaltextrun"/>
          <w:rFonts w:ascii="Calibri" w:hAnsi="Calibri" w:cs="Calibri"/>
        </w:rPr>
      </w:pPr>
      <w:r w:rsidRPr="00E85D53">
        <w:rPr>
          <w:rStyle w:val="normaltextrun"/>
          <w:rFonts w:ascii="Calibri" w:hAnsi="Calibri" w:cs="Calibri"/>
        </w:rPr>
        <w:t xml:space="preserve">d) as operações da Vórtx DTVM e da Vórtx QR Tokenizadora no âmbito do </w:t>
      </w:r>
      <w:r w:rsidRPr="00994B5F">
        <w:rPr>
          <w:rStyle w:val="normaltextrun"/>
          <w:rFonts w:ascii="Calibri" w:hAnsi="Calibri" w:cs="Calibri"/>
          <w:b/>
          <w:bCs/>
        </w:rPr>
        <w:t>Sandbox</w:t>
      </w:r>
      <w:r w:rsidRPr="00E85D53">
        <w:rPr>
          <w:rStyle w:val="normaltextrun"/>
          <w:rFonts w:ascii="Calibri" w:hAnsi="Calibri" w:cs="Calibri"/>
        </w:rPr>
        <w:t xml:space="preserve"> Regulatório se restringem a debêntures, cotas de fundos de investimento fechados, certificados de recebíveis imobiliários e certificados de recebíveis do agronegócio, bem como certificados de depósito e certificados de valores mobiliários que tenham como lastro tais valores mobiliários;</w:t>
      </w:r>
    </w:p>
    <w:p w14:paraId="1A800ACF" w14:textId="4C6653E2" w:rsidR="00E85D53" w:rsidRPr="0096249A" w:rsidRDefault="00E85D53" w:rsidP="00E85D53">
      <w:pPr>
        <w:pStyle w:val="textojustificado"/>
        <w:numPr>
          <w:ilvl w:val="0"/>
          <w:numId w:val="12"/>
        </w:numPr>
        <w:spacing w:before="120" w:beforeAutospacing="0" w:after="120" w:afterAutospacing="0" w:line="312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  <w:i/>
          <w:iCs/>
          <w:color w:val="000000" w:themeColor="text1"/>
        </w:rPr>
        <w:t>Alínea “</w:t>
      </w:r>
      <w:r>
        <w:rPr>
          <w:rFonts w:ascii="Calibri" w:hAnsi="Calibri" w:cs="Calibri"/>
          <w:b/>
          <w:bCs/>
          <w:i/>
          <w:iCs/>
          <w:color w:val="000000" w:themeColor="text1"/>
        </w:rPr>
        <w:t>d</w:t>
      </w:r>
      <w:r>
        <w:rPr>
          <w:rFonts w:ascii="Calibri" w:hAnsi="Calibri" w:cs="Calibri"/>
          <w:b/>
          <w:bCs/>
          <w:i/>
          <w:iCs/>
          <w:color w:val="000000" w:themeColor="text1"/>
        </w:rPr>
        <w:t>”</w:t>
      </w:r>
      <w:r w:rsidRPr="0096249A">
        <w:rPr>
          <w:rFonts w:ascii="Calibri" w:hAnsi="Calibri" w:cs="Calibri"/>
          <w:b/>
          <w:bCs/>
          <w:i/>
          <w:iCs/>
          <w:color w:val="000000" w:themeColor="text1"/>
        </w:rPr>
        <w:t xml:space="preserve"> com redação dada pela Deliberação CVM nº 88</w:t>
      </w:r>
      <w:r>
        <w:rPr>
          <w:rFonts w:ascii="Calibri" w:hAnsi="Calibri" w:cs="Calibri"/>
          <w:b/>
          <w:bCs/>
          <w:i/>
          <w:iCs/>
          <w:color w:val="000000" w:themeColor="text1"/>
        </w:rPr>
        <w:t>6, de 15 de fevereiro de 2023</w:t>
      </w:r>
      <w:r w:rsidRPr="0096249A">
        <w:rPr>
          <w:rFonts w:ascii="Calibri" w:hAnsi="Calibri" w:cs="Calibri"/>
          <w:b/>
          <w:bCs/>
          <w:i/>
          <w:iCs/>
          <w:color w:val="000000" w:themeColor="text1"/>
        </w:rPr>
        <w:t>.</w:t>
      </w:r>
    </w:p>
    <w:p w14:paraId="44B707E1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Style w:val="normaltextrun"/>
          <w:rFonts w:ascii="Calibri" w:hAnsi="Calibri" w:cs="Calibri"/>
        </w:rPr>
      </w:pPr>
      <w:r w:rsidRPr="00070264">
        <w:rPr>
          <w:rStyle w:val="normaltextrun"/>
          <w:rFonts w:ascii="Calibri" w:hAnsi="Calibri" w:cs="Calibri"/>
        </w:rPr>
        <w:t xml:space="preserve">e) </w:t>
      </w:r>
      <w:r w:rsidRPr="0015291A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5291A">
        <w:rPr>
          <w:rFonts w:asciiTheme="minorHAnsi" w:hAnsiTheme="minorHAnsi" w:cstheme="minorHAnsi"/>
          <w:color w:val="000000" w:themeColor="text1"/>
        </w:rPr>
        <w:t xml:space="preserve">Vórtx Distribuidora de Títulos e Valores Mobiliários Ltda. </w:t>
      </w:r>
      <w:r w:rsidRPr="00EE2FAC">
        <w:rPr>
          <w:rFonts w:asciiTheme="minorHAnsi" w:hAnsiTheme="minorHAnsi" w:cstheme="minorHAnsi"/>
          <w:color w:val="000000" w:themeColor="text1"/>
        </w:rPr>
        <w:t>deve elaborar, para cada oferta pública realizada nos termos desta Deliberação, documento com as informações essenciais da oferta e do emissor, cujo modelo deve ser aprovado nos termos do inciso IX desta Deliberação;</w:t>
      </w:r>
      <w:r>
        <w:rPr>
          <w:rStyle w:val="normaltextrun"/>
          <w:rFonts w:ascii="Calibri" w:hAnsi="Calibri" w:cs="Calibri"/>
        </w:rPr>
        <w:t xml:space="preserve"> </w:t>
      </w:r>
    </w:p>
    <w:p w14:paraId="3CB620A0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 xml:space="preserve">f) </w:t>
      </w:r>
      <w:r w:rsidRPr="00361469">
        <w:rPr>
          <w:rStyle w:val="normaltextrun"/>
          <w:rFonts w:ascii="Calibri" w:hAnsi="Calibri" w:cs="Calibri"/>
        </w:rPr>
        <w:t>os valores mobiliários ou os lastros de certificados de depósito de valores mobiliários que serão admitidos à negociação no mercado de balcão organizado autorizado por meio desta Deliberação não podem ser concomitantemente admitidos à negociação em outro mercado organizado</w:t>
      </w:r>
      <w:r>
        <w:rPr>
          <w:rStyle w:val="normaltextrun"/>
          <w:rFonts w:ascii="Calibri" w:hAnsi="Calibri" w:cs="Calibri"/>
        </w:rPr>
        <w:t>;</w:t>
      </w:r>
    </w:p>
    <w:p w14:paraId="320E6474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</w:t>
      </w:r>
      <w:r w:rsidRPr="00C94139">
        <w:rPr>
          <w:rStyle w:val="normaltextrun"/>
          <w:rFonts w:ascii="Calibri" w:hAnsi="Calibri" w:cs="Calibri"/>
        </w:rPr>
        <w:t xml:space="preserve">) o contrato de adesão a ser subscrito pelo investidor deve conter cláusula de ressarcimento, por parte de </w:t>
      </w:r>
      <w:r w:rsidRPr="00C94139">
        <w:rPr>
          <w:rFonts w:ascii="Calibri" w:hAnsi="Calibri" w:cs="Calibri"/>
          <w:color w:val="000000" w:themeColor="text1"/>
        </w:rPr>
        <w:t>Vórtx QR Tokenizadora</w:t>
      </w:r>
      <w:r w:rsidRPr="00C94139" w:rsidDel="00E743B1">
        <w:rPr>
          <w:rFonts w:ascii="Calibri" w:hAnsi="Calibri" w:cs="Calibri"/>
          <w:color w:val="000000" w:themeColor="text1"/>
        </w:rPr>
        <w:t xml:space="preserve"> </w:t>
      </w:r>
      <w:r w:rsidRPr="00C94139">
        <w:rPr>
          <w:rStyle w:val="normaltextrun"/>
          <w:rFonts w:ascii="Calibri" w:hAnsi="Calibri" w:cs="Calibri"/>
        </w:rPr>
        <w:t xml:space="preserve">e da Vórtx DTVM, </w:t>
      </w:r>
      <w:r w:rsidRPr="00066DAE">
        <w:rPr>
          <w:rStyle w:val="normaltextrun"/>
          <w:rFonts w:ascii="Calibri" w:hAnsi="Calibri" w:cs="Calibri"/>
        </w:rPr>
        <w:t>para contemplar hipóteses e formas de ressarcimento em caso de prejuízos decorrentes de erros operacionais ou falhas no sistema de negociação do mercado de balcão</w:t>
      </w:r>
      <w:r>
        <w:rPr>
          <w:rStyle w:val="normaltextrun"/>
          <w:rFonts w:ascii="Calibri" w:hAnsi="Calibri" w:cs="Calibri"/>
        </w:rPr>
        <w:t>, dentro de suas respectivas responsabilidades, cujo modelo deve ser aprovado nos termos do inciso IX desta Deliberação</w:t>
      </w:r>
      <w:r w:rsidRPr="00C94139">
        <w:rPr>
          <w:rStyle w:val="normaltextrun"/>
          <w:rFonts w:ascii="Calibri" w:hAnsi="Calibri" w:cs="Calibri"/>
        </w:rPr>
        <w:t>;</w:t>
      </w:r>
    </w:p>
    <w:p w14:paraId="6D30972C" w14:textId="3E6788F6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h)</w:t>
      </w:r>
      <w:r w:rsidRPr="0E1006FE">
        <w:rPr>
          <w:rFonts w:ascii="Calibri" w:hAnsi="Calibri" w:cs="Calibri"/>
        </w:rPr>
        <w:t xml:space="preserve"> não podem integrar a diretoria colegiada empregados ou prepostos da entidade administradora que exerçam qualquer outra função na entidade</w:t>
      </w:r>
      <w:r>
        <w:rPr>
          <w:rFonts w:ascii="Calibri" w:hAnsi="Calibri" w:cs="Calibri"/>
        </w:rPr>
        <w:t>,</w:t>
      </w:r>
      <w:r w:rsidRPr="000757EE">
        <w:rPr>
          <w:rFonts w:ascii="Calibri" w:hAnsi="Calibri" w:cs="Calibri"/>
        </w:rPr>
        <w:t xml:space="preserve"> </w:t>
      </w:r>
      <w:r w:rsidRPr="003A6914">
        <w:rPr>
          <w:rFonts w:ascii="Calibri" w:hAnsi="Calibri" w:cs="Calibri"/>
        </w:rPr>
        <w:t>exce</w:t>
      </w:r>
      <w:r w:rsidRPr="0E1006FE">
        <w:rPr>
          <w:rFonts w:ascii="Calibri" w:hAnsi="Calibri" w:cs="Calibri"/>
        </w:rPr>
        <w:t xml:space="preserve">to pelo diretor do departamento de </w:t>
      </w:r>
      <w:r>
        <w:rPr>
          <w:rFonts w:ascii="Calibri" w:hAnsi="Calibri" w:cs="Calibri"/>
          <w:b/>
          <w:bCs/>
        </w:rPr>
        <w:t>c</w:t>
      </w:r>
      <w:r w:rsidRPr="00FB5F13">
        <w:rPr>
          <w:rFonts w:ascii="Calibri" w:hAnsi="Calibri" w:cs="Calibri"/>
          <w:b/>
          <w:bCs/>
        </w:rPr>
        <w:t>ompliance</w:t>
      </w:r>
      <w:r w:rsidRPr="0E1006FE">
        <w:rPr>
          <w:rFonts w:ascii="Calibri" w:hAnsi="Calibri" w:cs="Calibri"/>
        </w:rPr>
        <w:t>, autorregulacão e supervisão de mercados</w:t>
      </w:r>
      <w:r>
        <w:rPr>
          <w:rFonts w:ascii="Calibri" w:hAnsi="Calibri" w:cs="Calibri"/>
        </w:rPr>
        <w:t>;</w:t>
      </w:r>
      <w:r w:rsidR="009B70FC">
        <w:rPr>
          <w:rFonts w:ascii="Calibri" w:hAnsi="Calibri" w:cs="Calibri"/>
        </w:rPr>
        <w:t xml:space="preserve"> e</w:t>
      </w:r>
    </w:p>
    <w:p w14:paraId="45FCCF09" w14:textId="38DEBEB7" w:rsidR="009B70FC" w:rsidRPr="00222213" w:rsidRDefault="009B70FC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Theme="minorHAnsi" w:hAnsiTheme="minorHAnsi" w:cstheme="minorHAnsi"/>
        </w:rPr>
      </w:pPr>
      <w:r w:rsidRPr="00222213">
        <w:rPr>
          <w:rFonts w:asciiTheme="minorHAnsi" w:hAnsiTheme="minorHAnsi" w:cstheme="minorHAnsi"/>
        </w:rPr>
        <w:t>i) a Vórtx QR Tokenizadora deve cumprir imediatamente sanções impostas por resoluções sancionatórias do Conselho de Segurança das Nações Unidas, nos termos dos arts. 27 e 28 da Resolução CVM nº 50, de 2021, mesmo durante o período em que a política de prevenção à lavagem de dinheiro,</w:t>
      </w:r>
      <w:r w:rsidRPr="00222213" w:rsidDel="0073002E">
        <w:rPr>
          <w:rFonts w:asciiTheme="minorHAnsi" w:hAnsiTheme="minorHAnsi" w:cstheme="minorHAnsi"/>
        </w:rPr>
        <w:t xml:space="preserve"> </w:t>
      </w:r>
      <w:r w:rsidRPr="00222213">
        <w:rPr>
          <w:rFonts w:asciiTheme="minorHAnsi" w:hAnsiTheme="minorHAnsi" w:cstheme="minorHAnsi"/>
        </w:rPr>
        <w:t>ao financiamento do terrorismo e ao financiamento da proliferação de armas de destruição em massa esteja em fase de elaboração e implementação;</w:t>
      </w:r>
    </w:p>
    <w:p w14:paraId="4B7F98F8" w14:textId="5C3900F8" w:rsidR="00222213" w:rsidRDefault="00222213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Theme="minorHAnsi" w:eastAsiaTheme="minorEastAsia" w:hAnsiTheme="minorHAnsi" w:cstheme="minorHAnsi"/>
        </w:rPr>
      </w:pPr>
      <w:r w:rsidRPr="00222213">
        <w:rPr>
          <w:rFonts w:asciiTheme="minorHAnsi" w:eastAsiaTheme="minorEastAsia" w:hAnsiTheme="minorHAnsi" w:cstheme="minorHAnsi"/>
        </w:rPr>
        <w:t>j) as ofertas públicas realizadas nos termos desta Deliberação de emissores não registrados na CVM apenas podem ser destinadas a investidores profissionais e qualificados.</w:t>
      </w:r>
    </w:p>
    <w:p w14:paraId="03AD5408" w14:textId="2EFF2CB2" w:rsidR="00FA5BBE" w:rsidRPr="0096249A" w:rsidRDefault="00FA5BBE" w:rsidP="00FA5BBE">
      <w:pPr>
        <w:pStyle w:val="textojustificado"/>
        <w:numPr>
          <w:ilvl w:val="0"/>
          <w:numId w:val="12"/>
        </w:numPr>
        <w:spacing w:before="120" w:beforeAutospacing="0" w:after="120" w:afterAutospacing="0" w:line="312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  <w:i/>
          <w:iCs/>
          <w:color w:val="000000" w:themeColor="text1"/>
        </w:rPr>
        <w:t>Alínea “</w:t>
      </w:r>
      <w:r>
        <w:rPr>
          <w:rFonts w:ascii="Calibri" w:hAnsi="Calibri" w:cs="Calibri"/>
          <w:b/>
          <w:bCs/>
          <w:i/>
          <w:iCs/>
          <w:color w:val="000000" w:themeColor="text1"/>
        </w:rPr>
        <w:t>j</w:t>
      </w:r>
      <w:r>
        <w:rPr>
          <w:rFonts w:ascii="Calibri" w:hAnsi="Calibri" w:cs="Calibri"/>
          <w:b/>
          <w:bCs/>
          <w:i/>
          <w:iCs/>
          <w:color w:val="000000" w:themeColor="text1"/>
        </w:rPr>
        <w:t>”</w:t>
      </w:r>
      <w:r w:rsidRPr="0096249A">
        <w:rPr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r w:rsidR="00F56185">
        <w:rPr>
          <w:rFonts w:ascii="Calibri" w:hAnsi="Calibri" w:cs="Calibri"/>
          <w:b/>
          <w:bCs/>
          <w:i/>
          <w:iCs/>
          <w:color w:val="000000" w:themeColor="text1"/>
        </w:rPr>
        <w:t xml:space="preserve">incluída pela </w:t>
      </w:r>
      <w:r w:rsidRPr="0096249A">
        <w:rPr>
          <w:rFonts w:ascii="Calibri" w:hAnsi="Calibri" w:cs="Calibri"/>
          <w:b/>
          <w:bCs/>
          <w:i/>
          <w:iCs/>
          <w:color w:val="000000" w:themeColor="text1"/>
        </w:rPr>
        <w:t>Deliberação CVM nº 88</w:t>
      </w:r>
      <w:r>
        <w:rPr>
          <w:rFonts w:ascii="Calibri" w:hAnsi="Calibri" w:cs="Calibri"/>
          <w:b/>
          <w:bCs/>
          <w:i/>
          <w:iCs/>
          <w:color w:val="000000" w:themeColor="text1"/>
        </w:rPr>
        <w:t>6, de 15 de fevereiro de 2023</w:t>
      </w:r>
      <w:r w:rsidRPr="0096249A">
        <w:rPr>
          <w:rFonts w:ascii="Calibri" w:hAnsi="Calibri" w:cs="Calibri"/>
          <w:b/>
          <w:bCs/>
          <w:i/>
          <w:iCs/>
          <w:color w:val="000000" w:themeColor="text1"/>
        </w:rPr>
        <w:t>.</w:t>
      </w:r>
    </w:p>
    <w:p w14:paraId="7C245570" w14:textId="77777777" w:rsidR="00E110CD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</w:rPr>
        <w:t>V</w:t>
      </w:r>
      <w:r w:rsidRPr="0E7E4C79">
        <w:rPr>
          <w:rFonts w:ascii="Calibri" w:hAnsi="Calibri" w:cs="Calibri"/>
          <w:color w:val="000000" w:themeColor="text1"/>
        </w:rPr>
        <w:t xml:space="preserve">I – </w:t>
      </w:r>
      <w:r>
        <w:rPr>
          <w:rFonts w:ascii="Calibri" w:hAnsi="Calibri" w:cs="Calibri"/>
          <w:color w:val="000000" w:themeColor="text1"/>
        </w:rPr>
        <w:t xml:space="preserve">fica o Comitê de </w:t>
      </w:r>
      <w:r w:rsidRPr="00483F88">
        <w:rPr>
          <w:rFonts w:ascii="Calibri" w:hAnsi="Calibri" w:cs="Calibri"/>
          <w:b/>
          <w:color w:val="000000" w:themeColor="text1"/>
        </w:rPr>
        <w:t>Sandbox</w:t>
      </w:r>
      <w:r>
        <w:rPr>
          <w:rFonts w:ascii="Calibri" w:hAnsi="Calibri" w:cs="Calibri"/>
          <w:color w:val="000000" w:themeColor="text1"/>
        </w:rPr>
        <w:t xml:space="preserve"> autorizado a aprovar, após manifestação prévia das áreas técnicas afetas à matéria, todos os documentos sujeitos à apresentação, nos termos da proposta, </w:t>
      </w:r>
      <w:r w:rsidRPr="0010445C">
        <w:rPr>
          <w:rFonts w:ascii="Calibri" w:hAnsi="Calibri" w:cs="Calibri"/>
        </w:rPr>
        <w:t>como condição para o início d</w:t>
      </w:r>
      <w:r>
        <w:rPr>
          <w:rFonts w:ascii="Calibri" w:hAnsi="Calibri" w:cs="Calibri"/>
        </w:rPr>
        <w:t>o exercício</w:t>
      </w:r>
      <w:r w:rsidRPr="0010445C">
        <w:rPr>
          <w:rFonts w:ascii="Calibri" w:hAnsi="Calibri" w:cs="Calibri"/>
        </w:rPr>
        <w:t xml:space="preserve"> das atividades </w:t>
      </w:r>
      <w:r>
        <w:rPr>
          <w:rFonts w:ascii="Calibri" w:hAnsi="Calibri" w:cs="Calibri"/>
        </w:rPr>
        <w:t>autorizadas à luz da regulamentação aplicável</w:t>
      </w:r>
      <w:r>
        <w:rPr>
          <w:rFonts w:ascii="Calibri" w:hAnsi="Calibri" w:cs="Calibri"/>
          <w:color w:val="000000" w:themeColor="text1"/>
        </w:rPr>
        <w:t xml:space="preserve">;     </w:t>
      </w:r>
    </w:p>
    <w:p w14:paraId="18EE9D9B" w14:textId="42443280" w:rsidR="00E110CD" w:rsidRPr="004A6624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strike/>
          <w:color w:val="000000" w:themeColor="text1"/>
        </w:rPr>
      </w:pPr>
      <w:r w:rsidRPr="004A6624">
        <w:rPr>
          <w:rFonts w:ascii="Calibri" w:hAnsi="Calibri" w:cs="Calibri"/>
          <w:strike/>
          <w:color w:val="000000" w:themeColor="text1"/>
        </w:rPr>
        <w:t>VII – que as autorizações temporárias e dispensas previstas nesta Deliberação são válidas até 14 de fevereiro de 2023; e</w:t>
      </w:r>
    </w:p>
    <w:p w14:paraId="1BB9BB78" w14:textId="546BAFCD" w:rsidR="004A6624" w:rsidRPr="00E616F8" w:rsidRDefault="004A6624" w:rsidP="004A6624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strike/>
          <w:color w:val="000000" w:themeColor="text1"/>
        </w:rPr>
      </w:pPr>
      <w:r w:rsidRPr="00E616F8">
        <w:rPr>
          <w:rFonts w:ascii="Calibri" w:hAnsi="Calibri" w:cs="Calibri"/>
          <w:strike/>
          <w:color w:val="000000" w:themeColor="text1"/>
        </w:rPr>
        <w:t>VII – que as autorizações temporárias e dispensas previstas nesta Deliberação são válidas até 14 de março de 2023; e</w:t>
      </w:r>
    </w:p>
    <w:p w14:paraId="38CC9A43" w14:textId="487ADD36" w:rsidR="000512E1" w:rsidRPr="00E616F8" w:rsidRDefault="000512E1" w:rsidP="00293E24">
      <w:pPr>
        <w:pStyle w:val="textojustificado"/>
        <w:numPr>
          <w:ilvl w:val="0"/>
          <w:numId w:val="11"/>
        </w:numPr>
        <w:spacing w:before="120" w:beforeAutospacing="0" w:after="120" w:afterAutospacing="0" w:line="312" w:lineRule="auto"/>
        <w:ind w:left="993" w:hanging="284"/>
        <w:jc w:val="both"/>
        <w:rPr>
          <w:rFonts w:ascii="Calibri" w:hAnsi="Calibri" w:cs="Calibri"/>
          <w:b/>
          <w:bCs/>
          <w:i/>
          <w:iCs/>
          <w:strike/>
          <w:color w:val="000000" w:themeColor="text1"/>
        </w:rPr>
      </w:pPr>
      <w:r w:rsidRPr="00E616F8">
        <w:rPr>
          <w:rFonts w:ascii="Calibri" w:hAnsi="Calibri" w:cs="Calibri"/>
          <w:b/>
          <w:bCs/>
          <w:i/>
          <w:iCs/>
          <w:strike/>
          <w:color w:val="000000" w:themeColor="text1"/>
        </w:rPr>
        <w:t xml:space="preserve">Item VII com redação dada pela Deliberação CVM nº 878, de 15 de fevereiro de 2022. </w:t>
      </w:r>
    </w:p>
    <w:p w14:paraId="10184CEC" w14:textId="20337FD4" w:rsidR="00E616F8" w:rsidRPr="004552E1" w:rsidRDefault="00E616F8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strike/>
          <w:color w:val="000000" w:themeColor="text1"/>
        </w:rPr>
      </w:pPr>
      <w:r w:rsidRPr="004552E1">
        <w:rPr>
          <w:rFonts w:ascii="Calibri" w:hAnsi="Calibri" w:cs="Calibri"/>
          <w:strike/>
          <w:color w:val="000000" w:themeColor="text1"/>
        </w:rPr>
        <w:t>VII - que as autorizações temporárias e dispensas previstas nesta Deliberação são válidas até 14 de março de 2024.</w:t>
      </w:r>
    </w:p>
    <w:p w14:paraId="5B906E97" w14:textId="1631E90A" w:rsidR="00342771" w:rsidRPr="004552E1" w:rsidRDefault="00342771" w:rsidP="00342771">
      <w:pPr>
        <w:pStyle w:val="textojustificado"/>
        <w:numPr>
          <w:ilvl w:val="0"/>
          <w:numId w:val="12"/>
        </w:numPr>
        <w:spacing w:before="120" w:beforeAutospacing="0" w:after="120" w:afterAutospacing="0" w:line="312" w:lineRule="auto"/>
        <w:ind w:left="993" w:hanging="284"/>
        <w:jc w:val="both"/>
        <w:rPr>
          <w:rFonts w:asciiTheme="minorHAnsi" w:hAnsiTheme="minorHAnsi" w:cstheme="minorHAnsi"/>
          <w:strike/>
        </w:rPr>
      </w:pPr>
      <w:r w:rsidRPr="004552E1">
        <w:rPr>
          <w:rFonts w:ascii="Calibri" w:hAnsi="Calibri" w:cs="Calibri"/>
          <w:b/>
          <w:bCs/>
          <w:i/>
          <w:iCs/>
          <w:strike/>
          <w:color w:val="000000" w:themeColor="text1"/>
        </w:rPr>
        <w:lastRenderedPageBreak/>
        <w:t>Item</w:t>
      </w:r>
      <w:r w:rsidRPr="004552E1">
        <w:rPr>
          <w:rFonts w:ascii="Calibri" w:hAnsi="Calibri" w:cs="Calibri"/>
          <w:b/>
          <w:bCs/>
          <w:i/>
          <w:iCs/>
          <w:strike/>
          <w:color w:val="000000" w:themeColor="text1"/>
        </w:rPr>
        <w:t xml:space="preserve"> </w:t>
      </w:r>
      <w:r w:rsidRPr="004552E1">
        <w:rPr>
          <w:rFonts w:ascii="Calibri" w:hAnsi="Calibri" w:cs="Calibri"/>
          <w:b/>
          <w:bCs/>
          <w:i/>
          <w:iCs/>
          <w:strike/>
          <w:color w:val="000000" w:themeColor="text1"/>
        </w:rPr>
        <w:t>VII</w:t>
      </w:r>
      <w:r w:rsidRPr="004552E1">
        <w:rPr>
          <w:rFonts w:ascii="Calibri" w:hAnsi="Calibri" w:cs="Calibri"/>
          <w:b/>
          <w:bCs/>
          <w:i/>
          <w:iCs/>
          <w:strike/>
          <w:color w:val="000000" w:themeColor="text1"/>
        </w:rPr>
        <w:t xml:space="preserve"> </w:t>
      </w:r>
      <w:r w:rsidRPr="004552E1">
        <w:rPr>
          <w:rFonts w:ascii="Calibri" w:hAnsi="Calibri" w:cs="Calibri"/>
          <w:b/>
          <w:bCs/>
          <w:i/>
          <w:iCs/>
          <w:strike/>
          <w:color w:val="000000" w:themeColor="text1"/>
        </w:rPr>
        <w:t>com redação dada</w:t>
      </w:r>
      <w:r w:rsidRPr="004552E1">
        <w:rPr>
          <w:rFonts w:ascii="Calibri" w:hAnsi="Calibri" w:cs="Calibri"/>
          <w:b/>
          <w:bCs/>
          <w:i/>
          <w:iCs/>
          <w:strike/>
          <w:color w:val="000000" w:themeColor="text1"/>
        </w:rPr>
        <w:t xml:space="preserve"> pela Deliberação CVM nº 886, de 15 de fevereiro de 2023.</w:t>
      </w:r>
    </w:p>
    <w:p w14:paraId="614C3C19" w14:textId="75D131BE" w:rsidR="0037664A" w:rsidRDefault="0037664A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color w:val="000000" w:themeColor="text1"/>
        </w:rPr>
      </w:pPr>
      <w:r w:rsidRPr="0037664A">
        <w:rPr>
          <w:rFonts w:ascii="Calibri" w:hAnsi="Calibri" w:cs="Calibri"/>
          <w:color w:val="000000" w:themeColor="text1"/>
        </w:rPr>
        <w:t>VII - que as autorizações temporárias e dispensas previstas nesta Deliberação são válidas até 14 de março de 202</w:t>
      </w:r>
      <w:r w:rsidR="00E805A9">
        <w:rPr>
          <w:rFonts w:ascii="Calibri" w:hAnsi="Calibri" w:cs="Calibri"/>
          <w:color w:val="000000" w:themeColor="text1"/>
        </w:rPr>
        <w:t>6</w:t>
      </w:r>
      <w:r w:rsidRPr="0037664A">
        <w:rPr>
          <w:rFonts w:ascii="Calibri" w:hAnsi="Calibri" w:cs="Calibri"/>
          <w:color w:val="000000" w:themeColor="text1"/>
        </w:rPr>
        <w:t>.</w:t>
      </w:r>
    </w:p>
    <w:p w14:paraId="2CDF918A" w14:textId="6D87CCDB" w:rsidR="00E805A9" w:rsidRPr="0096249A" w:rsidRDefault="00E805A9" w:rsidP="00E805A9">
      <w:pPr>
        <w:pStyle w:val="textojustificado"/>
        <w:numPr>
          <w:ilvl w:val="0"/>
          <w:numId w:val="12"/>
        </w:numPr>
        <w:spacing w:before="120" w:beforeAutospacing="0" w:after="120" w:afterAutospacing="0" w:line="312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bCs/>
          <w:i/>
          <w:iCs/>
          <w:color w:val="000000" w:themeColor="text1"/>
        </w:rPr>
        <w:t>Item VII</w:t>
      </w:r>
      <w:r w:rsidRPr="0096249A">
        <w:rPr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 w:themeColor="text1"/>
        </w:rPr>
        <w:t xml:space="preserve">com redação dada pela </w:t>
      </w:r>
      <w:r w:rsidRPr="0096249A">
        <w:rPr>
          <w:rFonts w:ascii="Calibri" w:hAnsi="Calibri" w:cs="Calibri"/>
          <w:b/>
          <w:bCs/>
          <w:i/>
          <w:iCs/>
          <w:color w:val="000000" w:themeColor="text1"/>
        </w:rPr>
        <w:t xml:space="preserve">Deliberação CVM nº </w:t>
      </w:r>
      <w:r w:rsidR="004553A7">
        <w:rPr>
          <w:rFonts w:ascii="Calibri" w:hAnsi="Calibri" w:cs="Calibri"/>
          <w:b/>
          <w:bCs/>
          <w:i/>
          <w:iCs/>
          <w:color w:val="000000" w:themeColor="text1"/>
        </w:rPr>
        <w:t>891</w:t>
      </w:r>
      <w:r>
        <w:rPr>
          <w:rFonts w:ascii="Calibri" w:hAnsi="Calibri" w:cs="Calibri"/>
          <w:b/>
          <w:bCs/>
          <w:i/>
          <w:iCs/>
          <w:color w:val="000000" w:themeColor="text1"/>
        </w:rPr>
        <w:t xml:space="preserve">, de </w:t>
      </w:r>
      <w:r w:rsidR="004553A7">
        <w:rPr>
          <w:rFonts w:ascii="Calibri" w:hAnsi="Calibri" w:cs="Calibri"/>
          <w:b/>
          <w:bCs/>
          <w:i/>
          <w:iCs/>
          <w:color w:val="000000" w:themeColor="text1"/>
        </w:rPr>
        <w:t>6</w:t>
      </w:r>
      <w:r>
        <w:rPr>
          <w:rFonts w:ascii="Calibri" w:hAnsi="Calibri" w:cs="Calibri"/>
          <w:b/>
          <w:bCs/>
          <w:i/>
          <w:iCs/>
          <w:color w:val="000000" w:themeColor="text1"/>
        </w:rPr>
        <w:t xml:space="preserve"> de </w:t>
      </w:r>
      <w:r w:rsidR="004553A7">
        <w:rPr>
          <w:rFonts w:ascii="Calibri" w:hAnsi="Calibri" w:cs="Calibri"/>
          <w:b/>
          <w:bCs/>
          <w:i/>
          <w:iCs/>
          <w:color w:val="000000" w:themeColor="text1"/>
        </w:rPr>
        <w:t>março</w:t>
      </w:r>
      <w:r>
        <w:rPr>
          <w:rFonts w:ascii="Calibri" w:hAnsi="Calibri" w:cs="Calibri"/>
          <w:b/>
          <w:bCs/>
          <w:i/>
          <w:iCs/>
          <w:color w:val="000000" w:themeColor="text1"/>
        </w:rPr>
        <w:t xml:space="preserve"> de 202</w:t>
      </w:r>
      <w:r w:rsidR="004553A7">
        <w:rPr>
          <w:rFonts w:ascii="Calibri" w:hAnsi="Calibri" w:cs="Calibri"/>
          <w:b/>
          <w:bCs/>
          <w:i/>
          <w:iCs/>
          <w:color w:val="000000" w:themeColor="text1"/>
        </w:rPr>
        <w:t>4</w:t>
      </w:r>
      <w:r w:rsidRPr="0096249A">
        <w:rPr>
          <w:rFonts w:ascii="Calibri" w:hAnsi="Calibri" w:cs="Calibri"/>
          <w:b/>
          <w:bCs/>
          <w:i/>
          <w:iCs/>
          <w:color w:val="000000" w:themeColor="text1"/>
        </w:rPr>
        <w:t>.</w:t>
      </w:r>
    </w:p>
    <w:p w14:paraId="1520F6CA" w14:textId="3E411194" w:rsidR="00E110CD" w:rsidRPr="002602CE" w:rsidRDefault="00E110CD" w:rsidP="00E110CD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strike/>
          <w:color w:val="000000" w:themeColor="text1"/>
        </w:rPr>
      </w:pPr>
      <w:r w:rsidRPr="002602CE">
        <w:rPr>
          <w:rFonts w:ascii="Calibri" w:hAnsi="Calibri" w:cs="Calibri"/>
          <w:strike/>
          <w:color w:val="000000" w:themeColor="text1"/>
        </w:rPr>
        <w:t xml:space="preserve">VIII – que esta Deliberação entra em vigor </w:t>
      </w:r>
      <w:r w:rsidRPr="002602CE">
        <w:rPr>
          <w:rFonts w:asciiTheme="minorHAnsi" w:hAnsiTheme="minorHAnsi" w:cstheme="minorBidi"/>
          <w:strike/>
        </w:rPr>
        <w:t xml:space="preserve">em 15 de fevereiro de </w:t>
      </w:r>
      <w:r w:rsidRPr="002602CE" w:rsidDel="00CF19D5">
        <w:rPr>
          <w:rFonts w:asciiTheme="minorHAnsi" w:hAnsiTheme="minorHAnsi" w:cstheme="minorBidi"/>
          <w:strike/>
        </w:rPr>
        <w:t>202</w:t>
      </w:r>
      <w:r w:rsidRPr="002602CE">
        <w:rPr>
          <w:rFonts w:asciiTheme="minorHAnsi" w:hAnsiTheme="minorHAnsi" w:cstheme="minorBidi"/>
          <w:strike/>
        </w:rPr>
        <w:t>2</w:t>
      </w:r>
      <w:r w:rsidRPr="002602CE">
        <w:rPr>
          <w:rFonts w:ascii="Calibri" w:hAnsi="Calibri" w:cs="Calibri"/>
          <w:strike/>
          <w:color w:val="000000" w:themeColor="text1"/>
        </w:rPr>
        <w:t>.</w:t>
      </w:r>
    </w:p>
    <w:p w14:paraId="419F5AD6" w14:textId="76E03D03" w:rsidR="004A6624" w:rsidRDefault="004A6624" w:rsidP="004A6624">
      <w:pPr>
        <w:pStyle w:val="textojustificado"/>
        <w:spacing w:before="120" w:beforeAutospacing="0" w:after="120" w:afterAutospacing="0" w:line="312" w:lineRule="auto"/>
        <w:ind w:firstLine="703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VIII</w:t>
      </w:r>
      <w:r w:rsidRPr="0E7E4C79">
        <w:rPr>
          <w:rFonts w:ascii="Calibri" w:hAnsi="Calibri" w:cs="Calibri"/>
          <w:color w:val="000000" w:themeColor="text1"/>
        </w:rPr>
        <w:t xml:space="preserve"> – que esta Deliberação entra em vigor </w:t>
      </w:r>
      <w:r w:rsidRPr="6F27A9AA">
        <w:rPr>
          <w:rFonts w:asciiTheme="minorHAnsi" w:hAnsiTheme="minorHAnsi" w:cstheme="minorBidi"/>
        </w:rPr>
        <w:t xml:space="preserve">em </w:t>
      </w:r>
      <w:r>
        <w:rPr>
          <w:rFonts w:asciiTheme="minorHAnsi" w:hAnsiTheme="minorHAnsi" w:cstheme="minorBidi"/>
        </w:rPr>
        <w:t xml:space="preserve">15 de março de </w:t>
      </w:r>
      <w:r w:rsidDel="00CF19D5">
        <w:rPr>
          <w:rFonts w:asciiTheme="minorHAnsi" w:hAnsiTheme="minorHAnsi" w:cstheme="minorBidi"/>
        </w:rPr>
        <w:t>202</w:t>
      </w:r>
      <w:r>
        <w:rPr>
          <w:rFonts w:asciiTheme="minorHAnsi" w:hAnsiTheme="minorHAnsi" w:cstheme="minorBidi"/>
        </w:rPr>
        <w:t>2</w:t>
      </w:r>
      <w:r w:rsidRPr="0E7E4C79">
        <w:rPr>
          <w:rFonts w:ascii="Calibri" w:hAnsi="Calibri" w:cs="Calibri"/>
          <w:color w:val="000000" w:themeColor="text1"/>
        </w:rPr>
        <w:t>.</w:t>
      </w:r>
    </w:p>
    <w:p w14:paraId="4991A51E" w14:textId="2B16EAC6" w:rsidR="000512E1" w:rsidRPr="00A32BD1" w:rsidRDefault="000512E1" w:rsidP="00293E24">
      <w:pPr>
        <w:pStyle w:val="textojustificado"/>
        <w:numPr>
          <w:ilvl w:val="0"/>
          <w:numId w:val="11"/>
        </w:numPr>
        <w:spacing w:before="120" w:beforeAutospacing="0" w:after="120" w:afterAutospacing="0" w:line="312" w:lineRule="auto"/>
        <w:ind w:left="993" w:hanging="284"/>
        <w:jc w:val="both"/>
        <w:rPr>
          <w:rFonts w:ascii="Calibri" w:hAnsi="Calibri" w:cs="Calibri"/>
          <w:b/>
          <w:bCs/>
          <w:i/>
          <w:iCs/>
          <w:color w:val="000000" w:themeColor="text1"/>
        </w:rPr>
      </w:pPr>
      <w:r w:rsidRPr="00A32BD1">
        <w:rPr>
          <w:rFonts w:ascii="Calibri" w:hAnsi="Calibri" w:cs="Calibri"/>
          <w:b/>
          <w:bCs/>
          <w:i/>
          <w:iCs/>
          <w:color w:val="000000" w:themeColor="text1"/>
        </w:rPr>
        <w:t xml:space="preserve">Item VIII com redação dada pela Deliberação CVM nº 878, de 15 de fevereiro de 2022. </w:t>
      </w:r>
    </w:p>
    <w:p w14:paraId="2CA84EB1" w14:textId="77777777" w:rsidR="00E110CD" w:rsidRDefault="00E110CD" w:rsidP="00E110CD">
      <w:pPr>
        <w:ind w:firstLine="703"/>
        <w:rPr>
          <w:rFonts w:ascii="Calibri" w:hAnsi="Calibri" w:cs="Calibri"/>
          <w:color w:val="000000" w:themeColor="text1"/>
        </w:rPr>
      </w:pPr>
    </w:p>
    <w:p w14:paraId="4FDFB5B1" w14:textId="77777777" w:rsidR="00E110CD" w:rsidRDefault="00E110CD" w:rsidP="00E110CD">
      <w:pPr>
        <w:ind w:firstLine="703"/>
        <w:contextualSpacing/>
        <w:jc w:val="center"/>
        <w:rPr>
          <w:rFonts w:ascii="Calibri" w:hAnsi="Calibri" w:cs="Calibri"/>
          <w:color w:val="000000" w:themeColor="text1"/>
        </w:rPr>
      </w:pPr>
      <w:r w:rsidRPr="304726FE">
        <w:rPr>
          <w:rFonts w:ascii="Calibri" w:hAnsi="Calibri" w:cs="Calibri"/>
          <w:i/>
          <w:iCs/>
          <w:color w:val="000000" w:themeColor="text1"/>
        </w:rPr>
        <w:t>Assinado eletronicamente por</w:t>
      </w:r>
    </w:p>
    <w:p w14:paraId="544A1586" w14:textId="77777777" w:rsidR="00E110CD" w:rsidRDefault="00E110CD" w:rsidP="00E110CD">
      <w:pPr>
        <w:ind w:firstLine="703"/>
        <w:contextualSpacing/>
        <w:jc w:val="center"/>
        <w:rPr>
          <w:rFonts w:ascii="Calibri" w:hAnsi="Calibri" w:cs="Calibri"/>
          <w:color w:val="000000" w:themeColor="text1"/>
        </w:rPr>
      </w:pPr>
      <w:r w:rsidRPr="304726FE">
        <w:rPr>
          <w:rFonts w:ascii="Calibri" w:hAnsi="Calibri" w:cs="Calibri"/>
          <w:b/>
          <w:bCs/>
          <w:color w:val="000000" w:themeColor="text1"/>
        </w:rPr>
        <w:t>MARCELO BARBOSA</w:t>
      </w:r>
    </w:p>
    <w:p w14:paraId="3928A7CC" w14:textId="77777777" w:rsidR="00E110CD" w:rsidRDefault="00E110CD" w:rsidP="00E110CD">
      <w:pPr>
        <w:ind w:firstLine="703"/>
        <w:contextualSpacing/>
        <w:jc w:val="center"/>
        <w:rPr>
          <w:rFonts w:ascii="Calibri" w:hAnsi="Calibri" w:cs="Calibri"/>
          <w:color w:val="000000" w:themeColor="text1"/>
        </w:rPr>
      </w:pPr>
      <w:r w:rsidRPr="304726FE">
        <w:rPr>
          <w:rFonts w:ascii="Calibri" w:hAnsi="Calibri" w:cs="Calibri"/>
          <w:b/>
          <w:bCs/>
          <w:color w:val="000000" w:themeColor="text1"/>
        </w:rPr>
        <w:t>Presidente</w:t>
      </w:r>
    </w:p>
    <w:sectPr w:rsidR="00E110CD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2861" w14:textId="77777777" w:rsidR="00B563E9" w:rsidRDefault="00B563E9" w:rsidP="00ED1FB4">
      <w:r>
        <w:separator/>
      </w:r>
    </w:p>
  </w:endnote>
  <w:endnote w:type="continuationSeparator" w:id="0">
    <w:p w14:paraId="593A64B4" w14:textId="77777777" w:rsidR="00B563E9" w:rsidRDefault="00B563E9" w:rsidP="00ED1FB4">
      <w:r>
        <w:continuationSeparator/>
      </w:r>
    </w:p>
  </w:endnote>
  <w:endnote w:type="continuationNotice" w:id="1">
    <w:p w14:paraId="277DA044" w14:textId="77777777" w:rsidR="00B563E9" w:rsidRDefault="00B563E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F445" w14:textId="77777777" w:rsidR="00B563E9" w:rsidRDefault="00B563E9" w:rsidP="00ED1FB4">
      <w:r>
        <w:separator/>
      </w:r>
    </w:p>
  </w:footnote>
  <w:footnote w:type="continuationSeparator" w:id="0">
    <w:p w14:paraId="3848C671" w14:textId="77777777" w:rsidR="00B563E9" w:rsidRDefault="00B563E9" w:rsidP="00ED1FB4">
      <w:r>
        <w:continuationSeparator/>
      </w:r>
    </w:p>
  </w:footnote>
  <w:footnote w:type="continuationNotice" w:id="1">
    <w:p w14:paraId="05B19E20" w14:textId="77777777" w:rsidR="00B563E9" w:rsidRDefault="00B563E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A4B6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2EECA9C3" wp14:editId="48395729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8892B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B533986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62D289BE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41FB237A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A8CD6E9" w14:textId="77777777" w:rsidR="005D2C60" w:rsidRDefault="002C2BCA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681D8F72" w14:textId="68B248D2" w:rsidR="00E25581" w:rsidRPr="009B69B0" w:rsidRDefault="00602705" w:rsidP="00E25581">
    <w:pPr>
      <w:pStyle w:val="Rodap"/>
      <w:spacing w:after="240"/>
      <w:jc w:val="both"/>
      <w:rPr>
        <w:caps/>
      </w:rPr>
    </w:pPr>
    <w:r>
      <w:rPr>
        <w:caps/>
      </w:rPr>
      <w:t>DELIBERAÇÃO</w:t>
    </w:r>
    <w:r w:rsidR="00E25581" w:rsidRPr="009B69B0">
      <w:rPr>
        <w:caps/>
      </w:rPr>
      <w:t xml:space="preserve"> CVM Nº </w:t>
    </w:r>
    <w:sdt>
      <w:sdtPr>
        <w:rPr>
          <w:caps/>
        </w:rPr>
        <w:alias w:val="Título"/>
        <w:tag w:val=""/>
        <w:id w:val="1007090907"/>
        <w:placeholder>
          <w:docPart w:val="141231D31A1C4E97B413F65D505667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10CD">
          <w:rPr>
            <w:caps/>
          </w:rPr>
          <w:t>875, de 30 de SETEMBRO DE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1B52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5AD19802" wp14:editId="35C175F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7DB1B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81D44C5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05E4089F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82B6114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53380146" w14:textId="77777777" w:rsidR="009B69B0" w:rsidRDefault="002C2BCA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2F2110"/>
    <w:multiLevelType w:val="hybridMultilevel"/>
    <w:tmpl w:val="4EA43E2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40E007A"/>
    <w:multiLevelType w:val="hybridMultilevel"/>
    <w:tmpl w:val="CEEEF9D2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0F">
      <w:start w:val="1"/>
      <w:numFmt w:val="decimal"/>
      <w:lvlText w:val="%3."/>
      <w:lvlJc w:val="lef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7" w15:restartNumberingAfterBreak="0">
    <w:nsid w:val="56B82A85"/>
    <w:multiLevelType w:val="hybridMultilevel"/>
    <w:tmpl w:val="7242BC6A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FF73FA"/>
    <w:multiLevelType w:val="hybridMultilevel"/>
    <w:tmpl w:val="36B8BBC8"/>
    <w:lvl w:ilvl="0" w:tplc="0416000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7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4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01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9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6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359" w:hanging="360"/>
      </w:pPr>
      <w:rPr>
        <w:rFonts w:ascii="Wingdings" w:hAnsi="Wingdings" w:hint="default"/>
      </w:rPr>
    </w:lvl>
  </w:abstractNum>
  <w:abstractNum w:abstractNumId="9" w15:restartNumberingAfterBreak="0">
    <w:nsid w:val="6820670F"/>
    <w:multiLevelType w:val="hybridMultilevel"/>
    <w:tmpl w:val="F7F40990"/>
    <w:lvl w:ilvl="0" w:tplc="9AF8A7E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BD6C45"/>
    <w:multiLevelType w:val="hybridMultilevel"/>
    <w:tmpl w:val="1638CEA8"/>
    <w:lvl w:ilvl="0" w:tplc="E5C074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14982541">
    <w:abstractNumId w:val="6"/>
  </w:num>
  <w:num w:numId="2" w16cid:durableId="15827163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8680181">
    <w:abstractNumId w:val="2"/>
  </w:num>
  <w:num w:numId="4" w16cid:durableId="1347443567">
    <w:abstractNumId w:val="1"/>
  </w:num>
  <w:num w:numId="5" w16cid:durableId="168764561">
    <w:abstractNumId w:val="0"/>
  </w:num>
  <w:num w:numId="6" w16cid:durableId="1119564928">
    <w:abstractNumId w:val="10"/>
  </w:num>
  <w:num w:numId="7" w16cid:durableId="1955165971">
    <w:abstractNumId w:val="7"/>
  </w:num>
  <w:num w:numId="8" w16cid:durableId="264924692">
    <w:abstractNumId w:val="5"/>
  </w:num>
  <w:num w:numId="9" w16cid:durableId="1832065500">
    <w:abstractNumId w:val="9"/>
  </w:num>
  <w:num w:numId="10" w16cid:durableId="1480683587">
    <w:abstractNumId w:val="4"/>
  </w:num>
  <w:num w:numId="11" w16cid:durableId="573274888">
    <w:abstractNumId w:val="3"/>
  </w:num>
  <w:num w:numId="12" w16cid:durableId="14653931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99"/>
    <w:rsid w:val="000042B4"/>
    <w:rsid w:val="00050CCF"/>
    <w:rsid w:val="000512E1"/>
    <w:rsid w:val="0008166B"/>
    <w:rsid w:val="00082BE8"/>
    <w:rsid w:val="000D1BC5"/>
    <w:rsid w:val="000E7DB3"/>
    <w:rsid w:val="000F4BE8"/>
    <w:rsid w:val="00130836"/>
    <w:rsid w:val="00156AE5"/>
    <w:rsid w:val="0017720D"/>
    <w:rsid w:val="001959BD"/>
    <w:rsid w:val="001B3C55"/>
    <w:rsid w:val="001E0083"/>
    <w:rsid w:val="002142D3"/>
    <w:rsid w:val="00222213"/>
    <w:rsid w:val="00235908"/>
    <w:rsid w:val="0024614E"/>
    <w:rsid w:val="00252BFE"/>
    <w:rsid w:val="002602CE"/>
    <w:rsid w:val="00264D3C"/>
    <w:rsid w:val="00293E24"/>
    <w:rsid w:val="002C2BCA"/>
    <w:rsid w:val="002E1186"/>
    <w:rsid w:val="002F1D96"/>
    <w:rsid w:val="0032210D"/>
    <w:rsid w:val="00342771"/>
    <w:rsid w:val="0037664A"/>
    <w:rsid w:val="0039335B"/>
    <w:rsid w:val="003E5D99"/>
    <w:rsid w:val="003F6953"/>
    <w:rsid w:val="0041797C"/>
    <w:rsid w:val="004446E8"/>
    <w:rsid w:val="004552E1"/>
    <w:rsid w:val="004553A7"/>
    <w:rsid w:val="00460610"/>
    <w:rsid w:val="00483C6B"/>
    <w:rsid w:val="00495853"/>
    <w:rsid w:val="004A5293"/>
    <w:rsid w:val="004A6624"/>
    <w:rsid w:val="004A6E99"/>
    <w:rsid w:val="004C55E5"/>
    <w:rsid w:val="004C5BA2"/>
    <w:rsid w:val="004D68A2"/>
    <w:rsid w:val="004E33B7"/>
    <w:rsid w:val="00507ACC"/>
    <w:rsid w:val="00527D20"/>
    <w:rsid w:val="00547A76"/>
    <w:rsid w:val="005B30F8"/>
    <w:rsid w:val="005C12BE"/>
    <w:rsid w:val="005D2C60"/>
    <w:rsid w:val="00602705"/>
    <w:rsid w:val="006270DF"/>
    <w:rsid w:val="00630673"/>
    <w:rsid w:val="0065401B"/>
    <w:rsid w:val="0065602B"/>
    <w:rsid w:val="00657B55"/>
    <w:rsid w:val="006709D3"/>
    <w:rsid w:val="00693382"/>
    <w:rsid w:val="006C3888"/>
    <w:rsid w:val="006E1563"/>
    <w:rsid w:val="006E1797"/>
    <w:rsid w:val="006E2484"/>
    <w:rsid w:val="00727062"/>
    <w:rsid w:val="0078319A"/>
    <w:rsid w:val="00792A2E"/>
    <w:rsid w:val="00796344"/>
    <w:rsid w:val="007F1839"/>
    <w:rsid w:val="00807845"/>
    <w:rsid w:val="0081067E"/>
    <w:rsid w:val="00814816"/>
    <w:rsid w:val="00841BBF"/>
    <w:rsid w:val="00894689"/>
    <w:rsid w:val="008B1164"/>
    <w:rsid w:val="009010FE"/>
    <w:rsid w:val="00916A1E"/>
    <w:rsid w:val="00956E3B"/>
    <w:rsid w:val="009768AB"/>
    <w:rsid w:val="00990B1B"/>
    <w:rsid w:val="00994B5F"/>
    <w:rsid w:val="009B69B0"/>
    <w:rsid w:val="009B70FC"/>
    <w:rsid w:val="009E45DD"/>
    <w:rsid w:val="009E621A"/>
    <w:rsid w:val="009E776A"/>
    <w:rsid w:val="00A12589"/>
    <w:rsid w:val="00A32BD1"/>
    <w:rsid w:val="00A60EDE"/>
    <w:rsid w:val="00A858B3"/>
    <w:rsid w:val="00A92162"/>
    <w:rsid w:val="00AC7E32"/>
    <w:rsid w:val="00B1307A"/>
    <w:rsid w:val="00B35CFD"/>
    <w:rsid w:val="00B53897"/>
    <w:rsid w:val="00B563E9"/>
    <w:rsid w:val="00B773A5"/>
    <w:rsid w:val="00BA1331"/>
    <w:rsid w:val="00BC6747"/>
    <w:rsid w:val="00BD6E82"/>
    <w:rsid w:val="00BE0DD2"/>
    <w:rsid w:val="00C1691E"/>
    <w:rsid w:val="00C22189"/>
    <w:rsid w:val="00C22465"/>
    <w:rsid w:val="00C24B4C"/>
    <w:rsid w:val="00C3231A"/>
    <w:rsid w:val="00C32B86"/>
    <w:rsid w:val="00C459C0"/>
    <w:rsid w:val="00C4715E"/>
    <w:rsid w:val="00C67EF9"/>
    <w:rsid w:val="00C82C89"/>
    <w:rsid w:val="00C922C2"/>
    <w:rsid w:val="00CA3356"/>
    <w:rsid w:val="00CC6B71"/>
    <w:rsid w:val="00CE736F"/>
    <w:rsid w:val="00D013CB"/>
    <w:rsid w:val="00D21117"/>
    <w:rsid w:val="00D52267"/>
    <w:rsid w:val="00D54168"/>
    <w:rsid w:val="00DD7DA5"/>
    <w:rsid w:val="00E110CD"/>
    <w:rsid w:val="00E136DD"/>
    <w:rsid w:val="00E25581"/>
    <w:rsid w:val="00E50EF3"/>
    <w:rsid w:val="00E616F8"/>
    <w:rsid w:val="00E63F9E"/>
    <w:rsid w:val="00E805A9"/>
    <w:rsid w:val="00E85D53"/>
    <w:rsid w:val="00EA436F"/>
    <w:rsid w:val="00ED1FB4"/>
    <w:rsid w:val="00EE3118"/>
    <w:rsid w:val="00F56185"/>
    <w:rsid w:val="00F64FBB"/>
    <w:rsid w:val="00F9448B"/>
    <w:rsid w:val="00FA29E1"/>
    <w:rsid w:val="00FA5BBE"/>
    <w:rsid w:val="00FB25BB"/>
    <w:rsid w:val="00FB7153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8E79C"/>
  <w15:docId w15:val="{DA48E944-C8BA-4474-9408-740E31B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link w:val="PargrafodaListaChar"/>
    <w:uiPriority w:val="34"/>
    <w:qFormat/>
    <w:rsid w:val="00D013CB"/>
    <w:pPr>
      <w:ind w:left="720"/>
      <w:contextualSpacing/>
    </w:pPr>
  </w:style>
  <w:style w:type="character" w:customStyle="1" w:styleId="normaltextrun">
    <w:name w:val="normaltextrun"/>
    <w:basedOn w:val="Fontepargpadro"/>
    <w:rsid w:val="00E110CD"/>
  </w:style>
  <w:style w:type="paragraph" w:customStyle="1" w:styleId="textojustificado">
    <w:name w:val="texto_justificado"/>
    <w:basedOn w:val="Normal"/>
    <w:rsid w:val="00E110CD"/>
    <w:pPr>
      <w:spacing w:before="0" w:beforeAutospacing="1" w:after="160" w:afterAutospacing="1" w:line="259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110CD"/>
    <w:rPr>
      <w:rFonts w:cstheme="minorHAnsi"/>
      <w:sz w:val="24"/>
      <w:szCs w:val="24"/>
    </w:rPr>
  </w:style>
  <w:style w:type="paragraph" w:styleId="Reviso">
    <w:name w:val="Revision"/>
    <w:hidden/>
    <w:uiPriority w:val="99"/>
    <w:semiHidden/>
    <w:rsid w:val="000F4BE8"/>
    <w:pPr>
      <w:spacing w:after="0" w:line="240" w:lineRule="auto"/>
    </w:pPr>
    <w:rPr>
      <w:rFonts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Downloads\2020-08-07%20Template%20Resolu&#231;&#245;es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7CEEC9F8AC48EFB79F845C7A3B0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72CFC-A5FE-4028-88D3-494B018A30C3}"/>
      </w:docPartPr>
      <w:docPartBody>
        <w:p w:rsidR="0050555C" w:rsidRDefault="0050555C">
          <w:pPr>
            <w:pStyle w:val="887CEEC9F8AC48EFB79F845C7A3B07D9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141231D31A1C4E97B413F65D50566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B174E-F1C8-4C86-9DF0-71D50AD00D29}"/>
      </w:docPartPr>
      <w:docPartBody>
        <w:p w:rsidR="0050555C" w:rsidRDefault="0050555C">
          <w:pPr>
            <w:pStyle w:val="141231D31A1C4E97B413F65D505667AC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5C"/>
    <w:rsid w:val="00196AF9"/>
    <w:rsid w:val="00433750"/>
    <w:rsid w:val="0050555C"/>
    <w:rsid w:val="005D74FA"/>
    <w:rsid w:val="0079797C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87CEEC9F8AC48EFB79F845C7A3B07D9">
    <w:name w:val="887CEEC9F8AC48EFB79F845C7A3B07D9"/>
  </w:style>
  <w:style w:type="paragraph" w:customStyle="1" w:styleId="141231D31A1C4E97B413F65D505667AC">
    <w:name w:val="141231D31A1C4E97B413F65D5056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6332BFD3C3C54DB27A6021860943A7" ma:contentTypeVersion="17" ma:contentTypeDescription="Crie um novo documento." ma:contentTypeScope="" ma:versionID="74336f40e95b56e312ac52c9c6fd237b">
  <xsd:schema xmlns:xsd="http://www.w3.org/2001/XMLSchema" xmlns:xs="http://www.w3.org/2001/XMLSchema" xmlns:p="http://schemas.microsoft.com/office/2006/metadata/properties" xmlns:ns2="331b846b-8162-41a7-9938-4150bd7b8bf0" xmlns:ns3="e639f72e-e157-4d3d-8833-02563316a2e4" targetNamespace="http://schemas.microsoft.com/office/2006/metadata/properties" ma:root="true" ma:fieldsID="1a0f8416f7e843a2213f2b9068d53d28" ns2:_="" ns3:_="">
    <xsd:import namespace="331b846b-8162-41a7-9938-4150bd7b8bf0"/>
    <xsd:import namespace="e639f72e-e157-4d3d-8833-02563316a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846b-8162-41a7-9938-4150bd7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2e61717-d90c-407f-8ff1-20c07df31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9f72e-e157-4d3d-8833-02563316a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0c3c1d-35f6-4d87-b8ad-8ee2080b0ee2}" ma:internalName="TaxCatchAll" ma:showField="CatchAllData" ma:web="e639f72e-e157-4d3d-8833-02563316a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9f72e-e157-4d3d-8833-02563316a2e4" xsi:nil="true"/>
    <lcf76f155ced4ddcb4097134ff3c332f xmlns="331b846b-8162-41a7-9938-4150bd7b8bf0">
      <Terms xmlns="http://schemas.microsoft.com/office/infopath/2007/PartnerControls"/>
    </lcf76f155ced4ddcb4097134ff3c332f>
    <SharedWithUsers xmlns="e639f72e-e157-4d3d-8833-02563316a2e4">
      <UserInfo>
        <DisplayName>Verônica Silva Da Costa</DisplayName>
        <AccountId>405</AccountId>
        <AccountType/>
      </UserInfo>
      <UserInfo>
        <DisplayName>Eduarda Castello Branco Paixão</DisplayName>
        <AccountId>390</AccountId>
        <AccountType/>
      </UserInfo>
      <UserInfo>
        <DisplayName>Renato Sterental Goldberg</DisplayName>
        <AccountId>414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D8185-5883-480D-A5DF-6CCBA0A555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37F30E-21AC-4520-B622-9CB75BA195FE}"/>
</file>

<file path=customXml/itemProps4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2020-08-07 Template Resoluções(3)</Template>
  <TotalTime>14</TotalTime>
  <Pages>5</Pages>
  <Words>1550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875, de 30 de SETEMBRO DE 2021</vt:lpstr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875, de 30 de SETEMBRO DE 2021</dc:title>
  <dc:subject/>
  <dc:creator>Juliana</dc:creator>
  <cp:keywords/>
  <cp:lastModifiedBy>Eduarda Castello Branco Paixão</cp:lastModifiedBy>
  <cp:revision>35</cp:revision>
  <cp:lastPrinted>2021-09-30T16:22:00Z</cp:lastPrinted>
  <dcterms:created xsi:type="dcterms:W3CDTF">2024-03-13T18:39:00Z</dcterms:created>
  <dcterms:modified xsi:type="dcterms:W3CDTF">2024-03-13T19:00:00Z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0x0101003D6332BFD3C3C54DB27A6021860943A7</vt:lpwstr>
  </property>
</Properties>
</file>