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1134F55E" w:rsidR="00CF08C5" w:rsidRPr="004A243E" w:rsidRDefault="00CF08C5" w:rsidP="00CF08C5">
      <w:pPr>
        <w:pStyle w:val="Corpodetexto2"/>
        <w:spacing w:before="120" w:line="312" w:lineRule="auto"/>
        <w:jc w:val="center"/>
        <w:rPr>
          <w:rFonts w:asciiTheme="minorHAnsi" w:hAnsiTheme="minorHAnsi" w:cstheme="minorHAnsi"/>
          <w:b w:val="0"/>
          <w:bCs w:val="0"/>
          <w:sz w:val="24"/>
          <w:lang w:val="pt-BR"/>
        </w:rPr>
      </w:pPr>
      <w:r w:rsidRPr="00E24EDB">
        <w:rPr>
          <w:rFonts w:asciiTheme="minorHAnsi" w:hAnsiTheme="minorHAnsi" w:cstheme="minorHAnsi"/>
          <w:b w:val="0"/>
          <w:bCs w:val="0"/>
          <w:sz w:val="24"/>
        </w:rPr>
        <w:t xml:space="preserve">RESOLUÇÃO CVM Nº </w:t>
      </w:r>
      <w:r w:rsidR="00E24EDB" w:rsidRPr="00E24EDB">
        <w:rPr>
          <w:rFonts w:asciiTheme="minorHAnsi" w:hAnsiTheme="minorHAnsi" w:cstheme="minorHAnsi"/>
          <w:b w:val="0"/>
          <w:bCs w:val="0"/>
          <w:sz w:val="24"/>
          <w:lang w:val="pt-BR"/>
        </w:rPr>
        <w:t>108</w:t>
      </w:r>
      <w:r w:rsidRPr="00E24EDB">
        <w:rPr>
          <w:rFonts w:asciiTheme="minorHAnsi" w:hAnsiTheme="minorHAnsi" w:cstheme="minorHAnsi"/>
          <w:b w:val="0"/>
          <w:bCs w:val="0"/>
          <w:sz w:val="24"/>
        </w:rPr>
        <w:t xml:space="preserve">, </w:t>
      </w:r>
      <w:r w:rsidR="00E24EDB" w:rsidRPr="00E24EDB">
        <w:rPr>
          <w:rFonts w:asciiTheme="minorHAnsi" w:hAnsiTheme="minorHAnsi" w:cstheme="minorHAnsi"/>
          <w:b w:val="0"/>
          <w:bCs w:val="0"/>
          <w:sz w:val="24"/>
          <w:lang w:val="pt-BR"/>
        </w:rPr>
        <w:t xml:space="preserve">DE 20 </w:t>
      </w:r>
      <w:r w:rsidRPr="00E24EDB">
        <w:rPr>
          <w:rFonts w:asciiTheme="minorHAnsi" w:hAnsiTheme="minorHAnsi" w:cstheme="minorHAnsi"/>
          <w:b w:val="0"/>
          <w:bCs w:val="0"/>
          <w:sz w:val="24"/>
        </w:rPr>
        <w:t xml:space="preserve">DE </w:t>
      </w:r>
      <w:r w:rsidR="00E24EDB" w:rsidRPr="00E24EDB">
        <w:rPr>
          <w:rFonts w:asciiTheme="minorHAnsi" w:hAnsiTheme="minorHAnsi" w:cstheme="minorHAnsi"/>
          <w:b w:val="0"/>
          <w:bCs w:val="0"/>
          <w:sz w:val="24"/>
          <w:lang w:val="pt-BR"/>
        </w:rPr>
        <w:t xml:space="preserve">MAIO </w:t>
      </w:r>
      <w:r w:rsidRPr="00E24EDB">
        <w:rPr>
          <w:rFonts w:asciiTheme="minorHAnsi" w:hAnsiTheme="minorHAnsi" w:cstheme="minorHAnsi"/>
          <w:b w:val="0"/>
          <w:bCs w:val="0"/>
          <w:sz w:val="24"/>
        </w:rPr>
        <w:t>DE 202</w:t>
      </w:r>
      <w:r w:rsidR="004A243E" w:rsidRPr="00E24EDB">
        <w:rPr>
          <w:rFonts w:asciiTheme="minorHAnsi" w:hAnsiTheme="minorHAnsi" w:cstheme="minorHAnsi"/>
          <w:b w:val="0"/>
          <w:bCs w:val="0"/>
          <w:sz w:val="24"/>
          <w:lang w:val="pt-BR"/>
        </w:rPr>
        <w:t>2</w:t>
      </w:r>
    </w:p>
    <w:p w14:paraId="5B546EE5" w14:textId="47D00F5B" w:rsidR="00CF08C5" w:rsidRPr="00273211" w:rsidRDefault="00CF08C5" w:rsidP="00135DCC">
      <w:pPr>
        <w:pStyle w:val="Recuodecorpodetexto"/>
        <w:spacing w:before="240" w:after="240" w:line="312" w:lineRule="auto"/>
        <w:ind w:left="4876" w:firstLine="0"/>
        <w:rPr>
          <w:rFonts w:asciiTheme="minorHAnsi" w:hAnsiTheme="minorHAnsi" w:cstheme="minorHAnsi"/>
          <w:iCs/>
          <w:sz w:val="24"/>
        </w:rPr>
      </w:pPr>
      <w:r w:rsidRPr="00273211">
        <w:rPr>
          <w:rFonts w:asciiTheme="minorHAnsi" w:hAnsiTheme="minorHAnsi" w:cstheme="minorHAnsi"/>
          <w:iCs/>
          <w:sz w:val="24"/>
        </w:rPr>
        <w:t>A</w:t>
      </w:r>
      <w:bookmarkStart w:id="0" w:name="_GoBack"/>
      <w:bookmarkEnd w:id="0"/>
      <w:r w:rsidRPr="00273211">
        <w:rPr>
          <w:rFonts w:asciiTheme="minorHAnsi" w:hAnsiTheme="minorHAnsi" w:cstheme="minorHAnsi"/>
          <w:iCs/>
          <w:sz w:val="24"/>
        </w:rPr>
        <w:t xml:space="preserve">prova </w:t>
      </w:r>
      <w:r w:rsidR="00135DCC" w:rsidRPr="00135DCC">
        <w:rPr>
          <w:rFonts w:asciiTheme="minorHAnsi" w:hAnsiTheme="minorHAnsi" w:cstheme="minorHAnsi"/>
          <w:iCs/>
          <w:sz w:val="24"/>
        </w:rPr>
        <w:t>a Consolidação d</w:t>
      </w:r>
      <w:r w:rsidRPr="00273211">
        <w:rPr>
          <w:rFonts w:asciiTheme="minorHAnsi" w:hAnsiTheme="minorHAnsi" w:cstheme="minorHAnsi"/>
          <w:iCs/>
          <w:sz w:val="24"/>
        </w:rPr>
        <w:t xml:space="preserve">o Pronunciamento Técnico CPC </w:t>
      </w:r>
      <w:r w:rsidR="00CB5A8C">
        <w:rPr>
          <w:rFonts w:asciiTheme="minorHAnsi" w:hAnsiTheme="minorHAnsi" w:cstheme="minorHAnsi"/>
          <w:iCs/>
          <w:sz w:val="24"/>
        </w:rPr>
        <w:t>31</w:t>
      </w:r>
      <w:r w:rsidRPr="00273211">
        <w:rPr>
          <w:rFonts w:asciiTheme="minorHAnsi" w:hAnsiTheme="minorHAnsi" w:cstheme="minorHAnsi"/>
          <w:iCs/>
          <w:sz w:val="24"/>
        </w:rPr>
        <w:t xml:space="preserve"> do Comitê de Pronunciamentos Contábeis</w:t>
      </w:r>
      <w:r w:rsidR="00135DCC" w:rsidRPr="00135DCC">
        <w:rPr>
          <w:rFonts w:asciiTheme="minorHAnsi" w:hAnsiTheme="minorHAnsi" w:cstheme="minorHAnsi"/>
          <w:iCs/>
          <w:sz w:val="24"/>
        </w:rPr>
        <w:t xml:space="preserve"> – CPC</w:t>
      </w:r>
      <w:r w:rsidRPr="00273211">
        <w:rPr>
          <w:rFonts w:asciiTheme="minorHAnsi" w:hAnsiTheme="minorHAnsi" w:cstheme="minorHAnsi"/>
          <w:iCs/>
          <w:sz w:val="24"/>
        </w:rPr>
        <w:t xml:space="preserve">, que trata </w:t>
      </w:r>
      <w:r w:rsidR="00135DCC">
        <w:rPr>
          <w:rFonts w:asciiTheme="minorHAnsi" w:hAnsiTheme="minorHAnsi" w:cstheme="minorHAnsi"/>
          <w:iCs/>
          <w:sz w:val="24"/>
        </w:rPr>
        <w:t>d</w:t>
      </w:r>
      <w:r w:rsidRPr="00273211">
        <w:rPr>
          <w:rFonts w:asciiTheme="minorHAnsi" w:hAnsiTheme="minorHAnsi" w:cstheme="minorHAnsi"/>
          <w:iCs/>
          <w:sz w:val="24"/>
        </w:rPr>
        <w:t xml:space="preserve">e </w:t>
      </w:r>
      <w:r w:rsidR="00CB5A8C" w:rsidRPr="00CB5A8C">
        <w:rPr>
          <w:rFonts w:asciiTheme="minorHAnsi" w:hAnsiTheme="minorHAnsi" w:cstheme="minorHAnsi"/>
          <w:iCs/>
          <w:sz w:val="24"/>
        </w:rPr>
        <w:t>ativo não-circulante mantido para venda e operação descontinuada</w:t>
      </w:r>
      <w:r w:rsidRPr="00273211">
        <w:rPr>
          <w:rFonts w:asciiTheme="minorHAnsi" w:hAnsiTheme="minorHAnsi" w:cstheme="minorHAnsi"/>
          <w:iCs/>
          <w:sz w:val="24"/>
        </w:rPr>
        <w:t>.</w:t>
      </w:r>
    </w:p>
    <w:p w14:paraId="7D45C359" w14:textId="6B58DDA4" w:rsidR="00CF08C5" w:rsidRPr="00273211" w:rsidRDefault="00CF08C5" w:rsidP="00CF08C5">
      <w:pPr>
        <w:pStyle w:val="Corpodetexto2"/>
        <w:spacing w:before="120" w:line="312" w:lineRule="auto"/>
        <w:ind w:firstLine="567"/>
        <w:rPr>
          <w:rFonts w:asciiTheme="minorHAnsi" w:hAnsiTheme="minorHAnsi" w:cstheme="minorHAnsi"/>
          <w:b w:val="0"/>
          <w:bCs w:val="0"/>
          <w:sz w:val="24"/>
        </w:rPr>
      </w:pPr>
      <w:r w:rsidRPr="00273211">
        <w:rPr>
          <w:rFonts w:asciiTheme="minorHAnsi" w:hAnsiTheme="minorHAnsi" w:cstheme="minorHAnsi"/>
          <w:b w:val="0"/>
          <w:bCs w:val="0"/>
          <w:sz w:val="24"/>
        </w:rPr>
        <w:t xml:space="preserve">O </w:t>
      </w:r>
      <w:r w:rsidRPr="00273211">
        <w:rPr>
          <w:rFonts w:asciiTheme="minorHAnsi" w:hAnsiTheme="minorHAnsi" w:cstheme="minorHAnsi"/>
          <w:sz w:val="24"/>
        </w:rPr>
        <w:t>PRESIDENTE DA COMISSÃO DE VALORES MOBILIÁRIOS - CVM</w:t>
      </w:r>
      <w:r w:rsidRPr="00273211">
        <w:rPr>
          <w:rFonts w:asciiTheme="minorHAnsi" w:hAnsiTheme="minorHAnsi" w:cstheme="minorHAnsi"/>
          <w:b w:val="0"/>
          <w:bCs w:val="0"/>
          <w:sz w:val="24"/>
        </w:rPr>
        <w:t xml:space="preserve"> torna público que o Colegiado, em reunião realizada em </w:t>
      </w:r>
      <w:r w:rsidR="00C56754">
        <w:rPr>
          <w:rFonts w:asciiTheme="minorHAnsi" w:hAnsiTheme="minorHAnsi" w:cstheme="minorHAnsi"/>
          <w:b w:val="0"/>
          <w:bCs w:val="0"/>
          <w:sz w:val="24"/>
          <w:lang w:val="pt-BR"/>
        </w:rPr>
        <w:t xml:space="preserve">14 </w:t>
      </w:r>
      <w:r w:rsidRPr="00273211">
        <w:rPr>
          <w:rFonts w:asciiTheme="minorHAnsi" w:hAnsiTheme="minorHAnsi" w:cstheme="minorHAnsi"/>
          <w:b w:val="0"/>
          <w:bCs w:val="0"/>
          <w:sz w:val="24"/>
        </w:rPr>
        <w:t xml:space="preserve">de </w:t>
      </w:r>
      <w:r w:rsidR="00C56754">
        <w:rPr>
          <w:rFonts w:asciiTheme="minorHAnsi" w:hAnsiTheme="minorHAnsi" w:cstheme="minorHAnsi"/>
          <w:b w:val="0"/>
          <w:bCs w:val="0"/>
          <w:sz w:val="24"/>
          <w:lang w:val="pt-BR"/>
        </w:rPr>
        <w:t xml:space="preserve">abril </w:t>
      </w:r>
      <w:r w:rsidRPr="00273211">
        <w:rPr>
          <w:rFonts w:asciiTheme="minorHAnsi" w:hAnsiTheme="minorHAnsi" w:cstheme="minorHAnsi"/>
          <w:b w:val="0"/>
          <w:bCs w:val="0"/>
          <w:sz w:val="24"/>
        </w:rPr>
        <w:t>de 202</w:t>
      </w:r>
      <w:r w:rsidR="004A243E">
        <w:rPr>
          <w:rFonts w:asciiTheme="minorHAnsi" w:hAnsiTheme="minorHAnsi" w:cstheme="minorHAnsi"/>
          <w:b w:val="0"/>
          <w:bCs w:val="0"/>
          <w:sz w:val="24"/>
          <w:lang w:val="pt-BR"/>
        </w:rPr>
        <w:t>2</w:t>
      </w:r>
      <w:r w:rsidRPr="00273211">
        <w:rPr>
          <w:rFonts w:asciiTheme="minorHAnsi" w:hAnsiTheme="minorHAnsi" w:cstheme="minorHAnsi"/>
          <w:b w:val="0"/>
          <w:bCs w:val="0"/>
          <w:sz w:val="24"/>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273211">
        <w:rPr>
          <w:rFonts w:asciiTheme="minorHAnsi" w:hAnsiTheme="minorHAnsi" w:cstheme="minorHAnsi"/>
          <w:sz w:val="24"/>
        </w:rPr>
        <w:t>APROVOU</w:t>
      </w:r>
      <w:r w:rsidRPr="00273211">
        <w:rPr>
          <w:rFonts w:asciiTheme="minorHAnsi" w:hAnsiTheme="minorHAnsi" w:cstheme="minorHAnsi"/>
          <w:b w:val="0"/>
          <w:bCs w:val="0"/>
          <w:sz w:val="24"/>
        </w:rPr>
        <w:t xml:space="preserve"> a seguinte Resolução:</w:t>
      </w:r>
    </w:p>
    <w:p w14:paraId="4EBD8632" w14:textId="42238A41" w:rsidR="00273211" w:rsidRPr="00273211" w:rsidRDefault="00273211" w:rsidP="00273211">
      <w:pPr>
        <w:autoSpaceDE w:val="0"/>
        <w:autoSpaceDN w:val="0"/>
        <w:adjustRightInd w:val="0"/>
        <w:spacing w:before="360" w:line="312" w:lineRule="auto"/>
        <w:ind w:firstLine="567"/>
        <w:rPr>
          <w:rFonts w:asciiTheme="minorHAnsi" w:hAnsiTheme="minorHAnsi" w:cstheme="minorHAnsi"/>
          <w:sz w:val="24"/>
        </w:rPr>
      </w:pPr>
      <w:r w:rsidRPr="00273211">
        <w:rPr>
          <w:rFonts w:asciiTheme="minorHAnsi" w:hAnsiTheme="minorHAnsi" w:cstheme="minorHAnsi"/>
          <w:sz w:val="24"/>
        </w:rPr>
        <w:t xml:space="preserve">Art. 1º  Torna obrigatório para as companhias abertas o Pronunciamento Técnico CPC </w:t>
      </w:r>
      <w:r w:rsidR="00CB5A8C">
        <w:rPr>
          <w:rFonts w:asciiTheme="minorHAnsi" w:hAnsiTheme="minorHAnsi" w:cstheme="minorHAnsi"/>
          <w:sz w:val="24"/>
        </w:rPr>
        <w:t>31</w:t>
      </w:r>
      <w:r w:rsidR="00135DCC" w:rsidRPr="00273211">
        <w:rPr>
          <w:rFonts w:asciiTheme="minorHAnsi" w:hAnsiTheme="minorHAnsi" w:cstheme="minorHAnsi"/>
          <w:sz w:val="24"/>
        </w:rPr>
        <w:t xml:space="preserve">, que trata </w:t>
      </w:r>
      <w:r w:rsidR="00135DCC">
        <w:rPr>
          <w:rFonts w:asciiTheme="minorHAnsi" w:hAnsiTheme="minorHAnsi" w:cstheme="minorHAnsi"/>
          <w:sz w:val="24"/>
        </w:rPr>
        <w:t>d</w:t>
      </w:r>
      <w:r w:rsidR="00135DCC" w:rsidRPr="00273211">
        <w:rPr>
          <w:rFonts w:asciiTheme="minorHAnsi" w:hAnsiTheme="minorHAnsi" w:cstheme="minorHAnsi"/>
          <w:sz w:val="24"/>
        </w:rPr>
        <w:t xml:space="preserve">e </w:t>
      </w:r>
      <w:r w:rsidR="00135DCC" w:rsidRPr="00CB5A8C">
        <w:rPr>
          <w:rFonts w:asciiTheme="minorHAnsi" w:hAnsiTheme="minorHAnsi" w:cstheme="minorHAnsi"/>
          <w:sz w:val="24"/>
        </w:rPr>
        <w:t>ativo não-circulante mantido para venda e operação descontinuada</w:t>
      </w:r>
      <w:r w:rsidR="00135DCC">
        <w:rPr>
          <w:rFonts w:asciiTheme="minorHAnsi" w:hAnsiTheme="minorHAnsi" w:cstheme="minorHAnsi"/>
          <w:sz w:val="24"/>
        </w:rPr>
        <w:t>,</w:t>
      </w:r>
      <w:r w:rsidRPr="00273211">
        <w:rPr>
          <w:rFonts w:asciiTheme="minorHAnsi" w:hAnsiTheme="minorHAnsi" w:cstheme="minorHAnsi"/>
          <w:sz w:val="24"/>
        </w:rPr>
        <w:t xml:space="preserve"> emitido pelo Comitê de Pronunciamentos Contábeis - CPC, </w:t>
      </w:r>
      <w:r w:rsidR="00135DCC" w:rsidRPr="00135DCC">
        <w:rPr>
          <w:rFonts w:asciiTheme="minorHAnsi" w:hAnsiTheme="minorHAnsi" w:cstheme="minorHAnsi"/>
          <w:sz w:val="24"/>
        </w:rPr>
        <w:t>conforme consolidado no Anexo “A” à presente Resolução</w:t>
      </w:r>
      <w:r w:rsidRPr="00273211">
        <w:rPr>
          <w:rFonts w:asciiTheme="minorHAnsi" w:hAnsiTheme="minorHAnsi" w:cstheme="minorHAnsi"/>
          <w:sz w:val="24"/>
        </w:rPr>
        <w:t>.</w:t>
      </w:r>
    </w:p>
    <w:p w14:paraId="4E2C13E3" w14:textId="197BAA56"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2º  </w:t>
      </w:r>
      <w:r w:rsidRPr="00273211">
        <w:rPr>
          <w:rFonts w:asciiTheme="minorHAnsi" w:hAnsiTheme="minorHAnsi" w:cstheme="minorHAnsi"/>
          <w:color w:val="000000" w:themeColor="text1"/>
          <w:sz w:val="24"/>
        </w:rPr>
        <w:t xml:space="preserve">Fica revogada a Deliberação </w:t>
      </w:r>
      <w:r w:rsidR="00CB5A8C">
        <w:rPr>
          <w:rFonts w:asciiTheme="minorHAnsi" w:hAnsiTheme="minorHAnsi" w:cstheme="minorHAnsi"/>
          <w:color w:val="000000" w:themeColor="text1"/>
          <w:sz w:val="24"/>
        </w:rPr>
        <w:t>598</w:t>
      </w:r>
      <w:r w:rsidRPr="00273211">
        <w:rPr>
          <w:rFonts w:asciiTheme="minorHAnsi" w:hAnsiTheme="minorHAnsi" w:cstheme="minorHAnsi"/>
          <w:color w:val="000000" w:themeColor="text1"/>
          <w:sz w:val="24"/>
        </w:rPr>
        <w:t xml:space="preserve">, de </w:t>
      </w:r>
      <w:r w:rsidR="00CB5A8C">
        <w:rPr>
          <w:rFonts w:asciiTheme="minorHAnsi" w:hAnsiTheme="minorHAnsi" w:cstheme="minorHAnsi"/>
          <w:color w:val="000000" w:themeColor="text1"/>
          <w:sz w:val="24"/>
        </w:rPr>
        <w:t>15</w:t>
      </w:r>
      <w:r w:rsidRPr="00273211">
        <w:rPr>
          <w:rFonts w:asciiTheme="minorHAnsi" w:hAnsiTheme="minorHAnsi" w:cstheme="minorHAnsi"/>
          <w:color w:val="000000" w:themeColor="text1"/>
          <w:sz w:val="24"/>
        </w:rPr>
        <w:t xml:space="preserve"> de </w:t>
      </w:r>
      <w:r w:rsidR="00CB5A8C">
        <w:rPr>
          <w:rFonts w:asciiTheme="minorHAnsi" w:hAnsiTheme="minorHAnsi" w:cstheme="minorHAnsi"/>
          <w:color w:val="000000" w:themeColor="text1"/>
          <w:sz w:val="24"/>
        </w:rPr>
        <w:t>setembro</w:t>
      </w:r>
      <w:r w:rsidRPr="00273211">
        <w:rPr>
          <w:rFonts w:asciiTheme="minorHAnsi" w:hAnsiTheme="minorHAnsi" w:cstheme="minorHAnsi"/>
          <w:color w:val="000000" w:themeColor="text1"/>
          <w:sz w:val="24"/>
        </w:rPr>
        <w:t xml:space="preserve"> de 20</w:t>
      </w:r>
      <w:r w:rsidR="00CB5A8C">
        <w:rPr>
          <w:rFonts w:asciiTheme="minorHAnsi" w:hAnsiTheme="minorHAnsi" w:cstheme="minorHAnsi"/>
          <w:color w:val="000000" w:themeColor="text1"/>
          <w:sz w:val="24"/>
        </w:rPr>
        <w:t>09</w:t>
      </w:r>
      <w:r w:rsidR="00562110" w:rsidRPr="00562110">
        <w:rPr>
          <w:rFonts w:asciiTheme="minorHAnsi" w:hAnsiTheme="minorHAnsi" w:cstheme="minorHAnsi"/>
          <w:color w:val="000000" w:themeColor="text1"/>
          <w:sz w:val="24"/>
        </w:rPr>
        <w:t>, a partir da vigência desta Resolução</w:t>
      </w:r>
      <w:r w:rsidRPr="00273211">
        <w:rPr>
          <w:rFonts w:asciiTheme="minorHAnsi" w:hAnsiTheme="minorHAnsi" w:cstheme="minorHAnsi"/>
          <w:sz w:val="24"/>
        </w:rPr>
        <w:t>.</w:t>
      </w:r>
    </w:p>
    <w:p w14:paraId="7C1D6C73" w14:textId="4825FA24"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3º  </w:t>
      </w:r>
      <w:r w:rsidR="00BE5934" w:rsidRPr="00BE5934">
        <w:rPr>
          <w:rFonts w:asciiTheme="minorHAnsi" w:hAnsiTheme="minorHAnsi" w:cstheme="minorHAnsi"/>
          <w:sz w:val="24"/>
        </w:rPr>
        <w:t>Esta Resolução entra em vigor em 1º de julho de 2022</w:t>
      </w:r>
      <w:r w:rsidRPr="00273211">
        <w:rPr>
          <w:rFonts w:asciiTheme="minorHAnsi" w:hAnsiTheme="minorHAnsi" w:cstheme="minorHAnsi"/>
          <w:sz w:val="24"/>
        </w:rPr>
        <w:t>.</w:t>
      </w:r>
    </w:p>
    <w:p w14:paraId="4E886EE9" w14:textId="5FF432C1" w:rsidR="00A21437" w:rsidRPr="00A92033" w:rsidRDefault="00A21437">
      <w:pPr>
        <w:spacing w:before="0" w:after="160" w:line="259" w:lineRule="auto"/>
        <w:jc w:val="left"/>
        <w:rPr>
          <w:rFonts w:cs="Arial"/>
          <w:sz w:val="24"/>
        </w:rPr>
      </w:pPr>
    </w:p>
    <w:p w14:paraId="224E36B0" w14:textId="77777777" w:rsidR="00A92033" w:rsidRPr="00A92033" w:rsidRDefault="00A92033" w:rsidP="00A92033">
      <w:pPr>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pPr>
        <w:spacing w:before="0" w:after="160" w:line="259" w:lineRule="auto"/>
        <w:jc w:val="left"/>
        <w:rPr>
          <w:rFonts w:cs="Arial"/>
          <w:sz w:val="24"/>
        </w:rPr>
      </w:pPr>
    </w:p>
    <w:p w14:paraId="74B88778" w14:textId="770323FC" w:rsidR="00DF62F3" w:rsidRDefault="00DF62F3">
      <w:pPr>
        <w:spacing w:before="0" w:after="160" w:line="259" w:lineRule="auto"/>
        <w:jc w:val="left"/>
        <w:rPr>
          <w:rFonts w:cs="Arial"/>
          <w:b/>
          <w:sz w:val="22"/>
          <w:szCs w:val="22"/>
          <w:lang w:val="pt-BR"/>
        </w:rPr>
      </w:pPr>
      <w:r>
        <w:rPr>
          <w:rFonts w:cs="Arial"/>
          <w:b/>
          <w:sz w:val="22"/>
          <w:szCs w:val="22"/>
          <w:lang w:val="pt-BR"/>
        </w:rPr>
        <w:br w:type="page"/>
      </w:r>
    </w:p>
    <w:p w14:paraId="4C5991AE" w14:textId="47DB4BBE" w:rsidR="00D740A9" w:rsidRDefault="00D740A9" w:rsidP="00CB3DE1">
      <w:pPr>
        <w:spacing w:before="0" w:after="0"/>
        <w:jc w:val="center"/>
        <w:outlineLvl w:val="0"/>
        <w:rPr>
          <w:rFonts w:ascii="Times New Roman" w:hAnsi="Times New Roman"/>
          <w:b/>
          <w:sz w:val="24"/>
          <w:lang w:val="pt-BR"/>
        </w:rPr>
      </w:pPr>
      <w:r w:rsidRPr="00D740A9">
        <w:rPr>
          <w:rFonts w:ascii="Times New Roman" w:hAnsi="Times New Roman"/>
          <w:b/>
          <w:sz w:val="24"/>
          <w:lang w:val="pt-BR"/>
        </w:rPr>
        <w:lastRenderedPageBreak/>
        <w:t>ANEXO “A”</w:t>
      </w:r>
    </w:p>
    <w:p w14:paraId="029B010F" w14:textId="77777777" w:rsidR="00D740A9" w:rsidRDefault="00D740A9" w:rsidP="00CB3DE1">
      <w:pPr>
        <w:spacing w:before="0" w:after="0"/>
        <w:jc w:val="center"/>
        <w:outlineLvl w:val="0"/>
        <w:rPr>
          <w:rFonts w:ascii="Times New Roman" w:hAnsi="Times New Roman"/>
          <w:b/>
          <w:sz w:val="24"/>
          <w:lang w:val="pt-BR"/>
        </w:rPr>
      </w:pPr>
    </w:p>
    <w:p w14:paraId="42C62071" w14:textId="2336A66A" w:rsidR="00CB3DE1" w:rsidRPr="00CB3DE1" w:rsidRDefault="00CB3DE1" w:rsidP="00CB3DE1">
      <w:pPr>
        <w:spacing w:before="0" w:after="0"/>
        <w:jc w:val="center"/>
        <w:outlineLvl w:val="0"/>
        <w:rPr>
          <w:rFonts w:ascii="Times New Roman" w:hAnsi="Times New Roman"/>
          <w:b/>
          <w:sz w:val="24"/>
          <w:lang w:val="pt-BR"/>
        </w:rPr>
      </w:pPr>
      <w:r w:rsidRPr="00CB3DE1">
        <w:rPr>
          <w:rFonts w:ascii="Times New Roman" w:hAnsi="Times New Roman"/>
          <w:b/>
          <w:sz w:val="24"/>
          <w:lang w:val="pt-BR"/>
        </w:rPr>
        <w:t>COMITÊ DE PRONUNCIAMENTOS CONTÁBEIS</w:t>
      </w:r>
    </w:p>
    <w:p w14:paraId="45D778B3" w14:textId="77777777" w:rsidR="00CB3DE1" w:rsidRPr="00CB3DE1" w:rsidRDefault="00CB3DE1" w:rsidP="00CB3DE1">
      <w:pPr>
        <w:spacing w:before="0" w:after="0"/>
        <w:jc w:val="center"/>
        <w:outlineLvl w:val="0"/>
        <w:rPr>
          <w:rFonts w:ascii="Times New Roman" w:hAnsi="Times New Roman"/>
          <w:b/>
          <w:sz w:val="24"/>
          <w:lang w:val="pt-BR"/>
        </w:rPr>
      </w:pPr>
    </w:p>
    <w:p w14:paraId="763E4936" w14:textId="77777777" w:rsidR="00CB3DE1" w:rsidRPr="00CB3DE1" w:rsidRDefault="00CB3DE1" w:rsidP="00CB3DE1">
      <w:pPr>
        <w:spacing w:before="0" w:after="0"/>
        <w:jc w:val="center"/>
        <w:outlineLvl w:val="0"/>
        <w:rPr>
          <w:rFonts w:ascii="Times New Roman" w:hAnsi="Times New Roman"/>
          <w:b/>
          <w:sz w:val="24"/>
          <w:lang w:val="pt-BR"/>
        </w:rPr>
      </w:pPr>
      <w:r w:rsidRPr="00CB3DE1">
        <w:rPr>
          <w:rFonts w:ascii="Times New Roman" w:hAnsi="Times New Roman"/>
          <w:b/>
          <w:sz w:val="24"/>
          <w:lang w:val="pt-BR"/>
        </w:rPr>
        <w:t>PRONUNCIAMENTO TÉCNICO CPC 31</w:t>
      </w:r>
    </w:p>
    <w:p w14:paraId="4E8B82D2" w14:textId="77777777" w:rsidR="00CB3DE1" w:rsidRPr="00CB3DE1" w:rsidRDefault="00CB3DE1" w:rsidP="00CB3DE1">
      <w:pPr>
        <w:spacing w:before="0" w:after="0"/>
        <w:jc w:val="center"/>
        <w:outlineLvl w:val="0"/>
        <w:rPr>
          <w:rFonts w:ascii="Times New Roman" w:hAnsi="Times New Roman"/>
          <w:b/>
          <w:sz w:val="24"/>
          <w:lang w:val="pt-BR"/>
        </w:rPr>
      </w:pPr>
    </w:p>
    <w:p w14:paraId="592682D6" w14:textId="77777777" w:rsidR="00CB3DE1" w:rsidRPr="00091226" w:rsidRDefault="00CB3DE1" w:rsidP="00CB3DE1">
      <w:pPr>
        <w:spacing w:before="0" w:after="0"/>
        <w:jc w:val="center"/>
        <w:outlineLvl w:val="0"/>
        <w:rPr>
          <w:rFonts w:ascii="Times New Roman" w:hAnsi="Times New Roman"/>
          <w:b/>
          <w:caps/>
          <w:sz w:val="24"/>
          <w:lang w:val="pt-BR"/>
        </w:rPr>
      </w:pPr>
      <w:r w:rsidRPr="00091226">
        <w:rPr>
          <w:rFonts w:ascii="Times New Roman" w:hAnsi="Times New Roman"/>
          <w:b/>
          <w:caps/>
          <w:sz w:val="24"/>
          <w:lang w:val="pt-BR"/>
        </w:rPr>
        <w:t>Ativo Não Circulante Mantido para Venda e Operação Descontinuada</w:t>
      </w:r>
    </w:p>
    <w:p w14:paraId="35762FB3" w14:textId="77777777" w:rsidR="00CB3DE1" w:rsidRPr="00CB3DE1" w:rsidRDefault="00CB3DE1" w:rsidP="00CB3DE1">
      <w:pPr>
        <w:spacing w:before="0" w:after="0"/>
        <w:jc w:val="center"/>
        <w:outlineLvl w:val="0"/>
        <w:rPr>
          <w:rFonts w:ascii="Times New Roman" w:hAnsi="Times New Roman"/>
          <w:b/>
          <w:sz w:val="24"/>
          <w:lang w:val="pt-BR"/>
        </w:rPr>
      </w:pPr>
    </w:p>
    <w:p w14:paraId="1210A558" w14:textId="77777777" w:rsidR="00CB3DE1" w:rsidRPr="00CB3DE1" w:rsidRDefault="00CB3DE1" w:rsidP="00CB3DE1">
      <w:pPr>
        <w:spacing w:before="0" w:after="0"/>
        <w:jc w:val="center"/>
        <w:outlineLvl w:val="0"/>
        <w:rPr>
          <w:rFonts w:ascii="Times New Roman" w:hAnsi="Times New Roman"/>
          <w:b/>
          <w:sz w:val="24"/>
          <w:lang w:val="pt-BR"/>
        </w:rPr>
      </w:pPr>
      <w:r w:rsidRPr="00CB3DE1">
        <w:rPr>
          <w:rFonts w:ascii="Times New Roman" w:hAnsi="Times New Roman"/>
          <w:b/>
          <w:sz w:val="24"/>
          <w:lang w:val="pt-BR"/>
        </w:rPr>
        <w:t>Correlação às Normas Internacionais de Contabilidade – IFRS 5</w:t>
      </w:r>
    </w:p>
    <w:p w14:paraId="23A3E71B" w14:textId="77777777" w:rsidR="00CB3DE1" w:rsidRPr="00CB3DE1" w:rsidRDefault="00CB3DE1" w:rsidP="00CB3DE1">
      <w:pPr>
        <w:spacing w:before="0" w:after="0"/>
        <w:jc w:val="center"/>
        <w:outlineLvl w:val="0"/>
        <w:rPr>
          <w:rFonts w:ascii="Times New Roman" w:hAnsi="Times New Roman"/>
          <w:b/>
          <w:sz w:val="24"/>
          <w:lang w:val="pt-BR"/>
        </w:rPr>
      </w:pPr>
    </w:p>
    <w:tbl>
      <w:tblPr>
        <w:tblW w:w="8716"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6"/>
        <w:gridCol w:w="1080"/>
      </w:tblGrid>
      <w:tr w:rsidR="00CB3DE1" w:rsidRPr="00CB3DE1" w14:paraId="2D897451" w14:textId="77777777" w:rsidTr="00BA6C7C">
        <w:tc>
          <w:tcPr>
            <w:tcW w:w="7636" w:type="dxa"/>
          </w:tcPr>
          <w:p w14:paraId="61E5AAE2" w14:textId="77777777" w:rsidR="00CB3DE1" w:rsidRPr="00CB3DE1" w:rsidRDefault="00CB3DE1" w:rsidP="00CB3DE1">
            <w:pPr>
              <w:spacing w:before="60" w:after="60"/>
              <w:jc w:val="left"/>
              <w:rPr>
                <w:rFonts w:ascii="Times New Roman" w:hAnsi="Times New Roman"/>
                <w:b/>
                <w:bCs/>
                <w:kern w:val="36"/>
                <w:sz w:val="22"/>
                <w:szCs w:val="22"/>
              </w:rPr>
            </w:pPr>
            <w:r w:rsidRPr="00CB3DE1">
              <w:rPr>
                <w:rFonts w:ascii="Times New Roman" w:hAnsi="Times New Roman"/>
                <w:b/>
                <w:bCs/>
                <w:kern w:val="36"/>
                <w:sz w:val="22"/>
                <w:szCs w:val="22"/>
                <w:lang w:val="pt-BR"/>
              </w:rPr>
              <w:t>Sumário</w:t>
            </w:r>
          </w:p>
        </w:tc>
        <w:tc>
          <w:tcPr>
            <w:tcW w:w="1080" w:type="dxa"/>
          </w:tcPr>
          <w:p w14:paraId="42D98328" w14:textId="77777777" w:rsidR="00CB3DE1" w:rsidRPr="00CB3DE1" w:rsidRDefault="00CB3DE1" w:rsidP="00CB3DE1">
            <w:pPr>
              <w:spacing w:before="60" w:after="60"/>
              <w:jc w:val="center"/>
              <w:rPr>
                <w:rFonts w:ascii="Times New Roman" w:hAnsi="Times New Roman"/>
                <w:b/>
                <w:bCs/>
                <w:kern w:val="36"/>
                <w:sz w:val="22"/>
                <w:szCs w:val="22"/>
              </w:rPr>
            </w:pPr>
            <w:r w:rsidRPr="00CB3DE1">
              <w:rPr>
                <w:rFonts w:ascii="Times New Roman" w:hAnsi="Times New Roman"/>
                <w:b/>
                <w:bCs/>
                <w:kern w:val="36"/>
                <w:sz w:val="22"/>
                <w:szCs w:val="22"/>
                <w:lang w:val="pt-BR"/>
              </w:rPr>
              <w:t>Item</w:t>
            </w:r>
          </w:p>
        </w:tc>
      </w:tr>
      <w:tr w:rsidR="00CB3DE1" w:rsidRPr="00CB3DE1" w14:paraId="31D84DD7" w14:textId="77777777" w:rsidTr="00BA6C7C">
        <w:tc>
          <w:tcPr>
            <w:tcW w:w="7636" w:type="dxa"/>
          </w:tcPr>
          <w:p w14:paraId="0D4018A7" w14:textId="77777777" w:rsidR="00CB3DE1" w:rsidRPr="00CB3DE1" w:rsidRDefault="00CB3DE1" w:rsidP="00CB3DE1">
            <w:pPr>
              <w:spacing w:before="60" w:after="60"/>
              <w:jc w:val="left"/>
              <w:rPr>
                <w:rFonts w:ascii="Times New Roman" w:hAnsi="Times New Roman"/>
                <w:b/>
                <w:bCs/>
                <w:kern w:val="36"/>
                <w:sz w:val="22"/>
                <w:szCs w:val="22"/>
                <w:lang w:val="pt-BR"/>
              </w:rPr>
            </w:pPr>
            <w:r w:rsidRPr="00CB3DE1">
              <w:rPr>
                <w:rFonts w:ascii="Times New Roman" w:hAnsi="Times New Roman"/>
                <w:b/>
                <w:bCs/>
                <w:kern w:val="36"/>
                <w:sz w:val="22"/>
                <w:szCs w:val="22"/>
                <w:lang w:val="pt-BR"/>
              </w:rPr>
              <w:t>OBJETIVO</w:t>
            </w:r>
          </w:p>
        </w:tc>
        <w:tc>
          <w:tcPr>
            <w:tcW w:w="1080" w:type="dxa"/>
          </w:tcPr>
          <w:p w14:paraId="6EFE6E3F" w14:textId="77777777" w:rsidR="00CB3DE1" w:rsidRPr="00CB3DE1" w:rsidRDefault="00CB3DE1" w:rsidP="00CB3DE1">
            <w:pPr>
              <w:spacing w:before="60" w:after="60"/>
              <w:jc w:val="center"/>
              <w:rPr>
                <w:rFonts w:ascii="Times New Roman" w:hAnsi="Times New Roman"/>
                <w:b/>
                <w:bCs/>
                <w:kern w:val="36"/>
                <w:sz w:val="22"/>
                <w:szCs w:val="22"/>
                <w:lang w:val="pt-BR"/>
              </w:rPr>
            </w:pPr>
            <w:r w:rsidRPr="00CB3DE1">
              <w:rPr>
                <w:rFonts w:ascii="Times New Roman" w:hAnsi="Times New Roman"/>
                <w:b/>
                <w:bCs/>
                <w:kern w:val="36"/>
                <w:sz w:val="22"/>
                <w:szCs w:val="22"/>
                <w:lang w:val="pt-BR"/>
              </w:rPr>
              <w:t>1</w:t>
            </w:r>
          </w:p>
        </w:tc>
      </w:tr>
      <w:tr w:rsidR="00CB3DE1" w:rsidRPr="00CB3DE1" w14:paraId="70FD767F" w14:textId="77777777" w:rsidTr="00BA6C7C">
        <w:tc>
          <w:tcPr>
            <w:tcW w:w="7636" w:type="dxa"/>
          </w:tcPr>
          <w:p w14:paraId="522EFAC2" w14:textId="77777777" w:rsidR="00CB3DE1" w:rsidRPr="00CB3DE1" w:rsidRDefault="00CB3DE1" w:rsidP="00CB3DE1">
            <w:pPr>
              <w:spacing w:before="60" w:after="60"/>
              <w:jc w:val="left"/>
              <w:rPr>
                <w:rFonts w:ascii="Times New Roman" w:hAnsi="Times New Roman"/>
                <w:b/>
                <w:bCs/>
                <w:kern w:val="36"/>
                <w:sz w:val="22"/>
                <w:szCs w:val="22"/>
                <w:lang w:val="pt-BR"/>
              </w:rPr>
            </w:pPr>
            <w:r w:rsidRPr="00CB3DE1">
              <w:rPr>
                <w:rFonts w:ascii="Times New Roman" w:hAnsi="Times New Roman"/>
                <w:b/>
                <w:bCs/>
                <w:kern w:val="36"/>
                <w:sz w:val="22"/>
                <w:szCs w:val="22"/>
                <w:lang w:val="pt-BR"/>
              </w:rPr>
              <w:t>ALCANCE</w:t>
            </w:r>
          </w:p>
        </w:tc>
        <w:tc>
          <w:tcPr>
            <w:tcW w:w="1080" w:type="dxa"/>
          </w:tcPr>
          <w:p w14:paraId="6F56D385" w14:textId="77777777" w:rsidR="00CB3DE1" w:rsidRPr="00CB3DE1" w:rsidRDefault="00CB3DE1" w:rsidP="00CB3DE1">
            <w:pPr>
              <w:spacing w:before="60" w:after="60"/>
              <w:jc w:val="center"/>
              <w:rPr>
                <w:rFonts w:ascii="Times New Roman" w:hAnsi="Times New Roman"/>
                <w:b/>
                <w:bCs/>
                <w:kern w:val="36"/>
                <w:sz w:val="22"/>
                <w:szCs w:val="22"/>
                <w:lang w:val="pt-BR"/>
              </w:rPr>
            </w:pPr>
            <w:r w:rsidRPr="00CB3DE1">
              <w:rPr>
                <w:rFonts w:ascii="Times New Roman" w:hAnsi="Times New Roman"/>
                <w:b/>
                <w:bCs/>
                <w:kern w:val="36"/>
                <w:sz w:val="22"/>
                <w:szCs w:val="22"/>
                <w:lang w:val="pt-BR"/>
              </w:rPr>
              <w:t>2 – 5B</w:t>
            </w:r>
          </w:p>
        </w:tc>
      </w:tr>
      <w:tr w:rsidR="00CB3DE1" w:rsidRPr="00CB3DE1" w14:paraId="396FA504" w14:textId="77777777" w:rsidTr="00BA6C7C">
        <w:tc>
          <w:tcPr>
            <w:tcW w:w="7636" w:type="dxa"/>
          </w:tcPr>
          <w:p w14:paraId="46B7D69B" w14:textId="77777777" w:rsidR="00CB3DE1" w:rsidRPr="00CB3DE1" w:rsidRDefault="00CB3DE1" w:rsidP="00CB3DE1">
            <w:pPr>
              <w:spacing w:before="60" w:after="60"/>
              <w:jc w:val="left"/>
              <w:rPr>
                <w:rFonts w:ascii="Times New Roman" w:hAnsi="Times New Roman"/>
                <w:b/>
                <w:bCs/>
                <w:kern w:val="36"/>
                <w:sz w:val="22"/>
                <w:szCs w:val="22"/>
                <w:lang w:val="pt-BR"/>
              </w:rPr>
            </w:pPr>
            <w:r w:rsidRPr="00CB3DE1">
              <w:rPr>
                <w:rFonts w:ascii="Times New Roman" w:hAnsi="Times New Roman"/>
                <w:b/>
                <w:bCs/>
                <w:kern w:val="36"/>
                <w:sz w:val="22"/>
                <w:szCs w:val="22"/>
                <w:lang w:val="pt-BR"/>
              </w:rPr>
              <w:t>CLASSIFICAÇÃO DE ATIVO NÃO CIRCULANTE COMO MANTIDO PARA VENDA</w:t>
            </w:r>
          </w:p>
        </w:tc>
        <w:tc>
          <w:tcPr>
            <w:tcW w:w="1080" w:type="dxa"/>
          </w:tcPr>
          <w:p w14:paraId="15B0C483" w14:textId="77777777" w:rsidR="00CB3DE1" w:rsidRPr="00CB3DE1" w:rsidRDefault="00CB3DE1" w:rsidP="00CB3DE1">
            <w:pPr>
              <w:spacing w:before="60" w:after="60"/>
              <w:jc w:val="center"/>
              <w:rPr>
                <w:rFonts w:ascii="Times New Roman" w:hAnsi="Times New Roman"/>
                <w:b/>
                <w:bCs/>
                <w:kern w:val="36"/>
                <w:sz w:val="22"/>
                <w:szCs w:val="22"/>
                <w:lang w:val="pt-BR"/>
              </w:rPr>
            </w:pPr>
            <w:r w:rsidRPr="00CB3DE1">
              <w:rPr>
                <w:rFonts w:ascii="Times New Roman" w:hAnsi="Times New Roman"/>
                <w:b/>
                <w:bCs/>
                <w:kern w:val="36"/>
                <w:sz w:val="22"/>
                <w:szCs w:val="22"/>
                <w:lang w:val="pt-BR"/>
              </w:rPr>
              <w:t>6 – 14</w:t>
            </w:r>
          </w:p>
        </w:tc>
      </w:tr>
      <w:tr w:rsidR="00CB3DE1" w:rsidRPr="00CB3DE1" w14:paraId="2BA40C91" w14:textId="77777777" w:rsidTr="00BA6C7C">
        <w:tc>
          <w:tcPr>
            <w:tcW w:w="7636" w:type="dxa"/>
          </w:tcPr>
          <w:p w14:paraId="0B1A529D" w14:textId="77777777" w:rsidR="00CB3DE1" w:rsidRPr="00CB3DE1" w:rsidRDefault="00CB3DE1" w:rsidP="00CB3DE1">
            <w:pPr>
              <w:spacing w:before="60" w:after="60"/>
              <w:jc w:val="left"/>
              <w:rPr>
                <w:rFonts w:ascii="Times New Roman" w:hAnsi="Times New Roman"/>
                <w:b/>
                <w:bCs/>
                <w:kern w:val="36"/>
                <w:sz w:val="22"/>
                <w:szCs w:val="22"/>
                <w:lang w:val="pt-BR"/>
              </w:rPr>
            </w:pPr>
            <w:r w:rsidRPr="00CB3DE1">
              <w:rPr>
                <w:rFonts w:ascii="Times New Roman" w:hAnsi="Times New Roman"/>
                <w:b/>
                <w:sz w:val="22"/>
                <w:szCs w:val="22"/>
              </w:rPr>
              <w:t>Ativo não circulante a ser baixado</w:t>
            </w:r>
          </w:p>
        </w:tc>
        <w:tc>
          <w:tcPr>
            <w:tcW w:w="1080" w:type="dxa"/>
          </w:tcPr>
          <w:p w14:paraId="0BE00171" w14:textId="77777777" w:rsidR="00CB3DE1" w:rsidRPr="00CB3DE1" w:rsidRDefault="00CB3DE1" w:rsidP="00CB3DE1">
            <w:pPr>
              <w:spacing w:before="60" w:after="60"/>
              <w:jc w:val="center"/>
              <w:rPr>
                <w:rFonts w:ascii="Times New Roman" w:hAnsi="Times New Roman"/>
                <w:b/>
                <w:bCs/>
                <w:kern w:val="36"/>
                <w:sz w:val="22"/>
                <w:szCs w:val="22"/>
                <w:lang w:val="pt-BR"/>
              </w:rPr>
            </w:pPr>
            <w:r w:rsidRPr="00CB3DE1">
              <w:rPr>
                <w:rFonts w:ascii="Times New Roman" w:hAnsi="Times New Roman"/>
                <w:b/>
                <w:bCs/>
                <w:kern w:val="36"/>
                <w:sz w:val="22"/>
                <w:szCs w:val="22"/>
                <w:lang w:val="pt-BR"/>
              </w:rPr>
              <w:t>13 – 14</w:t>
            </w:r>
          </w:p>
        </w:tc>
      </w:tr>
      <w:tr w:rsidR="00CB3DE1" w:rsidRPr="00CB3DE1" w14:paraId="7E263484" w14:textId="77777777" w:rsidTr="00BA6C7C">
        <w:tc>
          <w:tcPr>
            <w:tcW w:w="7636" w:type="dxa"/>
          </w:tcPr>
          <w:p w14:paraId="4F82D936" w14:textId="77777777" w:rsidR="00CB3DE1" w:rsidRPr="00CB3DE1" w:rsidRDefault="00CB3DE1" w:rsidP="00CB3DE1">
            <w:pPr>
              <w:spacing w:before="60" w:after="60"/>
              <w:jc w:val="left"/>
              <w:rPr>
                <w:rFonts w:ascii="Times New Roman" w:hAnsi="Times New Roman"/>
                <w:b/>
                <w:bCs/>
                <w:kern w:val="36"/>
                <w:sz w:val="22"/>
                <w:szCs w:val="22"/>
                <w:lang w:val="pt-BR"/>
              </w:rPr>
            </w:pPr>
            <w:r w:rsidRPr="00CB3DE1">
              <w:rPr>
                <w:rFonts w:ascii="Times New Roman" w:hAnsi="Times New Roman"/>
                <w:b/>
                <w:bCs/>
                <w:kern w:val="36"/>
                <w:sz w:val="22"/>
                <w:szCs w:val="22"/>
                <w:lang w:val="pt-BR"/>
              </w:rPr>
              <w:t>MENSURAÇÃO DE ATIVO NÃO CIRCULANTE CLASSIFICADO COMO MANTIDO PARA VENDA</w:t>
            </w:r>
          </w:p>
        </w:tc>
        <w:tc>
          <w:tcPr>
            <w:tcW w:w="1080" w:type="dxa"/>
          </w:tcPr>
          <w:p w14:paraId="69D3D1D8" w14:textId="77777777" w:rsidR="00CB3DE1" w:rsidRPr="00CB3DE1" w:rsidRDefault="00CB3DE1" w:rsidP="00CB3DE1">
            <w:pPr>
              <w:spacing w:before="60" w:after="60"/>
              <w:jc w:val="center"/>
              <w:rPr>
                <w:rFonts w:ascii="Times New Roman" w:hAnsi="Times New Roman"/>
                <w:b/>
                <w:bCs/>
                <w:kern w:val="36"/>
                <w:sz w:val="22"/>
                <w:szCs w:val="22"/>
                <w:lang w:val="pt-BR"/>
              </w:rPr>
            </w:pPr>
            <w:r w:rsidRPr="00CB3DE1">
              <w:rPr>
                <w:rFonts w:ascii="Times New Roman" w:hAnsi="Times New Roman"/>
                <w:b/>
                <w:bCs/>
                <w:kern w:val="36"/>
                <w:sz w:val="22"/>
                <w:szCs w:val="22"/>
                <w:lang w:val="pt-BR"/>
              </w:rPr>
              <w:t>15 – 29</w:t>
            </w:r>
          </w:p>
        </w:tc>
      </w:tr>
      <w:tr w:rsidR="00CB3DE1" w:rsidRPr="00CB3DE1" w14:paraId="2BB5272D" w14:textId="77777777" w:rsidTr="00BA6C7C">
        <w:tc>
          <w:tcPr>
            <w:tcW w:w="7636" w:type="dxa"/>
          </w:tcPr>
          <w:p w14:paraId="1AB99F1F" w14:textId="77777777" w:rsidR="00CB3DE1" w:rsidRPr="00CB3DE1" w:rsidRDefault="00CB3DE1" w:rsidP="00CB3DE1">
            <w:pPr>
              <w:spacing w:before="60" w:after="60"/>
              <w:jc w:val="left"/>
              <w:rPr>
                <w:rFonts w:ascii="Times New Roman" w:hAnsi="Times New Roman"/>
                <w:b/>
                <w:bCs/>
                <w:kern w:val="36"/>
                <w:sz w:val="22"/>
                <w:szCs w:val="22"/>
                <w:lang w:val="pt-BR"/>
              </w:rPr>
            </w:pPr>
            <w:r w:rsidRPr="00CB3DE1">
              <w:rPr>
                <w:rFonts w:ascii="Times New Roman" w:hAnsi="Times New Roman"/>
                <w:b/>
                <w:sz w:val="22"/>
                <w:szCs w:val="22"/>
              </w:rPr>
              <w:t>Mensuração de ativo não circulante mantido para venda</w:t>
            </w:r>
          </w:p>
        </w:tc>
        <w:tc>
          <w:tcPr>
            <w:tcW w:w="1080" w:type="dxa"/>
          </w:tcPr>
          <w:p w14:paraId="5E1A22C7" w14:textId="77777777" w:rsidR="00CB3DE1" w:rsidRPr="00CB3DE1" w:rsidRDefault="00CB3DE1" w:rsidP="00CB3DE1">
            <w:pPr>
              <w:spacing w:before="60" w:after="60"/>
              <w:jc w:val="center"/>
              <w:rPr>
                <w:rFonts w:ascii="Times New Roman" w:hAnsi="Times New Roman"/>
                <w:b/>
                <w:bCs/>
                <w:kern w:val="36"/>
                <w:sz w:val="22"/>
                <w:szCs w:val="22"/>
                <w:lang w:val="pt-BR"/>
              </w:rPr>
            </w:pPr>
            <w:r w:rsidRPr="00CB3DE1">
              <w:rPr>
                <w:rFonts w:ascii="Times New Roman" w:hAnsi="Times New Roman"/>
                <w:b/>
                <w:bCs/>
                <w:kern w:val="36"/>
                <w:sz w:val="22"/>
                <w:szCs w:val="22"/>
                <w:lang w:val="pt-BR"/>
              </w:rPr>
              <w:t>15 – 19</w:t>
            </w:r>
          </w:p>
        </w:tc>
      </w:tr>
      <w:tr w:rsidR="00CB3DE1" w:rsidRPr="00CB3DE1" w14:paraId="71FD13AE" w14:textId="77777777" w:rsidTr="00BA6C7C">
        <w:tc>
          <w:tcPr>
            <w:tcW w:w="7636" w:type="dxa"/>
          </w:tcPr>
          <w:p w14:paraId="5FACBEFD" w14:textId="77777777" w:rsidR="00CB3DE1" w:rsidRPr="00CB3DE1" w:rsidRDefault="00CB3DE1" w:rsidP="00CB3DE1">
            <w:pPr>
              <w:spacing w:before="60" w:after="60"/>
              <w:jc w:val="left"/>
              <w:rPr>
                <w:rFonts w:ascii="Times New Roman" w:hAnsi="Times New Roman"/>
                <w:b/>
                <w:bCs/>
                <w:kern w:val="36"/>
                <w:sz w:val="22"/>
                <w:szCs w:val="22"/>
                <w:lang w:val="pt-BR"/>
              </w:rPr>
            </w:pPr>
            <w:r w:rsidRPr="00CB3DE1">
              <w:rPr>
                <w:rFonts w:ascii="Times New Roman" w:hAnsi="Times New Roman"/>
                <w:b/>
                <w:sz w:val="22"/>
                <w:szCs w:val="22"/>
              </w:rPr>
              <w:t>Reconhecimento de perda por redução ao valor recuperável e reversão</w:t>
            </w:r>
          </w:p>
        </w:tc>
        <w:tc>
          <w:tcPr>
            <w:tcW w:w="1080" w:type="dxa"/>
          </w:tcPr>
          <w:p w14:paraId="0127E15B" w14:textId="77777777" w:rsidR="00CB3DE1" w:rsidRPr="00CB3DE1" w:rsidRDefault="00CB3DE1" w:rsidP="00CB3DE1">
            <w:pPr>
              <w:spacing w:before="60" w:after="60"/>
              <w:jc w:val="center"/>
              <w:rPr>
                <w:rFonts w:ascii="Times New Roman" w:hAnsi="Times New Roman"/>
                <w:b/>
                <w:bCs/>
                <w:kern w:val="36"/>
                <w:sz w:val="22"/>
                <w:szCs w:val="22"/>
                <w:lang w:val="pt-BR"/>
              </w:rPr>
            </w:pPr>
            <w:r w:rsidRPr="00CB3DE1">
              <w:rPr>
                <w:rFonts w:ascii="Times New Roman" w:hAnsi="Times New Roman"/>
                <w:b/>
                <w:bCs/>
                <w:kern w:val="36"/>
                <w:sz w:val="22"/>
                <w:szCs w:val="22"/>
                <w:lang w:val="pt-BR"/>
              </w:rPr>
              <w:t>20 – 25</w:t>
            </w:r>
          </w:p>
        </w:tc>
      </w:tr>
      <w:tr w:rsidR="00CB3DE1" w:rsidRPr="00CB3DE1" w14:paraId="559FF1C4" w14:textId="77777777" w:rsidTr="00BA6C7C">
        <w:tc>
          <w:tcPr>
            <w:tcW w:w="7636" w:type="dxa"/>
          </w:tcPr>
          <w:p w14:paraId="14E90030" w14:textId="77777777" w:rsidR="00CB3DE1" w:rsidRPr="00CB3DE1" w:rsidRDefault="00CB3DE1" w:rsidP="00CB3DE1">
            <w:pPr>
              <w:spacing w:before="60" w:after="60"/>
              <w:jc w:val="left"/>
              <w:rPr>
                <w:rFonts w:ascii="Times New Roman" w:hAnsi="Times New Roman"/>
                <w:b/>
                <w:bCs/>
                <w:kern w:val="36"/>
                <w:sz w:val="22"/>
                <w:szCs w:val="22"/>
                <w:lang w:val="pt-BR"/>
              </w:rPr>
            </w:pPr>
            <w:r w:rsidRPr="00CB3DE1">
              <w:rPr>
                <w:rFonts w:ascii="Times New Roman" w:hAnsi="Times New Roman"/>
                <w:b/>
                <w:bCs/>
                <w:kern w:val="36"/>
                <w:sz w:val="22"/>
                <w:szCs w:val="22"/>
                <w:lang w:val="pt-BR"/>
              </w:rPr>
              <w:t>Alteração em plano de venda</w:t>
            </w:r>
          </w:p>
        </w:tc>
        <w:tc>
          <w:tcPr>
            <w:tcW w:w="1080" w:type="dxa"/>
          </w:tcPr>
          <w:p w14:paraId="49B8E7C3" w14:textId="77777777" w:rsidR="00CB3DE1" w:rsidRPr="00CB3DE1" w:rsidRDefault="00CB3DE1" w:rsidP="00CB3DE1">
            <w:pPr>
              <w:spacing w:before="60" w:after="60"/>
              <w:jc w:val="center"/>
              <w:rPr>
                <w:rFonts w:ascii="Times New Roman" w:hAnsi="Times New Roman"/>
                <w:b/>
                <w:bCs/>
                <w:kern w:val="36"/>
                <w:sz w:val="22"/>
                <w:szCs w:val="22"/>
                <w:lang w:val="pt-BR"/>
              </w:rPr>
            </w:pPr>
            <w:r w:rsidRPr="00CB3DE1">
              <w:rPr>
                <w:rFonts w:ascii="Times New Roman" w:hAnsi="Times New Roman"/>
                <w:b/>
                <w:bCs/>
                <w:kern w:val="36"/>
                <w:sz w:val="22"/>
                <w:szCs w:val="22"/>
                <w:lang w:val="pt-BR"/>
              </w:rPr>
              <w:t>26 – 29</w:t>
            </w:r>
          </w:p>
        </w:tc>
      </w:tr>
      <w:tr w:rsidR="00CB3DE1" w:rsidRPr="00CB3DE1" w14:paraId="32814FE9" w14:textId="77777777" w:rsidTr="00BA6C7C">
        <w:tc>
          <w:tcPr>
            <w:tcW w:w="7636" w:type="dxa"/>
          </w:tcPr>
          <w:p w14:paraId="740AC271" w14:textId="77777777" w:rsidR="00CB3DE1" w:rsidRPr="00CB3DE1" w:rsidRDefault="00CB3DE1" w:rsidP="00CB3DE1">
            <w:pPr>
              <w:spacing w:before="60" w:after="60"/>
              <w:jc w:val="left"/>
              <w:rPr>
                <w:rFonts w:ascii="Times New Roman" w:hAnsi="Times New Roman"/>
                <w:b/>
                <w:bCs/>
                <w:kern w:val="36"/>
                <w:sz w:val="22"/>
                <w:szCs w:val="22"/>
                <w:lang w:val="pt-BR"/>
              </w:rPr>
            </w:pPr>
            <w:r w:rsidRPr="00CB3DE1">
              <w:rPr>
                <w:rFonts w:ascii="Times New Roman" w:hAnsi="Times New Roman"/>
                <w:b/>
                <w:bCs/>
                <w:kern w:val="36"/>
                <w:sz w:val="22"/>
                <w:szCs w:val="22"/>
                <w:lang w:val="pt-BR"/>
              </w:rPr>
              <w:t>APRESENTAÇÃO E DIVULGAÇÃO</w:t>
            </w:r>
          </w:p>
        </w:tc>
        <w:tc>
          <w:tcPr>
            <w:tcW w:w="1080" w:type="dxa"/>
          </w:tcPr>
          <w:p w14:paraId="5BD26BE0" w14:textId="77777777" w:rsidR="00CB3DE1" w:rsidRPr="00CB3DE1" w:rsidRDefault="00CB3DE1" w:rsidP="00CB3DE1">
            <w:pPr>
              <w:spacing w:before="60" w:after="60"/>
              <w:jc w:val="center"/>
              <w:rPr>
                <w:rFonts w:ascii="Times New Roman" w:hAnsi="Times New Roman"/>
                <w:b/>
                <w:bCs/>
                <w:kern w:val="36"/>
                <w:sz w:val="22"/>
                <w:szCs w:val="22"/>
                <w:lang w:val="pt-BR"/>
              </w:rPr>
            </w:pPr>
            <w:r w:rsidRPr="00CB3DE1">
              <w:rPr>
                <w:rFonts w:ascii="Times New Roman" w:hAnsi="Times New Roman"/>
                <w:b/>
                <w:bCs/>
                <w:kern w:val="36"/>
                <w:sz w:val="22"/>
                <w:szCs w:val="22"/>
                <w:lang w:val="pt-BR"/>
              </w:rPr>
              <w:t>30 – 42</w:t>
            </w:r>
          </w:p>
        </w:tc>
      </w:tr>
      <w:tr w:rsidR="00CB3DE1" w:rsidRPr="00CB3DE1" w14:paraId="0EAB7617" w14:textId="77777777" w:rsidTr="00BA6C7C">
        <w:tc>
          <w:tcPr>
            <w:tcW w:w="7636" w:type="dxa"/>
          </w:tcPr>
          <w:p w14:paraId="25E367D3" w14:textId="77777777" w:rsidR="00CB3DE1" w:rsidRPr="00CB3DE1" w:rsidRDefault="00CB3DE1" w:rsidP="00CB3DE1">
            <w:pPr>
              <w:spacing w:before="60" w:after="60"/>
              <w:jc w:val="left"/>
              <w:rPr>
                <w:rFonts w:ascii="Times New Roman" w:hAnsi="Times New Roman"/>
                <w:b/>
                <w:bCs/>
                <w:kern w:val="36"/>
                <w:sz w:val="22"/>
                <w:szCs w:val="22"/>
                <w:lang w:val="pt-BR"/>
              </w:rPr>
            </w:pPr>
            <w:r w:rsidRPr="00CB3DE1">
              <w:rPr>
                <w:rFonts w:ascii="Times New Roman" w:hAnsi="Times New Roman"/>
                <w:b/>
                <w:bCs/>
                <w:kern w:val="36"/>
                <w:sz w:val="22"/>
                <w:szCs w:val="22"/>
                <w:lang w:val="pt-BR"/>
              </w:rPr>
              <w:t>Apresentação de operação descontinuada</w:t>
            </w:r>
          </w:p>
        </w:tc>
        <w:tc>
          <w:tcPr>
            <w:tcW w:w="1080" w:type="dxa"/>
          </w:tcPr>
          <w:p w14:paraId="2012DCC0" w14:textId="77777777" w:rsidR="00CB3DE1" w:rsidRPr="00CB3DE1" w:rsidRDefault="00CB3DE1" w:rsidP="00CB3DE1">
            <w:pPr>
              <w:spacing w:before="60" w:after="60"/>
              <w:jc w:val="center"/>
              <w:rPr>
                <w:rFonts w:ascii="Times New Roman" w:hAnsi="Times New Roman"/>
                <w:b/>
                <w:bCs/>
                <w:kern w:val="36"/>
                <w:sz w:val="22"/>
                <w:szCs w:val="22"/>
                <w:lang w:val="pt-BR"/>
              </w:rPr>
            </w:pPr>
            <w:r w:rsidRPr="00CB3DE1">
              <w:rPr>
                <w:rFonts w:ascii="Times New Roman" w:hAnsi="Times New Roman"/>
                <w:b/>
                <w:bCs/>
                <w:kern w:val="36"/>
                <w:sz w:val="22"/>
                <w:szCs w:val="22"/>
                <w:lang w:val="pt-BR"/>
              </w:rPr>
              <w:t>31 – 36A</w:t>
            </w:r>
          </w:p>
        </w:tc>
      </w:tr>
      <w:tr w:rsidR="00CB3DE1" w:rsidRPr="00CB3DE1" w14:paraId="137C035C" w14:textId="77777777" w:rsidTr="00BA6C7C">
        <w:tc>
          <w:tcPr>
            <w:tcW w:w="7636" w:type="dxa"/>
          </w:tcPr>
          <w:p w14:paraId="62DDF6A4" w14:textId="77777777" w:rsidR="00CB3DE1" w:rsidRPr="00CB3DE1" w:rsidRDefault="00CB3DE1" w:rsidP="00CB3DE1">
            <w:pPr>
              <w:spacing w:before="60" w:after="60"/>
              <w:jc w:val="left"/>
              <w:rPr>
                <w:rFonts w:ascii="Times New Roman" w:hAnsi="Times New Roman"/>
                <w:b/>
                <w:bCs/>
                <w:kern w:val="36"/>
                <w:sz w:val="22"/>
                <w:szCs w:val="22"/>
                <w:lang w:val="pt-BR"/>
              </w:rPr>
            </w:pPr>
            <w:r w:rsidRPr="00CB3DE1">
              <w:rPr>
                <w:rFonts w:ascii="Times New Roman" w:hAnsi="Times New Roman"/>
                <w:b/>
                <w:bCs/>
                <w:kern w:val="36"/>
                <w:sz w:val="22"/>
                <w:szCs w:val="22"/>
                <w:lang w:val="pt-BR"/>
              </w:rPr>
              <w:t>Ganho ou perda relacionada com operação em continuidade</w:t>
            </w:r>
          </w:p>
        </w:tc>
        <w:tc>
          <w:tcPr>
            <w:tcW w:w="1080" w:type="dxa"/>
          </w:tcPr>
          <w:p w14:paraId="784BEACF" w14:textId="77777777" w:rsidR="00CB3DE1" w:rsidRPr="00CB3DE1" w:rsidRDefault="00CB3DE1" w:rsidP="00CB3DE1">
            <w:pPr>
              <w:spacing w:before="60" w:after="60"/>
              <w:jc w:val="center"/>
              <w:rPr>
                <w:rFonts w:ascii="Times New Roman" w:hAnsi="Times New Roman"/>
                <w:b/>
                <w:bCs/>
                <w:kern w:val="36"/>
                <w:sz w:val="22"/>
                <w:szCs w:val="22"/>
                <w:lang w:val="pt-BR"/>
              </w:rPr>
            </w:pPr>
            <w:r w:rsidRPr="00CB3DE1">
              <w:rPr>
                <w:rFonts w:ascii="Times New Roman" w:hAnsi="Times New Roman"/>
                <w:b/>
                <w:bCs/>
                <w:kern w:val="36"/>
                <w:sz w:val="22"/>
                <w:szCs w:val="22"/>
                <w:lang w:val="pt-BR"/>
              </w:rPr>
              <w:t>37</w:t>
            </w:r>
          </w:p>
        </w:tc>
      </w:tr>
      <w:tr w:rsidR="00CB3DE1" w:rsidRPr="00CB3DE1" w14:paraId="4774578E" w14:textId="77777777" w:rsidTr="00BA6C7C">
        <w:tc>
          <w:tcPr>
            <w:tcW w:w="7636" w:type="dxa"/>
          </w:tcPr>
          <w:p w14:paraId="17999327" w14:textId="77777777" w:rsidR="00CB3DE1" w:rsidRPr="00CB3DE1" w:rsidRDefault="00CB3DE1" w:rsidP="00CB3DE1">
            <w:pPr>
              <w:spacing w:before="60" w:after="60"/>
              <w:jc w:val="left"/>
              <w:rPr>
                <w:rFonts w:ascii="Times New Roman" w:hAnsi="Times New Roman"/>
                <w:b/>
                <w:bCs/>
                <w:kern w:val="36"/>
                <w:sz w:val="22"/>
                <w:szCs w:val="22"/>
                <w:lang w:val="pt-BR"/>
              </w:rPr>
            </w:pPr>
            <w:r w:rsidRPr="00CB3DE1">
              <w:rPr>
                <w:rFonts w:ascii="Times New Roman" w:hAnsi="Times New Roman"/>
                <w:b/>
                <w:bCs/>
                <w:kern w:val="36"/>
                <w:sz w:val="22"/>
                <w:szCs w:val="22"/>
                <w:lang w:val="pt-BR"/>
              </w:rPr>
              <w:t>Apresentação de ativo não circulante classificado como mantido para venda</w:t>
            </w:r>
          </w:p>
        </w:tc>
        <w:tc>
          <w:tcPr>
            <w:tcW w:w="1080" w:type="dxa"/>
          </w:tcPr>
          <w:p w14:paraId="79AEF184" w14:textId="77777777" w:rsidR="00CB3DE1" w:rsidRPr="00CB3DE1" w:rsidRDefault="00CB3DE1" w:rsidP="00CB3DE1">
            <w:pPr>
              <w:spacing w:before="60" w:after="60"/>
              <w:jc w:val="center"/>
              <w:rPr>
                <w:rFonts w:ascii="Times New Roman" w:hAnsi="Times New Roman"/>
                <w:b/>
                <w:bCs/>
                <w:kern w:val="36"/>
                <w:sz w:val="22"/>
                <w:szCs w:val="22"/>
                <w:lang w:val="pt-BR"/>
              </w:rPr>
            </w:pPr>
            <w:r w:rsidRPr="00CB3DE1">
              <w:rPr>
                <w:rFonts w:ascii="Times New Roman" w:hAnsi="Times New Roman"/>
                <w:b/>
                <w:bCs/>
                <w:kern w:val="36"/>
                <w:sz w:val="22"/>
                <w:szCs w:val="22"/>
                <w:lang w:val="pt-BR"/>
              </w:rPr>
              <w:t>38 – 40</w:t>
            </w:r>
          </w:p>
        </w:tc>
      </w:tr>
      <w:tr w:rsidR="00CB3DE1" w:rsidRPr="00CB3DE1" w14:paraId="05C295C4" w14:textId="77777777" w:rsidTr="00BA6C7C">
        <w:tc>
          <w:tcPr>
            <w:tcW w:w="7636" w:type="dxa"/>
          </w:tcPr>
          <w:p w14:paraId="554FAD23" w14:textId="77777777" w:rsidR="00CB3DE1" w:rsidRPr="00CB3DE1" w:rsidRDefault="00CB3DE1" w:rsidP="00CB3DE1">
            <w:pPr>
              <w:spacing w:before="60" w:after="60"/>
              <w:jc w:val="left"/>
              <w:rPr>
                <w:rFonts w:ascii="Times New Roman" w:hAnsi="Times New Roman"/>
                <w:b/>
                <w:bCs/>
                <w:kern w:val="36"/>
                <w:sz w:val="22"/>
                <w:szCs w:val="22"/>
                <w:lang w:val="pt-BR"/>
              </w:rPr>
            </w:pPr>
            <w:r w:rsidRPr="00CB3DE1">
              <w:rPr>
                <w:rFonts w:ascii="Times New Roman" w:hAnsi="Times New Roman"/>
                <w:b/>
                <w:bCs/>
                <w:kern w:val="36"/>
                <w:sz w:val="22"/>
                <w:szCs w:val="22"/>
                <w:lang w:val="pt-BR"/>
              </w:rPr>
              <w:t>Divulgações adicionais</w:t>
            </w:r>
          </w:p>
        </w:tc>
        <w:tc>
          <w:tcPr>
            <w:tcW w:w="1080" w:type="dxa"/>
          </w:tcPr>
          <w:p w14:paraId="6CB20DA6" w14:textId="77777777" w:rsidR="00CB3DE1" w:rsidRPr="00CB3DE1" w:rsidRDefault="00CB3DE1" w:rsidP="00CB3DE1">
            <w:pPr>
              <w:spacing w:before="60" w:after="60"/>
              <w:jc w:val="center"/>
              <w:rPr>
                <w:rFonts w:ascii="Times New Roman" w:hAnsi="Times New Roman"/>
                <w:b/>
                <w:bCs/>
                <w:kern w:val="36"/>
                <w:sz w:val="22"/>
                <w:szCs w:val="22"/>
                <w:lang w:val="pt-BR"/>
              </w:rPr>
            </w:pPr>
            <w:r w:rsidRPr="00CB3DE1">
              <w:rPr>
                <w:rFonts w:ascii="Times New Roman" w:hAnsi="Times New Roman"/>
                <w:b/>
                <w:bCs/>
                <w:kern w:val="36"/>
                <w:sz w:val="22"/>
                <w:szCs w:val="22"/>
                <w:lang w:val="pt-BR"/>
              </w:rPr>
              <w:t>41 – 42</w:t>
            </w:r>
          </w:p>
        </w:tc>
      </w:tr>
      <w:tr w:rsidR="00CB3DE1" w:rsidRPr="00CB3DE1" w14:paraId="626C8AE4" w14:textId="77777777" w:rsidTr="00BA6C7C">
        <w:tc>
          <w:tcPr>
            <w:tcW w:w="7636" w:type="dxa"/>
          </w:tcPr>
          <w:p w14:paraId="14F82871" w14:textId="77777777" w:rsidR="00CB3DE1" w:rsidRPr="00CB3DE1" w:rsidRDefault="00CB3DE1" w:rsidP="00CB3DE1">
            <w:pPr>
              <w:spacing w:before="60" w:after="60"/>
              <w:jc w:val="left"/>
              <w:rPr>
                <w:rFonts w:ascii="Times New Roman" w:hAnsi="Times New Roman"/>
                <w:b/>
                <w:bCs/>
                <w:kern w:val="36"/>
                <w:sz w:val="22"/>
                <w:szCs w:val="22"/>
                <w:lang w:val="pt-BR"/>
              </w:rPr>
            </w:pPr>
            <w:r w:rsidRPr="00CB3DE1">
              <w:rPr>
                <w:rFonts w:ascii="Times New Roman" w:hAnsi="Times New Roman"/>
                <w:b/>
                <w:bCs/>
                <w:kern w:val="36"/>
                <w:sz w:val="22"/>
                <w:szCs w:val="22"/>
                <w:lang w:val="pt-BR"/>
              </w:rPr>
              <w:t>DISPOSIÇÃO TRANSITÓRIA</w:t>
            </w:r>
          </w:p>
        </w:tc>
        <w:tc>
          <w:tcPr>
            <w:tcW w:w="1080" w:type="dxa"/>
          </w:tcPr>
          <w:p w14:paraId="0F343F49" w14:textId="77777777" w:rsidR="00CB3DE1" w:rsidRPr="00CB3DE1" w:rsidRDefault="00CB3DE1" w:rsidP="00CB3DE1">
            <w:pPr>
              <w:spacing w:before="60" w:after="60"/>
              <w:jc w:val="center"/>
              <w:rPr>
                <w:rFonts w:ascii="Times New Roman" w:hAnsi="Times New Roman"/>
                <w:b/>
                <w:bCs/>
                <w:kern w:val="36"/>
                <w:sz w:val="22"/>
                <w:szCs w:val="22"/>
                <w:lang w:val="pt-BR"/>
              </w:rPr>
            </w:pPr>
            <w:r w:rsidRPr="00CB3DE1">
              <w:rPr>
                <w:rFonts w:ascii="Times New Roman" w:hAnsi="Times New Roman"/>
                <w:b/>
                <w:bCs/>
                <w:kern w:val="36"/>
                <w:sz w:val="22"/>
                <w:szCs w:val="22"/>
                <w:lang w:val="pt-BR"/>
              </w:rPr>
              <w:t>43</w:t>
            </w:r>
          </w:p>
        </w:tc>
      </w:tr>
      <w:tr w:rsidR="00CB3DE1" w:rsidRPr="00CB3DE1" w14:paraId="6F706132" w14:textId="77777777" w:rsidTr="00BA6C7C">
        <w:tc>
          <w:tcPr>
            <w:tcW w:w="7636" w:type="dxa"/>
          </w:tcPr>
          <w:p w14:paraId="79192F95" w14:textId="77777777" w:rsidR="00CB3DE1" w:rsidRPr="00CB3DE1" w:rsidRDefault="00CB3DE1" w:rsidP="00CB3DE1">
            <w:pPr>
              <w:spacing w:before="60" w:after="60"/>
              <w:jc w:val="left"/>
              <w:rPr>
                <w:rFonts w:ascii="Times New Roman" w:hAnsi="Times New Roman"/>
                <w:b/>
                <w:bCs/>
                <w:kern w:val="36"/>
                <w:sz w:val="22"/>
                <w:szCs w:val="22"/>
                <w:lang w:val="pt-BR"/>
              </w:rPr>
            </w:pPr>
            <w:r w:rsidRPr="00CB3DE1">
              <w:rPr>
                <w:rFonts w:ascii="Times New Roman" w:hAnsi="Times New Roman"/>
                <w:b/>
                <w:bCs/>
                <w:kern w:val="36"/>
                <w:sz w:val="22"/>
                <w:szCs w:val="22"/>
                <w:lang w:val="pt-BR"/>
              </w:rPr>
              <w:t>APÊNDICE A – Definição de termos</w:t>
            </w:r>
          </w:p>
        </w:tc>
        <w:tc>
          <w:tcPr>
            <w:tcW w:w="1080" w:type="dxa"/>
          </w:tcPr>
          <w:p w14:paraId="56435067" w14:textId="77777777" w:rsidR="00CB3DE1" w:rsidRPr="00CB3DE1" w:rsidRDefault="00CB3DE1" w:rsidP="00CB3DE1">
            <w:pPr>
              <w:spacing w:before="60" w:after="60"/>
              <w:jc w:val="center"/>
              <w:rPr>
                <w:rFonts w:ascii="Times New Roman" w:hAnsi="Times New Roman"/>
                <w:b/>
                <w:bCs/>
                <w:kern w:val="36"/>
                <w:sz w:val="22"/>
                <w:szCs w:val="22"/>
                <w:lang w:val="pt-BR"/>
              </w:rPr>
            </w:pPr>
          </w:p>
        </w:tc>
      </w:tr>
      <w:tr w:rsidR="00CB3DE1" w:rsidRPr="00CB3DE1" w14:paraId="5019BF62" w14:textId="77777777" w:rsidTr="00BA6C7C">
        <w:tc>
          <w:tcPr>
            <w:tcW w:w="7636" w:type="dxa"/>
          </w:tcPr>
          <w:p w14:paraId="454DBCF1" w14:textId="77777777" w:rsidR="00CB3DE1" w:rsidRPr="00CB3DE1" w:rsidRDefault="00CB3DE1" w:rsidP="00CB3DE1">
            <w:pPr>
              <w:spacing w:before="60" w:after="60"/>
              <w:jc w:val="left"/>
              <w:rPr>
                <w:rFonts w:ascii="Times New Roman" w:hAnsi="Times New Roman"/>
                <w:b/>
                <w:bCs/>
                <w:kern w:val="36"/>
                <w:sz w:val="22"/>
                <w:szCs w:val="22"/>
                <w:lang w:val="pt-BR"/>
              </w:rPr>
            </w:pPr>
            <w:r w:rsidRPr="00CB3DE1">
              <w:rPr>
                <w:rFonts w:ascii="Times New Roman" w:hAnsi="Times New Roman"/>
                <w:b/>
                <w:bCs/>
                <w:kern w:val="36"/>
                <w:sz w:val="22"/>
                <w:szCs w:val="22"/>
                <w:lang w:val="pt-BR"/>
              </w:rPr>
              <w:t>APÊNDICE B – Suplemento de aplicação</w:t>
            </w:r>
          </w:p>
        </w:tc>
        <w:tc>
          <w:tcPr>
            <w:tcW w:w="1080" w:type="dxa"/>
          </w:tcPr>
          <w:p w14:paraId="5256341B" w14:textId="77777777" w:rsidR="00CB3DE1" w:rsidRPr="00CB3DE1" w:rsidRDefault="00CB3DE1" w:rsidP="00CB3DE1">
            <w:pPr>
              <w:spacing w:before="60" w:after="60"/>
              <w:jc w:val="center"/>
              <w:rPr>
                <w:rFonts w:ascii="Times New Roman" w:hAnsi="Times New Roman"/>
                <w:b/>
                <w:bCs/>
                <w:kern w:val="36"/>
                <w:sz w:val="22"/>
                <w:szCs w:val="22"/>
                <w:lang w:val="pt-BR"/>
              </w:rPr>
            </w:pPr>
          </w:p>
        </w:tc>
      </w:tr>
      <w:tr w:rsidR="00CB3DE1" w:rsidRPr="00CB3DE1" w14:paraId="4432F010" w14:textId="77777777" w:rsidTr="00BA6C7C">
        <w:tc>
          <w:tcPr>
            <w:tcW w:w="7636" w:type="dxa"/>
          </w:tcPr>
          <w:p w14:paraId="06CFE8B3" w14:textId="77777777" w:rsidR="00CB3DE1" w:rsidRPr="00CB3DE1" w:rsidRDefault="00CB3DE1" w:rsidP="00CB3DE1">
            <w:pPr>
              <w:spacing w:before="60" w:after="60"/>
              <w:jc w:val="left"/>
              <w:rPr>
                <w:rFonts w:ascii="Times New Roman" w:hAnsi="Times New Roman"/>
                <w:b/>
                <w:bCs/>
                <w:kern w:val="36"/>
                <w:sz w:val="22"/>
                <w:szCs w:val="22"/>
                <w:lang w:val="pt-BR"/>
              </w:rPr>
            </w:pPr>
            <w:r w:rsidRPr="00CB3DE1">
              <w:rPr>
                <w:rFonts w:ascii="Times New Roman" w:hAnsi="Times New Roman"/>
                <w:b/>
                <w:bCs/>
                <w:kern w:val="36"/>
                <w:sz w:val="22"/>
                <w:szCs w:val="22"/>
                <w:lang w:val="pt-BR"/>
              </w:rPr>
              <w:t>APÊNDICE C – Guia de implementação</w:t>
            </w:r>
          </w:p>
        </w:tc>
        <w:tc>
          <w:tcPr>
            <w:tcW w:w="1080" w:type="dxa"/>
          </w:tcPr>
          <w:p w14:paraId="711EC330" w14:textId="77777777" w:rsidR="00CB3DE1" w:rsidRPr="00CB3DE1" w:rsidRDefault="00CB3DE1" w:rsidP="00CB3DE1">
            <w:pPr>
              <w:spacing w:before="60" w:after="60"/>
              <w:jc w:val="center"/>
              <w:rPr>
                <w:rFonts w:ascii="Times New Roman" w:hAnsi="Times New Roman"/>
                <w:b/>
                <w:bCs/>
                <w:kern w:val="36"/>
                <w:sz w:val="22"/>
                <w:szCs w:val="22"/>
                <w:lang w:val="pt-BR"/>
              </w:rPr>
            </w:pPr>
          </w:p>
        </w:tc>
      </w:tr>
    </w:tbl>
    <w:p w14:paraId="713077BE" w14:textId="77777777" w:rsidR="00CB3DE1" w:rsidRPr="00CB3DE1" w:rsidRDefault="00CB3DE1" w:rsidP="00CB3DE1">
      <w:pPr>
        <w:widowControl w:val="0"/>
        <w:tabs>
          <w:tab w:val="left" w:pos="6804"/>
        </w:tabs>
        <w:spacing w:before="0" w:after="0"/>
        <w:ind w:left="57"/>
        <w:rPr>
          <w:rFonts w:ascii="Times New Roman" w:hAnsi="Times New Roman"/>
          <w:b/>
          <w:sz w:val="24"/>
          <w:lang w:val="pt-BR" w:eastAsia="x-none"/>
        </w:rPr>
      </w:pPr>
    </w:p>
    <w:p w14:paraId="6B6E9D5F" w14:textId="77777777" w:rsidR="00CB3DE1" w:rsidRPr="00CB3DE1" w:rsidRDefault="00CB3DE1" w:rsidP="00CB3DE1">
      <w:pPr>
        <w:widowControl w:val="0"/>
        <w:tabs>
          <w:tab w:val="left" w:pos="6804"/>
        </w:tabs>
        <w:spacing w:before="0" w:after="0"/>
        <w:ind w:left="57"/>
        <w:rPr>
          <w:rFonts w:ascii="Times New Roman" w:hAnsi="Times New Roman"/>
          <w:b/>
          <w:sz w:val="24"/>
          <w:lang w:val="pt-BR" w:eastAsia="x-none"/>
        </w:rPr>
      </w:pPr>
    </w:p>
    <w:p w14:paraId="0D982E57" w14:textId="77777777" w:rsidR="00CB3DE1" w:rsidRPr="00CB3DE1" w:rsidRDefault="00CB3DE1" w:rsidP="00CB3DE1">
      <w:pPr>
        <w:widowControl w:val="0"/>
        <w:tabs>
          <w:tab w:val="left" w:pos="6804"/>
        </w:tabs>
        <w:spacing w:before="0" w:after="0"/>
        <w:ind w:left="57"/>
        <w:rPr>
          <w:rFonts w:ascii="Times New Roman" w:hAnsi="Times New Roman"/>
          <w:b/>
          <w:sz w:val="24"/>
          <w:lang w:val="pt-BR" w:eastAsia="x-none"/>
        </w:rPr>
      </w:pPr>
    </w:p>
    <w:p w14:paraId="75CF2DB2" w14:textId="77777777" w:rsidR="00CB3DE1" w:rsidRDefault="00CB3DE1">
      <w:pPr>
        <w:spacing w:before="0" w:after="160" w:line="259" w:lineRule="auto"/>
        <w:jc w:val="left"/>
        <w:rPr>
          <w:rFonts w:ascii="Times New Roman" w:hAnsi="Times New Roman"/>
          <w:b/>
          <w:sz w:val="24"/>
          <w:lang w:val="pt-BR" w:eastAsia="x-none"/>
        </w:rPr>
      </w:pPr>
      <w:r>
        <w:rPr>
          <w:rFonts w:ascii="Times New Roman" w:hAnsi="Times New Roman"/>
          <w:b/>
          <w:sz w:val="24"/>
          <w:lang w:val="pt-BR" w:eastAsia="x-none"/>
        </w:rPr>
        <w:br w:type="page"/>
      </w:r>
    </w:p>
    <w:p w14:paraId="22367794" w14:textId="134C6BC5" w:rsidR="00CB3DE1" w:rsidRPr="00CB3DE1" w:rsidRDefault="00CB3DE1" w:rsidP="00CB3DE1">
      <w:pPr>
        <w:widowControl w:val="0"/>
        <w:tabs>
          <w:tab w:val="left" w:pos="6804"/>
        </w:tabs>
        <w:spacing w:before="0" w:after="0"/>
        <w:rPr>
          <w:rFonts w:ascii="Times New Roman" w:hAnsi="Times New Roman"/>
          <w:b/>
          <w:sz w:val="28"/>
          <w:szCs w:val="28"/>
          <w:lang w:val="pt-BR" w:eastAsia="x-none"/>
        </w:rPr>
      </w:pPr>
      <w:r w:rsidRPr="00CB3DE1">
        <w:rPr>
          <w:rFonts w:ascii="Times New Roman" w:hAnsi="Times New Roman"/>
          <w:b/>
          <w:sz w:val="28"/>
          <w:szCs w:val="28"/>
          <w:lang w:val="pt-BR" w:eastAsia="x-none"/>
        </w:rPr>
        <w:lastRenderedPageBreak/>
        <w:t>Objetivo</w:t>
      </w:r>
    </w:p>
    <w:p w14:paraId="1E96368B"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03B73ACE" w14:textId="77777777" w:rsidR="00CB3DE1" w:rsidRPr="00CB3DE1" w:rsidRDefault="00CB3DE1" w:rsidP="00CB3DE1">
      <w:pPr>
        <w:widowControl w:val="0"/>
        <w:tabs>
          <w:tab w:val="left" w:pos="6804"/>
        </w:tabs>
        <w:spacing w:before="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1. </w:t>
      </w:r>
      <w:r w:rsidRPr="00CB3DE1">
        <w:rPr>
          <w:rFonts w:ascii="Times New Roman" w:hAnsi="Times New Roman"/>
          <w:color w:val="000000"/>
          <w:sz w:val="24"/>
          <w:lang w:val="pt-BR" w:eastAsia="x-none"/>
        </w:rPr>
        <w:tab/>
        <w:t>O objetivo deste Pronunciamento Técnico é estabelecer a contabilização de ativos não circulantes mantidos para venda (colocados à venda) e a apresentação e a divulgação de operações descontinuadas. Em particular, o Pronunciamento exige que os ativos que satisfazem aos critérios de classificação como mantidos para venda sejam:</w:t>
      </w:r>
    </w:p>
    <w:p w14:paraId="2757AF2E" w14:textId="77777777" w:rsidR="00CB3DE1" w:rsidRPr="00CB3DE1" w:rsidRDefault="00CB3DE1" w:rsidP="00CB3DE1">
      <w:pPr>
        <w:widowControl w:val="0"/>
        <w:numPr>
          <w:ilvl w:val="0"/>
          <w:numId w:val="3"/>
        </w:numPr>
        <w:tabs>
          <w:tab w:val="clear" w:pos="1070"/>
        </w:tabs>
        <w:spacing w:before="0"/>
        <w:ind w:left="993" w:hanging="426"/>
        <w:rPr>
          <w:rFonts w:ascii="Times New Roman" w:hAnsi="Times New Roman"/>
          <w:bCs/>
          <w:iCs/>
          <w:color w:val="000000"/>
          <w:sz w:val="24"/>
          <w:lang w:val="pt-BR"/>
        </w:rPr>
      </w:pPr>
      <w:r w:rsidRPr="00CB3DE1">
        <w:rPr>
          <w:rFonts w:ascii="Times New Roman" w:hAnsi="Times New Roman"/>
          <w:bCs/>
          <w:iCs/>
          <w:color w:val="000000"/>
          <w:sz w:val="24"/>
          <w:lang w:val="pt-BR"/>
        </w:rPr>
        <w:t xml:space="preserve">mensurados pelo menor entre o valor contábil até então registrado e o valor justo menos as despesas de venda, e que a depreciação ou a amortização desses ativos cesse; </w:t>
      </w:r>
    </w:p>
    <w:p w14:paraId="69E82FFB" w14:textId="77777777" w:rsidR="00CB3DE1" w:rsidRPr="00CB3DE1" w:rsidRDefault="00CB3DE1" w:rsidP="00CB3DE1">
      <w:pPr>
        <w:widowControl w:val="0"/>
        <w:numPr>
          <w:ilvl w:val="0"/>
          <w:numId w:val="3"/>
        </w:numPr>
        <w:tabs>
          <w:tab w:val="clear" w:pos="1070"/>
        </w:tabs>
        <w:spacing w:before="0" w:after="0"/>
        <w:ind w:left="993" w:hanging="426"/>
        <w:rPr>
          <w:rFonts w:ascii="Times New Roman" w:hAnsi="Times New Roman"/>
          <w:bCs/>
          <w:iCs/>
          <w:color w:val="000000"/>
          <w:sz w:val="24"/>
          <w:lang w:val="pt-BR"/>
        </w:rPr>
      </w:pPr>
      <w:r w:rsidRPr="00CB3DE1">
        <w:rPr>
          <w:rFonts w:ascii="Times New Roman" w:hAnsi="Times New Roman"/>
          <w:bCs/>
          <w:iCs/>
          <w:color w:val="000000"/>
          <w:sz w:val="24"/>
          <w:lang w:val="pt-BR"/>
        </w:rPr>
        <w:t>apresentados separadamente no balanço patrimonial e que os resultados das operações descontinuadas sejam apresentados separadamente na demonstração do resultado.</w:t>
      </w:r>
    </w:p>
    <w:p w14:paraId="0B8599D6" w14:textId="77777777" w:rsidR="00CB3DE1" w:rsidRPr="00CB3DE1" w:rsidRDefault="00CB3DE1" w:rsidP="00CB3DE1">
      <w:pPr>
        <w:widowControl w:val="0"/>
        <w:tabs>
          <w:tab w:val="left" w:pos="6804"/>
        </w:tabs>
        <w:spacing w:before="0" w:after="0"/>
        <w:ind w:left="57"/>
        <w:rPr>
          <w:rFonts w:ascii="Times New Roman" w:hAnsi="Times New Roman"/>
          <w:b/>
          <w:sz w:val="24"/>
          <w:lang w:val="pt-BR" w:eastAsia="x-none"/>
        </w:rPr>
      </w:pPr>
    </w:p>
    <w:p w14:paraId="1F6B5E91" w14:textId="77777777" w:rsidR="00CB3DE1" w:rsidRPr="00CB3DE1" w:rsidRDefault="00CB3DE1" w:rsidP="00CB3DE1">
      <w:pPr>
        <w:widowControl w:val="0"/>
        <w:tabs>
          <w:tab w:val="left" w:pos="6804"/>
        </w:tabs>
        <w:spacing w:before="0" w:after="0"/>
        <w:rPr>
          <w:rFonts w:ascii="Times New Roman" w:hAnsi="Times New Roman"/>
          <w:b/>
          <w:sz w:val="28"/>
          <w:szCs w:val="28"/>
          <w:lang w:val="pt-BR" w:eastAsia="x-none"/>
        </w:rPr>
      </w:pPr>
      <w:r w:rsidRPr="00CB3DE1">
        <w:rPr>
          <w:rFonts w:ascii="Times New Roman" w:hAnsi="Times New Roman"/>
          <w:b/>
          <w:sz w:val="28"/>
          <w:szCs w:val="28"/>
          <w:lang w:val="pt-BR" w:eastAsia="x-none"/>
        </w:rPr>
        <w:t>Alcance</w:t>
      </w:r>
    </w:p>
    <w:p w14:paraId="7517A083"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2675B881"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2. </w:t>
      </w:r>
      <w:r w:rsidRPr="00CB3DE1">
        <w:rPr>
          <w:rFonts w:ascii="Times New Roman" w:hAnsi="Times New Roman"/>
          <w:color w:val="000000"/>
          <w:sz w:val="24"/>
          <w:lang w:val="pt-BR" w:eastAsia="x-none"/>
        </w:rPr>
        <w:tab/>
        <w:t>Os requisitos de classificação e de apresentação deste Pronunciamento Técnico aplicam-se a todos os ativos não circulantes reconhecidos e a todos os grupos de ativos mantidos para venda da entidade. Os requisitos de mensuração deste Pronunciamento aplicam-se a todos os ativos não circulantes reconhecidos e aos grupos de ativos mantidos para venda (tal como definido no item 4), com exceção dos ativos listados no item 5, que devem continuar a ser mensurados de acordo com os pronunciamentos específicos aplicáveis.</w:t>
      </w:r>
    </w:p>
    <w:p w14:paraId="0D33EA88"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1BB929B1" w14:textId="66436E54"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3. </w:t>
      </w:r>
      <w:r w:rsidRPr="00CB3DE1">
        <w:rPr>
          <w:rFonts w:ascii="Times New Roman" w:hAnsi="Times New Roman"/>
          <w:color w:val="000000"/>
          <w:sz w:val="24"/>
          <w:lang w:val="pt-BR" w:eastAsia="x-none"/>
        </w:rPr>
        <w:tab/>
        <w:t>Os ativos classificados como não circulantes, de acordo com o Pronunciamento Técnico CPC 26 - Apresentação das Demonstrações Contábeis, não devem ser reclassificados para ativos circulantes enquanto não satisfizerem aos critérios de classificação como mantidos para venda de acordo com este Pronunciamento. Os ativos de uma classe que a entidade normalmente consideraria como não circulante, e que sejam adquiridos para revenda, não devem ser classificados como circulantes, a não ser que satisfaçam aos critérios de classificação como mantidos para venda de acordo com este Pronunciamento Técnico.</w:t>
      </w:r>
    </w:p>
    <w:p w14:paraId="29812D50"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5BB430E0" w14:textId="77777777" w:rsidR="00CB3DE1" w:rsidRPr="00CB3DE1" w:rsidRDefault="00CB3DE1" w:rsidP="00CB3DE1">
      <w:pPr>
        <w:widowControl w:val="0"/>
        <w:tabs>
          <w:tab w:val="left" w:pos="6804"/>
        </w:tabs>
        <w:spacing w:before="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4. </w:t>
      </w:r>
      <w:r w:rsidRPr="00CB3DE1">
        <w:rPr>
          <w:rFonts w:ascii="Times New Roman" w:hAnsi="Times New Roman"/>
          <w:color w:val="000000"/>
          <w:sz w:val="24"/>
          <w:lang w:val="pt-BR" w:eastAsia="x-none"/>
        </w:rPr>
        <w:tab/>
        <w:t>Por vezes, a entidade coloca à venda um grupo de ativos, possivelmente com alguns passivos diretamente associados, em conjunto numa única transação. Um grupo de ativos mantido para venda pode ser um grupo de unidades geradoras de caixa, uma única unidade geradora de caixa ou parte de uma unidade geradora de caixa. (*) O grupo de ativos pode incluir quaisquer ativos e quaisquer passivos da entidade, incluindo ativos circulantes, passivos circulantes e ativos excluídos pelo item 5 dos requisitos de mensuração deste Pronunciamento. Se um ativo não circulante dentro do alcance dos requisitos de mensuração deste Pronunciamento fizer parte do grupo de ativos mantido para venda, os requisitos de mensuração deste Pronunciamento aplicam-se ao grupo de ativos como um todo, de forma que o grupo de ativos seja mensurado pelo menor entre o seu valor contábil e o valor justo menos a despesa de venda. Os requisitos para mensuração de ativos e passivos individuais dentro do grupo de ativos mantido para venda estão definidos nos itens 18, 19 e 23.</w:t>
      </w:r>
    </w:p>
    <w:p w14:paraId="2AC3E0E9" w14:textId="77777777" w:rsidR="00CB3DE1" w:rsidRPr="00CB3DE1" w:rsidRDefault="00CB3DE1" w:rsidP="00CB3DE1">
      <w:pPr>
        <w:widowControl w:val="0"/>
        <w:spacing w:before="0" w:after="0"/>
        <w:ind w:left="567"/>
        <w:rPr>
          <w:rFonts w:ascii="Times New Roman" w:hAnsi="Times New Roman"/>
          <w:color w:val="000000"/>
          <w:szCs w:val="20"/>
          <w:lang w:val="pt-BR" w:eastAsia="x-none"/>
        </w:rPr>
      </w:pPr>
      <w:r w:rsidRPr="00CB3DE1">
        <w:rPr>
          <w:rFonts w:ascii="Times New Roman" w:hAnsi="Times New Roman"/>
          <w:color w:val="000000"/>
          <w:szCs w:val="20"/>
          <w:lang w:val="pt-BR" w:eastAsia="x-none"/>
        </w:rPr>
        <w:t>(*) Contudo, uma vez que se espera que os fluxos de caixa do ativo ou grupo de ativos resultem principalmente da venda e, não, do uso contínuo, estes se tornam menos dependentes dos fluxos de caixa resultantes de outros ativos, e o grupo de ativos mantido para venda que fez parte da unidade geradora de caixa torna-se uma unidade geradora de caixa individual.</w:t>
      </w:r>
    </w:p>
    <w:p w14:paraId="379814D3"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6063B5BF" w14:textId="77777777" w:rsidR="00CB3DE1" w:rsidRPr="00CB3DE1" w:rsidRDefault="00CB3DE1" w:rsidP="00CB3DE1">
      <w:pPr>
        <w:widowControl w:val="0"/>
        <w:tabs>
          <w:tab w:val="left" w:pos="6804"/>
        </w:tabs>
        <w:spacing w:before="0"/>
        <w:ind w:left="567" w:right="5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5. </w:t>
      </w:r>
      <w:r w:rsidRPr="00CB3DE1">
        <w:rPr>
          <w:rFonts w:ascii="Times New Roman" w:hAnsi="Times New Roman"/>
          <w:color w:val="000000"/>
          <w:sz w:val="24"/>
          <w:lang w:val="pt-BR" w:eastAsia="x-none"/>
        </w:rPr>
        <w:tab/>
        <w:t>As regras de mensuração deste pronunciamento</w:t>
      </w:r>
      <w:r w:rsidRPr="00CB3DE1">
        <w:rPr>
          <w:rFonts w:ascii="Times New Roman" w:hAnsi="Times New Roman"/>
          <w:color w:val="000000"/>
          <w:sz w:val="24"/>
          <w:vertAlign w:val="superscript"/>
          <w:lang w:val="pt-BR" w:eastAsia="x-none"/>
        </w:rPr>
        <w:t>(*)</w:t>
      </w:r>
      <w:r w:rsidRPr="00CB3DE1">
        <w:rPr>
          <w:rFonts w:ascii="Times New Roman" w:hAnsi="Times New Roman"/>
          <w:color w:val="000000"/>
          <w:sz w:val="24"/>
          <w:lang w:val="pt-BR" w:eastAsia="x-none"/>
        </w:rPr>
        <w:t xml:space="preserve"> não se aplicam aos ativos listados a seguir, os quais são abrangidos pelos pronunciamentos indicados, seja como ativos individuais, seja como parte de grupo de ativos mantido para venda:</w:t>
      </w:r>
    </w:p>
    <w:p w14:paraId="6C404B15" w14:textId="77777777" w:rsidR="00CB3DE1" w:rsidRPr="00CB3DE1" w:rsidRDefault="00CB3DE1" w:rsidP="00CB3DE1">
      <w:pPr>
        <w:widowControl w:val="0"/>
        <w:numPr>
          <w:ilvl w:val="0"/>
          <w:numId w:val="4"/>
        </w:numPr>
        <w:tabs>
          <w:tab w:val="clear" w:pos="1070"/>
        </w:tabs>
        <w:spacing w:before="0"/>
        <w:ind w:left="993" w:hanging="426"/>
        <w:rPr>
          <w:rFonts w:ascii="Times New Roman" w:hAnsi="Times New Roman"/>
          <w:bCs/>
          <w:iCs/>
          <w:color w:val="000000"/>
          <w:sz w:val="24"/>
          <w:lang w:val="pt-BR"/>
        </w:rPr>
      </w:pPr>
      <w:r w:rsidRPr="00CB3DE1">
        <w:rPr>
          <w:rFonts w:ascii="Times New Roman" w:hAnsi="Times New Roman"/>
          <w:bCs/>
          <w:iCs/>
          <w:color w:val="000000"/>
          <w:sz w:val="24"/>
          <w:lang w:val="pt-BR"/>
        </w:rPr>
        <w:t>imposto de renda diferido ativo (CPC 32 – Tributos sobre o Lucro);</w:t>
      </w:r>
    </w:p>
    <w:p w14:paraId="798D57A4" w14:textId="77777777" w:rsidR="00CB3DE1" w:rsidRPr="00CB3DE1" w:rsidRDefault="00CB3DE1" w:rsidP="00CB3DE1">
      <w:pPr>
        <w:widowControl w:val="0"/>
        <w:numPr>
          <w:ilvl w:val="0"/>
          <w:numId w:val="4"/>
        </w:numPr>
        <w:tabs>
          <w:tab w:val="clear" w:pos="1070"/>
        </w:tabs>
        <w:spacing w:before="0"/>
        <w:ind w:left="993" w:hanging="426"/>
        <w:rPr>
          <w:rFonts w:ascii="Times New Roman" w:hAnsi="Times New Roman"/>
          <w:bCs/>
          <w:iCs/>
          <w:color w:val="000000"/>
          <w:sz w:val="24"/>
          <w:lang w:val="pt-BR"/>
        </w:rPr>
      </w:pPr>
      <w:r w:rsidRPr="00CB3DE1">
        <w:rPr>
          <w:rFonts w:ascii="Times New Roman" w:hAnsi="Times New Roman"/>
          <w:bCs/>
          <w:iCs/>
          <w:color w:val="000000"/>
          <w:sz w:val="24"/>
          <w:lang w:val="pt-BR"/>
        </w:rPr>
        <w:t>ativos provenientes de benefícios a empregados (CPC 33 – Benefícios a Empregados);</w:t>
      </w:r>
    </w:p>
    <w:p w14:paraId="3E6827E3" w14:textId="4E84C147" w:rsidR="00CB3DE1" w:rsidRPr="00CB3DE1" w:rsidRDefault="00AC7B83" w:rsidP="00CB3DE1">
      <w:pPr>
        <w:widowControl w:val="0"/>
        <w:numPr>
          <w:ilvl w:val="0"/>
          <w:numId w:val="4"/>
        </w:numPr>
        <w:tabs>
          <w:tab w:val="clear" w:pos="1070"/>
        </w:tabs>
        <w:spacing w:before="0"/>
        <w:ind w:left="993" w:hanging="426"/>
        <w:rPr>
          <w:rFonts w:ascii="Times New Roman" w:hAnsi="Times New Roman"/>
          <w:bCs/>
          <w:iCs/>
          <w:strike/>
          <w:color w:val="000000"/>
          <w:sz w:val="24"/>
          <w:lang w:val="pt-BR"/>
        </w:rPr>
      </w:pPr>
      <w:r w:rsidRPr="00CB3DE1">
        <w:rPr>
          <w:rFonts w:ascii="Times New Roman" w:hAnsi="Times New Roman"/>
          <w:color w:val="000000"/>
          <w:sz w:val="24"/>
          <w:lang w:val="pt-BR" w:eastAsia="x-none"/>
        </w:rPr>
        <w:t>ativos financeiros no alcance do CPC 48 – Instrumentos Financeiros;</w:t>
      </w:r>
    </w:p>
    <w:p w14:paraId="6E17C1D5" w14:textId="77777777" w:rsidR="00CB3DE1" w:rsidRPr="00CB3DE1" w:rsidRDefault="00CB3DE1" w:rsidP="00CB3DE1">
      <w:pPr>
        <w:widowControl w:val="0"/>
        <w:numPr>
          <w:ilvl w:val="0"/>
          <w:numId w:val="4"/>
        </w:numPr>
        <w:tabs>
          <w:tab w:val="clear" w:pos="1070"/>
        </w:tabs>
        <w:spacing w:before="0"/>
        <w:ind w:left="993" w:hanging="426"/>
        <w:rPr>
          <w:rFonts w:ascii="Times New Roman" w:hAnsi="Times New Roman"/>
          <w:bCs/>
          <w:iCs/>
          <w:color w:val="000000"/>
          <w:sz w:val="24"/>
          <w:lang w:val="pt-BR"/>
        </w:rPr>
      </w:pPr>
      <w:r w:rsidRPr="00CB3DE1">
        <w:rPr>
          <w:rFonts w:ascii="Times New Roman" w:hAnsi="Times New Roman"/>
          <w:bCs/>
          <w:iCs/>
          <w:color w:val="000000"/>
          <w:sz w:val="24"/>
          <w:lang w:val="pt-BR"/>
        </w:rPr>
        <w:t>ativos não circulantes que sejam contabilizados de acordo com o valor justo nos termos do CPC 28 – Propriedade para Investimento;</w:t>
      </w:r>
    </w:p>
    <w:p w14:paraId="2073FCBF" w14:textId="77777777" w:rsidR="00CB3DE1" w:rsidRPr="00CB3DE1" w:rsidRDefault="00CB3DE1" w:rsidP="00CB3DE1">
      <w:pPr>
        <w:widowControl w:val="0"/>
        <w:numPr>
          <w:ilvl w:val="0"/>
          <w:numId w:val="4"/>
        </w:numPr>
        <w:tabs>
          <w:tab w:val="clear" w:pos="1070"/>
        </w:tabs>
        <w:spacing w:before="0"/>
        <w:ind w:left="993" w:hanging="426"/>
        <w:rPr>
          <w:rFonts w:ascii="Times New Roman" w:hAnsi="Times New Roman"/>
          <w:bCs/>
          <w:iCs/>
          <w:color w:val="000000"/>
          <w:sz w:val="24"/>
          <w:lang w:val="pt-BR"/>
        </w:rPr>
      </w:pPr>
      <w:r w:rsidRPr="00CB3DE1">
        <w:rPr>
          <w:rFonts w:ascii="Times New Roman" w:hAnsi="Times New Roman"/>
          <w:bCs/>
          <w:iCs/>
          <w:color w:val="000000"/>
          <w:sz w:val="24"/>
          <w:lang w:val="pt-BR"/>
        </w:rPr>
        <w:t>ativos não circulantes que sejam mensurados pelo valor justo menos as despesas estimadas no ponto de venda, de acordo com o Pronunciamento Técnico CPC 29 – Ativo Biológico e Produto Agrícola;</w:t>
      </w:r>
    </w:p>
    <w:p w14:paraId="1CB3E250" w14:textId="77777777" w:rsidR="00CB3DE1" w:rsidRPr="00CB3DE1" w:rsidRDefault="00CB3DE1" w:rsidP="00CB3DE1">
      <w:pPr>
        <w:widowControl w:val="0"/>
        <w:numPr>
          <w:ilvl w:val="0"/>
          <w:numId w:val="4"/>
        </w:numPr>
        <w:tabs>
          <w:tab w:val="clear" w:pos="1070"/>
        </w:tabs>
        <w:spacing w:before="0"/>
        <w:ind w:left="993" w:hanging="426"/>
        <w:rPr>
          <w:rFonts w:ascii="Times New Roman" w:hAnsi="Times New Roman"/>
          <w:bCs/>
          <w:iCs/>
          <w:color w:val="000000"/>
          <w:sz w:val="24"/>
          <w:lang w:val="pt-BR"/>
        </w:rPr>
      </w:pPr>
      <w:r w:rsidRPr="00CB3DE1">
        <w:rPr>
          <w:rFonts w:ascii="Times New Roman" w:hAnsi="Times New Roman"/>
          <w:bCs/>
          <w:iCs/>
          <w:color w:val="000000"/>
          <w:sz w:val="24"/>
          <w:lang w:val="pt-BR"/>
        </w:rPr>
        <w:t>direitos contratuais de acordo com contratos de seguro tal como definido no CPC 11 – Contratos de Seguro.</w:t>
      </w:r>
    </w:p>
    <w:p w14:paraId="3BFDD002" w14:textId="3D3E1070" w:rsidR="00CB3DE1" w:rsidRPr="00CB3DE1" w:rsidRDefault="00CB3DE1" w:rsidP="00CB3DE1">
      <w:pPr>
        <w:widowControl w:val="0"/>
        <w:spacing w:before="0" w:after="0"/>
        <w:ind w:left="567"/>
        <w:rPr>
          <w:rFonts w:ascii="Times New Roman" w:hAnsi="Times New Roman"/>
          <w:color w:val="000000"/>
          <w:szCs w:val="20"/>
          <w:lang w:val="pt-BR" w:eastAsia="x-none"/>
        </w:rPr>
      </w:pPr>
      <w:r w:rsidRPr="00CB3DE1">
        <w:rPr>
          <w:rFonts w:ascii="Times New Roman" w:hAnsi="Times New Roman"/>
          <w:color w:val="000000"/>
          <w:szCs w:val="20"/>
          <w:lang w:val="pt-BR" w:eastAsia="x-none"/>
        </w:rPr>
        <w:t>(*) Aplicam-se a estes o exposto nos itens 18 e 19, os quais exigem que os ativos em questão sejam mensurados de acordo com outros pronunciamentos aplicáveis.</w:t>
      </w:r>
    </w:p>
    <w:p w14:paraId="1321B85E" w14:textId="77777777" w:rsidR="00CB3DE1" w:rsidRPr="00CB3DE1" w:rsidRDefault="00CB3DE1" w:rsidP="00CB3DE1">
      <w:pPr>
        <w:widowControl w:val="0"/>
        <w:tabs>
          <w:tab w:val="left" w:pos="6804"/>
        </w:tabs>
        <w:spacing w:before="0" w:after="0"/>
        <w:ind w:left="57"/>
        <w:rPr>
          <w:rFonts w:ascii="Times New Roman" w:hAnsi="Times New Roman"/>
          <w:b/>
          <w:sz w:val="24"/>
          <w:lang w:val="pt-BR" w:eastAsia="x-none"/>
        </w:rPr>
      </w:pPr>
    </w:p>
    <w:p w14:paraId="0FAAA73F"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5A. </w:t>
      </w:r>
      <w:r w:rsidRPr="00CB3DE1">
        <w:rPr>
          <w:rFonts w:ascii="Times New Roman" w:hAnsi="Times New Roman"/>
          <w:color w:val="000000"/>
          <w:sz w:val="24"/>
          <w:lang w:val="pt-BR" w:eastAsia="x-none"/>
        </w:rPr>
        <w:tab/>
        <w:t>A classificação, a apresentação e a mensuração requeridas neste Pronunciamento Técnico aplicáveis a ativo não circulante (ou grupo de ativos) classificado como mantido para venda também se aplicam a ativo não circulante (ou grupo de ativos) que seja classificado como destinado a ser distribuído aos sócios na sua condição de proprietários (mantido para distribuição aos proprietários).</w:t>
      </w:r>
    </w:p>
    <w:p w14:paraId="20DEDF1A"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2121994D" w14:textId="77777777" w:rsidR="00CB3DE1" w:rsidRPr="00CB3DE1" w:rsidRDefault="00CB3DE1" w:rsidP="00CB3DE1">
      <w:pPr>
        <w:widowControl w:val="0"/>
        <w:tabs>
          <w:tab w:val="left" w:pos="6804"/>
        </w:tabs>
        <w:spacing w:before="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5B. </w:t>
      </w:r>
      <w:r w:rsidRPr="00CB3DE1">
        <w:rPr>
          <w:rFonts w:ascii="Times New Roman" w:hAnsi="Times New Roman"/>
          <w:color w:val="000000"/>
          <w:sz w:val="24"/>
          <w:lang w:val="pt-BR" w:eastAsia="x-none"/>
        </w:rPr>
        <w:tab/>
        <w:t>Este Pronunciamento especifica as divulgações requeridas sobre ativos não circulantes (ou grupos de ativos) classificados como mantidos para venda ou operações descontinuadas. Divulgações exigidas por outros Pronunciamentos Técnicos não se aplicam a esses ativos (ou grupos de ativos) a menos que esses Pronunciamentos exijam:</w:t>
      </w:r>
    </w:p>
    <w:p w14:paraId="2102E2EF" w14:textId="77777777" w:rsidR="00CB3DE1" w:rsidRPr="00CB3DE1" w:rsidRDefault="00CB3DE1" w:rsidP="00CB3DE1">
      <w:pPr>
        <w:widowControl w:val="0"/>
        <w:numPr>
          <w:ilvl w:val="0"/>
          <w:numId w:val="19"/>
        </w:numPr>
        <w:tabs>
          <w:tab w:val="clear" w:pos="1070"/>
        </w:tabs>
        <w:spacing w:before="0"/>
        <w:ind w:left="993" w:hanging="426"/>
        <w:rPr>
          <w:rFonts w:ascii="Times New Roman" w:hAnsi="Times New Roman"/>
          <w:bCs/>
          <w:iCs/>
          <w:color w:val="000000"/>
          <w:sz w:val="24"/>
          <w:lang w:val="pt-BR"/>
        </w:rPr>
      </w:pPr>
      <w:r w:rsidRPr="00CB3DE1">
        <w:rPr>
          <w:rFonts w:ascii="Times New Roman" w:hAnsi="Times New Roman"/>
          <w:bCs/>
          <w:iCs/>
          <w:color w:val="000000"/>
          <w:sz w:val="24"/>
          <w:lang w:val="pt-BR"/>
        </w:rPr>
        <w:t>divulgação específica a respeito dos ativos não circulantes (ou grupos de ativos) classificados como mantidos para venda ou operações descontinuadas; ou</w:t>
      </w:r>
    </w:p>
    <w:p w14:paraId="06C8BB00" w14:textId="77777777" w:rsidR="00CB3DE1" w:rsidRPr="00CB3DE1" w:rsidRDefault="00CB3DE1" w:rsidP="00CB3DE1">
      <w:pPr>
        <w:widowControl w:val="0"/>
        <w:numPr>
          <w:ilvl w:val="0"/>
          <w:numId w:val="19"/>
        </w:numPr>
        <w:tabs>
          <w:tab w:val="clear" w:pos="1070"/>
        </w:tabs>
        <w:spacing w:before="0"/>
        <w:ind w:left="993" w:hanging="426"/>
        <w:rPr>
          <w:rFonts w:ascii="Times New Roman" w:hAnsi="Times New Roman"/>
          <w:bCs/>
          <w:iCs/>
          <w:color w:val="000000"/>
          <w:sz w:val="24"/>
          <w:lang w:val="pt-BR"/>
        </w:rPr>
      </w:pPr>
      <w:r w:rsidRPr="00CB3DE1">
        <w:rPr>
          <w:rFonts w:ascii="Times New Roman" w:hAnsi="Times New Roman"/>
          <w:bCs/>
          <w:iCs/>
          <w:color w:val="000000"/>
          <w:sz w:val="24"/>
          <w:lang w:val="pt-BR"/>
        </w:rPr>
        <w:t xml:space="preserve">divulgação sobre mensuração de ativos e passivos de grupo de ativos mantidos para venda que não estejam dentro do alcance das exigências de mensuração deste Pronunciamento Técnico e que essas divulgações não estejam já disponíveis em outras notas às demonstrações contábeis. </w:t>
      </w:r>
    </w:p>
    <w:p w14:paraId="5DBAB01C" w14:textId="2C957CA5"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ab/>
        <w:t>Divulgações adicionais sobre ativos não circulantes (ou grupos de ativos) classificados como mantidos para venda ou operações descontinuadas podem ser necessárias para o atendimento aos requisitos gerais do Pronunciamento Técnico CPC 26 – Apresentação das Demonstrações Contábeis, em particular seus itens 15 e 125.</w:t>
      </w:r>
    </w:p>
    <w:p w14:paraId="5E031C74" w14:textId="77777777" w:rsidR="00CB3DE1" w:rsidRPr="00CB3DE1" w:rsidRDefault="00CB3DE1" w:rsidP="00CB3DE1">
      <w:pPr>
        <w:widowControl w:val="0"/>
        <w:tabs>
          <w:tab w:val="left" w:pos="6804"/>
        </w:tabs>
        <w:spacing w:before="0" w:after="0"/>
        <w:ind w:left="57"/>
        <w:rPr>
          <w:rFonts w:ascii="Times New Roman" w:hAnsi="Times New Roman"/>
          <w:bCs/>
          <w:sz w:val="24"/>
          <w:lang w:val="pt-BR" w:eastAsia="x-none"/>
        </w:rPr>
      </w:pPr>
    </w:p>
    <w:p w14:paraId="386778C4" w14:textId="77777777" w:rsidR="00CB3DE1" w:rsidRPr="00CB3DE1" w:rsidRDefault="00CB3DE1" w:rsidP="00CB3DE1">
      <w:pPr>
        <w:widowControl w:val="0"/>
        <w:tabs>
          <w:tab w:val="left" w:pos="6804"/>
        </w:tabs>
        <w:spacing w:before="0" w:after="0"/>
        <w:rPr>
          <w:rFonts w:ascii="Times New Roman" w:hAnsi="Times New Roman"/>
          <w:b/>
          <w:sz w:val="28"/>
          <w:szCs w:val="28"/>
          <w:lang w:val="pt-BR" w:eastAsia="x-none"/>
        </w:rPr>
      </w:pPr>
      <w:r w:rsidRPr="00CB3DE1">
        <w:rPr>
          <w:rFonts w:ascii="Times New Roman" w:hAnsi="Times New Roman"/>
          <w:b/>
          <w:sz w:val="28"/>
          <w:szCs w:val="28"/>
          <w:lang w:val="pt-BR" w:eastAsia="x-none"/>
        </w:rPr>
        <w:t>Classificação de ativo não circulante como mantido para venda</w:t>
      </w:r>
    </w:p>
    <w:p w14:paraId="7490BCE2"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6FAB2774"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6. </w:t>
      </w:r>
      <w:r w:rsidRPr="00CB3DE1">
        <w:rPr>
          <w:rFonts w:ascii="Times New Roman" w:hAnsi="Times New Roman"/>
          <w:color w:val="000000"/>
          <w:sz w:val="24"/>
          <w:lang w:val="pt-BR" w:eastAsia="x-none"/>
        </w:rPr>
        <w:tab/>
        <w:t xml:space="preserve">A entidade deve classificar um ativo não circulante como mantido para venda se o seu valor contábil </w:t>
      </w:r>
      <w:r w:rsidRPr="00CB3DE1">
        <w:rPr>
          <w:rFonts w:ascii="Times New Roman" w:hAnsi="Times New Roman"/>
          <w:color w:val="000000"/>
          <w:sz w:val="24"/>
          <w:lang w:val="pt-BR" w:eastAsia="x-none"/>
        </w:rPr>
        <w:lastRenderedPageBreak/>
        <w:t>vai ser recuperado, principalmente, por meio de transação de venda em vez do uso contínuo.</w:t>
      </w:r>
    </w:p>
    <w:p w14:paraId="14158900"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19358238"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7. </w:t>
      </w:r>
      <w:r w:rsidRPr="00CB3DE1">
        <w:rPr>
          <w:rFonts w:ascii="Times New Roman" w:hAnsi="Times New Roman"/>
          <w:color w:val="000000"/>
          <w:sz w:val="24"/>
          <w:lang w:val="pt-BR" w:eastAsia="x-none"/>
        </w:rPr>
        <w:tab/>
        <w:t>Para que esse seja o caso, o ativo ou o grupo de ativos mantido para venda deve estar disponível para venda imediata em suas condições atuais, sujeito apenas aos termos que sejam habituais e costumeiros para venda de tais ativos mantidos para venda. Com isso, a sua venda deve ser altamente provável.</w:t>
      </w:r>
    </w:p>
    <w:p w14:paraId="34D1612E"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5F89FC73"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8. </w:t>
      </w:r>
      <w:r w:rsidRPr="00CB3DE1">
        <w:rPr>
          <w:rFonts w:ascii="Times New Roman" w:hAnsi="Times New Roman"/>
          <w:color w:val="000000"/>
          <w:sz w:val="24"/>
          <w:lang w:val="pt-BR" w:eastAsia="x-none"/>
        </w:rPr>
        <w:tab/>
        <w:t>Para que a venda seja altamente provável, o nível hierárquico de gestão apropriado deve estar comprometido com o plano de venda do ativo, e deve ter sido iniciado um programa firme para localizar um comprador e concluir o plano. Além disso, o ativo mantido para venda deve ser efetivamente colocado à venda por preço que seja razoável em relação ao seu valor justo corrente. Ainda, deve-se esperar que a venda se qualifique como concluída em até um ano a partir da data da classificação, com exceção do que é permitido pelo item 9, e as ações necessárias para concluir o plano devem indicar que é improvável que possa haver alterações significativas no plano ou que o plano possa ser abandonado.</w:t>
      </w:r>
    </w:p>
    <w:p w14:paraId="4BA6A058"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52621E45"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8A. </w:t>
      </w:r>
      <w:r w:rsidRPr="00CB3DE1">
        <w:rPr>
          <w:rFonts w:ascii="Times New Roman" w:hAnsi="Times New Roman"/>
          <w:color w:val="000000"/>
          <w:sz w:val="24"/>
          <w:lang w:val="pt-BR" w:eastAsia="x-none"/>
        </w:rPr>
        <w:tab/>
        <w:t>A entidade que estiver compromissada com um plano de venda para a alienação de controlada deve classificar todos os ativos e passivos dessa controlada (no balanço consolidado) como mantidos para venda quando os critérios estabelecidos nos itens 6 a 8 estiverem presentes, independentemente de a entidade passar a deter uma participação na investida como não controladora após a venda dessa controlada.</w:t>
      </w:r>
    </w:p>
    <w:p w14:paraId="19300FCA"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rPr>
      </w:pPr>
    </w:p>
    <w:p w14:paraId="63DA803D"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9. </w:t>
      </w:r>
      <w:r w:rsidRPr="00CB3DE1">
        <w:rPr>
          <w:rFonts w:ascii="Times New Roman" w:hAnsi="Times New Roman"/>
          <w:color w:val="000000"/>
          <w:sz w:val="24"/>
          <w:lang w:val="pt-BR" w:eastAsia="x-none"/>
        </w:rPr>
        <w:tab/>
        <w:t>Acontecimentos ou circunstâncias podem estender o período de conclusão da venda para além de um ano. A extensão do período durante o qual se exige que a venda seja concluída não impede que o ativo seja classificado como mantido para venda se o atraso for causado por acontecimentos ou circunstâncias fora do controle da entidade e se houver evidência suficiente de que a entidade continua comprometida com o seu plano de venda do ativo. Esse é o caso quando os critérios do Apêndice B forem satisfeitos.</w:t>
      </w:r>
    </w:p>
    <w:p w14:paraId="5076856B"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6DE92ADE"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10. </w:t>
      </w:r>
      <w:r w:rsidRPr="00CB3DE1">
        <w:rPr>
          <w:rFonts w:ascii="Times New Roman" w:hAnsi="Times New Roman"/>
          <w:color w:val="000000"/>
          <w:sz w:val="24"/>
          <w:lang w:val="pt-BR" w:eastAsia="x-none"/>
        </w:rPr>
        <w:tab/>
        <w:t>As transações de venda incluem trocas de ativos não circulantes por outros ativos não circulantes quando a troca tiver substância comercial de acordo com o Pronunciamento Técnico CPC 27 – Ativo Imobilizado.</w:t>
      </w:r>
    </w:p>
    <w:p w14:paraId="251E6E0D"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1B70B5AD"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11. </w:t>
      </w:r>
      <w:r w:rsidRPr="00CB3DE1">
        <w:rPr>
          <w:rFonts w:ascii="Times New Roman" w:hAnsi="Times New Roman"/>
          <w:color w:val="000000"/>
          <w:sz w:val="24"/>
          <w:lang w:val="pt-BR" w:eastAsia="x-none"/>
        </w:rPr>
        <w:tab/>
        <w:t>Quando a entidade adquire um ativo não circulante ou um grupo de ativos exclusivamente com vistas à sua posterior alienação (inclusive no caso de ativo recebido em troca de outro, como na dação em pagamento), só deve classificá-lo como mantido para venda na data de aquisição se o requisito de um ano previsto no item 8 for satisfeito (com exceção do que é permitido pelo item 9) e se for altamente provável que qualquer outro critério dos itens 7 e 8, o qual não esteja satisfeito nessa data, estará satisfeito em curto prazo após a aquisição (normalmente, no prazo de três meses).</w:t>
      </w:r>
    </w:p>
    <w:p w14:paraId="4DF6763A"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03227ABF"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12. </w:t>
      </w:r>
      <w:r w:rsidRPr="00CB3DE1">
        <w:rPr>
          <w:rFonts w:ascii="Times New Roman" w:hAnsi="Times New Roman"/>
          <w:color w:val="000000"/>
          <w:sz w:val="24"/>
          <w:lang w:val="pt-BR" w:eastAsia="x-none"/>
        </w:rPr>
        <w:tab/>
        <w:t xml:space="preserve">Se os critérios dos itens 7 e 8 forem satisfeitos após a data do balanço, a entidade não deve classificar o ativo não circulante ou o grupo de ativos mantido para venda como tais nessas demonstrações contábeis quando forem divulgadas. Contudo, quando esses critérios forem satisfeitos após a data de balanço, mas antes da autorização para emissão das demonstrações contábeis, a entidade deve </w:t>
      </w:r>
      <w:r w:rsidRPr="00CB3DE1">
        <w:rPr>
          <w:rFonts w:ascii="Times New Roman" w:hAnsi="Times New Roman"/>
          <w:color w:val="000000"/>
          <w:sz w:val="24"/>
          <w:lang w:val="pt-BR" w:eastAsia="x-none"/>
        </w:rPr>
        <w:lastRenderedPageBreak/>
        <w:t>divulgar informação específica nas notas explicativas, como está previsto nos itens 41(a), (b) e (d).</w:t>
      </w:r>
    </w:p>
    <w:p w14:paraId="5CCBA589" w14:textId="77777777" w:rsidR="00CB3DE1" w:rsidRPr="00CB3DE1" w:rsidRDefault="00CB3DE1" w:rsidP="00CB3DE1">
      <w:pPr>
        <w:widowControl w:val="0"/>
        <w:tabs>
          <w:tab w:val="left" w:pos="6804"/>
        </w:tabs>
        <w:spacing w:before="0" w:after="0"/>
        <w:ind w:left="57"/>
        <w:rPr>
          <w:rFonts w:ascii="Times New Roman" w:hAnsi="Times New Roman"/>
          <w:bCs/>
          <w:sz w:val="24"/>
          <w:lang w:val="pt-BR" w:eastAsia="x-none"/>
        </w:rPr>
      </w:pPr>
    </w:p>
    <w:p w14:paraId="0B9A62CD"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12A. O ativo não circulante (ou grupo de ativos) é classificado como mantido para distribuição aos sócios quando a entidade está comprometida para distribuir esse ativo (ou grupo de ativos) aos proprietários. Para isso é necessário que os ativos estejam disponíveis para imediata distribuição na sua condição atual e que a distribuição seja altamente provável. Para essa distribuição ser altamente provável, ações para completar a distribuição devem já ter sido iniciadas e deve estar presente a expectativa de serem completadas dentro de um ano a partir da classificação. Ações requeridas para completar a distribuição devem indicar não ser provável que mudanças significativas na distribuição sejam feitas ou que a distribuição virá a não ser feita. A probabilidade da aprovação dos sócios (se requerida legal ou estatutariamente) deve ser considerada como fator na verificação de ser a distribuição classificável como altamente provável.</w:t>
      </w:r>
    </w:p>
    <w:p w14:paraId="3CCCF76A" w14:textId="77777777" w:rsidR="00CB3DE1" w:rsidRPr="00CB3DE1" w:rsidRDefault="00CB3DE1" w:rsidP="00CB3DE1">
      <w:pPr>
        <w:widowControl w:val="0"/>
        <w:tabs>
          <w:tab w:val="left" w:pos="6804"/>
        </w:tabs>
        <w:spacing w:before="0" w:after="0"/>
        <w:ind w:left="57"/>
        <w:rPr>
          <w:rFonts w:ascii="Times New Roman" w:hAnsi="Times New Roman"/>
          <w:bCs/>
          <w:sz w:val="24"/>
          <w:lang w:val="pt-BR" w:eastAsia="x-none"/>
        </w:rPr>
      </w:pPr>
    </w:p>
    <w:p w14:paraId="1E3C660A" w14:textId="77777777" w:rsidR="00CB3DE1" w:rsidRPr="00CB3DE1" w:rsidRDefault="00CB3DE1" w:rsidP="00CB3DE1">
      <w:pPr>
        <w:widowControl w:val="0"/>
        <w:tabs>
          <w:tab w:val="left" w:pos="6804"/>
        </w:tabs>
        <w:spacing w:before="0" w:after="0"/>
        <w:rPr>
          <w:rFonts w:ascii="Times New Roman" w:hAnsi="Times New Roman"/>
          <w:b/>
          <w:sz w:val="24"/>
          <w:lang w:val="pt-BR" w:eastAsia="x-none"/>
        </w:rPr>
      </w:pPr>
      <w:r w:rsidRPr="00CB3DE1">
        <w:rPr>
          <w:rFonts w:ascii="Times New Roman" w:hAnsi="Times New Roman"/>
          <w:b/>
          <w:sz w:val="24"/>
          <w:lang w:val="pt-BR" w:eastAsia="x-none"/>
        </w:rPr>
        <w:t>Ativo não circulante a ser baixado</w:t>
      </w:r>
    </w:p>
    <w:p w14:paraId="0E2360E2"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7E486A02"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13. </w:t>
      </w:r>
      <w:r w:rsidRPr="00CB3DE1">
        <w:rPr>
          <w:rFonts w:ascii="Times New Roman" w:hAnsi="Times New Roman"/>
          <w:color w:val="000000"/>
          <w:sz w:val="24"/>
          <w:lang w:val="pt-BR" w:eastAsia="x-none"/>
        </w:rPr>
        <w:tab/>
        <w:t>A entidade não deve classificar como mantido para venda o ativo não circulante ou o grupo de ativos destinado a ser baixado. Isso se deve ao fato de o seu valor contábil ser recuperado principalmente por meio do uso contínuo. Contudo, se o grupo de ativos classificado como mantido para venda que será baixado satisfizer aos critérios do item 32(a) a (c), a entidade deve apresentar os resultados e os fluxos de caixa do ativo mantido para venda como operações descontinuadas, de acordo com os itens 33 e 34, na data na qual ele deixar de ser usado. Os ativos não circulantes a serem baixados incluem ativos que devem ser usados até o final da sua vida econômica e ativos não circulantes que devem ser fechados em vez de vendidos.</w:t>
      </w:r>
    </w:p>
    <w:p w14:paraId="3B17B980"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18343733"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14. </w:t>
      </w:r>
      <w:r w:rsidRPr="00CB3DE1">
        <w:rPr>
          <w:rFonts w:ascii="Times New Roman" w:hAnsi="Times New Roman"/>
          <w:color w:val="000000"/>
          <w:sz w:val="24"/>
          <w:lang w:val="pt-BR" w:eastAsia="x-none"/>
        </w:rPr>
        <w:tab/>
        <w:t>A entidade não deve contabilizar o ativo não circulante que tenha sido temporariamente retirado de serviço como se tivesse sido baixado.</w:t>
      </w:r>
    </w:p>
    <w:p w14:paraId="26364EE2" w14:textId="77777777" w:rsidR="00CB3DE1" w:rsidRPr="00CB3DE1" w:rsidRDefault="00CB3DE1" w:rsidP="00CB3DE1">
      <w:pPr>
        <w:widowControl w:val="0"/>
        <w:tabs>
          <w:tab w:val="left" w:pos="6804"/>
        </w:tabs>
        <w:spacing w:before="0" w:after="0"/>
        <w:ind w:left="57"/>
        <w:rPr>
          <w:rFonts w:ascii="Times New Roman" w:hAnsi="Times New Roman"/>
          <w:b/>
          <w:sz w:val="24"/>
          <w:lang w:val="pt-BR" w:eastAsia="x-none"/>
        </w:rPr>
      </w:pPr>
    </w:p>
    <w:p w14:paraId="0C7D0627" w14:textId="77777777" w:rsidR="00CB3DE1" w:rsidRPr="00CB3DE1" w:rsidRDefault="00CB3DE1" w:rsidP="00CB3DE1">
      <w:pPr>
        <w:widowControl w:val="0"/>
        <w:tabs>
          <w:tab w:val="left" w:pos="6804"/>
        </w:tabs>
        <w:spacing w:before="0" w:after="0"/>
        <w:rPr>
          <w:rFonts w:ascii="Times New Roman" w:hAnsi="Times New Roman"/>
          <w:b/>
          <w:sz w:val="28"/>
          <w:szCs w:val="28"/>
          <w:lang w:val="pt-BR" w:eastAsia="x-none"/>
        </w:rPr>
      </w:pPr>
      <w:r w:rsidRPr="00CB3DE1">
        <w:rPr>
          <w:rFonts w:ascii="Times New Roman" w:hAnsi="Times New Roman"/>
          <w:b/>
          <w:sz w:val="28"/>
          <w:szCs w:val="28"/>
          <w:lang w:val="pt-BR" w:eastAsia="x-none"/>
        </w:rPr>
        <w:t>Mensuração de ativo não circulante classificado como mantido para venda</w:t>
      </w:r>
    </w:p>
    <w:p w14:paraId="3361B5AC" w14:textId="77777777" w:rsidR="00CB3DE1" w:rsidRPr="00CB3DE1" w:rsidRDefault="00CB3DE1" w:rsidP="00CB3DE1">
      <w:pPr>
        <w:widowControl w:val="0"/>
        <w:tabs>
          <w:tab w:val="left" w:pos="6804"/>
        </w:tabs>
        <w:spacing w:before="0" w:after="0"/>
        <w:ind w:left="57"/>
        <w:rPr>
          <w:rFonts w:ascii="Times New Roman" w:hAnsi="Times New Roman"/>
          <w:b/>
          <w:sz w:val="24"/>
          <w:szCs w:val="28"/>
          <w:lang w:val="pt-BR" w:eastAsia="x-none"/>
        </w:rPr>
      </w:pPr>
    </w:p>
    <w:p w14:paraId="46836778" w14:textId="77777777" w:rsidR="00CB3DE1" w:rsidRPr="00CB3DE1" w:rsidRDefault="00CB3DE1" w:rsidP="00CB3DE1">
      <w:pPr>
        <w:widowControl w:val="0"/>
        <w:tabs>
          <w:tab w:val="left" w:pos="6804"/>
        </w:tabs>
        <w:spacing w:before="0" w:after="0"/>
        <w:rPr>
          <w:rFonts w:ascii="Times New Roman" w:hAnsi="Times New Roman"/>
          <w:b/>
          <w:sz w:val="24"/>
          <w:lang w:val="pt-BR" w:eastAsia="x-none"/>
        </w:rPr>
      </w:pPr>
      <w:r w:rsidRPr="00CB3DE1">
        <w:rPr>
          <w:rFonts w:ascii="Times New Roman" w:hAnsi="Times New Roman"/>
          <w:b/>
          <w:sz w:val="24"/>
          <w:lang w:val="pt-BR" w:eastAsia="x-none"/>
        </w:rPr>
        <w:t>Mensuração de ativo não circulante mantido para venda</w:t>
      </w:r>
    </w:p>
    <w:p w14:paraId="3A253438"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40512914"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15. </w:t>
      </w:r>
      <w:r w:rsidRPr="00CB3DE1">
        <w:rPr>
          <w:rFonts w:ascii="Times New Roman" w:hAnsi="Times New Roman"/>
          <w:color w:val="000000"/>
          <w:sz w:val="24"/>
          <w:lang w:val="pt-BR" w:eastAsia="x-none"/>
        </w:rPr>
        <w:tab/>
        <w:t>A entidade deve mensurar o ativo ou o grupo de ativos não circulantes classificado como mantido para venda pelo menor entre o seu valor contábil e o valor justo menos as despesas de venda.</w:t>
      </w:r>
    </w:p>
    <w:p w14:paraId="04A1AADA"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492424B8" w14:textId="77777777" w:rsidR="00CB3DE1" w:rsidRPr="00CB3DE1" w:rsidRDefault="00CB3DE1" w:rsidP="00CB3DE1">
      <w:pPr>
        <w:widowControl w:val="0"/>
        <w:tabs>
          <w:tab w:val="left" w:pos="6804"/>
        </w:tabs>
        <w:spacing w:before="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15A. A entidade deve mensurar o ativo não circulante (ou grupo de ativos) mantido para distribuição aos sócios pelo menor entre seu valor contábil e seu valor justo diminuído das despesas de distribuição(*).</w:t>
      </w:r>
    </w:p>
    <w:p w14:paraId="0AA1712D" w14:textId="77777777" w:rsidR="00CB3DE1" w:rsidRPr="00CB3DE1" w:rsidRDefault="00CB3DE1" w:rsidP="00CB3DE1">
      <w:pPr>
        <w:widowControl w:val="0"/>
        <w:spacing w:before="0" w:after="0"/>
        <w:ind w:left="567"/>
        <w:rPr>
          <w:rFonts w:ascii="Times New Roman" w:hAnsi="Times New Roman"/>
          <w:color w:val="000000"/>
          <w:szCs w:val="20"/>
          <w:lang w:val="pt-BR" w:eastAsia="x-none"/>
        </w:rPr>
      </w:pPr>
      <w:r w:rsidRPr="00CB3DE1">
        <w:rPr>
          <w:rFonts w:ascii="Times New Roman" w:hAnsi="Times New Roman"/>
          <w:color w:val="000000"/>
          <w:szCs w:val="20"/>
          <w:lang w:val="pt-BR" w:eastAsia="x-none"/>
        </w:rPr>
        <w:t>(*) Despesas de distribuição são as despesas incrementais diretamente atribuíveis à distribuição, excluídos as financeiras e os tributos sobre o lucro.</w:t>
      </w:r>
    </w:p>
    <w:p w14:paraId="6E7F8604"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rPr>
      </w:pPr>
    </w:p>
    <w:p w14:paraId="2D4529E9"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16. </w:t>
      </w:r>
      <w:r w:rsidRPr="00CB3DE1">
        <w:rPr>
          <w:rFonts w:ascii="Times New Roman" w:hAnsi="Times New Roman"/>
          <w:color w:val="000000"/>
          <w:sz w:val="24"/>
          <w:lang w:val="pt-BR" w:eastAsia="x-none"/>
        </w:rPr>
        <w:tab/>
        <w:t xml:space="preserve">Se o ativo ou o grupo de ativos recém-adquiridos satisfizer aos critérios de classificação como mantido para venda (ver item 11), a aplicação do item 15 resultará em que o ativo ou o grupo de ativos seja mensurado no reconhecimento inicial pelo valor mais baixo entre o que seria seu valor contábil, caso não tivesse sido assim classificado (por exemplo, o custo), e o valor justo menos as </w:t>
      </w:r>
      <w:r w:rsidRPr="00CB3DE1">
        <w:rPr>
          <w:rFonts w:ascii="Times New Roman" w:hAnsi="Times New Roman"/>
          <w:color w:val="000000"/>
          <w:sz w:val="24"/>
          <w:lang w:val="pt-BR" w:eastAsia="x-none"/>
        </w:rPr>
        <w:lastRenderedPageBreak/>
        <w:t>despesas de venda. Se o ativo ou o grupo de ativos for adquirido como parte de combinação de negócios, ele deve ser mensurado pelo valor justo menos as despesas de venda.</w:t>
      </w:r>
    </w:p>
    <w:p w14:paraId="51659D32"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424C60EE"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17. </w:t>
      </w:r>
      <w:r w:rsidRPr="00CB3DE1">
        <w:rPr>
          <w:rFonts w:ascii="Times New Roman" w:hAnsi="Times New Roman"/>
          <w:color w:val="000000"/>
          <w:sz w:val="24"/>
          <w:lang w:val="pt-BR" w:eastAsia="x-none"/>
        </w:rPr>
        <w:tab/>
        <w:t>Quando se espera que a venda ocorra após um ano, a entidade deve mensurar as despesas de venda pelo valor presente. Qualquer aumento no valor presente das despesas de venda que resulte da passagem do tempo deve ser apresentado nos resultados como despesa financeira, aplicando-se no que couber as disposições do Pronunciamento Técnico CPC 12 – Ajuste a Valor Presente.</w:t>
      </w:r>
    </w:p>
    <w:p w14:paraId="072F552B"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3DE309C5"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18. </w:t>
      </w:r>
      <w:r w:rsidRPr="00CB3DE1">
        <w:rPr>
          <w:rFonts w:ascii="Times New Roman" w:hAnsi="Times New Roman"/>
          <w:color w:val="000000"/>
          <w:sz w:val="24"/>
          <w:lang w:val="pt-BR" w:eastAsia="x-none"/>
        </w:rPr>
        <w:tab/>
        <w:t>Imediatamente antes da classificação inicial do ativo ou do grupo de ativos como mantido para venda, os valores contábeis do ativo (ou de todos os ativos e passivos do grupo de ativos) devem ser mensurados de acordo com os Pronunciamentos Técnicos aplicáveis.</w:t>
      </w:r>
    </w:p>
    <w:p w14:paraId="49FA986B"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2DB61026"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19. </w:t>
      </w:r>
      <w:r w:rsidRPr="00CB3DE1">
        <w:rPr>
          <w:rFonts w:ascii="Times New Roman" w:hAnsi="Times New Roman"/>
          <w:color w:val="000000"/>
          <w:sz w:val="24"/>
          <w:lang w:val="pt-BR" w:eastAsia="x-none"/>
        </w:rPr>
        <w:tab/>
        <w:t>Na mensuração subsequente de grupo de ativos mantido para venda, os valores contábeis de quaisquer ativos e passivos que não estejam no âmbito dos requisitos de mensuração deste Pronunciamento Técnico, mas que estejam incluídos em grupo de ativos classificado como mantido para venda, devem ser remensurados de acordo com os Pronunciamentos Técnicos aplicáveis antes de o valor justo menos as despesas de venda do grupo de ativos mantido para venda ser remensurado.</w:t>
      </w:r>
    </w:p>
    <w:p w14:paraId="3C963C06" w14:textId="77777777" w:rsidR="00CB3DE1" w:rsidRPr="00CB3DE1" w:rsidRDefault="00CB3DE1" w:rsidP="00CB3DE1">
      <w:pPr>
        <w:widowControl w:val="0"/>
        <w:tabs>
          <w:tab w:val="left" w:pos="6804"/>
        </w:tabs>
        <w:spacing w:before="0" w:after="0"/>
        <w:ind w:left="57"/>
        <w:rPr>
          <w:rFonts w:ascii="Times New Roman" w:hAnsi="Times New Roman"/>
          <w:b/>
          <w:sz w:val="24"/>
          <w:lang w:val="pt-BR" w:eastAsia="x-none"/>
        </w:rPr>
      </w:pPr>
    </w:p>
    <w:p w14:paraId="6A899130" w14:textId="77777777" w:rsidR="00CB3DE1" w:rsidRPr="00CB3DE1" w:rsidRDefault="00CB3DE1" w:rsidP="00CB3DE1">
      <w:pPr>
        <w:widowControl w:val="0"/>
        <w:tabs>
          <w:tab w:val="left" w:pos="6804"/>
        </w:tabs>
        <w:spacing w:before="0" w:after="0"/>
        <w:rPr>
          <w:rFonts w:ascii="Times New Roman" w:hAnsi="Times New Roman"/>
          <w:b/>
          <w:sz w:val="24"/>
          <w:lang w:val="pt-BR" w:eastAsia="x-none"/>
        </w:rPr>
      </w:pPr>
      <w:r w:rsidRPr="00CB3DE1">
        <w:rPr>
          <w:rFonts w:ascii="Times New Roman" w:hAnsi="Times New Roman"/>
          <w:b/>
          <w:sz w:val="24"/>
          <w:lang w:val="pt-BR" w:eastAsia="x-none"/>
        </w:rPr>
        <w:t>Reconhecimento de perda por redução ao valor recuperável e reversão</w:t>
      </w:r>
    </w:p>
    <w:p w14:paraId="3A93C491"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51E8B841"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20. </w:t>
      </w:r>
      <w:r w:rsidRPr="00CB3DE1">
        <w:rPr>
          <w:rFonts w:ascii="Times New Roman" w:hAnsi="Times New Roman"/>
          <w:color w:val="000000"/>
          <w:sz w:val="24"/>
          <w:lang w:val="pt-BR" w:eastAsia="x-none"/>
        </w:rPr>
        <w:tab/>
        <w:t>A entidade deve reconhecer, nos termos do Pronunciamento Técnico CPC 01 – Redução ao Valor Recuperável de Ativos, a perda por redução ao valor recuperável relativamente a qualquer redução inicial ou posterior do ativo ou do grupo de ativo mantido para venda ao valor justo menos as despesas de venda, além de qualquer outra perda que tenha sido reconhecida de acordo com o item 19.</w:t>
      </w:r>
    </w:p>
    <w:p w14:paraId="67F17DB0"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366FAE3E"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21. </w:t>
      </w:r>
      <w:r w:rsidRPr="00CB3DE1">
        <w:rPr>
          <w:rFonts w:ascii="Times New Roman" w:hAnsi="Times New Roman"/>
          <w:color w:val="000000"/>
          <w:sz w:val="24"/>
          <w:lang w:val="pt-BR" w:eastAsia="x-none"/>
        </w:rPr>
        <w:tab/>
        <w:t>A entidade deve reconhecer o ganho para qualquer aumento posterior no valor justo menos as despesas de venda de um ativo, limitado à perda por redução ao valor recuperável acumulada que tenha sido reconhecida, seja de acordo com este Pronunciamento, seja anteriormente, de acordo com o Pronunciamento Técnico CPC 01 - Redução ao Valor Recuperável de Ativos.</w:t>
      </w:r>
    </w:p>
    <w:p w14:paraId="757C4A2D"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3C368F64" w14:textId="77777777" w:rsidR="00CB3DE1" w:rsidRPr="00CB3DE1" w:rsidRDefault="00CB3DE1" w:rsidP="00CB3DE1">
      <w:pPr>
        <w:widowControl w:val="0"/>
        <w:tabs>
          <w:tab w:val="left" w:pos="6804"/>
        </w:tabs>
        <w:spacing w:before="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22. </w:t>
      </w:r>
      <w:r w:rsidRPr="00CB3DE1">
        <w:rPr>
          <w:rFonts w:ascii="Times New Roman" w:hAnsi="Times New Roman"/>
          <w:color w:val="000000"/>
          <w:sz w:val="24"/>
          <w:lang w:val="pt-BR" w:eastAsia="x-none"/>
        </w:rPr>
        <w:tab/>
        <w:t>A entidade deve reconhecer o ganho para qualquer aumento posterior no valor justo menos as despesas de venda de grupo de ativos mantido para venda:</w:t>
      </w:r>
    </w:p>
    <w:p w14:paraId="1427D0AA" w14:textId="77777777" w:rsidR="00CB3DE1" w:rsidRPr="00CB3DE1" w:rsidRDefault="00CB3DE1" w:rsidP="00CB3DE1">
      <w:pPr>
        <w:widowControl w:val="0"/>
        <w:numPr>
          <w:ilvl w:val="0"/>
          <w:numId w:val="5"/>
        </w:numPr>
        <w:tabs>
          <w:tab w:val="clear" w:pos="1070"/>
        </w:tabs>
        <w:spacing w:before="0"/>
        <w:ind w:left="993" w:hanging="426"/>
        <w:rPr>
          <w:rFonts w:ascii="Times New Roman" w:hAnsi="Times New Roman"/>
          <w:bCs/>
          <w:iCs/>
          <w:color w:val="000000"/>
          <w:sz w:val="24"/>
          <w:lang w:val="pt-BR"/>
        </w:rPr>
      </w:pPr>
      <w:r w:rsidRPr="00CB3DE1">
        <w:rPr>
          <w:rFonts w:ascii="Times New Roman" w:hAnsi="Times New Roman"/>
          <w:bCs/>
          <w:iCs/>
          <w:color w:val="000000"/>
          <w:sz w:val="24"/>
          <w:lang w:val="pt-BR"/>
        </w:rPr>
        <w:t xml:space="preserve">na medida em que não tenha sido reconhecido de acordo com o item 19; mas </w:t>
      </w:r>
    </w:p>
    <w:p w14:paraId="567CBB5C" w14:textId="77777777" w:rsidR="00CB3DE1" w:rsidRPr="00CB3DE1" w:rsidRDefault="00CB3DE1" w:rsidP="00CB3DE1">
      <w:pPr>
        <w:widowControl w:val="0"/>
        <w:numPr>
          <w:ilvl w:val="0"/>
          <w:numId w:val="5"/>
        </w:numPr>
        <w:tabs>
          <w:tab w:val="clear" w:pos="1070"/>
        </w:tabs>
        <w:spacing w:before="0" w:after="0"/>
        <w:ind w:left="993" w:hanging="426"/>
        <w:rPr>
          <w:rFonts w:ascii="Times New Roman" w:hAnsi="Times New Roman"/>
          <w:bCs/>
          <w:iCs/>
          <w:color w:val="000000"/>
          <w:sz w:val="24"/>
          <w:lang w:val="pt-BR"/>
        </w:rPr>
      </w:pPr>
      <w:r w:rsidRPr="00CB3DE1">
        <w:rPr>
          <w:rFonts w:ascii="Times New Roman" w:hAnsi="Times New Roman"/>
          <w:bCs/>
          <w:iCs/>
          <w:color w:val="000000"/>
          <w:sz w:val="24"/>
          <w:lang w:val="pt-BR"/>
        </w:rPr>
        <w:t>não além da perda por redução ao valor recuperável acumulada que tenha sido reconhecida, seja de acordo com este Pronunciamento Técnico ou anteriormente de acordo com o Pronunciamento Técnico CPC 01 - Redução ao Valor Recuperável de Ativos, nos ativos não circulantes que estejam dentro do âmbito dos requisitos de mensuração deste Pronunciamento.</w:t>
      </w:r>
    </w:p>
    <w:p w14:paraId="0A2C9BB5"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6C5E15B7"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23. </w:t>
      </w:r>
      <w:r w:rsidRPr="00CB3DE1">
        <w:rPr>
          <w:rFonts w:ascii="Times New Roman" w:hAnsi="Times New Roman"/>
          <w:color w:val="000000"/>
          <w:sz w:val="24"/>
          <w:lang w:val="pt-BR" w:eastAsia="x-none"/>
        </w:rPr>
        <w:tab/>
        <w:t>A perda por redução ao valor recuperável (ou qualquer ganho posterior) reconhecida para um grupo de ativos mantido para venda deve reduzir (ou aumentar) o valor contábil dos ativos não circulantes do grupo de ativos que esteja dentro do escopo dos requisitos de mensuração deste Pronunciamento Técnico pela ordem de alocação definida nos itens 99(a) e (b) e 117 do Pronunciamento Técnico CPC 01 - Redução ao Valor Recuperável de Ativos.</w:t>
      </w:r>
    </w:p>
    <w:p w14:paraId="7073F8B3"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2C18E889" w14:textId="77777777" w:rsidR="00CB3DE1" w:rsidRPr="00CB3DE1" w:rsidRDefault="00CB3DE1" w:rsidP="00CB3DE1">
      <w:pPr>
        <w:widowControl w:val="0"/>
        <w:tabs>
          <w:tab w:val="left" w:pos="6804"/>
        </w:tabs>
        <w:spacing w:before="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24. </w:t>
      </w:r>
      <w:r w:rsidRPr="00CB3DE1">
        <w:rPr>
          <w:rFonts w:ascii="Times New Roman" w:hAnsi="Times New Roman"/>
          <w:color w:val="000000"/>
          <w:sz w:val="24"/>
          <w:lang w:val="pt-BR" w:eastAsia="x-none"/>
        </w:rPr>
        <w:tab/>
        <w:t>O ganho ou a perda que não tenha sido reconhecido anteriormente à data da venda de ativo não circulante ou de grupo de ativos mantido para venda deve ser reconhecido à data da baixa. Os requisitos relacionados à baixa estão definidos:</w:t>
      </w:r>
    </w:p>
    <w:p w14:paraId="529D8CD6" w14:textId="77777777" w:rsidR="00CB3DE1" w:rsidRPr="00CB3DE1" w:rsidRDefault="00CB3DE1" w:rsidP="00CB3DE1">
      <w:pPr>
        <w:widowControl w:val="0"/>
        <w:numPr>
          <w:ilvl w:val="0"/>
          <w:numId w:val="6"/>
        </w:numPr>
        <w:tabs>
          <w:tab w:val="clear" w:pos="1070"/>
        </w:tabs>
        <w:spacing w:before="0"/>
        <w:ind w:left="993" w:hanging="426"/>
        <w:rPr>
          <w:rFonts w:ascii="Times New Roman" w:hAnsi="Times New Roman"/>
          <w:bCs/>
          <w:iCs/>
          <w:color w:val="000000"/>
          <w:sz w:val="24"/>
          <w:lang w:val="pt-BR"/>
        </w:rPr>
      </w:pPr>
      <w:r w:rsidRPr="00CB3DE1">
        <w:rPr>
          <w:rFonts w:ascii="Times New Roman" w:hAnsi="Times New Roman"/>
          <w:bCs/>
          <w:iCs/>
          <w:color w:val="000000"/>
          <w:sz w:val="24"/>
          <w:lang w:val="pt-BR"/>
        </w:rPr>
        <w:t xml:space="preserve">nos itens 67 a 72 do Pronunciamento Técnico CPC 27 - Ativo Imobilizado; e </w:t>
      </w:r>
    </w:p>
    <w:p w14:paraId="0130C902" w14:textId="77777777" w:rsidR="00CB3DE1" w:rsidRPr="00CB3DE1" w:rsidRDefault="00CB3DE1" w:rsidP="00CB3DE1">
      <w:pPr>
        <w:widowControl w:val="0"/>
        <w:numPr>
          <w:ilvl w:val="0"/>
          <w:numId w:val="6"/>
        </w:numPr>
        <w:tabs>
          <w:tab w:val="clear" w:pos="1070"/>
        </w:tabs>
        <w:spacing w:before="0" w:after="0"/>
        <w:ind w:left="993" w:hanging="426"/>
        <w:rPr>
          <w:rFonts w:ascii="Times New Roman" w:hAnsi="Times New Roman"/>
          <w:bCs/>
          <w:iCs/>
          <w:color w:val="000000"/>
          <w:sz w:val="24"/>
          <w:lang w:val="pt-BR"/>
        </w:rPr>
      </w:pPr>
      <w:r w:rsidRPr="00CB3DE1">
        <w:rPr>
          <w:rFonts w:ascii="Times New Roman" w:hAnsi="Times New Roman"/>
          <w:bCs/>
          <w:iCs/>
          <w:color w:val="000000"/>
          <w:sz w:val="24"/>
          <w:lang w:val="pt-BR"/>
        </w:rPr>
        <w:t>nos itens 112 a 117 do Pronunciamento Técnico CPC 04 - Ativo Intangível, relacionados a ativos intangíveis.</w:t>
      </w:r>
    </w:p>
    <w:p w14:paraId="479C0E58"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48DF1DC9"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25. </w:t>
      </w:r>
      <w:r w:rsidRPr="00CB3DE1">
        <w:rPr>
          <w:rFonts w:ascii="Times New Roman" w:hAnsi="Times New Roman"/>
          <w:color w:val="000000"/>
          <w:sz w:val="24"/>
          <w:lang w:val="pt-BR" w:eastAsia="x-none"/>
        </w:rPr>
        <w:tab/>
        <w:t>A entidade não deve depreciar (ou amortizar) o ativo não circulante enquanto estiver classificado como mantido para venda ou enquanto fizer parte de grupo de ativos classificado como mantido para venda. Os juros e os outros gastos atribuíveis aos passivos de grupo de ativos classificado como mantido para venda devem continuar a ser reconhecidos.</w:t>
      </w:r>
    </w:p>
    <w:p w14:paraId="3057D45E"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347ADFE8" w14:textId="77777777" w:rsidR="00CB3DE1" w:rsidRPr="00CB3DE1" w:rsidRDefault="00CB3DE1" w:rsidP="00CB3DE1">
      <w:pPr>
        <w:widowControl w:val="0"/>
        <w:tabs>
          <w:tab w:val="left" w:pos="6804"/>
        </w:tabs>
        <w:spacing w:before="0" w:after="0"/>
        <w:rPr>
          <w:rFonts w:ascii="Times New Roman" w:hAnsi="Times New Roman"/>
          <w:b/>
          <w:sz w:val="24"/>
          <w:lang w:val="pt-BR" w:eastAsia="x-none"/>
        </w:rPr>
      </w:pPr>
      <w:r w:rsidRPr="00CB3DE1">
        <w:rPr>
          <w:rFonts w:ascii="Times New Roman" w:hAnsi="Times New Roman"/>
          <w:b/>
          <w:sz w:val="24"/>
          <w:lang w:val="pt-BR" w:eastAsia="x-none"/>
        </w:rPr>
        <w:t>Alteração em plano de venda ou em plano de distribuição aos proprietários</w:t>
      </w:r>
    </w:p>
    <w:p w14:paraId="68ECA53D"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598C0CD2" w14:textId="0D888920"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26. </w:t>
      </w:r>
      <w:r w:rsidRPr="00CB3DE1">
        <w:rPr>
          <w:rFonts w:ascii="Times New Roman" w:hAnsi="Times New Roman"/>
          <w:color w:val="000000"/>
          <w:sz w:val="24"/>
          <w:lang w:val="pt-BR" w:eastAsia="x-none"/>
        </w:rPr>
        <w:tab/>
        <w:t>Se a entidade tiver classificado um ativo como mantido para venda</w:t>
      </w:r>
      <w:r w:rsidRPr="00CB3DE1">
        <w:rPr>
          <w:rFonts w:ascii="Times New Roman" w:hAnsi="Times New Roman"/>
          <w:color w:val="000000"/>
          <w:sz w:val="24"/>
        </w:rPr>
        <w:t xml:space="preserve"> ou como mantido para distribuição aos proprietários</w:t>
      </w:r>
      <w:r w:rsidRPr="00CB3DE1">
        <w:rPr>
          <w:rFonts w:ascii="Times New Roman" w:hAnsi="Times New Roman"/>
          <w:color w:val="000000"/>
          <w:sz w:val="24"/>
          <w:lang w:val="pt-BR" w:eastAsia="x-none"/>
        </w:rPr>
        <w:t xml:space="preserve">, mas os critérios dos itens 7 a 9 (para mantido para venda) ou do item 12A (para mantido para distribuição aos proprietários) já não estiverem mais satisfeitos, a entidade deve deixar de classificar o ativo (ou grupo de ativos) como mantido para venda </w:t>
      </w:r>
      <w:r w:rsidRPr="00CB3DE1">
        <w:rPr>
          <w:rFonts w:ascii="Times New Roman" w:hAnsi="Times New Roman"/>
          <w:color w:val="000000"/>
          <w:sz w:val="24"/>
        </w:rPr>
        <w:t>ou como mantido para distribuição aos proprietários (respectivamente). Nesses casos, a entidade deve seguir a orientação dos itens 27 a 29 para contabilizar essa mudança, exceto quando se aplica o item 26A.</w:t>
      </w:r>
    </w:p>
    <w:p w14:paraId="6CD4B133"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369ED45C" w14:textId="77777777" w:rsidR="00CB3DE1" w:rsidRPr="00CB3DE1" w:rsidRDefault="00CB3DE1" w:rsidP="00CB3DE1">
      <w:pPr>
        <w:spacing w:before="0"/>
        <w:ind w:left="567" w:hanging="567"/>
        <w:rPr>
          <w:rFonts w:ascii="Times New Roman" w:hAnsi="Times New Roman"/>
          <w:sz w:val="24"/>
        </w:rPr>
      </w:pPr>
      <w:r w:rsidRPr="00CB3DE1">
        <w:rPr>
          <w:rFonts w:ascii="Times New Roman" w:hAnsi="Times New Roman"/>
          <w:sz w:val="24"/>
        </w:rPr>
        <w:t xml:space="preserve">26A. Se a entidade reclassificar um ativo (ou grupo de ativos) diretamente de mantido para venda para mantido para distribuição aos proprietários, ou diretamente de mantido para distribuição aos proprietários para mantido para venda, então, a mudança na classificação deve ser considerada como continuação do plano original de alienação. A entidade: </w:t>
      </w:r>
    </w:p>
    <w:p w14:paraId="06459761" w14:textId="0BA9B295" w:rsidR="00CB3DE1" w:rsidRPr="00CB3DE1" w:rsidRDefault="00CB3DE1" w:rsidP="00CB3DE1">
      <w:pPr>
        <w:spacing w:before="0"/>
        <w:ind w:left="993" w:hanging="426"/>
        <w:rPr>
          <w:rFonts w:ascii="Times New Roman" w:hAnsi="Times New Roman"/>
          <w:sz w:val="24"/>
        </w:rPr>
      </w:pPr>
      <w:r w:rsidRPr="00CB3DE1">
        <w:rPr>
          <w:rFonts w:ascii="Times New Roman" w:hAnsi="Times New Roman"/>
          <w:sz w:val="24"/>
        </w:rPr>
        <w:t xml:space="preserve">(a) </w:t>
      </w:r>
      <w:r w:rsidRPr="00CB3DE1">
        <w:rPr>
          <w:rFonts w:ascii="Times New Roman" w:hAnsi="Times New Roman"/>
          <w:sz w:val="24"/>
        </w:rPr>
        <w:tab/>
        <w:t xml:space="preserve">não deve seguir a orientação dos itens 27 a 29 para contabilizar essa mudança. A entidade deve aplicar os requisitos de classificação, apresentação e mensuração deste pronunciamento aplicáveis ao novo método de alienação; </w:t>
      </w:r>
    </w:p>
    <w:p w14:paraId="36CD226E" w14:textId="77777777" w:rsidR="00CB3DE1" w:rsidRPr="00CB3DE1" w:rsidRDefault="00CB3DE1" w:rsidP="00CB3DE1">
      <w:pPr>
        <w:spacing w:before="0"/>
        <w:ind w:left="993" w:hanging="426"/>
        <w:rPr>
          <w:rFonts w:ascii="Times New Roman" w:hAnsi="Times New Roman"/>
          <w:sz w:val="24"/>
        </w:rPr>
      </w:pPr>
      <w:r w:rsidRPr="00CB3DE1">
        <w:rPr>
          <w:rFonts w:ascii="Times New Roman" w:hAnsi="Times New Roman"/>
          <w:sz w:val="24"/>
        </w:rPr>
        <w:t xml:space="preserve">(b) </w:t>
      </w:r>
      <w:r w:rsidRPr="00CB3DE1">
        <w:rPr>
          <w:rFonts w:ascii="Times New Roman" w:hAnsi="Times New Roman"/>
          <w:sz w:val="24"/>
        </w:rPr>
        <w:tab/>
        <w:t>deve mensurar o ativo não circulante (ou grupo de ativos), seguindo os requisitos do item 15 (se reclassificado como mantido para venda) ou 15A (se reclassificado como mantido para distribuição aos proprietários) e deve reconhecer qualquer redução ou aumento do valor justo menos as despesas de venda ou de distribuição do ativo não circulante (ou grupo de ativos), seguindo os requisitos dos itens 20 a 25;</w:t>
      </w:r>
    </w:p>
    <w:p w14:paraId="76AEA6A8" w14:textId="4A015509" w:rsidR="00CB3DE1" w:rsidRPr="00CB3DE1" w:rsidRDefault="00CB3DE1" w:rsidP="00CB3DE1">
      <w:pPr>
        <w:spacing w:before="0" w:after="0"/>
        <w:ind w:left="993" w:hanging="426"/>
        <w:rPr>
          <w:rFonts w:ascii="Times New Roman" w:hAnsi="Times New Roman"/>
          <w:sz w:val="24"/>
        </w:rPr>
      </w:pPr>
      <w:r w:rsidRPr="00CB3DE1">
        <w:rPr>
          <w:rFonts w:ascii="Times New Roman" w:hAnsi="Times New Roman"/>
          <w:sz w:val="24"/>
        </w:rPr>
        <w:t xml:space="preserve">(c) </w:t>
      </w:r>
      <w:r w:rsidRPr="00CB3DE1">
        <w:rPr>
          <w:rFonts w:ascii="Times New Roman" w:hAnsi="Times New Roman"/>
          <w:sz w:val="24"/>
        </w:rPr>
        <w:tab/>
        <w:t>não deve alterar a data da classificação, de acordo com os itens 8 e 12A. Isso não impede a extensão do período necessário para concluir a venda ou a distribuição aos proprietários, se forem atendidas as condições do item 9.</w:t>
      </w:r>
    </w:p>
    <w:p w14:paraId="253C6CED"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rPr>
      </w:pPr>
    </w:p>
    <w:p w14:paraId="748C739A" w14:textId="77777777" w:rsidR="00CB3DE1" w:rsidRPr="00CB3DE1" w:rsidRDefault="00CB3DE1" w:rsidP="00CB3DE1">
      <w:pPr>
        <w:widowControl w:val="0"/>
        <w:tabs>
          <w:tab w:val="left" w:pos="6804"/>
        </w:tabs>
        <w:spacing w:before="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27. </w:t>
      </w:r>
      <w:r w:rsidRPr="00CB3DE1">
        <w:rPr>
          <w:rFonts w:ascii="Times New Roman" w:hAnsi="Times New Roman"/>
          <w:color w:val="000000"/>
          <w:sz w:val="24"/>
          <w:lang w:val="pt-BR" w:eastAsia="x-none"/>
        </w:rPr>
        <w:tab/>
        <w:t xml:space="preserve">A entidade deve mensurar o ativo não circulante (ou grupo de ativos) que deixar de ser classificado como mantido para venda </w:t>
      </w:r>
      <w:r w:rsidRPr="00CB3DE1">
        <w:rPr>
          <w:rFonts w:ascii="Times New Roman" w:hAnsi="Times New Roman"/>
          <w:color w:val="000000"/>
          <w:sz w:val="24"/>
        </w:rPr>
        <w:t>ou como mantido para distribuição aos proprietários</w:t>
      </w:r>
      <w:r w:rsidRPr="00CB3DE1">
        <w:rPr>
          <w:rFonts w:ascii="Times New Roman" w:hAnsi="Times New Roman"/>
          <w:color w:val="000000"/>
          <w:sz w:val="24"/>
          <w:lang w:val="pt-BR" w:eastAsia="x-none"/>
        </w:rPr>
        <w:t xml:space="preserve"> (ou deixar de ser incluído em grupo de ativos classificado como mantido para venda </w:t>
      </w:r>
      <w:r w:rsidRPr="00CB3DE1">
        <w:rPr>
          <w:rFonts w:ascii="Times New Roman" w:hAnsi="Times New Roman"/>
          <w:color w:val="000000"/>
          <w:sz w:val="24"/>
        </w:rPr>
        <w:t xml:space="preserve">ou como mantido para distribuição </w:t>
      </w:r>
      <w:r w:rsidRPr="00CB3DE1">
        <w:rPr>
          <w:rFonts w:ascii="Times New Roman" w:hAnsi="Times New Roman"/>
          <w:color w:val="000000"/>
          <w:sz w:val="24"/>
        </w:rPr>
        <w:lastRenderedPageBreak/>
        <w:t>aos proprietários</w:t>
      </w:r>
      <w:r w:rsidRPr="00CB3DE1">
        <w:rPr>
          <w:rFonts w:ascii="Times New Roman" w:hAnsi="Times New Roman"/>
          <w:color w:val="000000"/>
          <w:sz w:val="24"/>
          <w:lang w:val="pt-BR" w:eastAsia="x-none"/>
        </w:rPr>
        <w:t>) pelo valor mais baixo entre:</w:t>
      </w:r>
    </w:p>
    <w:p w14:paraId="4B3BC904" w14:textId="77777777" w:rsidR="00CB3DE1" w:rsidRPr="00CB3DE1" w:rsidRDefault="00CB3DE1" w:rsidP="00CB3DE1">
      <w:pPr>
        <w:widowControl w:val="0"/>
        <w:numPr>
          <w:ilvl w:val="0"/>
          <w:numId w:val="26"/>
        </w:numPr>
        <w:tabs>
          <w:tab w:val="clear" w:pos="1070"/>
        </w:tabs>
        <w:autoSpaceDN w:val="0"/>
        <w:spacing w:before="0"/>
        <w:ind w:left="993" w:hanging="426"/>
        <w:rPr>
          <w:rFonts w:ascii="Times New Roman" w:hAnsi="Times New Roman"/>
          <w:bCs/>
          <w:iCs/>
          <w:color w:val="000000"/>
          <w:sz w:val="24"/>
          <w:lang w:val="pt-BR"/>
        </w:rPr>
      </w:pPr>
      <w:r w:rsidRPr="00CB3DE1">
        <w:rPr>
          <w:rFonts w:ascii="Times New Roman" w:hAnsi="Times New Roman"/>
          <w:bCs/>
          <w:iCs/>
          <w:color w:val="000000"/>
          <w:sz w:val="24"/>
        </w:rPr>
        <w:t xml:space="preserve">o seu valor contábil antes de o ativo ou o grupo de ativos ser classificado como mantido para venda </w:t>
      </w:r>
      <w:r w:rsidRPr="00CB3DE1">
        <w:rPr>
          <w:rFonts w:ascii="Times New Roman" w:hAnsi="Times New Roman"/>
          <w:color w:val="000000"/>
          <w:sz w:val="24"/>
        </w:rPr>
        <w:t>(ou como mantido para distribuição aos proprietários)</w:t>
      </w:r>
      <w:r w:rsidRPr="00CB3DE1">
        <w:rPr>
          <w:rFonts w:ascii="Times New Roman" w:hAnsi="Times New Roman"/>
          <w:bCs/>
          <w:iCs/>
          <w:color w:val="000000"/>
          <w:sz w:val="24"/>
        </w:rPr>
        <w:t xml:space="preserve">, ajustado por qualquer depreciação, amortização ou reavaliação (se permitida legalmente) que teria sido reconhecida se o ativo ou o grupo de ativos não estivesse classificado como mantido para venda </w:t>
      </w:r>
      <w:r w:rsidRPr="00CB3DE1">
        <w:rPr>
          <w:rFonts w:ascii="Times New Roman" w:hAnsi="Times New Roman"/>
          <w:color w:val="000000"/>
          <w:sz w:val="24"/>
        </w:rPr>
        <w:t>(ou como mantido para distribuição aos proprietários)</w:t>
      </w:r>
      <w:r w:rsidRPr="00CB3DE1">
        <w:rPr>
          <w:rFonts w:ascii="Times New Roman" w:hAnsi="Times New Roman"/>
          <w:bCs/>
          <w:iCs/>
          <w:color w:val="000000"/>
          <w:sz w:val="24"/>
        </w:rPr>
        <w:t xml:space="preserve">; e </w:t>
      </w:r>
    </w:p>
    <w:p w14:paraId="4F9B71D9" w14:textId="4CB0C44F" w:rsidR="00CB3DE1" w:rsidRPr="00CB3DE1" w:rsidRDefault="00CB3DE1" w:rsidP="00CB3DE1">
      <w:pPr>
        <w:widowControl w:val="0"/>
        <w:numPr>
          <w:ilvl w:val="0"/>
          <w:numId w:val="26"/>
        </w:numPr>
        <w:tabs>
          <w:tab w:val="clear" w:pos="1070"/>
        </w:tabs>
        <w:autoSpaceDN w:val="0"/>
        <w:spacing w:before="0"/>
        <w:ind w:left="992" w:hanging="425"/>
        <w:rPr>
          <w:rFonts w:ascii="Times New Roman" w:hAnsi="Times New Roman"/>
          <w:bCs/>
          <w:iCs/>
          <w:color w:val="000000"/>
          <w:sz w:val="24"/>
        </w:rPr>
      </w:pPr>
      <w:r w:rsidRPr="00CB3DE1">
        <w:rPr>
          <w:rFonts w:ascii="Times New Roman" w:hAnsi="Times New Roman"/>
          <w:bCs/>
          <w:iCs/>
          <w:color w:val="000000"/>
          <w:sz w:val="24"/>
        </w:rPr>
        <w:t xml:space="preserve">o seu montante recuperável à data da decisão posterior de não vender ou distribuir aos proprietários. </w:t>
      </w:r>
      <w:r w:rsidRPr="00CB3DE1">
        <w:rPr>
          <w:rFonts w:ascii="Times New Roman" w:hAnsi="Times New Roman"/>
          <w:bCs/>
          <w:iCs/>
          <w:color w:val="000000"/>
          <w:szCs w:val="20"/>
        </w:rPr>
        <w:t>(*)</w:t>
      </w:r>
    </w:p>
    <w:p w14:paraId="196B720B" w14:textId="77777777" w:rsidR="00CB3DE1" w:rsidRPr="00CB3DE1" w:rsidRDefault="00CB3DE1" w:rsidP="00CB3DE1">
      <w:pPr>
        <w:widowControl w:val="0"/>
        <w:spacing w:before="0" w:after="0"/>
        <w:ind w:left="567"/>
        <w:rPr>
          <w:rFonts w:ascii="Times New Roman" w:hAnsi="Times New Roman"/>
          <w:color w:val="000000"/>
          <w:szCs w:val="20"/>
          <w:lang w:val="pt-BR" w:eastAsia="x-none"/>
        </w:rPr>
      </w:pPr>
      <w:r w:rsidRPr="00CB3DE1">
        <w:rPr>
          <w:rFonts w:ascii="Times New Roman" w:hAnsi="Times New Roman"/>
          <w:color w:val="000000"/>
          <w:szCs w:val="20"/>
          <w:lang w:val="pt-BR" w:eastAsia="x-none"/>
        </w:rPr>
        <w:t>(*) Se o ativo não circulante fizer parte de unidade geradora de caixa, o seu montante recuperável é o valor contábil que teria sido reconhecido após a alocação de qualquer perda por redução ao valor recuperável resultante dessa unidade geradora de caixa de acordo com o Pronunciamento Técnico CPC 01 – Redução ao Valor Recuperável de Ativos.</w:t>
      </w:r>
    </w:p>
    <w:p w14:paraId="4A02CC2A"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6716E869" w14:textId="0F27C5C9" w:rsidR="00CB3DE1" w:rsidRPr="00CB3DE1" w:rsidRDefault="00CB3DE1" w:rsidP="00CB3DE1">
      <w:pPr>
        <w:spacing w:before="0"/>
        <w:ind w:left="567" w:hanging="567"/>
        <w:rPr>
          <w:rFonts w:ascii="Times New Roman" w:hAnsi="Times New Roman"/>
        </w:rPr>
      </w:pPr>
      <w:r w:rsidRPr="00CB3DE1">
        <w:rPr>
          <w:rFonts w:ascii="Times New Roman" w:hAnsi="Times New Roman"/>
          <w:sz w:val="24"/>
        </w:rPr>
        <w:t xml:space="preserve">28. </w:t>
      </w:r>
      <w:r w:rsidRPr="00CB3DE1">
        <w:rPr>
          <w:rFonts w:ascii="Times New Roman" w:hAnsi="Times New Roman"/>
          <w:sz w:val="24"/>
        </w:rPr>
        <w:tab/>
        <w:t xml:space="preserve">A entidade deve incluir no resultado qualquer ajuste exigido no valor contábil de ativo não circulante que deixe de ser classificado como mantido para venda ou como mantido para distribuição aos proprietários </w:t>
      </w:r>
      <w:r w:rsidRPr="00CB3DE1">
        <w:rPr>
          <w:rFonts w:ascii="Times New Roman" w:hAnsi="Times New Roman"/>
          <w:szCs w:val="20"/>
        </w:rPr>
        <w:t>(*)</w:t>
      </w:r>
      <w:r w:rsidRPr="00CB3DE1">
        <w:rPr>
          <w:rFonts w:ascii="Times New Roman" w:hAnsi="Times New Roman"/>
          <w:sz w:val="24"/>
        </w:rPr>
        <w:t xml:space="preserve"> de operações em continuidade no período em que os critérios dos itens 7 a 9 ou 12A, respectivamente, já não estiverem mais satisfeitos. Demonstrações contábeis relativas aos períodos desde a classificação como mantido para venda ou como mantido para distribuição aos proprietários devem ser alteradas se o ativo não circulante que deixar de ser classificado como mantido para venda ou como mantido para distribuição aos proprietários for controlada, operação em conjunto, empreendimento controlado em conjunto, coligada, ou parcela de participação em empreendimento controlado em conjunto ou em coligada. A entidade deve apresentar esse ajuste na mesma linha da demonstração do resultado usada para apresentar o ganho ou a perda, se houver, reconhecida de acordo com o item 37.</w:t>
      </w:r>
    </w:p>
    <w:p w14:paraId="74DEEC11" w14:textId="3467DA20" w:rsidR="00CB3DE1" w:rsidRPr="00CB3DE1" w:rsidRDefault="00CB3DE1" w:rsidP="00CB3DE1">
      <w:pPr>
        <w:widowControl w:val="0"/>
        <w:tabs>
          <w:tab w:val="left" w:pos="6804"/>
        </w:tabs>
        <w:spacing w:before="0" w:after="0"/>
        <w:ind w:left="567"/>
        <w:rPr>
          <w:rFonts w:ascii="Times New Roman" w:hAnsi="Times New Roman"/>
          <w:color w:val="000000"/>
          <w:sz w:val="24"/>
          <w:lang w:val="pt-BR" w:eastAsia="x-none"/>
        </w:rPr>
      </w:pPr>
      <w:r w:rsidRPr="00CB3DE1">
        <w:rPr>
          <w:rFonts w:ascii="Times New Roman" w:hAnsi="Times New Roman"/>
          <w:szCs w:val="20"/>
          <w:lang w:val="pt-BR" w:eastAsia="x-none"/>
        </w:rPr>
        <w:t>(*) A não ser que o ativo seja um imobilizado ou um intangível que tenha sido reavaliado (se permitido legalmente) de acordo com o Pronunciamento Técnico CPC 04 ou CPC 27 antes da classificação como mantido para venda, quando o ajuste deve ser tratado como acréscimo ou decréscimo da reavaliação.</w:t>
      </w:r>
    </w:p>
    <w:p w14:paraId="271345E8"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4DC2EA96" w14:textId="03DB606D"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29. </w:t>
      </w:r>
      <w:r w:rsidRPr="00CB3DE1">
        <w:rPr>
          <w:rFonts w:ascii="Times New Roman" w:hAnsi="Times New Roman"/>
          <w:color w:val="000000"/>
          <w:sz w:val="24"/>
          <w:lang w:val="pt-BR" w:eastAsia="x-none"/>
        </w:rPr>
        <w:tab/>
        <w:t>Se a entidade remover um ativo ou um passivo individual de um grupo de ativos classificado como mantido para venda, os ativos e os passivos restantes do grupo de ativos a ser vendido devem continuar a ser mensurados como um grupo de ativos apenas se o grupo satisfizer aos critérios dos itens 7 a 9. Se a entidade remover um ativo ou um passivo individual de um grupo de ativos classificado como mantido para distribuição aos proprietários, os ativos e passivos restantes do grupo de ativos a serem distribuídos devem continuar a ser mensurados como grupo apenas se o grupo atender aos critérios do item 12A. De outro modo, os ativos não circulantes restantes do grupo de ativos que satisfizerem individualmente aos critérios de classificação como mantidos para venda (ou como mantidos para distribuição aos proprietários) devem ser mensurados individualmente pelo menor valor entre os seus valores contábeis e os valores justos menos as despesas de venda (ou de distribuição) nessa data. Quaisquer ativos não circulantes que não satisfaçam aos critérios para serem mantidos para venda devem deixar de ser classificados como mantidos para venda, de acordo com o item 26. Os ativos não circulantes que não cumpram com os critérios para serem mantidos para distribuição aos proprietários devem deixar de ser classificados como mantidos para distribuição aos proprietários, de acordo com o item 26.</w:t>
      </w:r>
    </w:p>
    <w:p w14:paraId="49AE4A31" w14:textId="77777777" w:rsidR="00CB3DE1" w:rsidRPr="00CB3DE1" w:rsidRDefault="00CB3DE1" w:rsidP="00CB3DE1">
      <w:pPr>
        <w:widowControl w:val="0"/>
        <w:tabs>
          <w:tab w:val="left" w:pos="6804"/>
        </w:tabs>
        <w:spacing w:before="0" w:after="0"/>
        <w:ind w:left="57"/>
        <w:rPr>
          <w:rFonts w:ascii="Times New Roman" w:hAnsi="Times New Roman"/>
          <w:bCs/>
          <w:sz w:val="24"/>
          <w:lang w:val="pt-BR" w:eastAsia="x-none"/>
        </w:rPr>
      </w:pPr>
    </w:p>
    <w:p w14:paraId="3E612181" w14:textId="77777777" w:rsidR="00CB3DE1" w:rsidRPr="00CB3DE1" w:rsidRDefault="00CB3DE1" w:rsidP="00CB3DE1">
      <w:pPr>
        <w:widowControl w:val="0"/>
        <w:tabs>
          <w:tab w:val="left" w:pos="6804"/>
        </w:tabs>
        <w:spacing w:before="0" w:after="0"/>
        <w:rPr>
          <w:rFonts w:ascii="Times New Roman" w:hAnsi="Times New Roman"/>
          <w:b/>
          <w:sz w:val="28"/>
          <w:szCs w:val="28"/>
          <w:lang w:val="pt-BR" w:eastAsia="x-none"/>
        </w:rPr>
      </w:pPr>
      <w:r w:rsidRPr="00CB3DE1">
        <w:rPr>
          <w:rFonts w:ascii="Times New Roman" w:hAnsi="Times New Roman"/>
          <w:b/>
          <w:sz w:val="28"/>
          <w:szCs w:val="28"/>
          <w:lang w:val="pt-BR" w:eastAsia="x-none"/>
        </w:rPr>
        <w:lastRenderedPageBreak/>
        <w:t>Apresentação e divulgação</w:t>
      </w:r>
    </w:p>
    <w:p w14:paraId="2F4F1453"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07CB926A"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30. </w:t>
      </w:r>
      <w:r w:rsidRPr="00CB3DE1">
        <w:rPr>
          <w:rFonts w:ascii="Times New Roman" w:hAnsi="Times New Roman"/>
          <w:color w:val="000000"/>
          <w:sz w:val="24"/>
          <w:lang w:val="pt-BR" w:eastAsia="x-none"/>
        </w:rPr>
        <w:tab/>
        <w:t>A entidade deve apresentar e divulgar informação que permita aos usuários das demonstrações contábeis avaliarem os efeitos financeiros das operações descontinuadas e das baixas de ativos não circulantes mantidos para venda.</w:t>
      </w:r>
    </w:p>
    <w:p w14:paraId="27BCB351" w14:textId="77777777" w:rsidR="00CB3DE1" w:rsidRPr="00CB3DE1" w:rsidRDefault="00CB3DE1" w:rsidP="00CB3DE1">
      <w:pPr>
        <w:widowControl w:val="0"/>
        <w:tabs>
          <w:tab w:val="left" w:pos="6804"/>
        </w:tabs>
        <w:spacing w:before="0" w:after="0"/>
        <w:ind w:left="57"/>
        <w:rPr>
          <w:rFonts w:ascii="Times New Roman" w:hAnsi="Times New Roman"/>
          <w:b/>
          <w:sz w:val="24"/>
          <w:lang w:val="pt-BR" w:eastAsia="x-none"/>
        </w:rPr>
      </w:pPr>
    </w:p>
    <w:p w14:paraId="0D37F6DB" w14:textId="77777777" w:rsidR="00CB3DE1" w:rsidRPr="00CB3DE1" w:rsidRDefault="00CB3DE1" w:rsidP="00CB3DE1">
      <w:pPr>
        <w:widowControl w:val="0"/>
        <w:tabs>
          <w:tab w:val="left" w:pos="6804"/>
        </w:tabs>
        <w:spacing w:before="0" w:after="0"/>
        <w:rPr>
          <w:rFonts w:ascii="Times New Roman" w:hAnsi="Times New Roman"/>
          <w:b/>
          <w:sz w:val="24"/>
          <w:lang w:val="pt-BR" w:eastAsia="x-none"/>
        </w:rPr>
      </w:pPr>
      <w:r w:rsidRPr="00CB3DE1">
        <w:rPr>
          <w:rFonts w:ascii="Times New Roman" w:hAnsi="Times New Roman"/>
          <w:b/>
          <w:sz w:val="24"/>
          <w:lang w:val="pt-BR" w:eastAsia="x-none"/>
        </w:rPr>
        <w:t>Apresentação de operação descontinuada</w:t>
      </w:r>
    </w:p>
    <w:p w14:paraId="3705ED86"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79760FD5"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31. </w:t>
      </w:r>
      <w:r w:rsidRPr="00CB3DE1">
        <w:rPr>
          <w:rFonts w:ascii="Times New Roman" w:hAnsi="Times New Roman"/>
          <w:color w:val="000000"/>
          <w:sz w:val="24"/>
          <w:lang w:val="pt-BR" w:eastAsia="x-none"/>
        </w:rPr>
        <w:tab/>
        <w:t>Um componente da entidade compreende operações e fluxos de caixa que podem ser claramente distinguidos, operacionalmente e para fins de divulgação nas demonstrações contábeis, do resto da entidade. Em outras palavras, um componente da entidade terá sido uma unidade geradora de caixa ou um grupo de unidades geradoras de caixa enquanto mantido em uso.</w:t>
      </w:r>
    </w:p>
    <w:p w14:paraId="414A5CA2"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5CD08F3D" w14:textId="77777777" w:rsidR="00CB3DE1" w:rsidRPr="00CB3DE1" w:rsidRDefault="00CB3DE1" w:rsidP="00CB3DE1">
      <w:pPr>
        <w:widowControl w:val="0"/>
        <w:tabs>
          <w:tab w:val="left" w:pos="6804"/>
        </w:tabs>
        <w:spacing w:before="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32. </w:t>
      </w:r>
      <w:r w:rsidRPr="00CB3DE1">
        <w:rPr>
          <w:rFonts w:ascii="Times New Roman" w:hAnsi="Times New Roman"/>
          <w:color w:val="000000"/>
          <w:sz w:val="24"/>
          <w:lang w:val="pt-BR" w:eastAsia="x-none"/>
        </w:rPr>
        <w:tab/>
        <w:t>Uma operação descontinuada é um componente da entidade que foi baixado ou está classificado como mantido para venda e</w:t>
      </w:r>
    </w:p>
    <w:p w14:paraId="4813EF93" w14:textId="77777777" w:rsidR="00CB3DE1" w:rsidRPr="00CB3DE1" w:rsidRDefault="00CB3DE1" w:rsidP="00CB3DE1">
      <w:pPr>
        <w:widowControl w:val="0"/>
        <w:numPr>
          <w:ilvl w:val="0"/>
          <w:numId w:val="8"/>
        </w:numPr>
        <w:tabs>
          <w:tab w:val="clear" w:pos="1070"/>
        </w:tabs>
        <w:spacing w:before="0"/>
        <w:ind w:left="993" w:hanging="426"/>
        <w:rPr>
          <w:rFonts w:ascii="Times New Roman" w:hAnsi="Times New Roman"/>
          <w:bCs/>
          <w:iCs/>
          <w:color w:val="000000"/>
          <w:sz w:val="24"/>
          <w:lang w:val="pt-BR"/>
        </w:rPr>
      </w:pPr>
      <w:r w:rsidRPr="00CB3DE1">
        <w:rPr>
          <w:rFonts w:ascii="Times New Roman" w:hAnsi="Times New Roman"/>
          <w:bCs/>
          <w:iCs/>
          <w:color w:val="000000"/>
          <w:sz w:val="24"/>
          <w:lang w:val="pt-BR"/>
        </w:rPr>
        <w:t>representa uma importante linha separada de negócios ou área geográfica de operações;</w:t>
      </w:r>
    </w:p>
    <w:p w14:paraId="3FDAC121" w14:textId="77777777" w:rsidR="00CB3DE1" w:rsidRPr="00CB3DE1" w:rsidRDefault="00CB3DE1" w:rsidP="00CB3DE1">
      <w:pPr>
        <w:widowControl w:val="0"/>
        <w:numPr>
          <w:ilvl w:val="0"/>
          <w:numId w:val="8"/>
        </w:numPr>
        <w:tabs>
          <w:tab w:val="clear" w:pos="1070"/>
        </w:tabs>
        <w:spacing w:before="0"/>
        <w:ind w:left="993" w:hanging="426"/>
        <w:rPr>
          <w:rFonts w:ascii="Times New Roman" w:hAnsi="Times New Roman"/>
          <w:bCs/>
          <w:iCs/>
          <w:color w:val="000000"/>
          <w:sz w:val="24"/>
          <w:lang w:val="pt-BR"/>
        </w:rPr>
      </w:pPr>
      <w:r w:rsidRPr="00CB3DE1">
        <w:rPr>
          <w:rFonts w:ascii="Times New Roman" w:hAnsi="Times New Roman"/>
          <w:bCs/>
          <w:iCs/>
          <w:color w:val="000000"/>
          <w:sz w:val="24"/>
          <w:lang w:val="pt-BR"/>
        </w:rPr>
        <w:t>é parte integrante de um único plano coordenado para venda de uma importante linha separada de negócios ou área geográfica de operações; ou</w:t>
      </w:r>
    </w:p>
    <w:p w14:paraId="462FE9F4" w14:textId="77777777" w:rsidR="00CB3DE1" w:rsidRPr="00CB3DE1" w:rsidRDefault="00CB3DE1" w:rsidP="00CB3DE1">
      <w:pPr>
        <w:widowControl w:val="0"/>
        <w:numPr>
          <w:ilvl w:val="0"/>
          <w:numId w:val="8"/>
        </w:numPr>
        <w:tabs>
          <w:tab w:val="clear" w:pos="1070"/>
        </w:tabs>
        <w:spacing w:before="0" w:after="0"/>
        <w:ind w:left="993" w:hanging="426"/>
        <w:rPr>
          <w:rFonts w:ascii="Times New Roman" w:hAnsi="Times New Roman"/>
          <w:bCs/>
          <w:iCs/>
          <w:color w:val="000000"/>
          <w:sz w:val="24"/>
          <w:lang w:val="pt-BR"/>
        </w:rPr>
      </w:pPr>
      <w:r w:rsidRPr="00CB3DE1">
        <w:rPr>
          <w:rFonts w:ascii="Times New Roman" w:hAnsi="Times New Roman"/>
          <w:bCs/>
          <w:iCs/>
          <w:color w:val="000000"/>
          <w:sz w:val="24"/>
          <w:lang w:val="pt-BR"/>
        </w:rPr>
        <w:t>é uma controlada adquirida exclusivamente com o objetivo da revenda.</w:t>
      </w:r>
    </w:p>
    <w:p w14:paraId="372EFCC0" w14:textId="77777777" w:rsidR="00CB3DE1" w:rsidRPr="00CB3DE1" w:rsidRDefault="00CB3DE1" w:rsidP="00CB3DE1">
      <w:pPr>
        <w:widowControl w:val="0"/>
        <w:spacing w:before="0" w:after="0"/>
        <w:ind w:left="709"/>
        <w:rPr>
          <w:rFonts w:ascii="Times New Roman" w:hAnsi="Times New Roman"/>
          <w:bCs/>
          <w:iCs/>
          <w:color w:val="000000"/>
          <w:sz w:val="24"/>
          <w:lang w:val="pt-BR"/>
        </w:rPr>
      </w:pPr>
    </w:p>
    <w:p w14:paraId="20A313B0" w14:textId="77777777" w:rsidR="00CB3DE1" w:rsidRPr="00CB3DE1" w:rsidRDefault="00CB3DE1" w:rsidP="00CB3DE1">
      <w:pPr>
        <w:widowControl w:val="0"/>
        <w:tabs>
          <w:tab w:val="left" w:pos="6804"/>
        </w:tabs>
        <w:spacing w:before="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33. </w:t>
      </w:r>
      <w:r w:rsidRPr="00CB3DE1">
        <w:rPr>
          <w:rFonts w:ascii="Times New Roman" w:hAnsi="Times New Roman"/>
          <w:color w:val="000000"/>
          <w:sz w:val="24"/>
          <w:lang w:val="pt-BR" w:eastAsia="x-none"/>
        </w:rPr>
        <w:tab/>
        <w:t>A entidade deve evidenciar:</w:t>
      </w:r>
    </w:p>
    <w:p w14:paraId="2B371AC9" w14:textId="77777777" w:rsidR="00CB3DE1" w:rsidRPr="00CB3DE1" w:rsidRDefault="00CB3DE1" w:rsidP="00CB3DE1">
      <w:pPr>
        <w:widowControl w:val="0"/>
        <w:numPr>
          <w:ilvl w:val="0"/>
          <w:numId w:val="9"/>
        </w:numPr>
        <w:tabs>
          <w:tab w:val="clear" w:pos="1070"/>
        </w:tabs>
        <w:spacing w:before="0"/>
        <w:ind w:left="993" w:hanging="426"/>
        <w:rPr>
          <w:rFonts w:ascii="Times New Roman" w:hAnsi="Times New Roman"/>
          <w:bCs/>
          <w:iCs/>
          <w:color w:val="000000"/>
          <w:sz w:val="24"/>
          <w:lang w:val="pt-BR"/>
        </w:rPr>
      </w:pPr>
      <w:r w:rsidRPr="00CB3DE1">
        <w:rPr>
          <w:rFonts w:ascii="Times New Roman" w:hAnsi="Times New Roman"/>
          <w:bCs/>
          <w:iCs/>
          <w:color w:val="000000"/>
          <w:sz w:val="24"/>
          <w:lang w:val="pt-BR"/>
        </w:rPr>
        <w:t xml:space="preserve">um montante único na demonstração do resultado compreendendo: </w:t>
      </w:r>
    </w:p>
    <w:p w14:paraId="7C0B4E4F" w14:textId="77777777" w:rsidR="00CB3DE1" w:rsidRPr="00CB3DE1" w:rsidRDefault="00CB3DE1" w:rsidP="00CB3DE1">
      <w:pPr>
        <w:widowControl w:val="0"/>
        <w:numPr>
          <w:ilvl w:val="1"/>
          <w:numId w:val="2"/>
        </w:numPr>
        <w:tabs>
          <w:tab w:val="clear" w:pos="1920"/>
        </w:tabs>
        <w:spacing w:before="0"/>
        <w:ind w:left="1418" w:hanging="284"/>
        <w:rPr>
          <w:rFonts w:ascii="Times New Roman" w:hAnsi="Times New Roman"/>
          <w:bCs/>
          <w:iCs/>
          <w:color w:val="000000"/>
          <w:sz w:val="24"/>
          <w:lang w:val="pt-BR"/>
        </w:rPr>
      </w:pPr>
      <w:r w:rsidRPr="00CB3DE1">
        <w:rPr>
          <w:rFonts w:ascii="Times New Roman" w:hAnsi="Times New Roman"/>
          <w:bCs/>
          <w:iCs/>
          <w:color w:val="000000"/>
          <w:sz w:val="24"/>
          <w:lang w:val="pt-BR"/>
        </w:rPr>
        <w:t>o resultado total após o imposto de renda das operações descontinuadas; e</w:t>
      </w:r>
    </w:p>
    <w:p w14:paraId="58C81CDE" w14:textId="77777777" w:rsidR="00CB3DE1" w:rsidRPr="00CB3DE1" w:rsidRDefault="00CB3DE1" w:rsidP="00CB3DE1">
      <w:pPr>
        <w:widowControl w:val="0"/>
        <w:numPr>
          <w:ilvl w:val="1"/>
          <w:numId w:val="2"/>
        </w:numPr>
        <w:tabs>
          <w:tab w:val="clear" w:pos="1920"/>
        </w:tabs>
        <w:spacing w:before="0"/>
        <w:ind w:left="1418" w:hanging="284"/>
        <w:rPr>
          <w:rFonts w:ascii="Times New Roman" w:hAnsi="Times New Roman"/>
          <w:bCs/>
          <w:iCs/>
          <w:color w:val="000000"/>
          <w:sz w:val="24"/>
          <w:lang w:val="pt-BR"/>
        </w:rPr>
      </w:pPr>
      <w:r w:rsidRPr="00CB3DE1">
        <w:rPr>
          <w:rFonts w:ascii="Times New Roman" w:hAnsi="Times New Roman"/>
          <w:bCs/>
          <w:iCs/>
          <w:color w:val="000000"/>
          <w:sz w:val="24"/>
          <w:lang w:val="pt-BR"/>
        </w:rPr>
        <w:t>os ganhos ou as perdas após o imposto de renda reconhecidos na mensuração pelo valor justo menos as despesas de venda ou na baixa de ativos ou de grupo de ativos(s) mantidos para venda que constituam a operação descontinuada.</w:t>
      </w:r>
    </w:p>
    <w:p w14:paraId="10084758" w14:textId="77777777" w:rsidR="00CB3DE1" w:rsidRPr="00CB3DE1" w:rsidRDefault="00CB3DE1" w:rsidP="00CB3DE1">
      <w:pPr>
        <w:widowControl w:val="0"/>
        <w:numPr>
          <w:ilvl w:val="0"/>
          <w:numId w:val="9"/>
        </w:numPr>
        <w:tabs>
          <w:tab w:val="clear" w:pos="1070"/>
        </w:tabs>
        <w:spacing w:before="0"/>
        <w:ind w:left="993" w:hanging="426"/>
        <w:rPr>
          <w:rFonts w:ascii="Times New Roman" w:hAnsi="Times New Roman"/>
          <w:bCs/>
          <w:iCs/>
          <w:color w:val="000000"/>
          <w:sz w:val="24"/>
          <w:lang w:val="pt-BR"/>
        </w:rPr>
      </w:pPr>
      <w:r w:rsidRPr="00CB3DE1">
        <w:rPr>
          <w:rFonts w:ascii="Times New Roman" w:hAnsi="Times New Roman"/>
          <w:bCs/>
          <w:iCs/>
          <w:color w:val="000000"/>
          <w:sz w:val="24"/>
          <w:lang w:val="pt-BR"/>
        </w:rPr>
        <w:t>análise da quantia única referida na alínea (a) com:</w:t>
      </w:r>
    </w:p>
    <w:p w14:paraId="28A5B484" w14:textId="77777777" w:rsidR="00CB3DE1" w:rsidRPr="00CB3DE1" w:rsidRDefault="00CB3DE1" w:rsidP="00CB3DE1">
      <w:pPr>
        <w:widowControl w:val="0"/>
        <w:numPr>
          <w:ilvl w:val="0"/>
          <w:numId w:val="10"/>
        </w:numPr>
        <w:tabs>
          <w:tab w:val="clear" w:pos="1920"/>
        </w:tabs>
        <w:spacing w:before="0"/>
        <w:ind w:left="1418" w:hanging="284"/>
        <w:rPr>
          <w:rFonts w:ascii="Times New Roman" w:hAnsi="Times New Roman"/>
          <w:bCs/>
          <w:iCs/>
          <w:sz w:val="24"/>
          <w:lang w:val="pt-BR"/>
        </w:rPr>
      </w:pPr>
      <w:r w:rsidRPr="00CB3DE1">
        <w:rPr>
          <w:rFonts w:ascii="Times New Roman" w:hAnsi="Times New Roman"/>
          <w:bCs/>
          <w:iCs/>
          <w:sz w:val="24"/>
          <w:lang w:val="pt-BR"/>
        </w:rPr>
        <w:t>as receitas, as despesas e o resultado antes dos tributos das operações descontinuadas;</w:t>
      </w:r>
    </w:p>
    <w:p w14:paraId="780AF29B" w14:textId="77777777" w:rsidR="00CB3DE1" w:rsidRPr="00CB3DE1" w:rsidRDefault="00CB3DE1" w:rsidP="00CB3DE1">
      <w:pPr>
        <w:widowControl w:val="0"/>
        <w:numPr>
          <w:ilvl w:val="0"/>
          <w:numId w:val="10"/>
        </w:numPr>
        <w:tabs>
          <w:tab w:val="clear" w:pos="1920"/>
        </w:tabs>
        <w:spacing w:before="0"/>
        <w:ind w:left="1418" w:hanging="284"/>
        <w:rPr>
          <w:rFonts w:ascii="Times New Roman" w:hAnsi="Times New Roman"/>
          <w:bCs/>
          <w:iCs/>
          <w:sz w:val="24"/>
          <w:lang w:val="pt-BR"/>
        </w:rPr>
      </w:pPr>
      <w:r w:rsidRPr="00CB3DE1">
        <w:rPr>
          <w:rFonts w:ascii="Times New Roman" w:hAnsi="Times New Roman"/>
          <w:bCs/>
          <w:iCs/>
          <w:sz w:val="24"/>
          <w:lang w:val="pt-BR"/>
        </w:rPr>
        <w:t xml:space="preserve">as despesas com os tributos sobre o lucro relacionadas conforme exigido pelo item 81(h) do Pronunciamento Técnico CPC 32 – Tributos sobre o Lucro; </w:t>
      </w:r>
    </w:p>
    <w:p w14:paraId="570A2F86" w14:textId="77777777" w:rsidR="00CB3DE1" w:rsidRPr="00CB3DE1" w:rsidRDefault="00CB3DE1" w:rsidP="00CB3DE1">
      <w:pPr>
        <w:widowControl w:val="0"/>
        <w:numPr>
          <w:ilvl w:val="0"/>
          <w:numId w:val="10"/>
        </w:numPr>
        <w:tabs>
          <w:tab w:val="clear" w:pos="1920"/>
        </w:tabs>
        <w:spacing w:before="0"/>
        <w:ind w:left="1418" w:hanging="284"/>
        <w:rPr>
          <w:rFonts w:ascii="Times New Roman" w:hAnsi="Times New Roman"/>
          <w:bCs/>
          <w:iCs/>
          <w:sz w:val="24"/>
          <w:lang w:val="pt-BR"/>
        </w:rPr>
      </w:pPr>
      <w:r w:rsidRPr="00CB3DE1">
        <w:rPr>
          <w:rFonts w:ascii="Times New Roman" w:hAnsi="Times New Roman"/>
          <w:bCs/>
          <w:iCs/>
          <w:sz w:val="24"/>
          <w:lang w:val="pt-BR"/>
        </w:rPr>
        <w:t>os ganhos ou as perdas reconhecidas na mensuração pelo valor justo menos as despesas de venda ou na alienação de ativos ou de grupo de ativos mantidos para venda que constitua a operação descontinuada; e</w:t>
      </w:r>
    </w:p>
    <w:p w14:paraId="3CCE1467" w14:textId="77777777" w:rsidR="00CB3DE1" w:rsidRPr="00CB3DE1" w:rsidRDefault="00CB3DE1" w:rsidP="00CB3DE1">
      <w:pPr>
        <w:widowControl w:val="0"/>
        <w:numPr>
          <w:ilvl w:val="0"/>
          <w:numId w:val="10"/>
        </w:numPr>
        <w:tabs>
          <w:tab w:val="clear" w:pos="1920"/>
        </w:tabs>
        <w:spacing w:before="0"/>
        <w:ind w:left="1418" w:hanging="284"/>
        <w:rPr>
          <w:rFonts w:ascii="Times New Roman" w:hAnsi="Times New Roman"/>
          <w:bCs/>
          <w:iCs/>
          <w:sz w:val="24"/>
          <w:lang w:val="pt-BR"/>
        </w:rPr>
      </w:pPr>
      <w:r w:rsidRPr="00CB3DE1">
        <w:rPr>
          <w:rFonts w:ascii="Times New Roman" w:hAnsi="Times New Roman"/>
          <w:bCs/>
          <w:iCs/>
          <w:sz w:val="24"/>
          <w:lang w:val="pt-BR"/>
        </w:rPr>
        <w:t>as despesas de imposto de renda relacionadas conforme exigido pelo item 81(h) do Pronunciamento Técnico CPC 32.</w:t>
      </w:r>
    </w:p>
    <w:p w14:paraId="48F17C66" w14:textId="77777777" w:rsidR="00CB3DE1" w:rsidRPr="00CB3DE1" w:rsidRDefault="00CB3DE1" w:rsidP="00CB3DE1">
      <w:pPr>
        <w:widowControl w:val="0"/>
        <w:tabs>
          <w:tab w:val="left" w:pos="6804"/>
        </w:tabs>
        <w:spacing w:before="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ab/>
        <w:t xml:space="preserve">A análise pode ser apresentada nas notas explicativas ou na demonstração do resultado. Se for na demonstração do resultado, deve ser apresentada em seção identificada e que esteja relacionada com as operações descontinuadas, isto é, separadamente das operações em continuidade. A análise não é </w:t>
      </w:r>
      <w:r w:rsidRPr="00CB3DE1">
        <w:rPr>
          <w:rFonts w:ascii="Times New Roman" w:hAnsi="Times New Roman"/>
          <w:color w:val="000000"/>
          <w:sz w:val="24"/>
          <w:lang w:val="pt-BR" w:eastAsia="x-none"/>
        </w:rPr>
        <w:lastRenderedPageBreak/>
        <w:t>exigida para grupos de ativos mantidos para venda que sejam controladas recém-adquiridas que satisfaçam aos critérios de classificação como destinadas à venda no momento da aquisição (ver item 11).</w:t>
      </w:r>
    </w:p>
    <w:p w14:paraId="733E2BBE" w14:textId="77777777" w:rsidR="00CB3DE1" w:rsidRPr="00CB3DE1" w:rsidRDefault="00CB3DE1" w:rsidP="00CB3DE1">
      <w:pPr>
        <w:widowControl w:val="0"/>
        <w:numPr>
          <w:ilvl w:val="0"/>
          <w:numId w:val="9"/>
        </w:numPr>
        <w:tabs>
          <w:tab w:val="clear" w:pos="1070"/>
        </w:tabs>
        <w:spacing w:before="0"/>
        <w:ind w:left="993" w:hanging="426"/>
        <w:rPr>
          <w:rFonts w:ascii="Times New Roman" w:hAnsi="Times New Roman"/>
          <w:bCs/>
          <w:iCs/>
          <w:color w:val="000000"/>
          <w:sz w:val="24"/>
          <w:lang w:val="pt-BR"/>
        </w:rPr>
      </w:pPr>
      <w:r w:rsidRPr="00CB3DE1">
        <w:rPr>
          <w:rFonts w:ascii="Times New Roman" w:hAnsi="Times New Roman"/>
          <w:bCs/>
          <w:iCs/>
          <w:color w:val="000000"/>
          <w:sz w:val="24"/>
          <w:lang w:val="pt-BR"/>
        </w:rPr>
        <w:t xml:space="preserve">os fluxos de caixa líquidos atribuíveis às atividades operacionais, de investimento e de financiamento das operações descontinuadas. Essas evidenciações podem ser apresentadas nas notas explicativas ou nos quadros das demonstrações contábeis. Essas evidenciações não são exigidas para grupos </w:t>
      </w:r>
      <w:r w:rsidRPr="00CB3DE1">
        <w:rPr>
          <w:rFonts w:ascii="Times New Roman" w:hAnsi="Times New Roman"/>
          <w:color w:val="000000"/>
          <w:sz w:val="24"/>
          <w:lang w:val="pt-BR"/>
        </w:rPr>
        <w:t xml:space="preserve">de ativos mantidos para </w:t>
      </w:r>
      <w:r w:rsidRPr="00CB3DE1">
        <w:rPr>
          <w:rFonts w:ascii="Times New Roman" w:hAnsi="Times New Roman"/>
          <w:bCs/>
          <w:iCs/>
          <w:color w:val="000000"/>
          <w:sz w:val="24"/>
          <w:lang w:val="pt-BR"/>
        </w:rPr>
        <w:t>venda que sejam controladas recém-adquiridas que satisfaçam aos critérios de classificação como destinadas à venda no momento da aquisição (ver item 11);</w:t>
      </w:r>
    </w:p>
    <w:p w14:paraId="33211E4C" w14:textId="77777777" w:rsidR="00CB3DE1" w:rsidRPr="00CB3DE1" w:rsidRDefault="00CB3DE1" w:rsidP="00CB3DE1">
      <w:pPr>
        <w:widowControl w:val="0"/>
        <w:numPr>
          <w:ilvl w:val="0"/>
          <w:numId w:val="9"/>
        </w:numPr>
        <w:tabs>
          <w:tab w:val="clear" w:pos="1070"/>
        </w:tabs>
        <w:spacing w:before="0" w:after="0"/>
        <w:ind w:left="993" w:hanging="426"/>
        <w:rPr>
          <w:rFonts w:ascii="Times New Roman" w:hAnsi="Times New Roman"/>
          <w:bCs/>
          <w:iCs/>
          <w:color w:val="000000"/>
          <w:sz w:val="24"/>
          <w:lang w:val="pt-BR"/>
        </w:rPr>
      </w:pPr>
      <w:r w:rsidRPr="00CB3DE1">
        <w:rPr>
          <w:rFonts w:ascii="Times New Roman" w:hAnsi="Times New Roman"/>
          <w:bCs/>
          <w:iCs/>
          <w:color w:val="000000"/>
          <w:sz w:val="24"/>
          <w:lang w:val="pt-BR"/>
        </w:rPr>
        <w:t>o montante do resultado das operações continuadas e o das operações descontinuadas atribuível aos acionistas controladores. Essa evidenciação pode ser apresentada alternativamente em notas explicativas que tratam do resultado.</w:t>
      </w:r>
    </w:p>
    <w:p w14:paraId="18941045"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0340E590" w14:textId="63047912" w:rsidR="00CB3DE1" w:rsidRPr="00CB3DE1" w:rsidRDefault="00CB3DE1" w:rsidP="00CB3DE1">
      <w:pPr>
        <w:autoSpaceDE w:val="0"/>
        <w:autoSpaceDN w:val="0"/>
        <w:adjustRightInd w:val="0"/>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33A.</w:t>
      </w:r>
      <w:r w:rsidRPr="00CB3DE1">
        <w:rPr>
          <w:rFonts w:ascii="Times New Roman" w:hAnsi="Times New Roman"/>
          <w:color w:val="000000"/>
          <w:sz w:val="24"/>
          <w:lang w:val="pt-BR" w:eastAsia="x-none"/>
        </w:rPr>
        <w:tab/>
        <w:t>Se a entidade apresentar a demonstração do resultado como uma demonstração separada, conforme descrito no item 10A do Pronunciamento Técnico CPC 26, uma seção identificada como relacionada às operações descontinuadas deve ser apresentada nessa demonstração.</w:t>
      </w:r>
    </w:p>
    <w:p w14:paraId="6BB36528"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5C3C90F0"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34. </w:t>
      </w:r>
      <w:r w:rsidRPr="00CB3DE1">
        <w:rPr>
          <w:rFonts w:ascii="Times New Roman" w:hAnsi="Times New Roman"/>
          <w:color w:val="000000"/>
          <w:sz w:val="24"/>
          <w:lang w:val="pt-BR" w:eastAsia="x-none"/>
        </w:rPr>
        <w:tab/>
        <w:t>A entidade deve apresentar novamente as evidenciações do item 33 para períodos anteriores apresentados nas demonstrações contábeis, de forma que as divulgações se relacionem com todas as operações que tenham sido descontinuadas à data do balanço do último período apresentado.</w:t>
      </w:r>
    </w:p>
    <w:p w14:paraId="1A913D34"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50E5AA96" w14:textId="77777777" w:rsidR="00CB3DE1" w:rsidRPr="00CB3DE1" w:rsidRDefault="00CB3DE1" w:rsidP="00CB3DE1">
      <w:pPr>
        <w:widowControl w:val="0"/>
        <w:tabs>
          <w:tab w:val="left" w:pos="6804"/>
        </w:tabs>
        <w:spacing w:before="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35. </w:t>
      </w:r>
      <w:r w:rsidRPr="00CB3DE1">
        <w:rPr>
          <w:rFonts w:ascii="Times New Roman" w:hAnsi="Times New Roman"/>
          <w:color w:val="000000"/>
          <w:sz w:val="24"/>
          <w:lang w:val="pt-BR" w:eastAsia="x-none"/>
        </w:rPr>
        <w:tab/>
        <w:t xml:space="preserve">Os ajustes efetuados no período corrente nos montantes anteriormente apresentados em operações descontinuadas que estejam diretamente relacionados com a baixa de operação descontinuada em período anterior devem ser classificados separadamente nas operações descontinuadas. A natureza e o montante desses ajustes devem ser divulgados. Exemplos de circunstâncias em que esses ajustes podem ocorrer incluem o seguinte: </w:t>
      </w:r>
    </w:p>
    <w:p w14:paraId="15CE2D43" w14:textId="77777777" w:rsidR="00CB3DE1" w:rsidRPr="00CB3DE1" w:rsidRDefault="00CB3DE1" w:rsidP="00CB3DE1">
      <w:pPr>
        <w:widowControl w:val="0"/>
        <w:numPr>
          <w:ilvl w:val="0"/>
          <w:numId w:val="11"/>
        </w:numPr>
        <w:tabs>
          <w:tab w:val="clear" w:pos="1070"/>
        </w:tabs>
        <w:spacing w:before="0"/>
        <w:ind w:left="993" w:hanging="426"/>
        <w:rPr>
          <w:rFonts w:ascii="Times New Roman" w:hAnsi="Times New Roman"/>
          <w:bCs/>
          <w:iCs/>
          <w:color w:val="000000"/>
          <w:sz w:val="24"/>
          <w:lang w:val="pt-BR"/>
        </w:rPr>
      </w:pPr>
      <w:r w:rsidRPr="00CB3DE1">
        <w:rPr>
          <w:rFonts w:ascii="Times New Roman" w:hAnsi="Times New Roman"/>
          <w:bCs/>
          <w:iCs/>
          <w:color w:val="000000"/>
          <w:sz w:val="24"/>
          <w:lang w:val="pt-BR"/>
        </w:rPr>
        <w:t>a solução de incertezas que resultem dos termos da transação de alienação, tais como a solução dos ajustes no preço de compra e das questões de indenização com o comprador;</w:t>
      </w:r>
    </w:p>
    <w:p w14:paraId="21AB24FB" w14:textId="77777777" w:rsidR="00CB3DE1" w:rsidRPr="00CB3DE1" w:rsidRDefault="00CB3DE1" w:rsidP="00CB3DE1">
      <w:pPr>
        <w:widowControl w:val="0"/>
        <w:numPr>
          <w:ilvl w:val="0"/>
          <w:numId w:val="11"/>
        </w:numPr>
        <w:tabs>
          <w:tab w:val="clear" w:pos="1070"/>
        </w:tabs>
        <w:spacing w:before="0"/>
        <w:ind w:left="993" w:hanging="426"/>
        <w:rPr>
          <w:rFonts w:ascii="Times New Roman" w:hAnsi="Times New Roman"/>
          <w:bCs/>
          <w:iCs/>
          <w:color w:val="000000"/>
          <w:sz w:val="24"/>
          <w:lang w:val="pt-BR"/>
        </w:rPr>
      </w:pPr>
      <w:r w:rsidRPr="00CB3DE1">
        <w:rPr>
          <w:rFonts w:ascii="Times New Roman" w:hAnsi="Times New Roman"/>
          <w:bCs/>
          <w:iCs/>
          <w:color w:val="000000"/>
          <w:sz w:val="24"/>
          <w:lang w:val="pt-BR"/>
        </w:rPr>
        <w:t>a solução de incertezas resultantes e que estejam diretamente relacionadas com as operações do componente antes da sua alienação, tais como obrigações ambientais e de garantia de produtos mantidas pelo vendedor;</w:t>
      </w:r>
    </w:p>
    <w:p w14:paraId="3DB66928" w14:textId="77777777" w:rsidR="00CB3DE1" w:rsidRPr="00CB3DE1" w:rsidRDefault="00CB3DE1" w:rsidP="00CB3DE1">
      <w:pPr>
        <w:widowControl w:val="0"/>
        <w:numPr>
          <w:ilvl w:val="0"/>
          <w:numId w:val="11"/>
        </w:numPr>
        <w:tabs>
          <w:tab w:val="clear" w:pos="1070"/>
        </w:tabs>
        <w:spacing w:before="0" w:after="0"/>
        <w:ind w:left="993" w:hanging="426"/>
        <w:rPr>
          <w:rFonts w:ascii="Times New Roman" w:hAnsi="Times New Roman"/>
          <w:bCs/>
          <w:iCs/>
          <w:color w:val="000000"/>
          <w:sz w:val="24"/>
          <w:lang w:val="pt-BR"/>
        </w:rPr>
      </w:pPr>
      <w:r w:rsidRPr="00CB3DE1">
        <w:rPr>
          <w:rFonts w:ascii="Times New Roman" w:hAnsi="Times New Roman"/>
          <w:bCs/>
          <w:iCs/>
          <w:color w:val="000000"/>
          <w:sz w:val="24"/>
          <w:lang w:val="pt-BR"/>
        </w:rPr>
        <w:t>a liquidação das obrigações de planos de benefícios de empregados, desde que essa liquidação esteja diretamente relacionada com a transação de alienação.</w:t>
      </w:r>
    </w:p>
    <w:p w14:paraId="19ECF14F"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31F22C02"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36. </w:t>
      </w:r>
      <w:r w:rsidRPr="00CB3DE1">
        <w:rPr>
          <w:rFonts w:ascii="Times New Roman" w:hAnsi="Times New Roman"/>
          <w:color w:val="000000"/>
          <w:sz w:val="24"/>
          <w:lang w:val="pt-BR" w:eastAsia="x-none"/>
        </w:rPr>
        <w:tab/>
        <w:t>Se a entidade deixar de classificar um componente da entidade como mantido para venda, os resultados das operações do componente anteriormente apresentado em operações descontinuadas, de acordo com os itens 33 a 35, devem ser reclassificados e incluídos no resultado das operações em continuidade em todos os períodos apresentados. Os montantes relativos a períodos anteriores devem ser descritos como tendo sido novamente apresentados.</w:t>
      </w:r>
    </w:p>
    <w:p w14:paraId="328F0711" w14:textId="77777777" w:rsidR="00CB3DE1" w:rsidRPr="00CB3DE1" w:rsidRDefault="00CB3DE1" w:rsidP="00CB3DE1">
      <w:pPr>
        <w:widowControl w:val="0"/>
        <w:tabs>
          <w:tab w:val="left" w:pos="6804"/>
        </w:tabs>
        <w:spacing w:before="0" w:after="0"/>
        <w:ind w:left="57"/>
        <w:rPr>
          <w:rFonts w:ascii="Times New Roman" w:hAnsi="Times New Roman"/>
          <w:b/>
          <w:sz w:val="28"/>
          <w:szCs w:val="28"/>
          <w:lang w:val="pt-BR" w:eastAsia="x-none"/>
        </w:rPr>
      </w:pPr>
    </w:p>
    <w:p w14:paraId="340EF5D0"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36A. A entidade que esteja compromissada com plano de venda do controle de uma controlada deve </w:t>
      </w:r>
      <w:r w:rsidRPr="00CB3DE1">
        <w:rPr>
          <w:rFonts w:ascii="Times New Roman" w:hAnsi="Times New Roman"/>
          <w:color w:val="000000"/>
          <w:sz w:val="24"/>
          <w:lang w:val="pt-BR" w:eastAsia="x-none"/>
        </w:rPr>
        <w:lastRenderedPageBreak/>
        <w:t>divulgar as informações requeridas nos itens 33 a 36 quando a controlada for um grupo de ativos e passivos mantidos para venda dentro da definição de operação descontinuada conforme o item 32.</w:t>
      </w:r>
    </w:p>
    <w:p w14:paraId="3CF8EFD9" w14:textId="77777777" w:rsidR="00CB3DE1" w:rsidRPr="00CB3DE1" w:rsidRDefault="00CB3DE1" w:rsidP="00CB3DE1">
      <w:pPr>
        <w:widowControl w:val="0"/>
        <w:tabs>
          <w:tab w:val="left" w:pos="6804"/>
        </w:tabs>
        <w:spacing w:before="0" w:after="0"/>
        <w:ind w:left="57"/>
        <w:rPr>
          <w:rFonts w:ascii="Times New Roman" w:hAnsi="Times New Roman"/>
          <w:b/>
          <w:sz w:val="24"/>
        </w:rPr>
      </w:pPr>
    </w:p>
    <w:p w14:paraId="35163605" w14:textId="77777777" w:rsidR="00CB3DE1" w:rsidRPr="00CB3DE1" w:rsidRDefault="00CB3DE1" w:rsidP="00CB3DE1">
      <w:pPr>
        <w:widowControl w:val="0"/>
        <w:tabs>
          <w:tab w:val="left" w:pos="6804"/>
        </w:tabs>
        <w:spacing w:before="0" w:after="0"/>
        <w:rPr>
          <w:rFonts w:ascii="Times New Roman" w:hAnsi="Times New Roman"/>
          <w:b/>
          <w:sz w:val="24"/>
          <w:lang w:val="pt-BR" w:eastAsia="x-none"/>
        </w:rPr>
      </w:pPr>
      <w:r w:rsidRPr="00CB3DE1">
        <w:rPr>
          <w:rFonts w:ascii="Times New Roman" w:hAnsi="Times New Roman"/>
          <w:b/>
          <w:sz w:val="24"/>
          <w:lang w:val="pt-BR" w:eastAsia="x-none"/>
        </w:rPr>
        <w:t>Ganho ou perda relacionado com operação em continuidade</w:t>
      </w:r>
    </w:p>
    <w:p w14:paraId="30231DA8"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4E358694"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37. </w:t>
      </w:r>
      <w:r w:rsidRPr="00CB3DE1">
        <w:rPr>
          <w:rFonts w:ascii="Times New Roman" w:hAnsi="Times New Roman"/>
          <w:color w:val="000000"/>
          <w:sz w:val="24"/>
          <w:lang w:val="pt-BR" w:eastAsia="x-none"/>
        </w:rPr>
        <w:tab/>
        <w:t>Qualquer ganho ou perda relativa à remensuração de ativo não circulante classificado como mantido para venda que não satisfaça à definição de operação descontinuada deve ser incluído nos resultados das operações em continuidade.</w:t>
      </w:r>
    </w:p>
    <w:p w14:paraId="7678BFB8" w14:textId="77777777" w:rsidR="00CB3DE1" w:rsidRPr="00CB3DE1" w:rsidRDefault="00CB3DE1" w:rsidP="00CB3DE1">
      <w:pPr>
        <w:widowControl w:val="0"/>
        <w:tabs>
          <w:tab w:val="left" w:pos="6804"/>
        </w:tabs>
        <w:spacing w:before="0" w:after="0"/>
        <w:ind w:left="57"/>
        <w:rPr>
          <w:rFonts w:ascii="Times New Roman" w:hAnsi="Times New Roman"/>
          <w:b/>
          <w:sz w:val="24"/>
          <w:lang w:val="pt-BR" w:eastAsia="x-none"/>
        </w:rPr>
      </w:pPr>
    </w:p>
    <w:p w14:paraId="115FDB86" w14:textId="77777777" w:rsidR="00CB3DE1" w:rsidRPr="00CB3DE1" w:rsidRDefault="00CB3DE1" w:rsidP="00CB3DE1">
      <w:pPr>
        <w:widowControl w:val="0"/>
        <w:tabs>
          <w:tab w:val="left" w:pos="6804"/>
        </w:tabs>
        <w:spacing w:before="0" w:after="0"/>
        <w:rPr>
          <w:rFonts w:ascii="Times New Roman" w:hAnsi="Times New Roman"/>
          <w:b/>
          <w:sz w:val="24"/>
          <w:lang w:val="pt-BR" w:eastAsia="x-none"/>
        </w:rPr>
      </w:pPr>
      <w:r w:rsidRPr="00CB3DE1">
        <w:rPr>
          <w:rFonts w:ascii="Times New Roman" w:hAnsi="Times New Roman"/>
          <w:b/>
          <w:sz w:val="24"/>
          <w:lang w:val="pt-BR" w:eastAsia="x-none"/>
        </w:rPr>
        <w:t>Apresentação de ativo não circulante classificado como mantido para venda</w:t>
      </w:r>
    </w:p>
    <w:p w14:paraId="257569E4"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246C0AE0"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38. </w:t>
      </w:r>
      <w:r w:rsidRPr="00CB3DE1">
        <w:rPr>
          <w:rFonts w:ascii="Times New Roman" w:hAnsi="Times New Roman"/>
          <w:color w:val="000000"/>
          <w:sz w:val="24"/>
          <w:lang w:val="pt-BR" w:eastAsia="x-none"/>
        </w:rPr>
        <w:tab/>
        <w:t>A entidade deve apresentar o ativo não circulante classificado como mantido para venda separadamente dos outros ativos no balanço patrimonial. Os passivos de grupo de ativos classificado como mantido para venda devem ser apresentados separadamente dos outros passivos no balanço patrimonial. Esses ativos e passivos não devem ser compensados nem apresentados em um único montante. As principais classes de ativos e passivos classificados como mantidos para venda devem ser divulgadas separadamente no balanço patrimonial ou nas notas explicativas, exceto conforme permitido pelo item 39. A entidade deve apresentar separadamente qualquer receita ou despesa acumulada reconhecida diretamente no patrimônio líquido (outros resultados abrangentes) relacionada a um ativo não circulante ou a um grupo de ativos classificado como mantido para venda.</w:t>
      </w:r>
    </w:p>
    <w:p w14:paraId="5FE9EBF2"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2C0D8213"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39. </w:t>
      </w:r>
      <w:r w:rsidRPr="00CB3DE1">
        <w:rPr>
          <w:rFonts w:ascii="Times New Roman" w:hAnsi="Times New Roman"/>
          <w:color w:val="000000"/>
          <w:sz w:val="24"/>
          <w:lang w:val="pt-BR" w:eastAsia="x-none"/>
        </w:rPr>
        <w:tab/>
        <w:t>Se o grupo de ativos mantido para venda for controlada recém-adquirida que satisfaça aos critérios de classificação como destinada à venda no momento da aquisição (ver item 11), não é exigida a divulgação das principais classes de ativos e passivos.</w:t>
      </w:r>
    </w:p>
    <w:p w14:paraId="1D43E09B"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500C5BA5"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40. </w:t>
      </w:r>
      <w:r w:rsidRPr="00CB3DE1">
        <w:rPr>
          <w:rFonts w:ascii="Times New Roman" w:hAnsi="Times New Roman"/>
          <w:color w:val="000000"/>
          <w:sz w:val="24"/>
          <w:lang w:val="pt-BR" w:eastAsia="x-none"/>
        </w:rPr>
        <w:tab/>
        <w:t>A entidade não deve reclassificar ou reapresentar montantes divulgados de ativos não circulantes ou de ativos e passivos de grupos de ativos classificados como mantidos para venda nos balanços de períodos anteriores para refletir a classificação no balanço do último período apresentado.</w:t>
      </w:r>
    </w:p>
    <w:p w14:paraId="0524B1C5" w14:textId="77777777" w:rsidR="00CB3DE1" w:rsidRPr="00CB3DE1" w:rsidRDefault="00CB3DE1" w:rsidP="00CB3DE1">
      <w:pPr>
        <w:widowControl w:val="0"/>
        <w:tabs>
          <w:tab w:val="left" w:pos="6804"/>
        </w:tabs>
        <w:spacing w:before="0" w:after="0"/>
        <w:ind w:left="57"/>
        <w:rPr>
          <w:rFonts w:ascii="Times New Roman" w:hAnsi="Times New Roman"/>
          <w:b/>
          <w:sz w:val="24"/>
          <w:lang w:val="pt-BR" w:eastAsia="x-none"/>
        </w:rPr>
      </w:pPr>
    </w:p>
    <w:p w14:paraId="6BC48A76" w14:textId="77777777" w:rsidR="00CB3DE1" w:rsidRPr="00CB3DE1" w:rsidRDefault="00CB3DE1" w:rsidP="00CB3DE1">
      <w:pPr>
        <w:widowControl w:val="0"/>
        <w:tabs>
          <w:tab w:val="left" w:pos="6804"/>
        </w:tabs>
        <w:spacing w:before="0" w:after="0"/>
        <w:rPr>
          <w:rFonts w:ascii="Times New Roman" w:hAnsi="Times New Roman"/>
          <w:b/>
          <w:sz w:val="24"/>
          <w:lang w:val="pt-BR" w:eastAsia="x-none"/>
        </w:rPr>
      </w:pPr>
      <w:r w:rsidRPr="00CB3DE1">
        <w:rPr>
          <w:rFonts w:ascii="Times New Roman" w:hAnsi="Times New Roman"/>
          <w:b/>
          <w:sz w:val="24"/>
          <w:lang w:val="pt-BR" w:eastAsia="x-none"/>
        </w:rPr>
        <w:t>Divulgações adicionais</w:t>
      </w:r>
    </w:p>
    <w:p w14:paraId="6E00BE09"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2D875223" w14:textId="77777777" w:rsidR="00CB3DE1" w:rsidRPr="00CB3DE1" w:rsidRDefault="00CB3DE1" w:rsidP="00CB3DE1">
      <w:pPr>
        <w:widowControl w:val="0"/>
        <w:tabs>
          <w:tab w:val="left" w:pos="6804"/>
        </w:tabs>
        <w:spacing w:before="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41. </w:t>
      </w:r>
      <w:r w:rsidRPr="00CB3DE1">
        <w:rPr>
          <w:rFonts w:ascii="Times New Roman" w:hAnsi="Times New Roman"/>
          <w:color w:val="000000"/>
          <w:sz w:val="24"/>
          <w:lang w:val="pt-BR" w:eastAsia="x-none"/>
        </w:rPr>
        <w:tab/>
        <w:t>A entidade deve divulgar a seguinte informação nas notas explicativas do período em que o ativo não circulante tenha sido classificado como mantido para venda ou vendido:</w:t>
      </w:r>
    </w:p>
    <w:p w14:paraId="3B66CDB9" w14:textId="77777777" w:rsidR="00CB3DE1" w:rsidRPr="00CB3DE1" w:rsidRDefault="00CB3DE1" w:rsidP="00CB3DE1">
      <w:pPr>
        <w:widowControl w:val="0"/>
        <w:numPr>
          <w:ilvl w:val="0"/>
          <w:numId w:val="12"/>
        </w:numPr>
        <w:tabs>
          <w:tab w:val="clear" w:pos="1070"/>
        </w:tabs>
        <w:spacing w:before="0"/>
        <w:ind w:left="993" w:hanging="426"/>
        <w:rPr>
          <w:rFonts w:ascii="Times New Roman" w:hAnsi="Times New Roman"/>
          <w:bCs/>
          <w:iCs/>
          <w:color w:val="000000"/>
          <w:sz w:val="24"/>
          <w:lang w:val="pt-BR"/>
        </w:rPr>
      </w:pPr>
      <w:r w:rsidRPr="00CB3DE1">
        <w:rPr>
          <w:rFonts w:ascii="Times New Roman" w:hAnsi="Times New Roman"/>
          <w:bCs/>
          <w:iCs/>
          <w:color w:val="000000"/>
          <w:sz w:val="24"/>
          <w:lang w:val="pt-BR"/>
        </w:rPr>
        <w:t>descrição do ativo (ou grupo de ativos) não circulante;</w:t>
      </w:r>
    </w:p>
    <w:p w14:paraId="71EF1735" w14:textId="77777777" w:rsidR="00CB3DE1" w:rsidRPr="00CB3DE1" w:rsidRDefault="00CB3DE1" w:rsidP="00CB3DE1">
      <w:pPr>
        <w:widowControl w:val="0"/>
        <w:numPr>
          <w:ilvl w:val="0"/>
          <w:numId w:val="12"/>
        </w:numPr>
        <w:tabs>
          <w:tab w:val="clear" w:pos="1070"/>
        </w:tabs>
        <w:spacing w:before="0"/>
        <w:ind w:left="993" w:hanging="426"/>
        <w:rPr>
          <w:rFonts w:ascii="Times New Roman" w:hAnsi="Times New Roman"/>
          <w:bCs/>
          <w:iCs/>
          <w:color w:val="000000"/>
          <w:sz w:val="24"/>
          <w:lang w:val="pt-BR"/>
        </w:rPr>
      </w:pPr>
      <w:r w:rsidRPr="00CB3DE1">
        <w:rPr>
          <w:rFonts w:ascii="Times New Roman" w:hAnsi="Times New Roman"/>
          <w:bCs/>
          <w:iCs/>
          <w:color w:val="000000"/>
          <w:sz w:val="24"/>
          <w:lang w:val="pt-BR"/>
        </w:rPr>
        <w:t>descrição dos fatos e das circunstâncias da venda, ou que conduziram à alienação esperada, forma e cronograma esperados para essa alienação;</w:t>
      </w:r>
    </w:p>
    <w:p w14:paraId="7C5A46C2" w14:textId="77777777" w:rsidR="00CB3DE1" w:rsidRPr="00CB3DE1" w:rsidRDefault="00CB3DE1" w:rsidP="00CB3DE1">
      <w:pPr>
        <w:widowControl w:val="0"/>
        <w:numPr>
          <w:ilvl w:val="0"/>
          <w:numId w:val="12"/>
        </w:numPr>
        <w:tabs>
          <w:tab w:val="clear" w:pos="1070"/>
        </w:tabs>
        <w:spacing w:before="0"/>
        <w:ind w:left="993" w:hanging="426"/>
        <w:rPr>
          <w:rFonts w:ascii="Times New Roman" w:hAnsi="Times New Roman"/>
          <w:bCs/>
          <w:iCs/>
          <w:color w:val="000000"/>
          <w:sz w:val="24"/>
          <w:lang w:val="pt-BR"/>
        </w:rPr>
      </w:pPr>
      <w:r w:rsidRPr="00CB3DE1">
        <w:rPr>
          <w:rFonts w:ascii="Times New Roman" w:hAnsi="Times New Roman"/>
          <w:bCs/>
          <w:iCs/>
          <w:color w:val="000000"/>
          <w:sz w:val="24"/>
          <w:lang w:val="pt-BR"/>
        </w:rPr>
        <w:t>ganho ou perda reconhecido(a) de acordo com os itens 20 a 22 e, se não for apresentado(a) separadamente na demonstração do resultado, a linha na demonstração do resultado que inclui esse ganho ou perda;</w:t>
      </w:r>
    </w:p>
    <w:p w14:paraId="2E598015" w14:textId="77777777" w:rsidR="00CB3DE1" w:rsidRPr="00CB3DE1" w:rsidRDefault="00CB3DE1" w:rsidP="00CB3DE1">
      <w:pPr>
        <w:widowControl w:val="0"/>
        <w:numPr>
          <w:ilvl w:val="0"/>
          <w:numId w:val="12"/>
        </w:numPr>
        <w:tabs>
          <w:tab w:val="clear" w:pos="1070"/>
        </w:tabs>
        <w:spacing w:before="0" w:after="0"/>
        <w:ind w:left="993" w:hanging="426"/>
        <w:rPr>
          <w:rFonts w:ascii="Times New Roman" w:hAnsi="Times New Roman"/>
          <w:bCs/>
          <w:iCs/>
          <w:color w:val="000000"/>
          <w:sz w:val="24"/>
          <w:lang w:val="pt-BR"/>
        </w:rPr>
      </w:pPr>
      <w:r w:rsidRPr="00CB3DE1">
        <w:rPr>
          <w:rFonts w:ascii="Times New Roman" w:hAnsi="Times New Roman"/>
          <w:bCs/>
          <w:iCs/>
          <w:color w:val="000000"/>
          <w:sz w:val="24"/>
          <w:lang w:val="pt-BR"/>
        </w:rPr>
        <w:t>se aplicável, segmento em que o ativo não circulante ou o grupo de ativos mantido para venda está apresentado de acordo com o Pronunciamento Técnico CPC 22 – Informações por Segmento.</w:t>
      </w:r>
    </w:p>
    <w:p w14:paraId="3A9365FE"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43BC9C3D"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42. </w:t>
      </w:r>
      <w:r w:rsidRPr="00CB3DE1">
        <w:rPr>
          <w:rFonts w:ascii="Times New Roman" w:hAnsi="Times New Roman"/>
          <w:color w:val="000000"/>
          <w:sz w:val="24"/>
          <w:lang w:val="pt-BR" w:eastAsia="x-none"/>
        </w:rPr>
        <w:tab/>
        <w:t>Caso se aplique o item 26 ou o item 29, a entidade deve divulgar, no período da decisão de alterar o plano de venda do ativo não circulante mantido para venda, a descrição dos fatos e das circunstâncias que levaram à decisão e o efeito dessa decisão nos resultados das operações para esse período e qualquer período anterior apresentado.</w:t>
      </w:r>
    </w:p>
    <w:p w14:paraId="35C29745" w14:textId="77777777" w:rsidR="00CB3DE1" w:rsidRPr="00CB3DE1" w:rsidRDefault="00CB3DE1" w:rsidP="00CB3DE1">
      <w:pPr>
        <w:widowControl w:val="0"/>
        <w:tabs>
          <w:tab w:val="left" w:pos="6804"/>
        </w:tabs>
        <w:spacing w:before="0" w:after="0"/>
        <w:ind w:left="57"/>
        <w:rPr>
          <w:rFonts w:ascii="Times New Roman" w:hAnsi="Times New Roman"/>
          <w:b/>
          <w:sz w:val="24"/>
          <w:lang w:val="pt-BR" w:eastAsia="x-none"/>
        </w:rPr>
      </w:pPr>
    </w:p>
    <w:p w14:paraId="0531F402" w14:textId="77777777" w:rsidR="00CB3DE1" w:rsidRPr="00CB3DE1" w:rsidRDefault="00CB3DE1" w:rsidP="00CB3DE1">
      <w:pPr>
        <w:widowControl w:val="0"/>
        <w:tabs>
          <w:tab w:val="left" w:pos="6804"/>
        </w:tabs>
        <w:spacing w:before="0" w:after="0"/>
        <w:rPr>
          <w:rFonts w:ascii="Times New Roman" w:hAnsi="Times New Roman"/>
          <w:b/>
          <w:sz w:val="28"/>
          <w:szCs w:val="28"/>
          <w:lang w:val="pt-BR" w:eastAsia="x-none"/>
        </w:rPr>
      </w:pPr>
      <w:r w:rsidRPr="00CB3DE1">
        <w:rPr>
          <w:rFonts w:ascii="Times New Roman" w:hAnsi="Times New Roman"/>
          <w:b/>
          <w:sz w:val="28"/>
          <w:szCs w:val="28"/>
          <w:lang w:val="pt-BR" w:eastAsia="x-none"/>
        </w:rPr>
        <w:t>Disposição transitória</w:t>
      </w:r>
    </w:p>
    <w:p w14:paraId="686A9E35"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5D443AE8"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43. </w:t>
      </w:r>
      <w:r w:rsidRPr="00CB3DE1">
        <w:rPr>
          <w:rFonts w:ascii="Times New Roman" w:hAnsi="Times New Roman"/>
          <w:color w:val="000000"/>
          <w:sz w:val="24"/>
          <w:lang w:val="pt-BR" w:eastAsia="x-none"/>
        </w:rPr>
        <w:tab/>
        <w:t>A entidade pode aplicar retrospectivamente os requisitos do Pronunciamento Técnico a todos os ativos não circulantes ou a grupos de ativos que satisfaçam aos critérios de classificação como mantidos para venda e a operações que satisfaçam aos critérios de classificação como descontinuadas, desde que as avaliações e as outras informações necessárias para aplicar este Pronunciamento Técnico tenham sido obtidas no momento em que esses critérios foram originalmente satisfeitos.</w:t>
      </w:r>
    </w:p>
    <w:p w14:paraId="1D94C674" w14:textId="77777777" w:rsidR="00CB3DE1" w:rsidRPr="00CB3DE1" w:rsidRDefault="00CB3DE1" w:rsidP="00CB3DE1">
      <w:pPr>
        <w:widowControl w:val="0"/>
        <w:tabs>
          <w:tab w:val="left" w:pos="6804"/>
        </w:tabs>
        <w:spacing w:before="0" w:after="0"/>
        <w:ind w:left="567" w:right="57" w:hanging="567"/>
        <w:rPr>
          <w:rFonts w:ascii="Times New Roman" w:hAnsi="Times New Roman"/>
          <w:color w:val="000000"/>
          <w:sz w:val="24"/>
          <w:lang w:val="pt-BR" w:eastAsia="x-none"/>
        </w:rPr>
      </w:pPr>
    </w:p>
    <w:p w14:paraId="6F8E0064" w14:textId="77777777" w:rsidR="00CB3DE1" w:rsidRPr="00CB3DE1" w:rsidRDefault="00CB3DE1" w:rsidP="00CB3DE1">
      <w:pPr>
        <w:widowControl w:val="0"/>
        <w:tabs>
          <w:tab w:val="left" w:pos="6804"/>
        </w:tabs>
        <w:spacing w:before="0" w:after="0"/>
        <w:ind w:left="567" w:right="57" w:hanging="567"/>
        <w:rPr>
          <w:rFonts w:ascii="Times New Roman" w:hAnsi="Times New Roman"/>
          <w:color w:val="000000"/>
          <w:sz w:val="24"/>
          <w:lang w:val="pt-BR" w:eastAsia="x-none"/>
        </w:rPr>
      </w:pPr>
    </w:p>
    <w:p w14:paraId="35B1FBA2"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13162441" w14:textId="77777777" w:rsidR="0006156C" w:rsidRDefault="0006156C">
      <w:pPr>
        <w:spacing w:before="0" w:after="160" w:line="259" w:lineRule="auto"/>
        <w:jc w:val="left"/>
        <w:rPr>
          <w:rFonts w:ascii="Times New Roman" w:hAnsi="Times New Roman"/>
          <w:b/>
          <w:color w:val="000000"/>
          <w:sz w:val="28"/>
          <w:szCs w:val="28"/>
          <w:lang w:val="pt-BR" w:eastAsia="x-none"/>
        </w:rPr>
      </w:pPr>
      <w:r>
        <w:rPr>
          <w:rFonts w:ascii="Times New Roman" w:hAnsi="Times New Roman"/>
          <w:b/>
          <w:color w:val="000000"/>
          <w:sz w:val="28"/>
          <w:szCs w:val="28"/>
          <w:lang w:val="pt-BR" w:eastAsia="x-none"/>
        </w:rPr>
        <w:br w:type="page"/>
      </w:r>
    </w:p>
    <w:p w14:paraId="080F40B5" w14:textId="3DA58CC5" w:rsidR="00CB3DE1" w:rsidRPr="00CB3DE1" w:rsidRDefault="00CB3DE1" w:rsidP="00CB3DE1">
      <w:pPr>
        <w:widowControl w:val="0"/>
        <w:tabs>
          <w:tab w:val="left" w:pos="6804"/>
        </w:tabs>
        <w:spacing w:before="0" w:after="0"/>
        <w:ind w:left="567" w:hanging="567"/>
        <w:rPr>
          <w:rFonts w:ascii="Times New Roman" w:hAnsi="Times New Roman"/>
          <w:b/>
          <w:sz w:val="24"/>
          <w:lang w:val="pt-BR" w:eastAsia="x-none"/>
        </w:rPr>
      </w:pPr>
      <w:r w:rsidRPr="00CB3DE1">
        <w:rPr>
          <w:rFonts w:ascii="Times New Roman" w:hAnsi="Times New Roman"/>
          <w:b/>
          <w:color w:val="000000"/>
          <w:sz w:val="28"/>
          <w:szCs w:val="28"/>
          <w:lang w:val="pt-BR" w:eastAsia="x-none"/>
        </w:rPr>
        <w:lastRenderedPageBreak/>
        <w:t>Apêndice A – Definição de termos</w:t>
      </w:r>
    </w:p>
    <w:p w14:paraId="4C3224D6"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3ABC11B7" w14:textId="77777777" w:rsidR="00CB3DE1" w:rsidRPr="00CB3DE1" w:rsidRDefault="00CB3DE1" w:rsidP="00CB3DE1">
      <w:pPr>
        <w:widowControl w:val="0"/>
        <w:tabs>
          <w:tab w:val="left" w:pos="6804"/>
        </w:tabs>
        <w:spacing w:before="0" w:after="0"/>
        <w:rPr>
          <w:rFonts w:ascii="Times New Roman" w:hAnsi="Times New Roman"/>
          <w:i/>
          <w:color w:val="000000"/>
          <w:sz w:val="24"/>
          <w:lang w:val="pt-BR" w:eastAsia="x-none"/>
        </w:rPr>
      </w:pPr>
      <w:r w:rsidRPr="00CB3DE1">
        <w:rPr>
          <w:rFonts w:ascii="Times New Roman" w:hAnsi="Times New Roman"/>
          <w:i/>
          <w:color w:val="000000"/>
          <w:sz w:val="24"/>
          <w:lang w:val="pt-BR" w:eastAsia="x-none"/>
        </w:rPr>
        <w:t>Este Apêndice é parte integrante deste Pronunciamento Técnico.</w:t>
      </w:r>
    </w:p>
    <w:p w14:paraId="5C006981" w14:textId="77777777" w:rsidR="00CB3DE1" w:rsidRPr="00CB3DE1" w:rsidRDefault="00CB3DE1" w:rsidP="00CB3DE1">
      <w:pPr>
        <w:widowControl w:val="0"/>
        <w:tabs>
          <w:tab w:val="left" w:pos="6804"/>
        </w:tabs>
        <w:spacing w:before="0" w:after="0"/>
        <w:rPr>
          <w:rFonts w:ascii="Times New Roman" w:hAnsi="Times New Roman"/>
          <w:i/>
          <w:color w:val="000000"/>
          <w:sz w:val="24"/>
          <w:lang w:val="pt-BR" w:eastAsia="x-none"/>
        </w:rPr>
      </w:pPr>
    </w:p>
    <w:p w14:paraId="16DC5368"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r w:rsidRPr="00CB3DE1">
        <w:rPr>
          <w:rFonts w:ascii="Times New Roman" w:hAnsi="Times New Roman"/>
          <w:i/>
          <w:color w:val="000000"/>
          <w:sz w:val="24"/>
          <w:lang w:val="pt-BR" w:eastAsia="x-none"/>
        </w:rPr>
        <w:t xml:space="preserve">Unidade geradora de caixa </w:t>
      </w:r>
      <w:r w:rsidRPr="00CB3DE1">
        <w:rPr>
          <w:rFonts w:ascii="Times New Roman" w:hAnsi="Times New Roman"/>
          <w:color w:val="000000"/>
          <w:sz w:val="24"/>
          <w:lang w:val="pt-BR" w:eastAsia="x-none"/>
        </w:rPr>
        <w:t>é o menor grupo identificável de ativos que gera fluxos de entrada de caixa e que seja amplamente independente dos fluxos de entrada de caixa de outros ativos ou grupos de ativos.</w:t>
      </w:r>
    </w:p>
    <w:p w14:paraId="1D787295" w14:textId="77777777" w:rsidR="00CB3DE1" w:rsidRPr="00CB3DE1" w:rsidRDefault="00CB3DE1" w:rsidP="00CB3DE1">
      <w:pPr>
        <w:widowControl w:val="0"/>
        <w:tabs>
          <w:tab w:val="left" w:pos="6804"/>
        </w:tabs>
        <w:spacing w:before="0" w:after="0"/>
        <w:rPr>
          <w:rFonts w:ascii="Times New Roman" w:hAnsi="Times New Roman"/>
          <w:i/>
          <w:color w:val="000000"/>
          <w:sz w:val="24"/>
          <w:lang w:val="pt-BR" w:eastAsia="x-none"/>
        </w:rPr>
      </w:pPr>
    </w:p>
    <w:p w14:paraId="30D081A4"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r w:rsidRPr="00CB3DE1">
        <w:rPr>
          <w:rFonts w:ascii="Times New Roman" w:hAnsi="Times New Roman"/>
          <w:i/>
          <w:color w:val="000000"/>
          <w:sz w:val="24"/>
          <w:lang w:val="pt-BR" w:eastAsia="x-none"/>
        </w:rPr>
        <w:t xml:space="preserve">Componente de uma entidade </w:t>
      </w:r>
      <w:r w:rsidRPr="00CB3DE1">
        <w:rPr>
          <w:rFonts w:ascii="Times New Roman" w:hAnsi="Times New Roman"/>
          <w:color w:val="000000"/>
          <w:sz w:val="24"/>
          <w:lang w:val="pt-BR" w:eastAsia="x-none"/>
        </w:rPr>
        <w:t>é</w:t>
      </w:r>
      <w:r w:rsidRPr="00CB3DE1">
        <w:rPr>
          <w:rFonts w:ascii="Times New Roman" w:hAnsi="Times New Roman"/>
          <w:i/>
          <w:color w:val="000000"/>
          <w:sz w:val="24"/>
          <w:lang w:val="pt-BR" w:eastAsia="x-none"/>
        </w:rPr>
        <w:t xml:space="preserve"> </w:t>
      </w:r>
      <w:r w:rsidRPr="00CB3DE1">
        <w:rPr>
          <w:rFonts w:ascii="Times New Roman" w:hAnsi="Times New Roman"/>
          <w:color w:val="000000"/>
          <w:sz w:val="24"/>
          <w:lang w:val="pt-BR" w:eastAsia="x-none"/>
        </w:rPr>
        <w:t>a operação e o fluxo de caixa que podem ser claramente distinguidos, operacionalmente e para fins de demonstrações contábeis, do resto da entidade.</w:t>
      </w:r>
    </w:p>
    <w:p w14:paraId="4A0A3D4E" w14:textId="77777777" w:rsidR="00CB3DE1" w:rsidRPr="00CB3DE1" w:rsidRDefault="00CB3DE1" w:rsidP="00CB3DE1">
      <w:pPr>
        <w:widowControl w:val="0"/>
        <w:tabs>
          <w:tab w:val="left" w:pos="6804"/>
        </w:tabs>
        <w:spacing w:before="0" w:after="0"/>
        <w:rPr>
          <w:rFonts w:ascii="Times New Roman" w:hAnsi="Times New Roman"/>
          <w:i/>
          <w:color w:val="000000"/>
          <w:sz w:val="24"/>
          <w:lang w:val="pt-BR" w:eastAsia="x-none"/>
        </w:rPr>
      </w:pPr>
    </w:p>
    <w:p w14:paraId="05DEB32E"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r w:rsidRPr="00CB3DE1">
        <w:rPr>
          <w:rFonts w:ascii="Times New Roman" w:hAnsi="Times New Roman"/>
          <w:i/>
          <w:color w:val="000000"/>
          <w:sz w:val="24"/>
          <w:lang w:val="pt-BR" w:eastAsia="x-none"/>
        </w:rPr>
        <w:t xml:space="preserve">Despesa de venda </w:t>
      </w:r>
      <w:r w:rsidRPr="00CB3DE1">
        <w:rPr>
          <w:rFonts w:ascii="Times New Roman" w:hAnsi="Times New Roman"/>
          <w:color w:val="000000"/>
          <w:sz w:val="24"/>
          <w:lang w:val="pt-BR" w:eastAsia="x-none"/>
        </w:rPr>
        <w:t>é</w:t>
      </w:r>
      <w:r w:rsidRPr="00CB3DE1">
        <w:rPr>
          <w:rFonts w:ascii="Times New Roman" w:hAnsi="Times New Roman"/>
          <w:i/>
          <w:color w:val="000000"/>
          <w:sz w:val="24"/>
          <w:lang w:val="pt-BR" w:eastAsia="x-none"/>
        </w:rPr>
        <w:t xml:space="preserve"> </w:t>
      </w:r>
      <w:r w:rsidRPr="00CB3DE1">
        <w:rPr>
          <w:rFonts w:ascii="Times New Roman" w:hAnsi="Times New Roman"/>
          <w:color w:val="000000"/>
          <w:sz w:val="24"/>
          <w:lang w:val="pt-BR" w:eastAsia="x-none"/>
        </w:rPr>
        <w:t>a despesa incremental diretamente atribuível à alienação de ativo ou grupo de ativos mantido para venda, excluindo despesa financeira e tributo sobre o lucro.</w:t>
      </w:r>
    </w:p>
    <w:p w14:paraId="4B8C9705" w14:textId="77777777" w:rsidR="00CB3DE1" w:rsidRPr="00CB3DE1" w:rsidRDefault="00CB3DE1" w:rsidP="00CB3DE1">
      <w:pPr>
        <w:widowControl w:val="0"/>
        <w:tabs>
          <w:tab w:val="left" w:pos="6804"/>
        </w:tabs>
        <w:spacing w:before="0" w:after="0"/>
        <w:rPr>
          <w:rFonts w:ascii="Times New Roman" w:hAnsi="Times New Roman"/>
          <w:i/>
          <w:color w:val="000000"/>
          <w:sz w:val="24"/>
          <w:lang w:val="pt-BR" w:eastAsia="x-none"/>
        </w:rPr>
      </w:pPr>
    </w:p>
    <w:p w14:paraId="6B8A7434" w14:textId="77777777" w:rsidR="00CB3DE1" w:rsidRPr="00CB3DE1" w:rsidRDefault="00CB3DE1" w:rsidP="00CB3DE1">
      <w:pPr>
        <w:widowControl w:val="0"/>
        <w:tabs>
          <w:tab w:val="left" w:pos="6804"/>
        </w:tabs>
        <w:spacing w:before="0"/>
        <w:rPr>
          <w:rFonts w:ascii="Times New Roman" w:hAnsi="Times New Roman"/>
          <w:i/>
          <w:color w:val="000000"/>
          <w:sz w:val="24"/>
          <w:lang w:val="pt-BR" w:eastAsia="x-none"/>
        </w:rPr>
      </w:pPr>
      <w:r w:rsidRPr="00CB3DE1">
        <w:rPr>
          <w:rFonts w:ascii="Times New Roman" w:hAnsi="Times New Roman"/>
          <w:i/>
          <w:color w:val="000000"/>
          <w:sz w:val="24"/>
          <w:lang w:val="pt-BR" w:eastAsia="x-none"/>
        </w:rPr>
        <w:t xml:space="preserve">Ativo circulante </w:t>
      </w:r>
      <w:r w:rsidRPr="00CB3DE1">
        <w:rPr>
          <w:rFonts w:ascii="Times New Roman" w:hAnsi="Times New Roman"/>
          <w:color w:val="000000"/>
          <w:sz w:val="24"/>
          <w:lang w:val="pt-BR" w:eastAsia="x-none"/>
        </w:rPr>
        <w:t>é o ativo que satisfaz a qualquer um dos seguintes critérios:</w:t>
      </w:r>
    </w:p>
    <w:p w14:paraId="3998E37B" w14:textId="77777777" w:rsidR="00CB3DE1" w:rsidRPr="00CB3DE1" w:rsidRDefault="00CB3DE1" w:rsidP="00CB3DE1">
      <w:pPr>
        <w:widowControl w:val="0"/>
        <w:numPr>
          <w:ilvl w:val="0"/>
          <w:numId w:val="13"/>
        </w:numPr>
        <w:tabs>
          <w:tab w:val="clear" w:pos="1070"/>
        </w:tabs>
        <w:spacing w:before="0"/>
        <w:ind w:left="426" w:hanging="426"/>
        <w:rPr>
          <w:rFonts w:ascii="Times New Roman" w:hAnsi="Times New Roman"/>
          <w:bCs/>
          <w:iCs/>
          <w:color w:val="000000"/>
          <w:sz w:val="24"/>
          <w:lang w:val="pt-BR"/>
        </w:rPr>
      </w:pPr>
      <w:r w:rsidRPr="00CB3DE1">
        <w:rPr>
          <w:rFonts w:ascii="Times New Roman" w:hAnsi="Times New Roman"/>
          <w:bCs/>
          <w:iCs/>
          <w:color w:val="000000"/>
          <w:sz w:val="24"/>
          <w:lang w:val="pt-BR"/>
        </w:rPr>
        <w:t>espera-se que seja realizado, ou pretende-se que seja vendido ou consumido no curso normal do ciclo operacional da entidade;</w:t>
      </w:r>
    </w:p>
    <w:p w14:paraId="395BB170" w14:textId="77777777" w:rsidR="00CB3DE1" w:rsidRPr="00CB3DE1" w:rsidRDefault="00CB3DE1" w:rsidP="00CB3DE1">
      <w:pPr>
        <w:widowControl w:val="0"/>
        <w:numPr>
          <w:ilvl w:val="0"/>
          <w:numId w:val="13"/>
        </w:numPr>
        <w:tabs>
          <w:tab w:val="clear" w:pos="1070"/>
        </w:tabs>
        <w:spacing w:before="0"/>
        <w:ind w:left="426" w:hanging="426"/>
        <w:rPr>
          <w:rFonts w:ascii="Times New Roman" w:hAnsi="Times New Roman"/>
          <w:bCs/>
          <w:iCs/>
          <w:color w:val="000000"/>
          <w:sz w:val="24"/>
          <w:lang w:val="pt-BR"/>
        </w:rPr>
      </w:pPr>
      <w:r w:rsidRPr="00CB3DE1">
        <w:rPr>
          <w:rFonts w:ascii="Times New Roman" w:hAnsi="Times New Roman"/>
          <w:bCs/>
          <w:iCs/>
          <w:color w:val="000000"/>
          <w:sz w:val="24"/>
          <w:lang w:val="pt-BR"/>
        </w:rPr>
        <w:t>é mantido essencialmente com o propósito de ser negociado;</w:t>
      </w:r>
    </w:p>
    <w:p w14:paraId="0DB2E1AB" w14:textId="77777777" w:rsidR="00CB3DE1" w:rsidRPr="00CB3DE1" w:rsidRDefault="00CB3DE1" w:rsidP="00CB3DE1">
      <w:pPr>
        <w:widowControl w:val="0"/>
        <w:numPr>
          <w:ilvl w:val="0"/>
          <w:numId w:val="13"/>
        </w:numPr>
        <w:tabs>
          <w:tab w:val="clear" w:pos="1070"/>
        </w:tabs>
        <w:spacing w:before="0"/>
        <w:ind w:left="426" w:hanging="426"/>
        <w:rPr>
          <w:rFonts w:ascii="Times New Roman" w:hAnsi="Times New Roman"/>
          <w:bCs/>
          <w:iCs/>
          <w:color w:val="000000"/>
          <w:sz w:val="24"/>
          <w:lang w:val="pt-BR"/>
        </w:rPr>
      </w:pPr>
      <w:r w:rsidRPr="00CB3DE1">
        <w:rPr>
          <w:rFonts w:ascii="Times New Roman" w:hAnsi="Times New Roman"/>
          <w:bCs/>
          <w:iCs/>
          <w:color w:val="000000"/>
          <w:sz w:val="24"/>
          <w:lang w:val="pt-BR"/>
        </w:rPr>
        <w:t>espera-se que seja realizado no período de até doze meses após a data do balanço; ou</w:t>
      </w:r>
    </w:p>
    <w:p w14:paraId="228817A4" w14:textId="77777777" w:rsidR="00CB3DE1" w:rsidRPr="00CB3DE1" w:rsidRDefault="00CB3DE1" w:rsidP="00CB3DE1">
      <w:pPr>
        <w:widowControl w:val="0"/>
        <w:numPr>
          <w:ilvl w:val="0"/>
          <w:numId w:val="13"/>
        </w:numPr>
        <w:tabs>
          <w:tab w:val="clear" w:pos="1070"/>
        </w:tabs>
        <w:spacing w:before="0" w:after="0"/>
        <w:ind w:left="426" w:hanging="426"/>
        <w:rPr>
          <w:rFonts w:ascii="Times New Roman" w:hAnsi="Times New Roman"/>
          <w:bCs/>
          <w:iCs/>
          <w:color w:val="000000"/>
          <w:sz w:val="24"/>
          <w:lang w:val="pt-BR"/>
        </w:rPr>
      </w:pPr>
      <w:r w:rsidRPr="00CB3DE1">
        <w:rPr>
          <w:rFonts w:ascii="Times New Roman" w:hAnsi="Times New Roman"/>
          <w:bCs/>
          <w:iCs/>
          <w:color w:val="000000"/>
          <w:sz w:val="24"/>
          <w:lang w:val="pt-BR"/>
        </w:rPr>
        <w:t>é caixa ou equivalente de caixa, a menos que sua troca ou seu uso tenha limitações para a liquidação de passivo durante, pelo menos, doze meses após a data do balanço.</w:t>
      </w:r>
    </w:p>
    <w:p w14:paraId="59FFC319" w14:textId="77777777" w:rsidR="00CB3DE1" w:rsidRPr="00CB3DE1" w:rsidRDefault="00CB3DE1" w:rsidP="00CB3DE1">
      <w:pPr>
        <w:widowControl w:val="0"/>
        <w:tabs>
          <w:tab w:val="left" w:pos="6804"/>
        </w:tabs>
        <w:spacing w:before="0" w:after="0"/>
        <w:rPr>
          <w:rFonts w:ascii="Times New Roman" w:hAnsi="Times New Roman"/>
          <w:i/>
          <w:color w:val="000000"/>
          <w:sz w:val="24"/>
          <w:lang w:val="pt-BR" w:eastAsia="x-none"/>
        </w:rPr>
      </w:pPr>
    </w:p>
    <w:p w14:paraId="43EC6BBA" w14:textId="77777777" w:rsidR="00CB3DE1" w:rsidRPr="00CB3DE1" w:rsidRDefault="00CB3DE1" w:rsidP="00CB3DE1">
      <w:pPr>
        <w:widowControl w:val="0"/>
        <w:tabs>
          <w:tab w:val="left" w:pos="6804"/>
        </w:tabs>
        <w:spacing w:before="0"/>
        <w:rPr>
          <w:rFonts w:ascii="Times New Roman" w:hAnsi="Times New Roman"/>
          <w:color w:val="000000"/>
          <w:sz w:val="24"/>
          <w:lang w:val="pt-BR" w:eastAsia="x-none"/>
        </w:rPr>
      </w:pPr>
      <w:r w:rsidRPr="00CB3DE1">
        <w:rPr>
          <w:rFonts w:ascii="Times New Roman" w:hAnsi="Times New Roman"/>
          <w:i/>
          <w:color w:val="000000"/>
          <w:sz w:val="24"/>
          <w:lang w:val="pt-BR" w:eastAsia="x-none"/>
        </w:rPr>
        <w:t xml:space="preserve">Operação descontinuada </w:t>
      </w:r>
      <w:r w:rsidRPr="00CB3DE1">
        <w:rPr>
          <w:rFonts w:ascii="Times New Roman" w:hAnsi="Times New Roman"/>
          <w:color w:val="000000"/>
          <w:sz w:val="24"/>
          <w:lang w:val="pt-BR" w:eastAsia="x-none"/>
        </w:rPr>
        <w:t>é o componente da entidade que tenha sido alienado ou esteja classificado como mantido para venda e:</w:t>
      </w:r>
    </w:p>
    <w:p w14:paraId="5FED89A6" w14:textId="77777777" w:rsidR="00CB3DE1" w:rsidRPr="00CB3DE1" w:rsidRDefault="00CB3DE1" w:rsidP="00CB3DE1">
      <w:pPr>
        <w:widowControl w:val="0"/>
        <w:numPr>
          <w:ilvl w:val="0"/>
          <w:numId w:val="14"/>
        </w:numPr>
        <w:tabs>
          <w:tab w:val="clear" w:pos="1070"/>
        </w:tabs>
        <w:spacing w:before="0"/>
        <w:ind w:left="426" w:hanging="426"/>
        <w:rPr>
          <w:rFonts w:ascii="Times New Roman" w:hAnsi="Times New Roman"/>
          <w:bCs/>
          <w:iCs/>
          <w:color w:val="000000"/>
          <w:sz w:val="24"/>
          <w:lang w:val="pt-BR"/>
        </w:rPr>
      </w:pPr>
      <w:r w:rsidRPr="00CB3DE1">
        <w:rPr>
          <w:rFonts w:ascii="Times New Roman" w:hAnsi="Times New Roman"/>
          <w:bCs/>
          <w:iCs/>
          <w:color w:val="000000"/>
          <w:sz w:val="24"/>
          <w:lang w:val="pt-BR"/>
        </w:rPr>
        <w:t>representa uma importante linha separada de negócios ou área geográfica de operações;</w:t>
      </w:r>
    </w:p>
    <w:p w14:paraId="36C67F4B" w14:textId="77777777" w:rsidR="00CB3DE1" w:rsidRPr="00CB3DE1" w:rsidRDefault="00CB3DE1" w:rsidP="00CB3DE1">
      <w:pPr>
        <w:widowControl w:val="0"/>
        <w:numPr>
          <w:ilvl w:val="0"/>
          <w:numId w:val="14"/>
        </w:numPr>
        <w:tabs>
          <w:tab w:val="clear" w:pos="1070"/>
        </w:tabs>
        <w:spacing w:before="0"/>
        <w:ind w:left="426" w:hanging="426"/>
        <w:rPr>
          <w:rFonts w:ascii="Times New Roman" w:hAnsi="Times New Roman"/>
          <w:bCs/>
          <w:iCs/>
          <w:color w:val="000000"/>
          <w:sz w:val="24"/>
          <w:lang w:val="pt-BR"/>
        </w:rPr>
      </w:pPr>
      <w:r w:rsidRPr="00CB3DE1">
        <w:rPr>
          <w:rFonts w:ascii="Times New Roman" w:hAnsi="Times New Roman"/>
          <w:bCs/>
          <w:iCs/>
          <w:color w:val="000000"/>
          <w:sz w:val="24"/>
          <w:lang w:val="pt-BR"/>
        </w:rPr>
        <w:t>é parte integrante de um único plano coordenado para vender uma importante linha separada de negócios ou área geográfica de operações; ou</w:t>
      </w:r>
    </w:p>
    <w:p w14:paraId="780E3FDA" w14:textId="77777777" w:rsidR="00CB3DE1" w:rsidRPr="00CB3DE1" w:rsidRDefault="00CB3DE1" w:rsidP="00CB3DE1">
      <w:pPr>
        <w:widowControl w:val="0"/>
        <w:numPr>
          <w:ilvl w:val="0"/>
          <w:numId w:val="14"/>
        </w:numPr>
        <w:tabs>
          <w:tab w:val="clear" w:pos="1070"/>
        </w:tabs>
        <w:spacing w:before="0" w:after="0"/>
        <w:ind w:left="426" w:hanging="426"/>
        <w:rPr>
          <w:rFonts w:ascii="Times New Roman" w:hAnsi="Times New Roman"/>
          <w:bCs/>
          <w:iCs/>
          <w:color w:val="000000"/>
          <w:sz w:val="24"/>
          <w:lang w:val="pt-BR"/>
        </w:rPr>
      </w:pPr>
      <w:r w:rsidRPr="00CB3DE1">
        <w:rPr>
          <w:rFonts w:ascii="Times New Roman" w:hAnsi="Times New Roman"/>
          <w:bCs/>
          <w:iCs/>
          <w:color w:val="000000"/>
          <w:sz w:val="24"/>
          <w:lang w:val="pt-BR"/>
        </w:rPr>
        <w:t>é uma controlada adquirida exclusivamente com o objetivo de revenda.</w:t>
      </w:r>
    </w:p>
    <w:p w14:paraId="55B485B4" w14:textId="77777777" w:rsidR="00CB3DE1" w:rsidRPr="00CB3DE1" w:rsidRDefault="00CB3DE1" w:rsidP="00CB3DE1">
      <w:pPr>
        <w:widowControl w:val="0"/>
        <w:tabs>
          <w:tab w:val="left" w:pos="6804"/>
        </w:tabs>
        <w:spacing w:before="0" w:after="0"/>
        <w:rPr>
          <w:rFonts w:ascii="Times New Roman" w:hAnsi="Times New Roman"/>
          <w:i/>
          <w:color w:val="000000"/>
          <w:sz w:val="24"/>
          <w:lang w:val="pt-BR" w:eastAsia="x-none"/>
        </w:rPr>
      </w:pPr>
    </w:p>
    <w:p w14:paraId="097A3FCF"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r w:rsidRPr="00CB3DE1">
        <w:rPr>
          <w:rFonts w:ascii="Times New Roman" w:hAnsi="Times New Roman"/>
          <w:i/>
          <w:color w:val="000000"/>
          <w:sz w:val="24"/>
          <w:lang w:val="pt-BR" w:eastAsia="x-none"/>
        </w:rPr>
        <w:t xml:space="preserve">Grupo de ativos mantido para venda </w:t>
      </w:r>
      <w:r w:rsidRPr="00CB3DE1">
        <w:rPr>
          <w:rFonts w:ascii="Times New Roman" w:hAnsi="Times New Roman"/>
          <w:color w:val="000000"/>
          <w:sz w:val="24"/>
          <w:lang w:val="pt-BR" w:eastAsia="x-none"/>
        </w:rPr>
        <w:t>(colocado à venda) é um grupo de ativos a ser alienado, por venda ou de outra forma, em conjunto como um grupo de ativos em uma só transação, e passivos diretamente associados a esses ativos que serão transferidos na transação. O grupo de ativos inclui ágio por expectativa de rentabilidade futura (</w:t>
      </w:r>
      <w:r w:rsidRPr="00CB3DE1">
        <w:rPr>
          <w:rFonts w:ascii="Times New Roman" w:hAnsi="Times New Roman"/>
          <w:i/>
          <w:color w:val="000000"/>
          <w:sz w:val="24"/>
          <w:lang w:val="pt-BR" w:eastAsia="x-none"/>
        </w:rPr>
        <w:t>goodwill</w:t>
      </w:r>
      <w:r w:rsidRPr="00CB3DE1">
        <w:rPr>
          <w:rFonts w:ascii="Times New Roman" w:hAnsi="Times New Roman"/>
          <w:color w:val="000000"/>
          <w:sz w:val="24"/>
          <w:lang w:val="pt-BR" w:eastAsia="x-none"/>
        </w:rPr>
        <w:t>) adquirido em combinação de negócios se o grupo de ativos for uma unidade geradora de caixa à qual tenha sido alocado ágio (</w:t>
      </w:r>
      <w:r w:rsidRPr="00CB3DE1">
        <w:rPr>
          <w:rFonts w:ascii="Times New Roman" w:hAnsi="Times New Roman"/>
          <w:i/>
          <w:color w:val="000000"/>
          <w:sz w:val="24"/>
          <w:lang w:val="pt-BR" w:eastAsia="x-none"/>
        </w:rPr>
        <w:t>goodwill</w:t>
      </w:r>
      <w:r w:rsidRPr="00CB3DE1">
        <w:rPr>
          <w:rFonts w:ascii="Times New Roman" w:hAnsi="Times New Roman"/>
          <w:color w:val="000000"/>
          <w:sz w:val="24"/>
          <w:lang w:val="pt-BR" w:eastAsia="x-none"/>
        </w:rPr>
        <w:t>) de acordo com os requisitos dos itens 77 a 83 do Pronunciamento Técnico CPC 01 - Redução ao Valor Recuperável de Ativos ou se for uma operação dentro dessa unidade geradora de caixa.</w:t>
      </w:r>
    </w:p>
    <w:p w14:paraId="31EE8D84" w14:textId="77777777" w:rsidR="00CB3DE1" w:rsidRPr="00CB3DE1" w:rsidRDefault="00CB3DE1" w:rsidP="00CB3DE1">
      <w:pPr>
        <w:widowControl w:val="0"/>
        <w:tabs>
          <w:tab w:val="left" w:pos="6804"/>
        </w:tabs>
        <w:spacing w:before="0" w:after="0"/>
        <w:rPr>
          <w:rFonts w:ascii="Times New Roman" w:hAnsi="Times New Roman"/>
          <w:i/>
          <w:color w:val="000000"/>
          <w:sz w:val="24"/>
          <w:lang w:val="pt-BR" w:eastAsia="x-none"/>
        </w:rPr>
      </w:pPr>
    </w:p>
    <w:p w14:paraId="35B537A8" w14:textId="53799E6A"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r w:rsidRPr="00CB3DE1">
        <w:rPr>
          <w:rFonts w:ascii="Times New Roman" w:hAnsi="Times New Roman"/>
          <w:i/>
          <w:color w:val="000000"/>
          <w:sz w:val="24"/>
          <w:lang w:val="pt-BR" w:eastAsia="x-none"/>
        </w:rPr>
        <w:t xml:space="preserve">Valor justo </w:t>
      </w:r>
      <w:r w:rsidRPr="00CB3DE1">
        <w:rPr>
          <w:rFonts w:ascii="Times New Roman" w:hAnsi="Times New Roman"/>
          <w:color w:val="000000"/>
          <w:sz w:val="24"/>
          <w:lang w:val="pt-BR" w:eastAsia="x-none"/>
        </w:rPr>
        <w:t>é o preço que seria recebido pela venda de um ativo ou que seria pago pela transferência de um passivo em uma transação não forçada entre participantes do mercado na data de mensuração (ver Pronunciamento Técnico CPC 46).</w:t>
      </w:r>
    </w:p>
    <w:p w14:paraId="04250133" w14:textId="77777777" w:rsidR="00CB3DE1" w:rsidRPr="00CB3DE1" w:rsidRDefault="00CB3DE1" w:rsidP="00CB3DE1">
      <w:pPr>
        <w:widowControl w:val="0"/>
        <w:tabs>
          <w:tab w:val="left" w:pos="6804"/>
        </w:tabs>
        <w:spacing w:before="0" w:after="0"/>
        <w:rPr>
          <w:rFonts w:ascii="Times New Roman" w:hAnsi="Times New Roman"/>
          <w:i/>
          <w:color w:val="000000"/>
          <w:sz w:val="24"/>
          <w:lang w:val="pt-BR" w:eastAsia="x-none"/>
        </w:rPr>
      </w:pPr>
    </w:p>
    <w:p w14:paraId="1AABBADA" w14:textId="77777777" w:rsidR="00CB3DE1" w:rsidRPr="00CB3DE1" w:rsidRDefault="00CB3DE1" w:rsidP="00CB3DE1">
      <w:pPr>
        <w:widowControl w:val="0"/>
        <w:tabs>
          <w:tab w:val="left" w:pos="6804"/>
        </w:tabs>
        <w:spacing w:before="0" w:after="0"/>
        <w:rPr>
          <w:rFonts w:ascii="Times New Roman" w:hAnsi="Times New Roman"/>
          <w:sz w:val="24"/>
          <w:lang w:val="pt-BR" w:eastAsia="x-none"/>
        </w:rPr>
      </w:pPr>
      <w:r w:rsidRPr="00CB3DE1">
        <w:rPr>
          <w:rFonts w:ascii="Times New Roman" w:hAnsi="Times New Roman"/>
          <w:i/>
          <w:color w:val="000000"/>
          <w:sz w:val="24"/>
          <w:lang w:val="pt-BR" w:eastAsia="x-none"/>
        </w:rPr>
        <w:lastRenderedPageBreak/>
        <w:t xml:space="preserve">Compromisso firme de compra </w:t>
      </w:r>
      <w:r w:rsidRPr="00CB3DE1">
        <w:rPr>
          <w:rFonts w:ascii="Times New Roman" w:hAnsi="Times New Roman"/>
          <w:color w:val="000000"/>
          <w:sz w:val="24"/>
          <w:lang w:val="pt-BR" w:eastAsia="x-none"/>
        </w:rPr>
        <w:t>é um acordo com uma parte não relacionada, vinculando ambas as partes e geralmente com vínculo jurídico, que (a) especifica todos os termos significativos</w:t>
      </w:r>
      <w:r w:rsidRPr="00CB3DE1">
        <w:rPr>
          <w:rFonts w:ascii="Times New Roman" w:hAnsi="Times New Roman"/>
          <w:sz w:val="24"/>
          <w:lang w:val="pt-BR" w:eastAsia="x-none"/>
        </w:rPr>
        <w:t>, incluindo o preço e o cronograma da transação, e (b) inclui uma penalidade por não desempenho, que é suficientemente grande para tornar o desempenho altamente provável.</w:t>
      </w:r>
    </w:p>
    <w:p w14:paraId="492BEEF3" w14:textId="77777777" w:rsidR="00CB3DE1" w:rsidRPr="00CB3DE1" w:rsidRDefault="00CB3DE1" w:rsidP="00CB3DE1">
      <w:pPr>
        <w:widowControl w:val="0"/>
        <w:tabs>
          <w:tab w:val="left" w:pos="6804"/>
        </w:tabs>
        <w:spacing w:before="0" w:after="0"/>
        <w:rPr>
          <w:rFonts w:ascii="Times New Roman" w:hAnsi="Times New Roman"/>
          <w:sz w:val="24"/>
          <w:lang w:val="pt-BR" w:eastAsia="x-none"/>
        </w:rPr>
      </w:pPr>
    </w:p>
    <w:p w14:paraId="357AAB22"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r w:rsidRPr="00CB3DE1">
        <w:rPr>
          <w:rFonts w:ascii="Times New Roman" w:hAnsi="Times New Roman"/>
          <w:i/>
          <w:color w:val="000000"/>
          <w:sz w:val="24"/>
          <w:lang w:val="pt-BR" w:eastAsia="x-none"/>
        </w:rPr>
        <w:t>Altamente provável s</w:t>
      </w:r>
      <w:r w:rsidRPr="00CB3DE1">
        <w:rPr>
          <w:rFonts w:ascii="Times New Roman" w:hAnsi="Times New Roman"/>
          <w:color w:val="000000"/>
          <w:sz w:val="24"/>
          <w:lang w:val="pt-BR" w:eastAsia="x-none"/>
        </w:rPr>
        <w:t>ignifica mais provável que simplesmente provável.</w:t>
      </w:r>
    </w:p>
    <w:p w14:paraId="3E03FC70" w14:textId="77777777" w:rsidR="00CB3DE1" w:rsidRPr="00CB3DE1" w:rsidRDefault="00CB3DE1" w:rsidP="00CB3DE1">
      <w:pPr>
        <w:widowControl w:val="0"/>
        <w:tabs>
          <w:tab w:val="left" w:pos="6804"/>
        </w:tabs>
        <w:spacing w:before="0" w:after="0"/>
        <w:rPr>
          <w:rFonts w:ascii="Times New Roman" w:hAnsi="Times New Roman"/>
          <w:i/>
          <w:color w:val="000000"/>
          <w:sz w:val="24"/>
          <w:lang w:val="pt-BR" w:eastAsia="x-none"/>
        </w:rPr>
      </w:pPr>
    </w:p>
    <w:p w14:paraId="39F81A4C"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r w:rsidRPr="00CB3DE1">
        <w:rPr>
          <w:rFonts w:ascii="Times New Roman" w:hAnsi="Times New Roman"/>
          <w:i/>
          <w:color w:val="000000"/>
          <w:sz w:val="24"/>
          <w:lang w:val="pt-BR" w:eastAsia="x-none"/>
        </w:rPr>
        <w:t xml:space="preserve">Ativo não circulante </w:t>
      </w:r>
      <w:r w:rsidRPr="00CB3DE1">
        <w:rPr>
          <w:rFonts w:ascii="Times New Roman" w:hAnsi="Times New Roman"/>
          <w:color w:val="000000"/>
          <w:sz w:val="24"/>
          <w:lang w:val="pt-BR" w:eastAsia="x-none"/>
        </w:rPr>
        <w:t>é um ativo que não satisfaz à definição de ativo circulante.</w:t>
      </w:r>
    </w:p>
    <w:p w14:paraId="7E15A5A1"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1F801165"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r w:rsidRPr="00CB3DE1">
        <w:rPr>
          <w:rFonts w:ascii="Times New Roman" w:hAnsi="Times New Roman"/>
          <w:i/>
          <w:color w:val="000000"/>
          <w:sz w:val="24"/>
          <w:lang w:val="pt-BR" w:eastAsia="x-none"/>
        </w:rPr>
        <w:t>Provável</w:t>
      </w:r>
      <w:r w:rsidRPr="00CB3DE1">
        <w:rPr>
          <w:rFonts w:ascii="Times New Roman" w:hAnsi="Times New Roman"/>
          <w:color w:val="000000"/>
          <w:sz w:val="24"/>
          <w:lang w:val="pt-BR" w:eastAsia="x-none"/>
        </w:rPr>
        <w:t xml:space="preserve"> é o que tem mais chance de ocorrer do que de não ocorrer.</w:t>
      </w:r>
    </w:p>
    <w:p w14:paraId="0F280591" w14:textId="77777777" w:rsidR="00CB3DE1" w:rsidRPr="00CB3DE1" w:rsidRDefault="00CB3DE1" w:rsidP="00CB3DE1">
      <w:pPr>
        <w:widowControl w:val="0"/>
        <w:tabs>
          <w:tab w:val="left" w:pos="6804"/>
        </w:tabs>
        <w:spacing w:before="0" w:after="0"/>
        <w:rPr>
          <w:rFonts w:ascii="Times New Roman" w:hAnsi="Times New Roman"/>
          <w:i/>
          <w:color w:val="000000"/>
          <w:sz w:val="24"/>
          <w:lang w:val="pt-BR" w:eastAsia="x-none"/>
        </w:rPr>
      </w:pPr>
    </w:p>
    <w:p w14:paraId="0D6A5628"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r w:rsidRPr="00CB3DE1">
        <w:rPr>
          <w:rFonts w:ascii="Times New Roman" w:hAnsi="Times New Roman"/>
          <w:i/>
          <w:color w:val="000000"/>
          <w:sz w:val="24"/>
          <w:lang w:val="pt-BR" w:eastAsia="x-none"/>
        </w:rPr>
        <w:t>Montante recuperável</w:t>
      </w:r>
      <w:r w:rsidRPr="00CB3DE1">
        <w:rPr>
          <w:rFonts w:ascii="Times New Roman" w:hAnsi="Times New Roman"/>
          <w:color w:val="000000"/>
          <w:sz w:val="24"/>
          <w:lang w:val="pt-BR" w:eastAsia="x-none"/>
        </w:rPr>
        <w:t xml:space="preserve"> é o valor mais alto entre o valor justo de um ativo menos as despesas de venda e o seu valor de uso.</w:t>
      </w:r>
    </w:p>
    <w:p w14:paraId="43780523" w14:textId="77777777" w:rsidR="00CB3DE1" w:rsidRPr="00CB3DE1" w:rsidRDefault="00CB3DE1" w:rsidP="00CB3DE1">
      <w:pPr>
        <w:widowControl w:val="0"/>
        <w:tabs>
          <w:tab w:val="left" w:pos="6804"/>
        </w:tabs>
        <w:spacing w:before="0" w:after="0"/>
        <w:rPr>
          <w:rFonts w:ascii="Times New Roman" w:hAnsi="Times New Roman"/>
          <w:i/>
          <w:color w:val="000000"/>
          <w:sz w:val="24"/>
          <w:lang w:val="pt-BR" w:eastAsia="x-none"/>
        </w:rPr>
      </w:pPr>
    </w:p>
    <w:p w14:paraId="6E69E9ED"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r w:rsidRPr="00CB3DE1">
        <w:rPr>
          <w:rFonts w:ascii="Times New Roman" w:hAnsi="Times New Roman"/>
          <w:i/>
          <w:color w:val="000000"/>
          <w:sz w:val="24"/>
          <w:lang w:val="pt-BR" w:eastAsia="x-none"/>
        </w:rPr>
        <w:t>Valor de uso</w:t>
      </w:r>
      <w:r w:rsidRPr="00CB3DE1">
        <w:rPr>
          <w:rFonts w:ascii="Times New Roman" w:hAnsi="Times New Roman"/>
          <w:color w:val="000000"/>
          <w:sz w:val="24"/>
          <w:lang w:val="pt-BR" w:eastAsia="x-none"/>
        </w:rPr>
        <w:t xml:space="preserve"> é o valor presente dos fluxos de caixa futuros estimados que se espera que surjam do uso contínuo de um ativo e da sua disposição ao final da sua vida útil.</w:t>
      </w:r>
    </w:p>
    <w:p w14:paraId="70401D9C"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66BCD4E4" w14:textId="77777777" w:rsidR="00CB3DE1" w:rsidRPr="00CB3DE1" w:rsidRDefault="00CB3DE1" w:rsidP="00CB3DE1">
      <w:pPr>
        <w:widowControl w:val="0"/>
        <w:tabs>
          <w:tab w:val="left" w:pos="6804"/>
        </w:tabs>
        <w:spacing w:before="0" w:after="0"/>
        <w:ind w:left="57"/>
        <w:rPr>
          <w:rFonts w:ascii="Times New Roman" w:hAnsi="Times New Roman"/>
          <w:b/>
          <w:sz w:val="24"/>
        </w:rPr>
      </w:pPr>
    </w:p>
    <w:p w14:paraId="75402C55" w14:textId="77777777" w:rsidR="00CB3DE1" w:rsidRPr="00CB3DE1" w:rsidRDefault="00CB3DE1" w:rsidP="00CB3DE1">
      <w:pPr>
        <w:widowControl w:val="0"/>
        <w:tabs>
          <w:tab w:val="left" w:pos="6804"/>
        </w:tabs>
        <w:spacing w:before="0" w:after="0"/>
        <w:ind w:left="57"/>
        <w:rPr>
          <w:rFonts w:ascii="Times New Roman" w:hAnsi="Times New Roman"/>
          <w:b/>
          <w:sz w:val="24"/>
        </w:rPr>
      </w:pPr>
    </w:p>
    <w:p w14:paraId="6FA0D5F9" w14:textId="77777777" w:rsidR="0006156C" w:rsidRDefault="0006156C">
      <w:pPr>
        <w:spacing w:before="0" w:after="160" w:line="259" w:lineRule="auto"/>
        <w:jc w:val="left"/>
        <w:rPr>
          <w:rFonts w:ascii="Times New Roman" w:hAnsi="Times New Roman"/>
          <w:b/>
          <w:sz w:val="28"/>
          <w:szCs w:val="28"/>
          <w:lang w:val="pt-BR" w:eastAsia="x-none"/>
        </w:rPr>
      </w:pPr>
      <w:r>
        <w:rPr>
          <w:rFonts w:ascii="Times New Roman" w:hAnsi="Times New Roman"/>
          <w:b/>
          <w:sz w:val="28"/>
          <w:szCs w:val="28"/>
          <w:lang w:val="pt-BR" w:eastAsia="x-none"/>
        </w:rPr>
        <w:br w:type="page"/>
      </w:r>
    </w:p>
    <w:p w14:paraId="39F19C3C" w14:textId="7BBF2950" w:rsidR="00CB3DE1" w:rsidRPr="00CB3DE1" w:rsidRDefault="00CB3DE1" w:rsidP="00CB3DE1">
      <w:pPr>
        <w:widowControl w:val="0"/>
        <w:tabs>
          <w:tab w:val="left" w:pos="6804"/>
        </w:tabs>
        <w:spacing w:before="0" w:after="0"/>
        <w:rPr>
          <w:rFonts w:ascii="Times New Roman" w:hAnsi="Times New Roman"/>
          <w:b/>
          <w:sz w:val="28"/>
          <w:szCs w:val="28"/>
          <w:lang w:val="pt-BR" w:eastAsia="x-none"/>
        </w:rPr>
      </w:pPr>
      <w:r w:rsidRPr="00CB3DE1">
        <w:rPr>
          <w:rFonts w:ascii="Times New Roman" w:hAnsi="Times New Roman"/>
          <w:b/>
          <w:sz w:val="28"/>
          <w:szCs w:val="28"/>
          <w:lang w:val="pt-BR" w:eastAsia="x-none"/>
        </w:rPr>
        <w:lastRenderedPageBreak/>
        <w:t>Apêndice B – Suplemento de aplicação</w:t>
      </w:r>
    </w:p>
    <w:p w14:paraId="05037E3F" w14:textId="77777777" w:rsidR="00CB3DE1" w:rsidRPr="00CB3DE1" w:rsidRDefault="00CB3DE1" w:rsidP="00CB3DE1">
      <w:pPr>
        <w:widowControl w:val="0"/>
        <w:tabs>
          <w:tab w:val="left" w:pos="6804"/>
        </w:tabs>
        <w:spacing w:before="0" w:after="0"/>
        <w:rPr>
          <w:rFonts w:ascii="Times New Roman" w:hAnsi="Times New Roman"/>
          <w:i/>
          <w:color w:val="000000"/>
          <w:sz w:val="24"/>
          <w:lang w:val="pt-BR" w:eastAsia="x-none"/>
        </w:rPr>
      </w:pPr>
    </w:p>
    <w:p w14:paraId="720EDF32" w14:textId="77777777" w:rsidR="00CB3DE1" w:rsidRPr="00CB3DE1" w:rsidRDefault="00CB3DE1" w:rsidP="00CB3DE1">
      <w:pPr>
        <w:widowControl w:val="0"/>
        <w:tabs>
          <w:tab w:val="left" w:pos="6804"/>
        </w:tabs>
        <w:spacing w:before="0" w:after="0"/>
        <w:rPr>
          <w:rFonts w:ascii="Times New Roman" w:hAnsi="Times New Roman"/>
          <w:i/>
          <w:color w:val="000000"/>
          <w:sz w:val="24"/>
          <w:lang w:val="pt-BR" w:eastAsia="x-none"/>
        </w:rPr>
      </w:pPr>
      <w:r w:rsidRPr="00CB3DE1">
        <w:rPr>
          <w:rFonts w:ascii="Times New Roman" w:hAnsi="Times New Roman"/>
          <w:i/>
          <w:color w:val="000000"/>
          <w:sz w:val="24"/>
          <w:lang w:val="pt-BR" w:eastAsia="x-none"/>
        </w:rPr>
        <w:t>Este Apêndice é parte integrante deste Pronunciamento Técnico.</w:t>
      </w:r>
    </w:p>
    <w:p w14:paraId="3F9576BA" w14:textId="77777777" w:rsidR="00CB3DE1" w:rsidRPr="00CB3DE1" w:rsidRDefault="00CB3DE1" w:rsidP="00CB3DE1">
      <w:pPr>
        <w:widowControl w:val="0"/>
        <w:tabs>
          <w:tab w:val="left" w:pos="6804"/>
        </w:tabs>
        <w:spacing w:before="0" w:after="0"/>
        <w:rPr>
          <w:rFonts w:ascii="Times New Roman" w:hAnsi="Times New Roman"/>
          <w:b/>
          <w:color w:val="000000"/>
          <w:sz w:val="24"/>
          <w:lang w:val="pt-BR" w:eastAsia="x-none"/>
        </w:rPr>
      </w:pPr>
    </w:p>
    <w:p w14:paraId="63F89742" w14:textId="77777777" w:rsidR="00CB3DE1" w:rsidRPr="00CB3DE1" w:rsidRDefault="00CB3DE1" w:rsidP="00CB3DE1">
      <w:pPr>
        <w:widowControl w:val="0"/>
        <w:tabs>
          <w:tab w:val="left" w:pos="6804"/>
        </w:tabs>
        <w:spacing w:before="0" w:after="0"/>
        <w:rPr>
          <w:rFonts w:ascii="Times New Roman" w:hAnsi="Times New Roman"/>
          <w:b/>
          <w:color w:val="000000"/>
          <w:sz w:val="24"/>
          <w:lang w:val="pt-BR" w:eastAsia="x-none"/>
        </w:rPr>
      </w:pPr>
      <w:r w:rsidRPr="00CB3DE1">
        <w:rPr>
          <w:rFonts w:ascii="Times New Roman" w:hAnsi="Times New Roman"/>
          <w:b/>
          <w:color w:val="000000"/>
          <w:sz w:val="24"/>
          <w:lang w:val="pt-BR" w:eastAsia="x-none"/>
        </w:rPr>
        <w:t>Extensão do período exigido para concluir uma venda</w:t>
      </w:r>
    </w:p>
    <w:p w14:paraId="52CFA913"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03961F8A" w14:textId="77777777" w:rsidR="00CB3DE1" w:rsidRPr="00CB3DE1" w:rsidRDefault="00CB3DE1" w:rsidP="00CB3DE1">
      <w:pPr>
        <w:widowControl w:val="0"/>
        <w:tabs>
          <w:tab w:val="left" w:pos="6804"/>
        </w:tabs>
        <w:spacing w:before="0"/>
        <w:ind w:left="567" w:hanging="567"/>
        <w:rPr>
          <w:rFonts w:ascii="Times New Roman" w:hAnsi="Times New Roman"/>
          <w:color w:val="000000"/>
          <w:sz w:val="24"/>
          <w:lang w:val="pt-BR" w:eastAsia="x-none"/>
        </w:rPr>
      </w:pPr>
      <w:r w:rsidRPr="00CB3DE1">
        <w:rPr>
          <w:rFonts w:ascii="Times New Roman" w:hAnsi="Times New Roman"/>
          <w:color w:val="000000"/>
          <w:sz w:val="24"/>
          <w:lang w:val="pt-BR" w:eastAsia="x-none"/>
        </w:rPr>
        <w:t>B1.</w:t>
      </w:r>
      <w:r w:rsidRPr="00CB3DE1">
        <w:rPr>
          <w:rFonts w:ascii="Times New Roman" w:hAnsi="Times New Roman"/>
          <w:color w:val="000000"/>
          <w:sz w:val="24"/>
          <w:lang w:val="pt-BR" w:eastAsia="x-none"/>
        </w:rPr>
        <w:tab/>
        <w:t>Tal como indicado no item 9, a extensão do período durante o qual se exige que a venda seja concluída não impossibilita que o ativo ou o grupo de ativos seja classificado como mantido para venda se o atraso for causado por acontecimentos ou circunstâncias fora do controle da entidade e se houver evidência suficiente de que a entidade continua comprometida com o seu plano de venda do ativo ou do grupo de ativos. Uma exceção ao requisito de um ano exposto no item 8 deve, portanto, aplicar-se a situações em que esses acontecimentos ou essas circunstâncias ocorram. São elas:</w:t>
      </w:r>
    </w:p>
    <w:p w14:paraId="3144983F" w14:textId="77777777" w:rsidR="00CB3DE1" w:rsidRPr="00CB3DE1" w:rsidRDefault="00CB3DE1" w:rsidP="00CB3DE1">
      <w:pPr>
        <w:widowControl w:val="0"/>
        <w:numPr>
          <w:ilvl w:val="0"/>
          <w:numId w:val="15"/>
        </w:numPr>
        <w:tabs>
          <w:tab w:val="clear" w:pos="1070"/>
        </w:tabs>
        <w:spacing w:before="0"/>
        <w:ind w:left="993" w:hanging="426"/>
        <w:rPr>
          <w:rFonts w:ascii="Times New Roman" w:hAnsi="Times New Roman"/>
          <w:bCs/>
          <w:iCs/>
          <w:color w:val="000000"/>
          <w:sz w:val="24"/>
          <w:lang w:val="pt-BR"/>
        </w:rPr>
      </w:pPr>
      <w:r w:rsidRPr="00CB3DE1">
        <w:rPr>
          <w:rFonts w:ascii="Times New Roman" w:hAnsi="Times New Roman"/>
          <w:bCs/>
          <w:iCs/>
          <w:color w:val="000000"/>
          <w:sz w:val="24"/>
          <w:lang w:val="pt-BR"/>
        </w:rPr>
        <w:t>na data em que a entidade se compromete a planejar a venda de ativo ou grupo de ativos não circulantes mantido para venda, ela espera, razoavelmente, que outros (não o comprador) imponham condições à transferência do ativo ou do grupo de ativos que estendam o período exigido com o objetivo de que a venda seja concluída, e:</w:t>
      </w:r>
    </w:p>
    <w:p w14:paraId="2F917BAF" w14:textId="77777777" w:rsidR="00CB3DE1" w:rsidRPr="00CB3DE1" w:rsidRDefault="00CB3DE1" w:rsidP="00CB3DE1">
      <w:pPr>
        <w:widowControl w:val="0"/>
        <w:numPr>
          <w:ilvl w:val="0"/>
          <w:numId w:val="16"/>
        </w:numPr>
        <w:tabs>
          <w:tab w:val="clear" w:pos="1920"/>
        </w:tabs>
        <w:spacing w:before="0"/>
        <w:ind w:left="1418" w:hanging="284"/>
        <w:rPr>
          <w:rFonts w:ascii="Times New Roman" w:hAnsi="Times New Roman"/>
          <w:bCs/>
          <w:iCs/>
          <w:color w:val="000000"/>
          <w:sz w:val="24"/>
          <w:lang w:val="pt-BR"/>
        </w:rPr>
      </w:pPr>
      <w:r w:rsidRPr="00CB3DE1">
        <w:rPr>
          <w:rFonts w:ascii="Times New Roman" w:hAnsi="Times New Roman"/>
          <w:bCs/>
          <w:iCs/>
          <w:color w:val="000000"/>
          <w:sz w:val="24"/>
          <w:lang w:val="pt-BR"/>
        </w:rPr>
        <w:t>as ações necessárias para responder a essas condições não podem ser iniciadas antes do compromisso firme de compra ser obtido; e</w:t>
      </w:r>
    </w:p>
    <w:p w14:paraId="7B42B765" w14:textId="77777777" w:rsidR="00CB3DE1" w:rsidRPr="00CB3DE1" w:rsidRDefault="00CB3DE1" w:rsidP="00CB3DE1">
      <w:pPr>
        <w:widowControl w:val="0"/>
        <w:numPr>
          <w:ilvl w:val="0"/>
          <w:numId w:val="16"/>
        </w:numPr>
        <w:tabs>
          <w:tab w:val="clear" w:pos="1920"/>
        </w:tabs>
        <w:spacing w:before="0"/>
        <w:ind w:left="1418" w:hanging="284"/>
        <w:rPr>
          <w:rFonts w:ascii="Times New Roman" w:hAnsi="Times New Roman"/>
          <w:bCs/>
          <w:iCs/>
          <w:color w:val="000000"/>
          <w:sz w:val="24"/>
          <w:lang w:val="pt-BR"/>
        </w:rPr>
      </w:pPr>
      <w:r w:rsidRPr="00CB3DE1">
        <w:rPr>
          <w:rFonts w:ascii="Times New Roman" w:hAnsi="Times New Roman"/>
          <w:bCs/>
          <w:iCs/>
          <w:color w:val="000000"/>
          <w:sz w:val="24"/>
          <w:lang w:val="pt-BR"/>
        </w:rPr>
        <w:t>um compromisso firme de compra é altamente provável dentro de um ano.</w:t>
      </w:r>
    </w:p>
    <w:p w14:paraId="4982A131" w14:textId="77777777" w:rsidR="00CB3DE1" w:rsidRPr="00CB3DE1" w:rsidRDefault="00CB3DE1" w:rsidP="00CB3DE1">
      <w:pPr>
        <w:widowControl w:val="0"/>
        <w:numPr>
          <w:ilvl w:val="0"/>
          <w:numId w:val="15"/>
        </w:numPr>
        <w:tabs>
          <w:tab w:val="clear" w:pos="1070"/>
        </w:tabs>
        <w:spacing w:before="0"/>
        <w:ind w:left="993" w:hanging="426"/>
        <w:rPr>
          <w:rFonts w:ascii="Times New Roman" w:hAnsi="Times New Roman"/>
          <w:bCs/>
          <w:iCs/>
          <w:color w:val="000000"/>
          <w:sz w:val="24"/>
          <w:lang w:val="pt-BR"/>
        </w:rPr>
      </w:pPr>
      <w:r w:rsidRPr="00CB3DE1">
        <w:rPr>
          <w:rFonts w:ascii="Times New Roman" w:hAnsi="Times New Roman"/>
          <w:bCs/>
          <w:iCs/>
          <w:color w:val="000000"/>
          <w:sz w:val="24"/>
          <w:lang w:val="pt-BR"/>
        </w:rPr>
        <w:t>a entidade obtém um compromisso firme de compra e, como resultado, o comprador ou outros compradores impõem inesperadamente condições à transferência do ativo não circulante anteriormente classificado como mantido para venda que irão estender o período exigido para que a venda seja concluída, e:</w:t>
      </w:r>
    </w:p>
    <w:p w14:paraId="336EA640" w14:textId="77777777" w:rsidR="00CB3DE1" w:rsidRPr="00CB3DE1" w:rsidRDefault="00CB3DE1" w:rsidP="00CB3DE1">
      <w:pPr>
        <w:widowControl w:val="0"/>
        <w:numPr>
          <w:ilvl w:val="0"/>
          <w:numId w:val="17"/>
        </w:numPr>
        <w:tabs>
          <w:tab w:val="clear" w:pos="1920"/>
        </w:tabs>
        <w:spacing w:before="0"/>
        <w:ind w:left="1418" w:hanging="284"/>
        <w:rPr>
          <w:rFonts w:ascii="Times New Roman" w:hAnsi="Times New Roman"/>
          <w:bCs/>
          <w:iCs/>
          <w:color w:val="000000"/>
          <w:sz w:val="24"/>
          <w:lang w:val="pt-BR"/>
        </w:rPr>
      </w:pPr>
      <w:r w:rsidRPr="00CB3DE1">
        <w:rPr>
          <w:rFonts w:ascii="Times New Roman" w:hAnsi="Times New Roman"/>
          <w:bCs/>
          <w:iCs/>
          <w:color w:val="000000"/>
          <w:sz w:val="24"/>
          <w:lang w:val="pt-BR"/>
        </w:rPr>
        <w:t>foram oportunamente tomadas as ações necessárias para responder às condições; e</w:t>
      </w:r>
    </w:p>
    <w:p w14:paraId="36ECA9BC" w14:textId="77777777" w:rsidR="00CB3DE1" w:rsidRPr="00CB3DE1" w:rsidRDefault="00CB3DE1" w:rsidP="00CB3DE1">
      <w:pPr>
        <w:widowControl w:val="0"/>
        <w:numPr>
          <w:ilvl w:val="0"/>
          <w:numId w:val="17"/>
        </w:numPr>
        <w:tabs>
          <w:tab w:val="clear" w:pos="1920"/>
        </w:tabs>
        <w:spacing w:before="0"/>
        <w:ind w:left="1418" w:hanging="284"/>
        <w:rPr>
          <w:rFonts w:ascii="Times New Roman" w:hAnsi="Times New Roman"/>
          <w:bCs/>
          <w:iCs/>
          <w:color w:val="000000"/>
          <w:sz w:val="24"/>
          <w:lang w:val="pt-BR"/>
        </w:rPr>
      </w:pPr>
      <w:r w:rsidRPr="00CB3DE1">
        <w:rPr>
          <w:rFonts w:ascii="Times New Roman" w:hAnsi="Times New Roman"/>
          <w:bCs/>
          <w:iCs/>
          <w:color w:val="000000"/>
          <w:sz w:val="24"/>
          <w:lang w:val="pt-BR"/>
        </w:rPr>
        <w:t>espera-se uma solução favorável dos fatores que causaram o atraso.</w:t>
      </w:r>
    </w:p>
    <w:p w14:paraId="30386BE3" w14:textId="77777777" w:rsidR="00CB3DE1" w:rsidRPr="00CB3DE1" w:rsidRDefault="00CB3DE1" w:rsidP="00CB3DE1">
      <w:pPr>
        <w:widowControl w:val="0"/>
        <w:numPr>
          <w:ilvl w:val="0"/>
          <w:numId w:val="15"/>
        </w:numPr>
        <w:tabs>
          <w:tab w:val="clear" w:pos="1070"/>
        </w:tabs>
        <w:spacing w:before="0"/>
        <w:ind w:left="993" w:hanging="426"/>
        <w:rPr>
          <w:rFonts w:ascii="Times New Roman" w:hAnsi="Times New Roman"/>
          <w:bCs/>
          <w:iCs/>
          <w:color w:val="000000"/>
          <w:sz w:val="24"/>
          <w:lang w:val="pt-BR"/>
        </w:rPr>
      </w:pPr>
      <w:r w:rsidRPr="00CB3DE1">
        <w:rPr>
          <w:rFonts w:ascii="Times New Roman" w:hAnsi="Times New Roman"/>
          <w:bCs/>
          <w:iCs/>
          <w:color w:val="000000"/>
          <w:sz w:val="24"/>
          <w:lang w:val="pt-BR"/>
        </w:rPr>
        <w:t>durante o período inicial de um ano, surgem circunstâncias que foram anteriormente consideradas improváveis e, como resultado, o ativo não circulante ou grupo de ativos anteriormente classificado como mantido para venda não foi vendido até ao final desse período, e:</w:t>
      </w:r>
    </w:p>
    <w:p w14:paraId="7F8FAE17" w14:textId="77777777" w:rsidR="00CB3DE1" w:rsidRPr="00CB3DE1" w:rsidRDefault="00CB3DE1" w:rsidP="00CB3DE1">
      <w:pPr>
        <w:widowControl w:val="0"/>
        <w:numPr>
          <w:ilvl w:val="0"/>
          <w:numId w:val="18"/>
        </w:numPr>
        <w:tabs>
          <w:tab w:val="clear" w:pos="1920"/>
        </w:tabs>
        <w:spacing w:before="0"/>
        <w:ind w:left="1418" w:hanging="284"/>
        <w:rPr>
          <w:rFonts w:ascii="Times New Roman" w:hAnsi="Times New Roman"/>
          <w:bCs/>
          <w:iCs/>
          <w:color w:val="000000"/>
          <w:sz w:val="24"/>
          <w:lang w:val="pt-BR"/>
        </w:rPr>
      </w:pPr>
      <w:r w:rsidRPr="00CB3DE1">
        <w:rPr>
          <w:rFonts w:ascii="Times New Roman" w:hAnsi="Times New Roman"/>
          <w:bCs/>
          <w:iCs/>
          <w:color w:val="000000"/>
          <w:sz w:val="24"/>
          <w:lang w:val="pt-BR"/>
        </w:rPr>
        <w:t>durante o período inicial de um ano, a entidade envidou as ações necessárias para responder à alteração nas circunstâncias;</w:t>
      </w:r>
    </w:p>
    <w:p w14:paraId="4616A543" w14:textId="77777777" w:rsidR="00CB3DE1" w:rsidRPr="00CB3DE1" w:rsidRDefault="00CB3DE1" w:rsidP="00CB3DE1">
      <w:pPr>
        <w:widowControl w:val="0"/>
        <w:numPr>
          <w:ilvl w:val="0"/>
          <w:numId w:val="18"/>
        </w:numPr>
        <w:tabs>
          <w:tab w:val="clear" w:pos="1920"/>
        </w:tabs>
        <w:spacing w:before="0"/>
        <w:ind w:left="1418" w:hanging="284"/>
        <w:rPr>
          <w:rFonts w:ascii="Times New Roman" w:hAnsi="Times New Roman"/>
          <w:bCs/>
          <w:iCs/>
          <w:color w:val="000000"/>
          <w:sz w:val="24"/>
          <w:lang w:val="pt-BR"/>
        </w:rPr>
      </w:pPr>
      <w:r w:rsidRPr="00CB3DE1">
        <w:rPr>
          <w:rFonts w:ascii="Times New Roman" w:hAnsi="Times New Roman"/>
          <w:bCs/>
          <w:iCs/>
          <w:color w:val="000000"/>
          <w:sz w:val="24"/>
          <w:lang w:val="pt-BR"/>
        </w:rPr>
        <w:t>o ativo ou o grupo de ativos não circulante mantido para venda está sendo oferecido a um preço que é razoável, dada a alteração nas circunstâncias; e</w:t>
      </w:r>
    </w:p>
    <w:p w14:paraId="6DCECD62" w14:textId="77777777" w:rsidR="00CB3DE1" w:rsidRPr="00CB3DE1" w:rsidRDefault="00CB3DE1" w:rsidP="00CB3DE1">
      <w:pPr>
        <w:widowControl w:val="0"/>
        <w:numPr>
          <w:ilvl w:val="0"/>
          <w:numId w:val="18"/>
        </w:numPr>
        <w:tabs>
          <w:tab w:val="clear" w:pos="1920"/>
        </w:tabs>
        <w:spacing w:before="0" w:after="0"/>
        <w:ind w:left="1418" w:hanging="284"/>
        <w:rPr>
          <w:rFonts w:ascii="Times New Roman" w:hAnsi="Times New Roman"/>
          <w:bCs/>
          <w:iCs/>
          <w:color w:val="000000"/>
          <w:sz w:val="24"/>
          <w:lang w:val="pt-BR"/>
        </w:rPr>
      </w:pPr>
      <w:r w:rsidRPr="00CB3DE1">
        <w:rPr>
          <w:rFonts w:ascii="Times New Roman" w:hAnsi="Times New Roman"/>
          <w:bCs/>
          <w:iCs/>
          <w:color w:val="000000"/>
          <w:sz w:val="24"/>
          <w:lang w:val="pt-BR"/>
        </w:rPr>
        <w:t>foram satisfeitos os critérios dos itens 7 e 8.</w:t>
      </w:r>
    </w:p>
    <w:p w14:paraId="31AA24D5" w14:textId="77777777" w:rsidR="00CB3DE1" w:rsidRPr="00CB3DE1" w:rsidRDefault="00CB3DE1" w:rsidP="00CB3DE1">
      <w:pPr>
        <w:spacing w:before="0" w:after="0"/>
        <w:rPr>
          <w:rFonts w:ascii="Times New Roman" w:hAnsi="Times New Roman"/>
          <w:b/>
          <w:sz w:val="24"/>
          <w:lang w:val="pt-BR"/>
        </w:rPr>
      </w:pPr>
    </w:p>
    <w:p w14:paraId="6753DF83" w14:textId="77777777" w:rsidR="00CB3DE1" w:rsidRPr="00CB3DE1" w:rsidRDefault="00CB3DE1" w:rsidP="00CB3DE1">
      <w:pPr>
        <w:spacing w:before="0" w:after="0"/>
        <w:rPr>
          <w:rFonts w:ascii="Times New Roman" w:hAnsi="Times New Roman"/>
          <w:b/>
          <w:sz w:val="24"/>
          <w:lang w:val="pt-BR"/>
        </w:rPr>
      </w:pPr>
    </w:p>
    <w:p w14:paraId="17B28028" w14:textId="77777777" w:rsidR="00CB3DE1" w:rsidRPr="00CB3DE1" w:rsidRDefault="00CB3DE1" w:rsidP="00CB3DE1">
      <w:pPr>
        <w:spacing w:before="0" w:after="0"/>
        <w:rPr>
          <w:rFonts w:ascii="Times New Roman" w:hAnsi="Times New Roman"/>
          <w:b/>
          <w:sz w:val="24"/>
          <w:lang w:val="pt-BR"/>
        </w:rPr>
      </w:pPr>
    </w:p>
    <w:p w14:paraId="41D57224" w14:textId="77777777" w:rsidR="0006156C" w:rsidRDefault="0006156C">
      <w:pPr>
        <w:spacing w:before="0" w:after="160" w:line="259" w:lineRule="auto"/>
        <w:jc w:val="left"/>
        <w:rPr>
          <w:rFonts w:ascii="Times New Roman" w:hAnsi="Times New Roman"/>
          <w:b/>
          <w:sz w:val="28"/>
          <w:szCs w:val="28"/>
          <w:lang w:val="pt-BR"/>
        </w:rPr>
      </w:pPr>
      <w:r>
        <w:rPr>
          <w:rFonts w:ascii="Times New Roman" w:hAnsi="Times New Roman"/>
          <w:b/>
          <w:sz w:val="28"/>
          <w:szCs w:val="28"/>
          <w:lang w:val="pt-BR"/>
        </w:rPr>
        <w:br w:type="page"/>
      </w:r>
    </w:p>
    <w:p w14:paraId="35EB30A9" w14:textId="083DB1AA" w:rsidR="00CB3DE1" w:rsidRPr="00CB3DE1" w:rsidRDefault="00CB3DE1" w:rsidP="00CB3DE1">
      <w:pPr>
        <w:spacing w:before="0" w:after="0"/>
        <w:rPr>
          <w:rFonts w:ascii="Times New Roman" w:hAnsi="Times New Roman"/>
          <w:b/>
          <w:color w:val="000000"/>
          <w:sz w:val="28"/>
          <w:szCs w:val="28"/>
          <w:lang w:val="pt-BR"/>
        </w:rPr>
      </w:pPr>
      <w:r w:rsidRPr="00CB3DE1">
        <w:rPr>
          <w:rFonts w:ascii="Times New Roman" w:hAnsi="Times New Roman"/>
          <w:b/>
          <w:sz w:val="28"/>
          <w:szCs w:val="28"/>
          <w:lang w:val="pt-BR"/>
        </w:rPr>
        <w:lastRenderedPageBreak/>
        <w:t xml:space="preserve">Apêndice C – </w:t>
      </w:r>
      <w:r w:rsidRPr="00CB3DE1">
        <w:rPr>
          <w:rFonts w:ascii="Times New Roman" w:hAnsi="Times New Roman"/>
          <w:b/>
          <w:color w:val="000000"/>
          <w:sz w:val="28"/>
          <w:szCs w:val="28"/>
          <w:lang w:val="pt-BR"/>
        </w:rPr>
        <w:t xml:space="preserve">Guia de implementação </w:t>
      </w:r>
    </w:p>
    <w:p w14:paraId="1AB68ABB" w14:textId="77777777" w:rsidR="00CB3DE1" w:rsidRPr="00CB3DE1" w:rsidRDefault="00CB3DE1" w:rsidP="00CB3DE1">
      <w:pPr>
        <w:spacing w:before="0" w:after="0"/>
        <w:rPr>
          <w:rFonts w:ascii="Times New Roman" w:hAnsi="Times New Roman" w:cs="Arial"/>
          <w:sz w:val="24"/>
          <w:lang w:val="pt-BR"/>
        </w:rPr>
      </w:pPr>
    </w:p>
    <w:p w14:paraId="67F4D869" w14:textId="77777777" w:rsidR="00CB3DE1" w:rsidRPr="00CB3DE1" w:rsidRDefault="00CB3DE1" w:rsidP="00CB3DE1">
      <w:pPr>
        <w:spacing w:before="0" w:after="0"/>
        <w:rPr>
          <w:rFonts w:ascii="Times New Roman" w:hAnsi="Times New Roman" w:cs="Arial"/>
          <w:i/>
          <w:sz w:val="24"/>
          <w:lang w:val="pt-BR"/>
        </w:rPr>
      </w:pPr>
      <w:r w:rsidRPr="00CB3DE1">
        <w:rPr>
          <w:rFonts w:ascii="Times New Roman" w:hAnsi="Times New Roman" w:cs="Arial"/>
          <w:i/>
          <w:sz w:val="24"/>
          <w:lang w:val="pt-BR"/>
        </w:rPr>
        <w:t>Este guia acompanha, porém não é parte integrante do Pronunciamento Técnico.</w:t>
      </w:r>
    </w:p>
    <w:p w14:paraId="371F21FE" w14:textId="77777777" w:rsidR="00CB3DE1" w:rsidRPr="00CB3DE1" w:rsidRDefault="00CB3DE1" w:rsidP="00CB3DE1">
      <w:pPr>
        <w:widowControl w:val="0"/>
        <w:tabs>
          <w:tab w:val="left" w:pos="6804"/>
        </w:tabs>
        <w:spacing w:before="0" w:after="0"/>
        <w:ind w:left="57"/>
        <w:rPr>
          <w:rFonts w:ascii="Times New Roman" w:hAnsi="Times New Roman"/>
          <w:b/>
          <w:sz w:val="24"/>
          <w:lang w:val="pt-BR" w:eastAsia="x-none"/>
        </w:rPr>
      </w:pPr>
    </w:p>
    <w:p w14:paraId="4067CBB0" w14:textId="77777777" w:rsidR="00CB3DE1" w:rsidRPr="00CB3DE1" w:rsidRDefault="00CB3DE1" w:rsidP="00CB3DE1">
      <w:pPr>
        <w:widowControl w:val="0"/>
        <w:tabs>
          <w:tab w:val="left" w:pos="6804"/>
        </w:tabs>
        <w:spacing w:before="0" w:after="0"/>
        <w:rPr>
          <w:rFonts w:ascii="Times New Roman" w:hAnsi="Times New Roman"/>
          <w:b/>
          <w:sz w:val="24"/>
          <w:lang w:val="pt-BR" w:eastAsia="x-none"/>
        </w:rPr>
      </w:pPr>
      <w:r w:rsidRPr="00CB3DE1">
        <w:rPr>
          <w:rFonts w:ascii="Times New Roman" w:hAnsi="Times New Roman"/>
          <w:b/>
          <w:sz w:val="24"/>
          <w:lang w:val="pt-BR" w:eastAsia="x-none"/>
        </w:rPr>
        <w:t>Disponibilidade para venda imediata (item 7)</w:t>
      </w:r>
    </w:p>
    <w:p w14:paraId="68FE048A" w14:textId="77777777" w:rsidR="00CB3DE1" w:rsidRPr="00CB3DE1" w:rsidRDefault="00CB3DE1" w:rsidP="00CB3DE1">
      <w:pPr>
        <w:widowControl w:val="0"/>
        <w:tabs>
          <w:tab w:val="left" w:pos="6804"/>
        </w:tabs>
        <w:spacing w:before="0" w:after="0"/>
        <w:ind w:left="567" w:hanging="567"/>
        <w:rPr>
          <w:rFonts w:ascii="Times New Roman" w:hAnsi="Times New Roman"/>
          <w:color w:val="000000"/>
          <w:sz w:val="24"/>
          <w:lang w:val="pt-BR" w:eastAsia="x-none"/>
        </w:rPr>
      </w:pPr>
    </w:p>
    <w:p w14:paraId="740107A8"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Para se qualificar para classificação como mantido para venda, um ativo não circulante (ou grupo de ativos) deve estar disponível para venda imediata em sua condição atual, sujeito apenas aos termos que sejam usuais e habituais para a venda desses ativos (ou grupo de ativos) (item 7). Um ativo não circulante (ou grupo de ativos) está disponível para venda imediata se a entidade tiver, no momento, a intenção e a capacidade de transferir o ativo (ou grupo de ativos) a um comprador em sua condição presente. Os exemplos de 1 a 3 ilustram situações em que o critério do item 7 seria ou não cumprido. </w:t>
      </w:r>
    </w:p>
    <w:p w14:paraId="668FBCF4" w14:textId="77777777" w:rsidR="00CB3DE1" w:rsidRPr="00CB3DE1" w:rsidRDefault="00CB3DE1" w:rsidP="00CB3DE1">
      <w:pPr>
        <w:widowControl w:val="0"/>
        <w:tabs>
          <w:tab w:val="left" w:pos="6804"/>
        </w:tabs>
        <w:spacing w:before="0" w:after="0"/>
        <w:ind w:left="57"/>
        <w:rPr>
          <w:rFonts w:ascii="Times New Roman" w:hAnsi="Times New Roman"/>
          <w:b/>
          <w:sz w:val="24"/>
          <w:lang w:val="pt-BR" w:eastAsia="x-none"/>
        </w:rPr>
      </w:pPr>
    </w:p>
    <w:p w14:paraId="3350BF79" w14:textId="77777777" w:rsidR="00CB3DE1" w:rsidRPr="00CB3DE1" w:rsidRDefault="00CB3DE1" w:rsidP="00CB3DE1">
      <w:pPr>
        <w:widowControl w:val="0"/>
        <w:tabs>
          <w:tab w:val="left" w:pos="6804"/>
        </w:tabs>
        <w:spacing w:before="0" w:after="0"/>
        <w:rPr>
          <w:rFonts w:ascii="Times New Roman" w:hAnsi="Times New Roman"/>
          <w:b/>
          <w:sz w:val="24"/>
          <w:lang w:val="pt-BR" w:eastAsia="x-none"/>
        </w:rPr>
      </w:pPr>
      <w:r w:rsidRPr="00CB3DE1">
        <w:rPr>
          <w:rFonts w:ascii="Times New Roman" w:hAnsi="Times New Roman"/>
          <w:b/>
          <w:sz w:val="24"/>
          <w:lang w:val="pt-BR" w:eastAsia="x-none"/>
        </w:rPr>
        <w:t>Exemplo 1</w:t>
      </w:r>
    </w:p>
    <w:p w14:paraId="3BCE4ED6"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74B34553" w14:textId="77777777" w:rsidR="00CB3DE1" w:rsidRPr="00CB3DE1" w:rsidRDefault="00CB3DE1" w:rsidP="00CB3DE1">
      <w:pPr>
        <w:widowControl w:val="0"/>
        <w:tabs>
          <w:tab w:val="left" w:pos="6804"/>
        </w:tabs>
        <w:spacing w:before="0"/>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A entidade está comprometida com o plano de venda do prédio de sua sede e iniciou ações para localizar um comprador. </w:t>
      </w:r>
    </w:p>
    <w:p w14:paraId="1C777C56" w14:textId="77777777" w:rsidR="00CB3DE1" w:rsidRPr="00CB3DE1" w:rsidRDefault="00CB3DE1" w:rsidP="00CB3DE1">
      <w:pPr>
        <w:widowControl w:val="0"/>
        <w:numPr>
          <w:ilvl w:val="0"/>
          <w:numId w:val="21"/>
        </w:numPr>
        <w:tabs>
          <w:tab w:val="clear" w:pos="1070"/>
        </w:tabs>
        <w:spacing w:before="0"/>
        <w:ind w:left="426" w:hanging="426"/>
        <w:rPr>
          <w:rFonts w:ascii="Times New Roman" w:hAnsi="Times New Roman"/>
          <w:bCs/>
          <w:iCs/>
          <w:color w:val="000000"/>
          <w:sz w:val="24"/>
          <w:lang w:val="pt-BR"/>
        </w:rPr>
      </w:pPr>
      <w:r w:rsidRPr="00CB3DE1">
        <w:rPr>
          <w:rFonts w:ascii="Times New Roman" w:hAnsi="Times New Roman"/>
          <w:bCs/>
          <w:iCs/>
          <w:color w:val="000000"/>
          <w:sz w:val="24"/>
          <w:lang w:val="pt-BR"/>
        </w:rPr>
        <w:t>A entidade pretende transferir o prédio a um comprador após desocupá-lo. O tempo necessário para desocupar o prédio é usual e habitual para vendas desse tipo de ativo. O critério no item 7 seria cumprido na data de adesão ao plano.</w:t>
      </w:r>
    </w:p>
    <w:p w14:paraId="2EE9BA66" w14:textId="77777777" w:rsidR="00CB3DE1" w:rsidRPr="00CB3DE1" w:rsidRDefault="00CB3DE1" w:rsidP="00CB3DE1">
      <w:pPr>
        <w:widowControl w:val="0"/>
        <w:numPr>
          <w:ilvl w:val="0"/>
          <w:numId w:val="21"/>
        </w:numPr>
        <w:tabs>
          <w:tab w:val="clear" w:pos="1070"/>
        </w:tabs>
        <w:spacing w:before="0" w:after="0"/>
        <w:ind w:left="426" w:hanging="426"/>
        <w:rPr>
          <w:rFonts w:ascii="Times New Roman" w:hAnsi="Times New Roman"/>
          <w:bCs/>
          <w:iCs/>
          <w:color w:val="000000"/>
          <w:sz w:val="24"/>
          <w:lang w:val="pt-BR"/>
        </w:rPr>
      </w:pPr>
      <w:r w:rsidRPr="00CB3DE1">
        <w:rPr>
          <w:rFonts w:ascii="Times New Roman" w:hAnsi="Times New Roman"/>
          <w:bCs/>
          <w:iCs/>
          <w:color w:val="000000"/>
          <w:sz w:val="24"/>
          <w:lang w:val="pt-BR"/>
        </w:rPr>
        <w:t xml:space="preserve">A entidade continua a usar o prédio até que a construção de novo prédio-sede seja concluída. A entidade não pretende transferir o prédio existente a um comprador até que a construção do novo prédio seja concluída (e ela desocupar o prédio existente). O atraso no momento da transferência do prédio existente imposto pela entidade (vendedor) demonstra que o prédio não está disponível para venda imediata. O critério no item 7 não seria cumprido até que a construção do novo prédio esteja concluída, mesmo se um compromisso firme de compra para a transferência futura do prédio existente for obtido antecipadamente. </w:t>
      </w:r>
    </w:p>
    <w:p w14:paraId="57A095A6" w14:textId="77777777" w:rsidR="00CB3DE1" w:rsidRPr="00CB3DE1" w:rsidRDefault="00CB3DE1" w:rsidP="00CB3DE1">
      <w:pPr>
        <w:widowControl w:val="0"/>
        <w:tabs>
          <w:tab w:val="left" w:pos="6804"/>
        </w:tabs>
        <w:spacing w:before="0" w:after="0"/>
        <w:ind w:left="57"/>
        <w:rPr>
          <w:rFonts w:ascii="Times New Roman" w:hAnsi="Times New Roman"/>
          <w:b/>
          <w:sz w:val="24"/>
          <w:lang w:val="pt-BR" w:eastAsia="x-none"/>
        </w:rPr>
      </w:pPr>
    </w:p>
    <w:p w14:paraId="4699DCCB" w14:textId="77777777" w:rsidR="00CB3DE1" w:rsidRPr="00CB3DE1" w:rsidRDefault="00CB3DE1" w:rsidP="00CB3DE1">
      <w:pPr>
        <w:widowControl w:val="0"/>
        <w:tabs>
          <w:tab w:val="left" w:pos="6804"/>
        </w:tabs>
        <w:spacing w:before="0" w:after="0"/>
        <w:rPr>
          <w:rFonts w:ascii="Times New Roman" w:hAnsi="Times New Roman"/>
          <w:b/>
          <w:sz w:val="24"/>
          <w:lang w:val="pt-BR" w:eastAsia="x-none"/>
        </w:rPr>
      </w:pPr>
      <w:r w:rsidRPr="00CB3DE1">
        <w:rPr>
          <w:rFonts w:ascii="Times New Roman" w:hAnsi="Times New Roman"/>
          <w:b/>
          <w:sz w:val="24"/>
          <w:lang w:val="pt-BR" w:eastAsia="x-none"/>
        </w:rPr>
        <w:t>Exemplo 2</w:t>
      </w:r>
    </w:p>
    <w:p w14:paraId="17B82945"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0F140786" w14:textId="77777777" w:rsidR="00CB3DE1" w:rsidRPr="00CB3DE1" w:rsidRDefault="00CB3DE1" w:rsidP="00CB3DE1">
      <w:pPr>
        <w:widowControl w:val="0"/>
        <w:tabs>
          <w:tab w:val="left" w:pos="6804"/>
        </w:tabs>
        <w:spacing w:before="0"/>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A entidade está comprometida com o plano de venda de instalação de fabricação e iniciou ações para localizar um comprador. Na data de adesão ao plano, há uma encomenda de pedidos de cliente não concluídos. </w:t>
      </w:r>
    </w:p>
    <w:p w14:paraId="0E714FC9" w14:textId="77777777" w:rsidR="00CB3DE1" w:rsidRPr="00CB3DE1" w:rsidRDefault="00CB3DE1" w:rsidP="00CB3DE1">
      <w:pPr>
        <w:widowControl w:val="0"/>
        <w:numPr>
          <w:ilvl w:val="0"/>
          <w:numId w:val="22"/>
        </w:numPr>
        <w:tabs>
          <w:tab w:val="clear" w:pos="1070"/>
        </w:tabs>
        <w:spacing w:before="0"/>
        <w:ind w:left="426" w:hanging="426"/>
        <w:rPr>
          <w:rFonts w:ascii="Times New Roman" w:hAnsi="Times New Roman"/>
          <w:bCs/>
          <w:iCs/>
          <w:color w:val="000000"/>
          <w:sz w:val="24"/>
          <w:lang w:val="pt-BR"/>
        </w:rPr>
      </w:pPr>
      <w:r w:rsidRPr="00CB3DE1">
        <w:rPr>
          <w:rFonts w:ascii="Times New Roman" w:hAnsi="Times New Roman"/>
          <w:bCs/>
          <w:iCs/>
          <w:color w:val="000000"/>
          <w:sz w:val="24"/>
          <w:lang w:val="pt-BR"/>
        </w:rPr>
        <w:t xml:space="preserve">A entidade pretende vender a instalação de fabricação com suas operações. Quaisquer pedidos de cliente não concluídos na data de venda serão transferidos ao comprador. A transferência de pedidos de cliente não concluídos na data de venda não afetará o momento da transferência da instalação. O critério no item 7 seria cumprido na data de implementação do plano. </w:t>
      </w:r>
    </w:p>
    <w:p w14:paraId="2C0E9D06" w14:textId="77777777" w:rsidR="00CB3DE1" w:rsidRPr="00CB3DE1" w:rsidRDefault="00CB3DE1" w:rsidP="00CB3DE1">
      <w:pPr>
        <w:widowControl w:val="0"/>
        <w:numPr>
          <w:ilvl w:val="0"/>
          <w:numId w:val="22"/>
        </w:numPr>
        <w:tabs>
          <w:tab w:val="clear" w:pos="1070"/>
        </w:tabs>
        <w:spacing w:before="0" w:after="0"/>
        <w:ind w:left="426" w:hanging="426"/>
        <w:rPr>
          <w:rFonts w:ascii="Times New Roman" w:hAnsi="Times New Roman"/>
          <w:bCs/>
          <w:iCs/>
          <w:color w:val="000000"/>
          <w:sz w:val="24"/>
          <w:lang w:val="pt-BR"/>
        </w:rPr>
      </w:pPr>
      <w:r w:rsidRPr="00CB3DE1">
        <w:rPr>
          <w:rFonts w:ascii="Times New Roman" w:hAnsi="Times New Roman"/>
          <w:bCs/>
          <w:iCs/>
          <w:color w:val="000000"/>
          <w:sz w:val="24"/>
          <w:lang w:val="pt-BR"/>
        </w:rPr>
        <w:t xml:space="preserve">A entidade pretende vender a instalação de fabricação, porém sem as suas operações. A entidade não pretende transferir a instalação a um comprador até que sejam encerradas todas as operações da instalação e sejam eliminadas as encomendas dos pedidos de cliente não concluídos. O atraso no momento da transferência da instalação imposta pela entidade (vendedor) demonstra que a instalação não está disponível para venda imediata. O critério no item 7 não seria cumprido até que as operações </w:t>
      </w:r>
      <w:r w:rsidRPr="00CB3DE1">
        <w:rPr>
          <w:rFonts w:ascii="Times New Roman" w:hAnsi="Times New Roman"/>
          <w:bCs/>
          <w:iCs/>
          <w:color w:val="000000"/>
          <w:sz w:val="24"/>
          <w:lang w:val="pt-BR"/>
        </w:rPr>
        <w:lastRenderedPageBreak/>
        <w:t>da instalação sejam encerradas, mesmo se um compromisso firme de compra para a transferência futura da instalação tiver sido obtido antecipadamente.</w:t>
      </w:r>
    </w:p>
    <w:p w14:paraId="47AAC233" w14:textId="77777777" w:rsidR="00CB3DE1" w:rsidRPr="00CB3DE1" w:rsidRDefault="00CB3DE1" w:rsidP="00CB3DE1">
      <w:pPr>
        <w:widowControl w:val="0"/>
        <w:tabs>
          <w:tab w:val="left" w:pos="6804"/>
        </w:tabs>
        <w:spacing w:before="0" w:after="0"/>
        <w:ind w:left="57"/>
        <w:rPr>
          <w:rFonts w:ascii="Times New Roman" w:hAnsi="Times New Roman"/>
          <w:b/>
          <w:sz w:val="24"/>
          <w:lang w:val="pt-BR" w:eastAsia="x-none"/>
        </w:rPr>
      </w:pPr>
    </w:p>
    <w:p w14:paraId="7CE90241" w14:textId="77777777" w:rsidR="00CB3DE1" w:rsidRPr="00CB3DE1" w:rsidRDefault="00CB3DE1" w:rsidP="00CB3DE1">
      <w:pPr>
        <w:widowControl w:val="0"/>
        <w:tabs>
          <w:tab w:val="left" w:pos="6804"/>
        </w:tabs>
        <w:spacing w:before="0" w:after="0"/>
        <w:rPr>
          <w:rFonts w:ascii="Times New Roman" w:hAnsi="Times New Roman"/>
          <w:b/>
          <w:sz w:val="24"/>
          <w:lang w:val="pt-BR" w:eastAsia="x-none"/>
        </w:rPr>
      </w:pPr>
      <w:r w:rsidRPr="00CB3DE1">
        <w:rPr>
          <w:rFonts w:ascii="Times New Roman" w:hAnsi="Times New Roman"/>
          <w:b/>
          <w:sz w:val="24"/>
          <w:lang w:val="pt-BR" w:eastAsia="x-none"/>
        </w:rPr>
        <w:t>Exemplo 3</w:t>
      </w:r>
    </w:p>
    <w:p w14:paraId="12086EC1"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688D8E65" w14:textId="77777777" w:rsidR="00CB3DE1" w:rsidRPr="00CB3DE1" w:rsidRDefault="00CB3DE1" w:rsidP="00CB3DE1">
      <w:pPr>
        <w:widowControl w:val="0"/>
        <w:tabs>
          <w:tab w:val="left" w:pos="6804"/>
        </w:tabs>
        <w:spacing w:before="0"/>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A entidade adquire, por meio de execução de hipoteca, um imóvel que inclui terreno e edificações que pretende vender. </w:t>
      </w:r>
    </w:p>
    <w:p w14:paraId="199C9FF2" w14:textId="77777777" w:rsidR="00CB3DE1" w:rsidRPr="00CB3DE1" w:rsidRDefault="00CB3DE1" w:rsidP="00CB3DE1">
      <w:pPr>
        <w:widowControl w:val="0"/>
        <w:numPr>
          <w:ilvl w:val="0"/>
          <w:numId w:val="23"/>
        </w:numPr>
        <w:tabs>
          <w:tab w:val="clear" w:pos="1070"/>
        </w:tabs>
        <w:spacing w:before="0"/>
        <w:ind w:left="426" w:hanging="426"/>
        <w:rPr>
          <w:rFonts w:ascii="Times New Roman" w:hAnsi="Times New Roman"/>
          <w:bCs/>
          <w:iCs/>
          <w:color w:val="000000"/>
          <w:sz w:val="24"/>
          <w:lang w:val="pt-BR"/>
        </w:rPr>
      </w:pPr>
      <w:r w:rsidRPr="00CB3DE1">
        <w:rPr>
          <w:rFonts w:ascii="Times New Roman" w:hAnsi="Times New Roman"/>
          <w:bCs/>
          <w:iCs/>
          <w:color w:val="000000"/>
          <w:sz w:val="24"/>
          <w:lang w:val="pt-BR"/>
        </w:rPr>
        <w:t xml:space="preserve">A entidade não pretende transferir o imóvel a um comprador, até que ele conclua as reformas para aumentar o valor de venda do imóvel. O atraso no momento da transferência do imóvel imposto pela entidade (vendedor) demonstra que o imóvel não está disponível para venda imediata. O critério no item 7 não seria cumprido até que as reformas sejam concluídas. </w:t>
      </w:r>
    </w:p>
    <w:p w14:paraId="28B0C5EE" w14:textId="77777777" w:rsidR="00CB3DE1" w:rsidRPr="00CB3DE1" w:rsidRDefault="00CB3DE1" w:rsidP="00CB3DE1">
      <w:pPr>
        <w:widowControl w:val="0"/>
        <w:numPr>
          <w:ilvl w:val="0"/>
          <w:numId w:val="23"/>
        </w:numPr>
        <w:tabs>
          <w:tab w:val="clear" w:pos="1070"/>
        </w:tabs>
        <w:spacing w:before="0" w:after="0"/>
        <w:ind w:left="426" w:hanging="426"/>
        <w:rPr>
          <w:rFonts w:ascii="Times New Roman" w:hAnsi="Times New Roman"/>
          <w:bCs/>
          <w:iCs/>
          <w:color w:val="000000"/>
          <w:sz w:val="24"/>
          <w:lang w:val="pt-BR"/>
        </w:rPr>
      </w:pPr>
      <w:r w:rsidRPr="00CB3DE1">
        <w:rPr>
          <w:rFonts w:ascii="Times New Roman" w:hAnsi="Times New Roman"/>
          <w:bCs/>
          <w:iCs/>
          <w:color w:val="000000"/>
          <w:sz w:val="24"/>
          <w:lang w:val="pt-BR"/>
        </w:rPr>
        <w:t>Após as reformas serem concluídas e o imóvel ser classificado como mantido para venda, mas antes que um compromisso firme de compra seja obtido, a entidade fica ciente de danos ambientais que exigem reparação. A entidade ainda pretende vender o imóvel. Contudo, a entidade não tem capacidade de transferir o imóvel a um comprador até que o reparo seja concluído. O atraso no momento da transferência do imóvel, imposto por outros antes que um compromisso firme de compra seja obtido, demonstra que o imóvel não está disponível para venda imediata. O critério no item 7 continuaria a não ser cumprido. O imóvel seria reclassificado como mantido em uso, de acordo com o item 26.</w:t>
      </w:r>
    </w:p>
    <w:p w14:paraId="20A60C16" w14:textId="77777777" w:rsidR="00CB3DE1" w:rsidRPr="00CB3DE1" w:rsidRDefault="00CB3DE1" w:rsidP="00CB3DE1">
      <w:pPr>
        <w:widowControl w:val="0"/>
        <w:tabs>
          <w:tab w:val="left" w:pos="6804"/>
        </w:tabs>
        <w:spacing w:before="0" w:after="0"/>
        <w:ind w:left="57"/>
        <w:rPr>
          <w:rFonts w:ascii="Times New Roman" w:hAnsi="Times New Roman"/>
          <w:b/>
          <w:sz w:val="24"/>
          <w:lang w:val="pt-BR" w:eastAsia="x-none"/>
        </w:rPr>
      </w:pPr>
    </w:p>
    <w:p w14:paraId="1D2A6C8E" w14:textId="77777777" w:rsidR="00CB3DE1" w:rsidRPr="00CB3DE1" w:rsidRDefault="00CB3DE1" w:rsidP="00CB3DE1">
      <w:pPr>
        <w:widowControl w:val="0"/>
        <w:tabs>
          <w:tab w:val="left" w:pos="6804"/>
        </w:tabs>
        <w:spacing w:before="0" w:after="0"/>
        <w:rPr>
          <w:rFonts w:ascii="Times New Roman" w:hAnsi="Times New Roman"/>
          <w:sz w:val="24"/>
        </w:rPr>
      </w:pPr>
      <w:r w:rsidRPr="00CB3DE1">
        <w:rPr>
          <w:rFonts w:ascii="Times New Roman" w:hAnsi="Times New Roman"/>
          <w:b/>
          <w:sz w:val="24"/>
          <w:lang w:val="pt-BR" w:eastAsia="x-none"/>
        </w:rPr>
        <w:t>Conclusão de venda esperada dentro de um ano (item 8)</w:t>
      </w:r>
    </w:p>
    <w:p w14:paraId="7F933EC7" w14:textId="77777777" w:rsidR="00CB3DE1" w:rsidRPr="00CB3DE1" w:rsidRDefault="00CB3DE1" w:rsidP="00CB3DE1">
      <w:pPr>
        <w:widowControl w:val="0"/>
        <w:tabs>
          <w:tab w:val="left" w:pos="6804"/>
        </w:tabs>
        <w:spacing w:before="0" w:after="0"/>
        <w:ind w:left="57"/>
        <w:rPr>
          <w:rFonts w:ascii="Times New Roman" w:hAnsi="Times New Roman"/>
          <w:b/>
          <w:sz w:val="24"/>
          <w:lang w:val="pt-BR" w:eastAsia="x-none"/>
        </w:rPr>
      </w:pPr>
    </w:p>
    <w:p w14:paraId="4EDC452A" w14:textId="77777777" w:rsidR="00CB3DE1" w:rsidRPr="00CB3DE1" w:rsidRDefault="00CB3DE1" w:rsidP="00CB3DE1">
      <w:pPr>
        <w:widowControl w:val="0"/>
        <w:tabs>
          <w:tab w:val="left" w:pos="6804"/>
        </w:tabs>
        <w:spacing w:before="0" w:after="0"/>
        <w:rPr>
          <w:rFonts w:ascii="Times New Roman" w:hAnsi="Times New Roman"/>
          <w:b/>
          <w:sz w:val="24"/>
          <w:lang w:val="pt-BR" w:eastAsia="x-none"/>
        </w:rPr>
      </w:pPr>
      <w:r w:rsidRPr="00CB3DE1">
        <w:rPr>
          <w:rFonts w:ascii="Times New Roman" w:hAnsi="Times New Roman"/>
          <w:b/>
          <w:sz w:val="24"/>
          <w:lang w:val="pt-BR" w:eastAsia="x-none"/>
        </w:rPr>
        <w:t>Exemplo 4</w:t>
      </w:r>
    </w:p>
    <w:p w14:paraId="7356333F"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4CF8F3AB" w14:textId="77777777" w:rsidR="00CB3DE1" w:rsidRPr="00CB3DE1" w:rsidRDefault="00CB3DE1" w:rsidP="00CB3DE1">
      <w:pPr>
        <w:widowControl w:val="0"/>
        <w:tabs>
          <w:tab w:val="left" w:pos="6804"/>
        </w:tabs>
        <w:spacing w:before="0"/>
        <w:rPr>
          <w:rFonts w:ascii="Times New Roman" w:hAnsi="Times New Roman"/>
          <w:color w:val="000000"/>
          <w:sz w:val="24"/>
          <w:lang w:val="pt-BR" w:eastAsia="x-none"/>
        </w:rPr>
      </w:pPr>
      <w:r w:rsidRPr="00CB3DE1">
        <w:rPr>
          <w:rFonts w:ascii="Times New Roman" w:hAnsi="Times New Roman"/>
          <w:color w:val="000000"/>
          <w:sz w:val="24"/>
          <w:lang w:val="pt-BR" w:eastAsia="x-none"/>
        </w:rPr>
        <w:t>Para se qualificar para classificação como mantido para venda, a venda de um ativo não circulante (ou grupo de ativos) deve ser altamente provável (item 7) e a transferência do ativo (ou grupo de ativos) deve ser esperada para se qualificar para reconhecimento como venda concluída dentro de um ano (item 8). Esse critério não seria cumprido se, por exemplo:</w:t>
      </w:r>
    </w:p>
    <w:p w14:paraId="05A8C3A9" w14:textId="77777777" w:rsidR="00CB3DE1" w:rsidRPr="00CB3DE1" w:rsidRDefault="00CB3DE1" w:rsidP="00CB3DE1">
      <w:pPr>
        <w:widowControl w:val="0"/>
        <w:numPr>
          <w:ilvl w:val="0"/>
          <w:numId w:val="24"/>
        </w:numPr>
        <w:tabs>
          <w:tab w:val="clear" w:pos="1070"/>
        </w:tabs>
        <w:spacing w:before="0"/>
        <w:ind w:left="426" w:hanging="426"/>
        <w:rPr>
          <w:rFonts w:ascii="Times New Roman" w:hAnsi="Times New Roman"/>
          <w:bCs/>
          <w:iCs/>
          <w:color w:val="000000"/>
          <w:sz w:val="24"/>
          <w:lang w:val="pt-BR"/>
        </w:rPr>
      </w:pPr>
      <w:r w:rsidRPr="00CB3DE1">
        <w:rPr>
          <w:rFonts w:ascii="Times New Roman" w:hAnsi="Times New Roman"/>
          <w:bCs/>
          <w:iCs/>
          <w:color w:val="000000"/>
          <w:sz w:val="24"/>
          <w:lang w:val="pt-BR"/>
        </w:rPr>
        <w:t xml:space="preserve">a entidade, que é uma empresa financeira e de </w:t>
      </w:r>
      <w:r w:rsidRPr="00CB3DE1">
        <w:rPr>
          <w:rFonts w:ascii="Times New Roman" w:hAnsi="Times New Roman"/>
          <w:bCs/>
          <w:i/>
          <w:iCs/>
          <w:color w:val="000000"/>
          <w:sz w:val="24"/>
          <w:lang w:val="pt-BR"/>
        </w:rPr>
        <w:t>leasing</w:t>
      </w:r>
      <w:r w:rsidRPr="00CB3DE1">
        <w:rPr>
          <w:rFonts w:ascii="Times New Roman" w:hAnsi="Times New Roman"/>
          <w:bCs/>
          <w:iCs/>
          <w:color w:val="000000"/>
          <w:sz w:val="24"/>
          <w:lang w:val="pt-BR"/>
        </w:rPr>
        <w:t xml:space="preserve"> comercial, estiver mantendo para venda ou arrendamento equipamentos que deixaram de ser recentemente arrendados e a última forma de transação futura (venda ou arrendamento) ainda não foi determinada. </w:t>
      </w:r>
    </w:p>
    <w:p w14:paraId="3666EA62" w14:textId="77777777" w:rsidR="00CB3DE1" w:rsidRPr="00CB3DE1" w:rsidRDefault="00CB3DE1" w:rsidP="00CB3DE1">
      <w:pPr>
        <w:widowControl w:val="0"/>
        <w:numPr>
          <w:ilvl w:val="0"/>
          <w:numId w:val="24"/>
        </w:numPr>
        <w:tabs>
          <w:tab w:val="clear" w:pos="1070"/>
        </w:tabs>
        <w:spacing w:before="0" w:after="0"/>
        <w:ind w:left="426" w:hanging="426"/>
        <w:rPr>
          <w:rFonts w:ascii="Times New Roman" w:hAnsi="Times New Roman"/>
          <w:bCs/>
          <w:iCs/>
          <w:color w:val="000000"/>
          <w:sz w:val="24"/>
          <w:lang w:val="pt-BR"/>
        </w:rPr>
      </w:pPr>
      <w:r w:rsidRPr="00CB3DE1">
        <w:rPr>
          <w:rFonts w:ascii="Times New Roman" w:hAnsi="Times New Roman"/>
          <w:bCs/>
          <w:iCs/>
          <w:color w:val="000000"/>
          <w:sz w:val="24"/>
          <w:lang w:val="pt-BR"/>
        </w:rPr>
        <w:t>a entidade estiver comprometida com o plano de “vender” um imóvel que esteja em uso e a transferência do imóvel será contabilizada como venda e retroarrendamento (</w:t>
      </w:r>
      <w:r w:rsidRPr="00CB3DE1">
        <w:rPr>
          <w:rFonts w:ascii="Times New Roman" w:hAnsi="Times New Roman"/>
          <w:bCs/>
          <w:i/>
          <w:iCs/>
          <w:color w:val="000000"/>
          <w:sz w:val="24"/>
          <w:lang w:val="pt-BR"/>
        </w:rPr>
        <w:t>leaseback</w:t>
      </w:r>
      <w:r w:rsidRPr="00CB3DE1">
        <w:rPr>
          <w:rFonts w:ascii="Times New Roman" w:hAnsi="Times New Roman"/>
          <w:bCs/>
          <w:iCs/>
          <w:color w:val="000000"/>
          <w:sz w:val="24"/>
          <w:lang w:val="pt-BR"/>
        </w:rPr>
        <w:t xml:space="preserve">) financeiro. </w:t>
      </w:r>
    </w:p>
    <w:p w14:paraId="253A9017" w14:textId="77777777" w:rsidR="00CB3DE1" w:rsidRPr="00CB3DE1" w:rsidRDefault="00CB3DE1" w:rsidP="00CB3DE1">
      <w:pPr>
        <w:widowControl w:val="0"/>
        <w:tabs>
          <w:tab w:val="left" w:pos="6804"/>
        </w:tabs>
        <w:spacing w:before="0" w:after="0"/>
        <w:ind w:left="57"/>
        <w:rPr>
          <w:rFonts w:ascii="Times New Roman" w:hAnsi="Times New Roman"/>
          <w:b/>
          <w:sz w:val="24"/>
          <w:lang w:val="pt-BR" w:eastAsia="x-none"/>
        </w:rPr>
      </w:pPr>
    </w:p>
    <w:p w14:paraId="52B677B4" w14:textId="77777777" w:rsidR="00CB3DE1" w:rsidRPr="00CB3DE1" w:rsidRDefault="00CB3DE1" w:rsidP="00CB3DE1">
      <w:pPr>
        <w:widowControl w:val="0"/>
        <w:tabs>
          <w:tab w:val="left" w:pos="6804"/>
        </w:tabs>
        <w:spacing w:before="0" w:after="0"/>
        <w:rPr>
          <w:rFonts w:ascii="Times New Roman" w:hAnsi="Times New Roman"/>
          <w:b/>
          <w:sz w:val="24"/>
          <w:lang w:val="pt-BR" w:eastAsia="x-none"/>
        </w:rPr>
      </w:pPr>
      <w:r w:rsidRPr="00CB3DE1">
        <w:rPr>
          <w:rFonts w:ascii="Times New Roman" w:hAnsi="Times New Roman"/>
          <w:b/>
          <w:sz w:val="24"/>
          <w:lang w:val="pt-BR" w:eastAsia="x-none"/>
        </w:rPr>
        <w:t>Exceções ao critério no item 8</w:t>
      </w:r>
    </w:p>
    <w:p w14:paraId="3D1B1AD1"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53E0A961"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Uma exceção ao requisito de um ano do item 8 se aplica em situações limitadas em que o período exigido para concluir a venda de um ativo não circulante (ou grupo de ativos) será (ou foi) prorrogado por eventos ou circunstâncias além do controle da entidade e as condições específicas forem cumpridas (itens 9 e B1). Os exemplos 5 a 7 ilustram essas situações. </w:t>
      </w:r>
    </w:p>
    <w:p w14:paraId="6CCEC5D4" w14:textId="77777777" w:rsidR="00CB3DE1" w:rsidRPr="00CB3DE1" w:rsidRDefault="00CB3DE1" w:rsidP="00CB3DE1">
      <w:pPr>
        <w:widowControl w:val="0"/>
        <w:tabs>
          <w:tab w:val="left" w:pos="6804"/>
        </w:tabs>
        <w:spacing w:before="0" w:after="0"/>
        <w:ind w:left="57"/>
        <w:rPr>
          <w:rFonts w:ascii="Times New Roman" w:hAnsi="Times New Roman"/>
          <w:b/>
          <w:sz w:val="24"/>
          <w:lang w:val="pt-BR" w:eastAsia="x-none"/>
        </w:rPr>
      </w:pPr>
    </w:p>
    <w:p w14:paraId="7ABF25CA" w14:textId="77777777" w:rsidR="0006156C" w:rsidRDefault="0006156C">
      <w:pPr>
        <w:spacing w:before="0" w:after="160" w:line="259" w:lineRule="auto"/>
        <w:jc w:val="left"/>
        <w:rPr>
          <w:rFonts w:ascii="Times New Roman" w:hAnsi="Times New Roman"/>
          <w:b/>
          <w:sz w:val="24"/>
          <w:lang w:val="pt-BR" w:eastAsia="x-none"/>
        </w:rPr>
      </w:pPr>
      <w:r>
        <w:rPr>
          <w:rFonts w:ascii="Times New Roman" w:hAnsi="Times New Roman"/>
          <w:b/>
          <w:sz w:val="24"/>
          <w:lang w:val="pt-BR" w:eastAsia="x-none"/>
        </w:rPr>
        <w:br w:type="page"/>
      </w:r>
    </w:p>
    <w:p w14:paraId="53883CD1" w14:textId="3488AF70" w:rsidR="00CB3DE1" w:rsidRPr="00CB3DE1" w:rsidRDefault="00CB3DE1" w:rsidP="00CB3DE1">
      <w:pPr>
        <w:widowControl w:val="0"/>
        <w:tabs>
          <w:tab w:val="left" w:pos="6804"/>
        </w:tabs>
        <w:spacing w:before="0" w:after="0"/>
        <w:rPr>
          <w:rFonts w:ascii="Times New Roman" w:hAnsi="Times New Roman"/>
          <w:b/>
          <w:sz w:val="24"/>
          <w:lang w:val="pt-BR" w:eastAsia="x-none"/>
        </w:rPr>
      </w:pPr>
      <w:r w:rsidRPr="00CB3DE1">
        <w:rPr>
          <w:rFonts w:ascii="Times New Roman" w:hAnsi="Times New Roman"/>
          <w:b/>
          <w:sz w:val="24"/>
          <w:lang w:val="pt-BR" w:eastAsia="x-none"/>
        </w:rPr>
        <w:lastRenderedPageBreak/>
        <w:t>Exemplo 5</w:t>
      </w:r>
    </w:p>
    <w:p w14:paraId="2C91FFDC"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78115DE8"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A entidade na indústria de geração de energia está comprometida com o plano de venda de grupo de ativos que representa parte significativa de suas operações regulamentadas. A venda exige aprovação regulamentar que pode prolongar o prazo necessário para concluir a venda além de um ano. As ações necessárias para obter essa aprovação não podem ser iniciadas até que um comprador seja conhecido e seja obtido um compromisso firme de compra. Entretanto, um compromisso firme de compra é altamente provável dentro de um ano. Nessa situação, as condições no item B1(a) para uma exceção ao requisito de um ano do item 8 seriam cumpridas. </w:t>
      </w:r>
    </w:p>
    <w:p w14:paraId="4D4C75F5" w14:textId="77777777" w:rsidR="00CB3DE1" w:rsidRPr="00CB3DE1" w:rsidRDefault="00CB3DE1" w:rsidP="00CB3DE1">
      <w:pPr>
        <w:widowControl w:val="0"/>
        <w:tabs>
          <w:tab w:val="left" w:pos="6804"/>
        </w:tabs>
        <w:spacing w:before="0" w:after="0"/>
        <w:ind w:left="57"/>
        <w:rPr>
          <w:rFonts w:ascii="Times New Roman" w:hAnsi="Times New Roman"/>
          <w:b/>
          <w:sz w:val="24"/>
          <w:lang w:val="pt-BR" w:eastAsia="x-none"/>
        </w:rPr>
      </w:pPr>
    </w:p>
    <w:p w14:paraId="09560868" w14:textId="77777777" w:rsidR="00CB3DE1" w:rsidRPr="00CB3DE1" w:rsidRDefault="00CB3DE1" w:rsidP="00CB3DE1">
      <w:pPr>
        <w:widowControl w:val="0"/>
        <w:tabs>
          <w:tab w:val="left" w:pos="6804"/>
        </w:tabs>
        <w:spacing w:before="0" w:after="0"/>
        <w:rPr>
          <w:rFonts w:ascii="Times New Roman" w:hAnsi="Times New Roman"/>
          <w:b/>
          <w:sz w:val="24"/>
          <w:lang w:val="pt-BR" w:eastAsia="x-none"/>
        </w:rPr>
      </w:pPr>
      <w:r w:rsidRPr="00CB3DE1">
        <w:rPr>
          <w:rFonts w:ascii="Times New Roman" w:hAnsi="Times New Roman"/>
          <w:b/>
          <w:sz w:val="24"/>
          <w:lang w:val="pt-BR" w:eastAsia="x-none"/>
        </w:rPr>
        <w:t>Exemplo 6</w:t>
      </w:r>
    </w:p>
    <w:p w14:paraId="448D2D70"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7714E93E"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A entidade está comprometida com o plano de venda de instalação de fabricação em sua condição atual e classifica a instalação como mantida para venda nessa data. Após ser obtido um compromisso firme de compra, a inspeção do imóvel pelo comprador identifica danos ambientais cuja existência não era conhecida anteriormente. A entidade é obrigada a reparar os danos, o que ampliará o período necessário para concluir a venda além de um ano. Contudo, a entidade iniciou ações para reparar os danos e a retificação satisfatória do dano é altamente provável. Nessa situação, as condições no item B1(b) para uma exceção ao requisito de um ano do item 8 seriam cumpridas. </w:t>
      </w:r>
    </w:p>
    <w:p w14:paraId="7844DB44" w14:textId="77777777" w:rsidR="00CB3DE1" w:rsidRPr="00CB3DE1" w:rsidRDefault="00CB3DE1" w:rsidP="00CB3DE1">
      <w:pPr>
        <w:widowControl w:val="0"/>
        <w:tabs>
          <w:tab w:val="left" w:pos="6804"/>
        </w:tabs>
        <w:spacing w:before="0" w:after="0"/>
        <w:ind w:left="57"/>
        <w:rPr>
          <w:rFonts w:ascii="Times New Roman" w:hAnsi="Times New Roman"/>
          <w:b/>
          <w:sz w:val="24"/>
          <w:lang w:val="pt-BR" w:eastAsia="x-none"/>
        </w:rPr>
      </w:pPr>
    </w:p>
    <w:p w14:paraId="049CC7B4" w14:textId="77777777" w:rsidR="00CB3DE1" w:rsidRPr="00CB3DE1" w:rsidRDefault="00CB3DE1" w:rsidP="00CB3DE1">
      <w:pPr>
        <w:widowControl w:val="0"/>
        <w:tabs>
          <w:tab w:val="left" w:pos="6804"/>
        </w:tabs>
        <w:spacing w:before="0" w:after="0"/>
        <w:rPr>
          <w:rFonts w:ascii="Times New Roman" w:hAnsi="Times New Roman"/>
          <w:b/>
          <w:sz w:val="24"/>
          <w:lang w:val="pt-BR" w:eastAsia="x-none"/>
        </w:rPr>
      </w:pPr>
      <w:r w:rsidRPr="00CB3DE1">
        <w:rPr>
          <w:rFonts w:ascii="Times New Roman" w:hAnsi="Times New Roman"/>
          <w:b/>
          <w:sz w:val="24"/>
          <w:lang w:val="pt-BR" w:eastAsia="x-none"/>
        </w:rPr>
        <w:t>Exemplo 7</w:t>
      </w:r>
    </w:p>
    <w:p w14:paraId="0DA5EB95"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314B6688" w14:textId="77777777" w:rsidR="00CB3DE1" w:rsidRPr="00CB3DE1" w:rsidRDefault="00CB3DE1" w:rsidP="00CB3DE1">
      <w:pPr>
        <w:widowControl w:val="0"/>
        <w:tabs>
          <w:tab w:val="left" w:pos="6804"/>
        </w:tabs>
        <w:spacing w:before="0"/>
        <w:rPr>
          <w:rFonts w:ascii="Times New Roman" w:hAnsi="Times New Roman"/>
          <w:color w:val="000000"/>
          <w:sz w:val="24"/>
          <w:lang w:val="pt-BR" w:eastAsia="x-none"/>
        </w:rPr>
      </w:pPr>
      <w:r w:rsidRPr="00CB3DE1">
        <w:rPr>
          <w:rFonts w:ascii="Times New Roman" w:hAnsi="Times New Roman"/>
          <w:color w:val="000000"/>
          <w:sz w:val="24"/>
          <w:lang w:val="pt-BR" w:eastAsia="x-none"/>
        </w:rPr>
        <w:t xml:space="preserve">A entidade está comprometida com o plano de venda de ativo não circulante e classifica o ativo como mantido para venda nessa data. </w:t>
      </w:r>
    </w:p>
    <w:p w14:paraId="34A93A1C" w14:textId="77777777" w:rsidR="00CB3DE1" w:rsidRPr="00CB3DE1" w:rsidRDefault="00CB3DE1" w:rsidP="00CB3DE1">
      <w:pPr>
        <w:widowControl w:val="0"/>
        <w:numPr>
          <w:ilvl w:val="0"/>
          <w:numId w:val="25"/>
        </w:numPr>
        <w:tabs>
          <w:tab w:val="clear" w:pos="1070"/>
        </w:tabs>
        <w:spacing w:before="0"/>
        <w:ind w:left="426" w:hanging="426"/>
        <w:rPr>
          <w:rFonts w:ascii="Times New Roman" w:hAnsi="Times New Roman"/>
          <w:bCs/>
          <w:iCs/>
          <w:color w:val="000000"/>
          <w:sz w:val="24"/>
          <w:lang w:val="pt-BR"/>
        </w:rPr>
      </w:pPr>
      <w:r w:rsidRPr="00CB3DE1">
        <w:rPr>
          <w:rFonts w:ascii="Times New Roman" w:hAnsi="Times New Roman"/>
          <w:bCs/>
          <w:iCs/>
          <w:color w:val="000000"/>
          <w:sz w:val="24"/>
          <w:lang w:val="pt-BR"/>
        </w:rPr>
        <w:t xml:space="preserve">Durante o período inicial de um ano, as condições de mercado que existiam na data em que o ativo foi classificado inicialmente como mantido para venda deterioraram-se e, como resultado, o ativo não é vendido até o fim desse período. Durante esse período, a entidade solicitou ativamente, mas não recebeu nenhuma oferta razoável para comprar o ativo e, em resposta, reduziu o preço. O ativo continua a ser ativamente negociado a um preço que é razoável, considerando as mudanças nas condições de mercado e os critérios nos itens 7 e 8 estão, portanto, cumpridos. Nessa situação, as condições no item B1(c) para uma exceção ao requisito de um ano do item 8 seriam cumpridas. No final do período inicial de um ano, o ativo continuaria a ser classificado como mantido para venda. </w:t>
      </w:r>
    </w:p>
    <w:p w14:paraId="5B2721AE" w14:textId="77777777" w:rsidR="00CB3DE1" w:rsidRPr="00CB3DE1" w:rsidRDefault="00CB3DE1" w:rsidP="00CB3DE1">
      <w:pPr>
        <w:widowControl w:val="0"/>
        <w:numPr>
          <w:ilvl w:val="0"/>
          <w:numId w:val="25"/>
        </w:numPr>
        <w:tabs>
          <w:tab w:val="clear" w:pos="1070"/>
        </w:tabs>
        <w:spacing w:before="0" w:after="0"/>
        <w:ind w:left="426" w:hanging="426"/>
        <w:rPr>
          <w:rFonts w:ascii="Times New Roman" w:hAnsi="Times New Roman"/>
          <w:bCs/>
          <w:iCs/>
          <w:color w:val="000000"/>
          <w:sz w:val="24"/>
          <w:lang w:val="pt-BR"/>
        </w:rPr>
      </w:pPr>
      <w:r w:rsidRPr="00CB3DE1">
        <w:rPr>
          <w:rFonts w:ascii="Times New Roman" w:hAnsi="Times New Roman"/>
          <w:bCs/>
          <w:iCs/>
          <w:color w:val="000000"/>
          <w:sz w:val="24"/>
          <w:lang w:val="pt-BR"/>
        </w:rPr>
        <w:t>Durante o período seguinte de um ano, as condições de mercado se deterioram ainda mais e o ativo não é vendido até o final desse período. A entidade acredita que as condições de mercado melhorarão e não mais reduziu o preço do ativo. O ativo continua a ser mantido para venda, porém a um preço acima de seu valor justo atual. Nessa situação, a ausência de uma redução de preço demonstra que o ativo não está disponível para venda imediata, conforme exigido pelo item 7. Além disso, o item 8 também exige que um ativo seja negociado a um preço que seja razoável em relação ao seu valor justo atual. Portanto, as condições no item B1(c), para uma exceção ao requisito de um ano do item 8, não seriam cumpridas. O ativo seria reclassificado como mantido em uso de acordo com o item 26.</w:t>
      </w:r>
    </w:p>
    <w:p w14:paraId="0744046E" w14:textId="77777777" w:rsidR="00CB3DE1" w:rsidRPr="00CB3DE1" w:rsidRDefault="00CB3DE1" w:rsidP="00CB3DE1">
      <w:pPr>
        <w:widowControl w:val="0"/>
        <w:tabs>
          <w:tab w:val="left" w:pos="6804"/>
        </w:tabs>
        <w:spacing w:before="0" w:after="0"/>
        <w:ind w:left="57"/>
        <w:rPr>
          <w:rFonts w:ascii="Times New Roman" w:hAnsi="Times New Roman"/>
          <w:b/>
          <w:sz w:val="24"/>
          <w:lang w:val="pt-BR" w:eastAsia="x-none"/>
        </w:rPr>
      </w:pPr>
    </w:p>
    <w:p w14:paraId="7D7061D4" w14:textId="77777777" w:rsidR="0006156C" w:rsidRDefault="0006156C">
      <w:pPr>
        <w:spacing w:before="0" w:after="160" w:line="259" w:lineRule="auto"/>
        <w:jc w:val="left"/>
        <w:rPr>
          <w:rFonts w:ascii="Times New Roman" w:hAnsi="Times New Roman"/>
          <w:b/>
          <w:sz w:val="24"/>
          <w:lang w:val="pt-BR" w:eastAsia="x-none"/>
        </w:rPr>
      </w:pPr>
      <w:r>
        <w:rPr>
          <w:rFonts w:ascii="Times New Roman" w:hAnsi="Times New Roman"/>
          <w:b/>
          <w:sz w:val="24"/>
          <w:lang w:val="pt-BR" w:eastAsia="x-none"/>
        </w:rPr>
        <w:br w:type="page"/>
      </w:r>
    </w:p>
    <w:p w14:paraId="576A98DF" w14:textId="1219A8E0" w:rsidR="00CB3DE1" w:rsidRPr="00CB3DE1" w:rsidRDefault="00CB3DE1" w:rsidP="00CB3DE1">
      <w:pPr>
        <w:widowControl w:val="0"/>
        <w:tabs>
          <w:tab w:val="left" w:pos="6804"/>
        </w:tabs>
        <w:spacing w:before="0" w:after="0"/>
        <w:rPr>
          <w:rFonts w:ascii="Times New Roman" w:hAnsi="Times New Roman"/>
          <w:b/>
          <w:sz w:val="24"/>
          <w:lang w:val="pt-BR" w:eastAsia="x-none"/>
        </w:rPr>
      </w:pPr>
      <w:r w:rsidRPr="00CB3DE1">
        <w:rPr>
          <w:rFonts w:ascii="Times New Roman" w:hAnsi="Times New Roman"/>
          <w:b/>
          <w:sz w:val="24"/>
          <w:lang w:val="pt-BR" w:eastAsia="x-none"/>
        </w:rPr>
        <w:lastRenderedPageBreak/>
        <w:t>Determinando se um ativo foi abandonado</w:t>
      </w:r>
    </w:p>
    <w:p w14:paraId="2F778398"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17003D3B"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r w:rsidRPr="00CB3DE1">
        <w:rPr>
          <w:rFonts w:ascii="Times New Roman" w:hAnsi="Times New Roman"/>
          <w:color w:val="000000"/>
          <w:sz w:val="24"/>
          <w:lang w:val="pt-BR" w:eastAsia="x-none"/>
        </w:rPr>
        <w:t>Os itens 13 e 14 do Pronunciamento especificam os requisitos para quando os ativos devem ser tratados como abandonados. O exemplo 8 ilustra quando um ativo não foi considerado abandonado.</w:t>
      </w:r>
    </w:p>
    <w:p w14:paraId="7F39C032"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658F2E1B" w14:textId="77777777" w:rsidR="00CB3DE1" w:rsidRPr="00CB3DE1" w:rsidRDefault="00CB3DE1" w:rsidP="00CB3DE1">
      <w:pPr>
        <w:widowControl w:val="0"/>
        <w:tabs>
          <w:tab w:val="left" w:pos="6804"/>
        </w:tabs>
        <w:spacing w:before="0" w:after="0"/>
        <w:rPr>
          <w:rFonts w:ascii="Times New Roman" w:hAnsi="Times New Roman"/>
          <w:b/>
          <w:sz w:val="24"/>
          <w:lang w:val="pt-BR" w:eastAsia="x-none"/>
        </w:rPr>
      </w:pPr>
      <w:r w:rsidRPr="00CB3DE1">
        <w:rPr>
          <w:rFonts w:ascii="Times New Roman" w:hAnsi="Times New Roman"/>
          <w:b/>
          <w:sz w:val="24"/>
          <w:lang w:val="pt-BR" w:eastAsia="x-none"/>
        </w:rPr>
        <w:t>Exemplo 8</w:t>
      </w:r>
    </w:p>
    <w:p w14:paraId="40E8AA09"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38CFE826"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r w:rsidRPr="00CB3DE1">
        <w:rPr>
          <w:rFonts w:ascii="Times New Roman" w:hAnsi="Times New Roman"/>
          <w:color w:val="000000"/>
          <w:sz w:val="24"/>
          <w:lang w:val="pt-BR" w:eastAsia="x-none"/>
        </w:rPr>
        <w:t>A entidade deixa de usar uma unidade de fabricação, pois a demanda de seu produto foi reduzida. Contudo, a fábrica é mantida em condições operacionais e espera-se que ela voltará a ser usada se a demanda aumentar. A fábrica não é considerada como abandonada.</w:t>
      </w:r>
    </w:p>
    <w:p w14:paraId="1B09BB38"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5F601CC6" w14:textId="77777777" w:rsidR="00CB3DE1" w:rsidRPr="00CB3DE1" w:rsidRDefault="00CB3DE1" w:rsidP="00CB3DE1">
      <w:pPr>
        <w:widowControl w:val="0"/>
        <w:tabs>
          <w:tab w:val="left" w:pos="6804"/>
        </w:tabs>
        <w:spacing w:before="0" w:after="0"/>
        <w:rPr>
          <w:rFonts w:ascii="Times New Roman" w:hAnsi="Times New Roman"/>
          <w:b/>
          <w:sz w:val="24"/>
          <w:lang w:val="pt-BR" w:eastAsia="x-none"/>
        </w:rPr>
      </w:pPr>
      <w:r w:rsidRPr="00CB3DE1">
        <w:rPr>
          <w:rFonts w:ascii="Times New Roman" w:hAnsi="Times New Roman"/>
          <w:b/>
          <w:sz w:val="24"/>
          <w:lang w:val="pt-BR" w:eastAsia="x-none"/>
        </w:rPr>
        <w:t xml:space="preserve">Apresentação de operação descontinuada que foi abandonada </w:t>
      </w:r>
    </w:p>
    <w:p w14:paraId="053CB213"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048823BA"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r w:rsidRPr="00CB3DE1">
        <w:rPr>
          <w:rFonts w:ascii="Times New Roman" w:hAnsi="Times New Roman"/>
          <w:color w:val="000000"/>
          <w:sz w:val="24"/>
          <w:lang w:val="pt-BR" w:eastAsia="x-none"/>
        </w:rPr>
        <w:t>O item 13 do Pronunciamento proíbe os ativos que serão abandonados de serem classificados como mantidos para venda. Contudo, se os ativos a serem abandonados constituírem uma linha importante de negócios ou área geográfica de operações, eles serão reportados em operações descontinuadas, na data em que forem abandonados. O exemplo 9 ilustra este caso.</w:t>
      </w:r>
    </w:p>
    <w:p w14:paraId="75CF391C"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29CEDD43" w14:textId="77777777" w:rsidR="00CB3DE1" w:rsidRPr="00CB3DE1" w:rsidRDefault="00CB3DE1" w:rsidP="00CB3DE1">
      <w:pPr>
        <w:widowControl w:val="0"/>
        <w:tabs>
          <w:tab w:val="left" w:pos="6804"/>
        </w:tabs>
        <w:spacing w:before="0" w:after="0"/>
        <w:rPr>
          <w:rFonts w:ascii="Times New Roman" w:hAnsi="Times New Roman"/>
          <w:b/>
          <w:sz w:val="24"/>
          <w:lang w:val="pt-BR" w:eastAsia="x-none"/>
        </w:rPr>
      </w:pPr>
      <w:r w:rsidRPr="00CB3DE1">
        <w:rPr>
          <w:rFonts w:ascii="Times New Roman" w:hAnsi="Times New Roman"/>
          <w:b/>
          <w:sz w:val="24"/>
          <w:lang w:val="pt-BR" w:eastAsia="x-none"/>
        </w:rPr>
        <w:t>Exemplo 9</w:t>
      </w:r>
    </w:p>
    <w:p w14:paraId="000B1103"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43984002"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r w:rsidRPr="00CB3DE1">
        <w:rPr>
          <w:rFonts w:ascii="Times New Roman" w:hAnsi="Times New Roman"/>
          <w:color w:val="000000"/>
          <w:sz w:val="24"/>
          <w:lang w:val="pt-BR" w:eastAsia="x-none"/>
        </w:rPr>
        <w:t>Em outubro de 20x5, uma entidade decide abandonar todas as suas fábricas de fiação de algodão, que constituem uma importante linha de negócios. Todos os trabalhos são paralisados nas fábricas de fiação de algodão durante o ano encerrado em 31 de dezembro de 20x6. Nas demonstrações contábeis do exercício encerrado em 31 de dezembro de 20x5, os resultados e os fluxos de caixa das fábricas de fiação de algodão são tratados como operações em continuidade. Nas demonstrações contábeis do exercício encerrado em 31 de dezembro de 20x6, os resultados e os fluxos de caixa das fábricas de fiação de algodão são tratados como operações descontinuadas e a entidade faz as divulgações exigidas pelos itens 33 e 34 do Pronunciamento.</w:t>
      </w:r>
    </w:p>
    <w:p w14:paraId="42DC751A"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1E854EE6" w14:textId="77777777" w:rsidR="00CB3DE1" w:rsidRPr="00CB3DE1" w:rsidRDefault="00CB3DE1" w:rsidP="00CB3DE1">
      <w:pPr>
        <w:widowControl w:val="0"/>
        <w:tabs>
          <w:tab w:val="left" w:pos="6804"/>
        </w:tabs>
        <w:spacing w:before="0" w:after="0"/>
        <w:rPr>
          <w:rFonts w:ascii="Times New Roman" w:hAnsi="Times New Roman"/>
          <w:b/>
          <w:sz w:val="24"/>
          <w:lang w:val="pt-BR" w:eastAsia="x-none"/>
        </w:rPr>
      </w:pPr>
      <w:r w:rsidRPr="00CB3DE1">
        <w:rPr>
          <w:rFonts w:ascii="Times New Roman" w:hAnsi="Times New Roman"/>
          <w:b/>
          <w:sz w:val="24"/>
          <w:lang w:val="pt-BR" w:eastAsia="x-none"/>
        </w:rPr>
        <w:t>Alocação de perda por redução ao valor recuperável de grupo de ativos</w:t>
      </w:r>
    </w:p>
    <w:p w14:paraId="7B3088F8"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100393DF"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r w:rsidRPr="00CB3DE1">
        <w:rPr>
          <w:rFonts w:ascii="Times New Roman" w:hAnsi="Times New Roman"/>
          <w:color w:val="000000"/>
          <w:sz w:val="24"/>
          <w:lang w:val="pt-BR" w:eastAsia="x-none"/>
        </w:rPr>
        <w:t>O item 23 do Pronunciamento exige que uma perda por redução ao valor recuperável de ativos (ou qualquer ganho subsequente), reconhecida para um grupo de ativos, reduza (ou aumente) o valor contábil dos ativos não circulantes no grupo que esteja dentro do alcance dos requisitos de mensuração do Pronunciamento, na ordem de alocação definida pelos itens 104 e 122. O exemplo 10 ilustra a alocação de perda por redução ao valor recuperável de ativos em um grupo de ativos.</w:t>
      </w:r>
    </w:p>
    <w:p w14:paraId="744C9C90"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7167A792" w14:textId="77777777" w:rsidR="0006156C" w:rsidRDefault="0006156C">
      <w:pPr>
        <w:spacing w:before="0" w:after="160" w:line="259" w:lineRule="auto"/>
        <w:jc w:val="left"/>
        <w:rPr>
          <w:rFonts w:ascii="Times New Roman" w:hAnsi="Times New Roman"/>
          <w:b/>
          <w:sz w:val="24"/>
          <w:lang w:val="pt-BR" w:eastAsia="x-none"/>
        </w:rPr>
      </w:pPr>
      <w:r>
        <w:rPr>
          <w:rFonts w:ascii="Times New Roman" w:hAnsi="Times New Roman"/>
          <w:b/>
          <w:sz w:val="24"/>
          <w:lang w:val="pt-BR" w:eastAsia="x-none"/>
        </w:rPr>
        <w:br w:type="page"/>
      </w:r>
    </w:p>
    <w:p w14:paraId="3A1F3640" w14:textId="5B65F4A8" w:rsidR="00CB3DE1" w:rsidRPr="00CB3DE1" w:rsidRDefault="00CB3DE1" w:rsidP="00CB3DE1">
      <w:pPr>
        <w:widowControl w:val="0"/>
        <w:tabs>
          <w:tab w:val="left" w:pos="6804"/>
        </w:tabs>
        <w:spacing w:before="0" w:after="0"/>
        <w:rPr>
          <w:rFonts w:ascii="Times New Roman" w:hAnsi="Times New Roman"/>
          <w:b/>
          <w:sz w:val="24"/>
          <w:lang w:val="pt-BR" w:eastAsia="x-none"/>
        </w:rPr>
      </w:pPr>
      <w:r w:rsidRPr="00CB3DE1">
        <w:rPr>
          <w:rFonts w:ascii="Times New Roman" w:hAnsi="Times New Roman"/>
          <w:b/>
          <w:sz w:val="24"/>
          <w:lang w:val="pt-BR" w:eastAsia="x-none"/>
        </w:rPr>
        <w:lastRenderedPageBreak/>
        <w:t>Exemplo 10</w:t>
      </w:r>
    </w:p>
    <w:p w14:paraId="5A710B7E"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3DD2BD3C"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r w:rsidRPr="00CB3DE1">
        <w:rPr>
          <w:rFonts w:ascii="Times New Roman" w:hAnsi="Times New Roman"/>
          <w:color w:val="000000"/>
          <w:sz w:val="24"/>
          <w:lang w:val="pt-BR" w:eastAsia="x-none"/>
        </w:rPr>
        <w:t>A entidade planeja alienar um grupo de seus ativos (como uma venda de ativo). Os ativos formam um grupo de ativos, e são mensurados conforme a seguir:</w:t>
      </w:r>
    </w:p>
    <w:tbl>
      <w:tblPr>
        <w:tblW w:w="5000" w:type="pct"/>
        <w:tblCellMar>
          <w:top w:w="10" w:type="dxa"/>
          <w:left w:w="50" w:type="dxa"/>
          <w:bottom w:w="5" w:type="dxa"/>
          <w:right w:w="50" w:type="dxa"/>
        </w:tblCellMar>
        <w:tblLook w:val="0000" w:firstRow="0" w:lastRow="0" w:firstColumn="0" w:lastColumn="0" w:noHBand="0" w:noVBand="0"/>
      </w:tblPr>
      <w:tblGrid>
        <w:gridCol w:w="4785"/>
        <w:gridCol w:w="2682"/>
        <w:gridCol w:w="2739"/>
      </w:tblGrid>
      <w:tr w:rsidR="00CB3DE1" w:rsidRPr="00CB3DE1" w14:paraId="742F2A13" w14:textId="77777777" w:rsidTr="00BA6C7C">
        <w:trPr>
          <w:cantSplit/>
          <w:trHeight w:val="397"/>
        </w:trPr>
        <w:tc>
          <w:tcPr>
            <w:tcW w:w="2344" w:type="pct"/>
            <w:tcMar>
              <w:top w:w="57" w:type="dxa"/>
              <w:left w:w="57" w:type="dxa"/>
              <w:bottom w:w="11" w:type="dxa"/>
              <w:right w:w="57" w:type="dxa"/>
            </w:tcMar>
          </w:tcPr>
          <w:p w14:paraId="58B2862E" w14:textId="77777777" w:rsidR="00CB3DE1" w:rsidRPr="00CB3DE1" w:rsidRDefault="00CB3DE1" w:rsidP="00CB3DE1">
            <w:pPr>
              <w:spacing w:before="0" w:line="360" w:lineRule="auto"/>
              <w:rPr>
                <w:rFonts w:ascii="Times New Roman" w:hAnsi="Times New Roman"/>
                <w:snapToGrid w:val="0"/>
                <w:sz w:val="24"/>
              </w:rPr>
            </w:pPr>
          </w:p>
        </w:tc>
        <w:tc>
          <w:tcPr>
            <w:tcW w:w="1314" w:type="pct"/>
            <w:tcMar>
              <w:top w:w="57" w:type="dxa"/>
              <w:left w:w="57" w:type="dxa"/>
              <w:bottom w:w="11" w:type="dxa"/>
              <w:right w:w="57" w:type="dxa"/>
            </w:tcMar>
          </w:tcPr>
          <w:p w14:paraId="53D27551" w14:textId="77777777" w:rsidR="00CB3DE1" w:rsidRPr="00CB3DE1" w:rsidRDefault="00CB3DE1" w:rsidP="00CB3DE1">
            <w:pPr>
              <w:ind w:left="150"/>
              <w:jc w:val="left"/>
            </w:pPr>
            <w:r w:rsidRPr="00CB3DE1">
              <w:t xml:space="preserve">Valor contábil no final do período, antes da classificação como mantido para venda </w:t>
            </w:r>
          </w:p>
        </w:tc>
        <w:tc>
          <w:tcPr>
            <w:tcW w:w="1343" w:type="pct"/>
            <w:tcMar>
              <w:top w:w="57" w:type="dxa"/>
              <w:left w:w="57" w:type="dxa"/>
              <w:bottom w:w="11" w:type="dxa"/>
              <w:right w:w="57" w:type="dxa"/>
            </w:tcMar>
          </w:tcPr>
          <w:p w14:paraId="4BEB7FC3" w14:textId="77777777" w:rsidR="00CB3DE1" w:rsidRPr="00CB3DE1" w:rsidRDefault="00CB3DE1" w:rsidP="00CB3DE1">
            <w:pPr>
              <w:ind w:left="118"/>
              <w:jc w:val="left"/>
            </w:pPr>
            <w:r w:rsidRPr="00CB3DE1">
              <w:t>Valor contábil conforme remensurado</w:t>
            </w:r>
          </w:p>
          <w:p w14:paraId="249145CA" w14:textId="77777777" w:rsidR="00CB3DE1" w:rsidRPr="00CB3DE1" w:rsidRDefault="00CB3DE1" w:rsidP="00CB3DE1">
            <w:pPr>
              <w:ind w:left="118"/>
              <w:jc w:val="left"/>
            </w:pPr>
            <w:r w:rsidRPr="00CB3DE1">
              <w:t>imediatamente antes da classificação como mantido para venda</w:t>
            </w:r>
          </w:p>
        </w:tc>
      </w:tr>
      <w:tr w:rsidR="00CB3DE1" w:rsidRPr="00CB3DE1" w14:paraId="535C9FF9" w14:textId="77777777" w:rsidTr="00BA6C7C">
        <w:trPr>
          <w:cantSplit/>
          <w:trHeight w:val="397"/>
        </w:trPr>
        <w:tc>
          <w:tcPr>
            <w:tcW w:w="2344" w:type="pct"/>
            <w:tcMar>
              <w:top w:w="57" w:type="dxa"/>
              <w:left w:w="57" w:type="dxa"/>
              <w:bottom w:w="11" w:type="dxa"/>
              <w:right w:w="57" w:type="dxa"/>
            </w:tcMar>
          </w:tcPr>
          <w:p w14:paraId="506E16FC" w14:textId="77777777" w:rsidR="00CB3DE1" w:rsidRPr="00CB3DE1" w:rsidRDefault="00CB3DE1" w:rsidP="00CB3DE1">
            <w:pPr>
              <w:spacing w:before="0" w:line="360" w:lineRule="auto"/>
              <w:rPr>
                <w:rFonts w:ascii="Times New Roman" w:hAnsi="Times New Roman"/>
                <w:snapToGrid w:val="0"/>
                <w:sz w:val="24"/>
              </w:rPr>
            </w:pPr>
          </w:p>
        </w:tc>
        <w:tc>
          <w:tcPr>
            <w:tcW w:w="1314" w:type="pct"/>
            <w:tcMar>
              <w:top w:w="57" w:type="dxa"/>
              <w:left w:w="57" w:type="dxa"/>
              <w:bottom w:w="11" w:type="dxa"/>
              <w:right w:w="57" w:type="dxa"/>
            </w:tcMar>
            <w:vAlign w:val="bottom"/>
          </w:tcPr>
          <w:p w14:paraId="2A749398" w14:textId="77777777" w:rsidR="00CB3DE1" w:rsidRPr="00CB3DE1" w:rsidRDefault="00CB3DE1" w:rsidP="00CB3DE1">
            <w:pPr>
              <w:spacing w:before="0" w:line="360" w:lineRule="auto"/>
              <w:jc w:val="center"/>
              <w:rPr>
                <w:rFonts w:ascii="Times New Roman" w:hAnsi="Times New Roman"/>
                <w:snapToGrid w:val="0"/>
                <w:sz w:val="24"/>
              </w:rPr>
            </w:pPr>
            <w:r w:rsidRPr="00CB3DE1">
              <w:rPr>
                <w:rFonts w:ascii="Times New Roman" w:hAnsi="Times New Roman"/>
                <w:snapToGrid w:val="0"/>
                <w:sz w:val="24"/>
              </w:rPr>
              <w:t>$</w:t>
            </w:r>
          </w:p>
        </w:tc>
        <w:tc>
          <w:tcPr>
            <w:tcW w:w="1343" w:type="pct"/>
            <w:tcMar>
              <w:top w:w="57" w:type="dxa"/>
              <w:left w:w="57" w:type="dxa"/>
              <w:bottom w:w="11" w:type="dxa"/>
              <w:right w:w="57" w:type="dxa"/>
            </w:tcMar>
            <w:vAlign w:val="bottom"/>
          </w:tcPr>
          <w:p w14:paraId="554F0416" w14:textId="77777777" w:rsidR="00CB3DE1" w:rsidRPr="00CB3DE1" w:rsidRDefault="00CB3DE1" w:rsidP="00CB3DE1">
            <w:pPr>
              <w:spacing w:before="0" w:line="360" w:lineRule="auto"/>
              <w:jc w:val="center"/>
              <w:rPr>
                <w:rFonts w:ascii="Times New Roman" w:hAnsi="Times New Roman"/>
                <w:snapToGrid w:val="0"/>
                <w:sz w:val="24"/>
              </w:rPr>
            </w:pPr>
            <w:r w:rsidRPr="00CB3DE1">
              <w:rPr>
                <w:rFonts w:ascii="Times New Roman" w:hAnsi="Times New Roman"/>
                <w:snapToGrid w:val="0"/>
                <w:sz w:val="24"/>
              </w:rPr>
              <w:t>$</w:t>
            </w:r>
          </w:p>
        </w:tc>
      </w:tr>
      <w:tr w:rsidR="00CB3DE1" w:rsidRPr="00CB3DE1" w14:paraId="2D7794DA" w14:textId="77777777" w:rsidTr="00BA6C7C">
        <w:trPr>
          <w:cantSplit/>
          <w:trHeight w:val="397"/>
        </w:trPr>
        <w:tc>
          <w:tcPr>
            <w:tcW w:w="2344" w:type="pct"/>
            <w:tcMar>
              <w:top w:w="57" w:type="dxa"/>
              <w:left w:w="57" w:type="dxa"/>
              <w:bottom w:w="11" w:type="dxa"/>
              <w:right w:w="57" w:type="dxa"/>
            </w:tcMar>
            <w:vAlign w:val="bottom"/>
          </w:tcPr>
          <w:p w14:paraId="23720773" w14:textId="77777777" w:rsidR="00CB3DE1" w:rsidRPr="00CB3DE1" w:rsidRDefault="00CB3DE1" w:rsidP="00CB3DE1">
            <w:pPr>
              <w:ind w:left="708"/>
              <w:rPr>
                <w:snapToGrid w:val="0"/>
              </w:rPr>
            </w:pPr>
            <w:r w:rsidRPr="00CB3DE1">
              <w:rPr>
                <w:snapToGrid w:val="0"/>
              </w:rPr>
              <w:t>Ágio por expectativa de rentabilidade futura (</w:t>
            </w:r>
            <w:r w:rsidRPr="00CB3DE1">
              <w:rPr>
                <w:i/>
                <w:snapToGrid w:val="0"/>
              </w:rPr>
              <w:t>goodwill</w:t>
            </w:r>
            <w:r w:rsidRPr="00CB3DE1">
              <w:rPr>
                <w:snapToGrid w:val="0"/>
              </w:rPr>
              <w:t>)</w:t>
            </w:r>
          </w:p>
        </w:tc>
        <w:tc>
          <w:tcPr>
            <w:tcW w:w="1314" w:type="pct"/>
            <w:tcMar>
              <w:top w:w="57" w:type="dxa"/>
              <w:left w:w="57" w:type="dxa"/>
              <w:bottom w:w="11" w:type="dxa"/>
              <w:right w:w="57" w:type="dxa"/>
            </w:tcMar>
            <w:vAlign w:val="bottom"/>
          </w:tcPr>
          <w:p w14:paraId="68948125" w14:textId="77777777" w:rsidR="00CB3DE1" w:rsidRPr="00CB3DE1" w:rsidRDefault="00CB3DE1" w:rsidP="00CB3DE1">
            <w:pPr>
              <w:ind w:left="708"/>
              <w:rPr>
                <w:snapToGrid w:val="0"/>
              </w:rPr>
            </w:pPr>
            <w:r w:rsidRPr="00CB3DE1">
              <w:rPr>
                <w:snapToGrid w:val="0"/>
              </w:rPr>
              <w:t>1.500</w:t>
            </w:r>
          </w:p>
        </w:tc>
        <w:tc>
          <w:tcPr>
            <w:tcW w:w="1343" w:type="pct"/>
            <w:tcMar>
              <w:top w:w="57" w:type="dxa"/>
              <w:left w:w="57" w:type="dxa"/>
              <w:bottom w:w="11" w:type="dxa"/>
              <w:right w:w="57" w:type="dxa"/>
            </w:tcMar>
            <w:vAlign w:val="bottom"/>
          </w:tcPr>
          <w:p w14:paraId="242B5564" w14:textId="77777777" w:rsidR="00CB3DE1" w:rsidRPr="00CB3DE1" w:rsidRDefault="00CB3DE1" w:rsidP="00CB3DE1">
            <w:pPr>
              <w:ind w:left="708"/>
              <w:rPr>
                <w:snapToGrid w:val="0"/>
              </w:rPr>
            </w:pPr>
            <w:r w:rsidRPr="00CB3DE1">
              <w:rPr>
                <w:snapToGrid w:val="0"/>
              </w:rPr>
              <w:t>1.500</w:t>
            </w:r>
          </w:p>
        </w:tc>
      </w:tr>
      <w:tr w:rsidR="00CB3DE1" w:rsidRPr="00CB3DE1" w14:paraId="10E1D6CE" w14:textId="77777777" w:rsidTr="00BA6C7C">
        <w:trPr>
          <w:cantSplit/>
          <w:trHeight w:val="397"/>
        </w:trPr>
        <w:tc>
          <w:tcPr>
            <w:tcW w:w="2344" w:type="pct"/>
            <w:tcMar>
              <w:top w:w="57" w:type="dxa"/>
              <w:left w:w="57" w:type="dxa"/>
              <w:bottom w:w="11" w:type="dxa"/>
              <w:right w:w="57" w:type="dxa"/>
            </w:tcMar>
            <w:vAlign w:val="bottom"/>
          </w:tcPr>
          <w:p w14:paraId="5F963986" w14:textId="77777777" w:rsidR="00CB3DE1" w:rsidRPr="00CB3DE1" w:rsidRDefault="00CB3DE1" w:rsidP="00CB3DE1">
            <w:pPr>
              <w:ind w:left="708"/>
              <w:rPr>
                <w:snapToGrid w:val="0"/>
              </w:rPr>
            </w:pPr>
            <w:r w:rsidRPr="00CB3DE1">
              <w:rPr>
                <w:snapToGrid w:val="0"/>
              </w:rPr>
              <w:t>Imobilizado (escriturado por valores reavaliados)</w:t>
            </w:r>
          </w:p>
        </w:tc>
        <w:tc>
          <w:tcPr>
            <w:tcW w:w="1314" w:type="pct"/>
            <w:tcMar>
              <w:top w:w="57" w:type="dxa"/>
              <w:left w:w="57" w:type="dxa"/>
              <w:bottom w:w="11" w:type="dxa"/>
              <w:right w:w="57" w:type="dxa"/>
            </w:tcMar>
            <w:vAlign w:val="bottom"/>
          </w:tcPr>
          <w:p w14:paraId="2129AAB7" w14:textId="77777777" w:rsidR="00CB3DE1" w:rsidRPr="00CB3DE1" w:rsidRDefault="00CB3DE1" w:rsidP="00CB3DE1">
            <w:pPr>
              <w:ind w:left="708"/>
              <w:rPr>
                <w:snapToGrid w:val="0"/>
              </w:rPr>
            </w:pPr>
            <w:r w:rsidRPr="00CB3DE1">
              <w:rPr>
                <w:snapToGrid w:val="0"/>
              </w:rPr>
              <w:t>4.600</w:t>
            </w:r>
          </w:p>
        </w:tc>
        <w:tc>
          <w:tcPr>
            <w:tcW w:w="1343" w:type="pct"/>
            <w:tcMar>
              <w:top w:w="57" w:type="dxa"/>
              <w:left w:w="57" w:type="dxa"/>
              <w:bottom w:w="11" w:type="dxa"/>
              <w:right w:w="57" w:type="dxa"/>
            </w:tcMar>
            <w:vAlign w:val="bottom"/>
          </w:tcPr>
          <w:p w14:paraId="5686EA92" w14:textId="77777777" w:rsidR="00CB3DE1" w:rsidRPr="00CB3DE1" w:rsidRDefault="00CB3DE1" w:rsidP="00CB3DE1">
            <w:pPr>
              <w:ind w:left="708"/>
              <w:rPr>
                <w:snapToGrid w:val="0"/>
              </w:rPr>
            </w:pPr>
            <w:r w:rsidRPr="00CB3DE1">
              <w:rPr>
                <w:snapToGrid w:val="0"/>
              </w:rPr>
              <w:t>4.000</w:t>
            </w:r>
          </w:p>
        </w:tc>
      </w:tr>
      <w:tr w:rsidR="00CB3DE1" w:rsidRPr="00CB3DE1" w14:paraId="55A11F10" w14:textId="77777777" w:rsidTr="00BA6C7C">
        <w:trPr>
          <w:cantSplit/>
          <w:trHeight w:val="397"/>
        </w:trPr>
        <w:tc>
          <w:tcPr>
            <w:tcW w:w="2344" w:type="pct"/>
            <w:tcMar>
              <w:top w:w="57" w:type="dxa"/>
              <w:left w:w="57" w:type="dxa"/>
              <w:bottom w:w="11" w:type="dxa"/>
              <w:right w:w="57" w:type="dxa"/>
            </w:tcMar>
            <w:vAlign w:val="bottom"/>
          </w:tcPr>
          <w:p w14:paraId="42FA68AA" w14:textId="77777777" w:rsidR="00CB3DE1" w:rsidRPr="00CB3DE1" w:rsidRDefault="00CB3DE1" w:rsidP="00CB3DE1">
            <w:pPr>
              <w:ind w:left="708"/>
              <w:rPr>
                <w:snapToGrid w:val="0"/>
              </w:rPr>
            </w:pPr>
            <w:r w:rsidRPr="00CB3DE1">
              <w:rPr>
                <w:snapToGrid w:val="0"/>
              </w:rPr>
              <w:t>Imobilizado (escriturado pelo custo)</w:t>
            </w:r>
          </w:p>
        </w:tc>
        <w:tc>
          <w:tcPr>
            <w:tcW w:w="1314" w:type="pct"/>
            <w:tcMar>
              <w:top w:w="57" w:type="dxa"/>
              <w:left w:w="57" w:type="dxa"/>
              <w:bottom w:w="11" w:type="dxa"/>
              <w:right w:w="57" w:type="dxa"/>
            </w:tcMar>
            <w:vAlign w:val="bottom"/>
          </w:tcPr>
          <w:p w14:paraId="1B8E14B5" w14:textId="77777777" w:rsidR="00CB3DE1" w:rsidRPr="00CB3DE1" w:rsidRDefault="00CB3DE1" w:rsidP="00CB3DE1">
            <w:pPr>
              <w:ind w:left="708"/>
              <w:rPr>
                <w:snapToGrid w:val="0"/>
              </w:rPr>
            </w:pPr>
            <w:r w:rsidRPr="00CB3DE1">
              <w:rPr>
                <w:snapToGrid w:val="0"/>
              </w:rPr>
              <w:t>5.700</w:t>
            </w:r>
          </w:p>
        </w:tc>
        <w:tc>
          <w:tcPr>
            <w:tcW w:w="1343" w:type="pct"/>
            <w:tcMar>
              <w:top w:w="57" w:type="dxa"/>
              <w:left w:w="57" w:type="dxa"/>
              <w:bottom w:w="11" w:type="dxa"/>
              <w:right w:w="57" w:type="dxa"/>
            </w:tcMar>
            <w:vAlign w:val="bottom"/>
          </w:tcPr>
          <w:p w14:paraId="34BD1A27" w14:textId="77777777" w:rsidR="00CB3DE1" w:rsidRPr="00CB3DE1" w:rsidRDefault="00CB3DE1" w:rsidP="00CB3DE1">
            <w:pPr>
              <w:ind w:left="708"/>
              <w:rPr>
                <w:snapToGrid w:val="0"/>
              </w:rPr>
            </w:pPr>
            <w:r w:rsidRPr="00CB3DE1">
              <w:rPr>
                <w:snapToGrid w:val="0"/>
              </w:rPr>
              <w:t>5.700</w:t>
            </w:r>
          </w:p>
        </w:tc>
      </w:tr>
      <w:tr w:rsidR="00CB3DE1" w:rsidRPr="00CB3DE1" w14:paraId="5A27FBFA" w14:textId="77777777" w:rsidTr="00BA6C7C">
        <w:trPr>
          <w:cantSplit/>
          <w:trHeight w:val="397"/>
        </w:trPr>
        <w:tc>
          <w:tcPr>
            <w:tcW w:w="2344" w:type="pct"/>
            <w:tcMar>
              <w:top w:w="57" w:type="dxa"/>
              <w:left w:w="57" w:type="dxa"/>
              <w:bottom w:w="11" w:type="dxa"/>
              <w:right w:w="57" w:type="dxa"/>
            </w:tcMar>
            <w:vAlign w:val="bottom"/>
          </w:tcPr>
          <w:p w14:paraId="21317AF0" w14:textId="77777777" w:rsidR="00CB3DE1" w:rsidRPr="00CB3DE1" w:rsidRDefault="00CB3DE1" w:rsidP="00CB3DE1">
            <w:pPr>
              <w:ind w:left="708"/>
              <w:rPr>
                <w:snapToGrid w:val="0"/>
              </w:rPr>
            </w:pPr>
            <w:r w:rsidRPr="00CB3DE1">
              <w:rPr>
                <w:snapToGrid w:val="0"/>
              </w:rPr>
              <w:t>Estoque</w:t>
            </w:r>
          </w:p>
        </w:tc>
        <w:tc>
          <w:tcPr>
            <w:tcW w:w="1314" w:type="pct"/>
            <w:tcMar>
              <w:top w:w="57" w:type="dxa"/>
              <w:left w:w="57" w:type="dxa"/>
              <w:bottom w:w="11" w:type="dxa"/>
              <w:right w:w="57" w:type="dxa"/>
            </w:tcMar>
            <w:vAlign w:val="bottom"/>
          </w:tcPr>
          <w:p w14:paraId="0245FFAA" w14:textId="77777777" w:rsidR="00CB3DE1" w:rsidRPr="00CB3DE1" w:rsidRDefault="00CB3DE1" w:rsidP="00CB3DE1">
            <w:pPr>
              <w:ind w:left="708"/>
              <w:rPr>
                <w:snapToGrid w:val="0"/>
              </w:rPr>
            </w:pPr>
            <w:r w:rsidRPr="00CB3DE1">
              <w:rPr>
                <w:snapToGrid w:val="0"/>
              </w:rPr>
              <w:t>2.400</w:t>
            </w:r>
          </w:p>
        </w:tc>
        <w:tc>
          <w:tcPr>
            <w:tcW w:w="1343" w:type="pct"/>
            <w:tcMar>
              <w:top w:w="57" w:type="dxa"/>
              <w:left w:w="57" w:type="dxa"/>
              <w:bottom w:w="11" w:type="dxa"/>
              <w:right w:w="57" w:type="dxa"/>
            </w:tcMar>
            <w:vAlign w:val="bottom"/>
          </w:tcPr>
          <w:p w14:paraId="526DD241" w14:textId="77777777" w:rsidR="00CB3DE1" w:rsidRPr="00CB3DE1" w:rsidRDefault="00CB3DE1" w:rsidP="00CB3DE1">
            <w:pPr>
              <w:ind w:left="708"/>
              <w:rPr>
                <w:snapToGrid w:val="0"/>
              </w:rPr>
            </w:pPr>
            <w:r w:rsidRPr="00CB3DE1">
              <w:rPr>
                <w:snapToGrid w:val="0"/>
              </w:rPr>
              <w:t>2.200</w:t>
            </w:r>
          </w:p>
        </w:tc>
      </w:tr>
      <w:tr w:rsidR="00CB3DE1" w:rsidRPr="00CB3DE1" w14:paraId="2E070947" w14:textId="77777777" w:rsidTr="00BA6C7C">
        <w:trPr>
          <w:cantSplit/>
          <w:trHeight w:val="397"/>
        </w:trPr>
        <w:tc>
          <w:tcPr>
            <w:tcW w:w="2344" w:type="pct"/>
            <w:tcMar>
              <w:top w:w="57" w:type="dxa"/>
              <w:left w:w="57" w:type="dxa"/>
              <w:bottom w:w="11" w:type="dxa"/>
              <w:right w:w="57" w:type="dxa"/>
            </w:tcMar>
            <w:vAlign w:val="bottom"/>
          </w:tcPr>
          <w:p w14:paraId="4AFA9A09" w14:textId="77777777" w:rsidR="00CB3DE1" w:rsidRPr="00CB3DE1" w:rsidRDefault="00CB3DE1" w:rsidP="00CB3DE1">
            <w:pPr>
              <w:ind w:left="708"/>
              <w:rPr>
                <w:snapToGrid w:val="0"/>
              </w:rPr>
            </w:pPr>
            <w:r w:rsidRPr="00CB3DE1">
              <w:rPr>
                <w:snapToGrid w:val="0"/>
              </w:rPr>
              <w:t xml:space="preserve">Ativos financeiros </w:t>
            </w:r>
          </w:p>
        </w:tc>
        <w:tc>
          <w:tcPr>
            <w:tcW w:w="1314" w:type="pct"/>
            <w:tcMar>
              <w:top w:w="57" w:type="dxa"/>
              <w:left w:w="57" w:type="dxa"/>
              <w:bottom w:w="11" w:type="dxa"/>
              <w:right w:w="57" w:type="dxa"/>
            </w:tcMar>
            <w:vAlign w:val="bottom"/>
          </w:tcPr>
          <w:p w14:paraId="0AF41A8C" w14:textId="77777777" w:rsidR="00CB3DE1" w:rsidRPr="00CB3DE1" w:rsidRDefault="00CB3DE1" w:rsidP="00CB3DE1">
            <w:pPr>
              <w:ind w:left="708"/>
              <w:rPr>
                <w:snapToGrid w:val="0"/>
              </w:rPr>
            </w:pPr>
            <w:r w:rsidRPr="00CB3DE1">
              <w:rPr>
                <w:snapToGrid w:val="0"/>
              </w:rPr>
              <w:t>1.800</w:t>
            </w:r>
          </w:p>
        </w:tc>
        <w:tc>
          <w:tcPr>
            <w:tcW w:w="1343" w:type="pct"/>
            <w:tcMar>
              <w:top w:w="57" w:type="dxa"/>
              <w:left w:w="57" w:type="dxa"/>
              <w:bottom w:w="11" w:type="dxa"/>
              <w:right w:w="57" w:type="dxa"/>
            </w:tcMar>
            <w:vAlign w:val="bottom"/>
          </w:tcPr>
          <w:p w14:paraId="51AB2714" w14:textId="77777777" w:rsidR="00CB3DE1" w:rsidRPr="00CB3DE1" w:rsidRDefault="00CB3DE1" w:rsidP="00CB3DE1">
            <w:pPr>
              <w:ind w:left="708"/>
              <w:rPr>
                <w:snapToGrid w:val="0"/>
              </w:rPr>
            </w:pPr>
            <w:r w:rsidRPr="00CB3DE1">
              <w:rPr>
                <w:snapToGrid w:val="0"/>
              </w:rPr>
              <w:t>1.500</w:t>
            </w:r>
          </w:p>
        </w:tc>
      </w:tr>
      <w:tr w:rsidR="00CB3DE1" w:rsidRPr="00CB3DE1" w14:paraId="68EF9246" w14:textId="77777777" w:rsidTr="00BA6C7C">
        <w:trPr>
          <w:cantSplit/>
          <w:trHeight w:val="397"/>
        </w:trPr>
        <w:tc>
          <w:tcPr>
            <w:tcW w:w="2344" w:type="pct"/>
            <w:tcMar>
              <w:top w:w="57" w:type="dxa"/>
              <w:left w:w="57" w:type="dxa"/>
              <w:bottom w:w="11" w:type="dxa"/>
              <w:right w:w="57" w:type="dxa"/>
            </w:tcMar>
            <w:vAlign w:val="bottom"/>
          </w:tcPr>
          <w:p w14:paraId="5EFBA88E" w14:textId="77777777" w:rsidR="00CB3DE1" w:rsidRPr="00CB3DE1" w:rsidRDefault="00CB3DE1" w:rsidP="00CB3DE1">
            <w:pPr>
              <w:ind w:left="708"/>
              <w:rPr>
                <w:b/>
                <w:bCs/>
                <w:snapToGrid w:val="0"/>
              </w:rPr>
            </w:pPr>
            <w:r w:rsidRPr="00CB3DE1">
              <w:rPr>
                <w:b/>
                <w:bCs/>
                <w:snapToGrid w:val="0"/>
              </w:rPr>
              <w:t>Total</w:t>
            </w:r>
          </w:p>
        </w:tc>
        <w:tc>
          <w:tcPr>
            <w:tcW w:w="1314" w:type="pct"/>
            <w:tcMar>
              <w:top w:w="57" w:type="dxa"/>
              <w:left w:w="57" w:type="dxa"/>
              <w:bottom w:w="11" w:type="dxa"/>
              <w:right w:w="57" w:type="dxa"/>
            </w:tcMar>
            <w:vAlign w:val="bottom"/>
          </w:tcPr>
          <w:p w14:paraId="777E3F87" w14:textId="77777777" w:rsidR="00CB3DE1" w:rsidRPr="00CB3DE1" w:rsidRDefault="00CB3DE1" w:rsidP="00CB3DE1">
            <w:pPr>
              <w:ind w:left="708"/>
              <w:rPr>
                <w:b/>
                <w:bCs/>
                <w:snapToGrid w:val="0"/>
              </w:rPr>
            </w:pPr>
            <w:r w:rsidRPr="00CB3DE1">
              <w:rPr>
                <w:b/>
                <w:bCs/>
                <w:snapToGrid w:val="0"/>
              </w:rPr>
              <w:t>16.000</w:t>
            </w:r>
          </w:p>
        </w:tc>
        <w:tc>
          <w:tcPr>
            <w:tcW w:w="1343" w:type="pct"/>
            <w:tcMar>
              <w:top w:w="57" w:type="dxa"/>
              <w:left w:w="57" w:type="dxa"/>
              <w:bottom w:w="11" w:type="dxa"/>
              <w:right w:w="57" w:type="dxa"/>
            </w:tcMar>
            <w:vAlign w:val="bottom"/>
          </w:tcPr>
          <w:p w14:paraId="4158061E" w14:textId="77777777" w:rsidR="00CB3DE1" w:rsidRPr="00CB3DE1" w:rsidRDefault="00CB3DE1" w:rsidP="00CB3DE1">
            <w:pPr>
              <w:ind w:left="708"/>
              <w:rPr>
                <w:b/>
                <w:bCs/>
                <w:snapToGrid w:val="0"/>
              </w:rPr>
            </w:pPr>
            <w:r w:rsidRPr="00CB3DE1">
              <w:rPr>
                <w:b/>
                <w:bCs/>
                <w:snapToGrid w:val="0"/>
              </w:rPr>
              <w:t>14.900</w:t>
            </w:r>
          </w:p>
        </w:tc>
      </w:tr>
    </w:tbl>
    <w:p w14:paraId="49CB7E6A" w14:textId="77777777" w:rsidR="00CB3DE1" w:rsidRPr="00CB3DE1" w:rsidRDefault="00CB3DE1" w:rsidP="00CB3DE1">
      <w:pPr>
        <w:ind w:left="708"/>
      </w:pPr>
    </w:p>
    <w:p w14:paraId="1EBD936F"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r w:rsidRPr="00CB3DE1">
        <w:rPr>
          <w:rFonts w:ascii="Times New Roman" w:hAnsi="Times New Roman"/>
          <w:color w:val="000000"/>
          <w:sz w:val="24"/>
          <w:lang w:val="pt-BR" w:eastAsia="x-none"/>
        </w:rPr>
        <w:t>A entidade reconhece o prejuízo de $ 1.100 ($ 16.000 – $ 14.900) imediatamente antes de classificar o grupo de ativos como mantido para venda.</w:t>
      </w:r>
    </w:p>
    <w:p w14:paraId="69CDC484"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15F8E8D4"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r w:rsidRPr="00CB3DE1">
        <w:rPr>
          <w:rFonts w:ascii="Times New Roman" w:hAnsi="Times New Roman"/>
          <w:color w:val="000000"/>
          <w:sz w:val="24"/>
          <w:lang w:val="pt-BR" w:eastAsia="x-none"/>
        </w:rPr>
        <w:t>A entidade estima que o valor justo menos despesas de venda do grupo de ativos totaliza $ 13.000. Visto que a entidade mensura o grupo de ativos classificado como mantido para venda pelo menor dentre o seu valor contábil e o valor justo menos despesas de venda, a entidade reconhece a perda por redução ao valor recuperável de ativos de $ 1.900 ($ 14.900 – $ 13.000) quando o grupo é inicialmente classificado como mantido para venda.</w:t>
      </w:r>
    </w:p>
    <w:p w14:paraId="0908BD93"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2F5D587E"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r w:rsidRPr="00CB3DE1">
        <w:rPr>
          <w:rFonts w:ascii="Times New Roman" w:hAnsi="Times New Roman"/>
          <w:color w:val="000000"/>
          <w:sz w:val="24"/>
          <w:lang w:val="pt-BR" w:eastAsia="x-none"/>
        </w:rPr>
        <w:t>A perda por redução ao valor recuperável de ativos é alocada a ativos não circulantes aos quais são aplicáveis os requisitos de mensuração do Pronunciamento. Portanto, nenhuma perda por redução ao valor recuperável de ativos é alocada para estoque e ativos financeiros. A perda é alocada a outros ativos, na ordem de alocação definida pelos itens 104 e 122 do Pronunciamento.</w:t>
      </w:r>
    </w:p>
    <w:p w14:paraId="2B189412"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4CA725ED" w14:textId="77777777" w:rsidR="0006156C" w:rsidRDefault="0006156C">
      <w:pPr>
        <w:spacing w:before="0" w:after="160" w:line="259" w:lineRule="auto"/>
        <w:jc w:val="left"/>
        <w:rPr>
          <w:rFonts w:ascii="Times New Roman" w:hAnsi="Times New Roman"/>
          <w:color w:val="000000"/>
          <w:sz w:val="24"/>
          <w:lang w:val="pt-BR" w:eastAsia="x-none"/>
        </w:rPr>
      </w:pPr>
      <w:r>
        <w:rPr>
          <w:rFonts w:ascii="Times New Roman" w:hAnsi="Times New Roman"/>
          <w:color w:val="000000"/>
          <w:sz w:val="24"/>
          <w:lang w:val="pt-BR" w:eastAsia="x-none"/>
        </w:rPr>
        <w:br w:type="page"/>
      </w:r>
    </w:p>
    <w:p w14:paraId="68F53627" w14:textId="30948460"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r w:rsidRPr="00CB3DE1">
        <w:rPr>
          <w:rFonts w:ascii="Times New Roman" w:hAnsi="Times New Roman"/>
          <w:color w:val="000000"/>
          <w:sz w:val="24"/>
          <w:lang w:val="pt-BR" w:eastAsia="x-none"/>
        </w:rPr>
        <w:lastRenderedPageBreak/>
        <w:t>A alocação pode ser ilustrada conforme a seguir:</w:t>
      </w:r>
    </w:p>
    <w:p w14:paraId="222B582D" w14:textId="77777777" w:rsidR="00CB3DE1" w:rsidRPr="00CB3DE1" w:rsidRDefault="00CB3DE1" w:rsidP="00CB3DE1">
      <w:pPr>
        <w:spacing w:before="0"/>
        <w:rPr>
          <w:rFonts w:ascii="Times New Roman" w:hAnsi="Times New Roman"/>
          <w:sz w:val="24"/>
        </w:rPr>
      </w:pPr>
    </w:p>
    <w:tbl>
      <w:tblPr>
        <w:tblW w:w="5000" w:type="pct"/>
        <w:tblCellMar>
          <w:top w:w="10" w:type="dxa"/>
          <w:left w:w="50" w:type="dxa"/>
          <w:bottom w:w="5" w:type="dxa"/>
          <w:right w:w="50" w:type="dxa"/>
        </w:tblCellMar>
        <w:tblLook w:val="0000" w:firstRow="0" w:lastRow="0" w:firstColumn="0" w:lastColumn="0" w:noHBand="0" w:noVBand="0"/>
      </w:tblPr>
      <w:tblGrid>
        <w:gridCol w:w="3953"/>
        <w:gridCol w:w="2085"/>
        <w:gridCol w:w="2084"/>
        <w:gridCol w:w="2084"/>
      </w:tblGrid>
      <w:tr w:rsidR="00CB3DE1" w:rsidRPr="00CB3DE1" w14:paraId="61A9CF70" w14:textId="77777777" w:rsidTr="00BA6C7C">
        <w:trPr>
          <w:cantSplit/>
          <w:trHeight w:val="600"/>
        </w:trPr>
        <w:tc>
          <w:tcPr>
            <w:tcW w:w="1936" w:type="pct"/>
          </w:tcPr>
          <w:p w14:paraId="73E2804D" w14:textId="77777777" w:rsidR="00CB3DE1" w:rsidRPr="00CB3DE1" w:rsidRDefault="00CB3DE1" w:rsidP="00CB3DE1">
            <w:pPr>
              <w:spacing w:before="0"/>
              <w:rPr>
                <w:rFonts w:ascii="Times New Roman" w:hAnsi="Times New Roman"/>
                <w:snapToGrid w:val="0"/>
                <w:sz w:val="24"/>
              </w:rPr>
            </w:pPr>
          </w:p>
        </w:tc>
        <w:tc>
          <w:tcPr>
            <w:tcW w:w="1021" w:type="pct"/>
          </w:tcPr>
          <w:p w14:paraId="5360EE87" w14:textId="77777777" w:rsidR="00CB3DE1" w:rsidRPr="00CB3DE1" w:rsidRDefault="00CB3DE1" w:rsidP="00CB3DE1">
            <w:pPr>
              <w:ind w:left="119" w:hanging="11"/>
              <w:jc w:val="left"/>
              <w:rPr>
                <w:snapToGrid w:val="0"/>
              </w:rPr>
            </w:pPr>
            <w:r w:rsidRPr="00CB3DE1">
              <w:rPr>
                <w:snapToGrid w:val="0"/>
              </w:rPr>
              <w:t>Valor contábil conforme remensurado imediatamente antes da classificação como mantido para venda</w:t>
            </w:r>
          </w:p>
        </w:tc>
        <w:tc>
          <w:tcPr>
            <w:tcW w:w="1021" w:type="pct"/>
          </w:tcPr>
          <w:p w14:paraId="48AB81E4" w14:textId="60C9146B" w:rsidR="00CB3DE1" w:rsidRPr="00CB3DE1" w:rsidRDefault="00CB3DE1" w:rsidP="00CB3DE1">
            <w:pPr>
              <w:ind w:left="140"/>
              <w:jc w:val="left"/>
              <w:rPr>
                <w:snapToGrid w:val="0"/>
              </w:rPr>
            </w:pPr>
            <w:r w:rsidRPr="00CB3DE1">
              <w:rPr>
                <w:snapToGrid w:val="0"/>
              </w:rPr>
              <w:t xml:space="preserve">Perda por redução </w:t>
            </w:r>
            <w:r w:rsidR="00FF687C">
              <w:rPr>
                <w:snapToGrid w:val="0"/>
              </w:rPr>
              <w:t>a</w:t>
            </w:r>
            <w:r w:rsidRPr="00CB3DE1">
              <w:rPr>
                <w:snapToGrid w:val="0"/>
              </w:rPr>
              <w:t xml:space="preserve">o valor recuperável de ativos alocada </w:t>
            </w:r>
          </w:p>
        </w:tc>
        <w:tc>
          <w:tcPr>
            <w:tcW w:w="1021" w:type="pct"/>
          </w:tcPr>
          <w:p w14:paraId="76A2E14A" w14:textId="77777777" w:rsidR="00CB3DE1" w:rsidRPr="00CB3DE1" w:rsidRDefault="00CB3DE1" w:rsidP="00CB3DE1">
            <w:pPr>
              <w:ind w:left="59" w:firstLine="1"/>
              <w:jc w:val="left"/>
              <w:rPr>
                <w:snapToGrid w:val="0"/>
              </w:rPr>
            </w:pPr>
            <w:r w:rsidRPr="00CB3DE1">
              <w:rPr>
                <w:snapToGrid w:val="0"/>
              </w:rPr>
              <w:t>Valor contábil após a alocação de perda por redução no valor recuperável de ativos</w:t>
            </w:r>
          </w:p>
        </w:tc>
      </w:tr>
      <w:tr w:rsidR="00CB3DE1" w:rsidRPr="00CB3DE1" w14:paraId="3A26188B" w14:textId="77777777" w:rsidTr="00BA6C7C">
        <w:trPr>
          <w:cantSplit/>
          <w:trHeight w:val="351"/>
        </w:trPr>
        <w:tc>
          <w:tcPr>
            <w:tcW w:w="1936" w:type="pct"/>
            <w:vAlign w:val="bottom"/>
          </w:tcPr>
          <w:p w14:paraId="4A87E9C2" w14:textId="77777777" w:rsidR="00CB3DE1" w:rsidRPr="00CB3DE1" w:rsidRDefault="00CB3DE1" w:rsidP="00CB3DE1">
            <w:pPr>
              <w:spacing w:before="0"/>
              <w:jc w:val="left"/>
              <w:rPr>
                <w:rFonts w:ascii="Times New Roman" w:hAnsi="Times New Roman"/>
                <w:snapToGrid w:val="0"/>
                <w:sz w:val="24"/>
              </w:rPr>
            </w:pPr>
          </w:p>
        </w:tc>
        <w:tc>
          <w:tcPr>
            <w:tcW w:w="1021" w:type="pct"/>
            <w:vAlign w:val="bottom"/>
          </w:tcPr>
          <w:p w14:paraId="5B1F8ACC"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w:t>
            </w:r>
          </w:p>
        </w:tc>
        <w:tc>
          <w:tcPr>
            <w:tcW w:w="1021" w:type="pct"/>
            <w:vAlign w:val="bottom"/>
          </w:tcPr>
          <w:p w14:paraId="641C8D59"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w:t>
            </w:r>
          </w:p>
        </w:tc>
        <w:tc>
          <w:tcPr>
            <w:tcW w:w="1021" w:type="pct"/>
            <w:vAlign w:val="bottom"/>
          </w:tcPr>
          <w:p w14:paraId="366775FC"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w:t>
            </w:r>
          </w:p>
        </w:tc>
      </w:tr>
      <w:tr w:rsidR="00CB3DE1" w:rsidRPr="00CB3DE1" w14:paraId="6C186807" w14:textId="77777777" w:rsidTr="00BA6C7C">
        <w:trPr>
          <w:cantSplit/>
          <w:trHeight w:val="351"/>
        </w:trPr>
        <w:tc>
          <w:tcPr>
            <w:tcW w:w="1936" w:type="pct"/>
            <w:vAlign w:val="bottom"/>
          </w:tcPr>
          <w:p w14:paraId="628857B9" w14:textId="77777777" w:rsidR="00CB3DE1" w:rsidRPr="00CB3DE1" w:rsidRDefault="00CB3DE1" w:rsidP="00CB3DE1">
            <w:pPr>
              <w:spacing w:before="0"/>
              <w:jc w:val="left"/>
              <w:rPr>
                <w:rFonts w:ascii="Times New Roman" w:hAnsi="Times New Roman"/>
                <w:snapToGrid w:val="0"/>
                <w:sz w:val="24"/>
              </w:rPr>
            </w:pPr>
            <w:r w:rsidRPr="00CB3DE1">
              <w:rPr>
                <w:rFonts w:ascii="Times New Roman" w:hAnsi="Times New Roman"/>
                <w:snapToGrid w:val="0"/>
                <w:sz w:val="24"/>
              </w:rPr>
              <w:t>Ágio por expectativa de rentabilidade futura (</w:t>
            </w:r>
            <w:r w:rsidRPr="00CB3DE1">
              <w:rPr>
                <w:rFonts w:ascii="Times New Roman" w:hAnsi="Times New Roman"/>
                <w:i/>
                <w:snapToGrid w:val="0"/>
                <w:sz w:val="24"/>
              </w:rPr>
              <w:t>goodwill</w:t>
            </w:r>
            <w:r w:rsidRPr="00CB3DE1">
              <w:rPr>
                <w:rFonts w:ascii="Times New Roman" w:hAnsi="Times New Roman"/>
                <w:snapToGrid w:val="0"/>
                <w:sz w:val="24"/>
              </w:rPr>
              <w:t>)</w:t>
            </w:r>
          </w:p>
        </w:tc>
        <w:tc>
          <w:tcPr>
            <w:tcW w:w="1021" w:type="pct"/>
            <w:vAlign w:val="bottom"/>
          </w:tcPr>
          <w:p w14:paraId="239A3C22"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1.500</w:t>
            </w:r>
          </w:p>
        </w:tc>
        <w:tc>
          <w:tcPr>
            <w:tcW w:w="1021" w:type="pct"/>
            <w:vAlign w:val="bottom"/>
          </w:tcPr>
          <w:p w14:paraId="6F01BBB7"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(1.500)</w:t>
            </w:r>
          </w:p>
        </w:tc>
        <w:tc>
          <w:tcPr>
            <w:tcW w:w="1021" w:type="pct"/>
            <w:vAlign w:val="bottom"/>
          </w:tcPr>
          <w:p w14:paraId="308B53BE"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0</w:t>
            </w:r>
          </w:p>
        </w:tc>
      </w:tr>
      <w:tr w:rsidR="00CB3DE1" w:rsidRPr="00CB3DE1" w14:paraId="79F028A1" w14:textId="77777777" w:rsidTr="00BA6C7C">
        <w:trPr>
          <w:cantSplit/>
          <w:trHeight w:val="351"/>
        </w:trPr>
        <w:tc>
          <w:tcPr>
            <w:tcW w:w="1936" w:type="pct"/>
            <w:vAlign w:val="bottom"/>
          </w:tcPr>
          <w:p w14:paraId="7F5BC3BC" w14:textId="77777777" w:rsidR="00CB3DE1" w:rsidRPr="00CB3DE1" w:rsidRDefault="00CB3DE1" w:rsidP="00CB3DE1">
            <w:pPr>
              <w:spacing w:before="0"/>
              <w:jc w:val="left"/>
              <w:rPr>
                <w:rFonts w:ascii="Times New Roman" w:hAnsi="Times New Roman"/>
                <w:snapToGrid w:val="0"/>
                <w:sz w:val="24"/>
              </w:rPr>
            </w:pPr>
            <w:r w:rsidRPr="00CB3DE1">
              <w:rPr>
                <w:rFonts w:ascii="Times New Roman" w:hAnsi="Times New Roman"/>
                <w:snapToGrid w:val="0"/>
                <w:sz w:val="24"/>
              </w:rPr>
              <w:t>Imobilizado (escriturado por valores reavaliados)</w:t>
            </w:r>
          </w:p>
        </w:tc>
        <w:tc>
          <w:tcPr>
            <w:tcW w:w="1021" w:type="pct"/>
            <w:vAlign w:val="bottom"/>
          </w:tcPr>
          <w:p w14:paraId="7E70F269"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4.000</w:t>
            </w:r>
          </w:p>
        </w:tc>
        <w:tc>
          <w:tcPr>
            <w:tcW w:w="1021" w:type="pct"/>
            <w:vAlign w:val="bottom"/>
          </w:tcPr>
          <w:p w14:paraId="4E10B4BC"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(165)</w:t>
            </w:r>
          </w:p>
        </w:tc>
        <w:tc>
          <w:tcPr>
            <w:tcW w:w="1021" w:type="pct"/>
            <w:vAlign w:val="bottom"/>
          </w:tcPr>
          <w:p w14:paraId="71F25D3F"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3.835</w:t>
            </w:r>
          </w:p>
        </w:tc>
      </w:tr>
      <w:tr w:rsidR="00CB3DE1" w:rsidRPr="00CB3DE1" w14:paraId="2987BA0A" w14:textId="77777777" w:rsidTr="00BA6C7C">
        <w:trPr>
          <w:cantSplit/>
          <w:trHeight w:val="352"/>
        </w:trPr>
        <w:tc>
          <w:tcPr>
            <w:tcW w:w="1936" w:type="pct"/>
            <w:vAlign w:val="bottom"/>
          </w:tcPr>
          <w:p w14:paraId="0D539450" w14:textId="77777777" w:rsidR="00CB3DE1" w:rsidRPr="00CB3DE1" w:rsidRDefault="00CB3DE1" w:rsidP="00CB3DE1">
            <w:pPr>
              <w:spacing w:before="0"/>
              <w:jc w:val="left"/>
              <w:rPr>
                <w:rFonts w:ascii="Times New Roman" w:hAnsi="Times New Roman"/>
                <w:snapToGrid w:val="0"/>
                <w:sz w:val="24"/>
              </w:rPr>
            </w:pPr>
            <w:r w:rsidRPr="00CB3DE1">
              <w:rPr>
                <w:rFonts w:ascii="Times New Roman" w:hAnsi="Times New Roman"/>
                <w:snapToGrid w:val="0"/>
                <w:sz w:val="24"/>
              </w:rPr>
              <w:t>Imobilizado (escriturado pelo custo)</w:t>
            </w:r>
          </w:p>
        </w:tc>
        <w:tc>
          <w:tcPr>
            <w:tcW w:w="1021" w:type="pct"/>
            <w:vAlign w:val="bottom"/>
          </w:tcPr>
          <w:p w14:paraId="5A6D8339"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5.700</w:t>
            </w:r>
          </w:p>
        </w:tc>
        <w:tc>
          <w:tcPr>
            <w:tcW w:w="1021" w:type="pct"/>
            <w:vAlign w:val="bottom"/>
          </w:tcPr>
          <w:p w14:paraId="36500A75"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(235)</w:t>
            </w:r>
          </w:p>
        </w:tc>
        <w:tc>
          <w:tcPr>
            <w:tcW w:w="1021" w:type="pct"/>
            <w:vAlign w:val="bottom"/>
          </w:tcPr>
          <w:p w14:paraId="37AE01CC"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5.465</w:t>
            </w:r>
          </w:p>
        </w:tc>
      </w:tr>
      <w:tr w:rsidR="00CB3DE1" w:rsidRPr="00CB3DE1" w14:paraId="084F6F97" w14:textId="77777777" w:rsidTr="00BA6C7C">
        <w:trPr>
          <w:cantSplit/>
          <w:trHeight w:val="351"/>
        </w:trPr>
        <w:tc>
          <w:tcPr>
            <w:tcW w:w="1936" w:type="pct"/>
            <w:vAlign w:val="bottom"/>
          </w:tcPr>
          <w:p w14:paraId="56F8DDAF" w14:textId="77777777" w:rsidR="00CB3DE1" w:rsidRPr="00CB3DE1" w:rsidRDefault="00CB3DE1" w:rsidP="00CB3DE1">
            <w:pPr>
              <w:spacing w:before="0"/>
              <w:jc w:val="left"/>
              <w:rPr>
                <w:rFonts w:ascii="Times New Roman" w:hAnsi="Times New Roman"/>
                <w:snapToGrid w:val="0"/>
                <w:sz w:val="24"/>
              </w:rPr>
            </w:pPr>
            <w:r w:rsidRPr="00CB3DE1">
              <w:rPr>
                <w:rFonts w:ascii="Times New Roman" w:hAnsi="Times New Roman"/>
                <w:snapToGrid w:val="0"/>
                <w:sz w:val="24"/>
              </w:rPr>
              <w:t>Estoque</w:t>
            </w:r>
          </w:p>
        </w:tc>
        <w:tc>
          <w:tcPr>
            <w:tcW w:w="1021" w:type="pct"/>
            <w:vAlign w:val="bottom"/>
          </w:tcPr>
          <w:p w14:paraId="245D6A6D"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2.200</w:t>
            </w:r>
          </w:p>
        </w:tc>
        <w:tc>
          <w:tcPr>
            <w:tcW w:w="1021" w:type="pct"/>
            <w:vAlign w:val="bottom"/>
          </w:tcPr>
          <w:p w14:paraId="2EC8A7FF"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w:t>
            </w:r>
          </w:p>
        </w:tc>
        <w:tc>
          <w:tcPr>
            <w:tcW w:w="1021" w:type="pct"/>
            <w:vAlign w:val="bottom"/>
          </w:tcPr>
          <w:p w14:paraId="62E1B7A7"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2.200</w:t>
            </w:r>
          </w:p>
        </w:tc>
      </w:tr>
      <w:tr w:rsidR="00CB3DE1" w:rsidRPr="00CB3DE1" w14:paraId="55712F5B" w14:textId="77777777" w:rsidTr="00BA6C7C">
        <w:trPr>
          <w:trHeight w:val="351"/>
        </w:trPr>
        <w:tc>
          <w:tcPr>
            <w:tcW w:w="1936" w:type="pct"/>
            <w:vAlign w:val="bottom"/>
          </w:tcPr>
          <w:p w14:paraId="6A78B93D" w14:textId="77777777" w:rsidR="00CB3DE1" w:rsidRPr="00CB3DE1" w:rsidRDefault="00CB3DE1" w:rsidP="00CB3DE1">
            <w:pPr>
              <w:spacing w:before="0"/>
              <w:jc w:val="left"/>
              <w:rPr>
                <w:rFonts w:ascii="Times New Roman" w:hAnsi="Times New Roman"/>
                <w:snapToGrid w:val="0"/>
                <w:sz w:val="24"/>
              </w:rPr>
            </w:pPr>
            <w:r w:rsidRPr="00CB3DE1">
              <w:rPr>
                <w:rFonts w:ascii="Times New Roman" w:hAnsi="Times New Roman"/>
                <w:snapToGrid w:val="0"/>
                <w:sz w:val="24"/>
              </w:rPr>
              <w:t xml:space="preserve">Ativos financeiros </w:t>
            </w:r>
          </w:p>
        </w:tc>
        <w:tc>
          <w:tcPr>
            <w:tcW w:w="1021" w:type="pct"/>
            <w:vAlign w:val="bottom"/>
          </w:tcPr>
          <w:p w14:paraId="34673AA5"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1.500</w:t>
            </w:r>
          </w:p>
        </w:tc>
        <w:tc>
          <w:tcPr>
            <w:tcW w:w="1021" w:type="pct"/>
            <w:vAlign w:val="bottom"/>
          </w:tcPr>
          <w:p w14:paraId="77418B7A"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w:t>
            </w:r>
          </w:p>
        </w:tc>
        <w:tc>
          <w:tcPr>
            <w:tcW w:w="1021" w:type="pct"/>
            <w:vAlign w:val="bottom"/>
          </w:tcPr>
          <w:p w14:paraId="2890C8B9"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1.500</w:t>
            </w:r>
          </w:p>
        </w:tc>
      </w:tr>
      <w:tr w:rsidR="00CB3DE1" w:rsidRPr="00CB3DE1" w14:paraId="1CAA139A" w14:textId="77777777" w:rsidTr="00BA6C7C">
        <w:tblPrEx>
          <w:tblCellMar>
            <w:top w:w="0" w:type="dxa"/>
            <w:left w:w="108" w:type="dxa"/>
            <w:bottom w:w="0" w:type="dxa"/>
            <w:right w:w="108" w:type="dxa"/>
          </w:tblCellMar>
        </w:tblPrEx>
        <w:trPr>
          <w:trHeight w:val="352"/>
        </w:trPr>
        <w:tc>
          <w:tcPr>
            <w:tcW w:w="1936" w:type="pct"/>
            <w:vAlign w:val="bottom"/>
          </w:tcPr>
          <w:p w14:paraId="7232A134" w14:textId="77777777" w:rsidR="00CB3DE1" w:rsidRPr="00CB3DE1" w:rsidRDefault="00CB3DE1" w:rsidP="00CB3DE1">
            <w:pPr>
              <w:spacing w:before="0"/>
              <w:ind w:left="-101"/>
              <w:jc w:val="left"/>
              <w:rPr>
                <w:rFonts w:ascii="Times New Roman" w:hAnsi="Times New Roman"/>
                <w:b/>
                <w:bCs/>
                <w:snapToGrid w:val="0"/>
                <w:sz w:val="24"/>
              </w:rPr>
            </w:pPr>
            <w:r w:rsidRPr="00CB3DE1">
              <w:rPr>
                <w:rFonts w:ascii="Times New Roman" w:hAnsi="Times New Roman"/>
                <w:b/>
                <w:bCs/>
                <w:snapToGrid w:val="0"/>
                <w:sz w:val="24"/>
              </w:rPr>
              <w:t>Total</w:t>
            </w:r>
          </w:p>
        </w:tc>
        <w:tc>
          <w:tcPr>
            <w:tcW w:w="1021" w:type="pct"/>
            <w:vAlign w:val="bottom"/>
          </w:tcPr>
          <w:p w14:paraId="1B5F3E5B" w14:textId="77777777" w:rsidR="00CB3DE1" w:rsidRPr="00CB3DE1" w:rsidRDefault="00CB3DE1" w:rsidP="00CB3DE1">
            <w:pPr>
              <w:spacing w:before="0"/>
              <w:jc w:val="right"/>
              <w:rPr>
                <w:rFonts w:ascii="Times New Roman" w:hAnsi="Times New Roman"/>
                <w:b/>
                <w:bCs/>
                <w:snapToGrid w:val="0"/>
                <w:sz w:val="24"/>
              </w:rPr>
            </w:pPr>
            <w:r w:rsidRPr="00CB3DE1">
              <w:rPr>
                <w:rFonts w:ascii="Times New Roman" w:hAnsi="Times New Roman"/>
                <w:b/>
                <w:bCs/>
                <w:snapToGrid w:val="0"/>
                <w:sz w:val="24"/>
              </w:rPr>
              <w:t>14.900</w:t>
            </w:r>
          </w:p>
        </w:tc>
        <w:tc>
          <w:tcPr>
            <w:tcW w:w="1021" w:type="pct"/>
            <w:vAlign w:val="bottom"/>
          </w:tcPr>
          <w:p w14:paraId="2FE7E347" w14:textId="77777777" w:rsidR="00CB3DE1" w:rsidRPr="00CB3DE1" w:rsidRDefault="00CB3DE1" w:rsidP="00CB3DE1">
            <w:pPr>
              <w:spacing w:before="0"/>
              <w:jc w:val="right"/>
              <w:rPr>
                <w:rFonts w:ascii="Times New Roman" w:hAnsi="Times New Roman"/>
                <w:b/>
                <w:bCs/>
                <w:snapToGrid w:val="0"/>
                <w:sz w:val="24"/>
              </w:rPr>
            </w:pPr>
            <w:r w:rsidRPr="00CB3DE1">
              <w:rPr>
                <w:rFonts w:ascii="Times New Roman" w:hAnsi="Times New Roman"/>
                <w:b/>
                <w:bCs/>
                <w:snapToGrid w:val="0"/>
                <w:sz w:val="24"/>
              </w:rPr>
              <w:t>(1.900)</w:t>
            </w:r>
          </w:p>
        </w:tc>
        <w:tc>
          <w:tcPr>
            <w:tcW w:w="1021" w:type="pct"/>
            <w:vAlign w:val="bottom"/>
          </w:tcPr>
          <w:p w14:paraId="6E06F9CD" w14:textId="77777777" w:rsidR="00CB3DE1" w:rsidRPr="00CB3DE1" w:rsidRDefault="00CB3DE1" w:rsidP="00CB3DE1">
            <w:pPr>
              <w:spacing w:before="0"/>
              <w:jc w:val="right"/>
              <w:rPr>
                <w:rFonts w:ascii="Times New Roman" w:hAnsi="Times New Roman"/>
                <w:b/>
                <w:bCs/>
                <w:snapToGrid w:val="0"/>
                <w:sz w:val="24"/>
              </w:rPr>
            </w:pPr>
            <w:r w:rsidRPr="00CB3DE1">
              <w:rPr>
                <w:rFonts w:ascii="Times New Roman" w:hAnsi="Times New Roman"/>
                <w:b/>
                <w:bCs/>
                <w:snapToGrid w:val="0"/>
                <w:sz w:val="24"/>
              </w:rPr>
              <w:t>13.000</w:t>
            </w:r>
          </w:p>
        </w:tc>
      </w:tr>
    </w:tbl>
    <w:p w14:paraId="43BEC49A"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088910A1"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r w:rsidRPr="00CB3DE1">
        <w:rPr>
          <w:rFonts w:ascii="Times New Roman" w:hAnsi="Times New Roman"/>
          <w:color w:val="000000"/>
          <w:sz w:val="24"/>
          <w:lang w:val="pt-BR" w:eastAsia="x-none"/>
        </w:rPr>
        <w:t>Em primeiro lugar, a perda por redução ao valor recuperável de ativos reduz qualquer valor de ágio (goodwill). A seguir, a perda residual é alocada a outros ativos proporcionalmente com base nos valores contábeis desses ativos.</w:t>
      </w:r>
    </w:p>
    <w:p w14:paraId="0D4FAB4F" w14:textId="77777777" w:rsidR="00CB3DE1" w:rsidRPr="00CB3DE1" w:rsidRDefault="00CB3DE1" w:rsidP="00CB3DE1">
      <w:pPr>
        <w:widowControl w:val="0"/>
        <w:tabs>
          <w:tab w:val="left" w:pos="6804"/>
        </w:tabs>
        <w:spacing w:before="0" w:after="0"/>
        <w:ind w:left="57"/>
        <w:rPr>
          <w:rFonts w:ascii="Times New Roman" w:hAnsi="Times New Roman"/>
          <w:b/>
          <w:sz w:val="24"/>
          <w:lang w:val="pt-BR" w:eastAsia="x-none"/>
        </w:rPr>
      </w:pPr>
    </w:p>
    <w:p w14:paraId="446BBFBA" w14:textId="77777777" w:rsidR="00CB3DE1" w:rsidRPr="00CB3DE1" w:rsidRDefault="00CB3DE1" w:rsidP="00CB3DE1">
      <w:pPr>
        <w:widowControl w:val="0"/>
        <w:tabs>
          <w:tab w:val="left" w:pos="6804"/>
        </w:tabs>
        <w:spacing w:before="0" w:after="0"/>
        <w:rPr>
          <w:rFonts w:ascii="Times New Roman" w:hAnsi="Times New Roman"/>
          <w:b/>
          <w:sz w:val="24"/>
          <w:lang w:val="pt-BR" w:eastAsia="x-none"/>
        </w:rPr>
      </w:pPr>
      <w:r w:rsidRPr="00CB3DE1">
        <w:rPr>
          <w:rFonts w:ascii="Times New Roman" w:hAnsi="Times New Roman"/>
          <w:b/>
          <w:sz w:val="24"/>
          <w:lang w:val="pt-BR" w:eastAsia="x-none"/>
        </w:rPr>
        <w:t xml:space="preserve">Apresentação de operações descontinuadas na demonstração do resultado </w:t>
      </w:r>
    </w:p>
    <w:p w14:paraId="74A72E17"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4CA01B4C"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r w:rsidRPr="00CB3DE1">
        <w:rPr>
          <w:rFonts w:ascii="Times New Roman" w:hAnsi="Times New Roman"/>
          <w:color w:val="000000"/>
          <w:sz w:val="24"/>
          <w:lang w:val="pt-BR" w:eastAsia="x-none"/>
        </w:rPr>
        <w:t>O item 33 do Pronunciamento exige que a entidade divulgue um valor único na demonstração do resultado para operações descontinuadas com uma análise nas notas explicativas ou em uma seção da demonstração do resultado das operações em continuidade. O exemplo 11 ilustra como esses requisitos podem ser cumpridos.</w:t>
      </w:r>
    </w:p>
    <w:p w14:paraId="3543FEAA" w14:textId="77777777" w:rsidR="00CB3DE1" w:rsidRPr="00CB3DE1" w:rsidRDefault="00CB3DE1" w:rsidP="00CB3DE1">
      <w:pPr>
        <w:widowControl w:val="0"/>
        <w:tabs>
          <w:tab w:val="left" w:pos="6804"/>
        </w:tabs>
        <w:spacing w:before="0" w:after="0"/>
        <w:ind w:left="57"/>
        <w:rPr>
          <w:rFonts w:ascii="Times New Roman" w:hAnsi="Times New Roman"/>
          <w:b/>
          <w:sz w:val="24"/>
          <w:lang w:val="pt-BR" w:eastAsia="x-none"/>
        </w:rPr>
      </w:pPr>
    </w:p>
    <w:p w14:paraId="57FE574D" w14:textId="77777777" w:rsidR="0006156C" w:rsidRDefault="0006156C">
      <w:pPr>
        <w:spacing w:before="0" w:after="160" w:line="259" w:lineRule="auto"/>
        <w:jc w:val="left"/>
        <w:rPr>
          <w:rFonts w:ascii="Times New Roman" w:hAnsi="Times New Roman"/>
          <w:b/>
          <w:sz w:val="24"/>
          <w:lang w:val="pt-BR" w:eastAsia="x-none"/>
        </w:rPr>
      </w:pPr>
      <w:r>
        <w:rPr>
          <w:rFonts w:ascii="Times New Roman" w:hAnsi="Times New Roman"/>
          <w:b/>
          <w:sz w:val="24"/>
          <w:lang w:val="pt-BR" w:eastAsia="x-none"/>
        </w:rPr>
        <w:br w:type="page"/>
      </w:r>
    </w:p>
    <w:p w14:paraId="0C8D8140" w14:textId="4366C0C6" w:rsidR="00CB3DE1" w:rsidRPr="00CB3DE1" w:rsidRDefault="00CB3DE1" w:rsidP="00CB3DE1">
      <w:pPr>
        <w:widowControl w:val="0"/>
        <w:tabs>
          <w:tab w:val="left" w:pos="6804"/>
        </w:tabs>
        <w:spacing w:before="0" w:after="0"/>
        <w:rPr>
          <w:rFonts w:ascii="Times New Roman" w:hAnsi="Times New Roman"/>
          <w:b/>
          <w:sz w:val="24"/>
          <w:lang w:val="pt-BR" w:eastAsia="x-none"/>
        </w:rPr>
      </w:pPr>
      <w:r w:rsidRPr="00CB3DE1">
        <w:rPr>
          <w:rFonts w:ascii="Times New Roman" w:hAnsi="Times New Roman"/>
          <w:b/>
          <w:sz w:val="24"/>
          <w:lang w:val="pt-BR" w:eastAsia="x-none"/>
        </w:rPr>
        <w:lastRenderedPageBreak/>
        <w:t>Exemplo 11</w:t>
      </w:r>
    </w:p>
    <w:p w14:paraId="2BA41E49" w14:textId="77777777" w:rsidR="00CB3DE1" w:rsidRPr="00CB3DE1" w:rsidRDefault="00CB3DE1" w:rsidP="00CB3DE1">
      <w:pPr>
        <w:widowControl w:val="0"/>
        <w:tabs>
          <w:tab w:val="left" w:pos="6804"/>
        </w:tabs>
        <w:spacing w:before="0" w:after="0"/>
        <w:rPr>
          <w:rFonts w:ascii="Times New Roman" w:hAnsi="Times New Roman"/>
          <w:bCs/>
          <w:sz w:val="10"/>
          <w:szCs w:val="10"/>
          <w:lang w:val="pt-BR" w:eastAsia="x-none"/>
        </w:rPr>
      </w:pPr>
    </w:p>
    <w:p w14:paraId="522AAC89" w14:textId="77777777" w:rsidR="00CB3DE1" w:rsidRPr="00CB3DE1" w:rsidRDefault="00CB3DE1" w:rsidP="00CB3DE1">
      <w:pPr>
        <w:spacing w:before="0" w:after="0"/>
        <w:jc w:val="left"/>
        <w:rPr>
          <w:rFonts w:ascii="Times New Roman" w:hAnsi="Times New Roman"/>
          <w:b/>
          <w:snapToGrid w:val="0"/>
          <w:szCs w:val="20"/>
          <w:lang w:val="pt-BR"/>
        </w:rPr>
      </w:pPr>
      <w:r w:rsidRPr="00CB3DE1">
        <w:rPr>
          <w:rFonts w:ascii="Times New Roman" w:hAnsi="Times New Roman"/>
          <w:b/>
          <w:snapToGrid w:val="0"/>
          <w:szCs w:val="20"/>
          <w:lang w:val="pt-BR"/>
        </w:rPr>
        <w:t>GRUPO XYZ – DEMONSTRAÇÃO DO RESULTADO DO EXERCÍCIO FINDO EM 31 DE DEZEMBRO DE 20X2</w:t>
      </w:r>
    </w:p>
    <w:p w14:paraId="4A29F1B0" w14:textId="77777777" w:rsidR="00CB3DE1" w:rsidRPr="00CB3DE1" w:rsidRDefault="00CB3DE1" w:rsidP="00CB3DE1">
      <w:pPr>
        <w:spacing w:before="0" w:after="0"/>
        <w:jc w:val="left"/>
        <w:rPr>
          <w:rFonts w:ascii="Times New Roman" w:hAnsi="Times New Roman"/>
          <w:b/>
          <w:szCs w:val="20"/>
          <w:lang w:val="pt-BR"/>
        </w:rPr>
      </w:pPr>
      <w:r w:rsidRPr="00CB3DE1">
        <w:rPr>
          <w:rFonts w:ascii="Times New Roman" w:hAnsi="Times New Roman"/>
          <w:b/>
          <w:snapToGrid w:val="0"/>
          <w:szCs w:val="20"/>
          <w:lang w:val="pt-BR"/>
        </w:rPr>
        <w:t>(ilustrando a classificação de despesas por função)</w:t>
      </w:r>
    </w:p>
    <w:p w14:paraId="4629D8AF" w14:textId="77777777" w:rsidR="00CB3DE1" w:rsidRPr="00CB3DE1" w:rsidRDefault="00CB3DE1" w:rsidP="00CB3DE1">
      <w:pPr>
        <w:spacing w:before="0"/>
        <w:jc w:val="left"/>
        <w:rPr>
          <w:rFonts w:ascii="Times New Roman" w:hAnsi="Times New Roman"/>
          <w:sz w:val="10"/>
          <w:szCs w:val="10"/>
        </w:rPr>
      </w:pPr>
    </w:p>
    <w:tbl>
      <w:tblPr>
        <w:tblW w:w="5000" w:type="pct"/>
        <w:tblCellMar>
          <w:top w:w="10" w:type="dxa"/>
          <w:left w:w="50" w:type="dxa"/>
          <w:bottom w:w="5" w:type="dxa"/>
          <w:right w:w="50" w:type="dxa"/>
        </w:tblCellMar>
        <w:tblLook w:val="0000" w:firstRow="0" w:lastRow="0" w:firstColumn="0" w:lastColumn="0" w:noHBand="0" w:noVBand="0"/>
      </w:tblPr>
      <w:tblGrid>
        <w:gridCol w:w="1271"/>
        <w:gridCol w:w="112"/>
        <w:gridCol w:w="220"/>
        <w:gridCol w:w="6062"/>
        <w:gridCol w:w="1294"/>
        <w:gridCol w:w="1247"/>
      </w:tblGrid>
      <w:tr w:rsidR="00CB3DE1" w:rsidRPr="00CB3DE1" w14:paraId="4BF2B95A" w14:textId="77777777" w:rsidTr="00BA6C7C">
        <w:trPr>
          <w:trHeight w:val="360"/>
          <w:tblHeader/>
        </w:trPr>
        <w:tc>
          <w:tcPr>
            <w:tcW w:w="3755" w:type="pct"/>
            <w:gridSpan w:val="4"/>
            <w:vAlign w:val="bottom"/>
          </w:tcPr>
          <w:p w14:paraId="4E6A930E" w14:textId="77777777" w:rsidR="00CB3DE1" w:rsidRPr="00CB3DE1" w:rsidRDefault="00CB3DE1" w:rsidP="00CB3DE1">
            <w:pPr>
              <w:spacing w:before="0" w:after="320"/>
              <w:jc w:val="left"/>
              <w:rPr>
                <w:rFonts w:ascii="Times New Roman" w:hAnsi="Times New Roman"/>
                <w:snapToGrid w:val="0"/>
                <w:szCs w:val="20"/>
              </w:rPr>
            </w:pPr>
            <w:r w:rsidRPr="00CB3DE1">
              <w:rPr>
                <w:rFonts w:ascii="Times New Roman" w:hAnsi="Times New Roman"/>
                <w:snapToGrid w:val="0"/>
                <w:szCs w:val="20"/>
              </w:rPr>
              <w:t>(em milhares de $)</w:t>
            </w:r>
          </w:p>
        </w:tc>
        <w:tc>
          <w:tcPr>
            <w:tcW w:w="634" w:type="pct"/>
            <w:vAlign w:val="bottom"/>
          </w:tcPr>
          <w:p w14:paraId="699865FC" w14:textId="77777777" w:rsidR="00CB3DE1" w:rsidRPr="00CB3DE1" w:rsidRDefault="00CB3DE1" w:rsidP="00CB3DE1">
            <w:pPr>
              <w:spacing w:before="0" w:after="320"/>
              <w:jc w:val="right"/>
              <w:rPr>
                <w:rFonts w:ascii="Times New Roman" w:hAnsi="Times New Roman"/>
                <w:b/>
                <w:bCs/>
                <w:snapToGrid w:val="0"/>
                <w:szCs w:val="20"/>
              </w:rPr>
            </w:pPr>
            <w:r w:rsidRPr="00CB3DE1">
              <w:rPr>
                <w:rFonts w:ascii="Times New Roman" w:hAnsi="Times New Roman"/>
                <w:b/>
                <w:bCs/>
                <w:snapToGrid w:val="0"/>
                <w:szCs w:val="20"/>
              </w:rPr>
              <w:t>20X2</w:t>
            </w:r>
          </w:p>
        </w:tc>
        <w:tc>
          <w:tcPr>
            <w:tcW w:w="611" w:type="pct"/>
            <w:vAlign w:val="bottom"/>
          </w:tcPr>
          <w:p w14:paraId="168D75F3" w14:textId="77777777" w:rsidR="00CB3DE1" w:rsidRPr="00CB3DE1" w:rsidRDefault="00CB3DE1" w:rsidP="00CB3DE1">
            <w:pPr>
              <w:spacing w:before="0" w:after="320"/>
              <w:jc w:val="right"/>
              <w:rPr>
                <w:rFonts w:ascii="Times New Roman" w:hAnsi="Times New Roman"/>
                <w:b/>
                <w:bCs/>
                <w:snapToGrid w:val="0"/>
                <w:szCs w:val="20"/>
              </w:rPr>
            </w:pPr>
            <w:r w:rsidRPr="00CB3DE1">
              <w:rPr>
                <w:rFonts w:ascii="Times New Roman" w:hAnsi="Times New Roman"/>
                <w:b/>
                <w:bCs/>
                <w:snapToGrid w:val="0"/>
                <w:szCs w:val="20"/>
              </w:rPr>
              <w:t>20X1</w:t>
            </w:r>
          </w:p>
        </w:tc>
      </w:tr>
      <w:tr w:rsidR="00CB3DE1" w:rsidRPr="00CB3DE1" w14:paraId="40F23942" w14:textId="77777777" w:rsidTr="00BA6C7C">
        <w:trPr>
          <w:trHeight w:val="360"/>
        </w:trPr>
        <w:tc>
          <w:tcPr>
            <w:tcW w:w="3755" w:type="pct"/>
            <w:gridSpan w:val="4"/>
            <w:vAlign w:val="bottom"/>
          </w:tcPr>
          <w:p w14:paraId="39BD95E0" w14:textId="77777777" w:rsidR="00CB3DE1" w:rsidRPr="00CB3DE1" w:rsidRDefault="00CB3DE1" w:rsidP="00CB3DE1">
            <w:pPr>
              <w:spacing w:before="0"/>
              <w:jc w:val="left"/>
              <w:rPr>
                <w:rFonts w:ascii="Times New Roman" w:hAnsi="Times New Roman"/>
                <w:b/>
                <w:bCs/>
                <w:snapToGrid w:val="0"/>
                <w:szCs w:val="20"/>
              </w:rPr>
            </w:pPr>
            <w:r w:rsidRPr="00CB3DE1">
              <w:rPr>
                <w:rFonts w:ascii="Times New Roman" w:hAnsi="Times New Roman"/>
                <w:b/>
                <w:bCs/>
                <w:snapToGrid w:val="0"/>
                <w:szCs w:val="20"/>
              </w:rPr>
              <w:t>Operações em continuidade</w:t>
            </w:r>
          </w:p>
        </w:tc>
        <w:tc>
          <w:tcPr>
            <w:tcW w:w="634" w:type="pct"/>
            <w:vAlign w:val="bottom"/>
          </w:tcPr>
          <w:p w14:paraId="392B8698" w14:textId="77777777" w:rsidR="00CB3DE1" w:rsidRPr="00CB3DE1" w:rsidRDefault="00CB3DE1" w:rsidP="00CB3DE1">
            <w:pPr>
              <w:spacing w:before="0"/>
              <w:jc w:val="right"/>
              <w:rPr>
                <w:rFonts w:ascii="Times New Roman" w:hAnsi="Times New Roman"/>
                <w:snapToGrid w:val="0"/>
                <w:szCs w:val="20"/>
              </w:rPr>
            </w:pPr>
          </w:p>
        </w:tc>
        <w:tc>
          <w:tcPr>
            <w:tcW w:w="611" w:type="pct"/>
            <w:vAlign w:val="bottom"/>
          </w:tcPr>
          <w:p w14:paraId="55D7555A" w14:textId="77777777" w:rsidR="00CB3DE1" w:rsidRPr="00CB3DE1" w:rsidRDefault="00CB3DE1" w:rsidP="00CB3DE1">
            <w:pPr>
              <w:spacing w:before="0"/>
              <w:jc w:val="right"/>
              <w:rPr>
                <w:rFonts w:ascii="Times New Roman" w:hAnsi="Times New Roman"/>
                <w:snapToGrid w:val="0"/>
                <w:szCs w:val="20"/>
              </w:rPr>
            </w:pPr>
          </w:p>
        </w:tc>
      </w:tr>
      <w:tr w:rsidR="00CB3DE1" w:rsidRPr="00CB3DE1" w14:paraId="407F1E08" w14:textId="77777777" w:rsidTr="00BA6C7C">
        <w:trPr>
          <w:trHeight w:val="360"/>
        </w:trPr>
        <w:tc>
          <w:tcPr>
            <w:tcW w:w="3755" w:type="pct"/>
            <w:gridSpan w:val="4"/>
            <w:vAlign w:val="bottom"/>
          </w:tcPr>
          <w:p w14:paraId="278B7178" w14:textId="77777777" w:rsidR="00CB3DE1" w:rsidRPr="00CB3DE1" w:rsidRDefault="00CB3DE1" w:rsidP="00CB3DE1">
            <w:pPr>
              <w:spacing w:before="0"/>
              <w:jc w:val="left"/>
              <w:rPr>
                <w:rFonts w:ascii="Times New Roman" w:hAnsi="Times New Roman"/>
                <w:snapToGrid w:val="0"/>
                <w:szCs w:val="20"/>
              </w:rPr>
            </w:pPr>
            <w:r w:rsidRPr="00CB3DE1">
              <w:rPr>
                <w:rFonts w:ascii="Times New Roman" w:hAnsi="Times New Roman"/>
                <w:snapToGrid w:val="0"/>
                <w:szCs w:val="20"/>
              </w:rPr>
              <w:t>Receita</w:t>
            </w:r>
          </w:p>
        </w:tc>
        <w:tc>
          <w:tcPr>
            <w:tcW w:w="634" w:type="pct"/>
            <w:vAlign w:val="bottom"/>
          </w:tcPr>
          <w:p w14:paraId="2B8CCFED" w14:textId="77777777" w:rsidR="00CB3DE1" w:rsidRPr="00CB3DE1" w:rsidRDefault="00CB3DE1" w:rsidP="00CB3DE1">
            <w:pPr>
              <w:spacing w:before="0"/>
              <w:jc w:val="right"/>
              <w:rPr>
                <w:rFonts w:ascii="Times New Roman" w:hAnsi="Times New Roman"/>
                <w:snapToGrid w:val="0"/>
                <w:szCs w:val="20"/>
              </w:rPr>
            </w:pPr>
            <w:r w:rsidRPr="00CB3DE1">
              <w:rPr>
                <w:rFonts w:ascii="Times New Roman" w:hAnsi="Times New Roman"/>
                <w:snapToGrid w:val="0"/>
                <w:szCs w:val="20"/>
              </w:rPr>
              <w:t>X</w:t>
            </w:r>
          </w:p>
        </w:tc>
        <w:tc>
          <w:tcPr>
            <w:tcW w:w="611" w:type="pct"/>
            <w:vAlign w:val="bottom"/>
          </w:tcPr>
          <w:p w14:paraId="54118DF0" w14:textId="77777777" w:rsidR="00CB3DE1" w:rsidRPr="00CB3DE1" w:rsidRDefault="00CB3DE1" w:rsidP="00CB3DE1">
            <w:pPr>
              <w:spacing w:before="0"/>
              <w:jc w:val="right"/>
              <w:rPr>
                <w:rFonts w:ascii="Times New Roman" w:hAnsi="Times New Roman"/>
                <w:snapToGrid w:val="0"/>
                <w:szCs w:val="20"/>
              </w:rPr>
            </w:pPr>
            <w:r w:rsidRPr="00CB3DE1">
              <w:rPr>
                <w:rFonts w:ascii="Times New Roman" w:hAnsi="Times New Roman"/>
                <w:snapToGrid w:val="0"/>
                <w:szCs w:val="20"/>
              </w:rPr>
              <w:t>X</w:t>
            </w:r>
          </w:p>
        </w:tc>
      </w:tr>
      <w:tr w:rsidR="00CB3DE1" w:rsidRPr="00CB3DE1" w14:paraId="3B34EEEF" w14:textId="77777777" w:rsidTr="00BA6C7C">
        <w:trPr>
          <w:trHeight w:val="360"/>
        </w:trPr>
        <w:tc>
          <w:tcPr>
            <w:tcW w:w="3755" w:type="pct"/>
            <w:gridSpan w:val="4"/>
            <w:vAlign w:val="bottom"/>
          </w:tcPr>
          <w:p w14:paraId="67AFFDAF" w14:textId="77777777" w:rsidR="00CB3DE1" w:rsidRPr="00CB3DE1" w:rsidRDefault="00CB3DE1" w:rsidP="00CB3DE1">
            <w:pPr>
              <w:spacing w:before="0"/>
              <w:jc w:val="left"/>
              <w:rPr>
                <w:rFonts w:ascii="Times New Roman" w:hAnsi="Times New Roman"/>
                <w:snapToGrid w:val="0"/>
                <w:szCs w:val="20"/>
              </w:rPr>
            </w:pPr>
            <w:r w:rsidRPr="00CB3DE1">
              <w:rPr>
                <w:rFonts w:ascii="Times New Roman" w:hAnsi="Times New Roman"/>
                <w:snapToGrid w:val="0"/>
                <w:szCs w:val="20"/>
              </w:rPr>
              <w:t>Custo dos produtos vendidos</w:t>
            </w:r>
          </w:p>
        </w:tc>
        <w:tc>
          <w:tcPr>
            <w:tcW w:w="634" w:type="pct"/>
            <w:vAlign w:val="bottom"/>
          </w:tcPr>
          <w:p w14:paraId="65A4082D" w14:textId="77777777" w:rsidR="00CB3DE1" w:rsidRPr="00CB3DE1" w:rsidRDefault="00CB3DE1" w:rsidP="00CB3DE1">
            <w:pPr>
              <w:spacing w:before="0"/>
              <w:jc w:val="right"/>
              <w:rPr>
                <w:rFonts w:ascii="Times New Roman" w:hAnsi="Times New Roman"/>
                <w:snapToGrid w:val="0"/>
                <w:szCs w:val="20"/>
                <w:u w:val="single"/>
              </w:rPr>
            </w:pPr>
            <w:r w:rsidRPr="00CB3DE1">
              <w:rPr>
                <w:rFonts w:ascii="Times New Roman" w:hAnsi="Times New Roman"/>
                <w:snapToGrid w:val="0"/>
                <w:szCs w:val="20"/>
                <w:u w:val="single"/>
              </w:rPr>
              <w:t>(X)</w:t>
            </w:r>
          </w:p>
        </w:tc>
        <w:tc>
          <w:tcPr>
            <w:tcW w:w="611" w:type="pct"/>
            <w:vAlign w:val="bottom"/>
          </w:tcPr>
          <w:p w14:paraId="60DA8BE0" w14:textId="77777777" w:rsidR="00CB3DE1" w:rsidRPr="00CB3DE1" w:rsidRDefault="00CB3DE1" w:rsidP="00CB3DE1">
            <w:pPr>
              <w:spacing w:before="0"/>
              <w:jc w:val="right"/>
              <w:rPr>
                <w:rFonts w:ascii="Times New Roman" w:hAnsi="Times New Roman"/>
                <w:snapToGrid w:val="0"/>
                <w:szCs w:val="20"/>
                <w:u w:val="single"/>
              </w:rPr>
            </w:pPr>
            <w:r w:rsidRPr="00CB3DE1">
              <w:rPr>
                <w:rFonts w:ascii="Times New Roman" w:hAnsi="Times New Roman"/>
                <w:snapToGrid w:val="0"/>
                <w:szCs w:val="20"/>
                <w:u w:val="single"/>
              </w:rPr>
              <w:t>(X)</w:t>
            </w:r>
          </w:p>
        </w:tc>
      </w:tr>
      <w:tr w:rsidR="00CB3DE1" w:rsidRPr="00CB3DE1" w14:paraId="6CB8A6D8" w14:textId="77777777" w:rsidTr="00BA6C7C">
        <w:trPr>
          <w:trHeight w:val="360"/>
        </w:trPr>
        <w:tc>
          <w:tcPr>
            <w:tcW w:w="3755" w:type="pct"/>
            <w:gridSpan w:val="4"/>
            <w:vAlign w:val="bottom"/>
          </w:tcPr>
          <w:p w14:paraId="78BF2980" w14:textId="77777777" w:rsidR="00CB3DE1" w:rsidRPr="00CB3DE1" w:rsidRDefault="00CB3DE1" w:rsidP="00CB3DE1">
            <w:pPr>
              <w:spacing w:before="0"/>
              <w:jc w:val="left"/>
              <w:rPr>
                <w:rFonts w:ascii="Times New Roman" w:hAnsi="Times New Roman"/>
                <w:snapToGrid w:val="0"/>
                <w:szCs w:val="20"/>
              </w:rPr>
            </w:pPr>
            <w:r w:rsidRPr="00CB3DE1">
              <w:rPr>
                <w:rFonts w:ascii="Times New Roman" w:hAnsi="Times New Roman"/>
                <w:snapToGrid w:val="0"/>
                <w:szCs w:val="20"/>
              </w:rPr>
              <w:t>Lucro bruto</w:t>
            </w:r>
          </w:p>
        </w:tc>
        <w:tc>
          <w:tcPr>
            <w:tcW w:w="634" w:type="pct"/>
            <w:vAlign w:val="bottom"/>
          </w:tcPr>
          <w:p w14:paraId="58A81C2B" w14:textId="77777777" w:rsidR="00CB3DE1" w:rsidRPr="00CB3DE1" w:rsidRDefault="00CB3DE1" w:rsidP="00CB3DE1">
            <w:pPr>
              <w:spacing w:before="0"/>
              <w:jc w:val="right"/>
              <w:rPr>
                <w:rFonts w:ascii="Times New Roman" w:hAnsi="Times New Roman"/>
                <w:snapToGrid w:val="0"/>
                <w:szCs w:val="20"/>
              </w:rPr>
            </w:pPr>
            <w:r w:rsidRPr="00CB3DE1">
              <w:rPr>
                <w:rFonts w:ascii="Times New Roman" w:hAnsi="Times New Roman"/>
                <w:snapToGrid w:val="0"/>
                <w:szCs w:val="20"/>
              </w:rPr>
              <w:t>X</w:t>
            </w:r>
          </w:p>
        </w:tc>
        <w:tc>
          <w:tcPr>
            <w:tcW w:w="611" w:type="pct"/>
            <w:vAlign w:val="bottom"/>
          </w:tcPr>
          <w:p w14:paraId="444D8373" w14:textId="77777777" w:rsidR="00CB3DE1" w:rsidRPr="00CB3DE1" w:rsidRDefault="00CB3DE1" w:rsidP="00CB3DE1">
            <w:pPr>
              <w:spacing w:before="0"/>
              <w:jc w:val="right"/>
              <w:rPr>
                <w:rFonts w:ascii="Times New Roman" w:hAnsi="Times New Roman"/>
                <w:snapToGrid w:val="0"/>
                <w:szCs w:val="20"/>
              </w:rPr>
            </w:pPr>
            <w:r w:rsidRPr="00CB3DE1">
              <w:rPr>
                <w:rFonts w:ascii="Times New Roman" w:hAnsi="Times New Roman"/>
                <w:snapToGrid w:val="0"/>
                <w:szCs w:val="20"/>
              </w:rPr>
              <w:t>X</w:t>
            </w:r>
          </w:p>
        </w:tc>
      </w:tr>
      <w:tr w:rsidR="00CB3DE1" w:rsidRPr="00CB3DE1" w14:paraId="5332872C" w14:textId="77777777" w:rsidTr="00BA6C7C">
        <w:trPr>
          <w:trHeight w:val="360"/>
        </w:trPr>
        <w:tc>
          <w:tcPr>
            <w:tcW w:w="3755" w:type="pct"/>
            <w:gridSpan w:val="4"/>
            <w:vAlign w:val="bottom"/>
          </w:tcPr>
          <w:p w14:paraId="02E5A508" w14:textId="77777777" w:rsidR="00CB3DE1" w:rsidRPr="00CB3DE1" w:rsidRDefault="00CB3DE1" w:rsidP="00CB3DE1">
            <w:pPr>
              <w:spacing w:before="0"/>
              <w:jc w:val="left"/>
              <w:rPr>
                <w:rFonts w:ascii="Times New Roman" w:hAnsi="Times New Roman"/>
                <w:snapToGrid w:val="0"/>
                <w:szCs w:val="20"/>
              </w:rPr>
            </w:pPr>
            <w:r w:rsidRPr="00CB3DE1">
              <w:rPr>
                <w:rFonts w:ascii="Times New Roman" w:hAnsi="Times New Roman"/>
                <w:snapToGrid w:val="0"/>
                <w:szCs w:val="20"/>
              </w:rPr>
              <w:t>Outras receitas</w:t>
            </w:r>
          </w:p>
        </w:tc>
        <w:tc>
          <w:tcPr>
            <w:tcW w:w="634" w:type="pct"/>
            <w:vAlign w:val="bottom"/>
          </w:tcPr>
          <w:p w14:paraId="3EF8E16C" w14:textId="77777777" w:rsidR="00CB3DE1" w:rsidRPr="00CB3DE1" w:rsidRDefault="00CB3DE1" w:rsidP="00CB3DE1">
            <w:pPr>
              <w:spacing w:before="0"/>
              <w:jc w:val="right"/>
              <w:rPr>
                <w:rFonts w:ascii="Times New Roman" w:hAnsi="Times New Roman"/>
                <w:snapToGrid w:val="0"/>
                <w:szCs w:val="20"/>
              </w:rPr>
            </w:pPr>
            <w:r w:rsidRPr="00CB3DE1">
              <w:rPr>
                <w:rFonts w:ascii="Times New Roman" w:hAnsi="Times New Roman"/>
                <w:snapToGrid w:val="0"/>
                <w:szCs w:val="20"/>
              </w:rPr>
              <w:t>X</w:t>
            </w:r>
          </w:p>
        </w:tc>
        <w:tc>
          <w:tcPr>
            <w:tcW w:w="611" w:type="pct"/>
            <w:vAlign w:val="bottom"/>
          </w:tcPr>
          <w:p w14:paraId="6CECCAF2" w14:textId="77777777" w:rsidR="00CB3DE1" w:rsidRPr="00CB3DE1" w:rsidRDefault="00CB3DE1" w:rsidP="00CB3DE1">
            <w:pPr>
              <w:spacing w:before="0"/>
              <w:jc w:val="right"/>
              <w:rPr>
                <w:rFonts w:ascii="Times New Roman" w:hAnsi="Times New Roman"/>
                <w:snapToGrid w:val="0"/>
                <w:szCs w:val="20"/>
              </w:rPr>
            </w:pPr>
            <w:r w:rsidRPr="00CB3DE1">
              <w:rPr>
                <w:rFonts w:ascii="Times New Roman" w:hAnsi="Times New Roman"/>
                <w:snapToGrid w:val="0"/>
                <w:szCs w:val="20"/>
              </w:rPr>
              <w:t>X</w:t>
            </w:r>
          </w:p>
        </w:tc>
      </w:tr>
      <w:tr w:rsidR="00CB3DE1" w:rsidRPr="00CB3DE1" w14:paraId="65612C33" w14:textId="77777777" w:rsidTr="00BA6C7C">
        <w:trPr>
          <w:trHeight w:val="360"/>
        </w:trPr>
        <w:tc>
          <w:tcPr>
            <w:tcW w:w="3755" w:type="pct"/>
            <w:gridSpan w:val="4"/>
            <w:vAlign w:val="bottom"/>
          </w:tcPr>
          <w:p w14:paraId="54787421" w14:textId="77777777" w:rsidR="00CB3DE1" w:rsidRPr="00CB3DE1" w:rsidRDefault="00CB3DE1" w:rsidP="00CB3DE1">
            <w:pPr>
              <w:spacing w:before="0"/>
              <w:jc w:val="left"/>
              <w:rPr>
                <w:rFonts w:ascii="Times New Roman" w:hAnsi="Times New Roman"/>
                <w:snapToGrid w:val="0"/>
                <w:szCs w:val="20"/>
              </w:rPr>
            </w:pPr>
            <w:r w:rsidRPr="00CB3DE1">
              <w:rPr>
                <w:rFonts w:ascii="Times New Roman" w:hAnsi="Times New Roman"/>
                <w:snapToGrid w:val="0"/>
                <w:szCs w:val="20"/>
              </w:rPr>
              <w:t>Despesas de distribuição</w:t>
            </w:r>
          </w:p>
        </w:tc>
        <w:tc>
          <w:tcPr>
            <w:tcW w:w="634" w:type="pct"/>
            <w:vAlign w:val="bottom"/>
          </w:tcPr>
          <w:p w14:paraId="2C0C0B54" w14:textId="77777777" w:rsidR="00CB3DE1" w:rsidRPr="00CB3DE1" w:rsidRDefault="00CB3DE1" w:rsidP="00CB3DE1">
            <w:pPr>
              <w:spacing w:before="0"/>
              <w:jc w:val="right"/>
              <w:rPr>
                <w:rFonts w:ascii="Times New Roman" w:hAnsi="Times New Roman"/>
                <w:snapToGrid w:val="0"/>
                <w:szCs w:val="20"/>
              </w:rPr>
            </w:pPr>
            <w:r w:rsidRPr="00CB3DE1">
              <w:rPr>
                <w:rFonts w:ascii="Times New Roman" w:hAnsi="Times New Roman"/>
                <w:snapToGrid w:val="0"/>
                <w:szCs w:val="20"/>
              </w:rPr>
              <w:t>(X)</w:t>
            </w:r>
          </w:p>
        </w:tc>
        <w:tc>
          <w:tcPr>
            <w:tcW w:w="611" w:type="pct"/>
            <w:vAlign w:val="bottom"/>
          </w:tcPr>
          <w:p w14:paraId="651B5A39" w14:textId="77777777" w:rsidR="00CB3DE1" w:rsidRPr="00CB3DE1" w:rsidRDefault="00CB3DE1" w:rsidP="00CB3DE1">
            <w:pPr>
              <w:spacing w:before="0"/>
              <w:jc w:val="right"/>
              <w:rPr>
                <w:rFonts w:ascii="Times New Roman" w:hAnsi="Times New Roman"/>
                <w:snapToGrid w:val="0"/>
                <w:szCs w:val="20"/>
              </w:rPr>
            </w:pPr>
            <w:r w:rsidRPr="00CB3DE1">
              <w:rPr>
                <w:rFonts w:ascii="Times New Roman" w:hAnsi="Times New Roman"/>
                <w:snapToGrid w:val="0"/>
                <w:szCs w:val="20"/>
              </w:rPr>
              <w:t>(X)</w:t>
            </w:r>
          </w:p>
        </w:tc>
      </w:tr>
      <w:tr w:rsidR="00CB3DE1" w:rsidRPr="00CB3DE1" w14:paraId="27BD2CA3" w14:textId="77777777" w:rsidTr="00BA6C7C">
        <w:trPr>
          <w:trHeight w:val="360"/>
        </w:trPr>
        <w:tc>
          <w:tcPr>
            <w:tcW w:w="3755" w:type="pct"/>
            <w:gridSpan w:val="4"/>
            <w:vAlign w:val="bottom"/>
          </w:tcPr>
          <w:p w14:paraId="5BE98528" w14:textId="77777777" w:rsidR="00CB3DE1" w:rsidRPr="00CB3DE1" w:rsidRDefault="00CB3DE1" w:rsidP="00CB3DE1">
            <w:pPr>
              <w:spacing w:before="0"/>
              <w:jc w:val="left"/>
              <w:rPr>
                <w:rFonts w:ascii="Times New Roman" w:hAnsi="Times New Roman"/>
                <w:snapToGrid w:val="0"/>
                <w:szCs w:val="20"/>
              </w:rPr>
            </w:pPr>
            <w:r w:rsidRPr="00CB3DE1">
              <w:rPr>
                <w:rFonts w:ascii="Times New Roman" w:hAnsi="Times New Roman"/>
                <w:snapToGrid w:val="0"/>
                <w:szCs w:val="20"/>
              </w:rPr>
              <w:t>Despesas administrativas</w:t>
            </w:r>
          </w:p>
        </w:tc>
        <w:tc>
          <w:tcPr>
            <w:tcW w:w="634" w:type="pct"/>
            <w:vAlign w:val="bottom"/>
          </w:tcPr>
          <w:p w14:paraId="28A62733" w14:textId="77777777" w:rsidR="00CB3DE1" w:rsidRPr="00CB3DE1" w:rsidRDefault="00CB3DE1" w:rsidP="00CB3DE1">
            <w:pPr>
              <w:spacing w:before="0"/>
              <w:jc w:val="right"/>
              <w:rPr>
                <w:rFonts w:ascii="Times New Roman" w:hAnsi="Times New Roman"/>
                <w:snapToGrid w:val="0"/>
                <w:szCs w:val="20"/>
              </w:rPr>
            </w:pPr>
            <w:r w:rsidRPr="00CB3DE1">
              <w:rPr>
                <w:rFonts w:ascii="Times New Roman" w:hAnsi="Times New Roman"/>
                <w:snapToGrid w:val="0"/>
                <w:szCs w:val="20"/>
              </w:rPr>
              <w:t>(X)</w:t>
            </w:r>
          </w:p>
        </w:tc>
        <w:tc>
          <w:tcPr>
            <w:tcW w:w="611" w:type="pct"/>
            <w:vAlign w:val="bottom"/>
          </w:tcPr>
          <w:p w14:paraId="093A96F0" w14:textId="77777777" w:rsidR="00CB3DE1" w:rsidRPr="00CB3DE1" w:rsidRDefault="00CB3DE1" w:rsidP="00CB3DE1">
            <w:pPr>
              <w:spacing w:before="0"/>
              <w:jc w:val="right"/>
              <w:rPr>
                <w:rFonts w:ascii="Times New Roman" w:hAnsi="Times New Roman"/>
                <w:snapToGrid w:val="0"/>
                <w:szCs w:val="20"/>
              </w:rPr>
            </w:pPr>
            <w:r w:rsidRPr="00CB3DE1">
              <w:rPr>
                <w:rFonts w:ascii="Times New Roman" w:hAnsi="Times New Roman"/>
                <w:snapToGrid w:val="0"/>
                <w:szCs w:val="20"/>
              </w:rPr>
              <w:t>(X)</w:t>
            </w:r>
          </w:p>
        </w:tc>
      </w:tr>
      <w:tr w:rsidR="00CB3DE1" w:rsidRPr="00CB3DE1" w14:paraId="66AB7E0B" w14:textId="77777777" w:rsidTr="00BA6C7C">
        <w:trPr>
          <w:trHeight w:val="360"/>
        </w:trPr>
        <w:tc>
          <w:tcPr>
            <w:tcW w:w="3755" w:type="pct"/>
            <w:gridSpan w:val="4"/>
            <w:vAlign w:val="bottom"/>
          </w:tcPr>
          <w:p w14:paraId="1F662C94" w14:textId="77777777" w:rsidR="00CB3DE1" w:rsidRPr="00CB3DE1" w:rsidRDefault="00CB3DE1" w:rsidP="00CB3DE1">
            <w:pPr>
              <w:spacing w:before="0"/>
              <w:jc w:val="left"/>
              <w:rPr>
                <w:rFonts w:ascii="Times New Roman" w:hAnsi="Times New Roman"/>
                <w:snapToGrid w:val="0"/>
                <w:szCs w:val="20"/>
              </w:rPr>
            </w:pPr>
            <w:r w:rsidRPr="00CB3DE1">
              <w:rPr>
                <w:rFonts w:ascii="Times New Roman" w:hAnsi="Times New Roman"/>
                <w:snapToGrid w:val="0"/>
                <w:szCs w:val="20"/>
              </w:rPr>
              <w:t>Outras despesas</w:t>
            </w:r>
          </w:p>
        </w:tc>
        <w:tc>
          <w:tcPr>
            <w:tcW w:w="634" w:type="pct"/>
            <w:vAlign w:val="bottom"/>
          </w:tcPr>
          <w:p w14:paraId="2DC8E88F" w14:textId="77777777" w:rsidR="00CB3DE1" w:rsidRPr="00CB3DE1" w:rsidRDefault="00CB3DE1" w:rsidP="00CB3DE1">
            <w:pPr>
              <w:spacing w:before="0"/>
              <w:jc w:val="right"/>
              <w:rPr>
                <w:rFonts w:ascii="Times New Roman" w:hAnsi="Times New Roman"/>
                <w:snapToGrid w:val="0"/>
                <w:szCs w:val="20"/>
              </w:rPr>
            </w:pPr>
            <w:r w:rsidRPr="00CB3DE1">
              <w:rPr>
                <w:rFonts w:ascii="Times New Roman" w:hAnsi="Times New Roman"/>
                <w:snapToGrid w:val="0"/>
                <w:szCs w:val="20"/>
              </w:rPr>
              <w:t>(X)</w:t>
            </w:r>
          </w:p>
        </w:tc>
        <w:tc>
          <w:tcPr>
            <w:tcW w:w="611" w:type="pct"/>
            <w:vAlign w:val="bottom"/>
          </w:tcPr>
          <w:p w14:paraId="0F8E71AC" w14:textId="77777777" w:rsidR="00CB3DE1" w:rsidRPr="00CB3DE1" w:rsidRDefault="00CB3DE1" w:rsidP="00CB3DE1">
            <w:pPr>
              <w:spacing w:before="0"/>
              <w:jc w:val="right"/>
              <w:rPr>
                <w:rFonts w:ascii="Times New Roman" w:hAnsi="Times New Roman"/>
                <w:snapToGrid w:val="0"/>
                <w:szCs w:val="20"/>
              </w:rPr>
            </w:pPr>
            <w:r w:rsidRPr="00CB3DE1">
              <w:rPr>
                <w:rFonts w:ascii="Times New Roman" w:hAnsi="Times New Roman"/>
                <w:snapToGrid w:val="0"/>
                <w:szCs w:val="20"/>
              </w:rPr>
              <w:t>(X)</w:t>
            </w:r>
          </w:p>
        </w:tc>
      </w:tr>
      <w:tr w:rsidR="00CB3DE1" w:rsidRPr="00CB3DE1" w14:paraId="4AA65A9F" w14:textId="77777777" w:rsidTr="00BA6C7C">
        <w:trPr>
          <w:trHeight w:val="360"/>
        </w:trPr>
        <w:tc>
          <w:tcPr>
            <w:tcW w:w="3755" w:type="pct"/>
            <w:gridSpan w:val="4"/>
            <w:vAlign w:val="bottom"/>
          </w:tcPr>
          <w:p w14:paraId="5C0F4C6D" w14:textId="77777777" w:rsidR="00CB3DE1" w:rsidRPr="00CB3DE1" w:rsidRDefault="00CB3DE1" w:rsidP="00CB3DE1">
            <w:pPr>
              <w:spacing w:before="0"/>
              <w:jc w:val="left"/>
              <w:rPr>
                <w:rFonts w:ascii="Times New Roman" w:hAnsi="Times New Roman"/>
                <w:snapToGrid w:val="0"/>
                <w:szCs w:val="20"/>
              </w:rPr>
            </w:pPr>
            <w:r w:rsidRPr="00CB3DE1">
              <w:rPr>
                <w:rFonts w:ascii="Times New Roman" w:hAnsi="Times New Roman"/>
                <w:snapToGrid w:val="0"/>
                <w:szCs w:val="20"/>
              </w:rPr>
              <w:t>Participação no lucro de coligadas</w:t>
            </w:r>
          </w:p>
        </w:tc>
        <w:tc>
          <w:tcPr>
            <w:tcW w:w="634" w:type="pct"/>
            <w:vAlign w:val="bottom"/>
          </w:tcPr>
          <w:p w14:paraId="51F3E908" w14:textId="77777777" w:rsidR="00CB3DE1" w:rsidRPr="00CB3DE1" w:rsidRDefault="00CB3DE1" w:rsidP="00CB3DE1">
            <w:pPr>
              <w:spacing w:before="0"/>
              <w:jc w:val="right"/>
              <w:rPr>
                <w:rFonts w:ascii="Times New Roman" w:hAnsi="Times New Roman"/>
                <w:snapToGrid w:val="0"/>
                <w:szCs w:val="20"/>
                <w:u w:val="single"/>
              </w:rPr>
            </w:pPr>
            <w:r w:rsidRPr="00CB3DE1">
              <w:rPr>
                <w:rFonts w:ascii="Times New Roman" w:hAnsi="Times New Roman"/>
                <w:snapToGrid w:val="0"/>
                <w:szCs w:val="20"/>
                <w:u w:val="single"/>
              </w:rPr>
              <w:t>X</w:t>
            </w:r>
          </w:p>
        </w:tc>
        <w:tc>
          <w:tcPr>
            <w:tcW w:w="611" w:type="pct"/>
            <w:vAlign w:val="bottom"/>
          </w:tcPr>
          <w:p w14:paraId="153FC647" w14:textId="77777777" w:rsidR="00CB3DE1" w:rsidRPr="00CB3DE1" w:rsidRDefault="00CB3DE1" w:rsidP="00CB3DE1">
            <w:pPr>
              <w:spacing w:before="0"/>
              <w:jc w:val="right"/>
              <w:rPr>
                <w:rFonts w:ascii="Times New Roman" w:hAnsi="Times New Roman"/>
                <w:snapToGrid w:val="0"/>
                <w:szCs w:val="20"/>
                <w:u w:val="single"/>
              </w:rPr>
            </w:pPr>
            <w:r w:rsidRPr="00CB3DE1">
              <w:rPr>
                <w:rFonts w:ascii="Times New Roman" w:hAnsi="Times New Roman"/>
                <w:snapToGrid w:val="0"/>
                <w:szCs w:val="20"/>
                <w:u w:val="single"/>
              </w:rPr>
              <w:t>X</w:t>
            </w:r>
          </w:p>
        </w:tc>
      </w:tr>
      <w:tr w:rsidR="00CB3DE1" w:rsidRPr="00CB3DE1" w14:paraId="1C272303" w14:textId="77777777" w:rsidTr="00BA6C7C">
        <w:trPr>
          <w:trHeight w:val="360"/>
        </w:trPr>
        <w:tc>
          <w:tcPr>
            <w:tcW w:w="3755" w:type="pct"/>
            <w:gridSpan w:val="4"/>
            <w:vAlign w:val="bottom"/>
          </w:tcPr>
          <w:p w14:paraId="6AEF74E1" w14:textId="77777777" w:rsidR="00CB3DE1" w:rsidRPr="00CB3DE1" w:rsidRDefault="00CB3DE1" w:rsidP="00CB3DE1">
            <w:pPr>
              <w:spacing w:before="0"/>
              <w:jc w:val="left"/>
              <w:rPr>
                <w:rFonts w:ascii="Times New Roman" w:hAnsi="Times New Roman"/>
                <w:snapToGrid w:val="0"/>
                <w:szCs w:val="20"/>
              </w:rPr>
            </w:pPr>
            <w:r w:rsidRPr="00CB3DE1">
              <w:rPr>
                <w:rFonts w:ascii="Times New Roman" w:hAnsi="Times New Roman"/>
                <w:snapToGrid w:val="0"/>
                <w:szCs w:val="20"/>
              </w:rPr>
              <w:t>Lucro antes das despesas financeiras</w:t>
            </w:r>
          </w:p>
        </w:tc>
        <w:tc>
          <w:tcPr>
            <w:tcW w:w="634" w:type="pct"/>
            <w:vAlign w:val="bottom"/>
          </w:tcPr>
          <w:p w14:paraId="7F63C3E3" w14:textId="77777777" w:rsidR="00CB3DE1" w:rsidRPr="00CB3DE1" w:rsidRDefault="00CB3DE1" w:rsidP="00CB3DE1">
            <w:pPr>
              <w:spacing w:before="0"/>
              <w:jc w:val="right"/>
              <w:rPr>
                <w:rFonts w:ascii="Times New Roman" w:hAnsi="Times New Roman"/>
                <w:snapToGrid w:val="0"/>
                <w:szCs w:val="20"/>
              </w:rPr>
            </w:pPr>
            <w:r w:rsidRPr="00CB3DE1">
              <w:rPr>
                <w:rFonts w:ascii="Times New Roman" w:hAnsi="Times New Roman"/>
                <w:snapToGrid w:val="0"/>
                <w:szCs w:val="20"/>
              </w:rPr>
              <w:t>X</w:t>
            </w:r>
          </w:p>
        </w:tc>
        <w:tc>
          <w:tcPr>
            <w:tcW w:w="611" w:type="pct"/>
            <w:vAlign w:val="bottom"/>
          </w:tcPr>
          <w:p w14:paraId="315EC7E3" w14:textId="77777777" w:rsidR="00CB3DE1" w:rsidRPr="00CB3DE1" w:rsidRDefault="00CB3DE1" w:rsidP="00CB3DE1">
            <w:pPr>
              <w:spacing w:before="0"/>
              <w:jc w:val="right"/>
              <w:rPr>
                <w:rFonts w:ascii="Times New Roman" w:hAnsi="Times New Roman"/>
                <w:snapToGrid w:val="0"/>
                <w:szCs w:val="20"/>
              </w:rPr>
            </w:pPr>
            <w:r w:rsidRPr="00CB3DE1">
              <w:rPr>
                <w:rFonts w:ascii="Times New Roman" w:hAnsi="Times New Roman"/>
                <w:snapToGrid w:val="0"/>
                <w:szCs w:val="20"/>
              </w:rPr>
              <w:t>X</w:t>
            </w:r>
          </w:p>
        </w:tc>
      </w:tr>
      <w:tr w:rsidR="00CB3DE1" w:rsidRPr="00CB3DE1" w14:paraId="51E4BE62" w14:textId="77777777" w:rsidTr="00BA6C7C">
        <w:trPr>
          <w:trHeight w:val="360"/>
        </w:trPr>
        <w:tc>
          <w:tcPr>
            <w:tcW w:w="3755" w:type="pct"/>
            <w:gridSpan w:val="4"/>
            <w:vAlign w:val="bottom"/>
          </w:tcPr>
          <w:p w14:paraId="2476F1E0" w14:textId="77777777" w:rsidR="00CB3DE1" w:rsidRPr="00CB3DE1" w:rsidRDefault="00CB3DE1" w:rsidP="00CB3DE1">
            <w:pPr>
              <w:spacing w:before="0"/>
              <w:jc w:val="left"/>
              <w:rPr>
                <w:rFonts w:ascii="Times New Roman" w:hAnsi="Times New Roman"/>
                <w:snapToGrid w:val="0"/>
                <w:szCs w:val="20"/>
              </w:rPr>
            </w:pPr>
            <w:r w:rsidRPr="00CB3DE1">
              <w:rPr>
                <w:rFonts w:ascii="Times New Roman" w:hAnsi="Times New Roman"/>
                <w:snapToGrid w:val="0"/>
                <w:szCs w:val="20"/>
              </w:rPr>
              <w:t>Despesas financeiras</w:t>
            </w:r>
          </w:p>
        </w:tc>
        <w:tc>
          <w:tcPr>
            <w:tcW w:w="634" w:type="pct"/>
            <w:vAlign w:val="bottom"/>
          </w:tcPr>
          <w:p w14:paraId="0229D24E" w14:textId="77777777" w:rsidR="00CB3DE1" w:rsidRPr="00CB3DE1" w:rsidRDefault="00CB3DE1" w:rsidP="00CB3DE1">
            <w:pPr>
              <w:spacing w:before="0"/>
              <w:jc w:val="right"/>
              <w:rPr>
                <w:rFonts w:ascii="Times New Roman" w:hAnsi="Times New Roman"/>
                <w:snapToGrid w:val="0"/>
                <w:szCs w:val="20"/>
                <w:u w:val="single"/>
              </w:rPr>
            </w:pPr>
            <w:r w:rsidRPr="00CB3DE1">
              <w:rPr>
                <w:rFonts w:ascii="Times New Roman" w:hAnsi="Times New Roman"/>
                <w:snapToGrid w:val="0"/>
                <w:szCs w:val="20"/>
                <w:u w:val="single"/>
              </w:rPr>
              <w:t>(X)</w:t>
            </w:r>
          </w:p>
        </w:tc>
        <w:tc>
          <w:tcPr>
            <w:tcW w:w="611" w:type="pct"/>
            <w:vAlign w:val="bottom"/>
          </w:tcPr>
          <w:p w14:paraId="1975A918" w14:textId="77777777" w:rsidR="00CB3DE1" w:rsidRPr="00CB3DE1" w:rsidRDefault="00CB3DE1" w:rsidP="00CB3DE1">
            <w:pPr>
              <w:spacing w:before="0"/>
              <w:jc w:val="right"/>
              <w:rPr>
                <w:rFonts w:ascii="Times New Roman" w:hAnsi="Times New Roman"/>
                <w:snapToGrid w:val="0"/>
                <w:szCs w:val="20"/>
                <w:u w:val="single"/>
              </w:rPr>
            </w:pPr>
            <w:r w:rsidRPr="00CB3DE1">
              <w:rPr>
                <w:rFonts w:ascii="Times New Roman" w:hAnsi="Times New Roman"/>
                <w:snapToGrid w:val="0"/>
                <w:szCs w:val="20"/>
                <w:u w:val="single"/>
              </w:rPr>
              <w:t>(X)</w:t>
            </w:r>
          </w:p>
        </w:tc>
      </w:tr>
      <w:tr w:rsidR="00CB3DE1" w:rsidRPr="00CB3DE1" w14:paraId="71AC55C8" w14:textId="77777777" w:rsidTr="00BA6C7C">
        <w:trPr>
          <w:trHeight w:val="360"/>
        </w:trPr>
        <w:tc>
          <w:tcPr>
            <w:tcW w:w="3755" w:type="pct"/>
            <w:gridSpan w:val="4"/>
            <w:vAlign w:val="bottom"/>
          </w:tcPr>
          <w:p w14:paraId="4F689D14" w14:textId="77777777" w:rsidR="00CB3DE1" w:rsidRPr="00CB3DE1" w:rsidRDefault="00CB3DE1" w:rsidP="00CB3DE1">
            <w:pPr>
              <w:spacing w:before="0"/>
              <w:jc w:val="left"/>
              <w:rPr>
                <w:rFonts w:ascii="Times New Roman" w:hAnsi="Times New Roman"/>
                <w:snapToGrid w:val="0"/>
                <w:szCs w:val="20"/>
              </w:rPr>
            </w:pPr>
            <w:r w:rsidRPr="00CB3DE1">
              <w:rPr>
                <w:rFonts w:ascii="Times New Roman" w:hAnsi="Times New Roman"/>
                <w:snapToGrid w:val="0"/>
                <w:szCs w:val="20"/>
              </w:rPr>
              <w:t>Lucro antes dos tributos</w:t>
            </w:r>
          </w:p>
        </w:tc>
        <w:tc>
          <w:tcPr>
            <w:tcW w:w="634" w:type="pct"/>
            <w:vAlign w:val="bottom"/>
          </w:tcPr>
          <w:p w14:paraId="7B5EDC2F" w14:textId="77777777" w:rsidR="00CB3DE1" w:rsidRPr="00CB3DE1" w:rsidRDefault="00CB3DE1" w:rsidP="00CB3DE1">
            <w:pPr>
              <w:spacing w:before="0"/>
              <w:jc w:val="right"/>
              <w:rPr>
                <w:rFonts w:ascii="Times New Roman" w:hAnsi="Times New Roman"/>
                <w:snapToGrid w:val="0"/>
                <w:szCs w:val="20"/>
              </w:rPr>
            </w:pPr>
            <w:r w:rsidRPr="00CB3DE1">
              <w:rPr>
                <w:rFonts w:ascii="Times New Roman" w:hAnsi="Times New Roman"/>
                <w:snapToGrid w:val="0"/>
                <w:szCs w:val="20"/>
              </w:rPr>
              <w:t>X</w:t>
            </w:r>
          </w:p>
        </w:tc>
        <w:tc>
          <w:tcPr>
            <w:tcW w:w="611" w:type="pct"/>
            <w:vAlign w:val="bottom"/>
          </w:tcPr>
          <w:p w14:paraId="0131E1B4" w14:textId="77777777" w:rsidR="00CB3DE1" w:rsidRPr="00CB3DE1" w:rsidRDefault="00CB3DE1" w:rsidP="00CB3DE1">
            <w:pPr>
              <w:spacing w:before="0"/>
              <w:jc w:val="right"/>
              <w:rPr>
                <w:rFonts w:ascii="Times New Roman" w:hAnsi="Times New Roman"/>
                <w:snapToGrid w:val="0"/>
                <w:szCs w:val="20"/>
              </w:rPr>
            </w:pPr>
            <w:r w:rsidRPr="00CB3DE1">
              <w:rPr>
                <w:rFonts w:ascii="Times New Roman" w:hAnsi="Times New Roman"/>
                <w:snapToGrid w:val="0"/>
                <w:szCs w:val="20"/>
              </w:rPr>
              <w:t>X</w:t>
            </w:r>
          </w:p>
        </w:tc>
      </w:tr>
      <w:tr w:rsidR="00CB3DE1" w:rsidRPr="00CB3DE1" w14:paraId="2D6C2B15" w14:textId="77777777" w:rsidTr="00BA6C7C">
        <w:trPr>
          <w:trHeight w:val="360"/>
        </w:trPr>
        <w:tc>
          <w:tcPr>
            <w:tcW w:w="3755" w:type="pct"/>
            <w:gridSpan w:val="4"/>
            <w:vAlign w:val="bottom"/>
          </w:tcPr>
          <w:p w14:paraId="7B63DDFA" w14:textId="77777777" w:rsidR="00CB3DE1" w:rsidRPr="00CB3DE1" w:rsidRDefault="00CB3DE1" w:rsidP="00CB3DE1">
            <w:pPr>
              <w:spacing w:before="0"/>
              <w:jc w:val="left"/>
              <w:rPr>
                <w:rFonts w:ascii="Times New Roman" w:hAnsi="Times New Roman"/>
                <w:snapToGrid w:val="0"/>
                <w:szCs w:val="20"/>
              </w:rPr>
            </w:pPr>
            <w:r w:rsidRPr="00CB3DE1">
              <w:rPr>
                <w:rFonts w:ascii="Times New Roman" w:hAnsi="Times New Roman"/>
                <w:snapToGrid w:val="0"/>
                <w:szCs w:val="20"/>
              </w:rPr>
              <w:t>Despesa de imposto de renda e contribuição social</w:t>
            </w:r>
          </w:p>
        </w:tc>
        <w:tc>
          <w:tcPr>
            <w:tcW w:w="634" w:type="pct"/>
            <w:vAlign w:val="bottom"/>
          </w:tcPr>
          <w:p w14:paraId="4147C305" w14:textId="77777777" w:rsidR="00CB3DE1" w:rsidRPr="00CB3DE1" w:rsidRDefault="00CB3DE1" w:rsidP="00CB3DE1">
            <w:pPr>
              <w:spacing w:before="0"/>
              <w:jc w:val="right"/>
              <w:rPr>
                <w:rFonts w:ascii="Times New Roman" w:hAnsi="Times New Roman"/>
                <w:snapToGrid w:val="0"/>
                <w:szCs w:val="20"/>
                <w:u w:val="single"/>
              </w:rPr>
            </w:pPr>
            <w:r w:rsidRPr="00CB3DE1">
              <w:rPr>
                <w:rFonts w:ascii="Times New Roman" w:hAnsi="Times New Roman"/>
                <w:snapToGrid w:val="0"/>
                <w:szCs w:val="20"/>
                <w:u w:val="single"/>
              </w:rPr>
              <w:t>(X)</w:t>
            </w:r>
          </w:p>
        </w:tc>
        <w:tc>
          <w:tcPr>
            <w:tcW w:w="611" w:type="pct"/>
            <w:vAlign w:val="bottom"/>
          </w:tcPr>
          <w:p w14:paraId="791172C0" w14:textId="77777777" w:rsidR="00CB3DE1" w:rsidRPr="00CB3DE1" w:rsidRDefault="00CB3DE1" w:rsidP="00CB3DE1">
            <w:pPr>
              <w:spacing w:before="0"/>
              <w:jc w:val="right"/>
              <w:rPr>
                <w:rFonts w:ascii="Times New Roman" w:hAnsi="Times New Roman"/>
                <w:snapToGrid w:val="0"/>
                <w:szCs w:val="20"/>
                <w:u w:val="single"/>
              </w:rPr>
            </w:pPr>
            <w:r w:rsidRPr="00CB3DE1">
              <w:rPr>
                <w:rFonts w:ascii="Times New Roman" w:hAnsi="Times New Roman"/>
                <w:snapToGrid w:val="0"/>
                <w:szCs w:val="20"/>
                <w:u w:val="single"/>
              </w:rPr>
              <w:t>(X)</w:t>
            </w:r>
          </w:p>
        </w:tc>
      </w:tr>
      <w:tr w:rsidR="00CB3DE1" w:rsidRPr="00CB3DE1" w14:paraId="6D349252" w14:textId="77777777" w:rsidTr="00BA6C7C">
        <w:trPr>
          <w:trHeight w:val="360"/>
        </w:trPr>
        <w:tc>
          <w:tcPr>
            <w:tcW w:w="3755" w:type="pct"/>
            <w:gridSpan w:val="4"/>
            <w:vAlign w:val="bottom"/>
          </w:tcPr>
          <w:p w14:paraId="29BD9DDF" w14:textId="77777777" w:rsidR="00CB3DE1" w:rsidRPr="00CB3DE1" w:rsidRDefault="00CB3DE1" w:rsidP="00CB3DE1">
            <w:pPr>
              <w:spacing w:before="0"/>
              <w:jc w:val="left"/>
              <w:rPr>
                <w:rFonts w:ascii="Times New Roman" w:hAnsi="Times New Roman"/>
                <w:snapToGrid w:val="0"/>
                <w:szCs w:val="20"/>
              </w:rPr>
            </w:pPr>
            <w:r w:rsidRPr="00CB3DE1">
              <w:rPr>
                <w:rFonts w:ascii="Times New Roman" w:hAnsi="Times New Roman"/>
                <w:snapToGrid w:val="0"/>
                <w:szCs w:val="20"/>
              </w:rPr>
              <w:t>Lucro do período proveniente de operações em continuidade</w:t>
            </w:r>
          </w:p>
        </w:tc>
        <w:tc>
          <w:tcPr>
            <w:tcW w:w="634" w:type="pct"/>
            <w:vAlign w:val="bottom"/>
          </w:tcPr>
          <w:p w14:paraId="6A5E344C" w14:textId="77777777" w:rsidR="00CB3DE1" w:rsidRPr="00CB3DE1" w:rsidRDefault="00CB3DE1" w:rsidP="00CB3DE1">
            <w:pPr>
              <w:spacing w:before="0"/>
              <w:jc w:val="right"/>
              <w:rPr>
                <w:rFonts w:ascii="Times New Roman" w:hAnsi="Times New Roman"/>
                <w:snapToGrid w:val="0"/>
                <w:szCs w:val="20"/>
              </w:rPr>
            </w:pPr>
            <w:r w:rsidRPr="00CB3DE1">
              <w:rPr>
                <w:rFonts w:ascii="Times New Roman" w:hAnsi="Times New Roman"/>
                <w:snapToGrid w:val="0"/>
                <w:szCs w:val="20"/>
              </w:rPr>
              <w:t>X</w:t>
            </w:r>
          </w:p>
        </w:tc>
        <w:tc>
          <w:tcPr>
            <w:tcW w:w="611" w:type="pct"/>
            <w:vAlign w:val="bottom"/>
          </w:tcPr>
          <w:p w14:paraId="3B0941F8" w14:textId="77777777" w:rsidR="00CB3DE1" w:rsidRPr="00CB3DE1" w:rsidRDefault="00CB3DE1" w:rsidP="00CB3DE1">
            <w:pPr>
              <w:spacing w:before="0"/>
              <w:jc w:val="right"/>
              <w:rPr>
                <w:rFonts w:ascii="Times New Roman" w:hAnsi="Times New Roman"/>
                <w:snapToGrid w:val="0"/>
                <w:szCs w:val="20"/>
              </w:rPr>
            </w:pPr>
            <w:r w:rsidRPr="00CB3DE1">
              <w:rPr>
                <w:rFonts w:ascii="Times New Roman" w:hAnsi="Times New Roman"/>
                <w:snapToGrid w:val="0"/>
                <w:szCs w:val="20"/>
              </w:rPr>
              <w:t>X</w:t>
            </w:r>
          </w:p>
        </w:tc>
      </w:tr>
      <w:tr w:rsidR="00CB3DE1" w:rsidRPr="00CB3DE1" w14:paraId="542E37C1" w14:textId="77777777" w:rsidTr="00BA6C7C">
        <w:trPr>
          <w:trHeight w:val="360"/>
        </w:trPr>
        <w:tc>
          <w:tcPr>
            <w:tcW w:w="3755" w:type="pct"/>
            <w:gridSpan w:val="4"/>
            <w:vAlign w:val="bottom"/>
          </w:tcPr>
          <w:p w14:paraId="14DE3BB8" w14:textId="77777777" w:rsidR="00CB3DE1" w:rsidRPr="00CB3DE1" w:rsidRDefault="00CB3DE1" w:rsidP="00CB3DE1">
            <w:pPr>
              <w:spacing w:before="0"/>
              <w:jc w:val="left"/>
              <w:rPr>
                <w:rFonts w:ascii="Times New Roman" w:hAnsi="Times New Roman"/>
                <w:b/>
                <w:bCs/>
                <w:snapToGrid w:val="0"/>
                <w:szCs w:val="20"/>
              </w:rPr>
            </w:pPr>
            <w:r w:rsidRPr="00CB3DE1">
              <w:rPr>
                <w:rFonts w:ascii="Times New Roman" w:hAnsi="Times New Roman"/>
                <w:b/>
                <w:bCs/>
                <w:snapToGrid w:val="0"/>
                <w:szCs w:val="20"/>
              </w:rPr>
              <w:t>Operações descontinuadas</w:t>
            </w:r>
          </w:p>
        </w:tc>
        <w:tc>
          <w:tcPr>
            <w:tcW w:w="634" w:type="pct"/>
            <w:vAlign w:val="bottom"/>
          </w:tcPr>
          <w:p w14:paraId="2CA5B2EC" w14:textId="77777777" w:rsidR="00CB3DE1" w:rsidRPr="00CB3DE1" w:rsidRDefault="00CB3DE1" w:rsidP="00CB3DE1">
            <w:pPr>
              <w:spacing w:before="0"/>
              <w:jc w:val="right"/>
              <w:rPr>
                <w:rFonts w:ascii="Times New Roman" w:hAnsi="Times New Roman"/>
                <w:snapToGrid w:val="0"/>
                <w:szCs w:val="20"/>
              </w:rPr>
            </w:pPr>
          </w:p>
        </w:tc>
        <w:tc>
          <w:tcPr>
            <w:tcW w:w="611" w:type="pct"/>
            <w:vAlign w:val="bottom"/>
          </w:tcPr>
          <w:p w14:paraId="6BCDE099" w14:textId="77777777" w:rsidR="00CB3DE1" w:rsidRPr="00CB3DE1" w:rsidRDefault="00CB3DE1" w:rsidP="00CB3DE1">
            <w:pPr>
              <w:spacing w:before="0"/>
              <w:jc w:val="right"/>
              <w:rPr>
                <w:rFonts w:ascii="Times New Roman" w:hAnsi="Times New Roman"/>
                <w:snapToGrid w:val="0"/>
                <w:szCs w:val="20"/>
              </w:rPr>
            </w:pPr>
          </w:p>
        </w:tc>
      </w:tr>
      <w:tr w:rsidR="00CB3DE1" w:rsidRPr="00CB3DE1" w14:paraId="57A2A896" w14:textId="77777777" w:rsidTr="00BA6C7C">
        <w:trPr>
          <w:trHeight w:val="360"/>
        </w:trPr>
        <w:tc>
          <w:tcPr>
            <w:tcW w:w="3755" w:type="pct"/>
            <w:gridSpan w:val="4"/>
            <w:vAlign w:val="bottom"/>
          </w:tcPr>
          <w:p w14:paraId="0C1DCFCB" w14:textId="77777777" w:rsidR="00CB3DE1" w:rsidRPr="00CB3DE1" w:rsidRDefault="00CB3DE1" w:rsidP="00CB3DE1">
            <w:pPr>
              <w:spacing w:before="0"/>
              <w:jc w:val="left"/>
              <w:rPr>
                <w:rFonts w:ascii="Times New Roman" w:hAnsi="Times New Roman"/>
                <w:snapToGrid w:val="0"/>
                <w:szCs w:val="20"/>
              </w:rPr>
            </w:pPr>
            <w:r w:rsidRPr="00CB3DE1">
              <w:rPr>
                <w:rFonts w:ascii="Times New Roman" w:hAnsi="Times New Roman"/>
                <w:snapToGrid w:val="0"/>
                <w:szCs w:val="20"/>
              </w:rPr>
              <w:t xml:space="preserve">Lucro do período proveniente de operações descontinuadas </w:t>
            </w:r>
            <w:r w:rsidRPr="00CB3DE1">
              <w:rPr>
                <w:rFonts w:ascii="Times New Roman" w:hAnsi="Times New Roman"/>
                <w:b/>
                <w:snapToGrid w:val="0"/>
                <w:szCs w:val="20"/>
                <w:vertAlign w:val="superscript"/>
              </w:rPr>
              <w:t>(a)</w:t>
            </w:r>
          </w:p>
        </w:tc>
        <w:tc>
          <w:tcPr>
            <w:tcW w:w="634" w:type="pct"/>
            <w:vAlign w:val="bottom"/>
          </w:tcPr>
          <w:p w14:paraId="6EB948B4" w14:textId="77777777" w:rsidR="00CB3DE1" w:rsidRPr="00CB3DE1" w:rsidRDefault="00CB3DE1" w:rsidP="00CB3DE1">
            <w:pPr>
              <w:spacing w:before="0"/>
              <w:jc w:val="right"/>
              <w:rPr>
                <w:rFonts w:ascii="Times New Roman" w:hAnsi="Times New Roman"/>
                <w:snapToGrid w:val="0"/>
                <w:szCs w:val="20"/>
                <w:u w:val="single"/>
              </w:rPr>
            </w:pPr>
            <w:r w:rsidRPr="00CB3DE1">
              <w:rPr>
                <w:rFonts w:ascii="Times New Roman" w:hAnsi="Times New Roman"/>
                <w:snapToGrid w:val="0"/>
                <w:szCs w:val="20"/>
                <w:u w:val="single"/>
              </w:rPr>
              <w:t>X</w:t>
            </w:r>
          </w:p>
        </w:tc>
        <w:tc>
          <w:tcPr>
            <w:tcW w:w="611" w:type="pct"/>
            <w:vAlign w:val="bottom"/>
          </w:tcPr>
          <w:p w14:paraId="552716CD" w14:textId="77777777" w:rsidR="00CB3DE1" w:rsidRPr="00CB3DE1" w:rsidRDefault="00CB3DE1" w:rsidP="00CB3DE1">
            <w:pPr>
              <w:spacing w:before="0"/>
              <w:jc w:val="right"/>
              <w:rPr>
                <w:rFonts w:ascii="Times New Roman" w:hAnsi="Times New Roman"/>
                <w:snapToGrid w:val="0"/>
                <w:szCs w:val="20"/>
                <w:u w:val="single"/>
              </w:rPr>
            </w:pPr>
            <w:r w:rsidRPr="00CB3DE1">
              <w:rPr>
                <w:rFonts w:ascii="Times New Roman" w:hAnsi="Times New Roman"/>
                <w:snapToGrid w:val="0"/>
                <w:szCs w:val="20"/>
                <w:u w:val="single"/>
              </w:rPr>
              <w:t>X</w:t>
            </w:r>
          </w:p>
        </w:tc>
      </w:tr>
      <w:tr w:rsidR="00CB3DE1" w:rsidRPr="00CB3DE1" w14:paraId="29ACE391" w14:textId="77777777" w:rsidTr="00BA6C7C">
        <w:trPr>
          <w:trHeight w:val="360"/>
        </w:trPr>
        <w:tc>
          <w:tcPr>
            <w:tcW w:w="3755" w:type="pct"/>
            <w:gridSpan w:val="4"/>
            <w:vAlign w:val="bottom"/>
          </w:tcPr>
          <w:p w14:paraId="162A74D6" w14:textId="77777777" w:rsidR="00CB3DE1" w:rsidRPr="00CB3DE1" w:rsidRDefault="00CB3DE1" w:rsidP="00CB3DE1">
            <w:pPr>
              <w:spacing w:before="0"/>
              <w:jc w:val="left"/>
              <w:rPr>
                <w:rFonts w:ascii="Times New Roman" w:hAnsi="Times New Roman"/>
                <w:snapToGrid w:val="0"/>
                <w:szCs w:val="20"/>
              </w:rPr>
            </w:pPr>
            <w:r w:rsidRPr="00CB3DE1">
              <w:rPr>
                <w:rFonts w:ascii="Times New Roman" w:hAnsi="Times New Roman"/>
                <w:snapToGrid w:val="0"/>
                <w:szCs w:val="20"/>
              </w:rPr>
              <w:t>Lucro líquido do período</w:t>
            </w:r>
          </w:p>
        </w:tc>
        <w:tc>
          <w:tcPr>
            <w:tcW w:w="634" w:type="pct"/>
            <w:vAlign w:val="bottom"/>
          </w:tcPr>
          <w:p w14:paraId="75D0F042" w14:textId="77777777" w:rsidR="00CB3DE1" w:rsidRPr="00CB3DE1" w:rsidRDefault="00CB3DE1" w:rsidP="00CB3DE1">
            <w:pPr>
              <w:spacing w:before="0"/>
              <w:jc w:val="right"/>
              <w:rPr>
                <w:rFonts w:ascii="Times New Roman" w:hAnsi="Times New Roman"/>
                <w:b/>
                <w:snapToGrid w:val="0"/>
                <w:szCs w:val="20"/>
                <w:u w:val="double"/>
              </w:rPr>
            </w:pPr>
            <w:r w:rsidRPr="00CB3DE1">
              <w:rPr>
                <w:rFonts w:ascii="Times New Roman" w:hAnsi="Times New Roman"/>
                <w:b/>
                <w:snapToGrid w:val="0"/>
                <w:szCs w:val="20"/>
                <w:u w:val="double"/>
              </w:rPr>
              <w:t>X</w:t>
            </w:r>
          </w:p>
        </w:tc>
        <w:tc>
          <w:tcPr>
            <w:tcW w:w="611" w:type="pct"/>
            <w:vAlign w:val="bottom"/>
          </w:tcPr>
          <w:p w14:paraId="6B9E0EDB" w14:textId="77777777" w:rsidR="00CB3DE1" w:rsidRPr="00CB3DE1" w:rsidRDefault="00CB3DE1" w:rsidP="00CB3DE1">
            <w:pPr>
              <w:spacing w:before="0"/>
              <w:jc w:val="right"/>
              <w:rPr>
                <w:rFonts w:ascii="Times New Roman" w:hAnsi="Times New Roman"/>
                <w:b/>
                <w:snapToGrid w:val="0"/>
                <w:szCs w:val="20"/>
                <w:u w:val="double"/>
              </w:rPr>
            </w:pPr>
            <w:r w:rsidRPr="00CB3DE1">
              <w:rPr>
                <w:rFonts w:ascii="Times New Roman" w:hAnsi="Times New Roman"/>
                <w:b/>
                <w:snapToGrid w:val="0"/>
                <w:szCs w:val="20"/>
                <w:u w:val="double"/>
              </w:rPr>
              <w:t>X</w:t>
            </w:r>
          </w:p>
        </w:tc>
      </w:tr>
      <w:tr w:rsidR="00CB3DE1" w:rsidRPr="00CB3DE1" w14:paraId="266DED24" w14:textId="77777777" w:rsidTr="00BA6C7C">
        <w:trPr>
          <w:trHeight w:val="360"/>
        </w:trPr>
        <w:tc>
          <w:tcPr>
            <w:tcW w:w="785" w:type="pct"/>
            <w:gridSpan w:val="3"/>
            <w:vAlign w:val="bottom"/>
          </w:tcPr>
          <w:p w14:paraId="68A2FCD4" w14:textId="77777777" w:rsidR="00CB3DE1" w:rsidRPr="00CB3DE1" w:rsidRDefault="00CB3DE1" w:rsidP="00CB3DE1">
            <w:pPr>
              <w:spacing w:before="0"/>
              <w:jc w:val="left"/>
              <w:rPr>
                <w:rFonts w:ascii="Times New Roman" w:hAnsi="Times New Roman"/>
                <w:snapToGrid w:val="0"/>
                <w:szCs w:val="20"/>
              </w:rPr>
            </w:pPr>
            <w:r w:rsidRPr="00CB3DE1">
              <w:rPr>
                <w:rFonts w:ascii="Times New Roman" w:hAnsi="Times New Roman"/>
                <w:snapToGrid w:val="0"/>
                <w:szCs w:val="20"/>
              </w:rPr>
              <w:t>Atribuível a:</w:t>
            </w:r>
          </w:p>
        </w:tc>
        <w:tc>
          <w:tcPr>
            <w:tcW w:w="2970" w:type="pct"/>
            <w:vAlign w:val="bottom"/>
          </w:tcPr>
          <w:p w14:paraId="4FCA31F9" w14:textId="77777777" w:rsidR="00CB3DE1" w:rsidRPr="00CB3DE1" w:rsidRDefault="00CB3DE1" w:rsidP="00CB3DE1">
            <w:pPr>
              <w:spacing w:before="0"/>
              <w:jc w:val="left"/>
              <w:rPr>
                <w:rFonts w:ascii="Times New Roman" w:hAnsi="Times New Roman"/>
                <w:snapToGrid w:val="0"/>
                <w:szCs w:val="20"/>
              </w:rPr>
            </w:pPr>
          </w:p>
        </w:tc>
        <w:tc>
          <w:tcPr>
            <w:tcW w:w="634" w:type="pct"/>
            <w:vAlign w:val="bottom"/>
          </w:tcPr>
          <w:p w14:paraId="1AEBF8F2" w14:textId="77777777" w:rsidR="00CB3DE1" w:rsidRPr="00CB3DE1" w:rsidRDefault="00CB3DE1" w:rsidP="00CB3DE1">
            <w:pPr>
              <w:spacing w:before="0"/>
              <w:jc w:val="right"/>
              <w:rPr>
                <w:rFonts w:ascii="Times New Roman" w:hAnsi="Times New Roman"/>
                <w:snapToGrid w:val="0"/>
                <w:szCs w:val="20"/>
              </w:rPr>
            </w:pPr>
          </w:p>
        </w:tc>
        <w:tc>
          <w:tcPr>
            <w:tcW w:w="611" w:type="pct"/>
            <w:vAlign w:val="bottom"/>
          </w:tcPr>
          <w:p w14:paraId="69BA2D6F" w14:textId="77777777" w:rsidR="00CB3DE1" w:rsidRPr="00CB3DE1" w:rsidRDefault="00CB3DE1" w:rsidP="00CB3DE1">
            <w:pPr>
              <w:spacing w:before="0"/>
              <w:jc w:val="right"/>
              <w:rPr>
                <w:rFonts w:ascii="Times New Roman" w:hAnsi="Times New Roman"/>
                <w:snapToGrid w:val="0"/>
                <w:szCs w:val="20"/>
              </w:rPr>
            </w:pPr>
          </w:p>
        </w:tc>
      </w:tr>
      <w:tr w:rsidR="00CB3DE1" w:rsidRPr="00CB3DE1" w14:paraId="24107211" w14:textId="77777777" w:rsidTr="00BA6C7C">
        <w:trPr>
          <w:trHeight w:val="360"/>
        </w:trPr>
        <w:tc>
          <w:tcPr>
            <w:tcW w:w="3755" w:type="pct"/>
            <w:gridSpan w:val="4"/>
            <w:vAlign w:val="bottom"/>
          </w:tcPr>
          <w:p w14:paraId="622F548B" w14:textId="77777777" w:rsidR="00CB3DE1" w:rsidRPr="00CB3DE1" w:rsidRDefault="00CB3DE1" w:rsidP="00CB3DE1">
            <w:pPr>
              <w:spacing w:before="0"/>
              <w:jc w:val="left"/>
              <w:rPr>
                <w:rFonts w:ascii="Times New Roman" w:hAnsi="Times New Roman"/>
                <w:snapToGrid w:val="0"/>
                <w:szCs w:val="20"/>
              </w:rPr>
            </w:pPr>
            <w:r w:rsidRPr="00CB3DE1">
              <w:rPr>
                <w:snapToGrid w:val="0"/>
                <w:szCs w:val="20"/>
              </w:rPr>
              <w:t> </w:t>
            </w:r>
            <w:r w:rsidRPr="00CB3DE1">
              <w:rPr>
                <w:rFonts w:ascii="Times New Roman" w:hAnsi="Times New Roman"/>
                <w:snapToGrid w:val="0"/>
                <w:szCs w:val="20"/>
              </w:rPr>
              <w:t>Proprietários da controladora</w:t>
            </w:r>
          </w:p>
        </w:tc>
        <w:tc>
          <w:tcPr>
            <w:tcW w:w="634" w:type="pct"/>
            <w:vAlign w:val="bottom"/>
          </w:tcPr>
          <w:p w14:paraId="4CCB49DD" w14:textId="77777777" w:rsidR="00CB3DE1" w:rsidRPr="00CB3DE1" w:rsidRDefault="00CB3DE1" w:rsidP="00CB3DE1">
            <w:pPr>
              <w:spacing w:before="0"/>
              <w:jc w:val="right"/>
              <w:rPr>
                <w:rFonts w:ascii="Times New Roman" w:hAnsi="Times New Roman"/>
                <w:snapToGrid w:val="0"/>
                <w:szCs w:val="20"/>
              </w:rPr>
            </w:pPr>
          </w:p>
        </w:tc>
        <w:tc>
          <w:tcPr>
            <w:tcW w:w="611" w:type="pct"/>
            <w:vAlign w:val="bottom"/>
          </w:tcPr>
          <w:p w14:paraId="2DDD764F" w14:textId="77777777" w:rsidR="00CB3DE1" w:rsidRPr="00CB3DE1" w:rsidRDefault="00CB3DE1" w:rsidP="00CB3DE1">
            <w:pPr>
              <w:spacing w:before="0"/>
              <w:jc w:val="right"/>
              <w:rPr>
                <w:rFonts w:ascii="Times New Roman" w:hAnsi="Times New Roman"/>
                <w:snapToGrid w:val="0"/>
                <w:szCs w:val="20"/>
              </w:rPr>
            </w:pPr>
            <w:r w:rsidRPr="00CB3DE1">
              <w:rPr>
                <w:rFonts w:ascii="Times New Roman" w:eastAsia="MS Mincho"/>
                <w:snapToGrid w:val="0"/>
                <w:szCs w:val="20"/>
              </w:rPr>
              <w:t> </w:t>
            </w:r>
          </w:p>
        </w:tc>
      </w:tr>
      <w:tr w:rsidR="00CB3DE1" w:rsidRPr="00CB3DE1" w14:paraId="5D5DF250" w14:textId="77777777" w:rsidTr="00BA6C7C">
        <w:trPr>
          <w:trHeight w:val="360"/>
        </w:trPr>
        <w:tc>
          <w:tcPr>
            <w:tcW w:w="622" w:type="pct"/>
            <w:vAlign w:val="bottom"/>
          </w:tcPr>
          <w:p w14:paraId="25F4C6F3" w14:textId="77777777" w:rsidR="00CB3DE1" w:rsidRPr="00CB3DE1" w:rsidRDefault="00CB3DE1" w:rsidP="00CB3DE1">
            <w:pPr>
              <w:spacing w:before="0"/>
              <w:jc w:val="left"/>
              <w:rPr>
                <w:rFonts w:ascii="Times New Roman" w:hAnsi="Times New Roman"/>
                <w:snapToGrid w:val="0"/>
                <w:szCs w:val="20"/>
              </w:rPr>
            </w:pPr>
          </w:p>
        </w:tc>
        <w:tc>
          <w:tcPr>
            <w:tcW w:w="3133" w:type="pct"/>
            <w:gridSpan w:val="3"/>
            <w:vAlign w:val="bottom"/>
          </w:tcPr>
          <w:p w14:paraId="3A812AC6" w14:textId="77777777" w:rsidR="00CB3DE1" w:rsidRPr="00CB3DE1" w:rsidRDefault="00CB3DE1" w:rsidP="00CB3DE1">
            <w:pPr>
              <w:spacing w:before="0"/>
              <w:jc w:val="left"/>
              <w:rPr>
                <w:rFonts w:ascii="Times New Roman" w:hAnsi="Times New Roman"/>
                <w:snapToGrid w:val="0"/>
                <w:szCs w:val="20"/>
              </w:rPr>
            </w:pPr>
            <w:r w:rsidRPr="00CB3DE1">
              <w:rPr>
                <w:rFonts w:ascii="Times New Roman" w:hAnsi="Times New Roman"/>
                <w:snapToGrid w:val="0"/>
                <w:szCs w:val="20"/>
              </w:rPr>
              <w:t>Lucro do período proveniente de operações em continuidade</w:t>
            </w:r>
          </w:p>
        </w:tc>
        <w:tc>
          <w:tcPr>
            <w:tcW w:w="634" w:type="pct"/>
            <w:vAlign w:val="bottom"/>
          </w:tcPr>
          <w:p w14:paraId="0852C73F" w14:textId="77777777" w:rsidR="00CB3DE1" w:rsidRPr="00CB3DE1" w:rsidRDefault="00CB3DE1" w:rsidP="00CB3DE1">
            <w:pPr>
              <w:spacing w:before="0"/>
              <w:jc w:val="right"/>
              <w:rPr>
                <w:rFonts w:ascii="Times New Roman" w:hAnsi="Times New Roman"/>
                <w:snapToGrid w:val="0"/>
                <w:szCs w:val="20"/>
              </w:rPr>
            </w:pPr>
            <w:r w:rsidRPr="00CB3DE1">
              <w:rPr>
                <w:rFonts w:ascii="Times New Roman" w:hAnsi="Times New Roman"/>
                <w:snapToGrid w:val="0"/>
                <w:szCs w:val="20"/>
              </w:rPr>
              <w:t>X</w:t>
            </w:r>
          </w:p>
        </w:tc>
        <w:tc>
          <w:tcPr>
            <w:tcW w:w="611" w:type="pct"/>
            <w:vAlign w:val="bottom"/>
          </w:tcPr>
          <w:p w14:paraId="6AB28324" w14:textId="77777777" w:rsidR="00CB3DE1" w:rsidRPr="00CB3DE1" w:rsidRDefault="00CB3DE1" w:rsidP="00CB3DE1">
            <w:pPr>
              <w:spacing w:before="0"/>
              <w:jc w:val="right"/>
              <w:rPr>
                <w:rFonts w:ascii="Times New Roman" w:hAnsi="Times New Roman"/>
                <w:snapToGrid w:val="0"/>
                <w:szCs w:val="20"/>
              </w:rPr>
            </w:pPr>
            <w:r w:rsidRPr="00CB3DE1">
              <w:rPr>
                <w:rFonts w:ascii="Times New Roman" w:hAnsi="Times New Roman"/>
                <w:snapToGrid w:val="0"/>
                <w:szCs w:val="20"/>
              </w:rPr>
              <w:t>X</w:t>
            </w:r>
          </w:p>
        </w:tc>
      </w:tr>
      <w:tr w:rsidR="00CB3DE1" w:rsidRPr="00CB3DE1" w14:paraId="7672A11A" w14:textId="77777777" w:rsidTr="00BA6C7C">
        <w:trPr>
          <w:trHeight w:val="360"/>
        </w:trPr>
        <w:tc>
          <w:tcPr>
            <w:tcW w:w="622" w:type="pct"/>
            <w:vAlign w:val="bottom"/>
          </w:tcPr>
          <w:p w14:paraId="7825D906" w14:textId="77777777" w:rsidR="00CB3DE1" w:rsidRPr="00CB3DE1" w:rsidRDefault="00CB3DE1" w:rsidP="00CB3DE1">
            <w:pPr>
              <w:spacing w:before="0"/>
              <w:jc w:val="left"/>
              <w:rPr>
                <w:rFonts w:ascii="Times New Roman" w:hAnsi="Times New Roman"/>
                <w:snapToGrid w:val="0"/>
                <w:szCs w:val="20"/>
              </w:rPr>
            </w:pPr>
          </w:p>
        </w:tc>
        <w:tc>
          <w:tcPr>
            <w:tcW w:w="3133" w:type="pct"/>
            <w:gridSpan w:val="3"/>
            <w:vAlign w:val="bottom"/>
          </w:tcPr>
          <w:p w14:paraId="5F03C5F2" w14:textId="77777777" w:rsidR="00CB3DE1" w:rsidRPr="00CB3DE1" w:rsidRDefault="00CB3DE1" w:rsidP="00CB3DE1">
            <w:pPr>
              <w:spacing w:before="0"/>
              <w:jc w:val="left"/>
              <w:rPr>
                <w:rFonts w:ascii="Times New Roman" w:hAnsi="Times New Roman"/>
                <w:snapToGrid w:val="0"/>
                <w:szCs w:val="20"/>
              </w:rPr>
            </w:pPr>
            <w:r w:rsidRPr="00CB3DE1">
              <w:rPr>
                <w:rFonts w:ascii="Times New Roman" w:hAnsi="Times New Roman"/>
                <w:snapToGrid w:val="0"/>
                <w:szCs w:val="20"/>
              </w:rPr>
              <w:t>Lucro do período proveniente de operações descontinuadas</w:t>
            </w:r>
          </w:p>
        </w:tc>
        <w:tc>
          <w:tcPr>
            <w:tcW w:w="634" w:type="pct"/>
            <w:vAlign w:val="bottom"/>
          </w:tcPr>
          <w:p w14:paraId="2ECDBE0A" w14:textId="77777777" w:rsidR="00CB3DE1" w:rsidRPr="00CB3DE1" w:rsidRDefault="00CB3DE1" w:rsidP="00CB3DE1">
            <w:pPr>
              <w:spacing w:before="0"/>
              <w:jc w:val="right"/>
              <w:rPr>
                <w:rFonts w:ascii="Times New Roman" w:hAnsi="Times New Roman"/>
                <w:snapToGrid w:val="0"/>
                <w:szCs w:val="20"/>
                <w:u w:val="single"/>
              </w:rPr>
            </w:pPr>
            <w:r w:rsidRPr="00CB3DE1">
              <w:rPr>
                <w:rFonts w:ascii="Times New Roman" w:hAnsi="Times New Roman"/>
                <w:snapToGrid w:val="0"/>
                <w:szCs w:val="20"/>
                <w:u w:val="single"/>
              </w:rPr>
              <w:t>X</w:t>
            </w:r>
          </w:p>
        </w:tc>
        <w:tc>
          <w:tcPr>
            <w:tcW w:w="611" w:type="pct"/>
            <w:vAlign w:val="bottom"/>
          </w:tcPr>
          <w:p w14:paraId="26005968" w14:textId="77777777" w:rsidR="00CB3DE1" w:rsidRPr="00CB3DE1" w:rsidRDefault="00CB3DE1" w:rsidP="00CB3DE1">
            <w:pPr>
              <w:spacing w:before="0"/>
              <w:jc w:val="right"/>
              <w:rPr>
                <w:rFonts w:ascii="Times New Roman" w:hAnsi="Times New Roman"/>
                <w:snapToGrid w:val="0"/>
                <w:szCs w:val="20"/>
                <w:u w:val="single"/>
              </w:rPr>
            </w:pPr>
            <w:r w:rsidRPr="00CB3DE1">
              <w:rPr>
                <w:rFonts w:ascii="Times New Roman" w:hAnsi="Times New Roman"/>
                <w:snapToGrid w:val="0"/>
                <w:szCs w:val="20"/>
                <w:u w:val="single"/>
              </w:rPr>
              <w:t>X</w:t>
            </w:r>
          </w:p>
        </w:tc>
      </w:tr>
      <w:tr w:rsidR="00CB3DE1" w:rsidRPr="00CB3DE1" w14:paraId="43BADE8D" w14:textId="77777777" w:rsidTr="00BA6C7C">
        <w:trPr>
          <w:trHeight w:val="360"/>
        </w:trPr>
        <w:tc>
          <w:tcPr>
            <w:tcW w:w="622" w:type="pct"/>
            <w:vAlign w:val="bottom"/>
          </w:tcPr>
          <w:p w14:paraId="269B56BC" w14:textId="77777777" w:rsidR="00CB3DE1" w:rsidRPr="00CB3DE1" w:rsidRDefault="00CB3DE1" w:rsidP="00CB3DE1">
            <w:pPr>
              <w:spacing w:before="0"/>
              <w:jc w:val="left"/>
              <w:rPr>
                <w:rFonts w:ascii="Times New Roman" w:hAnsi="Times New Roman"/>
                <w:snapToGrid w:val="0"/>
                <w:szCs w:val="20"/>
              </w:rPr>
            </w:pPr>
          </w:p>
        </w:tc>
        <w:tc>
          <w:tcPr>
            <w:tcW w:w="3133" w:type="pct"/>
            <w:gridSpan w:val="3"/>
            <w:vAlign w:val="bottom"/>
          </w:tcPr>
          <w:p w14:paraId="305B408A" w14:textId="77777777" w:rsidR="00CB3DE1" w:rsidRPr="00CB3DE1" w:rsidRDefault="00CB3DE1" w:rsidP="00CB3DE1">
            <w:pPr>
              <w:spacing w:before="0"/>
              <w:jc w:val="left"/>
              <w:rPr>
                <w:rFonts w:ascii="Times New Roman" w:hAnsi="Times New Roman"/>
                <w:snapToGrid w:val="0"/>
                <w:szCs w:val="20"/>
              </w:rPr>
            </w:pPr>
            <w:r w:rsidRPr="00CB3DE1">
              <w:rPr>
                <w:rFonts w:ascii="Times New Roman" w:hAnsi="Times New Roman"/>
                <w:snapToGrid w:val="0"/>
                <w:szCs w:val="20"/>
              </w:rPr>
              <w:t>Lucro do período atribuível a proprietários da controladora</w:t>
            </w:r>
          </w:p>
        </w:tc>
        <w:tc>
          <w:tcPr>
            <w:tcW w:w="634" w:type="pct"/>
            <w:vAlign w:val="bottom"/>
          </w:tcPr>
          <w:p w14:paraId="37C7CA98" w14:textId="77777777" w:rsidR="00CB3DE1" w:rsidRPr="00CB3DE1" w:rsidRDefault="00CB3DE1" w:rsidP="00CB3DE1">
            <w:pPr>
              <w:spacing w:before="0"/>
              <w:jc w:val="right"/>
              <w:rPr>
                <w:rFonts w:ascii="Times New Roman" w:hAnsi="Times New Roman"/>
                <w:snapToGrid w:val="0"/>
                <w:szCs w:val="20"/>
              </w:rPr>
            </w:pPr>
            <w:r w:rsidRPr="00CB3DE1">
              <w:rPr>
                <w:rFonts w:ascii="Times New Roman" w:hAnsi="Times New Roman"/>
                <w:snapToGrid w:val="0"/>
                <w:szCs w:val="20"/>
              </w:rPr>
              <w:t>X</w:t>
            </w:r>
          </w:p>
        </w:tc>
        <w:tc>
          <w:tcPr>
            <w:tcW w:w="611" w:type="pct"/>
            <w:vAlign w:val="bottom"/>
          </w:tcPr>
          <w:p w14:paraId="06B4089B" w14:textId="77777777" w:rsidR="00CB3DE1" w:rsidRPr="00CB3DE1" w:rsidRDefault="00CB3DE1" w:rsidP="00CB3DE1">
            <w:pPr>
              <w:spacing w:before="0"/>
              <w:jc w:val="right"/>
              <w:rPr>
                <w:rFonts w:ascii="Times New Roman" w:hAnsi="Times New Roman"/>
                <w:snapToGrid w:val="0"/>
                <w:szCs w:val="20"/>
              </w:rPr>
            </w:pPr>
            <w:r w:rsidRPr="00CB3DE1">
              <w:rPr>
                <w:rFonts w:ascii="Times New Roman" w:hAnsi="Times New Roman"/>
                <w:snapToGrid w:val="0"/>
                <w:szCs w:val="20"/>
              </w:rPr>
              <w:t>X</w:t>
            </w:r>
          </w:p>
        </w:tc>
      </w:tr>
      <w:tr w:rsidR="00CB3DE1" w:rsidRPr="00CB3DE1" w14:paraId="1508E4B6" w14:textId="77777777" w:rsidTr="00BA6C7C">
        <w:trPr>
          <w:trHeight w:val="360"/>
        </w:trPr>
        <w:tc>
          <w:tcPr>
            <w:tcW w:w="3755" w:type="pct"/>
            <w:gridSpan w:val="4"/>
            <w:vAlign w:val="bottom"/>
          </w:tcPr>
          <w:p w14:paraId="72F8A28F" w14:textId="77777777" w:rsidR="00CB3DE1" w:rsidRPr="00CB3DE1" w:rsidRDefault="00CB3DE1" w:rsidP="00CB3DE1">
            <w:pPr>
              <w:spacing w:before="0"/>
              <w:jc w:val="left"/>
              <w:rPr>
                <w:rFonts w:ascii="Times New Roman" w:hAnsi="Times New Roman"/>
                <w:snapToGrid w:val="0"/>
                <w:szCs w:val="20"/>
              </w:rPr>
            </w:pPr>
            <w:r w:rsidRPr="00CB3DE1">
              <w:rPr>
                <w:rFonts w:ascii="Cambria Math" w:hAnsi="Cambria Math"/>
                <w:snapToGrid w:val="0"/>
                <w:szCs w:val="20"/>
              </w:rPr>
              <w:t> </w:t>
            </w:r>
            <w:r w:rsidRPr="00CB3DE1">
              <w:rPr>
                <w:rFonts w:ascii="Times New Roman" w:hAnsi="Times New Roman"/>
                <w:snapToGrid w:val="0"/>
                <w:szCs w:val="20"/>
              </w:rPr>
              <w:t>Participações de não controladores</w:t>
            </w:r>
          </w:p>
        </w:tc>
        <w:tc>
          <w:tcPr>
            <w:tcW w:w="634" w:type="pct"/>
            <w:vAlign w:val="bottom"/>
          </w:tcPr>
          <w:p w14:paraId="478131E6" w14:textId="77777777" w:rsidR="00CB3DE1" w:rsidRPr="00CB3DE1" w:rsidRDefault="00CB3DE1" w:rsidP="00CB3DE1">
            <w:pPr>
              <w:spacing w:before="0"/>
              <w:jc w:val="right"/>
              <w:rPr>
                <w:rFonts w:ascii="Times New Roman" w:hAnsi="Times New Roman"/>
                <w:snapToGrid w:val="0"/>
                <w:szCs w:val="20"/>
              </w:rPr>
            </w:pPr>
          </w:p>
        </w:tc>
        <w:tc>
          <w:tcPr>
            <w:tcW w:w="611" w:type="pct"/>
            <w:vAlign w:val="bottom"/>
          </w:tcPr>
          <w:p w14:paraId="42641866" w14:textId="77777777" w:rsidR="00CB3DE1" w:rsidRPr="00CB3DE1" w:rsidRDefault="00CB3DE1" w:rsidP="00CB3DE1">
            <w:pPr>
              <w:spacing w:before="0"/>
              <w:jc w:val="right"/>
              <w:rPr>
                <w:rFonts w:ascii="Times New Roman" w:hAnsi="Times New Roman"/>
                <w:snapToGrid w:val="0"/>
                <w:szCs w:val="20"/>
              </w:rPr>
            </w:pPr>
          </w:p>
        </w:tc>
      </w:tr>
      <w:tr w:rsidR="00CB3DE1" w:rsidRPr="00CB3DE1" w14:paraId="504903C1" w14:textId="77777777" w:rsidTr="00BA6C7C">
        <w:trPr>
          <w:trHeight w:val="360"/>
        </w:trPr>
        <w:tc>
          <w:tcPr>
            <w:tcW w:w="677" w:type="pct"/>
            <w:gridSpan w:val="2"/>
            <w:vAlign w:val="bottom"/>
          </w:tcPr>
          <w:p w14:paraId="113AE3ED" w14:textId="77777777" w:rsidR="00CB3DE1" w:rsidRPr="00CB3DE1" w:rsidRDefault="00CB3DE1" w:rsidP="00CB3DE1">
            <w:pPr>
              <w:spacing w:before="0"/>
              <w:jc w:val="left"/>
              <w:rPr>
                <w:rFonts w:ascii="Times New Roman" w:hAnsi="Times New Roman"/>
                <w:snapToGrid w:val="0"/>
                <w:szCs w:val="20"/>
              </w:rPr>
            </w:pPr>
          </w:p>
        </w:tc>
        <w:tc>
          <w:tcPr>
            <w:tcW w:w="3078" w:type="pct"/>
            <w:gridSpan w:val="2"/>
            <w:vAlign w:val="bottom"/>
          </w:tcPr>
          <w:p w14:paraId="1B46AB5B" w14:textId="77777777" w:rsidR="00CB3DE1" w:rsidRPr="00CB3DE1" w:rsidRDefault="00CB3DE1" w:rsidP="00CB3DE1">
            <w:pPr>
              <w:spacing w:before="0"/>
              <w:jc w:val="left"/>
              <w:rPr>
                <w:rFonts w:ascii="Times New Roman" w:hAnsi="Times New Roman"/>
                <w:snapToGrid w:val="0"/>
                <w:szCs w:val="20"/>
              </w:rPr>
            </w:pPr>
            <w:r w:rsidRPr="00CB3DE1">
              <w:rPr>
                <w:rFonts w:ascii="Times New Roman" w:hAnsi="Times New Roman"/>
                <w:snapToGrid w:val="0"/>
                <w:szCs w:val="20"/>
              </w:rPr>
              <w:t>Lucro do período proveniente de operações em continuidade</w:t>
            </w:r>
          </w:p>
        </w:tc>
        <w:tc>
          <w:tcPr>
            <w:tcW w:w="634" w:type="pct"/>
            <w:vAlign w:val="bottom"/>
          </w:tcPr>
          <w:p w14:paraId="012874A4" w14:textId="77777777" w:rsidR="00CB3DE1" w:rsidRPr="00CB3DE1" w:rsidRDefault="00CB3DE1" w:rsidP="00CB3DE1">
            <w:pPr>
              <w:spacing w:before="0"/>
              <w:jc w:val="right"/>
              <w:rPr>
                <w:rFonts w:ascii="Times New Roman" w:hAnsi="Times New Roman"/>
                <w:snapToGrid w:val="0"/>
                <w:szCs w:val="20"/>
              </w:rPr>
            </w:pPr>
            <w:r w:rsidRPr="00CB3DE1">
              <w:rPr>
                <w:rFonts w:ascii="Times New Roman" w:hAnsi="Times New Roman"/>
                <w:snapToGrid w:val="0"/>
                <w:szCs w:val="20"/>
              </w:rPr>
              <w:t>X</w:t>
            </w:r>
          </w:p>
        </w:tc>
        <w:tc>
          <w:tcPr>
            <w:tcW w:w="611" w:type="pct"/>
            <w:vAlign w:val="bottom"/>
          </w:tcPr>
          <w:p w14:paraId="080F5BFF" w14:textId="77777777" w:rsidR="00CB3DE1" w:rsidRPr="00CB3DE1" w:rsidRDefault="00CB3DE1" w:rsidP="00CB3DE1">
            <w:pPr>
              <w:spacing w:before="0"/>
              <w:jc w:val="right"/>
              <w:rPr>
                <w:rFonts w:ascii="Times New Roman" w:hAnsi="Times New Roman"/>
                <w:snapToGrid w:val="0"/>
                <w:szCs w:val="20"/>
              </w:rPr>
            </w:pPr>
            <w:r w:rsidRPr="00CB3DE1">
              <w:rPr>
                <w:rFonts w:ascii="Times New Roman" w:hAnsi="Times New Roman"/>
                <w:snapToGrid w:val="0"/>
                <w:szCs w:val="20"/>
              </w:rPr>
              <w:t>X</w:t>
            </w:r>
          </w:p>
        </w:tc>
      </w:tr>
      <w:tr w:rsidR="00CB3DE1" w:rsidRPr="00CB3DE1" w14:paraId="5715F89B" w14:textId="77777777" w:rsidTr="00BA6C7C">
        <w:trPr>
          <w:trHeight w:val="360"/>
        </w:trPr>
        <w:tc>
          <w:tcPr>
            <w:tcW w:w="677" w:type="pct"/>
            <w:gridSpan w:val="2"/>
            <w:vAlign w:val="bottom"/>
          </w:tcPr>
          <w:p w14:paraId="1C21D859" w14:textId="77777777" w:rsidR="00CB3DE1" w:rsidRPr="00CB3DE1" w:rsidRDefault="00CB3DE1" w:rsidP="00CB3DE1">
            <w:pPr>
              <w:spacing w:before="0"/>
              <w:jc w:val="left"/>
              <w:rPr>
                <w:rFonts w:ascii="Times New Roman" w:hAnsi="Times New Roman"/>
                <w:snapToGrid w:val="0"/>
                <w:szCs w:val="20"/>
              </w:rPr>
            </w:pPr>
          </w:p>
        </w:tc>
        <w:tc>
          <w:tcPr>
            <w:tcW w:w="3078" w:type="pct"/>
            <w:gridSpan w:val="2"/>
            <w:vAlign w:val="bottom"/>
          </w:tcPr>
          <w:p w14:paraId="5975863A" w14:textId="77777777" w:rsidR="00CB3DE1" w:rsidRPr="00CB3DE1" w:rsidRDefault="00CB3DE1" w:rsidP="00CB3DE1">
            <w:pPr>
              <w:spacing w:before="0"/>
              <w:jc w:val="left"/>
              <w:rPr>
                <w:rFonts w:ascii="Times New Roman" w:hAnsi="Times New Roman"/>
                <w:snapToGrid w:val="0"/>
                <w:szCs w:val="20"/>
              </w:rPr>
            </w:pPr>
            <w:r w:rsidRPr="00CB3DE1">
              <w:rPr>
                <w:rFonts w:ascii="Times New Roman" w:hAnsi="Times New Roman"/>
                <w:snapToGrid w:val="0"/>
                <w:szCs w:val="20"/>
              </w:rPr>
              <w:t>Lucro do período proveniente de operações descontinuadas</w:t>
            </w:r>
          </w:p>
        </w:tc>
        <w:tc>
          <w:tcPr>
            <w:tcW w:w="634" w:type="pct"/>
            <w:vAlign w:val="bottom"/>
          </w:tcPr>
          <w:p w14:paraId="0CAB4C3F" w14:textId="77777777" w:rsidR="00CB3DE1" w:rsidRPr="00CB3DE1" w:rsidRDefault="00CB3DE1" w:rsidP="00CB3DE1">
            <w:pPr>
              <w:spacing w:before="0"/>
              <w:jc w:val="right"/>
              <w:rPr>
                <w:rFonts w:ascii="Times New Roman" w:hAnsi="Times New Roman"/>
                <w:snapToGrid w:val="0"/>
                <w:szCs w:val="20"/>
                <w:u w:val="single"/>
              </w:rPr>
            </w:pPr>
            <w:r w:rsidRPr="00CB3DE1">
              <w:rPr>
                <w:rFonts w:ascii="Times New Roman" w:hAnsi="Times New Roman"/>
                <w:snapToGrid w:val="0"/>
                <w:szCs w:val="20"/>
                <w:u w:val="single"/>
              </w:rPr>
              <w:t>X</w:t>
            </w:r>
          </w:p>
        </w:tc>
        <w:tc>
          <w:tcPr>
            <w:tcW w:w="611" w:type="pct"/>
            <w:vAlign w:val="bottom"/>
          </w:tcPr>
          <w:p w14:paraId="2298B2F4" w14:textId="77777777" w:rsidR="00CB3DE1" w:rsidRPr="00CB3DE1" w:rsidRDefault="00CB3DE1" w:rsidP="00CB3DE1">
            <w:pPr>
              <w:spacing w:before="0"/>
              <w:jc w:val="right"/>
              <w:rPr>
                <w:rFonts w:ascii="Times New Roman" w:hAnsi="Times New Roman"/>
                <w:snapToGrid w:val="0"/>
                <w:szCs w:val="20"/>
                <w:u w:val="single"/>
              </w:rPr>
            </w:pPr>
            <w:r w:rsidRPr="00CB3DE1">
              <w:rPr>
                <w:rFonts w:ascii="Times New Roman" w:hAnsi="Times New Roman"/>
                <w:snapToGrid w:val="0"/>
                <w:szCs w:val="20"/>
                <w:u w:val="single"/>
              </w:rPr>
              <w:t>X</w:t>
            </w:r>
          </w:p>
        </w:tc>
      </w:tr>
      <w:tr w:rsidR="00CB3DE1" w:rsidRPr="00CB3DE1" w14:paraId="2792B1C4" w14:textId="77777777" w:rsidTr="00BA6C7C">
        <w:trPr>
          <w:trHeight w:val="360"/>
        </w:trPr>
        <w:tc>
          <w:tcPr>
            <w:tcW w:w="677" w:type="pct"/>
            <w:gridSpan w:val="2"/>
            <w:vAlign w:val="bottom"/>
          </w:tcPr>
          <w:p w14:paraId="00EF3478" w14:textId="77777777" w:rsidR="00CB3DE1" w:rsidRPr="00CB3DE1" w:rsidRDefault="00CB3DE1" w:rsidP="00CB3DE1">
            <w:pPr>
              <w:spacing w:before="0"/>
              <w:jc w:val="left"/>
              <w:rPr>
                <w:rFonts w:ascii="Times New Roman" w:hAnsi="Times New Roman"/>
                <w:snapToGrid w:val="0"/>
                <w:szCs w:val="20"/>
              </w:rPr>
            </w:pPr>
          </w:p>
        </w:tc>
        <w:tc>
          <w:tcPr>
            <w:tcW w:w="3078" w:type="pct"/>
            <w:gridSpan w:val="2"/>
            <w:vAlign w:val="bottom"/>
          </w:tcPr>
          <w:p w14:paraId="73BC911E" w14:textId="77777777" w:rsidR="00CB3DE1" w:rsidRPr="00CB3DE1" w:rsidRDefault="00CB3DE1" w:rsidP="00CB3DE1">
            <w:pPr>
              <w:spacing w:before="0"/>
              <w:jc w:val="left"/>
              <w:rPr>
                <w:rFonts w:ascii="Times New Roman" w:hAnsi="Times New Roman"/>
                <w:snapToGrid w:val="0"/>
                <w:szCs w:val="20"/>
              </w:rPr>
            </w:pPr>
            <w:r w:rsidRPr="00CB3DE1">
              <w:rPr>
                <w:rFonts w:ascii="Times New Roman" w:hAnsi="Times New Roman"/>
                <w:snapToGrid w:val="0"/>
                <w:szCs w:val="20"/>
              </w:rPr>
              <w:t>Lucro do período atribuível a participações não controladores</w:t>
            </w:r>
          </w:p>
        </w:tc>
        <w:tc>
          <w:tcPr>
            <w:tcW w:w="634" w:type="pct"/>
            <w:vAlign w:val="bottom"/>
          </w:tcPr>
          <w:p w14:paraId="24182E94" w14:textId="77777777" w:rsidR="00CB3DE1" w:rsidRPr="00CB3DE1" w:rsidRDefault="00CB3DE1" w:rsidP="00CB3DE1">
            <w:pPr>
              <w:spacing w:before="0"/>
              <w:jc w:val="right"/>
              <w:rPr>
                <w:rFonts w:ascii="Times New Roman" w:hAnsi="Times New Roman"/>
                <w:snapToGrid w:val="0"/>
                <w:szCs w:val="20"/>
                <w:u w:val="single"/>
              </w:rPr>
            </w:pPr>
            <w:r w:rsidRPr="00CB3DE1">
              <w:rPr>
                <w:rFonts w:ascii="Times New Roman" w:hAnsi="Times New Roman"/>
                <w:snapToGrid w:val="0"/>
                <w:szCs w:val="20"/>
                <w:u w:val="single"/>
              </w:rPr>
              <w:t>X</w:t>
            </w:r>
          </w:p>
        </w:tc>
        <w:tc>
          <w:tcPr>
            <w:tcW w:w="611" w:type="pct"/>
            <w:vAlign w:val="bottom"/>
          </w:tcPr>
          <w:p w14:paraId="4EBF9A63" w14:textId="77777777" w:rsidR="00CB3DE1" w:rsidRPr="00CB3DE1" w:rsidRDefault="00CB3DE1" w:rsidP="00CB3DE1">
            <w:pPr>
              <w:spacing w:before="0"/>
              <w:jc w:val="right"/>
              <w:rPr>
                <w:rFonts w:ascii="Times New Roman" w:hAnsi="Times New Roman"/>
                <w:snapToGrid w:val="0"/>
                <w:szCs w:val="20"/>
                <w:u w:val="single"/>
              </w:rPr>
            </w:pPr>
            <w:r w:rsidRPr="00CB3DE1">
              <w:rPr>
                <w:rFonts w:ascii="Times New Roman" w:hAnsi="Times New Roman"/>
                <w:snapToGrid w:val="0"/>
                <w:szCs w:val="20"/>
                <w:u w:val="single"/>
              </w:rPr>
              <w:t>X</w:t>
            </w:r>
          </w:p>
        </w:tc>
      </w:tr>
      <w:tr w:rsidR="00CB3DE1" w:rsidRPr="00CB3DE1" w14:paraId="3408B3CA" w14:textId="77777777" w:rsidTr="00BA6C7C">
        <w:trPr>
          <w:trHeight w:val="360"/>
        </w:trPr>
        <w:tc>
          <w:tcPr>
            <w:tcW w:w="677" w:type="pct"/>
            <w:gridSpan w:val="2"/>
            <w:vAlign w:val="bottom"/>
          </w:tcPr>
          <w:p w14:paraId="41BA71F6" w14:textId="77777777" w:rsidR="00CB3DE1" w:rsidRPr="00CB3DE1" w:rsidRDefault="00CB3DE1" w:rsidP="00CB3DE1">
            <w:pPr>
              <w:spacing w:before="0"/>
              <w:jc w:val="left"/>
              <w:rPr>
                <w:rFonts w:ascii="Times New Roman" w:hAnsi="Times New Roman"/>
                <w:snapToGrid w:val="0"/>
                <w:szCs w:val="20"/>
              </w:rPr>
            </w:pPr>
          </w:p>
        </w:tc>
        <w:tc>
          <w:tcPr>
            <w:tcW w:w="3078" w:type="pct"/>
            <w:gridSpan w:val="2"/>
            <w:vAlign w:val="bottom"/>
          </w:tcPr>
          <w:p w14:paraId="28B2C854" w14:textId="77777777" w:rsidR="00CB3DE1" w:rsidRPr="00CB3DE1" w:rsidRDefault="00CB3DE1" w:rsidP="00CB3DE1">
            <w:pPr>
              <w:spacing w:before="0"/>
              <w:jc w:val="left"/>
              <w:rPr>
                <w:rFonts w:ascii="Times New Roman" w:hAnsi="Times New Roman"/>
                <w:snapToGrid w:val="0"/>
                <w:szCs w:val="20"/>
              </w:rPr>
            </w:pPr>
          </w:p>
        </w:tc>
        <w:tc>
          <w:tcPr>
            <w:tcW w:w="634" w:type="pct"/>
            <w:vAlign w:val="bottom"/>
          </w:tcPr>
          <w:p w14:paraId="6DBC0FCF" w14:textId="77777777" w:rsidR="00CB3DE1" w:rsidRPr="00CB3DE1" w:rsidRDefault="00CB3DE1" w:rsidP="00CB3DE1">
            <w:pPr>
              <w:spacing w:before="0"/>
              <w:jc w:val="right"/>
              <w:rPr>
                <w:rFonts w:ascii="Times New Roman" w:hAnsi="Times New Roman"/>
                <w:b/>
                <w:snapToGrid w:val="0"/>
                <w:szCs w:val="20"/>
                <w:u w:val="double"/>
              </w:rPr>
            </w:pPr>
            <w:r w:rsidRPr="00CB3DE1">
              <w:rPr>
                <w:rFonts w:ascii="Times New Roman" w:hAnsi="Times New Roman"/>
                <w:b/>
                <w:snapToGrid w:val="0"/>
                <w:szCs w:val="20"/>
                <w:u w:val="double"/>
              </w:rPr>
              <w:t>X</w:t>
            </w:r>
          </w:p>
        </w:tc>
        <w:tc>
          <w:tcPr>
            <w:tcW w:w="611" w:type="pct"/>
            <w:vAlign w:val="bottom"/>
          </w:tcPr>
          <w:p w14:paraId="62B77B79" w14:textId="77777777" w:rsidR="00CB3DE1" w:rsidRPr="00CB3DE1" w:rsidRDefault="00CB3DE1" w:rsidP="00CB3DE1">
            <w:pPr>
              <w:spacing w:before="0"/>
              <w:jc w:val="right"/>
              <w:rPr>
                <w:rFonts w:ascii="Times New Roman" w:hAnsi="Times New Roman"/>
                <w:b/>
                <w:snapToGrid w:val="0"/>
                <w:szCs w:val="20"/>
                <w:u w:val="double"/>
              </w:rPr>
            </w:pPr>
            <w:r w:rsidRPr="00CB3DE1">
              <w:rPr>
                <w:rFonts w:ascii="Times New Roman" w:hAnsi="Times New Roman"/>
                <w:b/>
                <w:snapToGrid w:val="0"/>
                <w:szCs w:val="20"/>
                <w:u w:val="double"/>
              </w:rPr>
              <w:t>X</w:t>
            </w:r>
          </w:p>
        </w:tc>
      </w:tr>
    </w:tbl>
    <w:p w14:paraId="4CE61643" w14:textId="77777777" w:rsidR="00CB3DE1" w:rsidRPr="00CB3DE1" w:rsidRDefault="00CB3DE1" w:rsidP="00CB3DE1">
      <w:pPr>
        <w:spacing w:before="0"/>
        <w:rPr>
          <w:rFonts w:ascii="Times New Roman" w:hAnsi="Times New Roman"/>
          <w:szCs w:val="20"/>
        </w:rPr>
      </w:pPr>
      <w:r w:rsidRPr="00CB3DE1">
        <w:rPr>
          <w:rFonts w:ascii="Times New Roman" w:hAnsi="Times New Roman"/>
          <w:b/>
          <w:bCs/>
          <w:color w:val="000000"/>
          <w:szCs w:val="20"/>
          <w:vertAlign w:val="superscript"/>
        </w:rPr>
        <w:t>(a)</w:t>
      </w:r>
      <w:r w:rsidRPr="00CB3DE1">
        <w:rPr>
          <w:rFonts w:ascii="Times New Roman" w:hAnsi="Times New Roman"/>
          <w:szCs w:val="20"/>
        </w:rPr>
        <w:t xml:space="preserve"> A análise necessária seria dada nas notas explicativas.</w:t>
      </w:r>
    </w:p>
    <w:p w14:paraId="31F0E5ED" w14:textId="77777777" w:rsidR="00CB3DE1" w:rsidRPr="00CB3DE1" w:rsidRDefault="00CB3DE1" w:rsidP="00CB3DE1">
      <w:pPr>
        <w:widowControl w:val="0"/>
        <w:tabs>
          <w:tab w:val="left" w:pos="6804"/>
        </w:tabs>
        <w:spacing w:before="0" w:after="0"/>
        <w:ind w:left="57"/>
        <w:rPr>
          <w:rFonts w:ascii="Times New Roman" w:hAnsi="Times New Roman"/>
          <w:bCs/>
          <w:sz w:val="24"/>
          <w:lang w:val="pt-BR" w:eastAsia="x-none"/>
        </w:rPr>
      </w:pPr>
    </w:p>
    <w:p w14:paraId="01B189EC" w14:textId="77777777" w:rsidR="00CB3DE1" w:rsidRPr="00CB3DE1" w:rsidRDefault="00CB3DE1" w:rsidP="00CB3DE1">
      <w:pPr>
        <w:widowControl w:val="0"/>
        <w:tabs>
          <w:tab w:val="left" w:pos="6804"/>
        </w:tabs>
        <w:spacing w:before="0" w:after="0"/>
        <w:rPr>
          <w:rFonts w:ascii="Times New Roman" w:hAnsi="Times New Roman"/>
          <w:b/>
          <w:sz w:val="24"/>
          <w:lang w:val="pt-BR" w:eastAsia="x-none"/>
        </w:rPr>
      </w:pPr>
      <w:r w:rsidRPr="00CB3DE1">
        <w:rPr>
          <w:rFonts w:ascii="Times New Roman" w:hAnsi="Times New Roman"/>
          <w:b/>
          <w:sz w:val="24"/>
          <w:lang w:val="pt-BR" w:eastAsia="x-none"/>
        </w:rPr>
        <w:t>Apresentação de ativos não circulantes ou grupos de ativos classificados como mantidos para venda</w:t>
      </w:r>
    </w:p>
    <w:p w14:paraId="1304C787"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396740A4"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r w:rsidRPr="00CB3DE1">
        <w:rPr>
          <w:rFonts w:ascii="Times New Roman" w:hAnsi="Times New Roman"/>
          <w:color w:val="000000"/>
          <w:sz w:val="24"/>
          <w:lang w:val="pt-BR" w:eastAsia="x-none"/>
        </w:rPr>
        <w:t>O item 38 do Pronunciamento exige que a entidade apresente um ativo não circulante classificado como mantido para venda e os ativos de grupo de ativos classificados como mantidos para venda separadamente de outros ativos, no balanço patrimonial. Os passivos de grupo de ativos classificados como mantidos para venda também são apresentados separadamente de outros passivos no balanço. Esses ativos e passivos não são compensados e apresentados como um único valor. O exemplo 12 ilustra esses requisitos.</w:t>
      </w:r>
    </w:p>
    <w:p w14:paraId="49279FB4" w14:textId="77777777" w:rsidR="00CB3DE1" w:rsidRPr="00CB3DE1" w:rsidRDefault="00CB3DE1" w:rsidP="00CB3DE1">
      <w:pPr>
        <w:widowControl w:val="0"/>
        <w:tabs>
          <w:tab w:val="left" w:pos="6804"/>
        </w:tabs>
        <w:spacing w:before="0" w:after="0"/>
        <w:ind w:left="57"/>
        <w:rPr>
          <w:rFonts w:ascii="Times New Roman" w:hAnsi="Times New Roman"/>
          <w:b/>
          <w:sz w:val="24"/>
          <w:lang w:val="pt-BR" w:eastAsia="x-none"/>
        </w:rPr>
      </w:pPr>
    </w:p>
    <w:p w14:paraId="1026AB36" w14:textId="77777777" w:rsidR="00CB3DE1" w:rsidRPr="00CB3DE1" w:rsidRDefault="00CB3DE1" w:rsidP="00CB3DE1">
      <w:pPr>
        <w:widowControl w:val="0"/>
        <w:tabs>
          <w:tab w:val="left" w:pos="6804"/>
        </w:tabs>
        <w:spacing w:before="0" w:after="0"/>
        <w:rPr>
          <w:rFonts w:ascii="Times New Roman" w:hAnsi="Times New Roman"/>
          <w:b/>
          <w:sz w:val="24"/>
          <w:lang w:val="pt-BR" w:eastAsia="x-none"/>
        </w:rPr>
      </w:pPr>
      <w:r w:rsidRPr="00CB3DE1">
        <w:rPr>
          <w:rFonts w:ascii="Times New Roman" w:hAnsi="Times New Roman"/>
          <w:b/>
          <w:sz w:val="24"/>
          <w:lang w:val="pt-BR" w:eastAsia="x-none"/>
        </w:rPr>
        <w:t>Exemplo 12</w:t>
      </w:r>
    </w:p>
    <w:p w14:paraId="368302E5"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5B12E195"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r w:rsidRPr="00CB3DE1">
        <w:rPr>
          <w:rFonts w:ascii="Times New Roman" w:hAnsi="Times New Roman"/>
          <w:color w:val="000000"/>
          <w:sz w:val="24"/>
          <w:lang w:val="pt-BR" w:eastAsia="x-none"/>
        </w:rPr>
        <w:t>No final de 20X5, a entidade decide alienar parte de seus ativos (e diretamente passivos associados). A alienação, que atende aos critérios dos itens 7 e 8 para ser classificada como mantida para venda, assume a forma de dois grupos de alienação, conforme abaixo:</w:t>
      </w:r>
    </w:p>
    <w:p w14:paraId="7E64FB86" w14:textId="77777777" w:rsidR="00CB3DE1" w:rsidRPr="00CB3DE1" w:rsidRDefault="00CB3DE1" w:rsidP="00CB3DE1">
      <w:pPr>
        <w:spacing w:before="0"/>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50" w:type="dxa"/>
          <w:bottom w:w="5" w:type="dxa"/>
          <w:right w:w="50" w:type="dxa"/>
        </w:tblCellMar>
        <w:tblLook w:val="0000" w:firstRow="0" w:lastRow="0" w:firstColumn="0" w:lastColumn="0" w:noHBand="0" w:noVBand="0"/>
      </w:tblPr>
      <w:tblGrid>
        <w:gridCol w:w="5044"/>
        <w:gridCol w:w="2576"/>
        <w:gridCol w:w="2576"/>
      </w:tblGrid>
      <w:tr w:rsidR="00CB3DE1" w:rsidRPr="00CB3DE1" w14:paraId="2D6258AF" w14:textId="77777777" w:rsidTr="00BA6C7C">
        <w:trPr>
          <w:cantSplit/>
          <w:trHeight w:val="418"/>
        </w:trPr>
        <w:tc>
          <w:tcPr>
            <w:tcW w:w="2474" w:type="pct"/>
            <w:vMerge w:val="restart"/>
            <w:tcMar>
              <w:left w:w="113" w:type="dxa"/>
              <w:bottom w:w="11" w:type="dxa"/>
              <w:right w:w="113" w:type="dxa"/>
            </w:tcMar>
            <w:vAlign w:val="bottom"/>
          </w:tcPr>
          <w:p w14:paraId="03124130" w14:textId="77777777" w:rsidR="00CB3DE1" w:rsidRPr="00CB3DE1" w:rsidRDefault="00CB3DE1" w:rsidP="00CB3DE1">
            <w:pPr>
              <w:spacing w:before="0"/>
              <w:jc w:val="left"/>
              <w:rPr>
                <w:rFonts w:ascii="Times New Roman" w:hAnsi="Times New Roman"/>
                <w:snapToGrid w:val="0"/>
                <w:sz w:val="24"/>
              </w:rPr>
            </w:pPr>
          </w:p>
        </w:tc>
        <w:tc>
          <w:tcPr>
            <w:tcW w:w="2526" w:type="pct"/>
            <w:gridSpan w:val="2"/>
            <w:tcMar>
              <w:left w:w="113" w:type="dxa"/>
              <w:bottom w:w="11" w:type="dxa"/>
              <w:right w:w="113" w:type="dxa"/>
            </w:tcMar>
            <w:vAlign w:val="bottom"/>
          </w:tcPr>
          <w:p w14:paraId="6E5B8B80" w14:textId="77777777" w:rsidR="00CB3DE1" w:rsidRPr="00CB3DE1" w:rsidRDefault="00CB3DE1" w:rsidP="00CB3DE1">
            <w:pPr>
              <w:ind w:left="150"/>
              <w:rPr>
                <w:snapToGrid w:val="0"/>
              </w:rPr>
            </w:pPr>
            <w:r w:rsidRPr="00CB3DE1">
              <w:rPr>
                <w:snapToGrid w:val="0"/>
              </w:rPr>
              <w:t>Valor contábil após a classificação como</w:t>
            </w:r>
          </w:p>
          <w:p w14:paraId="4903AF21" w14:textId="77777777" w:rsidR="00CB3DE1" w:rsidRPr="00CB3DE1" w:rsidRDefault="00CB3DE1" w:rsidP="00CB3DE1">
            <w:pPr>
              <w:ind w:left="150"/>
              <w:rPr>
                <w:snapToGrid w:val="0"/>
              </w:rPr>
            </w:pPr>
            <w:r w:rsidRPr="00CB3DE1">
              <w:rPr>
                <w:snapToGrid w:val="0"/>
              </w:rPr>
              <w:t xml:space="preserve"> mantido para venda</w:t>
            </w:r>
          </w:p>
        </w:tc>
      </w:tr>
      <w:tr w:rsidR="00CB3DE1" w:rsidRPr="00CB3DE1" w14:paraId="4EF8FE48" w14:textId="77777777" w:rsidTr="00BA6C7C">
        <w:trPr>
          <w:cantSplit/>
          <w:trHeight w:val="418"/>
        </w:trPr>
        <w:tc>
          <w:tcPr>
            <w:tcW w:w="2474" w:type="pct"/>
            <w:vMerge/>
            <w:tcMar>
              <w:left w:w="113" w:type="dxa"/>
              <w:bottom w:w="11" w:type="dxa"/>
              <w:right w:w="113" w:type="dxa"/>
            </w:tcMar>
            <w:vAlign w:val="bottom"/>
          </w:tcPr>
          <w:p w14:paraId="30F1074B" w14:textId="77777777" w:rsidR="00CB3DE1" w:rsidRPr="00CB3DE1" w:rsidRDefault="00CB3DE1" w:rsidP="00CB3DE1">
            <w:pPr>
              <w:spacing w:before="0"/>
              <w:jc w:val="left"/>
              <w:rPr>
                <w:rFonts w:ascii="Times New Roman" w:hAnsi="Times New Roman"/>
                <w:snapToGrid w:val="0"/>
                <w:sz w:val="24"/>
              </w:rPr>
            </w:pPr>
          </w:p>
        </w:tc>
        <w:tc>
          <w:tcPr>
            <w:tcW w:w="1263" w:type="pct"/>
            <w:tcMar>
              <w:left w:w="227" w:type="dxa"/>
              <w:bottom w:w="11" w:type="dxa"/>
              <w:right w:w="227" w:type="dxa"/>
            </w:tcMar>
            <w:vAlign w:val="bottom"/>
          </w:tcPr>
          <w:p w14:paraId="29B19A4B"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Grupo de ativos I:</w:t>
            </w:r>
          </w:p>
          <w:p w14:paraId="1D79051E"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w:t>
            </w:r>
          </w:p>
        </w:tc>
        <w:tc>
          <w:tcPr>
            <w:tcW w:w="1263" w:type="pct"/>
            <w:tcMar>
              <w:left w:w="113" w:type="dxa"/>
              <w:bottom w:w="11" w:type="dxa"/>
              <w:right w:w="113" w:type="dxa"/>
            </w:tcMar>
            <w:vAlign w:val="bottom"/>
          </w:tcPr>
          <w:p w14:paraId="46C60985"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Grupo de ativos II:</w:t>
            </w:r>
          </w:p>
          <w:p w14:paraId="366800F1"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w:t>
            </w:r>
          </w:p>
        </w:tc>
      </w:tr>
      <w:tr w:rsidR="00CB3DE1" w:rsidRPr="00CB3DE1" w14:paraId="256CE94A" w14:textId="77777777" w:rsidTr="00BA6C7C">
        <w:trPr>
          <w:trHeight w:val="374"/>
        </w:trPr>
        <w:tc>
          <w:tcPr>
            <w:tcW w:w="2474" w:type="pct"/>
            <w:tcMar>
              <w:left w:w="113" w:type="dxa"/>
              <w:bottom w:w="11" w:type="dxa"/>
              <w:right w:w="113" w:type="dxa"/>
            </w:tcMar>
            <w:vAlign w:val="bottom"/>
          </w:tcPr>
          <w:p w14:paraId="413FFD1A" w14:textId="77777777" w:rsidR="00CB3DE1" w:rsidRPr="00CB3DE1" w:rsidRDefault="00CB3DE1" w:rsidP="00CB3DE1">
            <w:pPr>
              <w:spacing w:before="0"/>
              <w:jc w:val="left"/>
              <w:rPr>
                <w:rFonts w:ascii="Times New Roman" w:hAnsi="Times New Roman"/>
                <w:snapToGrid w:val="0"/>
                <w:sz w:val="24"/>
              </w:rPr>
            </w:pPr>
            <w:r w:rsidRPr="00CB3DE1">
              <w:rPr>
                <w:rFonts w:ascii="Times New Roman" w:hAnsi="Times New Roman"/>
                <w:snapToGrid w:val="0"/>
                <w:sz w:val="24"/>
              </w:rPr>
              <w:t>Imobilizado</w:t>
            </w:r>
          </w:p>
        </w:tc>
        <w:tc>
          <w:tcPr>
            <w:tcW w:w="1263" w:type="pct"/>
            <w:tcMar>
              <w:left w:w="227" w:type="dxa"/>
              <w:bottom w:w="11" w:type="dxa"/>
              <w:right w:w="227" w:type="dxa"/>
            </w:tcMar>
            <w:vAlign w:val="bottom"/>
          </w:tcPr>
          <w:p w14:paraId="4EDDAC54"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 xml:space="preserve">4.900 </w:t>
            </w:r>
          </w:p>
        </w:tc>
        <w:tc>
          <w:tcPr>
            <w:tcW w:w="1263" w:type="pct"/>
            <w:tcMar>
              <w:left w:w="113" w:type="dxa"/>
              <w:bottom w:w="11" w:type="dxa"/>
              <w:right w:w="113" w:type="dxa"/>
            </w:tcMar>
            <w:vAlign w:val="bottom"/>
          </w:tcPr>
          <w:p w14:paraId="29290336"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 xml:space="preserve">1.700 </w:t>
            </w:r>
          </w:p>
        </w:tc>
      </w:tr>
      <w:tr w:rsidR="00CB3DE1" w:rsidRPr="00CB3DE1" w14:paraId="08814FB8" w14:textId="77777777" w:rsidTr="00BA6C7C">
        <w:trPr>
          <w:trHeight w:val="375"/>
        </w:trPr>
        <w:tc>
          <w:tcPr>
            <w:tcW w:w="2474" w:type="pct"/>
            <w:tcMar>
              <w:left w:w="113" w:type="dxa"/>
              <w:bottom w:w="11" w:type="dxa"/>
              <w:right w:w="113" w:type="dxa"/>
            </w:tcMar>
            <w:vAlign w:val="bottom"/>
          </w:tcPr>
          <w:p w14:paraId="5E3E77F9" w14:textId="77777777" w:rsidR="00CB3DE1" w:rsidRPr="00CB3DE1" w:rsidRDefault="00CB3DE1" w:rsidP="00CB3DE1">
            <w:pPr>
              <w:spacing w:before="0"/>
              <w:jc w:val="left"/>
              <w:rPr>
                <w:rFonts w:ascii="Times New Roman" w:hAnsi="Times New Roman"/>
                <w:snapToGrid w:val="0"/>
                <w:sz w:val="24"/>
              </w:rPr>
            </w:pPr>
            <w:r w:rsidRPr="00CB3DE1">
              <w:rPr>
                <w:rFonts w:ascii="Times New Roman" w:hAnsi="Times New Roman"/>
                <w:snapToGrid w:val="0"/>
                <w:sz w:val="24"/>
              </w:rPr>
              <w:t xml:space="preserve">Ativo financeiro </w:t>
            </w:r>
          </w:p>
        </w:tc>
        <w:tc>
          <w:tcPr>
            <w:tcW w:w="1263" w:type="pct"/>
            <w:tcMar>
              <w:left w:w="227" w:type="dxa"/>
              <w:bottom w:w="11" w:type="dxa"/>
              <w:right w:w="227" w:type="dxa"/>
            </w:tcMar>
            <w:vAlign w:val="bottom"/>
          </w:tcPr>
          <w:p w14:paraId="1D8D7F39"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1.400</w:t>
            </w:r>
            <w:r w:rsidRPr="00CB3DE1">
              <w:rPr>
                <w:rFonts w:ascii="Times New Roman" w:hAnsi="Times New Roman"/>
                <w:color w:val="000000"/>
                <w:sz w:val="24"/>
                <w:vertAlign w:val="superscript"/>
              </w:rPr>
              <w:t>(a)</w:t>
            </w:r>
            <w:r w:rsidRPr="00CB3DE1">
              <w:rPr>
                <w:rFonts w:ascii="Times New Roman" w:hAnsi="Times New Roman"/>
                <w:snapToGrid w:val="0"/>
                <w:sz w:val="24"/>
              </w:rPr>
              <w:t xml:space="preserve"> </w:t>
            </w:r>
          </w:p>
        </w:tc>
        <w:tc>
          <w:tcPr>
            <w:tcW w:w="1263" w:type="pct"/>
            <w:tcMar>
              <w:left w:w="113" w:type="dxa"/>
              <w:bottom w:w="11" w:type="dxa"/>
              <w:right w:w="113" w:type="dxa"/>
            </w:tcMar>
            <w:vAlign w:val="bottom"/>
          </w:tcPr>
          <w:p w14:paraId="58567989"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w:t>
            </w:r>
          </w:p>
        </w:tc>
      </w:tr>
      <w:tr w:rsidR="00CB3DE1" w:rsidRPr="00CB3DE1" w14:paraId="7B77621B" w14:textId="77777777" w:rsidTr="00BA6C7C">
        <w:trPr>
          <w:trHeight w:val="374"/>
        </w:trPr>
        <w:tc>
          <w:tcPr>
            <w:tcW w:w="2474" w:type="pct"/>
            <w:tcMar>
              <w:left w:w="113" w:type="dxa"/>
              <w:bottom w:w="11" w:type="dxa"/>
              <w:right w:w="113" w:type="dxa"/>
            </w:tcMar>
            <w:vAlign w:val="bottom"/>
          </w:tcPr>
          <w:p w14:paraId="63DBFC3D" w14:textId="77777777" w:rsidR="00CB3DE1" w:rsidRPr="00CB3DE1" w:rsidRDefault="00CB3DE1" w:rsidP="00CB3DE1">
            <w:pPr>
              <w:spacing w:before="0"/>
              <w:jc w:val="left"/>
              <w:rPr>
                <w:rFonts w:ascii="Times New Roman" w:hAnsi="Times New Roman"/>
                <w:sz w:val="24"/>
              </w:rPr>
            </w:pPr>
            <w:r w:rsidRPr="00CB3DE1">
              <w:rPr>
                <w:rFonts w:ascii="Times New Roman" w:hAnsi="Times New Roman"/>
                <w:sz w:val="24"/>
              </w:rPr>
              <w:t>Passivos</w:t>
            </w:r>
          </w:p>
        </w:tc>
        <w:tc>
          <w:tcPr>
            <w:tcW w:w="1263" w:type="pct"/>
            <w:tcMar>
              <w:left w:w="227" w:type="dxa"/>
              <w:bottom w:w="11" w:type="dxa"/>
              <w:right w:w="227" w:type="dxa"/>
            </w:tcMar>
            <w:vAlign w:val="bottom"/>
          </w:tcPr>
          <w:p w14:paraId="0968AB6C" w14:textId="77777777" w:rsidR="00CB3DE1" w:rsidRPr="00CB3DE1" w:rsidRDefault="00CB3DE1" w:rsidP="00CB3DE1">
            <w:pPr>
              <w:spacing w:before="0"/>
              <w:jc w:val="right"/>
              <w:rPr>
                <w:rFonts w:ascii="Times New Roman" w:hAnsi="Times New Roman"/>
                <w:sz w:val="24"/>
              </w:rPr>
            </w:pPr>
            <w:r w:rsidRPr="00CB3DE1">
              <w:rPr>
                <w:rFonts w:ascii="Times New Roman" w:hAnsi="Times New Roman"/>
                <w:sz w:val="24"/>
              </w:rPr>
              <w:t>(2.400)</w:t>
            </w:r>
          </w:p>
        </w:tc>
        <w:tc>
          <w:tcPr>
            <w:tcW w:w="1263" w:type="pct"/>
            <w:tcMar>
              <w:left w:w="113" w:type="dxa"/>
              <w:bottom w:w="11" w:type="dxa"/>
              <w:right w:w="113" w:type="dxa"/>
            </w:tcMar>
            <w:vAlign w:val="bottom"/>
          </w:tcPr>
          <w:p w14:paraId="0F84F9FF" w14:textId="77777777" w:rsidR="00CB3DE1" w:rsidRPr="00CB3DE1" w:rsidRDefault="00CB3DE1" w:rsidP="00CB3DE1">
            <w:pPr>
              <w:spacing w:before="0"/>
              <w:jc w:val="right"/>
              <w:rPr>
                <w:rFonts w:ascii="Times New Roman" w:hAnsi="Times New Roman"/>
                <w:sz w:val="24"/>
              </w:rPr>
            </w:pPr>
            <w:r w:rsidRPr="00CB3DE1">
              <w:rPr>
                <w:rFonts w:ascii="Times New Roman" w:hAnsi="Times New Roman"/>
                <w:sz w:val="24"/>
              </w:rPr>
              <w:t>(900)</w:t>
            </w:r>
          </w:p>
        </w:tc>
      </w:tr>
      <w:tr w:rsidR="00CB3DE1" w:rsidRPr="00CB3DE1" w14:paraId="03DC1AEB" w14:textId="77777777" w:rsidTr="00BA6C7C">
        <w:trPr>
          <w:trHeight w:val="375"/>
        </w:trPr>
        <w:tc>
          <w:tcPr>
            <w:tcW w:w="2474" w:type="pct"/>
            <w:tcMar>
              <w:left w:w="113" w:type="dxa"/>
              <w:bottom w:w="11" w:type="dxa"/>
              <w:right w:w="113" w:type="dxa"/>
            </w:tcMar>
            <w:vAlign w:val="bottom"/>
          </w:tcPr>
          <w:p w14:paraId="2DFBA809" w14:textId="77777777" w:rsidR="00CB3DE1" w:rsidRPr="00CB3DE1" w:rsidRDefault="00CB3DE1" w:rsidP="00CB3DE1">
            <w:pPr>
              <w:spacing w:before="0"/>
              <w:jc w:val="left"/>
              <w:rPr>
                <w:rFonts w:ascii="Times New Roman" w:hAnsi="Times New Roman"/>
                <w:b/>
                <w:bCs/>
                <w:sz w:val="24"/>
              </w:rPr>
            </w:pPr>
            <w:r w:rsidRPr="00CB3DE1">
              <w:rPr>
                <w:rFonts w:ascii="Times New Roman" w:hAnsi="Times New Roman"/>
                <w:b/>
                <w:bCs/>
                <w:sz w:val="24"/>
              </w:rPr>
              <w:t>Valor contábil líquido do grupo de ativos</w:t>
            </w:r>
          </w:p>
        </w:tc>
        <w:tc>
          <w:tcPr>
            <w:tcW w:w="1263" w:type="pct"/>
            <w:tcMar>
              <w:left w:w="227" w:type="dxa"/>
              <w:bottom w:w="11" w:type="dxa"/>
              <w:right w:w="227" w:type="dxa"/>
            </w:tcMar>
            <w:vAlign w:val="bottom"/>
          </w:tcPr>
          <w:p w14:paraId="2A6A2F6C" w14:textId="77777777" w:rsidR="00CB3DE1" w:rsidRPr="00CB3DE1" w:rsidRDefault="00CB3DE1" w:rsidP="00CB3DE1">
            <w:pPr>
              <w:spacing w:before="0"/>
              <w:jc w:val="right"/>
              <w:rPr>
                <w:rFonts w:ascii="Times New Roman" w:hAnsi="Times New Roman"/>
                <w:b/>
                <w:bCs/>
                <w:sz w:val="24"/>
              </w:rPr>
            </w:pPr>
            <w:r w:rsidRPr="00CB3DE1">
              <w:rPr>
                <w:rFonts w:ascii="Times New Roman" w:hAnsi="Times New Roman"/>
                <w:b/>
                <w:bCs/>
                <w:sz w:val="24"/>
              </w:rPr>
              <w:t xml:space="preserve">3.900 </w:t>
            </w:r>
          </w:p>
        </w:tc>
        <w:tc>
          <w:tcPr>
            <w:tcW w:w="1263" w:type="pct"/>
            <w:tcMar>
              <w:left w:w="113" w:type="dxa"/>
              <w:bottom w:w="11" w:type="dxa"/>
              <w:right w:w="113" w:type="dxa"/>
            </w:tcMar>
            <w:vAlign w:val="bottom"/>
          </w:tcPr>
          <w:p w14:paraId="46AA0705" w14:textId="77777777" w:rsidR="00CB3DE1" w:rsidRPr="00CB3DE1" w:rsidRDefault="00CB3DE1" w:rsidP="00CB3DE1">
            <w:pPr>
              <w:spacing w:before="0"/>
              <w:jc w:val="right"/>
              <w:rPr>
                <w:rFonts w:ascii="Times New Roman" w:hAnsi="Times New Roman"/>
                <w:b/>
                <w:bCs/>
                <w:sz w:val="24"/>
              </w:rPr>
            </w:pPr>
            <w:r w:rsidRPr="00CB3DE1">
              <w:rPr>
                <w:rFonts w:ascii="Times New Roman" w:hAnsi="Times New Roman"/>
                <w:b/>
                <w:bCs/>
                <w:sz w:val="24"/>
              </w:rPr>
              <w:t xml:space="preserve">800 </w:t>
            </w:r>
          </w:p>
        </w:tc>
      </w:tr>
      <w:tr w:rsidR="00CB3DE1" w:rsidRPr="00CB3DE1" w14:paraId="065396FF" w14:textId="77777777" w:rsidTr="00BA6C7C">
        <w:trPr>
          <w:cantSplit/>
          <w:trHeight w:val="375"/>
        </w:trPr>
        <w:tc>
          <w:tcPr>
            <w:tcW w:w="5000" w:type="pct"/>
            <w:gridSpan w:val="3"/>
            <w:tcMar>
              <w:left w:w="113" w:type="dxa"/>
              <w:bottom w:w="11" w:type="dxa"/>
              <w:right w:w="113" w:type="dxa"/>
            </w:tcMar>
            <w:vAlign w:val="bottom"/>
          </w:tcPr>
          <w:p w14:paraId="2E016384" w14:textId="77777777" w:rsidR="00CB3DE1" w:rsidRPr="00CB3DE1" w:rsidRDefault="00CB3DE1" w:rsidP="00CB3DE1">
            <w:pPr>
              <w:spacing w:before="0"/>
              <w:jc w:val="left"/>
              <w:rPr>
                <w:rFonts w:ascii="Times New Roman" w:hAnsi="Times New Roman"/>
                <w:sz w:val="24"/>
              </w:rPr>
            </w:pPr>
            <w:r w:rsidRPr="00CB3DE1">
              <w:rPr>
                <w:rFonts w:ascii="Times New Roman" w:hAnsi="Times New Roman"/>
                <w:sz w:val="24"/>
              </w:rPr>
              <w:t>(a) o valor de $ 400 relativo a esses ativos foi reconhecido em outros resultados abrangentes e acumulado no patrimônio líquido.</w:t>
            </w:r>
          </w:p>
        </w:tc>
      </w:tr>
    </w:tbl>
    <w:p w14:paraId="4FD47885" w14:textId="77777777" w:rsidR="00CB3DE1" w:rsidRPr="00CB3DE1" w:rsidRDefault="00CB3DE1" w:rsidP="00CB3DE1">
      <w:pPr>
        <w:spacing w:before="0"/>
        <w:rPr>
          <w:rFonts w:ascii="Times New Roman" w:hAnsi="Times New Roman"/>
          <w:sz w:val="24"/>
        </w:rPr>
      </w:pPr>
    </w:p>
    <w:p w14:paraId="252075E3"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r w:rsidRPr="00CB3DE1">
        <w:rPr>
          <w:rFonts w:ascii="Times New Roman" w:hAnsi="Times New Roman"/>
          <w:color w:val="000000"/>
          <w:sz w:val="24"/>
          <w:lang w:val="pt-BR" w:eastAsia="x-none"/>
        </w:rPr>
        <w:t>A apresentação no balanço da entidade dos grupos de ativos classificados como mantidos para venda pode ser mostrada conforme a seguir:</w:t>
      </w:r>
    </w:p>
    <w:p w14:paraId="69574AB2" w14:textId="77777777" w:rsidR="00CB3DE1" w:rsidRPr="00CB3DE1" w:rsidRDefault="00CB3DE1" w:rsidP="00CB3DE1">
      <w:pPr>
        <w:spacing w:before="0"/>
        <w:rPr>
          <w:rFonts w:ascii="Times New Roman" w:hAnsi="Times New Roman"/>
          <w:sz w:val="24"/>
        </w:rPr>
      </w:pPr>
    </w:p>
    <w:tbl>
      <w:tblPr>
        <w:tblW w:w="5000" w:type="pct"/>
        <w:tblCellMar>
          <w:top w:w="10" w:type="dxa"/>
          <w:left w:w="50" w:type="dxa"/>
          <w:bottom w:w="5" w:type="dxa"/>
          <w:right w:w="50" w:type="dxa"/>
        </w:tblCellMar>
        <w:tblLook w:val="0000" w:firstRow="0" w:lastRow="0" w:firstColumn="0" w:lastColumn="0" w:noHBand="0" w:noVBand="0"/>
      </w:tblPr>
      <w:tblGrid>
        <w:gridCol w:w="6916"/>
        <w:gridCol w:w="1651"/>
        <w:gridCol w:w="1639"/>
      </w:tblGrid>
      <w:tr w:rsidR="00CB3DE1" w:rsidRPr="00CB3DE1" w14:paraId="09FA24E8" w14:textId="77777777" w:rsidTr="00BA6C7C">
        <w:trPr>
          <w:trHeight w:val="284"/>
          <w:tblHeader/>
        </w:trPr>
        <w:tc>
          <w:tcPr>
            <w:tcW w:w="6081" w:type="dxa"/>
            <w:vAlign w:val="bottom"/>
          </w:tcPr>
          <w:p w14:paraId="54D98892" w14:textId="77777777" w:rsidR="00CB3DE1" w:rsidRPr="00CB3DE1" w:rsidRDefault="00CB3DE1" w:rsidP="00CB3DE1">
            <w:pPr>
              <w:spacing w:before="0"/>
              <w:jc w:val="left"/>
              <w:rPr>
                <w:rFonts w:ascii="Times New Roman" w:hAnsi="Times New Roman"/>
                <w:snapToGrid w:val="0"/>
                <w:sz w:val="24"/>
              </w:rPr>
            </w:pPr>
          </w:p>
        </w:tc>
        <w:tc>
          <w:tcPr>
            <w:tcW w:w="1452" w:type="dxa"/>
            <w:tcMar>
              <w:left w:w="284" w:type="dxa"/>
              <w:right w:w="284" w:type="dxa"/>
            </w:tcMar>
            <w:vAlign w:val="bottom"/>
          </w:tcPr>
          <w:p w14:paraId="3859372F" w14:textId="77777777" w:rsidR="00CB3DE1" w:rsidRPr="00CB3DE1" w:rsidRDefault="00CB3DE1" w:rsidP="00CB3DE1">
            <w:pPr>
              <w:spacing w:before="0"/>
              <w:jc w:val="right"/>
              <w:rPr>
                <w:rFonts w:ascii="Times New Roman" w:hAnsi="Times New Roman"/>
                <w:b/>
                <w:bCs/>
                <w:snapToGrid w:val="0"/>
                <w:sz w:val="24"/>
              </w:rPr>
            </w:pPr>
            <w:r w:rsidRPr="00CB3DE1">
              <w:rPr>
                <w:rFonts w:ascii="Times New Roman" w:hAnsi="Times New Roman"/>
                <w:b/>
                <w:bCs/>
                <w:snapToGrid w:val="0"/>
                <w:sz w:val="24"/>
              </w:rPr>
              <w:t>20X5</w:t>
            </w:r>
          </w:p>
        </w:tc>
        <w:tc>
          <w:tcPr>
            <w:tcW w:w="1441" w:type="dxa"/>
            <w:tcMar>
              <w:left w:w="284" w:type="dxa"/>
              <w:right w:w="284" w:type="dxa"/>
            </w:tcMar>
            <w:vAlign w:val="bottom"/>
          </w:tcPr>
          <w:p w14:paraId="51A6E05D" w14:textId="77777777" w:rsidR="00CB3DE1" w:rsidRPr="00CB3DE1" w:rsidRDefault="00CB3DE1" w:rsidP="00CB3DE1">
            <w:pPr>
              <w:spacing w:before="0"/>
              <w:jc w:val="right"/>
              <w:rPr>
                <w:rFonts w:ascii="Times New Roman" w:hAnsi="Times New Roman"/>
                <w:b/>
                <w:bCs/>
                <w:snapToGrid w:val="0"/>
                <w:sz w:val="24"/>
              </w:rPr>
            </w:pPr>
            <w:r w:rsidRPr="00CB3DE1">
              <w:rPr>
                <w:rFonts w:ascii="Times New Roman" w:hAnsi="Times New Roman"/>
                <w:b/>
                <w:bCs/>
                <w:snapToGrid w:val="0"/>
                <w:sz w:val="24"/>
              </w:rPr>
              <w:t>20X4</w:t>
            </w:r>
          </w:p>
        </w:tc>
      </w:tr>
      <w:tr w:rsidR="00CB3DE1" w:rsidRPr="00CB3DE1" w14:paraId="4EBAAA13" w14:textId="77777777" w:rsidTr="00BA6C7C">
        <w:trPr>
          <w:trHeight w:val="284"/>
        </w:trPr>
        <w:tc>
          <w:tcPr>
            <w:tcW w:w="6081" w:type="dxa"/>
            <w:vAlign w:val="bottom"/>
          </w:tcPr>
          <w:p w14:paraId="5C6698F1" w14:textId="77777777" w:rsidR="00CB3DE1" w:rsidRPr="00CB3DE1" w:rsidRDefault="00CB3DE1" w:rsidP="00CB3DE1">
            <w:pPr>
              <w:spacing w:before="0"/>
              <w:jc w:val="left"/>
              <w:rPr>
                <w:rFonts w:ascii="Times New Roman" w:hAnsi="Times New Roman"/>
                <w:snapToGrid w:val="0"/>
                <w:sz w:val="24"/>
              </w:rPr>
            </w:pPr>
            <w:r w:rsidRPr="00CB3DE1">
              <w:rPr>
                <w:rFonts w:ascii="Times New Roman" w:hAnsi="Times New Roman"/>
                <w:snapToGrid w:val="0"/>
                <w:sz w:val="24"/>
              </w:rPr>
              <w:t>ATIVOS</w:t>
            </w:r>
          </w:p>
        </w:tc>
        <w:tc>
          <w:tcPr>
            <w:tcW w:w="1452" w:type="dxa"/>
            <w:tcMar>
              <w:left w:w="284" w:type="dxa"/>
              <w:right w:w="284" w:type="dxa"/>
            </w:tcMar>
            <w:vAlign w:val="bottom"/>
          </w:tcPr>
          <w:p w14:paraId="67064C63" w14:textId="77777777" w:rsidR="00CB3DE1" w:rsidRPr="00CB3DE1" w:rsidRDefault="00CB3DE1" w:rsidP="00CB3DE1">
            <w:pPr>
              <w:spacing w:before="0"/>
              <w:jc w:val="right"/>
              <w:rPr>
                <w:rFonts w:ascii="Times New Roman" w:hAnsi="Times New Roman"/>
                <w:snapToGrid w:val="0"/>
                <w:sz w:val="24"/>
              </w:rPr>
            </w:pPr>
          </w:p>
        </w:tc>
        <w:tc>
          <w:tcPr>
            <w:tcW w:w="1441" w:type="dxa"/>
            <w:tcMar>
              <w:left w:w="284" w:type="dxa"/>
              <w:right w:w="284" w:type="dxa"/>
            </w:tcMar>
            <w:vAlign w:val="bottom"/>
          </w:tcPr>
          <w:p w14:paraId="77AD4EF3" w14:textId="77777777" w:rsidR="00CB3DE1" w:rsidRPr="00CB3DE1" w:rsidRDefault="00CB3DE1" w:rsidP="00CB3DE1">
            <w:pPr>
              <w:spacing w:before="0"/>
              <w:jc w:val="right"/>
              <w:rPr>
                <w:rFonts w:ascii="Times New Roman" w:hAnsi="Times New Roman"/>
                <w:snapToGrid w:val="0"/>
                <w:sz w:val="24"/>
              </w:rPr>
            </w:pPr>
          </w:p>
        </w:tc>
      </w:tr>
      <w:tr w:rsidR="00CB3DE1" w:rsidRPr="00CB3DE1" w14:paraId="214164CA" w14:textId="77777777" w:rsidTr="00BA6C7C">
        <w:trPr>
          <w:trHeight w:val="284"/>
        </w:trPr>
        <w:tc>
          <w:tcPr>
            <w:tcW w:w="6081" w:type="dxa"/>
            <w:vAlign w:val="bottom"/>
          </w:tcPr>
          <w:p w14:paraId="6A1B8706" w14:textId="77777777" w:rsidR="00CB3DE1" w:rsidRPr="00CB3DE1" w:rsidRDefault="00CB3DE1" w:rsidP="00CB3DE1">
            <w:pPr>
              <w:spacing w:before="0"/>
              <w:jc w:val="left"/>
              <w:rPr>
                <w:rFonts w:ascii="Times New Roman" w:hAnsi="Times New Roman"/>
                <w:snapToGrid w:val="0"/>
                <w:sz w:val="24"/>
                <w:lang w:val="en-US"/>
              </w:rPr>
            </w:pPr>
            <w:r w:rsidRPr="00CB3DE1">
              <w:rPr>
                <w:rFonts w:ascii="Times New Roman" w:hAnsi="Times New Roman"/>
                <w:snapToGrid w:val="0"/>
                <w:sz w:val="24"/>
              </w:rPr>
              <w:t>Ativos circulantes</w:t>
            </w:r>
          </w:p>
        </w:tc>
        <w:tc>
          <w:tcPr>
            <w:tcW w:w="1452" w:type="dxa"/>
            <w:tcMar>
              <w:left w:w="284" w:type="dxa"/>
              <w:right w:w="284" w:type="dxa"/>
            </w:tcMar>
            <w:vAlign w:val="bottom"/>
          </w:tcPr>
          <w:p w14:paraId="3D17CF24" w14:textId="77777777" w:rsidR="00CB3DE1" w:rsidRPr="00CB3DE1" w:rsidRDefault="00CB3DE1" w:rsidP="00CB3DE1">
            <w:pPr>
              <w:spacing w:before="0"/>
              <w:jc w:val="right"/>
              <w:rPr>
                <w:rFonts w:ascii="Times New Roman" w:hAnsi="Times New Roman"/>
                <w:snapToGrid w:val="0"/>
                <w:sz w:val="24"/>
              </w:rPr>
            </w:pPr>
          </w:p>
        </w:tc>
        <w:tc>
          <w:tcPr>
            <w:tcW w:w="1441" w:type="dxa"/>
            <w:tcMar>
              <w:left w:w="284" w:type="dxa"/>
              <w:right w:w="284" w:type="dxa"/>
            </w:tcMar>
            <w:vAlign w:val="bottom"/>
          </w:tcPr>
          <w:p w14:paraId="55726960" w14:textId="77777777" w:rsidR="00CB3DE1" w:rsidRPr="00CB3DE1" w:rsidRDefault="00CB3DE1" w:rsidP="00CB3DE1">
            <w:pPr>
              <w:spacing w:before="0"/>
              <w:jc w:val="right"/>
              <w:rPr>
                <w:rFonts w:ascii="Times New Roman" w:hAnsi="Times New Roman"/>
                <w:snapToGrid w:val="0"/>
                <w:sz w:val="24"/>
              </w:rPr>
            </w:pPr>
          </w:p>
        </w:tc>
      </w:tr>
      <w:tr w:rsidR="00CB3DE1" w:rsidRPr="00CB3DE1" w14:paraId="5F28343A" w14:textId="77777777" w:rsidTr="00BA6C7C">
        <w:trPr>
          <w:trHeight w:val="284"/>
        </w:trPr>
        <w:tc>
          <w:tcPr>
            <w:tcW w:w="6081" w:type="dxa"/>
            <w:vAlign w:val="bottom"/>
          </w:tcPr>
          <w:p w14:paraId="64C455D9" w14:textId="77777777" w:rsidR="00CB3DE1" w:rsidRPr="00CB3DE1" w:rsidRDefault="00CB3DE1" w:rsidP="00CB3DE1">
            <w:pPr>
              <w:spacing w:before="0"/>
              <w:jc w:val="left"/>
              <w:rPr>
                <w:rFonts w:ascii="Times New Roman" w:hAnsi="Times New Roman"/>
                <w:snapToGrid w:val="0"/>
                <w:sz w:val="24"/>
              </w:rPr>
            </w:pPr>
            <w:r w:rsidRPr="00CB3DE1">
              <w:rPr>
                <w:rFonts w:ascii="Times New Roman" w:hAnsi="Times New Roman"/>
                <w:snapToGrid w:val="0"/>
                <w:sz w:val="24"/>
                <w:lang w:val="en-US"/>
              </w:rPr>
              <w:t>DDD</w:t>
            </w:r>
          </w:p>
        </w:tc>
        <w:tc>
          <w:tcPr>
            <w:tcW w:w="1452" w:type="dxa"/>
            <w:tcMar>
              <w:left w:w="284" w:type="dxa"/>
              <w:right w:w="284" w:type="dxa"/>
            </w:tcMar>
            <w:vAlign w:val="bottom"/>
          </w:tcPr>
          <w:p w14:paraId="5B1E5613"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lang w:val="en-US"/>
              </w:rPr>
              <w:t>X</w:t>
            </w:r>
          </w:p>
        </w:tc>
        <w:tc>
          <w:tcPr>
            <w:tcW w:w="1441" w:type="dxa"/>
            <w:tcMar>
              <w:left w:w="284" w:type="dxa"/>
              <w:right w:w="284" w:type="dxa"/>
            </w:tcMar>
            <w:vAlign w:val="bottom"/>
          </w:tcPr>
          <w:p w14:paraId="35D8F47D"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lang w:val="en-US"/>
              </w:rPr>
              <w:t>X</w:t>
            </w:r>
          </w:p>
        </w:tc>
      </w:tr>
      <w:tr w:rsidR="00CB3DE1" w:rsidRPr="00CB3DE1" w14:paraId="0B1B6E3B" w14:textId="77777777" w:rsidTr="00BA6C7C">
        <w:trPr>
          <w:trHeight w:val="284"/>
        </w:trPr>
        <w:tc>
          <w:tcPr>
            <w:tcW w:w="6081" w:type="dxa"/>
            <w:vAlign w:val="bottom"/>
          </w:tcPr>
          <w:p w14:paraId="24688697" w14:textId="77777777" w:rsidR="00CB3DE1" w:rsidRPr="00CB3DE1" w:rsidRDefault="00CB3DE1" w:rsidP="00CB3DE1">
            <w:pPr>
              <w:spacing w:before="0"/>
              <w:jc w:val="left"/>
              <w:rPr>
                <w:rFonts w:ascii="Times New Roman" w:hAnsi="Times New Roman"/>
                <w:snapToGrid w:val="0"/>
                <w:sz w:val="24"/>
                <w:lang w:val="en-US"/>
              </w:rPr>
            </w:pPr>
            <w:r w:rsidRPr="00CB3DE1">
              <w:rPr>
                <w:rFonts w:ascii="Times New Roman" w:hAnsi="Times New Roman"/>
                <w:snapToGrid w:val="0"/>
                <w:sz w:val="24"/>
                <w:lang w:val="es-ES_tradnl"/>
              </w:rPr>
              <w:t>EEE</w:t>
            </w:r>
          </w:p>
        </w:tc>
        <w:tc>
          <w:tcPr>
            <w:tcW w:w="1452" w:type="dxa"/>
            <w:tcMar>
              <w:left w:w="284" w:type="dxa"/>
              <w:right w:w="284" w:type="dxa"/>
            </w:tcMar>
            <w:vAlign w:val="bottom"/>
          </w:tcPr>
          <w:p w14:paraId="59000973" w14:textId="77777777" w:rsidR="00CB3DE1" w:rsidRPr="00CB3DE1" w:rsidRDefault="00CB3DE1" w:rsidP="00CB3DE1">
            <w:pPr>
              <w:spacing w:before="0"/>
              <w:jc w:val="right"/>
              <w:rPr>
                <w:rFonts w:ascii="Times New Roman" w:hAnsi="Times New Roman"/>
                <w:snapToGrid w:val="0"/>
                <w:sz w:val="24"/>
                <w:u w:val="single"/>
                <w:lang w:val="en-US"/>
              </w:rPr>
            </w:pPr>
            <w:r w:rsidRPr="00CB3DE1">
              <w:rPr>
                <w:rFonts w:ascii="Times New Roman" w:hAnsi="Times New Roman"/>
                <w:snapToGrid w:val="0"/>
                <w:sz w:val="24"/>
                <w:u w:val="single"/>
                <w:lang w:val="es-ES_tradnl"/>
              </w:rPr>
              <w:t>X</w:t>
            </w:r>
          </w:p>
        </w:tc>
        <w:tc>
          <w:tcPr>
            <w:tcW w:w="1441" w:type="dxa"/>
            <w:tcMar>
              <w:left w:w="284" w:type="dxa"/>
              <w:right w:w="284" w:type="dxa"/>
            </w:tcMar>
            <w:vAlign w:val="bottom"/>
          </w:tcPr>
          <w:p w14:paraId="71775C43" w14:textId="77777777" w:rsidR="00CB3DE1" w:rsidRPr="00CB3DE1" w:rsidRDefault="00CB3DE1" w:rsidP="00CB3DE1">
            <w:pPr>
              <w:spacing w:before="0"/>
              <w:jc w:val="right"/>
              <w:rPr>
                <w:rFonts w:ascii="Times New Roman" w:hAnsi="Times New Roman"/>
                <w:snapToGrid w:val="0"/>
                <w:sz w:val="24"/>
                <w:u w:val="single"/>
                <w:lang w:val="en-US"/>
              </w:rPr>
            </w:pPr>
            <w:r w:rsidRPr="00CB3DE1">
              <w:rPr>
                <w:rFonts w:ascii="Times New Roman" w:hAnsi="Times New Roman"/>
                <w:snapToGrid w:val="0"/>
                <w:sz w:val="24"/>
                <w:u w:val="single"/>
                <w:lang w:val="es-ES_tradnl"/>
              </w:rPr>
              <w:t>X</w:t>
            </w:r>
          </w:p>
        </w:tc>
      </w:tr>
      <w:tr w:rsidR="00CB3DE1" w:rsidRPr="00CB3DE1" w14:paraId="7D94A137" w14:textId="77777777" w:rsidTr="00BA6C7C">
        <w:trPr>
          <w:trHeight w:val="284"/>
        </w:trPr>
        <w:tc>
          <w:tcPr>
            <w:tcW w:w="6081" w:type="dxa"/>
            <w:vAlign w:val="bottom"/>
          </w:tcPr>
          <w:p w14:paraId="36607286" w14:textId="77777777" w:rsidR="00CB3DE1" w:rsidRPr="00CB3DE1" w:rsidRDefault="00CB3DE1" w:rsidP="00CB3DE1">
            <w:pPr>
              <w:spacing w:before="0"/>
              <w:jc w:val="left"/>
              <w:rPr>
                <w:rFonts w:ascii="Times New Roman" w:hAnsi="Times New Roman"/>
                <w:snapToGrid w:val="0"/>
                <w:sz w:val="24"/>
                <w:lang w:val="es-ES_tradnl"/>
              </w:rPr>
            </w:pPr>
          </w:p>
        </w:tc>
        <w:tc>
          <w:tcPr>
            <w:tcW w:w="1452" w:type="dxa"/>
            <w:tcMar>
              <w:left w:w="284" w:type="dxa"/>
              <w:right w:w="284" w:type="dxa"/>
            </w:tcMar>
            <w:vAlign w:val="bottom"/>
          </w:tcPr>
          <w:p w14:paraId="2D165526" w14:textId="77777777" w:rsidR="00CB3DE1" w:rsidRPr="00CB3DE1" w:rsidRDefault="00CB3DE1" w:rsidP="00CB3DE1">
            <w:pPr>
              <w:spacing w:before="0"/>
              <w:jc w:val="right"/>
              <w:rPr>
                <w:rFonts w:ascii="Times New Roman" w:hAnsi="Times New Roman"/>
                <w:snapToGrid w:val="0"/>
                <w:sz w:val="24"/>
                <w:lang w:val="es-ES_tradnl"/>
              </w:rPr>
            </w:pPr>
            <w:r w:rsidRPr="00CB3DE1">
              <w:rPr>
                <w:rFonts w:ascii="Times New Roman" w:hAnsi="Times New Roman"/>
                <w:snapToGrid w:val="0"/>
                <w:sz w:val="24"/>
              </w:rPr>
              <w:t>X</w:t>
            </w:r>
          </w:p>
        </w:tc>
        <w:tc>
          <w:tcPr>
            <w:tcW w:w="1441" w:type="dxa"/>
            <w:tcMar>
              <w:left w:w="284" w:type="dxa"/>
              <w:right w:w="284" w:type="dxa"/>
            </w:tcMar>
            <w:vAlign w:val="bottom"/>
          </w:tcPr>
          <w:p w14:paraId="4CCD5DCF" w14:textId="77777777" w:rsidR="00CB3DE1" w:rsidRPr="00CB3DE1" w:rsidRDefault="00CB3DE1" w:rsidP="00CB3DE1">
            <w:pPr>
              <w:spacing w:before="0"/>
              <w:jc w:val="right"/>
              <w:rPr>
                <w:rFonts w:ascii="Times New Roman" w:hAnsi="Times New Roman"/>
                <w:snapToGrid w:val="0"/>
                <w:sz w:val="24"/>
                <w:lang w:val="es-ES_tradnl"/>
              </w:rPr>
            </w:pPr>
            <w:r w:rsidRPr="00CB3DE1">
              <w:rPr>
                <w:rFonts w:ascii="Times New Roman" w:hAnsi="Times New Roman"/>
                <w:snapToGrid w:val="0"/>
                <w:sz w:val="24"/>
              </w:rPr>
              <w:t>X</w:t>
            </w:r>
          </w:p>
        </w:tc>
      </w:tr>
      <w:tr w:rsidR="00CB3DE1" w:rsidRPr="00CB3DE1" w14:paraId="7FA7602C" w14:textId="77777777" w:rsidTr="00BA6C7C">
        <w:trPr>
          <w:trHeight w:val="284"/>
        </w:trPr>
        <w:tc>
          <w:tcPr>
            <w:tcW w:w="6081" w:type="dxa"/>
            <w:vAlign w:val="bottom"/>
          </w:tcPr>
          <w:p w14:paraId="49F9C513" w14:textId="77777777" w:rsidR="00CB3DE1" w:rsidRPr="00CB3DE1" w:rsidRDefault="00CB3DE1" w:rsidP="00CB3DE1">
            <w:pPr>
              <w:spacing w:before="0"/>
              <w:jc w:val="left"/>
              <w:rPr>
                <w:rFonts w:ascii="Times New Roman" w:hAnsi="Times New Roman"/>
                <w:snapToGrid w:val="0"/>
                <w:sz w:val="24"/>
                <w:lang w:val="pt-BR"/>
              </w:rPr>
            </w:pPr>
            <w:r w:rsidRPr="00CB3DE1">
              <w:rPr>
                <w:rFonts w:ascii="Times New Roman" w:hAnsi="Times New Roman"/>
                <w:snapToGrid w:val="0"/>
                <w:sz w:val="24"/>
              </w:rPr>
              <w:t>Ativos não circulantes classificados como mantidos para venda</w:t>
            </w:r>
          </w:p>
        </w:tc>
        <w:tc>
          <w:tcPr>
            <w:tcW w:w="1452" w:type="dxa"/>
            <w:tcMar>
              <w:left w:w="284" w:type="dxa"/>
              <w:right w:w="284" w:type="dxa"/>
            </w:tcMar>
            <w:vAlign w:val="bottom"/>
          </w:tcPr>
          <w:p w14:paraId="0E0A3AC1" w14:textId="77777777" w:rsidR="00CB3DE1" w:rsidRPr="00CB3DE1" w:rsidRDefault="00CB3DE1" w:rsidP="00CB3DE1">
            <w:pPr>
              <w:spacing w:before="0"/>
              <w:jc w:val="right"/>
              <w:rPr>
                <w:rFonts w:ascii="Times New Roman" w:hAnsi="Times New Roman"/>
                <w:snapToGrid w:val="0"/>
                <w:sz w:val="24"/>
                <w:u w:val="single"/>
              </w:rPr>
            </w:pPr>
            <w:r w:rsidRPr="00CB3DE1">
              <w:rPr>
                <w:rFonts w:ascii="Times New Roman" w:hAnsi="Times New Roman"/>
                <w:snapToGrid w:val="0"/>
                <w:sz w:val="24"/>
                <w:u w:val="single"/>
              </w:rPr>
              <w:t>8.000</w:t>
            </w:r>
          </w:p>
        </w:tc>
        <w:tc>
          <w:tcPr>
            <w:tcW w:w="1441" w:type="dxa"/>
            <w:tcMar>
              <w:left w:w="284" w:type="dxa"/>
              <w:right w:w="284" w:type="dxa"/>
            </w:tcMar>
            <w:vAlign w:val="bottom"/>
          </w:tcPr>
          <w:p w14:paraId="397CB137" w14:textId="77777777" w:rsidR="00CB3DE1" w:rsidRPr="00CB3DE1" w:rsidRDefault="00CB3DE1" w:rsidP="00CB3DE1">
            <w:pPr>
              <w:spacing w:before="0"/>
              <w:jc w:val="right"/>
              <w:rPr>
                <w:rFonts w:ascii="Times New Roman" w:hAnsi="Times New Roman"/>
                <w:snapToGrid w:val="0"/>
                <w:sz w:val="24"/>
                <w:u w:val="single"/>
              </w:rPr>
            </w:pPr>
            <w:r w:rsidRPr="00CB3DE1">
              <w:rPr>
                <w:rFonts w:ascii="Times New Roman" w:hAnsi="Times New Roman"/>
                <w:snapToGrid w:val="0"/>
                <w:sz w:val="24"/>
                <w:u w:val="single"/>
              </w:rPr>
              <w:t>–</w:t>
            </w:r>
          </w:p>
        </w:tc>
      </w:tr>
      <w:tr w:rsidR="00CB3DE1" w:rsidRPr="00CB3DE1" w14:paraId="49D9F344" w14:textId="77777777" w:rsidTr="00BA6C7C">
        <w:trPr>
          <w:trHeight w:val="284"/>
        </w:trPr>
        <w:tc>
          <w:tcPr>
            <w:tcW w:w="6081" w:type="dxa"/>
            <w:vAlign w:val="bottom"/>
          </w:tcPr>
          <w:p w14:paraId="532165FA" w14:textId="77777777" w:rsidR="00CB3DE1" w:rsidRPr="00CB3DE1" w:rsidRDefault="00CB3DE1" w:rsidP="00CB3DE1">
            <w:pPr>
              <w:spacing w:before="0"/>
              <w:jc w:val="left"/>
              <w:rPr>
                <w:rFonts w:ascii="Times New Roman" w:hAnsi="Times New Roman"/>
                <w:snapToGrid w:val="0"/>
                <w:sz w:val="24"/>
              </w:rPr>
            </w:pPr>
          </w:p>
        </w:tc>
        <w:tc>
          <w:tcPr>
            <w:tcW w:w="1452" w:type="dxa"/>
            <w:tcMar>
              <w:left w:w="284" w:type="dxa"/>
              <w:right w:w="284" w:type="dxa"/>
            </w:tcMar>
            <w:vAlign w:val="bottom"/>
          </w:tcPr>
          <w:p w14:paraId="43521A89"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X</w:t>
            </w:r>
          </w:p>
        </w:tc>
        <w:tc>
          <w:tcPr>
            <w:tcW w:w="1441" w:type="dxa"/>
            <w:tcMar>
              <w:left w:w="284" w:type="dxa"/>
              <w:right w:w="284" w:type="dxa"/>
            </w:tcMar>
            <w:vAlign w:val="bottom"/>
          </w:tcPr>
          <w:p w14:paraId="3FD0D721"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X</w:t>
            </w:r>
          </w:p>
        </w:tc>
      </w:tr>
      <w:tr w:rsidR="00CB3DE1" w:rsidRPr="00CB3DE1" w14:paraId="07E4B508" w14:textId="77777777" w:rsidTr="00BA6C7C">
        <w:trPr>
          <w:trHeight w:val="284"/>
        </w:trPr>
        <w:tc>
          <w:tcPr>
            <w:tcW w:w="6081" w:type="dxa"/>
            <w:vAlign w:val="bottom"/>
          </w:tcPr>
          <w:p w14:paraId="49564F38" w14:textId="77777777" w:rsidR="00CB3DE1" w:rsidRPr="00CB3DE1" w:rsidRDefault="00CB3DE1" w:rsidP="00CB3DE1">
            <w:pPr>
              <w:spacing w:before="0"/>
              <w:jc w:val="left"/>
              <w:rPr>
                <w:rFonts w:ascii="Times New Roman" w:hAnsi="Times New Roman"/>
                <w:snapToGrid w:val="0"/>
                <w:sz w:val="24"/>
              </w:rPr>
            </w:pPr>
            <w:r w:rsidRPr="00CB3DE1">
              <w:rPr>
                <w:rFonts w:ascii="Times New Roman" w:hAnsi="Times New Roman"/>
                <w:snapToGrid w:val="0"/>
                <w:sz w:val="24"/>
              </w:rPr>
              <w:t>Ativos não circulantes</w:t>
            </w:r>
          </w:p>
        </w:tc>
        <w:tc>
          <w:tcPr>
            <w:tcW w:w="1452" w:type="dxa"/>
            <w:tcMar>
              <w:left w:w="284" w:type="dxa"/>
              <w:right w:w="284" w:type="dxa"/>
            </w:tcMar>
            <w:vAlign w:val="bottom"/>
          </w:tcPr>
          <w:p w14:paraId="0F29F72E" w14:textId="77777777" w:rsidR="00CB3DE1" w:rsidRPr="00CB3DE1" w:rsidRDefault="00CB3DE1" w:rsidP="00CB3DE1">
            <w:pPr>
              <w:spacing w:before="0"/>
              <w:jc w:val="right"/>
              <w:rPr>
                <w:rFonts w:ascii="Times New Roman" w:hAnsi="Times New Roman"/>
                <w:snapToGrid w:val="0"/>
                <w:sz w:val="24"/>
              </w:rPr>
            </w:pPr>
          </w:p>
        </w:tc>
        <w:tc>
          <w:tcPr>
            <w:tcW w:w="1441" w:type="dxa"/>
            <w:tcMar>
              <w:left w:w="284" w:type="dxa"/>
              <w:right w:w="284" w:type="dxa"/>
            </w:tcMar>
            <w:vAlign w:val="bottom"/>
          </w:tcPr>
          <w:p w14:paraId="57FC5F66" w14:textId="77777777" w:rsidR="00CB3DE1" w:rsidRPr="00CB3DE1" w:rsidRDefault="00CB3DE1" w:rsidP="00CB3DE1">
            <w:pPr>
              <w:spacing w:before="0"/>
              <w:jc w:val="right"/>
              <w:rPr>
                <w:rFonts w:ascii="Times New Roman" w:hAnsi="Times New Roman"/>
                <w:snapToGrid w:val="0"/>
                <w:sz w:val="24"/>
              </w:rPr>
            </w:pPr>
          </w:p>
        </w:tc>
      </w:tr>
      <w:tr w:rsidR="00CB3DE1" w:rsidRPr="00CB3DE1" w14:paraId="72CBB20F" w14:textId="77777777" w:rsidTr="00BA6C7C">
        <w:trPr>
          <w:trHeight w:val="284"/>
        </w:trPr>
        <w:tc>
          <w:tcPr>
            <w:tcW w:w="6081" w:type="dxa"/>
            <w:vAlign w:val="bottom"/>
          </w:tcPr>
          <w:p w14:paraId="6C01B9BD" w14:textId="77777777" w:rsidR="00CB3DE1" w:rsidRPr="00CB3DE1" w:rsidRDefault="00CB3DE1" w:rsidP="00CB3DE1">
            <w:pPr>
              <w:spacing w:before="0"/>
              <w:jc w:val="left"/>
              <w:rPr>
                <w:rFonts w:ascii="Times New Roman" w:hAnsi="Times New Roman"/>
                <w:snapToGrid w:val="0"/>
                <w:sz w:val="24"/>
              </w:rPr>
            </w:pPr>
            <w:r w:rsidRPr="00CB3DE1">
              <w:rPr>
                <w:rFonts w:ascii="Times New Roman" w:hAnsi="Times New Roman"/>
                <w:snapToGrid w:val="0"/>
                <w:sz w:val="24"/>
              </w:rPr>
              <w:t>AAA</w:t>
            </w:r>
          </w:p>
        </w:tc>
        <w:tc>
          <w:tcPr>
            <w:tcW w:w="1452" w:type="dxa"/>
            <w:tcMar>
              <w:left w:w="284" w:type="dxa"/>
              <w:right w:w="284" w:type="dxa"/>
            </w:tcMar>
            <w:vAlign w:val="bottom"/>
          </w:tcPr>
          <w:p w14:paraId="193F6C97"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lang w:val="es-ES_tradnl"/>
              </w:rPr>
              <w:t>X</w:t>
            </w:r>
          </w:p>
        </w:tc>
        <w:tc>
          <w:tcPr>
            <w:tcW w:w="1441" w:type="dxa"/>
            <w:tcMar>
              <w:left w:w="284" w:type="dxa"/>
              <w:right w:w="284" w:type="dxa"/>
            </w:tcMar>
            <w:vAlign w:val="bottom"/>
          </w:tcPr>
          <w:p w14:paraId="3135AA1C"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lang w:val="es-ES_tradnl"/>
              </w:rPr>
              <w:t>X</w:t>
            </w:r>
          </w:p>
        </w:tc>
      </w:tr>
      <w:tr w:rsidR="00CB3DE1" w:rsidRPr="00CB3DE1" w14:paraId="28675167" w14:textId="77777777" w:rsidTr="00BA6C7C">
        <w:trPr>
          <w:trHeight w:val="284"/>
        </w:trPr>
        <w:tc>
          <w:tcPr>
            <w:tcW w:w="6081" w:type="dxa"/>
            <w:vAlign w:val="bottom"/>
          </w:tcPr>
          <w:p w14:paraId="0B7AEB01" w14:textId="77777777" w:rsidR="00CB3DE1" w:rsidRPr="00CB3DE1" w:rsidRDefault="00CB3DE1" w:rsidP="00CB3DE1">
            <w:pPr>
              <w:spacing w:before="0"/>
              <w:jc w:val="left"/>
              <w:rPr>
                <w:rFonts w:ascii="Times New Roman" w:hAnsi="Times New Roman"/>
                <w:snapToGrid w:val="0"/>
                <w:sz w:val="24"/>
              </w:rPr>
            </w:pPr>
            <w:r w:rsidRPr="00CB3DE1">
              <w:rPr>
                <w:rFonts w:ascii="Times New Roman" w:hAnsi="Times New Roman"/>
                <w:snapToGrid w:val="0"/>
                <w:sz w:val="24"/>
                <w:lang w:val="en-US"/>
              </w:rPr>
              <w:t>BBB</w:t>
            </w:r>
          </w:p>
        </w:tc>
        <w:tc>
          <w:tcPr>
            <w:tcW w:w="1452" w:type="dxa"/>
            <w:tcMar>
              <w:left w:w="284" w:type="dxa"/>
              <w:right w:w="284" w:type="dxa"/>
            </w:tcMar>
            <w:vAlign w:val="bottom"/>
          </w:tcPr>
          <w:p w14:paraId="05963B17"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lang w:val="en-US"/>
              </w:rPr>
              <w:t>X</w:t>
            </w:r>
          </w:p>
        </w:tc>
        <w:tc>
          <w:tcPr>
            <w:tcW w:w="1441" w:type="dxa"/>
            <w:tcMar>
              <w:left w:w="284" w:type="dxa"/>
              <w:right w:w="284" w:type="dxa"/>
            </w:tcMar>
            <w:vAlign w:val="bottom"/>
          </w:tcPr>
          <w:p w14:paraId="6F659DE5"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lang w:val="en-US"/>
              </w:rPr>
              <w:t>X</w:t>
            </w:r>
          </w:p>
        </w:tc>
      </w:tr>
      <w:tr w:rsidR="00CB3DE1" w:rsidRPr="00CB3DE1" w14:paraId="111B1A15" w14:textId="77777777" w:rsidTr="00BA6C7C">
        <w:trPr>
          <w:trHeight w:val="284"/>
        </w:trPr>
        <w:tc>
          <w:tcPr>
            <w:tcW w:w="6081" w:type="dxa"/>
            <w:vAlign w:val="bottom"/>
          </w:tcPr>
          <w:p w14:paraId="1EAAB5F6" w14:textId="77777777" w:rsidR="00CB3DE1" w:rsidRPr="00CB3DE1" w:rsidRDefault="00CB3DE1" w:rsidP="00CB3DE1">
            <w:pPr>
              <w:spacing w:before="0"/>
              <w:jc w:val="left"/>
              <w:rPr>
                <w:rFonts w:ascii="Times New Roman" w:hAnsi="Times New Roman"/>
                <w:snapToGrid w:val="0"/>
                <w:sz w:val="24"/>
              </w:rPr>
            </w:pPr>
            <w:r w:rsidRPr="00CB3DE1">
              <w:rPr>
                <w:rFonts w:ascii="Times New Roman" w:hAnsi="Times New Roman"/>
                <w:snapToGrid w:val="0"/>
                <w:sz w:val="24"/>
                <w:lang w:val="en-US"/>
              </w:rPr>
              <w:t>CCC</w:t>
            </w:r>
          </w:p>
        </w:tc>
        <w:tc>
          <w:tcPr>
            <w:tcW w:w="1452" w:type="dxa"/>
            <w:tcMar>
              <w:left w:w="284" w:type="dxa"/>
              <w:right w:w="284" w:type="dxa"/>
            </w:tcMar>
            <w:vAlign w:val="bottom"/>
          </w:tcPr>
          <w:p w14:paraId="1613542B" w14:textId="77777777" w:rsidR="00CB3DE1" w:rsidRPr="00CB3DE1" w:rsidRDefault="00CB3DE1" w:rsidP="00CB3DE1">
            <w:pPr>
              <w:spacing w:before="0"/>
              <w:jc w:val="right"/>
              <w:rPr>
                <w:rFonts w:ascii="Times New Roman" w:hAnsi="Times New Roman"/>
                <w:snapToGrid w:val="0"/>
                <w:sz w:val="24"/>
                <w:u w:val="single"/>
              </w:rPr>
            </w:pPr>
            <w:r w:rsidRPr="00CB3DE1">
              <w:rPr>
                <w:rFonts w:ascii="Times New Roman" w:hAnsi="Times New Roman"/>
                <w:snapToGrid w:val="0"/>
                <w:sz w:val="24"/>
                <w:u w:val="single"/>
                <w:lang w:val="en-US"/>
              </w:rPr>
              <w:t>X</w:t>
            </w:r>
          </w:p>
        </w:tc>
        <w:tc>
          <w:tcPr>
            <w:tcW w:w="1441" w:type="dxa"/>
            <w:tcMar>
              <w:left w:w="284" w:type="dxa"/>
              <w:right w:w="284" w:type="dxa"/>
            </w:tcMar>
            <w:vAlign w:val="bottom"/>
          </w:tcPr>
          <w:p w14:paraId="7E90B921" w14:textId="77777777" w:rsidR="00CB3DE1" w:rsidRPr="00CB3DE1" w:rsidRDefault="00CB3DE1" w:rsidP="00CB3DE1">
            <w:pPr>
              <w:spacing w:before="0"/>
              <w:jc w:val="right"/>
              <w:rPr>
                <w:rFonts w:ascii="Times New Roman" w:hAnsi="Times New Roman"/>
                <w:snapToGrid w:val="0"/>
                <w:sz w:val="24"/>
                <w:u w:val="single"/>
              </w:rPr>
            </w:pPr>
            <w:r w:rsidRPr="00CB3DE1">
              <w:rPr>
                <w:rFonts w:ascii="Times New Roman" w:hAnsi="Times New Roman"/>
                <w:snapToGrid w:val="0"/>
                <w:sz w:val="24"/>
                <w:u w:val="single"/>
                <w:lang w:val="en-US"/>
              </w:rPr>
              <w:t>X</w:t>
            </w:r>
          </w:p>
        </w:tc>
      </w:tr>
      <w:tr w:rsidR="00CB3DE1" w:rsidRPr="00CB3DE1" w14:paraId="12F0CB21" w14:textId="77777777" w:rsidTr="00BA6C7C">
        <w:trPr>
          <w:trHeight w:val="284"/>
        </w:trPr>
        <w:tc>
          <w:tcPr>
            <w:tcW w:w="6081" w:type="dxa"/>
            <w:vAlign w:val="bottom"/>
          </w:tcPr>
          <w:p w14:paraId="57C44B1B" w14:textId="77777777" w:rsidR="00CB3DE1" w:rsidRPr="00CB3DE1" w:rsidRDefault="00CB3DE1" w:rsidP="00CB3DE1">
            <w:pPr>
              <w:spacing w:before="0"/>
              <w:jc w:val="left"/>
              <w:rPr>
                <w:rFonts w:ascii="Times New Roman" w:hAnsi="Times New Roman"/>
                <w:snapToGrid w:val="0"/>
                <w:sz w:val="24"/>
              </w:rPr>
            </w:pPr>
          </w:p>
        </w:tc>
        <w:tc>
          <w:tcPr>
            <w:tcW w:w="1452" w:type="dxa"/>
            <w:tcMar>
              <w:left w:w="284" w:type="dxa"/>
              <w:right w:w="284" w:type="dxa"/>
            </w:tcMar>
            <w:vAlign w:val="bottom"/>
          </w:tcPr>
          <w:p w14:paraId="20821C7C" w14:textId="77777777" w:rsidR="00CB3DE1" w:rsidRPr="00CB3DE1" w:rsidRDefault="00CB3DE1" w:rsidP="00CB3DE1">
            <w:pPr>
              <w:spacing w:before="0"/>
              <w:jc w:val="right"/>
              <w:rPr>
                <w:rFonts w:ascii="Times New Roman" w:hAnsi="Times New Roman"/>
                <w:snapToGrid w:val="0"/>
                <w:sz w:val="24"/>
                <w:u w:val="single"/>
              </w:rPr>
            </w:pPr>
            <w:r w:rsidRPr="00CB3DE1">
              <w:rPr>
                <w:rFonts w:ascii="Times New Roman" w:hAnsi="Times New Roman"/>
                <w:snapToGrid w:val="0"/>
                <w:sz w:val="24"/>
                <w:u w:val="single"/>
              </w:rPr>
              <w:t>X</w:t>
            </w:r>
          </w:p>
        </w:tc>
        <w:tc>
          <w:tcPr>
            <w:tcW w:w="1441" w:type="dxa"/>
            <w:tcMar>
              <w:left w:w="284" w:type="dxa"/>
              <w:right w:w="284" w:type="dxa"/>
            </w:tcMar>
            <w:vAlign w:val="bottom"/>
          </w:tcPr>
          <w:p w14:paraId="3A8B7413" w14:textId="77777777" w:rsidR="00CB3DE1" w:rsidRPr="00CB3DE1" w:rsidRDefault="00CB3DE1" w:rsidP="00CB3DE1">
            <w:pPr>
              <w:spacing w:before="0"/>
              <w:jc w:val="right"/>
              <w:rPr>
                <w:rFonts w:ascii="Times New Roman" w:hAnsi="Times New Roman"/>
                <w:snapToGrid w:val="0"/>
                <w:sz w:val="24"/>
                <w:u w:val="single"/>
              </w:rPr>
            </w:pPr>
            <w:r w:rsidRPr="00CB3DE1">
              <w:rPr>
                <w:rFonts w:ascii="Times New Roman" w:hAnsi="Times New Roman"/>
                <w:snapToGrid w:val="0"/>
                <w:sz w:val="24"/>
                <w:u w:val="single"/>
              </w:rPr>
              <w:t>X</w:t>
            </w:r>
          </w:p>
        </w:tc>
      </w:tr>
      <w:tr w:rsidR="00CB3DE1" w:rsidRPr="00CB3DE1" w14:paraId="00B7ABA0" w14:textId="77777777" w:rsidTr="00BA6C7C">
        <w:trPr>
          <w:trHeight w:val="284"/>
        </w:trPr>
        <w:tc>
          <w:tcPr>
            <w:tcW w:w="6081" w:type="dxa"/>
            <w:vAlign w:val="bottom"/>
          </w:tcPr>
          <w:p w14:paraId="3AAD7CBE" w14:textId="77777777" w:rsidR="00CB3DE1" w:rsidRPr="00CB3DE1" w:rsidRDefault="00CB3DE1" w:rsidP="00CB3DE1">
            <w:pPr>
              <w:spacing w:before="0"/>
              <w:jc w:val="left"/>
              <w:rPr>
                <w:rFonts w:ascii="Times New Roman" w:hAnsi="Times New Roman"/>
                <w:snapToGrid w:val="0"/>
                <w:sz w:val="24"/>
              </w:rPr>
            </w:pPr>
          </w:p>
        </w:tc>
        <w:tc>
          <w:tcPr>
            <w:tcW w:w="1452" w:type="dxa"/>
            <w:tcMar>
              <w:left w:w="284" w:type="dxa"/>
              <w:right w:w="284" w:type="dxa"/>
            </w:tcMar>
            <w:vAlign w:val="bottom"/>
          </w:tcPr>
          <w:p w14:paraId="2C975101" w14:textId="77777777" w:rsidR="00CB3DE1" w:rsidRPr="00CB3DE1" w:rsidRDefault="00CB3DE1" w:rsidP="00CB3DE1">
            <w:pPr>
              <w:spacing w:before="0"/>
              <w:jc w:val="right"/>
              <w:rPr>
                <w:rFonts w:ascii="Times New Roman" w:hAnsi="Times New Roman"/>
                <w:snapToGrid w:val="0"/>
                <w:sz w:val="24"/>
              </w:rPr>
            </w:pPr>
          </w:p>
        </w:tc>
        <w:tc>
          <w:tcPr>
            <w:tcW w:w="1441" w:type="dxa"/>
            <w:tcMar>
              <w:left w:w="284" w:type="dxa"/>
              <w:right w:w="284" w:type="dxa"/>
            </w:tcMar>
            <w:vAlign w:val="bottom"/>
          </w:tcPr>
          <w:p w14:paraId="440B4DE2" w14:textId="77777777" w:rsidR="00CB3DE1" w:rsidRPr="00CB3DE1" w:rsidRDefault="00CB3DE1" w:rsidP="00CB3DE1">
            <w:pPr>
              <w:spacing w:before="0"/>
              <w:jc w:val="right"/>
              <w:rPr>
                <w:rFonts w:ascii="Times New Roman" w:hAnsi="Times New Roman"/>
                <w:snapToGrid w:val="0"/>
                <w:sz w:val="24"/>
              </w:rPr>
            </w:pPr>
          </w:p>
        </w:tc>
      </w:tr>
      <w:tr w:rsidR="00CB3DE1" w:rsidRPr="00CB3DE1" w14:paraId="783A3B66" w14:textId="77777777" w:rsidTr="00BA6C7C">
        <w:trPr>
          <w:trHeight w:val="284"/>
        </w:trPr>
        <w:tc>
          <w:tcPr>
            <w:tcW w:w="6081" w:type="dxa"/>
            <w:vAlign w:val="bottom"/>
          </w:tcPr>
          <w:p w14:paraId="213FC868" w14:textId="77777777" w:rsidR="00CB3DE1" w:rsidRPr="00CB3DE1" w:rsidRDefault="00CB3DE1" w:rsidP="00CB3DE1">
            <w:pPr>
              <w:spacing w:before="0"/>
              <w:jc w:val="left"/>
              <w:rPr>
                <w:rFonts w:ascii="Times New Roman" w:hAnsi="Times New Roman"/>
                <w:snapToGrid w:val="0"/>
                <w:sz w:val="24"/>
              </w:rPr>
            </w:pPr>
            <w:r w:rsidRPr="00CB3DE1">
              <w:rPr>
                <w:rFonts w:ascii="Times New Roman" w:hAnsi="Times New Roman"/>
                <w:snapToGrid w:val="0"/>
                <w:sz w:val="24"/>
              </w:rPr>
              <w:t>Total do ativo</w:t>
            </w:r>
          </w:p>
        </w:tc>
        <w:tc>
          <w:tcPr>
            <w:tcW w:w="1452" w:type="dxa"/>
            <w:tcMar>
              <w:left w:w="284" w:type="dxa"/>
              <w:right w:w="284" w:type="dxa"/>
            </w:tcMar>
            <w:vAlign w:val="bottom"/>
          </w:tcPr>
          <w:p w14:paraId="26F808DD" w14:textId="77777777" w:rsidR="00CB3DE1" w:rsidRPr="00CB3DE1" w:rsidRDefault="00CB3DE1" w:rsidP="00CB3DE1">
            <w:pPr>
              <w:spacing w:before="0"/>
              <w:jc w:val="right"/>
              <w:rPr>
                <w:rFonts w:ascii="Times New Roman" w:hAnsi="Times New Roman"/>
                <w:snapToGrid w:val="0"/>
                <w:sz w:val="24"/>
                <w:u w:val="double"/>
              </w:rPr>
            </w:pPr>
            <w:r w:rsidRPr="00CB3DE1">
              <w:rPr>
                <w:rFonts w:ascii="Times New Roman" w:hAnsi="Times New Roman"/>
                <w:snapToGrid w:val="0"/>
                <w:sz w:val="24"/>
                <w:u w:val="double"/>
              </w:rPr>
              <w:t>X</w:t>
            </w:r>
          </w:p>
        </w:tc>
        <w:tc>
          <w:tcPr>
            <w:tcW w:w="1441" w:type="dxa"/>
            <w:tcMar>
              <w:left w:w="284" w:type="dxa"/>
              <w:right w:w="284" w:type="dxa"/>
            </w:tcMar>
            <w:vAlign w:val="bottom"/>
          </w:tcPr>
          <w:p w14:paraId="1478C56A" w14:textId="77777777" w:rsidR="00CB3DE1" w:rsidRPr="00CB3DE1" w:rsidRDefault="00CB3DE1" w:rsidP="00CB3DE1">
            <w:pPr>
              <w:spacing w:before="0"/>
              <w:jc w:val="right"/>
              <w:rPr>
                <w:rFonts w:ascii="Times New Roman" w:hAnsi="Times New Roman"/>
                <w:snapToGrid w:val="0"/>
                <w:sz w:val="24"/>
                <w:u w:val="double"/>
              </w:rPr>
            </w:pPr>
            <w:r w:rsidRPr="00CB3DE1">
              <w:rPr>
                <w:rFonts w:ascii="Times New Roman" w:hAnsi="Times New Roman"/>
                <w:snapToGrid w:val="0"/>
                <w:sz w:val="24"/>
                <w:u w:val="double"/>
              </w:rPr>
              <w:t>X</w:t>
            </w:r>
          </w:p>
        </w:tc>
      </w:tr>
      <w:tr w:rsidR="00CB3DE1" w:rsidRPr="00CB3DE1" w14:paraId="5E9F4530" w14:textId="77777777" w:rsidTr="00BA6C7C">
        <w:trPr>
          <w:trHeight w:val="284"/>
        </w:trPr>
        <w:tc>
          <w:tcPr>
            <w:tcW w:w="6081" w:type="dxa"/>
            <w:vAlign w:val="bottom"/>
          </w:tcPr>
          <w:p w14:paraId="6D05AFFA" w14:textId="77777777" w:rsidR="00CB3DE1" w:rsidRPr="00CB3DE1" w:rsidRDefault="00CB3DE1" w:rsidP="00CB3DE1">
            <w:pPr>
              <w:spacing w:before="0"/>
              <w:jc w:val="left"/>
              <w:rPr>
                <w:rFonts w:ascii="Times New Roman" w:hAnsi="Times New Roman"/>
                <w:snapToGrid w:val="0"/>
                <w:sz w:val="24"/>
              </w:rPr>
            </w:pPr>
          </w:p>
        </w:tc>
        <w:tc>
          <w:tcPr>
            <w:tcW w:w="1452" w:type="dxa"/>
            <w:tcMar>
              <w:left w:w="284" w:type="dxa"/>
              <w:right w:w="284" w:type="dxa"/>
            </w:tcMar>
            <w:vAlign w:val="bottom"/>
          </w:tcPr>
          <w:p w14:paraId="0E3CEC0E" w14:textId="77777777" w:rsidR="00CB3DE1" w:rsidRPr="00CB3DE1" w:rsidRDefault="00CB3DE1" w:rsidP="00CB3DE1">
            <w:pPr>
              <w:spacing w:before="0"/>
              <w:jc w:val="right"/>
              <w:rPr>
                <w:rFonts w:ascii="Times New Roman" w:hAnsi="Times New Roman"/>
                <w:snapToGrid w:val="0"/>
                <w:sz w:val="24"/>
              </w:rPr>
            </w:pPr>
          </w:p>
        </w:tc>
        <w:tc>
          <w:tcPr>
            <w:tcW w:w="1441" w:type="dxa"/>
            <w:tcMar>
              <w:left w:w="284" w:type="dxa"/>
              <w:right w:w="284" w:type="dxa"/>
            </w:tcMar>
            <w:vAlign w:val="bottom"/>
          </w:tcPr>
          <w:p w14:paraId="52388DA8" w14:textId="77777777" w:rsidR="00CB3DE1" w:rsidRPr="00CB3DE1" w:rsidRDefault="00CB3DE1" w:rsidP="00CB3DE1">
            <w:pPr>
              <w:spacing w:before="0"/>
              <w:jc w:val="right"/>
              <w:rPr>
                <w:rFonts w:ascii="Times New Roman" w:hAnsi="Times New Roman"/>
                <w:snapToGrid w:val="0"/>
                <w:sz w:val="24"/>
              </w:rPr>
            </w:pPr>
          </w:p>
        </w:tc>
      </w:tr>
      <w:tr w:rsidR="00CB3DE1" w:rsidRPr="00CB3DE1" w14:paraId="1D05E7F5" w14:textId="77777777" w:rsidTr="00BA6C7C">
        <w:trPr>
          <w:trHeight w:val="284"/>
        </w:trPr>
        <w:tc>
          <w:tcPr>
            <w:tcW w:w="6081" w:type="dxa"/>
            <w:vAlign w:val="bottom"/>
          </w:tcPr>
          <w:p w14:paraId="1F2E3681" w14:textId="77777777" w:rsidR="00CB3DE1" w:rsidRPr="00CB3DE1" w:rsidRDefault="00CB3DE1" w:rsidP="00CB3DE1">
            <w:pPr>
              <w:spacing w:before="0"/>
              <w:jc w:val="left"/>
              <w:rPr>
                <w:rFonts w:ascii="Times New Roman" w:hAnsi="Times New Roman"/>
                <w:snapToGrid w:val="0"/>
                <w:sz w:val="24"/>
              </w:rPr>
            </w:pPr>
            <w:r w:rsidRPr="00CB3DE1">
              <w:rPr>
                <w:rFonts w:ascii="Times New Roman" w:hAnsi="Times New Roman"/>
                <w:snapToGrid w:val="0"/>
                <w:sz w:val="24"/>
              </w:rPr>
              <w:t xml:space="preserve">PASSIVO E PATRIMÔNIO LÍQUIDO </w:t>
            </w:r>
          </w:p>
        </w:tc>
        <w:tc>
          <w:tcPr>
            <w:tcW w:w="1452" w:type="dxa"/>
            <w:tcMar>
              <w:left w:w="284" w:type="dxa"/>
              <w:right w:w="284" w:type="dxa"/>
            </w:tcMar>
            <w:vAlign w:val="bottom"/>
          </w:tcPr>
          <w:p w14:paraId="4AEDB433" w14:textId="77777777" w:rsidR="00CB3DE1" w:rsidRPr="00CB3DE1" w:rsidRDefault="00CB3DE1" w:rsidP="00CB3DE1">
            <w:pPr>
              <w:spacing w:before="0"/>
              <w:jc w:val="right"/>
              <w:rPr>
                <w:rFonts w:ascii="Times New Roman" w:hAnsi="Times New Roman"/>
                <w:snapToGrid w:val="0"/>
                <w:sz w:val="24"/>
              </w:rPr>
            </w:pPr>
          </w:p>
        </w:tc>
        <w:tc>
          <w:tcPr>
            <w:tcW w:w="1441" w:type="dxa"/>
            <w:tcMar>
              <w:left w:w="284" w:type="dxa"/>
              <w:right w:w="284" w:type="dxa"/>
            </w:tcMar>
            <w:vAlign w:val="bottom"/>
          </w:tcPr>
          <w:p w14:paraId="1C26F15B" w14:textId="77777777" w:rsidR="00CB3DE1" w:rsidRPr="00CB3DE1" w:rsidRDefault="00CB3DE1" w:rsidP="00CB3DE1">
            <w:pPr>
              <w:spacing w:before="0"/>
              <w:jc w:val="right"/>
              <w:rPr>
                <w:rFonts w:ascii="Times New Roman" w:hAnsi="Times New Roman"/>
                <w:snapToGrid w:val="0"/>
                <w:sz w:val="24"/>
              </w:rPr>
            </w:pPr>
          </w:p>
        </w:tc>
      </w:tr>
      <w:tr w:rsidR="00CB3DE1" w:rsidRPr="00CB3DE1" w14:paraId="4560D351" w14:textId="77777777" w:rsidTr="00BA6C7C">
        <w:trPr>
          <w:trHeight w:val="284"/>
        </w:trPr>
        <w:tc>
          <w:tcPr>
            <w:tcW w:w="6081" w:type="dxa"/>
            <w:vAlign w:val="bottom"/>
          </w:tcPr>
          <w:p w14:paraId="06A068D1" w14:textId="77777777" w:rsidR="00CB3DE1" w:rsidRPr="00CB3DE1" w:rsidRDefault="00CB3DE1" w:rsidP="00CB3DE1">
            <w:pPr>
              <w:spacing w:before="0"/>
              <w:jc w:val="left"/>
              <w:rPr>
                <w:rFonts w:ascii="Times New Roman" w:hAnsi="Times New Roman"/>
                <w:snapToGrid w:val="0"/>
                <w:sz w:val="24"/>
              </w:rPr>
            </w:pPr>
            <w:r w:rsidRPr="00CB3DE1">
              <w:rPr>
                <w:rFonts w:ascii="Times New Roman" w:hAnsi="Times New Roman"/>
                <w:snapToGrid w:val="0"/>
                <w:sz w:val="24"/>
              </w:rPr>
              <w:t>Passivos circulantes</w:t>
            </w:r>
          </w:p>
        </w:tc>
        <w:tc>
          <w:tcPr>
            <w:tcW w:w="1452" w:type="dxa"/>
            <w:tcMar>
              <w:left w:w="284" w:type="dxa"/>
              <w:right w:w="284" w:type="dxa"/>
            </w:tcMar>
            <w:vAlign w:val="bottom"/>
          </w:tcPr>
          <w:p w14:paraId="52E1BFFD" w14:textId="77777777" w:rsidR="00CB3DE1" w:rsidRPr="00CB3DE1" w:rsidRDefault="00CB3DE1" w:rsidP="00CB3DE1">
            <w:pPr>
              <w:spacing w:before="0"/>
              <w:jc w:val="right"/>
              <w:rPr>
                <w:rFonts w:ascii="Times New Roman" w:hAnsi="Times New Roman"/>
                <w:snapToGrid w:val="0"/>
                <w:sz w:val="24"/>
              </w:rPr>
            </w:pPr>
          </w:p>
        </w:tc>
        <w:tc>
          <w:tcPr>
            <w:tcW w:w="1441" w:type="dxa"/>
            <w:tcMar>
              <w:left w:w="284" w:type="dxa"/>
              <w:right w:w="284" w:type="dxa"/>
            </w:tcMar>
            <w:vAlign w:val="bottom"/>
          </w:tcPr>
          <w:p w14:paraId="398F313D" w14:textId="77777777" w:rsidR="00CB3DE1" w:rsidRPr="00CB3DE1" w:rsidRDefault="00CB3DE1" w:rsidP="00CB3DE1">
            <w:pPr>
              <w:spacing w:before="0"/>
              <w:jc w:val="right"/>
              <w:rPr>
                <w:rFonts w:ascii="Times New Roman" w:hAnsi="Times New Roman"/>
                <w:snapToGrid w:val="0"/>
                <w:sz w:val="24"/>
              </w:rPr>
            </w:pPr>
          </w:p>
        </w:tc>
      </w:tr>
      <w:tr w:rsidR="00CB3DE1" w:rsidRPr="00CB3DE1" w14:paraId="75C46BA7" w14:textId="77777777" w:rsidTr="00BA6C7C">
        <w:trPr>
          <w:trHeight w:val="284"/>
        </w:trPr>
        <w:tc>
          <w:tcPr>
            <w:tcW w:w="6081" w:type="dxa"/>
            <w:vAlign w:val="bottom"/>
          </w:tcPr>
          <w:p w14:paraId="2E97A251" w14:textId="77777777" w:rsidR="00CB3DE1" w:rsidRPr="00CB3DE1" w:rsidRDefault="00CB3DE1" w:rsidP="00CB3DE1">
            <w:pPr>
              <w:spacing w:before="0"/>
              <w:jc w:val="left"/>
              <w:rPr>
                <w:rFonts w:ascii="Times New Roman" w:hAnsi="Times New Roman"/>
                <w:snapToGrid w:val="0"/>
                <w:sz w:val="24"/>
              </w:rPr>
            </w:pPr>
            <w:r w:rsidRPr="00CB3DE1">
              <w:rPr>
                <w:rFonts w:ascii="Times New Roman" w:hAnsi="Times New Roman"/>
                <w:snapToGrid w:val="0"/>
                <w:sz w:val="24"/>
                <w:lang w:val="en-US"/>
              </w:rPr>
              <w:t>KKK</w:t>
            </w:r>
          </w:p>
        </w:tc>
        <w:tc>
          <w:tcPr>
            <w:tcW w:w="1452" w:type="dxa"/>
            <w:tcMar>
              <w:left w:w="284" w:type="dxa"/>
              <w:right w:w="284" w:type="dxa"/>
            </w:tcMar>
            <w:vAlign w:val="bottom"/>
          </w:tcPr>
          <w:p w14:paraId="0A3AD9BE"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lang w:val="en-US"/>
              </w:rPr>
              <w:t>X</w:t>
            </w:r>
          </w:p>
        </w:tc>
        <w:tc>
          <w:tcPr>
            <w:tcW w:w="1441" w:type="dxa"/>
            <w:tcMar>
              <w:left w:w="284" w:type="dxa"/>
              <w:right w:w="284" w:type="dxa"/>
            </w:tcMar>
            <w:vAlign w:val="bottom"/>
          </w:tcPr>
          <w:p w14:paraId="0EBFF91C"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lang w:val="en-US"/>
              </w:rPr>
              <w:t>X</w:t>
            </w:r>
          </w:p>
        </w:tc>
      </w:tr>
      <w:tr w:rsidR="00CB3DE1" w:rsidRPr="00CB3DE1" w14:paraId="4CC07CE0" w14:textId="77777777" w:rsidTr="00BA6C7C">
        <w:trPr>
          <w:trHeight w:val="284"/>
        </w:trPr>
        <w:tc>
          <w:tcPr>
            <w:tcW w:w="6081" w:type="dxa"/>
            <w:vAlign w:val="bottom"/>
          </w:tcPr>
          <w:p w14:paraId="0B62E6A0" w14:textId="77777777" w:rsidR="00CB3DE1" w:rsidRPr="00CB3DE1" w:rsidRDefault="00CB3DE1" w:rsidP="00CB3DE1">
            <w:pPr>
              <w:spacing w:before="0"/>
              <w:jc w:val="left"/>
              <w:rPr>
                <w:rFonts w:ascii="Times New Roman" w:hAnsi="Times New Roman"/>
                <w:snapToGrid w:val="0"/>
                <w:sz w:val="24"/>
              </w:rPr>
            </w:pPr>
            <w:r w:rsidRPr="00CB3DE1">
              <w:rPr>
                <w:rFonts w:ascii="Times New Roman" w:hAnsi="Times New Roman"/>
                <w:snapToGrid w:val="0"/>
                <w:sz w:val="24"/>
              </w:rPr>
              <w:t>LLL</w:t>
            </w:r>
          </w:p>
        </w:tc>
        <w:tc>
          <w:tcPr>
            <w:tcW w:w="1452" w:type="dxa"/>
            <w:tcMar>
              <w:left w:w="284" w:type="dxa"/>
              <w:right w:w="284" w:type="dxa"/>
            </w:tcMar>
            <w:vAlign w:val="bottom"/>
          </w:tcPr>
          <w:p w14:paraId="6C362C76"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X</w:t>
            </w:r>
          </w:p>
        </w:tc>
        <w:tc>
          <w:tcPr>
            <w:tcW w:w="1441" w:type="dxa"/>
            <w:tcMar>
              <w:left w:w="284" w:type="dxa"/>
              <w:right w:w="284" w:type="dxa"/>
            </w:tcMar>
            <w:vAlign w:val="bottom"/>
          </w:tcPr>
          <w:p w14:paraId="7554AEBD"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X</w:t>
            </w:r>
          </w:p>
        </w:tc>
      </w:tr>
      <w:tr w:rsidR="00CB3DE1" w:rsidRPr="00CB3DE1" w14:paraId="617AAB49" w14:textId="77777777" w:rsidTr="00BA6C7C">
        <w:trPr>
          <w:trHeight w:val="284"/>
        </w:trPr>
        <w:tc>
          <w:tcPr>
            <w:tcW w:w="6081" w:type="dxa"/>
            <w:vAlign w:val="bottom"/>
          </w:tcPr>
          <w:p w14:paraId="0F836CBA" w14:textId="77777777" w:rsidR="00CB3DE1" w:rsidRPr="00CB3DE1" w:rsidRDefault="00CB3DE1" w:rsidP="00CB3DE1">
            <w:pPr>
              <w:spacing w:before="0"/>
              <w:jc w:val="left"/>
              <w:rPr>
                <w:rFonts w:ascii="Times New Roman" w:hAnsi="Times New Roman"/>
                <w:snapToGrid w:val="0"/>
                <w:sz w:val="24"/>
              </w:rPr>
            </w:pPr>
            <w:r w:rsidRPr="00CB3DE1">
              <w:rPr>
                <w:rFonts w:ascii="Times New Roman" w:hAnsi="Times New Roman"/>
                <w:snapToGrid w:val="0"/>
                <w:sz w:val="24"/>
              </w:rPr>
              <w:t>MMM</w:t>
            </w:r>
          </w:p>
        </w:tc>
        <w:tc>
          <w:tcPr>
            <w:tcW w:w="1452" w:type="dxa"/>
            <w:tcMar>
              <w:left w:w="284" w:type="dxa"/>
              <w:right w:w="284" w:type="dxa"/>
            </w:tcMar>
            <w:vAlign w:val="bottom"/>
          </w:tcPr>
          <w:p w14:paraId="3FEEDCC2"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X</w:t>
            </w:r>
          </w:p>
        </w:tc>
        <w:tc>
          <w:tcPr>
            <w:tcW w:w="1441" w:type="dxa"/>
            <w:tcMar>
              <w:left w:w="284" w:type="dxa"/>
              <w:right w:w="284" w:type="dxa"/>
            </w:tcMar>
            <w:vAlign w:val="bottom"/>
          </w:tcPr>
          <w:p w14:paraId="4997D95D"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X</w:t>
            </w:r>
          </w:p>
        </w:tc>
      </w:tr>
      <w:tr w:rsidR="00CB3DE1" w:rsidRPr="00CB3DE1" w14:paraId="0F705CB0" w14:textId="77777777" w:rsidTr="00BA6C7C">
        <w:trPr>
          <w:trHeight w:val="284"/>
        </w:trPr>
        <w:tc>
          <w:tcPr>
            <w:tcW w:w="6081" w:type="dxa"/>
            <w:vAlign w:val="bottom"/>
          </w:tcPr>
          <w:p w14:paraId="3A09FBF1" w14:textId="77777777" w:rsidR="00CB3DE1" w:rsidRPr="00CB3DE1" w:rsidRDefault="00CB3DE1" w:rsidP="00CB3DE1">
            <w:pPr>
              <w:spacing w:before="0"/>
              <w:jc w:val="left"/>
              <w:rPr>
                <w:rFonts w:ascii="Times New Roman" w:hAnsi="Times New Roman"/>
                <w:snapToGrid w:val="0"/>
                <w:sz w:val="24"/>
              </w:rPr>
            </w:pPr>
            <w:r w:rsidRPr="00CB3DE1">
              <w:rPr>
                <w:rFonts w:ascii="Times New Roman" w:hAnsi="Times New Roman"/>
                <w:snapToGrid w:val="0"/>
                <w:sz w:val="24"/>
              </w:rPr>
              <w:t>Passivos diretamente associados a ativos não circulantes classificados como mantidos para venda</w:t>
            </w:r>
          </w:p>
        </w:tc>
        <w:tc>
          <w:tcPr>
            <w:tcW w:w="1452" w:type="dxa"/>
            <w:tcMar>
              <w:left w:w="284" w:type="dxa"/>
              <w:right w:w="284" w:type="dxa"/>
            </w:tcMar>
            <w:vAlign w:val="bottom"/>
          </w:tcPr>
          <w:p w14:paraId="2C132006" w14:textId="77777777" w:rsidR="00CB3DE1" w:rsidRPr="00CB3DE1" w:rsidRDefault="00CB3DE1" w:rsidP="00CB3DE1">
            <w:pPr>
              <w:spacing w:before="0"/>
              <w:jc w:val="right"/>
              <w:rPr>
                <w:rFonts w:ascii="Times New Roman" w:hAnsi="Times New Roman"/>
                <w:snapToGrid w:val="0"/>
                <w:sz w:val="24"/>
                <w:u w:val="single"/>
              </w:rPr>
            </w:pPr>
            <w:r w:rsidRPr="00CB3DE1">
              <w:rPr>
                <w:rFonts w:ascii="Times New Roman" w:hAnsi="Times New Roman"/>
                <w:snapToGrid w:val="0"/>
                <w:sz w:val="24"/>
                <w:u w:val="single"/>
              </w:rPr>
              <w:t>3.300</w:t>
            </w:r>
          </w:p>
        </w:tc>
        <w:tc>
          <w:tcPr>
            <w:tcW w:w="1441" w:type="dxa"/>
            <w:tcMar>
              <w:left w:w="284" w:type="dxa"/>
              <w:right w:w="284" w:type="dxa"/>
            </w:tcMar>
            <w:vAlign w:val="bottom"/>
          </w:tcPr>
          <w:p w14:paraId="74C046FD" w14:textId="77777777" w:rsidR="00CB3DE1" w:rsidRPr="00CB3DE1" w:rsidRDefault="00CB3DE1" w:rsidP="00CB3DE1">
            <w:pPr>
              <w:spacing w:before="0"/>
              <w:jc w:val="right"/>
              <w:rPr>
                <w:rFonts w:ascii="Times New Roman" w:hAnsi="Times New Roman"/>
                <w:snapToGrid w:val="0"/>
                <w:sz w:val="24"/>
                <w:u w:val="single"/>
              </w:rPr>
            </w:pPr>
            <w:r w:rsidRPr="00CB3DE1">
              <w:rPr>
                <w:rFonts w:ascii="Times New Roman" w:hAnsi="Times New Roman"/>
                <w:snapToGrid w:val="0"/>
                <w:sz w:val="24"/>
                <w:u w:val="single"/>
              </w:rPr>
              <w:t>–</w:t>
            </w:r>
          </w:p>
        </w:tc>
      </w:tr>
      <w:tr w:rsidR="00CB3DE1" w:rsidRPr="00CB3DE1" w14:paraId="4CF33AF5" w14:textId="77777777" w:rsidTr="00BA6C7C">
        <w:trPr>
          <w:trHeight w:val="284"/>
        </w:trPr>
        <w:tc>
          <w:tcPr>
            <w:tcW w:w="6081" w:type="dxa"/>
            <w:vAlign w:val="bottom"/>
          </w:tcPr>
          <w:p w14:paraId="64A07A51" w14:textId="77777777" w:rsidR="00CB3DE1" w:rsidRPr="00CB3DE1" w:rsidRDefault="00CB3DE1" w:rsidP="00CB3DE1">
            <w:pPr>
              <w:spacing w:before="0"/>
              <w:jc w:val="left"/>
              <w:rPr>
                <w:rFonts w:ascii="Times New Roman" w:hAnsi="Times New Roman"/>
                <w:snapToGrid w:val="0"/>
                <w:sz w:val="24"/>
              </w:rPr>
            </w:pPr>
          </w:p>
        </w:tc>
        <w:tc>
          <w:tcPr>
            <w:tcW w:w="1452" w:type="dxa"/>
            <w:tcMar>
              <w:left w:w="284" w:type="dxa"/>
              <w:right w:w="284" w:type="dxa"/>
            </w:tcMar>
            <w:vAlign w:val="bottom"/>
          </w:tcPr>
          <w:p w14:paraId="7B815FF8" w14:textId="77777777" w:rsidR="00CB3DE1" w:rsidRPr="00CB3DE1" w:rsidRDefault="00CB3DE1" w:rsidP="00CB3DE1">
            <w:pPr>
              <w:spacing w:before="0"/>
              <w:jc w:val="right"/>
              <w:rPr>
                <w:rFonts w:ascii="Times New Roman" w:hAnsi="Times New Roman"/>
                <w:snapToGrid w:val="0"/>
                <w:sz w:val="24"/>
                <w:u w:val="single"/>
              </w:rPr>
            </w:pPr>
            <w:r w:rsidRPr="00CB3DE1">
              <w:rPr>
                <w:rFonts w:ascii="Times New Roman" w:hAnsi="Times New Roman"/>
                <w:snapToGrid w:val="0"/>
                <w:sz w:val="24"/>
                <w:u w:val="single"/>
              </w:rPr>
              <w:t>X</w:t>
            </w:r>
          </w:p>
        </w:tc>
        <w:tc>
          <w:tcPr>
            <w:tcW w:w="1441" w:type="dxa"/>
            <w:tcMar>
              <w:left w:w="284" w:type="dxa"/>
              <w:right w:w="284" w:type="dxa"/>
            </w:tcMar>
            <w:vAlign w:val="bottom"/>
          </w:tcPr>
          <w:p w14:paraId="2D4BB889" w14:textId="77777777" w:rsidR="00CB3DE1" w:rsidRPr="00CB3DE1" w:rsidRDefault="00CB3DE1" w:rsidP="00CB3DE1">
            <w:pPr>
              <w:spacing w:before="0"/>
              <w:jc w:val="right"/>
              <w:rPr>
                <w:rFonts w:ascii="Times New Roman" w:hAnsi="Times New Roman"/>
                <w:snapToGrid w:val="0"/>
                <w:sz w:val="24"/>
                <w:u w:val="single"/>
              </w:rPr>
            </w:pPr>
            <w:r w:rsidRPr="00CB3DE1">
              <w:rPr>
                <w:rFonts w:ascii="Times New Roman" w:hAnsi="Times New Roman"/>
                <w:snapToGrid w:val="0"/>
                <w:sz w:val="24"/>
                <w:u w:val="single"/>
              </w:rPr>
              <w:t>X</w:t>
            </w:r>
          </w:p>
        </w:tc>
      </w:tr>
      <w:tr w:rsidR="00CB3DE1" w:rsidRPr="00CB3DE1" w14:paraId="67E33FB2" w14:textId="77777777" w:rsidTr="00BA6C7C">
        <w:trPr>
          <w:trHeight w:val="284"/>
        </w:trPr>
        <w:tc>
          <w:tcPr>
            <w:tcW w:w="6081" w:type="dxa"/>
            <w:vAlign w:val="bottom"/>
          </w:tcPr>
          <w:p w14:paraId="2A29A504" w14:textId="77777777" w:rsidR="00CB3DE1" w:rsidRPr="00CB3DE1" w:rsidRDefault="00CB3DE1" w:rsidP="00CB3DE1">
            <w:pPr>
              <w:spacing w:before="0"/>
              <w:jc w:val="left"/>
              <w:rPr>
                <w:rFonts w:ascii="Times New Roman" w:hAnsi="Times New Roman"/>
                <w:snapToGrid w:val="0"/>
                <w:sz w:val="24"/>
              </w:rPr>
            </w:pPr>
            <w:r w:rsidRPr="00CB3DE1">
              <w:rPr>
                <w:rFonts w:ascii="Times New Roman" w:hAnsi="Times New Roman"/>
                <w:snapToGrid w:val="0"/>
                <w:sz w:val="24"/>
              </w:rPr>
              <w:t>Passivos não circulantes</w:t>
            </w:r>
          </w:p>
        </w:tc>
        <w:tc>
          <w:tcPr>
            <w:tcW w:w="1452" w:type="dxa"/>
            <w:tcMar>
              <w:left w:w="284" w:type="dxa"/>
              <w:right w:w="284" w:type="dxa"/>
            </w:tcMar>
            <w:vAlign w:val="bottom"/>
          </w:tcPr>
          <w:p w14:paraId="1AAC6665" w14:textId="77777777" w:rsidR="00CB3DE1" w:rsidRPr="00CB3DE1" w:rsidRDefault="00CB3DE1" w:rsidP="00CB3DE1">
            <w:pPr>
              <w:spacing w:before="0"/>
              <w:jc w:val="right"/>
              <w:rPr>
                <w:rFonts w:ascii="Times New Roman" w:hAnsi="Times New Roman"/>
                <w:snapToGrid w:val="0"/>
                <w:sz w:val="24"/>
              </w:rPr>
            </w:pPr>
          </w:p>
        </w:tc>
        <w:tc>
          <w:tcPr>
            <w:tcW w:w="1441" w:type="dxa"/>
            <w:tcMar>
              <w:left w:w="284" w:type="dxa"/>
              <w:right w:w="284" w:type="dxa"/>
            </w:tcMar>
            <w:vAlign w:val="bottom"/>
          </w:tcPr>
          <w:p w14:paraId="62E0DF4C" w14:textId="77777777" w:rsidR="00CB3DE1" w:rsidRPr="00CB3DE1" w:rsidRDefault="00CB3DE1" w:rsidP="00CB3DE1">
            <w:pPr>
              <w:spacing w:before="0"/>
              <w:jc w:val="right"/>
              <w:rPr>
                <w:rFonts w:ascii="Times New Roman" w:hAnsi="Times New Roman"/>
                <w:snapToGrid w:val="0"/>
                <w:sz w:val="24"/>
              </w:rPr>
            </w:pPr>
          </w:p>
        </w:tc>
      </w:tr>
      <w:tr w:rsidR="00CB3DE1" w:rsidRPr="00CB3DE1" w14:paraId="2D61C7E5" w14:textId="77777777" w:rsidTr="00BA6C7C">
        <w:trPr>
          <w:trHeight w:val="284"/>
        </w:trPr>
        <w:tc>
          <w:tcPr>
            <w:tcW w:w="6081" w:type="dxa"/>
            <w:vAlign w:val="bottom"/>
          </w:tcPr>
          <w:p w14:paraId="140F8EBF" w14:textId="77777777" w:rsidR="00CB3DE1" w:rsidRPr="00CB3DE1" w:rsidRDefault="00CB3DE1" w:rsidP="00CB3DE1">
            <w:pPr>
              <w:spacing w:before="0"/>
              <w:jc w:val="left"/>
              <w:rPr>
                <w:rFonts w:ascii="Times New Roman" w:hAnsi="Times New Roman"/>
                <w:snapToGrid w:val="0"/>
                <w:sz w:val="24"/>
              </w:rPr>
            </w:pPr>
            <w:r w:rsidRPr="00CB3DE1">
              <w:rPr>
                <w:rFonts w:ascii="Times New Roman" w:hAnsi="Times New Roman"/>
                <w:snapToGrid w:val="0"/>
                <w:sz w:val="24"/>
                <w:lang w:val="en-US"/>
              </w:rPr>
              <w:t>HHH</w:t>
            </w:r>
          </w:p>
        </w:tc>
        <w:tc>
          <w:tcPr>
            <w:tcW w:w="1452" w:type="dxa"/>
            <w:tcMar>
              <w:left w:w="284" w:type="dxa"/>
              <w:right w:w="284" w:type="dxa"/>
            </w:tcMar>
            <w:vAlign w:val="bottom"/>
          </w:tcPr>
          <w:p w14:paraId="33E3EB43"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lang w:val="en-US"/>
              </w:rPr>
              <w:t>X</w:t>
            </w:r>
          </w:p>
        </w:tc>
        <w:tc>
          <w:tcPr>
            <w:tcW w:w="1441" w:type="dxa"/>
            <w:tcMar>
              <w:left w:w="284" w:type="dxa"/>
              <w:right w:w="284" w:type="dxa"/>
            </w:tcMar>
            <w:vAlign w:val="bottom"/>
          </w:tcPr>
          <w:p w14:paraId="49C533D1"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lang w:val="en-US"/>
              </w:rPr>
              <w:t>X</w:t>
            </w:r>
          </w:p>
        </w:tc>
      </w:tr>
      <w:tr w:rsidR="00CB3DE1" w:rsidRPr="00CB3DE1" w14:paraId="63B15AC5" w14:textId="77777777" w:rsidTr="00BA6C7C">
        <w:trPr>
          <w:trHeight w:val="284"/>
        </w:trPr>
        <w:tc>
          <w:tcPr>
            <w:tcW w:w="6081" w:type="dxa"/>
            <w:vAlign w:val="bottom"/>
          </w:tcPr>
          <w:p w14:paraId="1B3E7668" w14:textId="77777777" w:rsidR="00CB3DE1" w:rsidRPr="00CB3DE1" w:rsidRDefault="00CB3DE1" w:rsidP="00CB3DE1">
            <w:pPr>
              <w:spacing w:before="0"/>
              <w:jc w:val="left"/>
              <w:rPr>
                <w:rFonts w:ascii="Times New Roman" w:hAnsi="Times New Roman"/>
                <w:snapToGrid w:val="0"/>
                <w:sz w:val="24"/>
              </w:rPr>
            </w:pPr>
            <w:r w:rsidRPr="00CB3DE1">
              <w:rPr>
                <w:rFonts w:ascii="Times New Roman" w:hAnsi="Times New Roman"/>
                <w:snapToGrid w:val="0"/>
                <w:sz w:val="24"/>
                <w:lang w:val="en-US"/>
              </w:rPr>
              <w:t>III</w:t>
            </w:r>
          </w:p>
        </w:tc>
        <w:tc>
          <w:tcPr>
            <w:tcW w:w="1452" w:type="dxa"/>
            <w:tcMar>
              <w:left w:w="284" w:type="dxa"/>
              <w:right w:w="284" w:type="dxa"/>
            </w:tcMar>
            <w:vAlign w:val="bottom"/>
          </w:tcPr>
          <w:p w14:paraId="465141EE"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lang w:val="en-US"/>
              </w:rPr>
              <w:t>X</w:t>
            </w:r>
          </w:p>
        </w:tc>
        <w:tc>
          <w:tcPr>
            <w:tcW w:w="1441" w:type="dxa"/>
            <w:tcMar>
              <w:left w:w="284" w:type="dxa"/>
              <w:right w:w="284" w:type="dxa"/>
            </w:tcMar>
            <w:vAlign w:val="bottom"/>
          </w:tcPr>
          <w:p w14:paraId="365B329C"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lang w:val="en-US"/>
              </w:rPr>
              <w:t>X</w:t>
            </w:r>
          </w:p>
        </w:tc>
      </w:tr>
      <w:tr w:rsidR="00CB3DE1" w:rsidRPr="00CB3DE1" w14:paraId="1FCAB4AE" w14:textId="77777777" w:rsidTr="00BA6C7C">
        <w:trPr>
          <w:trHeight w:val="284"/>
        </w:trPr>
        <w:tc>
          <w:tcPr>
            <w:tcW w:w="6081" w:type="dxa"/>
            <w:vAlign w:val="bottom"/>
          </w:tcPr>
          <w:p w14:paraId="25F41813" w14:textId="77777777" w:rsidR="00CB3DE1" w:rsidRPr="00CB3DE1" w:rsidRDefault="00CB3DE1" w:rsidP="00CB3DE1">
            <w:pPr>
              <w:spacing w:before="0"/>
              <w:jc w:val="left"/>
              <w:rPr>
                <w:rFonts w:ascii="Times New Roman" w:hAnsi="Times New Roman"/>
                <w:snapToGrid w:val="0"/>
                <w:sz w:val="24"/>
              </w:rPr>
            </w:pPr>
            <w:r w:rsidRPr="00CB3DE1">
              <w:rPr>
                <w:rFonts w:ascii="Times New Roman" w:hAnsi="Times New Roman"/>
                <w:snapToGrid w:val="0"/>
                <w:sz w:val="24"/>
              </w:rPr>
              <w:t>JJJ</w:t>
            </w:r>
          </w:p>
        </w:tc>
        <w:tc>
          <w:tcPr>
            <w:tcW w:w="1452" w:type="dxa"/>
            <w:tcMar>
              <w:left w:w="284" w:type="dxa"/>
              <w:right w:w="284" w:type="dxa"/>
            </w:tcMar>
            <w:vAlign w:val="bottom"/>
          </w:tcPr>
          <w:p w14:paraId="204C68F2" w14:textId="77777777" w:rsidR="00CB3DE1" w:rsidRPr="00CB3DE1" w:rsidRDefault="00CB3DE1" w:rsidP="00CB3DE1">
            <w:pPr>
              <w:spacing w:before="0"/>
              <w:jc w:val="right"/>
              <w:rPr>
                <w:rFonts w:ascii="Times New Roman" w:hAnsi="Times New Roman"/>
                <w:snapToGrid w:val="0"/>
                <w:sz w:val="24"/>
                <w:u w:val="single"/>
              </w:rPr>
            </w:pPr>
            <w:r w:rsidRPr="00CB3DE1">
              <w:rPr>
                <w:rFonts w:ascii="Times New Roman" w:hAnsi="Times New Roman"/>
                <w:snapToGrid w:val="0"/>
                <w:sz w:val="24"/>
                <w:u w:val="single"/>
              </w:rPr>
              <w:t>X</w:t>
            </w:r>
          </w:p>
        </w:tc>
        <w:tc>
          <w:tcPr>
            <w:tcW w:w="1441" w:type="dxa"/>
            <w:tcMar>
              <w:left w:w="284" w:type="dxa"/>
              <w:right w:w="284" w:type="dxa"/>
            </w:tcMar>
            <w:vAlign w:val="bottom"/>
          </w:tcPr>
          <w:p w14:paraId="2E62CFCD" w14:textId="77777777" w:rsidR="00CB3DE1" w:rsidRPr="00CB3DE1" w:rsidRDefault="00CB3DE1" w:rsidP="00CB3DE1">
            <w:pPr>
              <w:spacing w:before="0"/>
              <w:jc w:val="right"/>
              <w:rPr>
                <w:rFonts w:ascii="Times New Roman" w:hAnsi="Times New Roman"/>
                <w:snapToGrid w:val="0"/>
                <w:sz w:val="24"/>
                <w:u w:val="single"/>
              </w:rPr>
            </w:pPr>
            <w:r w:rsidRPr="00CB3DE1">
              <w:rPr>
                <w:rFonts w:ascii="Times New Roman" w:hAnsi="Times New Roman"/>
                <w:snapToGrid w:val="0"/>
                <w:sz w:val="24"/>
                <w:u w:val="single"/>
              </w:rPr>
              <w:t>X</w:t>
            </w:r>
          </w:p>
        </w:tc>
      </w:tr>
      <w:tr w:rsidR="00CB3DE1" w:rsidRPr="00CB3DE1" w14:paraId="3CC7D118" w14:textId="77777777" w:rsidTr="00BA6C7C">
        <w:trPr>
          <w:trHeight w:val="284"/>
        </w:trPr>
        <w:tc>
          <w:tcPr>
            <w:tcW w:w="6081" w:type="dxa"/>
            <w:vAlign w:val="bottom"/>
          </w:tcPr>
          <w:p w14:paraId="3E823C72" w14:textId="77777777" w:rsidR="00CB3DE1" w:rsidRPr="00CB3DE1" w:rsidRDefault="00CB3DE1" w:rsidP="00CB3DE1">
            <w:pPr>
              <w:spacing w:before="0"/>
              <w:jc w:val="left"/>
              <w:rPr>
                <w:rFonts w:ascii="Times New Roman" w:hAnsi="Times New Roman"/>
                <w:snapToGrid w:val="0"/>
                <w:sz w:val="24"/>
              </w:rPr>
            </w:pPr>
          </w:p>
        </w:tc>
        <w:tc>
          <w:tcPr>
            <w:tcW w:w="1452" w:type="dxa"/>
            <w:tcMar>
              <w:left w:w="284" w:type="dxa"/>
              <w:right w:w="284" w:type="dxa"/>
            </w:tcMar>
            <w:vAlign w:val="bottom"/>
          </w:tcPr>
          <w:p w14:paraId="2555B4F6" w14:textId="77777777" w:rsidR="00CB3DE1" w:rsidRPr="00CB3DE1" w:rsidRDefault="00CB3DE1" w:rsidP="00CB3DE1">
            <w:pPr>
              <w:spacing w:before="0"/>
              <w:jc w:val="right"/>
              <w:rPr>
                <w:rFonts w:ascii="Times New Roman" w:hAnsi="Times New Roman"/>
                <w:snapToGrid w:val="0"/>
                <w:sz w:val="24"/>
                <w:u w:val="single"/>
              </w:rPr>
            </w:pPr>
            <w:r w:rsidRPr="00CB3DE1">
              <w:rPr>
                <w:rFonts w:ascii="Times New Roman" w:hAnsi="Times New Roman"/>
                <w:snapToGrid w:val="0"/>
                <w:sz w:val="24"/>
                <w:u w:val="single"/>
              </w:rPr>
              <w:t>X</w:t>
            </w:r>
          </w:p>
        </w:tc>
        <w:tc>
          <w:tcPr>
            <w:tcW w:w="1441" w:type="dxa"/>
            <w:tcMar>
              <w:left w:w="284" w:type="dxa"/>
              <w:right w:w="284" w:type="dxa"/>
            </w:tcMar>
            <w:vAlign w:val="bottom"/>
          </w:tcPr>
          <w:p w14:paraId="640C0926" w14:textId="77777777" w:rsidR="00CB3DE1" w:rsidRPr="00CB3DE1" w:rsidRDefault="00CB3DE1" w:rsidP="00CB3DE1">
            <w:pPr>
              <w:spacing w:before="0"/>
              <w:jc w:val="right"/>
              <w:rPr>
                <w:rFonts w:ascii="Times New Roman" w:hAnsi="Times New Roman"/>
                <w:snapToGrid w:val="0"/>
                <w:sz w:val="24"/>
                <w:u w:val="single"/>
              </w:rPr>
            </w:pPr>
            <w:r w:rsidRPr="00CB3DE1">
              <w:rPr>
                <w:rFonts w:ascii="Times New Roman" w:hAnsi="Times New Roman"/>
                <w:snapToGrid w:val="0"/>
                <w:sz w:val="24"/>
                <w:u w:val="single"/>
              </w:rPr>
              <w:t>X</w:t>
            </w:r>
          </w:p>
        </w:tc>
      </w:tr>
      <w:tr w:rsidR="00CB3DE1" w:rsidRPr="00CB3DE1" w14:paraId="2B4D149F" w14:textId="77777777" w:rsidTr="00BA6C7C">
        <w:trPr>
          <w:trHeight w:val="284"/>
        </w:trPr>
        <w:tc>
          <w:tcPr>
            <w:tcW w:w="6081" w:type="dxa"/>
            <w:vAlign w:val="bottom"/>
          </w:tcPr>
          <w:p w14:paraId="58AD5AD6" w14:textId="77777777" w:rsidR="00CB3DE1" w:rsidRPr="00CB3DE1" w:rsidRDefault="00CB3DE1" w:rsidP="00CB3DE1">
            <w:pPr>
              <w:spacing w:before="0"/>
              <w:jc w:val="left"/>
              <w:rPr>
                <w:rFonts w:ascii="Times New Roman" w:hAnsi="Times New Roman"/>
                <w:snapToGrid w:val="0"/>
                <w:sz w:val="24"/>
              </w:rPr>
            </w:pPr>
            <w:r w:rsidRPr="00CB3DE1">
              <w:rPr>
                <w:rFonts w:ascii="Times New Roman" w:hAnsi="Times New Roman"/>
                <w:snapToGrid w:val="0"/>
                <w:sz w:val="24"/>
              </w:rPr>
              <w:t>Total dos passivos</w:t>
            </w:r>
          </w:p>
        </w:tc>
        <w:tc>
          <w:tcPr>
            <w:tcW w:w="1452" w:type="dxa"/>
            <w:tcMar>
              <w:left w:w="284" w:type="dxa"/>
              <w:right w:w="284" w:type="dxa"/>
            </w:tcMar>
            <w:vAlign w:val="bottom"/>
          </w:tcPr>
          <w:p w14:paraId="0D82AAC6" w14:textId="77777777" w:rsidR="00CB3DE1" w:rsidRPr="00CB3DE1" w:rsidRDefault="00CB3DE1" w:rsidP="00CB3DE1">
            <w:pPr>
              <w:spacing w:before="0"/>
              <w:jc w:val="right"/>
              <w:rPr>
                <w:rFonts w:ascii="Times New Roman" w:hAnsi="Times New Roman"/>
                <w:snapToGrid w:val="0"/>
                <w:sz w:val="24"/>
                <w:u w:val="single"/>
              </w:rPr>
            </w:pPr>
            <w:r w:rsidRPr="00CB3DE1">
              <w:rPr>
                <w:rFonts w:ascii="Times New Roman" w:hAnsi="Times New Roman"/>
                <w:snapToGrid w:val="0"/>
                <w:sz w:val="24"/>
                <w:u w:val="single"/>
              </w:rPr>
              <w:t>X</w:t>
            </w:r>
          </w:p>
        </w:tc>
        <w:tc>
          <w:tcPr>
            <w:tcW w:w="1441" w:type="dxa"/>
            <w:tcMar>
              <w:left w:w="284" w:type="dxa"/>
              <w:right w:w="284" w:type="dxa"/>
            </w:tcMar>
            <w:vAlign w:val="bottom"/>
          </w:tcPr>
          <w:p w14:paraId="68DE180A" w14:textId="77777777" w:rsidR="00CB3DE1" w:rsidRPr="00CB3DE1" w:rsidRDefault="00CB3DE1" w:rsidP="00CB3DE1">
            <w:pPr>
              <w:spacing w:before="0"/>
              <w:jc w:val="right"/>
              <w:rPr>
                <w:rFonts w:ascii="Times New Roman" w:hAnsi="Times New Roman"/>
                <w:snapToGrid w:val="0"/>
                <w:sz w:val="24"/>
                <w:u w:val="single"/>
              </w:rPr>
            </w:pPr>
            <w:r w:rsidRPr="00CB3DE1">
              <w:rPr>
                <w:rFonts w:ascii="Times New Roman" w:hAnsi="Times New Roman"/>
                <w:snapToGrid w:val="0"/>
                <w:sz w:val="24"/>
                <w:u w:val="single"/>
              </w:rPr>
              <w:t>X</w:t>
            </w:r>
          </w:p>
        </w:tc>
      </w:tr>
      <w:tr w:rsidR="00CB3DE1" w:rsidRPr="00CB3DE1" w14:paraId="564A96FB" w14:textId="77777777" w:rsidTr="00BA6C7C">
        <w:trPr>
          <w:trHeight w:val="284"/>
        </w:trPr>
        <w:tc>
          <w:tcPr>
            <w:tcW w:w="6081" w:type="dxa"/>
            <w:vAlign w:val="bottom"/>
          </w:tcPr>
          <w:p w14:paraId="471CDB32" w14:textId="77777777" w:rsidR="00CB3DE1" w:rsidRPr="00CB3DE1" w:rsidRDefault="00CB3DE1" w:rsidP="00CB3DE1">
            <w:pPr>
              <w:spacing w:before="0"/>
              <w:jc w:val="left"/>
              <w:rPr>
                <w:rFonts w:ascii="Times New Roman" w:hAnsi="Times New Roman"/>
                <w:snapToGrid w:val="0"/>
                <w:sz w:val="24"/>
              </w:rPr>
            </w:pPr>
            <w:r w:rsidRPr="00CB3DE1">
              <w:rPr>
                <w:rFonts w:ascii="Times New Roman" w:hAnsi="Times New Roman"/>
                <w:snapToGrid w:val="0"/>
                <w:sz w:val="24"/>
              </w:rPr>
              <w:t xml:space="preserve">Patrimônio líquido </w:t>
            </w:r>
          </w:p>
        </w:tc>
        <w:tc>
          <w:tcPr>
            <w:tcW w:w="1452" w:type="dxa"/>
            <w:tcMar>
              <w:left w:w="284" w:type="dxa"/>
              <w:right w:w="284" w:type="dxa"/>
            </w:tcMar>
            <w:vAlign w:val="bottom"/>
          </w:tcPr>
          <w:p w14:paraId="3911F949" w14:textId="77777777" w:rsidR="00CB3DE1" w:rsidRPr="00CB3DE1" w:rsidRDefault="00CB3DE1" w:rsidP="00CB3DE1">
            <w:pPr>
              <w:spacing w:before="0"/>
              <w:jc w:val="right"/>
              <w:rPr>
                <w:rFonts w:ascii="Times New Roman" w:hAnsi="Times New Roman"/>
                <w:snapToGrid w:val="0"/>
                <w:sz w:val="24"/>
              </w:rPr>
            </w:pPr>
          </w:p>
        </w:tc>
        <w:tc>
          <w:tcPr>
            <w:tcW w:w="1441" w:type="dxa"/>
            <w:tcMar>
              <w:left w:w="284" w:type="dxa"/>
              <w:right w:w="284" w:type="dxa"/>
            </w:tcMar>
            <w:vAlign w:val="bottom"/>
          </w:tcPr>
          <w:p w14:paraId="0195437C" w14:textId="77777777" w:rsidR="00CB3DE1" w:rsidRPr="00CB3DE1" w:rsidRDefault="00CB3DE1" w:rsidP="00CB3DE1">
            <w:pPr>
              <w:spacing w:before="0"/>
              <w:jc w:val="right"/>
              <w:rPr>
                <w:rFonts w:ascii="Times New Roman" w:hAnsi="Times New Roman"/>
                <w:snapToGrid w:val="0"/>
                <w:sz w:val="24"/>
              </w:rPr>
            </w:pPr>
          </w:p>
        </w:tc>
      </w:tr>
      <w:tr w:rsidR="00CB3DE1" w:rsidRPr="00CB3DE1" w14:paraId="51A4D64D" w14:textId="77777777" w:rsidTr="00BA6C7C">
        <w:trPr>
          <w:trHeight w:val="284"/>
        </w:trPr>
        <w:tc>
          <w:tcPr>
            <w:tcW w:w="6081" w:type="dxa"/>
            <w:vAlign w:val="bottom"/>
          </w:tcPr>
          <w:p w14:paraId="068EF81A" w14:textId="77777777" w:rsidR="00CB3DE1" w:rsidRPr="00CB3DE1" w:rsidRDefault="00CB3DE1" w:rsidP="00CB3DE1">
            <w:pPr>
              <w:spacing w:before="0"/>
              <w:jc w:val="left"/>
              <w:rPr>
                <w:rFonts w:ascii="Times New Roman" w:hAnsi="Times New Roman"/>
                <w:snapToGrid w:val="0"/>
                <w:sz w:val="24"/>
              </w:rPr>
            </w:pPr>
            <w:r w:rsidRPr="00CB3DE1">
              <w:rPr>
                <w:rFonts w:ascii="Times New Roman" w:hAnsi="Times New Roman"/>
                <w:snapToGrid w:val="0"/>
                <w:sz w:val="24"/>
              </w:rPr>
              <w:t>Valores atribuíveis a proprietários da controladora</w:t>
            </w:r>
          </w:p>
        </w:tc>
        <w:tc>
          <w:tcPr>
            <w:tcW w:w="1452" w:type="dxa"/>
            <w:tcMar>
              <w:left w:w="284" w:type="dxa"/>
              <w:right w:w="284" w:type="dxa"/>
            </w:tcMar>
            <w:vAlign w:val="bottom"/>
          </w:tcPr>
          <w:p w14:paraId="35D09F04" w14:textId="77777777" w:rsidR="00CB3DE1" w:rsidRPr="00CB3DE1" w:rsidRDefault="00CB3DE1" w:rsidP="00CB3DE1">
            <w:pPr>
              <w:spacing w:before="0"/>
              <w:jc w:val="right"/>
              <w:rPr>
                <w:rFonts w:ascii="Times New Roman" w:hAnsi="Times New Roman"/>
                <w:snapToGrid w:val="0"/>
                <w:sz w:val="24"/>
              </w:rPr>
            </w:pPr>
          </w:p>
        </w:tc>
        <w:tc>
          <w:tcPr>
            <w:tcW w:w="1441" w:type="dxa"/>
            <w:tcMar>
              <w:left w:w="284" w:type="dxa"/>
              <w:right w:w="284" w:type="dxa"/>
            </w:tcMar>
            <w:vAlign w:val="bottom"/>
          </w:tcPr>
          <w:p w14:paraId="1F711E51" w14:textId="77777777" w:rsidR="00CB3DE1" w:rsidRPr="00CB3DE1" w:rsidRDefault="00CB3DE1" w:rsidP="00CB3DE1">
            <w:pPr>
              <w:spacing w:before="0"/>
              <w:jc w:val="right"/>
              <w:rPr>
                <w:rFonts w:ascii="Times New Roman" w:hAnsi="Times New Roman"/>
                <w:snapToGrid w:val="0"/>
                <w:sz w:val="24"/>
              </w:rPr>
            </w:pPr>
          </w:p>
        </w:tc>
      </w:tr>
      <w:tr w:rsidR="00CB3DE1" w:rsidRPr="00CB3DE1" w14:paraId="0F30AA61" w14:textId="77777777" w:rsidTr="00BA6C7C">
        <w:trPr>
          <w:trHeight w:val="284"/>
        </w:trPr>
        <w:tc>
          <w:tcPr>
            <w:tcW w:w="6081" w:type="dxa"/>
            <w:vAlign w:val="bottom"/>
          </w:tcPr>
          <w:p w14:paraId="3BBE2FC0" w14:textId="77777777" w:rsidR="00CB3DE1" w:rsidRPr="00CB3DE1" w:rsidRDefault="00CB3DE1" w:rsidP="00CB3DE1">
            <w:pPr>
              <w:spacing w:before="0"/>
              <w:jc w:val="left"/>
              <w:rPr>
                <w:rFonts w:ascii="Times New Roman" w:hAnsi="Times New Roman"/>
                <w:snapToGrid w:val="0"/>
                <w:sz w:val="24"/>
                <w:lang w:val="en-US"/>
              </w:rPr>
            </w:pPr>
            <w:r w:rsidRPr="00CB3DE1">
              <w:rPr>
                <w:rFonts w:ascii="Times New Roman" w:hAnsi="Times New Roman"/>
                <w:snapToGrid w:val="0"/>
                <w:sz w:val="24"/>
                <w:lang w:val="en-US"/>
              </w:rPr>
              <w:t>FFF</w:t>
            </w:r>
          </w:p>
        </w:tc>
        <w:tc>
          <w:tcPr>
            <w:tcW w:w="1452" w:type="dxa"/>
            <w:tcMar>
              <w:left w:w="284" w:type="dxa"/>
              <w:right w:w="284" w:type="dxa"/>
            </w:tcMar>
            <w:vAlign w:val="bottom"/>
          </w:tcPr>
          <w:p w14:paraId="0A3AA22F" w14:textId="77777777" w:rsidR="00CB3DE1" w:rsidRPr="00CB3DE1" w:rsidRDefault="00CB3DE1" w:rsidP="00CB3DE1">
            <w:pPr>
              <w:spacing w:before="0"/>
              <w:jc w:val="right"/>
              <w:rPr>
                <w:rFonts w:ascii="Times New Roman" w:hAnsi="Times New Roman"/>
                <w:snapToGrid w:val="0"/>
                <w:sz w:val="24"/>
                <w:lang w:val="en-US"/>
              </w:rPr>
            </w:pPr>
            <w:r w:rsidRPr="00CB3DE1">
              <w:rPr>
                <w:rFonts w:ascii="Times New Roman" w:hAnsi="Times New Roman"/>
                <w:snapToGrid w:val="0"/>
                <w:sz w:val="24"/>
                <w:lang w:val="en-US"/>
              </w:rPr>
              <w:t>X</w:t>
            </w:r>
          </w:p>
        </w:tc>
        <w:tc>
          <w:tcPr>
            <w:tcW w:w="1441" w:type="dxa"/>
            <w:tcMar>
              <w:left w:w="284" w:type="dxa"/>
              <w:right w:w="284" w:type="dxa"/>
            </w:tcMar>
            <w:vAlign w:val="bottom"/>
          </w:tcPr>
          <w:p w14:paraId="066C98DA" w14:textId="77777777" w:rsidR="00CB3DE1" w:rsidRPr="00CB3DE1" w:rsidRDefault="00CB3DE1" w:rsidP="00CB3DE1">
            <w:pPr>
              <w:spacing w:before="0"/>
              <w:jc w:val="right"/>
              <w:rPr>
                <w:rFonts w:ascii="Times New Roman" w:hAnsi="Times New Roman"/>
                <w:snapToGrid w:val="0"/>
                <w:sz w:val="24"/>
                <w:lang w:val="en-US"/>
              </w:rPr>
            </w:pPr>
            <w:r w:rsidRPr="00CB3DE1">
              <w:rPr>
                <w:rFonts w:ascii="Times New Roman" w:hAnsi="Times New Roman"/>
                <w:snapToGrid w:val="0"/>
                <w:sz w:val="24"/>
                <w:lang w:val="en-US"/>
              </w:rPr>
              <w:t>X</w:t>
            </w:r>
          </w:p>
        </w:tc>
      </w:tr>
      <w:tr w:rsidR="00CB3DE1" w:rsidRPr="00CB3DE1" w14:paraId="2E5BC72B" w14:textId="77777777" w:rsidTr="00BA6C7C">
        <w:trPr>
          <w:trHeight w:val="284"/>
        </w:trPr>
        <w:tc>
          <w:tcPr>
            <w:tcW w:w="6081" w:type="dxa"/>
            <w:vAlign w:val="bottom"/>
          </w:tcPr>
          <w:p w14:paraId="59051424" w14:textId="77777777" w:rsidR="00CB3DE1" w:rsidRPr="00CB3DE1" w:rsidRDefault="00CB3DE1" w:rsidP="00CB3DE1">
            <w:pPr>
              <w:spacing w:before="0"/>
              <w:jc w:val="left"/>
              <w:rPr>
                <w:rFonts w:ascii="Times New Roman" w:hAnsi="Times New Roman"/>
                <w:snapToGrid w:val="0"/>
                <w:sz w:val="24"/>
                <w:lang w:val="en-US"/>
              </w:rPr>
            </w:pPr>
            <w:r w:rsidRPr="00CB3DE1">
              <w:rPr>
                <w:rFonts w:ascii="Times New Roman" w:hAnsi="Times New Roman"/>
                <w:snapToGrid w:val="0"/>
                <w:sz w:val="24"/>
                <w:lang w:val="en-US"/>
              </w:rPr>
              <w:lastRenderedPageBreak/>
              <w:t>GGG</w:t>
            </w:r>
          </w:p>
        </w:tc>
        <w:tc>
          <w:tcPr>
            <w:tcW w:w="1452" w:type="dxa"/>
            <w:tcMar>
              <w:left w:w="284" w:type="dxa"/>
              <w:right w:w="284" w:type="dxa"/>
            </w:tcMar>
            <w:vAlign w:val="bottom"/>
          </w:tcPr>
          <w:p w14:paraId="32E29F2B" w14:textId="77777777" w:rsidR="00CB3DE1" w:rsidRPr="00CB3DE1" w:rsidRDefault="00CB3DE1" w:rsidP="00CB3DE1">
            <w:pPr>
              <w:spacing w:before="0"/>
              <w:jc w:val="right"/>
              <w:rPr>
                <w:rFonts w:ascii="Times New Roman" w:hAnsi="Times New Roman"/>
                <w:snapToGrid w:val="0"/>
                <w:sz w:val="24"/>
                <w:lang w:val="en-US"/>
              </w:rPr>
            </w:pPr>
            <w:r w:rsidRPr="00CB3DE1">
              <w:rPr>
                <w:rFonts w:ascii="Times New Roman" w:hAnsi="Times New Roman"/>
                <w:snapToGrid w:val="0"/>
                <w:sz w:val="24"/>
                <w:lang w:val="en-US"/>
              </w:rPr>
              <w:t>X</w:t>
            </w:r>
          </w:p>
        </w:tc>
        <w:tc>
          <w:tcPr>
            <w:tcW w:w="1441" w:type="dxa"/>
            <w:tcMar>
              <w:left w:w="284" w:type="dxa"/>
              <w:right w:w="284" w:type="dxa"/>
            </w:tcMar>
            <w:vAlign w:val="bottom"/>
          </w:tcPr>
          <w:p w14:paraId="3B00F24A"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X</w:t>
            </w:r>
          </w:p>
        </w:tc>
      </w:tr>
      <w:tr w:rsidR="00CB3DE1" w:rsidRPr="00CB3DE1" w14:paraId="37F6BB80" w14:textId="77777777" w:rsidTr="00BA6C7C">
        <w:trPr>
          <w:trHeight w:val="284"/>
        </w:trPr>
        <w:tc>
          <w:tcPr>
            <w:tcW w:w="6081" w:type="dxa"/>
            <w:vAlign w:val="bottom"/>
          </w:tcPr>
          <w:p w14:paraId="11F47EA3" w14:textId="77777777" w:rsidR="00CB3DE1" w:rsidRPr="00CB3DE1" w:rsidRDefault="00CB3DE1" w:rsidP="00CB3DE1">
            <w:pPr>
              <w:spacing w:before="0"/>
              <w:jc w:val="left"/>
              <w:rPr>
                <w:rFonts w:ascii="Times New Roman" w:hAnsi="Times New Roman"/>
                <w:snapToGrid w:val="0"/>
                <w:sz w:val="24"/>
              </w:rPr>
            </w:pPr>
            <w:r w:rsidRPr="00CB3DE1">
              <w:rPr>
                <w:rFonts w:ascii="Times New Roman" w:hAnsi="Times New Roman"/>
                <w:snapToGrid w:val="0"/>
                <w:sz w:val="24"/>
              </w:rPr>
              <w:t>Valores reconhecidos em outros resultados abrangentes e acumulados no patrimônio líquido relacionados a ativos não circulantes mantidos para venda</w:t>
            </w:r>
          </w:p>
        </w:tc>
        <w:tc>
          <w:tcPr>
            <w:tcW w:w="1452" w:type="dxa"/>
            <w:tcMar>
              <w:left w:w="284" w:type="dxa"/>
              <w:right w:w="284" w:type="dxa"/>
            </w:tcMar>
            <w:vAlign w:val="bottom"/>
          </w:tcPr>
          <w:p w14:paraId="6BAAE7AA" w14:textId="77777777" w:rsidR="00CB3DE1" w:rsidRPr="00CB3DE1" w:rsidRDefault="00CB3DE1" w:rsidP="00CB3DE1">
            <w:pPr>
              <w:spacing w:before="0"/>
              <w:jc w:val="right"/>
              <w:rPr>
                <w:rFonts w:ascii="Times New Roman" w:hAnsi="Times New Roman"/>
                <w:snapToGrid w:val="0"/>
                <w:sz w:val="24"/>
                <w:u w:val="single"/>
              </w:rPr>
            </w:pPr>
            <w:r w:rsidRPr="00CB3DE1">
              <w:rPr>
                <w:rFonts w:ascii="Times New Roman" w:hAnsi="Times New Roman"/>
                <w:snapToGrid w:val="0"/>
                <w:sz w:val="24"/>
                <w:u w:val="single"/>
              </w:rPr>
              <w:t>400</w:t>
            </w:r>
          </w:p>
        </w:tc>
        <w:tc>
          <w:tcPr>
            <w:tcW w:w="1441" w:type="dxa"/>
            <w:tcMar>
              <w:left w:w="284" w:type="dxa"/>
              <w:right w:w="284" w:type="dxa"/>
            </w:tcMar>
            <w:vAlign w:val="bottom"/>
          </w:tcPr>
          <w:p w14:paraId="1686444B" w14:textId="77777777" w:rsidR="00CB3DE1" w:rsidRPr="00CB3DE1" w:rsidRDefault="00CB3DE1" w:rsidP="00CB3DE1">
            <w:pPr>
              <w:spacing w:before="0"/>
              <w:jc w:val="right"/>
              <w:rPr>
                <w:rFonts w:ascii="Times New Roman" w:hAnsi="Times New Roman"/>
                <w:snapToGrid w:val="0"/>
                <w:sz w:val="24"/>
                <w:u w:val="single"/>
              </w:rPr>
            </w:pPr>
            <w:r w:rsidRPr="00CB3DE1">
              <w:rPr>
                <w:rFonts w:ascii="Times New Roman" w:hAnsi="Times New Roman"/>
                <w:snapToGrid w:val="0"/>
                <w:sz w:val="24"/>
                <w:u w:val="single"/>
              </w:rPr>
              <w:t>–</w:t>
            </w:r>
          </w:p>
        </w:tc>
      </w:tr>
      <w:tr w:rsidR="00CB3DE1" w:rsidRPr="00CB3DE1" w14:paraId="3796F8E9" w14:textId="77777777" w:rsidTr="00BA6C7C">
        <w:trPr>
          <w:trHeight w:val="284"/>
        </w:trPr>
        <w:tc>
          <w:tcPr>
            <w:tcW w:w="6081" w:type="dxa"/>
            <w:vAlign w:val="bottom"/>
          </w:tcPr>
          <w:p w14:paraId="0F83F791" w14:textId="77777777" w:rsidR="00CB3DE1" w:rsidRPr="00CB3DE1" w:rsidRDefault="00CB3DE1" w:rsidP="00CB3DE1">
            <w:pPr>
              <w:spacing w:before="0"/>
              <w:jc w:val="left"/>
              <w:rPr>
                <w:rFonts w:ascii="Times New Roman" w:hAnsi="Times New Roman"/>
                <w:snapToGrid w:val="0"/>
                <w:sz w:val="24"/>
              </w:rPr>
            </w:pPr>
          </w:p>
        </w:tc>
        <w:tc>
          <w:tcPr>
            <w:tcW w:w="1452" w:type="dxa"/>
            <w:tcMar>
              <w:left w:w="284" w:type="dxa"/>
              <w:right w:w="284" w:type="dxa"/>
            </w:tcMar>
            <w:vAlign w:val="bottom"/>
          </w:tcPr>
          <w:p w14:paraId="54BD35E3"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X</w:t>
            </w:r>
          </w:p>
        </w:tc>
        <w:tc>
          <w:tcPr>
            <w:tcW w:w="1441" w:type="dxa"/>
            <w:tcMar>
              <w:left w:w="284" w:type="dxa"/>
              <w:right w:w="284" w:type="dxa"/>
            </w:tcMar>
            <w:vAlign w:val="bottom"/>
          </w:tcPr>
          <w:p w14:paraId="79C938DA" w14:textId="77777777" w:rsidR="00CB3DE1" w:rsidRPr="00CB3DE1" w:rsidRDefault="00CB3DE1" w:rsidP="00CB3DE1">
            <w:pPr>
              <w:spacing w:before="0"/>
              <w:jc w:val="right"/>
              <w:rPr>
                <w:rFonts w:ascii="Times New Roman" w:hAnsi="Times New Roman"/>
                <w:snapToGrid w:val="0"/>
                <w:sz w:val="24"/>
              </w:rPr>
            </w:pPr>
            <w:r w:rsidRPr="00CB3DE1">
              <w:rPr>
                <w:rFonts w:ascii="Times New Roman" w:hAnsi="Times New Roman"/>
                <w:snapToGrid w:val="0"/>
                <w:sz w:val="24"/>
              </w:rPr>
              <w:t>X</w:t>
            </w:r>
          </w:p>
        </w:tc>
      </w:tr>
      <w:tr w:rsidR="00CB3DE1" w:rsidRPr="00CB3DE1" w14:paraId="5812A783" w14:textId="77777777" w:rsidTr="00BA6C7C">
        <w:trPr>
          <w:trHeight w:val="284"/>
        </w:trPr>
        <w:tc>
          <w:tcPr>
            <w:tcW w:w="6081" w:type="dxa"/>
            <w:vAlign w:val="bottom"/>
          </w:tcPr>
          <w:p w14:paraId="35D7C3E8" w14:textId="77777777" w:rsidR="00CB3DE1" w:rsidRPr="00CB3DE1" w:rsidRDefault="00CB3DE1" w:rsidP="00CB3DE1">
            <w:pPr>
              <w:spacing w:before="0"/>
              <w:jc w:val="left"/>
              <w:rPr>
                <w:rFonts w:ascii="Times New Roman" w:hAnsi="Times New Roman"/>
                <w:snapToGrid w:val="0"/>
                <w:sz w:val="24"/>
              </w:rPr>
            </w:pPr>
            <w:r w:rsidRPr="00CB3DE1">
              <w:rPr>
                <w:rFonts w:ascii="Times New Roman" w:hAnsi="Times New Roman"/>
                <w:snapToGrid w:val="0"/>
                <w:sz w:val="24"/>
              </w:rPr>
              <w:t>Participações de não controladores</w:t>
            </w:r>
          </w:p>
        </w:tc>
        <w:tc>
          <w:tcPr>
            <w:tcW w:w="1452" w:type="dxa"/>
            <w:tcMar>
              <w:left w:w="284" w:type="dxa"/>
              <w:right w:w="284" w:type="dxa"/>
            </w:tcMar>
            <w:vAlign w:val="bottom"/>
          </w:tcPr>
          <w:p w14:paraId="31837D24" w14:textId="77777777" w:rsidR="00CB3DE1" w:rsidRPr="00CB3DE1" w:rsidRDefault="00CB3DE1" w:rsidP="00CB3DE1">
            <w:pPr>
              <w:spacing w:before="0"/>
              <w:jc w:val="right"/>
              <w:rPr>
                <w:rFonts w:ascii="Times New Roman" w:hAnsi="Times New Roman"/>
                <w:snapToGrid w:val="0"/>
                <w:sz w:val="24"/>
                <w:u w:val="single"/>
              </w:rPr>
            </w:pPr>
            <w:r w:rsidRPr="00CB3DE1">
              <w:rPr>
                <w:rFonts w:ascii="Times New Roman" w:hAnsi="Times New Roman"/>
                <w:snapToGrid w:val="0"/>
                <w:sz w:val="24"/>
                <w:u w:val="single"/>
              </w:rPr>
              <w:t>X</w:t>
            </w:r>
          </w:p>
        </w:tc>
        <w:tc>
          <w:tcPr>
            <w:tcW w:w="1441" w:type="dxa"/>
            <w:tcMar>
              <w:left w:w="284" w:type="dxa"/>
              <w:right w:w="284" w:type="dxa"/>
            </w:tcMar>
            <w:vAlign w:val="bottom"/>
          </w:tcPr>
          <w:p w14:paraId="1C648A19" w14:textId="77777777" w:rsidR="00CB3DE1" w:rsidRPr="00CB3DE1" w:rsidRDefault="00CB3DE1" w:rsidP="00CB3DE1">
            <w:pPr>
              <w:spacing w:before="0"/>
              <w:jc w:val="right"/>
              <w:rPr>
                <w:rFonts w:ascii="Times New Roman" w:hAnsi="Times New Roman"/>
                <w:snapToGrid w:val="0"/>
                <w:sz w:val="24"/>
                <w:u w:val="single"/>
              </w:rPr>
            </w:pPr>
            <w:r w:rsidRPr="00CB3DE1">
              <w:rPr>
                <w:rFonts w:ascii="Times New Roman" w:hAnsi="Times New Roman"/>
                <w:snapToGrid w:val="0"/>
                <w:sz w:val="24"/>
                <w:u w:val="single"/>
              </w:rPr>
              <w:t>X</w:t>
            </w:r>
          </w:p>
        </w:tc>
      </w:tr>
      <w:tr w:rsidR="00CB3DE1" w:rsidRPr="00CB3DE1" w14:paraId="4F99F8CD" w14:textId="77777777" w:rsidTr="00BA6C7C">
        <w:trPr>
          <w:trHeight w:val="284"/>
        </w:trPr>
        <w:tc>
          <w:tcPr>
            <w:tcW w:w="6081" w:type="dxa"/>
            <w:vAlign w:val="bottom"/>
          </w:tcPr>
          <w:p w14:paraId="5EB142E6" w14:textId="77777777" w:rsidR="00CB3DE1" w:rsidRPr="00CB3DE1" w:rsidRDefault="00CB3DE1" w:rsidP="00CB3DE1">
            <w:pPr>
              <w:spacing w:before="0"/>
              <w:jc w:val="left"/>
              <w:rPr>
                <w:rFonts w:ascii="Times New Roman" w:hAnsi="Times New Roman"/>
                <w:snapToGrid w:val="0"/>
                <w:sz w:val="24"/>
              </w:rPr>
            </w:pPr>
            <w:r w:rsidRPr="00CB3DE1">
              <w:rPr>
                <w:rFonts w:ascii="Times New Roman" w:hAnsi="Times New Roman"/>
                <w:snapToGrid w:val="0"/>
                <w:sz w:val="24"/>
              </w:rPr>
              <w:t>Total do patrimônio líquido</w:t>
            </w:r>
          </w:p>
        </w:tc>
        <w:tc>
          <w:tcPr>
            <w:tcW w:w="1452" w:type="dxa"/>
            <w:tcMar>
              <w:left w:w="284" w:type="dxa"/>
              <w:right w:w="284" w:type="dxa"/>
            </w:tcMar>
            <w:vAlign w:val="bottom"/>
          </w:tcPr>
          <w:p w14:paraId="51606A7D" w14:textId="77777777" w:rsidR="00CB3DE1" w:rsidRPr="00CB3DE1" w:rsidRDefault="00CB3DE1" w:rsidP="00CB3DE1">
            <w:pPr>
              <w:spacing w:before="0"/>
              <w:jc w:val="right"/>
              <w:rPr>
                <w:rFonts w:ascii="Times New Roman" w:hAnsi="Times New Roman"/>
                <w:snapToGrid w:val="0"/>
                <w:sz w:val="24"/>
                <w:u w:val="single"/>
              </w:rPr>
            </w:pPr>
            <w:r w:rsidRPr="00CB3DE1">
              <w:rPr>
                <w:rFonts w:ascii="Times New Roman" w:hAnsi="Times New Roman"/>
                <w:snapToGrid w:val="0"/>
                <w:sz w:val="24"/>
                <w:u w:val="single"/>
              </w:rPr>
              <w:t>X</w:t>
            </w:r>
          </w:p>
        </w:tc>
        <w:tc>
          <w:tcPr>
            <w:tcW w:w="1441" w:type="dxa"/>
            <w:tcMar>
              <w:left w:w="284" w:type="dxa"/>
              <w:right w:w="284" w:type="dxa"/>
            </w:tcMar>
            <w:vAlign w:val="bottom"/>
          </w:tcPr>
          <w:p w14:paraId="7AE21DB1" w14:textId="77777777" w:rsidR="00CB3DE1" w:rsidRPr="00CB3DE1" w:rsidRDefault="00CB3DE1" w:rsidP="00CB3DE1">
            <w:pPr>
              <w:spacing w:before="0"/>
              <w:jc w:val="right"/>
              <w:rPr>
                <w:rFonts w:ascii="Times New Roman" w:hAnsi="Times New Roman"/>
                <w:snapToGrid w:val="0"/>
                <w:sz w:val="24"/>
                <w:u w:val="single"/>
              </w:rPr>
            </w:pPr>
            <w:r w:rsidRPr="00CB3DE1">
              <w:rPr>
                <w:rFonts w:ascii="Times New Roman" w:hAnsi="Times New Roman"/>
                <w:snapToGrid w:val="0"/>
                <w:sz w:val="24"/>
                <w:u w:val="single"/>
              </w:rPr>
              <w:t>X</w:t>
            </w:r>
          </w:p>
        </w:tc>
      </w:tr>
      <w:tr w:rsidR="00CB3DE1" w:rsidRPr="00CB3DE1" w14:paraId="0998F536" w14:textId="77777777" w:rsidTr="00BA6C7C">
        <w:trPr>
          <w:trHeight w:val="284"/>
        </w:trPr>
        <w:tc>
          <w:tcPr>
            <w:tcW w:w="6081" w:type="dxa"/>
            <w:vAlign w:val="bottom"/>
          </w:tcPr>
          <w:p w14:paraId="60EAA0B8" w14:textId="77777777" w:rsidR="00CB3DE1" w:rsidRPr="00CB3DE1" w:rsidRDefault="00CB3DE1" w:rsidP="00CB3DE1">
            <w:pPr>
              <w:spacing w:before="0"/>
              <w:jc w:val="left"/>
              <w:rPr>
                <w:rFonts w:ascii="Times New Roman" w:hAnsi="Times New Roman"/>
                <w:snapToGrid w:val="0"/>
                <w:sz w:val="24"/>
              </w:rPr>
            </w:pPr>
            <w:r w:rsidRPr="00CB3DE1">
              <w:rPr>
                <w:rFonts w:ascii="Times New Roman" w:hAnsi="Times New Roman"/>
                <w:snapToGrid w:val="0"/>
                <w:sz w:val="24"/>
              </w:rPr>
              <w:t>Total do Passivo e Patrimônio Líquido</w:t>
            </w:r>
          </w:p>
        </w:tc>
        <w:tc>
          <w:tcPr>
            <w:tcW w:w="1452" w:type="dxa"/>
            <w:tcMar>
              <w:left w:w="284" w:type="dxa"/>
              <w:right w:w="284" w:type="dxa"/>
            </w:tcMar>
            <w:vAlign w:val="bottom"/>
          </w:tcPr>
          <w:p w14:paraId="2424A14A" w14:textId="77777777" w:rsidR="00CB3DE1" w:rsidRPr="00CB3DE1" w:rsidRDefault="00CB3DE1" w:rsidP="00CB3DE1">
            <w:pPr>
              <w:spacing w:before="0"/>
              <w:jc w:val="right"/>
              <w:rPr>
                <w:rFonts w:ascii="Times New Roman" w:hAnsi="Times New Roman"/>
                <w:snapToGrid w:val="0"/>
                <w:sz w:val="24"/>
                <w:u w:val="double"/>
              </w:rPr>
            </w:pPr>
            <w:r w:rsidRPr="00CB3DE1">
              <w:rPr>
                <w:rFonts w:ascii="Times New Roman" w:hAnsi="Times New Roman"/>
                <w:snapToGrid w:val="0"/>
                <w:sz w:val="24"/>
                <w:u w:val="double"/>
              </w:rPr>
              <w:t>X</w:t>
            </w:r>
          </w:p>
        </w:tc>
        <w:tc>
          <w:tcPr>
            <w:tcW w:w="1441" w:type="dxa"/>
            <w:tcMar>
              <w:left w:w="284" w:type="dxa"/>
              <w:right w:w="284" w:type="dxa"/>
            </w:tcMar>
            <w:vAlign w:val="bottom"/>
          </w:tcPr>
          <w:p w14:paraId="2C4C63AF" w14:textId="77777777" w:rsidR="00CB3DE1" w:rsidRPr="00CB3DE1" w:rsidRDefault="00CB3DE1" w:rsidP="00CB3DE1">
            <w:pPr>
              <w:spacing w:before="0"/>
              <w:jc w:val="right"/>
              <w:rPr>
                <w:rFonts w:ascii="Times New Roman" w:hAnsi="Times New Roman"/>
                <w:snapToGrid w:val="0"/>
                <w:sz w:val="24"/>
                <w:u w:val="double"/>
              </w:rPr>
            </w:pPr>
            <w:r w:rsidRPr="00CB3DE1">
              <w:rPr>
                <w:rFonts w:ascii="Times New Roman" w:hAnsi="Times New Roman"/>
                <w:snapToGrid w:val="0"/>
                <w:sz w:val="24"/>
                <w:u w:val="double"/>
              </w:rPr>
              <w:t>X</w:t>
            </w:r>
          </w:p>
        </w:tc>
      </w:tr>
    </w:tbl>
    <w:p w14:paraId="4C03DAC7" w14:textId="77777777" w:rsidR="00CB3DE1" w:rsidRPr="00CB3DE1" w:rsidRDefault="00CB3DE1" w:rsidP="00CB3DE1">
      <w:pPr>
        <w:rPr>
          <w:rFonts w:ascii="Times New Roman" w:hAnsi="Times New Roman"/>
          <w:sz w:val="24"/>
        </w:rPr>
      </w:pPr>
    </w:p>
    <w:p w14:paraId="4AECED0B"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r w:rsidRPr="00CB3DE1">
        <w:rPr>
          <w:rFonts w:ascii="Times New Roman" w:hAnsi="Times New Roman"/>
          <w:color w:val="000000"/>
          <w:sz w:val="24"/>
          <w:lang w:val="pt-BR" w:eastAsia="x-none"/>
        </w:rPr>
        <w:t>Os requisitos de apresentação para ativos (ou grupos de alienação) classificados como mantidos para venda no final do período não se aplicam retrospectivamente. Os balanços comparativos de quaisquer períodos anteriores, portanto, não são reapresentados.</w:t>
      </w:r>
    </w:p>
    <w:p w14:paraId="7E4E9649"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27E85FD0" w14:textId="77777777" w:rsidR="00CB3DE1" w:rsidRPr="00CB3DE1" w:rsidRDefault="00CB3DE1" w:rsidP="00CB3DE1">
      <w:pPr>
        <w:widowControl w:val="0"/>
        <w:tabs>
          <w:tab w:val="left" w:pos="6804"/>
        </w:tabs>
        <w:spacing w:before="0" w:after="0"/>
        <w:rPr>
          <w:rFonts w:ascii="Times New Roman" w:hAnsi="Times New Roman"/>
          <w:b/>
          <w:sz w:val="24"/>
          <w:lang w:val="pt-BR" w:eastAsia="x-none"/>
        </w:rPr>
      </w:pPr>
      <w:r w:rsidRPr="00CB3DE1">
        <w:rPr>
          <w:rFonts w:ascii="Times New Roman" w:hAnsi="Times New Roman"/>
          <w:b/>
          <w:sz w:val="24"/>
          <w:lang w:val="pt-BR" w:eastAsia="x-none"/>
        </w:rPr>
        <w:t>Mensuração e apresentação de controladas adquiridas com vistas à revenda e classificadas como mantidas para venda</w:t>
      </w:r>
    </w:p>
    <w:p w14:paraId="18B07A9E"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1E3BB84E" w14:textId="2A24589C" w:rsidR="00CB3DE1" w:rsidRPr="00CB3DE1" w:rsidRDefault="00CB3DE1" w:rsidP="00CB3DE1">
      <w:pPr>
        <w:autoSpaceDE w:val="0"/>
        <w:autoSpaceDN w:val="0"/>
        <w:adjustRightInd w:val="0"/>
        <w:spacing w:before="0" w:after="0"/>
        <w:rPr>
          <w:rFonts w:ascii="Times New Roman" w:eastAsia="Batang" w:hAnsi="Times New Roman" w:cs="Cambria"/>
          <w:szCs w:val="20"/>
          <w:lang w:val="pt-BR" w:eastAsia="ko-KR"/>
        </w:rPr>
      </w:pPr>
      <w:r w:rsidRPr="00CB3DE1">
        <w:rPr>
          <w:rFonts w:ascii="Times New Roman" w:eastAsia="Batang" w:hAnsi="Times New Roman"/>
          <w:sz w:val="24"/>
          <w:lang w:val="pt-BR" w:eastAsia="ko-KR"/>
        </w:rPr>
        <w:t xml:space="preserve">Uma controlada adquirida com vistas à revenda não está isenta da consolidação, de acordo com o Pronunciamento Técnico CPC 36 – Demonstrações Consolidadas, a menos que a adquirente seja entidade de investimento, conforme definido no Pronunciamento Técnico CPC 36, e seja obrigada a mensurar o investimento nessa controlada ao valor justo por meio do resultado. Contudo, se ela atender aos critérios estabelecidos no item 11, é apresentada como um grupo de ativos classificado como mantido para venda. O exemplo 13 ilustra esses requisitos. </w:t>
      </w:r>
    </w:p>
    <w:p w14:paraId="741A4FE4"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3077C994" w14:textId="77777777" w:rsidR="00CB3DE1" w:rsidRPr="00CB3DE1" w:rsidRDefault="00CB3DE1" w:rsidP="00CB3DE1">
      <w:pPr>
        <w:widowControl w:val="0"/>
        <w:tabs>
          <w:tab w:val="left" w:pos="6804"/>
        </w:tabs>
        <w:spacing w:before="0" w:after="0"/>
        <w:rPr>
          <w:rFonts w:ascii="Times New Roman" w:hAnsi="Times New Roman"/>
          <w:b/>
          <w:sz w:val="24"/>
          <w:lang w:val="pt-BR" w:eastAsia="x-none"/>
        </w:rPr>
      </w:pPr>
      <w:r w:rsidRPr="00CB3DE1">
        <w:rPr>
          <w:rFonts w:ascii="Times New Roman" w:hAnsi="Times New Roman"/>
          <w:b/>
          <w:sz w:val="24"/>
          <w:lang w:val="pt-BR" w:eastAsia="x-none"/>
        </w:rPr>
        <w:t>Exemplo 13</w:t>
      </w:r>
    </w:p>
    <w:p w14:paraId="7E7CEE08"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19C49CC0"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r w:rsidRPr="00CB3DE1">
        <w:rPr>
          <w:rFonts w:ascii="Times New Roman" w:hAnsi="Times New Roman"/>
          <w:color w:val="000000"/>
          <w:sz w:val="24"/>
          <w:lang w:val="pt-BR" w:eastAsia="x-none"/>
        </w:rPr>
        <w:t>A entidade A adquire a entidade H, que é uma controladora com duas subsidiárias, S1 e S2. A S2 é adquirida exclusivamente com vistas à venda e atende aos critérios para ser classificada como mantida para venda. De acordo com o item 32(c), a S2 também é uma operação descontinuada.</w:t>
      </w:r>
    </w:p>
    <w:p w14:paraId="26BE1E56"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669E7FA3" w14:textId="77777777" w:rsidR="00CB3DE1" w:rsidRPr="00CB3DE1" w:rsidRDefault="00CB3DE1" w:rsidP="00CB3DE1">
      <w:pPr>
        <w:widowControl w:val="0"/>
        <w:tabs>
          <w:tab w:val="left" w:pos="6804"/>
        </w:tabs>
        <w:spacing w:before="0"/>
        <w:rPr>
          <w:rFonts w:ascii="Times New Roman" w:hAnsi="Times New Roman"/>
          <w:color w:val="000000"/>
          <w:sz w:val="24"/>
          <w:lang w:val="pt-BR" w:eastAsia="x-none"/>
        </w:rPr>
      </w:pPr>
      <w:r w:rsidRPr="00CB3DE1">
        <w:rPr>
          <w:rFonts w:ascii="Times New Roman" w:hAnsi="Times New Roman"/>
          <w:color w:val="000000"/>
          <w:sz w:val="24"/>
          <w:lang w:val="pt-BR" w:eastAsia="x-none"/>
        </w:rPr>
        <w:t>O valor justo estimado menos despesas de venda da S2 é $ 135. A entidade A contabiliza S2 da seguinte forma:</w:t>
      </w:r>
    </w:p>
    <w:p w14:paraId="69938B78" w14:textId="77777777" w:rsidR="00CB3DE1" w:rsidRPr="00CB3DE1" w:rsidRDefault="00CB3DE1" w:rsidP="00CB3DE1">
      <w:pPr>
        <w:numPr>
          <w:ilvl w:val="0"/>
          <w:numId w:val="20"/>
        </w:numPr>
        <w:tabs>
          <w:tab w:val="clear" w:pos="360"/>
        </w:tabs>
        <w:spacing w:before="0"/>
        <w:rPr>
          <w:rFonts w:ascii="Times New Roman" w:hAnsi="Times New Roman"/>
          <w:sz w:val="24"/>
        </w:rPr>
      </w:pPr>
      <w:r w:rsidRPr="00CB3DE1">
        <w:rPr>
          <w:rFonts w:ascii="Times New Roman" w:hAnsi="Times New Roman"/>
          <w:sz w:val="24"/>
        </w:rPr>
        <w:t>inicialmente, mensura os passivos identificáveis de S2 pelo valor justo, ou seja, a $ 40.</w:t>
      </w:r>
    </w:p>
    <w:p w14:paraId="5C5A7314" w14:textId="77777777" w:rsidR="00CB3DE1" w:rsidRPr="00CB3DE1" w:rsidRDefault="00CB3DE1" w:rsidP="00CB3DE1">
      <w:pPr>
        <w:numPr>
          <w:ilvl w:val="0"/>
          <w:numId w:val="20"/>
        </w:numPr>
        <w:tabs>
          <w:tab w:val="clear" w:pos="360"/>
        </w:tabs>
        <w:spacing w:before="0"/>
        <w:rPr>
          <w:rFonts w:ascii="Times New Roman" w:hAnsi="Times New Roman"/>
          <w:sz w:val="24"/>
        </w:rPr>
      </w:pPr>
      <w:r w:rsidRPr="00CB3DE1">
        <w:rPr>
          <w:rFonts w:ascii="Times New Roman" w:hAnsi="Times New Roman"/>
          <w:sz w:val="24"/>
        </w:rPr>
        <w:t>inicialmente, mensura os ativos adquiridos como o valor justo menos despesas de venda de S2 ($ 135) mais o valor justo dos passivos identificáveis ($ 40), ou seja, a $ 175.</w:t>
      </w:r>
    </w:p>
    <w:p w14:paraId="14FDA31B" w14:textId="77777777" w:rsidR="00CB3DE1" w:rsidRPr="00CB3DE1" w:rsidRDefault="00CB3DE1" w:rsidP="00CB3DE1">
      <w:pPr>
        <w:numPr>
          <w:ilvl w:val="0"/>
          <w:numId w:val="20"/>
        </w:numPr>
        <w:tabs>
          <w:tab w:val="clear" w:pos="360"/>
        </w:tabs>
        <w:spacing w:before="0"/>
        <w:rPr>
          <w:rFonts w:ascii="Times New Roman" w:hAnsi="Times New Roman"/>
          <w:sz w:val="24"/>
        </w:rPr>
      </w:pPr>
      <w:r w:rsidRPr="00CB3DE1">
        <w:rPr>
          <w:rFonts w:ascii="Times New Roman" w:hAnsi="Times New Roman"/>
          <w:sz w:val="24"/>
        </w:rPr>
        <w:t>no final do período, remensura o grupo de ativos pelo menor entre o seu custo e valor justo menos despesas para vender, ou seja, a $ 130. Os passivos são remensurados de acordo com os Pronunciamentos aplicáveis, ou seja, a $ 35. O total de ativos é mensurado a $ 130 + $ 35, ou seja, a $ 165.</w:t>
      </w:r>
    </w:p>
    <w:p w14:paraId="6166F84E" w14:textId="77777777" w:rsidR="00CB3DE1" w:rsidRPr="00CB3DE1" w:rsidRDefault="00CB3DE1" w:rsidP="00CB3DE1">
      <w:pPr>
        <w:numPr>
          <w:ilvl w:val="0"/>
          <w:numId w:val="20"/>
        </w:numPr>
        <w:tabs>
          <w:tab w:val="clear" w:pos="360"/>
        </w:tabs>
        <w:spacing w:before="0"/>
        <w:rPr>
          <w:rFonts w:ascii="Times New Roman" w:hAnsi="Times New Roman"/>
          <w:sz w:val="24"/>
        </w:rPr>
      </w:pPr>
      <w:r w:rsidRPr="00CB3DE1">
        <w:rPr>
          <w:rFonts w:ascii="Times New Roman" w:hAnsi="Times New Roman"/>
          <w:sz w:val="24"/>
        </w:rPr>
        <w:lastRenderedPageBreak/>
        <w:t xml:space="preserve">no final do período, apresenta os ativos e passivos separadamente de outros ativos e passivos em suas demonstrações contábeis consolidadas, conforme ilustrado no exemplo 12 – </w:t>
      </w:r>
      <w:r w:rsidRPr="00CB3DE1">
        <w:rPr>
          <w:rFonts w:ascii="Times New Roman" w:hAnsi="Times New Roman"/>
          <w:i/>
          <w:sz w:val="24"/>
        </w:rPr>
        <w:t>Apresentação de ativos não circulantes ou grupos de ativos classificados como mantidos para venda.</w:t>
      </w:r>
    </w:p>
    <w:p w14:paraId="4650BCB3" w14:textId="77777777" w:rsidR="00CB3DE1" w:rsidRPr="00CB3DE1" w:rsidRDefault="00CB3DE1" w:rsidP="00CB3DE1">
      <w:pPr>
        <w:numPr>
          <w:ilvl w:val="0"/>
          <w:numId w:val="20"/>
        </w:numPr>
        <w:tabs>
          <w:tab w:val="clear" w:pos="360"/>
        </w:tabs>
        <w:spacing w:before="0" w:after="0"/>
        <w:rPr>
          <w:rFonts w:ascii="Times New Roman" w:hAnsi="Times New Roman"/>
          <w:sz w:val="24"/>
        </w:rPr>
      </w:pPr>
      <w:r w:rsidRPr="00CB3DE1">
        <w:rPr>
          <w:rFonts w:ascii="Times New Roman" w:hAnsi="Times New Roman"/>
          <w:sz w:val="24"/>
        </w:rPr>
        <w:t>na demonstração do resultado, apresenta o total de lucro ou prejuízo depois de impostos de S2 e o ganho ou perda pós-impostos reconhecidos na remensuração subseqüente de S2, que equivale à remensuração do grupo de ativos de $ 135 para $ 130.</w:t>
      </w:r>
    </w:p>
    <w:p w14:paraId="2263FC3E" w14:textId="77777777" w:rsidR="00CB3DE1" w:rsidRPr="00CB3DE1" w:rsidRDefault="00CB3DE1" w:rsidP="00CB3DE1">
      <w:pPr>
        <w:widowControl w:val="0"/>
        <w:tabs>
          <w:tab w:val="left" w:pos="6804"/>
        </w:tabs>
        <w:spacing w:before="0" w:after="0"/>
        <w:rPr>
          <w:rFonts w:ascii="Times New Roman" w:hAnsi="Times New Roman"/>
          <w:color w:val="000000"/>
          <w:sz w:val="24"/>
          <w:lang w:val="pt-BR" w:eastAsia="x-none"/>
        </w:rPr>
      </w:pPr>
    </w:p>
    <w:p w14:paraId="70D0887F" w14:textId="77777777" w:rsidR="00CB3DE1" w:rsidRPr="00CB3DE1" w:rsidRDefault="00CB3DE1" w:rsidP="00CB3DE1">
      <w:pPr>
        <w:widowControl w:val="0"/>
        <w:tabs>
          <w:tab w:val="left" w:pos="6804"/>
        </w:tabs>
        <w:spacing w:before="0" w:after="0"/>
        <w:rPr>
          <w:rFonts w:ascii="Times New Roman" w:hAnsi="Times New Roman"/>
          <w:b/>
          <w:sz w:val="24"/>
        </w:rPr>
      </w:pPr>
      <w:r w:rsidRPr="00CB3DE1">
        <w:rPr>
          <w:rFonts w:ascii="Times New Roman" w:hAnsi="Times New Roman"/>
          <w:color w:val="000000"/>
          <w:sz w:val="24"/>
          <w:lang w:val="pt-BR" w:eastAsia="x-none"/>
        </w:rPr>
        <w:t>Não é necessária análise adicional dos ativos e passivos ou da mudança no valor do grupo de ativos.</w:t>
      </w:r>
    </w:p>
    <w:p w14:paraId="2C5A7000" w14:textId="286C3877" w:rsidR="00C578D8" w:rsidRPr="00CB3DE1" w:rsidRDefault="00C578D8"/>
    <w:p w14:paraId="5ABEFC5B" w14:textId="77777777" w:rsidR="00273211" w:rsidRPr="0096648A" w:rsidRDefault="00273211">
      <w:pPr>
        <w:rPr>
          <w:lang w:val="pt-BR"/>
        </w:rPr>
      </w:pPr>
    </w:p>
    <w:sectPr w:rsidR="00273211" w:rsidRPr="0096648A"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B1BF2" w14:textId="77777777" w:rsidR="003D2511" w:rsidRDefault="003D2511" w:rsidP="0096648A">
      <w:pPr>
        <w:spacing w:before="0" w:after="0"/>
      </w:pPr>
      <w:r>
        <w:separator/>
      </w:r>
    </w:p>
  </w:endnote>
  <w:endnote w:type="continuationSeparator" w:id="0">
    <w:p w14:paraId="6D768A56" w14:textId="77777777" w:rsidR="003D2511" w:rsidRDefault="003D2511"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D76E29" w:rsidRDefault="0084434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D24D" w14:textId="77777777" w:rsidR="00D76E29" w:rsidRDefault="00E24ED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sdtContent>
      <w:p w14:paraId="4E8AE55F" w14:textId="3D461AB8" w:rsidR="00AB3649" w:rsidRPr="00AB3649" w:rsidRDefault="00AB3649">
        <w:pPr>
          <w:pStyle w:val="Rodap"/>
          <w:jc w:val="center"/>
          <w:rPr>
            <w:rFonts w:asciiTheme="minorHAnsi" w:hAnsiTheme="minorHAnsi" w:cstheme="minorHAnsi"/>
            <w:szCs w:val="20"/>
          </w:rPr>
        </w:pPr>
        <w:r w:rsidRPr="00AB3649">
          <w:rPr>
            <w:rFonts w:asciiTheme="minorHAnsi" w:hAnsiTheme="minorHAnsi" w:cstheme="minorHAnsi"/>
            <w:szCs w:val="20"/>
          </w:rPr>
          <w:fldChar w:fldCharType="begin"/>
        </w:r>
        <w:r w:rsidRPr="00AB3649">
          <w:rPr>
            <w:rFonts w:asciiTheme="minorHAnsi" w:hAnsiTheme="minorHAnsi" w:cstheme="minorHAnsi"/>
            <w:szCs w:val="20"/>
          </w:rPr>
          <w:instrText>PAGE   \* MERGEFORMAT</w:instrText>
        </w:r>
        <w:r w:rsidRPr="00AB3649">
          <w:rPr>
            <w:rFonts w:asciiTheme="minorHAnsi" w:hAnsiTheme="minorHAnsi" w:cstheme="minorHAnsi"/>
            <w:szCs w:val="20"/>
          </w:rPr>
          <w:fldChar w:fldCharType="separate"/>
        </w:r>
        <w:r w:rsidR="00E24EDB" w:rsidRPr="00E24EDB">
          <w:rPr>
            <w:rFonts w:asciiTheme="minorHAnsi" w:hAnsiTheme="minorHAnsi" w:cstheme="minorHAnsi"/>
            <w:noProof/>
            <w:szCs w:val="20"/>
            <w:lang w:val="pt-BR"/>
          </w:rPr>
          <w:t>27</w:t>
        </w:r>
        <w:r w:rsidRPr="00AB3649">
          <w:rPr>
            <w:rFonts w:asciiTheme="minorHAnsi" w:hAnsiTheme="minorHAnsi" w:cs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A21437" w:rsidRPr="00A21437" w:rsidRDefault="00A21437">
    <w:pPr>
      <w:pStyle w:val="Rodap"/>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81699" w14:textId="77777777" w:rsidR="003D2511" w:rsidRDefault="003D2511" w:rsidP="0096648A">
      <w:pPr>
        <w:spacing w:before="0" w:after="0"/>
      </w:pPr>
      <w:r>
        <w:separator/>
      </w:r>
    </w:p>
  </w:footnote>
  <w:footnote w:type="continuationSeparator" w:id="0">
    <w:p w14:paraId="0CF222FB" w14:textId="77777777" w:rsidR="003D2511" w:rsidRDefault="003D2511" w:rsidP="009664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A21437" w:rsidRPr="007A1E4D" w:rsidRDefault="00A21437"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1AD650B4" w:rsidR="00A21437" w:rsidRPr="00A21437" w:rsidRDefault="00E24EDB" w:rsidP="00A21437">
    <w:pPr>
      <w:pStyle w:val="Cabealho"/>
      <w:spacing w:before="0" w:after="0"/>
      <w:jc w:val="center"/>
      <w:rPr>
        <w:rFonts w:asciiTheme="minorHAnsi" w:hAnsiTheme="minorHAnsi" w:cstheme="minorHAnsi"/>
        <w:noProof/>
        <w:sz w:val="18"/>
        <w:szCs w:val="18"/>
      </w:rPr>
    </w:pPr>
    <w:hyperlink r:id="rId2" w:history="1">
      <w:r w:rsidR="00B21A82" w:rsidRPr="00A51584">
        <w:rPr>
          <w:rStyle w:val="Hyperlink"/>
          <w:rFonts w:asciiTheme="minorHAnsi" w:hAnsiTheme="minorHAnsi" w:cstheme="minorHAnsi"/>
          <w:sz w:val="18"/>
          <w:szCs w:val="18"/>
        </w:rPr>
        <w:t>www.gov.br/cvm</w:t>
      </w:r>
    </w:hyperlink>
  </w:p>
  <w:p w14:paraId="18930FD4" w14:textId="119B7006" w:rsidR="00D76E29" w:rsidRPr="00A21437" w:rsidRDefault="00A21437" w:rsidP="00A21437">
    <w:pPr>
      <w:pStyle w:val="Cabealho"/>
      <w:spacing w:before="240" w:after="240"/>
      <w:rPr>
        <w:rFonts w:asciiTheme="minorHAnsi" w:hAnsiTheme="minorHAnsi" w:cstheme="minorHAnsi"/>
      </w:rPr>
    </w:pPr>
    <w:r w:rsidRPr="00E24EDB">
      <w:rPr>
        <w:rFonts w:asciiTheme="minorHAnsi" w:hAnsiTheme="minorHAnsi" w:cstheme="minorHAnsi"/>
        <w:szCs w:val="20"/>
      </w:rPr>
      <w:t xml:space="preserve">RESOLUÇÃO CVM Nº </w:t>
    </w:r>
    <w:r w:rsidR="00E24EDB" w:rsidRPr="00E24EDB">
      <w:rPr>
        <w:rFonts w:asciiTheme="minorHAnsi" w:hAnsiTheme="minorHAnsi" w:cstheme="minorHAnsi"/>
        <w:szCs w:val="20"/>
      </w:rPr>
      <w:t>108</w:t>
    </w:r>
    <w:r w:rsidRPr="00E24EDB">
      <w:rPr>
        <w:rFonts w:asciiTheme="minorHAnsi" w:hAnsiTheme="minorHAnsi" w:cstheme="minorHAnsi"/>
        <w:szCs w:val="20"/>
      </w:rPr>
      <w:t xml:space="preserve">, DE </w:t>
    </w:r>
    <w:r w:rsidR="00E24EDB" w:rsidRPr="00E24EDB">
      <w:rPr>
        <w:rFonts w:asciiTheme="minorHAnsi" w:hAnsiTheme="minorHAnsi" w:cstheme="minorHAnsi"/>
        <w:szCs w:val="20"/>
      </w:rPr>
      <w:t xml:space="preserve">20 </w:t>
    </w:r>
    <w:r w:rsidRPr="00E24EDB">
      <w:rPr>
        <w:rFonts w:asciiTheme="minorHAnsi" w:hAnsiTheme="minorHAnsi" w:cstheme="minorHAnsi"/>
        <w:szCs w:val="20"/>
      </w:rPr>
      <w:t xml:space="preserve">DE </w:t>
    </w:r>
    <w:r w:rsidR="00E24EDB" w:rsidRPr="00E24EDB">
      <w:rPr>
        <w:rFonts w:asciiTheme="minorHAnsi" w:hAnsiTheme="minorHAnsi" w:cstheme="minorHAnsi"/>
        <w:szCs w:val="20"/>
      </w:rPr>
      <w:t xml:space="preserve">MAIO </w:t>
    </w:r>
    <w:r w:rsidRPr="00E24EDB">
      <w:rPr>
        <w:rFonts w:asciiTheme="minorHAnsi" w:hAnsiTheme="minorHAnsi" w:cstheme="minorHAnsi"/>
        <w:szCs w:val="20"/>
      </w:rPr>
      <w:t>DE 202</w:t>
    </w:r>
    <w:r w:rsidR="00135DCC" w:rsidRPr="00E24EDB">
      <w:rPr>
        <w:rFonts w:asciiTheme="minorHAnsi" w:hAnsiTheme="minorHAnsi" w:cstheme="minorHAnsi"/>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DF62F3" w:rsidRPr="007A1E4D" w:rsidRDefault="00DF62F3"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4E1634B0" w:rsidR="00D76E29" w:rsidRDefault="00E24EDB" w:rsidP="00DF62F3">
    <w:pPr>
      <w:pStyle w:val="Cabealho"/>
      <w:spacing w:before="0" w:after="360"/>
      <w:jc w:val="center"/>
    </w:pPr>
    <w:hyperlink r:id="rId2" w:history="1">
      <w:r w:rsidR="009A6542" w:rsidRPr="00A51584">
        <w:rPr>
          <w:rStyle w:val="Hyperlink"/>
          <w:rFonts w:asciiTheme="minorHAnsi" w:hAnsiTheme="minorHAnsi" w:cstheme="minorHAnsi"/>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A54CE"/>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2" w15:restartNumberingAfterBreak="0">
    <w:nsid w:val="1FF071A2"/>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5F6194"/>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0427E74"/>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3242D2F"/>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3494794"/>
    <w:multiLevelType w:val="hybridMultilevel"/>
    <w:tmpl w:val="1BA28FAA"/>
    <w:lvl w:ilvl="0" w:tplc="DC4E2D7C">
      <w:start w:val="1"/>
      <w:numFmt w:val="lowerRoman"/>
      <w:lvlText w:val="(%1) "/>
      <w:lvlJc w:val="center"/>
      <w:pPr>
        <w:tabs>
          <w:tab w:val="num" w:pos="1920"/>
        </w:tabs>
        <w:ind w:left="19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35134BC0"/>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6731138"/>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A2F01"/>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B932BAF"/>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D297CC1"/>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29472F2"/>
    <w:multiLevelType w:val="hybridMultilevel"/>
    <w:tmpl w:val="1BA28FAA"/>
    <w:lvl w:ilvl="0" w:tplc="DC4E2D7C">
      <w:start w:val="1"/>
      <w:numFmt w:val="lowerRoman"/>
      <w:lvlText w:val="(%1) "/>
      <w:lvlJc w:val="center"/>
      <w:pPr>
        <w:tabs>
          <w:tab w:val="num" w:pos="1920"/>
        </w:tabs>
        <w:ind w:left="19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15:restartNumberingAfterBreak="0">
    <w:nsid w:val="45AE5839"/>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6A61205"/>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78F7A44"/>
    <w:multiLevelType w:val="hybridMultilevel"/>
    <w:tmpl w:val="A1BE9D48"/>
    <w:lvl w:ilvl="0" w:tplc="862E2C22">
      <w:start w:val="1"/>
      <w:numFmt w:val="lowerLetter"/>
      <w:lvlText w:val="(%1)"/>
      <w:lvlJc w:val="left"/>
      <w:pPr>
        <w:tabs>
          <w:tab w:val="num" w:pos="1070"/>
        </w:tabs>
        <w:ind w:left="1070" w:hanging="360"/>
      </w:pPr>
      <w:rPr>
        <w:rFonts w:cs="Times New Roman"/>
        <w:b w:val="0"/>
        <w:i w:val="0"/>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6" w15:restartNumberingAfterBreak="0">
    <w:nsid w:val="58F85C7D"/>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DAF4A03"/>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DC929A5"/>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E1D44B6"/>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BD93A62"/>
    <w:multiLevelType w:val="hybridMultilevel"/>
    <w:tmpl w:val="ABEC2EDE"/>
    <w:lvl w:ilvl="0" w:tplc="622E1C52">
      <w:start w:val="1"/>
      <w:numFmt w:val="lowerLetter"/>
      <w:lvlText w:val="(%1)"/>
      <w:lvlJc w:val="left"/>
      <w:pPr>
        <w:tabs>
          <w:tab w:val="num" w:pos="1070"/>
        </w:tabs>
        <w:ind w:left="1070" w:hanging="360"/>
      </w:pPr>
      <w:rPr>
        <w:rFonts w:cs="Times New Roman" w:hint="default"/>
        <w:b w:val="0"/>
        <w:i w:val="0"/>
        <w:strike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C333837"/>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1063D16"/>
    <w:multiLevelType w:val="hybridMultilevel"/>
    <w:tmpl w:val="8296341A"/>
    <w:lvl w:ilvl="0" w:tplc="0BFACFF8">
      <w:start w:val="1"/>
      <w:numFmt w:val="bullet"/>
      <w:lvlText w:val=""/>
      <w:lvlJc w:val="left"/>
      <w:pPr>
        <w:tabs>
          <w:tab w:val="num" w:pos="360"/>
        </w:tabs>
        <w:ind w:left="284" w:hanging="284"/>
      </w:pPr>
      <w:rPr>
        <w:rFonts w:ascii="Symbol" w:hAnsi="Symbol" w:hint="default"/>
        <w:color w:val="auto"/>
        <w:sz w:val="1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F34A68"/>
    <w:multiLevelType w:val="hybridMultilevel"/>
    <w:tmpl w:val="7706A3E4"/>
    <w:lvl w:ilvl="0" w:tplc="862E2C22">
      <w:start w:val="1"/>
      <w:numFmt w:val="lowerLetter"/>
      <w:lvlText w:val="(%1)"/>
      <w:lvlJc w:val="left"/>
      <w:pPr>
        <w:tabs>
          <w:tab w:val="num" w:pos="1070"/>
        </w:tabs>
        <w:ind w:left="1070" w:hanging="360"/>
      </w:pPr>
      <w:rPr>
        <w:rFonts w:cs="Times New Roman" w:hint="default"/>
        <w:b w:val="0"/>
        <w:i w:val="0"/>
      </w:rPr>
    </w:lvl>
    <w:lvl w:ilvl="1" w:tplc="DC4E2D7C">
      <w:start w:val="1"/>
      <w:numFmt w:val="lowerRoman"/>
      <w:lvlText w:val="(%2) "/>
      <w:lvlJc w:val="center"/>
      <w:pPr>
        <w:tabs>
          <w:tab w:val="num" w:pos="1920"/>
        </w:tabs>
        <w:ind w:left="1920" w:hanging="360"/>
      </w:pPr>
      <w:rPr>
        <w:rFonts w:cs="Times New Roman" w:hint="default"/>
      </w:rPr>
    </w:lvl>
    <w:lvl w:ilvl="2" w:tplc="E33C1512">
      <w:start w:val="1"/>
      <w:numFmt w:val="decimal"/>
      <w:lvlText w:val="(%3)"/>
      <w:lvlJc w:val="left"/>
      <w:pPr>
        <w:ind w:left="2340" w:hanging="360"/>
      </w:pPr>
      <w:rPr>
        <w:rFonts w:cs="Times New Roman" w:hint="default"/>
      </w:rPr>
    </w:lvl>
    <w:lvl w:ilvl="3" w:tplc="0BEE1E32">
      <w:start w:val="1"/>
      <w:numFmt w:val="lowerLetter"/>
      <w:lvlText w:val="%4)"/>
      <w:lvlJc w:val="left"/>
      <w:pPr>
        <w:ind w:left="2880" w:hanging="360"/>
      </w:pPr>
      <w:rPr>
        <w:rFonts w:cs="Times New Roman" w:hint="default"/>
      </w:rPr>
    </w:lvl>
    <w:lvl w:ilvl="4" w:tplc="F1560596">
      <w:start w:val="1"/>
      <w:numFmt w:val="lowerRoman"/>
      <w:lvlText w:val="(%5)"/>
      <w:lvlJc w:val="left"/>
      <w:pPr>
        <w:ind w:left="4265" w:hanging="720"/>
      </w:pPr>
      <w:rPr>
        <w:rFonts w:cs="Times New Roman" w:hint="default"/>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71076A1"/>
    <w:multiLevelType w:val="hybridMultilevel"/>
    <w:tmpl w:val="1BA28FAA"/>
    <w:lvl w:ilvl="0" w:tplc="DC4E2D7C">
      <w:start w:val="1"/>
      <w:numFmt w:val="lowerRoman"/>
      <w:lvlText w:val="(%1) "/>
      <w:lvlJc w:val="center"/>
      <w:pPr>
        <w:tabs>
          <w:tab w:val="num" w:pos="1920"/>
        </w:tabs>
        <w:ind w:left="19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15:restartNumberingAfterBreak="0">
    <w:nsid w:val="789375F5"/>
    <w:multiLevelType w:val="hybridMultilevel"/>
    <w:tmpl w:val="1BA28FAA"/>
    <w:lvl w:ilvl="0" w:tplc="DC4E2D7C">
      <w:start w:val="1"/>
      <w:numFmt w:val="lowerRoman"/>
      <w:lvlText w:val="(%1) "/>
      <w:lvlJc w:val="center"/>
      <w:pPr>
        <w:tabs>
          <w:tab w:val="num" w:pos="1920"/>
        </w:tabs>
        <w:ind w:left="19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
  </w:num>
  <w:num w:numId="2">
    <w:abstractNumId w:val="23"/>
  </w:num>
  <w:num w:numId="3">
    <w:abstractNumId w:val="8"/>
  </w:num>
  <w:num w:numId="4">
    <w:abstractNumId w:val="20"/>
  </w:num>
  <w:num w:numId="5">
    <w:abstractNumId w:val="19"/>
  </w:num>
  <w:num w:numId="6">
    <w:abstractNumId w:val="4"/>
  </w:num>
  <w:num w:numId="7">
    <w:abstractNumId w:val="14"/>
  </w:num>
  <w:num w:numId="8">
    <w:abstractNumId w:val="17"/>
  </w:num>
  <w:num w:numId="9">
    <w:abstractNumId w:val="13"/>
  </w:num>
  <w:num w:numId="10">
    <w:abstractNumId w:val="25"/>
  </w:num>
  <w:num w:numId="11">
    <w:abstractNumId w:val="18"/>
  </w:num>
  <w:num w:numId="12">
    <w:abstractNumId w:val="11"/>
  </w:num>
  <w:num w:numId="13">
    <w:abstractNumId w:val="0"/>
  </w:num>
  <w:num w:numId="14">
    <w:abstractNumId w:val="3"/>
  </w:num>
  <w:num w:numId="15">
    <w:abstractNumId w:val="5"/>
  </w:num>
  <w:num w:numId="16">
    <w:abstractNumId w:val="24"/>
  </w:num>
  <w:num w:numId="17">
    <w:abstractNumId w:val="12"/>
  </w:num>
  <w:num w:numId="18">
    <w:abstractNumId w:val="6"/>
  </w:num>
  <w:num w:numId="19">
    <w:abstractNumId w:val="16"/>
  </w:num>
  <w:num w:numId="20">
    <w:abstractNumId w:val="22"/>
  </w:num>
  <w:num w:numId="21">
    <w:abstractNumId w:val="21"/>
  </w:num>
  <w:num w:numId="22">
    <w:abstractNumId w:val="9"/>
  </w:num>
  <w:num w:numId="23">
    <w:abstractNumId w:val="10"/>
  </w:num>
  <w:num w:numId="24">
    <w:abstractNumId w:val="2"/>
  </w:num>
  <w:num w:numId="25">
    <w:abstractNumId w:val="7"/>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6156C"/>
    <w:rsid w:val="00091226"/>
    <w:rsid w:val="00135DCC"/>
    <w:rsid w:val="00273211"/>
    <w:rsid w:val="002B40D9"/>
    <w:rsid w:val="003D2511"/>
    <w:rsid w:val="003D4504"/>
    <w:rsid w:val="004423E5"/>
    <w:rsid w:val="004506E5"/>
    <w:rsid w:val="004A243E"/>
    <w:rsid w:val="00500FB0"/>
    <w:rsid w:val="00562110"/>
    <w:rsid w:val="005B4854"/>
    <w:rsid w:val="005E18AB"/>
    <w:rsid w:val="005F4928"/>
    <w:rsid w:val="00631BCD"/>
    <w:rsid w:val="0063350D"/>
    <w:rsid w:val="006837F6"/>
    <w:rsid w:val="0084434F"/>
    <w:rsid w:val="0096648A"/>
    <w:rsid w:val="009A6542"/>
    <w:rsid w:val="009D3457"/>
    <w:rsid w:val="00A21437"/>
    <w:rsid w:val="00A92033"/>
    <w:rsid w:val="00AB3649"/>
    <w:rsid w:val="00AC7B83"/>
    <w:rsid w:val="00AE5A1E"/>
    <w:rsid w:val="00B21A82"/>
    <w:rsid w:val="00BE5934"/>
    <w:rsid w:val="00C4357A"/>
    <w:rsid w:val="00C56754"/>
    <w:rsid w:val="00C578D8"/>
    <w:rsid w:val="00C72039"/>
    <w:rsid w:val="00CB3DE1"/>
    <w:rsid w:val="00CB5A8C"/>
    <w:rsid w:val="00CE76A2"/>
    <w:rsid w:val="00CF08C5"/>
    <w:rsid w:val="00CF424B"/>
    <w:rsid w:val="00D66292"/>
    <w:rsid w:val="00D740A9"/>
    <w:rsid w:val="00DF62F3"/>
    <w:rsid w:val="00E24EDB"/>
    <w:rsid w:val="00E7266E"/>
    <w:rsid w:val="00FF68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rsid w:val="0096648A"/>
    <w:pPr>
      <w:tabs>
        <w:tab w:val="center" w:pos="4320"/>
        <w:tab w:val="right" w:pos="8640"/>
      </w:tabs>
    </w:pPr>
    <w:rPr>
      <w:lang w:eastAsia="x-none"/>
    </w:rPr>
  </w:style>
  <w:style w:type="character" w:customStyle="1" w:styleId="RodapChar">
    <w:name w:val="Rodapé Char"/>
    <w:basedOn w:val="Fontepargpadro"/>
    <w:link w:val="Rodap"/>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semiHidden/>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uiPriority w:val="99"/>
    <w:semiHidden/>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semiHidden/>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semiHidden/>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34"/>
    <w:qFormat/>
    <w:rsid w:val="0096648A"/>
    <w:pPr>
      <w:ind w:left="708"/>
    </w:p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character" w:customStyle="1" w:styleId="UnresolvedMention">
    <w:name w:val="Unresolved Mention"/>
    <w:basedOn w:val="Fontepargpadro"/>
    <w:uiPriority w:val="99"/>
    <w:semiHidden/>
    <w:unhideWhenUsed/>
    <w:rsid w:val="009A6542"/>
    <w:rPr>
      <w:color w:val="605E5C"/>
      <w:shd w:val="clear" w:color="auto" w:fill="E1DFDD"/>
    </w:rPr>
  </w:style>
  <w:style w:type="paragraph" w:customStyle="1" w:styleId="Estilo1">
    <w:name w:val="Estilo1"/>
    <w:basedOn w:val="Normal"/>
    <w:rsid w:val="00CB3DE1"/>
    <w:pPr>
      <w:spacing w:before="320" w:after="0"/>
      <w:jc w:val="left"/>
    </w:pPr>
    <w:rPr>
      <w:rFonts w:cs="Arial"/>
      <w:b/>
      <w:lang w:val="pt-BR"/>
    </w:rPr>
  </w:style>
  <w:style w:type="paragraph" w:customStyle="1" w:styleId="itlicosfrases">
    <w:name w:val="itálicos frases"/>
    <w:next w:val="Normal"/>
    <w:rsid w:val="00CB3DE1"/>
    <w:pPr>
      <w:spacing w:before="320" w:after="0" w:line="280" w:lineRule="exact"/>
      <w:jc w:val="both"/>
    </w:pPr>
    <w:rPr>
      <w:rFonts w:ascii="Times New Roman" w:eastAsia="Times New Roman" w:hAnsi="Times New Roman" w:cs="Arial"/>
      <w:i/>
      <w:sz w:val="20"/>
      <w:szCs w:val="20"/>
      <w:lang w:eastAsia="pt-BR"/>
    </w:rPr>
  </w:style>
  <w:style w:type="paragraph" w:customStyle="1" w:styleId="Style22">
    <w:name w:val="Style22"/>
    <w:basedOn w:val="Normal"/>
    <w:rsid w:val="00CB3DE1"/>
    <w:pPr>
      <w:widowControl w:val="0"/>
      <w:autoSpaceDE w:val="0"/>
      <w:autoSpaceDN w:val="0"/>
      <w:adjustRightInd w:val="0"/>
      <w:spacing w:before="0" w:after="0"/>
      <w:jc w:val="left"/>
    </w:pPr>
    <w:rPr>
      <w:rFonts w:ascii="Cambria" w:eastAsia="Batang" w:hAnsi="Cambria"/>
      <w:sz w:val="24"/>
      <w:lang w:val="pt-BR" w:eastAsia="ko-KR"/>
    </w:rPr>
  </w:style>
  <w:style w:type="character" w:customStyle="1" w:styleId="FontStyle59">
    <w:name w:val="Font Style59"/>
    <w:rsid w:val="00CB3DE1"/>
    <w:rPr>
      <w:rFonts w:ascii="Cambria" w:hAnsi="Cambri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13" ma:contentTypeDescription="Crie um novo documento." ma:contentTypeScope="" ma:versionID="e9d3b4fb498a5610bc9a2c87b382479d">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8e71a05c2e60bc352b07344144fdfae6"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3F6A3-2511-4AF1-9AEA-107997D3AB58}">
  <ds:schemaRefs>
    <ds:schemaRef ds:uri="http://schemas.microsoft.com/sharepoint/v3/contenttype/forms"/>
  </ds:schemaRefs>
</ds:datastoreItem>
</file>

<file path=customXml/itemProps2.xml><?xml version="1.0" encoding="utf-8"?>
<ds:datastoreItem xmlns:ds="http://schemas.openxmlformats.org/officeDocument/2006/customXml" ds:itemID="{89B86069-21C2-414E-BAD7-6ECACE0459C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7b795b17-f7d2-4f27-ba4a-6f1f7eb48eda"/>
    <ds:schemaRef ds:uri="b69b09d8-fb11-4638-84fd-30340ac4eb2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2ADE017-5160-40A8-9CC0-10CCB91C2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C3084E-BDDB-4808-B6CE-288DC1FA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27</Pages>
  <Words>9075</Words>
  <Characters>49009</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Donizete Batistella</dc:creator>
  <cp:keywords/>
  <dc:description/>
  <cp:lastModifiedBy>Renata dos Santos Leitão</cp:lastModifiedBy>
  <cp:revision>36</cp:revision>
  <dcterms:created xsi:type="dcterms:W3CDTF">2021-07-21T15:16:00Z</dcterms:created>
  <dcterms:modified xsi:type="dcterms:W3CDTF">2022-05-18T18:36:00Z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