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194AEF27" w:rsidR="00CF08C5" w:rsidRPr="001761E4" w:rsidRDefault="00AD188A" w:rsidP="00CF08C5">
      <w:pPr>
        <w:pStyle w:val="level2"/>
        <w:spacing w:line="312" w:lineRule="auto"/>
        <w:jc w:val="center"/>
        <w:rPr>
          <w:rFonts w:asciiTheme="minorHAnsi" w:hAnsiTheme="minorHAnsi" w:cstheme="minorHAnsi"/>
          <w:b w:val="0"/>
          <w:bCs w:val="0"/>
          <w:color w:val="auto"/>
          <w:sz w:val="24"/>
          <w:lang w:val="pt-BR"/>
        </w:rPr>
      </w:pPr>
      <w:r w:rsidRPr="00AD188A">
        <w:rPr>
          <w:rFonts w:asciiTheme="minorHAnsi" w:hAnsiTheme="minorHAnsi" w:cstheme="minorHAnsi"/>
          <w:b w:val="0"/>
          <w:bCs w:val="0"/>
          <w:color w:val="auto"/>
          <w:sz w:val="24"/>
          <w:lang w:val="pt-BR"/>
        </w:rPr>
        <w:t>RESOLUÇÃO CVM Nº 12</w:t>
      </w:r>
      <w:r>
        <w:rPr>
          <w:rFonts w:asciiTheme="minorHAnsi" w:hAnsiTheme="minorHAnsi" w:cstheme="minorHAnsi"/>
          <w:b w:val="0"/>
          <w:bCs w:val="0"/>
          <w:color w:val="auto"/>
          <w:sz w:val="24"/>
          <w:lang w:val="pt-BR"/>
        </w:rPr>
        <w:t>1</w:t>
      </w:r>
      <w:r w:rsidRPr="00AD188A">
        <w:rPr>
          <w:rFonts w:asciiTheme="minorHAnsi" w:hAnsiTheme="minorHAnsi" w:cstheme="minorHAnsi"/>
          <w:b w:val="0"/>
          <w:bCs w:val="0"/>
          <w:color w:val="auto"/>
          <w:sz w:val="24"/>
          <w:lang w:val="pt-BR"/>
        </w:rPr>
        <w:t>, DE 3 DE JUNHO DE 2022</w:t>
      </w:r>
    </w:p>
    <w:p w14:paraId="5B546EE5" w14:textId="29D308A3" w:rsidR="00CF08C5" w:rsidRPr="002C3E7C" w:rsidRDefault="00CF08C5" w:rsidP="00DF432C">
      <w:pPr>
        <w:pStyle w:val="paragraph2"/>
        <w:spacing w:line="312" w:lineRule="auto"/>
        <w:ind w:left="4876"/>
        <w:jc w:val="both"/>
        <w:rPr>
          <w:rFonts w:asciiTheme="minorHAnsi" w:hAnsiTheme="minorHAnsi" w:cstheme="minorHAnsi"/>
          <w:iCs/>
          <w:lang w:val="pt-BR"/>
        </w:rPr>
      </w:pPr>
      <w:r w:rsidRPr="002C3E7C">
        <w:rPr>
          <w:rFonts w:asciiTheme="minorHAnsi" w:hAnsiTheme="minorHAnsi" w:cstheme="minorHAnsi"/>
          <w:iCs/>
          <w:lang w:val="pt-BR"/>
        </w:rPr>
        <w:t xml:space="preserve">Aprova </w:t>
      </w:r>
      <w:r w:rsidR="00DF432C" w:rsidRPr="00DF432C">
        <w:rPr>
          <w:rFonts w:asciiTheme="minorHAnsi" w:hAnsiTheme="minorHAnsi" w:cstheme="minorHAnsi"/>
          <w:iCs/>
          <w:lang w:val="pt-BR"/>
        </w:rPr>
        <w:t>a Consolidação d</w:t>
      </w:r>
      <w:r w:rsidRPr="002C3E7C">
        <w:rPr>
          <w:rFonts w:asciiTheme="minorHAnsi" w:hAnsiTheme="minorHAnsi" w:cstheme="minorHAnsi"/>
          <w:iCs/>
          <w:lang w:val="pt-BR"/>
        </w:rPr>
        <w:t xml:space="preserve">o Pronunciamento Técnico CPC </w:t>
      </w:r>
      <w:r w:rsidR="00B1476D" w:rsidRPr="002C3E7C">
        <w:rPr>
          <w:rFonts w:asciiTheme="minorHAnsi" w:hAnsiTheme="minorHAnsi" w:cstheme="minorHAnsi"/>
          <w:iCs/>
          <w:lang w:val="pt-BR"/>
        </w:rPr>
        <w:t>40 (R1)</w:t>
      </w:r>
      <w:r w:rsidRPr="002C3E7C">
        <w:rPr>
          <w:rFonts w:asciiTheme="minorHAnsi" w:hAnsiTheme="minorHAnsi" w:cstheme="minorHAnsi"/>
          <w:iCs/>
          <w:lang w:val="pt-BR"/>
        </w:rPr>
        <w:t xml:space="preserve"> do Comitê de Pronunciamentos Contábeis</w:t>
      </w:r>
      <w:r w:rsidR="00DF432C" w:rsidRPr="00DF432C">
        <w:rPr>
          <w:rFonts w:asciiTheme="minorHAnsi" w:hAnsiTheme="minorHAnsi" w:cstheme="minorHAnsi"/>
          <w:iCs/>
          <w:lang w:val="pt-BR"/>
        </w:rPr>
        <w:t xml:space="preserve"> – CPC</w:t>
      </w:r>
      <w:r w:rsidRPr="002C3E7C">
        <w:rPr>
          <w:rFonts w:asciiTheme="minorHAnsi" w:hAnsiTheme="minorHAnsi" w:cstheme="minorHAnsi"/>
          <w:iCs/>
          <w:lang w:val="pt-BR"/>
        </w:rPr>
        <w:t xml:space="preserve">, que trata </w:t>
      </w:r>
      <w:r w:rsidR="00B1476D" w:rsidRPr="002C3E7C">
        <w:rPr>
          <w:rFonts w:asciiTheme="minorHAnsi" w:hAnsiTheme="minorHAnsi" w:cstheme="minorHAnsi"/>
          <w:iCs/>
          <w:lang w:val="pt-BR"/>
        </w:rPr>
        <w:t>d</w:t>
      </w:r>
      <w:r w:rsidR="006D54B9">
        <w:rPr>
          <w:rFonts w:asciiTheme="minorHAnsi" w:hAnsiTheme="minorHAnsi" w:cstheme="minorHAnsi"/>
          <w:iCs/>
          <w:lang w:val="pt-BR"/>
        </w:rPr>
        <w:t>e</w:t>
      </w:r>
      <w:r w:rsidR="00B1476D" w:rsidRPr="002C3E7C">
        <w:rPr>
          <w:rFonts w:asciiTheme="minorHAnsi" w:hAnsiTheme="minorHAnsi" w:cstheme="minorHAnsi"/>
          <w:iCs/>
          <w:lang w:val="pt-BR"/>
        </w:rPr>
        <w:t xml:space="preserve"> </w:t>
      </w:r>
      <w:r w:rsidR="006D54B9" w:rsidRPr="006D54B9">
        <w:rPr>
          <w:rFonts w:asciiTheme="minorHAnsi" w:hAnsiTheme="minorHAnsi" w:cstheme="minorHAnsi"/>
          <w:iCs/>
          <w:lang w:val="pt-BR"/>
        </w:rPr>
        <w:t>Instrumentos Financeiros: Evidenciação</w:t>
      </w:r>
      <w:r w:rsidRPr="002C3E7C">
        <w:rPr>
          <w:rFonts w:asciiTheme="minorHAnsi" w:hAnsiTheme="minorHAnsi" w:cstheme="minorHAnsi"/>
          <w:iCs/>
          <w:lang w:val="pt-BR"/>
        </w:rPr>
        <w:t>.</w:t>
      </w:r>
    </w:p>
    <w:p w14:paraId="7D45C359" w14:textId="7F965E4D" w:rsidR="00CF08C5" w:rsidRPr="002C3E7C" w:rsidRDefault="00CF08C5" w:rsidP="002C3E7C">
      <w:pPr>
        <w:pStyle w:val="level2"/>
        <w:spacing w:line="312" w:lineRule="auto"/>
        <w:ind w:firstLine="567"/>
        <w:jc w:val="both"/>
        <w:rPr>
          <w:rFonts w:asciiTheme="minorHAnsi" w:hAnsiTheme="minorHAnsi" w:cstheme="minorHAnsi"/>
          <w:b w:val="0"/>
          <w:bCs w:val="0"/>
          <w:color w:val="auto"/>
          <w:sz w:val="24"/>
          <w:lang w:val="pt-BR"/>
        </w:rPr>
      </w:pPr>
      <w:r w:rsidRPr="002C3E7C">
        <w:rPr>
          <w:rFonts w:asciiTheme="minorHAnsi" w:hAnsiTheme="minorHAnsi" w:cstheme="minorHAnsi"/>
          <w:b w:val="0"/>
          <w:bCs w:val="0"/>
          <w:color w:val="auto"/>
          <w:sz w:val="24"/>
          <w:lang w:val="pt-BR"/>
        </w:rPr>
        <w:t xml:space="preserve">O </w:t>
      </w:r>
      <w:r w:rsidRPr="002C3E7C">
        <w:rPr>
          <w:rFonts w:asciiTheme="minorHAnsi" w:hAnsiTheme="minorHAnsi" w:cstheme="minorHAnsi"/>
          <w:color w:val="auto"/>
          <w:sz w:val="24"/>
          <w:lang w:val="pt-BR"/>
        </w:rPr>
        <w:t>PRESIDENTE DA COMISSÃO DE VALORES MOBILIÁRIOS - CVM</w:t>
      </w:r>
      <w:r w:rsidRPr="002C3E7C">
        <w:rPr>
          <w:rFonts w:asciiTheme="minorHAnsi" w:hAnsiTheme="minorHAnsi" w:cstheme="minorHAnsi"/>
          <w:b w:val="0"/>
          <w:bCs w:val="0"/>
          <w:color w:val="auto"/>
          <w:sz w:val="24"/>
          <w:lang w:val="pt-BR"/>
        </w:rPr>
        <w:t xml:space="preserve"> torna público que o Colegiado, em reunião realizada em </w:t>
      </w:r>
      <w:r w:rsidR="005F67B8">
        <w:rPr>
          <w:rFonts w:asciiTheme="minorHAnsi" w:hAnsiTheme="minorHAnsi" w:cstheme="minorHAnsi"/>
          <w:b w:val="0"/>
          <w:bCs w:val="0"/>
          <w:color w:val="auto"/>
          <w:sz w:val="24"/>
          <w:lang w:val="pt-BR"/>
        </w:rPr>
        <w:t xml:space="preserve">4 de maio </w:t>
      </w:r>
      <w:r w:rsidRPr="002C3E7C">
        <w:rPr>
          <w:rFonts w:asciiTheme="minorHAnsi" w:hAnsiTheme="minorHAnsi" w:cstheme="minorHAnsi"/>
          <w:b w:val="0"/>
          <w:bCs w:val="0"/>
          <w:color w:val="auto"/>
          <w:sz w:val="24"/>
          <w:lang w:val="pt-BR"/>
        </w:rPr>
        <w:t>de 202</w:t>
      </w:r>
      <w:r w:rsidR="00B64CBB">
        <w:rPr>
          <w:rFonts w:asciiTheme="minorHAnsi" w:hAnsiTheme="minorHAnsi" w:cstheme="minorHAnsi"/>
          <w:b w:val="0"/>
          <w:bCs w:val="0"/>
          <w:color w:val="auto"/>
          <w:sz w:val="24"/>
          <w:lang w:val="pt-BR"/>
        </w:rPr>
        <w:t>2</w:t>
      </w:r>
      <w:r w:rsidRPr="002C3E7C">
        <w:rPr>
          <w:rFonts w:asciiTheme="minorHAnsi" w:hAnsiTheme="minorHAnsi" w:cstheme="minorHAnsi"/>
          <w:b w:val="0"/>
          <w:bCs w:val="0"/>
          <w:color w:val="auto"/>
          <w:sz w:val="24"/>
          <w:lang w:val="pt-BR"/>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C3E7C">
        <w:rPr>
          <w:rFonts w:asciiTheme="minorHAnsi" w:hAnsiTheme="minorHAnsi" w:cstheme="minorHAnsi"/>
          <w:color w:val="auto"/>
          <w:sz w:val="24"/>
          <w:lang w:val="pt-BR"/>
        </w:rPr>
        <w:t>APROVOU</w:t>
      </w:r>
      <w:r w:rsidRPr="002C3E7C">
        <w:rPr>
          <w:rFonts w:asciiTheme="minorHAnsi" w:hAnsiTheme="minorHAnsi" w:cstheme="minorHAnsi"/>
          <w:b w:val="0"/>
          <w:bCs w:val="0"/>
          <w:color w:val="auto"/>
          <w:sz w:val="24"/>
          <w:lang w:val="pt-BR"/>
        </w:rPr>
        <w:t xml:space="preserve"> a seguinte Resolução:</w:t>
      </w:r>
    </w:p>
    <w:p w14:paraId="4EBD8632" w14:textId="21C21807"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B1476D">
        <w:rPr>
          <w:rFonts w:asciiTheme="minorHAnsi" w:hAnsiTheme="minorHAnsi" w:cstheme="minorHAnsi"/>
          <w:sz w:val="24"/>
        </w:rPr>
        <w:t>40 (R1)</w:t>
      </w:r>
      <w:r w:rsidR="00986681" w:rsidRPr="00986681">
        <w:rPr>
          <w:rFonts w:asciiTheme="minorHAnsi" w:hAnsiTheme="minorHAnsi" w:cstheme="minorHAnsi"/>
          <w:sz w:val="24"/>
        </w:rPr>
        <w:t xml:space="preserve"> </w:t>
      </w:r>
      <w:r w:rsidR="00986681" w:rsidRPr="00273211">
        <w:rPr>
          <w:rFonts w:asciiTheme="minorHAnsi" w:hAnsiTheme="minorHAnsi" w:cstheme="minorHAnsi"/>
          <w:sz w:val="24"/>
        </w:rPr>
        <w:t>, que trata</w:t>
      </w:r>
      <w:r w:rsidR="00986681" w:rsidRPr="00B1476D">
        <w:rPr>
          <w:rFonts w:asciiTheme="minorHAnsi" w:hAnsiTheme="minorHAnsi" w:cstheme="minorHAnsi"/>
          <w:sz w:val="24"/>
        </w:rPr>
        <w:t xml:space="preserve"> d</w:t>
      </w:r>
      <w:r w:rsidR="006D54B9">
        <w:rPr>
          <w:rFonts w:asciiTheme="minorHAnsi" w:hAnsiTheme="minorHAnsi" w:cstheme="minorHAnsi"/>
          <w:sz w:val="24"/>
        </w:rPr>
        <w:t>e</w:t>
      </w:r>
      <w:r w:rsidR="00986681" w:rsidRPr="00B1476D">
        <w:rPr>
          <w:rFonts w:asciiTheme="minorHAnsi" w:hAnsiTheme="minorHAnsi" w:cstheme="minorHAnsi"/>
          <w:sz w:val="24"/>
        </w:rPr>
        <w:t xml:space="preserve"> </w:t>
      </w:r>
      <w:r w:rsidR="006D54B9" w:rsidRPr="006D54B9">
        <w:rPr>
          <w:rFonts w:asciiTheme="minorHAnsi" w:hAnsiTheme="minorHAnsi" w:cstheme="minorHAnsi"/>
          <w:sz w:val="24"/>
        </w:rPr>
        <w:t>Instrumentos Financeiros: Evidenciação</w:t>
      </w:r>
      <w:r w:rsidR="00986681">
        <w:rPr>
          <w:rFonts w:asciiTheme="minorHAnsi" w:hAnsiTheme="minorHAnsi" w:cstheme="minorHAnsi"/>
          <w:sz w:val="24"/>
        </w:rPr>
        <w:t>,</w:t>
      </w:r>
      <w:r w:rsidRPr="00273211">
        <w:rPr>
          <w:rFonts w:asciiTheme="minorHAnsi" w:hAnsiTheme="minorHAnsi" w:cstheme="minorHAnsi"/>
          <w:sz w:val="24"/>
        </w:rPr>
        <w:t xml:space="preserve"> emitido pelo Comitê de Pronunciamentos Contábeis - CPC, </w:t>
      </w:r>
      <w:r w:rsidR="00986681" w:rsidRPr="00986681">
        <w:rPr>
          <w:rFonts w:asciiTheme="minorHAnsi" w:hAnsiTheme="minorHAnsi" w:cstheme="minorHAnsi"/>
          <w:sz w:val="24"/>
        </w:rPr>
        <w:t>conforme consolidado no Anexo “A” à presente Resolução</w:t>
      </w:r>
      <w:r w:rsidRPr="00273211">
        <w:rPr>
          <w:rFonts w:asciiTheme="minorHAnsi" w:hAnsiTheme="minorHAnsi" w:cstheme="minorHAnsi"/>
          <w:sz w:val="24"/>
        </w:rPr>
        <w:t>.</w:t>
      </w:r>
    </w:p>
    <w:p w14:paraId="7A774DF6" w14:textId="534EA25D" w:rsidR="00F00DE9" w:rsidRDefault="00273211" w:rsidP="00273211">
      <w:pPr>
        <w:autoSpaceDE w:val="0"/>
        <w:autoSpaceDN w:val="0"/>
        <w:adjustRightInd w:val="0"/>
        <w:spacing w:line="312" w:lineRule="auto"/>
        <w:ind w:firstLine="567"/>
        <w:rPr>
          <w:rFonts w:asciiTheme="minorHAnsi" w:hAnsiTheme="minorHAnsi" w:cstheme="minorHAnsi"/>
          <w:color w:val="000000" w:themeColor="text1"/>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Fica</w:t>
      </w:r>
      <w:r w:rsidR="00F00DE9">
        <w:rPr>
          <w:rFonts w:asciiTheme="minorHAnsi" w:hAnsiTheme="minorHAnsi" w:cstheme="minorHAnsi"/>
          <w:color w:val="000000" w:themeColor="text1"/>
          <w:sz w:val="24"/>
        </w:rPr>
        <w:t>m</w:t>
      </w:r>
      <w:r w:rsidRPr="00273211">
        <w:rPr>
          <w:rFonts w:asciiTheme="minorHAnsi" w:hAnsiTheme="minorHAnsi" w:cstheme="minorHAnsi"/>
          <w:color w:val="000000" w:themeColor="text1"/>
          <w:sz w:val="24"/>
        </w:rPr>
        <w:t xml:space="preserve"> revogada</w:t>
      </w:r>
      <w:r w:rsidR="00F00DE9">
        <w:rPr>
          <w:rFonts w:asciiTheme="minorHAnsi" w:hAnsiTheme="minorHAnsi" w:cstheme="minorHAnsi"/>
          <w:color w:val="000000" w:themeColor="text1"/>
          <w:sz w:val="24"/>
        </w:rPr>
        <w:t>s</w:t>
      </w:r>
      <w:r w:rsidR="00986681" w:rsidRPr="00986681">
        <w:rPr>
          <w:rFonts w:asciiTheme="minorHAnsi" w:hAnsiTheme="minorHAnsi" w:cstheme="minorHAnsi"/>
          <w:color w:val="000000" w:themeColor="text1"/>
          <w:sz w:val="24"/>
        </w:rPr>
        <w:t>, a partir da vigência desta Resolução</w:t>
      </w:r>
      <w:r w:rsidR="00986681">
        <w:rPr>
          <w:rFonts w:asciiTheme="minorHAnsi" w:hAnsiTheme="minorHAnsi" w:cstheme="minorHAnsi"/>
          <w:color w:val="000000" w:themeColor="text1"/>
          <w:sz w:val="24"/>
        </w:rPr>
        <w:t>:</w:t>
      </w:r>
    </w:p>
    <w:p w14:paraId="7A53A176" w14:textId="1E37EB2E" w:rsidR="00986681" w:rsidRPr="00273211" w:rsidRDefault="00986681" w:rsidP="00986681">
      <w:pPr>
        <w:autoSpaceDE w:val="0"/>
        <w:autoSpaceDN w:val="0"/>
        <w:adjustRightInd w:val="0"/>
        <w:spacing w:line="312" w:lineRule="auto"/>
        <w:ind w:firstLine="567"/>
        <w:rPr>
          <w:rFonts w:asciiTheme="minorHAnsi" w:hAnsiTheme="minorHAnsi" w:cstheme="minorHAnsi"/>
          <w:sz w:val="24"/>
        </w:rPr>
      </w:pPr>
      <w:r>
        <w:rPr>
          <w:rFonts w:asciiTheme="minorHAnsi" w:hAnsiTheme="minorHAnsi" w:cstheme="minorHAnsi"/>
          <w:sz w:val="24"/>
        </w:rPr>
        <w:t xml:space="preserve">I – </w:t>
      </w:r>
      <w:r w:rsidR="00005E88">
        <w:rPr>
          <w:rFonts w:asciiTheme="minorHAnsi" w:hAnsiTheme="minorHAnsi" w:cstheme="minorHAnsi"/>
          <w:sz w:val="24"/>
        </w:rPr>
        <w:t>a Deliberação 604, de 19 de novembro de 2009</w:t>
      </w:r>
      <w:r>
        <w:rPr>
          <w:rFonts w:asciiTheme="minorHAnsi" w:hAnsiTheme="minorHAnsi" w:cstheme="minorHAnsi"/>
          <w:sz w:val="24"/>
        </w:rPr>
        <w:t>; e</w:t>
      </w:r>
    </w:p>
    <w:p w14:paraId="4E2C13E3" w14:textId="30AA43CD" w:rsidR="00273211" w:rsidRDefault="00F00DE9" w:rsidP="00273211">
      <w:pPr>
        <w:autoSpaceDE w:val="0"/>
        <w:autoSpaceDN w:val="0"/>
        <w:adjustRightInd w:val="0"/>
        <w:spacing w:line="312" w:lineRule="auto"/>
        <w:ind w:firstLine="567"/>
        <w:rPr>
          <w:rFonts w:asciiTheme="minorHAnsi" w:hAnsiTheme="minorHAnsi" w:cstheme="minorHAnsi"/>
          <w:sz w:val="24"/>
        </w:rPr>
      </w:pPr>
      <w:r>
        <w:rPr>
          <w:rFonts w:asciiTheme="minorHAnsi" w:hAnsiTheme="minorHAnsi" w:cstheme="minorHAnsi"/>
          <w:color w:val="000000" w:themeColor="text1"/>
          <w:sz w:val="24"/>
        </w:rPr>
        <w:t>I</w:t>
      </w:r>
      <w:r w:rsidR="00986681">
        <w:rPr>
          <w:rFonts w:asciiTheme="minorHAnsi" w:hAnsiTheme="minorHAnsi" w:cstheme="minorHAnsi"/>
          <w:color w:val="000000" w:themeColor="text1"/>
          <w:sz w:val="24"/>
        </w:rPr>
        <w:t>I</w:t>
      </w:r>
      <w:r>
        <w:rPr>
          <w:rFonts w:asciiTheme="minorHAnsi" w:hAnsiTheme="minorHAnsi" w:cstheme="minorHAnsi"/>
          <w:color w:val="000000" w:themeColor="text1"/>
          <w:sz w:val="24"/>
        </w:rPr>
        <w:t xml:space="preserve"> </w:t>
      </w:r>
      <w:r>
        <w:rPr>
          <w:rFonts w:asciiTheme="minorHAnsi" w:hAnsiTheme="minorHAnsi" w:cstheme="minorHAnsi"/>
          <w:sz w:val="24"/>
        </w:rPr>
        <w:t>–</w:t>
      </w:r>
      <w:r w:rsidR="00005E88" w:rsidRPr="00005E88">
        <w:rPr>
          <w:rFonts w:asciiTheme="minorHAnsi" w:hAnsiTheme="minorHAnsi" w:cstheme="minorHAnsi"/>
          <w:sz w:val="24"/>
        </w:rPr>
        <w:t xml:space="preserve"> </w:t>
      </w:r>
      <w:r w:rsidR="00005E88">
        <w:rPr>
          <w:rFonts w:asciiTheme="minorHAnsi" w:hAnsiTheme="minorHAnsi" w:cstheme="minorHAnsi"/>
          <w:sz w:val="24"/>
        </w:rPr>
        <w:t>a Deliberação 684, de 30 de agosto de 2012</w:t>
      </w:r>
      <w:r w:rsidR="00273211" w:rsidRPr="00273211">
        <w:rPr>
          <w:rFonts w:asciiTheme="minorHAnsi" w:hAnsiTheme="minorHAnsi" w:cstheme="minorHAnsi"/>
          <w:sz w:val="24"/>
        </w:rPr>
        <w:t>.</w:t>
      </w:r>
    </w:p>
    <w:p w14:paraId="7C1D6C73" w14:textId="6D898BEB"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w:t>
      </w:r>
      <w:r w:rsidR="003A6351" w:rsidRPr="003A6351">
        <w:rPr>
          <w:rFonts w:asciiTheme="minorHAnsi" w:hAnsiTheme="minorHAnsi" w:cstheme="minorHAnsi"/>
          <w:sz w:val="24"/>
        </w:rPr>
        <w:t>Esta Resolução entra em vigor em 1º de julho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11C0816B" w14:textId="12D8A6D8" w:rsidR="00544FCE" w:rsidRDefault="00544FCE" w:rsidP="003C12AE">
      <w:pPr>
        <w:spacing w:before="0" w:after="0"/>
        <w:jc w:val="center"/>
        <w:outlineLvl w:val="0"/>
        <w:rPr>
          <w:rFonts w:ascii="Times New Roman" w:hAnsi="Times New Roman"/>
          <w:b/>
          <w:sz w:val="24"/>
          <w:lang w:val="pt-BR"/>
        </w:rPr>
      </w:pPr>
      <w:r w:rsidRPr="00544FCE">
        <w:rPr>
          <w:rFonts w:ascii="Times New Roman" w:hAnsi="Times New Roman"/>
          <w:b/>
          <w:sz w:val="24"/>
          <w:lang w:val="pt-BR"/>
        </w:rPr>
        <w:lastRenderedPageBreak/>
        <w:t>ANEXO “A”</w:t>
      </w:r>
    </w:p>
    <w:p w14:paraId="05A9CA75" w14:textId="77777777" w:rsidR="00544FCE" w:rsidRDefault="00544FCE" w:rsidP="003C12AE">
      <w:pPr>
        <w:spacing w:before="0" w:after="0"/>
        <w:jc w:val="center"/>
        <w:outlineLvl w:val="0"/>
        <w:rPr>
          <w:rFonts w:ascii="Times New Roman" w:hAnsi="Times New Roman"/>
          <w:b/>
          <w:sz w:val="24"/>
          <w:lang w:val="pt-BR"/>
        </w:rPr>
      </w:pPr>
      <w:bookmarkStart w:id="0" w:name="_GoBack"/>
      <w:bookmarkEnd w:id="0"/>
    </w:p>
    <w:p w14:paraId="7DEBA1FD" w14:textId="2131918E" w:rsidR="003C12AE" w:rsidRPr="003C12AE" w:rsidRDefault="003C12AE" w:rsidP="003C12AE">
      <w:pPr>
        <w:spacing w:before="0" w:after="0"/>
        <w:jc w:val="center"/>
        <w:outlineLvl w:val="0"/>
        <w:rPr>
          <w:rFonts w:ascii="Times New Roman" w:hAnsi="Times New Roman"/>
          <w:b/>
          <w:sz w:val="24"/>
          <w:lang w:val="pt-BR"/>
        </w:rPr>
      </w:pPr>
      <w:r w:rsidRPr="003C12AE">
        <w:rPr>
          <w:rFonts w:ascii="Times New Roman" w:hAnsi="Times New Roman"/>
          <w:b/>
          <w:sz w:val="24"/>
          <w:lang w:val="pt-BR"/>
        </w:rPr>
        <w:t>COMITÊ DE PRONUNCIAMENTOS CONTÁBEIS</w:t>
      </w:r>
    </w:p>
    <w:p w14:paraId="53B258F3" w14:textId="77777777" w:rsidR="003C12AE" w:rsidRPr="003C12AE" w:rsidRDefault="003C12AE" w:rsidP="003C12AE">
      <w:pPr>
        <w:spacing w:before="0" w:after="0"/>
        <w:jc w:val="center"/>
        <w:outlineLvl w:val="0"/>
        <w:rPr>
          <w:rFonts w:ascii="Times New Roman" w:hAnsi="Times New Roman"/>
          <w:b/>
          <w:sz w:val="24"/>
          <w:lang w:val="pt-BR"/>
        </w:rPr>
      </w:pPr>
    </w:p>
    <w:p w14:paraId="7C0B4DCC" w14:textId="77777777" w:rsidR="003C12AE" w:rsidRPr="003C12AE" w:rsidRDefault="003C12AE" w:rsidP="003C12AE">
      <w:pPr>
        <w:spacing w:before="0" w:after="0"/>
        <w:jc w:val="center"/>
        <w:outlineLvl w:val="0"/>
        <w:rPr>
          <w:rFonts w:ascii="Times New Roman" w:hAnsi="Times New Roman"/>
          <w:b/>
          <w:sz w:val="24"/>
          <w:lang w:val="pt-BR"/>
        </w:rPr>
      </w:pPr>
      <w:r w:rsidRPr="003C12AE">
        <w:rPr>
          <w:rFonts w:ascii="Times New Roman" w:hAnsi="Times New Roman"/>
          <w:b/>
          <w:sz w:val="24"/>
          <w:lang w:val="pt-BR"/>
        </w:rPr>
        <w:t>PRONUNCIAMENTO TÉCNICO CPC 40 (R1)</w:t>
      </w:r>
    </w:p>
    <w:p w14:paraId="58B47E0C" w14:textId="77777777" w:rsidR="003C12AE" w:rsidRPr="003C12AE" w:rsidRDefault="003C12AE" w:rsidP="003C12AE">
      <w:pPr>
        <w:spacing w:before="0" w:after="0"/>
        <w:jc w:val="center"/>
        <w:outlineLvl w:val="0"/>
        <w:rPr>
          <w:rFonts w:ascii="Times New Roman" w:hAnsi="Times New Roman"/>
          <w:b/>
          <w:sz w:val="24"/>
          <w:lang w:val="pt-BR"/>
        </w:rPr>
      </w:pPr>
    </w:p>
    <w:p w14:paraId="1F5484C7" w14:textId="77777777" w:rsidR="003C12AE" w:rsidRPr="003C12AE" w:rsidRDefault="003C12AE" w:rsidP="003C12AE">
      <w:pPr>
        <w:spacing w:before="0" w:after="0"/>
        <w:jc w:val="center"/>
        <w:outlineLvl w:val="0"/>
        <w:rPr>
          <w:rFonts w:ascii="Times New Roman" w:hAnsi="Times New Roman"/>
          <w:b/>
          <w:caps/>
          <w:sz w:val="24"/>
          <w:lang w:val="pt-BR"/>
        </w:rPr>
      </w:pPr>
      <w:r w:rsidRPr="003C12AE">
        <w:rPr>
          <w:rFonts w:ascii="Times New Roman" w:hAnsi="Times New Roman"/>
          <w:b/>
          <w:caps/>
          <w:sz w:val="24"/>
          <w:lang w:val="pt-BR"/>
        </w:rPr>
        <w:t>Instrumentos Financeiros: Evidenciação</w:t>
      </w:r>
    </w:p>
    <w:p w14:paraId="087687C9" w14:textId="77777777" w:rsidR="003C12AE" w:rsidRPr="003C12AE" w:rsidRDefault="003C12AE" w:rsidP="003C12AE">
      <w:pPr>
        <w:spacing w:before="0" w:after="0"/>
        <w:jc w:val="center"/>
        <w:outlineLvl w:val="0"/>
        <w:rPr>
          <w:rFonts w:ascii="Times New Roman" w:hAnsi="Times New Roman"/>
          <w:b/>
          <w:sz w:val="24"/>
          <w:lang w:val="pt-BR"/>
        </w:rPr>
      </w:pPr>
    </w:p>
    <w:p w14:paraId="4643D40E" w14:textId="77777777" w:rsidR="003C12AE" w:rsidRPr="003C12AE" w:rsidRDefault="003C12AE" w:rsidP="003C12AE">
      <w:pPr>
        <w:spacing w:before="0" w:after="0"/>
        <w:jc w:val="center"/>
        <w:outlineLvl w:val="0"/>
        <w:rPr>
          <w:rFonts w:ascii="Times New Roman" w:hAnsi="Times New Roman"/>
          <w:b/>
          <w:bCs/>
          <w:sz w:val="24"/>
          <w:lang w:val="pt-BR"/>
        </w:rPr>
      </w:pPr>
      <w:r w:rsidRPr="003C12AE">
        <w:rPr>
          <w:rFonts w:ascii="Times New Roman" w:hAnsi="Times New Roman"/>
          <w:b/>
          <w:bCs/>
          <w:sz w:val="24"/>
          <w:lang w:val="pt-BR"/>
        </w:rPr>
        <w:t>Correlação às Normas Internacionais de Contabilidade – IFRS 7 (</w:t>
      </w:r>
      <w:r w:rsidRPr="003C12AE">
        <w:rPr>
          <w:rFonts w:ascii="Times New Roman" w:hAnsi="Times New Roman"/>
          <w:b/>
          <w:bCs/>
          <w:color w:val="000000"/>
          <w:sz w:val="24"/>
          <w:lang w:val="pt-BR"/>
        </w:rPr>
        <w:t>IASB – BV 2012)</w:t>
      </w:r>
    </w:p>
    <w:p w14:paraId="332AF31B" w14:textId="6465EA7A" w:rsidR="003C12AE" w:rsidRDefault="003C12AE" w:rsidP="003C12AE">
      <w:pPr>
        <w:autoSpaceDE w:val="0"/>
        <w:autoSpaceDN w:val="0"/>
        <w:adjustRightInd w:val="0"/>
        <w:spacing w:before="0" w:after="0"/>
        <w:jc w:val="center"/>
        <w:rPr>
          <w:rFonts w:ascii="Times New Roman" w:hAnsi="Times New Roman"/>
          <w:b/>
          <w:color w:val="000000"/>
          <w:sz w:val="24"/>
          <w:lang w:val="pt-BR"/>
        </w:rPr>
      </w:pPr>
    </w:p>
    <w:p w14:paraId="34E13BEA" w14:textId="77777777" w:rsidR="002F11A7" w:rsidRPr="003C12AE" w:rsidRDefault="002F11A7" w:rsidP="003C12AE">
      <w:pPr>
        <w:autoSpaceDE w:val="0"/>
        <w:autoSpaceDN w:val="0"/>
        <w:adjustRightInd w:val="0"/>
        <w:spacing w:before="0" w:after="0"/>
        <w:jc w:val="center"/>
        <w:rPr>
          <w:rFonts w:ascii="Times New Roman" w:hAnsi="Times New Roman"/>
          <w:b/>
          <w:color w:val="000000"/>
          <w:sz w:val="24"/>
          <w:lang w:val="pt-BR"/>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1"/>
        <w:gridCol w:w="1253"/>
      </w:tblGrid>
      <w:tr w:rsidR="003C12AE" w:rsidRPr="003C12AE" w14:paraId="60103BE3" w14:textId="77777777" w:rsidTr="003A105D">
        <w:trPr>
          <w:trHeight w:val="403"/>
          <w:jc w:val="center"/>
        </w:trPr>
        <w:tc>
          <w:tcPr>
            <w:tcW w:w="8321" w:type="dxa"/>
          </w:tcPr>
          <w:p w14:paraId="11BD1A5E" w14:textId="77777777" w:rsidR="003C12AE" w:rsidRPr="003C12AE" w:rsidRDefault="003C12AE" w:rsidP="003C12AE">
            <w:pPr>
              <w:spacing w:before="60" w:after="60"/>
              <w:jc w:val="left"/>
              <w:rPr>
                <w:rFonts w:ascii="Times New Roman" w:hAnsi="Times New Roman"/>
                <w:b/>
                <w:kern w:val="36"/>
                <w:sz w:val="24"/>
                <w:lang w:val="pt-BR"/>
              </w:rPr>
            </w:pPr>
            <w:r w:rsidRPr="003C12AE">
              <w:rPr>
                <w:rFonts w:ascii="Times New Roman" w:hAnsi="Times New Roman"/>
                <w:b/>
                <w:kern w:val="36"/>
                <w:sz w:val="24"/>
                <w:lang w:val="pt-BR"/>
              </w:rPr>
              <w:t>Sumário</w:t>
            </w:r>
          </w:p>
        </w:tc>
        <w:tc>
          <w:tcPr>
            <w:tcW w:w="1253" w:type="dxa"/>
          </w:tcPr>
          <w:p w14:paraId="1EA94D89" w14:textId="77777777" w:rsidR="003C12AE" w:rsidRPr="003C12AE" w:rsidRDefault="003C12AE" w:rsidP="003C12AE">
            <w:pPr>
              <w:spacing w:before="60" w:after="60"/>
              <w:jc w:val="center"/>
              <w:rPr>
                <w:rFonts w:ascii="Times New Roman" w:hAnsi="Times New Roman"/>
                <w:b/>
                <w:kern w:val="36"/>
                <w:sz w:val="24"/>
                <w:lang w:val="pt-BR"/>
              </w:rPr>
            </w:pPr>
            <w:r w:rsidRPr="003C12AE">
              <w:rPr>
                <w:rFonts w:ascii="Times New Roman" w:hAnsi="Times New Roman"/>
                <w:b/>
                <w:kern w:val="36"/>
                <w:sz w:val="24"/>
                <w:lang w:val="pt-BR"/>
              </w:rPr>
              <w:t>Item</w:t>
            </w:r>
          </w:p>
        </w:tc>
      </w:tr>
      <w:tr w:rsidR="003C12AE" w:rsidRPr="003C12AE" w14:paraId="33A46D84" w14:textId="77777777" w:rsidTr="003A105D">
        <w:trPr>
          <w:trHeight w:val="403"/>
          <w:jc w:val="center"/>
        </w:trPr>
        <w:tc>
          <w:tcPr>
            <w:tcW w:w="8321" w:type="dxa"/>
          </w:tcPr>
          <w:p w14:paraId="69D6595D" w14:textId="77777777" w:rsidR="003C12AE" w:rsidRPr="003C12AE" w:rsidRDefault="003C12AE" w:rsidP="003C12AE">
            <w:pPr>
              <w:spacing w:before="60" w:after="60"/>
              <w:jc w:val="left"/>
              <w:rPr>
                <w:rFonts w:ascii="Times New Roman" w:hAnsi="Times New Roman"/>
                <w:b/>
                <w:bCs/>
                <w:kern w:val="36"/>
                <w:sz w:val="24"/>
                <w:lang w:val="pt-BR"/>
              </w:rPr>
            </w:pPr>
            <w:r w:rsidRPr="003C12AE">
              <w:rPr>
                <w:rFonts w:ascii="Times New Roman" w:hAnsi="Times New Roman"/>
                <w:b/>
                <w:bCs/>
                <w:kern w:val="36"/>
                <w:sz w:val="24"/>
                <w:lang w:val="pt-BR"/>
              </w:rPr>
              <w:t>INTRODUÇÃO</w:t>
            </w:r>
          </w:p>
        </w:tc>
        <w:tc>
          <w:tcPr>
            <w:tcW w:w="1253" w:type="dxa"/>
          </w:tcPr>
          <w:p w14:paraId="5F2F462F" w14:textId="77777777" w:rsidR="003C12AE" w:rsidRPr="003C12AE" w:rsidRDefault="003C12AE" w:rsidP="003C12AE">
            <w:pPr>
              <w:spacing w:before="60" w:after="60"/>
              <w:jc w:val="center"/>
              <w:rPr>
                <w:rFonts w:ascii="Times New Roman" w:hAnsi="Times New Roman"/>
                <w:b/>
                <w:bCs/>
                <w:kern w:val="36"/>
                <w:sz w:val="18"/>
                <w:szCs w:val="18"/>
                <w:lang w:val="pt-BR"/>
              </w:rPr>
            </w:pPr>
            <w:r w:rsidRPr="003C12AE">
              <w:rPr>
                <w:rFonts w:ascii="Times New Roman" w:hAnsi="Times New Roman"/>
                <w:b/>
                <w:bCs/>
                <w:kern w:val="36"/>
                <w:sz w:val="18"/>
                <w:szCs w:val="18"/>
                <w:lang w:val="pt-BR"/>
              </w:rPr>
              <w:t>IN1 – IN5B</w:t>
            </w:r>
          </w:p>
        </w:tc>
      </w:tr>
      <w:tr w:rsidR="003C12AE" w:rsidRPr="003C12AE" w14:paraId="1ADAE228" w14:textId="77777777" w:rsidTr="003A105D">
        <w:trPr>
          <w:trHeight w:val="403"/>
          <w:jc w:val="center"/>
        </w:trPr>
        <w:tc>
          <w:tcPr>
            <w:tcW w:w="8321" w:type="dxa"/>
          </w:tcPr>
          <w:p w14:paraId="460A1EC5" w14:textId="77777777" w:rsidR="003C12AE" w:rsidRPr="003C12AE" w:rsidRDefault="003C12AE" w:rsidP="003C12AE">
            <w:pPr>
              <w:spacing w:before="60" w:after="60"/>
              <w:jc w:val="left"/>
              <w:rPr>
                <w:rFonts w:ascii="Times New Roman" w:hAnsi="Times New Roman"/>
                <w:b/>
                <w:bCs/>
                <w:kern w:val="36"/>
                <w:sz w:val="24"/>
                <w:lang w:val="pt-BR"/>
              </w:rPr>
            </w:pPr>
            <w:r w:rsidRPr="003C12AE">
              <w:rPr>
                <w:rFonts w:ascii="Times New Roman" w:hAnsi="Times New Roman"/>
                <w:b/>
                <w:bCs/>
                <w:kern w:val="36"/>
                <w:sz w:val="24"/>
                <w:lang w:val="pt-BR"/>
              </w:rPr>
              <w:t>OBJETIVO</w:t>
            </w:r>
          </w:p>
        </w:tc>
        <w:tc>
          <w:tcPr>
            <w:tcW w:w="1253" w:type="dxa"/>
          </w:tcPr>
          <w:p w14:paraId="0D4B3FCA" w14:textId="77777777" w:rsidR="003C12AE" w:rsidRPr="003C12AE" w:rsidRDefault="003C12AE" w:rsidP="003C12AE">
            <w:pPr>
              <w:spacing w:before="60" w:after="60"/>
              <w:jc w:val="center"/>
              <w:rPr>
                <w:rFonts w:ascii="Times New Roman" w:hAnsi="Times New Roman"/>
                <w:b/>
                <w:bCs/>
                <w:kern w:val="36"/>
                <w:sz w:val="24"/>
                <w:lang w:val="pt-BR"/>
              </w:rPr>
            </w:pPr>
            <w:r w:rsidRPr="003C12AE">
              <w:rPr>
                <w:rFonts w:ascii="Times New Roman" w:hAnsi="Times New Roman"/>
                <w:b/>
                <w:bCs/>
                <w:kern w:val="36"/>
                <w:sz w:val="24"/>
                <w:lang w:val="pt-BR"/>
              </w:rPr>
              <w:t>1 – 2</w:t>
            </w:r>
          </w:p>
        </w:tc>
      </w:tr>
      <w:tr w:rsidR="003C12AE" w:rsidRPr="003C12AE" w14:paraId="7395B7ED" w14:textId="77777777" w:rsidTr="003A105D">
        <w:trPr>
          <w:trHeight w:val="403"/>
          <w:jc w:val="center"/>
        </w:trPr>
        <w:tc>
          <w:tcPr>
            <w:tcW w:w="8321" w:type="dxa"/>
          </w:tcPr>
          <w:p w14:paraId="5A22CDBB" w14:textId="77777777" w:rsidR="003C12AE" w:rsidRPr="003C12AE" w:rsidRDefault="003C12AE" w:rsidP="003C12AE">
            <w:pPr>
              <w:spacing w:before="60" w:after="60"/>
              <w:jc w:val="left"/>
              <w:rPr>
                <w:rFonts w:ascii="Times New Roman" w:hAnsi="Times New Roman"/>
                <w:b/>
                <w:bCs/>
                <w:kern w:val="36"/>
                <w:sz w:val="24"/>
                <w:lang w:val="pt-BR"/>
              </w:rPr>
            </w:pPr>
            <w:r w:rsidRPr="003C12AE">
              <w:rPr>
                <w:rFonts w:ascii="Times New Roman" w:hAnsi="Times New Roman"/>
                <w:b/>
                <w:bCs/>
                <w:kern w:val="36"/>
                <w:sz w:val="24"/>
                <w:lang w:val="pt-BR"/>
              </w:rPr>
              <w:t>ALCANCE</w:t>
            </w:r>
          </w:p>
        </w:tc>
        <w:tc>
          <w:tcPr>
            <w:tcW w:w="1253" w:type="dxa"/>
            <w:vAlign w:val="center"/>
          </w:tcPr>
          <w:p w14:paraId="043B576E" w14:textId="77777777" w:rsidR="003C12AE" w:rsidRPr="003C12AE" w:rsidRDefault="003C12AE" w:rsidP="003C12AE">
            <w:pPr>
              <w:spacing w:before="60" w:after="60"/>
              <w:jc w:val="center"/>
              <w:rPr>
                <w:rFonts w:ascii="Times New Roman" w:hAnsi="Times New Roman"/>
                <w:b/>
                <w:bCs/>
                <w:kern w:val="36"/>
                <w:sz w:val="24"/>
                <w:lang w:val="pt-BR"/>
              </w:rPr>
            </w:pPr>
            <w:r w:rsidRPr="003C12AE">
              <w:rPr>
                <w:rFonts w:ascii="Times New Roman" w:hAnsi="Times New Roman"/>
                <w:b/>
                <w:bCs/>
                <w:kern w:val="36"/>
                <w:sz w:val="24"/>
                <w:lang w:val="pt-BR"/>
              </w:rPr>
              <w:t>3 – 5</w:t>
            </w:r>
          </w:p>
        </w:tc>
      </w:tr>
      <w:tr w:rsidR="003C12AE" w:rsidRPr="003C12AE" w14:paraId="09F32D94" w14:textId="77777777" w:rsidTr="003A105D">
        <w:trPr>
          <w:trHeight w:val="403"/>
          <w:jc w:val="center"/>
        </w:trPr>
        <w:tc>
          <w:tcPr>
            <w:tcW w:w="8321" w:type="dxa"/>
          </w:tcPr>
          <w:p w14:paraId="51BDFC4D" w14:textId="77777777" w:rsidR="003C12AE" w:rsidRPr="003C12AE" w:rsidRDefault="003C12AE" w:rsidP="003C12AE">
            <w:pPr>
              <w:spacing w:before="60" w:after="60"/>
              <w:jc w:val="left"/>
              <w:rPr>
                <w:rFonts w:ascii="Times New Roman" w:hAnsi="Times New Roman"/>
                <w:b/>
                <w:bCs/>
                <w:kern w:val="36"/>
                <w:sz w:val="24"/>
                <w:lang w:val="pt-BR"/>
              </w:rPr>
            </w:pPr>
            <w:r w:rsidRPr="003C12AE">
              <w:rPr>
                <w:rFonts w:ascii="Times New Roman" w:hAnsi="Times New Roman"/>
                <w:b/>
                <w:bCs/>
                <w:kern w:val="36"/>
                <w:sz w:val="24"/>
                <w:lang w:val="pt-BR"/>
              </w:rPr>
              <w:t>CLASSES DE INSTRUMENTOS FINANCEIROS E NÍVEIS DE DIVULGAÇÃO</w:t>
            </w:r>
          </w:p>
        </w:tc>
        <w:tc>
          <w:tcPr>
            <w:tcW w:w="1253" w:type="dxa"/>
            <w:vAlign w:val="center"/>
          </w:tcPr>
          <w:p w14:paraId="008503E6" w14:textId="77777777" w:rsidR="003C12AE" w:rsidRPr="003C12AE" w:rsidRDefault="003C12AE" w:rsidP="003C12AE">
            <w:pPr>
              <w:spacing w:before="60" w:after="60"/>
              <w:jc w:val="center"/>
              <w:rPr>
                <w:rFonts w:ascii="Times New Roman" w:hAnsi="Times New Roman"/>
                <w:b/>
                <w:bCs/>
                <w:kern w:val="36"/>
                <w:sz w:val="24"/>
                <w:lang w:val="pt-BR"/>
              </w:rPr>
            </w:pPr>
            <w:r w:rsidRPr="003C12AE">
              <w:rPr>
                <w:rFonts w:ascii="Times New Roman" w:hAnsi="Times New Roman"/>
                <w:b/>
                <w:bCs/>
                <w:kern w:val="36"/>
                <w:sz w:val="24"/>
                <w:lang w:val="pt-BR"/>
              </w:rPr>
              <w:t>6</w:t>
            </w:r>
          </w:p>
        </w:tc>
      </w:tr>
      <w:tr w:rsidR="003C12AE" w:rsidRPr="003C12AE" w14:paraId="5D737A83" w14:textId="77777777" w:rsidTr="003A105D">
        <w:trPr>
          <w:trHeight w:val="390"/>
          <w:jc w:val="center"/>
        </w:trPr>
        <w:tc>
          <w:tcPr>
            <w:tcW w:w="8321" w:type="dxa"/>
          </w:tcPr>
          <w:p w14:paraId="512841E2" w14:textId="77777777" w:rsidR="003C12AE" w:rsidRPr="003C12AE" w:rsidRDefault="003C12AE" w:rsidP="003C12AE">
            <w:pPr>
              <w:spacing w:before="60" w:after="60"/>
              <w:jc w:val="left"/>
              <w:rPr>
                <w:rFonts w:ascii="Times New Roman" w:hAnsi="Times New Roman"/>
                <w:b/>
                <w:bCs/>
                <w:kern w:val="36"/>
                <w:sz w:val="24"/>
                <w:lang w:val="pt-BR"/>
              </w:rPr>
            </w:pPr>
            <w:r w:rsidRPr="003C12AE">
              <w:rPr>
                <w:rFonts w:ascii="Times New Roman" w:hAnsi="Times New Roman"/>
                <w:b/>
                <w:bCs/>
                <w:kern w:val="36"/>
                <w:sz w:val="24"/>
                <w:lang w:val="pt-BR"/>
              </w:rPr>
              <w:t>SIGNIFICÂNCIA DE INSTRUMENTOS FINANCEIROS PARA A POSIÇÃO PATRIMONIAL E FINANCEIRA E PARA A ANÁLISE DO DESEMPENHO</w:t>
            </w:r>
          </w:p>
        </w:tc>
        <w:tc>
          <w:tcPr>
            <w:tcW w:w="1253" w:type="dxa"/>
          </w:tcPr>
          <w:p w14:paraId="10746C82" w14:textId="77777777" w:rsidR="003C12AE" w:rsidRPr="003C12AE" w:rsidRDefault="003C12AE" w:rsidP="003C12AE">
            <w:pPr>
              <w:spacing w:before="60" w:after="60"/>
              <w:jc w:val="center"/>
              <w:rPr>
                <w:rFonts w:ascii="Times New Roman" w:hAnsi="Times New Roman"/>
                <w:b/>
                <w:bCs/>
                <w:kern w:val="36"/>
                <w:sz w:val="24"/>
                <w:lang w:val="pt-BR"/>
              </w:rPr>
            </w:pPr>
            <w:r w:rsidRPr="003C12AE">
              <w:rPr>
                <w:rFonts w:ascii="Times New Roman" w:hAnsi="Times New Roman"/>
                <w:b/>
                <w:bCs/>
                <w:kern w:val="36"/>
                <w:sz w:val="24"/>
                <w:lang w:val="pt-BR"/>
              </w:rPr>
              <w:t>7 – 30</w:t>
            </w:r>
          </w:p>
        </w:tc>
      </w:tr>
      <w:tr w:rsidR="003C12AE" w:rsidRPr="003C12AE" w14:paraId="6F0D0BE6" w14:textId="77777777" w:rsidTr="003A105D">
        <w:trPr>
          <w:trHeight w:val="403"/>
          <w:jc w:val="center"/>
        </w:trPr>
        <w:tc>
          <w:tcPr>
            <w:tcW w:w="8321" w:type="dxa"/>
          </w:tcPr>
          <w:p w14:paraId="322FD1C7" w14:textId="77777777" w:rsidR="003C12AE" w:rsidRPr="003C12AE" w:rsidRDefault="003C12AE" w:rsidP="003C12AE">
            <w:pPr>
              <w:spacing w:before="60" w:after="60"/>
              <w:jc w:val="left"/>
              <w:rPr>
                <w:rFonts w:ascii="Times New Roman" w:hAnsi="Times New Roman"/>
                <w:b/>
                <w:bCs/>
                <w:kern w:val="36"/>
                <w:sz w:val="24"/>
                <w:lang w:val="pt-BR"/>
              </w:rPr>
            </w:pPr>
            <w:r w:rsidRPr="003C12AE">
              <w:rPr>
                <w:rFonts w:ascii="Times New Roman" w:hAnsi="Times New Roman"/>
                <w:b/>
                <w:bCs/>
                <w:kern w:val="36"/>
                <w:sz w:val="24"/>
                <w:lang w:val="pt-BR"/>
              </w:rPr>
              <w:t>Balanço patrimonial</w:t>
            </w:r>
          </w:p>
        </w:tc>
        <w:tc>
          <w:tcPr>
            <w:tcW w:w="1253" w:type="dxa"/>
          </w:tcPr>
          <w:p w14:paraId="6F8F7F21" w14:textId="77777777" w:rsidR="003C12AE" w:rsidRPr="003C12AE" w:rsidRDefault="003C12AE" w:rsidP="003C12AE">
            <w:pPr>
              <w:spacing w:before="60" w:after="60"/>
              <w:jc w:val="center"/>
              <w:rPr>
                <w:rFonts w:ascii="Times New Roman" w:hAnsi="Times New Roman"/>
                <w:b/>
                <w:bCs/>
                <w:kern w:val="36"/>
                <w:sz w:val="24"/>
                <w:lang w:val="pt-BR"/>
              </w:rPr>
            </w:pPr>
            <w:r w:rsidRPr="003C12AE">
              <w:rPr>
                <w:rFonts w:ascii="Times New Roman" w:hAnsi="Times New Roman"/>
                <w:b/>
                <w:bCs/>
                <w:kern w:val="36"/>
                <w:sz w:val="24"/>
                <w:lang w:val="pt-BR"/>
              </w:rPr>
              <w:t>8 – 19</w:t>
            </w:r>
          </w:p>
        </w:tc>
      </w:tr>
      <w:tr w:rsidR="003C12AE" w:rsidRPr="003C12AE" w14:paraId="52B25E2D" w14:textId="77777777" w:rsidTr="003A105D">
        <w:trPr>
          <w:trHeight w:val="403"/>
          <w:jc w:val="center"/>
        </w:trPr>
        <w:tc>
          <w:tcPr>
            <w:tcW w:w="8321" w:type="dxa"/>
          </w:tcPr>
          <w:p w14:paraId="628E5A95"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Categorias de ativos financeiros e passivos financeiros</w:t>
            </w:r>
          </w:p>
        </w:tc>
        <w:tc>
          <w:tcPr>
            <w:tcW w:w="1253" w:type="dxa"/>
          </w:tcPr>
          <w:p w14:paraId="0A35F2DA"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8</w:t>
            </w:r>
          </w:p>
        </w:tc>
      </w:tr>
      <w:tr w:rsidR="003C12AE" w:rsidRPr="003C12AE" w14:paraId="64C0F127" w14:textId="77777777" w:rsidTr="003A105D">
        <w:trPr>
          <w:trHeight w:val="390"/>
          <w:jc w:val="center"/>
        </w:trPr>
        <w:tc>
          <w:tcPr>
            <w:tcW w:w="8321" w:type="dxa"/>
          </w:tcPr>
          <w:p w14:paraId="1FD3BB0B"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Ativos financeiros ou passivos financeiros pelo valor justo por meio do resultado</w:t>
            </w:r>
          </w:p>
        </w:tc>
        <w:tc>
          <w:tcPr>
            <w:tcW w:w="1253" w:type="dxa"/>
          </w:tcPr>
          <w:p w14:paraId="18BB4E8B"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9 – 11</w:t>
            </w:r>
          </w:p>
        </w:tc>
      </w:tr>
      <w:tr w:rsidR="003C12AE" w:rsidRPr="003C12AE" w14:paraId="67E74D5F" w14:textId="77777777" w:rsidTr="003A105D">
        <w:trPr>
          <w:trHeight w:val="403"/>
          <w:jc w:val="center"/>
        </w:trPr>
        <w:tc>
          <w:tcPr>
            <w:tcW w:w="8321" w:type="dxa"/>
          </w:tcPr>
          <w:p w14:paraId="58F04A05"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Reclassificação</w:t>
            </w:r>
          </w:p>
        </w:tc>
        <w:tc>
          <w:tcPr>
            <w:tcW w:w="1253" w:type="dxa"/>
            <w:vAlign w:val="center"/>
          </w:tcPr>
          <w:p w14:paraId="15548E64"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12 – 13</w:t>
            </w:r>
          </w:p>
        </w:tc>
      </w:tr>
      <w:tr w:rsidR="003C12AE" w:rsidRPr="003C12AE" w14:paraId="0A202D1B" w14:textId="77777777" w:rsidTr="003A105D">
        <w:trPr>
          <w:trHeight w:val="390"/>
          <w:jc w:val="center"/>
        </w:trPr>
        <w:tc>
          <w:tcPr>
            <w:tcW w:w="8321" w:type="dxa"/>
          </w:tcPr>
          <w:p w14:paraId="2F901472"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Garantia</w:t>
            </w:r>
          </w:p>
        </w:tc>
        <w:tc>
          <w:tcPr>
            <w:tcW w:w="1253" w:type="dxa"/>
            <w:vAlign w:val="center"/>
          </w:tcPr>
          <w:p w14:paraId="456D3893"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14 – 15</w:t>
            </w:r>
          </w:p>
        </w:tc>
      </w:tr>
      <w:tr w:rsidR="003C12AE" w:rsidRPr="003C12AE" w14:paraId="355608F7" w14:textId="77777777" w:rsidTr="003A105D">
        <w:trPr>
          <w:trHeight w:val="403"/>
          <w:jc w:val="center"/>
        </w:trPr>
        <w:tc>
          <w:tcPr>
            <w:tcW w:w="8321" w:type="dxa"/>
          </w:tcPr>
          <w:p w14:paraId="0F6F2626"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Provisão para perda com crédito</w:t>
            </w:r>
          </w:p>
        </w:tc>
        <w:tc>
          <w:tcPr>
            <w:tcW w:w="1253" w:type="dxa"/>
            <w:vAlign w:val="center"/>
          </w:tcPr>
          <w:p w14:paraId="36174244"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16</w:t>
            </w:r>
          </w:p>
        </w:tc>
      </w:tr>
      <w:tr w:rsidR="003C12AE" w:rsidRPr="003C12AE" w14:paraId="198F6648" w14:textId="77777777" w:rsidTr="003A105D">
        <w:trPr>
          <w:trHeight w:val="403"/>
          <w:jc w:val="center"/>
        </w:trPr>
        <w:tc>
          <w:tcPr>
            <w:tcW w:w="8321" w:type="dxa"/>
          </w:tcPr>
          <w:p w14:paraId="40A2B28A"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Instrumentos financeiros compostos com múltiplos derivativos embutidos</w:t>
            </w:r>
          </w:p>
        </w:tc>
        <w:tc>
          <w:tcPr>
            <w:tcW w:w="1253" w:type="dxa"/>
            <w:vAlign w:val="center"/>
          </w:tcPr>
          <w:p w14:paraId="3CA8248F"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17</w:t>
            </w:r>
          </w:p>
        </w:tc>
      </w:tr>
      <w:tr w:rsidR="003C12AE" w:rsidRPr="003C12AE" w14:paraId="42E9B2EF" w14:textId="77777777" w:rsidTr="003A105D">
        <w:trPr>
          <w:trHeight w:val="403"/>
          <w:jc w:val="center"/>
        </w:trPr>
        <w:tc>
          <w:tcPr>
            <w:tcW w:w="8321" w:type="dxa"/>
          </w:tcPr>
          <w:p w14:paraId="2D5393F3"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sz w:val="24"/>
                <w:lang w:val="pt-BR"/>
              </w:rPr>
              <w:t>Descumprimento de compromisso contratual</w:t>
            </w:r>
          </w:p>
        </w:tc>
        <w:tc>
          <w:tcPr>
            <w:tcW w:w="1253" w:type="dxa"/>
            <w:vAlign w:val="center"/>
          </w:tcPr>
          <w:p w14:paraId="7A5FA92A"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18 – 19</w:t>
            </w:r>
          </w:p>
        </w:tc>
      </w:tr>
      <w:tr w:rsidR="003C12AE" w:rsidRPr="003C12AE" w14:paraId="1CB23499" w14:textId="77777777" w:rsidTr="003A105D">
        <w:trPr>
          <w:trHeight w:val="403"/>
          <w:jc w:val="center"/>
        </w:trPr>
        <w:tc>
          <w:tcPr>
            <w:tcW w:w="8321" w:type="dxa"/>
          </w:tcPr>
          <w:p w14:paraId="1A824C46" w14:textId="77777777" w:rsidR="003C12AE" w:rsidRPr="003C12AE" w:rsidRDefault="003C12AE" w:rsidP="003C12AE">
            <w:pPr>
              <w:spacing w:before="60" w:after="60"/>
              <w:jc w:val="left"/>
              <w:rPr>
                <w:rFonts w:ascii="Times New Roman" w:hAnsi="Times New Roman"/>
                <w:bCs/>
                <w:kern w:val="36"/>
                <w:sz w:val="24"/>
                <w:lang w:val="pt-BR"/>
              </w:rPr>
            </w:pPr>
            <w:r w:rsidRPr="003C12AE">
              <w:rPr>
                <w:rFonts w:ascii="Times New Roman" w:hAnsi="Times New Roman"/>
                <w:b/>
                <w:bCs/>
                <w:kern w:val="36"/>
                <w:sz w:val="24"/>
                <w:lang w:val="pt-BR"/>
              </w:rPr>
              <w:t>Demonstrações do resultado e do resultado abrangente</w:t>
            </w:r>
          </w:p>
        </w:tc>
        <w:tc>
          <w:tcPr>
            <w:tcW w:w="1253" w:type="dxa"/>
            <w:vAlign w:val="center"/>
          </w:tcPr>
          <w:p w14:paraId="13B4DDEB" w14:textId="77777777" w:rsidR="003C12AE" w:rsidRPr="003C12AE" w:rsidRDefault="003C12AE" w:rsidP="003C12AE">
            <w:pPr>
              <w:spacing w:before="60" w:after="60"/>
              <w:jc w:val="center"/>
              <w:rPr>
                <w:rFonts w:ascii="Times New Roman" w:hAnsi="Times New Roman"/>
                <w:b/>
                <w:bCs/>
                <w:kern w:val="36"/>
                <w:sz w:val="24"/>
                <w:lang w:val="pt-BR"/>
              </w:rPr>
            </w:pPr>
            <w:r w:rsidRPr="003C12AE">
              <w:rPr>
                <w:rFonts w:ascii="Times New Roman" w:hAnsi="Times New Roman"/>
                <w:b/>
                <w:bCs/>
                <w:kern w:val="36"/>
                <w:sz w:val="24"/>
                <w:lang w:val="pt-BR"/>
              </w:rPr>
              <w:t>20</w:t>
            </w:r>
          </w:p>
        </w:tc>
      </w:tr>
      <w:tr w:rsidR="003C12AE" w:rsidRPr="003C12AE" w14:paraId="26FFE8F1" w14:textId="77777777" w:rsidTr="003A105D">
        <w:trPr>
          <w:trHeight w:val="403"/>
          <w:jc w:val="center"/>
        </w:trPr>
        <w:tc>
          <w:tcPr>
            <w:tcW w:w="8321" w:type="dxa"/>
          </w:tcPr>
          <w:p w14:paraId="7B989C35"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Itens de receita, despesa, ganho ou perda</w:t>
            </w:r>
          </w:p>
        </w:tc>
        <w:tc>
          <w:tcPr>
            <w:tcW w:w="1253" w:type="dxa"/>
            <w:vAlign w:val="center"/>
          </w:tcPr>
          <w:p w14:paraId="28AD9A29"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20</w:t>
            </w:r>
          </w:p>
        </w:tc>
      </w:tr>
      <w:tr w:rsidR="003C12AE" w:rsidRPr="003C12AE" w14:paraId="71333A2E" w14:textId="77777777" w:rsidTr="003A105D">
        <w:trPr>
          <w:trHeight w:val="403"/>
          <w:jc w:val="center"/>
        </w:trPr>
        <w:tc>
          <w:tcPr>
            <w:tcW w:w="8321" w:type="dxa"/>
          </w:tcPr>
          <w:p w14:paraId="42983B6B" w14:textId="77777777" w:rsidR="003C12AE" w:rsidRPr="003C12AE" w:rsidRDefault="003C12AE" w:rsidP="003C12AE">
            <w:pPr>
              <w:spacing w:before="60" w:after="60"/>
              <w:jc w:val="left"/>
              <w:rPr>
                <w:rFonts w:ascii="Times New Roman" w:hAnsi="Times New Roman"/>
                <w:bCs/>
                <w:kern w:val="36"/>
                <w:sz w:val="24"/>
                <w:lang w:val="pt-BR"/>
              </w:rPr>
            </w:pPr>
            <w:r w:rsidRPr="003C12AE">
              <w:rPr>
                <w:rFonts w:ascii="Times New Roman" w:hAnsi="Times New Roman"/>
                <w:b/>
                <w:bCs/>
                <w:kern w:val="36"/>
                <w:sz w:val="24"/>
                <w:lang w:val="pt-BR"/>
              </w:rPr>
              <w:t>Outras divulgações</w:t>
            </w:r>
          </w:p>
        </w:tc>
        <w:tc>
          <w:tcPr>
            <w:tcW w:w="1253" w:type="dxa"/>
            <w:vAlign w:val="center"/>
          </w:tcPr>
          <w:p w14:paraId="652C57DA" w14:textId="77777777" w:rsidR="003C12AE" w:rsidRPr="003C12AE" w:rsidRDefault="003C12AE" w:rsidP="003C12AE">
            <w:pPr>
              <w:spacing w:before="60" w:after="60"/>
              <w:jc w:val="center"/>
              <w:rPr>
                <w:rFonts w:ascii="Times New Roman" w:hAnsi="Times New Roman"/>
                <w:b/>
                <w:bCs/>
                <w:kern w:val="36"/>
                <w:sz w:val="24"/>
                <w:lang w:val="pt-BR"/>
              </w:rPr>
            </w:pPr>
            <w:r w:rsidRPr="003C12AE">
              <w:rPr>
                <w:rFonts w:ascii="Times New Roman" w:hAnsi="Times New Roman"/>
                <w:b/>
                <w:bCs/>
                <w:kern w:val="36"/>
                <w:sz w:val="24"/>
                <w:lang w:val="pt-BR"/>
              </w:rPr>
              <w:t>21 – 30</w:t>
            </w:r>
          </w:p>
        </w:tc>
      </w:tr>
      <w:tr w:rsidR="003C12AE" w:rsidRPr="003C12AE" w14:paraId="4FAB1A69" w14:textId="77777777" w:rsidTr="003A105D">
        <w:trPr>
          <w:trHeight w:val="403"/>
          <w:jc w:val="center"/>
        </w:trPr>
        <w:tc>
          <w:tcPr>
            <w:tcW w:w="8321" w:type="dxa"/>
          </w:tcPr>
          <w:p w14:paraId="554BFDCE"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Políticas contábeis</w:t>
            </w:r>
          </w:p>
        </w:tc>
        <w:tc>
          <w:tcPr>
            <w:tcW w:w="1253" w:type="dxa"/>
            <w:vAlign w:val="center"/>
          </w:tcPr>
          <w:p w14:paraId="5F54B4DB"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21</w:t>
            </w:r>
          </w:p>
        </w:tc>
      </w:tr>
      <w:tr w:rsidR="003C12AE" w:rsidRPr="003C12AE" w14:paraId="66704666" w14:textId="77777777" w:rsidTr="003A105D">
        <w:trPr>
          <w:trHeight w:val="403"/>
          <w:jc w:val="center"/>
        </w:trPr>
        <w:tc>
          <w:tcPr>
            <w:tcW w:w="8321" w:type="dxa"/>
          </w:tcPr>
          <w:p w14:paraId="72211AB6" w14:textId="77777777" w:rsidR="003C12AE" w:rsidRPr="003C12AE" w:rsidRDefault="003C12AE" w:rsidP="003C12AE">
            <w:pPr>
              <w:spacing w:before="60" w:after="60"/>
              <w:ind w:left="284"/>
              <w:jc w:val="left"/>
              <w:rPr>
                <w:rFonts w:ascii="Times New Roman" w:hAnsi="Times New Roman"/>
                <w:bCs/>
                <w:i/>
                <w:kern w:val="36"/>
                <w:sz w:val="24"/>
                <w:lang w:val="pt-BR"/>
              </w:rPr>
            </w:pPr>
            <w:r w:rsidRPr="003C12AE">
              <w:rPr>
                <w:rFonts w:ascii="Times New Roman" w:hAnsi="Times New Roman"/>
                <w:bCs/>
                <w:kern w:val="36"/>
                <w:sz w:val="24"/>
                <w:lang w:val="pt-BR"/>
              </w:rPr>
              <w:t xml:space="preserve">Contabilidade de </w:t>
            </w:r>
            <w:r w:rsidRPr="003C12AE">
              <w:rPr>
                <w:rFonts w:ascii="Times New Roman" w:hAnsi="Times New Roman"/>
                <w:bCs/>
                <w:i/>
                <w:kern w:val="36"/>
                <w:sz w:val="24"/>
                <w:lang w:val="pt-BR"/>
              </w:rPr>
              <w:t>hedge</w:t>
            </w:r>
          </w:p>
        </w:tc>
        <w:tc>
          <w:tcPr>
            <w:tcW w:w="1253" w:type="dxa"/>
            <w:vAlign w:val="center"/>
          </w:tcPr>
          <w:p w14:paraId="7B0ABFE2"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22 – 24</w:t>
            </w:r>
          </w:p>
        </w:tc>
      </w:tr>
      <w:tr w:rsidR="003C12AE" w:rsidRPr="003C12AE" w14:paraId="533929F4" w14:textId="77777777" w:rsidTr="003A105D">
        <w:trPr>
          <w:trHeight w:val="403"/>
          <w:jc w:val="center"/>
        </w:trPr>
        <w:tc>
          <w:tcPr>
            <w:tcW w:w="8321" w:type="dxa"/>
          </w:tcPr>
          <w:p w14:paraId="7C499649"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Valor justo</w:t>
            </w:r>
          </w:p>
        </w:tc>
        <w:tc>
          <w:tcPr>
            <w:tcW w:w="1253" w:type="dxa"/>
            <w:vAlign w:val="center"/>
          </w:tcPr>
          <w:p w14:paraId="2E17698E"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25 – 30</w:t>
            </w:r>
          </w:p>
        </w:tc>
      </w:tr>
      <w:tr w:rsidR="003C12AE" w:rsidRPr="003C12AE" w14:paraId="77E0B6AD" w14:textId="77777777" w:rsidTr="003A105D">
        <w:trPr>
          <w:trHeight w:val="403"/>
          <w:jc w:val="center"/>
        </w:trPr>
        <w:tc>
          <w:tcPr>
            <w:tcW w:w="8321" w:type="dxa"/>
          </w:tcPr>
          <w:p w14:paraId="530B466A" w14:textId="77777777" w:rsidR="003C12AE" w:rsidRPr="003C12AE" w:rsidRDefault="003C12AE" w:rsidP="003C12AE">
            <w:pPr>
              <w:spacing w:before="60" w:after="60"/>
              <w:jc w:val="left"/>
              <w:rPr>
                <w:rFonts w:ascii="Times New Roman" w:hAnsi="Times New Roman"/>
                <w:bCs/>
                <w:kern w:val="36"/>
                <w:sz w:val="24"/>
                <w:lang w:val="pt-BR"/>
              </w:rPr>
            </w:pPr>
            <w:r w:rsidRPr="003C12AE">
              <w:rPr>
                <w:rFonts w:ascii="Times New Roman" w:hAnsi="Times New Roman"/>
                <w:b/>
                <w:bCs/>
                <w:kern w:val="36"/>
                <w:sz w:val="24"/>
                <w:lang w:val="pt-BR"/>
              </w:rPr>
              <w:lastRenderedPageBreak/>
              <w:t>NATUREZA E EXTENSÃO DOS RISCOS DECORRENTES DE INSTRUMENTOS FINANCEIROS</w:t>
            </w:r>
          </w:p>
        </w:tc>
        <w:tc>
          <w:tcPr>
            <w:tcW w:w="1253" w:type="dxa"/>
            <w:vAlign w:val="center"/>
          </w:tcPr>
          <w:p w14:paraId="72992300" w14:textId="77777777" w:rsidR="003C12AE" w:rsidRPr="003C12AE" w:rsidRDefault="003C12AE" w:rsidP="003C12AE">
            <w:pPr>
              <w:spacing w:before="60" w:after="60"/>
              <w:jc w:val="center"/>
              <w:rPr>
                <w:rFonts w:ascii="Times New Roman" w:hAnsi="Times New Roman"/>
                <w:b/>
                <w:bCs/>
                <w:kern w:val="36"/>
                <w:sz w:val="24"/>
                <w:lang w:val="pt-BR"/>
              </w:rPr>
            </w:pPr>
            <w:r w:rsidRPr="003C12AE">
              <w:rPr>
                <w:rFonts w:ascii="Times New Roman" w:hAnsi="Times New Roman"/>
                <w:b/>
                <w:bCs/>
                <w:kern w:val="36"/>
                <w:sz w:val="24"/>
                <w:lang w:val="pt-BR"/>
              </w:rPr>
              <w:t>31 – 42</w:t>
            </w:r>
          </w:p>
        </w:tc>
      </w:tr>
      <w:tr w:rsidR="003C12AE" w:rsidRPr="003C12AE" w14:paraId="157A1E13" w14:textId="77777777" w:rsidTr="003A105D">
        <w:trPr>
          <w:trHeight w:val="403"/>
          <w:jc w:val="center"/>
        </w:trPr>
        <w:tc>
          <w:tcPr>
            <w:tcW w:w="8321" w:type="dxa"/>
          </w:tcPr>
          <w:p w14:paraId="02CCF879" w14:textId="77777777" w:rsidR="003C12AE" w:rsidRPr="003C12AE" w:rsidRDefault="003C12AE" w:rsidP="003C12AE">
            <w:pPr>
              <w:spacing w:before="60" w:after="60"/>
              <w:jc w:val="left"/>
              <w:rPr>
                <w:rFonts w:ascii="Times New Roman" w:hAnsi="Times New Roman"/>
                <w:b/>
                <w:bCs/>
                <w:kern w:val="36"/>
                <w:sz w:val="24"/>
                <w:lang w:val="pt-BR"/>
              </w:rPr>
            </w:pPr>
            <w:r w:rsidRPr="003C12AE">
              <w:rPr>
                <w:rFonts w:ascii="Times New Roman" w:hAnsi="Times New Roman"/>
                <w:b/>
                <w:bCs/>
                <w:kern w:val="36"/>
                <w:sz w:val="24"/>
                <w:lang w:val="pt-BR"/>
              </w:rPr>
              <w:t>Divulgação qualitativa</w:t>
            </w:r>
          </w:p>
        </w:tc>
        <w:tc>
          <w:tcPr>
            <w:tcW w:w="1253" w:type="dxa"/>
            <w:vAlign w:val="center"/>
          </w:tcPr>
          <w:p w14:paraId="0C64E38C" w14:textId="77777777" w:rsidR="003C12AE" w:rsidRPr="003C12AE" w:rsidRDefault="003C12AE" w:rsidP="003C12AE">
            <w:pPr>
              <w:spacing w:before="60" w:after="60"/>
              <w:jc w:val="center"/>
              <w:rPr>
                <w:rFonts w:ascii="Times New Roman" w:hAnsi="Times New Roman"/>
                <w:b/>
                <w:bCs/>
                <w:kern w:val="36"/>
                <w:sz w:val="24"/>
                <w:lang w:val="pt-BR"/>
              </w:rPr>
            </w:pPr>
            <w:r w:rsidRPr="003C12AE">
              <w:rPr>
                <w:rFonts w:ascii="Times New Roman" w:hAnsi="Times New Roman"/>
                <w:b/>
                <w:bCs/>
                <w:kern w:val="36"/>
                <w:sz w:val="24"/>
                <w:lang w:val="pt-BR"/>
              </w:rPr>
              <w:t>33</w:t>
            </w:r>
          </w:p>
        </w:tc>
      </w:tr>
      <w:tr w:rsidR="003C12AE" w:rsidRPr="003C12AE" w14:paraId="6D5B4DCA" w14:textId="77777777" w:rsidTr="003A105D">
        <w:trPr>
          <w:trHeight w:val="403"/>
          <w:jc w:val="center"/>
        </w:trPr>
        <w:tc>
          <w:tcPr>
            <w:tcW w:w="8321" w:type="dxa"/>
          </w:tcPr>
          <w:p w14:paraId="08E06975" w14:textId="77777777" w:rsidR="003C12AE" w:rsidRPr="003C12AE" w:rsidRDefault="003C12AE" w:rsidP="003C12AE">
            <w:pPr>
              <w:spacing w:before="60" w:after="60"/>
              <w:jc w:val="left"/>
              <w:rPr>
                <w:rFonts w:ascii="Times New Roman" w:hAnsi="Times New Roman"/>
                <w:b/>
                <w:bCs/>
                <w:kern w:val="36"/>
                <w:sz w:val="24"/>
                <w:lang w:val="pt-BR"/>
              </w:rPr>
            </w:pPr>
            <w:r w:rsidRPr="003C12AE">
              <w:rPr>
                <w:rFonts w:ascii="Times New Roman" w:hAnsi="Times New Roman"/>
                <w:b/>
                <w:bCs/>
                <w:kern w:val="36"/>
                <w:sz w:val="24"/>
                <w:lang w:val="pt-BR"/>
              </w:rPr>
              <w:t>Divulgação quantitativa</w:t>
            </w:r>
          </w:p>
        </w:tc>
        <w:tc>
          <w:tcPr>
            <w:tcW w:w="1253" w:type="dxa"/>
            <w:vAlign w:val="center"/>
          </w:tcPr>
          <w:p w14:paraId="243A5854" w14:textId="77777777" w:rsidR="003C12AE" w:rsidRPr="003C12AE" w:rsidRDefault="003C12AE" w:rsidP="003C12AE">
            <w:pPr>
              <w:spacing w:before="60" w:after="60"/>
              <w:jc w:val="center"/>
              <w:rPr>
                <w:rFonts w:ascii="Times New Roman" w:hAnsi="Times New Roman"/>
                <w:b/>
                <w:bCs/>
                <w:kern w:val="36"/>
                <w:sz w:val="24"/>
                <w:lang w:val="pt-BR"/>
              </w:rPr>
            </w:pPr>
            <w:r w:rsidRPr="003C12AE">
              <w:rPr>
                <w:rFonts w:ascii="Times New Roman" w:hAnsi="Times New Roman"/>
                <w:b/>
                <w:bCs/>
                <w:kern w:val="36"/>
                <w:sz w:val="24"/>
                <w:lang w:val="pt-BR"/>
              </w:rPr>
              <w:t>34 – 42</w:t>
            </w:r>
          </w:p>
        </w:tc>
      </w:tr>
      <w:tr w:rsidR="003C12AE" w:rsidRPr="003C12AE" w14:paraId="5852BD6E" w14:textId="77777777" w:rsidTr="003A105D">
        <w:trPr>
          <w:trHeight w:val="403"/>
          <w:jc w:val="center"/>
        </w:trPr>
        <w:tc>
          <w:tcPr>
            <w:tcW w:w="8321" w:type="dxa"/>
          </w:tcPr>
          <w:p w14:paraId="62C43A93"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Risco de crédito</w:t>
            </w:r>
          </w:p>
        </w:tc>
        <w:tc>
          <w:tcPr>
            <w:tcW w:w="1253" w:type="dxa"/>
            <w:vAlign w:val="center"/>
          </w:tcPr>
          <w:p w14:paraId="1D08091F"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36 – 38</w:t>
            </w:r>
          </w:p>
        </w:tc>
      </w:tr>
      <w:tr w:rsidR="003C12AE" w:rsidRPr="003C12AE" w14:paraId="6CE57E0F" w14:textId="77777777" w:rsidTr="003A105D">
        <w:trPr>
          <w:trHeight w:val="403"/>
          <w:jc w:val="center"/>
        </w:trPr>
        <w:tc>
          <w:tcPr>
            <w:tcW w:w="8321" w:type="dxa"/>
          </w:tcPr>
          <w:p w14:paraId="793A16A0"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Ativos financeiros vencidos ou sem perspectivas de recuperação (</w:t>
            </w:r>
            <w:r w:rsidRPr="003C12AE">
              <w:rPr>
                <w:rFonts w:ascii="Times New Roman" w:hAnsi="Times New Roman"/>
                <w:bCs/>
                <w:i/>
                <w:kern w:val="36"/>
                <w:sz w:val="24"/>
                <w:lang w:val="pt-BR"/>
              </w:rPr>
              <w:t>impaired</w:t>
            </w:r>
            <w:r w:rsidRPr="003C12AE">
              <w:rPr>
                <w:rFonts w:ascii="Times New Roman" w:hAnsi="Times New Roman"/>
                <w:bCs/>
                <w:kern w:val="36"/>
                <w:sz w:val="24"/>
                <w:lang w:val="pt-BR"/>
              </w:rPr>
              <w:t>)</w:t>
            </w:r>
          </w:p>
        </w:tc>
        <w:tc>
          <w:tcPr>
            <w:tcW w:w="1253" w:type="dxa"/>
            <w:vAlign w:val="center"/>
          </w:tcPr>
          <w:p w14:paraId="4482E705"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37</w:t>
            </w:r>
          </w:p>
        </w:tc>
      </w:tr>
      <w:tr w:rsidR="003C12AE" w:rsidRPr="003C12AE" w14:paraId="5A8E40C7" w14:textId="77777777" w:rsidTr="003A105D">
        <w:trPr>
          <w:trHeight w:val="403"/>
          <w:jc w:val="center"/>
        </w:trPr>
        <w:tc>
          <w:tcPr>
            <w:tcW w:w="8321" w:type="dxa"/>
          </w:tcPr>
          <w:p w14:paraId="3B21FE16"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sz w:val="24"/>
                <w:lang w:val="pt-BR"/>
              </w:rPr>
              <w:t>Garantias e outros instrumentos de melhoria de crédito obtidos</w:t>
            </w:r>
            <w:r w:rsidRPr="003C12AE">
              <w:rPr>
                <w:rFonts w:ascii="Times New Roman" w:hAnsi="Times New Roman"/>
                <w:bCs/>
                <w:kern w:val="36"/>
                <w:sz w:val="24"/>
                <w:lang w:val="pt-BR"/>
              </w:rPr>
              <w:t xml:space="preserve"> </w:t>
            </w:r>
          </w:p>
        </w:tc>
        <w:tc>
          <w:tcPr>
            <w:tcW w:w="1253" w:type="dxa"/>
            <w:vAlign w:val="center"/>
          </w:tcPr>
          <w:p w14:paraId="221D568E"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38</w:t>
            </w:r>
          </w:p>
        </w:tc>
      </w:tr>
      <w:tr w:rsidR="003C12AE" w:rsidRPr="003C12AE" w14:paraId="536D1DCC" w14:textId="77777777" w:rsidTr="003A105D">
        <w:trPr>
          <w:trHeight w:val="403"/>
          <w:jc w:val="center"/>
        </w:trPr>
        <w:tc>
          <w:tcPr>
            <w:tcW w:w="8321" w:type="dxa"/>
          </w:tcPr>
          <w:p w14:paraId="1E57FF2B"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Risco de liquidez</w:t>
            </w:r>
          </w:p>
        </w:tc>
        <w:tc>
          <w:tcPr>
            <w:tcW w:w="1253" w:type="dxa"/>
            <w:vAlign w:val="center"/>
          </w:tcPr>
          <w:p w14:paraId="30E4C52D"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39</w:t>
            </w:r>
          </w:p>
        </w:tc>
      </w:tr>
      <w:tr w:rsidR="003C12AE" w:rsidRPr="003C12AE" w14:paraId="7CBCEAB7" w14:textId="77777777" w:rsidTr="003A105D">
        <w:trPr>
          <w:trHeight w:val="403"/>
          <w:jc w:val="center"/>
        </w:trPr>
        <w:tc>
          <w:tcPr>
            <w:tcW w:w="8321" w:type="dxa"/>
          </w:tcPr>
          <w:p w14:paraId="1C1CFBC5"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Risco de mercado</w:t>
            </w:r>
          </w:p>
        </w:tc>
        <w:tc>
          <w:tcPr>
            <w:tcW w:w="1253" w:type="dxa"/>
            <w:vAlign w:val="center"/>
          </w:tcPr>
          <w:p w14:paraId="1EF3742F"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40 – 42</w:t>
            </w:r>
          </w:p>
        </w:tc>
      </w:tr>
      <w:tr w:rsidR="003C12AE" w:rsidRPr="003C12AE" w14:paraId="1493D667" w14:textId="77777777" w:rsidTr="003A105D">
        <w:trPr>
          <w:trHeight w:val="403"/>
          <w:jc w:val="center"/>
        </w:trPr>
        <w:tc>
          <w:tcPr>
            <w:tcW w:w="8321" w:type="dxa"/>
          </w:tcPr>
          <w:p w14:paraId="76855ECC"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Análise de sensibilidade</w:t>
            </w:r>
          </w:p>
        </w:tc>
        <w:tc>
          <w:tcPr>
            <w:tcW w:w="1253" w:type="dxa"/>
            <w:vAlign w:val="center"/>
          </w:tcPr>
          <w:p w14:paraId="75929CBC"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40 – 41</w:t>
            </w:r>
          </w:p>
        </w:tc>
      </w:tr>
      <w:tr w:rsidR="003C12AE" w:rsidRPr="003C12AE" w14:paraId="41A21A50" w14:textId="77777777" w:rsidTr="003A105D">
        <w:trPr>
          <w:trHeight w:val="403"/>
          <w:jc w:val="center"/>
        </w:trPr>
        <w:tc>
          <w:tcPr>
            <w:tcW w:w="8321" w:type="dxa"/>
          </w:tcPr>
          <w:p w14:paraId="0694FBDF" w14:textId="77777777" w:rsidR="003C12AE" w:rsidRPr="003C12AE" w:rsidRDefault="003C12AE" w:rsidP="003C12AE">
            <w:pPr>
              <w:spacing w:before="60" w:after="60"/>
              <w:ind w:left="284"/>
              <w:jc w:val="left"/>
              <w:rPr>
                <w:rFonts w:ascii="Times New Roman" w:hAnsi="Times New Roman"/>
                <w:bCs/>
                <w:kern w:val="36"/>
                <w:sz w:val="24"/>
                <w:lang w:val="pt-BR"/>
              </w:rPr>
            </w:pPr>
            <w:r w:rsidRPr="003C12AE">
              <w:rPr>
                <w:rFonts w:ascii="Times New Roman" w:hAnsi="Times New Roman"/>
                <w:bCs/>
                <w:kern w:val="36"/>
                <w:sz w:val="24"/>
                <w:lang w:val="pt-BR"/>
              </w:rPr>
              <w:t>Outras divulgações de risco de mercado</w:t>
            </w:r>
          </w:p>
        </w:tc>
        <w:tc>
          <w:tcPr>
            <w:tcW w:w="1253" w:type="dxa"/>
            <w:vAlign w:val="center"/>
          </w:tcPr>
          <w:p w14:paraId="1C8F544F" w14:textId="77777777" w:rsidR="003C12AE" w:rsidRPr="003C12AE" w:rsidRDefault="003C12AE" w:rsidP="003C12AE">
            <w:pPr>
              <w:spacing w:before="60" w:after="60"/>
              <w:jc w:val="center"/>
              <w:rPr>
                <w:rFonts w:ascii="Times New Roman" w:hAnsi="Times New Roman"/>
                <w:kern w:val="36"/>
                <w:sz w:val="24"/>
                <w:lang w:val="pt-BR"/>
              </w:rPr>
            </w:pPr>
            <w:r w:rsidRPr="003C12AE">
              <w:rPr>
                <w:rFonts w:ascii="Times New Roman" w:hAnsi="Times New Roman"/>
                <w:kern w:val="36"/>
                <w:sz w:val="24"/>
                <w:lang w:val="pt-BR"/>
              </w:rPr>
              <w:t>42</w:t>
            </w:r>
          </w:p>
        </w:tc>
      </w:tr>
      <w:tr w:rsidR="003C12AE" w:rsidRPr="003C12AE" w14:paraId="1ACC6B55" w14:textId="77777777" w:rsidTr="003A105D">
        <w:trPr>
          <w:trHeight w:val="403"/>
          <w:jc w:val="center"/>
        </w:trPr>
        <w:tc>
          <w:tcPr>
            <w:tcW w:w="8321" w:type="dxa"/>
          </w:tcPr>
          <w:p w14:paraId="02D85113" w14:textId="77777777" w:rsidR="003C12AE" w:rsidRPr="003C12AE" w:rsidRDefault="003C12AE" w:rsidP="003C12AE">
            <w:pPr>
              <w:spacing w:before="60" w:after="60"/>
              <w:jc w:val="left"/>
              <w:rPr>
                <w:rFonts w:ascii="Times New Roman" w:hAnsi="Times New Roman"/>
                <w:b/>
                <w:bCs/>
                <w:kern w:val="36"/>
                <w:sz w:val="24"/>
                <w:lang w:val="pt-BR"/>
              </w:rPr>
            </w:pPr>
            <w:r w:rsidRPr="003C12AE">
              <w:rPr>
                <w:rFonts w:ascii="Times New Roman" w:hAnsi="Times New Roman"/>
                <w:b/>
                <w:sz w:val="24"/>
                <w:lang w:val="pt-BR"/>
              </w:rPr>
              <w:t xml:space="preserve">TRANSFERÊNCIA DE ATIVOS FINANCEIROS </w:t>
            </w:r>
          </w:p>
        </w:tc>
        <w:tc>
          <w:tcPr>
            <w:tcW w:w="1253" w:type="dxa"/>
            <w:vAlign w:val="center"/>
          </w:tcPr>
          <w:p w14:paraId="3FAAE97E" w14:textId="77777777" w:rsidR="003C12AE" w:rsidRPr="003C12AE" w:rsidRDefault="003C12AE" w:rsidP="003C12AE">
            <w:pPr>
              <w:spacing w:before="60" w:after="60"/>
              <w:ind w:left="-97" w:right="-176"/>
              <w:jc w:val="center"/>
              <w:rPr>
                <w:rFonts w:ascii="Times New Roman" w:hAnsi="Times New Roman"/>
                <w:b/>
                <w:kern w:val="36"/>
                <w:sz w:val="24"/>
                <w:lang w:val="pt-BR"/>
              </w:rPr>
            </w:pPr>
            <w:r w:rsidRPr="003C12AE">
              <w:rPr>
                <w:rFonts w:ascii="Times New Roman" w:hAnsi="Times New Roman"/>
                <w:b/>
                <w:kern w:val="36"/>
                <w:sz w:val="24"/>
                <w:lang w:val="pt-BR"/>
              </w:rPr>
              <w:t>42A – 42C</w:t>
            </w:r>
          </w:p>
        </w:tc>
      </w:tr>
      <w:tr w:rsidR="003C12AE" w:rsidRPr="003C12AE" w14:paraId="1B1E9019" w14:textId="77777777" w:rsidTr="003A105D">
        <w:trPr>
          <w:trHeight w:val="403"/>
          <w:jc w:val="center"/>
        </w:trPr>
        <w:tc>
          <w:tcPr>
            <w:tcW w:w="8321" w:type="dxa"/>
          </w:tcPr>
          <w:p w14:paraId="2F3E5D38" w14:textId="77777777" w:rsidR="003C12AE" w:rsidRPr="003C12AE" w:rsidRDefault="003C12AE" w:rsidP="003C12AE">
            <w:pPr>
              <w:spacing w:before="60" w:after="60"/>
              <w:jc w:val="left"/>
              <w:rPr>
                <w:rFonts w:ascii="Times New Roman" w:hAnsi="Times New Roman"/>
                <w:b/>
                <w:sz w:val="24"/>
                <w:lang w:val="pt-BR"/>
              </w:rPr>
            </w:pPr>
            <w:r w:rsidRPr="003C12AE">
              <w:rPr>
                <w:rFonts w:ascii="Times New Roman" w:hAnsi="Times New Roman"/>
                <w:b/>
                <w:sz w:val="24"/>
                <w:lang w:val="pt-BR"/>
              </w:rPr>
              <w:t>Ativos financeiros transferidos que não são desreconhecidos em sua totalidade</w:t>
            </w:r>
          </w:p>
        </w:tc>
        <w:tc>
          <w:tcPr>
            <w:tcW w:w="1253" w:type="dxa"/>
            <w:vAlign w:val="center"/>
          </w:tcPr>
          <w:p w14:paraId="068AEFCF" w14:textId="77777777" w:rsidR="003C12AE" w:rsidRPr="003C12AE" w:rsidRDefault="003C12AE" w:rsidP="003C12AE">
            <w:pPr>
              <w:spacing w:before="60" w:after="60"/>
              <w:ind w:right="-176"/>
              <w:jc w:val="center"/>
              <w:rPr>
                <w:rFonts w:ascii="Times New Roman" w:hAnsi="Times New Roman"/>
                <w:b/>
                <w:kern w:val="36"/>
                <w:sz w:val="24"/>
                <w:lang w:val="pt-BR"/>
              </w:rPr>
            </w:pPr>
            <w:r w:rsidRPr="003C12AE">
              <w:rPr>
                <w:rFonts w:ascii="Times New Roman" w:hAnsi="Times New Roman"/>
                <w:b/>
                <w:kern w:val="36"/>
                <w:sz w:val="24"/>
                <w:lang w:val="pt-BR"/>
              </w:rPr>
              <w:t>42D</w:t>
            </w:r>
          </w:p>
        </w:tc>
      </w:tr>
      <w:tr w:rsidR="003C12AE" w:rsidRPr="003C12AE" w14:paraId="391299F1" w14:textId="77777777" w:rsidTr="003A105D">
        <w:trPr>
          <w:trHeight w:val="403"/>
          <w:jc w:val="center"/>
        </w:trPr>
        <w:tc>
          <w:tcPr>
            <w:tcW w:w="8321" w:type="dxa"/>
          </w:tcPr>
          <w:p w14:paraId="7E8AD5E3" w14:textId="77777777" w:rsidR="003C12AE" w:rsidRPr="003C12AE" w:rsidRDefault="003C12AE" w:rsidP="003C12AE">
            <w:pPr>
              <w:spacing w:before="60" w:after="60"/>
              <w:jc w:val="left"/>
              <w:rPr>
                <w:rFonts w:ascii="Times New Roman" w:hAnsi="Times New Roman"/>
                <w:b/>
                <w:sz w:val="24"/>
                <w:lang w:val="pt-BR"/>
              </w:rPr>
            </w:pPr>
            <w:r w:rsidRPr="003C12AE">
              <w:rPr>
                <w:rFonts w:ascii="Times New Roman" w:hAnsi="Times New Roman"/>
                <w:b/>
                <w:sz w:val="24"/>
                <w:lang w:val="pt-BR"/>
              </w:rPr>
              <w:t>Ativos financeiros transferidos que são desreconhecidos em sua totalidade</w:t>
            </w:r>
          </w:p>
        </w:tc>
        <w:tc>
          <w:tcPr>
            <w:tcW w:w="1253" w:type="dxa"/>
            <w:vAlign w:val="center"/>
          </w:tcPr>
          <w:p w14:paraId="2F3C5842" w14:textId="77777777" w:rsidR="003C12AE" w:rsidRPr="003C12AE" w:rsidRDefault="003C12AE" w:rsidP="003C12AE">
            <w:pPr>
              <w:spacing w:before="60" w:after="60"/>
              <w:ind w:left="-97" w:right="-176"/>
              <w:jc w:val="center"/>
              <w:rPr>
                <w:rFonts w:ascii="Times New Roman" w:hAnsi="Times New Roman"/>
                <w:b/>
                <w:kern w:val="36"/>
                <w:sz w:val="24"/>
                <w:lang w:val="pt-BR"/>
              </w:rPr>
            </w:pPr>
            <w:r w:rsidRPr="003C12AE">
              <w:rPr>
                <w:rFonts w:ascii="Times New Roman" w:hAnsi="Times New Roman"/>
                <w:b/>
                <w:kern w:val="36"/>
                <w:sz w:val="24"/>
                <w:lang w:val="pt-BR"/>
              </w:rPr>
              <w:t>42E – 42G</w:t>
            </w:r>
          </w:p>
        </w:tc>
      </w:tr>
      <w:tr w:rsidR="003C12AE" w:rsidRPr="003C12AE" w14:paraId="6DF48540" w14:textId="77777777" w:rsidTr="003A105D">
        <w:trPr>
          <w:trHeight w:val="403"/>
          <w:jc w:val="center"/>
        </w:trPr>
        <w:tc>
          <w:tcPr>
            <w:tcW w:w="8321" w:type="dxa"/>
          </w:tcPr>
          <w:p w14:paraId="19A894B6" w14:textId="77777777" w:rsidR="003C12AE" w:rsidRPr="003C12AE" w:rsidRDefault="003C12AE" w:rsidP="003C12AE">
            <w:pPr>
              <w:spacing w:before="60" w:after="60"/>
              <w:jc w:val="left"/>
              <w:rPr>
                <w:rFonts w:ascii="Times New Roman" w:hAnsi="Times New Roman"/>
                <w:b/>
                <w:sz w:val="24"/>
                <w:lang w:val="pt-BR"/>
              </w:rPr>
            </w:pPr>
            <w:r w:rsidRPr="003C12AE">
              <w:rPr>
                <w:rFonts w:ascii="Times New Roman" w:hAnsi="Times New Roman"/>
                <w:b/>
                <w:sz w:val="24"/>
                <w:lang w:val="pt-BR"/>
              </w:rPr>
              <w:t>Informações suplementares</w:t>
            </w:r>
          </w:p>
        </w:tc>
        <w:tc>
          <w:tcPr>
            <w:tcW w:w="1253" w:type="dxa"/>
            <w:vAlign w:val="center"/>
          </w:tcPr>
          <w:p w14:paraId="735DBBA4" w14:textId="77777777" w:rsidR="003C12AE" w:rsidRPr="003C12AE" w:rsidRDefault="003C12AE" w:rsidP="003C12AE">
            <w:pPr>
              <w:spacing w:before="60" w:after="60"/>
              <w:ind w:right="-176"/>
              <w:jc w:val="center"/>
              <w:rPr>
                <w:rFonts w:ascii="Times New Roman" w:hAnsi="Times New Roman"/>
                <w:b/>
                <w:kern w:val="36"/>
                <w:sz w:val="24"/>
                <w:lang w:val="pt-BR"/>
              </w:rPr>
            </w:pPr>
            <w:r w:rsidRPr="003C12AE">
              <w:rPr>
                <w:rFonts w:ascii="Times New Roman" w:hAnsi="Times New Roman"/>
                <w:b/>
                <w:kern w:val="36"/>
                <w:sz w:val="24"/>
                <w:lang w:val="pt-BR"/>
              </w:rPr>
              <w:t>42H</w:t>
            </w:r>
          </w:p>
        </w:tc>
      </w:tr>
      <w:tr w:rsidR="003C12AE" w:rsidRPr="003C12AE" w14:paraId="19D14012" w14:textId="77777777" w:rsidTr="003A105D">
        <w:trPr>
          <w:trHeight w:val="403"/>
          <w:jc w:val="center"/>
        </w:trPr>
        <w:tc>
          <w:tcPr>
            <w:tcW w:w="8321" w:type="dxa"/>
          </w:tcPr>
          <w:p w14:paraId="58A8E00F" w14:textId="77777777" w:rsidR="003C12AE" w:rsidRPr="003C12AE" w:rsidRDefault="003C12AE" w:rsidP="003C12AE">
            <w:pPr>
              <w:spacing w:before="60" w:after="60"/>
              <w:jc w:val="left"/>
              <w:rPr>
                <w:rFonts w:ascii="Times New Roman" w:hAnsi="Times New Roman"/>
                <w:b/>
                <w:sz w:val="24"/>
                <w:lang w:val="pt-BR"/>
              </w:rPr>
            </w:pPr>
            <w:r w:rsidRPr="003C12AE">
              <w:rPr>
                <w:rFonts w:ascii="Times New Roman" w:hAnsi="Times New Roman"/>
                <w:b/>
                <w:sz w:val="24"/>
                <w:lang w:val="pt-BR"/>
              </w:rPr>
              <w:t>Revogação de outro pronunciamento</w:t>
            </w:r>
          </w:p>
        </w:tc>
        <w:tc>
          <w:tcPr>
            <w:tcW w:w="1253" w:type="dxa"/>
            <w:vAlign w:val="center"/>
          </w:tcPr>
          <w:p w14:paraId="61A88A5F" w14:textId="77777777" w:rsidR="003C12AE" w:rsidRPr="003C12AE" w:rsidRDefault="003C12AE" w:rsidP="003C12AE">
            <w:pPr>
              <w:spacing w:before="60" w:after="60"/>
              <w:ind w:right="-176"/>
              <w:jc w:val="center"/>
              <w:rPr>
                <w:rFonts w:ascii="Times New Roman" w:hAnsi="Times New Roman"/>
                <w:b/>
                <w:kern w:val="36"/>
                <w:sz w:val="24"/>
                <w:lang w:val="pt-BR"/>
              </w:rPr>
            </w:pPr>
            <w:r w:rsidRPr="003C12AE">
              <w:rPr>
                <w:rFonts w:ascii="Times New Roman" w:hAnsi="Times New Roman"/>
                <w:b/>
                <w:kern w:val="36"/>
                <w:sz w:val="24"/>
                <w:lang w:val="pt-BR"/>
              </w:rPr>
              <w:t>43</w:t>
            </w:r>
          </w:p>
        </w:tc>
      </w:tr>
      <w:tr w:rsidR="003C12AE" w:rsidRPr="003C12AE" w14:paraId="492BEA3E" w14:textId="77777777" w:rsidTr="003A105D">
        <w:trPr>
          <w:trHeight w:val="403"/>
          <w:jc w:val="center"/>
        </w:trPr>
        <w:tc>
          <w:tcPr>
            <w:tcW w:w="8321" w:type="dxa"/>
          </w:tcPr>
          <w:p w14:paraId="0B93B90D" w14:textId="77777777" w:rsidR="003C12AE" w:rsidRPr="003C12AE" w:rsidRDefault="003C12AE" w:rsidP="003C12AE">
            <w:pPr>
              <w:spacing w:before="60" w:after="60"/>
              <w:jc w:val="left"/>
              <w:rPr>
                <w:rFonts w:ascii="Times New Roman" w:hAnsi="Times New Roman"/>
                <w:b/>
                <w:sz w:val="24"/>
                <w:lang w:val="pt-BR"/>
              </w:rPr>
            </w:pPr>
            <w:r w:rsidRPr="003C12AE">
              <w:rPr>
                <w:rFonts w:ascii="Times New Roman" w:hAnsi="Times New Roman"/>
                <w:b/>
                <w:bCs/>
                <w:kern w:val="36"/>
                <w:sz w:val="24"/>
                <w:lang w:val="pt-BR"/>
              </w:rPr>
              <w:t>APÊNDICE A – DEFINIÇÃO DE TERMOS</w:t>
            </w:r>
          </w:p>
        </w:tc>
        <w:tc>
          <w:tcPr>
            <w:tcW w:w="1253" w:type="dxa"/>
            <w:vAlign w:val="center"/>
          </w:tcPr>
          <w:p w14:paraId="3D2ED847" w14:textId="77777777" w:rsidR="003C12AE" w:rsidRPr="003C12AE" w:rsidRDefault="003C12AE" w:rsidP="003C12AE">
            <w:pPr>
              <w:spacing w:before="60" w:after="60"/>
              <w:jc w:val="center"/>
              <w:rPr>
                <w:rFonts w:ascii="Times New Roman" w:hAnsi="Times New Roman"/>
                <w:kern w:val="36"/>
                <w:sz w:val="24"/>
                <w:lang w:val="pt-BR"/>
              </w:rPr>
            </w:pPr>
          </w:p>
        </w:tc>
      </w:tr>
      <w:tr w:rsidR="003C12AE" w:rsidRPr="003C12AE" w14:paraId="3325F8F2" w14:textId="77777777" w:rsidTr="003A105D">
        <w:trPr>
          <w:trHeight w:val="403"/>
          <w:jc w:val="center"/>
        </w:trPr>
        <w:tc>
          <w:tcPr>
            <w:tcW w:w="8321" w:type="dxa"/>
          </w:tcPr>
          <w:p w14:paraId="34C62D2F" w14:textId="77777777" w:rsidR="003C12AE" w:rsidRPr="003C12AE" w:rsidRDefault="003C12AE" w:rsidP="003C12AE">
            <w:pPr>
              <w:spacing w:before="60" w:after="60"/>
              <w:jc w:val="left"/>
              <w:rPr>
                <w:rFonts w:ascii="Times New Roman" w:hAnsi="Times New Roman"/>
                <w:b/>
                <w:bCs/>
                <w:kern w:val="36"/>
                <w:sz w:val="24"/>
                <w:lang w:val="pt-BR"/>
              </w:rPr>
            </w:pPr>
            <w:r w:rsidRPr="003C12AE">
              <w:rPr>
                <w:rFonts w:ascii="Times New Roman" w:hAnsi="Times New Roman"/>
                <w:b/>
                <w:bCs/>
                <w:kern w:val="36"/>
                <w:sz w:val="24"/>
                <w:lang w:val="pt-BR"/>
              </w:rPr>
              <w:t>APÊNDICE B – GUIA DE APLICAÇÃO</w:t>
            </w:r>
          </w:p>
        </w:tc>
        <w:tc>
          <w:tcPr>
            <w:tcW w:w="1253" w:type="dxa"/>
            <w:vAlign w:val="center"/>
          </w:tcPr>
          <w:p w14:paraId="31C023B1" w14:textId="77777777" w:rsidR="003C12AE" w:rsidRPr="003C12AE" w:rsidRDefault="003C12AE" w:rsidP="003C12AE">
            <w:pPr>
              <w:spacing w:before="60" w:after="60"/>
              <w:jc w:val="center"/>
              <w:rPr>
                <w:rFonts w:ascii="Times New Roman" w:hAnsi="Times New Roman"/>
                <w:kern w:val="36"/>
                <w:sz w:val="24"/>
                <w:lang w:val="pt-BR"/>
              </w:rPr>
            </w:pPr>
          </w:p>
        </w:tc>
      </w:tr>
    </w:tbl>
    <w:p w14:paraId="52CC25DE"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p>
    <w:p w14:paraId="7CD59A33"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p>
    <w:p w14:paraId="29898D97"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p>
    <w:p w14:paraId="1D09A576" w14:textId="77777777" w:rsidR="003C12AE" w:rsidRPr="003C12AE" w:rsidRDefault="003C12AE" w:rsidP="003C12AE">
      <w:pPr>
        <w:widowControl w:val="0"/>
        <w:tabs>
          <w:tab w:val="left" w:pos="6804"/>
        </w:tabs>
        <w:spacing w:before="0" w:after="0"/>
        <w:ind w:right="-1"/>
      </w:pPr>
      <w:r w:rsidRPr="003C12AE">
        <w:rPr>
          <w:rFonts w:ascii="Times New Roman" w:hAnsi="Times New Roman"/>
          <w:b/>
          <w:sz w:val="28"/>
          <w:lang w:val="pt-BR" w:eastAsia="x-none"/>
        </w:rPr>
        <w:t xml:space="preserve">Introdução </w:t>
      </w:r>
    </w:p>
    <w:p w14:paraId="161D5DE9" w14:textId="77777777" w:rsidR="003C12AE" w:rsidRPr="003C12AE" w:rsidRDefault="003C12AE" w:rsidP="003C12AE">
      <w:pPr>
        <w:spacing w:before="0" w:after="0"/>
        <w:ind w:right="-1"/>
        <w:rPr>
          <w:rFonts w:ascii="Times New Roman" w:hAnsi="Times New Roman"/>
          <w:sz w:val="24"/>
          <w:lang w:val="pt-BR"/>
        </w:rPr>
      </w:pPr>
      <w:bookmarkStart w:id="1" w:name="ifrs_ebook_3"/>
      <w:bookmarkEnd w:id="1"/>
    </w:p>
    <w:p w14:paraId="7FA87667" w14:textId="77777777" w:rsidR="003C12AE" w:rsidRPr="003C12AE" w:rsidRDefault="003C12AE" w:rsidP="003C12AE">
      <w:pPr>
        <w:spacing w:before="0" w:after="0"/>
        <w:ind w:right="-1" w:firstLine="567"/>
        <w:rPr>
          <w:rFonts w:ascii="Times New Roman" w:hAnsi="Times New Roman"/>
          <w:sz w:val="24"/>
          <w:lang w:val="pt-BR"/>
        </w:rPr>
      </w:pPr>
      <w:r w:rsidRPr="003C12AE">
        <w:rPr>
          <w:rFonts w:ascii="Times New Roman" w:hAnsi="Times New Roman"/>
          <w:sz w:val="24"/>
          <w:lang w:val="pt-BR"/>
        </w:rPr>
        <w:t xml:space="preserve">Motivos para emitir o Pronunciamento Técnico CPC 40 (R1) </w:t>
      </w:r>
    </w:p>
    <w:p w14:paraId="7CD3478C" w14:textId="77777777" w:rsidR="003C12AE" w:rsidRPr="003C12AE" w:rsidRDefault="003C12AE" w:rsidP="003C12AE">
      <w:pPr>
        <w:spacing w:before="0" w:after="0"/>
        <w:ind w:left="705" w:right="-1" w:hanging="705"/>
        <w:rPr>
          <w:rFonts w:ascii="Times New Roman" w:hAnsi="Times New Roman"/>
          <w:sz w:val="24"/>
          <w:lang w:val="pt-BR"/>
        </w:rPr>
      </w:pPr>
    </w:p>
    <w:p w14:paraId="506CC90F" w14:textId="77777777" w:rsidR="003C12AE" w:rsidRPr="003C12AE" w:rsidRDefault="003C12AE" w:rsidP="003C12AE">
      <w:pPr>
        <w:spacing w:before="0" w:after="0"/>
        <w:ind w:left="567" w:hanging="567"/>
        <w:rPr>
          <w:rFonts w:ascii="Times New Roman" w:hAnsi="Times New Roman"/>
          <w:sz w:val="24"/>
          <w:lang w:val="pt-BR"/>
        </w:rPr>
      </w:pPr>
      <w:r w:rsidRPr="003C12AE">
        <w:rPr>
          <w:rFonts w:ascii="Times New Roman" w:hAnsi="Times New Roman"/>
          <w:sz w:val="24"/>
          <w:lang w:val="pt-BR"/>
        </w:rPr>
        <w:t xml:space="preserve">IN1. </w:t>
      </w:r>
      <w:r w:rsidRPr="003C12AE">
        <w:rPr>
          <w:rFonts w:ascii="Times New Roman" w:hAnsi="Times New Roman"/>
          <w:sz w:val="24"/>
          <w:lang w:val="pt-BR"/>
        </w:rPr>
        <w:tab/>
        <w:t xml:space="preserve">Em anos recentes, as técnicas utilizadas por entidades para mensurar e gerenciar a exposição a riscos decorrentes de instrumentos financeiros evoluíram e novos conceitos e abordagens de gerenciamento de risco ganharam aceitação. Além disso, muitas iniciativas dos setores público e privado propuseram melhorias à estrutura conceitual de divulgação para riscos decorrentes de instrumentos financeiros. </w:t>
      </w:r>
    </w:p>
    <w:p w14:paraId="786A2062" w14:textId="77777777" w:rsidR="003C12AE" w:rsidRPr="003C12AE" w:rsidRDefault="003C12AE" w:rsidP="003C12AE">
      <w:pPr>
        <w:spacing w:before="0" w:after="0"/>
        <w:ind w:left="705" w:hanging="705"/>
        <w:rPr>
          <w:rFonts w:ascii="Times New Roman" w:hAnsi="Times New Roman"/>
          <w:sz w:val="24"/>
          <w:lang w:val="pt-BR"/>
        </w:rPr>
      </w:pPr>
    </w:p>
    <w:p w14:paraId="1A694AF0" w14:textId="77777777" w:rsidR="003C12AE" w:rsidRPr="003C12AE" w:rsidRDefault="003C12AE" w:rsidP="003C12AE">
      <w:pPr>
        <w:spacing w:before="0" w:after="0"/>
        <w:ind w:left="567" w:hanging="567"/>
        <w:rPr>
          <w:rFonts w:ascii="Times New Roman" w:hAnsi="Times New Roman"/>
          <w:sz w:val="24"/>
          <w:lang w:val="pt-BR"/>
        </w:rPr>
      </w:pPr>
      <w:r w:rsidRPr="003C12AE">
        <w:rPr>
          <w:rFonts w:ascii="Times New Roman" w:hAnsi="Times New Roman"/>
          <w:sz w:val="24"/>
          <w:lang w:val="pt-BR"/>
        </w:rPr>
        <w:t xml:space="preserve">IN2. </w:t>
      </w:r>
      <w:r w:rsidRPr="003C12AE">
        <w:rPr>
          <w:rFonts w:ascii="Times New Roman" w:hAnsi="Times New Roman"/>
          <w:sz w:val="24"/>
          <w:lang w:val="pt-BR"/>
        </w:rPr>
        <w:tab/>
        <w:t xml:space="preserve">O Comitê de Pronunciamentos Contábeis (CPC) acredita que os usuários de demonstrações contábeis precisam de informações sobre a exposição de uma entidade a riscos e como esses riscos são gerenciados. Essas informações podem influenciar a avaliação, por usuário, da posição financeira e do desempenho financeiro da entidade ou do valor, da época e da incerteza de seus fluxos de caixa </w:t>
      </w:r>
      <w:r w:rsidRPr="003C12AE">
        <w:rPr>
          <w:rFonts w:ascii="Times New Roman" w:hAnsi="Times New Roman"/>
          <w:sz w:val="24"/>
          <w:lang w:val="pt-BR"/>
        </w:rPr>
        <w:lastRenderedPageBreak/>
        <w:t xml:space="preserve">futuros. Uma maior transparência em relação a esses riscos permite que os usuários façam julgamentos mais balizados sobre o risco e o retorno. </w:t>
      </w:r>
    </w:p>
    <w:p w14:paraId="546C8C10" w14:textId="77777777" w:rsidR="003C12AE" w:rsidRPr="003C12AE" w:rsidRDefault="003C12AE" w:rsidP="003C12AE">
      <w:pPr>
        <w:widowControl w:val="0"/>
        <w:spacing w:before="0" w:after="0"/>
        <w:ind w:left="703" w:hanging="703"/>
        <w:rPr>
          <w:rFonts w:ascii="Times New Roman" w:hAnsi="Times New Roman"/>
          <w:color w:val="000000"/>
          <w:sz w:val="24"/>
          <w:lang w:val="pt-BR"/>
        </w:rPr>
      </w:pPr>
    </w:p>
    <w:p w14:paraId="63462876" w14:textId="77777777" w:rsidR="003C12AE" w:rsidRPr="003C12AE" w:rsidRDefault="003C12AE" w:rsidP="003C12AE">
      <w:pPr>
        <w:spacing w:before="0" w:after="0"/>
        <w:ind w:left="567" w:hanging="567"/>
        <w:rPr>
          <w:rFonts w:ascii="Times New Roman" w:hAnsi="Times New Roman"/>
          <w:color w:val="000000"/>
          <w:sz w:val="24"/>
          <w:lang w:val="pt-BR"/>
        </w:rPr>
      </w:pPr>
      <w:r w:rsidRPr="003C12AE">
        <w:rPr>
          <w:rFonts w:ascii="Times New Roman" w:hAnsi="Times New Roman"/>
          <w:color w:val="000000"/>
          <w:sz w:val="24"/>
          <w:lang w:val="pt-BR"/>
        </w:rPr>
        <w:t xml:space="preserve">IN3. </w:t>
      </w:r>
      <w:r w:rsidRPr="003C12AE">
        <w:rPr>
          <w:rFonts w:ascii="Times New Roman" w:hAnsi="Times New Roman"/>
          <w:color w:val="000000"/>
          <w:sz w:val="24"/>
          <w:lang w:val="pt-BR"/>
        </w:rPr>
        <w:tab/>
      </w:r>
      <w:r w:rsidRPr="003C12AE">
        <w:rPr>
          <w:rFonts w:ascii="Times New Roman" w:hAnsi="Times New Roman"/>
          <w:sz w:val="24"/>
          <w:lang w:val="pt-BR"/>
        </w:rPr>
        <w:t>Consequentemente</w:t>
      </w:r>
      <w:r w:rsidRPr="003C12AE">
        <w:rPr>
          <w:rFonts w:ascii="Times New Roman" w:hAnsi="Times New Roman"/>
          <w:color w:val="000000"/>
          <w:sz w:val="24"/>
          <w:lang w:val="pt-BR"/>
        </w:rPr>
        <w:t xml:space="preserve">, o CPC concluiu que havia necessidade de aprimorar as divulgações anteriormente requeridas. </w:t>
      </w:r>
      <w:bookmarkStart w:id="2" w:name="ifrs_ebook_4"/>
      <w:bookmarkEnd w:id="2"/>
    </w:p>
    <w:p w14:paraId="158B313A" w14:textId="77777777" w:rsidR="003C12AE" w:rsidRPr="003C12AE" w:rsidRDefault="003C12AE" w:rsidP="003C12AE">
      <w:pPr>
        <w:widowControl w:val="0"/>
        <w:spacing w:before="0" w:after="0"/>
        <w:ind w:left="703" w:hanging="703"/>
        <w:rPr>
          <w:rFonts w:ascii="Times New Roman" w:hAnsi="Times New Roman"/>
          <w:color w:val="000000"/>
          <w:sz w:val="24"/>
          <w:lang w:val="pt-BR"/>
        </w:rPr>
      </w:pPr>
    </w:p>
    <w:p w14:paraId="17EC494D" w14:textId="77777777" w:rsidR="003C12AE" w:rsidRPr="003C12AE" w:rsidRDefault="003C12AE" w:rsidP="003C12AE">
      <w:pPr>
        <w:widowControl w:val="0"/>
        <w:spacing w:before="0" w:after="0"/>
        <w:ind w:left="703" w:hanging="136"/>
        <w:rPr>
          <w:rFonts w:ascii="Times New Roman" w:hAnsi="Times New Roman"/>
          <w:color w:val="000000"/>
          <w:sz w:val="24"/>
          <w:lang w:val="pt-BR"/>
        </w:rPr>
      </w:pPr>
      <w:r w:rsidRPr="003C12AE">
        <w:rPr>
          <w:rFonts w:ascii="Times New Roman" w:hAnsi="Times New Roman"/>
          <w:color w:val="000000"/>
          <w:sz w:val="24"/>
          <w:lang w:val="pt-BR"/>
        </w:rPr>
        <w:t>Principais características do CPC 40 (R1)</w:t>
      </w:r>
    </w:p>
    <w:p w14:paraId="5EC4D089" w14:textId="77777777" w:rsidR="003C12AE" w:rsidRPr="003C12AE" w:rsidRDefault="003C12AE" w:rsidP="003C12AE">
      <w:pPr>
        <w:spacing w:before="0" w:after="0"/>
        <w:ind w:left="705" w:hanging="705"/>
        <w:rPr>
          <w:rFonts w:ascii="Times New Roman" w:hAnsi="Times New Roman"/>
          <w:sz w:val="24"/>
          <w:lang w:val="pt-BR"/>
        </w:rPr>
      </w:pPr>
    </w:p>
    <w:p w14:paraId="3F80EF23" w14:textId="77777777" w:rsidR="003C12AE" w:rsidRPr="003C12AE" w:rsidRDefault="003C12AE" w:rsidP="003C12AE">
      <w:pPr>
        <w:spacing w:before="0" w:after="0"/>
        <w:ind w:left="567" w:hanging="567"/>
        <w:rPr>
          <w:rFonts w:ascii="Times New Roman" w:hAnsi="Times New Roman"/>
          <w:color w:val="000000"/>
          <w:sz w:val="24"/>
          <w:lang w:val="pt-BR"/>
        </w:rPr>
      </w:pPr>
      <w:r w:rsidRPr="003C12AE">
        <w:rPr>
          <w:rFonts w:ascii="Times New Roman" w:hAnsi="Times New Roman"/>
          <w:color w:val="000000"/>
          <w:sz w:val="24"/>
          <w:lang w:val="pt-BR"/>
        </w:rPr>
        <w:t xml:space="preserve">IN4. </w:t>
      </w:r>
      <w:r w:rsidRPr="003C12AE">
        <w:rPr>
          <w:rFonts w:ascii="Times New Roman" w:hAnsi="Times New Roman"/>
          <w:color w:val="000000"/>
          <w:sz w:val="24"/>
          <w:lang w:val="pt-BR"/>
        </w:rPr>
        <w:tab/>
        <w:t>O CPC 40 se aplica a todos os riscos decorrentes de todos os instrumentos financeiros, exceto aqueles instrumentos listados no item 3 (alcance). O CPC 40 se aplica a todas as entidades, incluindo entidades que possuem poucos instrumentos financeiros (por exemplo, fabricante cujos únicos instrumentos financeiros são contas a receber e contas a pagar) e aquelas que possuem muitos instrumentos financeiros (por exemplo, instituição financeira cuja maioria desses ativos e passivos é constituída de instrumentos financeiros). Entretanto, a extensão da divulgação exigida depende da extensão do uso pela entidade de instrumentos financeiros e de sua exposição a riscos.</w:t>
      </w:r>
    </w:p>
    <w:p w14:paraId="5062E39C" w14:textId="77777777" w:rsidR="003C12AE" w:rsidRPr="003C12AE" w:rsidRDefault="003C12AE" w:rsidP="003C12AE">
      <w:pPr>
        <w:spacing w:before="0" w:after="0"/>
        <w:ind w:left="705" w:hanging="705"/>
        <w:rPr>
          <w:rFonts w:ascii="Times New Roman" w:hAnsi="Times New Roman"/>
          <w:sz w:val="24"/>
          <w:lang w:val="pt-BR"/>
        </w:rPr>
      </w:pPr>
    </w:p>
    <w:p w14:paraId="7CC2C5F7" w14:textId="77777777" w:rsidR="003C12AE" w:rsidRPr="003C12AE" w:rsidRDefault="003C12AE" w:rsidP="003C12AE">
      <w:pPr>
        <w:spacing w:before="0"/>
        <w:ind w:left="567" w:right="-1" w:hanging="567"/>
        <w:rPr>
          <w:rFonts w:ascii="Times New Roman" w:hAnsi="Times New Roman"/>
          <w:sz w:val="24"/>
          <w:lang w:val="pt-BR"/>
        </w:rPr>
      </w:pPr>
      <w:r w:rsidRPr="003C12AE">
        <w:rPr>
          <w:rFonts w:ascii="Times New Roman" w:hAnsi="Times New Roman"/>
          <w:sz w:val="24"/>
          <w:lang w:val="pt-BR"/>
        </w:rPr>
        <w:t xml:space="preserve"> IN5. </w:t>
      </w:r>
      <w:r w:rsidRPr="003C12AE">
        <w:rPr>
          <w:rFonts w:ascii="Times New Roman" w:hAnsi="Times New Roman"/>
          <w:sz w:val="24"/>
          <w:lang w:val="pt-BR"/>
        </w:rPr>
        <w:tab/>
        <w:t xml:space="preserve">O CPC 40 requer a divulgação sobre: </w:t>
      </w:r>
    </w:p>
    <w:p w14:paraId="57317CF4" w14:textId="77777777" w:rsidR="003C12AE" w:rsidRPr="003C12AE" w:rsidRDefault="003C12AE" w:rsidP="003C12AE">
      <w:pPr>
        <w:spacing w:before="0"/>
        <w:ind w:left="1134" w:right="-1" w:hanging="425"/>
        <w:rPr>
          <w:rFonts w:ascii="Times New Roman" w:hAnsi="Times New Roman"/>
          <w:sz w:val="24"/>
          <w:lang w:val="pt-BR"/>
        </w:rPr>
      </w:pPr>
      <w:r w:rsidRPr="003C12AE">
        <w:rPr>
          <w:rFonts w:ascii="Times New Roman" w:hAnsi="Times New Roman"/>
          <w:sz w:val="24"/>
          <w:lang w:val="pt-BR"/>
        </w:rPr>
        <w:t xml:space="preserve">(a) relevância de instrumentos financeiros para a posição patrimonial e desempenho financeiro da entidade. </w:t>
      </w:r>
    </w:p>
    <w:p w14:paraId="20938FF5" w14:textId="77777777" w:rsidR="003C12AE" w:rsidRPr="003C12AE" w:rsidRDefault="003C12AE" w:rsidP="003C12AE">
      <w:pPr>
        <w:spacing w:before="0" w:after="0"/>
        <w:ind w:left="1134" w:right="-1" w:hanging="425"/>
        <w:rPr>
          <w:rFonts w:ascii="Times New Roman" w:hAnsi="Times New Roman"/>
          <w:sz w:val="24"/>
          <w:lang w:val="pt-BR"/>
        </w:rPr>
      </w:pPr>
      <w:r w:rsidRPr="003C12AE">
        <w:rPr>
          <w:rFonts w:ascii="Times New Roman" w:hAnsi="Times New Roman"/>
          <w:sz w:val="24"/>
          <w:lang w:val="pt-BR"/>
        </w:rPr>
        <w:t>(b) informações qualitativas e quantitativas sobre exposição a riscos decorrentes de instrumentos financeiros, incluindo divulgações mínimas específicas sobre risco de crédito, risco de liquidez e risco de mercado. As divulgações qualitativas descrevem os objetivos, políticas e processos da administração para gerenciar esses riscos. As divulgações quantitativas fornecem informações sobre a extensão em que a entidade está exposta a riscos, com base nas informações fornecidas internamente ao pessoal-chave da administração da entidade. Em conjunto, essas divulgações fornecem uma visão geral do uso, pela entidade, de instrumentos financeiros e das exposições a riscos que eles criam.</w:t>
      </w:r>
    </w:p>
    <w:p w14:paraId="58067262" w14:textId="77777777" w:rsidR="003C12AE" w:rsidRPr="003C12AE" w:rsidRDefault="003C12AE" w:rsidP="003C12AE">
      <w:pPr>
        <w:spacing w:before="0" w:after="0"/>
        <w:ind w:left="1134" w:right="-1" w:hanging="425"/>
        <w:rPr>
          <w:rFonts w:ascii="Times New Roman" w:hAnsi="Times New Roman"/>
          <w:sz w:val="24"/>
          <w:lang w:val="pt-BR"/>
        </w:rPr>
      </w:pPr>
      <w:r w:rsidRPr="003C12AE">
        <w:rPr>
          <w:rFonts w:ascii="Times New Roman" w:hAnsi="Times New Roman"/>
          <w:sz w:val="24"/>
          <w:lang w:val="pt-BR"/>
        </w:rPr>
        <w:t xml:space="preserve"> </w:t>
      </w:r>
    </w:p>
    <w:p w14:paraId="0A5F0547" w14:textId="77777777"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IN5B.</w:t>
      </w:r>
      <w:r w:rsidRPr="003C12AE">
        <w:rPr>
          <w:rFonts w:ascii="Times New Roman" w:hAnsi="Times New Roman"/>
          <w:sz w:val="24"/>
          <w:lang w:val="pt-BR"/>
        </w:rPr>
        <w:tab/>
        <w:t xml:space="preserve">Divulgação – Transferência de Ativos Financeiros, itens 42A a 42H e B29 a B39 (Alterações ao Pronunciamento Técnico CPC 40), aprovadas em 2012, alterou as divulgações requeridas para ajudar os usuários de demonstrações contábeis a avaliarem as exposições a riscos relativas a transferências de ativos financeiros e o efeito desses riscos sobre a posição financeira da entidade. </w:t>
      </w:r>
    </w:p>
    <w:p w14:paraId="7A5A28F1"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6FE18F92"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Objetivo</w:t>
      </w:r>
    </w:p>
    <w:p w14:paraId="3B4DD524" w14:textId="77777777" w:rsidR="003C12AE" w:rsidRPr="003C12AE" w:rsidRDefault="003C12AE" w:rsidP="003C12AE">
      <w:pPr>
        <w:widowControl w:val="0"/>
        <w:tabs>
          <w:tab w:val="left" w:pos="6804"/>
        </w:tabs>
        <w:spacing w:before="0" w:after="0"/>
        <w:ind w:left="567" w:right="-1"/>
        <w:rPr>
          <w:rFonts w:ascii="Times New Roman" w:hAnsi="Times New Roman"/>
          <w:sz w:val="24"/>
          <w:lang w:val="pt-BR" w:eastAsia="x-none"/>
        </w:rPr>
      </w:pPr>
    </w:p>
    <w:p w14:paraId="33F69EB8"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1.</w:t>
      </w:r>
      <w:r w:rsidRPr="003C12AE">
        <w:rPr>
          <w:rFonts w:ascii="Times New Roman" w:hAnsi="Times New Roman"/>
          <w:sz w:val="24"/>
          <w:lang w:val="pt-BR" w:eastAsia="x-none"/>
        </w:rPr>
        <w:tab/>
        <w:t xml:space="preserve">O objetivo deste Pronunciamento é exigir que a entidade divulgue nas suas demonstrações contábeis aquilo que permita que os usuários avaliem:  </w:t>
      </w:r>
    </w:p>
    <w:p w14:paraId="1733CE1D" w14:textId="77777777" w:rsidR="003C12AE" w:rsidRPr="003C12AE" w:rsidRDefault="003C12AE" w:rsidP="003C12AE">
      <w:pPr>
        <w:widowControl w:val="0"/>
        <w:numPr>
          <w:ilvl w:val="0"/>
          <w:numId w:val="2"/>
        </w:numPr>
        <w:tabs>
          <w:tab w:val="clear" w:pos="1070"/>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 xml:space="preserve">a significância do instrumento financeiro para a posição patrimonial e financeira e para o desempenho da entidade; e </w:t>
      </w:r>
    </w:p>
    <w:p w14:paraId="3976FD23" w14:textId="77777777" w:rsidR="003C12AE" w:rsidRPr="003C12AE" w:rsidRDefault="003C12AE" w:rsidP="003C12AE">
      <w:pPr>
        <w:widowControl w:val="0"/>
        <w:numPr>
          <w:ilvl w:val="0"/>
          <w:numId w:val="2"/>
        </w:numPr>
        <w:tabs>
          <w:tab w:val="clear" w:pos="1070"/>
        </w:tabs>
        <w:spacing w:before="0" w:after="0"/>
        <w:ind w:left="993" w:right="-1" w:hanging="426"/>
        <w:rPr>
          <w:rFonts w:ascii="Times New Roman" w:hAnsi="Times New Roman"/>
          <w:bCs/>
          <w:iCs/>
          <w:sz w:val="24"/>
          <w:lang w:val="pt-BR"/>
        </w:rPr>
      </w:pPr>
      <w:r w:rsidRPr="003C12AE">
        <w:rPr>
          <w:rFonts w:ascii="Times New Roman" w:hAnsi="Times New Roman"/>
          <w:bCs/>
          <w:iCs/>
          <w:sz w:val="24"/>
          <w:lang w:val="pt-BR"/>
        </w:rPr>
        <w:t>a natureza e a extensão dos riscos resultantes de instrumentos financeiros a que a entidade está exposta durante o período e ao fim do período contábil, e como a entidade administra esses riscos.</w:t>
      </w:r>
    </w:p>
    <w:p w14:paraId="24D9EFF3" w14:textId="77777777" w:rsidR="003C12AE" w:rsidRPr="003C12AE" w:rsidRDefault="003C12AE" w:rsidP="003C12AE">
      <w:pPr>
        <w:widowControl w:val="0"/>
        <w:spacing w:before="0" w:after="0"/>
        <w:ind w:right="-1"/>
        <w:jc w:val="left"/>
        <w:rPr>
          <w:rFonts w:ascii="Times New Roman" w:hAnsi="Times New Roman"/>
          <w:bCs/>
          <w:iCs/>
          <w:sz w:val="24"/>
          <w:lang w:val="pt-BR"/>
        </w:rPr>
      </w:pPr>
    </w:p>
    <w:p w14:paraId="48A293B9" w14:textId="3FC44192" w:rsidR="003C12AE" w:rsidRPr="003C12AE" w:rsidRDefault="003C12AE" w:rsidP="003C12AE">
      <w:pPr>
        <w:widowControl w:val="0"/>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lastRenderedPageBreak/>
        <w:t>2.</w:t>
      </w:r>
      <w:r w:rsidRPr="003C12AE">
        <w:rPr>
          <w:rFonts w:ascii="Times New Roman" w:hAnsi="Times New Roman"/>
          <w:sz w:val="24"/>
          <w:lang w:val="pt-BR" w:eastAsia="x-none"/>
        </w:rPr>
        <w:tab/>
        <w:t>Os princípios neste pronunciamento complementam os princípios para reconhecimento, mensuração e apresentação de ativos financeiros e passivos financeiros do CPC 48 – Instrumentos Financeiros e do CPC 39 – Instrumentos Financeiros: Apresentação.</w:t>
      </w:r>
    </w:p>
    <w:p w14:paraId="200A01FE" w14:textId="77777777" w:rsidR="003C12AE" w:rsidRPr="003C12AE" w:rsidRDefault="003C12AE" w:rsidP="003C12AE">
      <w:pPr>
        <w:widowControl w:val="0"/>
        <w:tabs>
          <w:tab w:val="left" w:pos="6804"/>
        </w:tabs>
        <w:spacing w:before="0" w:after="0"/>
        <w:ind w:left="57" w:right="-1"/>
        <w:rPr>
          <w:rFonts w:ascii="Times New Roman" w:hAnsi="Times New Roman"/>
          <w:sz w:val="24"/>
          <w:lang w:val="pt-BR" w:eastAsia="x-none"/>
        </w:rPr>
      </w:pPr>
    </w:p>
    <w:p w14:paraId="3AFB2253"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Alcance</w:t>
      </w:r>
    </w:p>
    <w:p w14:paraId="4F6094B5"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4735B354"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3.</w:t>
      </w:r>
      <w:r w:rsidRPr="003C12AE">
        <w:rPr>
          <w:rFonts w:ascii="Times New Roman" w:hAnsi="Times New Roman"/>
          <w:sz w:val="24"/>
          <w:lang w:val="pt-BR" w:eastAsia="x-none"/>
        </w:rPr>
        <w:tab/>
        <w:t xml:space="preserve">Este pronunciamento deve ser aplicado por todas as entidades a todos os instrumentos financeiros, exceto: </w:t>
      </w:r>
    </w:p>
    <w:p w14:paraId="722D739B" w14:textId="4BD7644E" w:rsidR="003C12AE" w:rsidRPr="003C12AE" w:rsidRDefault="002F11A7" w:rsidP="00F307D5">
      <w:pPr>
        <w:widowControl w:val="0"/>
        <w:numPr>
          <w:ilvl w:val="0"/>
          <w:numId w:val="4"/>
        </w:numPr>
        <w:tabs>
          <w:tab w:val="clear" w:pos="1070"/>
        </w:tabs>
        <w:spacing w:before="0"/>
        <w:ind w:left="993" w:right="-1" w:hanging="284"/>
        <w:rPr>
          <w:rFonts w:ascii="Times New Roman" w:hAnsi="Times New Roman"/>
          <w:bCs/>
          <w:iCs/>
          <w:strike/>
          <w:sz w:val="24"/>
          <w:lang w:val="pt-BR"/>
        </w:rPr>
      </w:pPr>
      <w:r w:rsidRPr="003C12AE">
        <w:rPr>
          <w:rFonts w:ascii="Times New Roman" w:hAnsi="Times New Roman"/>
          <w:bCs/>
          <w:sz w:val="24"/>
          <w:lang w:val="pt-BR"/>
        </w:rPr>
        <w:t>participações em controladas, coligadas e empreendimentos controlados em conjunto que devem ser contabilizadas de acordo com o CPC 35 – Demonstrações Separadas, o CPC 36 – Demonstrações Consolidadas, o CPC 18 – Investimento em Coligada, em Controlada e em Empreendimento Controlado em Conjunto. No entanto, em alguns casos, esses pronunciamentos exigem ou permitem que a entidade contabilize as participações em controlada, coligada ou empreendimento controlado em conjunto segundo o CPC 48; nesses casos, a entidade deve aplicar os requisitos de divulgação deste pronunciamento e, para aquelas mensuradas ao valor justo, os requisitos do CPC 46 – Mensuração do Valor Justo. As entidades também devem aplicar este pronunciamento a todos os derivativos ligados a participações em controladas, coligadas ou empreendimentos controlados em conjunto, a menos que o derivativo satisfaça a definição de instrumento patrimonial do CPC 39;</w:t>
      </w:r>
      <w:r w:rsidR="003C12AE" w:rsidRPr="003C12AE">
        <w:rPr>
          <w:rFonts w:ascii="Times New Roman" w:hAnsi="Times New Roman"/>
          <w:bCs/>
          <w:iCs/>
          <w:strike/>
          <w:sz w:val="24"/>
          <w:lang w:val="pt-BR"/>
        </w:rPr>
        <w:t xml:space="preserve"> </w:t>
      </w:r>
    </w:p>
    <w:p w14:paraId="1568FE3E" w14:textId="77777777" w:rsidR="003C12AE" w:rsidRPr="003C12AE" w:rsidRDefault="003C12AE" w:rsidP="00F307D5">
      <w:pPr>
        <w:widowControl w:val="0"/>
        <w:numPr>
          <w:ilvl w:val="0"/>
          <w:numId w:val="4"/>
        </w:numPr>
        <w:tabs>
          <w:tab w:val="clear" w:pos="1070"/>
        </w:tabs>
        <w:spacing w:before="0"/>
        <w:ind w:left="993" w:right="-1" w:hanging="284"/>
        <w:rPr>
          <w:rFonts w:ascii="Times New Roman" w:hAnsi="Times New Roman"/>
          <w:bCs/>
          <w:iCs/>
          <w:sz w:val="24"/>
          <w:lang w:val="pt-BR"/>
        </w:rPr>
      </w:pPr>
      <w:r w:rsidRPr="003C12AE">
        <w:rPr>
          <w:rFonts w:ascii="Times New Roman" w:hAnsi="Times New Roman"/>
          <w:bCs/>
          <w:iCs/>
          <w:sz w:val="24"/>
          <w:lang w:val="pt-BR"/>
        </w:rPr>
        <w:t xml:space="preserve">direitos e obrigações dos empregadores decorrentes de planos de benefícios de empregados, aos quais se aplica o Pronunciamento Técnico CPC 33 –Benefícios a Empregados; </w:t>
      </w:r>
    </w:p>
    <w:p w14:paraId="77EE4C8A" w14:textId="77777777" w:rsidR="003C12AE" w:rsidRPr="003C12AE" w:rsidRDefault="003C12AE" w:rsidP="00F307D5">
      <w:pPr>
        <w:widowControl w:val="0"/>
        <w:numPr>
          <w:ilvl w:val="0"/>
          <w:numId w:val="4"/>
        </w:numPr>
        <w:tabs>
          <w:tab w:val="clear" w:pos="1070"/>
        </w:tabs>
        <w:spacing w:before="0"/>
        <w:ind w:left="993" w:right="-1" w:hanging="284"/>
        <w:rPr>
          <w:rFonts w:ascii="Times New Roman" w:hAnsi="Times New Roman"/>
          <w:bCs/>
          <w:iCs/>
          <w:sz w:val="24"/>
          <w:lang w:val="pt-BR"/>
        </w:rPr>
      </w:pPr>
      <w:r w:rsidRPr="003C12AE">
        <w:rPr>
          <w:rFonts w:ascii="Times New Roman" w:hAnsi="Times New Roman"/>
          <w:bCs/>
          <w:iCs/>
          <w:sz w:val="24"/>
          <w:lang w:val="pt-BR"/>
        </w:rPr>
        <w:t>(eliminada);</w:t>
      </w:r>
    </w:p>
    <w:p w14:paraId="0BFB36EF" w14:textId="143B419A" w:rsidR="003C12AE" w:rsidRPr="003C12AE" w:rsidRDefault="002F11A7" w:rsidP="00F307D5">
      <w:pPr>
        <w:widowControl w:val="0"/>
        <w:numPr>
          <w:ilvl w:val="0"/>
          <w:numId w:val="4"/>
        </w:numPr>
        <w:tabs>
          <w:tab w:val="clear" w:pos="1070"/>
        </w:tabs>
        <w:spacing w:before="0"/>
        <w:ind w:left="993" w:right="-1" w:hanging="284"/>
        <w:rPr>
          <w:rFonts w:ascii="Times New Roman" w:hAnsi="Times New Roman"/>
          <w:bCs/>
          <w:iCs/>
          <w:strike/>
          <w:sz w:val="24"/>
          <w:lang w:val="pt-BR"/>
        </w:rPr>
      </w:pPr>
      <w:r w:rsidRPr="003C12AE">
        <w:rPr>
          <w:rFonts w:ascii="Times New Roman" w:hAnsi="Times New Roman"/>
          <w:bCs/>
          <w:sz w:val="24"/>
          <w:lang w:val="pt-BR"/>
        </w:rPr>
        <w:t>contratos de seguro, tais como definidos no CPC 11 – Contratos de Seguro. Contudo, este pronunciamento se aplica aos derivativos que estão embutidos em contratos de seguro, se o CPC 48 exigir que a entidade contabilize-os separadamente. Além disso, o emitente deve aplicar este pronunciamento aos contratos de garantia financeira, se o emitente aplicar o CPC 48 em reconhecimento e mensuração dos contratos, mas deve, se o emitente optar, de acordo com o item 4(d) do CPC 11, aplicar o CPC 11 no seu reconhecimento e na sua mensuração;</w:t>
      </w:r>
    </w:p>
    <w:p w14:paraId="56F046B7" w14:textId="458E5A67" w:rsidR="003C12AE" w:rsidRPr="003C12AE" w:rsidRDefault="002F11A7" w:rsidP="00F307D5">
      <w:pPr>
        <w:widowControl w:val="0"/>
        <w:numPr>
          <w:ilvl w:val="0"/>
          <w:numId w:val="4"/>
        </w:numPr>
        <w:tabs>
          <w:tab w:val="clear" w:pos="1070"/>
        </w:tabs>
        <w:spacing w:before="0"/>
        <w:ind w:left="993" w:right="-1" w:hanging="284"/>
        <w:rPr>
          <w:rFonts w:ascii="Times New Roman" w:hAnsi="Times New Roman"/>
          <w:bCs/>
          <w:iCs/>
          <w:strike/>
          <w:sz w:val="24"/>
          <w:lang w:val="pt-BR"/>
        </w:rPr>
      </w:pPr>
      <w:r w:rsidRPr="003C12AE">
        <w:rPr>
          <w:rFonts w:ascii="Times New Roman" w:hAnsi="Times New Roman"/>
          <w:bCs/>
          <w:iCs/>
          <w:sz w:val="24"/>
          <w:lang w:val="pt-BR"/>
        </w:rPr>
        <w:t>instrumentos financeiros, contratos e obrigações decorrentes de operações de pagamento com base em ações aos quais o CPC 10 – Pagamento Baseado em Ações se aplica, exceto que este pronunciamento deve ser aplicado aos contratos dentro do âmbito do CPC 48;</w:t>
      </w:r>
    </w:p>
    <w:p w14:paraId="546AB457" w14:textId="77777777" w:rsidR="003C12AE" w:rsidRPr="003C12AE" w:rsidRDefault="003C12AE" w:rsidP="00F307D5">
      <w:pPr>
        <w:widowControl w:val="0"/>
        <w:numPr>
          <w:ilvl w:val="0"/>
          <w:numId w:val="4"/>
        </w:numPr>
        <w:tabs>
          <w:tab w:val="clear" w:pos="1070"/>
        </w:tabs>
        <w:spacing w:before="0" w:after="0"/>
        <w:ind w:left="993" w:right="-1" w:hanging="284"/>
        <w:rPr>
          <w:rFonts w:ascii="Times New Roman" w:hAnsi="Times New Roman"/>
          <w:bCs/>
          <w:iCs/>
          <w:sz w:val="24"/>
          <w:lang w:val="pt-BR"/>
        </w:rPr>
      </w:pPr>
      <w:r w:rsidRPr="003C12AE">
        <w:rPr>
          <w:rFonts w:ascii="Times New Roman" w:hAnsi="Times New Roman"/>
          <w:bCs/>
          <w:iCs/>
          <w:sz w:val="24"/>
          <w:lang w:val="pt-BR"/>
        </w:rPr>
        <w:t xml:space="preserve">instrumentos que são necessariamente classificados como instrumentos patrimoniais de acordo com os itens 16A e 16B ou itens 16C e 16D do CPC 39 – Instrumentos Financeiros: Apresentação. </w:t>
      </w:r>
    </w:p>
    <w:p w14:paraId="1C953DDB"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19B696E0" w14:textId="14EB9669"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4.</w:t>
      </w:r>
      <w:r w:rsidRPr="003C12AE">
        <w:rPr>
          <w:rFonts w:ascii="Times New Roman" w:hAnsi="Times New Roman"/>
          <w:sz w:val="24"/>
          <w:lang w:val="pt-BR" w:eastAsia="x-none"/>
        </w:rPr>
        <w:tab/>
        <w:t>Este pronunciamento deve ser aplicado a instrumentos financeiros reconhecidos e não reconhecidos. Instrumentos financeiros reconhecidos incluem ativos financeiros e passivos financeiros que estão dentro do âmbito do CPC 48. Instrumentos financeiros não reconhecidos incluem alguns instrumentos financeiros que, embora estejam fora do âmbito do CPC 48, estão dentro do âmbito deste pronunciamento.</w:t>
      </w:r>
    </w:p>
    <w:p w14:paraId="0CC6D18A"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3664C19A" w14:textId="2CF5FDF5"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lastRenderedPageBreak/>
        <w:t>5.</w:t>
      </w:r>
      <w:r w:rsidRPr="003C12AE">
        <w:rPr>
          <w:rFonts w:ascii="Times New Roman" w:hAnsi="Times New Roman"/>
          <w:sz w:val="24"/>
          <w:lang w:val="pt-BR" w:eastAsia="x-none"/>
        </w:rPr>
        <w:tab/>
        <w:t>Este pronunciamento deve ser aplicado a contratos de compra ou venda de item não financeiro que esteja dentro do âmbito do CPC 48.</w:t>
      </w:r>
    </w:p>
    <w:p w14:paraId="5263FCFF"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60EDAA7C" w14:textId="741C623D"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5A.  Os requisitos de divulgação de risco de crédito, descritos nos itens 35A a 35N, aplicam-se aos direitos que o CPC 47 – Receita de Contrato com Cliente especifica que devem ser contabilizados de acordo com o CPC 48 para as finalidades de reconhecer ganhos ou perdas na redução ao valor recuperável. Qualquer referência a ativos financeiros ou a instrumentos financeiros nesses itens devem incluir esses direitos, salvo se especificado de outro modo.</w:t>
      </w:r>
    </w:p>
    <w:p w14:paraId="18B24DD0"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0B5FD438"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Classes de instrumentos financeiros e níveis de divulgação</w:t>
      </w:r>
    </w:p>
    <w:p w14:paraId="765D2FE6"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7003764D"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6.</w:t>
      </w:r>
      <w:r w:rsidRPr="003C12AE">
        <w:rPr>
          <w:rFonts w:ascii="Times New Roman" w:hAnsi="Times New Roman"/>
          <w:sz w:val="24"/>
          <w:lang w:val="pt-BR" w:eastAsia="x-none"/>
        </w:rPr>
        <w:tab/>
        <w:t xml:space="preserve">Quando este Pronunciamento exigir divulgação por classe de instrumento financeiro, a entidade deve agrupar instrumentos financeiros em classes apropriadas de acordo com a natureza da informação divulgada e levando em conta as características desses instrumentos financeiros. A entidade deve fornecer informação suficiente para permitir conciliação com os itens apresentados no balanço patrimonial. </w:t>
      </w:r>
    </w:p>
    <w:p w14:paraId="4FDE499B"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1DBA8CDD"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Significância de instrumentos financeiros para a posição patrimonial e financeira e para a análise do desempenho</w:t>
      </w:r>
    </w:p>
    <w:p w14:paraId="18BAADB0"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4CA603A4"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7.</w:t>
      </w:r>
      <w:r w:rsidRPr="003C12AE">
        <w:rPr>
          <w:rFonts w:ascii="Times New Roman" w:hAnsi="Times New Roman"/>
          <w:sz w:val="24"/>
          <w:lang w:val="pt-BR" w:eastAsia="x-none"/>
        </w:rPr>
        <w:tab/>
        <w:t xml:space="preserve">A entidade deve divulgar informações que permitam que os usuários de demonstrações contábeis avaliem a significância dos instrumentos financeiros para sua posição patrimonial e financeira e para a análise de desempenho. </w:t>
      </w:r>
    </w:p>
    <w:p w14:paraId="17E68817"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01FFA836"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Balanço patrimonial</w:t>
      </w:r>
    </w:p>
    <w:p w14:paraId="47E4C887" w14:textId="77777777" w:rsidR="003C12AE" w:rsidRPr="003C12AE" w:rsidRDefault="003C12AE" w:rsidP="003C12AE">
      <w:pPr>
        <w:widowControl w:val="0"/>
        <w:tabs>
          <w:tab w:val="left" w:pos="6804"/>
        </w:tabs>
        <w:spacing w:before="0" w:after="0"/>
        <w:ind w:left="57" w:right="-1"/>
        <w:rPr>
          <w:rFonts w:ascii="Times New Roman" w:hAnsi="Times New Roman"/>
          <w:sz w:val="24"/>
          <w:lang w:val="pt-BR" w:eastAsia="x-none"/>
        </w:rPr>
      </w:pPr>
    </w:p>
    <w:p w14:paraId="2EEDC3A1" w14:textId="77777777" w:rsidR="003C12AE" w:rsidRPr="003C12AE" w:rsidRDefault="003C12AE" w:rsidP="003C12AE">
      <w:pPr>
        <w:widowControl w:val="0"/>
        <w:tabs>
          <w:tab w:val="left" w:pos="6804"/>
        </w:tabs>
        <w:spacing w:before="0" w:after="0"/>
        <w:ind w:left="567" w:right="-1" w:hanging="567"/>
        <w:rPr>
          <w:rFonts w:ascii="Times New Roman" w:hAnsi="Times New Roman"/>
          <w:b/>
          <w:sz w:val="24"/>
          <w:lang w:val="pt-BR" w:eastAsia="x-none"/>
        </w:rPr>
      </w:pPr>
      <w:r w:rsidRPr="003C12AE">
        <w:rPr>
          <w:rFonts w:ascii="Times New Roman" w:hAnsi="Times New Roman"/>
          <w:sz w:val="24"/>
          <w:lang w:val="pt-BR" w:eastAsia="x-none"/>
        </w:rPr>
        <w:tab/>
      </w:r>
      <w:r w:rsidRPr="003C12AE">
        <w:rPr>
          <w:rFonts w:ascii="Times New Roman" w:hAnsi="Times New Roman"/>
          <w:b/>
          <w:sz w:val="24"/>
          <w:lang w:val="pt-BR" w:eastAsia="x-none"/>
        </w:rPr>
        <w:t>Categorias de ativos financeiros e passivos financeiros</w:t>
      </w:r>
    </w:p>
    <w:p w14:paraId="7276C722"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29EDAAD9" w14:textId="6B6DD7FA"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8.</w:t>
      </w:r>
      <w:r w:rsidRPr="003C12AE">
        <w:rPr>
          <w:rFonts w:ascii="Times New Roman" w:hAnsi="Times New Roman"/>
          <w:sz w:val="24"/>
          <w:lang w:val="pt-BR" w:eastAsia="x-none"/>
        </w:rPr>
        <w:tab/>
        <w:t>O valor contábil de cada categoria a seguir, como especificado no CPC 48, deve ser divulgado no balanço patrimonial ou nas notas explicativas:</w:t>
      </w:r>
    </w:p>
    <w:p w14:paraId="1DC01669" w14:textId="41FDA8DA" w:rsidR="003C12AE" w:rsidRPr="003C12AE" w:rsidRDefault="00B50D6E" w:rsidP="00F307D5">
      <w:pPr>
        <w:widowControl w:val="0"/>
        <w:numPr>
          <w:ilvl w:val="0"/>
          <w:numId w:val="5"/>
        </w:numPr>
        <w:tabs>
          <w:tab w:val="clear" w:pos="1070"/>
        </w:tabs>
        <w:spacing w:before="0"/>
        <w:ind w:left="993" w:right="-1" w:hanging="283"/>
        <w:rPr>
          <w:rFonts w:ascii="Times New Roman" w:hAnsi="Times New Roman"/>
          <w:bCs/>
          <w:iCs/>
          <w:strike/>
          <w:sz w:val="24"/>
          <w:lang w:val="pt-BR"/>
        </w:rPr>
      </w:pPr>
      <w:r w:rsidRPr="003C12AE">
        <w:rPr>
          <w:rFonts w:ascii="Times New Roman" w:hAnsi="Times New Roman"/>
          <w:bCs/>
          <w:iCs/>
          <w:sz w:val="24"/>
          <w:lang w:val="pt-BR"/>
        </w:rPr>
        <w:t>ativos financeiros pelo valor justo por meio do resultado, mostrando separadamente (i) aqueles designados dessa forma no reconhecimento inicial ou subsequentemente de acordo com o item 6.7.1 do CPC 48 e (ii) aqueles obrigatoriamente mensurados ao valor justo por meio do resultado, de acordo com o CPC 48;</w:t>
      </w:r>
    </w:p>
    <w:p w14:paraId="427284E6" w14:textId="44E8ABE6" w:rsidR="003C12AE" w:rsidRPr="003C12AE" w:rsidRDefault="00B50D6E" w:rsidP="00F307D5">
      <w:pPr>
        <w:widowControl w:val="0"/>
        <w:numPr>
          <w:ilvl w:val="0"/>
          <w:numId w:val="5"/>
        </w:numPr>
        <w:tabs>
          <w:tab w:val="clear" w:pos="1070"/>
        </w:tabs>
        <w:spacing w:before="0"/>
        <w:ind w:left="993" w:right="-1" w:hanging="283"/>
        <w:rPr>
          <w:rFonts w:ascii="Times New Roman" w:hAnsi="Times New Roman"/>
          <w:bCs/>
          <w:iCs/>
          <w:sz w:val="24"/>
          <w:lang w:val="pt-BR"/>
        </w:rPr>
      </w:pPr>
      <w:r w:rsidRPr="00B50D6E">
        <w:rPr>
          <w:rFonts w:ascii="Times New Roman" w:hAnsi="Times New Roman"/>
          <w:bCs/>
          <w:iCs/>
          <w:sz w:val="24"/>
          <w:lang w:val="pt-BR"/>
        </w:rPr>
        <w:t>(eliminada);</w:t>
      </w:r>
    </w:p>
    <w:p w14:paraId="3E61532E" w14:textId="508C2ABD" w:rsidR="003C12AE" w:rsidRPr="003C12AE" w:rsidRDefault="00B50D6E" w:rsidP="00F307D5">
      <w:pPr>
        <w:widowControl w:val="0"/>
        <w:numPr>
          <w:ilvl w:val="0"/>
          <w:numId w:val="5"/>
        </w:numPr>
        <w:tabs>
          <w:tab w:val="clear" w:pos="1070"/>
        </w:tabs>
        <w:spacing w:before="0"/>
        <w:ind w:left="993" w:right="-1" w:hanging="283"/>
        <w:rPr>
          <w:rFonts w:ascii="Times New Roman" w:hAnsi="Times New Roman"/>
          <w:bCs/>
          <w:iCs/>
          <w:sz w:val="24"/>
          <w:lang w:val="pt-BR"/>
        </w:rPr>
      </w:pPr>
      <w:r w:rsidRPr="00B50D6E">
        <w:rPr>
          <w:rFonts w:ascii="Times New Roman" w:hAnsi="Times New Roman"/>
          <w:bCs/>
          <w:iCs/>
          <w:sz w:val="24"/>
          <w:lang w:val="pt-BR"/>
        </w:rPr>
        <w:t>(eliminada);</w:t>
      </w:r>
    </w:p>
    <w:p w14:paraId="36C0ED91" w14:textId="03C36451" w:rsidR="003C12AE" w:rsidRPr="003C12AE" w:rsidRDefault="00B50D6E" w:rsidP="00F307D5">
      <w:pPr>
        <w:widowControl w:val="0"/>
        <w:numPr>
          <w:ilvl w:val="0"/>
          <w:numId w:val="5"/>
        </w:numPr>
        <w:tabs>
          <w:tab w:val="clear" w:pos="1070"/>
        </w:tabs>
        <w:spacing w:before="0"/>
        <w:ind w:left="993" w:right="-1" w:hanging="283"/>
        <w:rPr>
          <w:rFonts w:ascii="Times New Roman" w:hAnsi="Times New Roman"/>
          <w:bCs/>
          <w:iCs/>
          <w:sz w:val="24"/>
          <w:lang w:val="pt-BR"/>
        </w:rPr>
      </w:pPr>
      <w:r w:rsidRPr="00B50D6E">
        <w:rPr>
          <w:rFonts w:ascii="Times New Roman" w:hAnsi="Times New Roman"/>
          <w:bCs/>
          <w:iCs/>
          <w:sz w:val="24"/>
          <w:lang w:val="pt-BR"/>
        </w:rPr>
        <w:t>(eliminada);</w:t>
      </w:r>
    </w:p>
    <w:p w14:paraId="2266B60F" w14:textId="32A2F197" w:rsidR="003C12AE" w:rsidRPr="003C12AE" w:rsidRDefault="00B50D6E" w:rsidP="00F307D5">
      <w:pPr>
        <w:widowControl w:val="0"/>
        <w:numPr>
          <w:ilvl w:val="0"/>
          <w:numId w:val="5"/>
        </w:numPr>
        <w:tabs>
          <w:tab w:val="clear" w:pos="1070"/>
        </w:tabs>
        <w:spacing w:before="0"/>
        <w:ind w:left="993" w:right="-1" w:hanging="283"/>
        <w:rPr>
          <w:rFonts w:ascii="Times New Roman" w:hAnsi="Times New Roman"/>
          <w:bCs/>
          <w:iCs/>
          <w:strike/>
          <w:sz w:val="24"/>
          <w:lang w:val="pt-BR"/>
        </w:rPr>
      </w:pPr>
      <w:r w:rsidRPr="003C12AE">
        <w:rPr>
          <w:rFonts w:ascii="Times New Roman" w:hAnsi="Times New Roman"/>
          <w:bCs/>
          <w:iCs/>
          <w:sz w:val="24"/>
          <w:lang w:val="pt-BR"/>
        </w:rPr>
        <w:t>passivos financeiros pelo valor justo por meio do resultado, mostrando separadamente (i) aqueles designados dessa forma no reconhecimento inicial ou subsequentemente de acordo com o item 6.7.1 do CPC 48 e (ii) aqueles que atendem à definição de mantidos para negociação no CPC 48;</w:t>
      </w:r>
    </w:p>
    <w:p w14:paraId="4B64650D" w14:textId="58BF2452" w:rsidR="003C12AE" w:rsidRPr="003C12AE" w:rsidRDefault="00B50D6E" w:rsidP="00F307D5">
      <w:pPr>
        <w:widowControl w:val="0"/>
        <w:numPr>
          <w:ilvl w:val="0"/>
          <w:numId w:val="5"/>
        </w:numPr>
        <w:tabs>
          <w:tab w:val="clear" w:pos="1070"/>
        </w:tabs>
        <w:spacing w:before="0"/>
        <w:ind w:left="992" w:hanging="283"/>
        <w:rPr>
          <w:rFonts w:ascii="Times New Roman" w:hAnsi="Times New Roman"/>
          <w:bCs/>
          <w:iCs/>
          <w:strike/>
          <w:sz w:val="24"/>
          <w:lang w:val="pt-BR"/>
        </w:rPr>
      </w:pPr>
      <w:r w:rsidRPr="003C12AE">
        <w:rPr>
          <w:rFonts w:ascii="Times New Roman" w:hAnsi="Times New Roman"/>
          <w:bCs/>
          <w:iCs/>
          <w:sz w:val="24"/>
          <w:lang w:val="pt-BR"/>
        </w:rPr>
        <w:t>ativos financeiros mensurados pelo custo amortizado;</w:t>
      </w:r>
    </w:p>
    <w:p w14:paraId="4C17FB87" w14:textId="37E1445E" w:rsidR="003C12AE" w:rsidRPr="003C12AE" w:rsidRDefault="003C12AE" w:rsidP="003C12AE">
      <w:pPr>
        <w:widowControl w:val="0"/>
        <w:spacing w:before="0"/>
        <w:ind w:left="992" w:hanging="426"/>
        <w:rPr>
          <w:rFonts w:ascii="Times New Roman" w:hAnsi="Times New Roman"/>
          <w:bCs/>
          <w:iCs/>
          <w:sz w:val="24"/>
          <w:lang w:val="pt-BR"/>
        </w:rPr>
      </w:pPr>
      <w:r w:rsidRPr="003C12AE">
        <w:rPr>
          <w:rFonts w:ascii="Times New Roman" w:hAnsi="Times New Roman"/>
          <w:bCs/>
          <w:iCs/>
          <w:sz w:val="24"/>
          <w:lang w:val="pt-BR"/>
        </w:rPr>
        <w:lastRenderedPageBreak/>
        <w:t xml:space="preserve">(g) </w:t>
      </w:r>
      <w:r w:rsidRPr="003C12AE">
        <w:rPr>
          <w:rFonts w:ascii="Times New Roman" w:hAnsi="Times New Roman"/>
          <w:bCs/>
          <w:iCs/>
          <w:sz w:val="24"/>
          <w:lang w:val="pt-BR"/>
        </w:rPr>
        <w:tab/>
        <w:t>passivos financeiros mensurados pelo custo amortizado;</w:t>
      </w:r>
    </w:p>
    <w:p w14:paraId="4F19538B" w14:textId="5808972C" w:rsidR="003C12AE" w:rsidRPr="003C12AE" w:rsidRDefault="003C12AE" w:rsidP="003C12AE">
      <w:pPr>
        <w:widowControl w:val="0"/>
        <w:spacing w:before="0" w:after="0"/>
        <w:ind w:left="993" w:right="-1" w:hanging="426"/>
        <w:rPr>
          <w:rFonts w:ascii="Times New Roman" w:hAnsi="Times New Roman"/>
          <w:bCs/>
          <w:iCs/>
          <w:sz w:val="24"/>
          <w:lang w:val="pt-BR"/>
        </w:rPr>
      </w:pPr>
      <w:r w:rsidRPr="003C12AE">
        <w:rPr>
          <w:rFonts w:ascii="Times New Roman" w:hAnsi="Times New Roman"/>
          <w:bCs/>
          <w:iCs/>
          <w:sz w:val="24"/>
          <w:lang w:val="pt-BR"/>
        </w:rPr>
        <w:t xml:space="preserve">(h) </w:t>
      </w:r>
      <w:r w:rsidRPr="003C12AE">
        <w:rPr>
          <w:rFonts w:ascii="Times New Roman" w:hAnsi="Times New Roman"/>
          <w:bCs/>
          <w:iCs/>
          <w:sz w:val="24"/>
          <w:lang w:val="pt-BR"/>
        </w:rPr>
        <w:tab/>
        <w:t>ativos financeiros mensurados ao valor justo por meio de outros resultados abrangentes, apresentando separadamente (i) ativos financeiros mensurados ao valor justo por meio de outros resultados abrangentes, de acordo com o item 4.1.2A do CPC 48; e (ii) investimentos em instrumentos patrimoniais designados como tal no reconhecimento inicial, de acordo com o item 5.7.5 do CPC 48.</w:t>
      </w:r>
    </w:p>
    <w:p w14:paraId="19A6CBBF" w14:textId="77777777" w:rsidR="003C12AE" w:rsidRPr="003C12AE" w:rsidRDefault="003C12AE" w:rsidP="003C12AE">
      <w:pPr>
        <w:autoSpaceDE w:val="0"/>
        <w:autoSpaceDN w:val="0"/>
        <w:adjustRightInd w:val="0"/>
        <w:spacing w:before="0" w:after="0"/>
        <w:ind w:left="720" w:right="-1"/>
        <w:jc w:val="left"/>
        <w:rPr>
          <w:rFonts w:ascii="Times New Roman" w:hAnsi="Times New Roman"/>
          <w:sz w:val="24"/>
          <w:lang w:val="pt-BR"/>
        </w:rPr>
      </w:pPr>
    </w:p>
    <w:p w14:paraId="2EE32678" w14:textId="77777777" w:rsidR="003C12AE" w:rsidRPr="003C12AE" w:rsidRDefault="003C12AE" w:rsidP="003C12AE">
      <w:pPr>
        <w:widowControl w:val="0"/>
        <w:tabs>
          <w:tab w:val="left" w:pos="6804"/>
        </w:tabs>
        <w:spacing w:before="0" w:after="0"/>
        <w:ind w:left="567" w:right="-1" w:hanging="567"/>
        <w:rPr>
          <w:rFonts w:ascii="Times New Roman" w:hAnsi="Times New Roman"/>
          <w:b/>
          <w:sz w:val="24"/>
          <w:lang w:val="pt-BR" w:eastAsia="x-none"/>
        </w:rPr>
      </w:pPr>
      <w:r w:rsidRPr="003C12AE">
        <w:rPr>
          <w:rFonts w:ascii="Times New Roman" w:hAnsi="Times New Roman"/>
          <w:sz w:val="24"/>
          <w:lang w:val="pt-BR" w:eastAsia="x-none"/>
        </w:rPr>
        <w:tab/>
      </w:r>
      <w:r w:rsidRPr="003C12AE">
        <w:rPr>
          <w:rFonts w:ascii="Times New Roman" w:hAnsi="Times New Roman"/>
          <w:b/>
          <w:sz w:val="24"/>
          <w:lang w:val="pt-BR" w:eastAsia="x-none"/>
        </w:rPr>
        <w:t>Ativos financeiros ou passivos financeiros pelo valor justo por meio do resultado</w:t>
      </w:r>
    </w:p>
    <w:p w14:paraId="5B479964"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46B264AD" w14:textId="2309887F"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9.</w:t>
      </w:r>
      <w:r w:rsidRPr="003C12AE">
        <w:rPr>
          <w:rFonts w:ascii="Times New Roman" w:hAnsi="Times New Roman"/>
          <w:sz w:val="24"/>
          <w:lang w:val="pt-BR" w:eastAsia="x-none"/>
        </w:rPr>
        <w:tab/>
        <w:t>Se a entidade tiver designado o ativo financeiro (ou grupo de ativos financeiros) como mensurado ao valor justo por meio do resultado, que de outro modo seria mensurado ao valor justo por meio de outros resultados abrangentes ou ao custo amortizado, ela deve divulgar:</w:t>
      </w:r>
    </w:p>
    <w:p w14:paraId="44CD2999" w14:textId="66EDF311" w:rsidR="003C12AE" w:rsidRPr="003C12AE" w:rsidRDefault="004530A0" w:rsidP="00F307D5">
      <w:pPr>
        <w:widowControl w:val="0"/>
        <w:numPr>
          <w:ilvl w:val="0"/>
          <w:numId w:val="6"/>
        </w:numPr>
        <w:tabs>
          <w:tab w:val="clear" w:pos="1211"/>
        </w:tabs>
        <w:spacing w:before="0"/>
        <w:ind w:left="993" w:right="-1" w:hanging="284"/>
        <w:rPr>
          <w:rFonts w:ascii="Times New Roman" w:hAnsi="Times New Roman"/>
          <w:bCs/>
          <w:iCs/>
          <w:strike/>
          <w:sz w:val="24"/>
          <w:lang w:val="pt-BR"/>
        </w:rPr>
      </w:pPr>
      <w:r w:rsidRPr="003C12AE">
        <w:rPr>
          <w:rFonts w:ascii="Times New Roman" w:hAnsi="Times New Roman"/>
          <w:bCs/>
          <w:iCs/>
          <w:sz w:val="24"/>
          <w:lang w:val="pt-BR"/>
        </w:rPr>
        <w:t>a exposição máxima ao risco de crédito (ver item 36(a)) do ativo financeiro (ou grupo de ativos financeiros) no final do período contábil;</w:t>
      </w:r>
      <w:r w:rsidR="003C12AE" w:rsidRPr="003C12AE">
        <w:rPr>
          <w:rFonts w:ascii="Times New Roman" w:hAnsi="Times New Roman"/>
          <w:bCs/>
          <w:iCs/>
          <w:strike/>
          <w:sz w:val="24"/>
          <w:lang w:val="pt-BR"/>
        </w:rPr>
        <w:tab/>
      </w:r>
    </w:p>
    <w:p w14:paraId="599EC14D" w14:textId="5F96BE06" w:rsidR="003C12AE" w:rsidRPr="003C12AE" w:rsidRDefault="004530A0" w:rsidP="00F307D5">
      <w:pPr>
        <w:widowControl w:val="0"/>
        <w:numPr>
          <w:ilvl w:val="0"/>
          <w:numId w:val="6"/>
        </w:numPr>
        <w:tabs>
          <w:tab w:val="clear" w:pos="1211"/>
          <w:tab w:val="num" w:pos="993"/>
        </w:tabs>
        <w:spacing w:before="0"/>
        <w:ind w:left="993" w:right="-1" w:hanging="284"/>
        <w:rPr>
          <w:rFonts w:ascii="Times New Roman" w:hAnsi="Times New Roman"/>
          <w:bCs/>
          <w:iCs/>
          <w:strike/>
          <w:sz w:val="24"/>
          <w:lang w:val="pt-BR"/>
        </w:rPr>
      </w:pPr>
      <w:r w:rsidRPr="003C12AE">
        <w:rPr>
          <w:rFonts w:ascii="Times New Roman" w:hAnsi="Times New Roman"/>
          <w:bCs/>
          <w:iCs/>
          <w:sz w:val="24"/>
          <w:lang w:val="pt-BR"/>
        </w:rPr>
        <w:t>o montante pelo qual qualquer derivativo de crédito ou outro instrumento similar elimina a exposição máxima ao risco de crédito (ver item 36(b));</w:t>
      </w:r>
    </w:p>
    <w:p w14:paraId="268B52D1" w14:textId="6BA355C3" w:rsidR="003C12AE" w:rsidRPr="003C12AE" w:rsidRDefault="004530A0" w:rsidP="00F307D5">
      <w:pPr>
        <w:widowControl w:val="0"/>
        <w:numPr>
          <w:ilvl w:val="0"/>
          <w:numId w:val="6"/>
        </w:numPr>
        <w:tabs>
          <w:tab w:val="clear" w:pos="1211"/>
          <w:tab w:val="num" w:pos="993"/>
        </w:tabs>
        <w:spacing w:before="0"/>
        <w:ind w:left="993" w:right="-1" w:hanging="284"/>
        <w:rPr>
          <w:rFonts w:ascii="Times New Roman" w:hAnsi="Times New Roman"/>
          <w:bCs/>
          <w:iCs/>
          <w:strike/>
          <w:sz w:val="24"/>
          <w:lang w:val="pt-BR"/>
        </w:rPr>
      </w:pPr>
      <w:r w:rsidRPr="003C12AE">
        <w:rPr>
          <w:rFonts w:ascii="Times New Roman" w:hAnsi="Times New Roman"/>
          <w:sz w:val="24"/>
          <w:lang w:val="pt-BR" w:eastAsia="x-none"/>
        </w:rPr>
        <w:t>o montante da mudança, durante o período e cumulativamente, no valor justo do ativo financeiro (ou grupo de ativos financeiros) que seja atribuível a mudanças no risco de crédito do ativo financeiro determinado, tanto:</w:t>
      </w:r>
    </w:p>
    <w:p w14:paraId="541B022B" w14:textId="77777777" w:rsidR="003C12AE" w:rsidRPr="003C12AE" w:rsidRDefault="003C12AE" w:rsidP="003C12AE">
      <w:pPr>
        <w:widowControl w:val="0"/>
        <w:numPr>
          <w:ilvl w:val="1"/>
          <w:numId w:val="3"/>
        </w:numPr>
        <w:tabs>
          <w:tab w:val="clear" w:pos="1920"/>
        </w:tabs>
        <w:spacing w:before="0"/>
        <w:ind w:left="1418" w:right="-1" w:hanging="284"/>
        <w:rPr>
          <w:rFonts w:ascii="Times New Roman" w:hAnsi="Times New Roman"/>
          <w:bCs/>
          <w:iCs/>
          <w:sz w:val="24"/>
          <w:lang w:val="pt-BR"/>
        </w:rPr>
      </w:pPr>
      <w:r w:rsidRPr="003C12AE">
        <w:rPr>
          <w:rFonts w:ascii="Times New Roman" w:hAnsi="Times New Roman"/>
          <w:bCs/>
          <w:iCs/>
          <w:sz w:val="24"/>
          <w:lang w:val="pt-BR"/>
        </w:rPr>
        <w:t>como a quantia da variação no valor justo que não é atribuível a mudanças nas condições de mercado que dão origem ao risco de mercado; ou</w:t>
      </w:r>
    </w:p>
    <w:p w14:paraId="2B2F198B" w14:textId="77777777" w:rsidR="003C12AE" w:rsidRPr="003C12AE" w:rsidRDefault="003C12AE" w:rsidP="003C12AE">
      <w:pPr>
        <w:widowControl w:val="0"/>
        <w:numPr>
          <w:ilvl w:val="1"/>
          <w:numId w:val="3"/>
        </w:numPr>
        <w:tabs>
          <w:tab w:val="clear" w:pos="1920"/>
        </w:tabs>
        <w:spacing w:before="0"/>
        <w:ind w:left="1418" w:right="-1" w:hanging="284"/>
        <w:rPr>
          <w:rFonts w:ascii="Times New Roman" w:hAnsi="Times New Roman"/>
          <w:bCs/>
          <w:iCs/>
          <w:sz w:val="24"/>
          <w:lang w:val="pt-BR"/>
        </w:rPr>
      </w:pPr>
      <w:r w:rsidRPr="003C12AE">
        <w:rPr>
          <w:rFonts w:ascii="Times New Roman" w:hAnsi="Times New Roman"/>
          <w:bCs/>
          <w:iCs/>
          <w:sz w:val="24"/>
          <w:lang w:val="pt-BR"/>
        </w:rPr>
        <w:t xml:space="preserve">usando um método alternativo que a entidade acredita ser mais confiável, o montante que representa a quantia da mudança em seu valor justo que é atribuível a mudanças no risco de crédito do ativo. </w:t>
      </w:r>
    </w:p>
    <w:p w14:paraId="48F3AEE1" w14:textId="77777777" w:rsidR="003C12AE" w:rsidRPr="003C12AE" w:rsidRDefault="003C12AE" w:rsidP="003C12AE">
      <w:pPr>
        <w:widowControl w:val="0"/>
        <w:spacing w:before="0"/>
        <w:ind w:left="567" w:right="-1"/>
        <w:rPr>
          <w:rFonts w:ascii="Times New Roman" w:hAnsi="Times New Roman"/>
          <w:bCs/>
          <w:iCs/>
          <w:sz w:val="24"/>
          <w:lang w:val="pt-BR"/>
        </w:rPr>
      </w:pPr>
      <w:r w:rsidRPr="003C12AE">
        <w:rPr>
          <w:rFonts w:ascii="Times New Roman" w:hAnsi="Times New Roman"/>
          <w:bCs/>
          <w:iCs/>
          <w:sz w:val="24"/>
          <w:lang w:val="pt-BR"/>
        </w:rPr>
        <w:t>Mudanças nas condições de mercado que dão origem ao risco de crédito incluem mudanças na taxa de juros observável (</w:t>
      </w:r>
      <w:r w:rsidRPr="003C12AE">
        <w:rPr>
          <w:rFonts w:ascii="Times New Roman" w:hAnsi="Times New Roman"/>
          <w:bCs/>
          <w:i/>
          <w:iCs/>
          <w:sz w:val="24"/>
          <w:lang w:val="pt-BR"/>
        </w:rPr>
        <w:t>benchmark</w:t>
      </w:r>
      <w:r w:rsidRPr="003C12AE">
        <w:rPr>
          <w:rFonts w:ascii="Times New Roman" w:hAnsi="Times New Roman"/>
          <w:bCs/>
          <w:iCs/>
          <w:sz w:val="24"/>
          <w:lang w:val="pt-BR"/>
        </w:rPr>
        <w:t xml:space="preserve">), no preço de </w:t>
      </w:r>
      <w:r w:rsidRPr="003C12AE">
        <w:rPr>
          <w:rFonts w:ascii="Times New Roman" w:hAnsi="Times New Roman"/>
          <w:bCs/>
          <w:i/>
          <w:iCs/>
          <w:sz w:val="24"/>
          <w:lang w:val="pt-BR"/>
        </w:rPr>
        <w:t>commodity</w:t>
      </w:r>
      <w:r w:rsidRPr="003C12AE">
        <w:rPr>
          <w:rFonts w:ascii="Times New Roman" w:hAnsi="Times New Roman"/>
          <w:bCs/>
          <w:iCs/>
          <w:sz w:val="24"/>
          <w:lang w:val="pt-BR"/>
        </w:rPr>
        <w:t>, na taxa de câmbio ou nos índices de preços e taxas.</w:t>
      </w:r>
    </w:p>
    <w:p w14:paraId="4788CF38" w14:textId="0ABC800A" w:rsidR="003C12AE" w:rsidRPr="003C12AE" w:rsidRDefault="00881B98" w:rsidP="00F307D5">
      <w:pPr>
        <w:widowControl w:val="0"/>
        <w:numPr>
          <w:ilvl w:val="0"/>
          <w:numId w:val="6"/>
        </w:numPr>
        <w:tabs>
          <w:tab w:val="clear" w:pos="1211"/>
          <w:tab w:val="num" w:pos="993"/>
        </w:tabs>
        <w:spacing w:before="0"/>
        <w:ind w:left="993" w:hanging="284"/>
        <w:rPr>
          <w:rFonts w:ascii="Times New Roman" w:hAnsi="Times New Roman"/>
          <w:bCs/>
          <w:iCs/>
          <w:strike/>
          <w:sz w:val="24"/>
          <w:lang w:val="pt-BR"/>
        </w:rPr>
      </w:pPr>
      <w:r w:rsidRPr="003C12AE">
        <w:rPr>
          <w:rFonts w:ascii="Times New Roman" w:hAnsi="Times New Roman"/>
          <w:sz w:val="24"/>
          <w:lang w:val="pt-BR" w:eastAsia="x-none"/>
        </w:rPr>
        <w:t>o montante da variação no valor justo de qualquer derivativo de crédito ou instrumento similar que tenha ocorrido durante o período e cumulativamente, desde que o ativo financeiro tenha sido designado.</w:t>
      </w:r>
      <w:r w:rsidR="003C12AE" w:rsidRPr="003C12AE">
        <w:rPr>
          <w:rFonts w:ascii="Times New Roman" w:hAnsi="Times New Roman"/>
          <w:bCs/>
          <w:iCs/>
          <w:strike/>
          <w:sz w:val="24"/>
          <w:lang w:val="pt-BR"/>
        </w:rPr>
        <w:t xml:space="preserve"> </w:t>
      </w:r>
    </w:p>
    <w:p w14:paraId="370BB4ED"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4FE19A2A" w14:textId="7C88B98D"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10.</w:t>
      </w:r>
      <w:r w:rsidRPr="003C12AE">
        <w:rPr>
          <w:rFonts w:ascii="Times New Roman" w:hAnsi="Times New Roman"/>
          <w:sz w:val="24"/>
          <w:lang w:val="pt-BR" w:eastAsia="x-none"/>
        </w:rPr>
        <w:tab/>
        <w:t>Se a entidade designou o passivo financeiro pelo valor justo por meio do resultado, de acordo com o item 4.2.2 do CPC 48, e é obrigada a apresentar os efeitos das alterações no risco de crédito desse passivo em outros resultados abrangentes (ver item 5.7.7 do CPC 48), ela deve divulgar:</w:t>
      </w:r>
    </w:p>
    <w:p w14:paraId="1CE4117B" w14:textId="36D4CFE2" w:rsidR="003C12AE" w:rsidRPr="003C12AE" w:rsidRDefault="00881B98" w:rsidP="00F307D5">
      <w:pPr>
        <w:widowControl w:val="0"/>
        <w:numPr>
          <w:ilvl w:val="0"/>
          <w:numId w:val="7"/>
        </w:numPr>
        <w:tabs>
          <w:tab w:val="clear" w:pos="1070"/>
        </w:tabs>
        <w:spacing w:before="0"/>
        <w:ind w:left="993" w:right="-1" w:hanging="284"/>
        <w:rPr>
          <w:rFonts w:ascii="Times New Roman" w:hAnsi="Times New Roman"/>
          <w:bCs/>
          <w:iCs/>
          <w:strike/>
          <w:sz w:val="24"/>
          <w:lang w:val="pt-BR"/>
        </w:rPr>
      </w:pPr>
      <w:r w:rsidRPr="003C12AE">
        <w:rPr>
          <w:rFonts w:ascii="Times New Roman" w:hAnsi="Times New Roman"/>
          <w:sz w:val="24"/>
          <w:lang w:val="pt-BR" w:eastAsia="x-none"/>
        </w:rPr>
        <w:t>o valor da variação, cumulativamente, no valor justo do passivo financeiro que seja atribuível a alterações no risco de crédito desse passivo (ver itens B5.7.13 a B5.7.20 do CPC 48 para orientação sobre a determinação dos efeitos das alterações no risco de crédito do passivo);</w:t>
      </w:r>
    </w:p>
    <w:p w14:paraId="5010ECF2" w14:textId="77777777" w:rsidR="003C12AE" w:rsidRPr="003C12AE" w:rsidRDefault="003C12AE" w:rsidP="003C12AE">
      <w:pPr>
        <w:widowControl w:val="0"/>
        <w:tabs>
          <w:tab w:val="left" w:pos="6804"/>
        </w:tabs>
        <w:spacing w:before="0"/>
        <w:ind w:left="992" w:hanging="425"/>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a diferença entre o valor contábil do passivo financeiro e a quantia que a entidade seria obrigada a pagar no vencimento ao detentor da obrigação;</w:t>
      </w:r>
    </w:p>
    <w:p w14:paraId="345EEE82" w14:textId="08DB18D4" w:rsidR="003C12AE" w:rsidRPr="003C12AE" w:rsidRDefault="003C12AE" w:rsidP="003C12AE">
      <w:pPr>
        <w:widowControl w:val="0"/>
        <w:tabs>
          <w:tab w:val="left" w:pos="6804"/>
        </w:tabs>
        <w:spacing w:before="0"/>
        <w:ind w:left="992" w:hanging="425"/>
        <w:rPr>
          <w:rFonts w:ascii="Times New Roman" w:hAnsi="Times New Roman"/>
          <w:sz w:val="24"/>
          <w:lang w:val="pt-BR" w:eastAsia="x-none"/>
        </w:rPr>
      </w:pPr>
      <w:r w:rsidRPr="003C12AE">
        <w:rPr>
          <w:rFonts w:ascii="Times New Roman" w:hAnsi="Times New Roman"/>
          <w:sz w:val="24"/>
          <w:lang w:val="pt-BR" w:eastAsia="x-none"/>
        </w:rPr>
        <w:lastRenderedPageBreak/>
        <w:t xml:space="preserve">(c) </w:t>
      </w:r>
      <w:r w:rsidRPr="003C12AE">
        <w:rPr>
          <w:rFonts w:ascii="Times New Roman" w:hAnsi="Times New Roman"/>
          <w:sz w:val="24"/>
          <w:lang w:val="pt-BR" w:eastAsia="x-none"/>
        </w:rPr>
        <w:tab/>
        <w:t>quaisquer transferências do ganho ou perda acumulada dentro do patrimônio líquido durante o período, incluindo as razões dessas transferências;</w:t>
      </w:r>
    </w:p>
    <w:p w14:paraId="38F0CEF6" w14:textId="58542B52" w:rsidR="003C12AE" w:rsidRPr="003C12AE" w:rsidRDefault="003C12AE" w:rsidP="003C12AE">
      <w:pPr>
        <w:widowControl w:val="0"/>
        <w:tabs>
          <w:tab w:val="left" w:pos="6804"/>
        </w:tabs>
        <w:spacing w:before="0" w:after="0"/>
        <w:ind w:left="992" w:hanging="425"/>
        <w:rPr>
          <w:rFonts w:ascii="Times New Roman" w:hAnsi="Times New Roman"/>
          <w:sz w:val="24"/>
          <w:lang w:val="pt-BR" w:eastAsia="x-none"/>
        </w:rPr>
      </w:pPr>
      <w:r w:rsidRPr="003C12AE">
        <w:rPr>
          <w:rFonts w:ascii="Times New Roman" w:hAnsi="Times New Roman"/>
          <w:sz w:val="24"/>
          <w:lang w:val="pt-BR" w:eastAsia="x-none"/>
        </w:rPr>
        <w:t xml:space="preserve">(d) </w:t>
      </w:r>
      <w:r w:rsidRPr="003C12AE">
        <w:rPr>
          <w:rFonts w:ascii="Times New Roman" w:hAnsi="Times New Roman"/>
          <w:sz w:val="24"/>
          <w:lang w:val="pt-BR" w:eastAsia="x-none"/>
        </w:rPr>
        <w:tab/>
      </w:r>
      <w:r w:rsidRPr="003C12AE">
        <w:rPr>
          <w:rFonts w:ascii="Times New Roman" w:hAnsi="Times New Roman"/>
          <w:bCs/>
          <w:sz w:val="24"/>
        </w:rPr>
        <w:t>se o passivo é desreconhecido durante o período, o valor (se houver) apresentado em outros resultados abrangentes que foi realizado no desreconhecimento.</w:t>
      </w:r>
    </w:p>
    <w:p w14:paraId="09409620"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0DCC0C8A"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10A. Se a entidade tiver designado o passivo financeiro como ao valor justo por meio do resultado, de acordo com o item 4.2.2 do CPC 48, e é obrigada a apresentar todas as alterações no valor justo desse passivo (incluindo os efeitos das alterações no risco de crédito do passivo) no resultado (ver itens 5.7.7 e 5.7.8 do CPC 48), ela deve divulgar: </w:t>
      </w:r>
    </w:p>
    <w:p w14:paraId="6809C579"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o valor da alteração, durante o período e cumulativamente, no valor justo do passivo financeiro que seja atribuível a alterações no risco de crédito desse passivo (ver itens B5.7.13 a B5.7.20 do CPC 48 para orientação sobre a determinação dos efeitos das alterações no risco de crédito do passivo); e </w:t>
      </w:r>
    </w:p>
    <w:p w14:paraId="59E9ADC3" w14:textId="300ECC5F" w:rsidR="003C12AE" w:rsidRPr="003C12AE" w:rsidRDefault="003C12AE" w:rsidP="003C12AE">
      <w:pPr>
        <w:widowControl w:val="0"/>
        <w:tabs>
          <w:tab w:val="left" w:pos="6804"/>
        </w:tabs>
        <w:spacing w:before="0" w:after="0"/>
        <w:ind w:left="993" w:right="-1"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a diferença entre o valor contábil do passivo financeiro e o valor que a entidade estaria contratualmente obrigada a pagar no vencimento ao titular da obrigação.</w:t>
      </w:r>
    </w:p>
    <w:p w14:paraId="74BC06E0"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69408638"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11.</w:t>
      </w:r>
      <w:r w:rsidRPr="003C12AE">
        <w:rPr>
          <w:rFonts w:ascii="Times New Roman" w:hAnsi="Times New Roman"/>
          <w:sz w:val="24"/>
          <w:lang w:val="pt-BR" w:eastAsia="x-none"/>
        </w:rPr>
        <w:tab/>
        <w:t>A entidade deve divulgar:</w:t>
      </w:r>
    </w:p>
    <w:p w14:paraId="6B6A0BF3"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a descrição detalhada dos métodos utilizados para cumprir os requisitos dos itens 9(c), 10(a), 10A(a) e 5.7.7(a) do CPC 48, incluindo a explicação do motivo pelo qual o método é apropriado;</w:t>
      </w:r>
    </w:p>
    <w:p w14:paraId="5E5961E9"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se a entidade acreditar que a divulgação apresentada, seja no balanço patrimonial ou nas notas explicativas, para cumprir os requisitos dos itens 9(c), 10(a), 10A(a) ou 5.7.7(a) do CPC 48 não representa confiavelmente a mudança no valor justo do ativo financeiro ou passivo financeiro atribuível às variações no seu risco de crédito, a razão para se chegar a essa conclusão e os fatores considerados como relevantes;</w:t>
      </w:r>
    </w:p>
    <w:p w14:paraId="260E1292" w14:textId="42C31B59" w:rsidR="003C12AE" w:rsidRPr="003C12AE" w:rsidRDefault="003C12AE" w:rsidP="003C12AE">
      <w:pPr>
        <w:widowControl w:val="0"/>
        <w:tabs>
          <w:tab w:val="left" w:pos="6804"/>
        </w:tabs>
        <w:spacing w:before="0" w:after="0"/>
        <w:ind w:left="993" w:right="-1" w:hanging="426"/>
        <w:rPr>
          <w:rFonts w:ascii="Times New Roman" w:hAnsi="Times New Roman"/>
          <w:sz w:val="24"/>
          <w:lang w:val="pt-BR" w:eastAsia="x-none"/>
        </w:rPr>
      </w:pPr>
      <w:r w:rsidRPr="003C12AE">
        <w:rPr>
          <w:rFonts w:ascii="Times New Roman" w:hAnsi="Times New Roman"/>
          <w:sz w:val="24"/>
          <w:lang w:val="pt-BR" w:eastAsia="x-none"/>
        </w:rPr>
        <w:t xml:space="preserve">(c) </w:t>
      </w:r>
      <w:r w:rsidRPr="003C12AE">
        <w:rPr>
          <w:rFonts w:ascii="Times New Roman" w:hAnsi="Times New Roman"/>
          <w:sz w:val="24"/>
          <w:lang w:val="pt-BR" w:eastAsia="x-none"/>
        </w:rPr>
        <w:tab/>
        <w:t>a descrição detalhada da metodologia ou metodologias utilizadas para determinar se a apresentação dos efeitos das alterações no risco de crédito do passivo em outros resultados abrangentes criaria ou aumentaria o descasamento contábil no resultado (ver itens 5.7.7 e 5.7.8 do CPC 48). Se a entidade é obrigada a apresentar os efeitos das alterações no risco de crédito do passivo no resultado (ver item 5.7.8 do CPC 48), a divulgação deve incluir a descrição detalhada da relação econômica descrita no item B5.7.6 do CPC 48.</w:t>
      </w:r>
    </w:p>
    <w:p w14:paraId="04EB263D" w14:textId="77777777" w:rsidR="003C12AE" w:rsidRPr="003C12AE" w:rsidRDefault="003C12AE" w:rsidP="003C12AE">
      <w:pPr>
        <w:widowControl w:val="0"/>
        <w:tabs>
          <w:tab w:val="left" w:pos="6804"/>
        </w:tabs>
        <w:spacing w:before="0" w:after="0"/>
        <w:ind w:left="57" w:right="-1"/>
        <w:rPr>
          <w:rFonts w:ascii="Times New Roman" w:hAnsi="Times New Roman"/>
          <w:bCs/>
          <w:sz w:val="24"/>
          <w:lang w:val="pt-BR" w:eastAsia="x-none"/>
        </w:rPr>
      </w:pPr>
    </w:p>
    <w:p w14:paraId="4C26924E" w14:textId="77777777" w:rsidR="003C12AE" w:rsidRPr="003C12AE" w:rsidRDefault="003C12AE" w:rsidP="003C12AE">
      <w:pPr>
        <w:widowControl w:val="0"/>
        <w:tabs>
          <w:tab w:val="left" w:pos="6804"/>
        </w:tabs>
        <w:spacing w:before="2" w:after="2" w:line="250" w:lineRule="auto"/>
        <w:ind w:right="-1"/>
        <w:rPr>
          <w:rFonts w:ascii="Times New Roman" w:hAnsi="Times New Roman"/>
          <w:b/>
          <w:sz w:val="24"/>
          <w:lang w:val="pt-BR" w:eastAsia="x-none"/>
        </w:rPr>
      </w:pPr>
      <w:r w:rsidRPr="003C12AE">
        <w:rPr>
          <w:rFonts w:ascii="Times New Roman" w:hAnsi="Times New Roman"/>
          <w:b/>
          <w:sz w:val="24"/>
          <w:lang w:val="pt-BR" w:eastAsia="x-none"/>
        </w:rPr>
        <w:t xml:space="preserve">Investimento em instrumento patrimonial designado ao valor justo por meio de outros resultados abrangentes </w:t>
      </w:r>
    </w:p>
    <w:p w14:paraId="7EC79140" w14:textId="77777777" w:rsidR="003C12AE" w:rsidRPr="003C12AE" w:rsidRDefault="003C12AE" w:rsidP="003C12AE">
      <w:pPr>
        <w:widowControl w:val="0"/>
        <w:tabs>
          <w:tab w:val="left" w:pos="6804"/>
        </w:tabs>
        <w:spacing w:before="2" w:after="2" w:line="250" w:lineRule="auto"/>
        <w:ind w:left="57" w:right="-1" w:hanging="279"/>
        <w:rPr>
          <w:rFonts w:ascii="Times New Roman" w:hAnsi="Times New Roman"/>
          <w:sz w:val="24"/>
          <w:lang w:val="pt-BR" w:eastAsia="x-none"/>
        </w:rPr>
      </w:pPr>
      <w:r w:rsidRPr="003C12AE">
        <w:rPr>
          <w:rFonts w:ascii="Times New Roman" w:hAnsi="Times New Roman"/>
          <w:sz w:val="24"/>
          <w:lang w:val="pt-BR" w:eastAsia="x-none"/>
        </w:rPr>
        <w:t xml:space="preserve"> </w:t>
      </w:r>
    </w:p>
    <w:p w14:paraId="491C3910"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11A. Se a entidade tiver designado investimentos em instrumentos patrimoniais para serem mensurados ao valor justo por meio de outros resultados abrangentes, conforme permitido pelo item 5.7.5 do CPC 48, ela deve divulgar: </w:t>
      </w:r>
    </w:p>
    <w:p w14:paraId="5AC5FB8B"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que investimentos em instrumentos patrimoniais foram designados para serem mensurados ao valor justo por meio de outros resultados abrangentes; </w:t>
      </w:r>
    </w:p>
    <w:p w14:paraId="784FF070"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 xml:space="preserve">as razões de utilizar essa alternativa de apresentação; </w:t>
      </w:r>
    </w:p>
    <w:p w14:paraId="2DC7FCF0"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lastRenderedPageBreak/>
        <w:t xml:space="preserve">(c) </w:t>
      </w:r>
      <w:r w:rsidRPr="003C12AE">
        <w:rPr>
          <w:rFonts w:ascii="Times New Roman" w:hAnsi="Times New Roman"/>
          <w:sz w:val="24"/>
          <w:lang w:val="pt-BR" w:eastAsia="x-none"/>
        </w:rPr>
        <w:tab/>
        <w:t xml:space="preserve">o valor justo de cada um desses investimentos ao final do período de relatório; </w:t>
      </w:r>
    </w:p>
    <w:p w14:paraId="6C3F4D97"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(d) </w:t>
      </w:r>
      <w:r w:rsidRPr="003C12AE">
        <w:rPr>
          <w:rFonts w:ascii="Times New Roman" w:hAnsi="Times New Roman"/>
          <w:sz w:val="24"/>
          <w:lang w:val="pt-BR" w:eastAsia="x-none"/>
        </w:rPr>
        <w:tab/>
        <w:t xml:space="preserve">os dividendos reconhecidos durante o período, apresentando separadamente aqueles relativos a investimentos desreconhecidos durante o período de relatório e aqueles relativos a investimentos mantidos ao final do período de relatório; </w:t>
      </w:r>
    </w:p>
    <w:p w14:paraId="539081DB" w14:textId="51FD0012" w:rsidR="003C12AE" w:rsidRPr="003C12AE" w:rsidRDefault="003C12AE" w:rsidP="003C12AE">
      <w:pPr>
        <w:widowControl w:val="0"/>
        <w:tabs>
          <w:tab w:val="left" w:pos="6804"/>
        </w:tabs>
        <w:spacing w:before="2" w:after="2" w:line="250" w:lineRule="auto"/>
        <w:ind w:left="993" w:right="-1" w:hanging="426"/>
        <w:rPr>
          <w:rFonts w:ascii="Times New Roman" w:hAnsi="Times New Roman"/>
          <w:sz w:val="24"/>
          <w:lang w:val="pt-BR" w:eastAsia="x-none"/>
        </w:rPr>
      </w:pPr>
      <w:r w:rsidRPr="003C12AE">
        <w:rPr>
          <w:rFonts w:ascii="Times New Roman" w:hAnsi="Times New Roman"/>
          <w:sz w:val="24"/>
          <w:lang w:val="pt-BR" w:eastAsia="x-none"/>
        </w:rPr>
        <w:t xml:space="preserve">(e) </w:t>
      </w:r>
      <w:r w:rsidRPr="003C12AE">
        <w:rPr>
          <w:rFonts w:ascii="Times New Roman" w:hAnsi="Times New Roman"/>
          <w:sz w:val="24"/>
          <w:lang w:val="pt-BR" w:eastAsia="x-none"/>
        </w:rPr>
        <w:tab/>
        <w:t>quaisquer transferências de ganho ou perda acumulada dentro do patrimônio líquido durante o período, incluindo as razões dessas transferências.</w:t>
      </w:r>
    </w:p>
    <w:p w14:paraId="69D28CE4" w14:textId="77777777" w:rsidR="003C12AE" w:rsidRPr="003C12AE" w:rsidRDefault="003C12AE" w:rsidP="003C12AE">
      <w:pPr>
        <w:widowControl w:val="0"/>
        <w:tabs>
          <w:tab w:val="left" w:pos="6804"/>
        </w:tabs>
        <w:spacing w:before="2" w:after="2" w:line="250" w:lineRule="auto"/>
        <w:ind w:left="57" w:right="-1" w:hanging="279"/>
        <w:rPr>
          <w:rFonts w:ascii="Times New Roman" w:hAnsi="Times New Roman"/>
          <w:sz w:val="24"/>
          <w:lang w:val="pt-BR" w:eastAsia="x-none"/>
        </w:rPr>
      </w:pPr>
    </w:p>
    <w:p w14:paraId="4D73FAF7"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11B. Se a entidade tiver desreconhecido investimentos em instrumentos patrimoniais mensurados ao valor justo por meio de outros resultados abrangentes durante o período de relatório, ela deve divulgar: </w:t>
      </w:r>
    </w:p>
    <w:p w14:paraId="756FC466"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as razões para a alienação dos investimentos; </w:t>
      </w:r>
    </w:p>
    <w:p w14:paraId="5BCE61C2"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 xml:space="preserve">o valor justo dos investimentos na data do desreconhecimento; </w:t>
      </w:r>
    </w:p>
    <w:p w14:paraId="17892E1D" w14:textId="71F88B1A" w:rsidR="003C12AE" w:rsidRPr="003C12AE" w:rsidRDefault="003C12AE" w:rsidP="003C12AE">
      <w:pPr>
        <w:widowControl w:val="0"/>
        <w:tabs>
          <w:tab w:val="left" w:pos="6804"/>
        </w:tabs>
        <w:spacing w:before="0" w:after="0"/>
        <w:ind w:left="993" w:right="-1" w:hanging="426"/>
        <w:rPr>
          <w:rFonts w:ascii="Times New Roman" w:hAnsi="Times New Roman"/>
          <w:sz w:val="24"/>
          <w:lang w:val="pt-BR" w:eastAsia="x-none"/>
        </w:rPr>
      </w:pPr>
      <w:r w:rsidRPr="003C12AE">
        <w:rPr>
          <w:rFonts w:ascii="Times New Roman" w:hAnsi="Times New Roman"/>
          <w:sz w:val="24"/>
          <w:lang w:val="pt-BR" w:eastAsia="x-none"/>
        </w:rPr>
        <w:t xml:space="preserve">(c) </w:t>
      </w:r>
      <w:r w:rsidRPr="003C12AE">
        <w:rPr>
          <w:rFonts w:ascii="Times New Roman" w:hAnsi="Times New Roman"/>
          <w:sz w:val="24"/>
          <w:lang w:val="pt-BR" w:eastAsia="x-none"/>
        </w:rPr>
        <w:tab/>
        <w:t>o ganho ou a perda acumulada na alienação.</w:t>
      </w:r>
    </w:p>
    <w:p w14:paraId="04BAD1D3"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0E10437A" w14:textId="77777777" w:rsidR="003C12AE" w:rsidRPr="003C12AE" w:rsidRDefault="003C12AE" w:rsidP="003C12AE">
      <w:pPr>
        <w:widowControl w:val="0"/>
        <w:tabs>
          <w:tab w:val="left" w:pos="6804"/>
        </w:tabs>
        <w:spacing w:before="0" w:after="0"/>
        <w:ind w:left="567" w:right="-1" w:hanging="567"/>
        <w:rPr>
          <w:rFonts w:ascii="Times New Roman" w:hAnsi="Times New Roman"/>
          <w:b/>
          <w:sz w:val="24"/>
          <w:lang w:val="pt-BR" w:eastAsia="x-none"/>
        </w:rPr>
      </w:pPr>
      <w:r w:rsidRPr="003C12AE">
        <w:rPr>
          <w:rFonts w:ascii="Times New Roman" w:hAnsi="Times New Roman"/>
          <w:sz w:val="24"/>
          <w:lang w:val="pt-BR" w:eastAsia="x-none"/>
        </w:rPr>
        <w:tab/>
      </w:r>
      <w:r w:rsidRPr="003C12AE">
        <w:rPr>
          <w:rFonts w:ascii="Times New Roman" w:hAnsi="Times New Roman"/>
          <w:b/>
          <w:sz w:val="24"/>
          <w:lang w:val="pt-BR" w:eastAsia="x-none"/>
        </w:rPr>
        <w:t>Reclassificação</w:t>
      </w:r>
    </w:p>
    <w:p w14:paraId="20F95F29"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7036B111" w14:textId="6A8FC4A6" w:rsidR="003C12AE" w:rsidRPr="003C12AE" w:rsidRDefault="003C12AE" w:rsidP="00881B98">
      <w:pPr>
        <w:widowControl w:val="0"/>
        <w:tabs>
          <w:tab w:val="left" w:pos="6804"/>
        </w:tabs>
        <w:spacing w:before="0"/>
        <w:ind w:left="567" w:right="-1" w:hanging="567"/>
        <w:rPr>
          <w:rFonts w:ascii="Times New Roman" w:hAnsi="Times New Roman"/>
          <w:bCs/>
          <w:iCs/>
          <w:sz w:val="24"/>
          <w:lang w:val="pt-BR"/>
        </w:rPr>
      </w:pPr>
      <w:r w:rsidRPr="003C12AE">
        <w:rPr>
          <w:rFonts w:ascii="Times New Roman" w:hAnsi="Times New Roman"/>
          <w:sz w:val="24"/>
          <w:lang w:val="pt-BR" w:eastAsia="x-none"/>
        </w:rPr>
        <w:t>12</w:t>
      </w:r>
      <w:r w:rsidR="00881B98" w:rsidRPr="00881B98">
        <w:rPr>
          <w:rFonts w:ascii="Times New Roman" w:hAnsi="Times New Roman"/>
          <w:sz w:val="24"/>
          <w:lang w:val="pt-BR" w:eastAsia="x-none"/>
        </w:rPr>
        <w:t>-12A</w:t>
      </w:r>
      <w:r w:rsidRPr="003C12AE">
        <w:rPr>
          <w:rFonts w:ascii="Times New Roman" w:hAnsi="Times New Roman"/>
          <w:sz w:val="24"/>
          <w:lang w:val="pt-BR" w:eastAsia="x-none"/>
        </w:rPr>
        <w:t>.</w:t>
      </w:r>
      <w:r w:rsidR="00881B98" w:rsidRPr="00881B98">
        <w:rPr>
          <w:rFonts w:ascii="Times New Roman" w:hAnsi="Times New Roman"/>
          <w:sz w:val="24"/>
          <w:lang w:val="pt-BR" w:eastAsia="x-none"/>
        </w:rPr>
        <w:t xml:space="preserve"> (Eliminados).</w:t>
      </w:r>
    </w:p>
    <w:p w14:paraId="7D33D122" w14:textId="77777777" w:rsidR="003C12AE" w:rsidRPr="003C12AE" w:rsidRDefault="003C12AE" w:rsidP="003C12AE">
      <w:pPr>
        <w:widowControl w:val="0"/>
        <w:tabs>
          <w:tab w:val="left" w:pos="709"/>
          <w:tab w:val="left" w:pos="6804"/>
        </w:tabs>
        <w:spacing w:before="0" w:after="0"/>
        <w:ind w:left="709" w:right="-1" w:hanging="709"/>
        <w:rPr>
          <w:rFonts w:ascii="Times New Roman" w:hAnsi="Times New Roman"/>
          <w:sz w:val="24"/>
          <w:lang w:val="pt-BR" w:eastAsia="x-none"/>
        </w:rPr>
      </w:pPr>
      <w:r w:rsidRPr="003C12AE">
        <w:rPr>
          <w:rFonts w:ascii="Times New Roman" w:hAnsi="Times New Roman"/>
          <w:sz w:val="24"/>
          <w:lang w:val="pt-BR" w:eastAsia="x-none"/>
        </w:rPr>
        <w:tab/>
      </w:r>
    </w:p>
    <w:p w14:paraId="47EAFE36" w14:textId="77777777" w:rsidR="003C12AE" w:rsidRPr="003C12AE" w:rsidRDefault="003C12AE" w:rsidP="003C12AE">
      <w:pPr>
        <w:widowControl w:val="0"/>
        <w:spacing w:before="0"/>
        <w:ind w:left="567" w:right="57" w:hanging="567"/>
        <w:rPr>
          <w:rFonts w:ascii="Times New Roman" w:hAnsi="Times New Roman"/>
          <w:sz w:val="24"/>
          <w:lang w:val="pt-BR" w:eastAsia="x-none"/>
        </w:rPr>
      </w:pPr>
      <w:r w:rsidRPr="003C12AE">
        <w:rPr>
          <w:rFonts w:ascii="Times New Roman" w:hAnsi="Times New Roman"/>
          <w:sz w:val="24"/>
          <w:lang w:val="pt-BR" w:eastAsia="x-none"/>
        </w:rPr>
        <w:t xml:space="preserve">12B. </w:t>
      </w:r>
      <w:r w:rsidRPr="003C12AE">
        <w:rPr>
          <w:rFonts w:ascii="Times New Roman" w:hAnsi="Times New Roman"/>
          <w:sz w:val="24"/>
          <w:lang w:val="pt-BR" w:eastAsia="x-none"/>
        </w:rPr>
        <w:tab/>
        <w:t xml:space="preserve">A entidade deve divulgar se, nos períodos de relatórios correntes ou anteriores, reclassificou quaisquer ativos financeiros de acordo com o item 4.4.1 do CPC 48. Para cada um desses eventos, a entidade deve divulgar: </w:t>
      </w:r>
    </w:p>
    <w:p w14:paraId="1D273702" w14:textId="77777777" w:rsidR="003C12AE" w:rsidRPr="003C12AE" w:rsidRDefault="003C12AE" w:rsidP="003C12AE">
      <w:pPr>
        <w:widowControl w:val="0"/>
        <w:tabs>
          <w:tab w:val="left" w:pos="6804"/>
        </w:tabs>
        <w:spacing w:before="0"/>
        <w:ind w:left="992" w:right="57" w:hanging="425"/>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a data da reclassificação; </w:t>
      </w:r>
    </w:p>
    <w:p w14:paraId="047615F5" w14:textId="77777777" w:rsidR="003C12AE" w:rsidRPr="003C12AE" w:rsidRDefault="003C12AE" w:rsidP="003C12AE">
      <w:pPr>
        <w:widowControl w:val="0"/>
        <w:tabs>
          <w:tab w:val="left" w:pos="6804"/>
        </w:tabs>
        <w:spacing w:before="0"/>
        <w:ind w:left="992" w:right="57" w:hanging="425"/>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 xml:space="preserve">a explicação detalhada da alteração no modelo de negócios e a descrição qualitativa de seu efeito sobre as demonstrações contábeis da entidade; </w:t>
      </w:r>
    </w:p>
    <w:p w14:paraId="4134FD65" w14:textId="681A1DB8" w:rsidR="003C12AE" w:rsidRPr="003C12AE" w:rsidRDefault="003C12AE" w:rsidP="003C12AE">
      <w:pPr>
        <w:widowControl w:val="0"/>
        <w:tabs>
          <w:tab w:val="left" w:pos="6804"/>
        </w:tabs>
        <w:spacing w:before="0" w:after="0"/>
        <w:ind w:left="992" w:hanging="425"/>
        <w:rPr>
          <w:rFonts w:ascii="Times New Roman" w:hAnsi="Times New Roman"/>
          <w:sz w:val="24"/>
          <w:lang w:val="pt-BR" w:eastAsia="x-none"/>
        </w:rPr>
      </w:pPr>
      <w:r w:rsidRPr="003C12AE">
        <w:rPr>
          <w:rFonts w:ascii="Times New Roman" w:hAnsi="Times New Roman"/>
          <w:sz w:val="24"/>
          <w:lang w:val="pt-BR" w:eastAsia="x-none"/>
        </w:rPr>
        <w:t xml:space="preserve">(c) </w:t>
      </w:r>
      <w:r w:rsidRPr="003C12AE">
        <w:rPr>
          <w:rFonts w:ascii="Times New Roman" w:hAnsi="Times New Roman"/>
          <w:sz w:val="24"/>
          <w:lang w:val="pt-BR" w:eastAsia="x-none"/>
        </w:rPr>
        <w:tab/>
        <w:t>o valor reclassificado dentro e fora de cada categoria.</w:t>
      </w:r>
    </w:p>
    <w:p w14:paraId="28E9D7AC" w14:textId="77777777" w:rsidR="003C12AE" w:rsidRPr="003C12AE" w:rsidRDefault="003C12AE" w:rsidP="003C12AE">
      <w:pPr>
        <w:widowControl w:val="0"/>
        <w:tabs>
          <w:tab w:val="left" w:pos="709"/>
          <w:tab w:val="left" w:pos="6804"/>
        </w:tabs>
        <w:spacing w:before="2" w:after="2" w:line="250" w:lineRule="auto"/>
        <w:ind w:left="709" w:right="-1" w:hanging="709"/>
        <w:rPr>
          <w:rFonts w:ascii="Times New Roman" w:hAnsi="Times New Roman"/>
          <w:sz w:val="24"/>
          <w:lang w:val="pt-BR" w:eastAsia="x-none"/>
        </w:rPr>
      </w:pPr>
    </w:p>
    <w:p w14:paraId="2E039C01"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12C. Para cada período de relatório após a reclassificação até o desreconhecimento, a entidade deve divulgar, para ativos reclassificados da categoria de valor justo por meio do resultado de modo que sejam mensurados ao custo amortizado ou ao valor justo por meio de outros resultados abrangentes de acordo com o item 4.4.1 do CPC 48: </w:t>
      </w:r>
    </w:p>
    <w:p w14:paraId="5B84A6E2"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a taxa de juros efetiva determinada na data da reclassificação; e </w:t>
      </w:r>
    </w:p>
    <w:p w14:paraId="0B0301C0" w14:textId="4CF30DCF" w:rsidR="003C12AE" w:rsidRPr="003C12AE" w:rsidRDefault="003C12AE" w:rsidP="003C12AE">
      <w:pPr>
        <w:widowControl w:val="0"/>
        <w:tabs>
          <w:tab w:val="left" w:pos="6804"/>
        </w:tabs>
        <w:spacing w:before="0" w:after="0"/>
        <w:ind w:left="993"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a receita de juros reconhecida.</w:t>
      </w:r>
    </w:p>
    <w:p w14:paraId="0D66C778" w14:textId="77777777" w:rsidR="003C12AE" w:rsidRPr="003C12AE" w:rsidRDefault="003C12AE" w:rsidP="003C12AE">
      <w:pPr>
        <w:widowControl w:val="0"/>
        <w:tabs>
          <w:tab w:val="left" w:pos="709"/>
          <w:tab w:val="left" w:pos="6804"/>
        </w:tabs>
        <w:spacing w:before="0" w:after="0"/>
        <w:ind w:left="709" w:hanging="709"/>
        <w:rPr>
          <w:rFonts w:ascii="Times New Roman" w:hAnsi="Times New Roman"/>
          <w:sz w:val="24"/>
          <w:lang w:val="pt-BR" w:eastAsia="x-none"/>
        </w:rPr>
      </w:pPr>
    </w:p>
    <w:p w14:paraId="3AFEFA38"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12D. Se, desde a sua última data de relatório anual, a entidade tiver reclassificado ativos financeiros fora da categoria de valor justo por meio de outros resultados abrangentes de modo que eles sejam mensurados ao custo amortizado ou fora da categoria de valor justo por meio do resultado de modo que eles sejam mensurados ao custo amortizado ou ao valor justo por meio de outros resultados abrangentes, ela deve divulgar: </w:t>
      </w:r>
    </w:p>
    <w:p w14:paraId="62D215F3"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o valor justo dos ativos financeiros no final do período de relatório; e </w:t>
      </w:r>
    </w:p>
    <w:p w14:paraId="30A102CA" w14:textId="2365AE12" w:rsidR="003C12AE" w:rsidRPr="003C12AE" w:rsidRDefault="003C12AE" w:rsidP="003C12AE">
      <w:pPr>
        <w:widowControl w:val="0"/>
        <w:tabs>
          <w:tab w:val="left" w:pos="6804"/>
        </w:tabs>
        <w:spacing w:before="0" w:after="0"/>
        <w:ind w:left="993" w:hanging="426"/>
        <w:rPr>
          <w:rFonts w:ascii="Times New Roman" w:hAnsi="Times New Roman"/>
          <w:sz w:val="24"/>
          <w:lang w:val="pt-BR" w:eastAsia="x-none"/>
        </w:rPr>
      </w:pPr>
      <w:r w:rsidRPr="003C12AE">
        <w:rPr>
          <w:rFonts w:ascii="Times New Roman" w:hAnsi="Times New Roman"/>
          <w:sz w:val="24"/>
          <w:lang w:val="pt-BR" w:eastAsia="x-none"/>
        </w:rPr>
        <w:lastRenderedPageBreak/>
        <w:t xml:space="preserve">(b) </w:t>
      </w:r>
      <w:r w:rsidRPr="003C12AE">
        <w:rPr>
          <w:rFonts w:ascii="Times New Roman" w:hAnsi="Times New Roman"/>
          <w:sz w:val="24"/>
          <w:lang w:val="pt-BR" w:eastAsia="x-none"/>
        </w:rPr>
        <w:tab/>
        <w:t>o ganho ou a perda no valor justo que teria sido reconhecido no resultado ou em outros resultados abrangentes durante o período de relatório se os ativos financeiros não tivessem sido reclassificados.</w:t>
      </w:r>
    </w:p>
    <w:p w14:paraId="2BF4CE5C" w14:textId="77777777" w:rsidR="003C12AE" w:rsidRPr="003C12AE" w:rsidRDefault="003C12AE" w:rsidP="003C12AE">
      <w:pPr>
        <w:widowControl w:val="0"/>
        <w:tabs>
          <w:tab w:val="left" w:pos="709"/>
          <w:tab w:val="left" w:pos="6804"/>
        </w:tabs>
        <w:spacing w:before="0" w:after="0"/>
        <w:ind w:left="709" w:right="-1" w:hanging="709"/>
        <w:rPr>
          <w:rFonts w:ascii="Times New Roman" w:hAnsi="Times New Roman"/>
          <w:sz w:val="24"/>
          <w:lang w:val="pt-BR" w:eastAsia="x-none"/>
        </w:rPr>
      </w:pPr>
    </w:p>
    <w:p w14:paraId="699D6421" w14:textId="77777777" w:rsidR="003C12AE" w:rsidRPr="003C12AE" w:rsidRDefault="003C12AE" w:rsidP="003C12AE">
      <w:pPr>
        <w:widowControl w:val="0"/>
        <w:tabs>
          <w:tab w:val="left" w:pos="6804"/>
        </w:tabs>
        <w:spacing w:before="0" w:after="0"/>
        <w:ind w:left="567" w:right="-1" w:hanging="567"/>
        <w:rPr>
          <w:bCs/>
          <w:iCs/>
        </w:rPr>
      </w:pPr>
      <w:r w:rsidRPr="003C12AE">
        <w:rPr>
          <w:rFonts w:ascii="Times New Roman" w:hAnsi="Times New Roman"/>
          <w:sz w:val="24"/>
          <w:lang w:val="pt-BR" w:eastAsia="x-none"/>
        </w:rPr>
        <w:t>13.</w:t>
      </w:r>
      <w:r w:rsidRPr="003C12AE">
        <w:rPr>
          <w:rFonts w:ascii="Times New Roman" w:hAnsi="Times New Roman"/>
          <w:sz w:val="24"/>
          <w:lang w:val="pt-BR" w:eastAsia="x-none"/>
        </w:rPr>
        <w:tab/>
        <w:t>(Eliminado).</w:t>
      </w:r>
      <w:r w:rsidRPr="003C12AE">
        <w:rPr>
          <w:bCs/>
          <w:iCs/>
        </w:rPr>
        <w:t xml:space="preserve"> </w:t>
      </w:r>
    </w:p>
    <w:p w14:paraId="5617357B" w14:textId="77777777" w:rsidR="003C12AE" w:rsidRPr="003C12AE" w:rsidRDefault="003C12AE" w:rsidP="003C12AE">
      <w:pPr>
        <w:widowControl w:val="0"/>
        <w:tabs>
          <w:tab w:val="left" w:pos="6804"/>
        </w:tabs>
        <w:spacing w:before="0" w:after="0"/>
        <w:ind w:left="567" w:right="-1" w:hanging="567"/>
        <w:rPr>
          <w:rFonts w:ascii="Times New Roman" w:hAnsi="Times New Roman"/>
          <w:strike/>
          <w:kern w:val="36"/>
          <w:sz w:val="24"/>
          <w:lang w:val="pt-BR" w:eastAsia="x-none"/>
        </w:rPr>
      </w:pPr>
    </w:p>
    <w:p w14:paraId="536B9450" w14:textId="77777777" w:rsidR="003C12AE" w:rsidRPr="003C12AE" w:rsidRDefault="003C12AE" w:rsidP="003C12AE">
      <w:pPr>
        <w:widowControl w:val="0"/>
        <w:tabs>
          <w:tab w:val="left" w:pos="6804"/>
        </w:tabs>
        <w:spacing w:before="0" w:after="0"/>
        <w:ind w:left="567" w:hanging="567"/>
        <w:rPr>
          <w:rFonts w:ascii="Times New Roman" w:hAnsi="Times New Roman"/>
          <w:b/>
          <w:kern w:val="36"/>
          <w:sz w:val="24"/>
          <w:lang w:val="pt-BR" w:eastAsia="x-none"/>
        </w:rPr>
      </w:pPr>
      <w:r w:rsidRPr="003C12AE">
        <w:rPr>
          <w:rFonts w:ascii="Times New Roman" w:hAnsi="Times New Roman"/>
          <w:b/>
          <w:kern w:val="36"/>
          <w:sz w:val="24"/>
          <w:lang w:val="pt-BR" w:eastAsia="x-none"/>
        </w:rPr>
        <w:t>Compensação de ativos financeiros e passivos financeiros</w:t>
      </w:r>
    </w:p>
    <w:p w14:paraId="612598BA" w14:textId="77777777" w:rsidR="003C12AE" w:rsidRPr="003C12AE" w:rsidRDefault="003C12AE" w:rsidP="003C12AE">
      <w:pPr>
        <w:widowControl w:val="0"/>
        <w:tabs>
          <w:tab w:val="left" w:pos="6804"/>
        </w:tabs>
        <w:spacing w:before="0" w:after="0"/>
        <w:ind w:left="567" w:hanging="567"/>
        <w:rPr>
          <w:rFonts w:ascii="Times New Roman" w:hAnsi="Times New Roman"/>
          <w:kern w:val="36"/>
          <w:sz w:val="24"/>
          <w:lang w:val="pt-BR" w:eastAsia="x-none"/>
        </w:rPr>
      </w:pPr>
    </w:p>
    <w:p w14:paraId="7A610556" w14:textId="0ED3A349" w:rsidR="003C12AE" w:rsidRPr="003C12AE" w:rsidRDefault="003C12AE" w:rsidP="003C12AE">
      <w:pPr>
        <w:widowControl w:val="0"/>
        <w:tabs>
          <w:tab w:val="left" w:pos="6804"/>
        </w:tabs>
        <w:spacing w:before="0" w:after="0"/>
        <w:ind w:left="567" w:hanging="567"/>
        <w:rPr>
          <w:rFonts w:ascii="Times New Roman" w:hAnsi="Times New Roman"/>
          <w:kern w:val="36"/>
          <w:sz w:val="24"/>
          <w:lang w:val="pt-BR" w:eastAsia="x-none"/>
        </w:rPr>
      </w:pPr>
      <w:r w:rsidRPr="003C12AE">
        <w:rPr>
          <w:rFonts w:ascii="Times New Roman" w:hAnsi="Times New Roman"/>
          <w:kern w:val="36"/>
          <w:sz w:val="24"/>
          <w:lang w:val="pt-BR" w:eastAsia="x-none"/>
        </w:rPr>
        <w:t>13A. As divulgações nos itens 13B a 13E complementam os outros requisitos de divulgação deste pronunciamento e são requeridas para todos os instrumentos financeiros reconhecidos, que são compensados de acordo com o item 42 do CPC 39. Essas divulgações também se aplicam a instrumentos financeiros reconhecidos que estão sujeitos a acordo principal de liquidação executável ou acordo similar, independentemente de se eles são compensados de acordo com o item 42 do CPC 39.</w:t>
      </w:r>
    </w:p>
    <w:p w14:paraId="7716B86A" w14:textId="77777777" w:rsidR="003C12AE" w:rsidRPr="003C12AE" w:rsidRDefault="003C12AE" w:rsidP="003C12AE">
      <w:pPr>
        <w:widowControl w:val="0"/>
        <w:tabs>
          <w:tab w:val="left" w:pos="6804"/>
        </w:tabs>
        <w:spacing w:before="0" w:after="0"/>
        <w:ind w:left="567" w:hanging="567"/>
        <w:rPr>
          <w:rFonts w:ascii="Times New Roman" w:hAnsi="Times New Roman"/>
          <w:kern w:val="36"/>
          <w:sz w:val="24"/>
          <w:lang w:val="pt-BR" w:eastAsia="x-none"/>
        </w:rPr>
      </w:pPr>
    </w:p>
    <w:p w14:paraId="3DADA43B" w14:textId="682BEA94" w:rsidR="003C12AE" w:rsidRPr="003C12AE" w:rsidRDefault="003C12AE" w:rsidP="003C12AE">
      <w:pPr>
        <w:widowControl w:val="0"/>
        <w:tabs>
          <w:tab w:val="left" w:pos="6804"/>
        </w:tabs>
        <w:spacing w:before="0" w:after="0"/>
        <w:ind w:left="567" w:hanging="567"/>
        <w:rPr>
          <w:rFonts w:ascii="Times New Roman" w:hAnsi="Times New Roman"/>
          <w:kern w:val="36"/>
          <w:sz w:val="24"/>
          <w:lang w:val="pt-BR" w:eastAsia="x-none"/>
        </w:rPr>
      </w:pPr>
      <w:r w:rsidRPr="003C12AE">
        <w:rPr>
          <w:rFonts w:ascii="Times New Roman" w:hAnsi="Times New Roman"/>
          <w:kern w:val="36"/>
          <w:sz w:val="24"/>
          <w:lang w:val="pt-BR" w:eastAsia="x-none"/>
        </w:rPr>
        <w:t xml:space="preserve">13B. </w:t>
      </w:r>
      <w:r w:rsidRPr="003C12AE">
        <w:rPr>
          <w:rFonts w:ascii="Times New Roman" w:hAnsi="Times New Roman"/>
          <w:kern w:val="36"/>
          <w:sz w:val="24"/>
          <w:lang w:val="pt-BR" w:eastAsia="x-none"/>
        </w:rPr>
        <w:tab/>
        <w:t>A entidade deve divulgar informações para possibilitar aos usuários de suas demonstrações contábeis avaliarem o efeito ou efeito potencial de acordos de liquidação na posição financeira da entidade. Isso inclui o efeito ou efeito potencial de direitos de compensação associados aos ativos financeiros reconhecidos e passivos financeiros reconhecidos da entidade, que estão dentro do alcance do item 13A.</w:t>
      </w:r>
    </w:p>
    <w:p w14:paraId="498250A9" w14:textId="77777777" w:rsidR="003C12AE" w:rsidRPr="003C12AE" w:rsidRDefault="003C12AE" w:rsidP="003C12AE">
      <w:pPr>
        <w:widowControl w:val="0"/>
        <w:tabs>
          <w:tab w:val="left" w:pos="6804"/>
        </w:tabs>
        <w:spacing w:before="0" w:after="0"/>
        <w:ind w:left="567" w:hanging="567"/>
        <w:rPr>
          <w:rFonts w:ascii="Times New Roman" w:hAnsi="Times New Roman"/>
          <w:kern w:val="36"/>
          <w:sz w:val="24"/>
          <w:lang w:val="pt-BR" w:eastAsia="x-none"/>
        </w:rPr>
      </w:pPr>
    </w:p>
    <w:p w14:paraId="275D4C72" w14:textId="77777777" w:rsidR="003C12AE" w:rsidRPr="003C12AE" w:rsidRDefault="003C12AE" w:rsidP="003C12AE">
      <w:pPr>
        <w:widowControl w:val="0"/>
        <w:tabs>
          <w:tab w:val="left" w:pos="6804"/>
        </w:tabs>
        <w:spacing w:before="0"/>
        <w:ind w:left="567" w:hanging="567"/>
        <w:rPr>
          <w:rFonts w:ascii="Times New Roman" w:hAnsi="Times New Roman"/>
          <w:kern w:val="36"/>
          <w:sz w:val="24"/>
          <w:lang w:val="pt-BR" w:eastAsia="x-none"/>
        </w:rPr>
      </w:pPr>
      <w:r w:rsidRPr="003C12AE">
        <w:rPr>
          <w:rFonts w:ascii="Times New Roman" w:hAnsi="Times New Roman"/>
          <w:kern w:val="36"/>
          <w:sz w:val="24"/>
          <w:lang w:val="pt-BR" w:eastAsia="x-none"/>
        </w:rPr>
        <w:t xml:space="preserve">13C. </w:t>
      </w:r>
      <w:r w:rsidRPr="003C12AE">
        <w:rPr>
          <w:rFonts w:ascii="Times New Roman" w:hAnsi="Times New Roman"/>
          <w:kern w:val="36"/>
          <w:sz w:val="24"/>
          <w:lang w:val="pt-BR" w:eastAsia="x-none"/>
        </w:rPr>
        <w:tab/>
        <w:t>Para atingir o objetivo do item 13B, a entidade deve divulgar, no final do período de relatório, as seguintes informações quantitativas separadamente para ativos financeiros reconhecidos e passivos financeiros reconhecidos, que estão dentro do alcance do item 13A:</w:t>
      </w:r>
    </w:p>
    <w:p w14:paraId="414A7E37" w14:textId="77777777" w:rsidR="003C12AE" w:rsidRPr="003C12AE" w:rsidRDefault="003C12AE" w:rsidP="003C12AE">
      <w:pPr>
        <w:widowControl w:val="0"/>
        <w:tabs>
          <w:tab w:val="left" w:pos="6804"/>
        </w:tabs>
        <w:spacing w:before="0"/>
        <w:ind w:left="993" w:right="57" w:hanging="426"/>
        <w:rPr>
          <w:rFonts w:ascii="Times New Roman" w:hAnsi="Times New Roman"/>
          <w:kern w:val="36"/>
          <w:sz w:val="24"/>
          <w:lang w:val="pt-BR" w:eastAsia="x-none"/>
        </w:rPr>
      </w:pPr>
      <w:r w:rsidRPr="003C12AE">
        <w:rPr>
          <w:rFonts w:ascii="Times New Roman" w:hAnsi="Times New Roman"/>
          <w:kern w:val="36"/>
          <w:sz w:val="24"/>
          <w:lang w:val="pt-BR" w:eastAsia="x-none"/>
        </w:rPr>
        <w:t xml:space="preserve">(a) </w:t>
      </w:r>
      <w:r w:rsidRPr="003C12AE">
        <w:rPr>
          <w:rFonts w:ascii="Times New Roman" w:hAnsi="Times New Roman"/>
          <w:kern w:val="36"/>
          <w:sz w:val="24"/>
          <w:lang w:val="pt-BR" w:eastAsia="x-none"/>
        </w:rPr>
        <w:tab/>
        <w:t>os valores brutos desses ativos financeiros reconhecidos e passivos financeiros reconhecidos;</w:t>
      </w:r>
    </w:p>
    <w:p w14:paraId="61D8E4C9" w14:textId="77777777" w:rsidR="003C12AE" w:rsidRPr="003C12AE" w:rsidRDefault="003C12AE" w:rsidP="003C12AE">
      <w:pPr>
        <w:widowControl w:val="0"/>
        <w:tabs>
          <w:tab w:val="left" w:pos="6804"/>
        </w:tabs>
        <w:spacing w:before="0"/>
        <w:ind w:left="993" w:right="57" w:hanging="426"/>
        <w:rPr>
          <w:rFonts w:ascii="Times New Roman" w:hAnsi="Times New Roman"/>
          <w:kern w:val="36"/>
          <w:sz w:val="24"/>
          <w:lang w:val="pt-BR" w:eastAsia="x-none"/>
        </w:rPr>
      </w:pPr>
      <w:r w:rsidRPr="003C12AE">
        <w:rPr>
          <w:rFonts w:ascii="Times New Roman" w:hAnsi="Times New Roman"/>
          <w:kern w:val="36"/>
          <w:sz w:val="24"/>
          <w:lang w:val="pt-BR" w:eastAsia="x-none"/>
        </w:rPr>
        <w:t xml:space="preserve">(b) </w:t>
      </w:r>
      <w:r w:rsidRPr="003C12AE">
        <w:rPr>
          <w:rFonts w:ascii="Times New Roman" w:hAnsi="Times New Roman"/>
          <w:kern w:val="36"/>
          <w:sz w:val="24"/>
          <w:lang w:val="pt-BR" w:eastAsia="x-none"/>
        </w:rPr>
        <w:tab/>
        <w:t>os valores que são compensados de acordo com os critérios descritos no item 42 do CPC 39 ao determinar os valores líquidos apresentados no balanço patrimonial;</w:t>
      </w:r>
    </w:p>
    <w:p w14:paraId="58CDE6EF" w14:textId="77777777" w:rsidR="003C12AE" w:rsidRPr="003C12AE" w:rsidRDefault="003C12AE" w:rsidP="003C12AE">
      <w:pPr>
        <w:widowControl w:val="0"/>
        <w:tabs>
          <w:tab w:val="left" w:pos="6804"/>
        </w:tabs>
        <w:spacing w:before="0"/>
        <w:ind w:left="993" w:right="57" w:hanging="426"/>
        <w:rPr>
          <w:rFonts w:ascii="Times New Roman" w:hAnsi="Times New Roman"/>
          <w:kern w:val="36"/>
          <w:sz w:val="24"/>
          <w:lang w:val="pt-BR" w:eastAsia="x-none"/>
        </w:rPr>
      </w:pPr>
      <w:r w:rsidRPr="003C12AE">
        <w:rPr>
          <w:rFonts w:ascii="Times New Roman" w:hAnsi="Times New Roman"/>
          <w:kern w:val="36"/>
          <w:sz w:val="24"/>
          <w:lang w:val="pt-BR" w:eastAsia="x-none"/>
        </w:rPr>
        <w:t xml:space="preserve">(c) </w:t>
      </w:r>
      <w:r w:rsidRPr="003C12AE">
        <w:rPr>
          <w:rFonts w:ascii="Times New Roman" w:hAnsi="Times New Roman"/>
          <w:kern w:val="36"/>
          <w:sz w:val="24"/>
          <w:lang w:val="pt-BR" w:eastAsia="x-none"/>
        </w:rPr>
        <w:tab/>
        <w:t>os valores líquidos apresentados no balanço patrimonial;</w:t>
      </w:r>
    </w:p>
    <w:p w14:paraId="6E213896" w14:textId="77777777" w:rsidR="003C12AE" w:rsidRPr="003C12AE" w:rsidRDefault="003C12AE" w:rsidP="003C12AE">
      <w:pPr>
        <w:widowControl w:val="0"/>
        <w:tabs>
          <w:tab w:val="left" w:pos="6804"/>
        </w:tabs>
        <w:spacing w:before="0"/>
        <w:ind w:left="993" w:right="57" w:hanging="426"/>
        <w:rPr>
          <w:rFonts w:ascii="Times New Roman" w:hAnsi="Times New Roman"/>
          <w:kern w:val="36"/>
          <w:sz w:val="24"/>
          <w:lang w:val="pt-BR" w:eastAsia="x-none"/>
        </w:rPr>
      </w:pPr>
      <w:r w:rsidRPr="003C12AE">
        <w:rPr>
          <w:rFonts w:ascii="Times New Roman" w:hAnsi="Times New Roman"/>
          <w:kern w:val="36"/>
          <w:sz w:val="24"/>
          <w:lang w:val="pt-BR" w:eastAsia="x-none"/>
        </w:rPr>
        <w:t xml:space="preserve">(d) </w:t>
      </w:r>
      <w:r w:rsidRPr="003C12AE">
        <w:rPr>
          <w:rFonts w:ascii="Times New Roman" w:hAnsi="Times New Roman"/>
          <w:kern w:val="36"/>
          <w:sz w:val="24"/>
          <w:lang w:val="pt-BR" w:eastAsia="x-none"/>
        </w:rPr>
        <w:tab/>
        <w:t>os valores sujeitos a acordo principal de liquidação executável ou acordo similar que não estão de outro modo incluídos no item 13C(b), incluindo:</w:t>
      </w:r>
    </w:p>
    <w:p w14:paraId="0B84C390" w14:textId="77777777" w:rsidR="003C12AE" w:rsidRPr="003C12AE" w:rsidRDefault="003C12AE" w:rsidP="003C12AE">
      <w:pPr>
        <w:widowControl w:val="0"/>
        <w:tabs>
          <w:tab w:val="left" w:pos="6804"/>
        </w:tabs>
        <w:spacing w:before="0"/>
        <w:ind w:left="1418" w:right="57" w:hanging="425"/>
        <w:rPr>
          <w:rFonts w:ascii="Times New Roman" w:hAnsi="Times New Roman"/>
          <w:kern w:val="36"/>
          <w:sz w:val="24"/>
          <w:lang w:val="pt-BR" w:eastAsia="x-none"/>
        </w:rPr>
      </w:pPr>
      <w:r w:rsidRPr="003C12AE">
        <w:rPr>
          <w:rFonts w:ascii="Times New Roman" w:hAnsi="Times New Roman"/>
          <w:kern w:val="36"/>
          <w:sz w:val="24"/>
          <w:lang w:val="pt-BR" w:eastAsia="x-none"/>
        </w:rPr>
        <w:t xml:space="preserve">(i) </w:t>
      </w:r>
      <w:r w:rsidRPr="003C12AE">
        <w:rPr>
          <w:rFonts w:ascii="Times New Roman" w:hAnsi="Times New Roman"/>
          <w:kern w:val="36"/>
          <w:sz w:val="24"/>
          <w:lang w:val="pt-BR" w:eastAsia="x-none"/>
        </w:rPr>
        <w:tab/>
        <w:t>valores relativos a instrumentos financeiros reconhecidos, que não atendem a alguns ou a todos os critérios de compensação descritos no item 42 do CPC 39; e</w:t>
      </w:r>
    </w:p>
    <w:p w14:paraId="7F4F2288" w14:textId="77777777" w:rsidR="003C12AE" w:rsidRPr="003C12AE" w:rsidRDefault="003C12AE" w:rsidP="003C12AE">
      <w:pPr>
        <w:widowControl w:val="0"/>
        <w:spacing w:before="0"/>
        <w:ind w:left="1418" w:right="57" w:hanging="425"/>
        <w:rPr>
          <w:rFonts w:ascii="Times New Roman" w:hAnsi="Times New Roman"/>
          <w:kern w:val="36"/>
          <w:sz w:val="24"/>
          <w:lang w:val="pt-BR" w:eastAsia="x-none"/>
        </w:rPr>
      </w:pPr>
      <w:r w:rsidRPr="003C12AE">
        <w:rPr>
          <w:rFonts w:ascii="Times New Roman" w:hAnsi="Times New Roman"/>
          <w:kern w:val="36"/>
          <w:sz w:val="24"/>
          <w:lang w:val="pt-BR" w:eastAsia="x-none"/>
        </w:rPr>
        <w:t xml:space="preserve">(ii) </w:t>
      </w:r>
      <w:r w:rsidRPr="003C12AE">
        <w:rPr>
          <w:rFonts w:ascii="Times New Roman" w:hAnsi="Times New Roman"/>
          <w:kern w:val="36"/>
          <w:sz w:val="24"/>
          <w:lang w:val="pt-BR" w:eastAsia="x-none"/>
        </w:rPr>
        <w:tab/>
        <w:t>valores relativos à garantia financeira (incluindo garantia em caixa); e</w:t>
      </w:r>
    </w:p>
    <w:p w14:paraId="19ECB697" w14:textId="77777777" w:rsidR="003C12AE" w:rsidRPr="003C12AE" w:rsidRDefault="003C12AE" w:rsidP="003C12AE">
      <w:pPr>
        <w:widowControl w:val="0"/>
        <w:tabs>
          <w:tab w:val="left" w:pos="6804"/>
        </w:tabs>
        <w:spacing w:before="0"/>
        <w:ind w:left="993" w:hanging="426"/>
        <w:rPr>
          <w:rFonts w:ascii="Times New Roman" w:hAnsi="Times New Roman"/>
          <w:kern w:val="36"/>
          <w:sz w:val="24"/>
          <w:lang w:val="pt-BR" w:eastAsia="x-none"/>
        </w:rPr>
      </w:pPr>
      <w:r w:rsidRPr="003C12AE">
        <w:rPr>
          <w:rFonts w:ascii="Times New Roman" w:hAnsi="Times New Roman"/>
          <w:kern w:val="36"/>
          <w:sz w:val="24"/>
          <w:lang w:val="pt-BR" w:eastAsia="x-none"/>
        </w:rPr>
        <w:t xml:space="preserve">(e) </w:t>
      </w:r>
      <w:r w:rsidRPr="003C12AE">
        <w:rPr>
          <w:rFonts w:ascii="Times New Roman" w:hAnsi="Times New Roman"/>
          <w:kern w:val="36"/>
          <w:sz w:val="24"/>
          <w:lang w:val="pt-BR" w:eastAsia="x-none"/>
        </w:rPr>
        <w:tab/>
        <w:t>o valor líquido após deduzir os valores da alínea (d) dos valores da alínea (c) acima.</w:t>
      </w:r>
    </w:p>
    <w:p w14:paraId="29258A03" w14:textId="5261D1BC" w:rsidR="003C12AE" w:rsidRPr="003C12AE" w:rsidRDefault="003C12AE" w:rsidP="003C12AE">
      <w:pPr>
        <w:widowControl w:val="0"/>
        <w:tabs>
          <w:tab w:val="left" w:pos="6804"/>
        </w:tabs>
        <w:spacing w:before="0" w:after="0"/>
        <w:ind w:left="567"/>
        <w:rPr>
          <w:rFonts w:ascii="Times New Roman" w:hAnsi="Times New Roman"/>
          <w:kern w:val="36"/>
          <w:sz w:val="24"/>
          <w:lang w:val="pt-BR" w:eastAsia="x-none"/>
        </w:rPr>
      </w:pPr>
      <w:r w:rsidRPr="003C12AE">
        <w:rPr>
          <w:rFonts w:ascii="Times New Roman" w:hAnsi="Times New Roman"/>
          <w:kern w:val="36"/>
          <w:sz w:val="24"/>
          <w:lang w:val="pt-BR" w:eastAsia="x-none"/>
        </w:rPr>
        <w:t>As informações requeridas por este item devem ser apresentadas em formato tabular, separadamente para ativos financeiros e passivos financeiros, salvo se outro formato for mais apropriado.</w:t>
      </w:r>
    </w:p>
    <w:p w14:paraId="202C4FB0" w14:textId="77777777" w:rsidR="003C12AE" w:rsidRPr="003C12AE" w:rsidRDefault="003C12AE" w:rsidP="003C12AE">
      <w:pPr>
        <w:widowControl w:val="0"/>
        <w:tabs>
          <w:tab w:val="left" w:pos="6804"/>
        </w:tabs>
        <w:spacing w:before="0" w:after="0"/>
        <w:ind w:left="567" w:hanging="567"/>
        <w:rPr>
          <w:rFonts w:ascii="Times New Roman" w:hAnsi="Times New Roman"/>
          <w:kern w:val="36"/>
          <w:sz w:val="24"/>
          <w:lang w:val="pt-BR" w:eastAsia="x-none"/>
        </w:rPr>
      </w:pPr>
    </w:p>
    <w:p w14:paraId="5EF9C80F" w14:textId="0DB80D4A" w:rsidR="003C12AE" w:rsidRPr="003C12AE" w:rsidRDefault="003C12AE" w:rsidP="003C12AE">
      <w:pPr>
        <w:widowControl w:val="0"/>
        <w:tabs>
          <w:tab w:val="left" w:pos="6804"/>
        </w:tabs>
        <w:spacing w:before="0" w:after="0"/>
        <w:ind w:left="567" w:hanging="567"/>
        <w:rPr>
          <w:lang w:val="pt-BR" w:eastAsia="x-none"/>
        </w:rPr>
      </w:pPr>
      <w:r w:rsidRPr="003C12AE">
        <w:rPr>
          <w:rFonts w:ascii="Times New Roman" w:hAnsi="Times New Roman"/>
          <w:kern w:val="36"/>
          <w:sz w:val="24"/>
          <w:lang w:val="pt-BR" w:eastAsia="x-none"/>
        </w:rPr>
        <w:t xml:space="preserve">13D. </w:t>
      </w:r>
      <w:r w:rsidRPr="003C12AE">
        <w:rPr>
          <w:rFonts w:ascii="Times New Roman" w:hAnsi="Times New Roman"/>
          <w:kern w:val="36"/>
          <w:sz w:val="24"/>
          <w:lang w:val="pt-BR" w:eastAsia="x-none"/>
        </w:rPr>
        <w:tab/>
        <w:t>O valor total divulgado, de acordo com o item 13C(d) para um instrumento, é limitado ao valor do item 13C(c) para esse instrumento.</w:t>
      </w:r>
    </w:p>
    <w:p w14:paraId="2F7CDF56" w14:textId="77777777" w:rsidR="003C12AE" w:rsidRPr="003C12AE" w:rsidRDefault="003C12AE" w:rsidP="003C12AE">
      <w:pPr>
        <w:widowControl w:val="0"/>
        <w:tabs>
          <w:tab w:val="left" w:pos="6804"/>
        </w:tabs>
        <w:spacing w:before="0" w:after="0"/>
        <w:ind w:left="567" w:hanging="567"/>
        <w:rPr>
          <w:rFonts w:ascii="Times New Roman" w:hAnsi="Times New Roman"/>
          <w:kern w:val="36"/>
          <w:sz w:val="24"/>
          <w:lang w:val="pt-BR" w:eastAsia="x-none"/>
        </w:rPr>
      </w:pPr>
    </w:p>
    <w:p w14:paraId="6490B1B1" w14:textId="68E28A40" w:rsidR="003C12AE" w:rsidRPr="003C12AE" w:rsidRDefault="003C12AE" w:rsidP="003C12AE">
      <w:pPr>
        <w:widowControl w:val="0"/>
        <w:tabs>
          <w:tab w:val="left" w:pos="6804"/>
        </w:tabs>
        <w:spacing w:before="0" w:after="0"/>
        <w:ind w:left="567" w:hanging="567"/>
        <w:rPr>
          <w:rFonts w:ascii="Times New Roman" w:hAnsi="Times New Roman"/>
          <w:kern w:val="36"/>
          <w:sz w:val="24"/>
          <w:lang w:val="pt-BR" w:eastAsia="x-none"/>
        </w:rPr>
      </w:pPr>
      <w:r w:rsidRPr="003C12AE">
        <w:rPr>
          <w:rFonts w:ascii="Times New Roman" w:hAnsi="Times New Roman"/>
          <w:kern w:val="36"/>
          <w:sz w:val="24"/>
          <w:lang w:val="pt-BR" w:eastAsia="x-none"/>
        </w:rPr>
        <w:lastRenderedPageBreak/>
        <w:t xml:space="preserve">13E. </w:t>
      </w:r>
      <w:r w:rsidRPr="003C12AE">
        <w:rPr>
          <w:rFonts w:ascii="Times New Roman" w:hAnsi="Times New Roman"/>
          <w:kern w:val="36"/>
          <w:sz w:val="24"/>
          <w:lang w:val="pt-BR" w:eastAsia="x-none"/>
        </w:rPr>
        <w:tab/>
        <w:t>A entidade deve incluir descrição nas divulgações dos direitos de compensação associados aos ativos financeiros reconhecidos e passivos financeiros reconhecidos da entidade, sujeitos a acordos principais de liquidação executáveis e a acordos similares que são divulgados de acordo com o item 13C(d), incluindo a natureza desses direitos.</w:t>
      </w:r>
    </w:p>
    <w:p w14:paraId="1DFDD022" w14:textId="77777777" w:rsidR="003C12AE" w:rsidRPr="003C12AE" w:rsidRDefault="003C12AE" w:rsidP="003C12AE">
      <w:pPr>
        <w:widowControl w:val="0"/>
        <w:tabs>
          <w:tab w:val="left" w:pos="6804"/>
        </w:tabs>
        <w:spacing w:before="0" w:after="0"/>
        <w:ind w:left="567" w:hanging="567"/>
        <w:rPr>
          <w:rFonts w:ascii="Times New Roman" w:hAnsi="Times New Roman"/>
          <w:kern w:val="36"/>
          <w:sz w:val="24"/>
          <w:lang w:val="pt-BR" w:eastAsia="x-none"/>
        </w:rPr>
      </w:pPr>
    </w:p>
    <w:p w14:paraId="2D26735B" w14:textId="55DEA632" w:rsidR="003C12AE" w:rsidRPr="003C12AE" w:rsidRDefault="003C12AE" w:rsidP="003C12AE">
      <w:pPr>
        <w:widowControl w:val="0"/>
        <w:tabs>
          <w:tab w:val="left" w:pos="6804"/>
        </w:tabs>
        <w:spacing w:before="0" w:after="0"/>
        <w:ind w:left="567" w:hanging="567"/>
        <w:rPr>
          <w:rFonts w:ascii="Times New Roman" w:hAnsi="Times New Roman"/>
          <w:kern w:val="36"/>
          <w:sz w:val="24"/>
          <w:lang w:val="pt-BR" w:eastAsia="x-none"/>
        </w:rPr>
      </w:pPr>
      <w:r w:rsidRPr="003C12AE">
        <w:rPr>
          <w:rFonts w:ascii="Times New Roman" w:hAnsi="Times New Roman"/>
          <w:kern w:val="36"/>
          <w:sz w:val="24"/>
          <w:lang w:val="pt-BR" w:eastAsia="x-none"/>
        </w:rPr>
        <w:t xml:space="preserve">13F. </w:t>
      </w:r>
      <w:r w:rsidRPr="003C12AE">
        <w:rPr>
          <w:rFonts w:ascii="Times New Roman" w:hAnsi="Times New Roman"/>
          <w:kern w:val="36"/>
          <w:sz w:val="24"/>
          <w:lang w:val="pt-BR" w:eastAsia="x-none"/>
        </w:rPr>
        <w:tab/>
        <w:t>Se as informações requeridas pelos itens 13B a 13E forem divulgadas em mais de uma nota explicativa às demonstrações contábeis, a entidade deve fazer referência cruzada a essas notas explicativas.</w:t>
      </w:r>
    </w:p>
    <w:p w14:paraId="37243D14" w14:textId="77777777" w:rsidR="003C12AE" w:rsidRPr="003C12AE" w:rsidRDefault="003C12AE" w:rsidP="003C12AE">
      <w:pPr>
        <w:widowControl w:val="0"/>
        <w:tabs>
          <w:tab w:val="left" w:pos="6804"/>
        </w:tabs>
        <w:spacing w:before="0" w:after="0"/>
        <w:ind w:left="567" w:right="-1" w:hanging="567"/>
        <w:rPr>
          <w:rFonts w:ascii="Times New Roman" w:hAnsi="Times New Roman"/>
          <w:strike/>
          <w:kern w:val="36"/>
          <w:sz w:val="24"/>
          <w:lang w:val="pt-BR" w:eastAsia="x-none"/>
        </w:rPr>
      </w:pPr>
    </w:p>
    <w:p w14:paraId="04480C00"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ab/>
        <w:t>Garantia</w:t>
      </w:r>
    </w:p>
    <w:p w14:paraId="5B010668"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515FBCA4"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14.</w:t>
      </w:r>
      <w:r w:rsidRPr="003C12AE">
        <w:rPr>
          <w:rFonts w:ascii="Times New Roman" w:hAnsi="Times New Roman"/>
          <w:sz w:val="24"/>
          <w:lang w:val="pt-BR" w:eastAsia="x-none"/>
        </w:rPr>
        <w:tab/>
        <w:t>A entidade deve divulgar:</w:t>
      </w:r>
    </w:p>
    <w:p w14:paraId="60D4B8E4" w14:textId="3EEDAA97" w:rsidR="003C12AE" w:rsidRPr="003C12AE" w:rsidRDefault="0096569F" w:rsidP="00F307D5">
      <w:pPr>
        <w:widowControl w:val="0"/>
        <w:numPr>
          <w:ilvl w:val="0"/>
          <w:numId w:val="8"/>
        </w:numPr>
        <w:tabs>
          <w:tab w:val="clear" w:pos="1070"/>
        </w:tabs>
        <w:spacing w:before="0"/>
        <w:ind w:left="993" w:right="-1" w:hanging="284"/>
        <w:rPr>
          <w:rFonts w:ascii="Times New Roman" w:hAnsi="Times New Roman"/>
          <w:bCs/>
          <w:iCs/>
          <w:strike/>
          <w:sz w:val="24"/>
          <w:lang w:val="pt-BR"/>
        </w:rPr>
      </w:pPr>
      <w:r w:rsidRPr="003C12AE">
        <w:rPr>
          <w:rFonts w:ascii="Times New Roman" w:hAnsi="Times New Roman"/>
          <w:bCs/>
          <w:sz w:val="24"/>
          <w:lang w:val="pt-BR"/>
        </w:rPr>
        <w:t>o valor contábil do ativo financeiro que é usado como garantia para passivos ou passivos contingentes, incluindo montantes que tenham sido reclassificados em consonância com o item 3.2.23(a) do CPC 48; e</w:t>
      </w:r>
      <w:r w:rsidR="003C12AE" w:rsidRPr="003C12AE">
        <w:rPr>
          <w:rFonts w:ascii="Times New Roman" w:hAnsi="Times New Roman"/>
          <w:bCs/>
          <w:iCs/>
          <w:strike/>
          <w:sz w:val="24"/>
          <w:lang w:val="pt-BR"/>
        </w:rPr>
        <w:t xml:space="preserve"> </w:t>
      </w:r>
    </w:p>
    <w:p w14:paraId="53A63BA6" w14:textId="77777777" w:rsidR="003C12AE" w:rsidRPr="003C12AE" w:rsidRDefault="003C12AE" w:rsidP="00F307D5">
      <w:pPr>
        <w:widowControl w:val="0"/>
        <w:numPr>
          <w:ilvl w:val="0"/>
          <w:numId w:val="8"/>
        </w:numPr>
        <w:tabs>
          <w:tab w:val="clear" w:pos="1070"/>
        </w:tabs>
        <w:spacing w:before="0" w:after="0"/>
        <w:ind w:left="993" w:right="-1" w:hanging="284"/>
        <w:rPr>
          <w:rFonts w:ascii="Times New Roman" w:hAnsi="Times New Roman"/>
          <w:bCs/>
          <w:iCs/>
          <w:sz w:val="24"/>
          <w:lang w:val="pt-BR"/>
        </w:rPr>
      </w:pPr>
      <w:r w:rsidRPr="003C12AE">
        <w:rPr>
          <w:rFonts w:ascii="Times New Roman" w:hAnsi="Times New Roman"/>
          <w:bCs/>
          <w:iCs/>
          <w:sz w:val="24"/>
          <w:lang w:val="pt-BR"/>
        </w:rPr>
        <w:t>os termos e as condições relativos à garantia.</w:t>
      </w:r>
    </w:p>
    <w:p w14:paraId="2B4B4146" w14:textId="77777777" w:rsidR="003C12AE" w:rsidRPr="003C12AE" w:rsidRDefault="003C12AE" w:rsidP="003C12AE">
      <w:pPr>
        <w:autoSpaceDE w:val="0"/>
        <w:autoSpaceDN w:val="0"/>
        <w:adjustRightInd w:val="0"/>
        <w:spacing w:before="0" w:after="0"/>
        <w:ind w:left="720" w:right="-1" w:hanging="720"/>
        <w:jc w:val="left"/>
        <w:rPr>
          <w:rFonts w:ascii="Times New Roman" w:hAnsi="Times New Roman"/>
          <w:sz w:val="24"/>
          <w:lang w:val="pt-BR"/>
        </w:rPr>
      </w:pPr>
    </w:p>
    <w:p w14:paraId="0113D879"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15.</w:t>
      </w:r>
      <w:r w:rsidRPr="003C12AE">
        <w:rPr>
          <w:rFonts w:ascii="Times New Roman" w:hAnsi="Times New Roman"/>
          <w:sz w:val="24"/>
          <w:lang w:val="pt-BR" w:eastAsia="x-none"/>
        </w:rPr>
        <w:tab/>
        <w:t xml:space="preserve">Quando a entidade possuir garantias (de ativos financeiros ou não financeiros) e estiver autorizada a vender ou reapresentar a garantia na ausência de descumprimento por parte do detentor da garantia, a entidade deve divulgar: </w:t>
      </w:r>
    </w:p>
    <w:p w14:paraId="71645CB7" w14:textId="77777777" w:rsidR="003C12AE" w:rsidRPr="003C12AE" w:rsidRDefault="003C12AE" w:rsidP="00F307D5">
      <w:pPr>
        <w:widowControl w:val="0"/>
        <w:numPr>
          <w:ilvl w:val="0"/>
          <w:numId w:val="9"/>
        </w:numPr>
        <w:tabs>
          <w:tab w:val="clear" w:pos="1070"/>
        </w:tabs>
        <w:spacing w:before="0"/>
        <w:ind w:left="993" w:right="-1" w:hanging="283"/>
        <w:rPr>
          <w:rFonts w:ascii="Times New Roman" w:hAnsi="Times New Roman"/>
          <w:bCs/>
          <w:iCs/>
          <w:sz w:val="24"/>
          <w:lang w:val="pt-BR"/>
        </w:rPr>
      </w:pPr>
      <w:r w:rsidRPr="003C12AE">
        <w:rPr>
          <w:rFonts w:ascii="Times New Roman" w:hAnsi="Times New Roman"/>
          <w:bCs/>
          <w:iCs/>
          <w:sz w:val="24"/>
          <w:lang w:val="pt-BR"/>
        </w:rPr>
        <w:t>o valor justo da garantia possuída;</w:t>
      </w:r>
    </w:p>
    <w:p w14:paraId="3245D29E" w14:textId="77777777" w:rsidR="003C12AE" w:rsidRPr="003C12AE" w:rsidRDefault="003C12AE" w:rsidP="00F307D5">
      <w:pPr>
        <w:widowControl w:val="0"/>
        <w:numPr>
          <w:ilvl w:val="0"/>
          <w:numId w:val="9"/>
        </w:numPr>
        <w:tabs>
          <w:tab w:val="clear" w:pos="1070"/>
        </w:tabs>
        <w:spacing w:before="0"/>
        <w:ind w:left="993" w:right="-1" w:hanging="283"/>
        <w:rPr>
          <w:rFonts w:ascii="Times New Roman" w:hAnsi="Times New Roman"/>
          <w:bCs/>
          <w:iCs/>
          <w:sz w:val="24"/>
          <w:lang w:val="pt-BR"/>
        </w:rPr>
      </w:pPr>
      <w:r w:rsidRPr="003C12AE">
        <w:rPr>
          <w:rFonts w:ascii="Times New Roman" w:hAnsi="Times New Roman"/>
          <w:bCs/>
          <w:iCs/>
          <w:sz w:val="24"/>
          <w:lang w:val="pt-BR"/>
        </w:rPr>
        <w:t xml:space="preserve">o valor justo de qualquer </w:t>
      </w:r>
      <w:r w:rsidRPr="003C12AE">
        <w:rPr>
          <w:rFonts w:ascii="Times New Roman" w:hAnsi="Times New Roman"/>
          <w:sz w:val="24"/>
          <w:lang w:val="pt-BR"/>
        </w:rPr>
        <w:t>garantia vendida ou renovada,</w:t>
      </w:r>
      <w:r w:rsidRPr="003C12AE">
        <w:rPr>
          <w:rFonts w:ascii="Times New Roman" w:hAnsi="Times New Roman"/>
          <w:bCs/>
          <w:iCs/>
          <w:sz w:val="24"/>
          <w:lang w:val="pt-BR"/>
        </w:rPr>
        <w:t xml:space="preserve"> e se a entidade tiver obrigação de devolvê-la; e</w:t>
      </w:r>
    </w:p>
    <w:p w14:paraId="3BADB943" w14:textId="77777777" w:rsidR="003C12AE" w:rsidRPr="003C12AE" w:rsidRDefault="003C12AE" w:rsidP="00F307D5">
      <w:pPr>
        <w:widowControl w:val="0"/>
        <w:numPr>
          <w:ilvl w:val="0"/>
          <w:numId w:val="9"/>
        </w:numPr>
        <w:tabs>
          <w:tab w:val="clear" w:pos="1070"/>
        </w:tabs>
        <w:spacing w:before="0" w:after="0"/>
        <w:ind w:left="993" w:right="-1" w:hanging="283"/>
        <w:rPr>
          <w:rFonts w:ascii="Times New Roman" w:hAnsi="Times New Roman"/>
          <w:bCs/>
          <w:iCs/>
          <w:sz w:val="24"/>
          <w:lang w:val="pt-BR"/>
        </w:rPr>
      </w:pPr>
      <w:r w:rsidRPr="003C12AE">
        <w:rPr>
          <w:rFonts w:ascii="Times New Roman" w:hAnsi="Times New Roman"/>
          <w:bCs/>
          <w:iCs/>
          <w:sz w:val="24"/>
          <w:lang w:val="pt-BR"/>
        </w:rPr>
        <w:t>os termos e as condições associados ao uso da garantia.</w:t>
      </w:r>
    </w:p>
    <w:p w14:paraId="12A90C38"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7A4681C1" w14:textId="77777777" w:rsidR="003C12AE" w:rsidRPr="003C12AE" w:rsidRDefault="003C12AE" w:rsidP="003C12AE">
      <w:pPr>
        <w:widowControl w:val="0"/>
        <w:tabs>
          <w:tab w:val="left" w:pos="6804"/>
        </w:tabs>
        <w:spacing w:before="0" w:after="0"/>
        <w:ind w:left="567" w:right="-1" w:hanging="567"/>
        <w:rPr>
          <w:rFonts w:ascii="Times New Roman" w:hAnsi="Times New Roman"/>
          <w:b/>
          <w:sz w:val="24"/>
          <w:lang w:val="pt-BR" w:eastAsia="x-none"/>
        </w:rPr>
      </w:pPr>
      <w:r w:rsidRPr="003C12AE">
        <w:rPr>
          <w:rFonts w:ascii="Times New Roman" w:hAnsi="Times New Roman"/>
          <w:sz w:val="24"/>
          <w:lang w:val="pt-BR" w:eastAsia="x-none"/>
        </w:rPr>
        <w:tab/>
      </w:r>
      <w:r w:rsidRPr="003C12AE">
        <w:rPr>
          <w:rFonts w:ascii="Times New Roman" w:hAnsi="Times New Roman"/>
          <w:b/>
          <w:sz w:val="24"/>
          <w:lang w:val="pt-BR" w:eastAsia="x-none"/>
        </w:rPr>
        <w:t>Provisão para perda com crédito</w:t>
      </w:r>
    </w:p>
    <w:p w14:paraId="7DECB8E7"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7D7E766B" w14:textId="45BAFD1E"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16.</w:t>
      </w:r>
      <w:r w:rsidRPr="003C12AE">
        <w:rPr>
          <w:rFonts w:ascii="Times New Roman" w:hAnsi="Times New Roman"/>
          <w:sz w:val="24"/>
          <w:lang w:val="pt-BR" w:eastAsia="x-none"/>
        </w:rPr>
        <w:tab/>
      </w:r>
      <w:r w:rsidR="0096569F" w:rsidRPr="0096569F">
        <w:rPr>
          <w:rFonts w:ascii="Times New Roman" w:hAnsi="Times New Roman"/>
          <w:sz w:val="24"/>
          <w:lang w:val="pt-BR" w:eastAsia="x-none"/>
        </w:rPr>
        <w:t>(Eliminado).</w:t>
      </w:r>
    </w:p>
    <w:p w14:paraId="7791D47D" w14:textId="77777777" w:rsidR="003C12AE" w:rsidRPr="003C12AE" w:rsidRDefault="003C12AE" w:rsidP="003C12AE">
      <w:pPr>
        <w:autoSpaceDE w:val="0"/>
        <w:autoSpaceDN w:val="0"/>
        <w:adjustRightInd w:val="0"/>
        <w:spacing w:before="0" w:after="0"/>
        <w:ind w:right="-1"/>
        <w:jc w:val="left"/>
        <w:rPr>
          <w:rFonts w:ascii="Times New Roman" w:hAnsi="Times New Roman"/>
          <w:b/>
          <w:bCs/>
          <w:sz w:val="24"/>
          <w:lang w:val="pt-BR"/>
        </w:rPr>
      </w:pPr>
    </w:p>
    <w:p w14:paraId="3091B5B9" w14:textId="318D3E38" w:rsidR="003C12AE" w:rsidRPr="003C12AE" w:rsidRDefault="003C12AE" w:rsidP="003C12AE">
      <w:pPr>
        <w:autoSpaceDE w:val="0"/>
        <w:autoSpaceDN w:val="0"/>
        <w:adjustRightInd w:val="0"/>
        <w:spacing w:before="0" w:after="0"/>
        <w:ind w:left="567" w:right="-1" w:hanging="567"/>
        <w:rPr>
          <w:rFonts w:ascii="Times New Roman" w:hAnsi="Times New Roman"/>
          <w:bCs/>
          <w:sz w:val="24"/>
          <w:lang w:val="pt-BR"/>
        </w:rPr>
      </w:pPr>
      <w:r w:rsidRPr="003C12AE">
        <w:rPr>
          <w:rFonts w:ascii="Times New Roman" w:hAnsi="Times New Roman"/>
          <w:bCs/>
          <w:sz w:val="24"/>
          <w:lang w:val="pt-BR"/>
        </w:rPr>
        <w:t>16A. O valor contábil de ativos financeiros mensurados ao valor justo por meio de outros resultados abrangentes, de acordo com o item 4.1.2A do CPC 48, não deve ser reduzido pela provisão para perdas e a entidade não deve apresentar a provisão para perdas separadamente no balanço patrimonial como redução do valor contábil do ativo financeiro. Contudo, a entidade deve divulgar a provisão para perdas nas notas explicativas das demonstrações contábeis.</w:t>
      </w:r>
    </w:p>
    <w:p w14:paraId="60F54CDA" w14:textId="77777777" w:rsidR="003C12AE" w:rsidRPr="003C12AE" w:rsidRDefault="003C12AE" w:rsidP="003C12AE">
      <w:pPr>
        <w:autoSpaceDE w:val="0"/>
        <w:autoSpaceDN w:val="0"/>
        <w:adjustRightInd w:val="0"/>
        <w:spacing w:before="0" w:after="0"/>
        <w:ind w:right="-1"/>
        <w:jc w:val="left"/>
        <w:rPr>
          <w:rFonts w:ascii="Times New Roman" w:hAnsi="Times New Roman"/>
          <w:b/>
          <w:bCs/>
          <w:sz w:val="24"/>
          <w:lang w:val="pt-BR"/>
        </w:rPr>
      </w:pPr>
    </w:p>
    <w:p w14:paraId="3D922E72"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ab/>
        <w:t xml:space="preserve">Instrumentos financeiros compostos com múltiplos derivativos embutidos </w:t>
      </w:r>
    </w:p>
    <w:p w14:paraId="2C0CB0CB"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7DE72C5E"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17.</w:t>
      </w:r>
      <w:r w:rsidRPr="003C12AE">
        <w:rPr>
          <w:rFonts w:ascii="Times New Roman" w:hAnsi="Times New Roman"/>
          <w:sz w:val="24"/>
          <w:lang w:val="pt-BR" w:eastAsia="x-none"/>
        </w:rPr>
        <w:tab/>
        <w:t xml:space="preserve">Se a entidade tiver emitido um instrumento que contenha tanto um componente de capital próprio como um passivo (ver item 28 do Pronunciamento Técnico CPC 39 – Instrumentos Financeiros: Apresentação) e o instrumento possuir múltiplos derivativos embutidos cujos valores são interdependentes (tais como um instrumento de dívida conversível), ela deve divulgar a existência </w:t>
      </w:r>
      <w:r w:rsidRPr="003C12AE">
        <w:rPr>
          <w:rFonts w:ascii="Times New Roman" w:hAnsi="Times New Roman"/>
          <w:sz w:val="24"/>
          <w:lang w:val="pt-BR" w:eastAsia="x-none"/>
        </w:rPr>
        <w:lastRenderedPageBreak/>
        <w:t xml:space="preserve">dessas situações. </w:t>
      </w:r>
    </w:p>
    <w:p w14:paraId="289DFD13" w14:textId="77777777" w:rsidR="003C12AE" w:rsidRPr="003C12AE" w:rsidRDefault="003C12AE" w:rsidP="003C12AE">
      <w:pPr>
        <w:widowControl w:val="0"/>
        <w:tabs>
          <w:tab w:val="left" w:pos="709"/>
          <w:tab w:val="left" w:pos="6804"/>
        </w:tabs>
        <w:spacing w:before="0" w:after="0"/>
        <w:ind w:left="709" w:right="-1" w:hanging="709"/>
        <w:rPr>
          <w:rFonts w:ascii="Times New Roman" w:hAnsi="Times New Roman"/>
          <w:sz w:val="24"/>
          <w:lang w:val="pt-BR" w:eastAsia="x-none"/>
        </w:rPr>
      </w:pPr>
    </w:p>
    <w:p w14:paraId="50027D2C" w14:textId="77777777" w:rsidR="003C12AE" w:rsidRPr="003C12AE" w:rsidRDefault="003C12AE" w:rsidP="003C12AE">
      <w:pPr>
        <w:widowControl w:val="0"/>
        <w:tabs>
          <w:tab w:val="left" w:pos="6804"/>
        </w:tabs>
        <w:spacing w:before="0" w:after="0"/>
        <w:ind w:left="567" w:right="-1" w:hanging="567"/>
        <w:rPr>
          <w:sz w:val="16"/>
          <w:szCs w:val="16"/>
          <w:lang w:val="pt-BR" w:eastAsia="x-none"/>
        </w:rPr>
      </w:pPr>
      <w:r w:rsidRPr="003C12AE">
        <w:rPr>
          <w:rFonts w:ascii="Times New Roman" w:hAnsi="Times New Roman"/>
          <w:sz w:val="24"/>
          <w:lang w:val="pt-BR" w:eastAsia="x-none"/>
        </w:rPr>
        <w:tab/>
        <w:t>Descumprimento de compromisso contratual</w:t>
      </w:r>
    </w:p>
    <w:p w14:paraId="0A88CE77"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3D6557AA"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18.</w:t>
      </w:r>
      <w:r w:rsidRPr="003C12AE">
        <w:rPr>
          <w:rFonts w:ascii="Times New Roman" w:hAnsi="Times New Roman"/>
          <w:sz w:val="24"/>
          <w:lang w:val="pt-BR" w:eastAsia="x-none"/>
        </w:rPr>
        <w:tab/>
        <w:t xml:space="preserve">Para empréstimos a pagar existentes na data das demonstrações contábeis, a entidade deve divulgar: </w:t>
      </w:r>
    </w:p>
    <w:p w14:paraId="73E0E394" w14:textId="77777777" w:rsidR="003C12AE" w:rsidRPr="003C12AE" w:rsidRDefault="003C12AE" w:rsidP="00F307D5">
      <w:pPr>
        <w:widowControl w:val="0"/>
        <w:numPr>
          <w:ilvl w:val="0"/>
          <w:numId w:val="10"/>
        </w:numPr>
        <w:tabs>
          <w:tab w:val="clear" w:pos="1070"/>
        </w:tabs>
        <w:spacing w:before="0"/>
        <w:ind w:left="993" w:right="-1" w:hanging="283"/>
        <w:rPr>
          <w:rFonts w:ascii="Times New Roman" w:hAnsi="Times New Roman"/>
          <w:bCs/>
          <w:iCs/>
          <w:sz w:val="24"/>
          <w:lang w:val="pt-BR"/>
        </w:rPr>
      </w:pPr>
      <w:r w:rsidRPr="003C12AE">
        <w:rPr>
          <w:rFonts w:ascii="Times New Roman" w:hAnsi="Times New Roman"/>
          <w:bCs/>
          <w:iCs/>
          <w:sz w:val="24"/>
          <w:lang w:val="pt-BR"/>
        </w:rPr>
        <w:t xml:space="preserve">detalhes de qualquer descumprimento contratual durante o período do principal, juros, amortização ou resgates; </w:t>
      </w:r>
    </w:p>
    <w:p w14:paraId="1587A845" w14:textId="77777777" w:rsidR="003C12AE" w:rsidRPr="003C12AE" w:rsidRDefault="003C12AE" w:rsidP="00F307D5">
      <w:pPr>
        <w:widowControl w:val="0"/>
        <w:numPr>
          <w:ilvl w:val="0"/>
          <w:numId w:val="10"/>
        </w:numPr>
        <w:tabs>
          <w:tab w:val="clear" w:pos="1070"/>
        </w:tabs>
        <w:spacing w:before="0"/>
        <w:ind w:left="993" w:right="-1" w:hanging="283"/>
        <w:rPr>
          <w:rFonts w:ascii="Times New Roman" w:hAnsi="Times New Roman"/>
          <w:bCs/>
          <w:iCs/>
          <w:sz w:val="24"/>
          <w:lang w:val="pt-BR"/>
        </w:rPr>
      </w:pPr>
      <w:r w:rsidRPr="003C12AE">
        <w:rPr>
          <w:rFonts w:ascii="Times New Roman" w:hAnsi="Times New Roman"/>
          <w:bCs/>
          <w:iCs/>
          <w:sz w:val="24"/>
          <w:lang w:val="pt-BR"/>
        </w:rPr>
        <w:t>o valor contábil da dívida em atraso na data das demonstrações contábeis; e</w:t>
      </w:r>
    </w:p>
    <w:p w14:paraId="104F0A27" w14:textId="77777777" w:rsidR="003C12AE" w:rsidRPr="003C12AE" w:rsidRDefault="003C12AE" w:rsidP="00F307D5">
      <w:pPr>
        <w:widowControl w:val="0"/>
        <w:numPr>
          <w:ilvl w:val="0"/>
          <w:numId w:val="10"/>
        </w:numPr>
        <w:tabs>
          <w:tab w:val="clear" w:pos="1070"/>
        </w:tabs>
        <w:spacing w:before="0" w:after="0"/>
        <w:ind w:left="993" w:right="-1" w:hanging="283"/>
        <w:rPr>
          <w:rFonts w:ascii="Times New Roman" w:hAnsi="Times New Roman"/>
          <w:bCs/>
          <w:iCs/>
          <w:sz w:val="24"/>
          <w:lang w:val="pt-BR"/>
        </w:rPr>
      </w:pPr>
      <w:r w:rsidRPr="003C12AE">
        <w:rPr>
          <w:rFonts w:ascii="Times New Roman" w:hAnsi="Times New Roman"/>
          <w:bCs/>
          <w:iCs/>
          <w:sz w:val="24"/>
          <w:lang w:val="pt-BR"/>
        </w:rPr>
        <w:t xml:space="preserve">no caso de renegociação dos termos contratuais antes das demonstrações contábeis serem autorizadas para emissão, os termos dessa renegociação. </w:t>
      </w:r>
    </w:p>
    <w:p w14:paraId="43453EA7" w14:textId="77777777" w:rsidR="003C12AE" w:rsidRPr="003C12AE" w:rsidRDefault="003C12AE" w:rsidP="003C12AE">
      <w:pPr>
        <w:widowControl w:val="0"/>
        <w:spacing w:before="0" w:after="0"/>
        <w:ind w:left="710" w:right="-1"/>
        <w:jc w:val="left"/>
        <w:rPr>
          <w:rFonts w:ascii="Times New Roman" w:hAnsi="Times New Roman"/>
          <w:bCs/>
          <w:iCs/>
          <w:sz w:val="24"/>
          <w:lang w:val="pt-BR"/>
        </w:rPr>
      </w:pPr>
    </w:p>
    <w:p w14:paraId="52816741"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19.</w:t>
      </w:r>
      <w:r w:rsidRPr="003C12AE">
        <w:rPr>
          <w:rFonts w:ascii="Times New Roman" w:hAnsi="Times New Roman"/>
          <w:sz w:val="24"/>
          <w:lang w:val="pt-BR" w:eastAsia="x-none"/>
        </w:rPr>
        <w:tab/>
        <w:t>Se, durante o período, tiver havido descumprimentos ou violações dos acordos contratuais diferentes das descritas no item 18, a entidade deve divulgar a mesma informação exigida no item 18 se os descumprimentos ou violações permitirem que o credor exija pagamento antecipado (salvo se os descumprimentos ou violações tiverem sido sanadas, ou os termos do empréstimo tiverem sido renegociados, até a data ou antes da data das demonstrações contábeis).</w:t>
      </w:r>
    </w:p>
    <w:p w14:paraId="4963199B"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79DA25D9"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Demonstrações do resultado e do resultado abrangente</w:t>
      </w:r>
    </w:p>
    <w:p w14:paraId="40EAEE2B"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0FBFB6AC"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ab/>
        <w:t>Itens de receita, despesa, ganho e perda</w:t>
      </w:r>
    </w:p>
    <w:p w14:paraId="48CFB029"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62A60044"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20.</w:t>
      </w:r>
      <w:r w:rsidRPr="003C12AE">
        <w:rPr>
          <w:rFonts w:ascii="Times New Roman" w:hAnsi="Times New Roman"/>
          <w:sz w:val="24"/>
          <w:lang w:val="pt-BR" w:eastAsia="x-none"/>
        </w:rPr>
        <w:tab/>
        <w:t>A entidade deve divulgar os seguintes itens de receita, despesa, ganho e perda, quer na demonstração do resultado abrangente, na demonstração do resultado ou nas notas explicativas:</w:t>
      </w:r>
    </w:p>
    <w:p w14:paraId="156515B6" w14:textId="77777777" w:rsidR="003C12AE" w:rsidRPr="003C12AE" w:rsidRDefault="003C12AE" w:rsidP="00F307D5">
      <w:pPr>
        <w:widowControl w:val="0"/>
        <w:numPr>
          <w:ilvl w:val="0"/>
          <w:numId w:val="11"/>
        </w:numPr>
        <w:tabs>
          <w:tab w:val="clear" w:pos="1070"/>
        </w:tabs>
        <w:spacing w:before="0"/>
        <w:ind w:left="993" w:right="-1" w:hanging="283"/>
        <w:rPr>
          <w:rFonts w:ascii="Times New Roman" w:hAnsi="Times New Roman"/>
          <w:bCs/>
          <w:iCs/>
          <w:sz w:val="24"/>
          <w:lang w:val="pt-BR"/>
        </w:rPr>
      </w:pPr>
      <w:r w:rsidRPr="003C12AE">
        <w:rPr>
          <w:rFonts w:ascii="Times New Roman" w:hAnsi="Times New Roman"/>
          <w:bCs/>
          <w:iCs/>
          <w:sz w:val="24"/>
          <w:lang w:val="pt-BR"/>
        </w:rPr>
        <w:t>ganhos líquidos ou perdas líquidas em:</w:t>
      </w:r>
    </w:p>
    <w:p w14:paraId="61FE94E6" w14:textId="5A185460" w:rsidR="003C12AE" w:rsidRPr="003C12AE" w:rsidRDefault="0096569F" w:rsidP="00F307D5">
      <w:pPr>
        <w:widowControl w:val="0"/>
        <w:numPr>
          <w:ilvl w:val="0"/>
          <w:numId w:val="12"/>
        </w:numPr>
        <w:tabs>
          <w:tab w:val="clear" w:pos="1920"/>
        </w:tabs>
        <w:spacing w:before="0"/>
        <w:ind w:left="1418" w:right="-1" w:hanging="284"/>
        <w:rPr>
          <w:rFonts w:ascii="Times New Roman" w:hAnsi="Times New Roman"/>
          <w:bCs/>
          <w:iCs/>
          <w:strike/>
          <w:sz w:val="24"/>
          <w:lang w:val="pt-BR"/>
        </w:rPr>
      </w:pPr>
      <w:r w:rsidRPr="003C12AE">
        <w:rPr>
          <w:rFonts w:ascii="Times New Roman" w:hAnsi="Times New Roman"/>
          <w:sz w:val="24"/>
          <w:lang w:val="pt-BR"/>
        </w:rPr>
        <w:t>ativos financeiros ou passivos financeiros pelo valor justo por meio do resultado, mostrando separadamente aqueles ativos financeiros ou passivos financeiros designados como tais no reconhecimento inicial, ou subsequentemente de acordo com o item 6.7.1 do CPC 48, e aqueles ativos financeiros ou passivos financeiros que sejam, obrigatoriamente, mensurados ao valor justo por meio do resultado de acordo com o CPC 48 (por exemplo, passivos financeiros que atendam à definição de mantidos para negociação no CPC 48). Para passivos financeiros designados como ao valor justo por meio do resultado, a entidade deve apresentar, separadamente, o valor do ganho ou da perda reconhecido em outros resultados abrangentes e o valor reconhecido no resultado;</w:t>
      </w:r>
    </w:p>
    <w:p w14:paraId="515EB687" w14:textId="169FBE89" w:rsidR="003C12AE" w:rsidRPr="003C12AE" w:rsidRDefault="0096569F" w:rsidP="00F307D5">
      <w:pPr>
        <w:widowControl w:val="0"/>
        <w:numPr>
          <w:ilvl w:val="0"/>
          <w:numId w:val="12"/>
        </w:numPr>
        <w:tabs>
          <w:tab w:val="clear" w:pos="1920"/>
        </w:tabs>
        <w:spacing w:before="0"/>
        <w:ind w:left="1418" w:right="-1" w:hanging="284"/>
        <w:rPr>
          <w:rFonts w:ascii="Times New Roman" w:hAnsi="Times New Roman"/>
          <w:bCs/>
          <w:iCs/>
          <w:sz w:val="24"/>
          <w:lang w:val="pt-BR"/>
        </w:rPr>
      </w:pPr>
      <w:r w:rsidRPr="0096569F">
        <w:rPr>
          <w:rFonts w:ascii="Times New Roman" w:hAnsi="Times New Roman"/>
          <w:bCs/>
          <w:iCs/>
          <w:sz w:val="24"/>
          <w:lang w:val="pt-BR"/>
        </w:rPr>
        <w:t>(eliminado);</w:t>
      </w:r>
    </w:p>
    <w:p w14:paraId="398D313C" w14:textId="0A4510BC" w:rsidR="003C12AE" w:rsidRPr="003C12AE" w:rsidRDefault="0096569F" w:rsidP="00F307D5">
      <w:pPr>
        <w:widowControl w:val="0"/>
        <w:numPr>
          <w:ilvl w:val="0"/>
          <w:numId w:val="12"/>
        </w:numPr>
        <w:tabs>
          <w:tab w:val="clear" w:pos="1920"/>
        </w:tabs>
        <w:spacing w:before="0"/>
        <w:ind w:left="1418" w:right="-1" w:hanging="284"/>
        <w:rPr>
          <w:rFonts w:ascii="Times New Roman" w:hAnsi="Times New Roman"/>
          <w:bCs/>
          <w:iCs/>
          <w:sz w:val="24"/>
          <w:lang w:val="pt-BR"/>
        </w:rPr>
      </w:pPr>
      <w:r w:rsidRPr="0096569F">
        <w:rPr>
          <w:rFonts w:ascii="Times New Roman" w:hAnsi="Times New Roman"/>
          <w:bCs/>
          <w:iCs/>
          <w:sz w:val="24"/>
          <w:lang w:val="pt-BR"/>
        </w:rPr>
        <w:t>(eliminado);</w:t>
      </w:r>
    </w:p>
    <w:p w14:paraId="78A69C9E" w14:textId="5CE439CB" w:rsidR="003C12AE" w:rsidRPr="003C12AE" w:rsidRDefault="0096569F" w:rsidP="00F307D5">
      <w:pPr>
        <w:widowControl w:val="0"/>
        <w:numPr>
          <w:ilvl w:val="0"/>
          <w:numId w:val="12"/>
        </w:numPr>
        <w:tabs>
          <w:tab w:val="clear" w:pos="1920"/>
        </w:tabs>
        <w:spacing w:before="0"/>
        <w:ind w:left="1418" w:right="-1" w:hanging="284"/>
        <w:rPr>
          <w:rFonts w:ascii="Times New Roman" w:hAnsi="Times New Roman"/>
          <w:bCs/>
          <w:iCs/>
          <w:sz w:val="24"/>
          <w:lang w:val="pt-BR"/>
        </w:rPr>
      </w:pPr>
      <w:r w:rsidRPr="0096569F">
        <w:rPr>
          <w:rFonts w:ascii="Times New Roman" w:hAnsi="Times New Roman"/>
          <w:bCs/>
          <w:iCs/>
          <w:sz w:val="24"/>
          <w:lang w:val="pt-BR"/>
        </w:rPr>
        <w:t>(eliminado);</w:t>
      </w:r>
    </w:p>
    <w:p w14:paraId="2AD340BA" w14:textId="77777777" w:rsidR="003C12AE" w:rsidRPr="003C12AE" w:rsidRDefault="003C12AE" w:rsidP="00F307D5">
      <w:pPr>
        <w:widowControl w:val="0"/>
        <w:numPr>
          <w:ilvl w:val="0"/>
          <w:numId w:val="12"/>
        </w:numPr>
        <w:tabs>
          <w:tab w:val="clear" w:pos="1920"/>
        </w:tabs>
        <w:spacing w:before="0"/>
        <w:ind w:left="1418" w:right="-1" w:hanging="284"/>
        <w:rPr>
          <w:rFonts w:ascii="Times New Roman" w:hAnsi="Times New Roman"/>
          <w:bCs/>
          <w:iCs/>
          <w:sz w:val="24"/>
          <w:lang w:val="pt-BR"/>
        </w:rPr>
      </w:pPr>
      <w:r w:rsidRPr="003C12AE">
        <w:rPr>
          <w:rFonts w:ascii="Times New Roman" w:hAnsi="Times New Roman"/>
          <w:bCs/>
          <w:iCs/>
          <w:sz w:val="24"/>
          <w:lang w:val="pt-BR"/>
        </w:rPr>
        <w:t>passivos financeiros mensurados pelo custo amortizado;</w:t>
      </w:r>
    </w:p>
    <w:p w14:paraId="0566E5A2" w14:textId="5F2B942F" w:rsidR="003C12AE" w:rsidRPr="003C12AE" w:rsidRDefault="003C12AE" w:rsidP="00F307D5">
      <w:pPr>
        <w:widowControl w:val="0"/>
        <w:numPr>
          <w:ilvl w:val="0"/>
          <w:numId w:val="12"/>
        </w:numPr>
        <w:tabs>
          <w:tab w:val="clear" w:pos="1920"/>
        </w:tabs>
        <w:spacing w:before="0"/>
        <w:ind w:left="1418" w:hanging="284"/>
        <w:rPr>
          <w:rFonts w:ascii="Times New Roman" w:hAnsi="Times New Roman"/>
          <w:sz w:val="24"/>
          <w:lang w:val="pt-BR" w:eastAsia="x-none"/>
        </w:rPr>
      </w:pPr>
      <w:r w:rsidRPr="003C12AE">
        <w:rPr>
          <w:rFonts w:ascii="Times New Roman" w:hAnsi="Times New Roman"/>
          <w:sz w:val="24"/>
          <w:lang w:val="pt-BR" w:eastAsia="x-none"/>
        </w:rPr>
        <w:t>ativos financeiros mensurados pelo custo amortizado;</w:t>
      </w:r>
    </w:p>
    <w:p w14:paraId="578424F5" w14:textId="5455A551" w:rsidR="003C12AE" w:rsidRPr="003C12AE" w:rsidRDefault="003C12AE" w:rsidP="00F307D5">
      <w:pPr>
        <w:widowControl w:val="0"/>
        <w:numPr>
          <w:ilvl w:val="0"/>
          <w:numId w:val="12"/>
        </w:numPr>
        <w:tabs>
          <w:tab w:val="clear" w:pos="1920"/>
        </w:tabs>
        <w:spacing w:before="0"/>
        <w:ind w:left="1418" w:hanging="284"/>
        <w:rPr>
          <w:rFonts w:ascii="Times New Roman" w:hAnsi="Times New Roman"/>
          <w:sz w:val="24"/>
          <w:lang w:val="pt-BR" w:eastAsia="x-none"/>
        </w:rPr>
      </w:pPr>
      <w:r w:rsidRPr="003C12AE">
        <w:rPr>
          <w:rFonts w:ascii="Times New Roman" w:hAnsi="Times New Roman"/>
          <w:sz w:val="24"/>
          <w:lang w:val="pt-BR" w:eastAsia="x-none"/>
        </w:rPr>
        <w:t xml:space="preserve">investimentos em instrumentos patrimoniais designados como ao valor justo por meio de </w:t>
      </w:r>
      <w:r w:rsidRPr="003C12AE">
        <w:rPr>
          <w:rFonts w:ascii="Times New Roman" w:hAnsi="Times New Roman"/>
          <w:sz w:val="24"/>
          <w:lang w:val="pt-BR" w:eastAsia="x-none"/>
        </w:rPr>
        <w:lastRenderedPageBreak/>
        <w:t>outros resultados abrangentes, de acordo com o item 5.7.5 do CPC 48;</w:t>
      </w:r>
    </w:p>
    <w:p w14:paraId="038AB22F" w14:textId="74B40604" w:rsidR="003C12AE" w:rsidRPr="003C12AE" w:rsidRDefault="003C12AE" w:rsidP="00F307D5">
      <w:pPr>
        <w:widowControl w:val="0"/>
        <w:numPr>
          <w:ilvl w:val="0"/>
          <w:numId w:val="12"/>
        </w:numPr>
        <w:tabs>
          <w:tab w:val="clear" w:pos="1920"/>
        </w:tabs>
        <w:spacing w:before="0"/>
        <w:ind w:left="1418" w:right="-1" w:hanging="284"/>
        <w:rPr>
          <w:rFonts w:ascii="Times New Roman" w:hAnsi="Times New Roman"/>
          <w:bCs/>
          <w:iCs/>
          <w:sz w:val="24"/>
          <w:lang w:val="pt-BR"/>
        </w:rPr>
      </w:pPr>
      <w:r w:rsidRPr="003C12AE">
        <w:rPr>
          <w:rFonts w:ascii="Times New Roman" w:hAnsi="Times New Roman"/>
          <w:sz w:val="24"/>
          <w:lang w:val="pt-BR"/>
        </w:rPr>
        <w:t>ativos financeiros mensurados ao valor justo por meio de outros resultados abrangentes de acordo com o item 4.1.2A do CPC 48, apresentando separadamente o valor do ganho ou da perda reconhecido em outros resultados abrangentes durante o período e o valor reclassificado, por ocasião do desreconhecimento, de outros resultados abrangentes acumulados para o resultado do período;</w:t>
      </w:r>
    </w:p>
    <w:p w14:paraId="7AE26D1E" w14:textId="6B14633E" w:rsidR="003C12AE" w:rsidRPr="003C12AE" w:rsidRDefault="00681257" w:rsidP="00F307D5">
      <w:pPr>
        <w:widowControl w:val="0"/>
        <w:numPr>
          <w:ilvl w:val="0"/>
          <w:numId w:val="11"/>
        </w:numPr>
        <w:tabs>
          <w:tab w:val="clear" w:pos="1070"/>
        </w:tabs>
        <w:spacing w:before="0"/>
        <w:ind w:left="993" w:right="-1" w:hanging="283"/>
        <w:rPr>
          <w:rFonts w:ascii="Times New Roman" w:hAnsi="Times New Roman"/>
          <w:bCs/>
          <w:iCs/>
          <w:strike/>
          <w:sz w:val="24"/>
          <w:lang w:val="pt-BR"/>
        </w:rPr>
      </w:pPr>
      <w:r w:rsidRPr="003C12AE">
        <w:rPr>
          <w:rFonts w:ascii="Times New Roman" w:hAnsi="Times New Roman"/>
          <w:bCs/>
          <w:iCs/>
          <w:sz w:val="24"/>
          <w:lang w:val="pt-BR"/>
        </w:rPr>
        <w:t>receita e despesa totais de juros (calculados utilizando-se o método da taxa efetiva de juros) para os ativos financeiros que são mensurados ao custo amortizado ou ao valor justo por meio de outros resultados abrangentes, de acordo com o item 4.1.2A do CPC 48 (apresentando esses valores separadamente); ou passivos financeiros que não são mensurados ao valor justo por meio do resultado;</w:t>
      </w:r>
    </w:p>
    <w:p w14:paraId="01C2F7FE" w14:textId="77777777" w:rsidR="003C12AE" w:rsidRPr="003C12AE" w:rsidRDefault="003C12AE" w:rsidP="00F307D5">
      <w:pPr>
        <w:widowControl w:val="0"/>
        <w:numPr>
          <w:ilvl w:val="0"/>
          <w:numId w:val="11"/>
        </w:numPr>
        <w:tabs>
          <w:tab w:val="clear" w:pos="1070"/>
        </w:tabs>
        <w:spacing w:before="0"/>
        <w:ind w:left="993" w:right="-1" w:hanging="283"/>
        <w:rPr>
          <w:rFonts w:ascii="Times New Roman" w:hAnsi="Times New Roman"/>
          <w:bCs/>
          <w:iCs/>
          <w:sz w:val="24"/>
          <w:lang w:val="pt-BR"/>
        </w:rPr>
      </w:pPr>
      <w:r w:rsidRPr="003C12AE">
        <w:rPr>
          <w:rFonts w:ascii="Times New Roman" w:hAnsi="Times New Roman"/>
          <w:bCs/>
          <w:iCs/>
          <w:sz w:val="24"/>
          <w:lang w:val="pt-BR"/>
        </w:rPr>
        <w:t>receitas e despesas outras, que não as incluídas na determinação da taxa de juros efetiva, decorrentes de:</w:t>
      </w:r>
    </w:p>
    <w:p w14:paraId="2FB06A98" w14:textId="77777777" w:rsidR="003C12AE" w:rsidRPr="003C12AE" w:rsidRDefault="003C12AE" w:rsidP="00F307D5">
      <w:pPr>
        <w:widowControl w:val="0"/>
        <w:numPr>
          <w:ilvl w:val="0"/>
          <w:numId w:val="13"/>
        </w:numPr>
        <w:tabs>
          <w:tab w:val="clear" w:pos="1920"/>
        </w:tabs>
        <w:spacing w:before="0"/>
        <w:ind w:left="1418" w:right="-1" w:hanging="284"/>
        <w:rPr>
          <w:rFonts w:ascii="Times New Roman" w:hAnsi="Times New Roman"/>
          <w:bCs/>
          <w:iCs/>
          <w:sz w:val="24"/>
          <w:lang w:val="pt-BR"/>
        </w:rPr>
      </w:pPr>
      <w:r w:rsidRPr="003C12AE">
        <w:rPr>
          <w:rFonts w:ascii="Times New Roman" w:hAnsi="Times New Roman"/>
          <w:bCs/>
          <w:iCs/>
          <w:sz w:val="24"/>
          <w:lang w:val="pt-BR"/>
        </w:rPr>
        <w:t>ativos financeiros ou passivos financeiros que não estejam mensurados ao valor justo por meio do resultado; e</w:t>
      </w:r>
    </w:p>
    <w:p w14:paraId="1DF62037" w14:textId="77777777" w:rsidR="003C12AE" w:rsidRPr="003C12AE" w:rsidRDefault="003C12AE" w:rsidP="00F307D5">
      <w:pPr>
        <w:widowControl w:val="0"/>
        <w:numPr>
          <w:ilvl w:val="0"/>
          <w:numId w:val="13"/>
        </w:numPr>
        <w:tabs>
          <w:tab w:val="clear" w:pos="1920"/>
        </w:tabs>
        <w:spacing w:before="0"/>
        <w:ind w:left="1418" w:right="-1" w:hanging="284"/>
        <w:rPr>
          <w:rFonts w:ascii="Times New Roman" w:hAnsi="Times New Roman"/>
          <w:bCs/>
          <w:iCs/>
          <w:sz w:val="24"/>
          <w:lang w:val="pt-BR"/>
        </w:rPr>
      </w:pPr>
      <w:r w:rsidRPr="003C12AE">
        <w:rPr>
          <w:rFonts w:ascii="Times New Roman" w:hAnsi="Times New Roman"/>
          <w:bCs/>
          <w:iCs/>
          <w:sz w:val="24"/>
          <w:lang w:val="pt-BR"/>
        </w:rPr>
        <w:t>trustes e atividades fiduciárias que resultem na manutenção ou investimento de ativos em favor de indivíduos, trustes, fundos de pensão e outras instituições;</w:t>
      </w:r>
    </w:p>
    <w:p w14:paraId="063EA40B" w14:textId="24B1317D" w:rsidR="003C12AE" w:rsidRPr="003C12AE" w:rsidRDefault="00681257" w:rsidP="00F307D5">
      <w:pPr>
        <w:widowControl w:val="0"/>
        <w:numPr>
          <w:ilvl w:val="0"/>
          <w:numId w:val="11"/>
        </w:numPr>
        <w:tabs>
          <w:tab w:val="clear" w:pos="1070"/>
        </w:tabs>
        <w:spacing w:before="0"/>
        <w:ind w:left="993" w:right="-1" w:hanging="283"/>
        <w:rPr>
          <w:rFonts w:ascii="Times New Roman" w:hAnsi="Times New Roman"/>
          <w:bCs/>
          <w:iCs/>
          <w:sz w:val="24"/>
          <w:lang w:val="pt-BR"/>
        </w:rPr>
      </w:pPr>
      <w:r w:rsidRPr="00681257">
        <w:rPr>
          <w:rFonts w:ascii="Times New Roman" w:hAnsi="Times New Roman"/>
          <w:bCs/>
          <w:iCs/>
          <w:sz w:val="24"/>
          <w:lang w:val="pt-BR"/>
        </w:rPr>
        <w:t>(eliminada);</w:t>
      </w:r>
    </w:p>
    <w:p w14:paraId="2C27E71B" w14:textId="0464A8ED" w:rsidR="003C12AE" w:rsidRPr="003C12AE" w:rsidRDefault="00681257" w:rsidP="00F307D5">
      <w:pPr>
        <w:widowControl w:val="0"/>
        <w:numPr>
          <w:ilvl w:val="0"/>
          <w:numId w:val="11"/>
        </w:numPr>
        <w:tabs>
          <w:tab w:val="clear" w:pos="1070"/>
        </w:tabs>
        <w:spacing w:before="0" w:after="0"/>
        <w:ind w:left="993" w:right="-1" w:hanging="283"/>
        <w:rPr>
          <w:rFonts w:ascii="Times New Roman" w:hAnsi="Times New Roman"/>
          <w:bCs/>
          <w:iCs/>
          <w:sz w:val="24"/>
          <w:lang w:val="pt-BR"/>
        </w:rPr>
      </w:pPr>
      <w:r w:rsidRPr="00681257">
        <w:rPr>
          <w:rFonts w:ascii="Times New Roman" w:hAnsi="Times New Roman"/>
          <w:bCs/>
          <w:iCs/>
          <w:sz w:val="24"/>
          <w:lang w:val="pt-BR"/>
        </w:rPr>
        <w:t>(eliminada)</w:t>
      </w:r>
      <w:r w:rsidR="003C12AE" w:rsidRPr="003C12AE">
        <w:rPr>
          <w:rFonts w:ascii="Times New Roman" w:hAnsi="Times New Roman"/>
          <w:bCs/>
          <w:iCs/>
          <w:sz w:val="24"/>
          <w:lang w:val="pt-BR"/>
        </w:rPr>
        <w:t>.</w:t>
      </w:r>
    </w:p>
    <w:p w14:paraId="11D9B7A0" w14:textId="77777777" w:rsidR="003C12AE" w:rsidRPr="003C12AE" w:rsidRDefault="003C12AE" w:rsidP="003C12AE">
      <w:pPr>
        <w:widowControl w:val="0"/>
        <w:tabs>
          <w:tab w:val="left" w:pos="709"/>
          <w:tab w:val="left" w:pos="6804"/>
        </w:tabs>
        <w:spacing w:before="2" w:after="2" w:line="250" w:lineRule="auto"/>
        <w:ind w:left="709" w:right="-1" w:hanging="709"/>
        <w:rPr>
          <w:rFonts w:ascii="Times New Roman" w:hAnsi="Times New Roman"/>
          <w:sz w:val="24"/>
          <w:lang w:val="pt-BR" w:eastAsia="x-none"/>
        </w:rPr>
      </w:pPr>
      <w:r w:rsidRPr="003C12AE">
        <w:rPr>
          <w:rFonts w:ascii="Times New Roman" w:hAnsi="Times New Roman"/>
          <w:sz w:val="24"/>
          <w:lang w:val="pt-BR" w:eastAsia="x-none"/>
        </w:rPr>
        <w:t xml:space="preserve"> </w:t>
      </w:r>
    </w:p>
    <w:p w14:paraId="68662D2B" w14:textId="53FF8EF2"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20A. A entidade deve divulgar a análise do ganho ou da perda reconhecida na demonstração do resultado abrangente decorrente do desreconhecimento de ativos financeiros mensurados ao custo amortizado, apresentando separadamente ganhos e perdas decorrentes do desreconhecimento desses ativos financeiros. Essa divulgação deve incluir as razões do desreconhecimento desses ativos financeiros.</w:t>
      </w:r>
    </w:p>
    <w:p w14:paraId="32DFC5BB" w14:textId="77777777" w:rsidR="003C12AE" w:rsidRPr="003C12AE" w:rsidRDefault="003C12AE" w:rsidP="003C12AE">
      <w:pPr>
        <w:widowControl w:val="0"/>
        <w:tabs>
          <w:tab w:val="left" w:pos="709"/>
          <w:tab w:val="left" w:pos="6804"/>
        </w:tabs>
        <w:spacing w:before="0" w:after="0"/>
        <w:ind w:left="709" w:right="-1" w:hanging="709"/>
        <w:rPr>
          <w:rFonts w:ascii="Times New Roman" w:hAnsi="Times New Roman"/>
          <w:sz w:val="24"/>
          <w:lang w:val="pt-BR" w:eastAsia="x-none"/>
        </w:rPr>
      </w:pPr>
      <w:r w:rsidRPr="003C12AE">
        <w:rPr>
          <w:rFonts w:ascii="Times New Roman" w:hAnsi="Times New Roman"/>
          <w:sz w:val="24"/>
          <w:lang w:val="pt-BR" w:eastAsia="x-none"/>
        </w:rPr>
        <w:tab/>
      </w:r>
    </w:p>
    <w:p w14:paraId="4DB15B1E" w14:textId="77777777" w:rsidR="003C12AE" w:rsidRPr="003C12AE" w:rsidRDefault="003C12AE" w:rsidP="003C12AE">
      <w:pPr>
        <w:widowControl w:val="0"/>
        <w:spacing w:before="0" w:after="0"/>
        <w:ind w:right="-1"/>
        <w:rPr>
          <w:rFonts w:ascii="Times New Roman" w:hAnsi="Times New Roman"/>
          <w:b/>
          <w:sz w:val="24"/>
          <w:lang w:val="pt-BR" w:eastAsia="x-none"/>
        </w:rPr>
      </w:pPr>
      <w:r w:rsidRPr="003C12AE">
        <w:rPr>
          <w:rFonts w:ascii="Times New Roman" w:hAnsi="Times New Roman"/>
          <w:b/>
          <w:sz w:val="24"/>
          <w:lang w:val="pt-BR" w:eastAsia="x-none"/>
        </w:rPr>
        <w:t xml:space="preserve">Outras divulgações </w:t>
      </w:r>
    </w:p>
    <w:p w14:paraId="280172FA" w14:textId="77777777" w:rsidR="003C12AE" w:rsidRPr="003C12AE" w:rsidRDefault="003C12AE" w:rsidP="003C12AE">
      <w:pPr>
        <w:widowControl w:val="0"/>
        <w:tabs>
          <w:tab w:val="left" w:pos="709"/>
          <w:tab w:val="left" w:pos="6804"/>
        </w:tabs>
        <w:spacing w:before="0" w:after="0"/>
        <w:ind w:left="709" w:right="-1" w:hanging="709"/>
        <w:rPr>
          <w:rFonts w:ascii="Times New Roman" w:hAnsi="Times New Roman"/>
          <w:sz w:val="24"/>
          <w:lang w:val="pt-BR" w:eastAsia="x-none"/>
        </w:rPr>
      </w:pPr>
    </w:p>
    <w:p w14:paraId="5AA4BBEF" w14:textId="77777777" w:rsidR="003C12AE" w:rsidRPr="003C12AE" w:rsidRDefault="003C12AE" w:rsidP="003C12AE">
      <w:pPr>
        <w:widowControl w:val="0"/>
        <w:tabs>
          <w:tab w:val="left" w:pos="6804"/>
        </w:tabs>
        <w:spacing w:before="0" w:after="0"/>
        <w:ind w:left="567" w:right="-1" w:hanging="567"/>
        <w:rPr>
          <w:rFonts w:ascii="Times New Roman" w:hAnsi="Times New Roman"/>
          <w:b/>
          <w:sz w:val="24"/>
          <w:lang w:val="pt-BR" w:eastAsia="x-none"/>
        </w:rPr>
      </w:pPr>
      <w:r w:rsidRPr="003C12AE">
        <w:rPr>
          <w:rFonts w:ascii="Times New Roman" w:hAnsi="Times New Roman"/>
          <w:sz w:val="24"/>
          <w:lang w:val="pt-BR" w:eastAsia="x-none"/>
        </w:rPr>
        <w:tab/>
      </w:r>
      <w:r w:rsidRPr="003C12AE">
        <w:rPr>
          <w:rFonts w:ascii="Times New Roman" w:hAnsi="Times New Roman"/>
          <w:b/>
          <w:sz w:val="24"/>
          <w:lang w:val="pt-BR" w:eastAsia="x-none"/>
        </w:rPr>
        <w:t>Políticas contábeis</w:t>
      </w:r>
    </w:p>
    <w:p w14:paraId="7CCA94DD"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02BDE8B6"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21.</w:t>
      </w:r>
      <w:r w:rsidRPr="003C12AE">
        <w:rPr>
          <w:rFonts w:ascii="Times New Roman" w:hAnsi="Times New Roman"/>
          <w:sz w:val="24"/>
          <w:lang w:val="pt-BR" w:eastAsia="x-none"/>
        </w:rPr>
        <w:tab/>
        <w:t>De acordo com o item 117 do Pronunciamento Técnico CPC 26 – Apresentação das Demonstrações Contábeis, a entidade deve divulgar, na nota explicativa sobre as políticas contábeis, as bases de mensuração usadas na elaboração das demonstrações contábeis e as outras políticas contábeis usadas que sejam relevantes para o entendimento dessas demonstrações contábeis.</w:t>
      </w:r>
    </w:p>
    <w:p w14:paraId="4A953C7F" w14:textId="77777777" w:rsidR="003C12AE" w:rsidRPr="003C12AE" w:rsidRDefault="003C12AE" w:rsidP="003C12AE">
      <w:pPr>
        <w:widowControl w:val="0"/>
        <w:tabs>
          <w:tab w:val="left" w:pos="6804"/>
        </w:tabs>
        <w:spacing w:before="0" w:after="0"/>
        <w:ind w:left="567" w:right="-1"/>
        <w:rPr>
          <w:rFonts w:ascii="Times New Roman" w:hAnsi="Times New Roman"/>
          <w:sz w:val="24"/>
          <w:lang w:val="pt-BR" w:eastAsia="x-none"/>
        </w:rPr>
      </w:pPr>
    </w:p>
    <w:p w14:paraId="5A3EBEB0" w14:textId="77777777" w:rsidR="003C12AE" w:rsidRPr="003C12AE" w:rsidRDefault="003C12AE" w:rsidP="003C12AE">
      <w:pPr>
        <w:widowControl w:val="0"/>
        <w:tabs>
          <w:tab w:val="left" w:pos="6804"/>
        </w:tabs>
        <w:spacing w:before="0" w:after="0"/>
        <w:ind w:left="567" w:right="-1"/>
        <w:rPr>
          <w:rFonts w:ascii="Times New Roman" w:hAnsi="Times New Roman"/>
          <w:b/>
          <w:sz w:val="24"/>
          <w:lang w:val="pt-BR" w:eastAsia="x-none"/>
        </w:rPr>
      </w:pPr>
      <w:r w:rsidRPr="003C12AE">
        <w:rPr>
          <w:rFonts w:ascii="Times New Roman" w:hAnsi="Times New Roman"/>
          <w:b/>
          <w:sz w:val="24"/>
          <w:lang w:val="pt-BR" w:eastAsia="x-none"/>
        </w:rPr>
        <w:t xml:space="preserve">Contabilidade de </w:t>
      </w:r>
      <w:r w:rsidRPr="003C12AE">
        <w:rPr>
          <w:rFonts w:ascii="Times New Roman" w:hAnsi="Times New Roman"/>
          <w:b/>
          <w:i/>
          <w:sz w:val="24"/>
          <w:lang w:val="pt-BR" w:eastAsia="x-none"/>
        </w:rPr>
        <w:t>hedge</w:t>
      </w:r>
    </w:p>
    <w:p w14:paraId="34263BA8" w14:textId="77777777" w:rsidR="003C12AE" w:rsidRPr="003C12AE" w:rsidRDefault="003C12AE" w:rsidP="003C12AE">
      <w:pPr>
        <w:widowControl w:val="0"/>
        <w:tabs>
          <w:tab w:val="left" w:pos="6804"/>
        </w:tabs>
        <w:spacing w:before="0" w:after="0"/>
        <w:ind w:left="567" w:right="-1"/>
        <w:rPr>
          <w:rFonts w:ascii="Times New Roman" w:hAnsi="Times New Roman"/>
          <w:sz w:val="24"/>
          <w:lang w:val="pt-BR" w:eastAsia="x-none"/>
        </w:rPr>
      </w:pPr>
    </w:p>
    <w:p w14:paraId="39CB6E14"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21A. A entidade deve aplicar os requisitos de divulgação dos itens 21B a 24F para as exposições a risco que a entidade protege e para as quais ela escolhe aplicar a contabilização de </w:t>
      </w:r>
      <w:r w:rsidRPr="003C12AE">
        <w:rPr>
          <w:rFonts w:ascii="Times New Roman" w:hAnsi="Times New Roman"/>
          <w:i/>
          <w:sz w:val="24"/>
          <w:lang w:val="pt-BR" w:eastAsia="x-none"/>
        </w:rPr>
        <w:t>hedge</w:t>
      </w:r>
      <w:r w:rsidRPr="003C12AE">
        <w:rPr>
          <w:rFonts w:ascii="Times New Roman" w:hAnsi="Times New Roman"/>
          <w:sz w:val="24"/>
          <w:lang w:val="pt-BR" w:eastAsia="x-none"/>
        </w:rPr>
        <w:t xml:space="preserve">. As divulgações de contabilização de </w:t>
      </w:r>
      <w:r w:rsidRPr="003C12AE">
        <w:rPr>
          <w:rFonts w:ascii="Times New Roman" w:hAnsi="Times New Roman"/>
          <w:i/>
          <w:sz w:val="24"/>
          <w:lang w:val="pt-BR" w:eastAsia="x-none"/>
        </w:rPr>
        <w:t>hedge</w:t>
      </w:r>
      <w:r w:rsidRPr="003C12AE">
        <w:rPr>
          <w:rFonts w:ascii="Times New Roman" w:hAnsi="Times New Roman"/>
          <w:sz w:val="24"/>
          <w:lang w:val="pt-BR" w:eastAsia="x-none"/>
        </w:rPr>
        <w:t xml:space="preserve"> devem fornecer informações sobre: </w:t>
      </w:r>
    </w:p>
    <w:p w14:paraId="4C4ACB22"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a estratégia de gerenciamento de risco da entidade e como ela é aplicada para gerenciar o risco; </w:t>
      </w:r>
    </w:p>
    <w:p w14:paraId="6C5FB755"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lastRenderedPageBreak/>
        <w:t xml:space="preserve">(b) </w:t>
      </w:r>
      <w:r w:rsidRPr="003C12AE">
        <w:rPr>
          <w:rFonts w:ascii="Times New Roman" w:hAnsi="Times New Roman"/>
          <w:sz w:val="24"/>
          <w:lang w:val="pt-BR" w:eastAsia="x-none"/>
        </w:rPr>
        <w:tab/>
        <w:t xml:space="preserve">como as atividades de </w:t>
      </w:r>
      <w:r w:rsidRPr="003C12AE">
        <w:rPr>
          <w:rFonts w:ascii="Times New Roman" w:hAnsi="Times New Roman"/>
          <w:i/>
          <w:sz w:val="24"/>
          <w:lang w:val="pt-BR" w:eastAsia="x-none"/>
        </w:rPr>
        <w:t>hedge</w:t>
      </w:r>
      <w:r w:rsidRPr="003C12AE">
        <w:rPr>
          <w:rFonts w:ascii="Times New Roman" w:hAnsi="Times New Roman"/>
          <w:sz w:val="24"/>
          <w:lang w:val="pt-BR" w:eastAsia="x-none"/>
        </w:rPr>
        <w:t xml:space="preserve"> da entidade podem afetar o valor, a época e a incerteza de seus fluxos de caixa futuros; e </w:t>
      </w:r>
    </w:p>
    <w:p w14:paraId="2F092BDF" w14:textId="5F0F64F2" w:rsidR="003C12AE" w:rsidRPr="003C12AE" w:rsidRDefault="003C12AE" w:rsidP="003C12AE">
      <w:pPr>
        <w:widowControl w:val="0"/>
        <w:tabs>
          <w:tab w:val="left" w:pos="6804"/>
        </w:tabs>
        <w:spacing w:before="0" w:after="0"/>
        <w:ind w:left="993" w:hanging="426"/>
        <w:rPr>
          <w:rFonts w:ascii="Times New Roman" w:hAnsi="Times New Roman"/>
          <w:sz w:val="24"/>
          <w:lang w:val="pt-BR" w:eastAsia="x-none"/>
        </w:rPr>
      </w:pPr>
      <w:r w:rsidRPr="003C12AE">
        <w:rPr>
          <w:rFonts w:ascii="Times New Roman" w:hAnsi="Times New Roman"/>
          <w:sz w:val="24"/>
          <w:lang w:val="pt-BR" w:eastAsia="x-none"/>
        </w:rPr>
        <w:t xml:space="preserve">(c) </w:t>
      </w:r>
      <w:r w:rsidRPr="003C12AE">
        <w:rPr>
          <w:rFonts w:ascii="Times New Roman" w:hAnsi="Times New Roman"/>
          <w:sz w:val="24"/>
          <w:lang w:val="pt-BR" w:eastAsia="x-none"/>
        </w:rPr>
        <w:tab/>
        <w:t xml:space="preserve">o efeito que a contabilização de </w:t>
      </w:r>
      <w:r w:rsidRPr="003C12AE">
        <w:rPr>
          <w:rFonts w:ascii="Times New Roman" w:hAnsi="Times New Roman"/>
          <w:i/>
          <w:sz w:val="24"/>
          <w:lang w:val="pt-BR" w:eastAsia="x-none"/>
        </w:rPr>
        <w:t>hedge</w:t>
      </w:r>
      <w:r w:rsidRPr="003C12AE">
        <w:rPr>
          <w:rFonts w:ascii="Times New Roman" w:hAnsi="Times New Roman"/>
          <w:sz w:val="24"/>
          <w:lang w:val="pt-BR" w:eastAsia="x-none"/>
        </w:rPr>
        <w:t xml:space="preserve"> teve sobre o balanço patrimonial, a demonstração do resultado abrangente e a demonstração das mutações do patrimônio líquido da entidade.</w:t>
      </w:r>
    </w:p>
    <w:p w14:paraId="0DE4C462" w14:textId="77777777" w:rsidR="003C12AE" w:rsidRPr="003C12AE" w:rsidRDefault="003C12AE" w:rsidP="003C12AE">
      <w:pPr>
        <w:widowControl w:val="0"/>
        <w:tabs>
          <w:tab w:val="left" w:pos="6804"/>
        </w:tabs>
        <w:spacing w:before="0" w:after="0"/>
        <w:ind w:left="567" w:hanging="279"/>
        <w:rPr>
          <w:rFonts w:ascii="Times New Roman" w:hAnsi="Times New Roman"/>
          <w:sz w:val="24"/>
          <w:lang w:val="pt-BR" w:eastAsia="x-none"/>
        </w:rPr>
      </w:pPr>
    </w:p>
    <w:p w14:paraId="1C4EAA30" w14:textId="6CA083B2" w:rsidR="003C12AE" w:rsidRPr="003C12AE" w:rsidRDefault="003C12AE" w:rsidP="003C12AE">
      <w:pPr>
        <w:widowControl w:val="0"/>
        <w:tabs>
          <w:tab w:val="left" w:pos="6804"/>
        </w:tabs>
        <w:spacing w:before="0" w:after="0"/>
        <w:ind w:left="567" w:hanging="567"/>
        <w:rPr>
          <w:rFonts w:ascii="Times New Roman" w:hAnsi="Times New Roman"/>
          <w:sz w:val="24"/>
          <w:lang w:val="pt-BR" w:eastAsia="x-none"/>
        </w:rPr>
      </w:pPr>
      <w:r w:rsidRPr="003C12AE">
        <w:rPr>
          <w:rFonts w:ascii="Times New Roman" w:hAnsi="Times New Roman"/>
          <w:sz w:val="24"/>
          <w:lang w:val="pt-BR" w:eastAsia="x-none"/>
        </w:rPr>
        <w:t>21B. A entidade deve apresentar as divulgações requeridas em uma única nota explicativa ou em seção separada em suas demonstrações contábeis. Entretanto, a entidade não precisa duplicar informações que já estejam apresentadas em outro lugar, desde que as informações sejam incorporadas por referência cruzada das demonstrações contábeis com alguma outra demonstração, como, por exemplo, comentário da administração ou relatório de risco, que esteja disponível aos usuários das demonstrações contábeis nos mesmos termos que as demonstrações contábeis e na mesma época. Sem as informações incorporadas por referência cruzada, as demonstrações contábeis estão incompletas.</w:t>
      </w:r>
    </w:p>
    <w:p w14:paraId="10E3AAF6" w14:textId="77777777" w:rsidR="003C12AE" w:rsidRPr="003C12AE" w:rsidRDefault="003C12AE" w:rsidP="003C12AE">
      <w:pPr>
        <w:widowControl w:val="0"/>
        <w:tabs>
          <w:tab w:val="left" w:pos="6804"/>
        </w:tabs>
        <w:spacing w:before="0" w:after="0"/>
        <w:ind w:left="567" w:hanging="279"/>
        <w:rPr>
          <w:rFonts w:ascii="Times New Roman" w:hAnsi="Times New Roman"/>
          <w:sz w:val="24"/>
          <w:lang w:val="pt-BR" w:eastAsia="x-none"/>
        </w:rPr>
      </w:pPr>
    </w:p>
    <w:p w14:paraId="092269B3" w14:textId="64E93BD9" w:rsidR="003C12AE" w:rsidRPr="003C12AE" w:rsidRDefault="003C12AE" w:rsidP="003C12AE">
      <w:pPr>
        <w:widowControl w:val="0"/>
        <w:tabs>
          <w:tab w:val="left" w:pos="6804"/>
        </w:tabs>
        <w:spacing w:before="0" w:after="0"/>
        <w:ind w:left="567" w:hanging="567"/>
        <w:rPr>
          <w:rFonts w:ascii="Times New Roman" w:hAnsi="Times New Roman"/>
          <w:sz w:val="24"/>
          <w:lang w:val="pt-BR" w:eastAsia="x-none"/>
        </w:rPr>
      </w:pPr>
      <w:r w:rsidRPr="003C12AE">
        <w:rPr>
          <w:rFonts w:ascii="Times New Roman" w:hAnsi="Times New Roman"/>
          <w:sz w:val="24"/>
          <w:lang w:val="pt-BR" w:eastAsia="x-none"/>
        </w:rPr>
        <w:t xml:space="preserve">21C. Quando os itens 22A a 24F exigem que a entidade separe por categoria de risco as informações divulgadas, a entidade deve determinar cada categoria de risco com base nas exposições a risco que a entidade decide proteger e para as quais a contabilização de </w:t>
      </w:r>
      <w:r w:rsidRPr="003C12AE">
        <w:rPr>
          <w:rFonts w:ascii="Times New Roman" w:hAnsi="Times New Roman"/>
          <w:i/>
          <w:sz w:val="24"/>
          <w:lang w:val="pt-BR" w:eastAsia="x-none"/>
        </w:rPr>
        <w:t>hedge</w:t>
      </w:r>
      <w:r w:rsidRPr="003C12AE">
        <w:rPr>
          <w:rFonts w:ascii="Times New Roman" w:hAnsi="Times New Roman"/>
          <w:sz w:val="24"/>
          <w:lang w:val="pt-BR" w:eastAsia="x-none"/>
        </w:rPr>
        <w:t xml:space="preserve"> é aplicada. A entidade deve determinar as categorias de risco de forma consistente para todas as divulgações da contabilização de </w:t>
      </w:r>
      <w:r w:rsidRPr="003C12AE">
        <w:rPr>
          <w:rFonts w:ascii="Times New Roman" w:hAnsi="Times New Roman"/>
          <w:i/>
          <w:sz w:val="24"/>
          <w:lang w:val="pt-BR" w:eastAsia="x-none"/>
        </w:rPr>
        <w:t>hedge</w:t>
      </w:r>
      <w:r w:rsidRPr="003C12AE">
        <w:rPr>
          <w:rFonts w:ascii="Times New Roman" w:hAnsi="Times New Roman"/>
          <w:sz w:val="24"/>
          <w:lang w:val="pt-BR" w:eastAsia="x-none"/>
        </w:rPr>
        <w:t>.</w:t>
      </w:r>
    </w:p>
    <w:p w14:paraId="083DB2B3" w14:textId="77777777" w:rsidR="003C12AE" w:rsidRPr="003C12AE" w:rsidRDefault="003C12AE" w:rsidP="003C12AE">
      <w:pPr>
        <w:widowControl w:val="0"/>
        <w:tabs>
          <w:tab w:val="left" w:pos="6804"/>
        </w:tabs>
        <w:spacing w:before="0" w:after="0"/>
        <w:ind w:left="567" w:hanging="279"/>
        <w:rPr>
          <w:rFonts w:ascii="Times New Roman" w:hAnsi="Times New Roman"/>
          <w:sz w:val="24"/>
          <w:lang w:val="pt-BR" w:eastAsia="x-none"/>
        </w:rPr>
      </w:pPr>
    </w:p>
    <w:p w14:paraId="41FD391F" w14:textId="294979E1" w:rsidR="003C12AE" w:rsidRPr="003C12AE" w:rsidRDefault="003C12AE" w:rsidP="003C12AE">
      <w:pPr>
        <w:widowControl w:val="0"/>
        <w:tabs>
          <w:tab w:val="left" w:pos="6804"/>
        </w:tabs>
        <w:spacing w:before="0" w:after="0"/>
        <w:ind w:left="567" w:hanging="567"/>
        <w:rPr>
          <w:rFonts w:ascii="Times New Roman" w:hAnsi="Times New Roman"/>
          <w:sz w:val="24"/>
          <w:lang w:val="pt-BR" w:eastAsia="x-none"/>
        </w:rPr>
      </w:pPr>
      <w:r w:rsidRPr="003C12AE">
        <w:rPr>
          <w:rFonts w:ascii="Times New Roman" w:hAnsi="Times New Roman"/>
          <w:sz w:val="24"/>
          <w:lang w:val="pt-BR" w:eastAsia="x-none"/>
        </w:rPr>
        <w:t>21D. Para atender aos objetivos do item 21A, a entidade (exceto se especificado de outro modo) deve determinar quanto detalhe deve divulgar, quanta ênfase deve colocar em diferentes aspectos dos requisitos de divulgação, o nível apropriado de agregação ou desagregação e se os usuários das demonstrações contábeis precisam de explicações adicionais para avaliar as informações quantitativas divulgadas. Entretanto, a entidade deve utilizar o mesmo nível de agregação ou desagregação que utiliza para requisitos de divulgação das respectivas informações neste pronunciamento e no CPC 46 – Mensuração do Valor Justo</w:t>
      </w:r>
      <w:r w:rsidR="008C1532">
        <w:rPr>
          <w:rFonts w:ascii="Times New Roman" w:hAnsi="Times New Roman"/>
          <w:sz w:val="24"/>
          <w:lang w:val="pt-BR" w:eastAsia="x-none"/>
        </w:rPr>
        <w:t>.</w:t>
      </w:r>
    </w:p>
    <w:p w14:paraId="2A8527AA" w14:textId="77777777" w:rsidR="003C12AE" w:rsidRPr="003C12AE" w:rsidRDefault="003C12AE" w:rsidP="003C12AE">
      <w:pPr>
        <w:widowControl w:val="0"/>
        <w:tabs>
          <w:tab w:val="left" w:pos="6804"/>
        </w:tabs>
        <w:spacing w:before="0" w:after="0"/>
        <w:ind w:left="567" w:right="-1"/>
        <w:rPr>
          <w:rFonts w:ascii="Times New Roman" w:hAnsi="Times New Roman"/>
          <w:sz w:val="24"/>
          <w:lang w:val="pt-BR" w:eastAsia="x-none"/>
        </w:rPr>
      </w:pPr>
    </w:p>
    <w:p w14:paraId="22FEA6D3" w14:textId="3216CF73" w:rsidR="003C12AE" w:rsidRPr="003C12AE" w:rsidRDefault="003C12AE" w:rsidP="008C1532">
      <w:pPr>
        <w:widowControl w:val="0"/>
        <w:spacing w:before="0" w:after="0"/>
        <w:ind w:left="567" w:right="-1" w:hanging="567"/>
        <w:rPr>
          <w:rFonts w:ascii="Times New Roman" w:hAnsi="Times New Roman"/>
          <w:bCs/>
          <w:iCs/>
          <w:sz w:val="24"/>
          <w:lang w:val="pt-BR"/>
        </w:rPr>
      </w:pPr>
      <w:r w:rsidRPr="003C12AE">
        <w:rPr>
          <w:rFonts w:ascii="Times New Roman" w:hAnsi="Times New Roman"/>
          <w:sz w:val="24"/>
          <w:lang w:val="pt-BR" w:eastAsia="x-none"/>
        </w:rPr>
        <w:t>22.</w:t>
      </w:r>
      <w:r w:rsidR="008C1532">
        <w:rPr>
          <w:rFonts w:ascii="Times New Roman" w:hAnsi="Times New Roman"/>
          <w:sz w:val="24"/>
          <w:lang w:val="pt-BR" w:eastAsia="x-none"/>
        </w:rPr>
        <w:t xml:space="preserve"> </w:t>
      </w:r>
      <w:r w:rsidR="008C1532" w:rsidRPr="008C1532">
        <w:rPr>
          <w:rFonts w:ascii="Times New Roman" w:hAnsi="Times New Roman"/>
          <w:sz w:val="24"/>
          <w:lang w:val="pt-BR" w:eastAsia="x-none"/>
        </w:rPr>
        <w:t>(Eliminado).</w:t>
      </w:r>
    </w:p>
    <w:p w14:paraId="1E52A659"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63C478ED" w14:textId="77777777" w:rsidR="003C12AE" w:rsidRPr="003C12AE" w:rsidRDefault="003C12AE" w:rsidP="003C12AE">
      <w:pPr>
        <w:widowControl w:val="0"/>
        <w:tabs>
          <w:tab w:val="left" w:pos="6804"/>
        </w:tabs>
        <w:spacing w:before="0" w:after="0"/>
        <w:ind w:left="567" w:hanging="567"/>
        <w:rPr>
          <w:rFonts w:ascii="Times New Roman" w:hAnsi="Times New Roman"/>
          <w:b/>
          <w:sz w:val="24"/>
          <w:lang w:val="pt-BR" w:eastAsia="x-none"/>
        </w:rPr>
      </w:pPr>
      <w:r w:rsidRPr="003C12AE">
        <w:rPr>
          <w:rFonts w:ascii="Times New Roman" w:hAnsi="Times New Roman"/>
          <w:b/>
          <w:sz w:val="24"/>
          <w:lang w:val="pt-BR" w:eastAsia="x-none"/>
        </w:rPr>
        <w:t xml:space="preserve">Estratégia de gerenciamento de risco </w:t>
      </w:r>
    </w:p>
    <w:p w14:paraId="035FF8B7" w14:textId="77777777" w:rsidR="003C12AE" w:rsidRPr="003C12AE" w:rsidRDefault="003C12AE" w:rsidP="003C12AE">
      <w:pPr>
        <w:widowControl w:val="0"/>
        <w:tabs>
          <w:tab w:val="left" w:pos="6804"/>
        </w:tabs>
        <w:spacing w:before="0" w:after="0"/>
        <w:ind w:left="567" w:hanging="567"/>
        <w:rPr>
          <w:rFonts w:ascii="Times New Roman" w:hAnsi="Times New Roman"/>
          <w:sz w:val="24"/>
          <w:lang w:val="pt-BR" w:eastAsia="x-none"/>
        </w:rPr>
      </w:pPr>
    </w:p>
    <w:p w14:paraId="13D52514"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22A. A entidade deve explicar sua estratégia de gerenciamento de risco para cada categoria de risco de exposição a risco que decide proteger e para a qual a contabilização de </w:t>
      </w:r>
      <w:r w:rsidRPr="003C12AE">
        <w:rPr>
          <w:rFonts w:ascii="Times New Roman" w:hAnsi="Times New Roman"/>
          <w:i/>
          <w:sz w:val="24"/>
          <w:lang w:val="pt-BR" w:eastAsia="x-none"/>
        </w:rPr>
        <w:t>hedge</w:t>
      </w:r>
      <w:r w:rsidRPr="003C12AE">
        <w:rPr>
          <w:rFonts w:ascii="Times New Roman" w:hAnsi="Times New Roman"/>
          <w:sz w:val="24"/>
          <w:lang w:val="pt-BR" w:eastAsia="x-none"/>
        </w:rPr>
        <w:t xml:space="preserve"> é aplicada. Essa explicação deve permitir que os usuários das demonstrações contábeis avaliem (por exemplo): </w:t>
      </w:r>
    </w:p>
    <w:p w14:paraId="72FC2443"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como surge cada risco; </w:t>
      </w:r>
    </w:p>
    <w:p w14:paraId="4E0820CA"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 xml:space="preserve">como a entidade gerencia cada risco; isso inclui se a entidade protege o item em sua totalidade para todos os riscos ou protege um componente (ou componentes) do risco do item e por quê; </w:t>
      </w:r>
    </w:p>
    <w:p w14:paraId="28DEC85D" w14:textId="0A46FD93" w:rsidR="003C12AE" w:rsidRPr="003C12AE" w:rsidRDefault="003C12AE" w:rsidP="003C12AE">
      <w:pPr>
        <w:widowControl w:val="0"/>
        <w:tabs>
          <w:tab w:val="left" w:pos="6804"/>
        </w:tabs>
        <w:spacing w:before="0" w:after="0"/>
        <w:ind w:left="993" w:hanging="426"/>
        <w:rPr>
          <w:rFonts w:ascii="Times New Roman" w:hAnsi="Times New Roman"/>
          <w:sz w:val="24"/>
          <w:lang w:val="pt-BR" w:eastAsia="x-none"/>
        </w:rPr>
      </w:pPr>
      <w:r w:rsidRPr="003C12AE">
        <w:rPr>
          <w:rFonts w:ascii="Times New Roman" w:hAnsi="Times New Roman"/>
          <w:sz w:val="24"/>
          <w:lang w:val="pt-BR" w:eastAsia="x-none"/>
        </w:rPr>
        <w:t xml:space="preserve">(c) </w:t>
      </w:r>
      <w:r w:rsidRPr="003C12AE">
        <w:rPr>
          <w:rFonts w:ascii="Times New Roman" w:hAnsi="Times New Roman"/>
          <w:sz w:val="24"/>
          <w:lang w:val="pt-BR" w:eastAsia="x-none"/>
        </w:rPr>
        <w:tab/>
        <w:t>a extensão das exposições a risco que a entidade gerencia.</w:t>
      </w:r>
    </w:p>
    <w:p w14:paraId="05B96F9B" w14:textId="77777777" w:rsidR="003C12AE" w:rsidRPr="003C12AE" w:rsidRDefault="003C12AE" w:rsidP="003C12AE">
      <w:pPr>
        <w:widowControl w:val="0"/>
        <w:tabs>
          <w:tab w:val="left" w:pos="6804"/>
        </w:tabs>
        <w:spacing w:before="0" w:after="0"/>
        <w:ind w:left="567" w:hanging="567"/>
        <w:rPr>
          <w:rFonts w:ascii="Times New Roman" w:hAnsi="Times New Roman"/>
          <w:sz w:val="24"/>
          <w:lang w:val="pt-BR" w:eastAsia="x-none"/>
        </w:rPr>
      </w:pPr>
    </w:p>
    <w:p w14:paraId="35FB3C4A"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22B. Para atender aos requisitos do item 22A, as informações devem incluir (entre outras) a descrição de: </w:t>
      </w:r>
    </w:p>
    <w:p w14:paraId="0244B874"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lastRenderedPageBreak/>
        <w:t xml:space="preserve">(a) </w:t>
      </w:r>
      <w:r w:rsidRPr="003C12AE">
        <w:rPr>
          <w:rFonts w:ascii="Times New Roman" w:hAnsi="Times New Roman"/>
          <w:sz w:val="24"/>
          <w:lang w:val="pt-BR" w:eastAsia="x-none"/>
        </w:rPr>
        <w:tab/>
        <w:t xml:space="preserve">instrumentos de </w:t>
      </w:r>
      <w:r w:rsidRPr="003C12AE">
        <w:rPr>
          <w:rFonts w:ascii="Times New Roman" w:hAnsi="Times New Roman"/>
          <w:i/>
          <w:sz w:val="24"/>
          <w:lang w:val="pt-BR" w:eastAsia="x-none"/>
        </w:rPr>
        <w:t>hedge</w:t>
      </w:r>
      <w:r w:rsidRPr="003C12AE">
        <w:rPr>
          <w:rFonts w:ascii="Times New Roman" w:hAnsi="Times New Roman"/>
          <w:sz w:val="24"/>
          <w:lang w:val="pt-BR" w:eastAsia="x-none"/>
        </w:rPr>
        <w:t xml:space="preserve"> utilizados (e como eles são utilizados) para proteger exposições a risco; </w:t>
      </w:r>
    </w:p>
    <w:p w14:paraId="2164FE41"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 xml:space="preserve">como a entidade determina a relação econômica entre o item protegido e o instrumento de </w:t>
      </w:r>
      <w:r w:rsidRPr="003C12AE">
        <w:rPr>
          <w:rFonts w:ascii="Times New Roman" w:hAnsi="Times New Roman"/>
          <w:i/>
          <w:sz w:val="24"/>
          <w:lang w:val="pt-BR" w:eastAsia="x-none"/>
        </w:rPr>
        <w:t>hedge</w:t>
      </w:r>
      <w:r w:rsidRPr="003C12AE">
        <w:rPr>
          <w:rFonts w:ascii="Times New Roman" w:hAnsi="Times New Roman"/>
          <w:sz w:val="24"/>
          <w:lang w:val="pt-BR" w:eastAsia="x-none"/>
        </w:rPr>
        <w:t xml:space="preserve"> para fins de avaliação da efetividade de </w:t>
      </w:r>
      <w:r w:rsidRPr="003C12AE">
        <w:rPr>
          <w:rFonts w:ascii="Times New Roman" w:hAnsi="Times New Roman"/>
          <w:i/>
          <w:sz w:val="24"/>
          <w:lang w:val="pt-BR" w:eastAsia="x-none"/>
        </w:rPr>
        <w:t>hedge</w:t>
      </w:r>
      <w:r w:rsidRPr="003C12AE">
        <w:rPr>
          <w:rFonts w:ascii="Times New Roman" w:hAnsi="Times New Roman"/>
          <w:sz w:val="24"/>
          <w:lang w:val="pt-BR" w:eastAsia="x-none"/>
        </w:rPr>
        <w:t xml:space="preserve">; e </w:t>
      </w:r>
    </w:p>
    <w:p w14:paraId="3A7ABB5D" w14:textId="607A95B7" w:rsidR="003C12AE" w:rsidRPr="003C12AE" w:rsidRDefault="003C12AE" w:rsidP="003C12AE">
      <w:pPr>
        <w:widowControl w:val="0"/>
        <w:tabs>
          <w:tab w:val="left" w:pos="6804"/>
        </w:tabs>
        <w:spacing w:before="0" w:after="0"/>
        <w:ind w:left="993" w:hanging="426"/>
        <w:rPr>
          <w:rFonts w:ascii="Times New Roman" w:hAnsi="Times New Roman"/>
          <w:sz w:val="24"/>
          <w:lang w:val="pt-BR" w:eastAsia="x-none"/>
        </w:rPr>
      </w:pPr>
      <w:r w:rsidRPr="003C12AE">
        <w:rPr>
          <w:rFonts w:ascii="Times New Roman" w:hAnsi="Times New Roman"/>
          <w:sz w:val="24"/>
          <w:lang w:val="pt-BR" w:eastAsia="x-none"/>
        </w:rPr>
        <w:t xml:space="preserve">(c) </w:t>
      </w:r>
      <w:r w:rsidRPr="003C12AE">
        <w:rPr>
          <w:rFonts w:ascii="Times New Roman" w:hAnsi="Times New Roman"/>
          <w:sz w:val="24"/>
          <w:lang w:val="pt-BR" w:eastAsia="x-none"/>
        </w:rPr>
        <w:tab/>
        <w:t xml:space="preserve">como a entidade estabelece o índice de </w:t>
      </w:r>
      <w:r w:rsidRPr="003C12AE">
        <w:rPr>
          <w:rFonts w:ascii="Times New Roman" w:hAnsi="Times New Roman"/>
          <w:i/>
          <w:sz w:val="24"/>
          <w:lang w:val="pt-BR" w:eastAsia="x-none"/>
        </w:rPr>
        <w:t>hedge</w:t>
      </w:r>
      <w:r w:rsidRPr="003C12AE">
        <w:rPr>
          <w:rFonts w:ascii="Times New Roman" w:hAnsi="Times New Roman"/>
          <w:sz w:val="24"/>
          <w:lang w:val="pt-BR" w:eastAsia="x-none"/>
        </w:rPr>
        <w:t xml:space="preserve"> e quais são as fontes de inefetividade de </w:t>
      </w:r>
      <w:r w:rsidRPr="003C12AE">
        <w:rPr>
          <w:rFonts w:ascii="Times New Roman" w:hAnsi="Times New Roman"/>
          <w:i/>
          <w:sz w:val="24"/>
          <w:lang w:val="pt-BR" w:eastAsia="x-none"/>
        </w:rPr>
        <w:t>hedge</w:t>
      </w:r>
      <w:r w:rsidRPr="003C12AE">
        <w:rPr>
          <w:rFonts w:ascii="Times New Roman" w:hAnsi="Times New Roman"/>
          <w:sz w:val="24"/>
          <w:lang w:val="pt-BR" w:eastAsia="x-none"/>
        </w:rPr>
        <w:t>.</w:t>
      </w:r>
    </w:p>
    <w:p w14:paraId="1172AEA9" w14:textId="77777777" w:rsidR="003C12AE" w:rsidRPr="003C12AE" w:rsidRDefault="003C12AE" w:rsidP="003C12AE">
      <w:pPr>
        <w:widowControl w:val="0"/>
        <w:tabs>
          <w:tab w:val="left" w:pos="6804"/>
        </w:tabs>
        <w:spacing w:before="0" w:after="0"/>
        <w:ind w:left="567" w:hanging="567"/>
        <w:rPr>
          <w:rFonts w:ascii="Times New Roman" w:hAnsi="Times New Roman"/>
          <w:sz w:val="24"/>
          <w:lang w:val="pt-BR" w:eastAsia="x-none"/>
        </w:rPr>
      </w:pPr>
    </w:p>
    <w:p w14:paraId="77A354FE"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22C. Quando a entidade designar um componente de risco específico como item protegido (ver item 6.3.7 do CPC 48), ela deve fornecer, além das divulgações exigidas pelos itens 22A e 22B, informações qualitativas ou quantitativas sobre: </w:t>
      </w:r>
    </w:p>
    <w:p w14:paraId="50009F0A" w14:textId="77777777" w:rsidR="003C12AE" w:rsidRPr="003C12AE" w:rsidRDefault="003C12AE" w:rsidP="003C12AE">
      <w:pPr>
        <w:widowControl w:val="0"/>
        <w:tabs>
          <w:tab w:val="left" w:pos="6804"/>
        </w:tabs>
        <w:spacing w:before="0"/>
        <w:ind w:left="993" w:right="57"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como a entidade determinou o componente de risco que é designado como item protegido (incluindo a descrição da natureza da relação entre o componente de risco e o item como um todo); e </w:t>
      </w:r>
    </w:p>
    <w:p w14:paraId="42E22BC2" w14:textId="59CE78DA" w:rsidR="003C12AE" w:rsidRPr="003C12AE" w:rsidRDefault="003C12AE" w:rsidP="003C12AE">
      <w:pPr>
        <w:widowControl w:val="0"/>
        <w:tabs>
          <w:tab w:val="left" w:pos="6804"/>
        </w:tabs>
        <w:spacing w:before="0" w:after="0"/>
        <w:ind w:left="993"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como o componente de risco está relacionado ao item em sua totalidade (por exemplo, o componente de risco designado historicamente cobriu em média 80% das alterações no valor justo do item como um todo).</w:t>
      </w:r>
    </w:p>
    <w:p w14:paraId="79B5853E"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11E47E04" w14:textId="19419F86" w:rsidR="003C12AE" w:rsidRPr="003C12AE" w:rsidRDefault="003C12AE" w:rsidP="00D52EBB">
      <w:pPr>
        <w:widowControl w:val="0"/>
        <w:tabs>
          <w:tab w:val="left" w:pos="6804"/>
        </w:tabs>
        <w:spacing w:before="0"/>
        <w:ind w:left="567" w:right="-1" w:hanging="567"/>
        <w:rPr>
          <w:rFonts w:ascii="Times New Roman" w:hAnsi="Times New Roman"/>
          <w:bCs/>
          <w:iCs/>
          <w:sz w:val="24"/>
          <w:lang w:val="pt-BR"/>
        </w:rPr>
      </w:pPr>
      <w:r w:rsidRPr="003C12AE">
        <w:rPr>
          <w:rFonts w:ascii="Times New Roman" w:hAnsi="Times New Roman"/>
          <w:sz w:val="24"/>
          <w:lang w:val="pt-BR" w:eastAsia="x-none"/>
        </w:rPr>
        <w:t>23.</w:t>
      </w:r>
      <w:r w:rsidR="00D52EBB" w:rsidRPr="00D52EBB">
        <w:rPr>
          <w:rFonts w:ascii="Times New Roman" w:hAnsi="Times New Roman"/>
          <w:sz w:val="24"/>
          <w:lang w:val="pt-BR" w:eastAsia="x-none"/>
        </w:rPr>
        <w:t xml:space="preserve"> (Eliminado).</w:t>
      </w:r>
    </w:p>
    <w:p w14:paraId="05C32630" w14:textId="77777777" w:rsidR="003C12AE" w:rsidRPr="003C12AE" w:rsidRDefault="003C12AE" w:rsidP="003C12AE">
      <w:pPr>
        <w:autoSpaceDE w:val="0"/>
        <w:autoSpaceDN w:val="0"/>
        <w:adjustRightInd w:val="0"/>
        <w:spacing w:before="0" w:after="0"/>
        <w:ind w:left="720" w:right="-1" w:hanging="720"/>
        <w:jc w:val="left"/>
        <w:rPr>
          <w:rFonts w:ascii="Times New Roman" w:hAnsi="Times New Roman"/>
          <w:sz w:val="24"/>
          <w:lang w:val="pt-BR"/>
        </w:rPr>
      </w:pPr>
    </w:p>
    <w:p w14:paraId="2A9CC4E6" w14:textId="77777777" w:rsidR="003C12AE" w:rsidRPr="003C12AE" w:rsidRDefault="003C12AE" w:rsidP="003C12AE">
      <w:pPr>
        <w:autoSpaceDE w:val="0"/>
        <w:autoSpaceDN w:val="0"/>
        <w:adjustRightInd w:val="0"/>
        <w:spacing w:before="0" w:after="0"/>
        <w:ind w:left="720" w:right="-1" w:hanging="720"/>
        <w:rPr>
          <w:rFonts w:ascii="Times New Roman" w:hAnsi="Times New Roman"/>
          <w:b/>
          <w:sz w:val="24"/>
          <w:lang w:val="pt-BR"/>
        </w:rPr>
      </w:pPr>
      <w:r w:rsidRPr="003C12AE">
        <w:rPr>
          <w:rFonts w:ascii="Times New Roman" w:hAnsi="Times New Roman"/>
          <w:b/>
          <w:sz w:val="24"/>
          <w:lang w:val="pt-BR"/>
        </w:rPr>
        <w:t>Valor, época e incerteza dos fluxos de caixa futuros</w:t>
      </w:r>
    </w:p>
    <w:p w14:paraId="5B3A6DA4" w14:textId="77777777" w:rsidR="003C12AE" w:rsidRPr="003C12AE" w:rsidRDefault="003C12AE" w:rsidP="003C12AE">
      <w:pPr>
        <w:autoSpaceDE w:val="0"/>
        <w:autoSpaceDN w:val="0"/>
        <w:adjustRightInd w:val="0"/>
        <w:spacing w:before="0" w:after="0"/>
        <w:ind w:left="720" w:right="-1" w:hanging="720"/>
        <w:rPr>
          <w:rFonts w:ascii="Times New Roman" w:hAnsi="Times New Roman"/>
          <w:sz w:val="24"/>
          <w:lang w:val="pt-BR"/>
        </w:rPr>
      </w:pPr>
    </w:p>
    <w:p w14:paraId="6B8D0E5B" w14:textId="09A6D3F3" w:rsidR="003C12AE" w:rsidRPr="003C12AE" w:rsidRDefault="003C12AE" w:rsidP="003C12AE">
      <w:pPr>
        <w:autoSpaceDE w:val="0"/>
        <w:autoSpaceDN w:val="0"/>
        <w:adjustRightInd w:val="0"/>
        <w:spacing w:before="0" w:after="0"/>
        <w:ind w:left="567" w:right="-1" w:hanging="567"/>
        <w:rPr>
          <w:rFonts w:ascii="Times New Roman" w:hAnsi="Times New Roman"/>
          <w:szCs w:val="20"/>
          <w:lang w:val="pt-BR"/>
        </w:rPr>
      </w:pPr>
      <w:r w:rsidRPr="003C12AE">
        <w:rPr>
          <w:rFonts w:ascii="Times New Roman" w:hAnsi="Times New Roman"/>
          <w:sz w:val="24"/>
          <w:lang w:val="pt-BR"/>
        </w:rPr>
        <w:t xml:space="preserve">23A. A menos que esteja sujeita à isenção do item 23C, a entidade deve divulgar por categoria de risco informações quantitativas, para permitir que os usuários de suas demonstrações contábeis avaliem os termos e condições dos instrumentos de </w:t>
      </w:r>
      <w:r w:rsidRPr="003C12AE">
        <w:rPr>
          <w:rFonts w:ascii="Times New Roman" w:hAnsi="Times New Roman"/>
          <w:i/>
          <w:sz w:val="24"/>
          <w:lang w:val="pt-BR"/>
        </w:rPr>
        <w:t>hedge</w:t>
      </w:r>
      <w:r w:rsidRPr="003C12AE">
        <w:rPr>
          <w:rFonts w:ascii="Times New Roman" w:hAnsi="Times New Roman"/>
          <w:sz w:val="24"/>
          <w:lang w:val="pt-BR"/>
        </w:rPr>
        <w:t xml:space="preserve"> e como eles afetam o valor, a época e a incerteza dos fluxos de caixa futuros da entidade.</w:t>
      </w:r>
    </w:p>
    <w:p w14:paraId="1D6CBAD6" w14:textId="77777777" w:rsidR="003C12AE" w:rsidRPr="003C12AE" w:rsidRDefault="003C12AE" w:rsidP="003C12AE">
      <w:pPr>
        <w:autoSpaceDE w:val="0"/>
        <w:autoSpaceDN w:val="0"/>
        <w:adjustRightInd w:val="0"/>
        <w:spacing w:before="0" w:after="0"/>
        <w:ind w:left="720" w:right="-1" w:hanging="720"/>
        <w:rPr>
          <w:rFonts w:ascii="Times New Roman" w:hAnsi="Times New Roman"/>
          <w:sz w:val="24"/>
          <w:lang w:val="pt-BR"/>
        </w:rPr>
      </w:pPr>
    </w:p>
    <w:p w14:paraId="6F486E4B" w14:textId="77777777" w:rsidR="003C12AE" w:rsidRPr="003C12AE" w:rsidRDefault="003C12AE" w:rsidP="003C12AE">
      <w:pPr>
        <w:autoSpaceDE w:val="0"/>
        <w:autoSpaceDN w:val="0"/>
        <w:adjustRightInd w:val="0"/>
        <w:spacing w:before="0"/>
        <w:ind w:left="567" w:hanging="567"/>
        <w:rPr>
          <w:rFonts w:ascii="Times New Roman" w:hAnsi="Times New Roman"/>
          <w:sz w:val="24"/>
          <w:lang w:val="pt-BR"/>
        </w:rPr>
      </w:pPr>
      <w:r w:rsidRPr="003C12AE">
        <w:rPr>
          <w:rFonts w:ascii="Times New Roman" w:hAnsi="Times New Roman"/>
          <w:sz w:val="24"/>
          <w:lang w:val="pt-BR"/>
        </w:rPr>
        <w:t xml:space="preserve">23B. Para atender aos requisitos do item 23A, a entidade deve fornecer a composição que divulgue: </w:t>
      </w:r>
    </w:p>
    <w:p w14:paraId="48BC292F" w14:textId="77777777" w:rsidR="003C12AE" w:rsidRPr="003C12AE" w:rsidRDefault="003C12AE" w:rsidP="003C12AE">
      <w:pPr>
        <w:autoSpaceDE w:val="0"/>
        <w:autoSpaceDN w:val="0"/>
        <w:adjustRightInd w:val="0"/>
        <w:spacing w:before="0"/>
        <w:ind w:left="993" w:hanging="426"/>
        <w:rPr>
          <w:rFonts w:ascii="Times New Roman" w:hAnsi="Times New Roman"/>
          <w:sz w:val="24"/>
          <w:lang w:val="pt-BR"/>
        </w:rPr>
      </w:pPr>
      <w:r w:rsidRPr="003C12AE">
        <w:rPr>
          <w:rFonts w:ascii="Times New Roman" w:hAnsi="Times New Roman"/>
          <w:sz w:val="24"/>
          <w:lang w:val="pt-BR"/>
        </w:rPr>
        <w:t xml:space="preserve">(a) </w:t>
      </w:r>
      <w:r w:rsidRPr="003C12AE">
        <w:rPr>
          <w:rFonts w:ascii="Times New Roman" w:hAnsi="Times New Roman"/>
          <w:sz w:val="24"/>
          <w:lang w:val="pt-BR"/>
        </w:rPr>
        <w:tab/>
        <w:t xml:space="preserve">o perfil da época do valor nominal do instrumento de </w:t>
      </w:r>
      <w:r w:rsidRPr="003C12AE">
        <w:rPr>
          <w:rFonts w:ascii="Times New Roman" w:hAnsi="Times New Roman"/>
          <w:i/>
          <w:sz w:val="24"/>
          <w:lang w:val="pt-BR"/>
        </w:rPr>
        <w:t>hedge</w:t>
      </w:r>
      <w:r w:rsidRPr="003C12AE">
        <w:rPr>
          <w:rFonts w:ascii="Times New Roman" w:hAnsi="Times New Roman"/>
          <w:sz w:val="24"/>
          <w:lang w:val="pt-BR"/>
        </w:rPr>
        <w:t xml:space="preserve">; e </w:t>
      </w:r>
    </w:p>
    <w:p w14:paraId="7584C650" w14:textId="601DD742" w:rsidR="003C12AE" w:rsidRPr="003C12AE" w:rsidRDefault="003C12AE" w:rsidP="003C12AE">
      <w:pPr>
        <w:autoSpaceDE w:val="0"/>
        <w:autoSpaceDN w:val="0"/>
        <w:adjustRightInd w:val="0"/>
        <w:spacing w:before="0" w:after="0"/>
        <w:ind w:left="993" w:right="-1" w:hanging="426"/>
        <w:rPr>
          <w:rFonts w:ascii="Times New Roman" w:hAnsi="Times New Roman"/>
          <w:szCs w:val="20"/>
          <w:lang w:val="pt-BR"/>
        </w:rPr>
      </w:pPr>
      <w:r w:rsidRPr="003C12AE">
        <w:rPr>
          <w:rFonts w:ascii="Times New Roman" w:hAnsi="Times New Roman"/>
          <w:sz w:val="24"/>
          <w:lang w:val="pt-BR"/>
        </w:rPr>
        <w:t xml:space="preserve">(b) </w:t>
      </w:r>
      <w:r w:rsidRPr="003C12AE">
        <w:rPr>
          <w:rFonts w:ascii="Times New Roman" w:hAnsi="Times New Roman"/>
          <w:sz w:val="24"/>
          <w:lang w:val="pt-BR"/>
        </w:rPr>
        <w:tab/>
        <w:t xml:space="preserve">se aplicável, o preço ou a taxa média (por exemplo, preços de exercício ou a termo, etc.) do instrumento de </w:t>
      </w:r>
      <w:r w:rsidRPr="003C12AE">
        <w:rPr>
          <w:rFonts w:ascii="Times New Roman" w:hAnsi="Times New Roman"/>
          <w:i/>
          <w:sz w:val="24"/>
          <w:lang w:val="pt-BR"/>
        </w:rPr>
        <w:t>hedge</w:t>
      </w:r>
      <w:r w:rsidRPr="003C12AE">
        <w:rPr>
          <w:rFonts w:ascii="Times New Roman" w:hAnsi="Times New Roman"/>
          <w:sz w:val="24"/>
          <w:lang w:val="pt-BR"/>
        </w:rPr>
        <w:t>.</w:t>
      </w:r>
    </w:p>
    <w:p w14:paraId="01B8EDE4" w14:textId="77777777" w:rsidR="003C12AE" w:rsidRPr="003C12AE" w:rsidRDefault="003C12AE" w:rsidP="003C12AE">
      <w:pPr>
        <w:autoSpaceDE w:val="0"/>
        <w:autoSpaceDN w:val="0"/>
        <w:adjustRightInd w:val="0"/>
        <w:spacing w:before="0" w:after="0"/>
        <w:ind w:left="720" w:right="-1" w:hanging="720"/>
        <w:rPr>
          <w:rFonts w:ascii="Times New Roman" w:hAnsi="Times New Roman"/>
          <w:sz w:val="24"/>
          <w:lang w:val="pt-BR"/>
        </w:rPr>
      </w:pPr>
    </w:p>
    <w:p w14:paraId="2E8AFD00" w14:textId="77777777" w:rsidR="003C12AE" w:rsidRPr="003C12AE" w:rsidRDefault="003C12AE" w:rsidP="003C12AE">
      <w:pPr>
        <w:autoSpaceDE w:val="0"/>
        <w:autoSpaceDN w:val="0"/>
        <w:adjustRightInd w:val="0"/>
        <w:spacing w:before="0"/>
        <w:ind w:left="567" w:hanging="567"/>
        <w:rPr>
          <w:rFonts w:ascii="Times New Roman" w:hAnsi="Times New Roman"/>
          <w:sz w:val="24"/>
          <w:lang w:val="pt-BR"/>
        </w:rPr>
      </w:pPr>
      <w:r w:rsidRPr="003C12AE">
        <w:rPr>
          <w:rFonts w:ascii="Times New Roman" w:hAnsi="Times New Roman"/>
          <w:sz w:val="24"/>
          <w:lang w:val="pt-BR"/>
        </w:rPr>
        <w:t xml:space="preserve">23C. Em situações em que a entidade frequentemente restabelece (ou seja, descontinua e reinicia) relações de </w:t>
      </w:r>
      <w:r w:rsidRPr="003C12AE">
        <w:rPr>
          <w:rFonts w:ascii="Times New Roman" w:hAnsi="Times New Roman"/>
          <w:i/>
          <w:sz w:val="24"/>
          <w:lang w:val="pt-BR"/>
        </w:rPr>
        <w:t>hedge</w:t>
      </w:r>
      <w:r w:rsidRPr="003C12AE">
        <w:rPr>
          <w:rFonts w:ascii="Times New Roman" w:hAnsi="Times New Roman"/>
          <w:sz w:val="24"/>
          <w:lang w:val="pt-BR"/>
        </w:rPr>
        <w:t xml:space="preserve"> porque tanto o instrumento de </w:t>
      </w:r>
      <w:r w:rsidRPr="003C12AE">
        <w:rPr>
          <w:rFonts w:ascii="Times New Roman" w:hAnsi="Times New Roman"/>
          <w:i/>
          <w:sz w:val="24"/>
          <w:lang w:val="pt-BR"/>
        </w:rPr>
        <w:t>hedge</w:t>
      </w:r>
      <w:r w:rsidRPr="003C12AE">
        <w:rPr>
          <w:rFonts w:ascii="Times New Roman" w:hAnsi="Times New Roman"/>
          <w:sz w:val="24"/>
          <w:lang w:val="pt-BR"/>
        </w:rPr>
        <w:t xml:space="preserve"> quanto o item protegido frequentemente mudam (ou seja, a entidade utiliza um processo dinâmico em que tanto a exposição quanto os instrumentos de </w:t>
      </w:r>
      <w:r w:rsidRPr="003C12AE">
        <w:rPr>
          <w:rFonts w:ascii="Times New Roman" w:hAnsi="Times New Roman"/>
          <w:i/>
          <w:sz w:val="24"/>
          <w:lang w:val="pt-BR"/>
        </w:rPr>
        <w:t>hedge</w:t>
      </w:r>
      <w:r w:rsidRPr="003C12AE">
        <w:rPr>
          <w:rFonts w:ascii="Times New Roman" w:hAnsi="Times New Roman"/>
          <w:sz w:val="24"/>
          <w:lang w:val="pt-BR"/>
        </w:rPr>
        <w:t xml:space="preserve"> utilizados para gerenciar essa exposição não permanecem os mesmos por muito tempo – como, por exemplo, no item B6.5.24(b) do CPC 48), a entidade: </w:t>
      </w:r>
    </w:p>
    <w:p w14:paraId="2518B32F" w14:textId="77777777" w:rsidR="003C12AE" w:rsidRPr="003C12AE" w:rsidRDefault="003C12AE" w:rsidP="003C12AE">
      <w:pPr>
        <w:autoSpaceDE w:val="0"/>
        <w:autoSpaceDN w:val="0"/>
        <w:adjustRightInd w:val="0"/>
        <w:spacing w:before="0"/>
        <w:ind w:left="993" w:hanging="426"/>
        <w:rPr>
          <w:rFonts w:ascii="Times New Roman" w:hAnsi="Times New Roman"/>
          <w:sz w:val="24"/>
          <w:lang w:val="pt-BR"/>
        </w:rPr>
      </w:pPr>
      <w:r w:rsidRPr="003C12AE">
        <w:rPr>
          <w:rFonts w:ascii="Times New Roman" w:hAnsi="Times New Roman"/>
          <w:sz w:val="24"/>
          <w:lang w:val="pt-BR"/>
        </w:rPr>
        <w:t xml:space="preserve">(a) </w:t>
      </w:r>
      <w:r w:rsidRPr="003C12AE">
        <w:rPr>
          <w:rFonts w:ascii="Times New Roman" w:hAnsi="Times New Roman"/>
          <w:sz w:val="24"/>
          <w:lang w:val="pt-BR"/>
        </w:rPr>
        <w:tab/>
        <w:t xml:space="preserve">está isenta de fornecer as divulgações exigidas pelos itens 23A e 23B; </w:t>
      </w:r>
    </w:p>
    <w:p w14:paraId="3F9ED5CF" w14:textId="77777777" w:rsidR="003C12AE" w:rsidRPr="003C12AE" w:rsidRDefault="003C12AE" w:rsidP="003C12AE">
      <w:pPr>
        <w:autoSpaceDE w:val="0"/>
        <w:autoSpaceDN w:val="0"/>
        <w:adjustRightInd w:val="0"/>
        <w:spacing w:before="0"/>
        <w:ind w:left="993" w:hanging="426"/>
        <w:rPr>
          <w:rFonts w:ascii="Times New Roman" w:hAnsi="Times New Roman"/>
          <w:sz w:val="24"/>
          <w:lang w:val="pt-BR"/>
        </w:rPr>
      </w:pPr>
      <w:r w:rsidRPr="003C12AE">
        <w:rPr>
          <w:rFonts w:ascii="Times New Roman" w:hAnsi="Times New Roman"/>
          <w:sz w:val="24"/>
          <w:lang w:val="pt-BR"/>
        </w:rPr>
        <w:t xml:space="preserve">(b) </w:t>
      </w:r>
      <w:r w:rsidRPr="003C12AE">
        <w:rPr>
          <w:rFonts w:ascii="Times New Roman" w:hAnsi="Times New Roman"/>
          <w:sz w:val="24"/>
          <w:lang w:val="pt-BR"/>
        </w:rPr>
        <w:tab/>
        <w:t xml:space="preserve">deve divulgar: </w:t>
      </w:r>
    </w:p>
    <w:p w14:paraId="4B7D47D5" w14:textId="77777777" w:rsidR="003C12AE" w:rsidRPr="003C12AE" w:rsidRDefault="003C12AE" w:rsidP="003C12AE">
      <w:pPr>
        <w:autoSpaceDE w:val="0"/>
        <w:autoSpaceDN w:val="0"/>
        <w:adjustRightInd w:val="0"/>
        <w:spacing w:before="0"/>
        <w:ind w:left="1418" w:hanging="425"/>
        <w:rPr>
          <w:rFonts w:ascii="Times New Roman" w:hAnsi="Times New Roman"/>
          <w:sz w:val="24"/>
          <w:lang w:val="pt-BR"/>
        </w:rPr>
      </w:pPr>
      <w:r w:rsidRPr="003C12AE">
        <w:rPr>
          <w:rFonts w:ascii="Times New Roman" w:hAnsi="Times New Roman"/>
          <w:sz w:val="24"/>
          <w:lang w:val="pt-BR"/>
        </w:rPr>
        <w:t xml:space="preserve">(i) </w:t>
      </w:r>
      <w:r w:rsidRPr="003C12AE">
        <w:rPr>
          <w:rFonts w:ascii="Times New Roman" w:hAnsi="Times New Roman"/>
          <w:sz w:val="24"/>
          <w:lang w:val="pt-BR"/>
        </w:rPr>
        <w:tab/>
        <w:t xml:space="preserve">informações sobre qual é a estratégia de gerenciamento de risco em relação a essas relações de </w:t>
      </w:r>
      <w:r w:rsidRPr="003C12AE">
        <w:rPr>
          <w:rFonts w:ascii="Times New Roman" w:hAnsi="Times New Roman"/>
          <w:i/>
          <w:sz w:val="24"/>
          <w:lang w:val="pt-BR"/>
        </w:rPr>
        <w:t>hedge</w:t>
      </w:r>
      <w:r w:rsidRPr="003C12AE">
        <w:rPr>
          <w:rFonts w:ascii="Times New Roman" w:hAnsi="Times New Roman"/>
          <w:sz w:val="24"/>
          <w:lang w:val="pt-BR"/>
        </w:rPr>
        <w:t xml:space="preserve">; </w:t>
      </w:r>
    </w:p>
    <w:p w14:paraId="203983DB" w14:textId="77777777" w:rsidR="003C12AE" w:rsidRPr="003C12AE" w:rsidRDefault="003C12AE" w:rsidP="003C12AE">
      <w:pPr>
        <w:autoSpaceDE w:val="0"/>
        <w:autoSpaceDN w:val="0"/>
        <w:adjustRightInd w:val="0"/>
        <w:spacing w:before="0"/>
        <w:ind w:left="1418" w:hanging="425"/>
        <w:rPr>
          <w:rFonts w:ascii="Times New Roman" w:hAnsi="Times New Roman"/>
          <w:sz w:val="24"/>
          <w:lang w:val="pt-BR"/>
        </w:rPr>
      </w:pPr>
      <w:r w:rsidRPr="003C12AE">
        <w:rPr>
          <w:rFonts w:ascii="Times New Roman" w:hAnsi="Times New Roman"/>
          <w:sz w:val="24"/>
          <w:lang w:val="pt-BR"/>
        </w:rPr>
        <w:lastRenderedPageBreak/>
        <w:t xml:space="preserve">(ii) </w:t>
      </w:r>
      <w:r w:rsidRPr="003C12AE">
        <w:rPr>
          <w:rFonts w:ascii="Times New Roman" w:hAnsi="Times New Roman"/>
          <w:sz w:val="24"/>
          <w:lang w:val="pt-BR"/>
        </w:rPr>
        <w:tab/>
        <w:t xml:space="preserve">a descrição de como ela reflete sua estratégia de gerenciamento de risco, utilizando a contabilização de </w:t>
      </w:r>
      <w:r w:rsidRPr="003C12AE">
        <w:rPr>
          <w:rFonts w:ascii="Times New Roman" w:hAnsi="Times New Roman"/>
          <w:i/>
          <w:sz w:val="24"/>
          <w:lang w:val="pt-BR"/>
        </w:rPr>
        <w:t>hedge</w:t>
      </w:r>
      <w:r w:rsidRPr="003C12AE">
        <w:rPr>
          <w:rFonts w:ascii="Times New Roman" w:hAnsi="Times New Roman"/>
          <w:sz w:val="24"/>
          <w:lang w:val="pt-BR"/>
        </w:rPr>
        <w:t xml:space="preserve"> e designando essas relações de </w:t>
      </w:r>
      <w:r w:rsidRPr="003C12AE">
        <w:rPr>
          <w:rFonts w:ascii="Times New Roman" w:hAnsi="Times New Roman"/>
          <w:i/>
          <w:sz w:val="24"/>
          <w:lang w:val="pt-BR"/>
        </w:rPr>
        <w:t>hedge</w:t>
      </w:r>
      <w:r w:rsidRPr="003C12AE">
        <w:rPr>
          <w:rFonts w:ascii="Times New Roman" w:hAnsi="Times New Roman"/>
          <w:sz w:val="24"/>
          <w:lang w:val="pt-BR"/>
        </w:rPr>
        <w:t xml:space="preserve"> específicas; e </w:t>
      </w:r>
    </w:p>
    <w:p w14:paraId="59843B5A" w14:textId="73D7F1D7" w:rsidR="003C12AE" w:rsidRPr="003C12AE" w:rsidRDefault="003C12AE" w:rsidP="003C12AE">
      <w:pPr>
        <w:autoSpaceDE w:val="0"/>
        <w:autoSpaceDN w:val="0"/>
        <w:adjustRightInd w:val="0"/>
        <w:spacing w:before="0" w:after="0"/>
        <w:ind w:left="1418" w:right="-1" w:hanging="425"/>
        <w:rPr>
          <w:rFonts w:ascii="Times New Roman" w:hAnsi="Times New Roman"/>
          <w:szCs w:val="20"/>
          <w:lang w:val="pt-BR"/>
        </w:rPr>
      </w:pPr>
      <w:r w:rsidRPr="003C12AE">
        <w:rPr>
          <w:rFonts w:ascii="Times New Roman" w:hAnsi="Times New Roman"/>
          <w:sz w:val="24"/>
          <w:lang w:val="pt-BR"/>
        </w:rPr>
        <w:t xml:space="preserve">(iii) </w:t>
      </w:r>
      <w:r w:rsidRPr="003C12AE">
        <w:rPr>
          <w:rFonts w:ascii="Times New Roman" w:hAnsi="Times New Roman"/>
          <w:sz w:val="24"/>
          <w:lang w:val="pt-BR"/>
        </w:rPr>
        <w:tab/>
        <w:t xml:space="preserve">a indicação da frequência com que as relações de </w:t>
      </w:r>
      <w:r w:rsidRPr="003C12AE">
        <w:rPr>
          <w:rFonts w:ascii="Times New Roman" w:hAnsi="Times New Roman"/>
          <w:i/>
          <w:sz w:val="24"/>
          <w:lang w:val="pt-BR"/>
        </w:rPr>
        <w:t>hedge</w:t>
      </w:r>
      <w:r w:rsidRPr="003C12AE">
        <w:rPr>
          <w:rFonts w:ascii="Times New Roman" w:hAnsi="Times New Roman"/>
          <w:sz w:val="24"/>
          <w:lang w:val="pt-BR"/>
        </w:rPr>
        <w:t xml:space="preserve"> são descontinuadas e reiniciadas como parte do processo da entidade em relação a essas relações de </w:t>
      </w:r>
      <w:r w:rsidRPr="003C12AE">
        <w:rPr>
          <w:rFonts w:ascii="Times New Roman" w:hAnsi="Times New Roman"/>
          <w:i/>
          <w:sz w:val="24"/>
          <w:lang w:val="pt-BR"/>
        </w:rPr>
        <w:t>hedge</w:t>
      </w:r>
      <w:r w:rsidRPr="003C12AE">
        <w:rPr>
          <w:rFonts w:ascii="Times New Roman" w:hAnsi="Times New Roman"/>
          <w:sz w:val="24"/>
          <w:lang w:val="pt-BR"/>
        </w:rPr>
        <w:t>.</w:t>
      </w:r>
    </w:p>
    <w:p w14:paraId="40E5E0E2" w14:textId="77777777" w:rsidR="003C12AE" w:rsidRPr="003C12AE" w:rsidRDefault="003C12AE" w:rsidP="003C12AE">
      <w:pPr>
        <w:autoSpaceDE w:val="0"/>
        <w:autoSpaceDN w:val="0"/>
        <w:adjustRightInd w:val="0"/>
        <w:spacing w:before="0" w:after="0"/>
        <w:ind w:left="720" w:right="-1" w:hanging="720"/>
        <w:rPr>
          <w:rFonts w:ascii="Times New Roman" w:hAnsi="Times New Roman"/>
          <w:sz w:val="24"/>
          <w:lang w:val="pt-BR"/>
        </w:rPr>
      </w:pPr>
    </w:p>
    <w:p w14:paraId="4DF11B3D" w14:textId="3E65B067" w:rsidR="003C12AE" w:rsidRPr="003C12AE" w:rsidRDefault="003C12AE" w:rsidP="003C12AE">
      <w:pPr>
        <w:autoSpaceDE w:val="0"/>
        <w:autoSpaceDN w:val="0"/>
        <w:adjustRightInd w:val="0"/>
        <w:spacing w:before="0" w:after="0"/>
        <w:ind w:left="567" w:right="-1" w:hanging="567"/>
        <w:rPr>
          <w:rFonts w:ascii="Times New Roman" w:hAnsi="Times New Roman"/>
          <w:szCs w:val="20"/>
          <w:lang w:val="pt-BR"/>
        </w:rPr>
      </w:pPr>
      <w:r w:rsidRPr="003C12AE">
        <w:rPr>
          <w:rFonts w:ascii="Times New Roman" w:hAnsi="Times New Roman"/>
          <w:sz w:val="24"/>
          <w:lang w:val="pt-BR"/>
        </w:rPr>
        <w:t xml:space="preserve">23D. A entidade deve divulgar, por categoria de risco, a descrição das fontes da inefetividade de </w:t>
      </w:r>
      <w:r w:rsidRPr="003C12AE">
        <w:rPr>
          <w:rFonts w:ascii="Times New Roman" w:hAnsi="Times New Roman"/>
          <w:i/>
          <w:sz w:val="24"/>
          <w:lang w:val="pt-BR"/>
        </w:rPr>
        <w:t>hedge</w:t>
      </w:r>
      <w:r w:rsidRPr="003C12AE">
        <w:rPr>
          <w:rFonts w:ascii="Times New Roman" w:hAnsi="Times New Roman"/>
          <w:sz w:val="24"/>
          <w:lang w:val="pt-BR"/>
        </w:rPr>
        <w:t xml:space="preserve"> que devem afetar a relação de </w:t>
      </w:r>
      <w:r w:rsidRPr="003C12AE">
        <w:rPr>
          <w:rFonts w:ascii="Times New Roman" w:hAnsi="Times New Roman"/>
          <w:i/>
          <w:sz w:val="24"/>
          <w:lang w:val="pt-BR"/>
        </w:rPr>
        <w:t>hedge</w:t>
      </w:r>
      <w:r w:rsidRPr="003C12AE">
        <w:rPr>
          <w:rFonts w:ascii="Times New Roman" w:hAnsi="Times New Roman"/>
          <w:sz w:val="24"/>
          <w:lang w:val="pt-BR"/>
        </w:rPr>
        <w:t xml:space="preserve"> durante o período da relação.</w:t>
      </w:r>
    </w:p>
    <w:p w14:paraId="35AEC489" w14:textId="77777777" w:rsidR="003C12AE" w:rsidRPr="003C12AE" w:rsidRDefault="003C12AE" w:rsidP="003C12AE">
      <w:pPr>
        <w:autoSpaceDE w:val="0"/>
        <w:autoSpaceDN w:val="0"/>
        <w:adjustRightInd w:val="0"/>
        <w:spacing w:before="0" w:after="0"/>
        <w:ind w:left="720" w:right="-1" w:hanging="720"/>
        <w:rPr>
          <w:rFonts w:ascii="Times New Roman" w:hAnsi="Times New Roman"/>
          <w:sz w:val="24"/>
          <w:lang w:val="pt-BR"/>
        </w:rPr>
      </w:pPr>
    </w:p>
    <w:p w14:paraId="0CB6794A" w14:textId="5E2D3D74" w:rsidR="003C12AE" w:rsidRPr="003C12AE" w:rsidRDefault="003C12AE" w:rsidP="003C12AE">
      <w:pPr>
        <w:autoSpaceDE w:val="0"/>
        <w:autoSpaceDN w:val="0"/>
        <w:adjustRightInd w:val="0"/>
        <w:spacing w:before="0" w:after="0"/>
        <w:ind w:left="567" w:right="-1" w:hanging="567"/>
        <w:rPr>
          <w:rFonts w:ascii="Times New Roman" w:hAnsi="Times New Roman"/>
          <w:sz w:val="24"/>
          <w:lang w:val="pt-BR"/>
        </w:rPr>
      </w:pPr>
      <w:r w:rsidRPr="003C12AE">
        <w:rPr>
          <w:rFonts w:ascii="Times New Roman" w:hAnsi="Times New Roman"/>
          <w:sz w:val="24"/>
          <w:lang w:val="pt-BR"/>
        </w:rPr>
        <w:t xml:space="preserve">23E. Se outras fontes de inefetividade de </w:t>
      </w:r>
      <w:r w:rsidRPr="003C12AE">
        <w:rPr>
          <w:rFonts w:ascii="Times New Roman" w:hAnsi="Times New Roman"/>
          <w:i/>
          <w:sz w:val="24"/>
          <w:lang w:val="pt-BR"/>
        </w:rPr>
        <w:t>hedge</w:t>
      </w:r>
      <w:r w:rsidRPr="003C12AE">
        <w:rPr>
          <w:rFonts w:ascii="Times New Roman" w:hAnsi="Times New Roman"/>
          <w:sz w:val="24"/>
          <w:lang w:val="pt-BR"/>
        </w:rPr>
        <w:t xml:space="preserve"> surgirem na relação de </w:t>
      </w:r>
      <w:r w:rsidRPr="003C12AE">
        <w:rPr>
          <w:rFonts w:ascii="Times New Roman" w:hAnsi="Times New Roman"/>
          <w:i/>
          <w:sz w:val="24"/>
          <w:lang w:val="pt-BR"/>
        </w:rPr>
        <w:t>hedge</w:t>
      </w:r>
      <w:r w:rsidRPr="003C12AE">
        <w:rPr>
          <w:rFonts w:ascii="Times New Roman" w:hAnsi="Times New Roman"/>
          <w:sz w:val="24"/>
          <w:lang w:val="pt-BR"/>
        </w:rPr>
        <w:t xml:space="preserve">, a entidade deve divulgar essas fontes por categoria de risco e explicar a inefetividade de </w:t>
      </w:r>
      <w:r w:rsidRPr="003C12AE">
        <w:rPr>
          <w:rFonts w:ascii="Times New Roman" w:hAnsi="Times New Roman"/>
          <w:i/>
          <w:sz w:val="24"/>
          <w:lang w:val="pt-BR"/>
        </w:rPr>
        <w:t>hedge</w:t>
      </w:r>
      <w:r w:rsidRPr="003C12AE">
        <w:rPr>
          <w:rFonts w:ascii="Times New Roman" w:hAnsi="Times New Roman"/>
          <w:sz w:val="24"/>
          <w:lang w:val="pt-BR"/>
        </w:rPr>
        <w:t xml:space="preserve"> resultante.</w:t>
      </w:r>
    </w:p>
    <w:p w14:paraId="4F57C43A" w14:textId="77777777" w:rsidR="003C12AE" w:rsidRPr="003C12AE" w:rsidRDefault="003C12AE" w:rsidP="003C12AE">
      <w:pPr>
        <w:autoSpaceDE w:val="0"/>
        <w:autoSpaceDN w:val="0"/>
        <w:adjustRightInd w:val="0"/>
        <w:spacing w:before="0" w:after="0"/>
        <w:ind w:left="720" w:right="-1" w:hanging="720"/>
        <w:rPr>
          <w:rFonts w:ascii="Times New Roman" w:hAnsi="Times New Roman"/>
          <w:sz w:val="24"/>
          <w:lang w:val="pt-BR"/>
        </w:rPr>
      </w:pPr>
      <w:r w:rsidRPr="003C12AE">
        <w:rPr>
          <w:rFonts w:ascii="Times New Roman" w:hAnsi="Times New Roman"/>
          <w:sz w:val="24"/>
          <w:lang w:val="pt-BR"/>
        </w:rPr>
        <w:tab/>
      </w:r>
    </w:p>
    <w:p w14:paraId="750FD5AF" w14:textId="4C416592" w:rsidR="003C12AE" w:rsidRPr="003C12AE" w:rsidRDefault="003C12AE" w:rsidP="003C12AE">
      <w:pPr>
        <w:autoSpaceDE w:val="0"/>
        <w:autoSpaceDN w:val="0"/>
        <w:adjustRightInd w:val="0"/>
        <w:spacing w:before="0" w:after="0"/>
        <w:ind w:left="567" w:right="-1" w:hanging="567"/>
        <w:rPr>
          <w:rFonts w:ascii="Times New Roman" w:hAnsi="Times New Roman"/>
          <w:sz w:val="24"/>
          <w:lang w:val="pt-BR"/>
        </w:rPr>
      </w:pPr>
      <w:r w:rsidRPr="003C12AE">
        <w:rPr>
          <w:rFonts w:ascii="Times New Roman" w:hAnsi="Times New Roman"/>
          <w:sz w:val="24"/>
          <w:lang w:val="pt-BR"/>
        </w:rPr>
        <w:t xml:space="preserve">23F. Para </w:t>
      </w:r>
      <w:r w:rsidRPr="003C12AE">
        <w:rPr>
          <w:rFonts w:ascii="Times New Roman" w:hAnsi="Times New Roman"/>
          <w:i/>
          <w:sz w:val="24"/>
          <w:lang w:val="pt-BR"/>
        </w:rPr>
        <w:t>hedges</w:t>
      </w:r>
      <w:r w:rsidRPr="003C12AE">
        <w:rPr>
          <w:rFonts w:ascii="Times New Roman" w:hAnsi="Times New Roman"/>
          <w:sz w:val="24"/>
          <w:lang w:val="pt-BR"/>
        </w:rPr>
        <w:t xml:space="preserve"> de fluxo de caixa, a entidade deve divulgar a descrição de qualquer transação prevista para a qual a contabilização de </w:t>
      </w:r>
      <w:r w:rsidRPr="003C12AE">
        <w:rPr>
          <w:rFonts w:ascii="Times New Roman" w:hAnsi="Times New Roman"/>
          <w:i/>
          <w:sz w:val="24"/>
          <w:lang w:val="pt-BR"/>
        </w:rPr>
        <w:t>hedge</w:t>
      </w:r>
      <w:r w:rsidRPr="003C12AE">
        <w:rPr>
          <w:rFonts w:ascii="Times New Roman" w:hAnsi="Times New Roman"/>
          <w:sz w:val="24"/>
          <w:lang w:val="pt-BR"/>
        </w:rPr>
        <w:t xml:space="preserve"> tinha sido utilizada anteriormente, mas que não deve mais ocorrer.</w:t>
      </w:r>
    </w:p>
    <w:p w14:paraId="7B859AFF" w14:textId="77777777" w:rsidR="003C12AE" w:rsidRPr="003C12AE" w:rsidRDefault="003C12AE" w:rsidP="003C12AE">
      <w:pPr>
        <w:autoSpaceDE w:val="0"/>
        <w:autoSpaceDN w:val="0"/>
        <w:adjustRightInd w:val="0"/>
        <w:spacing w:before="0" w:after="0"/>
        <w:ind w:left="720" w:right="-1" w:hanging="720"/>
        <w:jc w:val="left"/>
        <w:rPr>
          <w:rFonts w:ascii="Times New Roman" w:hAnsi="Times New Roman"/>
          <w:sz w:val="24"/>
          <w:lang w:val="pt-BR"/>
        </w:rPr>
      </w:pPr>
    </w:p>
    <w:p w14:paraId="4FB25332" w14:textId="44E01C40" w:rsidR="003C12AE" w:rsidRPr="003C12AE" w:rsidRDefault="003C12AE" w:rsidP="000F3F53">
      <w:pPr>
        <w:widowControl w:val="0"/>
        <w:tabs>
          <w:tab w:val="left" w:pos="6804"/>
        </w:tabs>
        <w:spacing w:before="0"/>
        <w:ind w:left="567" w:right="-1" w:hanging="567"/>
        <w:rPr>
          <w:rFonts w:ascii="Times New Roman" w:hAnsi="Times New Roman"/>
          <w:bCs/>
          <w:iCs/>
          <w:sz w:val="24"/>
          <w:lang w:val="pt-BR"/>
        </w:rPr>
      </w:pPr>
      <w:r w:rsidRPr="003C12AE">
        <w:rPr>
          <w:rFonts w:ascii="Times New Roman" w:hAnsi="Times New Roman"/>
          <w:sz w:val="24"/>
          <w:lang w:val="pt-BR" w:eastAsia="x-none"/>
        </w:rPr>
        <w:t>24.</w:t>
      </w:r>
      <w:r w:rsidR="000F3F53" w:rsidRPr="000F3F53">
        <w:rPr>
          <w:rFonts w:ascii="Times New Roman" w:hAnsi="Times New Roman"/>
          <w:sz w:val="24"/>
          <w:lang w:val="pt-BR" w:eastAsia="x-none"/>
        </w:rPr>
        <w:t xml:space="preserve"> (Eliminado).</w:t>
      </w:r>
    </w:p>
    <w:p w14:paraId="072E7C9C" w14:textId="77777777" w:rsidR="003C12AE" w:rsidRPr="003C12AE" w:rsidRDefault="003C12AE" w:rsidP="003C12AE">
      <w:pPr>
        <w:widowControl w:val="0"/>
        <w:spacing w:before="0" w:after="0"/>
        <w:rPr>
          <w:rFonts w:ascii="Times New Roman" w:hAnsi="Times New Roman"/>
          <w:bCs/>
          <w:iCs/>
          <w:sz w:val="24"/>
          <w:lang w:val="pt-BR"/>
        </w:rPr>
      </w:pPr>
    </w:p>
    <w:p w14:paraId="1D6F1F2D" w14:textId="77777777" w:rsidR="003C12AE" w:rsidRPr="003C12AE" w:rsidRDefault="003C12AE" w:rsidP="003C12AE">
      <w:pPr>
        <w:widowControl w:val="0"/>
        <w:spacing w:before="0" w:after="0"/>
        <w:rPr>
          <w:rFonts w:ascii="Times New Roman" w:hAnsi="Times New Roman"/>
          <w:b/>
          <w:bCs/>
          <w:iCs/>
          <w:sz w:val="24"/>
          <w:lang w:val="pt-BR"/>
        </w:rPr>
      </w:pPr>
      <w:r w:rsidRPr="003C12AE">
        <w:rPr>
          <w:rFonts w:ascii="Times New Roman" w:hAnsi="Times New Roman"/>
          <w:b/>
          <w:bCs/>
          <w:iCs/>
          <w:sz w:val="24"/>
          <w:lang w:val="pt-BR"/>
        </w:rPr>
        <w:t xml:space="preserve">Efeitos da contabilização de </w:t>
      </w:r>
      <w:r w:rsidRPr="003C12AE">
        <w:rPr>
          <w:rFonts w:ascii="Times New Roman" w:hAnsi="Times New Roman"/>
          <w:b/>
          <w:bCs/>
          <w:i/>
          <w:iCs/>
          <w:sz w:val="24"/>
          <w:lang w:val="pt-BR"/>
        </w:rPr>
        <w:t>hedge</w:t>
      </w:r>
      <w:r w:rsidRPr="003C12AE">
        <w:rPr>
          <w:rFonts w:ascii="Times New Roman" w:hAnsi="Times New Roman"/>
          <w:b/>
          <w:bCs/>
          <w:iCs/>
          <w:sz w:val="24"/>
          <w:lang w:val="pt-BR"/>
        </w:rPr>
        <w:t xml:space="preserve"> sobre a posição financeira e sobre o desempenho</w:t>
      </w:r>
    </w:p>
    <w:p w14:paraId="4B0BC528" w14:textId="77777777" w:rsidR="003C12AE" w:rsidRPr="003C12AE" w:rsidRDefault="003C12AE" w:rsidP="003C12AE">
      <w:pPr>
        <w:widowControl w:val="0"/>
        <w:spacing w:before="0" w:after="0"/>
        <w:rPr>
          <w:rFonts w:ascii="Times New Roman" w:hAnsi="Times New Roman"/>
          <w:bCs/>
          <w:iCs/>
          <w:sz w:val="24"/>
          <w:lang w:val="pt-BR"/>
        </w:rPr>
      </w:pPr>
    </w:p>
    <w:p w14:paraId="1D977822" w14:textId="77777777" w:rsidR="003C12AE" w:rsidRPr="003C12AE" w:rsidRDefault="003C12AE" w:rsidP="003C12AE">
      <w:pPr>
        <w:widowControl w:val="0"/>
        <w:spacing w:before="0"/>
        <w:ind w:left="567" w:hanging="567"/>
        <w:rPr>
          <w:rFonts w:ascii="Times New Roman" w:hAnsi="Times New Roman"/>
          <w:bCs/>
          <w:iCs/>
          <w:sz w:val="24"/>
          <w:lang w:val="pt-BR"/>
        </w:rPr>
      </w:pPr>
      <w:r w:rsidRPr="003C12AE">
        <w:rPr>
          <w:rFonts w:ascii="Times New Roman" w:hAnsi="Times New Roman"/>
          <w:bCs/>
          <w:iCs/>
          <w:sz w:val="24"/>
          <w:lang w:val="pt-BR"/>
        </w:rPr>
        <w:t xml:space="preserve">24A. A entidade deve divulgar, em forma de tabela, os seguintes valores referentes a itens designados como instrumentos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separadamente por categoria de risco para cada tipo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de valor justo,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de fluxo de caixa ou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de investimento líquido em operação no exterior): </w:t>
      </w:r>
    </w:p>
    <w:p w14:paraId="56E879B5"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 xml:space="preserve">(a) </w:t>
      </w:r>
      <w:r w:rsidRPr="003C12AE">
        <w:rPr>
          <w:rFonts w:ascii="Times New Roman" w:hAnsi="Times New Roman"/>
          <w:bCs/>
          <w:iCs/>
          <w:sz w:val="24"/>
          <w:lang w:val="pt-BR"/>
        </w:rPr>
        <w:tab/>
        <w:t xml:space="preserve">o valor contábil dos instrumentos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(ativos financeiros separadamente de passivos financeiros); </w:t>
      </w:r>
    </w:p>
    <w:p w14:paraId="2F91E7ED"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 xml:space="preserve">(b) </w:t>
      </w:r>
      <w:r w:rsidRPr="003C12AE">
        <w:rPr>
          <w:rFonts w:ascii="Times New Roman" w:hAnsi="Times New Roman"/>
          <w:bCs/>
          <w:iCs/>
          <w:sz w:val="24"/>
          <w:lang w:val="pt-BR"/>
        </w:rPr>
        <w:tab/>
        <w:t xml:space="preserve">a rubrica no balanço patrimonial que inclui o instrumento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w:t>
      </w:r>
    </w:p>
    <w:p w14:paraId="0B7B3A67"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 xml:space="preserve">(c) </w:t>
      </w:r>
      <w:r w:rsidRPr="003C12AE">
        <w:rPr>
          <w:rFonts w:ascii="Times New Roman" w:hAnsi="Times New Roman"/>
          <w:bCs/>
          <w:iCs/>
          <w:sz w:val="24"/>
          <w:lang w:val="pt-BR"/>
        </w:rPr>
        <w:tab/>
        <w:t xml:space="preserve">a alteração no valor justo do instrumento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utilizado como base para reconhecer a inefetividade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do período; e </w:t>
      </w:r>
    </w:p>
    <w:p w14:paraId="117C49F4" w14:textId="1E670E3C" w:rsidR="003C12AE" w:rsidRPr="003C12AE" w:rsidRDefault="003C12AE" w:rsidP="003C12AE">
      <w:pPr>
        <w:widowControl w:val="0"/>
        <w:spacing w:before="0" w:after="0"/>
        <w:ind w:left="993" w:hanging="426"/>
        <w:rPr>
          <w:rFonts w:ascii="Times New Roman" w:hAnsi="Times New Roman"/>
          <w:bCs/>
          <w:iCs/>
          <w:sz w:val="24"/>
          <w:lang w:val="pt-BR"/>
        </w:rPr>
      </w:pPr>
      <w:r w:rsidRPr="003C12AE">
        <w:rPr>
          <w:rFonts w:ascii="Times New Roman" w:hAnsi="Times New Roman"/>
          <w:bCs/>
          <w:iCs/>
          <w:sz w:val="24"/>
          <w:lang w:val="pt-BR"/>
        </w:rPr>
        <w:t xml:space="preserve">(d) </w:t>
      </w:r>
      <w:r w:rsidRPr="003C12AE">
        <w:rPr>
          <w:rFonts w:ascii="Times New Roman" w:hAnsi="Times New Roman"/>
          <w:bCs/>
          <w:iCs/>
          <w:sz w:val="24"/>
          <w:lang w:val="pt-BR"/>
        </w:rPr>
        <w:tab/>
        <w:t xml:space="preserve">os valores nominais (incluindo quantidades, como, por exemplo, toneladas ou metros cúbicos) dos instrumentos de </w:t>
      </w:r>
      <w:r w:rsidRPr="003C12AE">
        <w:rPr>
          <w:rFonts w:ascii="Times New Roman" w:hAnsi="Times New Roman"/>
          <w:bCs/>
          <w:i/>
          <w:iCs/>
          <w:sz w:val="24"/>
          <w:lang w:val="pt-BR"/>
        </w:rPr>
        <w:t>hedge</w:t>
      </w:r>
      <w:r w:rsidRPr="003C12AE">
        <w:rPr>
          <w:rFonts w:ascii="Times New Roman" w:hAnsi="Times New Roman"/>
          <w:bCs/>
          <w:iCs/>
          <w:sz w:val="24"/>
          <w:lang w:val="pt-BR"/>
        </w:rPr>
        <w:t>.</w:t>
      </w:r>
    </w:p>
    <w:p w14:paraId="682DC285" w14:textId="77777777" w:rsidR="003C12AE" w:rsidRPr="003C12AE" w:rsidRDefault="003C12AE" w:rsidP="003C12AE">
      <w:pPr>
        <w:widowControl w:val="0"/>
        <w:spacing w:before="0" w:after="0"/>
        <w:rPr>
          <w:rFonts w:ascii="Times New Roman" w:hAnsi="Times New Roman"/>
          <w:bCs/>
          <w:iCs/>
          <w:sz w:val="24"/>
          <w:lang w:val="pt-BR"/>
        </w:rPr>
      </w:pPr>
    </w:p>
    <w:p w14:paraId="3E8C60F4" w14:textId="77777777" w:rsidR="003C12AE" w:rsidRPr="003C12AE" w:rsidRDefault="003C12AE" w:rsidP="003C12AE">
      <w:pPr>
        <w:widowControl w:val="0"/>
        <w:spacing w:before="0"/>
        <w:ind w:left="567" w:hanging="567"/>
        <w:rPr>
          <w:rFonts w:ascii="Times New Roman" w:hAnsi="Times New Roman"/>
          <w:bCs/>
          <w:iCs/>
          <w:sz w:val="24"/>
          <w:lang w:val="pt-BR"/>
        </w:rPr>
      </w:pPr>
      <w:r w:rsidRPr="003C12AE">
        <w:rPr>
          <w:rFonts w:ascii="Times New Roman" w:hAnsi="Times New Roman"/>
          <w:bCs/>
          <w:iCs/>
          <w:sz w:val="24"/>
          <w:lang w:val="pt-BR"/>
        </w:rPr>
        <w:t xml:space="preserve">24B. A entidade deve divulgar, em forma de tabela, os seguintes valores referentes a itens protegidos separadamente por categoria de risco para os tipos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w:t>
      </w:r>
    </w:p>
    <w:p w14:paraId="2A70350D"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 xml:space="preserve">(a) </w:t>
      </w:r>
      <w:r w:rsidRPr="003C12AE">
        <w:rPr>
          <w:rFonts w:ascii="Times New Roman" w:hAnsi="Times New Roman"/>
          <w:bCs/>
          <w:iCs/>
          <w:sz w:val="24"/>
          <w:lang w:val="pt-BR"/>
        </w:rPr>
        <w:tab/>
        <w:t xml:space="preserve">para </w:t>
      </w:r>
      <w:r w:rsidRPr="003C12AE">
        <w:rPr>
          <w:rFonts w:ascii="Times New Roman" w:hAnsi="Times New Roman"/>
          <w:bCs/>
          <w:i/>
          <w:iCs/>
          <w:sz w:val="24"/>
          <w:lang w:val="pt-BR"/>
        </w:rPr>
        <w:t>hedges</w:t>
      </w:r>
      <w:r w:rsidRPr="003C12AE">
        <w:rPr>
          <w:rFonts w:ascii="Times New Roman" w:hAnsi="Times New Roman"/>
          <w:bCs/>
          <w:iCs/>
          <w:sz w:val="24"/>
          <w:lang w:val="pt-BR"/>
        </w:rPr>
        <w:t xml:space="preserve"> de valor justo: </w:t>
      </w:r>
    </w:p>
    <w:p w14:paraId="2DB00758"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(i) </w:t>
      </w:r>
      <w:r w:rsidRPr="003C12AE">
        <w:rPr>
          <w:rFonts w:ascii="Times New Roman" w:hAnsi="Times New Roman"/>
          <w:bCs/>
          <w:iCs/>
          <w:sz w:val="24"/>
          <w:lang w:val="pt-BR"/>
        </w:rPr>
        <w:tab/>
        <w:t xml:space="preserve">o valor contábil do item protegido, reconhecido no balanço patrimonial (apresentando ativos separadamente de passivos); </w:t>
      </w:r>
    </w:p>
    <w:p w14:paraId="551689B8"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(ii) </w:t>
      </w:r>
      <w:r w:rsidRPr="003C12AE">
        <w:rPr>
          <w:rFonts w:ascii="Times New Roman" w:hAnsi="Times New Roman"/>
          <w:bCs/>
          <w:iCs/>
          <w:sz w:val="24"/>
          <w:lang w:val="pt-BR"/>
        </w:rPr>
        <w:tab/>
        <w:t xml:space="preserve">o valor acumulado dos ajustes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de valor justo sobre o item protegido, incluído no valor contábil do item protegido, reconhecido no balanço patrimonial (apresentando ativos separadamente de passivos); </w:t>
      </w:r>
    </w:p>
    <w:p w14:paraId="5CAE2E03"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(iii) </w:t>
      </w:r>
      <w:r w:rsidRPr="003C12AE">
        <w:rPr>
          <w:rFonts w:ascii="Times New Roman" w:hAnsi="Times New Roman"/>
          <w:bCs/>
          <w:iCs/>
          <w:sz w:val="24"/>
          <w:lang w:val="pt-BR"/>
        </w:rPr>
        <w:tab/>
        <w:t xml:space="preserve">a rubrica, no balanço patrimonial, que inclui o item protegido; </w:t>
      </w:r>
    </w:p>
    <w:p w14:paraId="2127FE96"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lastRenderedPageBreak/>
        <w:t xml:space="preserve">(iv) </w:t>
      </w:r>
      <w:r w:rsidRPr="003C12AE">
        <w:rPr>
          <w:rFonts w:ascii="Times New Roman" w:hAnsi="Times New Roman"/>
          <w:bCs/>
          <w:iCs/>
          <w:sz w:val="24"/>
          <w:lang w:val="pt-BR"/>
        </w:rPr>
        <w:tab/>
        <w:t xml:space="preserve">a alteração no valor do item protegido utilizado como base para reconhecer a inefetividade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do período; e </w:t>
      </w:r>
    </w:p>
    <w:p w14:paraId="165E7DA3"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(v) </w:t>
      </w:r>
      <w:r w:rsidRPr="003C12AE">
        <w:rPr>
          <w:rFonts w:ascii="Times New Roman" w:hAnsi="Times New Roman"/>
          <w:bCs/>
          <w:iCs/>
          <w:sz w:val="24"/>
          <w:lang w:val="pt-BR"/>
        </w:rPr>
        <w:tab/>
        <w:t xml:space="preserve">o valor acumulado dos ajustes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do valor justo, remanescente no balanço patrimonial, para quaisquer itens protegidos que deixaram de ser ajustados para proteger ganhos e perdas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de acordo com o item 6.5.10 do CPC 48; </w:t>
      </w:r>
    </w:p>
    <w:p w14:paraId="42069215"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 xml:space="preserve">(b) </w:t>
      </w:r>
      <w:r w:rsidRPr="003C12AE">
        <w:rPr>
          <w:rFonts w:ascii="Times New Roman" w:hAnsi="Times New Roman"/>
          <w:bCs/>
          <w:iCs/>
          <w:sz w:val="24"/>
          <w:lang w:val="pt-BR"/>
        </w:rPr>
        <w:tab/>
        <w:t xml:space="preserve">para </w:t>
      </w:r>
      <w:r w:rsidRPr="003C12AE">
        <w:rPr>
          <w:rFonts w:ascii="Times New Roman" w:hAnsi="Times New Roman"/>
          <w:bCs/>
          <w:i/>
          <w:iCs/>
          <w:sz w:val="24"/>
          <w:lang w:val="pt-BR"/>
        </w:rPr>
        <w:t>hedges</w:t>
      </w:r>
      <w:r w:rsidRPr="003C12AE">
        <w:rPr>
          <w:rFonts w:ascii="Times New Roman" w:hAnsi="Times New Roman"/>
          <w:bCs/>
          <w:iCs/>
          <w:sz w:val="24"/>
          <w:lang w:val="pt-BR"/>
        </w:rPr>
        <w:t xml:space="preserve"> de fluxo de caixa e </w:t>
      </w:r>
      <w:r w:rsidRPr="003C12AE">
        <w:rPr>
          <w:rFonts w:ascii="Times New Roman" w:hAnsi="Times New Roman"/>
          <w:bCs/>
          <w:i/>
          <w:iCs/>
          <w:sz w:val="24"/>
          <w:lang w:val="pt-BR"/>
        </w:rPr>
        <w:t>hedges</w:t>
      </w:r>
      <w:r w:rsidRPr="003C12AE">
        <w:rPr>
          <w:rFonts w:ascii="Times New Roman" w:hAnsi="Times New Roman"/>
          <w:bCs/>
          <w:iCs/>
          <w:sz w:val="24"/>
          <w:lang w:val="pt-BR"/>
        </w:rPr>
        <w:t xml:space="preserve"> de investimento líquido em operação no exterior: </w:t>
      </w:r>
    </w:p>
    <w:p w14:paraId="111F0E7E"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(i) </w:t>
      </w:r>
      <w:r w:rsidRPr="003C12AE">
        <w:rPr>
          <w:rFonts w:ascii="Times New Roman" w:hAnsi="Times New Roman"/>
          <w:bCs/>
          <w:iCs/>
          <w:sz w:val="24"/>
          <w:lang w:val="pt-BR"/>
        </w:rPr>
        <w:tab/>
        <w:t xml:space="preserve">as alterações no valor do item protegido utilizado como base para reconhecer a inefetividade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do período (ou seja, para </w:t>
      </w:r>
      <w:r w:rsidRPr="003C12AE">
        <w:rPr>
          <w:rFonts w:ascii="Times New Roman" w:hAnsi="Times New Roman"/>
          <w:bCs/>
          <w:i/>
          <w:iCs/>
          <w:sz w:val="24"/>
          <w:lang w:val="pt-BR"/>
        </w:rPr>
        <w:t>hedges</w:t>
      </w:r>
      <w:r w:rsidRPr="003C12AE">
        <w:rPr>
          <w:rFonts w:ascii="Times New Roman" w:hAnsi="Times New Roman"/>
          <w:bCs/>
          <w:iCs/>
          <w:sz w:val="24"/>
          <w:lang w:val="pt-BR"/>
        </w:rPr>
        <w:t xml:space="preserve"> de fluxo de caixa, a alteração no valor utilizado para determinar a inefetividade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reconhecida de acordo com o item 6.5.11(c) do CPC 48); </w:t>
      </w:r>
    </w:p>
    <w:p w14:paraId="6F7BA999"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(ii) </w:t>
      </w:r>
      <w:r w:rsidRPr="003C12AE">
        <w:rPr>
          <w:rFonts w:ascii="Times New Roman" w:hAnsi="Times New Roman"/>
          <w:bCs/>
          <w:iCs/>
          <w:sz w:val="24"/>
          <w:lang w:val="pt-BR"/>
        </w:rPr>
        <w:tab/>
        <w:t xml:space="preserve">os saldos na reserva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de fluxo de caixa e na reserva de conversão de moeda estrangeira para </w:t>
      </w:r>
      <w:r w:rsidRPr="003C12AE">
        <w:rPr>
          <w:rFonts w:ascii="Times New Roman" w:hAnsi="Times New Roman"/>
          <w:bCs/>
          <w:i/>
          <w:iCs/>
          <w:sz w:val="24"/>
          <w:lang w:val="pt-BR"/>
        </w:rPr>
        <w:t>hedges</w:t>
      </w:r>
      <w:r w:rsidRPr="003C12AE">
        <w:rPr>
          <w:rFonts w:ascii="Times New Roman" w:hAnsi="Times New Roman"/>
          <w:bCs/>
          <w:iCs/>
          <w:sz w:val="24"/>
          <w:lang w:val="pt-BR"/>
        </w:rPr>
        <w:t xml:space="preserve"> contínuos, que são contabilizados de acordo com os itens 6.5.11 e 6.5.13(a) do CPC 48; e </w:t>
      </w:r>
    </w:p>
    <w:p w14:paraId="76264AC4" w14:textId="7299DB0D" w:rsidR="003C12AE" w:rsidRPr="003C12AE" w:rsidRDefault="003C12AE" w:rsidP="003C12AE">
      <w:pPr>
        <w:widowControl w:val="0"/>
        <w:spacing w:before="0" w:after="0"/>
        <w:ind w:left="1418" w:hanging="425"/>
        <w:rPr>
          <w:rFonts w:ascii="Times New Roman" w:hAnsi="Times New Roman"/>
          <w:bCs/>
          <w:iCs/>
          <w:sz w:val="24"/>
          <w:lang w:val="pt-BR"/>
        </w:rPr>
      </w:pPr>
      <w:r w:rsidRPr="003C12AE">
        <w:rPr>
          <w:rFonts w:ascii="Times New Roman" w:hAnsi="Times New Roman"/>
          <w:bCs/>
          <w:iCs/>
          <w:sz w:val="24"/>
          <w:lang w:val="pt-BR"/>
        </w:rPr>
        <w:t xml:space="preserve">(iii) </w:t>
      </w:r>
      <w:r w:rsidRPr="003C12AE">
        <w:rPr>
          <w:rFonts w:ascii="Times New Roman" w:hAnsi="Times New Roman"/>
          <w:bCs/>
          <w:iCs/>
          <w:sz w:val="24"/>
          <w:lang w:val="pt-BR"/>
        </w:rPr>
        <w:tab/>
        <w:t xml:space="preserve">os saldos remanescentes na reserva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de fluxo de caixa e na reserva de conversão de moeda estrangeira de qualquer relação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para as quais a contabilidade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deixou de ser aplicada.</w:t>
      </w:r>
    </w:p>
    <w:p w14:paraId="360F2888" w14:textId="77777777" w:rsidR="003C12AE" w:rsidRPr="003C12AE" w:rsidRDefault="003C12AE" w:rsidP="003C12AE">
      <w:pPr>
        <w:widowControl w:val="0"/>
        <w:spacing w:before="0" w:after="0"/>
        <w:rPr>
          <w:rFonts w:ascii="Times New Roman" w:hAnsi="Times New Roman"/>
          <w:bCs/>
          <w:iCs/>
          <w:sz w:val="24"/>
          <w:lang w:val="pt-BR"/>
        </w:rPr>
      </w:pPr>
    </w:p>
    <w:p w14:paraId="7E92AF76" w14:textId="77777777" w:rsidR="003C12AE" w:rsidRPr="003C12AE" w:rsidRDefault="003C12AE" w:rsidP="003C12AE">
      <w:pPr>
        <w:widowControl w:val="0"/>
        <w:spacing w:before="0"/>
        <w:ind w:left="567" w:hanging="567"/>
        <w:rPr>
          <w:rFonts w:ascii="Times New Roman" w:hAnsi="Times New Roman"/>
          <w:bCs/>
          <w:iCs/>
          <w:sz w:val="24"/>
          <w:lang w:val="pt-BR"/>
        </w:rPr>
      </w:pPr>
      <w:r w:rsidRPr="003C12AE">
        <w:rPr>
          <w:rFonts w:ascii="Times New Roman" w:hAnsi="Times New Roman"/>
          <w:bCs/>
          <w:iCs/>
          <w:sz w:val="24"/>
          <w:lang w:val="pt-BR"/>
        </w:rPr>
        <w:t xml:space="preserve">24C. A entidade deve divulgar, em forma de tabela, os seguintes valores separadamente por categoria de risco para os tipos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w:t>
      </w:r>
    </w:p>
    <w:p w14:paraId="5C623BB3"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 xml:space="preserve">(a) </w:t>
      </w:r>
      <w:r w:rsidRPr="003C12AE">
        <w:rPr>
          <w:rFonts w:ascii="Times New Roman" w:hAnsi="Times New Roman"/>
          <w:bCs/>
          <w:iCs/>
          <w:sz w:val="24"/>
          <w:lang w:val="pt-BR"/>
        </w:rPr>
        <w:tab/>
        <w:t xml:space="preserve">para </w:t>
      </w:r>
      <w:r w:rsidRPr="003C12AE">
        <w:rPr>
          <w:rFonts w:ascii="Times New Roman" w:hAnsi="Times New Roman"/>
          <w:bCs/>
          <w:i/>
          <w:iCs/>
          <w:sz w:val="24"/>
          <w:lang w:val="pt-BR"/>
        </w:rPr>
        <w:t>hedges</w:t>
      </w:r>
      <w:r w:rsidRPr="003C12AE">
        <w:rPr>
          <w:rFonts w:ascii="Times New Roman" w:hAnsi="Times New Roman"/>
          <w:bCs/>
          <w:iCs/>
          <w:sz w:val="24"/>
          <w:lang w:val="pt-BR"/>
        </w:rPr>
        <w:t xml:space="preserve"> de valor justo: </w:t>
      </w:r>
    </w:p>
    <w:p w14:paraId="3F99295B"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(i) </w:t>
      </w:r>
      <w:r w:rsidRPr="003C12AE">
        <w:rPr>
          <w:rFonts w:ascii="Times New Roman" w:hAnsi="Times New Roman"/>
          <w:bCs/>
          <w:iCs/>
          <w:sz w:val="24"/>
          <w:lang w:val="pt-BR"/>
        </w:rPr>
        <w:tab/>
        <w:t xml:space="preserve">inefetividade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 ou seja, a diferença entre os ganhos ou as perdas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do instrumento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e o item protegido – reconhecido no resultado (ou em outros resultados abrangentes para </w:t>
      </w:r>
      <w:r w:rsidRPr="003C12AE">
        <w:rPr>
          <w:rFonts w:ascii="Times New Roman" w:hAnsi="Times New Roman"/>
          <w:bCs/>
          <w:i/>
          <w:iCs/>
          <w:sz w:val="24"/>
          <w:lang w:val="pt-BR"/>
        </w:rPr>
        <w:t>hedge</w:t>
      </w:r>
      <w:r w:rsidRPr="003C12AE">
        <w:rPr>
          <w:rFonts w:ascii="Times New Roman" w:hAnsi="Times New Roman"/>
          <w:bCs/>
          <w:iCs/>
          <w:sz w:val="24"/>
          <w:lang w:val="pt-BR"/>
        </w:rPr>
        <w:t xml:space="preserve">s de instrumento patrimonial pelo qual a entidade escolheu apresentar alterações no valor justo em outros resultados abrangentes, de acordo com o item 5.7.5 do CPC 48); e </w:t>
      </w:r>
    </w:p>
    <w:p w14:paraId="71D44E0A"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(ii) </w:t>
      </w:r>
      <w:r w:rsidRPr="003C12AE">
        <w:rPr>
          <w:rFonts w:ascii="Times New Roman" w:hAnsi="Times New Roman"/>
          <w:bCs/>
          <w:iCs/>
          <w:sz w:val="24"/>
          <w:lang w:val="pt-BR"/>
        </w:rPr>
        <w:tab/>
        <w:t xml:space="preserve">a rubrica na demonstração do resultado abrangente que inclui a inefetividade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reconhecida;</w:t>
      </w:r>
    </w:p>
    <w:p w14:paraId="78C2C87F"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 xml:space="preserve">(b) </w:t>
      </w:r>
      <w:r w:rsidRPr="003C12AE">
        <w:rPr>
          <w:rFonts w:ascii="Times New Roman" w:hAnsi="Times New Roman"/>
          <w:bCs/>
          <w:iCs/>
          <w:sz w:val="24"/>
          <w:lang w:val="pt-BR"/>
        </w:rPr>
        <w:tab/>
        <w:t xml:space="preserve">para </w:t>
      </w:r>
      <w:r w:rsidRPr="003C12AE">
        <w:rPr>
          <w:rFonts w:ascii="Times New Roman" w:hAnsi="Times New Roman"/>
          <w:bCs/>
          <w:i/>
          <w:iCs/>
          <w:sz w:val="24"/>
          <w:lang w:val="pt-BR"/>
        </w:rPr>
        <w:t>hedge</w:t>
      </w:r>
      <w:r w:rsidRPr="003C12AE">
        <w:rPr>
          <w:rFonts w:ascii="Times New Roman" w:hAnsi="Times New Roman"/>
          <w:bCs/>
          <w:iCs/>
          <w:sz w:val="24"/>
          <w:lang w:val="pt-BR"/>
        </w:rPr>
        <w:t xml:space="preserve">s de fluxo de caixa e </w:t>
      </w:r>
      <w:r w:rsidRPr="003C12AE">
        <w:rPr>
          <w:rFonts w:ascii="Times New Roman" w:hAnsi="Times New Roman"/>
          <w:bCs/>
          <w:i/>
          <w:iCs/>
          <w:sz w:val="24"/>
          <w:lang w:val="pt-BR"/>
        </w:rPr>
        <w:t>hedge</w:t>
      </w:r>
      <w:r w:rsidRPr="003C12AE">
        <w:rPr>
          <w:rFonts w:ascii="Times New Roman" w:hAnsi="Times New Roman"/>
          <w:bCs/>
          <w:iCs/>
          <w:sz w:val="24"/>
          <w:lang w:val="pt-BR"/>
        </w:rPr>
        <w:t xml:space="preserve">s de investimento líquido em operação no exterior: </w:t>
      </w:r>
    </w:p>
    <w:p w14:paraId="63929B82"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(i) </w:t>
      </w:r>
      <w:r w:rsidRPr="003C12AE">
        <w:rPr>
          <w:rFonts w:ascii="Times New Roman" w:hAnsi="Times New Roman"/>
          <w:bCs/>
          <w:iCs/>
          <w:sz w:val="24"/>
          <w:lang w:val="pt-BR"/>
        </w:rPr>
        <w:tab/>
        <w:t xml:space="preserve">os ganhos ou as perdas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do período do relatório, que foram reconhecidos em outros resultados abrangentes; </w:t>
      </w:r>
    </w:p>
    <w:p w14:paraId="0A64AF4F"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(ii) </w:t>
      </w:r>
      <w:r w:rsidRPr="003C12AE">
        <w:rPr>
          <w:rFonts w:ascii="Times New Roman" w:hAnsi="Times New Roman"/>
          <w:bCs/>
          <w:iCs/>
          <w:sz w:val="24"/>
          <w:lang w:val="pt-BR"/>
        </w:rPr>
        <w:tab/>
        <w:t xml:space="preserve">a inefetividade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reconhecida no resultado; </w:t>
      </w:r>
    </w:p>
    <w:p w14:paraId="53A61E73"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(iii) </w:t>
      </w:r>
      <w:r w:rsidRPr="003C12AE">
        <w:rPr>
          <w:rFonts w:ascii="Times New Roman" w:hAnsi="Times New Roman"/>
          <w:bCs/>
          <w:iCs/>
          <w:sz w:val="24"/>
          <w:lang w:val="pt-BR"/>
        </w:rPr>
        <w:tab/>
        <w:t xml:space="preserve">a rubrica na demonstração do resultado abrangente que inclui a inefetividade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reconhecida; </w:t>
      </w:r>
    </w:p>
    <w:p w14:paraId="26EAF6D3"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(iv) </w:t>
      </w:r>
      <w:r w:rsidRPr="003C12AE">
        <w:rPr>
          <w:rFonts w:ascii="Times New Roman" w:hAnsi="Times New Roman"/>
          <w:bCs/>
          <w:iCs/>
          <w:sz w:val="24"/>
          <w:lang w:val="pt-BR"/>
        </w:rPr>
        <w:tab/>
        <w:t xml:space="preserve">o valor reclassificado da reserva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de fluxo de caixa ou da reserva de conversão de moeda estrangeira para o resultado como ajuste de reclassificação (ver CPC 26) (diferenciando entre os valores para os quais a contabilização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tinha sido anteriormente utilizada, mas para os quais os fluxos de caixa futuros protegidos não devem mais ocorrer, e os valores que foram transferidos porque o item protegido afetou o resultado); </w:t>
      </w:r>
    </w:p>
    <w:p w14:paraId="1F0BB659"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lastRenderedPageBreak/>
        <w:t xml:space="preserve">(v) </w:t>
      </w:r>
      <w:r w:rsidRPr="003C12AE">
        <w:rPr>
          <w:rFonts w:ascii="Times New Roman" w:hAnsi="Times New Roman"/>
          <w:bCs/>
          <w:iCs/>
          <w:sz w:val="24"/>
          <w:lang w:val="pt-BR"/>
        </w:rPr>
        <w:tab/>
        <w:t xml:space="preserve">a rubrica na demonstração do resultado abrangente que inclui o ajuste de reclassificação (ver CPC 26); e </w:t>
      </w:r>
    </w:p>
    <w:p w14:paraId="1F5F48EE" w14:textId="137577F6" w:rsidR="003C12AE" w:rsidRPr="003C12AE" w:rsidRDefault="003C12AE" w:rsidP="003C12AE">
      <w:pPr>
        <w:widowControl w:val="0"/>
        <w:spacing w:before="0" w:after="0"/>
        <w:ind w:left="1418" w:hanging="425"/>
        <w:rPr>
          <w:rFonts w:ascii="Times New Roman" w:hAnsi="Times New Roman"/>
          <w:bCs/>
          <w:iCs/>
          <w:sz w:val="24"/>
          <w:lang w:val="pt-BR"/>
        </w:rPr>
      </w:pPr>
      <w:r w:rsidRPr="003C12AE">
        <w:rPr>
          <w:rFonts w:ascii="Times New Roman" w:hAnsi="Times New Roman"/>
          <w:bCs/>
          <w:iCs/>
          <w:sz w:val="24"/>
          <w:lang w:val="pt-BR"/>
        </w:rPr>
        <w:t xml:space="preserve">(vi) </w:t>
      </w:r>
      <w:r w:rsidRPr="003C12AE">
        <w:rPr>
          <w:rFonts w:ascii="Times New Roman" w:hAnsi="Times New Roman"/>
          <w:bCs/>
          <w:iCs/>
          <w:sz w:val="24"/>
          <w:lang w:val="pt-BR"/>
        </w:rPr>
        <w:tab/>
        <w:t xml:space="preserve">para </w:t>
      </w:r>
      <w:r w:rsidRPr="003C12AE">
        <w:rPr>
          <w:rFonts w:ascii="Times New Roman" w:hAnsi="Times New Roman"/>
          <w:bCs/>
          <w:i/>
          <w:iCs/>
          <w:sz w:val="24"/>
          <w:lang w:val="pt-BR"/>
        </w:rPr>
        <w:t>hedge</w:t>
      </w:r>
      <w:r w:rsidRPr="003C12AE">
        <w:rPr>
          <w:rFonts w:ascii="Times New Roman" w:hAnsi="Times New Roman"/>
          <w:bCs/>
          <w:iCs/>
          <w:sz w:val="24"/>
          <w:lang w:val="pt-BR"/>
        </w:rPr>
        <w:t xml:space="preserve">s de posição líquida, os ganhos ou as perdas de </w:t>
      </w:r>
      <w:r w:rsidRPr="003C12AE">
        <w:rPr>
          <w:rFonts w:ascii="Times New Roman" w:hAnsi="Times New Roman"/>
          <w:bCs/>
          <w:i/>
          <w:iCs/>
          <w:sz w:val="24"/>
          <w:lang w:val="pt-BR"/>
        </w:rPr>
        <w:t>hedge</w:t>
      </w:r>
      <w:r w:rsidRPr="003C12AE">
        <w:rPr>
          <w:rFonts w:ascii="Times New Roman" w:hAnsi="Times New Roman"/>
          <w:bCs/>
          <w:iCs/>
          <w:sz w:val="24"/>
          <w:lang w:val="pt-BR"/>
        </w:rPr>
        <w:t xml:space="preserve"> reconhecidos em rubrica separada na demonstração do resultado abrangente (ver item 6.6.4 do CPC 48).</w:t>
      </w:r>
    </w:p>
    <w:p w14:paraId="257D88B6" w14:textId="77777777" w:rsidR="003C12AE" w:rsidRPr="003C12AE" w:rsidRDefault="003C12AE" w:rsidP="003C12AE">
      <w:pPr>
        <w:widowControl w:val="0"/>
        <w:spacing w:before="0" w:after="0"/>
        <w:rPr>
          <w:rFonts w:ascii="Times New Roman" w:hAnsi="Times New Roman"/>
          <w:bCs/>
          <w:iCs/>
          <w:sz w:val="24"/>
          <w:lang w:val="pt-BR"/>
        </w:rPr>
      </w:pPr>
    </w:p>
    <w:p w14:paraId="5BF27513" w14:textId="1C87E41F" w:rsidR="003C12AE" w:rsidRPr="003C12AE" w:rsidRDefault="003C12AE" w:rsidP="003C12AE">
      <w:pPr>
        <w:widowControl w:val="0"/>
        <w:spacing w:before="0" w:after="0"/>
        <w:ind w:left="567" w:hanging="567"/>
        <w:rPr>
          <w:rFonts w:ascii="Times New Roman" w:hAnsi="Times New Roman"/>
          <w:bCs/>
          <w:iCs/>
          <w:sz w:val="24"/>
          <w:lang w:val="pt-BR"/>
        </w:rPr>
      </w:pPr>
      <w:r w:rsidRPr="003C12AE">
        <w:rPr>
          <w:rFonts w:ascii="Times New Roman" w:hAnsi="Times New Roman"/>
          <w:bCs/>
          <w:iCs/>
          <w:sz w:val="24"/>
          <w:lang w:val="pt-BR"/>
        </w:rPr>
        <w:t xml:space="preserve">24D. Quando o volume de relações de </w:t>
      </w:r>
      <w:r w:rsidRPr="003C12AE">
        <w:rPr>
          <w:rFonts w:ascii="Times New Roman" w:hAnsi="Times New Roman"/>
          <w:bCs/>
          <w:i/>
          <w:iCs/>
          <w:sz w:val="24"/>
          <w:lang w:val="pt-BR"/>
        </w:rPr>
        <w:t>hedge</w:t>
      </w:r>
      <w:r w:rsidRPr="003C12AE">
        <w:rPr>
          <w:rFonts w:ascii="Times New Roman" w:hAnsi="Times New Roman"/>
          <w:bCs/>
          <w:iCs/>
          <w:sz w:val="24"/>
          <w:lang w:val="pt-BR"/>
        </w:rPr>
        <w:t>, às quais a isenção do item 23C se aplica, não representa os volumes normais durante o período (ou seja, o volume na data do relatório não reflete os volumes durante o período), a entidade deve divulgar esse fato e a razão pela qual ela acredita que os volumes não são representativos.</w:t>
      </w:r>
    </w:p>
    <w:p w14:paraId="7F823443" w14:textId="77777777" w:rsidR="003C12AE" w:rsidRPr="003C12AE" w:rsidRDefault="003C12AE" w:rsidP="003C12AE">
      <w:pPr>
        <w:widowControl w:val="0"/>
        <w:spacing w:before="0" w:after="0"/>
        <w:rPr>
          <w:rFonts w:ascii="Times New Roman" w:hAnsi="Times New Roman"/>
          <w:bCs/>
          <w:iCs/>
          <w:sz w:val="24"/>
          <w:lang w:val="pt-BR"/>
        </w:rPr>
      </w:pPr>
    </w:p>
    <w:p w14:paraId="411BF0CA" w14:textId="77777777" w:rsidR="003C12AE" w:rsidRPr="003C12AE" w:rsidRDefault="003C12AE" w:rsidP="003C12AE">
      <w:pPr>
        <w:widowControl w:val="0"/>
        <w:spacing w:before="0"/>
        <w:ind w:left="567" w:hanging="567"/>
        <w:rPr>
          <w:rFonts w:ascii="Times New Roman" w:hAnsi="Times New Roman"/>
          <w:bCs/>
          <w:iCs/>
          <w:sz w:val="24"/>
          <w:lang w:val="pt-BR"/>
        </w:rPr>
      </w:pPr>
      <w:r w:rsidRPr="003C12AE">
        <w:rPr>
          <w:rFonts w:ascii="Times New Roman" w:hAnsi="Times New Roman"/>
          <w:bCs/>
          <w:iCs/>
          <w:sz w:val="24"/>
          <w:lang w:val="pt-BR"/>
        </w:rPr>
        <w:t xml:space="preserve">24E. A entidade deve fornecer a conciliação de cada componente do patrimônio líquido e a análise de outros resultados abrangentes de acordo com o CPC 26, que, consideradas em conjunto: </w:t>
      </w:r>
    </w:p>
    <w:p w14:paraId="67F1585C"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 xml:space="preserve">(a) </w:t>
      </w:r>
      <w:r w:rsidRPr="003C12AE">
        <w:rPr>
          <w:rFonts w:ascii="Times New Roman" w:hAnsi="Times New Roman"/>
          <w:bCs/>
          <w:iCs/>
          <w:sz w:val="24"/>
          <w:lang w:val="pt-BR"/>
        </w:rPr>
        <w:tab/>
        <w:t xml:space="preserve">diferenciam, no mínimo, entre os valores referentes às divulgações no item 24C(b)(i) e (b)(iv) e os valores contabilizados de acordo com o item 6.5.11(d)(i) e (d)(iii) do CPC 48; </w:t>
      </w:r>
    </w:p>
    <w:p w14:paraId="30D7BF9A"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 xml:space="preserve">(b) </w:t>
      </w:r>
      <w:r w:rsidRPr="003C12AE">
        <w:rPr>
          <w:rFonts w:ascii="Times New Roman" w:hAnsi="Times New Roman"/>
          <w:bCs/>
          <w:iCs/>
          <w:sz w:val="24"/>
          <w:lang w:val="pt-BR"/>
        </w:rPr>
        <w:tab/>
        <w:t xml:space="preserve">diferenciam entre os valores associados ao valor temporal das opções, que protegem os itens protegidos relativos a transações e os valores associados ao valor temporal das opções que protegem os itens protegidos relativos ao período de tempo, quando a entidade contabiliza o valor temporal da opção de acordo com o item 6.5.15 do CPC 48; e </w:t>
      </w:r>
    </w:p>
    <w:p w14:paraId="5FDE4C49" w14:textId="2447453E" w:rsidR="003C12AE" w:rsidRPr="003C12AE" w:rsidRDefault="003C12AE" w:rsidP="003C12AE">
      <w:pPr>
        <w:widowControl w:val="0"/>
        <w:spacing w:before="0" w:after="0"/>
        <w:ind w:left="993" w:hanging="426"/>
        <w:rPr>
          <w:rFonts w:ascii="Times New Roman" w:hAnsi="Times New Roman"/>
          <w:bCs/>
          <w:iCs/>
          <w:sz w:val="24"/>
          <w:lang w:val="pt-BR"/>
        </w:rPr>
      </w:pPr>
      <w:r w:rsidRPr="003C12AE">
        <w:rPr>
          <w:rFonts w:ascii="Times New Roman" w:hAnsi="Times New Roman"/>
          <w:bCs/>
          <w:iCs/>
          <w:sz w:val="24"/>
          <w:lang w:val="pt-BR"/>
        </w:rPr>
        <w:t xml:space="preserve">(c) </w:t>
      </w:r>
      <w:r w:rsidRPr="003C12AE">
        <w:rPr>
          <w:rFonts w:ascii="Times New Roman" w:hAnsi="Times New Roman"/>
          <w:bCs/>
          <w:iCs/>
          <w:sz w:val="24"/>
          <w:lang w:val="pt-BR"/>
        </w:rPr>
        <w:tab/>
        <w:t>diferenciam entre os valores associados aos elementos a termo dos contratos a termo e os spreads da base da moeda estrangeira dos instrumentos financeiros, que protegem itens protegidos relativos a transações, e os valores associados aos elementos a termo dos contratos a termo e os spreads da base da moeda estrangeira dos instrumentos financeiros, que protegem itens protegidos relativos ao período de tempo, quando a entidade deve contabilizar esses valores de acordo com o item 6.5.16 do CPC 48.</w:t>
      </w:r>
    </w:p>
    <w:p w14:paraId="6E218873" w14:textId="77777777" w:rsidR="003C12AE" w:rsidRPr="003C12AE" w:rsidRDefault="003C12AE" w:rsidP="003C12AE">
      <w:pPr>
        <w:widowControl w:val="0"/>
        <w:spacing w:before="0" w:after="0"/>
        <w:rPr>
          <w:rFonts w:ascii="Times New Roman" w:hAnsi="Times New Roman"/>
          <w:bCs/>
          <w:iCs/>
          <w:sz w:val="24"/>
          <w:lang w:val="pt-BR"/>
        </w:rPr>
      </w:pPr>
    </w:p>
    <w:p w14:paraId="177C8E41" w14:textId="5D38160A" w:rsidR="003C12AE" w:rsidRPr="003C12AE" w:rsidRDefault="003C12AE" w:rsidP="003C12AE">
      <w:pPr>
        <w:widowControl w:val="0"/>
        <w:spacing w:before="0" w:after="0"/>
        <w:ind w:left="567" w:hanging="567"/>
        <w:rPr>
          <w:rFonts w:ascii="Times New Roman" w:hAnsi="Times New Roman"/>
          <w:bCs/>
          <w:iCs/>
          <w:sz w:val="24"/>
          <w:lang w:val="pt-BR"/>
        </w:rPr>
      </w:pPr>
      <w:r w:rsidRPr="003C12AE">
        <w:rPr>
          <w:rFonts w:ascii="Times New Roman" w:hAnsi="Times New Roman"/>
          <w:bCs/>
          <w:iCs/>
          <w:sz w:val="24"/>
          <w:lang w:val="pt-BR"/>
        </w:rPr>
        <w:t>24F. A entidade deve divulgar as informações exigidas no item 24E, separadamente, por categoria de risco. Essa desagregação por risco pode ser fornecida nas notas explicativas às demonstrações contábeis.</w:t>
      </w:r>
    </w:p>
    <w:p w14:paraId="206A0B70" w14:textId="77777777" w:rsidR="003C12AE" w:rsidRPr="003C12AE" w:rsidRDefault="003C12AE" w:rsidP="003C12AE">
      <w:pPr>
        <w:widowControl w:val="0"/>
        <w:spacing w:before="0" w:after="0"/>
        <w:rPr>
          <w:rFonts w:ascii="Times New Roman" w:hAnsi="Times New Roman"/>
          <w:bCs/>
          <w:iCs/>
          <w:sz w:val="24"/>
          <w:lang w:val="pt-BR"/>
        </w:rPr>
      </w:pPr>
    </w:p>
    <w:p w14:paraId="1F458787" w14:textId="77777777" w:rsidR="003C12AE" w:rsidRPr="003C12AE" w:rsidRDefault="003C12AE" w:rsidP="003C12AE">
      <w:pPr>
        <w:widowControl w:val="0"/>
        <w:spacing w:before="0" w:after="0"/>
        <w:rPr>
          <w:rFonts w:ascii="Times New Roman" w:hAnsi="Times New Roman"/>
          <w:b/>
          <w:bCs/>
          <w:iCs/>
          <w:sz w:val="24"/>
          <w:lang w:val="pt-BR"/>
        </w:rPr>
      </w:pPr>
      <w:r w:rsidRPr="003C12AE">
        <w:rPr>
          <w:rFonts w:ascii="Times New Roman" w:hAnsi="Times New Roman"/>
          <w:b/>
          <w:bCs/>
          <w:iCs/>
          <w:sz w:val="24"/>
          <w:lang w:val="pt-BR"/>
        </w:rPr>
        <w:t>Opção para designar a exposição de crédito como mensurada ao valor justo por meio do resultado</w:t>
      </w:r>
    </w:p>
    <w:p w14:paraId="496D1697" w14:textId="77777777" w:rsidR="003C12AE" w:rsidRPr="003C12AE" w:rsidRDefault="003C12AE" w:rsidP="003C12AE">
      <w:pPr>
        <w:widowControl w:val="0"/>
        <w:spacing w:before="0" w:after="0"/>
        <w:rPr>
          <w:rFonts w:ascii="Times New Roman" w:hAnsi="Times New Roman"/>
          <w:bCs/>
          <w:iCs/>
          <w:sz w:val="24"/>
          <w:lang w:val="pt-BR"/>
        </w:rPr>
      </w:pPr>
    </w:p>
    <w:p w14:paraId="790882CF" w14:textId="77777777" w:rsidR="003C12AE" w:rsidRPr="003C12AE" w:rsidRDefault="003C12AE" w:rsidP="003C12AE">
      <w:pPr>
        <w:widowControl w:val="0"/>
        <w:spacing w:before="0"/>
        <w:ind w:left="567" w:hanging="567"/>
        <w:rPr>
          <w:rFonts w:ascii="Times New Roman" w:hAnsi="Times New Roman"/>
          <w:bCs/>
          <w:iCs/>
          <w:sz w:val="24"/>
          <w:lang w:val="pt-BR"/>
        </w:rPr>
      </w:pPr>
      <w:r w:rsidRPr="003C12AE">
        <w:rPr>
          <w:rFonts w:ascii="Times New Roman" w:hAnsi="Times New Roman"/>
          <w:bCs/>
          <w:iCs/>
          <w:sz w:val="24"/>
          <w:lang w:val="pt-BR"/>
        </w:rPr>
        <w:t>24G.</w:t>
      </w:r>
      <w:r w:rsidRPr="003C12AE">
        <w:rPr>
          <w:rFonts w:ascii="Times New Roman" w:hAnsi="Times New Roman"/>
          <w:bCs/>
          <w:iCs/>
          <w:sz w:val="24"/>
          <w:lang w:val="pt-BR"/>
        </w:rPr>
        <w:tab/>
        <w:t xml:space="preserve">Se a entidade designou o instrumento financeiro, ou parte desse instrumento, como mensurado ao valor justo por meio do resultado porque utiliza derivativo de crédito para gerenciar o risco de crédito desse instrumento financeiro, a entidade deve divulgar: </w:t>
      </w:r>
    </w:p>
    <w:p w14:paraId="568F24E0"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 xml:space="preserve">(a) </w:t>
      </w:r>
      <w:r w:rsidRPr="003C12AE">
        <w:rPr>
          <w:rFonts w:ascii="Times New Roman" w:hAnsi="Times New Roman"/>
          <w:bCs/>
          <w:iCs/>
          <w:sz w:val="24"/>
          <w:lang w:val="pt-BR"/>
        </w:rPr>
        <w:tab/>
        <w:t xml:space="preserve">para derivativos de crédito, que foram utilizados para gerenciar o risco de crédito de instrumentos financeiros designados como mensurados ao valor justo por meio do resultado, de acordo com o item 6.7.1 do CPC 48, a conciliação de cada valor nominal e o valor justo no início e no final do período; </w:t>
      </w:r>
    </w:p>
    <w:p w14:paraId="4C8691F2"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 xml:space="preserve">(b) </w:t>
      </w:r>
      <w:r w:rsidRPr="003C12AE">
        <w:rPr>
          <w:rFonts w:ascii="Times New Roman" w:hAnsi="Times New Roman"/>
          <w:bCs/>
          <w:iCs/>
          <w:sz w:val="24"/>
          <w:lang w:val="pt-BR"/>
        </w:rPr>
        <w:tab/>
        <w:t xml:space="preserve">o ganho ou a perda reconhecido no resultado na designação de instrumento financeiro, ou de parte desse instrumento, como mensurado ao valor justo por meio do resultado, de acordo com o item 6.7.1 do CPC 48; e </w:t>
      </w:r>
    </w:p>
    <w:p w14:paraId="6199D252" w14:textId="4BB27884" w:rsidR="003C12AE" w:rsidRPr="003C12AE" w:rsidRDefault="003C12AE" w:rsidP="003C12AE">
      <w:pPr>
        <w:widowControl w:val="0"/>
        <w:spacing w:before="0" w:after="0"/>
        <w:ind w:left="993" w:hanging="426"/>
        <w:rPr>
          <w:rFonts w:ascii="Times New Roman" w:hAnsi="Times New Roman"/>
          <w:szCs w:val="20"/>
          <w:lang w:val="pt-BR"/>
        </w:rPr>
      </w:pPr>
      <w:r w:rsidRPr="003C12AE">
        <w:rPr>
          <w:rFonts w:ascii="Times New Roman" w:hAnsi="Times New Roman"/>
          <w:bCs/>
          <w:iCs/>
          <w:sz w:val="24"/>
          <w:lang w:val="pt-BR"/>
        </w:rPr>
        <w:lastRenderedPageBreak/>
        <w:t xml:space="preserve">(c) </w:t>
      </w:r>
      <w:r w:rsidRPr="003C12AE">
        <w:rPr>
          <w:rFonts w:ascii="Times New Roman" w:hAnsi="Times New Roman"/>
          <w:bCs/>
          <w:iCs/>
          <w:sz w:val="24"/>
          <w:lang w:val="pt-BR"/>
        </w:rPr>
        <w:tab/>
        <w:t>ao descontinuar a mensuração do instrumento financeiro, ou de parte desse instrumento, como ao valor justo por meio do resultado, o valor justo desse instrumento financeiro que se tornou o novo valor contábil de acordo com o item 6.7.4 do CPC 48 e o respectivo valor nominal ou principal (exceto para fornecer informações comparativas de acordo com o CPC 26, a entidade não precisa continuar essa divulgação em períodos subsequentes).</w:t>
      </w:r>
    </w:p>
    <w:p w14:paraId="652672B9" w14:textId="77777777" w:rsidR="003C12AE" w:rsidRPr="003C12AE" w:rsidRDefault="003C12AE" w:rsidP="003C12AE">
      <w:pPr>
        <w:widowControl w:val="0"/>
        <w:spacing w:before="0" w:after="0"/>
        <w:ind w:left="993" w:hanging="426"/>
        <w:rPr>
          <w:rFonts w:ascii="Times New Roman" w:hAnsi="Times New Roman"/>
          <w:sz w:val="24"/>
          <w:lang w:val="pt-BR"/>
        </w:rPr>
      </w:pPr>
    </w:p>
    <w:p w14:paraId="0F0C025F" w14:textId="18C63599" w:rsidR="003C12AE" w:rsidRPr="003C12AE" w:rsidRDefault="003C12AE" w:rsidP="003C12AE">
      <w:pPr>
        <w:spacing w:before="0" w:after="0"/>
        <w:rPr>
          <w:rFonts w:ascii="Times New Roman" w:hAnsi="Times New Roman"/>
          <w:sz w:val="24"/>
          <w:lang w:val="pt-BR" w:eastAsia="en-US"/>
        </w:rPr>
      </w:pPr>
      <w:r w:rsidRPr="003C12AE">
        <w:rPr>
          <w:rFonts w:ascii="Times New Roman" w:hAnsi="Times New Roman"/>
          <w:b/>
          <w:sz w:val="24"/>
          <w:lang w:val="pt-BR" w:eastAsia="en-US"/>
        </w:rPr>
        <w:t>Incerteza decorrente da reforma da taxa de juros de referência</w:t>
      </w:r>
    </w:p>
    <w:p w14:paraId="5AC39DD9" w14:textId="77777777" w:rsidR="003C12AE" w:rsidRPr="003C12AE" w:rsidRDefault="003C12AE" w:rsidP="003C12AE">
      <w:pPr>
        <w:spacing w:before="0" w:after="0"/>
        <w:ind w:left="567"/>
        <w:rPr>
          <w:rFonts w:ascii="Times New Roman" w:hAnsi="Times New Roman"/>
          <w:sz w:val="24"/>
          <w:lang w:val="pt-BR" w:eastAsia="en-US"/>
        </w:rPr>
      </w:pPr>
    </w:p>
    <w:p w14:paraId="1D8B7589" w14:textId="77777777" w:rsidR="003C12AE" w:rsidRPr="003C12AE" w:rsidRDefault="003C12AE" w:rsidP="003C12AE">
      <w:pPr>
        <w:spacing w:before="0" w:after="0"/>
        <w:ind w:left="567" w:hanging="567"/>
        <w:rPr>
          <w:rFonts w:ascii="Times New Roman" w:hAnsi="Times New Roman"/>
          <w:sz w:val="24"/>
          <w:lang w:val="pt-BR" w:eastAsia="en-US"/>
        </w:rPr>
      </w:pPr>
      <w:r w:rsidRPr="003C12AE">
        <w:rPr>
          <w:rFonts w:ascii="Times New Roman" w:hAnsi="Times New Roman"/>
          <w:sz w:val="24"/>
          <w:lang w:val="pt-BR" w:eastAsia="en-US"/>
        </w:rPr>
        <w:t>24H. Para relações de proteção que a entidade aplica as exceções estabelecidas nos itens de 6.8.4 a 6.8.12 do CPC 48 ou nos itens de 102D a 102N do CPC 38, a entidade deve divulgar:</w:t>
      </w:r>
    </w:p>
    <w:p w14:paraId="0A28CB3C" w14:textId="77777777" w:rsidR="003C12AE" w:rsidRPr="003C12AE" w:rsidRDefault="003C12AE" w:rsidP="003C12AE">
      <w:pPr>
        <w:spacing w:before="0" w:after="0"/>
        <w:ind w:left="567" w:hanging="567"/>
        <w:rPr>
          <w:rFonts w:ascii="Times New Roman" w:hAnsi="Times New Roman"/>
          <w:sz w:val="24"/>
          <w:lang w:val="pt-BR" w:eastAsia="en-US"/>
        </w:rPr>
      </w:pPr>
    </w:p>
    <w:p w14:paraId="5A0974B1" w14:textId="77777777" w:rsidR="003C12AE" w:rsidRPr="003C12AE" w:rsidRDefault="003C12AE" w:rsidP="003C12AE">
      <w:pPr>
        <w:spacing w:before="0" w:after="0"/>
        <w:ind w:left="993" w:hanging="426"/>
        <w:rPr>
          <w:rFonts w:ascii="Times New Roman" w:hAnsi="Times New Roman"/>
          <w:bCs/>
          <w:iCs/>
          <w:color w:val="000000"/>
          <w:sz w:val="24"/>
          <w:lang w:val="pt-BR"/>
        </w:rPr>
      </w:pPr>
      <w:r w:rsidRPr="003C12AE">
        <w:rPr>
          <w:rFonts w:ascii="Times New Roman" w:hAnsi="Times New Roman"/>
          <w:bCs/>
          <w:iCs/>
          <w:color w:val="000000"/>
          <w:sz w:val="24"/>
          <w:lang w:val="pt-BR"/>
        </w:rPr>
        <w:t>(a)</w:t>
      </w:r>
      <w:r w:rsidRPr="003C12AE">
        <w:rPr>
          <w:rFonts w:ascii="Times New Roman" w:hAnsi="Times New Roman"/>
          <w:bCs/>
          <w:iCs/>
          <w:color w:val="000000"/>
          <w:sz w:val="24"/>
          <w:lang w:val="pt-BR"/>
        </w:rPr>
        <w:tab/>
        <w:t>as taxas de juros de referência significativas às quais as relações de proteção da entidade estão expostas;</w:t>
      </w:r>
    </w:p>
    <w:p w14:paraId="37CE9779" w14:textId="77777777" w:rsidR="003C12AE" w:rsidRPr="003C12AE" w:rsidRDefault="003C12AE" w:rsidP="003C12AE">
      <w:pPr>
        <w:spacing w:before="0" w:after="0"/>
        <w:ind w:left="993" w:hanging="426"/>
        <w:rPr>
          <w:rFonts w:ascii="Times New Roman" w:hAnsi="Times New Roman"/>
          <w:bCs/>
          <w:iCs/>
          <w:color w:val="000000"/>
          <w:sz w:val="24"/>
          <w:lang w:val="pt-BR"/>
        </w:rPr>
      </w:pPr>
    </w:p>
    <w:p w14:paraId="0B95C963" w14:textId="77777777" w:rsidR="003C12AE" w:rsidRPr="003C12AE" w:rsidRDefault="003C12AE" w:rsidP="003C12AE">
      <w:pPr>
        <w:spacing w:before="0" w:after="0"/>
        <w:ind w:left="993" w:hanging="426"/>
        <w:rPr>
          <w:rFonts w:ascii="Times New Roman" w:hAnsi="Times New Roman"/>
          <w:bCs/>
          <w:iCs/>
          <w:color w:val="000000"/>
          <w:sz w:val="24"/>
          <w:lang w:val="pt-BR"/>
        </w:rPr>
      </w:pPr>
      <w:r w:rsidRPr="003C12AE">
        <w:rPr>
          <w:rFonts w:ascii="Times New Roman" w:hAnsi="Times New Roman"/>
          <w:bCs/>
          <w:iCs/>
          <w:color w:val="000000"/>
          <w:sz w:val="24"/>
          <w:lang w:val="pt-BR"/>
        </w:rPr>
        <w:t>(b)</w:t>
      </w:r>
      <w:r w:rsidRPr="003C12AE">
        <w:rPr>
          <w:rFonts w:ascii="Times New Roman" w:hAnsi="Times New Roman"/>
          <w:bCs/>
          <w:iCs/>
          <w:color w:val="000000"/>
          <w:sz w:val="24"/>
          <w:lang w:val="pt-BR"/>
        </w:rPr>
        <w:tab/>
        <w:t>a extensão da exposição ao risco que a entidade administra que é diretamente afetada pela reforma da taxa de juros de referência;</w:t>
      </w:r>
    </w:p>
    <w:p w14:paraId="0C5B98EF" w14:textId="77777777" w:rsidR="003C12AE" w:rsidRPr="003C12AE" w:rsidRDefault="003C12AE" w:rsidP="003C12AE">
      <w:pPr>
        <w:spacing w:before="0" w:after="0"/>
        <w:ind w:left="1070"/>
        <w:rPr>
          <w:rFonts w:ascii="Times New Roman" w:hAnsi="Times New Roman"/>
          <w:bCs/>
          <w:iCs/>
          <w:color w:val="000000"/>
          <w:sz w:val="24"/>
          <w:lang w:val="pt-BR"/>
        </w:rPr>
      </w:pPr>
    </w:p>
    <w:p w14:paraId="3106C49E" w14:textId="77777777" w:rsidR="003C12AE" w:rsidRPr="003C12AE" w:rsidRDefault="003C12AE" w:rsidP="003C12AE">
      <w:pPr>
        <w:spacing w:before="0" w:after="0"/>
        <w:ind w:left="993" w:hanging="426"/>
        <w:rPr>
          <w:rFonts w:ascii="Times New Roman" w:hAnsi="Times New Roman"/>
          <w:bCs/>
          <w:iCs/>
          <w:color w:val="000000"/>
          <w:sz w:val="24"/>
          <w:lang w:val="pt-BR"/>
        </w:rPr>
      </w:pPr>
      <w:r w:rsidRPr="003C12AE">
        <w:rPr>
          <w:rFonts w:ascii="Times New Roman" w:hAnsi="Times New Roman"/>
          <w:bCs/>
          <w:iCs/>
          <w:color w:val="000000"/>
          <w:sz w:val="24"/>
          <w:lang w:val="pt-BR"/>
        </w:rPr>
        <w:t>(c)</w:t>
      </w:r>
      <w:r w:rsidRPr="003C12AE">
        <w:rPr>
          <w:rFonts w:ascii="Times New Roman" w:hAnsi="Times New Roman"/>
          <w:bCs/>
          <w:iCs/>
          <w:color w:val="000000"/>
          <w:sz w:val="24"/>
          <w:lang w:val="pt-BR"/>
        </w:rPr>
        <w:tab/>
        <w:t>como a entidade está gerenciando o processo de transição para taxas de referência alternativas;</w:t>
      </w:r>
    </w:p>
    <w:p w14:paraId="6BB1B949" w14:textId="77777777" w:rsidR="003C12AE" w:rsidRPr="003C12AE" w:rsidRDefault="003C12AE" w:rsidP="003C12AE">
      <w:pPr>
        <w:spacing w:before="0" w:after="0"/>
        <w:ind w:left="708"/>
        <w:jc w:val="left"/>
        <w:rPr>
          <w:rFonts w:ascii="Times New Roman" w:hAnsi="Times New Roman"/>
          <w:bCs/>
          <w:iCs/>
          <w:color w:val="000000"/>
          <w:sz w:val="24"/>
          <w:lang w:val="pt-BR"/>
        </w:rPr>
      </w:pPr>
    </w:p>
    <w:p w14:paraId="1C1E2832" w14:textId="77777777" w:rsidR="003C12AE" w:rsidRPr="003C12AE" w:rsidRDefault="003C12AE" w:rsidP="003C12AE">
      <w:pPr>
        <w:spacing w:before="0" w:after="0"/>
        <w:ind w:left="993" w:hanging="426"/>
        <w:rPr>
          <w:rFonts w:ascii="Times New Roman" w:hAnsi="Times New Roman"/>
          <w:bCs/>
          <w:iCs/>
          <w:color w:val="000000"/>
          <w:szCs w:val="20"/>
          <w:lang w:val="pt-BR"/>
        </w:rPr>
      </w:pPr>
      <w:r w:rsidRPr="003C12AE">
        <w:rPr>
          <w:rFonts w:ascii="Times New Roman" w:hAnsi="Times New Roman"/>
          <w:bCs/>
          <w:iCs/>
          <w:color w:val="000000"/>
          <w:sz w:val="24"/>
          <w:lang w:val="pt-BR"/>
        </w:rPr>
        <w:t xml:space="preserve">(d) </w:t>
      </w:r>
      <w:r w:rsidRPr="003C12AE">
        <w:rPr>
          <w:rFonts w:ascii="Times New Roman" w:hAnsi="Times New Roman"/>
          <w:bCs/>
          <w:iCs/>
          <w:color w:val="000000"/>
          <w:sz w:val="24"/>
          <w:lang w:val="pt-BR"/>
        </w:rPr>
        <w:tab/>
        <w:t>a descrição de premissas ou julgamentos significativos que a entidade fez ao aplicar esses itens (por exemplo, premissas ou julgamentos sobre quando a incerteza decorrente da reforma da taxa de juros de referência não está mais presente no que diz respeito ao momento e ao valor dos fluxos de caixa baseados na taxa de juros de referência); e</w:t>
      </w:r>
      <w:r w:rsidRPr="003C12AE">
        <w:rPr>
          <w:rFonts w:ascii="Times New Roman" w:hAnsi="Times New Roman"/>
          <w:bCs/>
          <w:iCs/>
          <w:color w:val="0070C0"/>
          <w:szCs w:val="20"/>
          <w:lang w:val="pt-BR"/>
        </w:rPr>
        <w:t xml:space="preserve"> </w:t>
      </w:r>
    </w:p>
    <w:p w14:paraId="24746686" w14:textId="77777777" w:rsidR="003C12AE" w:rsidRPr="003C12AE" w:rsidRDefault="003C12AE" w:rsidP="003C12AE">
      <w:pPr>
        <w:spacing w:before="0" w:after="0"/>
        <w:ind w:left="993" w:hanging="426"/>
        <w:rPr>
          <w:rFonts w:ascii="Times New Roman" w:hAnsi="Times New Roman"/>
          <w:bCs/>
          <w:iCs/>
          <w:color w:val="000000"/>
          <w:sz w:val="24"/>
          <w:lang w:val="pt-BR"/>
        </w:rPr>
      </w:pPr>
    </w:p>
    <w:p w14:paraId="208DD6E8" w14:textId="0702F9AA" w:rsidR="003C12AE" w:rsidRPr="003C12AE" w:rsidRDefault="003C12AE" w:rsidP="003C12AE">
      <w:pPr>
        <w:spacing w:before="0" w:after="0"/>
        <w:ind w:left="993" w:hanging="426"/>
        <w:rPr>
          <w:rFonts w:ascii="Times New Roman" w:hAnsi="Times New Roman"/>
          <w:bCs/>
          <w:iCs/>
          <w:szCs w:val="20"/>
          <w:lang w:val="pt-BR"/>
        </w:rPr>
      </w:pPr>
      <w:r w:rsidRPr="003C12AE">
        <w:rPr>
          <w:rFonts w:ascii="Times New Roman" w:hAnsi="Times New Roman"/>
          <w:bCs/>
          <w:iCs/>
          <w:sz w:val="24"/>
          <w:lang w:val="pt-BR"/>
        </w:rPr>
        <w:t>(e)</w:t>
      </w:r>
      <w:r w:rsidRPr="003C12AE">
        <w:rPr>
          <w:rFonts w:ascii="Times New Roman" w:hAnsi="Times New Roman"/>
          <w:bCs/>
          <w:iCs/>
          <w:sz w:val="24"/>
          <w:lang w:val="pt-BR"/>
        </w:rPr>
        <w:tab/>
        <w:t>o valor nominal dos instrumentos de hedge nessas relações de proteção.</w:t>
      </w:r>
    </w:p>
    <w:p w14:paraId="7C7A4CE8" w14:textId="77777777" w:rsidR="003C12AE" w:rsidRPr="003C12AE" w:rsidRDefault="003C12AE" w:rsidP="003C12AE">
      <w:pPr>
        <w:spacing w:before="0" w:after="0"/>
        <w:ind w:left="993" w:hanging="426"/>
        <w:rPr>
          <w:rFonts w:ascii="Times New Roman" w:hAnsi="Times New Roman"/>
          <w:bCs/>
          <w:iCs/>
          <w:color w:val="000000"/>
          <w:sz w:val="24"/>
          <w:lang w:val="pt-BR"/>
        </w:rPr>
      </w:pPr>
    </w:p>
    <w:p w14:paraId="7AE55D2F" w14:textId="1CD26936" w:rsidR="003C12AE" w:rsidRDefault="003C12AE" w:rsidP="00AD488D">
      <w:pPr>
        <w:spacing w:before="0" w:after="0"/>
        <w:ind w:left="567"/>
        <w:outlineLvl w:val="0"/>
        <w:rPr>
          <w:rFonts w:ascii="Times New Roman" w:hAnsi="Times New Roman"/>
          <w:b/>
          <w:bCs/>
          <w:color w:val="000000"/>
          <w:sz w:val="24"/>
          <w:lang w:val="pt-BR"/>
        </w:rPr>
      </w:pPr>
      <w:r w:rsidRPr="003C12AE">
        <w:rPr>
          <w:rFonts w:ascii="Times New Roman" w:hAnsi="Times New Roman"/>
          <w:b/>
          <w:bCs/>
          <w:color w:val="000000"/>
          <w:sz w:val="24"/>
          <w:lang w:val="pt-BR"/>
        </w:rPr>
        <w:t>Divulgações adicionais relacionadas à reforma da taxa de juros de referência</w:t>
      </w:r>
    </w:p>
    <w:p w14:paraId="4F1B0DC4" w14:textId="77777777" w:rsidR="00AD488D" w:rsidRPr="003C12AE" w:rsidRDefault="00AD488D" w:rsidP="00AD488D">
      <w:pPr>
        <w:spacing w:before="0" w:after="0"/>
        <w:ind w:left="567"/>
        <w:outlineLvl w:val="0"/>
        <w:rPr>
          <w:rFonts w:ascii="Times New Roman" w:hAnsi="Times New Roman"/>
          <w:color w:val="000000"/>
          <w:sz w:val="24"/>
          <w:lang w:val="pt-BR"/>
        </w:rPr>
      </w:pPr>
    </w:p>
    <w:p w14:paraId="4C34CC7C" w14:textId="277CC4ED" w:rsidR="003C12AE" w:rsidRPr="003C12AE" w:rsidRDefault="003C12AE" w:rsidP="003C12AE">
      <w:pPr>
        <w:widowControl w:val="0"/>
        <w:spacing w:before="0" w:after="0"/>
        <w:ind w:left="567" w:hanging="567"/>
        <w:rPr>
          <w:rFonts w:ascii="Times New Roman" w:hAnsi="Times New Roman"/>
          <w:bCs/>
          <w:iCs/>
          <w:sz w:val="24"/>
          <w:lang w:val="pt-BR"/>
        </w:rPr>
      </w:pPr>
      <w:r w:rsidRPr="003C12AE">
        <w:rPr>
          <w:rFonts w:ascii="Times New Roman" w:hAnsi="Times New Roman"/>
          <w:bCs/>
          <w:iCs/>
          <w:sz w:val="24"/>
          <w:lang w:val="pt-BR"/>
        </w:rPr>
        <w:t xml:space="preserve">24I. </w:t>
      </w:r>
      <w:r w:rsidRPr="003C12AE">
        <w:rPr>
          <w:rFonts w:ascii="Times New Roman" w:hAnsi="Times New Roman"/>
          <w:bCs/>
          <w:iCs/>
          <w:sz w:val="24"/>
          <w:lang w:val="pt-BR"/>
        </w:rPr>
        <w:tab/>
        <w:t>Para permitir que os usuários das demonstrações contábeis compreendam o efeito da reforma da taxa de juros de referência nos instrumentos financeiros e risco estratégia de gestão da entidade, a entidade deve divulgar informações sobre:</w:t>
      </w:r>
    </w:p>
    <w:p w14:paraId="209586FE" w14:textId="789B7B74" w:rsidR="003C12AE" w:rsidRPr="003C12AE" w:rsidRDefault="003C12AE" w:rsidP="003C12AE">
      <w:pPr>
        <w:widowControl w:val="0"/>
        <w:spacing w:before="0" w:after="0"/>
        <w:ind w:left="993" w:hanging="426"/>
        <w:rPr>
          <w:rFonts w:ascii="Times New Roman" w:hAnsi="Times New Roman"/>
          <w:bCs/>
          <w:iCs/>
          <w:sz w:val="24"/>
          <w:lang w:val="pt-BR"/>
        </w:rPr>
      </w:pPr>
      <w:r w:rsidRPr="003C12AE">
        <w:rPr>
          <w:rFonts w:ascii="Times New Roman" w:hAnsi="Times New Roman"/>
          <w:bCs/>
          <w:iCs/>
          <w:sz w:val="24"/>
          <w:lang w:val="pt-BR"/>
        </w:rPr>
        <w:t>(a) a natureza e extensão dos riscos aos quais a entidade está exposta decorrentes de instrumentos financeiros sujeitos à reforma da taxa de juros de referência, e como a entidade gerencia esses riscos;</w:t>
      </w:r>
      <w:r w:rsidR="00AD488D">
        <w:rPr>
          <w:rFonts w:ascii="Times New Roman" w:hAnsi="Times New Roman"/>
          <w:bCs/>
          <w:iCs/>
          <w:sz w:val="24"/>
          <w:lang w:val="pt-BR"/>
        </w:rPr>
        <w:t xml:space="preserve"> </w:t>
      </w:r>
      <w:r w:rsidRPr="003C12AE">
        <w:rPr>
          <w:rFonts w:ascii="Times New Roman" w:hAnsi="Times New Roman"/>
          <w:bCs/>
          <w:iCs/>
          <w:sz w:val="24"/>
          <w:lang w:val="pt-BR"/>
        </w:rPr>
        <w:t>e</w:t>
      </w:r>
    </w:p>
    <w:p w14:paraId="23687EDD" w14:textId="7FDC1CA7" w:rsidR="003C12AE" w:rsidRPr="003C12AE" w:rsidRDefault="003C12AE" w:rsidP="003C12AE">
      <w:pPr>
        <w:widowControl w:val="0"/>
        <w:spacing w:before="0" w:after="0"/>
        <w:ind w:left="993" w:hanging="426"/>
        <w:rPr>
          <w:rFonts w:ascii="Times New Roman" w:hAnsi="Times New Roman"/>
          <w:bCs/>
          <w:iCs/>
          <w:szCs w:val="20"/>
          <w:lang w:val="pt-BR"/>
        </w:rPr>
      </w:pPr>
      <w:r w:rsidRPr="003C12AE">
        <w:rPr>
          <w:rFonts w:ascii="Times New Roman" w:hAnsi="Times New Roman"/>
          <w:bCs/>
          <w:iCs/>
          <w:sz w:val="24"/>
          <w:lang w:val="pt-BR"/>
        </w:rPr>
        <w:t xml:space="preserve">(b) </w:t>
      </w:r>
      <w:r w:rsidRPr="003C12AE">
        <w:rPr>
          <w:rFonts w:ascii="Times New Roman" w:hAnsi="Times New Roman"/>
          <w:bCs/>
          <w:iCs/>
          <w:sz w:val="24"/>
          <w:lang w:val="pt-BR"/>
        </w:rPr>
        <w:tab/>
        <w:t>o progresso da entidade na conclusão da transição para a taxa de referência alternativa e como a entidade está gerenciando a transição.</w:t>
      </w:r>
    </w:p>
    <w:p w14:paraId="7AD7ADC9" w14:textId="77777777" w:rsidR="003C12AE" w:rsidRPr="003C12AE" w:rsidRDefault="003C12AE" w:rsidP="003C12AE">
      <w:pPr>
        <w:widowControl w:val="0"/>
        <w:spacing w:before="0" w:after="0"/>
        <w:ind w:left="993" w:hanging="426"/>
        <w:rPr>
          <w:rFonts w:ascii="Times New Roman" w:hAnsi="Times New Roman"/>
          <w:bCs/>
          <w:iCs/>
          <w:sz w:val="24"/>
          <w:lang w:val="pt-BR"/>
        </w:rPr>
      </w:pPr>
    </w:p>
    <w:p w14:paraId="3F32FF7E" w14:textId="3A443B43" w:rsidR="003C12AE" w:rsidRPr="003C12AE" w:rsidRDefault="003C12AE" w:rsidP="003C12AE">
      <w:pPr>
        <w:widowControl w:val="0"/>
        <w:spacing w:before="0" w:after="0"/>
        <w:ind w:left="567" w:hanging="567"/>
        <w:rPr>
          <w:rFonts w:ascii="Times New Roman" w:hAnsi="Times New Roman"/>
          <w:bCs/>
          <w:iCs/>
          <w:sz w:val="24"/>
          <w:lang w:val="pt-BR"/>
        </w:rPr>
      </w:pPr>
      <w:r w:rsidRPr="003C12AE">
        <w:rPr>
          <w:rFonts w:ascii="Times New Roman" w:hAnsi="Times New Roman"/>
          <w:bCs/>
          <w:iCs/>
          <w:sz w:val="24"/>
          <w:lang w:val="pt-BR"/>
        </w:rPr>
        <w:t xml:space="preserve">24J. </w:t>
      </w:r>
      <w:r w:rsidRPr="003C12AE">
        <w:rPr>
          <w:rFonts w:ascii="Times New Roman" w:hAnsi="Times New Roman"/>
          <w:bCs/>
          <w:iCs/>
          <w:sz w:val="24"/>
          <w:lang w:val="pt-BR"/>
        </w:rPr>
        <w:tab/>
        <w:t>Para cumprir os objetivos do item 24I, a entidade deve divulgar:</w:t>
      </w:r>
    </w:p>
    <w:p w14:paraId="228047D6" w14:textId="66A25846" w:rsidR="003C12AE" w:rsidRPr="003C12AE" w:rsidRDefault="003C12AE" w:rsidP="003C12AE">
      <w:pPr>
        <w:widowControl w:val="0"/>
        <w:spacing w:before="0" w:after="0"/>
        <w:ind w:left="993" w:hanging="426"/>
        <w:rPr>
          <w:rFonts w:ascii="Times New Roman" w:hAnsi="Times New Roman"/>
          <w:bCs/>
          <w:iCs/>
          <w:sz w:val="24"/>
          <w:lang w:val="pt-BR"/>
        </w:rPr>
      </w:pPr>
      <w:r w:rsidRPr="003C12AE">
        <w:rPr>
          <w:rFonts w:ascii="Times New Roman" w:hAnsi="Times New Roman"/>
          <w:bCs/>
          <w:iCs/>
          <w:sz w:val="24"/>
          <w:lang w:val="pt-BR"/>
        </w:rPr>
        <w:t xml:space="preserve">(a) </w:t>
      </w:r>
      <w:r w:rsidRPr="003C12AE">
        <w:rPr>
          <w:rFonts w:ascii="Times New Roman" w:hAnsi="Times New Roman"/>
          <w:bCs/>
          <w:iCs/>
          <w:sz w:val="24"/>
          <w:lang w:val="pt-BR"/>
        </w:rPr>
        <w:tab/>
        <w:t>como a entidade está gerenciando a transição para a taxa de referência alternativa, o seu progresso na data de relatório e os riscos aos quais é exposto decorrente de instrumentos financeiros por causa da transição;</w:t>
      </w:r>
    </w:p>
    <w:p w14:paraId="2E50A606" w14:textId="7D215496" w:rsidR="003C12AE" w:rsidRPr="003C12AE" w:rsidRDefault="003C12AE" w:rsidP="003C12AE">
      <w:pPr>
        <w:widowControl w:val="0"/>
        <w:spacing w:before="0" w:after="0"/>
        <w:ind w:left="993" w:hanging="426"/>
        <w:rPr>
          <w:rFonts w:ascii="Times New Roman" w:hAnsi="Times New Roman"/>
          <w:bCs/>
          <w:iCs/>
          <w:sz w:val="24"/>
          <w:lang w:val="pt-BR"/>
        </w:rPr>
      </w:pPr>
      <w:r w:rsidRPr="003C12AE">
        <w:rPr>
          <w:rFonts w:ascii="Times New Roman" w:hAnsi="Times New Roman"/>
          <w:bCs/>
          <w:iCs/>
          <w:sz w:val="24"/>
          <w:lang w:val="pt-BR"/>
        </w:rPr>
        <w:t xml:space="preserve">(b) </w:t>
      </w:r>
      <w:r w:rsidRPr="003C12AE">
        <w:rPr>
          <w:rFonts w:ascii="Times New Roman" w:hAnsi="Times New Roman"/>
          <w:bCs/>
          <w:iCs/>
          <w:sz w:val="24"/>
          <w:lang w:val="pt-BR"/>
        </w:rPr>
        <w:tab/>
        <w:t xml:space="preserve">informação não agregada por taxa de referência de juros significativa sujeita à reforma da taxa de juros de referência, informações quantitativas sobre instrumentos financeiros que ainda </w:t>
      </w:r>
      <w:r w:rsidRPr="003C12AE">
        <w:rPr>
          <w:rFonts w:ascii="Times New Roman" w:hAnsi="Times New Roman"/>
          <w:bCs/>
          <w:iCs/>
          <w:sz w:val="24"/>
          <w:lang w:val="pt-BR"/>
        </w:rPr>
        <w:lastRenderedPageBreak/>
        <w:t>precisam fazer a transição para uma taxa de referência alternativa no final do período das demonstrações contábeis, demonstrando separadamente:</w:t>
      </w:r>
    </w:p>
    <w:p w14:paraId="66FE0061" w14:textId="02B6F28F" w:rsidR="003C12AE" w:rsidRPr="003C12AE" w:rsidRDefault="003C12AE" w:rsidP="003C12AE">
      <w:pPr>
        <w:widowControl w:val="0"/>
        <w:spacing w:before="0" w:after="0"/>
        <w:ind w:left="1276" w:hanging="283"/>
        <w:rPr>
          <w:rFonts w:ascii="Times New Roman" w:hAnsi="Times New Roman"/>
          <w:bCs/>
          <w:iCs/>
          <w:sz w:val="24"/>
          <w:lang w:val="pt-BR"/>
        </w:rPr>
      </w:pPr>
      <w:r w:rsidRPr="003C12AE">
        <w:rPr>
          <w:rFonts w:ascii="Times New Roman" w:hAnsi="Times New Roman"/>
          <w:bCs/>
          <w:iCs/>
          <w:sz w:val="24"/>
          <w:lang w:val="pt-BR"/>
        </w:rPr>
        <w:t>(i) ativos financeiros não derivativos;</w:t>
      </w:r>
    </w:p>
    <w:p w14:paraId="39617F07" w14:textId="776D051E" w:rsidR="003C12AE" w:rsidRPr="003C12AE" w:rsidRDefault="003C12AE" w:rsidP="003C12AE">
      <w:pPr>
        <w:widowControl w:val="0"/>
        <w:spacing w:before="0" w:after="0"/>
        <w:ind w:left="1276" w:hanging="283"/>
        <w:rPr>
          <w:rFonts w:ascii="Times New Roman" w:hAnsi="Times New Roman"/>
          <w:bCs/>
          <w:iCs/>
          <w:sz w:val="24"/>
          <w:lang w:val="pt-BR"/>
        </w:rPr>
      </w:pPr>
      <w:r w:rsidRPr="003C12AE">
        <w:rPr>
          <w:rFonts w:ascii="Times New Roman" w:hAnsi="Times New Roman"/>
          <w:bCs/>
          <w:iCs/>
          <w:sz w:val="24"/>
          <w:lang w:val="pt-BR"/>
        </w:rPr>
        <w:t>(ii) passivos financeiros não derivativos;</w:t>
      </w:r>
      <w:r w:rsidR="00AD488D">
        <w:rPr>
          <w:rFonts w:ascii="Times New Roman" w:hAnsi="Times New Roman"/>
          <w:bCs/>
          <w:iCs/>
          <w:sz w:val="24"/>
          <w:lang w:val="pt-BR"/>
        </w:rPr>
        <w:t xml:space="preserve"> </w:t>
      </w:r>
      <w:r w:rsidRPr="003C12AE">
        <w:rPr>
          <w:rFonts w:ascii="Times New Roman" w:hAnsi="Times New Roman"/>
          <w:bCs/>
          <w:iCs/>
          <w:sz w:val="24"/>
          <w:lang w:val="pt-BR"/>
        </w:rPr>
        <w:t>e</w:t>
      </w:r>
    </w:p>
    <w:p w14:paraId="6C52F7B2" w14:textId="22E83FA3" w:rsidR="003C12AE" w:rsidRPr="003C12AE" w:rsidRDefault="003C12AE" w:rsidP="003C12AE">
      <w:pPr>
        <w:widowControl w:val="0"/>
        <w:spacing w:before="0" w:after="0"/>
        <w:ind w:left="1276" w:hanging="283"/>
        <w:rPr>
          <w:rFonts w:ascii="Times New Roman" w:hAnsi="Times New Roman"/>
          <w:bCs/>
          <w:iCs/>
          <w:szCs w:val="20"/>
          <w:lang w:val="pt-BR"/>
        </w:rPr>
      </w:pPr>
      <w:r w:rsidRPr="003C12AE">
        <w:rPr>
          <w:rFonts w:ascii="Times New Roman" w:hAnsi="Times New Roman"/>
          <w:bCs/>
          <w:iCs/>
          <w:sz w:val="24"/>
          <w:lang w:val="pt-BR"/>
        </w:rPr>
        <w:t>(iii) derivativos;</w:t>
      </w:r>
      <w:r w:rsidR="00AD488D" w:rsidRPr="00AD488D">
        <w:rPr>
          <w:rFonts w:ascii="Times New Roman" w:hAnsi="Times New Roman"/>
          <w:bCs/>
          <w:iCs/>
          <w:sz w:val="24"/>
          <w:lang w:val="pt-BR"/>
        </w:rPr>
        <w:t xml:space="preserve"> </w:t>
      </w:r>
      <w:r w:rsidRPr="003C12AE">
        <w:rPr>
          <w:rFonts w:ascii="Times New Roman" w:hAnsi="Times New Roman"/>
          <w:bCs/>
          <w:iCs/>
          <w:sz w:val="24"/>
          <w:lang w:val="pt-BR"/>
        </w:rPr>
        <w:t>e</w:t>
      </w:r>
    </w:p>
    <w:p w14:paraId="45F564CB" w14:textId="42DE02CB" w:rsidR="003C12AE" w:rsidRPr="003C12AE" w:rsidRDefault="003C12AE" w:rsidP="003C12AE">
      <w:pPr>
        <w:widowControl w:val="0"/>
        <w:spacing w:before="0" w:after="0"/>
        <w:ind w:left="993" w:hanging="426"/>
        <w:rPr>
          <w:rFonts w:ascii="Times New Roman" w:hAnsi="Times New Roman"/>
          <w:bCs/>
          <w:iCs/>
          <w:sz w:val="24"/>
          <w:lang w:val="pt-BR"/>
        </w:rPr>
      </w:pPr>
      <w:r w:rsidRPr="003C12AE">
        <w:rPr>
          <w:rFonts w:ascii="Times New Roman" w:hAnsi="Times New Roman"/>
          <w:bCs/>
          <w:iCs/>
          <w:sz w:val="24"/>
          <w:lang w:val="pt-BR"/>
        </w:rPr>
        <w:t xml:space="preserve">(c) </w:t>
      </w:r>
      <w:r w:rsidRPr="003C12AE">
        <w:rPr>
          <w:rFonts w:ascii="Times New Roman" w:hAnsi="Times New Roman"/>
          <w:bCs/>
          <w:iCs/>
          <w:sz w:val="24"/>
          <w:lang w:val="pt-BR"/>
        </w:rPr>
        <w:tab/>
        <w:t>se os riscos identificados no item 24J (a) resultaram em mudanças a estratégia de gestão de risco de a entidade (ver item 22A), a descrição dessas mudanças.</w:t>
      </w:r>
    </w:p>
    <w:p w14:paraId="7228A6C5" w14:textId="77777777" w:rsidR="003C12AE" w:rsidRPr="003C12AE" w:rsidRDefault="003C12AE" w:rsidP="003C12AE">
      <w:pPr>
        <w:widowControl w:val="0"/>
        <w:spacing w:before="0" w:after="0"/>
        <w:ind w:left="993" w:hanging="426"/>
        <w:rPr>
          <w:rFonts w:ascii="Times New Roman" w:hAnsi="Times New Roman"/>
          <w:bCs/>
          <w:iCs/>
          <w:sz w:val="24"/>
          <w:lang w:val="pt-BR"/>
        </w:rPr>
      </w:pPr>
    </w:p>
    <w:p w14:paraId="1C92CA68"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ab/>
        <w:t>Valor justo</w:t>
      </w:r>
    </w:p>
    <w:p w14:paraId="466BAE8E"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2C144EF6"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25.</w:t>
      </w:r>
      <w:r w:rsidRPr="003C12AE">
        <w:rPr>
          <w:rFonts w:ascii="Times New Roman" w:hAnsi="Times New Roman"/>
          <w:sz w:val="24"/>
          <w:lang w:val="pt-BR" w:eastAsia="x-none"/>
        </w:rPr>
        <w:tab/>
        <w:t xml:space="preserve">Exceto o que foi estabelecido no item 29, para cada classe de ativo financeiro e passivo financeiro (ver item 6), a entidade deve divulgar o valor justo daquela classe de ativos e passivos de forma que permita ser comparada com o seu valor contábil. </w:t>
      </w:r>
    </w:p>
    <w:p w14:paraId="2225F0E3" w14:textId="77777777" w:rsidR="003C12AE" w:rsidRPr="003C12AE" w:rsidRDefault="003C12AE" w:rsidP="003C12AE">
      <w:pPr>
        <w:widowControl w:val="0"/>
        <w:tabs>
          <w:tab w:val="left" w:pos="709"/>
          <w:tab w:val="left" w:pos="6804"/>
        </w:tabs>
        <w:spacing w:before="0" w:after="0"/>
        <w:ind w:left="709" w:right="-1" w:hanging="709"/>
        <w:rPr>
          <w:rFonts w:ascii="Times New Roman" w:hAnsi="Times New Roman"/>
          <w:sz w:val="24"/>
          <w:lang w:val="pt-BR" w:eastAsia="x-none"/>
        </w:rPr>
      </w:pPr>
    </w:p>
    <w:p w14:paraId="2496ECD0"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26.</w:t>
      </w:r>
      <w:r w:rsidRPr="003C12AE">
        <w:rPr>
          <w:rFonts w:ascii="Times New Roman" w:hAnsi="Times New Roman"/>
          <w:sz w:val="24"/>
          <w:lang w:val="pt-BR" w:eastAsia="x-none"/>
        </w:rPr>
        <w:tab/>
        <w:t>Na divulgação de valores justos, a entidade deve agrupar ativos financeiros e passivos financeiros em classes, mas deve compensá-los somente na medida em que seus valores contábeis forem compensados no balanço patrimonial.</w:t>
      </w:r>
    </w:p>
    <w:p w14:paraId="4D07B1D1" w14:textId="77777777" w:rsidR="003C12AE" w:rsidRPr="003C12AE" w:rsidRDefault="003C12AE" w:rsidP="003C12AE">
      <w:pPr>
        <w:widowControl w:val="0"/>
        <w:tabs>
          <w:tab w:val="left" w:pos="709"/>
          <w:tab w:val="left" w:pos="6804"/>
        </w:tabs>
        <w:spacing w:before="0" w:after="0"/>
        <w:ind w:left="709" w:right="-1" w:hanging="709"/>
        <w:rPr>
          <w:rFonts w:ascii="Times New Roman" w:hAnsi="Times New Roman"/>
          <w:sz w:val="24"/>
          <w:lang w:val="pt-BR" w:eastAsia="x-none"/>
        </w:rPr>
      </w:pPr>
    </w:p>
    <w:p w14:paraId="3B3D78FD" w14:textId="13E62F1E"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27</w:t>
      </w:r>
      <w:r w:rsidR="00601B37">
        <w:rPr>
          <w:rFonts w:ascii="Times New Roman" w:hAnsi="Times New Roman"/>
          <w:sz w:val="24"/>
          <w:lang w:val="pt-BR" w:eastAsia="x-none"/>
        </w:rPr>
        <w:t>-27B</w:t>
      </w:r>
      <w:r w:rsidRPr="003C12AE">
        <w:rPr>
          <w:rFonts w:ascii="Times New Roman" w:hAnsi="Times New Roman"/>
          <w:sz w:val="24"/>
          <w:lang w:val="pt-BR" w:eastAsia="x-none"/>
        </w:rPr>
        <w:t>.</w:t>
      </w:r>
      <w:r w:rsidR="00D0237A" w:rsidRPr="00D0237A">
        <w:rPr>
          <w:rFonts w:ascii="Times New Roman" w:hAnsi="Times New Roman"/>
          <w:sz w:val="24"/>
          <w:lang w:val="pt-BR" w:eastAsia="x-none"/>
        </w:rPr>
        <w:t xml:space="preserve"> (Eliminado</w:t>
      </w:r>
      <w:r w:rsidR="00601B37">
        <w:rPr>
          <w:rFonts w:ascii="Times New Roman" w:hAnsi="Times New Roman"/>
          <w:sz w:val="24"/>
          <w:lang w:val="pt-BR" w:eastAsia="x-none"/>
        </w:rPr>
        <w:t>s</w:t>
      </w:r>
      <w:r w:rsidR="00D0237A" w:rsidRPr="00D0237A">
        <w:rPr>
          <w:rFonts w:ascii="Times New Roman" w:hAnsi="Times New Roman"/>
          <w:sz w:val="24"/>
          <w:lang w:val="pt-BR" w:eastAsia="x-none"/>
        </w:rPr>
        <w:t>).</w:t>
      </w:r>
    </w:p>
    <w:p w14:paraId="4057687D"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51BBA1B1" w14:textId="77777777" w:rsidR="003C12AE" w:rsidRPr="003C12AE" w:rsidRDefault="003C12AE" w:rsidP="003C12AE">
      <w:pPr>
        <w:widowControl w:val="0"/>
        <w:spacing w:before="0"/>
        <w:ind w:left="567" w:hanging="567"/>
        <w:rPr>
          <w:rFonts w:ascii="Times New Roman" w:hAnsi="Times New Roman"/>
          <w:bCs/>
          <w:iCs/>
          <w:sz w:val="24"/>
          <w:lang w:val="pt-BR"/>
        </w:rPr>
      </w:pPr>
      <w:r w:rsidRPr="003C12AE">
        <w:rPr>
          <w:rFonts w:ascii="Times New Roman" w:hAnsi="Times New Roman"/>
          <w:bCs/>
          <w:iCs/>
          <w:sz w:val="24"/>
          <w:lang w:val="pt-BR"/>
        </w:rPr>
        <w:t xml:space="preserve">28.  Em alguns casos, a entidade não reconhece o ganho ou a perda no reconhecimento inicial de ativo financeiro ou passivo financeiro porque o valor justo não é comprovado por preço cotado em mercado ativo para ativo ou passivo idêntico (ou seja, informação de Nível 1), nem se baseia em técnica de avaliação que utilize apenas dados de mercados observáveis (ver item B5.1.2A do CPC 48). Nesses casos, a entidade deve divulgar, por classe de ativo financeiro ou de passivo financeiro: </w:t>
      </w:r>
    </w:p>
    <w:p w14:paraId="2636EF0D"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 xml:space="preserve">(a) </w:t>
      </w:r>
      <w:r w:rsidRPr="003C12AE">
        <w:rPr>
          <w:rFonts w:ascii="Times New Roman" w:hAnsi="Times New Roman"/>
          <w:bCs/>
          <w:iCs/>
          <w:sz w:val="24"/>
          <w:lang w:val="pt-BR"/>
        </w:rPr>
        <w:tab/>
        <w:t xml:space="preserve">sua política contábil para reconhecimento, no resultado, da diferença entre o valor justo no reconhecimento inicial e o preço da transação, para refletir a alteração nos fatores (incluindo tempo) que os participantes do mercado levariam em conta ao precificar o ativo ou o passivo (ver item B5.1.2A(b) do CPC 48); </w:t>
      </w:r>
    </w:p>
    <w:p w14:paraId="247D80D8"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 xml:space="preserve">(b) </w:t>
      </w:r>
      <w:r w:rsidRPr="003C12AE">
        <w:rPr>
          <w:rFonts w:ascii="Times New Roman" w:hAnsi="Times New Roman"/>
          <w:bCs/>
          <w:iCs/>
          <w:sz w:val="24"/>
          <w:lang w:val="pt-BR"/>
        </w:rPr>
        <w:tab/>
        <w:t xml:space="preserve">a diferença total ainda a ser reconhecida no resultado no início e no final do período e a conciliação das alterações no saldo dessa diferença; </w:t>
      </w:r>
    </w:p>
    <w:p w14:paraId="7DC49E01" w14:textId="3457D3B3" w:rsidR="003C12AE" w:rsidRPr="003C12AE" w:rsidRDefault="003C12AE" w:rsidP="003C12AE">
      <w:pPr>
        <w:widowControl w:val="0"/>
        <w:spacing w:before="0" w:after="0"/>
        <w:ind w:left="993" w:right="-1" w:hanging="426"/>
        <w:rPr>
          <w:rFonts w:ascii="Times New Roman" w:hAnsi="Times New Roman"/>
          <w:bCs/>
          <w:iCs/>
          <w:sz w:val="24"/>
          <w:lang w:val="pt-BR"/>
        </w:rPr>
      </w:pPr>
      <w:r w:rsidRPr="003C12AE">
        <w:rPr>
          <w:rFonts w:ascii="Times New Roman" w:hAnsi="Times New Roman"/>
          <w:bCs/>
          <w:iCs/>
          <w:sz w:val="24"/>
          <w:lang w:val="pt-BR"/>
        </w:rPr>
        <w:t xml:space="preserve">(c) </w:t>
      </w:r>
      <w:r w:rsidRPr="003C12AE">
        <w:rPr>
          <w:rFonts w:ascii="Times New Roman" w:hAnsi="Times New Roman"/>
          <w:bCs/>
          <w:iCs/>
          <w:sz w:val="24"/>
          <w:lang w:val="pt-BR"/>
        </w:rPr>
        <w:tab/>
        <w:t>por que a entidade concluiu que o preço da transação não era a melhor evidência do valor justo, incluindo a descrição das evidências que sustentam o valor justo.</w:t>
      </w:r>
    </w:p>
    <w:p w14:paraId="7AEE8DC3" w14:textId="77777777" w:rsidR="003C12AE" w:rsidRPr="003C12AE" w:rsidRDefault="003C12AE" w:rsidP="003C12AE">
      <w:pPr>
        <w:widowControl w:val="0"/>
        <w:spacing w:before="0" w:after="0"/>
        <w:ind w:left="710" w:right="-1"/>
        <w:jc w:val="left"/>
        <w:rPr>
          <w:rFonts w:ascii="Times New Roman" w:hAnsi="Times New Roman"/>
          <w:bCs/>
          <w:iCs/>
          <w:sz w:val="24"/>
          <w:lang w:val="pt-BR"/>
        </w:rPr>
      </w:pPr>
    </w:p>
    <w:p w14:paraId="2CC1665B"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29.</w:t>
      </w:r>
      <w:r w:rsidRPr="003C12AE">
        <w:rPr>
          <w:rFonts w:ascii="Times New Roman" w:hAnsi="Times New Roman"/>
          <w:sz w:val="24"/>
          <w:lang w:val="pt-BR" w:eastAsia="x-none"/>
        </w:rPr>
        <w:tab/>
        <w:t>Divulgações de valor justo não são exigidas:</w:t>
      </w:r>
    </w:p>
    <w:p w14:paraId="128075EC" w14:textId="77777777" w:rsidR="003C12AE" w:rsidRPr="003C12AE" w:rsidRDefault="003C12AE" w:rsidP="00F307D5">
      <w:pPr>
        <w:widowControl w:val="0"/>
        <w:numPr>
          <w:ilvl w:val="0"/>
          <w:numId w:val="14"/>
        </w:numPr>
        <w:tabs>
          <w:tab w:val="clear" w:pos="1070"/>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quando o valor contábil for uma aproximação razoável do valor justo, por exemplo, para instrumentos financeiros, tais como contas a receber de clientes e a pagar a fornecedores de curto prazo;</w:t>
      </w:r>
    </w:p>
    <w:p w14:paraId="65388F70" w14:textId="10EF68FA" w:rsidR="003C12AE" w:rsidRPr="003C12AE" w:rsidRDefault="00601B37" w:rsidP="00F307D5">
      <w:pPr>
        <w:widowControl w:val="0"/>
        <w:numPr>
          <w:ilvl w:val="0"/>
          <w:numId w:val="14"/>
        </w:numPr>
        <w:tabs>
          <w:tab w:val="clear" w:pos="1070"/>
        </w:tabs>
        <w:spacing w:before="0"/>
        <w:ind w:left="993" w:right="-1" w:hanging="426"/>
        <w:rPr>
          <w:rFonts w:ascii="Times New Roman" w:hAnsi="Times New Roman"/>
          <w:bCs/>
          <w:iCs/>
          <w:sz w:val="24"/>
          <w:lang w:val="pt-BR"/>
        </w:rPr>
      </w:pPr>
      <w:r w:rsidRPr="00601B37">
        <w:rPr>
          <w:rFonts w:ascii="Times New Roman" w:hAnsi="Times New Roman"/>
          <w:bCs/>
          <w:iCs/>
          <w:sz w:val="24"/>
          <w:lang w:val="pt-BR"/>
        </w:rPr>
        <w:t>(eliminada)</w:t>
      </w:r>
      <w:r w:rsidR="003C12AE" w:rsidRPr="003C12AE">
        <w:rPr>
          <w:rFonts w:ascii="Times New Roman" w:hAnsi="Times New Roman"/>
          <w:bCs/>
          <w:iCs/>
          <w:sz w:val="24"/>
          <w:lang w:val="pt-BR"/>
        </w:rPr>
        <w:t>;</w:t>
      </w:r>
    </w:p>
    <w:p w14:paraId="45E39813" w14:textId="77777777" w:rsidR="003C12AE" w:rsidRPr="003C12AE" w:rsidRDefault="003C12AE" w:rsidP="00F307D5">
      <w:pPr>
        <w:widowControl w:val="0"/>
        <w:numPr>
          <w:ilvl w:val="0"/>
          <w:numId w:val="14"/>
        </w:numPr>
        <w:tabs>
          <w:tab w:val="clear" w:pos="1070"/>
        </w:tabs>
        <w:spacing w:before="0"/>
        <w:ind w:left="992" w:hanging="425"/>
        <w:rPr>
          <w:rFonts w:ascii="Times New Roman" w:hAnsi="Times New Roman"/>
          <w:bCs/>
          <w:iCs/>
          <w:sz w:val="24"/>
          <w:lang w:val="pt-BR"/>
        </w:rPr>
      </w:pPr>
      <w:r w:rsidRPr="003C12AE">
        <w:rPr>
          <w:rFonts w:ascii="Times New Roman" w:hAnsi="Times New Roman"/>
          <w:bCs/>
          <w:iCs/>
          <w:sz w:val="24"/>
          <w:lang w:val="pt-BR"/>
        </w:rPr>
        <w:t xml:space="preserve">para contrato que contenha característica de participação discricionária (como descrito no CPC 11 – Contratos de Seguro) se o valor justo dessa característica não puder ser mensurado de </w:t>
      </w:r>
      <w:r w:rsidRPr="003C12AE">
        <w:rPr>
          <w:rFonts w:ascii="Times New Roman" w:hAnsi="Times New Roman"/>
          <w:bCs/>
          <w:iCs/>
          <w:sz w:val="24"/>
          <w:lang w:val="pt-BR"/>
        </w:rPr>
        <w:lastRenderedPageBreak/>
        <w:t>maneira confiável; ou</w:t>
      </w:r>
    </w:p>
    <w:p w14:paraId="474DE951" w14:textId="7D830DDF" w:rsidR="003C12AE" w:rsidRPr="003C12AE" w:rsidRDefault="003C12AE" w:rsidP="003C12AE">
      <w:pPr>
        <w:widowControl w:val="0"/>
        <w:tabs>
          <w:tab w:val="left" w:pos="6804"/>
        </w:tabs>
        <w:spacing w:before="0" w:after="0"/>
        <w:ind w:left="993" w:hanging="426"/>
        <w:rPr>
          <w:rFonts w:ascii="Times New Roman" w:hAnsi="Times New Roman"/>
          <w:color w:val="000000"/>
          <w:sz w:val="24"/>
          <w:lang w:val="pt-BR" w:eastAsia="x-none"/>
        </w:rPr>
      </w:pPr>
      <w:r w:rsidRPr="003C12AE">
        <w:rPr>
          <w:rFonts w:ascii="Times New Roman" w:hAnsi="Times New Roman"/>
          <w:sz w:val="24"/>
        </w:rPr>
        <w:t xml:space="preserve">(d) </w:t>
      </w:r>
      <w:r w:rsidRPr="003C12AE">
        <w:rPr>
          <w:rFonts w:ascii="Times New Roman" w:hAnsi="Times New Roman"/>
          <w:sz w:val="24"/>
        </w:rPr>
        <w:tab/>
        <w:t>para passivos de arrendamento.</w:t>
      </w:r>
    </w:p>
    <w:p w14:paraId="12FCAF28" w14:textId="77777777" w:rsidR="003C12AE" w:rsidRPr="003C12AE" w:rsidRDefault="003C12AE" w:rsidP="003C12AE">
      <w:pPr>
        <w:widowControl w:val="0"/>
        <w:spacing w:before="0" w:after="0"/>
        <w:ind w:right="-1"/>
        <w:jc w:val="left"/>
        <w:rPr>
          <w:rFonts w:ascii="Times New Roman" w:hAnsi="Times New Roman"/>
          <w:bCs/>
          <w:iCs/>
          <w:sz w:val="24"/>
          <w:lang w:val="pt-BR"/>
        </w:rPr>
      </w:pPr>
    </w:p>
    <w:p w14:paraId="3E074D75" w14:textId="27B80FFC" w:rsidR="003C12AE" w:rsidRPr="003C12AE" w:rsidRDefault="003C12AE" w:rsidP="003C12AE">
      <w:pPr>
        <w:widowControl w:val="0"/>
        <w:tabs>
          <w:tab w:val="left" w:pos="6804"/>
        </w:tabs>
        <w:spacing w:before="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30.</w:t>
      </w:r>
      <w:r w:rsidRPr="003C12AE">
        <w:rPr>
          <w:rFonts w:ascii="Times New Roman" w:hAnsi="Times New Roman"/>
          <w:sz w:val="24"/>
          <w:lang w:val="pt-BR" w:eastAsia="x-none"/>
        </w:rPr>
        <w:tab/>
        <w:t>Nos casos descritos no item 29(c), a entidade deve divulgar informações para ajudar os usuários das demonstrações contábeis a fazer seu próprio julgamento a respeito da extensão de possíveis diferenças entre o valor contábil desses contratos e seus valores justos, incluindo:</w:t>
      </w:r>
    </w:p>
    <w:p w14:paraId="393369CF" w14:textId="77777777" w:rsidR="003C12AE" w:rsidRPr="003C12AE" w:rsidRDefault="003C12AE" w:rsidP="00F307D5">
      <w:pPr>
        <w:widowControl w:val="0"/>
        <w:numPr>
          <w:ilvl w:val="0"/>
          <w:numId w:val="15"/>
        </w:numPr>
        <w:tabs>
          <w:tab w:val="clear" w:pos="1070"/>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o fato de que a informação do valor justo não foi divulgada para esses instrumentos porque seus valores justos não podem ser mensurados</w:t>
      </w:r>
      <w:r w:rsidRPr="003C12AE" w:rsidDel="008764C6">
        <w:rPr>
          <w:rFonts w:ascii="Times New Roman" w:hAnsi="Times New Roman"/>
          <w:bCs/>
          <w:iCs/>
          <w:sz w:val="24"/>
          <w:lang w:val="pt-BR"/>
        </w:rPr>
        <w:t xml:space="preserve"> </w:t>
      </w:r>
      <w:r w:rsidRPr="003C12AE">
        <w:rPr>
          <w:rFonts w:ascii="Times New Roman" w:hAnsi="Times New Roman"/>
          <w:bCs/>
          <w:iCs/>
          <w:sz w:val="24"/>
          <w:lang w:val="pt-BR"/>
        </w:rPr>
        <w:t>de maneira confiável;</w:t>
      </w:r>
    </w:p>
    <w:p w14:paraId="046EEEB0" w14:textId="77777777" w:rsidR="003C12AE" w:rsidRPr="003C12AE" w:rsidRDefault="003C12AE" w:rsidP="00F307D5">
      <w:pPr>
        <w:widowControl w:val="0"/>
        <w:numPr>
          <w:ilvl w:val="0"/>
          <w:numId w:val="15"/>
        </w:numPr>
        <w:tabs>
          <w:tab w:val="clear" w:pos="1070"/>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uma descrição de instrumentos financeiros, o valor contábil, e a explicação da razão de o valor justo não poder ser mensurado de maneira confiável;</w:t>
      </w:r>
    </w:p>
    <w:p w14:paraId="2EC78A2A" w14:textId="77777777" w:rsidR="003C12AE" w:rsidRPr="003C12AE" w:rsidRDefault="003C12AE" w:rsidP="00F307D5">
      <w:pPr>
        <w:widowControl w:val="0"/>
        <w:numPr>
          <w:ilvl w:val="0"/>
          <w:numId w:val="15"/>
        </w:numPr>
        <w:tabs>
          <w:tab w:val="clear" w:pos="1070"/>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informações sobre o mercado para os instrumentos financeiros;</w:t>
      </w:r>
    </w:p>
    <w:p w14:paraId="380C37E3" w14:textId="77777777" w:rsidR="003C12AE" w:rsidRPr="003C12AE" w:rsidRDefault="003C12AE" w:rsidP="00F307D5">
      <w:pPr>
        <w:widowControl w:val="0"/>
        <w:numPr>
          <w:ilvl w:val="0"/>
          <w:numId w:val="15"/>
        </w:numPr>
        <w:tabs>
          <w:tab w:val="clear" w:pos="1070"/>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informações sobre se e como a entidade pretende dispor dos instrumentos financeiros; e</w:t>
      </w:r>
    </w:p>
    <w:p w14:paraId="47C8D602" w14:textId="77777777" w:rsidR="003C12AE" w:rsidRPr="003C12AE" w:rsidRDefault="003C12AE" w:rsidP="00F307D5">
      <w:pPr>
        <w:widowControl w:val="0"/>
        <w:numPr>
          <w:ilvl w:val="0"/>
          <w:numId w:val="15"/>
        </w:numPr>
        <w:tabs>
          <w:tab w:val="clear" w:pos="1070"/>
        </w:tabs>
        <w:spacing w:before="0" w:after="0"/>
        <w:ind w:left="993" w:right="-1" w:hanging="426"/>
        <w:rPr>
          <w:rFonts w:ascii="Times New Roman" w:hAnsi="Times New Roman"/>
          <w:bCs/>
          <w:iCs/>
          <w:sz w:val="24"/>
          <w:lang w:val="pt-BR"/>
        </w:rPr>
      </w:pPr>
      <w:r w:rsidRPr="003C12AE">
        <w:rPr>
          <w:rFonts w:ascii="Times New Roman" w:hAnsi="Times New Roman"/>
          <w:bCs/>
          <w:iCs/>
          <w:sz w:val="24"/>
          <w:lang w:val="pt-BR"/>
        </w:rPr>
        <w:t>se o instrumento financeiro cujo valor justo não puder ser mensurado de maneira confiável for desreconhecido, esse fato, seu valor contábil no momento do desreconhecimento e o montante do ganho ou perda reconhecido.</w:t>
      </w:r>
    </w:p>
    <w:p w14:paraId="7EC6DCB2"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2E0D8DEE"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 xml:space="preserve">Natureza e extensão dos riscos decorrentes de instrumentos financeiros </w:t>
      </w:r>
    </w:p>
    <w:p w14:paraId="590AA147"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07D9F504"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31.</w:t>
      </w:r>
      <w:r w:rsidRPr="003C12AE">
        <w:rPr>
          <w:rFonts w:ascii="Times New Roman" w:hAnsi="Times New Roman"/>
          <w:sz w:val="24"/>
          <w:lang w:val="pt-BR" w:eastAsia="x-none"/>
        </w:rPr>
        <w:tab/>
        <w:t>A entidade deve divulgar informações que possibilitem que os usuários de suas demonstrações contábeis avaliem a natureza e a extensão dos riscos decorrentes de instrumentos financeiros aos quais a entidade está exposta na data das demonstrações contábeis.</w:t>
      </w:r>
    </w:p>
    <w:p w14:paraId="4F995439"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4840EA45"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32.</w:t>
      </w:r>
      <w:r w:rsidRPr="003C12AE">
        <w:rPr>
          <w:rFonts w:ascii="Times New Roman" w:hAnsi="Times New Roman"/>
          <w:sz w:val="24"/>
          <w:lang w:val="pt-BR" w:eastAsia="x-none"/>
        </w:rPr>
        <w:tab/>
        <w:t>As divulgações exigidas nos itens 33 a 42 estão focadas nos riscos decorrentes de instrumentos financeiros e como eles têm sido administrados. Esses riscos incluem tipicamente, mas não estão limitados a risco de crédito, risco de liquidez e risco de mercado.</w:t>
      </w:r>
    </w:p>
    <w:p w14:paraId="7D68318E"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21420248"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32A.</w:t>
      </w:r>
      <w:r w:rsidRPr="003C12AE">
        <w:rPr>
          <w:rFonts w:ascii="Times New Roman" w:hAnsi="Times New Roman"/>
          <w:sz w:val="24"/>
          <w:lang w:val="pt-BR" w:eastAsia="x-none"/>
        </w:rPr>
        <w:tab/>
        <w:t>Fazer divulgações qualitativas no contexto de divulgações quantitativas permite que os usuários façam uma associação com as divulgações relacionadas e desse modo formem entendimento amplo acerca da natureza e da extensão dos riscos advindos dos instrumentos financeiros. A interação entre divulgações qualitativas e quantitativas contribui para a divulgação de informação de uma forma melhor que possibilita aos usuários avaliar a exposição de uma entidade a riscos.</w:t>
      </w:r>
    </w:p>
    <w:p w14:paraId="7C5E5AFF"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4AD5D67B"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Divulgação qualitativa</w:t>
      </w:r>
    </w:p>
    <w:p w14:paraId="0892119E"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66BA8136"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33.</w:t>
      </w:r>
      <w:r w:rsidRPr="003C12AE">
        <w:rPr>
          <w:rFonts w:ascii="Times New Roman" w:hAnsi="Times New Roman"/>
          <w:sz w:val="24"/>
          <w:lang w:val="pt-BR" w:eastAsia="x-none"/>
        </w:rPr>
        <w:tab/>
        <w:t>Para cada tipo de risco decorrente de instrumentos financeiros, a entidade deve divulgar:</w:t>
      </w:r>
    </w:p>
    <w:p w14:paraId="1BFBD1E8" w14:textId="77777777" w:rsidR="003C12AE" w:rsidRPr="003C12AE" w:rsidRDefault="003C12AE" w:rsidP="00F307D5">
      <w:pPr>
        <w:widowControl w:val="0"/>
        <w:numPr>
          <w:ilvl w:val="0"/>
          <w:numId w:val="16"/>
        </w:numPr>
        <w:tabs>
          <w:tab w:val="clear" w:pos="1070"/>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a exposição ao risco e como ele surge;</w:t>
      </w:r>
    </w:p>
    <w:p w14:paraId="26B06A3B" w14:textId="77777777" w:rsidR="003C12AE" w:rsidRPr="003C12AE" w:rsidRDefault="003C12AE" w:rsidP="00F307D5">
      <w:pPr>
        <w:widowControl w:val="0"/>
        <w:numPr>
          <w:ilvl w:val="0"/>
          <w:numId w:val="16"/>
        </w:numPr>
        <w:tabs>
          <w:tab w:val="clear" w:pos="1070"/>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seus objetivos, políticas e processos para gerenciar os riscos e os métodos utilizados para mensurar o risco; e</w:t>
      </w:r>
    </w:p>
    <w:p w14:paraId="58E80EB5" w14:textId="77777777" w:rsidR="003C12AE" w:rsidRPr="003C12AE" w:rsidRDefault="003C12AE" w:rsidP="00F307D5">
      <w:pPr>
        <w:widowControl w:val="0"/>
        <w:numPr>
          <w:ilvl w:val="0"/>
          <w:numId w:val="16"/>
        </w:numPr>
        <w:tabs>
          <w:tab w:val="clear" w:pos="1070"/>
        </w:tabs>
        <w:spacing w:before="0" w:after="0"/>
        <w:ind w:left="993" w:right="-1" w:hanging="426"/>
        <w:rPr>
          <w:rFonts w:ascii="Times New Roman" w:hAnsi="Times New Roman"/>
          <w:bCs/>
          <w:iCs/>
          <w:sz w:val="24"/>
          <w:lang w:val="pt-BR"/>
        </w:rPr>
      </w:pPr>
      <w:r w:rsidRPr="003C12AE">
        <w:rPr>
          <w:rFonts w:ascii="Times New Roman" w:hAnsi="Times New Roman"/>
          <w:bCs/>
          <w:iCs/>
          <w:sz w:val="24"/>
          <w:lang w:val="pt-BR"/>
        </w:rPr>
        <w:t xml:space="preserve">quaisquer alterações em (a) ou (b) do período anterior. </w:t>
      </w:r>
    </w:p>
    <w:p w14:paraId="59891536" w14:textId="77777777" w:rsidR="003C12AE" w:rsidRPr="003C12AE" w:rsidRDefault="003C12AE" w:rsidP="003C12AE">
      <w:pPr>
        <w:widowControl w:val="0"/>
        <w:tabs>
          <w:tab w:val="left" w:pos="6804"/>
        </w:tabs>
        <w:spacing w:before="0" w:after="0"/>
        <w:ind w:left="57" w:right="-1"/>
        <w:rPr>
          <w:rFonts w:ascii="Times New Roman" w:hAnsi="Times New Roman"/>
          <w:bCs/>
          <w:sz w:val="24"/>
          <w:lang w:val="pt-BR" w:eastAsia="x-none"/>
        </w:rPr>
      </w:pPr>
    </w:p>
    <w:p w14:paraId="7AFFA230"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Divulgação quantitativa</w:t>
      </w:r>
    </w:p>
    <w:p w14:paraId="3BFE0905"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1BACC8C7"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34.</w:t>
      </w:r>
      <w:r w:rsidRPr="003C12AE">
        <w:rPr>
          <w:rFonts w:ascii="Times New Roman" w:hAnsi="Times New Roman"/>
          <w:sz w:val="24"/>
          <w:lang w:val="pt-BR" w:eastAsia="x-none"/>
        </w:rPr>
        <w:tab/>
        <w:t>Para cada tipo de risco decorrente de instrumentos financeiros, a entidade deve divulgar:</w:t>
      </w:r>
    </w:p>
    <w:p w14:paraId="4E9F4A77" w14:textId="77777777" w:rsidR="003C12AE" w:rsidRPr="003C12AE" w:rsidRDefault="003C12AE" w:rsidP="00F307D5">
      <w:pPr>
        <w:widowControl w:val="0"/>
        <w:numPr>
          <w:ilvl w:val="0"/>
          <w:numId w:val="17"/>
        </w:numPr>
        <w:tabs>
          <w:tab w:val="clear" w:pos="1070"/>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sumário de dados quantitativos sobre sua exposição aos riscos ao término do período de reporte. Essa divulgação deve estar baseada nas informações fornecidas internamente ao pessoal chave da administração da entidade (conforme definido no Pronunciamento Técnico CPC 05 – Divulgação sobre Partes Relacionadas), por exemplo, o conselho de administração da entidade ou o seu presidente executivo;</w:t>
      </w:r>
    </w:p>
    <w:p w14:paraId="4FF89EB5" w14:textId="77777777" w:rsidR="003C12AE" w:rsidRPr="003C12AE" w:rsidRDefault="003C12AE" w:rsidP="00F307D5">
      <w:pPr>
        <w:widowControl w:val="0"/>
        <w:numPr>
          <w:ilvl w:val="0"/>
          <w:numId w:val="17"/>
        </w:numPr>
        <w:tabs>
          <w:tab w:val="clear" w:pos="1070"/>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as divulgações requeridas nos itens 36 a 42, na extensão não fornecida em (a);</w:t>
      </w:r>
    </w:p>
    <w:p w14:paraId="0FED59AD" w14:textId="77777777" w:rsidR="003C12AE" w:rsidRPr="003C12AE" w:rsidRDefault="003C12AE" w:rsidP="00F307D5">
      <w:pPr>
        <w:widowControl w:val="0"/>
        <w:numPr>
          <w:ilvl w:val="0"/>
          <w:numId w:val="17"/>
        </w:numPr>
        <w:tabs>
          <w:tab w:val="clear" w:pos="1070"/>
        </w:tabs>
        <w:spacing w:before="0" w:after="0"/>
        <w:ind w:left="993" w:right="-1" w:hanging="426"/>
        <w:rPr>
          <w:rFonts w:ascii="Times New Roman" w:hAnsi="Times New Roman"/>
          <w:bCs/>
          <w:iCs/>
          <w:sz w:val="24"/>
          <w:lang w:val="pt-BR"/>
        </w:rPr>
      </w:pPr>
      <w:r w:rsidRPr="003C12AE">
        <w:rPr>
          <w:rFonts w:ascii="Times New Roman" w:hAnsi="Times New Roman"/>
          <w:bCs/>
          <w:iCs/>
          <w:sz w:val="24"/>
          <w:lang w:val="pt-BR"/>
        </w:rPr>
        <w:t>concentrações de risco, se não forem evidentes a partir das divulgações feitas de acordo com (a) e (b).</w:t>
      </w:r>
    </w:p>
    <w:p w14:paraId="1F96061C" w14:textId="77777777" w:rsidR="003C12AE" w:rsidRPr="003C12AE" w:rsidRDefault="003C12AE" w:rsidP="003C12AE">
      <w:pPr>
        <w:autoSpaceDE w:val="0"/>
        <w:autoSpaceDN w:val="0"/>
        <w:adjustRightInd w:val="0"/>
        <w:spacing w:before="0" w:after="0"/>
        <w:ind w:left="720" w:right="-1" w:hanging="720"/>
        <w:jc w:val="left"/>
        <w:rPr>
          <w:rFonts w:ascii="Times New Roman" w:hAnsi="Times New Roman"/>
          <w:sz w:val="24"/>
          <w:lang w:val="pt-BR"/>
        </w:rPr>
      </w:pPr>
    </w:p>
    <w:p w14:paraId="597525DB"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35.</w:t>
      </w:r>
      <w:r w:rsidRPr="003C12AE">
        <w:rPr>
          <w:rFonts w:ascii="Times New Roman" w:hAnsi="Times New Roman"/>
          <w:sz w:val="24"/>
          <w:lang w:val="pt-BR" w:eastAsia="x-none"/>
        </w:rPr>
        <w:tab/>
        <w:t>Se os dados quantitativos divulgados ao término do período de reporte não forem representativos da exposição ao risco da entidade durante o período, a entidade deve fornecer informações adicionais que sejam representativas.</w:t>
      </w:r>
    </w:p>
    <w:p w14:paraId="7E3A198C" w14:textId="77777777" w:rsidR="003C12AE" w:rsidRPr="003C12AE" w:rsidRDefault="003C12AE" w:rsidP="003C12AE">
      <w:pPr>
        <w:widowControl w:val="0"/>
        <w:tabs>
          <w:tab w:val="left" w:pos="6804"/>
        </w:tabs>
        <w:spacing w:before="0" w:after="0"/>
        <w:ind w:left="57" w:right="-1"/>
        <w:rPr>
          <w:rFonts w:ascii="Times New Roman" w:hAnsi="Times New Roman"/>
          <w:bCs/>
          <w:sz w:val="24"/>
          <w:lang w:val="pt-BR" w:eastAsia="x-none"/>
        </w:rPr>
      </w:pPr>
    </w:p>
    <w:p w14:paraId="15F30BA5"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Risco de crédito</w:t>
      </w:r>
    </w:p>
    <w:p w14:paraId="28126F1E" w14:textId="77777777" w:rsidR="003C12AE" w:rsidRPr="003C12AE" w:rsidRDefault="003C12AE" w:rsidP="003C12AE">
      <w:pPr>
        <w:widowControl w:val="0"/>
        <w:tabs>
          <w:tab w:val="left" w:pos="6804"/>
        </w:tabs>
        <w:spacing w:before="0" w:after="0"/>
        <w:ind w:left="57" w:right="-1"/>
        <w:rPr>
          <w:rFonts w:ascii="Times New Roman" w:hAnsi="Times New Roman"/>
          <w:bCs/>
          <w:sz w:val="24"/>
          <w:lang w:val="pt-BR" w:eastAsia="x-none"/>
        </w:rPr>
      </w:pPr>
    </w:p>
    <w:p w14:paraId="663D91E3"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Alcance e objetivos</w:t>
      </w:r>
    </w:p>
    <w:p w14:paraId="63128FF3"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r w:rsidRPr="003C12AE">
        <w:rPr>
          <w:rFonts w:ascii="Times New Roman" w:hAnsi="Times New Roman"/>
          <w:sz w:val="24"/>
          <w:lang w:val="pt-BR" w:eastAsia="x-none"/>
        </w:rPr>
        <w:t xml:space="preserve"> </w:t>
      </w:r>
    </w:p>
    <w:p w14:paraId="5A2938FD"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35A. A entidade deve aplicar os requisitos de divulgação dos itens 35F a 35N a instrumentos financeiros aos quais se aplicam os requisitos de redução ao valor recuperável do CPC 48. Entretanto: </w:t>
      </w:r>
    </w:p>
    <w:p w14:paraId="7A7C2855"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para contas a receber de clientes, ativos contratuais e recebíveis de arrendamento, aplica-se o item 35J(a) a essas contas a receber de clientes, ativos contratuais e recebíveis de arrendamento em que as perdas permanentes de crédito esperadas devem ser reconhecidas de acordo com o item 5.5.15 do CPC 48, se esses ativos financeiros forem modificados e estiverem vencidos há mais de 30 dias; e </w:t>
      </w:r>
    </w:p>
    <w:p w14:paraId="082450B3" w14:textId="5B4A06A5" w:rsidR="003C12AE" w:rsidRPr="003C12AE" w:rsidRDefault="003C12AE" w:rsidP="003C12AE">
      <w:pPr>
        <w:widowControl w:val="0"/>
        <w:tabs>
          <w:tab w:val="left" w:pos="6804"/>
        </w:tabs>
        <w:spacing w:before="0" w:after="0"/>
        <w:ind w:left="993" w:right="-1"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o item 35K(b) não se aplica a recebíveis de arrendamento.</w:t>
      </w:r>
    </w:p>
    <w:p w14:paraId="74389467"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39A22828"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35B. A divulgação de risco de crédito, feita de acordo com os itens 35F a 35N, permite aos usuários das demonstrações contábeis compreenderem o efeito do risco de crédito sobre o valor, a época e a incerteza dos fluxos de caixa futuros. Para alcançar esse objetivo, a divulgação do risco de crédito deve fornecer: </w:t>
      </w:r>
    </w:p>
    <w:p w14:paraId="1CEB605F"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informações sobre as práticas de gerenciamento de risco de crédito da entidade e como elas se relacionam com o reconhecimento e a mensuração de perdas de crédito esperadas, incluindo métodos, premissas e informações utilizados para mensurar as perdas de crédito esperadas; </w:t>
      </w:r>
    </w:p>
    <w:p w14:paraId="0CDCEE30"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 xml:space="preserve">informações qualitativas e quantitativas que permitam aos usuários das demonstrações contábeis avaliarem os valores nas demonstrações contábeis resultantes de perdas de crédito esperadas, incluindo alterações no valor das perdas de crédito esperadas e os motivos dessas alterações; e </w:t>
      </w:r>
    </w:p>
    <w:p w14:paraId="12AA5A77" w14:textId="41EDC873" w:rsidR="003C12AE" w:rsidRPr="003C12AE" w:rsidRDefault="003C12AE" w:rsidP="003C12AE">
      <w:pPr>
        <w:widowControl w:val="0"/>
        <w:tabs>
          <w:tab w:val="left" w:pos="6804"/>
        </w:tabs>
        <w:spacing w:before="0" w:after="0"/>
        <w:ind w:left="993" w:right="-1" w:hanging="426"/>
        <w:rPr>
          <w:rFonts w:ascii="Times New Roman" w:hAnsi="Times New Roman"/>
          <w:sz w:val="24"/>
          <w:lang w:val="pt-BR" w:eastAsia="x-none"/>
        </w:rPr>
      </w:pPr>
      <w:r w:rsidRPr="003C12AE">
        <w:rPr>
          <w:rFonts w:ascii="Times New Roman" w:hAnsi="Times New Roman"/>
          <w:sz w:val="24"/>
          <w:lang w:val="pt-BR" w:eastAsia="x-none"/>
        </w:rPr>
        <w:lastRenderedPageBreak/>
        <w:t xml:space="preserve">(c) </w:t>
      </w:r>
      <w:r w:rsidRPr="003C12AE">
        <w:rPr>
          <w:rFonts w:ascii="Times New Roman" w:hAnsi="Times New Roman"/>
          <w:sz w:val="24"/>
          <w:lang w:val="pt-BR" w:eastAsia="x-none"/>
        </w:rPr>
        <w:tab/>
        <w:t>informações sobre exposição ao risco de crédito da entidade (ou seja, o risco de crédito inerente aos ativos financeiros da entidade e os compromissos para ampliar o crédito), incluindo concentrações de risco de crédito significativas.</w:t>
      </w:r>
    </w:p>
    <w:p w14:paraId="2C5D5575"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13A43542" w14:textId="5A2FBBD1"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35C. A entidade não precisa duplicar informações que já estejam apresentadas em outro lugar, desde que as informações sejam incorporadas por referência cruzada das demonstrações contábeis com outras demonstrações, como, por exemplo, comentário da administração ou relatório de risco, que esteja disponível aos usuários das demonstrações contábeis nos mesmos termos que as demonstrações contábeis e na mesma época. Sem as informações incorporadas por referência cruzada, as demonstrações contábeis estão incompletas.</w:t>
      </w:r>
    </w:p>
    <w:p w14:paraId="1D9BF0F5"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0277A187" w14:textId="74452B2C"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35D. Para atender aos objetivos do item 35B, a entidade (exceto se especificado de outro modo) deve considerar quanto detalhe deve divulgar, quanta ênfase deve colocar em diferentes aspectos dos requisitos de divulgação, o nível apropriado de agregação ou desagregação e se os usuários das demonstrações contábeis precisam de explicações adicionais para avaliar as informações quantitativas divulgadas.</w:t>
      </w:r>
    </w:p>
    <w:p w14:paraId="427C6633"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3969882C" w14:textId="1C96268E"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35E. Se as divulgações feitas de acordo com os itens 35F a 35N forem insuficientes para atingir os objetivos do item 35B, a entidade deve divulgar informações adicionais necessárias para atingir esses objetivos.</w:t>
      </w:r>
    </w:p>
    <w:p w14:paraId="2099E211"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4A827719"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 xml:space="preserve">Práticas de gerenciamento de risco de crédito </w:t>
      </w:r>
    </w:p>
    <w:p w14:paraId="0A1FDA85"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r w:rsidRPr="003C12AE">
        <w:rPr>
          <w:rFonts w:ascii="Times New Roman" w:hAnsi="Times New Roman"/>
          <w:sz w:val="24"/>
          <w:lang w:val="pt-BR" w:eastAsia="x-none"/>
        </w:rPr>
        <w:t xml:space="preserve"> </w:t>
      </w:r>
    </w:p>
    <w:p w14:paraId="030ECB08"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 35F. A entidade deve explicar suas práticas de gerenciamento de risco de crédito e como elas se relacionam com o reconhecimento e a mensuração de perdas de crédito esperadas. Para atingir esse objetivo, a entidade deve divulgar informações que permitam aos usuários das demonstrações contábeis compreenderem e avaliarem: </w:t>
      </w:r>
    </w:p>
    <w:p w14:paraId="698F938C" w14:textId="77777777" w:rsidR="003C12AE" w:rsidRPr="003C12AE" w:rsidRDefault="003C12AE" w:rsidP="003C12AE">
      <w:pPr>
        <w:widowControl w:val="0"/>
        <w:tabs>
          <w:tab w:val="left" w:pos="6804"/>
        </w:tabs>
        <w:spacing w:before="0"/>
        <w:ind w:left="993" w:right="57"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como a entidade determinou se o risco de crédito de instrumentos financeiros aumentou, significativamente, desde o reconhecimento inicial, incluindo se e como: </w:t>
      </w:r>
    </w:p>
    <w:p w14:paraId="441C510E" w14:textId="77777777" w:rsidR="003C12AE" w:rsidRPr="003C12AE" w:rsidRDefault="003C12AE" w:rsidP="003C12AE">
      <w:pPr>
        <w:widowControl w:val="0"/>
        <w:tabs>
          <w:tab w:val="left" w:pos="6804"/>
        </w:tabs>
        <w:spacing w:before="0"/>
        <w:ind w:left="1418" w:right="57" w:hanging="425"/>
        <w:rPr>
          <w:rFonts w:ascii="Times New Roman" w:hAnsi="Times New Roman"/>
          <w:sz w:val="24"/>
          <w:lang w:val="pt-BR" w:eastAsia="x-none"/>
        </w:rPr>
      </w:pPr>
      <w:r w:rsidRPr="003C12AE">
        <w:rPr>
          <w:rFonts w:ascii="Times New Roman" w:hAnsi="Times New Roman"/>
          <w:sz w:val="24"/>
          <w:lang w:val="pt-BR" w:eastAsia="x-none"/>
        </w:rPr>
        <w:t xml:space="preserve">(i) </w:t>
      </w:r>
      <w:r w:rsidRPr="003C12AE">
        <w:rPr>
          <w:rFonts w:ascii="Times New Roman" w:hAnsi="Times New Roman"/>
          <w:sz w:val="24"/>
          <w:lang w:val="pt-BR" w:eastAsia="x-none"/>
        </w:rPr>
        <w:tab/>
        <w:t xml:space="preserve">os instrumentos financeiros são considerados como tendo baixo risco de crédito, de acordo com o item 5.5.10 do CPC 48, incluindo as classes de instrumentos financeiros aos quais eles se aplicam; e </w:t>
      </w:r>
    </w:p>
    <w:p w14:paraId="0D5E65D9" w14:textId="77777777" w:rsidR="003C12AE" w:rsidRPr="003C12AE" w:rsidRDefault="003C12AE" w:rsidP="003C12AE">
      <w:pPr>
        <w:widowControl w:val="0"/>
        <w:tabs>
          <w:tab w:val="left" w:pos="6804"/>
        </w:tabs>
        <w:spacing w:before="0"/>
        <w:ind w:left="1418" w:right="57" w:hanging="425"/>
        <w:rPr>
          <w:rFonts w:ascii="Times New Roman" w:hAnsi="Times New Roman"/>
          <w:sz w:val="24"/>
          <w:lang w:val="pt-BR" w:eastAsia="x-none"/>
        </w:rPr>
      </w:pPr>
      <w:r w:rsidRPr="003C12AE">
        <w:rPr>
          <w:rFonts w:ascii="Times New Roman" w:hAnsi="Times New Roman"/>
          <w:sz w:val="24"/>
          <w:lang w:val="pt-BR" w:eastAsia="x-none"/>
        </w:rPr>
        <w:t xml:space="preserve">(ii) </w:t>
      </w:r>
      <w:r w:rsidRPr="003C12AE">
        <w:rPr>
          <w:rFonts w:ascii="Times New Roman" w:hAnsi="Times New Roman"/>
          <w:sz w:val="24"/>
          <w:lang w:val="pt-BR" w:eastAsia="x-none"/>
        </w:rPr>
        <w:tab/>
        <w:t xml:space="preserve">foi refutada a suposição no item 5.5.11 do CPC 48 de que houve aumento significativo no risco de crédito desde o reconhecimento inicial, quando os ativos financeiros estiverem vencidos há mais de 30 dias; </w:t>
      </w:r>
    </w:p>
    <w:p w14:paraId="7975EE8D" w14:textId="77777777" w:rsidR="003C12AE" w:rsidRPr="003C12AE" w:rsidRDefault="003C12AE" w:rsidP="003C12AE">
      <w:pPr>
        <w:widowControl w:val="0"/>
        <w:tabs>
          <w:tab w:val="left" w:pos="6804"/>
        </w:tabs>
        <w:spacing w:before="0"/>
        <w:ind w:left="993" w:right="57"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 xml:space="preserve">definições de inadimplência da entidade, incluindo os motivos para a escolha dessas definições; </w:t>
      </w:r>
    </w:p>
    <w:p w14:paraId="3C4D8452" w14:textId="77777777" w:rsidR="003C12AE" w:rsidRPr="003C12AE" w:rsidRDefault="003C12AE" w:rsidP="003C12AE">
      <w:pPr>
        <w:widowControl w:val="0"/>
        <w:tabs>
          <w:tab w:val="left" w:pos="6804"/>
        </w:tabs>
        <w:spacing w:before="0"/>
        <w:ind w:left="993" w:right="57" w:hanging="426"/>
        <w:rPr>
          <w:rFonts w:ascii="Times New Roman" w:hAnsi="Times New Roman"/>
          <w:sz w:val="24"/>
          <w:lang w:val="pt-BR" w:eastAsia="x-none"/>
        </w:rPr>
      </w:pPr>
      <w:r w:rsidRPr="003C12AE">
        <w:rPr>
          <w:rFonts w:ascii="Times New Roman" w:hAnsi="Times New Roman"/>
          <w:sz w:val="24"/>
          <w:lang w:val="pt-BR" w:eastAsia="x-none"/>
        </w:rPr>
        <w:t xml:space="preserve">(c) </w:t>
      </w:r>
      <w:r w:rsidRPr="003C12AE">
        <w:rPr>
          <w:rFonts w:ascii="Times New Roman" w:hAnsi="Times New Roman"/>
          <w:sz w:val="24"/>
          <w:lang w:val="pt-BR" w:eastAsia="x-none"/>
        </w:rPr>
        <w:tab/>
        <w:t xml:space="preserve">como os instrumentos foram agrupados se as perdas de crédito esperadas foram mensuradas de forma coletiva; </w:t>
      </w:r>
    </w:p>
    <w:p w14:paraId="04DA0340" w14:textId="77777777" w:rsidR="003C12AE" w:rsidRPr="003C12AE" w:rsidRDefault="003C12AE" w:rsidP="003C12AE">
      <w:pPr>
        <w:widowControl w:val="0"/>
        <w:tabs>
          <w:tab w:val="left" w:pos="6804"/>
        </w:tabs>
        <w:spacing w:before="0"/>
        <w:ind w:left="993" w:right="57" w:hanging="426"/>
        <w:rPr>
          <w:rFonts w:ascii="Times New Roman" w:hAnsi="Times New Roman"/>
          <w:sz w:val="24"/>
          <w:lang w:val="pt-BR" w:eastAsia="x-none"/>
        </w:rPr>
      </w:pPr>
      <w:r w:rsidRPr="003C12AE">
        <w:rPr>
          <w:rFonts w:ascii="Times New Roman" w:hAnsi="Times New Roman"/>
          <w:sz w:val="24"/>
          <w:lang w:val="pt-BR" w:eastAsia="x-none"/>
        </w:rPr>
        <w:t xml:space="preserve">(d) </w:t>
      </w:r>
      <w:r w:rsidRPr="003C12AE">
        <w:rPr>
          <w:rFonts w:ascii="Times New Roman" w:hAnsi="Times New Roman"/>
          <w:sz w:val="24"/>
          <w:lang w:val="pt-BR" w:eastAsia="x-none"/>
        </w:rPr>
        <w:tab/>
        <w:t xml:space="preserve">como a entidade determinou que ativos financeiros são ativos financeiros com problemas de recuperação de crédito; </w:t>
      </w:r>
    </w:p>
    <w:p w14:paraId="3ABB7056" w14:textId="77777777" w:rsidR="003C12AE" w:rsidRPr="003C12AE" w:rsidRDefault="003C12AE" w:rsidP="003C12AE">
      <w:pPr>
        <w:widowControl w:val="0"/>
        <w:tabs>
          <w:tab w:val="left" w:pos="6804"/>
        </w:tabs>
        <w:spacing w:before="0"/>
        <w:ind w:left="993" w:right="57" w:hanging="426"/>
        <w:rPr>
          <w:rFonts w:ascii="Times New Roman" w:hAnsi="Times New Roman"/>
          <w:sz w:val="24"/>
          <w:lang w:val="pt-BR" w:eastAsia="x-none"/>
        </w:rPr>
      </w:pPr>
      <w:r w:rsidRPr="003C12AE">
        <w:rPr>
          <w:rFonts w:ascii="Times New Roman" w:hAnsi="Times New Roman"/>
          <w:sz w:val="24"/>
          <w:lang w:val="pt-BR" w:eastAsia="x-none"/>
        </w:rPr>
        <w:t xml:space="preserve">(e) </w:t>
      </w:r>
      <w:r w:rsidRPr="003C12AE">
        <w:rPr>
          <w:rFonts w:ascii="Times New Roman" w:hAnsi="Times New Roman"/>
          <w:sz w:val="24"/>
          <w:lang w:val="pt-BR" w:eastAsia="x-none"/>
        </w:rPr>
        <w:tab/>
        <w:t xml:space="preserve">a política de baixa da entidade, incluindo os indicadores de que não existe expectativa razoável </w:t>
      </w:r>
      <w:r w:rsidRPr="003C12AE">
        <w:rPr>
          <w:rFonts w:ascii="Times New Roman" w:hAnsi="Times New Roman"/>
          <w:sz w:val="24"/>
          <w:lang w:val="pt-BR" w:eastAsia="x-none"/>
        </w:rPr>
        <w:lastRenderedPageBreak/>
        <w:t xml:space="preserve">de recuperação e informações sobre a política para ativos financeiros que são baixados, mas que ainda estão sujeitos à atividade de aplicação; e </w:t>
      </w:r>
    </w:p>
    <w:p w14:paraId="43D17506" w14:textId="77777777" w:rsidR="003C12AE" w:rsidRPr="003C12AE" w:rsidRDefault="003C12AE" w:rsidP="003C12AE">
      <w:pPr>
        <w:widowControl w:val="0"/>
        <w:tabs>
          <w:tab w:val="left" w:pos="6804"/>
        </w:tabs>
        <w:spacing w:before="2" w:line="250" w:lineRule="auto"/>
        <w:ind w:left="993" w:right="57" w:hanging="426"/>
        <w:rPr>
          <w:rFonts w:ascii="Times New Roman" w:hAnsi="Times New Roman"/>
          <w:sz w:val="24"/>
          <w:lang w:val="pt-BR" w:eastAsia="x-none"/>
        </w:rPr>
      </w:pPr>
      <w:r w:rsidRPr="003C12AE">
        <w:rPr>
          <w:rFonts w:ascii="Times New Roman" w:hAnsi="Times New Roman"/>
          <w:sz w:val="24"/>
          <w:lang w:val="pt-BR" w:eastAsia="x-none"/>
        </w:rPr>
        <w:t xml:space="preserve">(f) </w:t>
      </w:r>
      <w:r w:rsidRPr="003C12AE">
        <w:rPr>
          <w:rFonts w:ascii="Times New Roman" w:hAnsi="Times New Roman"/>
          <w:sz w:val="24"/>
          <w:lang w:val="pt-BR" w:eastAsia="x-none"/>
        </w:rPr>
        <w:tab/>
        <w:t xml:space="preserve">como os requisitos do item 5.5.12 do CPC 48, para a modificação dos fluxos de caixa contratuais de ativos financeiros, foram aplicados, incluindo como a entidade: </w:t>
      </w:r>
    </w:p>
    <w:p w14:paraId="55834297" w14:textId="77777777" w:rsidR="003C12AE" w:rsidRPr="003C12AE" w:rsidRDefault="003C12AE" w:rsidP="003C12AE">
      <w:pPr>
        <w:widowControl w:val="0"/>
        <w:tabs>
          <w:tab w:val="left" w:pos="6804"/>
        </w:tabs>
        <w:spacing w:before="2" w:line="250" w:lineRule="auto"/>
        <w:ind w:left="1418" w:right="57" w:hanging="425"/>
        <w:rPr>
          <w:rFonts w:ascii="Times New Roman" w:hAnsi="Times New Roman"/>
          <w:sz w:val="24"/>
          <w:lang w:val="pt-BR" w:eastAsia="x-none"/>
        </w:rPr>
      </w:pPr>
      <w:r w:rsidRPr="003C12AE">
        <w:rPr>
          <w:rFonts w:ascii="Times New Roman" w:hAnsi="Times New Roman"/>
          <w:sz w:val="24"/>
          <w:lang w:val="pt-BR" w:eastAsia="x-none"/>
        </w:rPr>
        <w:t xml:space="preserve">(i) </w:t>
      </w:r>
      <w:r w:rsidRPr="003C12AE">
        <w:rPr>
          <w:rFonts w:ascii="Times New Roman" w:hAnsi="Times New Roman"/>
          <w:sz w:val="24"/>
          <w:lang w:val="pt-BR" w:eastAsia="x-none"/>
        </w:rPr>
        <w:tab/>
        <w:t xml:space="preserve">determina se o risco de crédito sobre o ativo financeiro que foi modificado, enquanto a provisão para perdas foi mensurada pelo valor equivalente às perdas permanentes de crédito esperadas, melhorou na medida em que a provisão para perdas é revertida para ser mensurada pelo valor equivalente a perdas de crédito esperadas para 12 meses, de acordo com o item 5.5.5 do CPC 48; e </w:t>
      </w:r>
    </w:p>
    <w:p w14:paraId="279E8BC6" w14:textId="4751DAE5" w:rsidR="003C12AE" w:rsidRPr="003C12AE" w:rsidRDefault="003C12AE" w:rsidP="003C12AE">
      <w:pPr>
        <w:widowControl w:val="0"/>
        <w:tabs>
          <w:tab w:val="left" w:pos="6804"/>
        </w:tabs>
        <w:spacing w:before="0" w:after="0"/>
        <w:ind w:left="1417" w:hanging="425"/>
        <w:rPr>
          <w:rFonts w:ascii="Times New Roman" w:hAnsi="Times New Roman"/>
          <w:sz w:val="24"/>
          <w:lang w:val="pt-BR" w:eastAsia="x-none"/>
        </w:rPr>
      </w:pPr>
      <w:r w:rsidRPr="003C12AE">
        <w:rPr>
          <w:rFonts w:ascii="Times New Roman" w:hAnsi="Times New Roman"/>
          <w:sz w:val="24"/>
          <w:lang w:val="pt-BR" w:eastAsia="x-none"/>
        </w:rPr>
        <w:t xml:space="preserve">(ii) </w:t>
      </w:r>
      <w:r w:rsidRPr="003C12AE">
        <w:rPr>
          <w:rFonts w:ascii="Times New Roman" w:hAnsi="Times New Roman"/>
          <w:sz w:val="24"/>
          <w:lang w:val="pt-BR" w:eastAsia="x-none"/>
        </w:rPr>
        <w:tab/>
        <w:t>monitora a extensão pela qual a provisão para perdas sobre ativos financeiros que atendem aos critérios do inciso (i) é subsequentemente remensurada pelo valor equivalente às perdas permanentes de crédito esperadas de acordo com o item 5.5.3 do CPC 48.</w:t>
      </w:r>
    </w:p>
    <w:p w14:paraId="0864FA82"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24EAFCF5"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35G. A entidade deve explicar as informações, premissas e técnicas de estimativa utilizadas para aplicar os requisitos da Seção 5.5 do CPC 48. Para esse fim, a entidade deve divulgar: </w:t>
      </w:r>
    </w:p>
    <w:p w14:paraId="65F71187"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a base das informações, premissas e técnicas de estimativa utilizadas para: </w:t>
      </w:r>
    </w:p>
    <w:p w14:paraId="52684FAB" w14:textId="77777777" w:rsidR="003C12AE" w:rsidRPr="003C12AE" w:rsidRDefault="003C12AE" w:rsidP="003C12AE">
      <w:pPr>
        <w:widowControl w:val="0"/>
        <w:tabs>
          <w:tab w:val="left" w:pos="6804"/>
        </w:tabs>
        <w:spacing w:before="0"/>
        <w:ind w:left="1418" w:hanging="425"/>
        <w:rPr>
          <w:rFonts w:ascii="Times New Roman" w:hAnsi="Times New Roman"/>
          <w:sz w:val="24"/>
          <w:lang w:val="pt-BR" w:eastAsia="x-none"/>
        </w:rPr>
      </w:pPr>
      <w:r w:rsidRPr="003C12AE">
        <w:rPr>
          <w:rFonts w:ascii="Times New Roman" w:hAnsi="Times New Roman"/>
          <w:sz w:val="24"/>
          <w:lang w:val="pt-BR" w:eastAsia="x-none"/>
        </w:rPr>
        <w:t xml:space="preserve">(i) </w:t>
      </w:r>
      <w:r w:rsidRPr="003C12AE">
        <w:rPr>
          <w:rFonts w:ascii="Times New Roman" w:hAnsi="Times New Roman"/>
          <w:sz w:val="24"/>
          <w:lang w:val="pt-BR" w:eastAsia="x-none"/>
        </w:rPr>
        <w:tab/>
        <w:t xml:space="preserve">mensurar as perdas permanentes de crédito esperadas e as perdas de crédito esperadas para 12 meses; </w:t>
      </w:r>
    </w:p>
    <w:p w14:paraId="06C534FB" w14:textId="77777777" w:rsidR="003C12AE" w:rsidRPr="003C12AE" w:rsidRDefault="003C12AE" w:rsidP="003C12AE">
      <w:pPr>
        <w:widowControl w:val="0"/>
        <w:tabs>
          <w:tab w:val="left" w:pos="6804"/>
        </w:tabs>
        <w:spacing w:before="0"/>
        <w:ind w:left="1418" w:hanging="425"/>
        <w:rPr>
          <w:rFonts w:ascii="Times New Roman" w:hAnsi="Times New Roman"/>
          <w:sz w:val="24"/>
          <w:lang w:val="pt-BR" w:eastAsia="x-none"/>
        </w:rPr>
      </w:pPr>
      <w:r w:rsidRPr="003C12AE">
        <w:rPr>
          <w:rFonts w:ascii="Times New Roman" w:hAnsi="Times New Roman"/>
          <w:sz w:val="24"/>
          <w:lang w:val="pt-BR" w:eastAsia="x-none"/>
        </w:rPr>
        <w:t xml:space="preserve">(ii) </w:t>
      </w:r>
      <w:r w:rsidRPr="003C12AE">
        <w:rPr>
          <w:rFonts w:ascii="Times New Roman" w:hAnsi="Times New Roman"/>
          <w:sz w:val="24"/>
          <w:lang w:val="pt-BR" w:eastAsia="x-none"/>
        </w:rPr>
        <w:tab/>
        <w:t xml:space="preserve">determinar se o risco de crédito de instrumentos financeiros aumentou, significativamente, desde o reconhecimento inicial; e </w:t>
      </w:r>
    </w:p>
    <w:p w14:paraId="568E3D33" w14:textId="77777777" w:rsidR="003C12AE" w:rsidRPr="003C12AE" w:rsidRDefault="003C12AE" w:rsidP="003C12AE">
      <w:pPr>
        <w:widowControl w:val="0"/>
        <w:tabs>
          <w:tab w:val="left" w:pos="6804"/>
        </w:tabs>
        <w:spacing w:before="0"/>
        <w:ind w:left="1418" w:hanging="425"/>
        <w:rPr>
          <w:rFonts w:ascii="Times New Roman" w:hAnsi="Times New Roman"/>
          <w:sz w:val="24"/>
          <w:lang w:val="pt-BR" w:eastAsia="x-none"/>
        </w:rPr>
      </w:pPr>
      <w:r w:rsidRPr="003C12AE">
        <w:rPr>
          <w:rFonts w:ascii="Times New Roman" w:hAnsi="Times New Roman"/>
          <w:sz w:val="24"/>
          <w:lang w:val="pt-BR" w:eastAsia="x-none"/>
        </w:rPr>
        <w:t xml:space="preserve">(iii) </w:t>
      </w:r>
      <w:r w:rsidRPr="003C12AE">
        <w:rPr>
          <w:rFonts w:ascii="Times New Roman" w:hAnsi="Times New Roman"/>
          <w:sz w:val="24"/>
          <w:lang w:val="pt-BR" w:eastAsia="x-none"/>
        </w:rPr>
        <w:tab/>
        <w:t xml:space="preserve">determinar se o ativo financeiro é ativo financeiro com problemas de recuperação de crédito; </w:t>
      </w:r>
    </w:p>
    <w:p w14:paraId="29CEBA53"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 xml:space="preserve">como informações com vistas ao futuro foram incorporadas na determinação de perdas de crédito esperadas, incluindo o uso de informações macroeconômicas; e </w:t>
      </w:r>
    </w:p>
    <w:p w14:paraId="7ACED219" w14:textId="2A475DB5" w:rsidR="003C12AE" w:rsidRPr="003C12AE" w:rsidRDefault="003C12AE" w:rsidP="003C12AE">
      <w:pPr>
        <w:widowControl w:val="0"/>
        <w:tabs>
          <w:tab w:val="left" w:pos="6804"/>
        </w:tabs>
        <w:spacing w:before="2" w:after="2" w:line="250" w:lineRule="auto"/>
        <w:ind w:left="993" w:right="-1" w:hanging="426"/>
        <w:rPr>
          <w:rFonts w:ascii="Times New Roman" w:hAnsi="Times New Roman"/>
          <w:sz w:val="24"/>
          <w:lang w:val="pt-BR" w:eastAsia="x-none"/>
        </w:rPr>
      </w:pPr>
      <w:r w:rsidRPr="003C12AE">
        <w:rPr>
          <w:rFonts w:ascii="Times New Roman" w:hAnsi="Times New Roman"/>
          <w:sz w:val="24"/>
          <w:lang w:val="pt-BR" w:eastAsia="x-none"/>
        </w:rPr>
        <w:t xml:space="preserve">(c) </w:t>
      </w:r>
      <w:r w:rsidRPr="003C12AE">
        <w:rPr>
          <w:rFonts w:ascii="Times New Roman" w:hAnsi="Times New Roman"/>
          <w:sz w:val="24"/>
          <w:lang w:val="pt-BR" w:eastAsia="x-none"/>
        </w:rPr>
        <w:tab/>
        <w:t>alterações nas técnicas de estimativa ou premissas significativas ocorridas durante o período de relatório e os motivos dessas alterações.</w:t>
      </w:r>
    </w:p>
    <w:p w14:paraId="6B5F0204"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36DD33E3"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Informações qualitativas e quantitativas sobre valores resultantes de perdas de crédito esperadas</w:t>
      </w:r>
    </w:p>
    <w:p w14:paraId="5F1C5C9C"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5E19C202"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35H. Para explicar as alterações na provisão para perdas e os motivos dessas alterações, a entidade deve fornecer conciliação, por classe de instrumentos financeiros, desde o saldo de abertura até o saldo final da provisão para perdas, em tabela, indicando, separadamente, as alterações durante o período: </w:t>
      </w:r>
    </w:p>
    <w:p w14:paraId="1D34B1CD"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da provisão para perdas mensurada pelo valor equivalente a perdas de crédito esperadas para 12 meses; </w:t>
      </w:r>
    </w:p>
    <w:p w14:paraId="0995CE9B"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 xml:space="preserve">da provisão para perdas mensurada pelo valor equivalente a perdas permanentes de crédito esperadas para: </w:t>
      </w:r>
    </w:p>
    <w:p w14:paraId="5323CE93" w14:textId="77777777" w:rsidR="003C12AE" w:rsidRPr="003C12AE" w:rsidRDefault="003C12AE" w:rsidP="003C12AE">
      <w:pPr>
        <w:widowControl w:val="0"/>
        <w:tabs>
          <w:tab w:val="left" w:pos="6804"/>
        </w:tabs>
        <w:spacing w:before="0"/>
        <w:ind w:left="1418" w:hanging="425"/>
        <w:rPr>
          <w:rFonts w:ascii="Times New Roman" w:hAnsi="Times New Roman"/>
          <w:sz w:val="24"/>
          <w:lang w:val="pt-BR" w:eastAsia="x-none"/>
        </w:rPr>
      </w:pPr>
      <w:r w:rsidRPr="003C12AE">
        <w:rPr>
          <w:rFonts w:ascii="Times New Roman" w:hAnsi="Times New Roman"/>
          <w:sz w:val="24"/>
          <w:lang w:val="pt-BR" w:eastAsia="x-none"/>
        </w:rPr>
        <w:t xml:space="preserve">(i) </w:t>
      </w:r>
      <w:r w:rsidRPr="003C12AE">
        <w:rPr>
          <w:rFonts w:ascii="Times New Roman" w:hAnsi="Times New Roman"/>
          <w:sz w:val="24"/>
          <w:lang w:val="pt-BR" w:eastAsia="x-none"/>
        </w:rPr>
        <w:tab/>
        <w:t xml:space="preserve">instrumentos financeiros para os quais o risco de crédito aumentou, significativamente, desde o reconhecimento inicial, mas que não são ativos financeiros com problemas de recuperação de crédito; </w:t>
      </w:r>
    </w:p>
    <w:p w14:paraId="1FB8B512" w14:textId="77777777" w:rsidR="003C12AE" w:rsidRPr="003C12AE" w:rsidRDefault="003C12AE" w:rsidP="003C12AE">
      <w:pPr>
        <w:widowControl w:val="0"/>
        <w:tabs>
          <w:tab w:val="left" w:pos="6804"/>
        </w:tabs>
        <w:spacing w:before="0"/>
        <w:ind w:left="1418" w:hanging="425"/>
        <w:rPr>
          <w:rFonts w:ascii="Times New Roman" w:hAnsi="Times New Roman"/>
          <w:sz w:val="24"/>
          <w:lang w:val="pt-BR" w:eastAsia="x-none"/>
        </w:rPr>
      </w:pPr>
      <w:r w:rsidRPr="003C12AE">
        <w:rPr>
          <w:rFonts w:ascii="Times New Roman" w:hAnsi="Times New Roman"/>
          <w:sz w:val="24"/>
          <w:lang w:val="pt-BR" w:eastAsia="x-none"/>
        </w:rPr>
        <w:lastRenderedPageBreak/>
        <w:t xml:space="preserve">(ii) </w:t>
      </w:r>
      <w:r w:rsidRPr="003C12AE">
        <w:rPr>
          <w:rFonts w:ascii="Times New Roman" w:hAnsi="Times New Roman"/>
          <w:sz w:val="24"/>
          <w:lang w:val="pt-BR" w:eastAsia="x-none"/>
        </w:rPr>
        <w:tab/>
        <w:t xml:space="preserve">ativos financeiros que apresentam problemas de recuperação de crédito na data do relatório (mas que não foram comprados ou originados com problemas de recuperação de crédito); e </w:t>
      </w:r>
    </w:p>
    <w:p w14:paraId="0C073AF3" w14:textId="77777777" w:rsidR="003C12AE" w:rsidRPr="003C12AE" w:rsidRDefault="003C12AE" w:rsidP="003C12AE">
      <w:pPr>
        <w:widowControl w:val="0"/>
        <w:tabs>
          <w:tab w:val="left" w:pos="6804"/>
        </w:tabs>
        <w:spacing w:before="0"/>
        <w:ind w:left="1418" w:hanging="425"/>
        <w:rPr>
          <w:rFonts w:ascii="Times New Roman" w:hAnsi="Times New Roman"/>
          <w:sz w:val="24"/>
          <w:lang w:val="pt-BR" w:eastAsia="x-none"/>
        </w:rPr>
      </w:pPr>
      <w:r w:rsidRPr="003C12AE">
        <w:rPr>
          <w:rFonts w:ascii="Times New Roman" w:hAnsi="Times New Roman"/>
          <w:sz w:val="24"/>
          <w:lang w:val="pt-BR" w:eastAsia="x-none"/>
        </w:rPr>
        <w:t xml:space="preserve">(iii) </w:t>
      </w:r>
      <w:r w:rsidRPr="003C12AE">
        <w:rPr>
          <w:rFonts w:ascii="Times New Roman" w:hAnsi="Times New Roman"/>
          <w:sz w:val="24"/>
          <w:lang w:val="pt-BR" w:eastAsia="x-none"/>
        </w:rPr>
        <w:tab/>
        <w:t xml:space="preserve">contas a receber de clientes, ativos contratuais ou recebíveis de arrendamento para os quais as provisões para perdas são mensuradas de acordo com o item 5.5.15 do CPC 48; </w:t>
      </w:r>
    </w:p>
    <w:p w14:paraId="0C6D33BA" w14:textId="0EE2AC6B" w:rsidR="003C12AE" w:rsidRPr="003C12AE" w:rsidRDefault="003C12AE" w:rsidP="003C12AE">
      <w:pPr>
        <w:widowControl w:val="0"/>
        <w:tabs>
          <w:tab w:val="left" w:pos="6804"/>
        </w:tabs>
        <w:spacing w:before="0" w:after="0"/>
        <w:ind w:left="993" w:right="-1" w:hanging="426"/>
        <w:rPr>
          <w:rFonts w:ascii="Times New Roman" w:hAnsi="Times New Roman"/>
          <w:sz w:val="24"/>
          <w:lang w:val="pt-BR" w:eastAsia="x-none"/>
        </w:rPr>
      </w:pPr>
      <w:r w:rsidRPr="003C12AE">
        <w:rPr>
          <w:rFonts w:ascii="Times New Roman" w:hAnsi="Times New Roman"/>
          <w:sz w:val="24"/>
          <w:lang w:val="pt-BR" w:eastAsia="x-none"/>
        </w:rPr>
        <w:t xml:space="preserve">(c) </w:t>
      </w:r>
      <w:r w:rsidRPr="003C12AE">
        <w:rPr>
          <w:rFonts w:ascii="Times New Roman" w:hAnsi="Times New Roman"/>
          <w:sz w:val="24"/>
          <w:lang w:val="pt-BR" w:eastAsia="x-none"/>
        </w:rPr>
        <w:tab/>
        <w:t>ativos financeiros comprados ou originados com problemas de recuperação de crédito. Além da conciliação, a entidade deve divulgar o valor total das perdas de crédito esperadas não descontadas no reconhecimento inicial sobre ativos financeiros inicialmente reconhecidos durante o período de relatório.</w:t>
      </w:r>
    </w:p>
    <w:p w14:paraId="546629EE"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6E63749D"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35I. Para permitir que os usuários das demonstrações contábeis compreendam as alterações na provisão para perdas divulgadas de acordo com o item 35H, a entidade deve fornecer explicação sobre como as alterações significativas no valor contábil bruto de instrumentos financeiros durante o período contribuíram para as alterações na provisão para perdas. As informações devem ser fornecidas separadamente para instrumentos financeiros que representam a provisão para perdas, conforme indicado no item 35H(a) a (c), e devem incluir informações qualitativas e quantitativas pertinentes. Exemplos de alterações no valor contábil bruto de instrumentos financeiros, que contribuíram para alterações na provisão para perdas, podem incluir: </w:t>
      </w:r>
    </w:p>
    <w:p w14:paraId="787D8D1D"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alterações decorrentes de instrumentos financeiros originados ou adquiridos durante o período de relatório; </w:t>
      </w:r>
    </w:p>
    <w:p w14:paraId="039B88E6"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 xml:space="preserve">modificação dos fluxos de caixa contratuais sobre ativos financeiros, que não resultam em desreconhecimento desses ativos financeiros de acordo com o CPC 48; </w:t>
      </w:r>
    </w:p>
    <w:p w14:paraId="00DFA0AC"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(c) </w:t>
      </w:r>
      <w:r w:rsidRPr="003C12AE">
        <w:rPr>
          <w:rFonts w:ascii="Times New Roman" w:hAnsi="Times New Roman"/>
          <w:sz w:val="24"/>
          <w:lang w:val="pt-BR" w:eastAsia="x-none"/>
        </w:rPr>
        <w:tab/>
        <w:t xml:space="preserve">alterações decorrentes de instrumentos financeiros que foram desreconhecidos (incluindo aqueles que foram baixados) durante o período de relatório; e </w:t>
      </w:r>
    </w:p>
    <w:p w14:paraId="1E23940B" w14:textId="28FD392C" w:rsidR="003C12AE" w:rsidRPr="003C12AE" w:rsidRDefault="003C12AE" w:rsidP="003C12AE">
      <w:pPr>
        <w:widowControl w:val="0"/>
        <w:tabs>
          <w:tab w:val="left" w:pos="6804"/>
        </w:tabs>
        <w:spacing w:before="0" w:after="0"/>
        <w:ind w:left="993" w:right="-1" w:hanging="426"/>
        <w:rPr>
          <w:rFonts w:ascii="Times New Roman" w:hAnsi="Times New Roman"/>
          <w:sz w:val="24"/>
          <w:lang w:val="pt-BR" w:eastAsia="x-none"/>
        </w:rPr>
      </w:pPr>
      <w:r w:rsidRPr="003C12AE">
        <w:rPr>
          <w:rFonts w:ascii="Times New Roman" w:hAnsi="Times New Roman"/>
          <w:sz w:val="24"/>
          <w:lang w:val="pt-BR" w:eastAsia="x-none"/>
        </w:rPr>
        <w:t xml:space="preserve">(d) </w:t>
      </w:r>
      <w:r w:rsidRPr="003C12AE">
        <w:rPr>
          <w:rFonts w:ascii="Times New Roman" w:hAnsi="Times New Roman"/>
          <w:sz w:val="24"/>
          <w:lang w:val="pt-BR" w:eastAsia="x-none"/>
        </w:rPr>
        <w:tab/>
        <w:t>alterações que ocorrem se a provisão para perdas é mensurada pelo valor equivalente a perdas de crédito esperadas para 12 meses ou a perdas permanentes de crédito esperadas.</w:t>
      </w:r>
    </w:p>
    <w:p w14:paraId="55F32E42"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6D426B29"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35J. Para permitir aos usuários das demonstrações contábeis compreenderem a natureza e o efeito de modificações dos fluxos de caixa contratuais sobre ativos financeiros, que não resultaram em desreconhecimento, e o efeito dessas modificações na mensuração de perdas de crédito esperadas, a entidade deve divulgar: </w:t>
      </w:r>
    </w:p>
    <w:p w14:paraId="2815E980"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o custo amortizado antes da modificação e o ganho ou a perda líquida na modificação reconhecidos para ativos financeiros para os quais os fluxos de caixa contratuais foram modificados durante o período de relatório, enquanto tinham provisão para perdas mensurada pelo valor equivalente às perdas permanentes de crédito esperadas; e </w:t>
      </w:r>
    </w:p>
    <w:p w14:paraId="6BAB92AA" w14:textId="15871E96" w:rsidR="003C12AE" w:rsidRPr="003C12AE" w:rsidRDefault="003C12AE" w:rsidP="003C12AE">
      <w:pPr>
        <w:widowControl w:val="0"/>
        <w:tabs>
          <w:tab w:val="left" w:pos="6804"/>
        </w:tabs>
        <w:spacing w:before="0" w:after="0"/>
        <w:ind w:left="993" w:right="-1"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o valor contábil bruto no final do período de relatório de ativos financeiros, que foram modificados, desde o reconhecimento inicial na época em que a provisão para perdas foi mensurada, para o valor equivalente às perdas permanentes de crédito esperadas e para os quais a provisão para perdas mudou durante o período de relatório para o valor equivalente a perdas de crédito esperadas para 12 meses.</w:t>
      </w:r>
    </w:p>
    <w:p w14:paraId="30266252"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4B96A041"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lastRenderedPageBreak/>
        <w:t xml:space="preserve">35K. Para permitir aos usuários das demonstrações contábeis compreenderem o efeito da garantia e outras melhorias de crédito sobre os valores resultantes de perdas de crédito esperadas, a entidade deve divulgar, por classe de instrumento financeiro: </w:t>
      </w:r>
    </w:p>
    <w:p w14:paraId="6C8ECDDA"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o valor que melhor representa sua exposição máxima ao risco de crédito ao final do período de relatório, sem levar em consideração qualquer garantia detida ou outra melhoria de crédito (por exemplo, acordos de compensação que não se qualifiquem para compensação, de acordo com o CPC 39);</w:t>
      </w:r>
    </w:p>
    <w:p w14:paraId="3D7C2825"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 xml:space="preserve">a descrição narrativa da garantia detida e outras melhorias de crédito, incluindo: </w:t>
      </w:r>
    </w:p>
    <w:p w14:paraId="5F1CE855" w14:textId="77777777" w:rsidR="003C12AE" w:rsidRPr="003C12AE" w:rsidRDefault="003C12AE" w:rsidP="003C12AE">
      <w:pPr>
        <w:widowControl w:val="0"/>
        <w:tabs>
          <w:tab w:val="left" w:pos="6804"/>
        </w:tabs>
        <w:spacing w:before="0"/>
        <w:ind w:left="1418" w:hanging="425"/>
        <w:rPr>
          <w:rFonts w:ascii="Times New Roman" w:hAnsi="Times New Roman"/>
          <w:sz w:val="24"/>
          <w:lang w:val="pt-BR" w:eastAsia="x-none"/>
        </w:rPr>
      </w:pPr>
      <w:r w:rsidRPr="003C12AE">
        <w:rPr>
          <w:rFonts w:ascii="Times New Roman" w:hAnsi="Times New Roman"/>
          <w:sz w:val="24"/>
          <w:lang w:val="pt-BR" w:eastAsia="x-none"/>
        </w:rPr>
        <w:t xml:space="preserve">(i) </w:t>
      </w:r>
      <w:r w:rsidRPr="003C12AE">
        <w:rPr>
          <w:rFonts w:ascii="Times New Roman" w:hAnsi="Times New Roman"/>
          <w:sz w:val="24"/>
          <w:lang w:val="pt-BR" w:eastAsia="x-none"/>
        </w:rPr>
        <w:tab/>
        <w:t xml:space="preserve">descrição da natureza e qualidade da garantia detida; </w:t>
      </w:r>
    </w:p>
    <w:p w14:paraId="7309FD5C" w14:textId="77777777" w:rsidR="003C12AE" w:rsidRPr="003C12AE" w:rsidRDefault="003C12AE" w:rsidP="003C12AE">
      <w:pPr>
        <w:widowControl w:val="0"/>
        <w:tabs>
          <w:tab w:val="left" w:pos="6804"/>
        </w:tabs>
        <w:spacing w:before="0"/>
        <w:ind w:left="1418" w:hanging="425"/>
        <w:rPr>
          <w:rFonts w:ascii="Times New Roman" w:hAnsi="Times New Roman"/>
          <w:sz w:val="24"/>
          <w:lang w:val="pt-BR" w:eastAsia="x-none"/>
        </w:rPr>
      </w:pPr>
      <w:r w:rsidRPr="003C12AE">
        <w:rPr>
          <w:rFonts w:ascii="Times New Roman" w:hAnsi="Times New Roman"/>
          <w:sz w:val="24"/>
          <w:lang w:val="pt-BR" w:eastAsia="x-none"/>
        </w:rPr>
        <w:t xml:space="preserve">(ii) </w:t>
      </w:r>
      <w:r w:rsidRPr="003C12AE">
        <w:rPr>
          <w:rFonts w:ascii="Times New Roman" w:hAnsi="Times New Roman"/>
          <w:sz w:val="24"/>
          <w:lang w:val="pt-BR" w:eastAsia="x-none"/>
        </w:rPr>
        <w:tab/>
        <w:t xml:space="preserve">explicação de quaisquer alterações significativas na qualidade dessa garantia ou melhorias de crédito como resultado de deterioração ou alterações nas políticas de garantia da entidade durante o período de relatório; e </w:t>
      </w:r>
    </w:p>
    <w:p w14:paraId="6149B59F" w14:textId="77777777" w:rsidR="003C12AE" w:rsidRPr="003C12AE" w:rsidRDefault="003C12AE" w:rsidP="003C12AE">
      <w:pPr>
        <w:widowControl w:val="0"/>
        <w:tabs>
          <w:tab w:val="left" w:pos="6804"/>
        </w:tabs>
        <w:spacing w:before="0"/>
        <w:ind w:left="1418" w:hanging="425"/>
        <w:rPr>
          <w:rFonts w:ascii="Times New Roman" w:hAnsi="Times New Roman"/>
          <w:sz w:val="24"/>
          <w:lang w:val="pt-BR" w:eastAsia="x-none"/>
        </w:rPr>
      </w:pPr>
      <w:r w:rsidRPr="003C12AE">
        <w:rPr>
          <w:rFonts w:ascii="Times New Roman" w:hAnsi="Times New Roman"/>
          <w:sz w:val="24"/>
          <w:lang w:val="pt-BR" w:eastAsia="x-none"/>
        </w:rPr>
        <w:t xml:space="preserve">(iii) </w:t>
      </w:r>
      <w:r w:rsidRPr="003C12AE">
        <w:rPr>
          <w:rFonts w:ascii="Times New Roman" w:hAnsi="Times New Roman"/>
          <w:sz w:val="24"/>
          <w:lang w:val="pt-BR" w:eastAsia="x-none"/>
        </w:rPr>
        <w:tab/>
        <w:t>informações sobre instrumentos financeiros para os quais a entidade não reconheceu provisão para perdas devido à garantia;</w:t>
      </w:r>
    </w:p>
    <w:p w14:paraId="63C970B2" w14:textId="7BAD0C8C" w:rsidR="003C12AE" w:rsidRPr="003C12AE" w:rsidRDefault="003C12AE" w:rsidP="003C12AE">
      <w:pPr>
        <w:widowControl w:val="0"/>
        <w:tabs>
          <w:tab w:val="left" w:pos="6804"/>
        </w:tabs>
        <w:spacing w:before="0" w:after="0"/>
        <w:ind w:left="993" w:right="-1" w:hanging="426"/>
        <w:rPr>
          <w:rFonts w:ascii="Times New Roman" w:hAnsi="Times New Roman"/>
          <w:sz w:val="24"/>
          <w:lang w:val="pt-BR" w:eastAsia="x-none"/>
        </w:rPr>
      </w:pPr>
      <w:r w:rsidRPr="003C12AE">
        <w:rPr>
          <w:rFonts w:ascii="Times New Roman" w:hAnsi="Times New Roman"/>
          <w:sz w:val="24"/>
          <w:lang w:val="pt-BR" w:eastAsia="x-none"/>
        </w:rPr>
        <w:t xml:space="preserve">(c) </w:t>
      </w:r>
      <w:r w:rsidRPr="003C12AE">
        <w:rPr>
          <w:rFonts w:ascii="Times New Roman" w:hAnsi="Times New Roman"/>
          <w:sz w:val="24"/>
          <w:lang w:val="pt-BR" w:eastAsia="x-none"/>
        </w:rPr>
        <w:tab/>
        <w:t>informações quantitativas sobre a garantia detida e outras melhorias de crédito (por exemplo, quantificação da extensão em que a garantia e outras melhorias de crédito reduzem o risco de crédito) para ativos financeiros que apresentam problemas de recuperação de crédito na data do relatório.</w:t>
      </w:r>
    </w:p>
    <w:p w14:paraId="41F557FF"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7C3DAAB9" w14:textId="38C74F92"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35L. A entidade deve divulgar o valor contratual em aberto em ativos financeiros, que foram baixados durante o período de relatório e ainda estão sujeitos à atividade de execução.</w:t>
      </w:r>
    </w:p>
    <w:p w14:paraId="64CB7A49"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6D1F1EC1"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Exposição a risco de crédito</w:t>
      </w:r>
    </w:p>
    <w:p w14:paraId="5DEBC2F4"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38A2F9C3"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35M. Para permitir aos usuários das demonstrações contábeis avaliarem a exposição ao risco de crédito da entidade e compreenderem suas concentrações de risco de crédito significativas, a entidade deve divulgar, por graus de classificação de risco, o valor contábil bruto de ativos financeiros e a exposição a risco de crédito em compromissos de empréstimo e contratos de garantia financeira. Essas informações devem ser fornecidas, separadamente, para instrumentos financeiros: </w:t>
      </w:r>
    </w:p>
    <w:p w14:paraId="5F546FA0"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(a) </w:t>
      </w:r>
      <w:r w:rsidRPr="003C12AE">
        <w:rPr>
          <w:rFonts w:ascii="Times New Roman" w:hAnsi="Times New Roman"/>
          <w:sz w:val="24"/>
          <w:lang w:val="pt-BR" w:eastAsia="x-none"/>
        </w:rPr>
        <w:tab/>
        <w:t xml:space="preserve">para os quais a provisão para perdas é mensurada pelo valor equivalente a perdas de crédito esperadas para 12 meses; </w:t>
      </w:r>
    </w:p>
    <w:p w14:paraId="454B3965" w14:textId="77777777" w:rsidR="003C12AE" w:rsidRPr="003C12AE" w:rsidRDefault="003C12AE" w:rsidP="003C12AE">
      <w:pPr>
        <w:widowControl w:val="0"/>
        <w:tabs>
          <w:tab w:val="left" w:pos="6804"/>
        </w:tabs>
        <w:spacing w:before="0"/>
        <w:ind w:left="993" w:hanging="426"/>
        <w:rPr>
          <w:rFonts w:ascii="Times New Roman" w:hAnsi="Times New Roman"/>
          <w:sz w:val="24"/>
          <w:lang w:val="pt-BR" w:eastAsia="x-none"/>
        </w:rPr>
      </w:pPr>
      <w:r w:rsidRPr="003C12AE">
        <w:rPr>
          <w:rFonts w:ascii="Times New Roman" w:hAnsi="Times New Roman"/>
          <w:sz w:val="24"/>
          <w:lang w:val="pt-BR" w:eastAsia="x-none"/>
        </w:rPr>
        <w:t xml:space="preserve">(b) </w:t>
      </w:r>
      <w:r w:rsidRPr="003C12AE">
        <w:rPr>
          <w:rFonts w:ascii="Times New Roman" w:hAnsi="Times New Roman"/>
          <w:sz w:val="24"/>
          <w:lang w:val="pt-BR" w:eastAsia="x-none"/>
        </w:rPr>
        <w:tab/>
        <w:t xml:space="preserve">para os quais a provisão para perdas é mensurada pelo valor equivalente a perdas permanentes de crédito esperadas e que são: </w:t>
      </w:r>
    </w:p>
    <w:p w14:paraId="71E5C396" w14:textId="77777777" w:rsidR="003C12AE" w:rsidRPr="003C12AE" w:rsidRDefault="003C12AE" w:rsidP="003C12AE">
      <w:pPr>
        <w:widowControl w:val="0"/>
        <w:tabs>
          <w:tab w:val="left" w:pos="6804"/>
        </w:tabs>
        <w:spacing w:before="0"/>
        <w:ind w:left="1418" w:hanging="425"/>
        <w:rPr>
          <w:rFonts w:ascii="Times New Roman" w:hAnsi="Times New Roman"/>
          <w:sz w:val="24"/>
          <w:lang w:val="pt-BR" w:eastAsia="x-none"/>
        </w:rPr>
      </w:pPr>
      <w:r w:rsidRPr="003C12AE">
        <w:rPr>
          <w:rFonts w:ascii="Times New Roman" w:hAnsi="Times New Roman"/>
          <w:sz w:val="24"/>
          <w:lang w:val="pt-BR" w:eastAsia="x-none"/>
        </w:rPr>
        <w:t xml:space="preserve">(i) </w:t>
      </w:r>
      <w:r w:rsidRPr="003C12AE">
        <w:rPr>
          <w:rFonts w:ascii="Times New Roman" w:hAnsi="Times New Roman"/>
          <w:sz w:val="24"/>
          <w:lang w:val="pt-BR" w:eastAsia="x-none"/>
        </w:rPr>
        <w:tab/>
        <w:t xml:space="preserve">instrumentos financeiros para os quais o risco de crédito aumentou significativamente desde o reconhecimento inicial, mas que não são ativos financeiros com problemas de recuperação de crédito; </w:t>
      </w:r>
    </w:p>
    <w:p w14:paraId="168D40EA" w14:textId="77777777" w:rsidR="003C12AE" w:rsidRPr="003C12AE" w:rsidRDefault="003C12AE" w:rsidP="003C12AE">
      <w:pPr>
        <w:widowControl w:val="0"/>
        <w:tabs>
          <w:tab w:val="left" w:pos="6804"/>
        </w:tabs>
        <w:spacing w:before="0"/>
        <w:ind w:left="1418" w:hanging="425"/>
        <w:rPr>
          <w:rFonts w:ascii="Times New Roman" w:hAnsi="Times New Roman"/>
          <w:sz w:val="24"/>
          <w:lang w:val="pt-BR" w:eastAsia="x-none"/>
        </w:rPr>
      </w:pPr>
      <w:r w:rsidRPr="003C12AE">
        <w:rPr>
          <w:rFonts w:ascii="Times New Roman" w:hAnsi="Times New Roman"/>
          <w:sz w:val="24"/>
          <w:lang w:val="pt-BR" w:eastAsia="x-none"/>
        </w:rPr>
        <w:t xml:space="preserve">(ii) </w:t>
      </w:r>
      <w:r w:rsidRPr="003C12AE">
        <w:rPr>
          <w:rFonts w:ascii="Times New Roman" w:hAnsi="Times New Roman"/>
          <w:sz w:val="24"/>
          <w:lang w:val="pt-BR" w:eastAsia="x-none"/>
        </w:rPr>
        <w:tab/>
        <w:t xml:space="preserve">ativos financeiros que apresentam problemas de recuperação de crédito na data do relatório (mas que não foram comprados ou originados com problemas de recuperação de crédito); e </w:t>
      </w:r>
    </w:p>
    <w:p w14:paraId="44000861" w14:textId="77777777" w:rsidR="003C12AE" w:rsidRPr="003C12AE" w:rsidRDefault="003C12AE" w:rsidP="003C12AE">
      <w:pPr>
        <w:widowControl w:val="0"/>
        <w:tabs>
          <w:tab w:val="left" w:pos="6804"/>
        </w:tabs>
        <w:spacing w:before="0"/>
        <w:ind w:left="1418" w:hanging="425"/>
        <w:rPr>
          <w:rFonts w:ascii="Times New Roman" w:hAnsi="Times New Roman"/>
          <w:sz w:val="24"/>
          <w:lang w:val="pt-BR" w:eastAsia="x-none"/>
        </w:rPr>
      </w:pPr>
      <w:r w:rsidRPr="003C12AE">
        <w:rPr>
          <w:rFonts w:ascii="Times New Roman" w:hAnsi="Times New Roman"/>
          <w:sz w:val="24"/>
          <w:lang w:val="pt-BR" w:eastAsia="x-none"/>
        </w:rPr>
        <w:t xml:space="preserve">(iii) </w:t>
      </w:r>
      <w:r w:rsidRPr="003C12AE">
        <w:rPr>
          <w:rFonts w:ascii="Times New Roman" w:hAnsi="Times New Roman"/>
          <w:sz w:val="24"/>
          <w:lang w:val="pt-BR" w:eastAsia="x-none"/>
        </w:rPr>
        <w:tab/>
        <w:t xml:space="preserve">contas a receber de clientes, ativos contratuais ou recebíveis de arrendamento para os quais </w:t>
      </w:r>
      <w:r w:rsidRPr="003C12AE">
        <w:rPr>
          <w:rFonts w:ascii="Times New Roman" w:hAnsi="Times New Roman"/>
          <w:sz w:val="24"/>
          <w:lang w:val="pt-BR" w:eastAsia="x-none"/>
        </w:rPr>
        <w:lastRenderedPageBreak/>
        <w:t xml:space="preserve">as provisões para perdas devem ser mensuradas de acordo com o item 5.5.15 do CPC 48; </w:t>
      </w:r>
    </w:p>
    <w:p w14:paraId="504E53FE" w14:textId="51445F7E" w:rsidR="003C12AE" w:rsidRPr="003C12AE" w:rsidRDefault="003C12AE" w:rsidP="003C12AE">
      <w:pPr>
        <w:widowControl w:val="0"/>
        <w:tabs>
          <w:tab w:val="left" w:pos="6804"/>
        </w:tabs>
        <w:spacing w:before="0" w:after="0"/>
        <w:ind w:left="993" w:right="-1" w:hanging="426"/>
        <w:rPr>
          <w:rFonts w:ascii="Times New Roman" w:hAnsi="Times New Roman"/>
          <w:sz w:val="24"/>
          <w:lang w:val="pt-BR" w:eastAsia="x-none"/>
        </w:rPr>
      </w:pPr>
      <w:r w:rsidRPr="003C12AE">
        <w:rPr>
          <w:rFonts w:ascii="Times New Roman" w:hAnsi="Times New Roman"/>
          <w:sz w:val="24"/>
          <w:lang w:val="pt-BR" w:eastAsia="x-none"/>
        </w:rPr>
        <w:t xml:space="preserve">(c) </w:t>
      </w:r>
      <w:r w:rsidRPr="003C12AE">
        <w:rPr>
          <w:rFonts w:ascii="Times New Roman" w:hAnsi="Times New Roman"/>
          <w:sz w:val="24"/>
          <w:lang w:val="pt-BR" w:eastAsia="x-none"/>
        </w:rPr>
        <w:tab/>
        <w:t>que sejam ativos financeiros comprados ou originados com problemas de recuperação de crédito.</w:t>
      </w:r>
    </w:p>
    <w:p w14:paraId="67F9208C" w14:textId="77777777" w:rsidR="003C12AE" w:rsidRPr="003C12AE" w:rsidRDefault="003C12AE" w:rsidP="003C12AE">
      <w:pPr>
        <w:widowControl w:val="0"/>
        <w:tabs>
          <w:tab w:val="left" w:pos="6804"/>
        </w:tabs>
        <w:spacing w:before="0" w:after="0"/>
        <w:ind w:left="57" w:right="-1" w:hanging="279"/>
        <w:rPr>
          <w:rFonts w:ascii="Times New Roman" w:hAnsi="Times New Roman"/>
          <w:sz w:val="24"/>
          <w:lang w:val="pt-BR" w:eastAsia="x-none"/>
        </w:rPr>
      </w:pPr>
    </w:p>
    <w:p w14:paraId="5B627C91" w14:textId="47103B3E"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35N. Para contas a receber de clientes, ativos contratuais e recebíveis de arrendamento aos quais a entidade aplica o item 5.5.15 do CPC 48, as informações fornecidas de acordo com o item 35M podem basear-se em matriz de provisão (ver item B5.5.35 do CPC 48).</w:t>
      </w:r>
    </w:p>
    <w:p w14:paraId="6C519B1E" w14:textId="77777777" w:rsidR="003C12AE" w:rsidRPr="003C12AE" w:rsidRDefault="003C12AE" w:rsidP="003C12AE">
      <w:pPr>
        <w:widowControl w:val="0"/>
        <w:tabs>
          <w:tab w:val="left" w:pos="6804"/>
        </w:tabs>
        <w:spacing w:before="0" w:after="0"/>
        <w:ind w:left="57" w:right="-1"/>
        <w:rPr>
          <w:rFonts w:ascii="Times New Roman" w:hAnsi="Times New Roman"/>
          <w:bCs/>
          <w:sz w:val="24"/>
          <w:lang w:val="pt-BR" w:eastAsia="x-none"/>
        </w:rPr>
      </w:pPr>
    </w:p>
    <w:p w14:paraId="781B4089" w14:textId="54BD8487" w:rsidR="003C12AE" w:rsidRPr="003C12AE" w:rsidRDefault="003C12AE" w:rsidP="003C12AE">
      <w:pPr>
        <w:widowControl w:val="0"/>
        <w:tabs>
          <w:tab w:val="left" w:pos="6804"/>
        </w:tabs>
        <w:spacing w:before="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36.</w:t>
      </w:r>
      <w:r w:rsidRPr="003C12AE">
        <w:rPr>
          <w:rFonts w:ascii="Times New Roman" w:hAnsi="Times New Roman"/>
          <w:sz w:val="24"/>
          <w:lang w:val="pt-BR" w:eastAsia="x-none"/>
        </w:rPr>
        <w:tab/>
        <w:t>Para todos os instrumentos financeiros dentro do alcance deste pronunciamento, mas para os quais os requisitos de redução ao valor recuperável do CPC 48 não se aplicam, a entidade deve divulgar por classe de instrumento financeiro:</w:t>
      </w:r>
    </w:p>
    <w:p w14:paraId="4887AF52" w14:textId="77777777" w:rsidR="003C12AE" w:rsidRPr="003C12AE" w:rsidRDefault="003C12AE" w:rsidP="003C12AE">
      <w:pPr>
        <w:widowControl w:val="0"/>
        <w:suppressAutoHyphens/>
        <w:spacing w:before="0"/>
        <w:ind w:left="993" w:right="-1" w:hanging="426"/>
        <w:rPr>
          <w:rFonts w:ascii="Times New Roman" w:hAnsi="Times New Roman"/>
          <w:bCs/>
          <w:iCs/>
          <w:sz w:val="24"/>
          <w:lang w:val="pt-BR"/>
        </w:rPr>
      </w:pPr>
      <w:r w:rsidRPr="003C12AE">
        <w:rPr>
          <w:rFonts w:ascii="Times New Roman" w:hAnsi="Times New Roman"/>
          <w:bCs/>
          <w:iCs/>
          <w:sz w:val="24"/>
          <w:lang w:val="pt-BR"/>
        </w:rPr>
        <w:t xml:space="preserve">(a) </w:t>
      </w:r>
      <w:r w:rsidRPr="003C12AE">
        <w:rPr>
          <w:rFonts w:ascii="Times New Roman" w:hAnsi="Times New Roman"/>
          <w:bCs/>
          <w:iCs/>
          <w:sz w:val="24"/>
          <w:lang w:val="pt-BR"/>
        </w:rPr>
        <w:tab/>
        <w:t xml:space="preserve">o montante que melhor representa sua exposição máxima ao risco de crédito ao término do período de reporte sem considerar quaisquer garantias mantidas, ou outros instrumentos de melhoria de crédito (por exemplo, contratos que permitam a compensação pelo valor líquido – </w:t>
      </w:r>
      <w:r w:rsidRPr="003C12AE">
        <w:rPr>
          <w:rFonts w:ascii="Times New Roman" w:hAnsi="Times New Roman"/>
          <w:bCs/>
          <w:i/>
          <w:iCs/>
          <w:sz w:val="24"/>
          <w:lang w:val="pt-BR"/>
        </w:rPr>
        <w:t>netting agreements</w:t>
      </w:r>
      <w:r w:rsidRPr="003C12AE">
        <w:rPr>
          <w:rFonts w:ascii="Times New Roman" w:hAnsi="Times New Roman"/>
          <w:bCs/>
          <w:iCs/>
          <w:sz w:val="24"/>
          <w:lang w:val="pt-BR"/>
        </w:rPr>
        <w:t xml:space="preserve"> –, mas que não se qualificam para compensação, segundo o CPC 39); essa divulgação não é requerida para instrumentos financeiros, cujos valores contábeis melhor representem a máxima exposição ao risco de crédito;</w:t>
      </w:r>
    </w:p>
    <w:p w14:paraId="185DB7D4" w14:textId="77777777" w:rsidR="003C12AE" w:rsidRPr="003C12AE" w:rsidRDefault="003C12AE" w:rsidP="003C12AE">
      <w:pPr>
        <w:widowControl w:val="0"/>
        <w:tabs>
          <w:tab w:val="left" w:pos="6804"/>
        </w:tabs>
        <w:spacing w:before="2" w:line="250" w:lineRule="auto"/>
        <w:ind w:left="993" w:right="-1" w:hanging="426"/>
        <w:rPr>
          <w:rFonts w:ascii="Times New Roman" w:hAnsi="Times New Roman"/>
          <w:sz w:val="24"/>
          <w:lang w:val="pt-BR" w:eastAsia="x-none"/>
        </w:rPr>
      </w:pPr>
      <w:r w:rsidRPr="003C12AE">
        <w:rPr>
          <w:rFonts w:ascii="Times New Roman" w:hAnsi="Times New Roman"/>
          <w:sz w:val="24"/>
          <w:lang w:val="pt-BR" w:eastAsia="x-none"/>
        </w:rPr>
        <w:t>(b)</w:t>
      </w:r>
      <w:r w:rsidRPr="003C12AE">
        <w:rPr>
          <w:rFonts w:ascii="Times New Roman" w:hAnsi="Times New Roman"/>
          <w:sz w:val="24"/>
          <w:lang w:val="pt-BR" w:eastAsia="x-none"/>
        </w:rPr>
        <w:tab/>
        <w:t>descrição da garantia mantida como título e valor mobiliário (</w:t>
      </w:r>
      <w:r w:rsidRPr="003C12AE">
        <w:rPr>
          <w:rFonts w:ascii="Times New Roman" w:hAnsi="Times New Roman"/>
          <w:i/>
          <w:sz w:val="24"/>
          <w:lang w:val="pt-BR" w:eastAsia="x-none"/>
        </w:rPr>
        <w:t>security</w:t>
      </w:r>
      <w:r w:rsidRPr="003C12AE">
        <w:rPr>
          <w:rFonts w:ascii="Times New Roman" w:hAnsi="Times New Roman"/>
          <w:sz w:val="24"/>
          <w:lang w:val="pt-BR" w:eastAsia="x-none"/>
        </w:rPr>
        <w:t>) e de outros instrumentos de melhoria de crédito, e seus efeitos financeiros (por exemplo: quantificação da extensão na qual a garantia e outros instrumentos de melhoria de crédito mitigam o risco de crédito) com relação ao montante que melhor representa a exposição máxima ao risco de crédito (quer seja divulgado de acordo com o item (a) ou representado por meio do valor contábil do instrumento financeiro);</w:t>
      </w:r>
    </w:p>
    <w:p w14:paraId="5E620E17" w14:textId="73565DBE" w:rsidR="003C12AE" w:rsidRPr="003C12AE" w:rsidRDefault="003C12AE" w:rsidP="003C12AE">
      <w:pPr>
        <w:widowControl w:val="0"/>
        <w:spacing w:before="0"/>
        <w:ind w:left="993" w:right="-1" w:hanging="426"/>
        <w:rPr>
          <w:rFonts w:ascii="Times New Roman" w:hAnsi="Times New Roman"/>
          <w:bCs/>
          <w:iCs/>
          <w:sz w:val="24"/>
          <w:lang w:val="pt-BR"/>
        </w:rPr>
      </w:pPr>
      <w:r w:rsidRPr="003C12AE">
        <w:rPr>
          <w:rFonts w:ascii="Times New Roman" w:hAnsi="Times New Roman"/>
          <w:bCs/>
          <w:iCs/>
          <w:sz w:val="24"/>
          <w:lang w:val="pt-BR"/>
        </w:rPr>
        <w:t xml:space="preserve">(c) </w:t>
      </w:r>
      <w:r w:rsidRPr="003C12AE">
        <w:rPr>
          <w:rFonts w:ascii="Times New Roman" w:hAnsi="Times New Roman"/>
          <w:bCs/>
          <w:iCs/>
          <w:sz w:val="24"/>
          <w:lang w:val="pt-BR"/>
        </w:rPr>
        <w:tab/>
      </w:r>
      <w:r w:rsidR="00601B37" w:rsidRPr="003C12AE">
        <w:rPr>
          <w:rFonts w:ascii="Times New Roman" w:hAnsi="Times New Roman"/>
          <w:bCs/>
          <w:iCs/>
          <w:sz w:val="24"/>
          <w:lang w:val="pt-BR"/>
        </w:rPr>
        <w:t>(eliminada)</w:t>
      </w:r>
      <w:r w:rsidR="00601B37" w:rsidRPr="00601B37">
        <w:rPr>
          <w:rFonts w:ascii="Times New Roman" w:hAnsi="Times New Roman"/>
          <w:bCs/>
          <w:iCs/>
          <w:sz w:val="24"/>
          <w:lang w:val="pt-BR"/>
        </w:rPr>
        <w:t>;</w:t>
      </w:r>
    </w:p>
    <w:p w14:paraId="72C36C88" w14:textId="77777777" w:rsidR="003C12AE" w:rsidRPr="003C12AE" w:rsidRDefault="003C12AE" w:rsidP="003C12AE">
      <w:pPr>
        <w:widowControl w:val="0"/>
        <w:spacing w:before="0" w:after="0"/>
        <w:ind w:left="993" w:right="-1" w:hanging="426"/>
        <w:rPr>
          <w:rFonts w:ascii="Times New Roman" w:hAnsi="Times New Roman"/>
          <w:bCs/>
          <w:iCs/>
          <w:sz w:val="24"/>
          <w:lang w:val="pt-BR"/>
        </w:rPr>
      </w:pPr>
      <w:r w:rsidRPr="003C12AE">
        <w:rPr>
          <w:rFonts w:ascii="Times New Roman" w:hAnsi="Times New Roman"/>
          <w:bCs/>
          <w:iCs/>
          <w:sz w:val="24"/>
          <w:lang w:val="pt-BR"/>
        </w:rPr>
        <w:t>(d)</w:t>
      </w:r>
      <w:r w:rsidRPr="003C12AE">
        <w:rPr>
          <w:rFonts w:ascii="Times New Roman" w:hAnsi="Times New Roman"/>
          <w:bCs/>
          <w:iCs/>
          <w:sz w:val="24"/>
          <w:lang w:val="pt-BR"/>
        </w:rPr>
        <w:tab/>
        <w:t>(eliminada).</w:t>
      </w:r>
    </w:p>
    <w:p w14:paraId="4E2797FD" w14:textId="77777777" w:rsidR="003C12AE" w:rsidRPr="003C12AE" w:rsidRDefault="003C12AE" w:rsidP="003C12AE">
      <w:pPr>
        <w:widowControl w:val="0"/>
        <w:spacing w:before="0" w:after="0"/>
        <w:ind w:left="710" w:right="-1"/>
        <w:jc w:val="left"/>
        <w:rPr>
          <w:rFonts w:ascii="Times New Roman" w:hAnsi="Times New Roman"/>
          <w:bCs/>
          <w:iCs/>
          <w:sz w:val="24"/>
          <w:lang w:val="pt-BR"/>
        </w:rPr>
      </w:pPr>
    </w:p>
    <w:p w14:paraId="20B7E0E6" w14:textId="76EE2610" w:rsidR="003C12AE" w:rsidRPr="003C12AE" w:rsidRDefault="003C12AE" w:rsidP="001A50BC">
      <w:pPr>
        <w:widowControl w:val="0"/>
        <w:tabs>
          <w:tab w:val="left" w:pos="6804"/>
        </w:tabs>
        <w:spacing w:before="0"/>
        <w:ind w:left="567" w:right="-1" w:hanging="567"/>
        <w:rPr>
          <w:rFonts w:ascii="Times New Roman" w:hAnsi="Times New Roman"/>
          <w:bCs/>
          <w:iCs/>
          <w:sz w:val="24"/>
          <w:lang w:val="pt-BR"/>
        </w:rPr>
      </w:pPr>
      <w:r w:rsidRPr="003C12AE">
        <w:rPr>
          <w:rFonts w:ascii="Times New Roman" w:hAnsi="Times New Roman"/>
          <w:sz w:val="24"/>
          <w:lang w:val="pt-BR" w:eastAsia="x-none"/>
        </w:rPr>
        <w:t>37.</w:t>
      </w:r>
      <w:r w:rsidRPr="003C12AE">
        <w:rPr>
          <w:rFonts w:ascii="Times New Roman" w:hAnsi="Times New Roman"/>
          <w:sz w:val="24"/>
          <w:lang w:val="pt-BR" w:eastAsia="x-none"/>
        </w:rPr>
        <w:tab/>
      </w:r>
      <w:r w:rsidR="001A50BC" w:rsidRPr="001A50BC">
        <w:rPr>
          <w:rFonts w:ascii="Times New Roman" w:hAnsi="Times New Roman"/>
          <w:sz w:val="24"/>
          <w:lang w:val="pt-BR" w:eastAsia="x-none"/>
        </w:rPr>
        <w:t>(Eliminado).</w:t>
      </w:r>
    </w:p>
    <w:p w14:paraId="493B95F8" w14:textId="77777777" w:rsidR="003C12AE" w:rsidRPr="003C12AE" w:rsidRDefault="003C12AE" w:rsidP="003C12AE">
      <w:pPr>
        <w:widowControl w:val="0"/>
        <w:tabs>
          <w:tab w:val="left" w:pos="6804"/>
        </w:tabs>
        <w:spacing w:before="0" w:after="0"/>
        <w:ind w:left="57" w:right="-1"/>
        <w:rPr>
          <w:rFonts w:ascii="Times New Roman" w:hAnsi="Times New Roman"/>
          <w:sz w:val="24"/>
          <w:lang w:val="pt-BR" w:eastAsia="x-none"/>
        </w:rPr>
      </w:pPr>
    </w:p>
    <w:p w14:paraId="0DF530B3"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Garantias e outros instrumentos de melhoria de crédito obtidos</w:t>
      </w:r>
    </w:p>
    <w:p w14:paraId="125A0232"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2212F05D"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38.</w:t>
      </w:r>
      <w:r w:rsidRPr="003C12AE">
        <w:rPr>
          <w:rFonts w:ascii="Times New Roman" w:hAnsi="Times New Roman"/>
          <w:sz w:val="24"/>
          <w:lang w:val="pt-BR" w:eastAsia="x-none"/>
        </w:rPr>
        <w:tab/>
        <w:t>Quando a entidade obtém ativos financeiros ou não financeiros durante o período, por meio da posse de garantias que mantém como títulos e valores mobiliários (</w:t>
      </w:r>
      <w:r w:rsidRPr="003C12AE">
        <w:rPr>
          <w:rFonts w:ascii="Times New Roman" w:hAnsi="Times New Roman"/>
          <w:i/>
          <w:sz w:val="24"/>
          <w:lang w:val="pt-BR" w:eastAsia="x-none"/>
        </w:rPr>
        <w:t>securities</w:t>
      </w:r>
      <w:r w:rsidRPr="003C12AE">
        <w:rPr>
          <w:rFonts w:ascii="Times New Roman" w:hAnsi="Times New Roman"/>
          <w:sz w:val="24"/>
          <w:lang w:val="pt-BR" w:eastAsia="x-none"/>
        </w:rPr>
        <w:t>) ou outros instrumentos que visem melhorar o nível de recuperação do crédito (por exemplo, garantias), e tais ativos satisfizerem o critério de reconhecimento previsto em outros Pronunciamentos Técnicos do CPC, a entidade deve divulgar para esses ativos mantidos na data de reporte:</w:t>
      </w:r>
    </w:p>
    <w:p w14:paraId="4B9BDC1A" w14:textId="77777777" w:rsidR="003C12AE" w:rsidRPr="003C12AE" w:rsidRDefault="003C12AE" w:rsidP="00F307D5">
      <w:pPr>
        <w:widowControl w:val="0"/>
        <w:numPr>
          <w:ilvl w:val="0"/>
          <w:numId w:val="18"/>
        </w:numPr>
        <w:tabs>
          <w:tab w:val="clear" w:pos="1353"/>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a natureza e o valor contábil dos ativos; e</w:t>
      </w:r>
    </w:p>
    <w:p w14:paraId="3557B3C1" w14:textId="77777777" w:rsidR="003C12AE" w:rsidRPr="003C12AE" w:rsidRDefault="003C12AE" w:rsidP="00F307D5">
      <w:pPr>
        <w:widowControl w:val="0"/>
        <w:numPr>
          <w:ilvl w:val="0"/>
          <w:numId w:val="18"/>
        </w:numPr>
        <w:tabs>
          <w:tab w:val="clear" w:pos="1353"/>
        </w:tabs>
        <w:spacing w:before="0" w:after="0"/>
        <w:ind w:left="993" w:right="-1" w:hanging="426"/>
        <w:rPr>
          <w:rFonts w:ascii="Times New Roman" w:hAnsi="Times New Roman"/>
          <w:bCs/>
          <w:iCs/>
          <w:sz w:val="24"/>
          <w:lang w:val="pt-BR"/>
        </w:rPr>
      </w:pPr>
      <w:r w:rsidRPr="003C12AE">
        <w:rPr>
          <w:rFonts w:ascii="Times New Roman" w:hAnsi="Times New Roman"/>
          <w:bCs/>
          <w:iCs/>
          <w:sz w:val="24"/>
          <w:lang w:val="pt-BR"/>
        </w:rPr>
        <w:t>quando os ativos não são prontamente conversíveis em caixa, a política adotada pela entidade para alienação de tais ativos ou para seu uso em suas operações.</w:t>
      </w:r>
    </w:p>
    <w:p w14:paraId="0097B295" w14:textId="77777777" w:rsidR="003C12AE" w:rsidRPr="003C12AE" w:rsidRDefault="003C12AE" w:rsidP="003C12AE">
      <w:pPr>
        <w:widowControl w:val="0"/>
        <w:spacing w:before="0" w:after="0"/>
        <w:ind w:left="993" w:right="-1"/>
        <w:jc w:val="left"/>
        <w:rPr>
          <w:rFonts w:ascii="Times New Roman" w:hAnsi="Times New Roman"/>
          <w:bCs/>
          <w:iCs/>
          <w:sz w:val="24"/>
          <w:lang w:val="pt-BR"/>
        </w:rPr>
      </w:pPr>
    </w:p>
    <w:p w14:paraId="56AAABD6" w14:textId="77777777" w:rsidR="003C12AE" w:rsidRPr="003C12AE" w:rsidRDefault="003C12AE" w:rsidP="003C12AE">
      <w:pPr>
        <w:widowControl w:val="0"/>
        <w:tabs>
          <w:tab w:val="left" w:pos="6804"/>
        </w:tabs>
        <w:spacing w:before="0" w:after="0"/>
        <w:ind w:left="567" w:right="-1"/>
        <w:rPr>
          <w:rFonts w:ascii="Times New Roman" w:hAnsi="Times New Roman"/>
          <w:sz w:val="24"/>
          <w:lang w:val="pt-BR" w:eastAsia="x-none"/>
        </w:rPr>
      </w:pPr>
      <w:r w:rsidRPr="003C12AE">
        <w:rPr>
          <w:rFonts w:ascii="Times New Roman" w:hAnsi="Times New Roman"/>
          <w:sz w:val="24"/>
          <w:lang w:val="pt-BR" w:eastAsia="x-none"/>
        </w:rPr>
        <w:t>Risco de liquidez</w:t>
      </w:r>
    </w:p>
    <w:p w14:paraId="6C8F02F0"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4570A075"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lastRenderedPageBreak/>
        <w:t>39.</w:t>
      </w:r>
      <w:r w:rsidRPr="003C12AE">
        <w:rPr>
          <w:rFonts w:ascii="Times New Roman" w:hAnsi="Times New Roman"/>
          <w:sz w:val="24"/>
          <w:lang w:val="pt-BR" w:eastAsia="x-none"/>
        </w:rPr>
        <w:tab/>
        <w:t>A entidade deve divulgar:</w:t>
      </w:r>
    </w:p>
    <w:p w14:paraId="0CC8784E" w14:textId="77777777" w:rsidR="003C12AE" w:rsidRPr="003C12AE" w:rsidRDefault="003C12AE" w:rsidP="00F307D5">
      <w:pPr>
        <w:widowControl w:val="0"/>
        <w:numPr>
          <w:ilvl w:val="0"/>
          <w:numId w:val="19"/>
        </w:numPr>
        <w:tabs>
          <w:tab w:val="clear" w:pos="1353"/>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uma análise dos vencimentos para passivos financeiros não derivativos (incluindo contratos de garantia financeira) que demonstre os vencimentos contratuais remanescentes; e</w:t>
      </w:r>
    </w:p>
    <w:p w14:paraId="01BC0CF9" w14:textId="77777777" w:rsidR="003C12AE" w:rsidRPr="003C12AE" w:rsidRDefault="003C12AE" w:rsidP="00F307D5">
      <w:pPr>
        <w:widowControl w:val="0"/>
        <w:numPr>
          <w:ilvl w:val="0"/>
          <w:numId w:val="19"/>
        </w:numPr>
        <w:tabs>
          <w:tab w:val="clear" w:pos="1353"/>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uma análise dos vencimentos para os instrumentos financeiros derivativos passivos. A análise dos vencimentos deve incluir os vencimentos contratuais remanescentes para aqueles passivos financeiros derivativos para os quais o vencimento contratual é essencial para o entendimento do momento de recebimento dos fluxos de caixa (ver item B11B).</w:t>
      </w:r>
    </w:p>
    <w:p w14:paraId="264A6E9F" w14:textId="77777777" w:rsidR="003C12AE" w:rsidRPr="003C12AE" w:rsidRDefault="003C12AE" w:rsidP="00F307D5">
      <w:pPr>
        <w:widowControl w:val="0"/>
        <w:numPr>
          <w:ilvl w:val="0"/>
          <w:numId w:val="19"/>
        </w:numPr>
        <w:tabs>
          <w:tab w:val="clear" w:pos="1353"/>
        </w:tabs>
        <w:spacing w:before="0" w:after="0"/>
        <w:ind w:left="993" w:right="-1" w:hanging="426"/>
        <w:rPr>
          <w:rFonts w:ascii="Times New Roman" w:hAnsi="Times New Roman"/>
          <w:bCs/>
          <w:iCs/>
          <w:sz w:val="24"/>
          <w:lang w:val="pt-BR"/>
        </w:rPr>
      </w:pPr>
      <w:r w:rsidRPr="003C12AE">
        <w:rPr>
          <w:rFonts w:ascii="Times New Roman" w:hAnsi="Times New Roman"/>
          <w:bCs/>
          <w:iCs/>
          <w:sz w:val="24"/>
          <w:lang w:val="pt-BR"/>
        </w:rPr>
        <w:t>uma descrição de como ela administra o risco de liquidez inerente a (a) e (b).</w:t>
      </w:r>
    </w:p>
    <w:p w14:paraId="10828C27" w14:textId="77777777" w:rsidR="003C12AE" w:rsidRPr="003C12AE" w:rsidRDefault="003C12AE" w:rsidP="003C12AE">
      <w:pPr>
        <w:autoSpaceDE w:val="0"/>
        <w:autoSpaceDN w:val="0"/>
        <w:adjustRightInd w:val="0"/>
        <w:spacing w:before="0" w:after="0"/>
        <w:ind w:left="1440" w:right="-1" w:hanging="720"/>
        <w:jc w:val="left"/>
        <w:rPr>
          <w:rFonts w:ascii="Times New Roman" w:hAnsi="Times New Roman"/>
          <w:sz w:val="24"/>
          <w:lang w:val="pt-BR"/>
        </w:rPr>
      </w:pPr>
    </w:p>
    <w:p w14:paraId="7B477C19" w14:textId="77777777" w:rsidR="003C12AE" w:rsidRPr="003C12AE" w:rsidRDefault="003C12AE" w:rsidP="003C12AE">
      <w:pPr>
        <w:widowControl w:val="0"/>
        <w:tabs>
          <w:tab w:val="left" w:pos="6804"/>
        </w:tabs>
        <w:spacing w:before="0" w:after="0"/>
        <w:ind w:left="567" w:right="-1"/>
        <w:rPr>
          <w:rFonts w:ascii="Times New Roman" w:hAnsi="Times New Roman"/>
          <w:sz w:val="24"/>
          <w:lang w:val="pt-BR" w:eastAsia="x-none"/>
        </w:rPr>
      </w:pPr>
      <w:r w:rsidRPr="003C12AE">
        <w:rPr>
          <w:rFonts w:ascii="Times New Roman" w:hAnsi="Times New Roman"/>
          <w:sz w:val="24"/>
          <w:lang w:val="pt-BR" w:eastAsia="x-none"/>
        </w:rPr>
        <w:t>Risco de mercado</w:t>
      </w:r>
    </w:p>
    <w:p w14:paraId="0070B350" w14:textId="77777777" w:rsidR="003C12AE" w:rsidRPr="003C12AE" w:rsidRDefault="003C12AE" w:rsidP="003C12AE">
      <w:pPr>
        <w:widowControl w:val="0"/>
        <w:tabs>
          <w:tab w:val="left" w:pos="6804"/>
        </w:tabs>
        <w:spacing w:before="0" w:after="0"/>
        <w:ind w:left="57" w:right="-1"/>
        <w:rPr>
          <w:rFonts w:ascii="Times New Roman" w:hAnsi="Times New Roman"/>
          <w:b/>
          <w:sz w:val="24"/>
          <w:lang w:val="pt-BR" w:eastAsia="x-none"/>
        </w:rPr>
      </w:pPr>
    </w:p>
    <w:p w14:paraId="7E9BAAA6" w14:textId="77777777" w:rsidR="003C12AE" w:rsidRPr="003C12AE" w:rsidRDefault="003C12AE" w:rsidP="003C12AE">
      <w:pPr>
        <w:widowControl w:val="0"/>
        <w:tabs>
          <w:tab w:val="left" w:pos="6804"/>
        </w:tabs>
        <w:spacing w:before="0" w:after="0"/>
        <w:ind w:left="567" w:right="-1"/>
        <w:rPr>
          <w:rFonts w:ascii="Times New Roman" w:hAnsi="Times New Roman"/>
          <w:sz w:val="24"/>
          <w:lang w:val="pt-BR" w:eastAsia="x-none"/>
        </w:rPr>
      </w:pPr>
      <w:r w:rsidRPr="003C12AE">
        <w:rPr>
          <w:rFonts w:ascii="Times New Roman" w:hAnsi="Times New Roman"/>
          <w:sz w:val="24"/>
          <w:lang w:val="pt-BR" w:eastAsia="x-none"/>
        </w:rPr>
        <w:t>Análise de sensibilidade</w:t>
      </w:r>
    </w:p>
    <w:p w14:paraId="34EE910D" w14:textId="77777777" w:rsidR="003C12AE" w:rsidRPr="003C12AE" w:rsidRDefault="003C12AE" w:rsidP="003C12AE">
      <w:pPr>
        <w:widowControl w:val="0"/>
        <w:tabs>
          <w:tab w:val="left" w:pos="6804"/>
        </w:tabs>
        <w:spacing w:before="0" w:after="0"/>
        <w:ind w:left="57" w:right="-1"/>
        <w:rPr>
          <w:rFonts w:ascii="Times New Roman" w:hAnsi="Times New Roman"/>
          <w:sz w:val="24"/>
          <w:lang w:val="pt-BR" w:eastAsia="x-none"/>
        </w:rPr>
      </w:pPr>
    </w:p>
    <w:p w14:paraId="3F3F7092"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40.</w:t>
      </w:r>
      <w:r w:rsidRPr="003C12AE">
        <w:rPr>
          <w:rFonts w:ascii="Times New Roman" w:hAnsi="Times New Roman"/>
          <w:sz w:val="24"/>
          <w:lang w:val="pt-BR" w:eastAsia="x-none"/>
        </w:rPr>
        <w:tab/>
        <w:t>A menos que a entidade cumpra o item 41, ela deve divulgar:</w:t>
      </w:r>
    </w:p>
    <w:p w14:paraId="7FCE6A80" w14:textId="1F45FE69" w:rsidR="003C12AE" w:rsidRPr="003C12AE" w:rsidRDefault="003C12AE" w:rsidP="00F307D5">
      <w:pPr>
        <w:widowControl w:val="0"/>
        <w:numPr>
          <w:ilvl w:val="0"/>
          <w:numId w:val="20"/>
        </w:numPr>
        <w:tabs>
          <w:tab w:val="clear" w:pos="1353"/>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 xml:space="preserve">uma análise de sensibilidade para cada tipo de risco de mercado aos quais a entidade está exposta ao fim do período contábil, mostrando como o resultado e o patrimônio líquido seriam afetados pelas mudanças no risco relevante variável que sejam razoavelmente possíveis naquela data; </w:t>
      </w:r>
    </w:p>
    <w:p w14:paraId="2CD8AC0F" w14:textId="77777777" w:rsidR="003C12AE" w:rsidRPr="003C12AE" w:rsidRDefault="003C12AE" w:rsidP="00F307D5">
      <w:pPr>
        <w:widowControl w:val="0"/>
        <w:numPr>
          <w:ilvl w:val="0"/>
          <w:numId w:val="20"/>
        </w:numPr>
        <w:tabs>
          <w:tab w:val="clear" w:pos="1353"/>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os métodos e os pressupostos utilizados na elaboração da análise de sensibilidade; e</w:t>
      </w:r>
    </w:p>
    <w:p w14:paraId="0F4D8329" w14:textId="77777777" w:rsidR="003C12AE" w:rsidRPr="003C12AE" w:rsidRDefault="003C12AE" w:rsidP="00F307D5">
      <w:pPr>
        <w:widowControl w:val="0"/>
        <w:numPr>
          <w:ilvl w:val="0"/>
          <w:numId w:val="20"/>
        </w:numPr>
        <w:tabs>
          <w:tab w:val="clear" w:pos="1353"/>
        </w:tabs>
        <w:spacing w:before="0" w:after="0"/>
        <w:ind w:left="993" w:right="-1" w:hanging="426"/>
        <w:rPr>
          <w:rFonts w:ascii="Times New Roman" w:hAnsi="Times New Roman"/>
          <w:bCs/>
          <w:iCs/>
          <w:sz w:val="24"/>
          <w:lang w:val="pt-BR"/>
        </w:rPr>
      </w:pPr>
      <w:r w:rsidRPr="003C12AE">
        <w:rPr>
          <w:rFonts w:ascii="Times New Roman" w:hAnsi="Times New Roman"/>
          <w:bCs/>
          <w:iCs/>
          <w:sz w:val="24"/>
          <w:lang w:val="pt-BR"/>
        </w:rPr>
        <w:t xml:space="preserve">alterações do período anterior nos métodos e pressupostos utilizados, e a razão para tais alterações. </w:t>
      </w:r>
    </w:p>
    <w:p w14:paraId="2BAD68DA" w14:textId="77777777" w:rsidR="003C12AE" w:rsidRPr="003C12AE" w:rsidRDefault="003C12AE" w:rsidP="003C12AE">
      <w:pPr>
        <w:widowControl w:val="0"/>
        <w:spacing w:before="0" w:after="0"/>
        <w:ind w:left="993" w:right="-1"/>
        <w:jc w:val="left"/>
        <w:rPr>
          <w:rFonts w:ascii="Times New Roman" w:hAnsi="Times New Roman"/>
          <w:bCs/>
          <w:iCs/>
          <w:sz w:val="24"/>
          <w:lang w:val="pt-BR"/>
        </w:rPr>
      </w:pPr>
    </w:p>
    <w:p w14:paraId="369C4C70"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41.</w:t>
      </w:r>
      <w:r w:rsidRPr="003C12AE">
        <w:rPr>
          <w:rFonts w:ascii="Times New Roman" w:hAnsi="Times New Roman"/>
          <w:sz w:val="24"/>
          <w:lang w:val="pt-BR" w:eastAsia="x-none"/>
        </w:rPr>
        <w:tab/>
        <w:t>Se a entidade elaborar uma análise de sensibilidade, tal como a do valor em risco (</w:t>
      </w:r>
      <w:r w:rsidRPr="003C12AE">
        <w:rPr>
          <w:rFonts w:ascii="Times New Roman" w:hAnsi="Times New Roman"/>
          <w:i/>
          <w:sz w:val="24"/>
          <w:lang w:val="pt-BR" w:eastAsia="x-none"/>
        </w:rPr>
        <w:t>value-at-risk</w:t>
      </w:r>
      <w:r w:rsidRPr="003C12AE">
        <w:rPr>
          <w:rFonts w:ascii="Times New Roman" w:hAnsi="Times New Roman"/>
          <w:sz w:val="24"/>
          <w:lang w:val="pt-BR" w:eastAsia="x-none"/>
        </w:rPr>
        <w:t>), que reflete interdependências entre riscos variáveis (por exemplo, taxas de juros e taxas de câmbio) e o utilizar para administrar riscos financeiros, ela pode utilizar essa análise de sensibilidade no lugar da análise especificada no item 40. A entidade deve divulgar também:</w:t>
      </w:r>
    </w:p>
    <w:p w14:paraId="252D24FA" w14:textId="77777777" w:rsidR="003C12AE" w:rsidRPr="003C12AE" w:rsidRDefault="003C12AE" w:rsidP="00F307D5">
      <w:pPr>
        <w:widowControl w:val="0"/>
        <w:numPr>
          <w:ilvl w:val="0"/>
          <w:numId w:val="21"/>
        </w:numPr>
        <w:tabs>
          <w:tab w:val="clear" w:pos="1353"/>
        </w:tabs>
        <w:spacing w:before="0"/>
        <w:ind w:left="993" w:right="-1" w:hanging="426"/>
        <w:rPr>
          <w:rFonts w:ascii="Times New Roman" w:hAnsi="Times New Roman"/>
          <w:bCs/>
          <w:iCs/>
          <w:sz w:val="24"/>
          <w:lang w:val="pt-BR"/>
        </w:rPr>
      </w:pPr>
      <w:r w:rsidRPr="003C12AE">
        <w:rPr>
          <w:rFonts w:ascii="Times New Roman" w:hAnsi="Times New Roman"/>
          <w:bCs/>
          <w:iCs/>
          <w:sz w:val="24"/>
          <w:lang w:val="pt-BR"/>
        </w:rPr>
        <w:t>uma explicação do método utilizado na elaboração de tal análise de sensibilidade e dos principais parâmetros e pressupostos subjacentes aos dados fornecidos; e</w:t>
      </w:r>
    </w:p>
    <w:p w14:paraId="4FF05ED0" w14:textId="77777777" w:rsidR="003C12AE" w:rsidRPr="003C12AE" w:rsidRDefault="003C12AE" w:rsidP="00F307D5">
      <w:pPr>
        <w:widowControl w:val="0"/>
        <w:numPr>
          <w:ilvl w:val="0"/>
          <w:numId w:val="21"/>
        </w:numPr>
        <w:tabs>
          <w:tab w:val="clear" w:pos="1353"/>
        </w:tabs>
        <w:spacing w:before="0" w:after="0"/>
        <w:ind w:left="993" w:right="-1" w:hanging="426"/>
        <w:rPr>
          <w:rFonts w:ascii="Times New Roman" w:hAnsi="Times New Roman"/>
          <w:bCs/>
          <w:iCs/>
          <w:sz w:val="24"/>
          <w:lang w:val="pt-BR"/>
        </w:rPr>
      </w:pPr>
      <w:r w:rsidRPr="003C12AE">
        <w:rPr>
          <w:rFonts w:ascii="Times New Roman" w:hAnsi="Times New Roman"/>
          <w:bCs/>
          <w:iCs/>
          <w:sz w:val="24"/>
          <w:lang w:val="pt-BR"/>
        </w:rPr>
        <w:t>uma explicação do objetivo do método utilizado e das limitações que podem resultar na incapacidade da informação de refletir completamente o valor justo dos ativos e passivos envolvidos.</w:t>
      </w:r>
    </w:p>
    <w:p w14:paraId="53724327" w14:textId="77777777" w:rsidR="003C12AE" w:rsidRPr="003C12AE" w:rsidRDefault="003C12AE" w:rsidP="003C12AE">
      <w:pPr>
        <w:widowControl w:val="0"/>
        <w:tabs>
          <w:tab w:val="left" w:pos="6804"/>
        </w:tabs>
        <w:spacing w:before="0" w:after="0"/>
        <w:ind w:left="57" w:right="-1"/>
        <w:rPr>
          <w:rFonts w:ascii="Times New Roman" w:hAnsi="Times New Roman"/>
          <w:sz w:val="24"/>
          <w:lang w:val="pt-BR" w:eastAsia="x-none"/>
        </w:rPr>
      </w:pPr>
    </w:p>
    <w:p w14:paraId="61871717" w14:textId="77777777" w:rsidR="003C12AE" w:rsidRPr="003C12AE" w:rsidRDefault="003C12AE" w:rsidP="003C12AE">
      <w:pPr>
        <w:widowControl w:val="0"/>
        <w:tabs>
          <w:tab w:val="left" w:pos="6804"/>
        </w:tabs>
        <w:spacing w:before="0" w:after="0"/>
        <w:ind w:left="567" w:right="-1"/>
        <w:rPr>
          <w:rFonts w:ascii="Times New Roman" w:hAnsi="Times New Roman"/>
          <w:sz w:val="24"/>
          <w:lang w:val="pt-BR" w:eastAsia="x-none"/>
        </w:rPr>
      </w:pPr>
      <w:r w:rsidRPr="003C12AE">
        <w:rPr>
          <w:rFonts w:ascii="Times New Roman" w:hAnsi="Times New Roman"/>
          <w:sz w:val="24"/>
          <w:lang w:val="pt-BR" w:eastAsia="x-none"/>
        </w:rPr>
        <w:t>Outras divulgações de risco de mercado</w:t>
      </w:r>
    </w:p>
    <w:p w14:paraId="168DCB17" w14:textId="77777777" w:rsidR="003C12AE" w:rsidRPr="003C12AE" w:rsidRDefault="003C12AE" w:rsidP="003C12AE">
      <w:pPr>
        <w:widowControl w:val="0"/>
        <w:tabs>
          <w:tab w:val="left" w:pos="6804"/>
        </w:tabs>
        <w:spacing w:before="0" w:after="0"/>
        <w:ind w:left="57" w:right="-1"/>
        <w:rPr>
          <w:rFonts w:ascii="Times New Roman" w:hAnsi="Times New Roman"/>
          <w:sz w:val="24"/>
          <w:lang w:val="pt-BR" w:eastAsia="x-none"/>
        </w:rPr>
      </w:pPr>
    </w:p>
    <w:p w14:paraId="58B4DCE3"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42.</w:t>
      </w:r>
      <w:r w:rsidRPr="003C12AE">
        <w:rPr>
          <w:rFonts w:ascii="Times New Roman" w:hAnsi="Times New Roman"/>
          <w:sz w:val="24"/>
          <w:lang w:val="pt-BR" w:eastAsia="x-none"/>
        </w:rPr>
        <w:tab/>
        <w:t>Quando as análises de sensibilidade divulgadas de acordo com os itens 40 ou 41 não forem representativas do risco inerente de instrumento financeiro (por exemplo, porque a exposição do final do período não reflete a exposição durante o ano), a entidade deve divulgar esse fato e a razão pela qual considera que as análises de sensibilidade não são representativas.</w:t>
      </w:r>
    </w:p>
    <w:p w14:paraId="2D8ADEC3"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6C672429" w14:textId="77777777" w:rsidR="004164F7" w:rsidRDefault="004164F7">
      <w:pPr>
        <w:spacing w:before="0" w:after="160" w:line="259" w:lineRule="auto"/>
        <w:jc w:val="left"/>
        <w:rPr>
          <w:rFonts w:ascii="Times New Roman" w:hAnsi="Times New Roman"/>
          <w:b/>
          <w:sz w:val="24"/>
          <w:lang w:val="pt-BR" w:eastAsia="x-none"/>
        </w:rPr>
      </w:pPr>
      <w:r>
        <w:rPr>
          <w:rFonts w:ascii="Times New Roman" w:hAnsi="Times New Roman"/>
          <w:b/>
          <w:sz w:val="24"/>
          <w:lang w:val="pt-BR" w:eastAsia="x-none"/>
        </w:rPr>
        <w:br w:type="page"/>
      </w:r>
    </w:p>
    <w:p w14:paraId="4390A0B4" w14:textId="5B3DC97A"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lastRenderedPageBreak/>
        <w:t xml:space="preserve">Transferência de ativos financeiros </w:t>
      </w:r>
    </w:p>
    <w:p w14:paraId="1E71E645" w14:textId="77777777" w:rsidR="003C12AE" w:rsidRPr="003C12AE" w:rsidRDefault="003C12AE" w:rsidP="003C12AE">
      <w:pPr>
        <w:widowControl w:val="0"/>
        <w:tabs>
          <w:tab w:val="left" w:pos="6804"/>
        </w:tabs>
        <w:spacing w:before="0" w:after="0"/>
        <w:ind w:right="-1"/>
        <w:rPr>
          <w:rFonts w:ascii="Times New Roman" w:hAnsi="Times New Roman"/>
          <w:sz w:val="24"/>
          <w:lang w:val="pt-BR" w:eastAsia="x-none"/>
        </w:rPr>
      </w:pPr>
    </w:p>
    <w:p w14:paraId="129BA67B" w14:textId="77777777" w:rsidR="003C12AE" w:rsidRPr="003C12AE" w:rsidRDefault="003C12AE" w:rsidP="003C12AE">
      <w:pPr>
        <w:spacing w:before="0"/>
        <w:ind w:left="567" w:right="-1" w:hanging="567"/>
        <w:rPr>
          <w:rFonts w:ascii="Times New Roman" w:hAnsi="Times New Roman"/>
          <w:sz w:val="24"/>
          <w:lang w:val="pt-BR"/>
        </w:rPr>
      </w:pPr>
      <w:r w:rsidRPr="003C12AE">
        <w:rPr>
          <w:rFonts w:ascii="Times New Roman" w:hAnsi="Times New Roman"/>
          <w:sz w:val="24"/>
          <w:lang w:val="pt-BR"/>
        </w:rPr>
        <w:t xml:space="preserve">42A. </w:t>
      </w:r>
      <w:r w:rsidRPr="003C12AE">
        <w:rPr>
          <w:rFonts w:ascii="Times New Roman" w:hAnsi="Times New Roman"/>
          <w:sz w:val="24"/>
          <w:lang w:val="pt-BR"/>
        </w:rPr>
        <w:tab/>
        <w:t xml:space="preserve">Os requisitos de divulgação dos itens 42B a 42H relativos a transferências de ativos financeiros suplementam os outros requisitos de divulgação deste Pronunciamento. A entidade deve apresentar as divulgações requeridas pelos itens 42B a 42H em uma única nota explicativa em suas demonstrações contábeis. A entidade deve fornecer as divulgações requeridas para todos os ativos financeiros transferidos que não são desreconhecidos e para qualquer envolvimento contínuo em ativo transferido, existente na data das demonstrações contábeis, independentemente de quando a respectiva transação de transferência ocorreu. Para as finalidades de aplicação dos requisitos de divulgação desses itens, a entidade transfere a totalidade ou parte de ativo financeiro (o ativo financeiro transferido) se, e somente se: </w:t>
      </w:r>
    </w:p>
    <w:p w14:paraId="784E861C"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(a) </w:t>
      </w:r>
      <w:r w:rsidRPr="003C12AE">
        <w:rPr>
          <w:rFonts w:ascii="Times New Roman" w:hAnsi="Times New Roman"/>
          <w:sz w:val="24"/>
          <w:lang w:val="pt-BR"/>
        </w:rPr>
        <w:tab/>
        <w:t xml:space="preserve">transferir os direitos contratuais de receber os fluxos de caixa desse ativo financeiro; ou </w:t>
      </w:r>
    </w:p>
    <w:p w14:paraId="777BE0AC" w14:textId="77777777" w:rsidR="003C12AE" w:rsidRPr="003C12AE" w:rsidRDefault="003C12AE" w:rsidP="003C12AE">
      <w:pPr>
        <w:spacing w:before="0" w:after="0"/>
        <w:ind w:left="992" w:right="-1" w:hanging="425"/>
        <w:rPr>
          <w:rFonts w:ascii="Times New Roman" w:hAnsi="Times New Roman"/>
          <w:sz w:val="24"/>
          <w:lang w:val="pt-BR"/>
        </w:rPr>
      </w:pPr>
      <w:r w:rsidRPr="003C12AE">
        <w:rPr>
          <w:rFonts w:ascii="Times New Roman" w:hAnsi="Times New Roman"/>
          <w:sz w:val="24"/>
          <w:lang w:val="pt-BR"/>
        </w:rPr>
        <w:t xml:space="preserve">(b) retiver os direitos contratuais de receber os fluxos de caixa desse ativo financeiro, mas assumir uma obrigação contratual de pagar os fluxos de caixa a um ou mais beneficiários em um acordo. </w:t>
      </w:r>
    </w:p>
    <w:p w14:paraId="6667141A" w14:textId="77777777" w:rsidR="003C12AE" w:rsidRPr="003C12AE" w:rsidRDefault="003C12AE" w:rsidP="003C12AE">
      <w:pPr>
        <w:spacing w:before="0" w:after="0"/>
        <w:ind w:left="1134" w:right="-1" w:hanging="425"/>
        <w:rPr>
          <w:rFonts w:ascii="Times New Roman" w:hAnsi="Times New Roman"/>
          <w:sz w:val="24"/>
          <w:lang w:val="pt-BR"/>
        </w:rPr>
      </w:pPr>
    </w:p>
    <w:p w14:paraId="1B7B1FC2" w14:textId="77777777" w:rsidR="003C12AE" w:rsidRPr="003C12AE" w:rsidRDefault="003C12AE" w:rsidP="003C12AE">
      <w:pPr>
        <w:spacing w:before="0"/>
        <w:ind w:left="567" w:right="-1" w:hanging="567"/>
        <w:jc w:val="left"/>
        <w:rPr>
          <w:rFonts w:ascii="Times New Roman" w:hAnsi="Times New Roman"/>
          <w:sz w:val="24"/>
          <w:lang w:val="pt-BR"/>
        </w:rPr>
      </w:pPr>
      <w:r w:rsidRPr="003C12AE">
        <w:rPr>
          <w:rFonts w:ascii="Times New Roman" w:hAnsi="Times New Roman"/>
          <w:sz w:val="24"/>
          <w:lang w:val="pt-BR"/>
        </w:rPr>
        <w:t xml:space="preserve">42B. </w:t>
      </w:r>
      <w:r w:rsidRPr="003C12AE">
        <w:rPr>
          <w:rFonts w:ascii="Times New Roman" w:hAnsi="Times New Roman"/>
          <w:sz w:val="24"/>
          <w:lang w:val="pt-BR"/>
        </w:rPr>
        <w:tab/>
        <w:t xml:space="preserve">A entidade deve divulgar informações que possibilitem aos usuários de suas demonstrações contábeis: </w:t>
      </w:r>
    </w:p>
    <w:p w14:paraId="5D7E280C" w14:textId="77777777" w:rsidR="003C12AE" w:rsidRPr="003C12AE" w:rsidRDefault="003C12AE" w:rsidP="003C12AE">
      <w:pPr>
        <w:spacing w:before="0"/>
        <w:ind w:left="993" w:right="-1" w:hanging="426"/>
        <w:jc w:val="left"/>
        <w:rPr>
          <w:rFonts w:ascii="Times New Roman" w:hAnsi="Times New Roman"/>
          <w:sz w:val="24"/>
          <w:lang w:val="pt-BR"/>
        </w:rPr>
      </w:pPr>
      <w:r w:rsidRPr="003C12AE">
        <w:rPr>
          <w:rFonts w:ascii="Times New Roman" w:hAnsi="Times New Roman"/>
          <w:sz w:val="24"/>
          <w:lang w:val="pt-BR"/>
        </w:rPr>
        <w:t xml:space="preserve">(a) </w:t>
      </w:r>
      <w:r w:rsidRPr="003C12AE">
        <w:rPr>
          <w:rFonts w:ascii="Times New Roman" w:hAnsi="Times New Roman"/>
          <w:sz w:val="24"/>
          <w:lang w:val="pt-BR"/>
        </w:rPr>
        <w:tab/>
        <w:t xml:space="preserve">compreender a relação entre ativos financeiros transferidos que não são desreconhecidos em sua totalidade e os passivos associados; e </w:t>
      </w:r>
    </w:p>
    <w:p w14:paraId="4BD334A4" w14:textId="77777777" w:rsidR="003C12AE" w:rsidRPr="003C12AE" w:rsidRDefault="003C12AE" w:rsidP="003C12AE">
      <w:pPr>
        <w:spacing w:before="0" w:after="0"/>
        <w:ind w:left="993" w:right="-1" w:hanging="426"/>
        <w:jc w:val="left"/>
        <w:rPr>
          <w:rFonts w:ascii="Times New Roman" w:hAnsi="Times New Roman"/>
          <w:sz w:val="24"/>
          <w:lang w:val="pt-BR"/>
        </w:rPr>
      </w:pPr>
      <w:r w:rsidRPr="003C12AE">
        <w:rPr>
          <w:rFonts w:ascii="Times New Roman" w:hAnsi="Times New Roman"/>
          <w:sz w:val="24"/>
          <w:lang w:val="pt-BR"/>
        </w:rPr>
        <w:t xml:space="preserve">(b) </w:t>
      </w:r>
      <w:r w:rsidRPr="003C12AE">
        <w:rPr>
          <w:rFonts w:ascii="Times New Roman" w:hAnsi="Times New Roman"/>
          <w:sz w:val="24"/>
          <w:lang w:val="pt-BR"/>
        </w:rPr>
        <w:tab/>
        <w:t xml:space="preserve">avaliar a natureza e os riscos associados do envolvimento contínuo da entidade em ativos financeiros desreconhecidos. </w:t>
      </w:r>
    </w:p>
    <w:p w14:paraId="00976115" w14:textId="77777777" w:rsidR="003C12AE" w:rsidRPr="003C12AE" w:rsidRDefault="003C12AE" w:rsidP="003C12AE">
      <w:pPr>
        <w:spacing w:before="0" w:after="0"/>
        <w:ind w:left="1134" w:right="-1" w:hanging="425"/>
        <w:jc w:val="left"/>
        <w:rPr>
          <w:rFonts w:ascii="Times New Roman" w:hAnsi="Times New Roman"/>
          <w:sz w:val="24"/>
          <w:lang w:val="pt-BR"/>
        </w:rPr>
      </w:pPr>
    </w:p>
    <w:p w14:paraId="4A740C83" w14:textId="77777777" w:rsidR="003C12AE" w:rsidRPr="003C12AE" w:rsidRDefault="003C12AE" w:rsidP="003C12AE">
      <w:pPr>
        <w:spacing w:before="0"/>
        <w:ind w:left="567" w:right="-1" w:hanging="567"/>
        <w:rPr>
          <w:rFonts w:ascii="Times New Roman" w:hAnsi="Times New Roman"/>
          <w:sz w:val="24"/>
          <w:lang w:val="pt-BR"/>
        </w:rPr>
      </w:pPr>
      <w:r w:rsidRPr="003C12AE">
        <w:rPr>
          <w:rFonts w:ascii="Times New Roman" w:hAnsi="Times New Roman"/>
          <w:sz w:val="24"/>
          <w:lang w:val="pt-BR"/>
        </w:rPr>
        <w:t xml:space="preserve">42C. </w:t>
      </w:r>
      <w:r w:rsidRPr="003C12AE">
        <w:rPr>
          <w:rFonts w:ascii="Times New Roman" w:hAnsi="Times New Roman"/>
          <w:sz w:val="24"/>
          <w:lang w:val="pt-BR"/>
        </w:rPr>
        <w:tab/>
        <w:t>Para fins de aplicação dos requisitos de divulgação dos itens 42E a 42H, a entidade tem envolvimento contínuo em ativo financeiro transferido se, como parte da transferência, a entidade retiver quaisquer direitos ou obrigações contratuais inerentes ao ativo financeiro transferido ou obtiver quaisquer novos direitos ou obrigações contratuais relativos ao ativo financeiro transferido. Para as finalidades de aplicar os requisitos de divulgação dos itens 42E a 42H, os seguintes casos abaixo não constituem envolvimento contínuo:</w:t>
      </w:r>
    </w:p>
    <w:p w14:paraId="6110EC09"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(a) declarações e garantias normais relativas à transferência fraudulenta e conceitos de razoabilidade, boa fé e negociações justas que poderiam invalidar a transferência como resultado de ação judicial; </w:t>
      </w:r>
    </w:p>
    <w:p w14:paraId="613BF088"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(b) contratos a termo, de opções e outros contratos para readquirir o ativo financeiro transferido para o qual o preço contratual (ou preço de exercício) é o valor justo do ativo financeiro transferido; ou </w:t>
      </w:r>
    </w:p>
    <w:p w14:paraId="0E88D1C9" w14:textId="4BE326BD" w:rsidR="003C12AE" w:rsidRPr="003C12AE" w:rsidRDefault="003C12AE" w:rsidP="003C12AE">
      <w:pPr>
        <w:widowControl w:val="0"/>
        <w:tabs>
          <w:tab w:val="left" w:pos="6804"/>
        </w:tabs>
        <w:spacing w:before="0" w:after="0"/>
        <w:ind w:left="993" w:right="-1" w:hanging="426"/>
        <w:rPr>
          <w:rFonts w:ascii="Times New Roman" w:hAnsi="Times New Roman"/>
          <w:sz w:val="24"/>
          <w:lang w:val="pt-BR" w:eastAsia="x-none"/>
        </w:rPr>
      </w:pPr>
      <w:bookmarkStart w:id="3" w:name="ifrs_ebook_36"/>
      <w:bookmarkEnd w:id="3"/>
      <w:r w:rsidRPr="003C12AE">
        <w:rPr>
          <w:rFonts w:ascii="Times New Roman" w:hAnsi="Times New Roman"/>
          <w:sz w:val="24"/>
          <w:lang w:val="pt-BR" w:eastAsia="x-none"/>
        </w:rPr>
        <w:t xml:space="preserve">(c) </w:t>
      </w:r>
      <w:r w:rsidRPr="003C12AE">
        <w:rPr>
          <w:rFonts w:ascii="Times New Roman" w:hAnsi="Times New Roman"/>
          <w:sz w:val="24"/>
          <w:lang w:val="pt-BR" w:eastAsia="x-none"/>
        </w:rPr>
        <w:tab/>
        <w:t>acordo pelo qual a entidade retém os direitos contratuais de receber os fluxos de caixa de ativo financeiro, mas assume a obrigação contratual de pagar os fluxos de caixa para uma ou mais entidades e as condições dos itens 3.2.5(a) a (c) do CPC 48 forem satisfeitas.</w:t>
      </w:r>
    </w:p>
    <w:p w14:paraId="31E4BB00" w14:textId="77777777" w:rsidR="003C12AE" w:rsidRPr="003C12AE" w:rsidRDefault="003C12AE" w:rsidP="003C12AE">
      <w:pPr>
        <w:widowControl w:val="0"/>
        <w:tabs>
          <w:tab w:val="left" w:pos="6804"/>
        </w:tabs>
        <w:spacing w:before="0" w:after="0"/>
        <w:ind w:right="-1"/>
        <w:rPr>
          <w:rFonts w:ascii="Times New Roman" w:hAnsi="Times New Roman"/>
          <w:sz w:val="24"/>
          <w:lang w:val="pt-BR" w:eastAsia="x-none"/>
        </w:rPr>
      </w:pPr>
    </w:p>
    <w:p w14:paraId="39AD3F08" w14:textId="77777777" w:rsidR="004164F7" w:rsidRDefault="004164F7">
      <w:pPr>
        <w:spacing w:before="0" w:after="160" w:line="259" w:lineRule="auto"/>
        <w:jc w:val="left"/>
        <w:rPr>
          <w:rFonts w:ascii="Times New Roman" w:hAnsi="Times New Roman"/>
          <w:b/>
          <w:sz w:val="24"/>
          <w:lang w:val="pt-BR" w:eastAsia="x-none"/>
        </w:rPr>
      </w:pPr>
      <w:r>
        <w:rPr>
          <w:rFonts w:ascii="Times New Roman" w:hAnsi="Times New Roman"/>
          <w:b/>
          <w:sz w:val="24"/>
          <w:lang w:val="pt-BR" w:eastAsia="x-none"/>
        </w:rPr>
        <w:br w:type="page"/>
      </w:r>
    </w:p>
    <w:p w14:paraId="2EE6C492" w14:textId="64520596"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lastRenderedPageBreak/>
        <w:t xml:space="preserve">Ativos financeiros transferidos que não são desreconhecidos em sua totalidade </w:t>
      </w:r>
    </w:p>
    <w:p w14:paraId="660FD926" w14:textId="77777777" w:rsidR="003C12AE" w:rsidRPr="003C12AE" w:rsidRDefault="003C12AE" w:rsidP="003C12AE">
      <w:pPr>
        <w:widowControl w:val="0"/>
        <w:tabs>
          <w:tab w:val="left" w:pos="6804"/>
        </w:tabs>
        <w:spacing w:before="0" w:after="0"/>
        <w:ind w:right="-1"/>
        <w:rPr>
          <w:rFonts w:ascii="Times New Roman" w:hAnsi="Times New Roman"/>
          <w:sz w:val="24"/>
          <w:lang w:val="pt-BR" w:eastAsia="x-none"/>
        </w:rPr>
      </w:pPr>
    </w:p>
    <w:p w14:paraId="090A64EB" w14:textId="77777777" w:rsidR="003C12AE" w:rsidRPr="003C12AE" w:rsidRDefault="003C12AE" w:rsidP="003C12AE">
      <w:pPr>
        <w:spacing w:before="0"/>
        <w:ind w:left="567" w:right="-1" w:hanging="567"/>
        <w:rPr>
          <w:rFonts w:ascii="Times New Roman" w:hAnsi="Times New Roman"/>
          <w:sz w:val="24"/>
          <w:lang w:val="pt-BR"/>
        </w:rPr>
      </w:pPr>
      <w:r w:rsidRPr="003C12AE">
        <w:rPr>
          <w:rFonts w:ascii="Times New Roman" w:hAnsi="Times New Roman"/>
          <w:sz w:val="24"/>
          <w:lang w:val="pt-BR"/>
        </w:rPr>
        <w:t xml:space="preserve">42D. </w:t>
      </w:r>
      <w:r w:rsidRPr="003C12AE">
        <w:rPr>
          <w:rFonts w:ascii="Times New Roman" w:hAnsi="Times New Roman"/>
          <w:sz w:val="24"/>
          <w:lang w:val="pt-BR"/>
        </w:rPr>
        <w:tab/>
        <w:t>A entidade pode ter transferido ativos financeiros de tal forma que parte ou a totalidade dos ativos financeiros transferidos não se qualifiquem para desreconhecimento. Para alcançar os objetivos definidos no item 42B(a), a entidade deve divulgar, em cada data-base da demonstração contábil e para cada classe de ativos financeiros transferidos, que não são desreconhecidos em sua totalidade:</w:t>
      </w:r>
    </w:p>
    <w:p w14:paraId="6ECE443D"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(a) </w:t>
      </w:r>
      <w:r w:rsidRPr="003C12AE">
        <w:rPr>
          <w:rFonts w:ascii="Times New Roman" w:hAnsi="Times New Roman"/>
          <w:sz w:val="24"/>
          <w:lang w:val="pt-BR"/>
        </w:rPr>
        <w:tab/>
        <w:t>a natureza dos ativos transferidos;</w:t>
      </w:r>
    </w:p>
    <w:p w14:paraId="7A1CD330"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(b) </w:t>
      </w:r>
      <w:r w:rsidRPr="003C12AE">
        <w:rPr>
          <w:rFonts w:ascii="Times New Roman" w:hAnsi="Times New Roman"/>
          <w:sz w:val="24"/>
          <w:lang w:val="pt-BR"/>
        </w:rPr>
        <w:tab/>
        <w:t xml:space="preserve">a natureza dos riscos e benefícios da propriedade aos quais a entidade está exposta; </w:t>
      </w:r>
    </w:p>
    <w:p w14:paraId="3EDEE288"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(c) </w:t>
      </w:r>
      <w:r w:rsidRPr="003C12AE">
        <w:rPr>
          <w:rFonts w:ascii="Times New Roman" w:hAnsi="Times New Roman"/>
          <w:sz w:val="24"/>
          <w:lang w:val="pt-BR"/>
        </w:rPr>
        <w:tab/>
        <w:t>uma descrição da natureza da relação entre os ativos transferidos e os passivos associados, incluindo restrições decorrentes da transferência sobre o uso dos ativos transferidos pela entidade que está apresentando as demonstrações contábeis;</w:t>
      </w:r>
    </w:p>
    <w:p w14:paraId="07A54C42"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(d) </w:t>
      </w:r>
      <w:r w:rsidRPr="003C12AE">
        <w:rPr>
          <w:rFonts w:ascii="Times New Roman" w:hAnsi="Times New Roman"/>
          <w:sz w:val="24"/>
          <w:lang w:val="pt-BR"/>
        </w:rPr>
        <w:tab/>
        <w:t xml:space="preserve">quando a contraparte dos passivos associados tem recurso somente para os ativos transferidos, o cronograma que estabelece o valor justo dos ativos transferidos, o valor justo dos passivos associados e a posição líquida (a diferença entre o valor justo dos ativos transferidos e os passivos associados); </w:t>
      </w:r>
    </w:p>
    <w:p w14:paraId="6B6B3313"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(e) </w:t>
      </w:r>
      <w:r w:rsidRPr="003C12AE">
        <w:rPr>
          <w:rFonts w:ascii="Times New Roman" w:hAnsi="Times New Roman"/>
          <w:sz w:val="24"/>
          <w:lang w:val="pt-BR"/>
        </w:rPr>
        <w:tab/>
        <w:t xml:space="preserve">quando a entidade continuar a reconhecer a totalidade dos ativos transferidos, os valores contábeis dos ativos e dos passivos associados; </w:t>
      </w:r>
    </w:p>
    <w:p w14:paraId="52288593" w14:textId="4657F331" w:rsidR="003C12AE" w:rsidRPr="003C12AE" w:rsidRDefault="003C12AE" w:rsidP="003C12AE">
      <w:pPr>
        <w:spacing w:before="0" w:after="0"/>
        <w:ind w:left="993" w:right="-1" w:hanging="426"/>
        <w:rPr>
          <w:rFonts w:ascii="Times New Roman" w:hAnsi="Times New Roman"/>
          <w:sz w:val="24"/>
          <w:lang w:val="pt-BR"/>
        </w:rPr>
      </w:pPr>
      <w:r w:rsidRPr="003C12AE">
        <w:rPr>
          <w:rFonts w:ascii="Times New Roman" w:hAnsi="Times New Roman"/>
          <w:sz w:val="24"/>
          <w:lang w:val="pt-BR"/>
        </w:rPr>
        <w:t xml:space="preserve">(f) </w:t>
      </w:r>
      <w:r w:rsidRPr="003C12AE">
        <w:rPr>
          <w:rFonts w:ascii="Times New Roman" w:hAnsi="Times New Roman"/>
          <w:sz w:val="24"/>
          <w:lang w:val="pt-BR"/>
        </w:rPr>
        <w:tab/>
        <w:t>quando a entidade continuar a reconhecer os ativos na medida de seu envolvimento contínuo (ver itens 3.2.6(c)(ii) e 3.2.16 do CPC 48), o valor contábil total dos ativos originais antes da transferência, o valor contábil dos ativos que a entidade continua a reconhecer e o valor contábil dos passivos associados.</w:t>
      </w:r>
    </w:p>
    <w:p w14:paraId="77992BB8" w14:textId="77777777" w:rsidR="003C12AE" w:rsidRPr="003C12AE" w:rsidRDefault="003C12AE" w:rsidP="003C12AE">
      <w:pPr>
        <w:spacing w:before="0" w:after="0"/>
        <w:ind w:left="1134" w:right="-1" w:hanging="425"/>
        <w:rPr>
          <w:rFonts w:ascii="Times New Roman" w:hAnsi="Times New Roman"/>
          <w:sz w:val="24"/>
          <w:lang w:val="pt-BR"/>
        </w:rPr>
      </w:pPr>
    </w:p>
    <w:p w14:paraId="4A2F3172"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bookmarkStart w:id="4" w:name="ifrs_ebook_37"/>
      <w:bookmarkEnd w:id="4"/>
      <w:r w:rsidRPr="003C12AE">
        <w:rPr>
          <w:rFonts w:ascii="Times New Roman" w:hAnsi="Times New Roman"/>
          <w:b/>
          <w:sz w:val="24"/>
          <w:lang w:val="pt-BR" w:eastAsia="x-none"/>
        </w:rPr>
        <w:t xml:space="preserve">Ativos financeiros transferidos que são desreconhecidos em sua totalidade </w:t>
      </w:r>
    </w:p>
    <w:p w14:paraId="0F88C925" w14:textId="77777777" w:rsidR="003C12AE" w:rsidRPr="003C12AE" w:rsidRDefault="003C12AE" w:rsidP="003C12AE">
      <w:pPr>
        <w:spacing w:before="0" w:after="0"/>
        <w:ind w:left="709" w:right="-1"/>
        <w:jc w:val="left"/>
        <w:rPr>
          <w:rFonts w:ascii="Times New Roman" w:hAnsi="Times New Roman"/>
          <w:color w:val="000000"/>
          <w:sz w:val="24"/>
          <w:lang w:val="pt-BR"/>
        </w:rPr>
      </w:pPr>
    </w:p>
    <w:p w14:paraId="4BFA7E1A" w14:textId="4DBCCF5F" w:rsidR="003C12AE" w:rsidRPr="003C12AE" w:rsidRDefault="003C12AE" w:rsidP="003C12AE">
      <w:pPr>
        <w:spacing w:before="0"/>
        <w:ind w:left="567" w:right="-1" w:hanging="567"/>
        <w:rPr>
          <w:rFonts w:ascii="Times New Roman" w:hAnsi="Times New Roman"/>
          <w:sz w:val="24"/>
          <w:lang w:val="pt-BR"/>
        </w:rPr>
      </w:pPr>
      <w:r w:rsidRPr="003C12AE">
        <w:rPr>
          <w:rFonts w:ascii="Times New Roman" w:hAnsi="Times New Roman"/>
          <w:sz w:val="24"/>
          <w:lang w:val="pt-BR"/>
        </w:rPr>
        <w:t xml:space="preserve">42E. </w:t>
      </w:r>
      <w:r w:rsidRPr="003C12AE">
        <w:rPr>
          <w:rFonts w:ascii="Times New Roman" w:hAnsi="Times New Roman"/>
          <w:sz w:val="24"/>
          <w:lang w:val="pt-BR"/>
        </w:rPr>
        <w:tab/>
        <w:t>Para alcançar os objetivos definidos no item 42B(b), quando a entidade desreconhece ativos financeiros transferidos em sua totalidade (ver itens 3.2.6(a) e (c)(i) do CPC 48), mas tem envolvimento contínuo neles, a entidade deve divulgar, no mínimo, para cada tipo de envolvimento contínuo em cada data-base:</w:t>
      </w:r>
    </w:p>
    <w:p w14:paraId="63C493BE"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(a) </w:t>
      </w:r>
      <w:r w:rsidRPr="003C12AE">
        <w:rPr>
          <w:rFonts w:ascii="Times New Roman" w:hAnsi="Times New Roman"/>
          <w:sz w:val="24"/>
          <w:lang w:val="pt-BR"/>
        </w:rPr>
        <w:tab/>
        <w:t xml:space="preserve">o valor contábil dos ativos e passivos que são reconhecidos no balanço patrimonial da entidade e que representam o envolvimento contínuo da entidade nos ativos financeiros desreconhecidos, e as rubricas em que são reconhecidos os valores contábeis desses ativos e passivos; </w:t>
      </w:r>
    </w:p>
    <w:p w14:paraId="0764DA3C"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(b) </w:t>
      </w:r>
      <w:r w:rsidRPr="003C12AE">
        <w:rPr>
          <w:rFonts w:ascii="Times New Roman" w:hAnsi="Times New Roman"/>
          <w:sz w:val="24"/>
          <w:lang w:val="pt-BR"/>
        </w:rPr>
        <w:tab/>
        <w:t xml:space="preserve">o valor justo dos ativos e passivos que representa o envolvimento contínuo da entidade nos ativos financeiros desreconhecidos; </w:t>
      </w:r>
    </w:p>
    <w:p w14:paraId="4314ED17"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(c) </w:t>
      </w:r>
      <w:r w:rsidRPr="003C12AE">
        <w:rPr>
          <w:rFonts w:ascii="Times New Roman" w:hAnsi="Times New Roman"/>
          <w:sz w:val="24"/>
          <w:lang w:val="pt-BR"/>
        </w:rPr>
        <w:tab/>
        <w:t xml:space="preserve">o valor que melhor representa a exposição máxima da entidade à perda a partir de seu envolvimento contínuo nos ativos financeiros desreconhecidos, e informações que mostram como a exposição máxima à perda é determinada; </w:t>
      </w:r>
    </w:p>
    <w:p w14:paraId="14D8552A"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(d) </w:t>
      </w:r>
      <w:r w:rsidRPr="003C12AE">
        <w:rPr>
          <w:rFonts w:ascii="Times New Roman" w:hAnsi="Times New Roman"/>
          <w:sz w:val="24"/>
          <w:lang w:val="pt-BR"/>
        </w:rPr>
        <w:tab/>
        <w:t xml:space="preserve">as saídas de caixa não descontadas que seriam ou poderiam ser requeridas para recomprar ativos financeiros desreconhecidos (por exemplo, o preço de exercício em contrato de opções) ou outros </w:t>
      </w:r>
      <w:r w:rsidRPr="003C12AE">
        <w:rPr>
          <w:rFonts w:ascii="Times New Roman" w:hAnsi="Times New Roman"/>
          <w:sz w:val="24"/>
          <w:lang w:val="pt-BR"/>
        </w:rPr>
        <w:lastRenderedPageBreak/>
        <w:t xml:space="preserve">valores a pagar ao cessionário em relação aos ativos transferidos. Se a saída de caixa for variável, então o valor divulgado deve ser baseado nas condições existentes em cada período de relatório; </w:t>
      </w:r>
    </w:p>
    <w:p w14:paraId="4A47DC83"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(e) </w:t>
      </w:r>
      <w:r w:rsidRPr="003C12AE">
        <w:rPr>
          <w:rFonts w:ascii="Times New Roman" w:hAnsi="Times New Roman"/>
          <w:sz w:val="24"/>
          <w:lang w:val="pt-BR"/>
        </w:rPr>
        <w:tab/>
        <w:t xml:space="preserve">uma análise de vencimento das saídas de fluxo de caixa não descontadas que seriam ou poderiam ser requeridas para recomprar os ativos financeiros desreconhecidos ou outros valores pagáveis ao cessionário em relação aos ativos transferidos, demonstrando os vencimentos contratuais restantes do envolvimento contínuo da entidade; </w:t>
      </w:r>
    </w:p>
    <w:p w14:paraId="41E36688" w14:textId="77777777" w:rsidR="003C12AE" w:rsidRPr="003C12AE" w:rsidRDefault="003C12AE" w:rsidP="003C12AE">
      <w:pPr>
        <w:spacing w:before="0" w:after="0"/>
        <w:ind w:left="993" w:right="-1" w:hanging="426"/>
        <w:rPr>
          <w:rFonts w:ascii="Times New Roman" w:hAnsi="Times New Roman"/>
          <w:sz w:val="24"/>
          <w:lang w:val="pt-BR"/>
        </w:rPr>
      </w:pPr>
      <w:r w:rsidRPr="003C12AE">
        <w:rPr>
          <w:rFonts w:ascii="Times New Roman" w:hAnsi="Times New Roman"/>
          <w:sz w:val="24"/>
          <w:lang w:val="pt-BR"/>
        </w:rPr>
        <w:t xml:space="preserve">(f) </w:t>
      </w:r>
      <w:r w:rsidRPr="003C12AE">
        <w:rPr>
          <w:rFonts w:ascii="Times New Roman" w:hAnsi="Times New Roman"/>
          <w:sz w:val="24"/>
          <w:lang w:val="pt-BR"/>
        </w:rPr>
        <w:tab/>
        <w:t xml:space="preserve">informações qualitativas que explicam e suportam as divulgações quantitativas requeridas em (a) a (e). </w:t>
      </w:r>
    </w:p>
    <w:p w14:paraId="4BE13A2F" w14:textId="77777777" w:rsidR="003C12AE" w:rsidRPr="003C12AE" w:rsidRDefault="003C12AE" w:rsidP="003C12AE">
      <w:pPr>
        <w:spacing w:before="0" w:after="0"/>
        <w:ind w:left="1134" w:right="-1" w:hanging="425"/>
        <w:rPr>
          <w:rFonts w:ascii="Times New Roman" w:hAnsi="Times New Roman"/>
          <w:sz w:val="24"/>
          <w:lang w:val="pt-BR"/>
        </w:rPr>
      </w:pPr>
    </w:p>
    <w:p w14:paraId="1A82018E" w14:textId="77777777"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 xml:space="preserve">42F. </w:t>
      </w:r>
      <w:r w:rsidRPr="003C12AE">
        <w:rPr>
          <w:rFonts w:ascii="Times New Roman" w:hAnsi="Times New Roman"/>
          <w:sz w:val="24"/>
          <w:lang w:val="pt-BR"/>
        </w:rPr>
        <w:tab/>
        <w:t xml:space="preserve">A entidade pode agregar as informações requeridas pelo item 42E em relação a ativo específico se a entidade tiver mais do que um tipo de envolvimento contínuo nesse ativo financeiro desreconhecido e reportá-lo sob um tipo de envolvimento contínuo. </w:t>
      </w:r>
    </w:p>
    <w:p w14:paraId="08826E52" w14:textId="77777777" w:rsidR="003C12AE" w:rsidRPr="003C12AE" w:rsidRDefault="003C12AE" w:rsidP="003C12AE">
      <w:pPr>
        <w:spacing w:before="0" w:after="0"/>
        <w:ind w:left="709" w:right="-1" w:hanging="709"/>
        <w:rPr>
          <w:rFonts w:ascii="Times New Roman" w:hAnsi="Times New Roman"/>
          <w:sz w:val="24"/>
          <w:lang w:val="pt-BR"/>
        </w:rPr>
      </w:pPr>
    </w:p>
    <w:p w14:paraId="0ECEE914" w14:textId="77777777" w:rsidR="003C12AE" w:rsidRPr="003C12AE" w:rsidRDefault="003C12AE" w:rsidP="003C12AE">
      <w:pPr>
        <w:spacing w:before="0"/>
        <w:ind w:left="567" w:right="-1" w:hanging="567"/>
        <w:rPr>
          <w:rFonts w:ascii="Times New Roman" w:hAnsi="Times New Roman"/>
          <w:sz w:val="24"/>
          <w:lang w:val="pt-BR"/>
        </w:rPr>
      </w:pPr>
      <w:r w:rsidRPr="003C12AE">
        <w:rPr>
          <w:rFonts w:ascii="Times New Roman" w:hAnsi="Times New Roman"/>
          <w:sz w:val="24"/>
          <w:lang w:val="pt-BR"/>
        </w:rPr>
        <w:t xml:space="preserve">42G. </w:t>
      </w:r>
      <w:r w:rsidRPr="003C12AE">
        <w:rPr>
          <w:rFonts w:ascii="Times New Roman" w:hAnsi="Times New Roman"/>
          <w:sz w:val="24"/>
          <w:lang w:val="pt-BR"/>
        </w:rPr>
        <w:tab/>
        <w:t xml:space="preserve">Adicionalmente, a entidade deve divulgar para cada tipo de envolvimento contínuo: </w:t>
      </w:r>
    </w:p>
    <w:p w14:paraId="32D05AF7"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(a) </w:t>
      </w:r>
      <w:r w:rsidRPr="003C12AE">
        <w:rPr>
          <w:rFonts w:ascii="Times New Roman" w:hAnsi="Times New Roman"/>
          <w:sz w:val="24"/>
          <w:lang w:val="pt-BR"/>
        </w:rPr>
        <w:tab/>
        <w:t xml:space="preserve">o ganho ou perda reconhecida na data de transferência dos ativos; </w:t>
      </w:r>
    </w:p>
    <w:p w14:paraId="7E3E8021"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(b) </w:t>
      </w:r>
      <w:r w:rsidRPr="003C12AE">
        <w:rPr>
          <w:rFonts w:ascii="Times New Roman" w:hAnsi="Times New Roman"/>
          <w:sz w:val="24"/>
          <w:lang w:val="pt-BR"/>
        </w:rPr>
        <w:tab/>
        <w:t xml:space="preserve">receitas e despesas reconhecidas, tanto na data-base quanto cumulativamente, a partir do envolvimento contínuo da entidade nos ativos financeiros desreconhecidos (por exemplo, mudanças no valor justo de instrumentos derivativos); </w:t>
      </w:r>
    </w:p>
    <w:p w14:paraId="3EC6805A"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(c) </w:t>
      </w:r>
      <w:r w:rsidRPr="003C12AE">
        <w:rPr>
          <w:rFonts w:ascii="Times New Roman" w:hAnsi="Times New Roman"/>
          <w:sz w:val="24"/>
          <w:lang w:val="pt-BR"/>
        </w:rPr>
        <w:tab/>
        <w:t xml:space="preserve">se o valor total dos recursos da atividade de transferência (que qualifica para desreconhecimento) em uma data-base não é distribuído uniformemente ao longo de todo o período das demonstrações contábeis (por exemplo, se uma parte substancial do valor total da atividade de transferência ocorre nos dias de fechamento do período das demonstrações contábeis): </w:t>
      </w:r>
    </w:p>
    <w:p w14:paraId="6036DB07" w14:textId="77777777" w:rsidR="003C12AE" w:rsidRPr="003C12AE" w:rsidRDefault="003C12AE" w:rsidP="003C12AE">
      <w:pPr>
        <w:spacing w:before="0"/>
        <w:ind w:left="1418" w:right="-1" w:hanging="425"/>
        <w:rPr>
          <w:rFonts w:ascii="Times New Roman" w:hAnsi="Times New Roman"/>
          <w:sz w:val="24"/>
          <w:lang w:val="pt-BR"/>
        </w:rPr>
      </w:pPr>
      <w:r w:rsidRPr="003C12AE">
        <w:rPr>
          <w:rFonts w:ascii="Times New Roman" w:hAnsi="Times New Roman"/>
          <w:sz w:val="24"/>
          <w:lang w:val="pt-BR"/>
        </w:rPr>
        <w:t xml:space="preserve">(i) quando a principal atividade de transferência ocorre dentro desse período das demonstrações contábeis (por exemplo, os últimos cinco dias antes do final do período); </w:t>
      </w:r>
    </w:p>
    <w:p w14:paraId="337D8FAF" w14:textId="77777777" w:rsidR="003C12AE" w:rsidRPr="003C12AE" w:rsidRDefault="003C12AE" w:rsidP="003C12AE">
      <w:pPr>
        <w:spacing w:before="0"/>
        <w:ind w:left="1418" w:right="-1" w:hanging="425"/>
        <w:rPr>
          <w:rFonts w:ascii="Times New Roman" w:hAnsi="Times New Roman"/>
          <w:sz w:val="24"/>
          <w:lang w:val="pt-BR"/>
        </w:rPr>
      </w:pPr>
      <w:r w:rsidRPr="003C12AE">
        <w:rPr>
          <w:rFonts w:ascii="Times New Roman" w:hAnsi="Times New Roman"/>
          <w:sz w:val="24"/>
          <w:lang w:val="pt-BR"/>
        </w:rPr>
        <w:t xml:space="preserve">(ii) o valor (por exemplo, os respectivos ganhos ou perdas) reconhecido a partir da atividade de transferência nessa parte do período das demonstrações contábeis; e </w:t>
      </w:r>
    </w:p>
    <w:p w14:paraId="72FDF4E1" w14:textId="77777777" w:rsidR="003C12AE" w:rsidRPr="003C12AE" w:rsidRDefault="003C12AE" w:rsidP="003C12AE">
      <w:pPr>
        <w:spacing w:before="0"/>
        <w:ind w:left="1418" w:right="-1" w:hanging="425"/>
        <w:rPr>
          <w:rFonts w:ascii="Times New Roman" w:hAnsi="Times New Roman"/>
          <w:sz w:val="24"/>
          <w:lang w:val="pt-BR"/>
        </w:rPr>
      </w:pPr>
      <w:r w:rsidRPr="003C12AE">
        <w:rPr>
          <w:rFonts w:ascii="Times New Roman" w:hAnsi="Times New Roman"/>
          <w:sz w:val="24"/>
          <w:lang w:val="pt-BR"/>
        </w:rPr>
        <w:t xml:space="preserve">(iii) o valor total dos rendimentos da atividade de transferência nessa parte do período das demonstrações contábeis. </w:t>
      </w:r>
    </w:p>
    <w:p w14:paraId="13A84072" w14:textId="77777777" w:rsidR="003C12AE" w:rsidRPr="003C12AE" w:rsidRDefault="003C12AE" w:rsidP="003C12AE">
      <w:pPr>
        <w:spacing w:before="0" w:after="0"/>
        <w:ind w:left="567" w:right="-1"/>
        <w:rPr>
          <w:rFonts w:ascii="Times New Roman" w:hAnsi="Times New Roman"/>
          <w:sz w:val="24"/>
          <w:lang w:val="pt-BR"/>
        </w:rPr>
      </w:pPr>
      <w:r w:rsidRPr="003C12AE">
        <w:rPr>
          <w:rFonts w:ascii="Times New Roman" w:hAnsi="Times New Roman"/>
          <w:sz w:val="24"/>
          <w:lang w:val="pt-BR"/>
        </w:rPr>
        <w:t>A entidade deve fornecer essas informações para cada período para o qual a demonstração do</w:t>
      </w:r>
      <w:r w:rsidRPr="003C12AE">
        <w:rPr>
          <w:rFonts w:ascii="Times New Roman" w:hAnsi="Times New Roman"/>
          <w:color w:val="000000"/>
          <w:sz w:val="27"/>
          <w:szCs w:val="27"/>
          <w:lang w:val="pt-BR"/>
        </w:rPr>
        <w:t xml:space="preserve"> </w:t>
      </w:r>
      <w:r w:rsidRPr="003C12AE">
        <w:rPr>
          <w:rFonts w:ascii="Times New Roman" w:hAnsi="Times New Roman"/>
          <w:sz w:val="24"/>
          <w:lang w:val="pt-BR"/>
        </w:rPr>
        <w:t xml:space="preserve">resultado abrangente é apresentada. </w:t>
      </w:r>
    </w:p>
    <w:p w14:paraId="38BD0DB0"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bookmarkStart w:id="5" w:name="ifrs_ebook_38"/>
      <w:bookmarkEnd w:id="5"/>
    </w:p>
    <w:p w14:paraId="47C2DC39"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Informações suplementares</w:t>
      </w:r>
    </w:p>
    <w:p w14:paraId="198754E5"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77D09507" w14:textId="77777777" w:rsidR="003C12AE" w:rsidRPr="003C12AE" w:rsidRDefault="003C12AE" w:rsidP="003C12AE">
      <w:pPr>
        <w:spacing w:before="0" w:after="0"/>
        <w:ind w:left="567" w:right="-1" w:hanging="567"/>
        <w:rPr>
          <w:rFonts w:ascii="Times New Roman" w:hAnsi="Times New Roman"/>
          <w:color w:val="000000"/>
          <w:sz w:val="24"/>
          <w:lang w:val="pt-BR"/>
        </w:rPr>
      </w:pPr>
      <w:r w:rsidRPr="003C12AE">
        <w:rPr>
          <w:rFonts w:ascii="Times New Roman" w:hAnsi="Times New Roman"/>
          <w:sz w:val="24"/>
          <w:lang w:val="pt-BR"/>
        </w:rPr>
        <w:t xml:space="preserve">42H. A entidade deve divulgar quaisquer informações adicionais que considerar necessárias para alcançar os objetivos de divulgação do item 42B. </w:t>
      </w:r>
    </w:p>
    <w:p w14:paraId="17F22475"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p>
    <w:p w14:paraId="5A29BDA4" w14:textId="77777777" w:rsidR="00955A45" w:rsidRDefault="00955A45">
      <w:pPr>
        <w:spacing w:before="0" w:after="160" w:line="259" w:lineRule="auto"/>
        <w:jc w:val="left"/>
        <w:rPr>
          <w:rFonts w:ascii="Times New Roman" w:hAnsi="Times New Roman"/>
          <w:b/>
          <w:bCs/>
          <w:sz w:val="24"/>
          <w:lang w:val="pt-BR"/>
        </w:rPr>
      </w:pPr>
      <w:r>
        <w:rPr>
          <w:rFonts w:ascii="Times New Roman" w:hAnsi="Times New Roman"/>
          <w:b/>
          <w:bCs/>
          <w:sz w:val="24"/>
          <w:lang w:val="pt-BR"/>
        </w:rPr>
        <w:br w:type="page"/>
      </w:r>
    </w:p>
    <w:p w14:paraId="3F6D5A2C" w14:textId="5F6C55F0" w:rsidR="003C12AE" w:rsidRPr="003C12AE" w:rsidRDefault="003C12AE" w:rsidP="003C12AE">
      <w:pPr>
        <w:autoSpaceDE w:val="0"/>
        <w:autoSpaceDN w:val="0"/>
        <w:adjustRightInd w:val="0"/>
        <w:spacing w:before="0" w:after="0"/>
        <w:rPr>
          <w:rFonts w:ascii="Times New Roman" w:hAnsi="Times New Roman"/>
          <w:b/>
          <w:bCs/>
          <w:sz w:val="24"/>
          <w:lang w:val="pt-BR"/>
        </w:rPr>
      </w:pPr>
      <w:r w:rsidRPr="003C12AE">
        <w:rPr>
          <w:rFonts w:ascii="Times New Roman" w:hAnsi="Times New Roman"/>
          <w:b/>
          <w:bCs/>
          <w:sz w:val="24"/>
          <w:lang w:val="pt-BR"/>
        </w:rPr>
        <w:lastRenderedPageBreak/>
        <w:t xml:space="preserve">Aplicação inicial do CPC 48 </w:t>
      </w:r>
    </w:p>
    <w:p w14:paraId="61291044" w14:textId="77777777" w:rsidR="003C12AE" w:rsidRPr="003C12AE" w:rsidRDefault="003C12AE" w:rsidP="003C12AE">
      <w:pPr>
        <w:autoSpaceDE w:val="0"/>
        <w:autoSpaceDN w:val="0"/>
        <w:adjustRightInd w:val="0"/>
        <w:spacing w:before="0" w:after="0"/>
        <w:rPr>
          <w:rFonts w:ascii="Times New Roman" w:hAnsi="Times New Roman"/>
          <w:b/>
          <w:bCs/>
          <w:sz w:val="24"/>
          <w:lang w:val="pt-BR"/>
        </w:rPr>
      </w:pPr>
    </w:p>
    <w:p w14:paraId="7F61E913" w14:textId="77777777" w:rsidR="003C12AE" w:rsidRPr="003C12AE" w:rsidRDefault="003C12AE" w:rsidP="003C12AE">
      <w:pPr>
        <w:autoSpaceDE w:val="0"/>
        <w:autoSpaceDN w:val="0"/>
        <w:adjustRightInd w:val="0"/>
        <w:spacing w:before="0"/>
        <w:ind w:left="567" w:hanging="567"/>
        <w:rPr>
          <w:rFonts w:ascii="Times New Roman" w:hAnsi="Times New Roman"/>
          <w:bCs/>
          <w:sz w:val="24"/>
          <w:lang w:val="pt-BR"/>
        </w:rPr>
      </w:pPr>
      <w:r w:rsidRPr="003C12AE">
        <w:rPr>
          <w:rFonts w:ascii="Times New Roman" w:hAnsi="Times New Roman"/>
          <w:bCs/>
          <w:sz w:val="24"/>
          <w:lang w:val="pt-BR"/>
        </w:rPr>
        <w:t xml:space="preserve">42I. No período de relatório que inclui a data da aplicação inicial do CPC 48, a entidade deve divulgar as seguintes informações para cada classe de ativos financeiros e passivos financeiros na data da aplicação inicial: </w:t>
      </w:r>
    </w:p>
    <w:p w14:paraId="6A377F14"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(a) </w:t>
      </w:r>
      <w:r w:rsidRPr="003C12AE">
        <w:rPr>
          <w:rFonts w:ascii="Times New Roman" w:hAnsi="Times New Roman"/>
          <w:bCs/>
          <w:sz w:val="24"/>
          <w:lang w:val="pt-BR"/>
        </w:rPr>
        <w:tab/>
        <w:t xml:space="preserve">a categoria de mensuração original e o valor contábil determinados de acordo com o CPC 38 ou de acordo com a versão anterior do CPC 48 (se a abordagem escolhida pela entidade de aplicar o CPC 48 envolver mais do que uma data de aplicação inicial para diferentes requisitos); </w:t>
      </w:r>
    </w:p>
    <w:p w14:paraId="6E1301CC"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(b) </w:t>
      </w:r>
      <w:r w:rsidRPr="003C12AE">
        <w:rPr>
          <w:rFonts w:ascii="Times New Roman" w:hAnsi="Times New Roman"/>
          <w:bCs/>
          <w:sz w:val="24"/>
          <w:lang w:val="pt-BR"/>
        </w:rPr>
        <w:tab/>
        <w:t xml:space="preserve">a nova categoria de mensuração e o valor contábil determinado de acordo com o CPC 48; </w:t>
      </w:r>
    </w:p>
    <w:p w14:paraId="6A38DFA6"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(c) </w:t>
      </w:r>
      <w:r w:rsidRPr="003C12AE">
        <w:rPr>
          <w:rFonts w:ascii="Times New Roman" w:hAnsi="Times New Roman"/>
          <w:bCs/>
          <w:sz w:val="24"/>
          <w:lang w:val="pt-BR"/>
        </w:rPr>
        <w:tab/>
        <w:t xml:space="preserve">o valor de quaisquer ativos financeiros e passivos financeiros no balanço patrimonial que foram anteriormente designados como mensurados ao valor justo por meio do resultado, mas que não são mais designados dessa forma, distinguindo entre aqueles que o CPC 48 requer que a entidade reclassifique e aqueles que a entidade opta por reclassificar na data da aplicação inicial.  </w:t>
      </w:r>
    </w:p>
    <w:p w14:paraId="22E8DCEA" w14:textId="0E5D142C" w:rsidR="003C12AE" w:rsidRPr="003C12AE" w:rsidRDefault="003C12AE" w:rsidP="003C12AE">
      <w:pPr>
        <w:autoSpaceDE w:val="0"/>
        <w:autoSpaceDN w:val="0"/>
        <w:adjustRightInd w:val="0"/>
        <w:spacing w:before="0" w:after="0"/>
        <w:ind w:left="567"/>
        <w:rPr>
          <w:rFonts w:ascii="Times New Roman" w:hAnsi="Times New Roman"/>
          <w:bCs/>
          <w:sz w:val="24"/>
          <w:lang w:val="pt-BR"/>
        </w:rPr>
      </w:pPr>
      <w:r w:rsidRPr="003C12AE">
        <w:rPr>
          <w:rFonts w:ascii="Times New Roman" w:hAnsi="Times New Roman"/>
          <w:bCs/>
          <w:sz w:val="24"/>
          <w:lang w:val="pt-BR"/>
        </w:rPr>
        <w:t>De acordo com o item 7.2.2 do CPC 48, dependendo da abordagem escolhida pela entidade para aplicar o CPC 48, a transição pode envolver mais do que uma data de aplicação inicial. Portanto, este item pode resultar em divulgação em mais de uma data de aplicação inicial. A entidade deve apresentar essas divulgações quantitativas em tabela, salvo se outro formato for mais apropriado.</w:t>
      </w:r>
    </w:p>
    <w:p w14:paraId="5A6FCF47" w14:textId="77777777" w:rsidR="003C12AE" w:rsidRPr="003C12AE" w:rsidRDefault="003C12AE" w:rsidP="003C12AE">
      <w:pPr>
        <w:autoSpaceDE w:val="0"/>
        <w:autoSpaceDN w:val="0"/>
        <w:adjustRightInd w:val="0"/>
        <w:spacing w:before="0" w:after="0"/>
        <w:rPr>
          <w:rFonts w:ascii="Times New Roman" w:hAnsi="Times New Roman"/>
          <w:bCs/>
          <w:sz w:val="24"/>
          <w:lang w:val="pt-BR"/>
        </w:rPr>
      </w:pPr>
    </w:p>
    <w:p w14:paraId="0E6FC192" w14:textId="77777777" w:rsidR="003C12AE" w:rsidRPr="003C12AE" w:rsidRDefault="003C12AE" w:rsidP="003C12AE">
      <w:pPr>
        <w:autoSpaceDE w:val="0"/>
        <w:autoSpaceDN w:val="0"/>
        <w:adjustRightInd w:val="0"/>
        <w:spacing w:before="0"/>
        <w:ind w:left="567" w:hanging="567"/>
        <w:rPr>
          <w:rFonts w:ascii="Times New Roman" w:hAnsi="Times New Roman"/>
          <w:bCs/>
          <w:sz w:val="24"/>
          <w:lang w:val="pt-BR"/>
        </w:rPr>
      </w:pPr>
      <w:r w:rsidRPr="003C12AE">
        <w:rPr>
          <w:rFonts w:ascii="Times New Roman" w:hAnsi="Times New Roman"/>
          <w:bCs/>
          <w:sz w:val="24"/>
          <w:lang w:val="pt-BR"/>
        </w:rPr>
        <w:t xml:space="preserve">42J. No período de relatório que inclui a data da aplicação inicial do CPC 48, a entidade deve divulgar informações qualitativas para permitir aos usuários compreenderem: </w:t>
      </w:r>
    </w:p>
    <w:p w14:paraId="7061AB4B"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(a) </w:t>
      </w:r>
      <w:r w:rsidRPr="003C12AE">
        <w:rPr>
          <w:rFonts w:ascii="Times New Roman" w:hAnsi="Times New Roman"/>
          <w:bCs/>
          <w:sz w:val="24"/>
          <w:lang w:val="pt-BR"/>
        </w:rPr>
        <w:tab/>
        <w:t xml:space="preserve">como a entidade aplicou os requisitos de classificação do CPC 48 a esses ativos financeiros, cuja classificação alterou-se como resultado da aplicação do CPC 48; </w:t>
      </w:r>
    </w:p>
    <w:p w14:paraId="6DF5515B"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(b) </w:t>
      </w:r>
      <w:r w:rsidRPr="003C12AE">
        <w:rPr>
          <w:rFonts w:ascii="Times New Roman" w:hAnsi="Times New Roman"/>
          <w:bCs/>
          <w:sz w:val="24"/>
          <w:lang w:val="pt-BR"/>
        </w:rPr>
        <w:tab/>
        <w:t xml:space="preserve">as razões para qualquer designação ou nova designação de ativos financeiros ou passivos financeiros como mensurados ao valor justo por meio do resultado, na data da aplicação inicial. </w:t>
      </w:r>
    </w:p>
    <w:p w14:paraId="773F0CA9" w14:textId="23DB9C6D" w:rsidR="003C12AE" w:rsidRPr="003C12AE" w:rsidRDefault="003C12AE" w:rsidP="003C12AE">
      <w:pPr>
        <w:autoSpaceDE w:val="0"/>
        <w:autoSpaceDN w:val="0"/>
        <w:adjustRightInd w:val="0"/>
        <w:spacing w:before="0" w:after="0"/>
        <w:ind w:left="567"/>
        <w:rPr>
          <w:rFonts w:ascii="Times New Roman" w:hAnsi="Times New Roman"/>
          <w:bCs/>
          <w:sz w:val="24"/>
          <w:lang w:val="pt-BR"/>
        </w:rPr>
      </w:pPr>
      <w:r w:rsidRPr="003C12AE">
        <w:rPr>
          <w:rFonts w:ascii="Times New Roman" w:hAnsi="Times New Roman"/>
          <w:bCs/>
          <w:sz w:val="24"/>
          <w:lang w:val="pt-BR"/>
        </w:rPr>
        <w:t>De acordo com o item 7.2.2 do CPC 48, dependendo da abordagem escolhida pela entidade para aplicar o CPC 48, a transição pode envolver mais do que uma data de aplicação inicial. Portanto, este item pode resultar em divulgação em mais de uma data de aplicação inicial.</w:t>
      </w:r>
    </w:p>
    <w:p w14:paraId="48D5B24B" w14:textId="77777777" w:rsidR="003C12AE" w:rsidRPr="003C12AE" w:rsidRDefault="003C12AE" w:rsidP="003C12AE">
      <w:pPr>
        <w:autoSpaceDE w:val="0"/>
        <w:autoSpaceDN w:val="0"/>
        <w:adjustRightInd w:val="0"/>
        <w:spacing w:before="0" w:after="0"/>
        <w:rPr>
          <w:rFonts w:ascii="Times New Roman" w:hAnsi="Times New Roman"/>
          <w:b/>
          <w:bCs/>
          <w:sz w:val="24"/>
          <w:lang w:val="pt-BR"/>
        </w:rPr>
      </w:pPr>
    </w:p>
    <w:p w14:paraId="4925CDAC" w14:textId="3B0CBD2B" w:rsidR="003C12AE" w:rsidRPr="003C12AE" w:rsidRDefault="003C12AE" w:rsidP="003C12AE">
      <w:pPr>
        <w:autoSpaceDE w:val="0"/>
        <w:autoSpaceDN w:val="0"/>
        <w:adjustRightInd w:val="0"/>
        <w:spacing w:before="0" w:after="0"/>
        <w:ind w:left="567" w:hanging="567"/>
        <w:rPr>
          <w:rFonts w:ascii="Times New Roman" w:hAnsi="Times New Roman"/>
          <w:bCs/>
          <w:sz w:val="24"/>
          <w:lang w:val="pt-BR"/>
        </w:rPr>
      </w:pPr>
      <w:r w:rsidRPr="003C12AE">
        <w:rPr>
          <w:rFonts w:ascii="Times New Roman" w:hAnsi="Times New Roman"/>
          <w:bCs/>
          <w:sz w:val="24"/>
          <w:lang w:val="pt-BR"/>
        </w:rPr>
        <w:t>42K. No período de relatório em que a entidade aplicar, pela primeira vez, os requisitos de mensuração e classificação para ativos financeiros do CPC 48 (ou seja, quando a entidade realizar a transição do CPC 38 para o CPC 48 para ativos financeiros), ela deve apresentar as divulgações previstas nos itens 42L a 42O deste pronunciamento, conforme requerido pelo item 7.2.15 do CPC 48.</w:t>
      </w:r>
    </w:p>
    <w:p w14:paraId="4A5024F0" w14:textId="77777777" w:rsidR="003C12AE" w:rsidRPr="003C12AE" w:rsidRDefault="003C12AE" w:rsidP="003C12AE">
      <w:pPr>
        <w:autoSpaceDE w:val="0"/>
        <w:autoSpaceDN w:val="0"/>
        <w:adjustRightInd w:val="0"/>
        <w:spacing w:before="0" w:after="0"/>
        <w:rPr>
          <w:rFonts w:ascii="Times New Roman" w:hAnsi="Times New Roman"/>
          <w:b/>
          <w:bCs/>
          <w:sz w:val="24"/>
          <w:lang w:val="pt-BR"/>
        </w:rPr>
      </w:pPr>
    </w:p>
    <w:p w14:paraId="7FA5E2C6" w14:textId="77777777" w:rsidR="003C12AE" w:rsidRPr="003C12AE" w:rsidRDefault="003C12AE" w:rsidP="003C12AE">
      <w:pPr>
        <w:autoSpaceDE w:val="0"/>
        <w:autoSpaceDN w:val="0"/>
        <w:adjustRightInd w:val="0"/>
        <w:spacing w:before="0"/>
        <w:ind w:left="567" w:hanging="567"/>
        <w:rPr>
          <w:rFonts w:ascii="Times New Roman" w:hAnsi="Times New Roman"/>
          <w:bCs/>
          <w:sz w:val="24"/>
          <w:lang w:val="pt-BR"/>
        </w:rPr>
      </w:pPr>
      <w:r w:rsidRPr="003C12AE">
        <w:rPr>
          <w:rFonts w:ascii="Times New Roman" w:hAnsi="Times New Roman"/>
          <w:bCs/>
          <w:sz w:val="24"/>
          <w:lang w:val="pt-BR"/>
        </w:rPr>
        <w:t xml:space="preserve">42L. Quando requerido pelo item 42K, a entidade deve divulgar as alterações nas classificações de ativos financeiros e passivos financeiros na data da aplicação inicial do CPC 48, mostrando separadamente: </w:t>
      </w:r>
    </w:p>
    <w:p w14:paraId="19F9D319"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(a) </w:t>
      </w:r>
      <w:r w:rsidRPr="003C12AE">
        <w:rPr>
          <w:rFonts w:ascii="Times New Roman" w:hAnsi="Times New Roman"/>
          <w:bCs/>
          <w:sz w:val="24"/>
          <w:lang w:val="pt-BR"/>
        </w:rPr>
        <w:tab/>
        <w:t xml:space="preserve">as alterações nos valores contábeis com base em suas categorias de mensuração de acordo com o CPC 38 (ou seja, não resultantes da alteração no atributo de mensuração na transição para o CPC 48); e </w:t>
      </w:r>
    </w:p>
    <w:p w14:paraId="202421A7"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(b) </w:t>
      </w:r>
      <w:r w:rsidRPr="003C12AE">
        <w:rPr>
          <w:rFonts w:ascii="Times New Roman" w:hAnsi="Times New Roman"/>
          <w:bCs/>
          <w:sz w:val="24"/>
          <w:lang w:val="pt-BR"/>
        </w:rPr>
        <w:tab/>
        <w:t xml:space="preserve">as alterações nos valores contábeis resultantes da alteração no atributo de mensuração na transição para o CPC 48. </w:t>
      </w:r>
    </w:p>
    <w:p w14:paraId="252BC6A8" w14:textId="72C1DD9B" w:rsidR="003C12AE" w:rsidRPr="003C12AE" w:rsidRDefault="003C12AE" w:rsidP="003C12AE">
      <w:pPr>
        <w:autoSpaceDE w:val="0"/>
        <w:autoSpaceDN w:val="0"/>
        <w:adjustRightInd w:val="0"/>
        <w:spacing w:before="0" w:after="0"/>
        <w:ind w:left="567"/>
        <w:rPr>
          <w:rFonts w:ascii="Times New Roman" w:hAnsi="Times New Roman"/>
          <w:bCs/>
          <w:sz w:val="24"/>
          <w:lang w:val="pt-BR"/>
        </w:rPr>
      </w:pPr>
      <w:r w:rsidRPr="003C12AE">
        <w:rPr>
          <w:rFonts w:ascii="Times New Roman" w:hAnsi="Times New Roman"/>
          <w:bCs/>
          <w:sz w:val="24"/>
          <w:lang w:val="pt-BR"/>
        </w:rPr>
        <w:lastRenderedPageBreak/>
        <w:t>As divulgações descritas neste item não precisam ser feitas após o período de relatório anual em que a entidade inicialmente aplicar os requisitos de mensuração e classificação para ativos financeiros no CPC 48.</w:t>
      </w:r>
    </w:p>
    <w:p w14:paraId="1B70DD58" w14:textId="77777777" w:rsidR="003C12AE" w:rsidRPr="003C12AE" w:rsidRDefault="003C12AE" w:rsidP="003C12AE">
      <w:pPr>
        <w:autoSpaceDE w:val="0"/>
        <w:autoSpaceDN w:val="0"/>
        <w:adjustRightInd w:val="0"/>
        <w:spacing w:before="0" w:after="0"/>
        <w:rPr>
          <w:rFonts w:ascii="Times New Roman" w:hAnsi="Times New Roman"/>
          <w:b/>
          <w:bCs/>
          <w:sz w:val="24"/>
          <w:lang w:val="pt-BR"/>
        </w:rPr>
      </w:pPr>
    </w:p>
    <w:p w14:paraId="53E8494A" w14:textId="77777777" w:rsidR="003C12AE" w:rsidRPr="003C12AE" w:rsidRDefault="003C12AE" w:rsidP="003C12AE">
      <w:pPr>
        <w:autoSpaceDE w:val="0"/>
        <w:autoSpaceDN w:val="0"/>
        <w:adjustRightInd w:val="0"/>
        <w:spacing w:before="0"/>
        <w:ind w:left="567" w:hanging="567"/>
        <w:rPr>
          <w:rFonts w:ascii="Times New Roman" w:hAnsi="Times New Roman"/>
          <w:bCs/>
          <w:sz w:val="24"/>
          <w:lang w:val="pt-BR"/>
        </w:rPr>
      </w:pPr>
      <w:r w:rsidRPr="003C12AE">
        <w:rPr>
          <w:rFonts w:ascii="Times New Roman" w:hAnsi="Times New Roman"/>
          <w:bCs/>
          <w:sz w:val="24"/>
          <w:lang w:val="pt-BR"/>
        </w:rPr>
        <w:t xml:space="preserve">42M. Quando requerido pelo item 42K, a entidade deve divulgar o seguinte para ativos financeiros e passivos financeiros que tenham sido reclassificados de forma que sejam mensurados pelo custo amortizado e, no caso de ativos financeiros, que tenham sido reclassificados do valor justo por meio do resultado de forma que sejam mensurados ao valor justo por meio de outros resultados abrangentes, como resultado da transição para o CPC 48: </w:t>
      </w:r>
    </w:p>
    <w:p w14:paraId="1150914C"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(a) </w:t>
      </w:r>
      <w:r w:rsidRPr="003C12AE">
        <w:rPr>
          <w:rFonts w:ascii="Times New Roman" w:hAnsi="Times New Roman"/>
          <w:bCs/>
          <w:sz w:val="24"/>
          <w:lang w:val="pt-BR"/>
        </w:rPr>
        <w:tab/>
        <w:t xml:space="preserve">o valor justo dos ativos financeiros ou passivos financeiros no final do período de relatório; e </w:t>
      </w:r>
    </w:p>
    <w:p w14:paraId="5AE2DC49"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(b) </w:t>
      </w:r>
      <w:r w:rsidRPr="003C12AE">
        <w:rPr>
          <w:rFonts w:ascii="Times New Roman" w:hAnsi="Times New Roman"/>
          <w:bCs/>
          <w:sz w:val="24"/>
          <w:lang w:val="pt-BR"/>
        </w:rPr>
        <w:tab/>
        <w:t xml:space="preserve">o ganho ou a perda no valor justo que teria sido reconhecido no resultado ou outros resultados abrangentes durante o período de relatório se os ativos financeiros ou passivos financeiros não tivessem sido reclassificados. </w:t>
      </w:r>
    </w:p>
    <w:p w14:paraId="4C29C7E4" w14:textId="125F6BFD" w:rsidR="003C12AE" w:rsidRPr="003C12AE" w:rsidRDefault="003C12AE" w:rsidP="003C12AE">
      <w:pPr>
        <w:autoSpaceDE w:val="0"/>
        <w:autoSpaceDN w:val="0"/>
        <w:adjustRightInd w:val="0"/>
        <w:spacing w:before="0" w:after="0"/>
        <w:ind w:left="567"/>
        <w:rPr>
          <w:rFonts w:ascii="Times New Roman" w:hAnsi="Times New Roman"/>
          <w:bCs/>
          <w:sz w:val="24"/>
          <w:lang w:val="pt-BR"/>
        </w:rPr>
      </w:pPr>
      <w:r w:rsidRPr="003C12AE">
        <w:rPr>
          <w:rFonts w:ascii="Times New Roman" w:hAnsi="Times New Roman"/>
          <w:bCs/>
          <w:sz w:val="24"/>
          <w:lang w:val="pt-BR"/>
        </w:rPr>
        <w:t>As divulgações descritas neste item não precisam ser feitas após o período de relatório anual em que a entidade inicialmente aplicar os requisitos de mensuração e classificação para ativos financeiros no CPC 48.</w:t>
      </w:r>
    </w:p>
    <w:p w14:paraId="79E65AD4" w14:textId="77777777" w:rsidR="003C12AE" w:rsidRPr="003C12AE" w:rsidRDefault="003C12AE" w:rsidP="003C12AE">
      <w:pPr>
        <w:autoSpaceDE w:val="0"/>
        <w:autoSpaceDN w:val="0"/>
        <w:adjustRightInd w:val="0"/>
        <w:spacing w:before="0" w:after="0"/>
        <w:rPr>
          <w:rFonts w:ascii="Times New Roman" w:hAnsi="Times New Roman"/>
          <w:sz w:val="24"/>
          <w:lang w:val="pt-BR"/>
        </w:rPr>
      </w:pPr>
    </w:p>
    <w:p w14:paraId="15377187" w14:textId="77777777" w:rsidR="003C12AE" w:rsidRPr="003C12AE" w:rsidRDefault="003C12AE" w:rsidP="003C12AE">
      <w:pPr>
        <w:autoSpaceDE w:val="0"/>
        <w:autoSpaceDN w:val="0"/>
        <w:adjustRightInd w:val="0"/>
        <w:spacing w:before="0"/>
        <w:ind w:left="567" w:hanging="567"/>
        <w:rPr>
          <w:rFonts w:ascii="Times New Roman" w:hAnsi="Times New Roman"/>
          <w:bCs/>
          <w:sz w:val="24"/>
          <w:lang w:val="pt-BR"/>
        </w:rPr>
      </w:pPr>
      <w:r w:rsidRPr="003C12AE">
        <w:rPr>
          <w:rFonts w:ascii="Times New Roman" w:hAnsi="Times New Roman"/>
          <w:bCs/>
          <w:sz w:val="24"/>
          <w:lang w:val="pt-BR"/>
        </w:rPr>
        <w:t xml:space="preserve">42N. Quando requerido pelo item 42K, a entidade deve divulgar o seguinte para ativos financeiros e passivos financeiros que tenham sido reclassificados da categoria de valor justo por meio do resultado como resultado da transição para o CPC 48: </w:t>
      </w:r>
    </w:p>
    <w:p w14:paraId="0B0AFAEC"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(a) </w:t>
      </w:r>
      <w:r w:rsidRPr="003C12AE">
        <w:rPr>
          <w:rFonts w:ascii="Times New Roman" w:hAnsi="Times New Roman"/>
          <w:bCs/>
          <w:sz w:val="24"/>
          <w:lang w:val="pt-BR"/>
        </w:rPr>
        <w:tab/>
        <w:t xml:space="preserve">a taxa de juros efetiva determinada na data da aplicação inicial; e </w:t>
      </w:r>
    </w:p>
    <w:p w14:paraId="3F48F006"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(b) </w:t>
      </w:r>
      <w:r w:rsidRPr="003C12AE">
        <w:rPr>
          <w:rFonts w:ascii="Times New Roman" w:hAnsi="Times New Roman"/>
          <w:bCs/>
          <w:sz w:val="24"/>
          <w:lang w:val="pt-BR"/>
        </w:rPr>
        <w:tab/>
        <w:t xml:space="preserve">a receita ou a despesa de juros reconhecida. </w:t>
      </w:r>
    </w:p>
    <w:p w14:paraId="6C2CEA2C" w14:textId="71BE72F1" w:rsidR="003C12AE" w:rsidRPr="003C12AE" w:rsidRDefault="003C12AE" w:rsidP="003C12AE">
      <w:pPr>
        <w:autoSpaceDE w:val="0"/>
        <w:autoSpaceDN w:val="0"/>
        <w:adjustRightInd w:val="0"/>
        <w:spacing w:before="0" w:after="0"/>
        <w:ind w:left="567"/>
        <w:rPr>
          <w:rFonts w:ascii="Times New Roman" w:hAnsi="Times New Roman"/>
          <w:bCs/>
          <w:sz w:val="24"/>
          <w:lang w:val="pt-BR"/>
        </w:rPr>
      </w:pPr>
      <w:r w:rsidRPr="003C12AE">
        <w:rPr>
          <w:rFonts w:ascii="Times New Roman" w:hAnsi="Times New Roman"/>
          <w:bCs/>
          <w:sz w:val="24"/>
          <w:lang w:val="pt-BR"/>
        </w:rPr>
        <w:t>Se a entidade tratar o valor justo de ativo financeiro ou passivo financeiro como novo valor contábil bruto na data da aplicação inicial (ver item 7.2.11 do CPC 48), as divulgações deste item devem ser feitas para cada período de relatório até o desreconhecimento. Por outro lado, as divulgações descritas neste item não precisam ser feitas após o período de relatório anual em que a entidade inicialmente aplicar os requisitos de mensuração e classificação para ativos financeiros no CPC 48.</w:t>
      </w:r>
    </w:p>
    <w:p w14:paraId="12208B94" w14:textId="77777777" w:rsidR="003C12AE" w:rsidRPr="003C12AE" w:rsidRDefault="003C12AE" w:rsidP="003C12AE">
      <w:pPr>
        <w:autoSpaceDE w:val="0"/>
        <w:autoSpaceDN w:val="0"/>
        <w:adjustRightInd w:val="0"/>
        <w:spacing w:before="0" w:after="0"/>
        <w:rPr>
          <w:rFonts w:ascii="Times New Roman" w:hAnsi="Times New Roman"/>
          <w:bCs/>
          <w:sz w:val="24"/>
          <w:lang w:val="pt-BR"/>
        </w:rPr>
      </w:pPr>
    </w:p>
    <w:p w14:paraId="05976E55" w14:textId="77777777" w:rsidR="003C12AE" w:rsidRPr="003C12AE" w:rsidRDefault="003C12AE" w:rsidP="003C12AE">
      <w:pPr>
        <w:autoSpaceDE w:val="0"/>
        <w:autoSpaceDN w:val="0"/>
        <w:adjustRightInd w:val="0"/>
        <w:spacing w:before="0"/>
        <w:ind w:left="567" w:hanging="567"/>
        <w:rPr>
          <w:rFonts w:ascii="Times New Roman" w:hAnsi="Times New Roman"/>
          <w:bCs/>
          <w:sz w:val="24"/>
          <w:lang w:val="pt-BR"/>
        </w:rPr>
      </w:pPr>
      <w:r w:rsidRPr="003C12AE">
        <w:rPr>
          <w:rFonts w:ascii="Times New Roman" w:hAnsi="Times New Roman"/>
          <w:bCs/>
          <w:sz w:val="24"/>
          <w:lang w:val="pt-BR"/>
        </w:rPr>
        <w:t xml:space="preserve">42O. Quando a entidade apresentar as divulgações previstas nos itens 42K a 42N, essas divulgações e as divulgações descritas no item 25 deste pronunciamento, devem permitir a conciliação entre: </w:t>
      </w:r>
    </w:p>
    <w:p w14:paraId="1D7063E2"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(a) </w:t>
      </w:r>
      <w:r w:rsidRPr="003C12AE">
        <w:rPr>
          <w:rFonts w:ascii="Times New Roman" w:hAnsi="Times New Roman"/>
          <w:bCs/>
          <w:sz w:val="24"/>
          <w:lang w:val="pt-BR"/>
        </w:rPr>
        <w:tab/>
        <w:t xml:space="preserve">as categorias de mensuração apresentadas de acordo com o CPC 38 e o CPC 48; e </w:t>
      </w:r>
    </w:p>
    <w:p w14:paraId="7BB4A6FF"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(b) </w:t>
      </w:r>
      <w:r w:rsidRPr="003C12AE">
        <w:rPr>
          <w:rFonts w:ascii="Times New Roman" w:hAnsi="Times New Roman"/>
          <w:bCs/>
          <w:sz w:val="24"/>
          <w:lang w:val="pt-BR"/>
        </w:rPr>
        <w:tab/>
        <w:t>a classe de instrumento financeiro;</w:t>
      </w:r>
    </w:p>
    <w:p w14:paraId="5C7772EE" w14:textId="324C83EF" w:rsidR="003C12AE" w:rsidRPr="003C12AE" w:rsidRDefault="003C12AE" w:rsidP="003C12AE">
      <w:pPr>
        <w:autoSpaceDE w:val="0"/>
        <w:autoSpaceDN w:val="0"/>
        <w:adjustRightInd w:val="0"/>
        <w:spacing w:before="0" w:after="0"/>
        <w:ind w:firstLine="567"/>
        <w:rPr>
          <w:rFonts w:ascii="Times New Roman" w:hAnsi="Times New Roman"/>
          <w:bCs/>
          <w:sz w:val="24"/>
          <w:lang w:val="pt-BR"/>
        </w:rPr>
      </w:pPr>
      <w:r w:rsidRPr="003C12AE">
        <w:rPr>
          <w:rFonts w:ascii="Times New Roman" w:hAnsi="Times New Roman"/>
          <w:bCs/>
          <w:sz w:val="24"/>
          <w:lang w:val="pt-BR"/>
        </w:rPr>
        <w:t>na data da aplicação inicial.</w:t>
      </w:r>
    </w:p>
    <w:p w14:paraId="6D80FCAF" w14:textId="77777777" w:rsidR="003C12AE" w:rsidRPr="003C12AE" w:rsidRDefault="003C12AE" w:rsidP="003C12AE">
      <w:pPr>
        <w:autoSpaceDE w:val="0"/>
        <w:autoSpaceDN w:val="0"/>
        <w:adjustRightInd w:val="0"/>
        <w:spacing w:before="0" w:after="0"/>
        <w:rPr>
          <w:rFonts w:ascii="Times New Roman" w:hAnsi="Times New Roman"/>
          <w:bCs/>
          <w:sz w:val="24"/>
          <w:lang w:val="pt-BR"/>
        </w:rPr>
      </w:pPr>
    </w:p>
    <w:p w14:paraId="086AB8D1" w14:textId="3C6E2F62" w:rsidR="003C12AE" w:rsidRPr="003C12AE" w:rsidRDefault="003C12AE" w:rsidP="003C12AE">
      <w:pPr>
        <w:autoSpaceDE w:val="0"/>
        <w:autoSpaceDN w:val="0"/>
        <w:adjustRightInd w:val="0"/>
        <w:spacing w:before="0" w:after="0"/>
        <w:ind w:left="567" w:hanging="567"/>
        <w:rPr>
          <w:rFonts w:ascii="Times New Roman" w:hAnsi="Times New Roman"/>
          <w:bCs/>
          <w:sz w:val="24"/>
          <w:lang w:val="pt-BR"/>
        </w:rPr>
      </w:pPr>
      <w:r w:rsidRPr="003C12AE">
        <w:rPr>
          <w:rFonts w:ascii="Times New Roman" w:hAnsi="Times New Roman"/>
          <w:bCs/>
          <w:sz w:val="24"/>
          <w:lang w:val="pt-BR"/>
        </w:rPr>
        <w:t xml:space="preserve">42P. </w:t>
      </w:r>
      <w:r w:rsidRPr="003C12AE">
        <w:rPr>
          <w:rFonts w:ascii="Times New Roman" w:hAnsi="Times New Roman"/>
          <w:bCs/>
          <w:sz w:val="24"/>
          <w:lang w:val="pt-BR"/>
        </w:rPr>
        <w:tab/>
        <w:t xml:space="preserve">Na data de aplicação inicial da Seção 5.5 do CPC 48, a entidade é obrigada a divulgar informações que permitam a conciliação das provisões para redução ao valor recuperável de encerramento (do balanço) de acordo com o CPC 38 e as provisões de acordo com o CPC 25 para as provisões para perdas de abertura (do balanço), determinadas de acordo com o CPC 48. Para ativos financeiros, essa divulgação deve ser fornecida pelas respectivas categorias de mensuração de ativos financeiros de </w:t>
      </w:r>
      <w:r w:rsidRPr="003C12AE">
        <w:rPr>
          <w:rFonts w:ascii="Times New Roman" w:hAnsi="Times New Roman"/>
          <w:bCs/>
          <w:sz w:val="24"/>
          <w:lang w:val="pt-BR"/>
        </w:rPr>
        <w:lastRenderedPageBreak/>
        <w:t>acordo com o CPC 38 e o CPC 48, e devem mostrar, separadamente, o efeito das alterações na categoria de mensuração na provisão para perdas nessa data.</w:t>
      </w:r>
    </w:p>
    <w:p w14:paraId="0140EB7E" w14:textId="77777777" w:rsidR="003C12AE" w:rsidRPr="003C12AE" w:rsidRDefault="003C12AE" w:rsidP="003C12AE">
      <w:pPr>
        <w:autoSpaceDE w:val="0"/>
        <w:autoSpaceDN w:val="0"/>
        <w:adjustRightInd w:val="0"/>
        <w:spacing w:before="0" w:after="0"/>
        <w:rPr>
          <w:rFonts w:ascii="Times New Roman" w:hAnsi="Times New Roman"/>
          <w:b/>
          <w:bCs/>
          <w:sz w:val="24"/>
          <w:lang w:val="pt-BR"/>
        </w:rPr>
      </w:pPr>
    </w:p>
    <w:p w14:paraId="3296F1C7" w14:textId="77777777" w:rsidR="003C12AE" w:rsidRPr="003C12AE" w:rsidRDefault="003C12AE" w:rsidP="003C12AE">
      <w:pPr>
        <w:autoSpaceDE w:val="0"/>
        <w:autoSpaceDN w:val="0"/>
        <w:adjustRightInd w:val="0"/>
        <w:spacing w:before="0"/>
        <w:ind w:left="567" w:hanging="567"/>
        <w:rPr>
          <w:rFonts w:ascii="Times New Roman" w:hAnsi="Times New Roman"/>
          <w:bCs/>
          <w:sz w:val="24"/>
          <w:lang w:val="pt-BR"/>
        </w:rPr>
      </w:pPr>
      <w:r w:rsidRPr="003C12AE">
        <w:rPr>
          <w:rFonts w:ascii="Times New Roman" w:hAnsi="Times New Roman"/>
          <w:bCs/>
          <w:sz w:val="24"/>
          <w:lang w:val="pt-BR"/>
        </w:rPr>
        <w:t xml:space="preserve">42Q. No período do relatório que inclui a data da aplicação inicial do CPC 48, a entidade não está obrigada a divulgar os valores de rubricas que teriam sido informados de acordo com os requisitos de mensuração e classificação (que inclui os requisitos relativos à mensuração de custo amortizado de ativos financeiros e à redução ao valor recuperável nas Seções 5.4 e 5.5 do CPC 48) do: </w:t>
      </w:r>
    </w:p>
    <w:p w14:paraId="63C63130" w14:textId="77777777" w:rsidR="003C12AE" w:rsidRPr="003C12AE" w:rsidRDefault="003C12AE" w:rsidP="003C12AE">
      <w:pPr>
        <w:autoSpaceDE w:val="0"/>
        <w:autoSpaceDN w:val="0"/>
        <w:adjustRightInd w:val="0"/>
        <w:spacing w:before="0"/>
        <w:ind w:left="993" w:hanging="426"/>
        <w:rPr>
          <w:rFonts w:ascii="Times New Roman" w:hAnsi="Times New Roman"/>
          <w:bCs/>
          <w:sz w:val="24"/>
          <w:lang w:val="pt-BR"/>
        </w:rPr>
      </w:pPr>
      <w:r w:rsidRPr="003C12AE">
        <w:rPr>
          <w:rFonts w:ascii="Times New Roman" w:hAnsi="Times New Roman"/>
          <w:bCs/>
          <w:sz w:val="24"/>
          <w:lang w:val="pt-BR"/>
        </w:rPr>
        <w:t xml:space="preserve">(a) </w:t>
      </w:r>
      <w:r w:rsidRPr="003C12AE">
        <w:rPr>
          <w:rFonts w:ascii="Times New Roman" w:hAnsi="Times New Roman"/>
          <w:bCs/>
          <w:sz w:val="24"/>
          <w:lang w:val="pt-BR"/>
        </w:rPr>
        <w:tab/>
        <w:t xml:space="preserve">CPC 48 para períodos anteriores; e </w:t>
      </w:r>
    </w:p>
    <w:p w14:paraId="4559F83C" w14:textId="6A1C87FC" w:rsidR="003C12AE" w:rsidRPr="003C12AE" w:rsidRDefault="003C12AE" w:rsidP="003C12AE">
      <w:pPr>
        <w:autoSpaceDE w:val="0"/>
        <w:autoSpaceDN w:val="0"/>
        <w:adjustRightInd w:val="0"/>
        <w:spacing w:before="0" w:after="0"/>
        <w:ind w:left="993" w:hanging="426"/>
        <w:rPr>
          <w:rFonts w:ascii="Times New Roman" w:hAnsi="Times New Roman"/>
          <w:bCs/>
          <w:sz w:val="24"/>
          <w:lang w:val="pt-BR"/>
        </w:rPr>
      </w:pPr>
      <w:r w:rsidRPr="003C12AE">
        <w:rPr>
          <w:rFonts w:ascii="Times New Roman" w:hAnsi="Times New Roman"/>
          <w:bCs/>
          <w:sz w:val="24"/>
          <w:lang w:val="pt-BR"/>
        </w:rPr>
        <w:t xml:space="preserve">(b) </w:t>
      </w:r>
      <w:r w:rsidRPr="003C12AE">
        <w:rPr>
          <w:rFonts w:ascii="Times New Roman" w:hAnsi="Times New Roman"/>
          <w:bCs/>
          <w:sz w:val="24"/>
          <w:lang w:val="pt-BR"/>
        </w:rPr>
        <w:tab/>
        <w:t>CPC 38 para o período corrente.</w:t>
      </w:r>
    </w:p>
    <w:p w14:paraId="2794E646" w14:textId="77777777" w:rsidR="003C12AE" w:rsidRPr="003C12AE" w:rsidRDefault="003C12AE" w:rsidP="003C12AE">
      <w:pPr>
        <w:autoSpaceDE w:val="0"/>
        <w:autoSpaceDN w:val="0"/>
        <w:adjustRightInd w:val="0"/>
        <w:spacing w:before="0" w:after="0"/>
        <w:rPr>
          <w:rFonts w:ascii="Times New Roman" w:hAnsi="Times New Roman"/>
          <w:b/>
          <w:bCs/>
          <w:sz w:val="24"/>
          <w:lang w:val="pt-BR"/>
        </w:rPr>
      </w:pPr>
    </w:p>
    <w:p w14:paraId="1652C20E" w14:textId="6399B007" w:rsidR="003C12AE" w:rsidRPr="003C12AE" w:rsidRDefault="003C12AE" w:rsidP="003C12AE">
      <w:pPr>
        <w:autoSpaceDE w:val="0"/>
        <w:autoSpaceDN w:val="0"/>
        <w:adjustRightInd w:val="0"/>
        <w:spacing w:before="0" w:after="0"/>
        <w:ind w:left="567" w:hanging="567"/>
        <w:rPr>
          <w:rFonts w:ascii="Times New Roman" w:hAnsi="Times New Roman"/>
          <w:bCs/>
          <w:sz w:val="24"/>
          <w:lang w:val="pt-BR"/>
        </w:rPr>
      </w:pPr>
      <w:r w:rsidRPr="003C12AE">
        <w:rPr>
          <w:rFonts w:ascii="Times New Roman" w:hAnsi="Times New Roman"/>
          <w:bCs/>
          <w:sz w:val="24"/>
          <w:lang w:val="pt-BR"/>
        </w:rPr>
        <w:t xml:space="preserve">42R. </w:t>
      </w:r>
      <w:r w:rsidRPr="003C12AE">
        <w:rPr>
          <w:rFonts w:ascii="Times New Roman" w:hAnsi="Times New Roman"/>
          <w:bCs/>
          <w:sz w:val="24"/>
          <w:lang w:val="pt-BR"/>
        </w:rPr>
        <w:tab/>
        <w:t>De acordo com o item 7.2.4 do CPC 48, se for impraticável (conforme definido no CPC 23), na data de aplicação inicial do CPC 48, para a entidade avaliar o elemento de valor do dinheiro no tempo ,modificado de acordo com os itens B4.1.9B a B4.1.9D do CPC 48 com base nos fatos e circunstâncias que existiam no reconhecimento inicial do ativo financeiro, a entidade deve avaliar as características do fluxo de caixa contratual desse ativo financeiro com base nos fatos e circunstâncias que existiam no reconhecimento inicial do ativo financeiro, sem considerar os requisitos referentes à modificação do elemento de valor do dinheiro no tempo, descritos nos itens B4.1.9B a B4.1.9D do CPC 48. A entidade deve divulgar o valor contábil, na data do relatório, dos ativos financeiros cujas características do fluxo de caixa contratual foram avaliadas com base nos fatos e circunstâncias que existiam no reconhecimento inicial do ativo financeiro, sem considerar os requisitos relativos à modificação do elemento de valor do dinheiro no tempo, descritos nos itens B4.1.9B a B4.1.9D do CPC 48, até que esses ativos financeiros sejam desreconhecidos.</w:t>
      </w:r>
    </w:p>
    <w:p w14:paraId="7FEB5685" w14:textId="77777777" w:rsidR="003C12AE" w:rsidRPr="003C12AE" w:rsidRDefault="003C12AE" w:rsidP="003C12AE">
      <w:pPr>
        <w:autoSpaceDE w:val="0"/>
        <w:autoSpaceDN w:val="0"/>
        <w:adjustRightInd w:val="0"/>
        <w:spacing w:before="0" w:after="0"/>
        <w:rPr>
          <w:rFonts w:ascii="Times New Roman" w:hAnsi="Times New Roman"/>
          <w:bCs/>
          <w:sz w:val="24"/>
          <w:lang w:val="pt-BR"/>
        </w:rPr>
      </w:pPr>
    </w:p>
    <w:p w14:paraId="02631871" w14:textId="1A02E273" w:rsidR="003C12AE" w:rsidRPr="003C12AE" w:rsidRDefault="003C12AE" w:rsidP="003C12AE">
      <w:pPr>
        <w:widowControl w:val="0"/>
        <w:tabs>
          <w:tab w:val="left" w:pos="6804"/>
        </w:tabs>
        <w:spacing w:before="0" w:after="0"/>
        <w:ind w:left="567" w:right="-1" w:hanging="567"/>
        <w:rPr>
          <w:rFonts w:ascii="Times New Roman" w:hAnsi="Times New Roman"/>
          <w:bCs/>
          <w:sz w:val="24"/>
          <w:lang w:val="pt-BR" w:eastAsia="x-none"/>
        </w:rPr>
      </w:pPr>
      <w:r w:rsidRPr="003C12AE">
        <w:rPr>
          <w:rFonts w:ascii="Times New Roman" w:hAnsi="Times New Roman"/>
          <w:bCs/>
          <w:sz w:val="24"/>
        </w:rPr>
        <w:t xml:space="preserve">42S. </w:t>
      </w:r>
      <w:r w:rsidRPr="003C12AE">
        <w:rPr>
          <w:rFonts w:ascii="Times New Roman" w:hAnsi="Times New Roman"/>
          <w:bCs/>
          <w:sz w:val="24"/>
        </w:rPr>
        <w:tab/>
        <w:t>De acordo com o item 7.2.5 do CPC 48, se for impraticável (conforme definido no CPC 23), na data da aplicação inicial, para a entidade avaliar se o valor justo de elemento de pré-pagamento era insignificante de acordo com os itens B4.1.12(c) do CPC 48 com base nos fatos e circunstâncias que existiam no reconhecimento inicial do ativo financeiro, a entidade deve avaliar as características de fluxo de caixa contratual desse ativo financeiro com base nos fatos e circunstâncias que existiam no reconhecimento inicial do ativo financeiro, sem considerar a exceção para elementos de pré-pagamento no item B4.1.12 do CPC 48. A entidade deve divulgar o valor contábil na data do relatório dos ativos financeiros cujas características de fluxo de caixa contratual foram avaliadas com base nos fatos e circunstâncias que existiam no reconhecimento inicial do ativo financeiro sem considerar a exceção para elementos de pré-pagamento, descritos no item B4.1.12 do CPC 48, até que esses ativos financeiros sejam desreconhecidos.</w:t>
      </w:r>
    </w:p>
    <w:p w14:paraId="2EAD5EB9"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p>
    <w:p w14:paraId="4C17B779" w14:textId="77777777" w:rsidR="003C12AE" w:rsidRPr="003C12AE" w:rsidRDefault="003C12AE" w:rsidP="003C12AE">
      <w:pPr>
        <w:widowControl w:val="0"/>
        <w:tabs>
          <w:tab w:val="left" w:pos="6804"/>
        </w:tabs>
        <w:spacing w:before="0" w:after="0"/>
        <w:ind w:right="-1"/>
        <w:rPr>
          <w:rFonts w:ascii="Times New Roman" w:hAnsi="Times New Roman"/>
          <w:b/>
          <w:sz w:val="24"/>
          <w:lang w:val="pt-BR" w:eastAsia="x-none"/>
        </w:rPr>
      </w:pPr>
      <w:r w:rsidRPr="003C12AE">
        <w:rPr>
          <w:rFonts w:ascii="Times New Roman" w:hAnsi="Times New Roman"/>
          <w:b/>
          <w:sz w:val="24"/>
          <w:lang w:val="pt-BR" w:eastAsia="x-none"/>
        </w:rPr>
        <w:t>Revogação de outro pronunciamento</w:t>
      </w:r>
    </w:p>
    <w:p w14:paraId="44E68CC0"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5BB27BE3"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43.  </w:t>
      </w:r>
      <w:r w:rsidRPr="003C12AE">
        <w:rPr>
          <w:rFonts w:ascii="Times New Roman" w:hAnsi="Times New Roman"/>
          <w:sz w:val="24"/>
          <w:lang w:val="pt-BR" w:eastAsia="x-none"/>
        </w:rPr>
        <w:tab/>
        <w:t>Este pronunciamento substitui o CPC 40 – Instrumentos Financeiros: Evidenciação, aprovado em 2 de outubro de 2009.</w:t>
      </w:r>
    </w:p>
    <w:p w14:paraId="6947A102"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7BF8B8FE" w14:textId="7BB60A73"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44DE.Reforma da taxa de juros de referência, que alterou o CPC 48, o CPC 38 e o CPC 40, adicionou os itens 24H e 44DF. A entidade deve aplicar essas alterações quando aplicar as alterações ao CPC 48 ou ao CPC 38.</w:t>
      </w:r>
    </w:p>
    <w:p w14:paraId="0FDDDE5D" w14:textId="77777777" w:rsidR="003C12AE" w:rsidRPr="003C12AE" w:rsidRDefault="003C12AE" w:rsidP="00955A45">
      <w:pPr>
        <w:widowControl w:val="0"/>
        <w:tabs>
          <w:tab w:val="left" w:pos="6804"/>
        </w:tabs>
        <w:spacing w:before="0" w:after="0"/>
        <w:ind w:left="567" w:right="-1" w:hanging="567"/>
        <w:rPr>
          <w:rFonts w:ascii="Times New Roman" w:hAnsi="Times New Roman"/>
          <w:sz w:val="24"/>
          <w:lang w:val="pt-BR" w:eastAsia="x-none"/>
        </w:rPr>
      </w:pPr>
    </w:p>
    <w:p w14:paraId="4DA85373" w14:textId="7E99F3CC" w:rsidR="003C12AE" w:rsidRDefault="003C12AE" w:rsidP="00955A45">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44DF.No período de relatório em que a entidade aplica, pela primeira vez, a reforma da taxa de juros de referência, a entidade não é obrigada a apresentar as informações quantitativas requeridas pelo item 28(f) do CPC 23 – Políticas Contábeis, Mudança de Estimativa e Retificação de Erro.</w:t>
      </w:r>
    </w:p>
    <w:p w14:paraId="732AD9FC" w14:textId="77777777" w:rsidR="00955A45" w:rsidRPr="003C12AE" w:rsidRDefault="00955A45" w:rsidP="00955A45">
      <w:pPr>
        <w:widowControl w:val="0"/>
        <w:tabs>
          <w:tab w:val="left" w:pos="6804"/>
        </w:tabs>
        <w:spacing w:before="0" w:after="0"/>
        <w:ind w:left="567" w:right="-1" w:hanging="567"/>
        <w:rPr>
          <w:rFonts w:ascii="Times New Roman" w:hAnsi="Times New Roman"/>
          <w:sz w:val="24"/>
          <w:lang w:val="pt-BR" w:eastAsia="x-none"/>
        </w:rPr>
      </w:pPr>
    </w:p>
    <w:p w14:paraId="4D964F6C" w14:textId="4DF98292" w:rsidR="003C12AE" w:rsidRDefault="003C12AE" w:rsidP="00955A45">
      <w:pPr>
        <w:spacing w:before="0" w:after="0"/>
        <w:ind w:left="567" w:hanging="567"/>
        <w:rPr>
          <w:rFonts w:ascii="Times New Roman" w:hAnsi="Times New Roman"/>
          <w:color w:val="000000"/>
          <w:sz w:val="24"/>
          <w:lang w:val="pt-BR"/>
        </w:rPr>
      </w:pPr>
      <w:r w:rsidRPr="003C12AE">
        <w:rPr>
          <w:rFonts w:ascii="Times New Roman" w:hAnsi="Times New Roman"/>
          <w:iCs/>
          <w:color w:val="000000"/>
          <w:sz w:val="24"/>
          <w:lang w:val="pt-BR"/>
        </w:rPr>
        <w:t>44GG.A Revisão CPC 17, aprovada pelo CPC em 8 de janeiro de 2021, alterou o CPC 48, CPC 38, CPC 40, CPC 11 e CPC 06, adicionou os itens 24I a 24J e 44HH. A entidade deve aplicar essas alterações quando aplicar as alterações do CPC 48, CPC 38, CPC 11 e CPC 06</w:t>
      </w:r>
      <w:r w:rsidRPr="003C12AE">
        <w:rPr>
          <w:rFonts w:ascii="Times New Roman" w:hAnsi="Times New Roman"/>
          <w:color w:val="000000"/>
          <w:sz w:val="24"/>
          <w:lang w:val="pt-BR"/>
        </w:rPr>
        <w:t>.</w:t>
      </w:r>
    </w:p>
    <w:p w14:paraId="7812F5C6" w14:textId="77777777" w:rsidR="00955A45" w:rsidRPr="003C12AE" w:rsidRDefault="00955A45" w:rsidP="00955A45">
      <w:pPr>
        <w:spacing w:before="0" w:after="0"/>
        <w:ind w:left="567" w:hanging="567"/>
        <w:rPr>
          <w:rFonts w:ascii="Times New Roman" w:hAnsi="Times New Roman"/>
          <w:color w:val="000000"/>
          <w:szCs w:val="20"/>
          <w:lang w:val="pt-BR"/>
        </w:rPr>
      </w:pPr>
    </w:p>
    <w:p w14:paraId="1A71CA9D" w14:textId="0AE3D7FC" w:rsidR="003C12AE" w:rsidRPr="003C12AE" w:rsidRDefault="003C12AE" w:rsidP="00955A45">
      <w:pPr>
        <w:spacing w:before="0" w:after="0"/>
        <w:ind w:left="567" w:hanging="567"/>
        <w:rPr>
          <w:rFonts w:ascii="Times New Roman" w:hAnsi="Times New Roman"/>
          <w:iCs/>
          <w:color w:val="000000"/>
          <w:szCs w:val="20"/>
          <w:lang w:val="pt-BR"/>
        </w:rPr>
      </w:pPr>
      <w:r w:rsidRPr="003C12AE">
        <w:rPr>
          <w:rFonts w:ascii="Times New Roman" w:hAnsi="Times New Roman"/>
          <w:iCs/>
          <w:color w:val="000000"/>
          <w:sz w:val="24"/>
          <w:lang w:val="pt-BR"/>
        </w:rPr>
        <w:t>44HH.No período das demonstrações em que a entidade aplica pela primeira vez a Revisão CPC 17, a entidade não é obrigada a divulgar as informações que seriam de outra forma exigido pelo item 28 (f) da CPC 23.</w:t>
      </w:r>
    </w:p>
    <w:p w14:paraId="1A769D7D" w14:textId="77777777" w:rsidR="003C12AE" w:rsidRPr="003C12AE" w:rsidRDefault="003C12AE" w:rsidP="00955A45">
      <w:pPr>
        <w:widowControl w:val="0"/>
        <w:tabs>
          <w:tab w:val="left" w:pos="6804"/>
        </w:tabs>
        <w:spacing w:before="0" w:after="0"/>
        <w:ind w:left="567" w:right="-1" w:hanging="567"/>
        <w:rPr>
          <w:rFonts w:ascii="Times New Roman" w:hAnsi="Times New Roman"/>
          <w:sz w:val="24"/>
          <w:lang w:val="pt-BR" w:eastAsia="x-none"/>
        </w:rPr>
      </w:pPr>
    </w:p>
    <w:p w14:paraId="53847D94" w14:textId="77777777" w:rsidR="003C12AE" w:rsidRPr="003C12AE" w:rsidRDefault="003C12AE" w:rsidP="00955A45">
      <w:pPr>
        <w:widowControl w:val="0"/>
        <w:tabs>
          <w:tab w:val="left" w:pos="6804"/>
        </w:tabs>
        <w:spacing w:before="0" w:after="0"/>
        <w:ind w:left="567" w:right="-1" w:hanging="567"/>
        <w:rPr>
          <w:rFonts w:ascii="Times New Roman" w:hAnsi="Times New Roman"/>
          <w:sz w:val="24"/>
          <w:lang w:val="pt-BR" w:eastAsia="x-none"/>
        </w:rPr>
      </w:pPr>
    </w:p>
    <w:p w14:paraId="1CD2874F" w14:textId="77777777" w:rsidR="003C12AE" w:rsidRPr="003C12AE" w:rsidRDefault="003C12AE" w:rsidP="003C12AE">
      <w:pPr>
        <w:widowControl w:val="0"/>
        <w:tabs>
          <w:tab w:val="left" w:pos="6804"/>
        </w:tabs>
        <w:spacing w:before="0" w:after="0"/>
        <w:ind w:left="567" w:right="-1" w:hanging="567"/>
        <w:rPr>
          <w:rFonts w:ascii="Times New Roman" w:hAnsi="Times New Roman"/>
          <w:b/>
          <w:sz w:val="24"/>
        </w:rPr>
      </w:pPr>
      <w:r w:rsidRPr="003C12AE">
        <w:rPr>
          <w:rFonts w:ascii="Times New Roman" w:hAnsi="Times New Roman"/>
          <w:b/>
          <w:bCs/>
          <w:kern w:val="36"/>
          <w:sz w:val="24"/>
          <w:lang w:val="pt-BR" w:eastAsia="x-none"/>
        </w:rPr>
        <w:br w:type="page"/>
      </w:r>
      <w:r w:rsidRPr="003C12AE">
        <w:rPr>
          <w:rFonts w:ascii="Times New Roman" w:hAnsi="Times New Roman"/>
          <w:b/>
          <w:bCs/>
          <w:kern w:val="36"/>
          <w:sz w:val="24"/>
          <w:lang w:val="pt-BR" w:eastAsia="x-none"/>
        </w:rPr>
        <w:lastRenderedPageBreak/>
        <w:t xml:space="preserve">APÊNDICE A – </w:t>
      </w:r>
      <w:r w:rsidRPr="003C12AE">
        <w:rPr>
          <w:rFonts w:ascii="Times New Roman" w:hAnsi="Times New Roman"/>
          <w:b/>
          <w:sz w:val="24"/>
        </w:rPr>
        <w:t>DEFINIÇÃO DE TERMOS</w:t>
      </w:r>
    </w:p>
    <w:p w14:paraId="539DB4CB" w14:textId="77777777" w:rsidR="003C12AE" w:rsidRPr="003C12AE" w:rsidRDefault="003C12AE" w:rsidP="003C12AE">
      <w:pPr>
        <w:spacing w:before="0" w:after="0"/>
        <w:ind w:right="-1"/>
        <w:rPr>
          <w:rFonts w:ascii="Times New Roman" w:hAnsi="Times New Roman"/>
          <w:i/>
          <w:sz w:val="24"/>
          <w:lang w:val="pt-BR" w:eastAsia="en-US"/>
        </w:rPr>
      </w:pPr>
    </w:p>
    <w:p w14:paraId="642DBA71" w14:textId="77777777" w:rsidR="003C12AE" w:rsidRPr="003C12AE" w:rsidRDefault="003C12AE" w:rsidP="003C12AE">
      <w:pPr>
        <w:spacing w:before="0" w:after="0"/>
        <w:ind w:right="-1"/>
        <w:rPr>
          <w:rFonts w:ascii="Times New Roman" w:hAnsi="Times New Roman"/>
          <w:i/>
          <w:sz w:val="24"/>
          <w:lang w:val="pt-BR" w:eastAsia="en-US"/>
        </w:rPr>
      </w:pPr>
      <w:r w:rsidRPr="003C12AE">
        <w:rPr>
          <w:rFonts w:ascii="Times New Roman" w:hAnsi="Times New Roman"/>
          <w:i/>
          <w:sz w:val="24"/>
          <w:lang w:val="pt-BR" w:eastAsia="en-US"/>
        </w:rPr>
        <w:t>Este apêndice é parte integrante do pronunciamento.</w:t>
      </w:r>
    </w:p>
    <w:p w14:paraId="49567411" w14:textId="77777777" w:rsidR="003C12AE" w:rsidRPr="003C12AE" w:rsidRDefault="003C12AE" w:rsidP="003C12AE">
      <w:pPr>
        <w:spacing w:before="0" w:after="0"/>
        <w:ind w:right="-1"/>
        <w:rPr>
          <w:rFonts w:ascii="Times New Roman" w:hAnsi="Times New Roman"/>
          <w:i/>
          <w:sz w:val="24"/>
          <w:lang w:val="pt-BR" w:eastAsia="en-US"/>
        </w:rPr>
      </w:pPr>
    </w:p>
    <w:p w14:paraId="14AF830D" w14:textId="61E19611" w:rsidR="003C12AE" w:rsidRPr="003C12AE" w:rsidRDefault="003C12AE" w:rsidP="003C12AE">
      <w:pPr>
        <w:spacing w:before="0" w:after="0"/>
        <w:ind w:right="-1"/>
        <w:rPr>
          <w:rFonts w:ascii="Times New Roman" w:hAnsi="Times New Roman"/>
          <w:sz w:val="24"/>
          <w:lang w:val="pt-BR" w:eastAsia="en-US"/>
        </w:rPr>
      </w:pPr>
      <w:r w:rsidRPr="003C12AE">
        <w:rPr>
          <w:rFonts w:ascii="Times New Roman" w:hAnsi="Times New Roman"/>
          <w:i/>
          <w:sz w:val="24"/>
          <w:lang w:val="pt-BR" w:eastAsia="en-US"/>
        </w:rPr>
        <w:t xml:space="preserve">Grau de classificação de risco </w:t>
      </w:r>
      <w:r w:rsidRPr="003C12AE">
        <w:rPr>
          <w:rFonts w:ascii="Times New Roman" w:hAnsi="Times New Roman"/>
          <w:sz w:val="24"/>
          <w:lang w:val="pt-BR" w:eastAsia="en-US"/>
        </w:rPr>
        <w:t>é a classificação de risco de crédito baseada no risco de inadimplência que possa ocorrer no instrumento financeiro.</w:t>
      </w:r>
    </w:p>
    <w:p w14:paraId="2C433927" w14:textId="77777777" w:rsidR="003C12AE" w:rsidRPr="003C12AE" w:rsidRDefault="003C12AE" w:rsidP="003C12AE">
      <w:pPr>
        <w:spacing w:before="0" w:after="0"/>
        <w:ind w:right="-1"/>
        <w:rPr>
          <w:rFonts w:ascii="Times New Roman" w:hAnsi="Times New Roman"/>
          <w:i/>
          <w:sz w:val="24"/>
          <w:lang w:val="pt-BR" w:eastAsia="en-US"/>
        </w:rPr>
      </w:pPr>
    </w:p>
    <w:p w14:paraId="29F4662F" w14:textId="77777777" w:rsidR="003C12AE" w:rsidRPr="003C12AE" w:rsidRDefault="003C12AE" w:rsidP="003C12AE">
      <w:pPr>
        <w:spacing w:before="0" w:after="0"/>
        <w:ind w:right="-1"/>
        <w:rPr>
          <w:rFonts w:ascii="Times New Roman" w:hAnsi="Times New Roman"/>
          <w:sz w:val="24"/>
          <w:lang w:val="pt-BR" w:eastAsia="en-US"/>
        </w:rPr>
      </w:pPr>
      <w:r w:rsidRPr="003C12AE">
        <w:rPr>
          <w:rFonts w:ascii="Times New Roman" w:hAnsi="Times New Roman"/>
          <w:i/>
          <w:sz w:val="24"/>
          <w:lang w:val="pt-BR" w:eastAsia="en-US"/>
        </w:rPr>
        <w:t>Risco de crédito</w:t>
      </w:r>
      <w:r w:rsidRPr="003C12AE">
        <w:rPr>
          <w:rFonts w:ascii="Times New Roman" w:hAnsi="Times New Roman"/>
          <w:sz w:val="24"/>
          <w:lang w:val="pt-BR" w:eastAsia="en-US"/>
        </w:rPr>
        <w:t xml:space="preserve"> é o risco de uma das partes contratantes de instrumento financeiro causar prejuízo financeiro à outra parte pelo não cumprimento da sua obrigação perante esta outra. </w:t>
      </w:r>
    </w:p>
    <w:p w14:paraId="2000EAD3" w14:textId="77777777" w:rsidR="003C12AE" w:rsidRPr="003C12AE" w:rsidRDefault="003C12AE" w:rsidP="003C12AE">
      <w:pPr>
        <w:spacing w:before="0" w:after="0"/>
        <w:ind w:right="-1"/>
        <w:rPr>
          <w:rFonts w:ascii="Times New Roman" w:hAnsi="Times New Roman"/>
          <w:b/>
          <w:sz w:val="24"/>
          <w:lang w:val="pt-BR"/>
        </w:rPr>
      </w:pPr>
    </w:p>
    <w:p w14:paraId="5E3D5AA5" w14:textId="77777777" w:rsidR="003C12AE" w:rsidRPr="003C12AE" w:rsidRDefault="003C12AE" w:rsidP="003C12AE">
      <w:pPr>
        <w:spacing w:before="0" w:after="0"/>
        <w:ind w:right="-1"/>
        <w:rPr>
          <w:rFonts w:ascii="Times New Roman" w:hAnsi="Times New Roman"/>
          <w:sz w:val="24"/>
          <w:lang w:val="pt-BR"/>
        </w:rPr>
      </w:pPr>
      <w:r w:rsidRPr="003C12AE">
        <w:rPr>
          <w:rFonts w:ascii="Times New Roman" w:hAnsi="Times New Roman"/>
          <w:i/>
          <w:sz w:val="24"/>
          <w:lang w:val="pt-BR"/>
        </w:rPr>
        <w:t>Risco de moeda</w:t>
      </w:r>
      <w:r w:rsidRPr="003C12AE">
        <w:rPr>
          <w:rFonts w:ascii="Times New Roman" w:hAnsi="Times New Roman"/>
          <w:b/>
          <w:sz w:val="24"/>
          <w:lang w:val="pt-BR"/>
        </w:rPr>
        <w:t xml:space="preserve"> </w:t>
      </w:r>
      <w:r w:rsidRPr="003C12AE">
        <w:rPr>
          <w:rFonts w:ascii="Times New Roman" w:hAnsi="Times New Roman"/>
          <w:sz w:val="24"/>
          <w:lang w:val="pt-BR"/>
        </w:rPr>
        <w:t>é o risco de o valor justo ou os fluxos de caixa futuros de instrumento financeiro oscilarem devido a mudanças nas taxas de câmbio de moeda estrangeira.</w:t>
      </w:r>
    </w:p>
    <w:p w14:paraId="72CB5C68" w14:textId="77777777" w:rsidR="003C12AE" w:rsidRPr="003C12AE" w:rsidRDefault="003C12AE" w:rsidP="003C12AE">
      <w:pPr>
        <w:spacing w:before="0" w:after="0"/>
        <w:ind w:right="-1"/>
        <w:rPr>
          <w:rFonts w:ascii="Times New Roman" w:hAnsi="Times New Roman"/>
          <w:sz w:val="24"/>
          <w:lang w:val="pt-BR"/>
        </w:rPr>
      </w:pPr>
    </w:p>
    <w:p w14:paraId="7EA4F445" w14:textId="77777777" w:rsidR="003C12AE" w:rsidRPr="003C12AE" w:rsidRDefault="003C12AE" w:rsidP="003C12AE">
      <w:pPr>
        <w:spacing w:before="0" w:after="0"/>
        <w:ind w:right="-1"/>
        <w:rPr>
          <w:rFonts w:ascii="Times New Roman" w:hAnsi="Times New Roman"/>
          <w:sz w:val="24"/>
          <w:lang w:val="pt-BR"/>
        </w:rPr>
      </w:pPr>
      <w:r w:rsidRPr="003C12AE">
        <w:rPr>
          <w:rFonts w:ascii="Times New Roman" w:hAnsi="Times New Roman"/>
          <w:i/>
          <w:sz w:val="24"/>
          <w:lang w:val="pt-BR"/>
        </w:rPr>
        <w:t>Risco de taxa de juros</w:t>
      </w:r>
      <w:r w:rsidRPr="003C12AE">
        <w:rPr>
          <w:rFonts w:ascii="Times New Roman" w:hAnsi="Times New Roman"/>
          <w:sz w:val="24"/>
          <w:lang w:val="pt-BR"/>
        </w:rPr>
        <w:t xml:space="preserve"> é o risco de o valor justo ou os fluxos de caixa futuros de instrumento financeiro oscilarem devido a mudanças nas taxas de juro de mercado. </w:t>
      </w:r>
    </w:p>
    <w:p w14:paraId="193BE9E3" w14:textId="77777777" w:rsidR="003C12AE" w:rsidRPr="003C12AE" w:rsidRDefault="003C12AE" w:rsidP="003C12AE">
      <w:pPr>
        <w:spacing w:before="0" w:after="0"/>
        <w:ind w:right="-1"/>
        <w:rPr>
          <w:rFonts w:ascii="Times New Roman" w:hAnsi="Times New Roman"/>
          <w:sz w:val="24"/>
          <w:lang w:val="pt-BR"/>
        </w:rPr>
      </w:pPr>
    </w:p>
    <w:p w14:paraId="2A8875D2" w14:textId="77777777" w:rsidR="003C12AE" w:rsidRPr="003C12AE" w:rsidRDefault="003C12AE" w:rsidP="003C12AE">
      <w:pPr>
        <w:spacing w:before="0" w:after="0"/>
        <w:ind w:right="-1"/>
        <w:rPr>
          <w:rFonts w:ascii="Times New Roman" w:hAnsi="Times New Roman"/>
          <w:sz w:val="24"/>
          <w:lang w:val="pt-BR"/>
        </w:rPr>
      </w:pPr>
      <w:r w:rsidRPr="003C12AE">
        <w:rPr>
          <w:rFonts w:ascii="Times New Roman" w:hAnsi="Times New Roman"/>
          <w:i/>
          <w:sz w:val="24"/>
          <w:lang w:val="pt-BR"/>
        </w:rPr>
        <w:t>Risco de liquidez</w:t>
      </w:r>
      <w:r w:rsidRPr="003C12AE">
        <w:rPr>
          <w:rFonts w:ascii="Times New Roman" w:hAnsi="Times New Roman"/>
          <w:sz w:val="24"/>
          <w:lang w:val="pt-BR"/>
        </w:rPr>
        <w:t xml:space="preserve"> é o risco de que a entidade enfrente dificuldades para cumprir obrigações relacionadas a passivos financeiros que são liquidadas pela entrega de caixa ou outro ativo financeiro.</w:t>
      </w:r>
    </w:p>
    <w:p w14:paraId="501CB049" w14:textId="77777777" w:rsidR="003C12AE" w:rsidRPr="003C12AE" w:rsidRDefault="003C12AE" w:rsidP="003C12AE">
      <w:pPr>
        <w:spacing w:before="0" w:after="0"/>
        <w:ind w:right="-1"/>
        <w:rPr>
          <w:rFonts w:ascii="Times New Roman" w:hAnsi="Times New Roman"/>
          <w:sz w:val="24"/>
          <w:lang w:val="pt-BR"/>
        </w:rPr>
      </w:pPr>
    </w:p>
    <w:p w14:paraId="77A3C6CB" w14:textId="77777777" w:rsidR="003C12AE" w:rsidRPr="003C12AE" w:rsidRDefault="003C12AE" w:rsidP="003C12AE">
      <w:pPr>
        <w:spacing w:before="0" w:after="0"/>
        <w:ind w:right="-1"/>
        <w:rPr>
          <w:rFonts w:ascii="Times New Roman" w:hAnsi="Times New Roman"/>
          <w:sz w:val="24"/>
          <w:lang w:val="pt-BR"/>
        </w:rPr>
      </w:pPr>
      <w:r w:rsidRPr="003C12AE">
        <w:rPr>
          <w:rFonts w:ascii="Times New Roman" w:hAnsi="Times New Roman"/>
          <w:i/>
          <w:sz w:val="24"/>
          <w:lang w:val="pt-BR"/>
        </w:rPr>
        <w:t>Empréstimos a pagar</w:t>
      </w:r>
      <w:r w:rsidRPr="003C12AE">
        <w:rPr>
          <w:rFonts w:ascii="Times New Roman" w:hAnsi="Times New Roman"/>
          <w:sz w:val="24"/>
          <w:lang w:val="pt-BR"/>
        </w:rPr>
        <w:t xml:space="preserve"> são passivos financeiros que não sejam contas a pagar comerciais de curto prazo, sob prazos normais de crédito. </w:t>
      </w:r>
    </w:p>
    <w:p w14:paraId="610E57A0" w14:textId="77777777" w:rsidR="003C12AE" w:rsidRPr="003C12AE" w:rsidRDefault="003C12AE" w:rsidP="003C12AE">
      <w:pPr>
        <w:spacing w:before="0" w:after="0"/>
        <w:ind w:right="-1"/>
        <w:rPr>
          <w:rFonts w:ascii="Times New Roman" w:hAnsi="Times New Roman"/>
          <w:sz w:val="24"/>
          <w:lang w:val="pt-BR"/>
        </w:rPr>
      </w:pPr>
    </w:p>
    <w:p w14:paraId="7E4474F4" w14:textId="77777777" w:rsidR="003C12AE" w:rsidRPr="003C12AE" w:rsidRDefault="003C12AE" w:rsidP="003C12AE">
      <w:pPr>
        <w:spacing w:before="0" w:after="0"/>
        <w:ind w:right="-1"/>
        <w:rPr>
          <w:rFonts w:ascii="Times New Roman" w:hAnsi="Times New Roman"/>
          <w:sz w:val="24"/>
          <w:lang w:val="pt-BR"/>
        </w:rPr>
      </w:pPr>
      <w:r w:rsidRPr="003C12AE">
        <w:rPr>
          <w:rFonts w:ascii="Times New Roman" w:hAnsi="Times New Roman"/>
          <w:i/>
          <w:sz w:val="24"/>
          <w:lang w:val="pt-BR"/>
        </w:rPr>
        <w:t>Risco de mercado</w:t>
      </w:r>
      <w:r w:rsidRPr="003C12AE">
        <w:rPr>
          <w:rFonts w:ascii="Times New Roman" w:hAnsi="Times New Roman"/>
          <w:sz w:val="24"/>
          <w:lang w:val="pt-BR"/>
        </w:rPr>
        <w:t xml:space="preserve"> é o risco de que o valor justo ou os fluxos de caixa futuros de instrumento financeiro oscilem devido a mudanças nos preços de mercado. O risco de mercado compreende três tipos de risco: risco de moeda, risco de taxa de juro e outros riscos de preços. </w:t>
      </w:r>
    </w:p>
    <w:p w14:paraId="2347C10F" w14:textId="77777777" w:rsidR="003C12AE" w:rsidRPr="003C12AE" w:rsidRDefault="003C12AE" w:rsidP="003C12AE">
      <w:pPr>
        <w:spacing w:before="0" w:after="0"/>
        <w:ind w:right="-1"/>
        <w:rPr>
          <w:rFonts w:ascii="Times New Roman" w:hAnsi="Times New Roman"/>
          <w:sz w:val="24"/>
          <w:lang w:val="pt-BR"/>
        </w:rPr>
      </w:pPr>
    </w:p>
    <w:p w14:paraId="12C61F37" w14:textId="77777777" w:rsidR="003C12AE" w:rsidRPr="003C12AE" w:rsidRDefault="003C12AE" w:rsidP="003C12AE">
      <w:pPr>
        <w:spacing w:before="0" w:after="0"/>
        <w:ind w:right="-1"/>
        <w:rPr>
          <w:rFonts w:ascii="Times New Roman" w:hAnsi="Times New Roman"/>
          <w:sz w:val="24"/>
          <w:lang w:val="pt-BR"/>
        </w:rPr>
      </w:pPr>
      <w:r w:rsidRPr="003C12AE">
        <w:rPr>
          <w:rFonts w:ascii="Times New Roman" w:hAnsi="Times New Roman"/>
          <w:i/>
          <w:sz w:val="24"/>
          <w:lang w:val="pt-BR"/>
        </w:rPr>
        <w:t>Outros riscos de preço</w:t>
      </w:r>
      <w:r w:rsidRPr="003C12AE">
        <w:rPr>
          <w:rFonts w:ascii="Times New Roman" w:hAnsi="Times New Roman"/>
          <w:sz w:val="24"/>
          <w:lang w:val="pt-BR"/>
        </w:rPr>
        <w:t xml:space="preserve"> são os riscos de o valor justo ou os fluxos de caixa futuros de instrumento financeiro oscilarem como resultado de alterações nos preços de mercado (que não são as que decorrem do risco de taxa de juros ou riscos cambiais), quer sejam essas alterações por fatores específicos do instrumento financeiro, ou fatores que afetam todos os instrumentos financeiros semelhantes negociados no mercado.   </w:t>
      </w:r>
    </w:p>
    <w:p w14:paraId="55A82E63" w14:textId="77777777" w:rsidR="003C12AE" w:rsidRPr="003C12AE" w:rsidRDefault="003C12AE" w:rsidP="003C12AE">
      <w:pPr>
        <w:spacing w:before="0" w:after="0"/>
        <w:ind w:right="-1"/>
        <w:rPr>
          <w:rFonts w:ascii="Times New Roman" w:hAnsi="Times New Roman"/>
          <w:sz w:val="24"/>
          <w:lang w:val="pt-BR"/>
        </w:rPr>
      </w:pPr>
    </w:p>
    <w:p w14:paraId="0CDAA866" w14:textId="77777777" w:rsidR="00955A45" w:rsidRPr="003C12AE" w:rsidRDefault="00955A45" w:rsidP="00955A45">
      <w:pPr>
        <w:autoSpaceDE w:val="0"/>
        <w:autoSpaceDN w:val="0"/>
        <w:adjustRightInd w:val="0"/>
        <w:spacing w:before="0" w:after="0"/>
        <w:rPr>
          <w:rFonts w:ascii="Times New Roman" w:hAnsi="Times New Roman"/>
          <w:bCs/>
          <w:sz w:val="24"/>
          <w:lang w:val="pt-BR"/>
        </w:rPr>
      </w:pPr>
      <w:r w:rsidRPr="003C12AE">
        <w:rPr>
          <w:rFonts w:ascii="Times New Roman" w:hAnsi="Times New Roman"/>
          <w:bCs/>
          <w:sz w:val="24"/>
          <w:lang w:val="pt-BR"/>
        </w:rPr>
        <w:t xml:space="preserve">Os seguintes termos são definidos no item 11 do CPC 39 – Instrumentos Financeiros: Apresentação, no item 9 do CPC 38 – Instrumentos Financeiros: Reconhecimento e Mensuração, no Apêndice A do CPC 48 ou no Apêndice A do CPC 46, e utilizados neste pronunciamento com o mesmo sentido: </w:t>
      </w:r>
    </w:p>
    <w:p w14:paraId="3B7B1504"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custo amortizado de ativo financeiro ou de passivo financeiro</w:t>
      </w:r>
    </w:p>
    <w:p w14:paraId="7BE20AA0"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desreconhecimento </w:t>
      </w:r>
    </w:p>
    <w:p w14:paraId="29BE839A"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derivativo</w:t>
      </w:r>
    </w:p>
    <w:p w14:paraId="0CCB7EF2"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método de juros efetivos</w:t>
      </w:r>
    </w:p>
    <w:p w14:paraId="75D1AEC7"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instrumento patrimonial</w:t>
      </w:r>
    </w:p>
    <w:p w14:paraId="082AF039"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valor justo</w:t>
      </w:r>
    </w:p>
    <w:p w14:paraId="724E6BC8"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ativo financeiro</w:t>
      </w:r>
    </w:p>
    <w:p w14:paraId="4589D6E2"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instrumento financeiro</w:t>
      </w:r>
    </w:p>
    <w:p w14:paraId="5405866D"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passivo financeiro</w:t>
      </w:r>
    </w:p>
    <w:p w14:paraId="7302D3C5"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lastRenderedPageBreak/>
        <w:t xml:space="preserve">  passivo financeiro mensurado pelo valor justo por meio do resultado</w:t>
      </w:r>
    </w:p>
    <w:p w14:paraId="4E83140B"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contrato de garantia financeira</w:t>
      </w:r>
    </w:p>
    <w:p w14:paraId="15A4BDFE"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transação prevista</w:t>
      </w:r>
    </w:p>
    <w:p w14:paraId="6C198480"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instrumento de </w:t>
      </w:r>
      <w:r w:rsidRPr="003C12AE">
        <w:rPr>
          <w:rFonts w:ascii="Times New Roman" w:hAnsi="Times New Roman"/>
          <w:bCs/>
          <w:i/>
          <w:sz w:val="24"/>
          <w:lang w:val="pt-BR"/>
        </w:rPr>
        <w:t>hedge</w:t>
      </w:r>
    </w:p>
    <w:p w14:paraId="29FD0A6D"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compra ou venda regular</w:t>
      </w:r>
    </w:p>
    <w:p w14:paraId="6B85CF09"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ativo contratual </w:t>
      </w:r>
    </w:p>
    <w:p w14:paraId="07648B80"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ativo financeiro com problema de recuperação de crédito </w:t>
      </w:r>
    </w:p>
    <w:p w14:paraId="37487176"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ativo financeiro comprado ou originado com problemas de recuperação de crédito </w:t>
      </w:r>
    </w:p>
    <w:p w14:paraId="71358C0A"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data de reclassificação</w:t>
      </w:r>
    </w:p>
    <w:p w14:paraId="2E4A431C"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dividendos </w:t>
      </w:r>
    </w:p>
    <w:p w14:paraId="71FD5D2A"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ganhos ou perdas por redução ao valor recuperável </w:t>
      </w:r>
    </w:p>
    <w:p w14:paraId="1FEC05DA"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mantido para negociação </w:t>
      </w:r>
    </w:p>
    <w:p w14:paraId="3CA93DC2"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perdas de crédito esperadas </w:t>
      </w:r>
    </w:p>
    <w:p w14:paraId="43B312D8"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provisão para perdas </w:t>
      </w:r>
    </w:p>
    <w:p w14:paraId="47E6BA5D" w14:textId="77777777"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valor contábil bruto de ativo financeiro </w:t>
      </w:r>
    </w:p>
    <w:p w14:paraId="79887014" w14:textId="0240977F" w:rsidR="00955A45" w:rsidRPr="003C12AE" w:rsidRDefault="00955A45" w:rsidP="00F307D5">
      <w:pPr>
        <w:numPr>
          <w:ilvl w:val="0"/>
          <w:numId w:val="35"/>
        </w:numPr>
        <w:autoSpaceDE w:val="0"/>
        <w:autoSpaceDN w:val="0"/>
        <w:adjustRightInd w:val="0"/>
        <w:spacing w:before="0" w:after="0"/>
        <w:ind w:left="851" w:hanging="284"/>
        <w:rPr>
          <w:rFonts w:ascii="Times New Roman" w:hAnsi="Times New Roman"/>
          <w:bCs/>
          <w:sz w:val="24"/>
          <w:lang w:val="pt-BR"/>
        </w:rPr>
      </w:pPr>
      <w:r w:rsidRPr="003C12AE">
        <w:rPr>
          <w:rFonts w:ascii="Times New Roman" w:hAnsi="Times New Roman"/>
          <w:bCs/>
          <w:sz w:val="24"/>
          <w:lang w:val="pt-BR"/>
        </w:rPr>
        <w:t xml:space="preserve">  vencido</w:t>
      </w:r>
    </w:p>
    <w:p w14:paraId="120F6659" w14:textId="77777777" w:rsidR="00955A45" w:rsidRPr="003C12AE" w:rsidRDefault="00955A45" w:rsidP="003C12AE">
      <w:pPr>
        <w:spacing w:before="0" w:after="0"/>
        <w:ind w:right="-1"/>
        <w:rPr>
          <w:rFonts w:ascii="Times New Roman" w:hAnsi="Times New Roman"/>
          <w:sz w:val="24"/>
          <w:lang w:val="pt-BR"/>
        </w:rPr>
      </w:pPr>
    </w:p>
    <w:p w14:paraId="7E7FCC5E" w14:textId="77777777" w:rsidR="00955A45" w:rsidRDefault="00955A45">
      <w:pPr>
        <w:spacing w:before="0" w:after="160" w:line="259" w:lineRule="auto"/>
        <w:jc w:val="left"/>
        <w:rPr>
          <w:rFonts w:ascii="Times New Roman" w:hAnsi="Times New Roman"/>
          <w:b/>
          <w:bCs/>
          <w:kern w:val="36"/>
          <w:sz w:val="24"/>
          <w:lang w:val="pt-BR"/>
        </w:rPr>
      </w:pPr>
      <w:r>
        <w:rPr>
          <w:rFonts w:ascii="Times New Roman" w:hAnsi="Times New Roman"/>
          <w:b/>
          <w:bCs/>
          <w:kern w:val="36"/>
          <w:sz w:val="24"/>
          <w:lang w:val="pt-BR"/>
        </w:rPr>
        <w:br w:type="page"/>
      </w:r>
    </w:p>
    <w:p w14:paraId="466D85AC" w14:textId="3F280CCC" w:rsidR="003C12AE" w:rsidRPr="003C12AE" w:rsidRDefault="003C12AE" w:rsidP="003C12AE">
      <w:pPr>
        <w:spacing w:before="0" w:after="0"/>
        <w:ind w:right="-1"/>
        <w:jc w:val="left"/>
        <w:rPr>
          <w:rFonts w:ascii="Times New Roman" w:hAnsi="Times New Roman"/>
          <w:b/>
          <w:bCs/>
          <w:kern w:val="36"/>
          <w:sz w:val="24"/>
          <w:lang w:val="pt-BR"/>
        </w:rPr>
      </w:pPr>
      <w:r w:rsidRPr="003C12AE">
        <w:rPr>
          <w:rFonts w:ascii="Times New Roman" w:hAnsi="Times New Roman"/>
          <w:b/>
          <w:bCs/>
          <w:kern w:val="36"/>
          <w:sz w:val="24"/>
          <w:lang w:val="pt-BR"/>
        </w:rPr>
        <w:lastRenderedPageBreak/>
        <w:t>APÊNDICE B – GUIA DE APLICAÇÃO</w:t>
      </w:r>
    </w:p>
    <w:p w14:paraId="72ADFC43" w14:textId="77777777" w:rsidR="003C12AE" w:rsidRPr="003C12AE" w:rsidRDefault="003C12AE" w:rsidP="003C12AE">
      <w:pPr>
        <w:spacing w:before="0" w:after="0"/>
        <w:ind w:right="-1"/>
        <w:jc w:val="left"/>
        <w:rPr>
          <w:rFonts w:ascii="Times New Roman" w:hAnsi="Times New Roman"/>
          <w:sz w:val="24"/>
          <w:lang w:val="pt-BR"/>
        </w:rPr>
      </w:pPr>
    </w:p>
    <w:p w14:paraId="17B37BF2" w14:textId="77777777" w:rsidR="003C12AE" w:rsidRPr="003C12AE" w:rsidRDefault="003C12AE" w:rsidP="003C12AE">
      <w:pPr>
        <w:spacing w:before="0" w:after="0"/>
        <w:ind w:right="-1"/>
        <w:rPr>
          <w:rFonts w:ascii="Times New Roman" w:hAnsi="Times New Roman"/>
          <w:i/>
          <w:sz w:val="24"/>
          <w:lang w:val="pt-BR" w:eastAsia="en-US"/>
        </w:rPr>
      </w:pPr>
      <w:r w:rsidRPr="003C12AE">
        <w:rPr>
          <w:rFonts w:ascii="Times New Roman" w:hAnsi="Times New Roman"/>
          <w:i/>
          <w:sz w:val="24"/>
          <w:lang w:val="pt-BR" w:eastAsia="en-US"/>
        </w:rPr>
        <w:t>Este apêndice é parte integrante do pronunciamento.</w:t>
      </w:r>
    </w:p>
    <w:p w14:paraId="5BA6B214" w14:textId="77777777" w:rsidR="003C12AE" w:rsidRPr="003C12AE" w:rsidRDefault="003C12AE" w:rsidP="003C12AE">
      <w:pPr>
        <w:spacing w:before="0" w:after="0"/>
        <w:ind w:right="-1"/>
        <w:jc w:val="left"/>
        <w:rPr>
          <w:rFonts w:ascii="Times New Roman" w:hAnsi="Times New Roman"/>
          <w:b/>
          <w:sz w:val="24"/>
          <w:u w:val="single"/>
          <w:lang w:val="pt-BR"/>
        </w:rPr>
      </w:pPr>
    </w:p>
    <w:p w14:paraId="250A87D4" w14:textId="77777777" w:rsidR="003C12AE" w:rsidRPr="003C12AE" w:rsidRDefault="003C12AE" w:rsidP="003C12AE">
      <w:pPr>
        <w:widowControl w:val="0"/>
        <w:tabs>
          <w:tab w:val="left" w:pos="6804"/>
        </w:tabs>
        <w:spacing w:before="0" w:after="0"/>
        <w:ind w:left="567" w:right="-1" w:hanging="567"/>
        <w:rPr>
          <w:rFonts w:ascii="Times New Roman" w:hAnsi="Times New Roman"/>
          <w:b/>
          <w:sz w:val="24"/>
          <w:lang w:val="pt-BR" w:eastAsia="x-none"/>
        </w:rPr>
      </w:pPr>
      <w:r w:rsidRPr="003C12AE">
        <w:rPr>
          <w:rFonts w:ascii="Times New Roman" w:hAnsi="Times New Roman"/>
          <w:b/>
          <w:sz w:val="24"/>
          <w:lang w:val="pt-BR" w:eastAsia="x-none"/>
        </w:rPr>
        <w:t>Classes de instrumentos financeiros e níveis de divulgação (item 6)</w:t>
      </w:r>
    </w:p>
    <w:p w14:paraId="20098C56" w14:textId="77777777" w:rsidR="003C12AE" w:rsidRPr="003C12AE" w:rsidRDefault="003C12AE" w:rsidP="003C12AE">
      <w:pPr>
        <w:spacing w:before="0" w:after="0"/>
        <w:ind w:right="-1"/>
        <w:jc w:val="left"/>
        <w:rPr>
          <w:rFonts w:ascii="Times New Roman" w:hAnsi="Times New Roman"/>
          <w:sz w:val="24"/>
          <w:lang w:val="pt-BR"/>
        </w:rPr>
      </w:pPr>
    </w:p>
    <w:p w14:paraId="331E34FD" w14:textId="07D01F53"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B1.</w:t>
      </w:r>
      <w:r w:rsidRPr="003C12AE">
        <w:rPr>
          <w:rFonts w:ascii="Times New Roman" w:hAnsi="Times New Roman"/>
          <w:sz w:val="24"/>
          <w:lang w:val="pt-BR"/>
        </w:rPr>
        <w:tab/>
        <w:t>O item 6 exige que a entidade agrupe instrumentos financeiros em classes que são apropriadas à natureza da informação divulgada e que tenham em conta as características desses instrumentos financeiros. As classes descritas no item 6 são determinadas pela entidade e são, portanto, diferentes das categorias de instrumentos financeiros especificadas no CPC 48 (que determinam como instrumentos financeiros devem ser mensurados e onde as mudanças no valor justo devem ser reconhecidas).</w:t>
      </w:r>
    </w:p>
    <w:p w14:paraId="28E3A01C" w14:textId="77777777" w:rsidR="003C12AE" w:rsidRPr="003C12AE" w:rsidRDefault="003C12AE" w:rsidP="003C12AE">
      <w:pPr>
        <w:spacing w:before="0" w:after="0"/>
        <w:ind w:right="-1"/>
        <w:jc w:val="left"/>
        <w:rPr>
          <w:rFonts w:ascii="Times New Roman" w:hAnsi="Times New Roman"/>
          <w:sz w:val="24"/>
          <w:lang w:val="pt-BR"/>
        </w:rPr>
      </w:pPr>
    </w:p>
    <w:p w14:paraId="3F820F9D" w14:textId="77777777" w:rsidR="003C12AE" w:rsidRPr="003C12AE" w:rsidRDefault="003C12AE" w:rsidP="003C12AE">
      <w:pPr>
        <w:widowControl w:val="0"/>
        <w:tabs>
          <w:tab w:val="left" w:pos="6804"/>
        </w:tabs>
        <w:spacing w:before="0"/>
        <w:ind w:left="567" w:right="-1" w:hanging="567"/>
        <w:rPr>
          <w:rFonts w:ascii="Times New Roman" w:hAnsi="Times New Roman"/>
          <w:sz w:val="24"/>
          <w:lang w:val="pt-BR" w:eastAsia="x-none"/>
        </w:rPr>
      </w:pPr>
      <w:r w:rsidRPr="003C12AE">
        <w:rPr>
          <w:rFonts w:ascii="Times New Roman" w:hAnsi="Times New Roman"/>
          <w:sz w:val="24"/>
          <w:lang w:val="pt-BR" w:eastAsia="x-none"/>
        </w:rPr>
        <w:t>B2.</w:t>
      </w:r>
      <w:r w:rsidRPr="003C12AE">
        <w:rPr>
          <w:rFonts w:ascii="Times New Roman" w:hAnsi="Times New Roman"/>
          <w:sz w:val="24"/>
          <w:lang w:val="pt-BR" w:eastAsia="x-none"/>
        </w:rPr>
        <w:tab/>
        <w:t>Ao determinar classes de instrumento financeiro, a entidade deve, no mínimo:</w:t>
      </w:r>
    </w:p>
    <w:p w14:paraId="7B9DD1C6" w14:textId="77777777" w:rsidR="003C12AE" w:rsidRPr="003C12AE" w:rsidRDefault="003C12AE" w:rsidP="00F307D5">
      <w:pPr>
        <w:widowControl w:val="0"/>
        <w:numPr>
          <w:ilvl w:val="0"/>
          <w:numId w:val="22"/>
        </w:numPr>
        <w:tabs>
          <w:tab w:val="clear" w:pos="1353"/>
        </w:tabs>
        <w:spacing w:before="0"/>
        <w:ind w:left="993" w:right="-1" w:hanging="284"/>
        <w:rPr>
          <w:rFonts w:ascii="Times New Roman" w:hAnsi="Times New Roman"/>
          <w:bCs/>
          <w:iCs/>
          <w:sz w:val="24"/>
          <w:lang w:val="pt-BR"/>
        </w:rPr>
      </w:pPr>
      <w:r w:rsidRPr="003C12AE">
        <w:rPr>
          <w:rFonts w:ascii="Times New Roman" w:hAnsi="Times New Roman"/>
          <w:bCs/>
          <w:iCs/>
          <w:sz w:val="24"/>
          <w:lang w:val="pt-BR"/>
        </w:rPr>
        <w:t xml:space="preserve">distinguir instrumentos mensurados pelo custo amortizado daqueles mensurados pelo valor justo; </w:t>
      </w:r>
    </w:p>
    <w:p w14:paraId="70858DAA" w14:textId="77777777" w:rsidR="003C12AE" w:rsidRPr="003C12AE" w:rsidRDefault="003C12AE" w:rsidP="00F307D5">
      <w:pPr>
        <w:widowControl w:val="0"/>
        <w:numPr>
          <w:ilvl w:val="0"/>
          <w:numId w:val="22"/>
        </w:numPr>
        <w:tabs>
          <w:tab w:val="clear" w:pos="1353"/>
        </w:tabs>
        <w:spacing w:before="0" w:after="0"/>
        <w:ind w:left="993" w:right="-1" w:hanging="284"/>
        <w:rPr>
          <w:rFonts w:ascii="Times New Roman" w:hAnsi="Times New Roman"/>
          <w:bCs/>
          <w:iCs/>
          <w:sz w:val="24"/>
          <w:lang w:val="pt-BR"/>
        </w:rPr>
      </w:pPr>
      <w:r w:rsidRPr="003C12AE">
        <w:rPr>
          <w:rFonts w:ascii="Times New Roman" w:hAnsi="Times New Roman"/>
          <w:bCs/>
          <w:iCs/>
          <w:sz w:val="24"/>
          <w:lang w:val="pt-BR"/>
        </w:rPr>
        <w:t>tratar como uma classe separada, ou classes, aqueles instrumentos financeiros fora do alcance deste Pronunciamento.</w:t>
      </w:r>
    </w:p>
    <w:p w14:paraId="4E98B2F6" w14:textId="77777777" w:rsidR="003C12AE" w:rsidRPr="003C12AE" w:rsidRDefault="003C12AE" w:rsidP="003C12AE">
      <w:pPr>
        <w:widowControl w:val="0"/>
        <w:spacing w:before="0" w:after="0"/>
        <w:ind w:left="993" w:right="-1"/>
        <w:jc w:val="left"/>
        <w:rPr>
          <w:rFonts w:ascii="Times New Roman" w:hAnsi="Times New Roman"/>
          <w:bCs/>
          <w:iCs/>
          <w:sz w:val="24"/>
          <w:lang w:val="pt-BR"/>
        </w:rPr>
      </w:pPr>
    </w:p>
    <w:p w14:paraId="5316591D"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B3.</w:t>
      </w:r>
      <w:r w:rsidRPr="003C12AE">
        <w:rPr>
          <w:rFonts w:ascii="Times New Roman" w:hAnsi="Times New Roman"/>
          <w:sz w:val="24"/>
          <w:lang w:val="pt-BR" w:eastAsia="x-none"/>
        </w:rPr>
        <w:tab/>
        <w:t>A entidade decide, em função das circunstâncias, a quantidade de detalhes que fornece para satisfazer as exigências deste Pronunciamento, quanta ênfase é dada aos diferentes aspectos dos requisitos e como isso agrega informação para exibir a imagem geral sem combinar informações com diferentes características. É necessário encontrar equilíbrio entre sobrecarregar as demonstrações contábeis com detalhes excessivos, que podem não ajudar os usuários dessas demonstrações, e ocultar informações importantes como resultado de muita agregação. Por exemplo, a entidade não deve ocultar informações importantes incluindo-as entre uma grande quantidade de detalhes insignificantes. Similarmente, a entidade não deve divulgar informações que são tão agregadas que ocultam diferenças importantes entre operações individuais ou riscos associados.</w:t>
      </w:r>
    </w:p>
    <w:p w14:paraId="1B658DE5" w14:textId="77777777" w:rsidR="003C12AE" w:rsidRPr="003C12AE" w:rsidRDefault="003C12AE" w:rsidP="003C12AE">
      <w:pPr>
        <w:spacing w:before="0" w:after="0"/>
        <w:ind w:right="-1"/>
        <w:jc w:val="left"/>
        <w:rPr>
          <w:rFonts w:ascii="Times New Roman" w:hAnsi="Times New Roman"/>
          <w:sz w:val="24"/>
          <w:lang w:val="pt-BR"/>
        </w:rPr>
      </w:pPr>
    </w:p>
    <w:p w14:paraId="3FE7CBC9" w14:textId="4CF55529" w:rsidR="003C12AE" w:rsidRPr="003C12AE" w:rsidRDefault="003C12AE" w:rsidP="00955A45">
      <w:pPr>
        <w:widowControl w:val="0"/>
        <w:tabs>
          <w:tab w:val="left" w:pos="6804"/>
        </w:tabs>
        <w:spacing w:before="0" w:after="0"/>
        <w:ind w:left="567" w:hanging="567"/>
        <w:rPr>
          <w:rFonts w:ascii="Times New Roman" w:hAnsi="Times New Roman"/>
          <w:sz w:val="24"/>
          <w:lang w:val="pt-BR" w:eastAsia="x-none"/>
        </w:rPr>
      </w:pPr>
      <w:r w:rsidRPr="003C12AE">
        <w:rPr>
          <w:rFonts w:ascii="Times New Roman" w:hAnsi="Times New Roman"/>
          <w:sz w:val="24"/>
          <w:lang w:val="pt-BR" w:eastAsia="x-none"/>
        </w:rPr>
        <w:t>B4.</w:t>
      </w:r>
      <w:r w:rsidRPr="003C12AE">
        <w:rPr>
          <w:rFonts w:ascii="Times New Roman" w:hAnsi="Times New Roman"/>
          <w:sz w:val="24"/>
          <w:lang w:val="pt-BR" w:eastAsia="x-none"/>
        </w:rPr>
        <w:tab/>
      </w:r>
      <w:r w:rsidR="00955A45" w:rsidRPr="00955A45">
        <w:rPr>
          <w:rFonts w:ascii="Times New Roman" w:hAnsi="Times New Roman"/>
          <w:sz w:val="24"/>
          <w:lang w:val="pt-BR" w:eastAsia="x-none"/>
        </w:rPr>
        <w:t>(Eliminado).</w:t>
      </w:r>
    </w:p>
    <w:p w14:paraId="3A81A906"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1B3E1E34" w14:textId="77777777" w:rsidR="003C12AE" w:rsidRPr="003C12AE" w:rsidRDefault="003C12AE" w:rsidP="003C12AE">
      <w:pPr>
        <w:spacing w:before="0" w:after="0"/>
        <w:ind w:right="-1"/>
        <w:jc w:val="left"/>
        <w:rPr>
          <w:rFonts w:ascii="Times New Roman" w:hAnsi="Times New Roman"/>
          <w:b/>
          <w:sz w:val="24"/>
          <w:lang w:val="pt-BR"/>
        </w:rPr>
      </w:pPr>
      <w:r w:rsidRPr="003C12AE">
        <w:rPr>
          <w:rFonts w:ascii="Times New Roman" w:hAnsi="Times New Roman"/>
          <w:b/>
          <w:sz w:val="24"/>
          <w:lang w:val="pt-BR"/>
        </w:rPr>
        <w:t>Outras divulgações – políticas contábeis (item 21)</w:t>
      </w:r>
    </w:p>
    <w:p w14:paraId="39196E42" w14:textId="77777777" w:rsidR="003C12AE" w:rsidRPr="003C12AE" w:rsidRDefault="003C12AE" w:rsidP="003C12AE">
      <w:pPr>
        <w:spacing w:before="0" w:after="0"/>
        <w:ind w:right="-1"/>
        <w:jc w:val="left"/>
        <w:rPr>
          <w:rFonts w:ascii="Times New Roman" w:hAnsi="Times New Roman"/>
          <w:sz w:val="24"/>
          <w:lang w:val="pt-BR"/>
        </w:rPr>
      </w:pPr>
    </w:p>
    <w:p w14:paraId="1FA7AAC0"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B5. </w:t>
      </w:r>
      <w:r w:rsidRPr="003C12AE">
        <w:rPr>
          <w:rFonts w:ascii="Times New Roman" w:hAnsi="Times New Roman"/>
          <w:sz w:val="24"/>
          <w:lang w:val="pt-BR" w:eastAsia="x-none"/>
        </w:rPr>
        <w:tab/>
        <w:t>O item 21 requer a divulgação da base de mensuração usada na elaboração das demonstrações contábeis e de outras políticas contábeis usadas que sejam relevantes para a compreensão das demonstrações contábeis. Para os instrumentos financeiros, essa evidenciação inclui:</w:t>
      </w:r>
    </w:p>
    <w:p w14:paraId="7E4E5A3E" w14:textId="4B16ABBD" w:rsidR="003C12AE" w:rsidRPr="003C12AE" w:rsidRDefault="00955A45" w:rsidP="00F307D5">
      <w:pPr>
        <w:widowControl w:val="0"/>
        <w:numPr>
          <w:ilvl w:val="0"/>
          <w:numId w:val="23"/>
        </w:numPr>
        <w:tabs>
          <w:tab w:val="clear" w:pos="1353"/>
        </w:tabs>
        <w:spacing w:before="0"/>
        <w:ind w:left="993" w:hanging="284"/>
        <w:rPr>
          <w:rFonts w:ascii="Times New Roman" w:hAnsi="Times New Roman"/>
          <w:bCs/>
          <w:iCs/>
          <w:strike/>
          <w:sz w:val="24"/>
          <w:lang w:val="pt-BR"/>
        </w:rPr>
      </w:pPr>
      <w:r w:rsidRPr="003C12AE">
        <w:rPr>
          <w:rFonts w:ascii="Times New Roman" w:hAnsi="Times New Roman"/>
          <w:bCs/>
          <w:iCs/>
          <w:sz w:val="24"/>
          <w:lang w:val="pt-BR"/>
        </w:rPr>
        <w:t>para os instrumentos financeiros passivos, designados como mensurados pelo valor justo por meio do resultado:</w:t>
      </w:r>
    </w:p>
    <w:p w14:paraId="1EE8FC34" w14:textId="7CC94A4E" w:rsidR="003C12AE" w:rsidRPr="003C12AE" w:rsidRDefault="00955A45" w:rsidP="00F307D5">
      <w:pPr>
        <w:widowControl w:val="0"/>
        <w:numPr>
          <w:ilvl w:val="0"/>
          <w:numId w:val="24"/>
        </w:numPr>
        <w:tabs>
          <w:tab w:val="clear" w:pos="1920"/>
        </w:tabs>
        <w:spacing w:before="0"/>
        <w:ind w:left="1418" w:hanging="284"/>
        <w:rPr>
          <w:rFonts w:ascii="Times New Roman" w:hAnsi="Times New Roman"/>
          <w:bCs/>
          <w:iCs/>
          <w:strike/>
          <w:sz w:val="24"/>
          <w:lang w:val="pt-BR"/>
        </w:rPr>
      </w:pPr>
      <w:r w:rsidRPr="003C12AE">
        <w:rPr>
          <w:rFonts w:ascii="Times New Roman" w:hAnsi="Times New Roman"/>
          <w:bCs/>
          <w:iCs/>
          <w:sz w:val="24"/>
          <w:lang w:val="pt-BR"/>
        </w:rPr>
        <w:t>a natureza dos passivos financeiros que a entidade designou como mensurados pelo valor justo por meio do resultado;</w:t>
      </w:r>
    </w:p>
    <w:p w14:paraId="6B201E25" w14:textId="2A6163F5" w:rsidR="003C12AE" w:rsidRPr="003C12AE" w:rsidRDefault="00955A45" w:rsidP="00F307D5">
      <w:pPr>
        <w:widowControl w:val="0"/>
        <w:numPr>
          <w:ilvl w:val="0"/>
          <w:numId w:val="24"/>
        </w:numPr>
        <w:tabs>
          <w:tab w:val="clear" w:pos="1920"/>
        </w:tabs>
        <w:spacing w:before="0"/>
        <w:ind w:left="1418" w:hanging="284"/>
        <w:rPr>
          <w:rFonts w:ascii="Times New Roman" w:hAnsi="Times New Roman"/>
          <w:bCs/>
          <w:iCs/>
          <w:strike/>
          <w:sz w:val="24"/>
          <w:lang w:val="pt-BR"/>
        </w:rPr>
      </w:pPr>
      <w:r w:rsidRPr="003C12AE">
        <w:rPr>
          <w:rFonts w:ascii="Times New Roman" w:hAnsi="Times New Roman"/>
          <w:bCs/>
          <w:iCs/>
          <w:sz w:val="24"/>
          <w:lang w:val="pt-BR"/>
        </w:rPr>
        <w:t>os critérios usados para a determinação desses passivos financeiros como mensurados pelo valor justo por meio do resultado; e</w:t>
      </w:r>
    </w:p>
    <w:p w14:paraId="4A3167AE" w14:textId="6324B345" w:rsidR="003C12AE" w:rsidRPr="003C12AE" w:rsidRDefault="00955A45" w:rsidP="00F307D5">
      <w:pPr>
        <w:widowControl w:val="0"/>
        <w:numPr>
          <w:ilvl w:val="0"/>
          <w:numId w:val="24"/>
        </w:numPr>
        <w:tabs>
          <w:tab w:val="clear" w:pos="1920"/>
        </w:tabs>
        <w:spacing w:before="0"/>
        <w:ind w:left="1418" w:hanging="284"/>
        <w:rPr>
          <w:rFonts w:ascii="Times New Roman" w:hAnsi="Times New Roman"/>
          <w:bCs/>
          <w:iCs/>
          <w:strike/>
          <w:sz w:val="24"/>
          <w:lang w:val="pt-BR"/>
        </w:rPr>
      </w:pPr>
      <w:r w:rsidRPr="003C12AE">
        <w:rPr>
          <w:rFonts w:ascii="Times New Roman" w:hAnsi="Times New Roman"/>
          <w:bCs/>
          <w:iCs/>
          <w:sz w:val="24"/>
          <w:lang w:val="pt-BR"/>
        </w:rPr>
        <w:lastRenderedPageBreak/>
        <w:t>como a entidade satisfez as condições do item 4.2.2 do CPC 48 para tal designação;</w:t>
      </w:r>
    </w:p>
    <w:p w14:paraId="6FDE42F0" w14:textId="77777777" w:rsidR="003C12AE" w:rsidRPr="003C12AE" w:rsidRDefault="003C12AE" w:rsidP="003C12AE">
      <w:pPr>
        <w:widowControl w:val="0"/>
        <w:spacing w:before="0"/>
        <w:ind w:left="993" w:hanging="426"/>
        <w:rPr>
          <w:rFonts w:ascii="Times New Roman" w:hAnsi="Times New Roman"/>
          <w:bCs/>
          <w:iCs/>
          <w:sz w:val="24"/>
          <w:lang w:val="pt-BR"/>
        </w:rPr>
      </w:pPr>
      <w:r w:rsidRPr="003C12AE">
        <w:rPr>
          <w:rFonts w:ascii="Times New Roman" w:hAnsi="Times New Roman"/>
          <w:bCs/>
          <w:iCs/>
          <w:sz w:val="24"/>
          <w:lang w:val="pt-BR"/>
        </w:rPr>
        <w:t>(aa)</w:t>
      </w:r>
      <w:r w:rsidRPr="003C12AE">
        <w:rPr>
          <w:rFonts w:ascii="Times New Roman" w:hAnsi="Times New Roman"/>
          <w:bCs/>
          <w:iCs/>
          <w:sz w:val="24"/>
          <w:lang w:val="pt-BR"/>
        </w:rPr>
        <w:tab/>
        <w:t xml:space="preserve">para ativos financeiros designados como mensurados ao valor justo por meio do resultado: </w:t>
      </w:r>
    </w:p>
    <w:p w14:paraId="3CBAE2A1" w14:textId="77777777"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(i) </w:t>
      </w:r>
      <w:r w:rsidRPr="003C12AE">
        <w:rPr>
          <w:rFonts w:ascii="Times New Roman" w:hAnsi="Times New Roman"/>
          <w:bCs/>
          <w:iCs/>
          <w:sz w:val="24"/>
          <w:lang w:val="pt-BR"/>
        </w:rPr>
        <w:tab/>
        <w:t xml:space="preserve">a natureza dos ativos financeiros que a entidade designou como mensurados ao valor justo por meio do resultado; e </w:t>
      </w:r>
    </w:p>
    <w:p w14:paraId="689514A0" w14:textId="44B1A95F" w:rsidR="003C12AE" w:rsidRPr="003C12AE" w:rsidRDefault="003C12AE" w:rsidP="003C12AE">
      <w:pPr>
        <w:widowControl w:val="0"/>
        <w:spacing w:before="0"/>
        <w:ind w:left="1418" w:hanging="425"/>
        <w:rPr>
          <w:rFonts w:ascii="Times New Roman" w:hAnsi="Times New Roman"/>
          <w:bCs/>
          <w:iCs/>
          <w:sz w:val="24"/>
          <w:lang w:val="pt-BR"/>
        </w:rPr>
      </w:pPr>
      <w:r w:rsidRPr="003C12AE">
        <w:rPr>
          <w:rFonts w:ascii="Times New Roman" w:hAnsi="Times New Roman"/>
          <w:bCs/>
          <w:iCs/>
          <w:sz w:val="24"/>
          <w:lang w:val="pt-BR"/>
        </w:rPr>
        <w:t xml:space="preserve">(ii) </w:t>
      </w:r>
      <w:r w:rsidRPr="003C12AE">
        <w:rPr>
          <w:rFonts w:ascii="Times New Roman" w:hAnsi="Times New Roman"/>
          <w:bCs/>
          <w:iCs/>
          <w:sz w:val="24"/>
          <w:lang w:val="pt-BR"/>
        </w:rPr>
        <w:tab/>
        <w:t>como a entidade cumpriu os critérios do item 4.1.5 do CPC 48 para essa designação;</w:t>
      </w:r>
    </w:p>
    <w:p w14:paraId="3A452BAC" w14:textId="2255BB24" w:rsidR="003C12AE" w:rsidRPr="003C12AE" w:rsidRDefault="001122C5" w:rsidP="00F307D5">
      <w:pPr>
        <w:widowControl w:val="0"/>
        <w:numPr>
          <w:ilvl w:val="0"/>
          <w:numId w:val="23"/>
        </w:numPr>
        <w:tabs>
          <w:tab w:val="clear" w:pos="1353"/>
        </w:tabs>
        <w:spacing w:before="0"/>
        <w:ind w:left="993" w:hanging="284"/>
        <w:rPr>
          <w:rFonts w:ascii="Times New Roman" w:hAnsi="Times New Roman"/>
          <w:bCs/>
          <w:iCs/>
          <w:sz w:val="24"/>
          <w:lang w:val="pt-BR"/>
        </w:rPr>
      </w:pPr>
      <w:r w:rsidRPr="001122C5">
        <w:rPr>
          <w:rFonts w:ascii="Times New Roman" w:hAnsi="Times New Roman"/>
          <w:bCs/>
          <w:iCs/>
          <w:sz w:val="24"/>
          <w:lang w:val="pt-BR"/>
        </w:rPr>
        <w:t>(eliminada);</w:t>
      </w:r>
    </w:p>
    <w:p w14:paraId="0AA92E65" w14:textId="057A6CEE" w:rsidR="003C12AE" w:rsidRPr="003C12AE" w:rsidRDefault="001122C5" w:rsidP="00F307D5">
      <w:pPr>
        <w:widowControl w:val="0"/>
        <w:numPr>
          <w:ilvl w:val="0"/>
          <w:numId w:val="23"/>
        </w:numPr>
        <w:tabs>
          <w:tab w:val="clear" w:pos="1353"/>
        </w:tabs>
        <w:spacing w:before="0"/>
        <w:ind w:left="993" w:hanging="284"/>
        <w:rPr>
          <w:rFonts w:ascii="Times New Roman" w:hAnsi="Times New Roman"/>
          <w:bCs/>
          <w:iCs/>
          <w:strike/>
          <w:sz w:val="24"/>
          <w:lang w:val="pt-BR"/>
        </w:rPr>
      </w:pPr>
      <w:r w:rsidRPr="003C12AE">
        <w:rPr>
          <w:rFonts w:ascii="Times New Roman" w:hAnsi="Times New Roman"/>
          <w:bCs/>
          <w:iCs/>
          <w:sz w:val="24"/>
          <w:lang w:val="pt-BR"/>
        </w:rPr>
        <w:t>se compras e vendas regulares de ativos financeiros são contabilizadas na data da transação ou da liquidação (ver item 3.1.2 do CPC 48);</w:t>
      </w:r>
    </w:p>
    <w:p w14:paraId="6EDD4510" w14:textId="67920E03" w:rsidR="003C12AE" w:rsidRPr="003C12AE" w:rsidRDefault="001122C5" w:rsidP="00F307D5">
      <w:pPr>
        <w:widowControl w:val="0"/>
        <w:numPr>
          <w:ilvl w:val="0"/>
          <w:numId w:val="23"/>
        </w:numPr>
        <w:tabs>
          <w:tab w:val="clear" w:pos="1353"/>
        </w:tabs>
        <w:spacing w:before="0"/>
        <w:ind w:left="993" w:hanging="284"/>
        <w:rPr>
          <w:rFonts w:ascii="Times New Roman" w:hAnsi="Times New Roman"/>
          <w:bCs/>
          <w:iCs/>
          <w:sz w:val="24"/>
          <w:lang w:val="pt-BR"/>
        </w:rPr>
      </w:pPr>
      <w:r w:rsidRPr="001122C5">
        <w:rPr>
          <w:rFonts w:ascii="Times New Roman" w:hAnsi="Times New Roman"/>
          <w:bCs/>
          <w:iCs/>
          <w:sz w:val="24"/>
          <w:lang w:val="pt-BR"/>
        </w:rPr>
        <w:t>(eliminada);</w:t>
      </w:r>
    </w:p>
    <w:p w14:paraId="39AF7811" w14:textId="77777777" w:rsidR="003C12AE" w:rsidRPr="003C12AE" w:rsidRDefault="003C12AE" w:rsidP="00F307D5">
      <w:pPr>
        <w:widowControl w:val="0"/>
        <w:numPr>
          <w:ilvl w:val="0"/>
          <w:numId w:val="23"/>
        </w:numPr>
        <w:tabs>
          <w:tab w:val="clear" w:pos="1353"/>
        </w:tabs>
        <w:spacing w:before="0"/>
        <w:ind w:left="993" w:hanging="284"/>
        <w:rPr>
          <w:rFonts w:ascii="Times New Roman" w:hAnsi="Times New Roman"/>
          <w:bCs/>
          <w:iCs/>
          <w:sz w:val="24"/>
          <w:lang w:val="pt-BR"/>
        </w:rPr>
      </w:pPr>
      <w:r w:rsidRPr="003C12AE">
        <w:rPr>
          <w:rFonts w:ascii="Times New Roman" w:hAnsi="Times New Roman"/>
          <w:bCs/>
          <w:iCs/>
          <w:sz w:val="24"/>
          <w:lang w:val="pt-BR"/>
        </w:rPr>
        <w:t>como as perdas e os ganhos líquidos nas várias categorias de instrumentos financeiros são determinados (ver item 20(a)), por exemplo, se os ganhos ou as perdas líquidos mensurados pelo valor justo por meio do resultado incluem juros ou dividendos;</w:t>
      </w:r>
    </w:p>
    <w:p w14:paraId="1B9DE464" w14:textId="76086220" w:rsidR="003C12AE" w:rsidRPr="003C12AE" w:rsidRDefault="001122C5" w:rsidP="00F307D5">
      <w:pPr>
        <w:widowControl w:val="0"/>
        <w:numPr>
          <w:ilvl w:val="0"/>
          <w:numId w:val="23"/>
        </w:numPr>
        <w:tabs>
          <w:tab w:val="clear" w:pos="1353"/>
        </w:tabs>
        <w:spacing w:before="0"/>
        <w:ind w:left="993" w:hanging="284"/>
        <w:rPr>
          <w:rFonts w:ascii="Times New Roman" w:hAnsi="Times New Roman"/>
          <w:bCs/>
          <w:iCs/>
          <w:sz w:val="24"/>
          <w:lang w:val="pt-BR"/>
        </w:rPr>
      </w:pPr>
      <w:r w:rsidRPr="001122C5">
        <w:rPr>
          <w:rFonts w:ascii="Times New Roman" w:hAnsi="Times New Roman"/>
          <w:bCs/>
          <w:iCs/>
          <w:sz w:val="24"/>
          <w:lang w:val="pt-BR"/>
        </w:rPr>
        <w:t>(eliminada);</w:t>
      </w:r>
    </w:p>
    <w:p w14:paraId="134F9D5C" w14:textId="5C053224" w:rsidR="003C12AE" w:rsidRPr="003C12AE" w:rsidRDefault="001122C5" w:rsidP="00F307D5">
      <w:pPr>
        <w:widowControl w:val="0"/>
        <w:numPr>
          <w:ilvl w:val="0"/>
          <w:numId w:val="23"/>
        </w:numPr>
        <w:tabs>
          <w:tab w:val="clear" w:pos="1353"/>
        </w:tabs>
        <w:spacing w:before="0"/>
        <w:ind w:left="993" w:hanging="284"/>
        <w:rPr>
          <w:rFonts w:ascii="Times New Roman" w:hAnsi="Times New Roman"/>
          <w:bCs/>
          <w:iCs/>
          <w:sz w:val="24"/>
          <w:lang w:val="pt-BR"/>
        </w:rPr>
      </w:pPr>
      <w:r w:rsidRPr="001122C5">
        <w:rPr>
          <w:rFonts w:ascii="Times New Roman" w:hAnsi="Times New Roman"/>
          <w:bCs/>
          <w:iCs/>
          <w:sz w:val="24"/>
          <w:lang w:val="pt-BR"/>
        </w:rPr>
        <w:t>(eliminada)</w:t>
      </w:r>
      <w:r w:rsidR="003C12AE" w:rsidRPr="003C12AE">
        <w:rPr>
          <w:rFonts w:ascii="Times New Roman" w:hAnsi="Times New Roman"/>
          <w:bCs/>
          <w:iCs/>
          <w:sz w:val="24"/>
          <w:lang w:val="pt-BR"/>
        </w:rPr>
        <w:t>.</w:t>
      </w:r>
    </w:p>
    <w:p w14:paraId="70547B68"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ab/>
        <w:t>O item 122 do CPC 26 – Apresentação das Demonstrações Contábeis também requer que as entidades evidenciem, na nota explicativa sobre as políticas contábeis significativas ou outras notas explicativas, os julgamentos, excetuando aqueles envolvendo estimativas, que a administração realizou no processo de aplicar as políticas contábeis da entidade e que possuem impacto mais significativo nos montantes reconhecidos nas demonstrações contábeis.</w:t>
      </w:r>
    </w:p>
    <w:p w14:paraId="740F2C54" w14:textId="77777777" w:rsidR="003C12AE" w:rsidRPr="003C12AE" w:rsidRDefault="003C12AE" w:rsidP="003C12AE">
      <w:pPr>
        <w:spacing w:before="0" w:after="0"/>
        <w:ind w:right="-1"/>
        <w:jc w:val="left"/>
        <w:rPr>
          <w:rFonts w:ascii="Times New Roman" w:hAnsi="Times New Roman"/>
          <w:sz w:val="24"/>
          <w:lang w:val="pt-BR"/>
        </w:rPr>
      </w:pPr>
    </w:p>
    <w:p w14:paraId="052493EC" w14:textId="77777777" w:rsidR="003C12AE" w:rsidRPr="003C12AE" w:rsidRDefault="003C12AE" w:rsidP="003C12AE">
      <w:pPr>
        <w:spacing w:before="0" w:after="0"/>
        <w:ind w:right="-1"/>
        <w:jc w:val="left"/>
        <w:rPr>
          <w:rFonts w:ascii="Times New Roman" w:hAnsi="Times New Roman"/>
          <w:b/>
          <w:sz w:val="24"/>
          <w:lang w:val="pt-BR"/>
        </w:rPr>
      </w:pPr>
      <w:r w:rsidRPr="003C12AE">
        <w:rPr>
          <w:rFonts w:ascii="Times New Roman" w:hAnsi="Times New Roman"/>
          <w:b/>
          <w:sz w:val="24"/>
          <w:lang w:val="pt-BR"/>
        </w:rPr>
        <w:t>Natureza e extensão dos riscos oriundos de instrumentos financeiros (itens 31 a 42)</w:t>
      </w:r>
    </w:p>
    <w:p w14:paraId="674B6C85" w14:textId="77777777" w:rsidR="003C12AE" w:rsidRPr="003C12AE" w:rsidRDefault="003C12AE" w:rsidP="003C12AE">
      <w:pPr>
        <w:spacing w:before="0" w:after="0"/>
        <w:ind w:right="-1"/>
        <w:jc w:val="left"/>
        <w:rPr>
          <w:rFonts w:ascii="Times New Roman" w:hAnsi="Times New Roman"/>
          <w:sz w:val="24"/>
          <w:lang w:val="pt-BR"/>
        </w:rPr>
      </w:pPr>
    </w:p>
    <w:p w14:paraId="538F1577"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B6. </w:t>
      </w:r>
      <w:r w:rsidRPr="003C12AE">
        <w:rPr>
          <w:rFonts w:ascii="Times New Roman" w:hAnsi="Times New Roman"/>
          <w:sz w:val="24"/>
          <w:lang w:val="pt-BR" w:eastAsia="x-none"/>
        </w:rPr>
        <w:tab/>
        <w:t>As divulgações requeridas pelos itens 31 a 42 devem ser feitas nas demonstrações contábeis ou incorporadas por referências cruzadas a outras demonstrações, como o relatório da administração ou relatório de risco que são disponíveis para os usuários das demonstrações contábeis nos mesmos termos e na mesma data das demonstrações contábeis. Sem essas informações as demonstrações contábeis são incompletas.</w:t>
      </w:r>
    </w:p>
    <w:p w14:paraId="33374654" w14:textId="77777777" w:rsidR="003C12AE" w:rsidRPr="003C12AE" w:rsidRDefault="003C12AE" w:rsidP="003C12AE">
      <w:pPr>
        <w:spacing w:before="0" w:after="0"/>
        <w:ind w:right="-1"/>
        <w:jc w:val="left"/>
        <w:rPr>
          <w:rFonts w:ascii="Times New Roman" w:hAnsi="Times New Roman"/>
          <w:sz w:val="24"/>
          <w:lang w:val="pt-BR"/>
        </w:rPr>
      </w:pPr>
    </w:p>
    <w:p w14:paraId="6A91E505" w14:textId="77777777" w:rsidR="003C12AE" w:rsidRPr="003C12AE" w:rsidRDefault="003C12AE" w:rsidP="003C12AE">
      <w:pPr>
        <w:spacing w:before="0" w:after="0"/>
        <w:ind w:right="-1"/>
        <w:jc w:val="left"/>
        <w:rPr>
          <w:rFonts w:ascii="Times New Roman" w:hAnsi="Times New Roman"/>
          <w:b/>
          <w:sz w:val="24"/>
          <w:lang w:val="pt-BR"/>
        </w:rPr>
      </w:pPr>
      <w:r w:rsidRPr="003C12AE">
        <w:rPr>
          <w:rFonts w:ascii="Times New Roman" w:hAnsi="Times New Roman"/>
          <w:b/>
          <w:sz w:val="24"/>
          <w:lang w:val="pt-BR"/>
        </w:rPr>
        <w:t>Divulgação quantitativa (item 34)</w:t>
      </w:r>
    </w:p>
    <w:p w14:paraId="7A0BEF38" w14:textId="77777777" w:rsidR="003C12AE" w:rsidRPr="003C12AE" w:rsidRDefault="003C12AE" w:rsidP="003C12AE">
      <w:pPr>
        <w:spacing w:before="0" w:after="0"/>
        <w:ind w:right="-1"/>
        <w:jc w:val="left"/>
        <w:rPr>
          <w:rFonts w:ascii="Times New Roman" w:hAnsi="Times New Roman"/>
          <w:sz w:val="24"/>
          <w:lang w:val="pt-BR"/>
        </w:rPr>
      </w:pPr>
    </w:p>
    <w:p w14:paraId="36E52198"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B7. </w:t>
      </w:r>
      <w:r w:rsidRPr="003C12AE">
        <w:rPr>
          <w:rFonts w:ascii="Times New Roman" w:hAnsi="Times New Roman"/>
          <w:sz w:val="24"/>
          <w:lang w:val="pt-BR" w:eastAsia="x-none"/>
        </w:rPr>
        <w:tab/>
        <w:t>O item 34(a) requer a divulgação de informações quantitativas sumarizadas a respeito da exposição da entidade baseada na informação fornecida internamente para o pessoal administrativo chave da entidade. Quando a entidade usa vários métodos para administrar sua exposição de risco, deve evidenciar informações que forneçam a informação mais relevante e confiável. O Pronunciamento Técnico CPC 23 – Políticas Contábeis, Mudança de Estimativa e Retificação de Erro discute os termos relevância e confiabilidade.</w:t>
      </w:r>
    </w:p>
    <w:p w14:paraId="0F468D94"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20B21393"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B8. </w:t>
      </w:r>
      <w:r w:rsidRPr="003C12AE">
        <w:rPr>
          <w:rFonts w:ascii="Times New Roman" w:hAnsi="Times New Roman"/>
          <w:sz w:val="24"/>
          <w:lang w:val="pt-BR" w:eastAsia="x-none"/>
        </w:rPr>
        <w:tab/>
        <w:t xml:space="preserve">O item 34(c) requer divulgação acerca de concentrações de risco. Concentrações de risco decorrem de instrumentos financeiros que possuem características similares e que são afetados de forma similar </w:t>
      </w:r>
      <w:r w:rsidRPr="003C12AE">
        <w:rPr>
          <w:rFonts w:ascii="Times New Roman" w:hAnsi="Times New Roman"/>
          <w:sz w:val="24"/>
          <w:lang w:val="pt-BR" w:eastAsia="x-none"/>
        </w:rPr>
        <w:lastRenderedPageBreak/>
        <w:t>por variações nas condições econômicas. A identificação da concentração dos riscos requer julgamento levando em consideração as circunstâncias da entidade. Divulgações sobre concentrações de risco devem incluir:</w:t>
      </w:r>
    </w:p>
    <w:p w14:paraId="6AA5B9B4" w14:textId="77777777" w:rsidR="003C12AE" w:rsidRPr="003C12AE" w:rsidRDefault="003C12AE" w:rsidP="00F307D5">
      <w:pPr>
        <w:widowControl w:val="0"/>
        <w:numPr>
          <w:ilvl w:val="0"/>
          <w:numId w:val="26"/>
        </w:numPr>
        <w:tabs>
          <w:tab w:val="clear" w:pos="1353"/>
        </w:tabs>
        <w:spacing w:before="0"/>
        <w:ind w:left="993" w:hanging="284"/>
        <w:rPr>
          <w:rFonts w:ascii="Times New Roman" w:hAnsi="Times New Roman"/>
          <w:bCs/>
          <w:iCs/>
          <w:sz w:val="24"/>
          <w:lang w:val="pt-BR"/>
        </w:rPr>
      </w:pPr>
      <w:r w:rsidRPr="003C12AE">
        <w:rPr>
          <w:rFonts w:ascii="Times New Roman" w:hAnsi="Times New Roman"/>
          <w:bCs/>
          <w:iCs/>
          <w:sz w:val="24"/>
          <w:lang w:val="pt-BR"/>
        </w:rPr>
        <w:t>descrição de como a administração determina essas concentrações;</w:t>
      </w:r>
    </w:p>
    <w:p w14:paraId="72D21D48" w14:textId="77777777" w:rsidR="003C12AE" w:rsidRPr="003C12AE" w:rsidRDefault="003C12AE" w:rsidP="00F307D5">
      <w:pPr>
        <w:widowControl w:val="0"/>
        <w:numPr>
          <w:ilvl w:val="0"/>
          <w:numId w:val="26"/>
        </w:numPr>
        <w:tabs>
          <w:tab w:val="clear" w:pos="1353"/>
        </w:tabs>
        <w:spacing w:before="0"/>
        <w:ind w:left="993" w:hanging="284"/>
        <w:rPr>
          <w:rFonts w:ascii="Times New Roman" w:hAnsi="Times New Roman"/>
          <w:bCs/>
          <w:iCs/>
          <w:sz w:val="24"/>
          <w:lang w:val="pt-BR"/>
        </w:rPr>
      </w:pPr>
      <w:r w:rsidRPr="003C12AE">
        <w:rPr>
          <w:rFonts w:ascii="Times New Roman" w:hAnsi="Times New Roman"/>
          <w:bCs/>
          <w:iCs/>
          <w:sz w:val="24"/>
          <w:lang w:val="pt-BR"/>
        </w:rPr>
        <w:t>descrição das características comuns que identificam cada concentração (por exemplo, contraparte, área geográfica, moeda ou mercado);</w:t>
      </w:r>
    </w:p>
    <w:p w14:paraId="01BA4CC5" w14:textId="77777777" w:rsidR="003C12AE" w:rsidRPr="003C12AE" w:rsidRDefault="003C12AE" w:rsidP="00F307D5">
      <w:pPr>
        <w:widowControl w:val="0"/>
        <w:numPr>
          <w:ilvl w:val="0"/>
          <w:numId w:val="26"/>
        </w:numPr>
        <w:tabs>
          <w:tab w:val="clear" w:pos="1353"/>
        </w:tabs>
        <w:spacing w:before="0" w:after="0"/>
        <w:ind w:left="993" w:right="-1" w:hanging="284"/>
        <w:rPr>
          <w:rFonts w:ascii="Times New Roman" w:hAnsi="Times New Roman"/>
          <w:bCs/>
          <w:iCs/>
          <w:sz w:val="24"/>
          <w:lang w:val="pt-BR"/>
        </w:rPr>
      </w:pPr>
      <w:r w:rsidRPr="003C12AE">
        <w:rPr>
          <w:rFonts w:ascii="Times New Roman" w:hAnsi="Times New Roman"/>
          <w:bCs/>
          <w:iCs/>
          <w:sz w:val="24"/>
          <w:lang w:val="pt-BR"/>
        </w:rPr>
        <w:t>o montante de exposição ao risco associado com todos os instrumentos financeiros que possuem essa mesma característica.</w:t>
      </w:r>
    </w:p>
    <w:p w14:paraId="631FCD8C" w14:textId="77777777" w:rsidR="003C12AE" w:rsidRPr="003C12AE" w:rsidRDefault="003C12AE" w:rsidP="003C12AE">
      <w:pPr>
        <w:spacing w:before="0" w:after="0"/>
        <w:ind w:right="-1"/>
        <w:jc w:val="left"/>
        <w:rPr>
          <w:rFonts w:ascii="Times New Roman" w:hAnsi="Times New Roman"/>
          <w:sz w:val="24"/>
          <w:lang w:val="pt-BR"/>
        </w:rPr>
      </w:pPr>
    </w:p>
    <w:p w14:paraId="561D659A" w14:textId="77777777" w:rsidR="003C12AE" w:rsidRPr="003C12AE" w:rsidRDefault="003C12AE" w:rsidP="003C12AE">
      <w:pPr>
        <w:spacing w:before="0" w:after="0"/>
        <w:ind w:right="-1"/>
        <w:rPr>
          <w:rFonts w:ascii="Times New Roman" w:hAnsi="Times New Roman"/>
          <w:sz w:val="24"/>
          <w:lang w:val="pt-BR"/>
        </w:rPr>
      </w:pPr>
      <w:r w:rsidRPr="003C12AE">
        <w:rPr>
          <w:rFonts w:ascii="Times New Roman" w:hAnsi="Times New Roman"/>
          <w:b/>
          <w:sz w:val="24"/>
          <w:lang w:val="pt-BR"/>
        </w:rPr>
        <w:t xml:space="preserve">Práticas de gerenciamento de risco de crédito </w:t>
      </w:r>
      <w:r w:rsidRPr="003C12AE">
        <w:rPr>
          <w:rFonts w:ascii="Times New Roman" w:hAnsi="Times New Roman"/>
          <w:sz w:val="24"/>
          <w:lang w:val="pt-BR"/>
        </w:rPr>
        <w:t>(itens 35F e 35G)</w:t>
      </w:r>
    </w:p>
    <w:p w14:paraId="40CFAB73" w14:textId="77777777" w:rsidR="003C12AE" w:rsidRPr="003C12AE" w:rsidRDefault="003C12AE" w:rsidP="003C12AE">
      <w:pPr>
        <w:spacing w:before="0" w:after="0"/>
        <w:ind w:right="-1"/>
        <w:rPr>
          <w:rFonts w:ascii="Times New Roman" w:hAnsi="Times New Roman"/>
          <w:sz w:val="24"/>
          <w:lang w:val="pt-BR"/>
        </w:rPr>
      </w:pPr>
    </w:p>
    <w:p w14:paraId="79F120D5" w14:textId="77777777" w:rsidR="003C12AE" w:rsidRPr="003C12AE" w:rsidRDefault="003C12AE" w:rsidP="003C12AE">
      <w:pPr>
        <w:spacing w:before="0"/>
        <w:ind w:left="567" w:hanging="567"/>
        <w:rPr>
          <w:rFonts w:ascii="Times New Roman" w:hAnsi="Times New Roman"/>
          <w:sz w:val="24"/>
          <w:lang w:val="pt-BR"/>
        </w:rPr>
      </w:pPr>
      <w:r w:rsidRPr="003C12AE">
        <w:rPr>
          <w:rFonts w:ascii="Times New Roman" w:hAnsi="Times New Roman"/>
          <w:sz w:val="24"/>
          <w:lang w:val="pt-BR"/>
        </w:rPr>
        <w:t xml:space="preserve">B8A. O item 35F(b) exige a divulgação de informações sobre como a entidade definiu inadimplência para diferentes instrumentos financeiros e os motivos para a escolha dessas definições. De acordo com o item 5.5.9 do CPC 48, a determinação sobre se as perdas permanentes de crédito esperadas devem ser reconhecidas baseia-se no aumento do risco de inadimplência, que ocorre desde o reconhecimento inicial. As informações sobre definições de inadimplência da entidade que auxiliarão os usuários das demonstrações contábeis a compreenderem como a entidade aplicou os requisitos de perdas de crédito esperadas no CPC 48 podem incluir: </w:t>
      </w:r>
    </w:p>
    <w:p w14:paraId="32858537"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(a) </w:t>
      </w:r>
      <w:r w:rsidRPr="003C12AE">
        <w:rPr>
          <w:rFonts w:ascii="Times New Roman" w:hAnsi="Times New Roman"/>
          <w:sz w:val="24"/>
          <w:lang w:val="pt-BR"/>
        </w:rPr>
        <w:tab/>
        <w:t xml:space="preserve">os fatores qualitativos e quantitativos considerados ao definir inadimplência; </w:t>
      </w:r>
    </w:p>
    <w:p w14:paraId="47544FF1" w14:textId="77777777" w:rsidR="003C12AE" w:rsidRPr="003C12AE" w:rsidRDefault="003C12AE" w:rsidP="003C12AE">
      <w:pPr>
        <w:spacing w:before="0"/>
        <w:ind w:left="993" w:right="-1" w:hanging="426"/>
        <w:rPr>
          <w:rFonts w:ascii="Times New Roman" w:hAnsi="Times New Roman"/>
          <w:sz w:val="24"/>
          <w:lang w:val="pt-BR"/>
        </w:rPr>
      </w:pPr>
      <w:r w:rsidRPr="003C12AE">
        <w:rPr>
          <w:rFonts w:ascii="Times New Roman" w:hAnsi="Times New Roman"/>
          <w:sz w:val="24"/>
          <w:lang w:val="pt-BR"/>
        </w:rPr>
        <w:t xml:space="preserve">(b) </w:t>
      </w:r>
      <w:r w:rsidRPr="003C12AE">
        <w:rPr>
          <w:rFonts w:ascii="Times New Roman" w:hAnsi="Times New Roman"/>
          <w:sz w:val="24"/>
          <w:lang w:val="pt-BR"/>
        </w:rPr>
        <w:tab/>
        <w:t xml:space="preserve">se foram aplicadas diferentes definições a diferentes tipos de instrumentos financeiros; e </w:t>
      </w:r>
    </w:p>
    <w:p w14:paraId="088BBCE7" w14:textId="3AE10F52" w:rsidR="003C12AE" w:rsidRPr="003C12AE" w:rsidRDefault="003C12AE" w:rsidP="003C12AE">
      <w:pPr>
        <w:spacing w:before="0" w:after="0"/>
        <w:ind w:left="993" w:right="-1" w:hanging="426"/>
        <w:rPr>
          <w:rFonts w:ascii="Times New Roman" w:hAnsi="Times New Roman"/>
          <w:sz w:val="24"/>
          <w:lang w:val="pt-BR"/>
        </w:rPr>
      </w:pPr>
      <w:r w:rsidRPr="003C12AE">
        <w:rPr>
          <w:rFonts w:ascii="Times New Roman" w:hAnsi="Times New Roman"/>
          <w:sz w:val="24"/>
          <w:lang w:val="pt-BR"/>
        </w:rPr>
        <w:t xml:space="preserve">(c) </w:t>
      </w:r>
      <w:r w:rsidRPr="003C12AE">
        <w:rPr>
          <w:rFonts w:ascii="Times New Roman" w:hAnsi="Times New Roman"/>
          <w:sz w:val="24"/>
          <w:lang w:val="pt-BR"/>
        </w:rPr>
        <w:tab/>
        <w:t>premissas sobre a taxa de “recuperação” (ou seja, o número de ativos financeiros que voltam à condição razoável de desempenho), após a inadimplência ocorrida sobre o ativo financeiro</w:t>
      </w:r>
      <w:r w:rsidR="001122C5">
        <w:rPr>
          <w:rFonts w:ascii="Times New Roman" w:hAnsi="Times New Roman"/>
          <w:sz w:val="24"/>
          <w:lang w:val="pt-BR"/>
        </w:rPr>
        <w:t>.</w:t>
      </w:r>
    </w:p>
    <w:p w14:paraId="73DA900E" w14:textId="77777777" w:rsidR="003C12AE" w:rsidRPr="003C12AE" w:rsidRDefault="003C12AE" w:rsidP="003C12AE">
      <w:pPr>
        <w:spacing w:before="0" w:after="0"/>
        <w:ind w:right="-1"/>
        <w:rPr>
          <w:rFonts w:ascii="Times New Roman" w:hAnsi="Times New Roman"/>
          <w:sz w:val="24"/>
          <w:lang w:val="pt-BR"/>
        </w:rPr>
      </w:pPr>
    </w:p>
    <w:p w14:paraId="22D55463" w14:textId="671592F4"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B8B.</w:t>
      </w:r>
      <w:r w:rsidRPr="003C12AE">
        <w:rPr>
          <w:rFonts w:ascii="Times New Roman" w:hAnsi="Times New Roman"/>
          <w:sz w:val="24"/>
          <w:lang w:val="pt-BR"/>
        </w:rPr>
        <w:tab/>
        <w:t>Para auxiliar os usuários das demonstrações contábeis na avaliação das políticas de modificação e reestruturação da entidade, o item 35F(f)(i) exige a divulgação de informações sobre como a entidade monitora a extensão pela qual a provisão para perdas sobre ativos financeiros, previamente divulgados de acordo com o item 35F(f)(i), é, subsequentemente, mensurada pelo valor equivalente a perdas permanentes de crédito esperadas de acordo com o item 5.5.3 do CPC 48. Informações quantitativas, que auxiliam os usuários a compreenderem o aumento subsequente no risco de crédito de ativos financeiros modificados, podem incluir informações sobre ativos financeiros modificados que atendem aos critérios descritos no item 35F(f)(i), para os quais a provisão para perdas reverteu-se para ser mensurada pelo valor equivalente a perdas permanentes de crédito esperadas (ou seja, taxa de deterioração).</w:t>
      </w:r>
    </w:p>
    <w:p w14:paraId="6D1311A2" w14:textId="77777777" w:rsidR="003C12AE" w:rsidRPr="003C12AE" w:rsidRDefault="003C12AE" w:rsidP="003C12AE">
      <w:pPr>
        <w:spacing w:before="0" w:after="0"/>
        <w:ind w:right="-1"/>
        <w:rPr>
          <w:rFonts w:ascii="Times New Roman" w:hAnsi="Times New Roman"/>
          <w:sz w:val="24"/>
          <w:lang w:val="pt-BR"/>
        </w:rPr>
      </w:pPr>
    </w:p>
    <w:p w14:paraId="0F98727C" w14:textId="41B3967F"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B8C.</w:t>
      </w:r>
      <w:r w:rsidRPr="003C12AE">
        <w:rPr>
          <w:rFonts w:ascii="Times New Roman" w:hAnsi="Times New Roman"/>
          <w:sz w:val="24"/>
          <w:lang w:val="pt-BR"/>
        </w:rPr>
        <w:tab/>
        <w:t>O item 35G(a) exige a divulgação de informações sobre a base de informações, premissas e técnicas de estimativa utilizadas para aplicar os requisitos de redução ao valor recuperável do CPC 48. As premissas e informações da entidade, utilizadas para mensurar perdas de crédito esperadas ou para determinar a extensão de aumentos no risco de crédito desde o reconhecimento inicial, podem incluir informações obtidas de informações históricas internas ou relatórios de classificação e premissas sobre a vida esperada de instrumentos financeiros e a época da venda da garantia.</w:t>
      </w:r>
    </w:p>
    <w:p w14:paraId="666CB19F" w14:textId="77777777" w:rsidR="003C12AE" w:rsidRPr="003C12AE" w:rsidRDefault="003C12AE" w:rsidP="003C12AE">
      <w:pPr>
        <w:spacing w:before="0" w:after="0"/>
        <w:ind w:right="-1"/>
        <w:rPr>
          <w:rFonts w:ascii="Times New Roman" w:hAnsi="Times New Roman"/>
          <w:sz w:val="24"/>
          <w:lang w:val="pt-BR"/>
        </w:rPr>
      </w:pPr>
    </w:p>
    <w:p w14:paraId="72E711E7" w14:textId="77777777" w:rsidR="003C12AE" w:rsidRPr="003C12AE" w:rsidRDefault="003C12AE" w:rsidP="003C12AE">
      <w:pPr>
        <w:spacing w:before="0" w:after="0"/>
        <w:ind w:right="-1"/>
        <w:rPr>
          <w:rFonts w:ascii="Times New Roman" w:hAnsi="Times New Roman"/>
          <w:sz w:val="24"/>
          <w:lang w:val="pt-BR"/>
        </w:rPr>
      </w:pPr>
      <w:r w:rsidRPr="003C12AE">
        <w:rPr>
          <w:rFonts w:ascii="Times New Roman" w:hAnsi="Times New Roman"/>
          <w:b/>
          <w:sz w:val="24"/>
          <w:lang w:val="pt-BR"/>
        </w:rPr>
        <w:lastRenderedPageBreak/>
        <w:t>Alteração na provisão para perdas</w:t>
      </w:r>
      <w:r w:rsidRPr="003C12AE">
        <w:rPr>
          <w:rFonts w:ascii="Times New Roman" w:hAnsi="Times New Roman"/>
          <w:sz w:val="24"/>
          <w:lang w:val="pt-BR"/>
        </w:rPr>
        <w:t xml:space="preserve"> (item 35H) </w:t>
      </w:r>
    </w:p>
    <w:p w14:paraId="25A6AF66" w14:textId="77777777" w:rsidR="003C12AE" w:rsidRPr="003C12AE" w:rsidRDefault="003C12AE" w:rsidP="003C12AE">
      <w:pPr>
        <w:spacing w:before="0" w:after="0"/>
        <w:ind w:right="-1"/>
        <w:rPr>
          <w:rFonts w:ascii="Times New Roman" w:hAnsi="Times New Roman"/>
          <w:sz w:val="24"/>
          <w:lang w:val="pt-BR"/>
        </w:rPr>
      </w:pPr>
      <w:r w:rsidRPr="003C12AE">
        <w:rPr>
          <w:rFonts w:ascii="Times New Roman" w:hAnsi="Times New Roman"/>
          <w:sz w:val="24"/>
          <w:lang w:val="pt-BR"/>
        </w:rPr>
        <w:t xml:space="preserve"> </w:t>
      </w:r>
    </w:p>
    <w:p w14:paraId="06A3A5DD" w14:textId="77777777" w:rsidR="003C12AE" w:rsidRPr="003C12AE" w:rsidRDefault="003C12AE" w:rsidP="003C12AE">
      <w:pPr>
        <w:spacing w:before="0"/>
        <w:ind w:left="567" w:hanging="567"/>
        <w:rPr>
          <w:rFonts w:ascii="Times New Roman" w:hAnsi="Times New Roman"/>
          <w:sz w:val="24"/>
          <w:lang w:val="pt-BR"/>
        </w:rPr>
      </w:pPr>
      <w:r w:rsidRPr="003C12AE">
        <w:rPr>
          <w:rFonts w:ascii="Times New Roman" w:hAnsi="Times New Roman"/>
          <w:sz w:val="24"/>
          <w:lang w:val="pt-BR"/>
        </w:rPr>
        <w:t xml:space="preserve">B8D. De acordo com o item 35H, a entidade é obrigada a explicar os motivos para as alterações na provisão para perdas durante o período. Além da conciliação do saldo de abertura até o saldo final da provisão para perdas, pode ser necessário fornecer explicação narrativa das alterações. Essa explicação narrativa pode incluir a análise dos motivos para alterações na provisão para perdas durante o período, incluindo: </w:t>
      </w:r>
    </w:p>
    <w:p w14:paraId="4F1EBF8A" w14:textId="77777777" w:rsidR="003C12AE" w:rsidRPr="003C12AE" w:rsidRDefault="003C12AE" w:rsidP="003C12AE">
      <w:pPr>
        <w:spacing w:before="0"/>
        <w:ind w:left="993" w:hanging="426"/>
        <w:rPr>
          <w:rFonts w:ascii="Times New Roman" w:hAnsi="Times New Roman"/>
          <w:sz w:val="24"/>
          <w:lang w:val="pt-BR"/>
        </w:rPr>
      </w:pPr>
      <w:r w:rsidRPr="003C12AE">
        <w:rPr>
          <w:rFonts w:ascii="Times New Roman" w:hAnsi="Times New Roman"/>
          <w:sz w:val="24"/>
          <w:lang w:val="pt-BR"/>
        </w:rPr>
        <w:t xml:space="preserve">(a) </w:t>
      </w:r>
      <w:r w:rsidRPr="003C12AE">
        <w:rPr>
          <w:rFonts w:ascii="Times New Roman" w:hAnsi="Times New Roman"/>
          <w:sz w:val="24"/>
          <w:lang w:val="pt-BR"/>
        </w:rPr>
        <w:tab/>
        <w:t xml:space="preserve">a composição da carteira; </w:t>
      </w:r>
    </w:p>
    <w:p w14:paraId="69A6EA12" w14:textId="77777777" w:rsidR="003C12AE" w:rsidRPr="003C12AE" w:rsidRDefault="003C12AE" w:rsidP="003C12AE">
      <w:pPr>
        <w:spacing w:before="0"/>
        <w:ind w:left="993" w:hanging="426"/>
        <w:rPr>
          <w:rFonts w:ascii="Times New Roman" w:hAnsi="Times New Roman"/>
          <w:sz w:val="24"/>
          <w:lang w:val="pt-BR"/>
        </w:rPr>
      </w:pPr>
      <w:r w:rsidRPr="003C12AE">
        <w:rPr>
          <w:rFonts w:ascii="Times New Roman" w:hAnsi="Times New Roman"/>
          <w:sz w:val="24"/>
          <w:lang w:val="pt-BR"/>
        </w:rPr>
        <w:t xml:space="preserve">(b) </w:t>
      </w:r>
      <w:r w:rsidRPr="003C12AE">
        <w:rPr>
          <w:rFonts w:ascii="Times New Roman" w:hAnsi="Times New Roman"/>
          <w:sz w:val="24"/>
          <w:lang w:val="pt-BR"/>
        </w:rPr>
        <w:tab/>
        <w:t xml:space="preserve">o volume de instrumentos financeiros comprados ou originados; e </w:t>
      </w:r>
    </w:p>
    <w:p w14:paraId="436EA5AE" w14:textId="21A169A5" w:rsidR="003C12AE" w:rsidRPr="003C12AE" w:rsidRDefault="003C12AE" w:rsidP="003C12AE">
      <w:pPr>
        <w:spacing w:before="0" w:after="0"/>
        <w:ind w:left="993" w:right="-1" w:hanging="426"/>
        <w:rPr>
          <w:rFonts w:ascii="Times New Roman" w:hAnsi="Times New Roman"/>
          <w:sz w:val="24"/>
          <w:lang w:val="pt-BR"/>
        </w:rPr>
      </w:pPr>
      <w:r w:rsidRPr="003C12AE">
        <w:rPr>
          <w:rFonts w:ascii="Times New Roman" w:hAnsi="Times New Roman"/>
          <w:sz w:val="24"/>
          <w:lang w:val="pt-BR"/>
        </w:rPr>
        <w:t xml:space="preserve">(c) </w:t>
      </w:r>
      <w:r w:rsidRPr="003C12AE">
        <w:rPr>
          <w:rFonts w:ascii="Times New Roman" w:hAnsi="Times New Roman"/>
          <w:sz w:val="24"/>
          <w:lang w:val="pt-BR"/>
        </w:rPr>
        <w:tab/>
        <w:t>a gravidade das perdas de crédito esperadas.</w:t>
      </w:r>
    </w:p>
    <w:p w14:paraId="06D6E8B2" w14:textId="77777777" w:rsidR="003C12AE" w:rsidRPr="003C12AE" w:rsidRDefault="003C12AE" w:rsidP="003C12AE">
      <w:pPr>
        <w:spacing w:before="0" w:after="0"/>
        <w:ind w:right="-1"/>
        <w:rPr>
          <w:rFonts w:ascii="Times New Roman" w:hAnsi="Times New Roman"/>
          <w:sz w:val="24"/>
          <w:lang w:val="pt-BR"/>
        </w:rPr>
      </w:pPr>
    </w:p>
    <w:p w14:paraId="7DA99807" w14:textId="485E9ACF"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B8E. Para compromissos de empréstimo e contratos de garantia financeira, a provisão para perdas deve ser reconhecida. A entidade deve divulgar informações sobre as alterações na provisão para perdas para ativos financeiros separadamente daquelas para compromissos de empréstimo e contratos de garantia financeira. Entretanto, se o instrumento financeiro inclui tanto empréstimo (ou seja, ativo financeiro) quanto componente de compromisso não sacado (ou seja, compromisso de empréstimo) e a entidade não consegue identificar separadamente as perdas de crédito esperadas sobre o componente de compromisso de empréstimo daquelas sobre o componente do ativo financeiro, as perdas de crédito esperadas sobre o compromisso de empréstimo devem ser reconhecidas juntamente com a provisão para perdas para o ativo financeiro. Na medida em que as perdas de crédito esperadas combinadas superam o valor contábil bruto do ativo financeiro, as perdas de crédito esperadas devem ser reconhecidas como provisão.</w:t>
      </w:r>
    </w:p>
    <w:p w14:paraId="6E3A3A8D" w14:textId="77777777" w:rsidR="003C12AE" w:rsidRPr="003C12AE" w:rsidRDefault="003C12AE" w:rsidP="003C12AE">
      <w:pPr>
        <w:spacing w:before="0" w:after="0"/>
        <w:ind w:right="-1"/>
        <w:rPr>
          <w:rFonts w:ascii="Times New Roman" w:hAnsi="Times New Roman"/>
          <w:sz w:val="24"/>
          <w:lang w:val="pt-BR"/>
        </w:rPr>
      </w:pPr>
    </w:p>
    <w:p w14:paraId="4AE536B9" w14:textId="77777777" w:rsidR="003C12AE" w:rsidRPr="003C12AE" w:rsidRDefault="003C12AE" w:rsidP="003C12AE">
      <w:pPr>
        <w:spacing w:before="0" w:after="0"/>
        <w:ind w:right="-1"/>
        <w:rPr>
          <w:rFonts w:ascii="Times New Roman" w:hAnsi="Times New Roman"/>
          <w:sz w:val="24"/>
          <w:lang w:val="pt-BR"/>
        </w:rPr>
      </w:pPr>
      <w:r w:rsidRPr="003C12AE">
        <w:rPr>
          <w:rFonts w:ascii="Times New Roman" w:hAnsi="Times New Roman"/>
          <w:b/>
          <w:sz w:val="24"/>
          <w:lang w:val="pt-BR"/>
        </w:rPr>
        <w:t>Garantia</w:t>
      </w:r>
      <w:r w:rsidRPr="003C12AE">
        <w:rPr>
          <w:rFonts w:ascii="Times New Roman" w:hAnsi="Times New Roman"/>
          <w:sz w:val="24"/>
          <w:lang w:val="pt-BR"/>
        </w:rPr>
        <w:t xml:space="preserve"> (item 35K) </w:t>
      </w:r>
    </w:p>
    <w:p w14:paraId="567128A7" w14:textId="77777777" w:rsidR="003C12AE" w:rsidRPr="003C12AE" w:rsidRDefault="003C12AE" w:rsidP="003C12AE">
      <w:pPr>
        <w:spacing w:before="0" w:after="0"/>
        <w:ind w:right="-1"/>
        <w:rPr>
          <w:rFonts w:ascii="Times New Roman" w:hAnsi="Times New Roman"/>
          <w:sz w:val="24"/>
          <w:lang w:val="pt-BR"/>
        </w:rPr>
      </w:pPr>
      <w:r w:rsidRPr="003C12AE">
        <w:rPr>
          <w:rFonts w:ascii="Times New Roman" w:hAnsi="Times New Roman"/>
          <w:sz w:val="24"/>
          <w:lang w:val="pt-BR"/>
        </w:rPr>
        <w:t xml:space="preserve"> </w:t>
      </w:r>
    </w:p>
    <w:p w14:paraId="4E317984" w14:textId="7065D60E"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B8F. O item 35K exige a divulgação de informações que permitem aos usuários das demonstrações contábeis compreenderem o efeito de garantia e outras melhorias de crédito sobre o valor das perdas de crédito esperadas. A entidade não é obrigada a divulgar informações sobre o valor justo de garantia e outras melhorias de crédito, nem é obrigada a quantificar o valor exato da garantia que foi incluída no cálculo das perdas de crédito esperadas (ou seja, perda devido à inadimplência).</w:t>
      </w:r>
    </w:p>
    <w:p w14:paraId="5B0F978A" w14:textId="77777777" w:rsidR="003C12AE" w:rsidRPr="003C12AE" w:rsidRDefault="003C12AE" w:rsidP="003C12AE">
      <w:pPr>
        <w:spacing w:before="0" w:after="0"/>
        <w:ind w:right="-1"/>
        <w:rPr>
          <w:rFonts w:ascii="Times New Roman" w:hAnsi="Times New Roman"/>
          <w:sz w:val="24"/>
          <w:lang w:val="pt-BR"/>
        </w:rPr>
      </w:pPr>
    </w:p>
    <w:p w14:paraId="00357A21" w14:textId="77777777" w:rsidR="003C12AE" w:rsidRPr="003C12AE" w:rsidRDefault="003C12AE" w:rsidP="003C12AE">
      <w:pPr>
        <w:spacing w:before="0"/>
        <w:ind w:left="567" w:hanging="567"/>
        <w:rPr>
          <w:rFonts w:ascii="Times New Roman" w:hAnsi="Times New Roman"/>
          <w:sz w:val="24"/>
          <w:lang w:val="pt-BR"/>
        </w:rPr>
      </w:pPr>
      <w:r w:rsidRPr="003C12AE">
        <w:rPr>
          <w:rFonts w:ascii="Times New Roman" w:hAnsi="Times New Roman"/>
          <w:sz w:val="24"/>
          <w:lang w:val="pt-BR"/>
        </w:rPr>
        <w:t xml:space="preserve">B8G. A descrição narrativa da garantia e seu efeito sobre valores de perdas de crédito esperadas pode incluir informações sobre: </w:t>
      </w:r>
    </w:p>
    <w:p w14:paraId="1E9AF42B" w14:textId="77777777" w:rsidR="003C12AE" w:rsidRPr="003C12AE" w:rsidRDefault="003C12AE" w:rsidP="003C12AE">
      <w:pPr>
        <w:spacing w:before="0"/>
        <w:ind w:left="993" w:hanging="426"/>
        <w:rPr>
          <w:rFonts w:ascii="Times New Roman" w:hAnsi="Times New Roman"/>
          <w:sz w:val="24"/>
          <w:lang w:val="pt-BR"/>
        </w:rPr>
      </w:pPr>
      <w:r w:rsidRPr="003C12AE">
        <w:rPr>
          <w:rFonts w:ascii="Times New Roman" w:hAnsi="Times New Roman"/>
          <w:sz w:val="24"/>
          <w:lang w:val="pt-BR"/>
        </w:rPr>
        <w:t xml:space="preserve">(a) </w:t>
      </w:r>
      <w:r w:rsidRPr="003C12AE">
        <w:rPr>
          <w:rFonts w:ascii="Times New Roman" w:hAnsi="Times New Roman"/>
          <w:sz w:val="24"/>
          <w:lang w:val="pt-BR"/>
        </w:rPr>
        <w:tab/>
        <w:t xml:space="preserve">os principais tipos de garantia detida e outras melhorias de crédito (exemplos das últimas sendo garantias, derivativos de crédito e contratos de compensação que não se qualificam para compensação de acordo com o CPC 39); </w:t>
      </w:r>
    </w:p>
    <w:p w14:paraId="3995E798" w14:textId="77777777" w:rsidR="003C12AE" w:rsidRPr="003C12AE" w:rsidRDefault="003C12AE" w:rsidP="003C12AE">
      <w:pPr>
        <w:spacing w:before="0"/>
        <w:ind w:left="993" w:hanging="426"/>
        <w:rPr>
          <w:rFonts w:ascii="Times New Roman" w:hAnsi="Times New Roman"/>
          <w:sz w:val="24"/>
          <w:lang w:val="pt-BR"/>
        </w:rPr>
      </w:pPr>
      <w:r w:rsidRPr="003C12AE">
        <w:rPr>
          <w:rFonts w:ascii="Times New Roman" w:hAnsi="Times New Roman"/>
          <w:sz w:val="24"/>
          <w:lang w:val="pt-BR"/>
        </w:rPr>
        <w:t xml:space="preserve">(b) </w:t>
      </w:r>
      <w:r w:rsidRPr="003C12AE">
        <w:rPr>
          <w:rFonts w:ascii="Times New Roman" w:hAnsi="Times New Roman"/>
          <w:sz w:val="24"/>
          <w:lang w:val="pt-BR"/>
        </w:rPr>
        <w:tab/>
        <w:t xml:space="preserve">o volume de garantia detida e outras melhorias de crédito e sua significância em termos da provisão para perdas; </w:t>
      </w:r>
    </w:p>
    <w:p w14:paraId="46E28F81" w14:textId="77777777" w:rsidR="003C12AE" w:rsidRPr="003C12AE" w:rsidRDefault="003C12AE" w:rsidP="003C12AE">
      <w:pPr>
        <w:spacing w:before="0"/>
        <w:ind w:left="993" w:hanging="426"/>
        <w:rPr>
          <w:rFonts w:ascii="Times New Roman" w:hAnsi="Times New Roman"/>
          <w:sz w:val="24"/>
          <w:lang w:val="pt-BR"/>
        </w:rPr>
      </w:pPr>
      <w:r w:rsidRPr="003C12AE">
        <w:rPr>
          <w:rFonts w:ascii="Times New Roman" w:hAnsi="Times New Roman"/>
          <w:sz w:val="24"/>
          <w:lang w:val="pt-BR"/>
        </w:rPr>
        <w:t xml:space="preserve">(c) </w:t>
      </w:r>
      <w:r w:rsidRPr="003C12AE">
        <w:rPr>
          <w:rFonts w:ascii="Times New Roman" w:hAnsi="Times New Roman"/>
          <w:sz w:val="24"/>
          <w:lang w:val="pt-BR"/>
        </w:rPr>
        <w:tab/>
        <w:t xml:space="preserve">as políticas e processos para avaliar e gerenciar a garantia e outras melhorias de crédito; </w:t>
      </w:r>
    </w:p>
    <w:p w14:paraId="7CA8272B" w14:textId="77777777" w:rsidR="003C12AE" w:rsidRPr="003C12AE" w:rsidRDefault="003C12AE" w:rsidP="003C12AE">
      <w:pPr>
        <w:spacing w:before="0"/>
        <w:ind w:left="993" w:hanging="426"/>
        <w:rPr>
          <w:rFonts w:ascii="Times New Roman" w:hAnsi="Times New Roman"/>
          <w:sz w:val="24"/>
          <w:lang w:val="pt-BR"/>
        </w:rPr>
      </w:pPr>
      <w:r w:rsidRPr="003C12AE">
        <w:rPr>
          <w:rFonts w:ascii="Times New Roman" w:hAnsi="Times New Roman"/>
          <w:sz w:val="24"/>
          <w:lang w:val="pt-BR"/>
        </w:rPr>
        <w:lastRenderedPageBreak/>
        <w:t xml:space="preserve">(d) </w:t>
      </w:r>
      <w:r w:rsidRPr="003C12AE">
        <w:rPr>
          <w:rFonts w:ascii="Times New Roman" w:hAnsi="Times New Roman"/>
          <w:sz w:val="24"/>
          <w:lang w:val="pt-BR"/>
        </w:rPr>
        <w:tab/>
        <w:t xml:space="preserve">os principais tipos de contrapartes das garantias e outras melhorias de crédito e sua capacidade de crédito; e </w:t>
      </w:r>
    </w:p>
    <w:p w14:paraId="59F39E9F" w14:textId="0DD1D5A5" w:rsidR="003C12AE" w:rsidRPr="003C12AE" w:rsidRDefault="003C12AE" w:rsidP="003C12AE">
      <w:pPr>
        <w:spacing w:before="0" w:after="0"/>
        <w:ind w:left="993" w:right="-1" w:hanging="426"/>
        <w:rPr>
          <w:rFonts w:ascii="Times New Roman" w:hAnsi="Times New Roman"/>
          <w:sz w:val="24"/>
          <w:lang w:val="pt-BR"/>
        </w:rPr>
      </w:pPr>
      <w:r w:rsidRPr="003C12AE">
        <w:rPr>
          <w:rFonts w:ascii="Times New Roman" w:hAnsi="Times New Roman"/>
          <w:sz w:val="24"/>
          <w:lang w:val="pt-BR"/>
        </w:rPr>
        <w:t xml:space="preserve">(e) </w:t>
      </w:r>
      <w:r w:rsidRPr="003C12AE">
        <w:rPr>
          <w:rFonts w:ascii="Times New Roman" w:hAnsi="Times New Roman"/>
          <w:sz w:val="24"/>
          <w:lang w:val="pt-BR"/>
        </w:rPr>
        <w:tab/>
        <w:t>informações sobre concentrações de risco dentro da garantia e outras melhorias de crédito.</w:t>
      </w:r>
    </w:p>
    <w:p w14:paraId="7219194B" w14:textId="77777777" w:rsidR="003C12AE" w:rsidRPr="003C12AE" w:rsidRDefault="003C12AE" w:rsidP="003C12AE">
      <w:pPr>
        <w:spacing w:before="0" w:after="0"/>
        <w:ind w:right="-1"/>
        <w:rPr>
          <w:rFonts w:ascii="Times New Roman" w:hAnsi="Times New Roman"/>
          <w:sz w:val="24"/>
          <w:lang w:val="pt-BR"/>
        </w:rPr>
      </w:pPr>
    </w:p>
    <w:p w14:paraId="47EC42CA" w14:textId="77777777" w:rsidR="003C12AE" w:rsidRPr="003C12AE" w:rsidRDefault="003C12AE" w:rsidP="003C12AE">
      <w:pPr>
        <w:spacing w:before="0" w:after="0"/>
        <w:ind w:right="-1"/>
        <w:rPr>
          <w:rFonts w:ascii="Times New Roman" w:hAnsi="Times New Roman"/>
          <w:sz w:val="24"/>
          <w:lang w:val="pt-BR"/>
        </w:rPr>
      </w:pPr>
      <w:r w:rsidRPr="003C12AE">
        <w:rPr>
          <w:rFonts w:ascii="Times New Roman" w:hAnsi="Times New Roman"/>
          <w:b/>
          <w:sz w:val="24"/>
          <w:lang w:val="pt-BR"/>
        </w:rPr>
        <w:t>Exposição a risco de crédito</w:t>
      </w:r>
      <w:r w:rsidRPr="003C12AE">
        <w:rPr>
          <w:rFonts w:ascii="Times New Roman" w:hAnsi="Times New Roman"/>
          <w:sz w:val="24"/>
          <w:lang w:val="pt-BR"/>
        </w:rPr>
        <w:t xml:space="preserve"> (itens 35M e 35N) </w:t>
      </w:r>
    </w:p>
    <w:p w14:paraId="4DCB12A1" w14:textId="77777777" w:rsidR="003C12AE" w:rsidRPr="003C12AE" w:rsidRDefault="003C12AE" w:rsidP="003C12AE">
      <w:pPr>
        <w:spacing w:before="0" w:after="0"/>
        <w:ind w:right="-1"/>
        <w:rPr>
          <w:rFonts w:ascii="Times New Roman" w:hAnsi="Times New Roman"/>
          <w:sz w:val="24"/>
          <w:lang w:val="pt-BR"/>
        </w:rPr>
      </w:pPr>
      <w:r w:rsidRPr="003C12AE">
        <w:rPr>
          <w:rFonts w:ascii="Times New Roman" w:hAnsi="Times New Roman"/>
          <w:sz w:val="24"/>
          <w:lang w:val="pt-BR"/>
        </w:rPr>
        <w:t xml:space="preserve"> </w:t>
      </w:r>
    </w:p>
    <w:p w14:paraId="02967CC3" w14:textId="45FDC67A"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B8H.</w:t>
      </w:r>
      <w:r w:rsidRPr="003C12AE">
        <w:rPr>
          <w:rFonts w:ascii="Times New Roman" w:hAnsi="Times New Roman"/>
          <w:sz w:val="24"/>
          <w:lang w:val="pt-BR"/>
        </w:rPr>
        <w:tab/>
        <w:t>O item 35M exige a divulgação de informações sobre a exposição a risco de crédito da entidade e concentrações significativas de risco de crédito na data de relatório. Existe concentração de risco de crédito quando uma série de contrapartes está localizada na mesma região geográfica ou está envolvida em atividades similares e possui características econômicas similares que fariam com que sua capacidade de cumprir obrigações contratuais fosse afetada de modo similar por alterações nas condições econômicas ou em outras condições. A entidade deve fornecer informações que permitam aos usuários das demonstrações contábeis compreenderem se existem grupos ou carteiras de instrumentos financeiros com características específicas que possam afetar grande parte desse grupo de instrumentos financeiros, tal como concentração de riscos específicos. Isso inclui, por exemplo, concentração por tipo de emissor, por setor, geográfica ou agrupamentos LTV (</w:t>
      </w:r>
      <w:r w:rsidRPr="003C12AE">
        <w:rPr>
          <w:rFonts w:ascii="Times New Roman" w:hAnsi="Times New Roman"/>
          <w:i/>
          <w:sz w:val="24"/>
          <w:lang w:val="pt-BR"/>
        </w:rPr>
        <w:t>loan-to-value</w:t>
      </w:r>
      <w:r w:rsidRPr="003C12AE">
        <w:rPr>
          <w:rFonts w:ascii="Times New Roman" w:hAnsi="Times New Roman"/>
          <w:sz w:val="24"/>
          <w:lang w:val="pt-BR"/>
        </w:rPr>
        <w:t>).</w:t>
      </w:r>
    </w:p>
    <w:p w14:paraId="623D093F" w14:textId="77777777" w:rsidR="003C12AE" w:rsidRPr="003C12AE" w:rsidRDefault="003C12AE" w:rsidP="003C12AE">
      <w:pPr>
        <w:spacing w:before="0" w:after="0"/>
        <w:ind w:right="-1"/>
        <w:rPr>
          <w:rFonts w:ascii="Times New Roman" w:hAnsi="Times New Roman"/>
          <w:sz w:val="24"/>
          <w:lang w:val="pt-BR"/>
        </w:rPr>
      </w:pPr>
    </w:p>
    <w:p w14:paraId="5A98AFDF" w14:textId="52BBFB7C"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 xml:space="preserve">B8I. </w:t>
      </w:r>
      <w:r w:rsidRPr="003C12AE">
        <w:rPr>
          <w:rFonts w:ascii="Times New Roman" w:hAnsi="Times New Roman"/>
          <w:sz w:val="24"/>
          <w:lang w:val="pt-BR"/>
        </w:rPr>
        <w:tab/>
        <w:t>O número de graus de classificação de risco, utilizado para divulgar as informações de acordo com o item 35M, deve ser consistente com o número que a entidade informa ao pessoal-chave da administração para fins de gerenciamento de risco de crédito. Se informações vencidas são as únicas informações específicas do mutuário disponíveis e a entidade as utiliza para avaliar se o risco de crédito aumentou, significativamente, desde o reconhecimento inicial de acordo com o item 5.5.11 do CPC 48, a entidade deve fornecer a análise pela situação anterior de atraso de pagamento para esses ativos financeiros.</w:t>
      </w:r>
    </w:p>
    <w:p w14:paraId="2E9FE3C4" w14:textId="77777777" w:rsidR="003C12AE" w:rsidRPr="003C12AE" w:rsidRDefault="003C12AE" w:rsidP="003C12AE">
      <w:pPr>
        <w:spacing w:before="0" w:after="0"/>
        <w:ind w:right="-1"/>
        <w:rPr>
          <w:rFonts w:ascii="Times New Roman" w:hAnsi="Times New Roman"/>
          <w:sz w:val="24"/>
          <w:lang w:val="pt-BR"/>
        </w:rPr>
      </w:pPr>
    </w:p>
    <w:p w14:paraId="46F1A34E" w14:textId="10ABB711"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 xml:space="preserve">B8J. </w:t>
      </w:r>
      <w:r w:rsidRPr="003C12AE">
        <w:rPr>
          <w:rFonts w:ascii="Times New Roman" w:hAnsi="Times New Roman"/>
          <w:sz w:val="24"/>
          <w:lang w:val="pt-BR"/>
        </w:rPr>
        <w:tab/>
        <w:t>Quando a entidade tiver mensurado as perdas de crédito esperadas coletivamente, ela pode não ser capaz de alocar o valor contábil bruto de ativos financeiros individuais ou a exposição a risco de crédito sobre compromissos de empréstimo e contratos de garantia financeira aos graus de classificação de risco para os quais as perdas permanentes de crédito esperadas são reconhecidas. Nesse caso, a entidade deve aplicar o requisito do item 35M a esses instrumentos financeiros que podem ser diretamente alocados ao grau de classificação de risco e divulgar separadamente o valor contábil bruto de instrumentos financeiros para os quais foram mensuradas de forma coletiva as perdas permanentes de crédito esperadas.</w:t>
      </w:r>
    </w:p>
    <w:p w14:paraId="3F12BDA7" w14:textId="77777777" w:rsidR="003C12AE" w:rsidRPr="003C12AE" w:rsidRDefault="003C12AE" w:rsidP="003C12AE">
      <w:pPr>
        <w:spacing w:before="0" w:after="0"/>
        <w:ind w:right="-1"/>
        <w:jc w:val="left"/>
        <w:rPr>
          <w:rFonts w:ascii="Times New Roman" w:hAnsi="Times New Roman"/>
          <w:sz w:val="24"/>
          <w:lang w:val="pt-BR"/>
        </w:rPr>
      </w:pPr>
    </w:p>
    <w:p w14:paraId="4D029319" w14:textId="77777777" w:rsidR="003C12AE" w:rsidRPr="003C12AE" w:rsidRDefault="003C12AE" w:rsidP="003C12AE">
      <w:pPr>
        <w:spacing w:before="0" w:after="0"/>
        <w:ind w:right="-1"/>
        <w:jc w:val="left"/>
        <w:rPr>
          <w:rFonts w:ascii="Times New Roman" w:hAnsi="Times New Roman"/>
          <w:b/>
          <w:sz w:val="24"/>
          <w:lang w:val="pt-BR"/>
        </w:rPr>
      </w:pPr>
      <w:r w:rsidRPr="003C12AE">
        <w:rPr>
          <w:rFonts w:ascii="Times New Roman" w:hAnsi="Times New Roman"/>
          <w:b/>
          <w:sz w:val="24"/>
          <w:lang w:val="pt-BR"/>
        </w:rPr>
        <w:t>Exposição máxima de risco (item 36(a))</w:t>
      </w:r>
    </w:p>
    <w:p w14:paraId="76D20157" w14:textId="77777777" w:rsidR="003C12AE" w:rsidRPr="003C12AE" w:rsidRDefault="003C12AE" w:rsidP="003C12AE">
      <w:pPr>
        <w:spacing w:before="0" w:after="0"/>
        <w:ind w:right="-1"/>
        <w:jc w:val="left"/>
        <w:rPr>
          <w:rFonts w:ascii="Times New Roman" w:hAnsi="Times New Roman"/>
          <w:sz w:val="24"/>
          <w:lang w:val="pt-BR"/>
        </w:rPr>
      </w:pPr>
    </w:p>
    <w:p w14:paraId="66F5952B" w14:textId="269AB3AF" w:rsidR="003C12AE" w:rsidRPr="003C12AE" w:rsidRDefault="003C12AE" w:rsidP="003C12AE">
      <w:pPr>
        <w:widowControl w:val="0"/>
        <w:tabs>
          <w:tab w:val="left" w:pos="6804"/>
        </w:tabs>
        <w:spacing w:before="2" w:line="250" w:lineRule="auto"/>
        <w:ind w:left="567" w:right="57" w:hanging="567"/>
        <w:rPr>
          <w:rFonts w:ascii="Times New Roman" w:hAnsi="Times New Roman"/>
          <w:sz w:val="24"/>
          <w:lang w:val="pt-BR" w:eastAsia="x-none"/>
        </w:rPr>
      </w:pPr>
      <w:r w:rsidRPr="003C12AE">
        <w:rPr>
          <w:rFonts w:ascii="Times New Roman" w:hAnsi="Times New Roman"/>
          <w:sz w:val="24"/>
          <w:lang w:val="pt-BR" w:eastAsia="x-none"/>
        </w:rPr>
        <w:t xml:space="preserve">B9. </w:t>
      </w:r>
      <w:r w:rsidRPr="003C12AE">
        <w:rPr>
          <w:rFonts w:ascii="Times New Roman" w:hAnsi="Times New Roman"/>
          <w:sz w:val="24"/>
          <w:lang w:val="pt-BR" w:eastAsia="x-none"/>
        </w:rPr>
        <w:tab/>
        <w:t>Os itens 35K(a) e 36(a) requerem divulgação do montante que melhor represente a exposição máxima da entidade ao risco de crédito. Para o ativo financeiro, é tipicamente o valor contábil bruto, deduzido de:</w:t>
      </w:r>
    </w:p>
    <w:p w14:paraId="76686F01" w14:textId="77777777" w:rsidR="003C12AE" w:rsidRPr="003C12AE" w:rsidRDefault="003C12AE" w:rsidP="00F307D5">
      <w:pPr>
        <w:widowControl w:val="0"/>
        <w:numPr>
          <w:ilvl w:val="0"/>
          <w:numId w:val="27"/>
        </w:numPr>
        <w:tabs>
          <w:tab w:val="clear" w:pos="1353"/>
        </w:tabs>
        <w:spacing w:before="0"/>
        <w:ind w:left="993" w:hanging="284"/>
        <w:rPr>
          <w:rFonts w:ascii="Times New Roman" w:hAnsi="Times New Roman"/>
          <w:bCs/>
          <w:iCs/>
          <w:sz w:val="24"/>
          <w:lang w:val="pt-BR"/>
        </w:rPr>
      </w:pPr>
      <w:r w:rsidRPr="003C12AE">
        <w:rPr>
          <w:rFonts w:ascii="Times New Roman" w:hAnsi="Times New Roman"/>
          <w:bCs/>
          <w:iCs/>
          <w:sz w:val="24"/>
          <w:lang w:val="pt-BR"/>
        </w:rPr>
        <w:t>quaisquer montantes compensados de acordo com o CPC 39; e</w:t>
      </w:r>
    </w:p>
    <w:p w14:paraId="1F777825" w14:textId="33091776" w:rsidR="003C12AE" w:rsidRPr="003C12AE" w:rsidRDefault="00232B93" w:rsidP="00F307D5">
      <w:pPr>
        <w:widowControl w:val="0"/>
        <w:numPr>
          <w:ilvl w:val="0"/>
          <w:numId w:val="27"/>
        </w:numPr>
        <w:tabs>
          <w:tab w:val="clear" w:pos="1353"/>
        </w:tabs>
        <w:spacing w:before="0"/>
        <w:ind w:left="993" w:hanging="284"/>
        <w:rPr>
          <w:rFonts w:ascii="Times New Roman" w:hAnsi="Times New Roman"/>
          <w:bCs/>
          <w:iCs/>
          <w:sz w:val="24"/>
          <w:lang w:val="pt-BR"/>
        </w:rPr>
      </w:pPr>
      <w:r w:rsidRPr="003C12AE">
        <w:rPr>
          <w:rFonts w:ascii="Times New Roman" w:hAnsi="Times New Roman"/>
          <w:sz w:val="24"/>
          <w:lang w:val="pt-BR" w:eastAsia="x-none"/>
        </w:rPr>
        <w:t>quaisquer perdas de valor recuperável de acordo com o CPC 48.</w:t>
      </w:r>
    </w:p>
    <w:p w14:paraId="185830CD" w14:textId="77777777" w:rsidR="003C12AE" w:rsidRPr="003C12AE" w:rsidRDefault="003C12AE" w:rsidP="003C12AE">
      <w:pPr>
        <w:spacing w:before="0" w:after="0"/>
        <w:ind w:right="-1"/>
        <w:jc w:val="left"/>
        <w:rPr>
          <w:rFonts w:ascii="Times New Roman" w:hAnsi="Times New Roman"/>
          <w:sz w:val="24"/>
          <w:lang w:val="pt-BR"/>
        </w:rPr>
      </w:pPr>
    </w:p>
    <w:p w14:paraId="0A54EF95"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lastRenderedPageBreak/>
        <w:t xml:space="preserve">B10. </w:t>
      </w:r>
      <w:r w:rsidRPr="003C12AE">
        <w:rPr>
          <w:rFonts w:ascii="Times New Roman" w:hAnsi="Times New Roman"/>
          <w:sz w:val="24"/>
          <w:lang w:val="pt-BR" w:eastAsia="x-none"/>
        </w:rPr>
        <w:tab/>
        <w:t>Atividades, que geram exposição ao risco de crédito e a correspondente exposição máxima ao risco de crédito, incluem, mas não estão limitadas a:</w:t>
      </w:r>
    </w:p>
    <w:p w14:paraId="7777E910" w14:textId="06DCD857" w:rsidR="003C12AE" w:rsidRPr="003C12AE" w:rsidRDefault="00232B93" w:rsidP="00F307D5">
      <w:pPr>
        <w:widowControl w:val="0"/>
        <w:numPr>
          <w:ilvl w:val="0"/>
          <w:numId w:val="28"/>
        </w:numPr>
        <w:tabs>
          <w:tab w:val="clear" w:pos="1353"/>
        </w:tabs>
        <w:spacing w:before="0"/>
        <w:ind w:left="993" w:hanging="284"/>
        <w:rPr>
          <w:rFonts w:ascii="Times New Roman" w:hAnsi="Times New Roman"/>
          <w:bCs/>
          <w:iCs/>
          <w:strike/>
          <w:sz w:val="24"/>
          <w:lang w:val="pt-BR"/>
        </w:rPr>
      </w:pPr>
      <w:r w:rsidRPr="003C12AE">
        <w:rPr>
          <w:rFonts w:ascii="Times New Roman" w:hAnsi="Times New Roman"/>
          <w:bCs/>
          <w:iCs/>
          <w:sz w:val="24"/>
          <w:lang w:val="pt-BR"/>
        </w:rPr>
        <w:t>concessão de empréstimos a clientes e depósitos em outras entidades. Nesses casos a exposição máxima ao risco de crédito é o montante do valor contábil dos instrumentos financeiros considerados;</w:t>
      </w:r>
    </w:p>
    <w:p w14:paraId="630E748B" w14:textId="77777777" w:rsidR="003C12AE" w:rsidRPr="003C12AE" w:rsidRDefault="003C12AE" w:rsidP="00F307D5">
      <w:pPr>
        <w:widowControl w:val="0"/>
        <w:numPr>
          <w:ilvl w:val="0"/>
          <w:numId w:val="28"/>
        </w:numPr>
        <w:tabs>
          <w:tab w:val="clear" w:pos="1353"/>
        </w:tabs>
        <w:spacing w:before="0"/>
        <w:ind w:left="993" w:hanging="284"/>
        <w:rPr>
          <w:rFonts w:ascii="Times New Roman" w:hAnsi="Times New Roman"/>
          <w:bCs/>
          <w:iCs/>
          <w:sz w:val="24"/>
          <w:lang w:val="pt-BR"/>
        </w:rPr>
      </w:pPr>
      <w:r w:rsidRPr="003C12AE">
        <w:rPr>
          <w:rFonts w:ascii="Times New Roman" w:hAnsi="Times New Roman"/>
          <w:bCs/>
          <w:iCs/>
          <w:sz w:val="24"/>
          <w:lang w:val="pt-BR"/>
        </w:rPr>
        <w:t xml:space="preserve">participação em instrumentos financeiros derivativos como contratos em moeda estrangeira, </w:t>
      </w:r>
      <w:r w:rsidRPr="003C12AE">
        <w:rPr>
          <w:rFonts w:ascii="Times New Roman" w:hAnsi="Times New Roman"/>
          <w:bCs/>
          <w:i/>
          <w:iCs/>
          <w:sz w:val="24"/>
          <w:lang w:val="pt-BR"/>
        </w:rPr>
        <w:t>swaps</w:t>
      </w:r>
      <w:r w:rsidRPr="003C12AE">
        <w:rPr>
          <w:rFonts w:ascii="Times New Roman" w:hAnsi="Times New Roman"/>
          <w:bCs/>
          <w:iCs/>
          <w:sz w:val="24"/>
          <w:lang w:val="pt-BR"/>
        </w:rPr>
        <w:t xml:space="preserve"> de taxas de juros e derivativos de crédito. Quando o ativo resultante é mensurado pelo valor justo, o montante máximo de exposição ao risco de crédito ao final do período contábil será igual ao valor contábil;</w:t>
      </w:r>
    </w:p>
    <w:p w14:paraId="3C99EFA2" w14:textId="77777777" w:rsidR="003C12AE" w:rsidRPr="003C12AE" w:rsidRDefault="003C12AE" w:rsidP="00F307D5">
      <w:pPr>
        <w:widowControl w:val="0"/>
        <w:numPr>
          <w:ilvl w:val="0"/>
          <w:numId w:val="28"/>
        </w:numPr>
        <w:tabs>
          <w:tab w:val="clear" w:pos="1353"/>
        </w:tabs>
        <w:spacing w:before="0"/>
        <w:ind w:left="993" w:hanging="284"/>
        <w:rPr>
          <w:rFonts w:ascii="Times New Roman" w:hAnsi="Times New Roman"/>
          <w:bCs/>
          <w:iCs/>
          <w:sz w:val="24"/>
          <w:lang w:val="pt-BR"/>
        </w:rPr>
      </w:pPr>
      <w:r w:rsidRPr="003C12AE">
        <w:rPr>
          <w:rFonts w:ascii="Times New Roman" w:hAnsi="Times New Roman"/>
          <w:bCs/>
          <w:iCs/>
          <w:sz w:val="24"/>
          <w:lang w:val="pt-BR"/>
        </w:rPr>
        <w:t>garantias financeiras concedidas. Nesse caso, a exposição máxima ao risco de crédito é o montante máximo que a entidade poderia ter que pagar se a garantia fosse exercida, que pode ser significativamente maior que o montante reconhecido como passivo;</w:t>
      </w:r>
    </w:p>
    <w:p w14:paraId="788AEC58" w14:textId="77777777" w:rsidR="003C12AE" w:rsidRPr="003C12AE" w:rsidRDefault="003C12AE" w:rsidP="00F307D5">
      <w:pPr>
        <w:widowControl w:val="0"/>
        <w:numPr>
          <w:ilvl w:val="0"/>
          <w:numId w:val="28"/>
        </w:numPr>
        <w:tabs>
          <w:tab w:val="clear" w:pos="1353"/>
        </w:tabs>
        <w:spacing w:before="0" w:after="0"/>
        <w:ind w:left="993" w:right="-1" w:hanging="284"/>
        <w:rPr>
          <w:rFonts w:ascii="Times New Roman" w:hAnsi="Times New Roman"/>
          <w:bCs/>
          <w:iCs/>
          <w:sz w:val="24"/>
          <w:lang w:val="pt-BR"/>
        </w:rPr>
      </w:pPr>
      <w:r w:rsidRPr="003C12AE">
        <w:rPr>
          <w:rFonts w:ascii="Times New Roman" w:hAnsi="Times New Roman"/>
          <w:bCs/>
          <w:iCs/>
          <w:sz w:val="24"/>
          <w:lang w:val="pt-BR"/>
        </w:rPr>
        <w:t>execução de compromisso de empréstimo irrevogável durante o período do compromisso ou irrevogável somente em resposta a uma alteração material adversa. Se o emissor não pode liquidar pela diferença o compromisso de empréstimo em dinheiro ou outro instrumento financeiro, o montante máximo de exposição de risco de crédito é o montante total do compromisso. Isso ocorre porque é incerto se o montante não pago pode ser pago no futuro. Esse montante pode ser significativamente maior do que o montante reconhecido como passivo.</w:t>
      </w:r>
    </w:p>
    <w:p w14:paraId="0499EBA7" w14:textId="77777777" w:rsidR="003C12AE" w:rsidRPr="003C12AE" w:rsidRDefault="003C12AE" w:rsidP="003C12AE">
      <w:pPr>
        <w:spacing w:before="0" w:after="0"/>
        <w:ind w:right="-1"/>
        <w:jc w:val="left"/>
        <w:rPr>
          <w:rFonts w:ascii="Times New Roman" w:hAnsi="Times New Roman"/>
          <w:b/>
          <w:sz w:val="24"/>
          <w:lang w:val="pt-BR"/>
        </w:rPr>
      </w:pPr>
    </w:p>
    <w:p w14:paraId="1FF20690" w14:textId="77777777" w:rsidR="003C12AE" w:rsidRPr="003C12AE" w:rsidRDefault="003C12AE" w:rsidP="003C12AE">
      <w:pPr>
        <w:spacing w:before="0" w:after="0"/>
        <w:ind w:right="-1"/>
        <w:jc w:val="left"/>
        <w:rPr>
          <w:rFonts w:ascii="Times New Roman" w:hAnsi="Times New Roman"/>
          <w:b/>
          <w:sz w:val="24"/>
          <w:lang w:val="pt-BR"/>
        </w:rPr>
      </w:pPr>
      <w:r w:rsidRPr="003C12AE">
        <w:rPr>
          <w:rFonts w:ascii="Times New Roman" w:hAnsi="Times New Roman"/>
          <w:b/>
          <w:sz w:val="24"/>
          <w:lang w:val="pt-BR"/>
        </w:rPr>
        <w:t xml:space="preserve">Divulgações quantitativas de risco de liquidez (itens 34(a) e 39(a) e (b)) </w:t>
      </w:r>
    </w:p>
    <w:p w14:paraId="22F29230" w14:textId="77777777" w:rsidR="003C12AE" w:rsidRPr="003C12AE" w:rsidRDefault="003C12AE" w:rsidP="003C12AE">
      <w:pPr>
        <w:spacing w:before="0" w:after="0"/>
        <w:ind w:right="-1"/>
        <w:jc w:val="left"/>
        <w:rPr>
          <w:rFonts w:ascii="Times New Roman" w:hAnsi="Times New Roman"/>
          <w:b/>
          <w:sz w:val="24"/>
          <w:lang w:val="pt-BR"/>
        </w:rPr>
      </w:pPr>
    </w:p>
    <w:p w14:paraId="4EDF070A" w14:textId="77777777" w:rsidR="003C12AE" w:rsidRPr="003C12AE" w:rsidRDefault="003C12AE" w:rsidP="003C12AE">
      <w:pPr>
        <w:widowControl w:val="0"/>
        <w:spacing w:before="0"/>
        <w:ind w:left="567" w:hanging="567"/>
        <w:rPr>
          <w:rFonts w:ascii="Times New Roman" w:hAnsi="Times New Roman"/>
          <w:sz w:val="24"/>
        </w:rPr>
      </w:pPr>
      <w:r w:rsidRPr="003C12AE">
        <w:rPr>
          <w:rFonts w:ascii="Times New Roman" w:hAnsi="Times New Roman"/>
          <w:sz w:val="24"/>
        </w:rPr>
        <w:t xml:space="preserve">B10A. </w:t>
      </w:r>
      <w:r w:rsidRPr="003C12AE">
        <w:rPr>
          <w:rFonts w:ascii="Times New Roman" w:hAnsi="Times New Roman"/>
          <w:sz w:val="24"/>
        </w:rPr>
        <w:tab/>
        <w:t>De acordo com o item 34(a) a entidade evidencia dados quantitativos sumariados a respeito de sua exposição ao risco de liquidez com base nas informações fornecidas internamente para as pessoas chave da administração. A entidade deve explicar como esses dados são determinados. Se a saída de caixa (ou outro ativo financeiro) incluída nesses dados pode:</w:t>
      </w:r>
    </w:p>
    <w:p w14:paraId="5D1DEF09" w14:textId="77777777" w:rsidR="003C12AE" w:rsidRPr="003C12AE" w:rsidRDefault="003C12AE" w:rsidP="00F307D5">
      <w:pPr>
        <w:numPr>
          <w:ilvl w:val="1"/>
          <w:numId w:val="25"/>
        </w:numPr>
        <w:tabs>
          <w:tab w:val="clear" w:pos="1440"/>
        </w:tabs>
        <w:spacing w:before="0"/>
        <w:ind w:left="993" w:hanging="284"/>
        <w:rPr>
          <w:rFonts w:ascii="Times New Roman" w:hAnsi="Times New Roman"/>
          <w:sz w:val="24"/>
          <w:lang w:val="pt-BR"/>
        </w:rPr>
      </w:pPr>
      <w:r w:rsidRPr="003C12AE">
        <w:rPr>
          <w:rFonts w:ascii="Times New Roman" w:hAnsi="Times New Roman"/>
          <w:sz w:val="24"/>
          <w:lang w:val="pt-BR"/>
        </w:rPr>
        <w:t>ocorrer significativamente antes do que indicado nos dados; ou</w:t>
      </w:r>
    </w:p>
    <w:p w14:paraId="60681564" w14:textId="77777777" w:rsidR="003C12AE" w:rsidRPr="003C12AE" w:rsidRDefault="003C12AE" w:rsidP="00F307D5">
      <w:pPr>
        <w:numPr>
          <w:ilvl w:val="1"/>
          <w:numId w:val="25"/>
        </w:numPr>
        <w:tabs>
          <w:tab w:val="clear" w:pos="1440"/>
        </w:tabs>
        <w:spacing w:before="0"/>
        <w:ind w:left="993" w:hanging="284"/>
        <w:rPr>
          <w:rFonts w:ascii="Times New Roman" w:hAnsi="Times New Roman"/>
          <w:sz w:val="24"/>
          <w:lang w:val="pt-BR"/>
        </w:rPr>
      </w:pPr>
      <w:r w:rsidRPr="003C12AE">
        <w:rPr>
          <w:rFonts w:ascii="Times New Roman" w:hAnsi="Times New Roman"/>
          <w:sz w:val="24"/>
          <w:lang w:val="pt-BR"/>
        </w:rPr>
        <w:t>ser de montante significativamente diferente daquele indicado nos dados (por exemplo, para derivativo incluído nos dados em uma base de liquidação pelo líquido mas para o qual a contraparte pode requerer a liquidação pelo valor bruto).</w:t>
      </w:r>
    </w:p>
    <w:p w14:paraId="14099777" w14:textId="77777777" w:rsidR="003C12AE" w:rsidRPr="003C12AE" w:rsidRDefault="003C12AE" w:rsidP="003C12AE">
      <w:pPr>
        <w:widowControl w:val="0"/>
        <w:tabs>
          <w:tab w:val="left" w:pos="6804"/>
        </w:tabs>
        <w:spacing w:before="0" w:after="0"/>
        <w:ind w:left="567" w:right="-1" w:hanging="567"/>
        <w:rPr>
          <w:rFonts w:ascii="Times New Roman" w:hAnsi="Times New Roman"/>
          <w:sz w:val="24"/>
        </w:rPr>
      </w:pPr>
      <w:r w:rsidRPr="003C12AE">
        <w:rPr>
          <w:rFonts w:ascii="Times New Roman" w:hAnsi="Times New Roman"/>
          <w:sz w:val="24"/>
        </w:rPr>
        <w:tab/>
        <w:t>A entidade deve divulgar esse fato e fornecer informação quantitativa que possibilite aos usuários das demonstrações contábeis avaliar a extensão desse risco a menos que essa informação esteja incluída na análise dos vencimentos contratuais requerida pelo item 39(a) ou (b).</w:t>
      </w:r>
    </w:p>
    <w:p w14:paraId="4F04668E" w14:textId="77777777" w:rsidR="003C12AE" w:rsidRPr="003C12AE" w:rsidRDefault="003C12AE" w:rsidP="003C12AE">
      <w:pPr>
        <w:spacing w:before="0" w:after="0"/>
        <w:ind w:right="-1"/>
        <w:jc w:val="left"/>
        <w:rPr>
          <w:rFonts w:ascii="Times New Roman" w:hAnsi="Times New Roman"/>
          <w:sz w:val="24"/>
          <w:lang w:val="pt-BR"/>
        </w:rPr>
      </w:pPr>
    </w:p>
    <w:p w14:paraId="76DF2382"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B11. </w:t>
      </w:r>
      <w:r w:rsidRPr="003C12AE">
        <w:rPr>
          <w:rFonts w:ascii="Times New Roman" w:hAnsi="Times New Roman"/>
          <w:sz w:val="24"/>
          <w:lang w:val="pt-BR" w:eastAsia="x-none"/>
        </w:rPr>
        <w:tab/>
        <w:t>Ao se elaborar a análise quanto ao vencimento, requerida pelo item 39(a) e (b), a entidade deve usar seu julgamento para determinar um número apropriado de intervalos de tempo. Por exemplo, a entidade pode determinar que os seguintes intervalos de tempo são apropriados:</w:t>
      </w:r>
    </w:p>
    <w:p w14:paraId="69622ED5" w14:textId="77777777" w:rsidR="003C12AE" w:rsidRPr="003C12AE" w:rsidRDefault="003C12AE" w:rsidP="00F307D5">
      <w:pPr>
        <w:widowControl w:val="0"/>
        <w:numPr>
          <w:ilvl w:val="0"/>
          <w:numId w:val="29"/>
        </w:numPr>
        <w:tabs>
          <w:tab w:val="clear" w:pos="1353"/>
        </w:tabs>
        <w:spacing w:before="0"/>
        <w:ind w:left="993" w:hanging="284"/>
        <w:rPr>
          <w:rFonts w:ascii="Times New Roman" w:hAnsi="Times New Roman"/>
          <w:bCs/>
          <w:iCs/>
          <w:sz w:val="24"/>
          <w:lang w:val="pt-BR"/>
        </w:rPr>
      </w:pPr>
      <w:r w:rsidRPr="003C12AE">
        <w:rPr>
          <w:rFonts w:ascii="Times New Roman" w:hAnsi="Times New Roman"/>
          <w:bCs/>
          <w:iCs/>
          <w:sz w:val="24"/>
          <w:lang w:val="pt-BR"/>
        </w:rPr>
        <w:t>não mais que um mês;</w:t>
      </w:r>
    </w:p>
    <w:p w14:paraId="76AB7DEA" w14:textId="77777777" w:rsidR="003C12AE" w:rsidRPr="003C12AE" w:rsidRDefault="003C12AE" w:rsidP="00F307D5">
      <w:pPr>
        <w:widowControl w:val="0"/>
        <w:numPr>
          <w:ilvl w:val="0"/>
          <w:numId w:val="29"/>
        </w:numPr>
        <w:tabs>
          <w:tab w:val="clear" w:pos="1353"/>
        </w:tabs>
        <w:spacing w:before="0"/>
        <w:ind w:left="993" w:hanging="284"/>
        <w:rPr>
          <w:rFonts w:ascii="Times New Roman" w:hAnsi="Times New Roman"/>
          <w:bCs/>
          <w:iCs/>
          <w:sz w:val="24"/>
          <w:lang w:val="pt-BR"/>
        </w:rPr>
      </w:pPr>
      <w:r w:rsidRPr="003C12AE">
        <w:rPr>
          <w:rFonts w:ascii="Times New Roman" w:hAnsi="Times New Roman"/>
          <w:bCs/>
          <w:iCs/>
          <w:sz w:val="24"/>
          <w:lang w:val="pt-BR"/>
        </w:rPr>
        <w:t>mais que um mês e menos que três meses;</w:t>
      </w:r>
    </w:p>
    <w:p w14:paraId="2C0A605D" w14:textId="77777777" w:rsidR="003C12AE" w:rsidRPr="003C12AE" w:rsidRDefault="003C12AE" w:rsidP="00F307D5">
      <w:pPr>
        <w:widowControl w:val="0"/>
        <w:numPr>
          <w:ilvl w:val="0"/>
          <w:numId w:val="29"/>
        </w:numPr>
        <w:tabs>
          <w:tab w:val="clear" w:pos="1353"/>
        </w:tabs>
        <w:spacing w:before="0"/>
        <w:ind w:left="993" w:hanging="284"/>
        <w:rPr>
          <w:rFonts w:ascii="Times New Roman" w:hAnsi="Times New Roman"/>
          <w:bCs/>
          <w:iCs/>
          <w:sz w:val="24"/>
          <w:lang w:val="pt-BR"/>
        </w:rPr>
      </w:pPr>
      <w:r w:rsidRPr="003C12AE">
        <w:rPr>
          <w:rFonts w:ascii="Times New Roman" w:hAnsi="Times New Roman"/>
          <w:bCs/>
          <w:iCs/>
          <w:sz w:val="24"/>
          <w:lang w:val="pt-BR"/>
        </w:rPr>
        <w:t>mais que três meses e não mais que um ano; e</w:t>
      </w:r>
    </w:p>
    <w:p w14:paraId="251F880F" w14:textId="77777777" w:rsidR="003C12AE" w:rsidRPr="003C12AE" w:rsidRDefault="003C12AE" w:rsidP="00F307D5">
      <w:pPr>
        <w:widowControl w:val="0"/>
        <w:numPr>
          <w:ilvl w:val="0"/>
          <w:numId w:val="29"/>
        </w:numPr>
        <w:tabs>
          <w:tab w:val="clear" w:pos="1353"/>
        </w:tabs>
        <w:spacing w:before="0" w:after="0"/>
        <w:ind w:left="993" w:right="-1" w:hanging="284"/>
        <w:rPr>
          <w:rFonts w:ascii="Times New Roman" w:hAnsi="Times New Roman"/>
          <w:bCs/>
          <w:iCs/>
          <w:sz w:val="24"/>
          <w:lang w:val="pt-BR"/>
        </w:rPr>
      </w:pPr>
      <w:r w:rsidRPr="003C12AE">
        <w:rPr>
          <w:rFonts w:ascii="Times New Roman" w:hAnsi="Times New Roman"/>
          <w:bCs/>
          <w:iCs/>
          <w:sz w:val="24"/>
          <w:lang w:val="pt-BR"/>
        </w:rPr>
        <w:lastRenderedPageBreak/>
        <w:t>mais que um ano e menos que cinco anos.</w:t>
      </w:r>
    </w:p>
    <w:p w14:paraId="45B36ABC" w14:textId="77777777" w:rsidR="003C12AE" w:rsidRPr="003C12AE" w:rsidRDefault="003C12AE" w:rsidP="003C12AE">
      <w:pPr>
        <w:spacing w:before="0" w:after="0"/>
        <w:ind w:right="-1"/>
        <w:jc w:val="left"/>
        <w:rPr>
          <w:rFonts w:ascii="Times New Roman" w:hAnsi="Times New Roman"/>
          <w:sz w:val="24"/>
          <w:lang w:val="pt-BR"/>
        </w:rPr>
      </w:pPr>
    </w:p>
    <w:p w14:paraId="0F128C7C" w14:textId="77777777" w:rsidR="003C12AE" w:rsidRPr="003C12AE" w:rsidRDefault="003C12AE" w:rsidP="003C12AE">
      <w:pPr>
        <w:widowControl w:val="0"/>
        <w:spacing w:before="0" w:after="0"/>
        <w:ind w:left="567" w:right="-1" w:hanging="567"/>
        <w:rPr>
          <w:rFonts w:ascii="Times New Roman" w:hAnsi="Times New Roman"/>
          <w:sz w:val="24"/>
        </w:rPr>
      </w:pPr>
      <w:r w:rsidRPr="003C12AE">
        <w:rPr>
          <w:rFonts w:ascii="Times New Roman" w:hAnsi="Times New Roman"/>
          <w:sz w:val="24"/>
        </w:rPr>
        <w:t>B11A.</w:t>
      </w:r>
      <w:r w:rsidRPr="003C12AE">
        <w:rPr>
          <w:rFonts w:ascii="Times New Roman" w:hAnsi="Times New Roman"/>
          <w:sz w:val="24"/>
        </w:rPr>
        <w:tab/>
        <w:t>Ao atender ao disposto no item 39(a) e (b), a entidade não deve separar um derivativo embutido de um instrumento financeiro híbrido (combinado). Para esse instrumento a entidade deve aplicar o item 39(a).</w:t>
      </w:r>
    </w:p>
    <w:p w14:paraId="55A430E3" w14:textId="77777777" w:rsidR="003C12AE" w:rsidRPr="003C12AE" w:rsidRDefault="003C12AE" w:rsidP="003C12AE">
      <w:pPr>
        <w:spacing w:before="0" w:after="0"/>
        <w:ind w:right="-1"/>
        <w:jc w:val="left"/>
        <w:rPr>
          <w:rFonts w:ascii="Times New Roman" w:hAnsi="Times New Roman"/>
          <w:sz w:val="24"/>
          <w:lang w:val="pt-BR"/>
        </w:rPr>
      </w:pPr>
    </w:p>
    <w:p w14:paraId="16F44504" w14:textId="77777777" w:rsidR="003C12AE" w:rsidRPr="003C12AE" w:rsidRDefault="003C12AE" w:rsidP="003C12AE">
      <w:pPr>
        <w:widowControl w:val="0"/>
        <w:spacing w:before="0"/>
        <w:ind w:left="567" w:hanging="567"/>
        <w:rPr>
          <w:rFonts w:ascii="Times New Roman" w:hAnsi="Times New Roman"/>
          <w:sz w:val="24"/>
        </w:rPr>
      </w:pPr>
      <w:r w:rsidRPr="003C12AE">
        <w:rPr>
          <w:rFonts w:ascii="Times New Roman" w:hAnsi="Times New Roman"/>
          <w:sz w:val="24"/>
        </w:rPr>
        <w:t xml:space="preserve">B11B. </w:t>
      </w:r>
      <w:r w:rsidRPr="003C12AE">
        <w:rPr>
          <w:rFonts w:ascii="Times New Roman" w:hAnsi="Times New Roman"/>
          <w:sz w:val="24"/>
        </w:rPr>
        <w:tab/>
        <w:t>O item 39(b) requer que a entidade evidencie análise de vencimento quantitativa para instrumentos financeiros passivos que demonstre os vencimentos contratuais remanescentes se os vencimentos contratuais são essenciais para um entendimento do momento dos fluxos de caixa. Por exemplo, esse pode ser o caso para:</w:t>
      </w:r>
    </w:p>
    <w:p w14:paraId="3408680C" w14:textId="77777777" w:rsidR="003C12AE" w:rsidRPr="003C12AE" w:rsidRDefault="003C12AE" w:rsidP="00F307D5">
      <w:pPr>
        <w:numPr>
          <w:ilvl w:val="1"/>
          <w:numId w:val="28"/>
        </w:numPr>
        <w:tabs>
          <w:tab w:val="clear" w:pos="1440"/>
        </w:tabs>
        <w:spacing w:before="0"/>
        <w:ind w:left="993" w:hanging="284"/>
        <w:rPr>
          <w:rFonts w:ascii="Times New Roman" w:hAnsi="Times New Roman"/>
          <w:sz w:val="24"/>
          <w:lang w:val="pt-BR"/>
        </w:rPr>
      </w:pPr>
      <w:r w:rsidRPr="003C12AE">
        <w:rPr>
          <w:rFonts w:ascii="Times New Roman" w:hAnsi="Times New Roman"/>
          <w:sz w:val="24"/>
          <w:lang w:val="pt-BR"/>
        </w:rPr>
        <w:t xml:space="preserve">um </w:t>
      </w:r>
      <w:r w:rsidRPr="003C12AE">
        <w:rPr>
          <w:rFonts w:ascii="Times New Roman" w:hAnsi="Times New Roman"/>
          <w:i/>
          <w:sz w:val="24"/>
          <w:lang w:val="pt-BR"/>
        </w:rPr>
        <w:t>swap</w:t>
      </w:r>
      <w:r w:rsidRPr="003C12AE">
        <w:rPr>
          <w:rFonts w:ascii="Times New Roman" w:hAnsi="Times New Roman"/>
          <w:sz w:val="24"/>
          <w:lang w:val="pt-BR"/>
        </w:rPr>
        <w:t xml:space="preserve"> de taxa de juros com vencimento remanescente de cinco anos em um </w:t>
      </w:r>
      <w:r w:rsidRPr="003C12AE">
        <w:rPr>
          <w:rFonts w:ascii="Times New Roman" w:hAnsi="Times New Roman"/>
          <w:i/>
          <w:sz w:val="24"/>
          <w:lang w:val="pt-BR"/>
        </w:rPr>
        <w:t>hedge</w:t>
      </w:r>
      <w:r w:rsidRPr="003C12AE">
        <w:rPr>
          <w:rFonts w:ascii="Times New Roman" w:hAnsi="Times New Roman"/>
          <w:sz w:val="24"/>
          <w:lang w:val="pt-BR"/>
        </w:rPr>
        <w:t xml:space="preserve"> de fluxo de caixa de um ativo ou passivo indexado a uma taxa variável;</w:t>
      </w:r>
    </w:p>
    <w:p w14:paraId="418C53AD" w14:textId="77777777" w:rsidR="003C12AE" w:rsidRPr="003C12AE" w:rsidRDefault="003C12AE" w:rsidP="00F307D5">
      <w:pPr>
        <w:numPr>
          <w:ilvl w:val="1"/>
          <w:numId w:val="28"/>
        </w:numPr>
        <w:tabs>
          <w:tab w:val="clear" w:pos="1440"/>
        </w:tabs>
        <w:spacing w:before="0" w:after="0"/>
        <w:ind w:left="993" w:right="-1" w:hanging="284"/>
        <w:rPr>
          <w:rFonts w:ascii="Times New Roman" w:hAnsi="Times New Roman"/>
          <w:sz w:val="24"/>
          <w:lang w:val="pt-BR"/>
        </w:rPr>
      </w:pPr>
      <w:r w:rsidRPr="003C12AE">
        <w:rPr>
          <w:rFonts w:ascii="Times New Roman" w:hAnsi="Times New Roman"/>
          <w:sz w:val="24"/>
          <w:lang w:val="pt-BR"/>
        </w:rPr>
        <w:t>todos os compromissos de empréstimos.</w:t>
      </w:r>
    </w:p>
    <w:p w14:paraId="3F72D9FB" w14:textId="77777777" w:rsidR="003C12AE" w:rsidRPr="003C12AE" w:rsidRDefault="003C12AE" w:rsidP="003C12AE">
      <w:pPr>
        <w:spacing w:before="0" w:after="0"/>
        <w:ind w:right="-1"/>
        <w:jc w:val="left"/>
        <w:rPr>
          <w:rFonts w:ascii="Times New Roman" w:hAnsi="Times New Roman"/>
          <w:sz w:val="24"/>
          <w:lang w:val="pt-BR"/>
        </w:rPr>
      </w:pPr>
    </w:p>
    <w:p w14:paraId="34214CA0" w14:textId="77777777" w:rsidR="003C12AE" w:rsidRPr="003C12AE" w:rsidRDefault="003C12AE" w:rsidP="003C12AE">
      <w:pPr>
        <w:widowControl w:val="0"/>
        <w:spacing w:before="0"/>
        <w:ind w:left="567" w:hanging="567"/>
        <w:rPr>
          <w:rFonts w:ascii="Times New Roman" w:hAnsi="Times New Roman"/>
          <w:sz w:val="24"/>
        </w:rPr>
      </w:pPr>
      <w:r w:rsidRPr="003C12AE">
        <w:rPr>
          <w:rFonts w:ascii="Times New Roman" w:hAnsi="Times New Roman"/>
          <w:sz w:val="24"/>
        </w:rPr>
        <w:t>B11C.</w:t>
      </w:r>
      <w:r w:rsidRPr="003C12AE">
        <w:rPr>
          <w:rFonts w:ascii="Times New Roman" w:hAnsi="Times New Roman"/>
          <w:sz w:val="24"/>
        </w:rPr>
        <w:tab/>
        <w:t>O item 39 (a) e (b) requer que a entidade evidencie análise de vencimentos para passivos financeiros que mostrem o vencimento contratual remanescente para alguns passivos financeiros. Nessa evidenciação:</w:t>
      </w:r>
    </w:p>
    <w:p w14:paraId="7C8552D0" w14:textId="77777777" w:rsidR="003C12AE" w:rsidRPr="003C12AE" w:rsidRDefault="003C12AE" w:rsidP="00F307D5">
      <w:pPr>
        <w:numPr>
          <w:ilvl w:val="0"/>
          <w:numId w:val="33"/>
        </w:numPr>
        <w:tabs>
          <w:tab w:val="clear" w:pos="720"/>
        </w:tabs>
        <w:spacing w:before="0"/>
        <w:ind w:left="993" w:hanging="284"/>
        <w:rPr>
          <w:rFonts w:ascii="Times New Roman" w:hAnsi="Times New Roman"/>
          <w:sz w:val="24"/>
          <w:lang w:val="pt-BR"/>
        </w:rPr>
      </w:pPr>
      <w:r w:rsidRPr="003C12AE">
        <w:rPr>
          <w:rFonts w:ascii="Times New Roman" w:hAnsi="Times New Roman"/>
          <w:sz w:val="24"/>
          <w:lang w:val="pt-BR"/>
        </w:rPr>
        <w:t xml:space="preserve">quando a contraparte tem a escolha de quando o montante é pago, o passivo é alocado para o período mais próximo no qual a entidade pode ser obrigada a pagar. Por exemplo, passivos financeiros que a entidade pode ser obrigada a reembolsar a qualquer momento (depósitos à vista, por exemplo) são incluídos no período de tempo mais próximo; </w:t>
      </w:r>
    </w:p>
    <w:p w14:paraId="21C6FAB6" w14:textId="77777777" w:rsidR="003C12AE" w:rsidRPr="003C12AE" w:rsidRDefault="003C12AE" w:rsidP="00F307D5">
      <w:pPr>
        <w:numPr>
          <w:ilvl w:val="0"/>
          <w:numId w:val="33"/>
        </w:numPr>
        <w:tabs>
          <w:tab w:val="clear" w:pos="720"/>
        </w:tabs>
        <w:spacing w:before="0"/>
        <w:ind w:left="993" w:hanging="284"/>
        <w:rPr>
          <w:rFonts w:ascii="Times New Roman" w:hAnsi="Times New Roman"/>
          <w:sz w:val="24"/>
          <w:lang w:val="pt-BR"/>
        </w:rPr>
      </w:pPr>
      <w:r w:rsidRPr="003C12AE">
        <w:rPr>
          <w:rFonts w:ascii="Times New Roman" w:hAnsi="Times New Roman"/>
          <w:sz w:val="24"/>
          <w:lang w:val="pt-BR"/>
        </w:rPr>
        <w:t>quando a entidade possui compromisso de disponibilizar recursos em parcelas, cada parcela é alocada ao período de compromisso mais próximo. Por exemplo, um compromisso de empréstimo não utilizado deve ser incluído no período de tempo mais próximo que ele possa vir a ser utilizado;</w:t>
      </w:r>
    </w:p>
    <w:p w14:paraId="698CE96A" w14:textId="77777777" w:rsidR="003C12AE" w:rsidRPr="003C12AE" w:rsidRDefault="003C12AE" w:rsidP="00F307D5">
      <w:pPr>
        <w:numPr>
          <w:ilvl w:val="0"/>
          <w:numId w:val="33"/>
        </w:numPr>
        <w:tabs>
          <w:tab w:val="clear" w:pos="720"/>
        </w:tabs>
        <w:spacing w:before="0" w:after="0"/>
        <w:ind w:left="993" w:right="-1" w:hanging="284"/>
        <w:rPr>
          <w:rFonts w:ascii="Times New Roman" w:hAnsi="Times New Roman"/>
          <w:sz w:val="24"/>
          <w:lang w:val="pt-BR"/>
        </w:rPr>
      </w:pPr>
      <w:r w:rsidRPr="003C12AE">
        <w:rPr>
          <w:rFonts w:ascii="Times New Roman" w:hAnsi="Times New Roman"/>
          <w:sz w:val="24"/>
          <w:lang w:val="pt-BR"/>
        </w:rPr>
        <w:t>para garantias financeiras emitidas o montante máximo da garantia é alocado ao período mais próximo no qual a garantia pode ser requisitada.</w:t>
      </w:r>
    </w:p>
    <w:p w14:paraId="5DE3646B" w14:textId="77777777" w:rsidR="003C12AE" w:rsidRPr="003C12AE" w:rsidRDefault="003C12AE" w:rsidP="003C12AE">
      <w:pPr>
        <w:spacing w:before="0" w:after="0"/>
        <w:ind w:right="-1"/>
        <w:jc w:val="left"/>
        <w:rPr>
          <w:rFonts w:ascii="Times New Roman" w:hAnsi="Times New Roman"/>
          <w:sz w:val="24"/>
          <w:lang w:val="pt-BR"/>
        </w:rPr>
      </w:pPr>
    </w:p>
    <w:p w14:paraId="77903FB3" w14:textId="77777777" w:rsidR="003C12AE" w:rsidRPr="003C12AE" w:rsidRDefault="003C12AE" w:rsidP="003C12AE">
      <w:pPr>
        <w:widowControl w:val="0"/>
        <w:spacing w:before="0"/>
        <w:ind w:left="567" w:hanging="567"/>
        <w:rPr>
          <w:rFonts w:ascii="Times New Roman" w:hAnsi="Times New Roman"/>
          <w:sz w:val="24"/>
        </w:rPr>
      </w:pPr>
      <w:r w:rsidRPr="003C12AE">
        <w:rPr>
          <w:rFonts w:ascii="Times New Roman" w:hAnsi="Times New Roman"/>
          <w:sz w:val="24"/>
        </w:rPr>
        <w:t>B11D.</w:t>
      </w:r>
      <w:r w:rsidRPr="003C12AE">
        <w:rPr>
          <w:rFonts w:ascii="Times New Roman" w:hAnsi="Times New Roman"/>
          <w:sz w:val="24"/>
        </w:rPr>
        <w:tab/>
        <w:t>Os montantes contratuais evidenciados na análise de vencimentos requeridos pelo item 39(a) e (b) são os fluxos de caixa contratuais não descontados, por exemplo:</w:t>
      </w:r>
    </w:p>
    <w:p w14:paraId="73E8A644" w14:textId="1E25083D" w:rsidR="003C12AE" w:rsidRPr="003C12AE" w:rsidRDefault="00232B93" w:rsidP="00F307D5">
      <w:pPr>
        <w:numPr>
          <w:ilvl w:val="0"/>
          <w:numId w:val="34"/>
        </w:numPr>
        <w:tabs>
          <w:tab w:val="clear" w:pos="1440"/>
        </w:tabs>
        <w:spacing w:before="0"/>
        <w:ind w:left="993" w:hanging="284"/>
        <w:rPr>
          <w:rFonts w:ascii="Times New Roman" w:hAnsi="Times New Roman"/>
          <w:strike/>
          <w:sz w:val="24"/>
          <w:lang w:val="pt-BR"/>
        </w:rPr>
      </w:pPr>
      <w:r w:rsidRPr="003C12AE">
        <w:rPr>
          <w:rFonts w:ascii="Times New Roman" w:hAnsi="Times New Roman"/>
          <w:sz w:val="24"/>
        </w:rPr>
        <w:t>passivos brutos de arrendamento (antes de deduzir os encargos financeiros);</w:t>
      </w:r>
    </w:p>
    <w:p w14:paraId="0289D54F" w14:textId="77777777" w:rsidR="003C12AE" w:rsidRPr="003C12AE" w:rsidRDefault="003C12AE" w:rsidP="00F307D5">
      <w:pPr>
        <w:numPr>
          <w:ilvl w:val="0"/>
          <w:numId w:val="34"/>
        </w:numPr>
        <w:tabs>
          <w:tab w:val="clear" w:pos="1440"/>
        </w:tabs>
        <w:spacing w:before="0"/>
        <w:ind w:left="993" w:hanging="284"/>
        <w:rPr>
          <w:rFonts w:ascii="Times New Roman" w:hAnsi="Times New Roman"/>
          <w:sz w:val="24"/>
          <w:lang w:val="pt-BR"/>
        </w:rPr>
      </w:pPr>
      <w:r w:rsidRPr="003C12AE">
        <w:rPr>
          <w:rFonts w:ascii="Times New Roman" w:hAnsi="Times New Roman"/>
          <w:sz w:val="24"/>
          <w:lang w:val="pt-BR"/>
        </w:rPr>
        <w:t>preços especificados em contratos a termo para comprar ativos financeiros em caixa;</w:t>
      </w:r>
    </w:p>
    <w:p w14:paraId="7CC8DB36" w14:textId="77777777" w:rsidR="003C12AE" w:rsidRPr="003C12AE" w:rsidRDefault="003C12AE" w:rsidP="00F307D5">
      <w:pPr>
        <w:numPr>
          <w:ilvl w:val="0"/>
          <w:numId w:val="34"/>
        </w:numPr>
        <w:tabs>
          <w:tab w:val="clear" w:pos="1440"/>
        </w:tabs>
        <w:spacing w:before="0"/>
        <w:ind w:left="993" w:hanging="284"/>
        <w:rPr>
          <w:rFonts w:ascii="Times New Roman" w:hAnsi="Times New Roman"/>
          <w:sz w:val="24"/>
          <w:lang w:val="pt-BR"/>
        </w:rPr>
      </w:pPr>
      <w:r w:rsidRPr="003C12AE">
        <w:rPr>
          <w:rFonts w:ascii="Times New Roman" w:hAnsi="Times New Roman"/>
          <w:sz w:val="24"/>
          <w:lang w:val="pt-BR"/>
        </w:rPr>
        <w:t xml:space="preserve">montantes líquidos de </w:t>
      </w:r>
      <w:r w:rsidRPr="003C12AE">
        <w:rPr>
          <w:rFonts w:ascii="Times New Roman" w:hAnsi="Times New Roman"/>
          <w:i/>
          <w:sz w:val="24"/>
          <w:lang w:val="pt-BR"/>
        </w:rPr>
        <w:t>swaps</w:t>
      </w:r>
      <w:r w:rsidRPr="003C12AE">
        <w:rPr>
          <w:rFonts w:ascii="Times New Roman" w:hAnsi="Times New Roman"/>
          <w:sz w:val="24"/>
          <w:lang w:val="pt-BR"/>
        </w:rPr>
        <w:t xml:space="preserve"> que pagam taxas flutuantes e recebem taxas fixas para os quais os fluxos de caixa são trocados;</w:t>
      </w:r>
    </w:p>
    <w:p w14:paraId="408EAA92" w14:textId="77777777" w:rsidR="003C12AE" w:rsidRPr="003C12AE" w:rsidRDefault="003C12AE" w:rsidP="00F307D5">
      <w:pPr>
        <w:numPr>
          <w:ilvl w:val="0"/>
          <w:numId w:val="34"/>
        </w:numPr>
        <w:tabs>
          <w:tab w:val="clear" w:pos="1440"/>
        </w:tabs>
        <w:spacing w:before="0"/>
        <w:ind w:left="993" w:hanging="284"/>
        <w:rPr>
          <w:rFonts w:ascii="Times New Roman" w:hAnsi="Times New Roman"/>
          <w:sz w:val="24"/>
          <w:lang w:val="pt-BR"/>
        </w:rPr>
      </w:pPr>
      <w:r w:rsidRPr="003C12AE">
        <w:rPr>
          <w:rFonts w:ascii="Times New Roman" w:hAnsi="Times New Roman"/>
          <w:sz w:val="24"/>
          <w:lang w:val="pt-BR"/>
        </w:rPr>
        <w:t>montantes contratuais que serão trocados em contrato financeiro derivativo (</w:t>
      </w:r>
      <w:r w:rsidRPr="003C12AE">
        <w:rPr>
          <w:rFonts w:ascii="Times New Roman" w:hAnsi="Times New Roman"/>
          <w:i/>
          <w:sz w:val="24"/>
          <w:lang w:val="pt-BR"/>
        </w:rPr>
        <w:t>swap</w:t>
      </w:r>
      <w:r w:rsidRPr="003C12AE">
        <w:rPr>
          <w:rFonts w:ascii="Times New Roman" w:hAnsi="Times New Roman"/>
          <w:sz w:val="24"/>
          <w:lang w:val="pt-BR"/>
        </w:rPr>
        <w:t xml:space="preserve"> de moeda, por exemplo) para o qual os fluxos de caixa brutos são trocados; e</w:t>
      </w:r>
    </w:p>
    <w:p w14:paraId="3C326880" w14:textId="77777777" w:rsidR="003C12AE" w:rsidRPr="003C12AE" w:rsidRDefault="003C12AE" w:rsidP="00F307D5">
      <w:pPr>
        <w:numPr>
          <w:ilvl w:val="0"/>
          <w:numId w:val="34"/>
        </w:numPr>
        <w:tabs>
          <w:tab w:val="clear" w:pos="1440"/>
        </w:tabs>
        <w:spacing w:before="0"/>
        <w:ind w:left="993" w:hanging="284"/>
        <w:rPr>
          <w:rFonts w:ascii="Times New Roman" w:hAnsi="Times New Roman"/>
          <w:sz w:val="24"/>
          <w:lang w:val="pt-BR"/>
        </w:rPr>
      </w:pPr>
      <w:r w:rsidRPr="003C12AE">
        <w:rPr>
          <w:rFonts w:ascii="Times New Roman" w:hAnsi="Times New Roman"/>
          <w:sz w:val="24"/>
          <w:lang w:val="pt-BR"/>
        </w:rPr>
        <w:t>compromissos de empréstimos brutos.</w:t>
      </w:r>
    </w:p>
    <w:p w14:paraId="74DFB895" w14:textId="77777777" w:rsidR="003C12AE" w:rsidRPr="003C12AE" w:rsidRDefault="003C12AE" w:rsidP="003C12AE">
      <w:pPr>
        <w:spacing w:before="0" w:after="0"/>
        <w:ind w:left="567" w:right="-1"/>
        <w:rPr>
          <w:rFonts w:ascii="Times New Roman" w:hAnsi="Times New Roman"/>
          <w:sz w:val="24"/>
          <w:lang w:val="pt-BR"/>
        </w:rPr>
      </w:pPr>
      <w:r w:rsidRPr="003C12AE">
        <w:rPr>
          <w:rFonts w:ascii="Times New Roman" w:hAnsi="Times New Roman"/>
          <w:sz w:val="24"/>
          <w:lang w:val="pt-BR"/>
        </w:rPr>
        <w:t xml:space="preserve">Esses fluxos de caixa não descontados diferem do montante incluído no balanço patrimonial porque o montante apresentado nessa demonstração é baseado em fluxos de caixa descontados. Quando o </w:t>
      </w:r>
      <w:r w:rsidRPr="003C12AE">
        <w:rPr>
          <w:rFonts w:ascii="Times New Roman" w:hAnsi="Times New Roman"/>
          <w:sz w:val="24"/>
          <w:lang w:val="pt-BR"/>
        </w:rPr>
        <w:lastRenderedPageBreak/>
        <w:t>montante a pagar não é fixado, o montante evidenciado é determinado com referência às condições existentes na data de encerramento do exercício. Por exemplo, quando o montante a pagar varia em relação a mudanças em um índice, o montante evidenciado pode ser baseado no nível desse índice ao final do período.</w:t>
      </w:r>
    </w:p>
    <w:p w14:paraId="45B93446" w14:textId="77777777" w:rsidR="003C12AE" w:rsidRPr="003C12AE" w:rsidRDefault="003C12AE" w:rsidP="003C12AE">
      <w:pPr>
        <w:spacing w:before="0" w:after="0"/>
        <w:ind w:left="567" w:right="-1"/>
        <w:jc w:val="left"/>
        <w:rPr>
          <w:rFonts w:ascii="Times New Roman" w:hAnsi="Times New Roman"/>
          <w:sz w:val="24"/>
          <w:lang w:val="pt-BR"/>
        </w:rPr>
      </w:pPr>
    </w:p>
    <w:p w14:paraId="6D173CEA" w14:textId="77777777" w:rsidR="003C12AE" w:rsidRPr="003C12AE" w:rsidRDefault="003C12AE" w:rsidP="003C12AE">
      <w:pPr>
        <w:widowControl w:val="0"/>
        <w:spacing w:before="0" w:after="0"/>
        <w:ind w:left="567" w:right="-1" w:hanging="567"/>
        <w:rPr>
          <w:rFonts w:ascii="Times New Roman" w:hAnsi="Times New Roman"/>
          <w:sz w:val="24"/>
        </w:rPr>
      </w:pPr>
      <w:r w:rsidRPr="003C12AE">
        <w:rPr>
          <w:rFonts w:ascii="Times New Roman" w:hAnsi="Times New Roman"/>
          <w:sz w:val="24"/>
        </w:rPr>
        <w:t>B11E.</w:t>
      </w:r>
      <w:r w:rsidRPr="003C12AE">
        <w:rPr>
          <w:rFonts w:ascii="Times New Roman" w:hAnsi="Times New Roman"/>
          <w:sz w:val="24"/>
        </w:rPr>
        <w:tab/>
        <w:t>O item 39</w:t>
      </w:r>
      <w:r w:rsidRPr="003C12AE">
        <w:rPr>
          <w:rFonts w:ascii="Times New Roman" w:hAnsi="Times New Roman"/>
          <w:sz w:val="24"/>
          <w:lang w:val="pt-BR" w:eastAsia="x-none"/>
        </w:rPr>
        <w:t>(c</w:t>
      </w:r>
      <w:r w:rsidRPr="003C12AE">
        <w:rPr>
          <w:rFonts w:ascii="Times New Roman" w:hAnsi="Times New Roman"/>
          <w:sz w:val="24"/>
        </w:rPr>
        <w:t>) requer que a entidade descreva como ela administra o risco de liquidez inerente nos itens divulgados nas informações quantitativas requeridos no item 39(a) e (b). A entidade deve evidenciar a análise de vencimentos dos ativos financeiros que possui para gerenciar o risco de liquidez (ativos financeiros que são imediatamente negociáveis ou que se espera que gerem entradas de caixa para atender às saídas de caixa relativas aos passivos financeiros), se essa informação for necessária para capacitar os usuários das demonstrações contábeis a avaliar a natureza e a extensão do risco de liquidez.</w:t>
      </w:r>
    </w:p>
    <w:p w14:paraId="2F88D4E5" w14:textId="77777777" w:rsidR="003C12AE" w:rsidRPr="003C12AE" w:rsidRDefault="003C12AE" w:rsidP="003C12AE">
      <w:pPr>
        <w:spacing w:before="0" w:after="0"/>
        <w:ind w:right="-1"/>
        <w:jc w:val="left"/>
        <w:rPr>
          <w:rFonts w:ascii="Times New Roman" w:hAnsi="Times New Roman"/>
          <w:sz w:val="24"/>
          <w:lang w:val="pt-BR"/>
        </w:rPr>
      </w:pPr>
    </w:p>
    <w:p w14:paraId="2F5C20A5" w14:textId="77777777" w:rsidR="003C12AE" w:rsidRPr="003C12AE" w:rsidRDefault="003C12AE" w:rsidP="003C12AE">
      <w:pPr>
        <w:widowControl w:val="0"/>
        <w:spacing w:before="0"/>
        <w:ind w:left="567" w:hanging="567"/>
        <w:rPr>
          <w:rFonts w:ascii="Times New Roman" w:hAnsi="Times New Roman"/>
          <w:sz w:val="24"/>
        </w:rPr>
      </w:pPr>
      <w:r w:rsidRPr="003C12AE">
        <w:rPr>
          <w:rFonts w:ascii="Times New Roman" w:hAnsi="Times New Roman"/>
          <w:sz w:val="24"/>
        </w:rPr>
        <w:t>B11F.</w:t>
      </w:r>
      <w:r w:rsidRPr="003C12AE">
        <w:rPr>
          <w:rFonts w:ascii="Times New Roman" w:hAnsi="Times New Roman"/>
          <w:sz w:val="24"/>
        </w:rPr>
        <w:tab/>
        <w:t>Outros fatores que a entidade pode considerar ao fornecer a evidenciação requerida no item 39(c) incluem, mas não estão limitados a, se a entidade:</w:t>
      </w:r>
    </w:p>
    <w:p w14:paraId="7C5D3068" w14:textId="77777777" w:rsidR="003C12AE" w:rsidRPr="003C12AE" w:rsidRDefault="003C12AE" w:rsidP="00F307D5">
      <w:pPr>
        <w:numPr>
          <w:ilvl w:val="1"/>
          <w:numId w:val="24"/>
        </w:numPr>
        <w:tabs>
          <w:tab w:val="clear" w:pos="1455"/>
        </w:tabs>
        <w:spacing w:before="0"/>
        <w:ind w:left="993" w:hanging="284"/>
        <w:rPr>
          <w:rFonts w:ascii="Times New Roman" w:hAnsi="Times New Roman"/>
          <w:sz w:val="24"/>
          <w:lang w:val="pt-BR"/>
        </w:rPr>
      </w:pPr>
      <w:r w:rsidRPr="003C12AE">
        <w:rPr>
          <w:rFonts w:ascii="Times New Roman" w:hAnsi="Times New Roman"/>
          <w:sz w:val="24"/>
          <w:lang w:val="pt-BR"/>
        </w:rPr>
        <w:t xml:space="preserve">possui linhas de crédito acordadas (por exemplo, arranjos para emissão de </w:t>
      </w:r>
      <w:r w:rsidRPr="003C12AE">
        <w:rPr>
          <w:rFonts w:ascii="Times New Roman" w:hAnsi="Times New Roman"/>
          <w:i/>
          <w:sz w:val="24"/>
          <w:lang w:val="pt-BR"/>
        </w:rPr>
        <w:t>commercial papers</w:t>
      </w:r>
      <w:r w:rsidRPr="003C12AE">
        <w:rPr>
          <w:rFonts w:ascii="Times New Roman" w:hAnsi="Times New Roman"/>
          <w:sz w:val="24"/>
          <w:lang w:val="pt-BR"/>
        </w:rPr>
        <w:t>) ou outras linhas de crédito (por exemplo, linhas de crédito pré-acordadas) que podem ser utilizadas para atender suas necessidades de liquidez;</w:t>
      </w:r>
    </w:p>
    <w:p w14:paraId="1E16F726" w14:textId="77777777" w:rsidR="003C12AE" w:rsidRPr="003C12AE" w:rsidRDefault="003C12AE" w:rsidP="00F307D5">
      <w:pPr>
        <w:numPr>
          <w:ilvl w:val="1"/>
          <w:numId w:val="24"/>
        </w:numPr>
        <w:tabs>
          <w:tab w:val="clear" w:pos="1455"/>
        </w:tabs>
        <w:spacing w:before="0"/>
        <w:ind w:left="993" w:hanging="284"/>
        <w:rPr>
          <w:rFonts w:ascii="Times New Roman" w:hAnsi="Times New Roman"/>
          <w:sz w:val="24"/>
          <w:lang w:val="pt-BR"/>
        </w:rPr>
      </w:pPr>
      <w:r w:rsidRPr="003C12AE">
        <w:rPr>
          <w:rFonts w:ascii="Times New Roman" w:hAnsi="Times New Roman"/>
          <w:sz w:val="24"/>
          <w:lang w:val="pt-BR"/>
        </w:rPr>
        <w:t>possui depósitos junto a Banco Central para atender suas necessidades de liquidez;</w:t>
      </w:r>
    </w:p>
    <w:p w14:paraId="72143FE6" w14:textId="77777777" w:rsidR="003C12AE" w:rsidRPr="003C12AE" w:rsidRDefault="003C12AE" w:rsidP="00F307D5">
      <w:pPr>
        <w:numPr>
          <w:ilvl w:val="1"/>
          <w:numId w:val="24"/>
        </w:numPr>
        <w:tabs>
          <w:tab w:val="clear" w:pos="1455"/>
        </w:tabs>
        <w:spacing w:before="0"/>
        <w:ind w:left="993" w:hanging="284"/>
        <w:rPr>
          <w:rFonts w:ascii="Times New Roman" w:hAnsi="Times New Roman"/>
          <w:sz w:val="24"/>
          <w:lang w:val="pt-BR"/>
        </w:rPr>
      </w:pPr>
      <w:r w:rsidRPr="003C12AE">
        <w:rPr>
          <w:rFonts w:ascii="Times New Roman" w:hAnsi="Times New Roman"/>
          <w:sz w:val="24"/>
          <w:lang w:val="pt-BR"/>
        </w:rPr>
        <w:t>possui base diversificada de fontes de recursos;</w:t>
      </w:r>
    </w:p>
    <w:p w14:paraId="0DE44542" w14:textId="77777777" w:rsidR="003C12AE" w:rsidRPr="003C12AE" w:rsidRDefault="003C12AE" w:rsidP="00F307D5">
      <w:pPr>
        <w:numPr>
          <w:ilvl w:val="1"/>
          <w:numId w:val="24"/>
        </w:numPr>
        <w:tabs>
          <w:tab w:val="clear" w:pos="1455"/>
        </w:tabs>
        <w:spacing w:before="0"/>
        <w:ind w:left="993" w:hanging="284"/>
        <w:rPr>
          <w:rFonts w:ascii="Times New Roman" w:hAnsi="Times New Roman"/>
          <w:sz w:val="24"/>
          <w:lang w:val="pt-BR"/>
        </w:rPr>
      </w:pPr>
      <w:r w:rsidRPr="003C12AE">
        <w:rPr>
          <w:rFonts w:ascii="Times New Roman" w:hAnsi="Times New Roman"/>
          <w:sz w:val="24"/>
          <w:lang w:val="pt-BR"/>
        </w:rPr>
        <w:t>possui concentrações significativas de risco de liquidez em seus ativos ou suas fontes de recursos;</w:t>
      </w:r>
    </w:p>
    <w:p w14:paraId="09419B45" w14:textId="77777777" w:rsidR="003C12AE" w:rsidRPr="003C12AE" w:rsidRDefault="003C12AE" w:rsidP="00F307D5">
      <w:pPr>
        <w:numPr>
          <w:ilvl w:val="1"/>
          <w:numId w:val="24"/>
        </w:numPr>
        <w:tabs>
          <w:tab w:val="clear" w:pos="1455"/>
        </w:tabs>
        <w:spacing w:before="0"/>
        <w:ind w:left="993" w:hanging="284"/>
        <w:rPr>
          <w:rFonts w:ascii="Times New Roman" w:hAnsi="Times New Roman"/>
          <w:sz w:val="24"/>
          <w:lang w:val="pt-BR"/>
        </w:rPr>
      </w:pPr>
      <w:r w:rsidRPr="003C12AE">
        <w:rPr>
          <w:rFonts w:ascii="Times New Roman" w:hAnsi="Times New Roman"/>
          <w:sz w:val="24"/>
          <w:lang w:val="pt-BR"/>
        </w:rPr>
        <w:t>possui processos de controle interno e planos de contingência para administrar seu risco de liquidez;</w:t>
      </w:r>
    </w:p>
    <w:p w14:paraId="34EE5293" w14:textId="77777777" w:rsidR="003C12AE" w:rsidRPr="003C12AE" w:rsidRDefault="003C12AE" w:rsidP="00F307D5">
      <w:pPr>
        <w:numPr>
          <w:ilvl w:val="1"/>
          <w:numId w:val="24"/>
        </w:numPr>
        <w:tabs>
          <w:tab w:val="clear" w:pos="1455"/>
        </w:tabs>
        <w:spacing w:before="0"/>
        <w:ind w:left="993" w:hanging="284"/>
        <w:rPr>
          <w:rFonts w:ascii="Times New Roman" w:hAnsi="Times New Roman"/>
          <w:sz w:val="24"/>
          <w:lang w:val="pt-BR"/>
        </w:rPr>
      </w:pPr>
      <w:r w:rsidRPr="003C12AE">
        <w:rPr>
          <w:rFonts w:ascii="Times New Roman" w:hAnsi="Times New Roman"/>
          <w:sz w:val="24"/>
          <w:lang w:val="pt-BR"/>
        </w:rPr>
        <w:t xml:space="preserve">possui instrumentos que incluem termos de reembolso antecipado para administrar o risco de liquidez (por exemplo, para a redução do </w:t>
      </w:r>
      <w:r w:rsidRPr="003C12AE">
        <w:rPr>
          <w:rFonts w:ascii="Times New Roman" w:hAnsi="Times New Roman"/>
          <w:i/>
          <w:sz w:val="24"/>
          <w:lang w:val="pt-BR"/>
        </w:rPr>
        <w:t>rating</w:t>
      </w:r>
      <w:r w:rsidRPr="003C12AE">
        <w:rPr>
          <w:rFonts w:ascii="Times New Roman" w:hAnsi="Times New Roman"/>
          <w:sz w:val="24"/>
          <w:lang w:val="pt-BR"/>
        </w:rPr>
        <w:t xml:space="preserve"> de crédito da entidade);</w:t>
      </w:r>
    </w:p>
    <w:p w14:paraId="35E2A732" w14:textId="77777777" w:rsidR="003C12AE" w:rsidRPr="003C12AE" w:rsidRDefault="003C12AE" w:rsidP="00F307D5">
      <w:pPr>
        <w:numPr>
          <w:ilvl w:val="1"/>
          <w:numId w:val="24"/>
        </w:numPr>
        <w:tabs>
          <w:tab w:val="clear" w:pos="1455"/>
        </w:tabs>
        <w:spacing w:before="0"/>
        <w:ind w:left="993" w:hanging="284"/>
        <w:rPr>
          <w:rFonts w:ascii="Times New Roman" w:hAnsi="Times New Roman"/>
          <w:sz w:val="24"/>
          <w:lang w:val="pt-BR"/>
        </w:rPr>
      </w:pPr>
      <w:r w:rsidRPr="003C12AE">
        <w:rPr>
          <w:rFonts w:ascii="Times New Roman" w:hAnsi="Times New Roman"/>
          <w:sz w:val="24"/>
          <w:lang w:val="pt-BR"/>
        </w:rPr>
        <w:t>possui instrumentos que podem requerer a colocação de garantias (por exemplo, chamadas de margem em contratos derivativos);</w:t>
      </w:r>
    </w:p>
    <w:p w14:paraId="5335022E" w14:textId="77777777" w:rsidR="003C12AE" w:rsidRPr="003C12AE" w:rsidRDefault="003C12AE" w:rsidP="00F307D5">
      <w:pPr>
        <w:numPr>
          <w:ilvl w:val="1"/>
          <w:numId w:val="24"/>
        </w:numPr>
        <w:tabs>
          <w:tab w:val="clear" w:pos="1455"/>
        </w:tabs>
        <w:spacing w:before="0"/>
        <w:ind w:left="993" w:hanging="284"/>
        <w:rPr>
          <w:rFonts w:ascii="Times New Roman" w:hAnsi="Times New Roman"/>
          <w:sz w:val="24"/>
          <w:lang w:val="pt-BR"/>
        </w:rPr>
      </w:pPr>
      <w:r w:rsidRPr="003C12AE">
        <w:rPr>
          <w:rFonts w:ascii="Times New Roman" w:hAnsi="Times New Roman"/>
          <w:sz w:val="24"/>
          <w:lang w:val="pt-BR"/>
        </w:rPr>
        <w:t>possui instrumentos que permitem à entidade escolher se liquida seus passivos por intermédio da entrega de caixa (ou outro ativo financeiro) ou pela entrega de suas próprias ações; ou</w:t>
      </w:r>
    </w:p>
    <w:p w14:paraId="33A17075" w14:textId="77777777" w:rsidR="003C12AE" w:rsidRPr="003C12AE" w:rsidRDefault="003C12AE" w:rsidP="00F307D5">
      <w:pPr>
        <w:numPr>
          <w:ilvl w:val="1"/>
          <w:numId w:val="24"/>
        </w:numPr>
        <w:tabs>
          <w:tab w:val="clear" w:pos="1455"/>
        </w:tabs>
        <w:spacing w:before="0" w:after="0"/>
        <w:ind w:left="993" w:right="-1" w:hanging="284"/>
        <w:rPr>
          <w:rFonts w:ascii="Times New Roman" w:hAnsi="Times New Roman"/>
          <w:sz w:val="24"/>
          <w:lang w:val="pt-BR"/>
        </w:rPr>
      </w:pPr>
      <w:r w:rsidRPr="003C12AE">
        <w:rPr>
          <w:rFonts w:ascii="Times New Roman" w:hAnsi="Times New Roman"/>
          <w:sz w:val="24"/>
          <w:lang w:val="pt-BR"/>
        </w:rPr>
        <w:t xml:space="preserve">possui instrumentos que são sujeitos a contratos </w:t>
      </w:r>
      <w:r w:rsidRPr="003C12AE">
        <w:rPr>
          <w:rFonts w:ascii="Times New Roman" w:hAnsi="Times New Roman"/>
          <w:i/>
          <w:sz w:val="24"/>
          <w:lang w:val="pt-BR"/>
        </w:rPr>
        <w:t>master</w:t>
      </w:r>
      <w:r w:rsidRPr="003C12AE">
        <w:rPr>
          <w:rFonts w:ascii="Times New Roman" w:hAnsi="Times New Roman"/>
          <w:sz w:val="24"/>
          <w:lang w:val="pt-BR"/>
        </w:rPr>
        <w:t xml:space="preserve"> de liquidação.</w:t>
      </w:r>
    </w:p>
    <w:p w14:paraId="536418DC" w14:textId="77777777" w:rsidR="003C12AE" w:rsidRPr="003C12AE" w:rsidRDefault="003C12AE" w:rsidP="003C12AE">
      <w:pPr>
        <w:spacing w:before="0" w:after="0"/>
        <w:ind w:right="-1"/>
        <w:jc w:val="left"/>
        <w:rPr>
          <w:rFonts w:ascii="Times New Roman" w:hAnsi="Times New Roman"/>
          <w:sz w:val="24"/>
          <w:lang w:val="pt-BR"/>
        </w:rPr>
      </w:pPr>
    </w:p>
    <w:p w14:paraId="421AA064" w14:textId="4816B719" w:rsidR="003C12AE" w:rsidRPr="003C12AE" w:rsidRDefault="003C12AE" w:rsidP="003C12AE">
      <w:pPr>
        <w:widowControl w:val="0"/>
        <w:tabs>
          <w:tab w:val="left" w:pos="6804"/>
        </w:tabs>
        <w:spacing w:before="0" w:after="0"/>
        <w:ind w:left="709" w:right="-1" w:hanging="709"/>
        <w:rPr>
          <w:rFonts w:ascii="Times New Roman" w:hAnsi="Times New Roman"/>
          <w:sz w:val="24"/>
          <w:lang w:val="pt-BR" w:eastAsia="x-none"/>
        </w:rPr>
      </w:pPr>
      <w:r w:rsidRPr="003C12AE">
        <w:rPr>
          <w:rFonts w:ascii="Times New Roman" w:hAnsi="Times New Roman"/>
          <w:sz w:val="24"/>
          <w:lang w:val="pt-BR" w:eastAsia="x-none"/>
        </w:rPr>
        <w:t>B12</w:t>
      </w:r>
      <w:r w:rsidR="00232B93">
        <w:rPr>
          <w:rFonts w:ascii="Times New Roman" w:hAnsi="Times New Roman"/>
          <w:sz w:val="24"/>
          <w:lang w:val="pt-BR" w:eastAsia="x-none"/>
        </w:rPr>
        <w:t>-</w:t>
      </w:r>
      <w:r w:rsidRPr="003C12AE">
        <w:rPr>
          <w:rFonts w:ascii="Times New Roman" w:hAnsi="Times New Roman"/>
          <w:sz w:val="24"/>
          <w:lang w:val="pt-BR" w:eastAsia="x-none"/>
        </w:rPr>
        <w:t xml:space="preserve">B16. </w:t>
      </w:r>
      <w:r w:rsidR="00232B93">
        <w:rPr>
          <w:rFonts w:ascii="Times New Roman" w:hAnsi="Times New Roman"/>
          <w:sz w:val="24"/>
          <w:lang w:val="pt-BR" w:eastAsia="x-none"/>
        </w:rPr>
        <w:t>(</w:t>
      </w:r>
      <w:r w:rsidRPr="003C12AE">
        <w:rPr>
          <w:rFonts w:ascii="Times New Roman" w:hAnsi="Times New Roman"/>
          <w:sz w:val="24"/>
          <w:lang w:val="pt-BR" w:eastAsia="x-none"/>
        </w:rPr>
        <w:t>Eliminados</w:t>
      </w:r>
      <w:r w:rsidR="00232B93">
        <w:rPr>
          <w:rFonts w:ascii="Times New Roman" w:hAnsi="Times New Roman"/>
          <w:sz w:val="24"/>
          <w:lang w:val="pt-BR" w:eastAsia="x-none"/>
        </w:rPr>
        <w:t>)</w:t>
      </w:r>
      <w:r w:rsidRPr="003C12AE">
        <w:rPr>
          <w:rFonts w:ascii="Times New Roman" w:hAnsi="Times New Roman"/>
          <w:sz w:val="24"/>
          <w:lang w:val="pt-BR" w:eastAsia="x-none"/>
        </w:rPr>
        <w:t>.</w:t>
      </w:r>
    </w:p>
    <w:p w14:paraId="1287E875" w14:textId="77777777" w:rsidR="003C12AE" w:rsidRPr="003C12AE" w:rsidRDefault="003C12AE" w:rsidP="003C12AE">
      <w:pPr>
        <w:spacing w:before="0" w:after="0"/>
        <w:ind w:right="-1"/>
        <w:jc w:val="left"/>
        <w:rPr>
          <w:rFonts w:ascii="Times New Roman" w:hAnsi="Times New Roman"/>
          <w:b/>
          <w:sz w:val="24"/>
          <w:lang w:val="pt-BR"/>
        </w:rPr>
      </w:pPr>
    </w:p>
    <w:p w14:paraId="02ED98F7" w14:textId="77777777" w:rsidR="003C12AE" w:rsidRPr="003C12AE" w:rsidRDefault="003C12AE" w:rsidP="003C12AE">
      <w:pPr>
        <w:spacing w:before="0" w:after="0"/>
        <w:ind w:right="-1"/>
        <w:jc w:val="left"/>
        <w:rPr>
          <w:rFonts w:ascii="Times New Roman" w:hAnsi="Times New Roman"/>
          <w:b/>
          <w:sz w:val="24"/>
          <w:lang w:val="pt-BR"/>
        </w:rPr>
      </w:pPr>
      <w:r w:rsidRPr="003C12AE">
        <w:rPr>
          <w:rFonts w:ascii="Times New Roman" w:hAnsi="Times New Roman"/>
          <w:b/>
          <w:sz w:val="24"/>
          <w:lang w:val="pt-BR"/>
        </w:rPr>
        <w:t>Risco de mercado – análise de sensibilidade (itens 40 e 41)</w:t>
      </w:r>
    </w:p>
    <w:p w14:paraId="7011E1A4" w14:textId="77777777" w:rsidR="003C12AE" w:rsidRPr="003C12AE" w:rsidRDefault="003C12AE" w:rsidP="003C12AE">
      <w:pPr>
        <w:spacing w:before="0" w:after="0"/>
        <w:ind w:right="-1"/>
        <w:jc w:val="left"/>
        <w:rPr>
          <w:rFonts w:ascii="Times New Roman" w:hAnsi="Times New Roman"/>
          <w:b/>
          <w:sz w:val="24"/>
          <w:lang w:val="pt-BR"/>
        </w:rPr>
      </w:pPr>
    </w:p>
    <w:p w14:paraId="790A4D55"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B17. </w:t>
      </w:r>
      <w:r w:rsidRPr="003C12AE">
        <w:rPr>
          <w:rFonts w:ascii="Times New Roman" w:hAnsi="Times New Roman"/>
          <w:sz w:val="24"/>
          <w:lang w:val="pt-BR" w:eastAsia="x-none"/>
        </w:rPr>
        <w:tab/>
        <w:t>O item 40(a) requer análise de sensibilidade para cada tipo de risco de mercado para o qual a entidade está exposta. De acordo com o item B3, a entidade decide como agregar informação para evidenciar a posição geral sem combinar informações com diferentes características a respeito de exposições de risco oriundas de ambientes econômicos diferentes. Por exemplo:</w:t>
      </w:r>
    </w:p>
    <w:p w14:paraId="1B45B748" w14:textId="77777777" w:rsidR="003C12AE" w:rsidRPr="003C12AE" w:rsidRDefault="003C12AE" w:rsidP="00F307D5">
      <w:pPr>
        <w:widowControl w:val="0"/>
        <w:numPr>
          <w:ilvl w:val="0"/>
          <w:numId w:val="30"/>
        </w:numPr>
        <w:tabs>
          <w:tab w:val="clear" w:pos="1353"/>
        </w:tabs>
        <w:spacing w:before="0"/>
        <w:ind w:left="993" w:hanging="284"/>
        <w:rPr>
          <w:rFonts w:ascii="Times New Roman" w:hAnsi="Times New Roman"/>
          <w:bCs/>
          <w:iCs/>
          <w:sz w:val="24"/>
          <w:lang w:val="pt-BR"/>
        </w:rPr>
      </w:pPr>
      <w:r w:rsidRPr="003C12AE">
        <w:rPr>
          <w:rFonts w:ascii="Times New Roman" w:hAnsi="Times New Roman"/>
          <w:bCs/>
          <w:iCs/>
          <w:sz w:val="24"/>
          <w:lang w:val="pt-BR"/>
        </w:rPr>
        <w:lastRenderedPageBreak/>
        <w:t>a entidade que negocia instrumentos financeiros pode evidenciar essa informação de forma segregada para os instrumentos mantidos e não mantidos para negociação;</w:t>
      </w:r>
    </w:p>
    <w:p w14:paraId="5C95134E" w14:textId="77777777" w:rsidR="003C12AE" w:rsidRPr="003C12AE" w:rsidRDefault="003C12AE" w:rsidP="00F307D5">
      <w:pPr>
        <w:widowControl w:val="0"/>
        <w:numPr>
          <w:ilvl w:val="0"/>
          <w:numId w:val="30"/>
        </w:numPr>
        <w:tabs>
          <w:tab w:val="clear" w:pos="1353"/>
        </w:tabs>
        <w:spacing w:before="0"/>
        <w:ind w:left="993" w:hanging="284"/>
        <w:rPr>
          <w:rFonts w:ascii="Times New Roman" w:hAnsi="Times New Roman"/>
          <w:bCs/>
          <w:iCs/>
          <w:sz w:val="24"/>
          <w:lang w:val="pt-BR"/>
        </w:rPr>
      </w:pPr>
      <w:r w:rsidRPr="003C12AE">
        <w:rPr>
          <w:rFonts w:ascii="Times New Roman" w:hAnsi="Times New Roman"/>
          <w:bCs/>
          <w:iCs/>
          <w:sz w:val="24"/>
          <w:lang w:val="pt-BR"/>
        </w:rPr>
        <w:t>a entidade não deve agregar sua exposição de risco de mercado de áreas com hiperinflação com sua exposição aos riscos de mercado de áreas de inflação baixa.</w:t>
      </w:r>
    </w:p>
    <w:p w14:paraId="5E12827B"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ab/>
        <w:t>Se a entidade possui exposição a um tipo somente de risco de mercado em um único ambiente econômico ela não deve apresentar informação segregada.</w:t>
      </w:r>
    </w:p>
    <w:p w14:paraId="07249F26"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22FA2EF3"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B18. </w:t>
      </w:r>
      <w:r w:rsidRPr="003C12AE">
        <w:rPr>
          <w:rFonts w:ascii="Times New Roman" w:hAnsi="Times New Roman"/>
          <w:sz w:val="24"/>
          <w:lang w:val="pt-BR" w:eastAsia="x-none"/>
        </w:rPr>
        <w:tab/>
        <w:t xml:space="preserve">O item 40(a) requer que a análise de sensibilidade mostre o efeito no resultado e no patrimônio de mudanças razoáveis possíveis nas variáveis de risco relevantes (taxas de juros de mercado, taxas de câmbio, preços de ações ou preços de </w:t>
      </w:r>
      <w:r w:rsidRPr="003C12AE">
        <w:rPr>
          <w:rFonts w:ascii="Times New Roman" w:hAnsi="Times New Roman"/>
          <w:i/>
          <w:sz w:val="24"/>
          <w:lang w:val="pt-BR" w:eastAsia="x-none"/>
        </w:rPr>
        <w:t>commodities</w:t>
      </w:r>
      <w:r w:rsidRPr="003C12AE">
        <w:rPr>
          <w:rFonts w:ascii="Times New Roman" w:hAnsi="Times New Roman"/>
          <w:sz w:val="24"/>
          <w:lang w:val="pt-BR" w:eastAsia="x-none"/>
        </w:rPr>
        <w:t>). Para essa finalidade:</w:t>
      </w:r>
    </w:p>
    <w:p w14:paraId="72E7F851" w14:textId="77777777" w:rsidR="003C12AE" w:rsidRPr="003C12AE" w:rsidRDefault="003C12AE" w:rsidP="00F307D5">
      <w:pPr>
        <w:widowControl w:val="0"/>
        <w:numPr>
          <w:ilvl w:val="0"/>
          <w:numId w:val="31"/>
        </w:numPr>
        <w:tabs>
          <w:tab w:val="clear" w:pos="1353"/>
        </w:tabs>
        <w:spacing w:before="0"/>
        <w:ind w:left="993" w:hanging="284"/>
        <w:rPr>
          <w:rFonts w:ascii="Times New Roman" w:hAnsi="Times New Roman"/>
          <w:bCs/>
          <w:iCs/>
          <w:sz w:val="24"/>
          <w:lang w:val="pt-BR"/>
        </w:rPr>
      </w:pPr>
      <w:r w:rsidRPr="003C12AE">
        <w:rPr>
          <w:rFonts w:ascii="Times New Roman" w:hAnsi="Times New Roman"/>
          <w:bCs/>
          <w:iCs/>
          <w:sz w:val="24"/>
          <w:lang w:val="pt-BR"/>
        </w:rPr>
        <w:t>as entidades não precisam determinar qual seria o lucro ou prejuízo do período caso as variáveis relevantes fossem diferentes. Ao invés, a entidade evidencia o efeito no resultado e no patrimônio no final do período contábil assumindo que uma mudança razoável possível no fator de risco relevante tenha ocorrido ao final do período e tenha sido aplicada às exposições ao risco no final do período. Por exemplo, se a entidade possui um passivo com taxa pós-fixada no final do período, ela deve evidenciar o efeito no resultado (despesa financeira, por exemplo) para o ano atual se os juros tivessem variado por montantes razoáveis e possíveis;</w:t>
      </w:r>
    </w:p>
    <w:p w14:paraId="482E25AD" w14:textId="77777777" w:rsidR="003C12AE" w:rsidRPr="003C12AE" w:rsidRDefault="003C12AE" w:rsidP="00F307D5">
      <w:pPr>
        <w:widowControl w:val="0"/>
        <w:numPr>
          <w:ilvl w:val="0"/>
          <w:numId w:val="31"/>
        </w:numPr>
        <w:tabs>
          <w:tab w:val="clear" w:pos="1353"/>
        </w:tabs>
        <w:spacing w:before="0" w:after="0"/>
        <w:ind w:left="993" w:right="-1" w:hanging="284"/>
        <w:rPr>
          <w:rFonts w:ascii="Times New Roman" w:hAnsi="Times New Roman"/>
          <w:bCs/>
          <w:iCs/>
          <w:sz w:val="24"/>
          <w:lang w:val="pt-BR"/>
        </w:rPr>
      </w:pPr>
      <w:r w:rsidRPr="003C12AE">
        <w:rPr>
          <w:rFonts w:ascii="Times New Roman" w:hAnsi="Times New Roman"/>
          <w:bCs/>
          <w:iCs/>
          <w:sz w:val="24"/>
          <w:lang w:val="pt-BR"/>
        </w:rPr>
        <w:t>a entidade não é requerida a apresentar o efeito no resultado e no patrimônio para cada variação dentro de faixa razoável da variável relevante de risco. Evidenciação do efeito das variações no limite da faixa de variável relevante de risco considerada seria suficiente.</w:t>
      </w:r>
    </w:p>
    <w:p w14:paraId="2D682734"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0FB4C910" w14:textId="77777777" w:rsidR="003C12AE" w:rsidRPr="003C12AE" w:rsidRDefault="003C12AE" w:rsidP="003C12AE">
      <w:pPr>
        <w:widowControl w:val="0"/>
        <w:tabs>
          <w:tab w:val="left" w:pos="6804"/>
        </w:tabs>
        <w:spacing w:before="0"/>
        <w:ind w:left="567" w:hanging="567"/>
        <w:rPr>
          <w:rFonts w:ascii="Times New Roman" w:hAnsi="Times New Roman"/>
          <w:sz w:val="24"/>
          <w:lang w:val="pt-BR" w:eastAsia="x-none"/>
        </w:rPr>
      </w:pPr>
      <w:r w:rsidRPr="003C12AE">
        <w:rPr>
          <w:rFonts w:ascii="Times New Roman" w:hAnsi="Times New Roman"/>
          <w:sz w:val="24"/>
          <w:lang w:val="pt-BR" w:eastAsia="x-none"/>
        </w:rPr>
        <w:t xml:space="preserve">B19. </w:t>
      </w:r>
      <w:r w:rsidRPr="003C12AE">
        <w:rPr>
          <w:rFonts w:ascii="Times New Roman" w:hAnsi="Times New Roman"/>
          <w:sz w:val="24"/>
          <w:lang w:val="pt-BR" w:eastAsia="x-none"/>
        </w:rPr>
        <w:tab/>
        <w:t>Ao determinar qual a mudança relevante possível na variável de risco relevante, a entidade deve considerar:</w:t>
      </w:r>
    </w:p>
    <w:p w14:paraId="2592361E" w14:textId="77777777" w:rsidR="003C12AE" w:rsidRPr="003C12AE" w:rsidRDefault="003C12AE" w:rsidP="00F307D5">
      <w:pPr>
        <w:widowControl w:val="0"/>
        <w:numPr>
          <w:ilvl w:val="0"/>
          <w:numId w:val="32"/>
        </w:numPr>
        <w:tabs>
          <w:tab w:val="clear" w:pos="1353"/>
        </w:tabs>
        <w:spacing w:before="0"/>
        <w:ind w:left="993" w:hanging="284"/>
        <w:rPr>
          <w:rFonts w:ascii="Times New Roman" w:hAnsi="Times New Roman"/>
          <w:bCs/>
          <w:iCs/>
          <w:sz w:val="24"/>
          <w:lang w:val="pt-BR"/>
        </w:rPr>
      </w:pPr>
      <w:r w:rsidRPr="003C12AE">
        <w:rPr>
          <w:rFonts w:ascii="Times New Roman" w:hAnsi="Times New Roman"/>
          <w:bCs/>
          <w:iCs/>
          <w:sz w:val="24"/>
          <w:lang w:val="pt-BR"/>
        </w:rPr>
        <w:t xml:space="preserve">o ambiente econômico no qual ela opera. Uma variação relevante possível não deve incluir cenários remotos ou “pior cenário” ou “teste de </w:t>
      </w:r>
      <w:r w:rsidRPr="003C12AE">
        <w:rPr>
          <w:rFonts w:ascii="Times New Roman" w:hAnsi="Times New Roman"/>
          <w:bCs/>
          <w:i/>
          <w:iCs/>
          <w:sz w:val="24"/>
          <w:lang w:val="pt-BR"/>
        </w:rPr>
        <w:t>stress</w:t>
      </w:r>
      <w:r w:rsidRPr="003C12AE">
        <w:rPr>
          <w:rFonts w:ascii="Times New Roman" w:hAnsi="Times New Roman"/>
          <w:bCs/>
          <w:iCs/>
          <w:sz w:val="24"/>
          <w:lang w:val="pt-BR"/>
        </w:rPr>
        <w:t>”. Da mesma forma, se a mudança de taxa na variável é estável, a entidade não precisa alterar a faixa razoável de variação na variável de risco. Por exemplo, assuma-se que a taxa de juros é de 5% e que a entidade determinou que a variação de +/- 50 pontos-base é razoavelmente possível. Ela deve evidenciar o efeito no resultado e no patrimônio se as taxas de juros mudassem para 4,5% ou 5,5%. No próximo período as taxas de juros aumentaram para 5,5%. A entidade continua acreditando que as taxas podem flutuar em +/- 50 pontos-base (a taxa de variação permanece estável). A entidade deve evidenciar o efeito no resultado e no patrimônio como se as taxas fossem de 5% e 6%. A entidade não precisa revisar sua estimativa de que a mudança razoável que pode ocorrer na taxa é de +/-50 pontos-base, a menos que exista evidência de que as taxas de juros se tornaram mais voláteis;</w:t>
      </w:r>
    </w:p>
    <w:p w14:paraId="7532E56D" w14:textId="77777777" w:rsidR="003C12AE" w:rsidRPr="003C12AE" w:rsidRDefault="003C12AE" w:rsidP="00F307D5">
      <w:pPr>
        <w:widowControl w:val="0"/>
        <w:numPr>
          <w:ilvl w:val="0"/>
          <w:numId w:val="32"/>
        </w:numPr>
        <w:tabs>
          <w:tab w:val="clear" w:pos="1353"/>
        </w:tabs>
        <w:spacing w:before="0" w:after="0"/>
        <w:ind w:left="993" w:right="-1" w:hanging="284"/>
        <w:rPr>
          <w:rFonts w:ascii="Times New Roman" w:hAnsi="Times New Roman"/>
          <w:bCs/>
          <w:iCs/>
          <w:sz w:val="24"/>
          <w:lang w:val="pt-BR"/>
        </w:rPr>
      </w:pPr>
      <w:r w:rsidRPr="003C12AE">
        <w:rPr>
          <w:rFonts w:ascii="Times New Roman" w:hAnsi="Times New Roman"/>
          <w:bCs/>
          <w:iCs/>
          <w:sz w:val="24"/>
          <w:lang w:val="pt-BR"/>
        </w:rPr>
        <w:t>o período de tempo sobre o qual a entidade está fazendo sua avaliação. A análise de sensibilidade deve mostrar os efeitos de mudanças que são consideradas razoavelmente possíveis no período até quando a entidade irá apresentar suas próximas evidenciações, que é normalmente o próximo relatório anual.</w:t>
      </w:r>
    </w:p>
    <w:p w14:paraId="3C988035" w14:textId="77777777" w:rsidR="003C12AE" w:rsidRPr="003C12AE" w:rsidRDefault="003C12AE" w:rsidP="003C12AE">
      <w:pPr>
        <w:spacing w:before="0" w:after="0"/>
        <w:ind w:right="-1"/>
        <w:jc w:val="left"/>
        <w:rPr>
          <w:rFonts w:ascii="Times New Roman" w:hAnsi="Times New Roman"/>
          <w:sz w:val="24"/>
          <w:lang w:val="pt-BR"/>
        </w:rPr>
      </w:pPr>
    </w:p>
    <w:p w14:paraId="417B439A"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B20. </w:t>
      </w:r>
      <w:r w:rsidRPr="003C12AE">
        <w:rPr>
          <w:rFonts w:ascii="Times New Roman" w:hAnsi="Times New Roman"/>
          <w:sz w:val="24"/>
          <w:lang w:val="pt-BR" w:eastAsia="x-none"/>
        </w:rPr>
        <w:tab/>
        <w:t xml:space="preserve">O item 41 permite que a entidade utilize a análise de sensibilidade que reflita a correlação entre as variáveis de risco como uma metodologia de valor em risco se ela usa essa análise para gerenciar sua </w:t>
      </w:r>
      <w:r w:rsidRPr="003C12AE">
        <w:rPr>
          <w:rFonts w:ascii="Times New Roman" w:hAnsi="Times New Roman"/>
          <w:sz w:val="24"/>
          <w:lang w:val="pt-BR" w:eastAsia="x-none"/>
        </w:rPr>
        <w:lastRenderedPageBreak/>
        <w:t>exposição a riscos financeiros. Isso se aplica mesmo se essa metodologia mensura somente o potencial para perdas e não para ganhos. A entidade pode atender ao item 41(a) evidenciando o tipo de modelo de valor em risco utilizado (se o modelo é baseado em simulações de Monte Carlo, por exemplo) e explicando como o modelo funciona e as premissas fundamentais (o período de manutenção e o nível de confiança). A entidade pode também evidenciar o período de observação histórica e os pesos aplicados às observações dentro desse período, uma explicação de como as opções são tratadas nos cálculos e como as volatilidades e as correlações (ou alternativamente as simulações com distribuições de probabilidade de Monte Carlo) são usadas.</w:t>
      </w:r>
    </w:p>
    <w:p w14:paraId="30DD3653"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3179DDA7"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B21. </w:t>
      </w:r>
      <w:r w:rsidRPr="003C12AE">
        <w:rPr>
          <w:rFonts w:ascii="Times New Roman" w:hAnsi="Times New Roman"/>
          <w:sz w:val="24"/>
          <w:lang w:val="pt-BR" w:eastAsia="x-none"/>
        </w:rPr>
        <w:tab/>
        <w:t>A entidade deve fornecer análise de sensibilidade para todo o seu negócio, mas pode fornecer análise de sensibilidade diferente para diferentes classes de instrumentos financeiros.</w:t>
      </w:r>
    </w:p>
    <w:p w14:paraId="2B391ECB"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495F2464" w14:textId="77777777" w:rsidR="003C12AE" w:rsidRPr="003C12AE" w:rsidRDefault="003C12AE" w:rsidP="003C12AE">
      <w:pPr>
        <w:spacing w:before="0" w:after="0"/>
        <w:ind w:right="-1"/>
        <w:jc w:val="left"/>
        <w:rPr>
          <w:rFonts w:ascii="Times New Roman" w:hAnsi="Times New Roman"/>
          <w:b/>
          <w:sz w:val="24"/>
          <w:lang w:val="pt-BR"/>
        </w:rPr>
      </w:pPr>
      <w:r w:rsidRPr="003C12AE">
        <w:rPr>
          <w:rFonts w:ascii="Times New Roman" w:hAnsi="Times New Roman"/>
          <w:b/>
          <w:sz w:val="24"/>
          <w:lang w:val="pt-BR"/>
        </w:rPr>
        <w:t>Risco de taxa de juros</w:t>
      </w:r>
    </w:p>
    <w:p w14:paraId="6203F794" w14:textId="77777777" w:rsidR="003C12AE" w:rsidRPr="003C12AE" w:rsidRDefault="003C12AE" w:rsidP="003C12AE">
      <w:pPr>
        <w:spacing w:before="0" w:after="0"/>
        <w:ind w:right="-1"/>
        <w:jc w:val="left"/>
        <w:rPr>
          <w:rFonts w:ascii="Times New Roman" w:hAnsi="Times New Roman"/>
          <w:bCs/>
          <w:sz w:val="24"/>
          <w:lang w:val="pt-BR"/>
        </w:rPr>
      </w:pPr>
    </w:p>
    <w:p w14:paraId="22FF7ABD" w14:textId="0E2A2F1A" w:rsidR="003C12AE" w:rsidRPr="003C12AE" w:rsidRDefault="003C12AE" w:rsidP="003C12AE">
      <w:pPr>
        <w:spacing w:before="0" w:after="0"/>
        <w:ind w:left="567" w:hanging="567"/>
        <w:rPr>
          <w:rFonts w:ascii="Times New Roman" w:hAnsi="Times New Roman"/>
          <w:sz w:val="24"/>
          <w:lang w:val="pt-BR"/>
        </w:rPr>
      </w:pPr>
      <w:r w:rsidRPr="003C12AE">
        <w:rPr>
          <w:rFonts w:ascii="Times New Roman" w:hAnsi="Times New Roman"/>
          <w:sz w:val="24"/>
          <w:lang w:val="pt-BR"/>
        </w:rPr>
        <w:t xml:space="preserve">B22. </w:t>
      </w:r>
      <w:r w:rsidRPr="003C12AE">
        <w:rPr>
          <w:rFonts w:ascii="Times New Roman" w:hAnsi="Times New Roman"/>
          <w:sz w:val="24"/>
          <w:lang w:val="pt-BR"/>
        </w:rPr>
        <w:tab/>
        <w:t>Riscos de taxas de juros surgem em instrumentos de renda fixa reconhecidos no balanço patrimonial (por exemplo, instrumentos de dívida adquiridos ou emitidos) e em alguns instrumentos financeiros não reconhecidos no balanço patrimonial (compromissos de empréstimos, por exemplo).</w:t>
      </w:r>
    </w:p>
    <w:p w14:paraId="3E145FDB" w14:textId="77777777" w:rsidR="003C12AE" w:rsidRPr="003C12AE" w:rsidRDefault="003C12AE" w:rsidP="003C12AE">
      <w:pPr>
        <w:spacing w:before="0" w:after="0"/>
        <w:ind w:right="-1"/>
        <w:jc w:val="left"/>
        <w:rPr>
          <w:rFonts w:ascii="Times New Roman" w:hAnsi="Times New Roman"/>
          <w:b/>
          <w:sz w:val="24"/>
          <w:lang w:val="pt-BR"/>
        </w:rPr>
      </w:pPr>
    </w:p>
    <w:p w14:paraId="2EAE1B11" w14:textId="77777777" w:rsidR="003C12AE" w:rsidRPr="003C12AE" w:rsidRDefault="003C12AE" w:rsidP="003C12AE">
      <w:pPr>
        <w:spacing w:before="0" w:after="0"/>
        <w:ind w:right="-1"/>
        <w:jc w:val="left"/>
        <w:rPr>
          <w:rFonts w:ascii="Times New Roman" w:hAnsi="Times New Roman"/>
          <w:b/>
          <w:sz w:val="24"/>
          <w:lang w:val="pt-BR"/>
        </w:rPr>
      </w:pPr>
      <w:r w:rsidRPr="003C12AE">
        <w:rPr>
          <w:rFonts w:ascii="Times New Roman" w:hAnsi="Times New Roman"/>
          <w:b/>
          <w:sz w:val="24"/>
          <w:lang w:val="pt-BR"/>
        </w:rPr>
        <w:t>Risco de câmbio</w:t>
      </w:r>
    </w:p>
    <w:p w14:paraId="68513217" w14:textId="77777777" w:rsidR="003C12AE" w:rsidRPr="003C12AE" w:rsidRDefault="003C12AE" w:rsidP="003C12AE">
      <w:pPr>
        <w:spacing w:before="0" w:after="0"/>
        <w:ind w:right="-1"/>
        <w:jc w:val="left"/>
        <w:rPr>
          <w:rFonts w:ascii="Times New Roman" w:hAnsi="Times New Roman"/>
          <w:b/>
          <w:sz w:val="24"/>
          <w:lang w:val="pt-BR"/>
        </w:rPr>
      </w:pPr>
    </w:p>
    <w:p w14:paraId="0DFB912C"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B23. </w:t>
      </w:r>
      <w:r w:rsidRPr="003C12AE">
        <w:rPr>
          <w:rFonts w:ascii="Times New Roman" w:hAnsi="Times New Roman"/>
          <w:sz w:val="24"/>
          <w:lang w:val="pt-BR" w:eastAsia="x-none"/>
        </w:rPr>
        <w:tab/>
        <w:t>Risco de câmbio (ou risco de moeda estrangeira) surge em instrumentos financeiros que são denominados em moeda estrangeira, uma moeda diferente da moeda funcional da entidade na qual eles são mensurados. Para os objetivos deste Pronunciamento, risco de câmbio não surge de instrumentos financeiros que não são itens monetários ou de instrumentos financeiros denominados na moeda funcional da entidade.</w:t>
      </w:r>
    </w:p>
    <w:p w14:paraId="06FCFF48"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32DA2CC6"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B24. </w:t>
      </w:r>
      <w:r w:rsidRPr="003C12AE">
        <w:rPr>
          <w:rFonts w:ascii="Times New Roman" w:hAnsi="Times New Roman"/>
          <w:sz w:val="24"/>
          <w:lang w:val="pt-BR" w:eastAsia="x-none"/>
        </w:rPr>
        <w:tab/>
        <w:t>A análise de sensibilidade deve ser evidenciada para cada moeda na qual a entidade possui exposição significativa.</w:t>
      </w:r>
    </w:p>
    <w:p w14:paraId="76F46392" w14:textId="77777777" w:rsidR="003C12AE" w:rsidRPr="003C12AE" w:rsidRDefault="003C12AE" w:rsidP="003C12AE">
      <w:pPr>
        <w:spacing w:before="0" w:after="0"/>
        <w:ind w:right="-1"/>
        <w:jc w:val="left"/>
        <w:rPr>
          <w:rFonts w:ascii="Times New Roman" w:hAnsi="Times New Roman"/>
          <w:sz w:val="24"/>
          <w:lang w:val="pt-BR"/>
        </w:rPr>
      </w:pPr>
    </w:p>
    <w:p w14:paraId="189CC85C" w14:textId="77777777" w:rsidR="003C12AE" w:rsidRPr="003C12AE" w:rsidRDefault="003C12AE" w:rsidP="003C12AE">
      <w:pPr>
        <w:spacing w:before="0" w:after="0"/>
        <w:ind w:right="-1"/>
        <w:jc w:val="left"/>
        <w:rPr>
          <w:rFonts w:ascii="Times New Roman" w:hAnsi="Times New Roman"/>
          <w:b/>
          <w:sz w:val="24"/>
          <w:lang w:val="pt-BR"/>
        </w:rPr>
      </w:pPr>
      <w:r w:rsidRPr="003C12AE">
        <w:rPr>
          <w:rFonts w:ascii="Times New Roman" w:hAnsi="Times New Roman"/>
          <w:b/>
          <w:sz w:val="24"/>
          <w:lang w:val="pt-BR"/>
        </w:rPr>
        <w:t>Outros riscos de preço</w:t>
      </w:r>
    </w:p>
    <w:p w14:paraId="51BF2FB0" w14:textId="77777777" w:rsidR="003C12AE" w:rsidRPr="003C12AE" w:rsidRDefault="003C12AE" w:rsidP="003C12AE">
      <w:pPr>
        <w:spacing w:before="0" w:after="0"/>
        <w:ind w:right="-1"/>
        <w:jc w:val="left"/>
        <w:rPr>
          <w:rFonts w:ascii="Times New Roman" w:hAnsi="Times New Roman"/>
          <w:sz w:val="24"/>
          <w:lang w:val="pt-BR"/>
        </w:rPr>
      </w:pPr>
    </w:p>
    <w:p w14:paraId="2E954A9B"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B25. </w:t>
      </w:r>
      <w:r w:rsidRPr="003C12AE">
        <w:rPr>
          <w:rFonts w:ascii="Times New Roman" w:hAnsi="Times New Roman"/>
          <w:sz w:val="24"/>
          <w:lang w:val="pt-BR" w:eastAsia="x-none"/>
        </w:rPr>
        <w:tab/>
        <w:t xml:space="preserve">Outros riscos de preço surgem em instrumentos financeiros devido a mudanças em preços de </w:t>
      </w:r>
      <w:r w:rsidRPr="003C12AE">
        <w:rPr>
          <w:rFonts w:ascii="Times New Roman" w:hAnsi="Times New Roman"/>
          <w:i/>
          <w:sz w:val="24"/>
          <w:lang w:val="pt-BR" w:eastAsia="x-none"/>
        </w:rPr>
        <w:t>commodities</w:t>
      </w:r>
      <w:r w:rsidRPr="003C12AE">
        <w:rPr>
          <w:rFonts w:ascii="Times New Roman" w:hAnsi="Times New Roman"/>
          <w:sz w:val="24"/>
          <w:lang w:val="pt-BR" w:eastAsia="x-none"/>
        </w:rPr>
        <w:t xml:space="preserve"> ou preços de ações, por exemplo. Para atender ao item 40, a entidade deve evidenciar o efeito da redução em índice específico de mercado, preço de </w:t>
      </w:r>
      <w:r w:rsidRPr="003C12AE">
        <w:rPr>
          <w:rFonts w:ascii="Times New Roman" w:hAnsi="Times New Roman"/>
          <w:i/>
          <w:sz w:val="24"/>
          <w:lang w:val="pt-BR" w:eastAsia="x-none"/>
        </w:rPr>
        <w:t>commodity</w:t>
      </w:r>
      <w:r w:rsidRPr="003C12AE">
        <w:rPr>
          <w:rFonts w:ascii="Times New Roman" w:hAnsi="Times New Roman"/>
          <w:sz w:val="24"/>
          <w:lang w:val="pt-BR" w:eastAsia="x-none"/>
        </w:rPr>
        <w:t>, ou outra variável de risco. Por exemplo, se a entidade dá garantias residuais que são instrumentos financeiros, ela evidencia o aumento ou a redução no valor dos ativos aos quais a garantia se aplica.</w:t>
      </w:r>
    </w:p>
    <w:p w14:paraId="305BE3B7"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503BC14A"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B26. </w:t>
      </w:r>
      <w:r w:rsidRPr="003C12AE">
        <w:rPr>
          <w:rFonts w:ascii="Times New Roman" w:hAnsi="Times New Roman"/>
          <w:sz w:val="24"/>
          <w:lang w:val="pt-BR" w:eastAsia="x-none"/>
        </w:rPr>
        <w:tab/>
        <w:t xml:space="preserve">Dois exemplos de instrumentos financeiros que originam risco de preço são (a) possuir ações em outra entidade e (b) investimento em fundo truste que por sua vez mantém investimentos em outras ações. Outros exemplos incluem contratos a termo e opções de comprar ou vender quantidades especificadas de ação e </w:t>
      </w:r>
      <w:r w:rsidRPr="003C12AE">
        <w:rPr>
          <w:rFonts w:ascii="Times New Roman" w:hAnsi="Times New Roman"/>
          <w:i/>
          <w:sz w:val="24"/>
          <w:lang w:val="pt-BR" w:eastAsia="x-none"/>
        </w:rPr>
        <w:t>swaps</w:t>
      </w:r>
      <w:r w:rsidRPr="003C12AE">
        <w:rPr>
          <w:rFonts w:ascii="Times New Roman" w:hAnsi="Times New Roman"/>
          <w:sz w:val="24"/>
          <w:lang w:val="pt-BR" w:eastAsia="x-none"/>
        </w:rPr>
        <w:t xml:space="preserve"> que estão indexados a preços de ações. O valor justo desses instrumentos é afetado pelas mudanças nos preços de mercado das ações subjacentes.</w:t>
      </w:r>
    </w:p>
    <w:p w14:paraId="1F731D9C" w14:textId="77777777" w:rsidR="003C12AE" w:rsidRPr="003C12AE" w:rsidRDefault="003C12AE" w:rsidP="003C12AE">
      <w:pPr>
        <w:spacing w:before="0" w:after="0"/>
        <w:ind w:right="-1"/>
        <w:jc w:val="left"/>
        <w:rPr>
          <w:rFonts w:ascii="Times New Roman" w:hAnsi="Times New Roman"/>
          <w:sz w:val="24"/>
          <w:lang w:val="pt-BR"/>
        </w:rPr>
      </w:pPr>
    </w:p>
    <w:p w14:paraId="0CD27334" w14:textId="035DB78A"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lastRenderedPageBreak/>
        <w:t xml:space="preserve">B27. </w:t>
      </w:r>
      <w:r w:rsidRPr="003C12AE">
        <w:rPr>
          <w:rFonts w:ascii="Times New Roman" w:hAnsi="Times New Roman"/>
          <w:sz w:val="24"/>
          <w:lang w:val="pt-BR" w:eastAsia="x-none"/>
        </w:rPr>
        <w:tab/>
        <w:t>De acordo com o item 40(a), a sensibilidade do resultado (que surge, por exemplo, de instrumentos mensurados ao valor justo por meio do resultado) é evidenciada separadamente da sensibilidade de outros resultados abrangentes (que surgem, por exemplo, de investimentos em instrumentos patrimoniais cujas alterações no valor justo são apresentadas em outros resultados abrangentes).</w:t>
      </w:r>
    </w:p>
    <w:p w14:paraId="009A4BF7"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p>
    <w:p w14:paraId="3A60ED71" w14:textId="77777777" w:rsidR="003C12AE" w:rsidRPr="003C12AE" w:rsidRDefault="003C12AE" w:rsidP="003C12AE">
      <w:pPr>
        <w:widowControl w:val="0"/>
        <w:tabs>
          <w:tab w:val="left" w:pos="6804"/>
        </w:tabs>
        <w:spacing w:before="0" w:after="0"/>
        <w:ind w:left="567" w:right="-1" w:hanging="567"/>
        <w:rPr>
          <w:rFonts w:ascii="Times New Roman" w:hAnsi="Times New Roman"/>
          <w:sz w:val="24"/>
          <w:lang w:val="pt-BR" w:eastAsia="x-none"/>
        </w:rPr>
      </w:pPr>
      <w:r w:rsidRPr="003C12AE">
        <w:rPr>
          <w:rFonts w:ascii="Times New Roman" w:hAnsi="Times New Roman"/>
          <w:sz w:val="24"/>
          <w:lang w:val="pt-BR" w:eastAsia="x-none"/>
        </w:rPr>
        <w:t>B28.</w:t>
      </w:r>
      <w:r w:rsidRPr="003C12AE">
        <w:rPr>
          <w:rFonts w:ascii="Times New Roman" w:hAnsi="Times New Roman"/>
          <w:sz w:val="24"/>
          <w:lang w:val="pt-BR" w:eastAsia="x-none"/>
        </w:rPr>
        <w:tab/>
        <w:t>Instrumentos financeiros que a entidade classifica como patrimoniais não devem ser remensurados. Nem o resultado nem o patrimônio são afetados pelo risco de preço desses instrumentos. Dessa forma, não é necessária análise de sensibilidade.</w:t>
      </w:r>
    </w:p>
    <w:p w14:paraId="3381D00F" w14:textId="77777777" w:rsidR="003C12AE" w:rsidRPr="003C12AE" w:rsidRDefault="003C12AE" w:rsidP="003C12AE">
      <w:pPr>
        <w:widowControl w:val="0"/>
        <w:tabs>
          <w:tab w:val="left" w:pos="6804"/>
        </w:tabs>
        <w:spacing w:before="0" w:after="0"/>
        <w:ind w:left="709" w:right="-1" w:hanging="709"/>
        <w:rPr>
          <w:rFonts w:ascii="Times New Roman" w:hAnsi="Times New Roman"/>
          <w:sz w:val="24"/>
          <w:lang w:val="pt-BR" w:eastAsia="x-none"/>
        </w:rPr>
      </w:pPr>
    </w:p>
    <w:p w14:paraId="1617A3BF" w14:textId="77777777" w:rsidR="003C12AE" w:rsidRPr="003C12AE" w:rsidRDefault="003C12AE" w:rsidP="003C12AE">
      <w:pPr>
        <w:spacing w:before="0" w:after="0"/>
        <w:ind w:left="567" w:right="-1"/>
        <w:rPr>
          <w:rFonts w:ascii="Times New Roman" w:hAnsi="Times New Roman"/>
          <w:sz w:val="24"/>
          <w:lang w:val="pt-BR"/>
        </w:rPr>
      </w:pPr>
      <w:r w:rsidRPr="003C12AE">
        <w:rPr>
          <w:rFonts w:ascii="Times New Roman" w:hAnsi="Times New Roman"/>
          <w:sz w:val="24"/>
          <w:lang w:val="pt-BR"/>
        </w:rPr>
        <w:t xml:space="preserve">Desreconhecimento (itens 42C a 42H)  </w:t>
      </w:r>
    </w:p>
    <w:p w14:paraId="23F19720" w14:textId="77777777" w:rsidR="003C12AE" w:rsidRPr="003C12AE" w:rsidRDefault="003C12AE" w:rsidP="003C12AE">
      <w:pPr>
        <w:spacing w:before="0" w:after="0"/>
        <w:ind w:left="709" w:right="-1"/>
        <w:jc w:val="left"/>
        <w:rPr>
          <w:rFonts w:ascii="Times New Roman" w:hAnsi="Times New Roman"/>
          <w:sz w:val="24"/>
          <w:lang w:val="pt-BR"/>
        </w:rPr>
      </w:pPr>
    </w:p>
    <w:p w14:paraId="063F7E12" w14:textId="77777777" w:rsidR="003C12AE" w:rsidRPr="003C12AE" w:rsidRDefault="003C12AE" w:rsidP="003C12AE">
      <w:pPr>
        <w:spacing w:before="0" w:after="0"/>
        <w:ind w:left="567" w:right="-1"/>
        <w:rPr>
          <w:rFonts w:ascii="Times New Roman" w:hAnsi="Times New Roman"/>
          <w:sz w:val="24"/>
          <w:lang w:val="pt-BR"/>
        </w:rPr>
      </w:pPr>
      <w:bookmarkStart w:id="6" w:name="ifrs_ebook_55"/>
      <w:bookmarkEnd w:id="6"/>
      <w:r w:rsidRPr="003C12AE">
        <w:rPr>
          <w:rFonts w:ascii="Times New Roman" w:hAnsi="Times New Roman"/>
          <w:sz w:val="24"/>
          <w:lang w:val="pt-BR"/>
        </w:rPr>
        <w:t xml:space="preserve">Envolvimento contínuo (item 42C) </w:t>
      </w:r>
    </w:p>
    <w:p w14:paraId="4CD42B0A" w14:textId="77777777" w:rsidR="003C12AE" w:rsidRPr="003C12AE" w:rsidRDefault="003C12AE" w:rsidP="003C12AE">
      <w:pPr>
        <w:spacing w:before="0" w:after="0"/>
        <w:ind w:left="709" w:right="-1"/>
        <w:jc w:val="left"/>
        <w:rPr>
          <w:rFonts w:ascii="Times New Roman" w:hAnsi="Times New Roman"/>
          <w:sz w:val="24"/>
          <w:lang w:val="pt-BR"/>
        </w:rPr>
      </w:pPr>
    </w:p>
    <w:p w14:paraId="028408CF" w14:textId="77777777" w:rsidR="003C12AE" w:rsidRPr="003C12AE" w:rsidRDefault="003C12AE" w:rsidP="003C12AE">
      <w:pPr>
        <w:widowControl w:val="0"/>
        <w:tabs>
          <w:tab w:val="left" w:pos="6804"/>
        </w:tabs>
        <w:spacing w:before="0" w:after="0"/>
        <w:ind w:left="567" w:right="-1" w:hanging="567"/>
        <w:rPr>
          <w:rFonts w:ascii="Times New Roman" w:hAnsi="Times New Roman"/>
          <w:sz w:val="24"/>
        </w:rPr>
      </w:pPr>
      <w:r w:rsidRPr="003C12AE">
        <w:rPr>
          <w:rFonts w:ascii="Times New Roman" w:hAnsi="Times New Roman"/>
          <w:sz w:val="24"/>
        </w:rPr>
        <w:t xml:space="preserve">B29. </w:t>
      </w:r>
      <w:r w:rsidRPr="003C12AE">
        <w:rPr>
          <w:rFonts w:ascii="Times New Roman" w:hAnsi="Times New Roman"/>
          <w:sz w:val="24"/>
        </w:rPr>
        <w:tab/>
        <w:t xml:space="preserve">A avaliação de envolvimento contínuo em ativo financeiro transferido para o propósito de divulgação previstos nos itens 42E a 42H é realizada no nível da entidade que está apresentando as demonstrações contábeis [entidade que reporta]. Por exemplo, se uma controlada transfere para um terceiro não relacionado um ativo financeiro em que a controladora da controlada tem envolvimento contínuo nesse ativo transferido, a controlada não inclui o envolvimento contínuo da controladora na avaliação de se ela tem envolvimento contínuo no ativo transferido em suas demonstrações contábeis individuais (ou seja, quando a controlada é a entidade que reporta). Contudo, a controladora deve incluir seu envolvimento contínuo (ou aquele de outra entidade do grupo) em ativo financeiro transferido por sua controlada ao determinar se ela tem envolvimento contínuo no ativo transferido em suas demonstrações contábeis consolidadas (ou seja, quando a entidade que reporta é o grupo). </w:t>
      </w:r>
    </w:p>
    <w:p w14:paraId="1E52AF70" w14:textId="77777777" w:rsidR="003C12AE" w:rsidRPr="003C12AE" w:rsidRDefault="003C12AE" w:rsidP="003C12AE">
      <w:pPr>
        <w:spacing w:before="0" w:after="0"/>
        <w:ind w:left="709" w:right="-1" w:hanging="709"/>
        <w:rPr>
          <w:rFonts w:ascii="Times New Roman" w:hAnsi="Times New Roman"/>
          <w:sz w:val="24"/>
          <w:lang w:val="pt-BR"/>
        </w:rPr>
      </w:pPr>
    </w:p>
    <w:p w14:paraId="1314B739" w14:textId="3D56DA5C" w:rsidR="003C12AE" w:rsidRPr="003C12AE" w:rsidRDefault="003C12AE" w:rsidP="003C12AE">
      <w:pPr>
        <w:widowControl w:val="0"/>
        <w:tabs>
          <w:tab w:val="left" w:pos="6804"/>
        </w:tabs>
        <w:spacing w:before="0" w:after="0"/>
        <w:ind w:left="567" w:right="-1" w:hanging="567"/>
        <w:rPr>
          <w:rFonts w:ascii="Times New Roman" w:hAnsi="Times New Roman"/>
          <w:sz w:val="24"/>
        </w:rPr>
      </w:pPr>
      <w:r w:rsidRPr="003C12AE">
        <w:rPr>
          <w:rFonts w:ascii="Times New Roman" w:hAnsi="Times New Roman"/>
          <w:sz w:val="24"/>
        </w:rPr>
        <w:t>B30. A entidade não tem envolvimento contínuo em ativo financeiro transferido se, como parte da transferência, ela não retém quaisquer dos direitos ou obrigações contratuais inerentes ao ativo financeiro transferido nem adquire quaisquer novos direitos ou obrigações contratuais relativos ao ativo financeiro transferido. A entidade não tem envolvimento contínuo em ativo financeiro transferido se ela não tiver participação no desempenho futuro do ativo financeiro transferido nem responsabilidade sob quaisquer circunstâncias de, no futuro, efetuar pagamentos relativos ao ativo financeiro transferido. O termo "pagamento", nesse contexto, não inclui fluxos de caixa do ativo financeiro transferido que a entidade recebe e é obrigada a remeter para o cessionário.</w:t>
      </w:r>
    </w:p>
    <w:p w14:paraId="1CC5CF10" w14:textId="77777777" w:rsidR="003C12AE" w:rsidRPr="003C12AE" w:rsidRDefault="003C12AE" w:rsidP="003C12AE">
      <w:pPr>
        <w:spacing w:before="0" w:after="0"/>
        <w:ind w:left="709" w:right="-1" w:hanging="709"/>
        <w:rPr>
          <w:rFonts w:ascii="Times New Roman" w:hAnsi="Times New Roman"/>
          <w:sz w:val="24"/>
        </w:rPr>
      </w:pPr>
    </w:p>
    <w:p w14:paraId="6BA56BFB" w14:textId="4803E239" w:rsidR="003C12AE" w:rsidRPr="003C12AE" w:rsidRDefault="003C12AE" w:rsidP="003C12AE">
      <w:pPr>
        <w:spacing w:before="0" w:after="0"/>
        <w:ind w:left="567" w:hanging="567"/>
        <w:rPr>
          <w:rFonts w:ascii="Times New Roman" w:hAnsi="Times New Roman"/>
          <w:sz w:val="24"/>
          <w:lang w:val="pt-BR"/>
        </w:rPr>
      </w:pPr>
      <w:r w:rsidRPr="003C12AE">
        <w:rPr>
          <w:rFonts w:ascii="Times New Roman" w:hAnsi="Times New Roman"/>
          <w:sz w:val="24"/>
          <w:lang w:val="pt-BR"/>
        </w:rPr>
        <w:t>B30A.</w:t>
      </w:r>
      <w:r w:rsidRPr="003C12AE">
        <w:rPr>
          <w:rFonts w:ascii="Times New Roman" w:hAnsi="Times New Roman"/>
          <w:sz w:val="24"/>
          <w:lang w:val="pt-BR"/>
        </w:rPr>
        <w:tab/>
        <w:t>Quando a entidade transferir um ativo financeiro, a entidade pode deter o direito de atender aquele ativo financeiro por taxa que está incluída, por exemplo, em contrato de serviço. A entidade deve avaliar o contrato de serviço de acordo com a orientação dos itens 42C e B30 para decidir se a entidade tem envolvimento contínuo em decorrência do contrato de serviço para efeitos dos requisitos de divulgação. Por exemplo, um prestador de serviços tem envolvimento contínuo no ativo financeiro transferido para efeitos dos requisitos de divulgação, se a taxa de serviço depender da quantia ou da tempestividade dos fluxos de caixa recebidos do ativo financeiro transferido. Da mesma forma, o prestador de serviços tem envolvimento contínuo para efeitos dos requisitos de divulgação de informação, se a taxa fixa não for paga na íntegra por causa da não realização (</w:t>
      </w:r>
      <w:r w:rsidRPr="003C12AE">
        <w:rPr>
          <w:rFonts w:ascii="Times New Roman" w:hAnsi="Times New Roman"/>
          <w:i/>
          <w:sz w:val="24"/>
          <w:lang w:val="pt-BR"/>
        </w:rPr>
        <w:t>performance</w:t>
      </w:r>
      <w:r w:rsidRPr="003C12AE">
        <w:rPr>
          <w:rFonts w:ascii="Times New Roman" w:hAnsi="Times New Roman"/>
          <w:sz w:val="24"/>
          <w:lang w:val="pt-BR"/>
        </w:rPr>
        <w:t xml:space="preserve">) do ativo financeiro transferido. Nesses exemplos, o prestador de serviços tem interesse no desempenho futuro </w:t>
      </w:r>
      <w:r w:rsidRPr="003C12AE">
        <w:rPr>
          <w:rFonts w:ascii="Times New Roman" w:hAnsi="Times New Roman"/>
          <w:sz w:val="24"/>
          <w:lang w:val="pt-BR"/>
        </w:rPr>
        <w:lastRenderedPageBreak/>
        <w:t>do ativo financeiro transferido. Essa avaliação é independente de a taxa, a ser recebida, compensar adequadamente a entidade pela realização do serviço.</w:t>
      </w:r>
    </w:p>
    <w:p w14:paraId="442C6DDA" w14:textId="77777777" w:rsidR="003C12AE" w:rsidRPr="003C12AE" w:rsidRDefault="003C12AE" w:rsidP="003C12AE">
      <w:pPr>
        <w:spacing w:before="0" w:after="0"/>
        <w:ind w:left="567" w:hanging="567"/>
        <w:rPr>
          <w:rFonts w:ascii="Times New Roman" w:hAnsi="Times New Roman"/>
          <w:sz w:val="24"/>
          <w:lang w:val="pt-BR"/>
        </w:rPr>
      </w:pPr>
    </w:p>
    <w:p w14:paraId="777F0CCC" w14:textId="77777777" w:rsidR="003C12AE" w:rsidRPr="003C12AE" w:rsidRDefault="003C12AE" w:rsidP="003C12AE">
      <w:pPr>
        <w:widowControl w:val="0"/>
        <w:tabs>
          <w:tab w:val="left" w:pos="6804"/>
        </w:tabs>
        <w:spacing w:before="0" w:after="0"/>
        <w:ind w:left="567" w:right="-1" w:hanging="567"/>
        <w:rPr>
          <w:rFonts w:ascii="Times New Roman" w:hAnsi="Times New Roman"/>
          <w:sz w:val="24"/>
        </w:rPr>
      </w:pPr>
      <w:r w:rsidRPr="003C12AE">
        <w:rPr>
          <w:rFonts w:ascii="Times New Roman" w:hAnsi="Times New Roman"/>
          <w:sz w:val="24"/>
        </w:rPr>
        <w:t xml:space="preserve">B31. </w:t>
      </w:r>
      <w:r w:rsidRPr="003C12AE">
        <w:rPr>
          <w:rFonts w:ascii="Times New Roman" w:hAnsi="Times New Roman"/>
          <w:sz w:val="24"/>
        </w:rPr>
        <w:tab/>
        <w:t xml:space="preserve">O envolvimento contínuo em ativo financeiro transferido pode resultar de disposições contratuais no contrato de transferência ou em contrato separado celebrado com o cessionário ou um terceiro em relação à transferência. </w:t>
      </w:r>
    </w:p>
    <w:p w14:paraId="601AEEAF" w14:textId="77777777" w:rsidR="003C12AE" w:rsidRPr="003C12AE" w:rsidRDefault="003C12AE" w:rsidP="003C12AE">
      <w:pPr>
        <w:widowControl w:val="0"/>
        <w:tabs>
          <w:tab w:val="left" w:pos="6804"/>
        </w:tabs>
        <w:spacing w:before="0" w:after="0"/>
        <w:ind w:left="567" w:right="-1" w:hanging="567"/>
        <w:rPr>
          <w:rFonts w:ascii="Times New Roman" w:hAnsi="Times New Roman"/>
          <w:sz w:val="24"/>
        </w:rPr>
      </w:pPr>
    </w:p>
    <w:p w14:paraId="0443A417" w14:textId="77777777" w:rsidR="003C12AE" w:rsidRPr="003C12AE" w:rsidRDefault="003C12AE" w:rsidP="003C12AE">
      <w:pPr>
        <w:spacing w:before="0" w:after="0"/>
        <w:ind w:left="567" w:right="-1"/>
        <w:rPr>
          <w:rFonts w:ascii="Times New Roman" w:hAnsi="Times New Roman"/>
          <w:sz w:val="24"/>
          <w:lang w:val="pt-BR"/>
        </w:rPr>
      </w:pPr>
      <w:bookmarkStart w:id="7" w:name="ifrs_ebook_56"/>
      <w:bookmarkEnd w:id="7"/>
      <w:r w:rsidRPr="003C12AE">
        <w:rPr>
          <w:rFonts w:ascii="Times New Roman" w:hAnsi="Times New Roman"/>
          <w:sz w:val="24"/>
          <w:lang w:val="pt-BR"/>
        </w:rPr>
        <w:t>Ativos financeiros transferidos que não são desreconhecidos em sua totalidade (item 42D)</w:t>
      </w:r>
    </w:p>
    <w:p w14:paraId="31FACB24" w14:textId="77777777" w:rsidR="003C12AE" w:rsidRPr="003C12AE" w:rsidRDefault="003C12AE" w:rsidP="003C12AE">
      <w:pPr>
        <w:spacing w:before="0" w:after="0"/>
        <w:ind w:left="709" w:right="-1"/>
        <w:rPr>
          <w:rFonts w:ascii="Times New Roman" w:hAnsi="Times New Roman"/>
          <w:sz w:val="24"/>
          <w:lang w:val="pt-BR"/>
        </w:rPr>
      </w:pPr>
    </w:p>
    <w:p w14:paraId="7D4FF42C" w14:textId="77777777" w:rsidR="003C12AE" w:rsidRPr="003C12AE" w:rsidRDefault="003C12AE" w:rsidP="003C12AE">
      <w:pPr>
        <w:widowControl w:val="0"/>
        <w:tabs>
          <w:tab w:val="left" w:pos="6804"/>
        </w:tabs>
        <w:spacing w:before="0" w:after="0"/>
        <w:ind w:left="567" w:right="-1" w:hanging="567"/>
        <w:rPr>
          <w:rFonts w:ascii="Times New Roman" w:hAnsi="Times New Roman"/>
          <w:sz w:val="24"/>
        </w:rPr>
      </w:pPr>
      <w:r w:rsidRPr="003C12AE">
        <w:rPr>
          <w:rFonts w:ascii="Times New Roman" w:hAnsi="Times New Roman"/>
          <w:sz w:val="24"/>
        </w:rPr>
        <w:t xml:space="preserve">B32. </w:t>
      </w:r>
      <w:r w:rsidRPr="003C12AE">
        <w:rPr>
          <w:rFonts w:ascii="Times New Roman" w:hAnsi="Times New Roman"/>
          <w:sz w:val="24"/>
        </w:rPr>
        <w:tab/>
        <w:t xml:space="preserve">O item 42D exige divulgações quando parte ou a totalidade dos ativos financeiros transferidos não se qualificam para desreconhecimento. Essas divulgações são requeridas para cada data-base da demonstração contábil em que a entidade continua a reconhecer os ativos financeiros transferidos, independentemente de quando ocorreram as transferências. </w:t>
      </w:r>
    </w:p>
    <w:p w14:paraId="7F5742DA" w14:textId="77777777" w:rsidR="003C12AE" w:rsidRPr="003C12AE" w:rsidRDefault="003C12AE" w:rsidP="003C12AE">
      <w:pPr>
        <w:spacing w:before="0" w:after="0"/>
        <w:ind w:left="709" w:right="-1"/>
        <w:rPr>
          <w:rFonts w:ascii="Times New Roman" w:hAnsi="Times New Roman"/>
          <w:sz w:val="24"/>
          <w:lang w:val="pt-BR"/>
        </w:rPr>
      </w:pPr>
      <w:bookmarkStart w:id="8" w:name="ifrs_ebook_57"/>
      <w:bookmarkEnd w:id="8"/>
    </w:p>
    <w:p w14:paraId="51ACA399" w14:textId="77777777" w:rsidR="003C12AE" w:rsidRPr="003C12AE" w:rsidRDefault="003C12AE" w:rsidP="003C12AE">
      <w:pPr>
        <w:spacing w:before="0" w:after="0"/>
        <w:ind w:left="567" w:right="-1"/>
        <w:rPr>
          <w:rFonts w:ascii="Times New Roman" w:hAnsi="Times New Roman"/>
          <w:sz w:val="24"/>
          <w:lang w:val="pt-BR"/>
        </w:rPr>
      </w:pPr>
      <w:r w:rsidRPr="003C12AE">
        <w:rPr>
          <w:rFonts w:ascii="Times New Roman" w:hAnsi="Times New Roman"/>
          <w:sz w:val="24"/>
          <w:lang w:val="pt-BR"/>
        </w:rPr>
        <w:t xml:space="preserve">Tipos de envolvimento contínuo (itens 42E a 42H) </w:t>
      </w:r>
    </w:p>
    <w:p w14:paraId="670D0EE7" w14:textId="77777777" w:rsidR="003C12AE" w:rsidRPr="003C12AE" w:rsidRDefault="003C12AE" w:rsidP="003C12AE">
      <w:pPr>
        <w:spacing w:before="0" w:after="0"/>
        <w:ind w:left="709" w:right="-1"/>
        <w:rPr>
          <w:rFonts w:ascii="Times New Roman" w:hAnsi="Times New Roman"/>
          <w:sz w:val="24"/>
          <w:lang w:val="pt-BR"/>
        </w:rPr>
      </w:pPr>
    </w:p>
    <w:p w14:paraId="7B01AA74" w14:textId="77777777"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 xml:space="preserve">B33. </w:t>
      </w:r>
      <w:r w:rsidRPr="003C12AE">
        <w:rPr>
          <w:rFonts w:ascii="Times New Roman" w:hAnsi="Times New Roman"/>
          <w:sz w:val="24"/>
          <w:lang w:val="pt-BR"/>
        </w:rPr>
        <w:tab/>
        <w:t xml:space="preserve">Os itens 42E a 42H requerem divulgações qualitativas e quantitativas para cada tipo de envolvimento contínuo em ativos financeiros desreconhecidos. A entidade deve agregar seu envolvimento contínuo em tipos que sejam representativos da exposição da entidade a riscos. Por exemplo, a entidade pode agregar seu envolvimento contínuo por tipo de instrumento financeiro (por exemplo, garantias ou opções de compra) ou por tipo de transferência (por exemplo, desconto de recebíveis, securitizações e empréstimos de títulos). </w:t>
      </w:r>
    </w:p>
    <w:p w14:paraId="09F50B9F" w14:textId="77777777" w:rsidR="003C12AE" w:rsidRPr="003C12AE" w:rsidRDefault="003C12AE" w:rsidP="003C12AE">
      <w:pPr>
        <w:spacing w:before="0" w:after="0"/>
        <w:ind w:left="709" w:right="-1"/>
        <w:rPr>
          <w:rFonts w:ascii="Times New Roman" w:hAnsi="Times New Roman"/>
          <w:sz w:val="24"/>
          <w:lang w:val="pt-BR"/>
        </w:rPr>
      </w:pPr>
      <w:bookmarkStart w:id="9" w:name="ifrs_ebook_58"/>
      <w:bookmarkEnd w:id="9"/>
    </w:p>
    <w:p w14:paraId="18CB8065" w14:textId="77777777" w:rsidR="003C12AE" w:rsidRPr="003C12AE" w:rsidRDefault="003C12AE" w:rsidP="003C12AE">
      <w:pPr>
        <w:spacing w:before="0" w:after="0"/>
        <w:ind w:left="567" w:right="-1"/>
        <w:rPr>
          <w:rFonts w:ascii="Times New Roman" w:hAnsi="Times New Roman"/>
          <w:sz w:val="24"/>
          <w:lang w:val="pt-BR"/>
        </w:rPr>
      </w:pPr>
      <w:r w:rsidRPr="003C12AE">
        <w:rPr>
          <w:rFonts w:ascii="Times New Roman" w:hAnsi="Times New Roman"/>
          <w:sz w:val="24"/>
          <w:lang w:val="pt-BR"/>
        </w:rPr>
        <w:t xml:space="preserve">Análise de vencimento para saídas de caixa não descontadas para recomprar ativos transferidos (item 42E(e)) </w:t>
      </w:r>
    </w:p>
    <w:p w14:paraId="52096DEB" w14:textId="77777777" w:rsidR="003C12AE" w:rsidRPr="003C12AE" w:rsidRDefault="003C12AE" w:rsidP="003C12AE">
      <w:pPr>
        <w:spacing w:before="0" w:after="0"/>
        <w:ind w:left="709" w:right="-1"/>
        <w:rPr>
          <w:rFonts w:ascii="Times New Roman" w:hAnsi="Times New Roman"/>
          <w:sz w:val="24"/>
          <w:lang w:val="pt-BR"/>
        </w:rPr>
      </w:pPr>
    </w:p>
    <w:p w14:paraId="4ECAB84C" w14:textId="77777777"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 xml:space="preserve">B34. </w:t>
      </w:r>
      <w:r w:rsidRPr="003C12AE">
        <w:rPr>
          <w:rFonts w:ascii="Times New Roman" w:hAnsi="Times New Roman"/>
          <w:sz w:val="24"/>
          <w:lang w:val="pt-BR"/>
        </w:rPr>
        <w:tab/>
        <w:t xml:space="preserve">O item 42E(e) requer que a entidade divulgue uma análise de vencimento das saídas de caixa não descontadas para recomprar ativos financeiros desreconhecidos ou outros valores a pagar ao cessionário em relação aos ativos financeiros desreconhecidos, demonstrando os vencimentos contratuais restantes do envolvimento contínuo da entidade. Essa análise deve distinguir fluxos de caixa que devem ser pagos (por exemplo, contratos a termo), fluxos de caixa que a entidade pode ser obrigada a pagar (por exemplo, opções de venda) e fluxos de caixa que a entidade pode optar por pagar (por exemplo, opções de compra). </w:t>
      </w:r>
    </w:p>
    <w:p w14:paraId="520D12FA" w14:textId="77777777" w:rsidR="003C12AE" w:rsidRPr="003C12AE" w:rsidRDefault="003C12AE" w:rsidP="003C12AE">
      <w:pPr>
        <w:spacing w:before="0" w:after="0"/>
        <w:ind w:left="709" w:right="-1" w:hanging="709"/>
        <w:rPr>
          <w:rFonts w:ascii="Times New Roman" w:hAnsi="Times New Roman"/>
          <w:sz w:val="24"/>
          <w:lang w:val="pt-BR"/>
        </w:rPr>
      </w:pPr>
    </w:p>
    <w:p w14:paraId="5A9DD2B7" w14:textId="77777777" w:rsidR="003C12AE" w:rsidRPr="003C12AE" w:rsidRDefault="003C12AE" w:rsidP="003C12AE">
      <w:pPr>
        <w:spacing w:before="0"/>
        <w:ind w:left="567" w:hanging="567"/>
        <w:rPr>
          <w:rFonts w:ascii="Times New Roman" w:hAnsi="Times New Roman"/>
          <w:sz w:val="24"/>
          <w:lang w:val="pt-BR"/>
        </w:rPr>
      </w:pPr>
      <w:r w:rsidRPr="003C12AE">
        <w:rPr>
          <w:rFonts w:ascii="Times New Roman" w:hAnsi="Times New Roman"/>
          <w:sz w:val="24"/>
          <w:lang w:val="pt-BR"/>
        </w:rPr>
        <w:t xml:space="preserve">B35. </w:t>
      </w:r>
      <w:r w:rsidRPr="003C12AE">
        <w:rPr>
          <w:rFonts w:ascii="Times New Roman" w:hAnsi="Times New Roman"/>
          <w:sz w:val="24"/>
          <w:lang w:val="pt-BR"/>
        </w:rPr>
        <w:tab/>
        <w:t xml:space="preserve">A entidade deve utilizar seu julgamento para determinar o número apropriado de períodos de tempo ao elaborar a análise de vencimento requerida pelo item 42E(e). Por exemplo, a entidade pode determinar que os seguintes períodos de tempo de vencimento são apropriados: </w:t>
      </w:r>
    </w:p>
    <w:p w14:paraId="73A9A4C6" w14:textId="77777777" w:rsidR="003C12AE" w:rsidRPr="003C12AE" w:rsidRDefault="003C12AE" w:rsidP="003C12AE">
      <w:pPr>
        <w:tabs>
          <w:tab w:val="left" w:pos="993"/>
        </w:tabs>
        <w:spacing w:before="0"/>
        <w:ind w:left="993" w:hanging="426"/>
        <w:rPr>
          <w:rFonts w:ascii="Times New Roman" w:hAnsi="Times New Roman"/>
          <w:sz w:val="24"/>
          <w:lang w:val="pt-BR"/>
        </w:rPr>
      </w:pPr>
      <w:r w:rsidRPr="003C12AE">
        <w:rPr>
          <w:rFonts w:ascii="Times New Roman" w:hAnsi="Times New Roman"/>
          <w:sz w:val="24"/>
          <w:lang w:val="pt-BR"/>
        </w:rPr>
        <w:t xml:space="preserve">(a) </w:t>
      </w:r>
      <w:r w:rsidRPr="003C12AE">
        <w:rPr>
          <w:rFonts w:ascii="Times New Roman" w:hAnsi="Times New Roman"/>
          <w:sz w:val="24"/>
          <w:lang w:val="pt-BR"/>
        </w:rPr>
        <w:tab/>
        <w:t xml:space="preserve">não superior a um mês; </w:t>
      </w:r>
    </w:p>
    <w:p w14:paraId="4E232828" w14:textId="77777777" w:rsidR="003C12AE" w:rsidRPr="003C12AE" w:rsidRDefault="003C12AE" w:rsidP="003C12AE">
      <w:pPr>
        <w:tabs>
          <w:tab w:val="left" w:pos="993"/>
        </w:tabs>
        <w:spacing w:before="0"/>
        <w:ind w:left="993" w:hanging="426"/>
        <w:rPr>
          <w:rFonts w:ascii="Times New Roman" w:hAnsi="Times New Roman"/>
          <w:sz w:val="24"/>
          <w:lang w:val="pt-BR"/>
        </w:rPr>
      </w:pPr>
      <w:r w:rsidRPr="003C12AE">
        <w:rPr>
          <w:rFonts w:ascii="Times New Roman" w:hAnsi="Times New Roman"/>
          <w:sz w:val="24"/>
          <w:lang w:val="pt-BR"/>
        </w:rPr>
        <w:t xml:space="preserve">(b) </w:t>
      </w:r>
      <w:r w:rsidRPr="003C12AE">
        <w:rPr>
          <w:rFonts w:ascii="Times New Roman" w:hAnsi="Times New Roman"/>
          <w:sz w:val="24"/>
          <w:lang w:val="pt-BR"/>
        </w:rPr>
        <w:tab/>
        <w:t xml:space="preserve">superior a um mês e não superior a três meses; </w:t>
      </w:r>
    </w:p>
    <w:p w14:paraId="35C8537C" w14:textId="77777777" w:rsidR="003C12AE" w:rsidRPr="003C12AE" w:rsidRDefault="003C12AE" w:rsidP="003C12AE">
      <w:pPr>
        <w:tabs>
          <w:tab w:val="left" w:pos="993"/>
        </w:tabs>
        <w:spacing w:before="0"/>
        <w:ind w:left="993" w:hanging="426"/>
        <w:rPr>
          <w:rFonts w:ascii="Times New Roman" w:hAnsi="Times New Roman"/>
          <w:sz w:val="24"/>
          <w:lang w:val="pt-BR"/>
        </w:rPr>
      </w:pPr>
      <w:r w:rsidRPr="003C12AE">
        <w:rPr>
          <w:rFonts w:ascii="Times New Roman" w:hAnsi="Times New Roman"/>
          <w:sz w:val="24"/>
          <w:lang w:val="pt-BR"/>
        </w:rPr>
        <w:t xml:space="preserve">(c) </w:t>
      </w:r>
      <w:r w:rsidRPr="003C12AE">
        <w:rPr>
          <w:rFonts w:ascii="Times New Roman" w:hAnsi="Times New Roman"/>
          <w:sz w:val="24"/>
          <w:lang w:val="pt-BR"/>
        </w:rPr>
        <w:tab/>
        <w:t xml:space="preserve">superior a três meses e não superior a seis meses; </w:t>
      </w:r>
    </w:p>
    <w:p w14:paraId="6137846D" w14:textId="77777777" w:rsidR="003C12AE" w:rsidRPr="003C12AE" w:rsidRDefault="003C12AE" w:rsidP="003C12AE">
      <w:pPr>
        <w:tabs>
          <w:tab w:val="left" w:pos="993"/>
        </w:tabs>
        <w:spacing w:before="0"/>
        <w:ind w:left="993" w:hanging="426"/>
        <w:rPr>
          <w:rFonts w:ascii="Times New Roman" w:hAnsi="Times New Roman"/>
          <w:sz w:val="24"/>
          <w:lang w:val="pt-BR"/>
        </w:rPr>
      </w:pPr>
      <w:r w:rsidRPr="003C12AE">
        <w:rPr>
          <w:rFonts w:ascii="Times New Roman" w:hAnsi="Times New Roman"/>
          <w:sz w:val="24"/>
          <w:lang w:val="pt-BR"/>
        </w:rPr>
        <w:t xml:space="preserve">(d) </w:t>
      </w:r>
      <w:r w:rsidRPr="003C12AE">
        <w:rPr>
          <w:rFonts w:ascii="Times New Roman" w:hAnsi="Times New Roman"/>
          <w:sz w:val="24"/>
          <w:lang w:val="pt-BR"/>
        </w:rPr>
        <w:tab/>
        <w:t xml:space="preserve">superior a seis meses e não superior a um ano; </w:t>
      </w:r>
    </w:p>
    <w:p w14:paraId="29E03545" w14:textId="77777777" w:rsidR="003C12AE" w:rsidRPr="003C12AE" w:rsidRDefault="003C12AE" w:rsidP="003C12AE">
      <w:pPr>
        <w:tabs>
          <w:tab w:val="left" w:pos="993"/>
        </w:tabs>
        <w:spacing w:before="0"/>
        <w:ind w:left="993" w:hanging="426"/>
        <w:rPr>
          <w:rFonts w:ascii="Times New Roman" w:hAnsi="Times New Roman"/>
          <w:sz w:val="24"/>
          <w:lang w:val="pt-BR"/>
        </w:rPr>
      </w:pPr>
      <w:r w:rsidRPr="003C12AE">
        <w:rPr>
          <w:rFonts w:ascii="Times New Roman" w:hAnsi="Times New Roman"/>
          <w:sz w:val="24"/>
          <w:lang w:val="pt-BR"/>
        </w:rPr>
        <w:lastRenderedPageBreak/>
        <w:t xml:space="preserve">(e) </w:t>
      </w:r>
      <w:r w:rsidRPr="003C12AE">
        <w:rPr>
          <w:rFonts w:ascii="Times New Roman" w:hAnsi="Times New Roman"/>
          <w:sz w:val="24"/>
          <w:lang w:val="pt-BR"/>
        </w:rPr>
        <w:tab/>
        <w:t xml:space="preserve">superior a um ano e não superior a três anos; </w:t>
      </w:r>
    </w:p>
    <w:p w14:paraId="19687295" w14:textId="77777777" w:rsidR="003C12AE" w:rsidRPr="003C12AE" w:rsidRDefault="003C12AE" w:rsidP="003C12AE">
      <w:pPr>
        <w:tabs>
          <w:tab w:val="left" w:pos="993"/>
        </w:tabs>
        <w:spacing w:before="0"/>
        <w:ind w:left="993" w:hanging="426"/>
        <w:rPr>
          <w:rFonts w:ascii="Times New Roman" w:hAnsi="Times New Roman"/>
          <w:sz w:val="24"/>
          <w:lang w:val="pt-BR"/>
        </w:rPr>
      </w:pPr>
      <w:r w:rsidRPr="003C12AE">
        <w:rPr>
          <w:rFonts w:ascii="Times New Roman" w:hAnsi="Times New Roman"/>
          <w:sz w:val="24"/>
          <w:lang w:val="pt-BR"/>
        </w:rPr>
        <w:t xml:space="preserve">(f) </w:t>
      </w:r>
      <w:r w:rsidRPr="003C12AE">
        <w:rPr>
          <w:rFonts w:ascii="Times New Roman" w:hAnsi="Times New Roman"/>
          <w:sz w:val="24"/>
          <w:lang w:val="pt-BR"/>
        </w:rPr>
        <w:tab/>
        <w:t xml:space="preserve">superior a três anos e não superior a cinco anos; e </w:t>
      </w:r>
    </w:p>
    <w:p w14:paraId="570081CA" w14:textId="77777777" w:rsidR="003C12AE" w:rsidRPr="003C12AE" w:rsidRDefault="003C12AE" w:rsidP="003C12AE">
      <w:pPr>
        <w:tabs>
          <w:tab w:val="left" w:pos="993"/>
        </w:tabs>
        <w:spacing w:before="0" w:after="0"/>
        <w:ind w:left="993" w:right="-1" w:hanging="426"/>
        <w:rPr>
          <w:rFonts w:ascii="Times New Roman" w:hAnsi="Times New Roman"/>
          <w:sz w:val="24"/>
          <w:lang w:val="pt-BR"/>
        </w:rPr>
      </w:pPr>
      <w:r w:rsidRPr="003C12AE">
        <w:rPr>
          <w:rFonts w:ascii="Times New Roman" w:hAnsi="Times New Roman"/>
          <w:sz w:val="24"/>
          <w:lang w:val="pt-BR"/>
        </w:rPr>
        <w:t xml:space="preserve">(g) </w:t>
      </w:r>
      <w:r w:rsidRPr="003C12AE">
        <w:rPr>
          <w:rFonts w:ascii="Times New Roman" w:hAnsi="Times New Roman"/>
          <w:sz w:val="24"/>
          <w:lang w:val="pt-BR"/>
        </w:rPr>
        <w:tab/>
        <w:t xml:space="preserve">mais de cinco anos. </w:t>
      </w:r>
    </w:p>
    <w:p w14:paraId="497FFD0C" w14:textId="77777777" w:rsidR="003C12AE" w:rsidRPr="003C12AE" w:rsidRDefault="003C12AE" w:rsidP="003C12AE">
      <w:pPr>
        <w:spacing w:before="0" w:after="0"/>
        <w:ind w:left="1134" w:right="-1" w:hanging="425"/>
        <w:rPr>
          <w:rFonts w:ascii="Times New Roman" w:hAnsi="Times New Roman"/>
          <w:sz w:val="24"/>
          <w:lang w:val="pt-BR"/>
        </w:rPr>
      </w:pPr>
    </w:p>
    <w:p w14:paraId="4E1B86F5" w14:textId="77777777"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 xml:space="preserve">B36. </w:t>
      </w:r>
      <w:r w:rsidRPr="003C12AE">
        <w:rPr>
          <w:rFonts w:ascii="Times New Roman" w:hAnsi="Times New Roman"/>
          <w:sz w:val="24"/>
          <w:lang w:val="pt-BR"/>
        </w:rPr>
        <w:tab/>
        <w:t xml:space="preserve">Se houver um intervalo de vencimentos possíveis, os fluxos de caixa devem ser incluídos com base na data mais antiga em que a entidade possa ser obrigada ou permitida a pagar. </w:t>
      </w:r>
    </w:p>
    <w:p w14:paraId="1115376E" w14:textId="77777777" w:rsidR="003C12AE" w:rsidRPr="003C12AE" w:rsidRDefault="003C12AE" w:rsidP="003C12AE">
      <w:pPr>
        <w:spacing w:before="0" w:after="0"/>
        <w:ind w:left="709" w:right="-1"/>
        <w:rPr>
          <w:rFonts w:ascii="Times New Roman" w:hAnsi="Times New Roman"/>
          <w:sz w:val="24"/>
          <w:lang w:val="pt-BR"/>
        </w:rPr>
      </w:pPr>
      <w:bookmarkStart w:id="10" w:name="ifrs_ebook_59"/>
      <w:bookmarkEnd w:id="10"/>
    </w:p>
    <w:p w14:paraId="75FC22F1" w14:textId="77777777" w:rsidR="003C12AE" w:rsidRPr="003C12AE" w:rsidRDefault="003C12AE" w:rsidP="003C12AE">
      <w:pPr>
        <w:spacing w:before="0" w:after="0"/>
        <w:ind w:left="567" w:right="-1"/>
        <w:rPr>
          <w:rFonts w:ascii="Times New Roman" w:hAnsi="Times New Roman"/>
          <w:sz w:val="24"/>
          <w:lang w:val="pt-BR"/>
        </w:rPr>
      </w:pPr>
      <w:r w:rsidRPr="003C12AE">
        <w:rPr>
          <w:rFonts w:ascii="Times New Roman" w:hAnsi="Times New Roman"/>
          <w:sz w:val="24"/>
          <w:lang w:val="pt-BR"/>
        </w:rPr>
        <w:t xml:space="preserve">Informações qualitativas (item 42E(f)) </w:t>
      </w:r>
    </w:p>
    <w:p w14:paraId="64D5694A" w14:textId="77777777" w:rsidR="003C12AE" w:rsidRPr="003C12AE" w:rsidRDefault="003C12AE" w:rsidP="003C12AE">
      <w:pPr>
        <w:spacing w:before="0" w:after="0"/>
        <w:ind w:left="709" w:right="-1"/>
        <w:rPr>
          <w:rFonts w:ascii="Times New Roman" w:hAnsi="Times New Roman"/>
          <w:sz w:val="24"/>
          <w:lang w:val="pt-BR"/>
        </w:rPr>
      </w:pPr>
    </w:p>
    <w:p w14:paraId="6A3531E5" w14:textId="77777777" w:rsidR="003C12AE" w:rsidRPr="003C12AE" w:rsidRDefault="003C12AE" w:rsidP="003C12AE">
      <w:pPr>
        <w:spacing w:before="0"/>
        <w:ind w:left="567" w:hanging="567"/>
        <w:rPr>
          <w:rFonts w:ascii="Times New Roman" w:hAnsi="Times New Roman"/>
          <w:sz w:val="24"/>
          <w:lang w:val="pt-BR"/>
        </w:rPr>
      </w:pPr>
      <w:r w:rsidRPr="003C12AE">
        <w:rPr>
          <w:rFonts w:ascii="Times New Roman" w:hAnsi="Times New Roman"/>
          <w:sz w:val="24"/>
          <w:lang w:val="pt-BR"/>
        </w:rPr>
        <w:t xml:space="preserve">B37. </w:t>
      </w:r>
      <w:r w:rsidRPr="003C12AE">
        <w:rPr>
          <w:rFonts w:ascii="Times New Roman" w:hAnsi="Times New Roman"/>
          <w:sz w:val="24"/>
          <w:lang w:val="pt-BR"/>
        </w:rPr>
        <w:tab/>
        <w:t xml:space="preserve">As informações qualitativas requeridas pelo item 42E(f) incluem uma descrição dos ativos financeiros e a natureza e a finalidade do envolvimento contínuo retido após transferir esses ativos. As informações qualitativas também incluem uma descrição dos riscos aos quais a entidade está exposta, incluindo: </w:t>
      </w:r>
    </w:p>
    <w:p w14:paraId="15C7FB41" w14:textId="77777777" w:rsidR="003C12AE" w:rsidRPr="003C12AE" w:rsidRDefault="003C12AE" w:rsidP="003C12AE">
      <w:pPr>
        <w:spacing w:before="0"/>
        <w:ind w:left="993" w:hanging="426"/>
        <w:rPr>
          <w:rFonts w:ascii="Times New Roman" w:hAnsi="Times New Roman"/>
          <w:sz w:val="24"/>
          <w:lang w:val="pt-BR"/>
        </w:rPr>
      </w:pPr>
      <w:r w:rsidRPr="003C12AE">
        <w:rPr>
          <w:rFonts w:ascii="Times New Roman" w:hAnsi="Times New Roman"/>
          <w:sz w:val="24"/>
          <w:lang w:val="pt-BR"/>
        </w:rPr>
        <w:t xml:space="preserve">(a) </w:t>
      </w:r>
      <w:r w:rsidRPr="003C12AE">
        <w:rPr>
          <w:rFonts w:ascii="Times New Roman" w:hAnsi="Times New Roman"/>
          <w:sz w:val="24"/>
          <w:lang w:val="pt-BR"/>
        </w:rPr>
        <w:tab/>
        <w:t xml:space="preserve">descrição de como a entidade gerencia o risco inerente ao seu envolvimento contínuo nos ativos financeiros desreconhecidos; </w:t>
      </w:r>
    </w:p>
    <w:p w14:paraId="33FEB705" w14:textId="77777777" w:rsidR="003C12AE" w:rsidRPr="003C12AE" w:rsidRDefault="003C12AE" w:rsidP="003C12AE">
      <w:pPr>
        <w:spacing w:before="0"/>
        <w:ind w:left="993" w:hanging="426"/>
        <w:rPr>
          <w:rFonts w:ascii="Times New Roman" w:hAnsi="Times New Roman"/>
          <w:sz w:val="24"/>
          <w:lang w:val="pt-BR"/>
        </w:rPr>
      </w:pPr>
      <w:r w:rsidRPr="003C12AE">
        <w:rPr>
          <w:rFonts w:ascii="Times New Roman" w:hAnsi="Times New Roman"/>
          <w:sz w:val="24"/>
          <w:lang w:val="pt-BR"/>
        </w:rPr>
        <w:t xml:space="preserve">(b) </w:t>
      </w:r>
      <w:r w:rsidRPr="003C12AE">
        <w:rPr>
          <w:rFonts w:ascii="Times New Roman" w:hAnsi="Times New Roman"/>
          <w:sz w:val="24"/>
          <w:lang w:val="pt-BR"/>
        </w:rPr>
        <w:tab/>
        <w:t xml:space="preserve">se a entidade é obrigada a assumir perdas perante terceiros, e a classificação e os valores das perdas assumidas pelas partes cujas participações são classificadas abaixo da participação da entidade no ativo (ou seja, seu envolvimento contínuo no ativo); </w:t>
      </w:r>
    </w:p>
    <w:p w14:paraId="4DBFFC74" w14:textId="77777777" w:rsidR="003C12AE" w:rsidRPr="003C12AE" w:rsidRDefault="003C12AE" w:rsidP="003C12AE">
      <w:pPr>
        <w:spacing w:before="0" w:after="0"/>
        <w:ind w:left="993" w:right="-1" w:hanging="426"/>
        <w:rPr>
          <w:rFonts w:ascii="Times New Roman" w:hAnsi="Times New Roman"/>
          <w:sz w:val="24"/>
          <w:lang w:val="pt-BR"/>
        </w:rPr>
      </w:pPr>
      <w:r w:rsidRPr="003C12AE">
        <w:rPr>
          <w:rFonts w:ascii="Times New Roman" w:hAnsi="Times New Roman"/>
          <w:sz w:val="24"/>
          <w:lang w:val="pt-BR"/>
        </w:rPr>
        <w:t xml:space="preserve">(c) uma descrição de quaisquer gatilhos associados a obrigações para fornecer suporte financeiro ou para recomprar um ativo financeiro transferido. </w:t>
      </w:r>
    </w:p>
    <w:p w14:paraId="5944CC79" w14:textId="77777777" w:rsidR="003C12AE" w:rsidRPr="003C12AE" w:rsidRDefault="003C12AE" w:rsidP="003C12AE">
      <w:pPr>
        <w:spacing w:before="0" w:after="0"/>
        <w:ind w:left="709" w:right="-1"/>
        <w:rPr>
          <w:rFonts w:ascii="Times New Roman" w:hAnsi="Times New Roman"/>
          <w:sz w:val="24"/>
          <w:lang w:val="pt-BR"/>
        </w:rPr>
      </w:pPr>
      <w:bookmarkStart w:id="11" w:name="ifrs_ebook_60"/>
      <w:bookmarkEnd w:id="11"/>
    </w:p>
    <w:p w14:paraId="3F653219" w14:textId="77777777" w:rsidR="003C12AE" w:rsidRPr="003C12AE" w:rsidRDefault="003C12AE" w:rsidP="003C12AE">
      <w:pPr>
        <w:spacing w:before="0" w:after="0"/>
        <w:ind w:left="567" w:right="-1"/>
        <w:rPr>
          <w:rFonts w:ascii="Times New Roman" w:hAnsi="Times New Roman"/>
          <w:sz w:val="24"/>
          <w:lang w:val="pt-BR"/>
        </w:rPr>
      </w:pPr>
      <w:r w:rsidRPr="003C12AE">
        <w:rPr>
          <w:rFonts w:ascii="Times New Roman" w:hAnsi="Times New Roman"/>
          <w:sz w:val="24"/>
          <w:lang w:val="pt-BR"/>
        </w:rPr>
        <w:t xml:space="preserve">Ganho ou perda no desreconhecimento (item 42G(a)) </w:t>
      </w:r>
    </w:p>
    <w:p w14:paraId="283FB164" w14:textId="77777777" w:rsidR="003C12AE" w:rsidRPr="003C12AE" w:rsidRDefault="003C12AE" w:rsidP="003C12AE">
      <w:pPr>
        <w:spacing w:before="0" w:after="0"/>
        <w:ind w:left="709" w:right="-1"/>
        <w:rPr>
          <w:rFonts w:ascii="Times New Roman" w:hAnsi="Times New Roman"/>
          <w:sz w:val="24"/>
          <w:lang w:val="pt-BR"/>
        </w:rPr>
      </w:pPr>
    </w:p>
    <w:p w14:paraId="2E8507AB" w14:textId="77777777"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 xml:space="preserve">B38. </w:t>
      </w:r>
      <w:r w:rsidRPr="003C12AE">
        <w:rPr>
          <w:rFonts w:ascii="Times New Roman" w:hAnsi="Times New Roman"/>
          <w:sz w:val="24"/>
          <w:lang w:val="pt-BR"/>
        </w:rPr>
        <w:tab/>
        <w:t>O item 42G(a) requer que a entidade divulgue o ganho ou a perda no desreconhecimento</w:t>
      </w:r>
      <w:r w:rsidRPr="003C12AE" w:rsidDel="00562D4E">
        <w:rPr>
          <w:rFonts w:ascii="Times New Roman" w:hAnsi="Times New Roman"/>
          <w:sz w:val="24"/>
          <w:lang w:val="pt-BR"/>
        </w:rPr>
        <w:t xml:space="preserve"> </w:t>
      </w:r>
      <w:r w:rsidRPr="003C12AE">
        <w:rPr>
          <w:rFonts w:ascii="Times New Roman" w:hAnsi="Times New Roman"/>
          <w:sz w:val="24"/>
          <w:lang w:val="pt-BR"/>
        </w:rPr>
        <w:t>dos ativos financeiros em que a entidade tiver envolvimento contínuo. A entidade deve divulgar se o ganho ou a perda no desreconhecimento</w:t>
      </w:r>
      <w:r w:rsidRPr="003C12AE" w:rsidDel="00562D4E">
        <w:rPr>
          <w:rFonts w:ascii="Times New Roman" w:hAnsi="Times New Roman"/>
          <w:sz w:val="24"/>
          <w:lang w:val="pt-BR"/>
        </w:rPr>
        <w:t xml:space="preserve"> </w:t>
      </w:r>
      <w:r w:rsidRPr="003C12AE">
        <w:rPr>
          <w:rFonts w:ascii="Times New Roman" w:hAnsi="Times New Roman"/>
          <w:sz w:val="24"/>
          <w:lang w:val="pt-BR"/>
        </w:rPr>
        <w:t xml:space="preserve">ocorreu porque os valores justos dos componentes do ativo anteriormente reconhecido (ou seja, os juros no ativo desreconhecido e os juros retidos pela entidade) eram diferentes do valor justo do ativo anteriormente reconhecido como um todo. Nessa situação, a entidade também deve divulgar se as mensurações do valor justo incluíram dados significativos que não eram baseados em dados de mercado observáveis, conforme descrito no item 27A. </w:t>
      </w:r>
    </w:p>
    <w:p w14:paraId="408409C1" w14:textId="77777777" w:rsidR="003C12AE" w:rsidRPr="003C12AE" w:rsidRDefault="003C12AE" w:rsidP="003C12AE">
      <w:pPr>
        <w:spacing w:before="0" w:after="0"/>
        <w:ind w:left="709" w:right="-1"/>
        <w:rPr>
          <w:rFonts w:ascii="Times New Roman" w:hAnsi="Times New Roman"/>
          <w:sz w:val="24"/>
          <w:lang w:val="pt-BR"/>
        </w:rPr>
      </w:pPr>
      <w:bookmarkStart w:id="12" w:name="ifrs_ebook_61"/>
      <w:bookmarkEnd w:id="12"/>
    </w:p>
    <w:p w14:paraId="24771AC4" w14:textId="77777777" w:rsidR="003C12AE" w:rsidRPr="003C12AE" w:rsidRDefault="003C12AE" w:rsidP="003C12AE">
      <w:pPr>
        <w:spacing w:before="0" w:after="0"/>
        <w:ind w:left="567" w:right="-1"/>
        <w:rPr>
          <w:rFonts w:ascii="Times New Roman" w:hAnsi="Times New Roman"/>
          <w:sz w:val="24"/>
          <w:lang w:val="pt-BR"/>
        </w:rPr>
      </w:pPr>
      <w:r w:rsidRPr="003C12AE">
        <w:rPr>
          <w:rFonts w:ascii="Times New Roman" w:hAnsi="Times New Roman"/>
          <w:sz w:val="24"/>
          <w:lang w:val="pt-BR"/>
        </w:rPr>
        <w:t xml:space="preserve">Informações suplementares (item 42H) </w:t>
      </w:r>
    </w:p>
    <w:p w14:paraId="084A8907" w14:textId="77777777" w:rsidR="003C12AE" w:rsidRPr="003C12AE" w:rsidRDefault="003C12AE" w:rsidP="003C12AE">
      <w:pPr>
        <w:spacing w:before="0" w:after="0"/>
        <w:ind w:left="709" w:right="-1"/>
        <w:rPr>
          <w:rFonts w:ascii="Times New Roman" w:hAnsi="Times New Roman"/>
          <w:sz w:val="24"/>
          <w:lang w:val="pt-BR"/>
        </w:rPr>
      </w:pPr>
    </w:p>
    <w:p w14:paraId="2E779162" w14:textId="77777777" w:rsidR="003C12AE" w:rsidRPr="003C12AE" w:rsidRDefault="003C12AE" w:rsidP="003C12AE">
      <w:pPr>
        <w:spacing w:before="0" w:after="0"/>
        <w:ind w:left="567" w:right="-1" w:hanging="567"/>
        <w:rPr>
          <w:rFonts w:ascii="Times New Roman" w:hAnsi="Times New Roman"/>
          <w:sz w:val="24"/>
          <w:lang w:val="pt-BR"/>
        </w:rPr>
      </w:pPr>
      <w:r w:rsidRPr="003C12AE">
        <w:rPr>
          <w:rFonts w:ascii="Times New Roman" w:hAnsi="Times New Roman"/>
          <w:sz w:val="24"/>
          <w:lang w:val="pt-BR"/>
        </w:rPr>
        <w:t xml:space="preserve">B39. </w:t>
      </w:r>
      <w:r w:rsidRPr="003C12AE">
        <w:rPr>
          <w:rFonts w:ascii="Times New Roman" w:hAnsi="Times New Roman"/>
          <w:sz w:val="24"/>
          <w:lang w:val="pt-BR"/>
        </w:rPr>
        <w:tab/>
        <w:t xml:space="preserve">As divulgações requeridas nos itens 42D a 42G podem não ser suficientes para alcançar os objetivos de divulgação previstos no item 42B. Nesse caso, a entidade deve divulgar quaisquer informações adicionais que sejam necessárias para atingir os objetivos de divulgação. A entidade deve decidir, à luz de suas circunstâncias, a quantidade de informação adicional que é necesária ser fornecida para satisfazer as necessidades de informações dos usuários e a ênfase a ser colocada em diferentes aspectos das informações adicionais. É necessário alcançar um equilíbrio entre sobrecarregar as demonstrações contábeis com detalhes excessivos que podem não auxiliar os usuários de demonstrações contábeis e ocultar informações, como resultado da excessiva agregação. </w:t>
      </w:r>
    </w:p>
    <w:p w14:paraId="3C112D26" w14:textId="77777777" w:rsidR="003C12AE" w:rsidRPr="003C12AE" w:rsidRDefault="003C12AE" w:rsidP="003C12AE">
      <w:pPr>
        <w:widowControl w:val="0"/>
        <w:tabs>
          <w:tab w:val="left" w:pos="6804"/>
        </w:tabs>
        <w:spacing w:before="0" w:after="0"/>
        <w:ind w:left="709" w:right="-1" w:hanging="709"/>
        <w:rPr>
          <w:rFonts w:ascii="Times New Roman" w:hAnsi="Times New Roman"/>
          <w:sz w:val="24"/>
          <w:lang w:val="pt-BR" w:eastAsia="x-none"/>
        </w:rPr>
      </w:pPr>
    </w:p>
    <w:p w14:paraId="79FDEEC1"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r w:rsidRPr="003C12AE">
        <w:rPr>
          <w:rFonts w:ascii="Times New Roman" w:hAnsi="Times New Roman"/>
          <w:b/>
          <w:sz w:val="24"/>
          <w:lang w:val="pt-BR" w:eastAsia="x-none"/>
        </w:rPr>
        <w:t>Compensação de ativos financeiros e passivos financeiros</w:t>
      </w:r>
      <w:r w:rsidRPr="003C12AE">
        <w:rPr>
          <w:rFonts w:ascii="Times New Roman" w:hAnsi="Times New Roman"/>
          <w:sz w:val="24"/>
          <w:lang w:val="pt-BR" w:eastAsia="x-none"/>
        </w:rPr>
        <w:t xml:space="preserve"> (itens 13A a 13F)</w:t>
      </w:r>
    </w:p>
    <w:p w14:paraId="1DBD6E28"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0737BABE"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r w:rsidRPr="003C12AE">
        <w:rPr>
          <w:rFonts w:ascii="Times New Roman" w:hAnsi="Times New Roman"/>
          <w:b/>
          <w:sz w:val="24"/>
          <w:lang w:val="pt-BR" w:eastAsia="x-none"/>
        </w:rPr>
        <w:t xml:space="preserve">Alcance </w:t>
      </w:r>
      <w:r w:rsidRPr="003C12AE">
        <w:rPr>
          <w:rFonts w:ascii="Times New Roman" w:hAnsi="Times New Roman"/>
          <w:sz w:val="24"/>
          <w:lang w:val="pt-BR" w:eastAsia="x-none"/>
        </w:rPr>
        <w:t>(item 13A)</w:t>
      </w:r>
    </w:p>
    <w:p w14:paraId="0003C612"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2BD2591D" w14:textId="580A86A3"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B40. </w:t>
      </w:r>
      <w:r w:rsidRPr="003C12AE">
        <w:rPr>
          <w:rFonts w:ascii="Times New Roman" w:hAnsi="Times New Roman"/>
          <w:sz w:val="24"/>
          <w:lang w:val="pt-BR" w:eastAsia="x-none"/>
        </w:rPr>
        <w:tab/>
        <w:t>As divulgações descritas nos itens 13B a 13E são exigidas para todos os instrumentos financeiros reconhecidos que são compensados de acordo com o item 42 do CPC 39. Além disso, instrumentos financeiros estão dentro do alcance dos requisitos de divulgação, descritos nos itens 13B a 13E, se estiverem sujeitos a acordo principal de liquidação executável ou acordo similar que cobre transações e instrumentos financeiros similares, independentemente de se os instrumentos financeiros são compensados de acordo com o item 42 do CPC 39.</w:t>
      </w:r>
    </w:p>
    <w:p w14:paraId="3FB16655"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13AFA668" w14:textId="26DC0491"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B41. </w:t>
      </w:r>
      <w:r w:rsidRPr="003C12AE">
        <w:rPr>
          <w:rFonts w:ascii="Times New Roman" w:hAnsi="Times New Roman"/>
          <w:sz w:val="24"/>
          <w:lang w:val="pt-BR" w:eastAsia="x-none"/>
        </w:rPr>
        <w:tab/>
        <w:t>Os acordos similares referidos nos itens 13A e B40 incluem contratos de compensação de derivativos, contratos globais principais de recompra, contratos globais principais de empréstimo de títulos e quaisquer direitos relacionados à garantia financeira. As transações e instrumentos financeiros similares referidos no item B40 incluem derivativos, acordos de venda e recompra, contratos de recompra e venda reversa, tomada de empréstimo de títulos e contratos de empréstimo de títulos. Exemplos de instrumentos financeiros que não estão dentro do alcance do item 13A são empréstimos e depósitos de clientes na mesma instituição (salvo se são compensados no balanço patrimonial) e instrumentos financeiros que estão sujeitos somente a contrato de garantia.</w:t>
      </w:r>
    </w:p>
    <w:p w14:paraId="548FA591"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25CF97F3" w14:textId="77777777" w:rsidR="003C12AE" w:rsidRPr="003C12AE" w:rsidRDefault="003C12AE" w:rsidP="003C12AE">
      <w:pPr>
        <w:widowControl w:val="0"/>
        <w:tabs>
          <w:tab w:val="left" w:pos="6804"/>
        </w:tabs>
        <w:spacing w:before="2" w:after="2" w:line="250" w:lineRule="auto"/>
        <w:ind w:right="-1"/>
        <w:rPr>
          <w:rFonts w:ascii="Times New Roman" w:hAnsi="Times New Roman"/>
          <w:sz w:val="24"/>
          <w:lang w:val="pt-BR" w:eastAsia="x-none"/>
        </w:rPr>
      </w:pPr>
      <w:r w:rsidRPr="003C12AE">
        <w:rPr>
          <w:rFonts w:ascii="Times New Roman" w:hAnsi="Times New Roman"/>
          <w:b/>
          <w:sz w:val="24"/>
          <w:lang w:val="pt-BR" w:eastAsia="x-none"/>
        </w:rPr>
        <w:t xml:space="preserve">Divulgação de informações quantitativas para ativos e passivos financeiros reconhecidos dentro do alcance do item 13A </w:t>
      </w:r>
      <w:r w:rsidRPr="003C12AE">
        <w:rPr>
          <w:rFonts w:ascii="Times New Roman" w:hAnsi="Times New Roman"/>
          <w:sz w:val="24"/>
          <w:lang w:val="pt-BR" w:eastAsia="x-none"/>
        </w:rPr>
        <w:t>(item 13C)</w:t>
      </w:r>
    </w:p>
    <w:p w14:paraId="28050AD0"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647C969E" w14:textId="61A7F0FC"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B42. </w:t>
      </w:r>
      <w:r w:rsidRPr="003C12AE">
        <w:rPr>
          <w:rFonts w:ascii="Times New Roman" w:hAnsi="Times New Roman"/>
          <w:sz w:val="24"/>
          <w:lang w:val="pt-BR" w:eastAsia="x-none"/>
        </w:rPr>
        <w:tab/>
        <w:t>Instrumentos financeiros divulgados de acordo com o item 13C podem estar sujeitos a diferentes requisitos de mensuração (por exemplo, conta a pagar relacionada a contrato de recompra pode ser mensurada ao custo amortizado, enquanto o derivativo deve ser mensurado ao valor justo). A entidade deve incluir instrumentos aos seus valores reconhecidos e deve descrever quaisquer diferenças de mensuração resultantes nas respectivas divulgações.</w:t>
      </w:r>
    </w:p>
    <w:p w14:paraId="1AAB0910"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2E87603D" w14:textId="77777777" w:rsidR="003C12AE" w:rsidRPr="003C12AE" w:rsidRDefault="003C12AE" w:rsidP="003C12AE">
      <w:pPr>
        <w:widowControl w:val="0"/>
        <w:tabs>
          <w:tab w:val="left" w:pos="6804"/>
        </w:tabs>
        <w:spacing w:before="2" w:after="2" w:line="250" w:lineRule="auto"/>
        <w:ind w:right="-1"/>
        <w:rPr>
          <w:rFonts w:ascii="Times New Roman" w:hAnsi="Times New Roman"/>
          <w:sz w:val="24"/>
          <w:lang w:val="pt-BR" w:eastAsia="x-none"/>
        </w:rPr>
      </w:pPr>
      <w:r w:rsidRPr="003C12AE">
        <w:rPr>
          <w:rFonts w:ascii="Times New Roman" w:hAnsi="Times New Roman"/>
          <w:b/>
          <w:sz w:val="24"/>
          <w:lang w:val="pt-BR" w:eastAsia="x-none"/>
        </w:rPr>
        <w:t>Divulgação dos valores brutos de ativos e passivos financeiros reconhecidos dentro do alcance do item 13A</w:t>
      </w:r>
      <w:r w:rsidRPr="003C12AE">
        <w:rPr>
          <w:rFonts w:ascii="Times New Roman" w:hAnsi="Times New Roman"/>
          <w:sz w:val="24"/>
          <w:lang w:val="pt-BR" w:eastAsia="x-none"/>
        </w:rPr>
        <w:t xml:space="preserve"> (item 13C(a))</w:t>
      </w:r>
    </w:p>
    <w:p w14:paraId="1A83CB32"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4D16F822" w14:textId="02D4EA3D"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B43. </w:t>
      </w:r>
      <w:r w:rsidRPr="003C12AE">
        <w:rPr>
          <w:rFonts w:ascii="Times New Roman" w:hAnsi="Times New Roman"/>
          <w:sz w:val="24"/>
          <w:lang w:val="pt-BR" w:eastAsia="x-none"/>
        </w:rPr>
        <w:tab/>
        <w:t>Os valores requeridos pelo item 13C(a) referem-se a instrumentos financeiros reconhecidos que são compensados de acordo com o item 42 do CPC 39. Os valores requeridos pelo item 13C(a) também se referem a instrumentos financeiros reconhecidos, que estão sujeitos a acordo principal de liquidação executável ou acordo similar, independentemente de se eles cumprem os critérios de compensação. Entretanto, as divulgações requeridas pelo item 13C(a) não estão relacionadas a quaisquer quantias reconhecidas como resultado de contratos de garantia que não cumprem os critérios de compensação no item 42 do CPC 39. Em vez disso, esses valores devem ser divulgados de acordo com o item 13C(d).</w:t>
      </w:r>
    </w:p>
    <w:p w14:paraId="053A0852"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1E5DEEB5" w14:textId="77777777" w:rsidR="003C12AE" w:rsidRPr="003C12AE" w:rsidRDefault="003C12AE" w:rsidP="003C12AE">
      <w:pPr>
        <w:widowControl w:val="0"/>
        <w:tabs>
          <w:tab w:val="left" w:pos="6804"/>
        </w:tabs>
        <w:spacing w:before="2" w:after="2" w:line="250" w:lineRule="auto"/>
        <w:ind w:right="-1"/>
        <w:rPr>
          <w:rFonts w:ascii="Times New Roman" w:hAnsi="Times New Roman"/>
          <w:sz w:val="24"/>
          <w:lang w:val="pt-BR" w:eastAsia="x-none"/>
        </w:rPr>
      </w:pPr>
      <w:r w:rsidRPr="003C12AE">
        <w:rPr>
          <w:rFonts w:ascii="Times New Roman" w:hAnsi="Times New Roman"/>
          <w:b/>
          <w:sz w:val="24"/>
          <w:lang w:val="pt-BR" w:eastAsia="x-none"/>
        </w:rPr>
        <w:lastRenderedPageBreak/>
        <w:t>Divulgação dos valores que são compensados de acordo com os critérios no item 42 do CPC 39</w:t>
      </w:r>
      <w:r w:rsidRPr="003C12AE">
        <w:rPr>
          <w:rFonts w:ascii="Times New Roman" w:hAnsi="Times New Roman"/>
          <w:sz w:val="24"/>
          <w:lang w:val="pt-BR" w:eastAsia="x-none"/>
        </w:rPr>
        <w:t xml:space="preserve"> (item 13C(b))</w:t>
      </w:r>
    </w:p>
    <w:p w14:paraId="149B6315"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2834E17D" w14:textId="3D2ACED9"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B44. </w:t>
      </w:r>
      <w:r w:rsidRPr="003C12AE">
        <w:rPr>
          <w:rFonts w:ascii="Times New Roman" w:hAnsi="Times New Roman"/>
          <w:sz w:val="24"/>
          <w:lang w:val="pt-BR" w:eastAsia="x-none"/>
        </w:rPr>
        <w:tab/>
        <w:t>O item 13C(b) exige que a entidade divulgue os valores compensados de acordo com o item 42 do CPC 39 ao determinar os valores líquidos apresentados no balanço patrimonial. Os valores, tanto dos ativos financeiros reconhecidos, quanto dos passivos financeiros reconhecidos, que estão sujeitos à compensação em conformidade com o mesmo acordo, devem ser divulgados tanto nas divulgações de ativo financeiro quanto nas de passivo financeiro. Entretanto, os valores divulgados (por exemplo, em tabela) estão limitados aos valores que estão sujeitos a compensação. Por exemplo, a entidade pode ter ativo derivativo reconhecido e passivo derivativo reconhecido que cumprem os critérios de compensação descritos no item 42 do CPC 39. Se o valor bruto do ativo derivativo é maior do que o valor bruto do passivo derivativo, a tabela de divulgação de ativos financeiros deve incluir o valor total do ativo derivativo (de acordo com o item 13C(a)) e o valor total do passivo derivativo (de acordo com o item 13C(b)). Contudo, enquanto a tabela de divulgação de passivos financeiros deve incluir o valor total do passivo derivativo (de acordo com o item 13C(a)), ela somente deve incluir o valor do ativo derivativo (de acordo com o item 13C(b)) que seja igual ao valor do passivo derivativo.</w:t>
      </w:r>
    </w:p>
    <w:p w14:paraId="0FBB4F7B"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1FE4D7B6"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r w:rsidRPr="003C12AE">
        <w:rPr>
          <w:rFonts w:ascii="Times New Roman" w:hAnsi="Times New Roman"/>
          <w:sz w:val="24"/>
          <w:lang w:val="pt-BR" w:eastAsia="x-none"/>
        </w:rPr>
        <w:t>Divulgação dos valores líquidos apresentados no balanço patrimonial (item 13C(c))</w:t>
      </w:r>
    </w:p>
    <w:p w14:paraId="2934132C"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4DD03F59" w14:textId="2E4E2683"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B45. </w:t>
      </w:r>
      <w:r w:rsidRPr="003C12AE">
        <w:rPr>
          <w:rFonts w:ascii="Times New Roman" w:hAnsi="Times New Roman"/>
          <w:sz w:val="24"/>
          <w:lang w:val="pt-BR" w:eastAsia="x-none"/>
        </w:rPr>
        <w:tab/>
        <w:t>Se a entidade tem instrumentos que atendem ao alcance dessas divulgações (conforme especificado no item 13A), mas que não atendem aos critérios de compensação descritos no item 42 do CPC 39, os valores que devem ser divulgados pelo item 13C(c) equivalem aos valores que devem ser divulgados pelo item 13C(a).</w:t>
      </w:r>
    </w:p>
    <w:p w14:paraId="491B144B"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2EE66EB8" w14:textId="07284B9B"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B46. </w:t>
      </w:r>
      <w:r w:rsidRPr="003C12AE">
        <w:rPr>
          <w:rFonts w:ascii="Times New Roman" w:hAnsi="Times New Roman"/>
          <w:sz w:val="24"/>
          <w:lang w:val="pt-BR" w:eastAsia="x-none"/>
        </w:rPr>
        <w:tab/>
        <w:t>Os valores que devem ser divulgados pelo item 13C(c) devem ser conciliados com os valores de rubricas individuais apresentados no balanço patrimonial. Por exemplo, se a entidade determina que a agregação ou desagregação de valores de rubricas de demonstrações contábeis individuais fornece informações mais relevantes, ela deve conciliar os valores agregados ou desagregados divulgados no item 13C(c) para os valores de rubricas individuais apresentados no balanço patrimonial.</w:t>
      </w:r>
    </w:p>
    <w:p w14:paraId="59324AC8"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796BAE7F" w14:textId="77777777" w:rsidR="003C12AE" w:rsidRPr="003C12AE" w:rsidRDefault="003C12AE" w:rsidP="003C12AE">
      <w:pPr>
        <w:widowControl w:val="0"/>
        <w:tabs>
          <w:tab w:val="left" w:pos="6804"/>
        </w:tabs>
        <w:spacing w:before="2" w:after="2" w:line="250" w:lineRule="auto"/>
        <w:ind w:right="-1"/>
        <w:rPr>
          <w:rFonts w:ascii="Times New Roman" w:hAnsi="Times New Roman"/>
          <w:sz w:val="24"/>
          <w:lang w:val="pt-BR" w:eastAsia="x-none"/>
        </w:rPr>
      </w:pPr>
      <w:r w:rsidRPr="003C12AE">
        <w:rPr>
          <w:rFonts w:ascii="Times New Roman" w:hAnsi="Times New Roman"/>
          <w:b/>
          <w:sz w:val="24"/>
          <w:lang w:val="pt-BR" w:eastAsia="x-none"/>
        </w:rPr>
        <w:t>Divulgação dos valores sujeitos a acordo principal de liquidação executável ou acordo similar que não estão de outro modo incluídos no item 13C(b)</w:t>
      </w:r>
      <w:r w:rsidRPr="003C12AE">
        <w:rPr>
          <w:rFonts w:ascii="Times New Roman" w:hAnsi="Times New Roman"/>
          <w:sz w:val="24"/>
          <w:lang w:val="pt-BR" w:eastAsia="x-none"/>
        </w:rPr>
        <w:t xml:space="preserve"> (item 13C(d))</w:t>
      </w:r>
    </w:p>
    <w:p w14:paraId="33124828"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5F66F07C" w14:textId="2FE92EE2"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B47. </w:t>
      </w:r>
      <w:r w:rsidRPr="003C12AE">
        <w:rPr>
          <w:rFonts w:ascii="Times New Roman" w:hAnsi="Times New Roman"/>
          <w:sz w:val="24"/>
          <w:lang w:val="pt-BR" w:eastAsia="x-none"/>
        </w:rPr>
        <w:tab/>
        <w:t>O item 13C(d) requer que entidades divulguem valores sujeitos a acordo principal de liquidação executável ou acordo similar, que não estão de outro modo incluídos no item 13C(b). O item 13C(d)(i) refere-se a valores relativos a instrumentos financeiros reconhecidos, que não cumprem alguns ou todos os critérios de compensação descritos no item 42 do CPC 39 (por exemplo, direitos correntes de compensação, que não atendem ao critério descrito no item 42(b) do CPC 39, ou direitos condicionais de compensação, que são executáveis e exercíveis somente em caso de inadimplência, ou somente no caso de insolvência ou falência de quaisquer das contrapartes).</w:t>
      </w:r>
    </w:p>
    <w:p w14:paraId="0B24A99B"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188B49A5" w14:textId="1FB86913"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B48. </w:t>
      </w:r>
      <w:r w:rsidRPr="003C12AE">
        <w:rPr>
          <w:rFonts w:ascii="Times New Roman" w:hAnsi="Times New Roman"/>
          <w:sz w:val="24"/>
          <w:lang w:val="pt-BR" w:eastAsia="x-none"/>
        </w:rPr>
        <w:tab/>
        <w:t xml:space="preserve">O item 13C(d)(ii) refere-se a valores relativos à garantia financeira, incluindo garantia monetária, </w:t>
      </w:r>
      <w:r w:rsidRPr="003C12AE">
        <w:rPr>
          <w:rFonts w:ascii="Times New Roman" w:hAnsi="Times New Roman"/>
          <w:sz w:val="24"/>
          <w:lang w:val="pt-BR" w:eastAsia="x-none"/>
        </w:rPr>
        <w:lastRenderedPageBreak/>
        <w:t>tanto recebida quanto oferecida. A entidade deve divulgar o valor justo desses instrumentos financeiros que foram oferecidos ou recebidos como garantia. Os valores divulgados de acordo com o item 13C(d)(ii) devem estar relacionados à garantia real recebida ou oferecida, e não a quaisquer valores a pagar ou a receber resultantes, reconhecidos para devolver ou receber de volta essa garantia.</w:t>
      </w:r>
    </w:p>
    <w:p w14:paraId="32950A78"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1ABF7B08"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r w:rsidRPr="003C12AE">
        <w:rPr>
          <w:rFonts w:ascii="Times New Roman" w:hAnsi="Times New Roman"/>
          <w:b/>
          <w:sz w:val="24"/>
          <w:lang w:val="pt-BR" w:eastAsia="x-none"/>
        </w:rPr>
        <w:t>Limites sobre os valores divulgados no item 13C(d)</w:t>
      </w:r>
      <w:r w:rsidRPr="003C12AE">
        <w:rPr>
          <w:rFonts w:ascii="Times New Roman" w:hAnsi="Times New Roman"/>
          <w:sz w:val="24"/>
          <w:lang w:val="pt-BR" w:eastAsia="x-none"/>
        </w:rPr>
        <w:t xml:space="preserve"> (item 13D)</w:t>
      </w:r>
    </w:p>
    <w:p w14:paraId="3EDFA8CA"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255B20C8" w14:textId="00A3B0A2"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B49. </w:t>
      </w:r>
      <w:r w:rsidRPr="003C12AE">
        <w:rPr>
          <w:rFonts w:ascii="Times New Roman" w:hAnsi="Times New Roman"/>
          <w:sz w:val="24"/>
          <w:lang w:val="pt-BR" w:eastAsia="x-none"/>
        </w:rPr>
        <w:tab/>
        <w:t>Ao divulgar valores de acordo com o item 13C(d), a entidade deve levar em conta os efeitos de sobregarantia (over-collateralisation) por instrumento financeiro. Para fazer isso, a entidade deve, primeiramente, deduzir os valores divulgados de acordo com o item 13C(d)(i) do valor divulgado de acordo com o item 13C(c). A entidade então deve limitar os valores divulgados de acordo com o item 13C(d)(ii) ao valor restante no item 13C(c) para o respectivo instrumento financeiro. Entretanto, se direitos à garantia podem ser executados em instrumentos financeiros, esses direitos podem ser incluídos na divulgação fornecida de acordo com o item 13D.</w:t>
      </w:r>
    </w:p>
    <w:p w14:paraId="34055280"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4B3ADB08" w14:textId="77777777" w:rsidR="003C12AE" w:rsidRPr="003C12AE" w:rsidRDefault="003C12AE" w:rsidP="003C12AE">
      <w:pPr>
        <w:widowControl w:val="0"/>
        <w:tabs>
          <w:tab w:val="left" w:pos="6804"/>
        </w:tabs>
        <w:spacing w:before="2" w:after="2" w:line="250" w:lineRule="auto"/>
        <w:ind w:right="-1"/>
        <w:rPr>
          <w:rFonts w:ascii="Times New Roman" w:hAnsi="Times New Roman"/>
          <w:sz w:val="24"/>
          <w:lang w:val="pt-BR" w:eastAsia="x-none"/>
        </w:rPr>
      </w:pPr>
      <w:r w:rsidRPr="003C12AE">
        <w:rPr>
          <w:rFonts w:ascii="Times New Roman" w:hAnsi="Times New Roman"/>
          <w:b/>
          <w:sz w:val="24"/>
          <w:lang w:val="pt-BR" w:eastAsia="x-none"/>
        </w:rPr>
        <w:t>Descrição dos direitos de compensação sujeitos a acordos principais de liquidação executáveis e acordos similares</w:t>
      </w:r>
      <w:r w:rsidRPr="003C12AE">
        <w:rPr>
          <w:rFonts w:ascii="Times New Roman" w:hAnsi="Times New Roman"/>
          <w:sz w:val="24"/>
          <w:lang w:val="pt-BR" w:eastAsia="x-none"/>
        </w:rPr>
        <w:t xml:space="preserve"> (item 13E)</w:t>
      </w:r>
    </w:p>
    <w:p w14:paraId="2BF19647"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6E1EE97F" w14:textId="22BBE935"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B50. </w:t>
      </w:r>
      <w:r w:rsidRPr="003C12AE">
        <w:rPr>
          <w:rFonts w:ascii="Times New Roman" w:hAnsi="Times New Roman"/>
          <w:sz w:val="24"/>
          <w:lang w:val="pt-BR" w:eastAsia="x-none"/>
        </w:rPr>
        <w:tab/>
        <w:t>A entidade deve descrever os tipos de direitos de compensação e acordos similares divulgados em conformidade com o item 13C(d), incluindo a natureza desses direitos. Por exemplo, a entidade deve divulgar seus direitos condicionais. Para instrumentos sujeitos a direitos de compensação que não estão condicionados a evento futuro, mas que não cumprem os critérios restantes descritos no item 42 do CPC 39, a entidade deve descrever os motivos pelos quais os critérios não são cumpridos. Para qualquer garantia financeira recebida ou oferecida, a entidade deve descrever os termos do contrato de garantia (por exemplo, quando a garantia é restrita).</w:t>
      </w:r>
    </w:p>
    <w:p w14:paraId="32F0A6D2"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553C9F87"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b/>
          <w:sz w:val="24"/>
          <w:lang w:val="pt-BR" w:eastAsia="x-none"/>
        </w:rPr>
      </w:pPr>
      <w:r w:rsidRPr="003C12AE">
        <w:rPr>
          <w:rFonts w:ascii="Times New Roman" w:hAnsi="Times New Roman"/>
          <w:b/>
          <w:sz w:val="24"/>
          <w:lang w:val="pt-BR" w:eastAsia="x-none"/>
        </w:rPr>
        <w:t>Divulgação por tipo de instrumento financeiro ou por contraparte</w:t>
      </w:r>
    </w:p>
    <w:p w14:paraId="11C0E4B3"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301254A9" w14:textId="1DEE4C22"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B51. </w:t>
      </w:r>
      <w:r w:rsidRPr="003C12AE">
        <w:rPr>
          <w:rFonts w:ascii="Times New Roman" w:hAnsi="Times New Roman"/>
          <w:sz w:val="24"/>
          <w:lang w:val="pt-BR" w:eastAsia="x-none"/>
        </w:rPr>
        <w:tab/>
        <w:t>As divulgações quantitativas requeridas pelo item 13C(a) a (e) podem ser agrupadas por tipo de transação ou instrumento financeiro (por exemplo, derivativos, contratos de recompra e de recompra reversa ou tomada de empréstimo de títulos e contratos de empréstimo de títulos).</w:t>
      </w:r>
    </w:p>
    <w:p w14:paraId="4A46A29F"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12D995B1" w14:textId="59EB63F8"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B52. </w:t>
      </w:r>
      <w:r w:rsidRPr="003C12AE">
        <w:rPr>
          <w:rFonts w:ascii="Times New Roman" w:hAnsi="Times New Roman"/>
          <w:sz w:val="24"/>
          <w:lang w:val="pt-BR" w:eastAsia="x-none"/>
        </w:rPr>
        <w:tab/>
        <w:t>Alternativamente, a entidade pode agrupar as divulgações quantitativas requeridas pelo item 13C(a) a (c) por tipo de instrumento financeiro e as divulgações quantitativas requeridas pelo item 13C(c) a (e) por contraparte. Se a entidade fornecer a informação requerida por contraparte, a entidade não é obrigada a identificar as contrapartes por nome. Entretanto, a designação de contrapartes (contraparte A, contraparte B, contraparte C, etc.) deve continuar consistente ano a ano para os anos apresentados a fim de manter a comparabilidade. Divulgações qualitativas devem ser consideradas de modo que mais informações podem ser dadas sobre os tipos de contrapartes. Quando a divulgação dos valores no item 13C(c) a (e) é fornecida pela contraparte, os valores, que são individualmente significativos em termos de valores totais da contraparte, devem ser divulgados separadamente e os valores restantes da contraparte, individualmente insignificantes, devem ser agregados em uma rubrica.</w:t>
      </w:r>
    </w:p>
    <w:p w14:paraId="4050584E"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65587A3B"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r w:rsidRPr="003C12AE">
        <w:rPr>
          <w:rFonts w:ascii="Times New Roman" w:hAnsi="Times New Roman"/>
          <w:sz w:val="24"/>
          <w:lang w:val="pt-BR" w:eastAsia="x-none"/>
        </w:rPr>
        <w:t>Outros</w:t>
      </w:r>
    </w:p>
    <w:p w14:paraId="0E5617BB" w14:textId="77777777" w:rsidR="003C12AE" w:rsidRPr="003C12AE" w:rsidRDefault="003C12AE" w:rsidP="003C12AE">
      <w:pPr>
        <w:widowControl w:val="0"/>
        <w:tabs>
          <w:tab w:val="left" w:pos="6804"/>
        </w:tabs>
        <w:spacing w:before="2" w:after="2" w:line="250" w:lineRule="auto"/>
        <w:ind w:left="709" w:right="-1" w:hanging="709"/>
        <w:rPr>
          <w:rFonts w:ascii="Times New Roman" w:hAnsi="Times New Roman"/>
          <w:sz w:val="24"/>
          <w:lang w:val="pt-BR" w:eastAsia="x-none"/>
        </w:rPr>
      </w:pPr>
    </w:p>
    <w:p w14:paraId="17D922CC" w14:textId="3666F859" w:rsidR="003C12AE" w:rsidRPr="003C12AE" w:rsidRDefault="003C12AE" w:rsidP="003C12AE">
      <w:pPr>
        <w:widowControl w:val="0"/>
        <w:tabs>
          <w:tab w:val="left" w:pos="6804"/>
        </w:tabs>
        <w:spacing w:before="2" w:after="2" w:line="250" w:lineRule="auto"/>
        <w:ind w:left="567" w:right="-1" w:hanging="567"/>
        <w:rPr>
          <w:rFonts w:ascii="Times New Roman" w:hAnsi="Times New Roman"/>
          <w:sz w:val="24"/>
          <w:lang w:val="pt-BR" w:eastAsia="x-none"/>
        </w:rPr>
      </w:pPr>
      <w:r w:rsidRPr="003C12AE">
        <w:rPr>
          <w:rFonts w:ascii="Times New Roman" w:hAnsi="Times New Roman"/>
          <w:sz w:val="24"/>
          <w:lang w:val="pt-BR" w:eastAsia="x-none"/>
        </w:rPr>
        <w:t xml:space="preserve">B53. </w:t>
      </w:r>
      <w:r w:rsidRPr="003C12AE">
        <w:rPr>
          <w:rFonts w:ascii="Times New Roman" w:hAnsi="Times New Roman"/>
          <w:sz w:val="24"/>
          <w:lang w:val="pt-BR" w:eastAsia="x-none"/>
        </w:rPr>
        <w:tab/>
        <w:t>As divulgações específicas requeridas pelos itens 13C a 13E são requisitos mínimos. Para atingir o objetivo do item 13B, a entidade pode precisar complementá-las com divulgações adicionais (qualitativas), dependendo dos termos dos acordos principais de liquidação executáveis e contratos relacionados, incluindo a natureza dos direitos de compensação e seu efeito ou efeitos potenciais na posição financeira da entidade.</w:t>
      </w:r>
    </w:p>
    <w:p w14:paraId="0018B8FD" w14:textId="77777777" w:rsidR="003C12AE" w:rsidRPr="003C12AE" w:rsidRDefault="003C12AE" w:rsidP="003C12AE">
      <w:pPr>
        <w:widowControl w:val="0"/>
        <w:tabs>
          <w:tab w:val="left" w:pos="6804"/>
        </w:tabs>
        <w:spacing w:before="0" w:after="0"/>
        <w:ind w:left="709" w:right="-1" w:hanging="709"/>
        <w:rPr>
          <w:rFonts w:ascii="Times New Roman" w:hAnsi="Times New Roman"/>
          <w:sz w:val="24"/>
          <w:lang w:val="pt-BR" w:eastAsia="x-none"/>
        </w:rPr>
      </w:pPr>
    </w:p>
    <w:p w14:paraId="2C5A7000" w14:textId="286C3877" w:rsidR="00C578D8" w:rsidRDefault="00C578D8">
      <w:pPr>
        <w:rPr>
          <w:lang w:val="pt-BR"/>
        </w:rPr>
      </w:pPr>
    </w:p>
    <w:p w14:paraId="5ABEFC5B" w14:textId="77777777" w:rsidR="00273211" w:rsidRPr="0096648A" w:rsidRDefault="00273211">
      <w:pPr>
        <w:rPr>
          <w:lang w:val="pt-BR"/>
        </w:rPr>
      </w:pPr>
    </w:p>
    <w:sectPr w:rsidR="00273211" w:rsidRPr="0096648A" w:rsidSect="00A21437">
      <w:headerReference w:type="default" r:id="rId8"/>
      <w:footerReference w:type="even" r:id="rId9"/>
      <w:footerReference w:type="default" r:id="rId10"/>
      <w:headerReference w:type="first" r:id="rId11"/>
      <w:footerReference w:type="first" r:id="rId12"/>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6CBB" w14:textId="77777777" w:rsidR="00DD6242" w:rsidRDefault="00DD6242" w:rsidP="0096648A">
      <w:pPr>
        <w:spacing w:before="0" w:after="0"/>
      </w:pPr>
      <w:r>
        <w:separator/>
      </w:r>
    </w:p>
  </w:endnote>
  <w:endnote w:type="continuationSeparator" w:id="0">
    <w:p w14:paraId="0009F5A4" w14:textId="77777777" w:rsidR="00DD6242" w:rsidRDefault="00DD6242"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Swift LT Pro Extra Bold">
    <w:altName w:val="Arial"/>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framePr w:wrap="around" w:vAnchor="text" w:hAnchor="margin" w:xAlign="center" w:y="1"/>
    </w:pPr>
    <w:r>
      <w:fldChar w:fldCharType="begin"/>
    </w:r>
    <w:r>
      <w:instrText xml:space="preserve">PAGE  </w:instrText>
    </w:r>
    <w:r>
      <w:fldChar w:fldCharType="end"/>
    </w:r>
  </w:p>
  <w:p w14:paraId="6A3FD24D" w14:textId="77777777" w:rsidR="00D76E29" w:rsidRDefault="00510D18">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278856FD" w:rsidR="00AB3649" w:rsidRPr="00AB3649" w:rsidRDefault="00AB3649">
        <w:pPr>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510D18" w:rsidRPr="00510D18">
          <w:rPr>
            <w:rFonts w:asciiTheme="minorHAnsi" w:hAnsiTheme="minorHAnsi" w:cstheme="minorHAnsi"/>
            <w:noProof/>
            <w:szCs w:val="20"/>
            <w:lang w:val="pt-BR"/>
          </w:rPr>
          <w:t>20</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71A61" w14:textId="77777777" w:rsidR="00DD6242" w:rsidRDefault="00DD6242" w:rsidP="0096648A">
      <w:pPr>
        <w:spacing w:before="0" w:after="0"/>
      </w:pPr>
      <w:r>
        <w:separator/>
      </w:r>
    </w:p>
  </w:footnote>
  <w:footnote w:type="continuationSeparator" w:id="0">
    <w:p w14:paraId="6FF14174" w14:textId="77777777" w:rsidR="00DD6242" w:rsidRDefault="00DD6242"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A21437" w:rsidRPr="00A21437" w:rsidRDefault="00510D18" w:rsidP="00A21437">
    <w:pPr>
      <w:spacing w:before="0" w:after="0"/>
      <w:jc w:val="center"/>
      <w:rPr>
        <w:rFonts w:asciiTheme="minorHAnsi" w:hAnsiTheme="minorHAnsi" w:cstheme="minorHAnsi"/>
        <w:noProof/>
        <w:sz w:val="18"/>
        <w:szCs w:val="18"/>
      </w:rPr>
    </w:pPr>
    <w:hyperlink r:id="rId2" w:history="1">
      <w:r w:rsidR="00B21A82" w:rsidRPr="00A51584">
        <w:rPr>
          <w:rFonts w:asciiTheme="minorHAnsi" w:hAnsiTheme="minorHAnsi" w:cstheme="minorHAnsi"/>
          <w:sz w:val="18"/>
          <w:szCs w:val="18"/>
        </w:rPr>
        <w:t>www.gov.br/cvm</w:t>
      </w:r>
    </w:hyperlink>
  </w:p>
  <w:p w14:paraId="18930FD4" w14:textId="73CFA44A" w:rsidR="00D76E29" w:rsidRPr="00A21437" w:rsidRDefault="00AD188A" w:rsidP="00AD188A">
    <w:pPr>
      <w:spacing w:before="240" w:after="240"/>
      <w:rPr>
        <w:rFonts w:asciiTheme="minorHAnsi" w:hAnsiTheme="minorHAnsi" w:cstheme="minorHAnsi"/>
      </w:rPr>
    </w:pPr>
    <w:r w:rsidRPr="00AD188A">
      <w:rPr>
        <w:rFonts w:asciiTheme="minorHAnsi" w:hAnsiTheme="minorHAnsi" w:cstheme="minorHAnsi"/>
        <w:szCs w:val="20"/>
      </w:rPr>
      <w:t>RESOLUÇÃO CVM Nº 121, DE 3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D76E29" w:rsidRDefault="00510D18" w:rsidP="00DF62F3">
    <w:pPr>
      <w:spacing w:before="0" w:after="360"/>
      <w:jc w:val="center"/>
    </w:pPr>
    <w:hyperlink r:id="rId2" w:history="1">
      <w:r w:rsidR="009A6542" w:rsidRPr="00A51584">
        <w:rPr>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63D"/>
    <w:multiLevelType w:val="hybridMultilevel"/>
    <w:tmpl w:val="A1BE9D48"/>
    <w:lvl w:ilvl="0" w:tplc="862E2C22">
      <w:start w:val="1"/>
      <w:numFmt w:val="lowerLetter"/>
      <w:lvlText w:val="(%1)"/>
      <w:lvlJc w:val="left"/>
      <w:pPr>
        <w:tabs>
          <w:tab w:val="num" w:pos="1353"/>
        </w:tabs>
        <w:ind w:left="1353"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4E443F"/>
    <w:multiLevelType w:val="hybridMultilevel"/>
    <w:tmpl w:val="7F10F582"/>
    <w:lvl w:ilvl="0" w:tplc="C8284BDA">
      <w:start w:val="1"/>
      <w:numFmt w:val="lowerLetter"/>
      <w:lvlText w:val="(%1)"/>
      <w:lvlJc w:val="center"/>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09670C"/>
    <w:multiLevelType w:val="hybridMultilevel"/>
    <w:tmpl w:val="A1BE9D48"/>
    <w:lvl w:ilvl="0" w:tplc="862E2C22">
      <w:start w:val="1"/>
      <w:numFmt w:val="lowerLetter"/>
      <w:lvlText w:val="(%1)"/>
      <w:lvlJc w:val="left"/>
      <w:pPr>
        <w:tabs>
          <w:tab w:val="num" w:pos="1353"/>
        </w:tabs>
        <w:ind w:left="1353"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2700EB"/>
    <w:multiLevelType w:val="hybridMultilevel"/>
    <w:tmpl w:val="DD74554A"/>
    <w:lvl w:ilvl="0" w:tplc="6C406B64">
      <w:start w:val="1"/>
      <w:numFmt w:val="lowerLetter"/>
      <w:lvlText w:val="(%1)"/>
      <w:lvlJc w:val="center"/>
      <w:pPr>
        <w:tabs>
          <w:tab w:val="num" w:pos="1353"/>
        </w:tabs>
        <w:ind w:left="1353"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CA52AE"/>
    <w:multiLevelType w:val="hybridMultilevel"/>
    <w:tmpl w:val="37007FFC"/>
    <w:lvl w:ilvl="0" w:tplc="9C667222">
      <w:start w:val="1"/>
      <w:numFmt w:val="lowerRoman"/>
      <w:lvlText w:val="(%1) "/>
      <w:lvlJc w:val="center"/>
      <w:pPr>
        <w:tabs>
          <w:tab w:val="num" w:pos="1920"/>
        </w:tabs>
        <w:ind w:left="1920" w:hanging="360"/>
      </w:pPr>
      <w:rPr>
        <w:rFonts w:cs="Times New Roman" w:hint="default"/>
      </w:rPr>
    </w:lvl>
    <w:lvl w:ilvl="1" w:tplc="C3C86E06">
      <w:start w:val="1"/>
      <w:numFmt w:val="lowerLetter"/>
      <w:lvlText w:val="(%2)"/>
      <w:lvlJc w:val="center"/>
      <w:pPr>
        <w:tabs>
          <w:tab w:val="num" w:pos="1440"/>
        </w:tabs>
        <w:ind w:left="1440" w:hanging="360"/>
      </w:pPr>
      <w:rPr>
        <w:rFonts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6" w15:restartNumberingAfterBreak="0">
    <w:nsid w:val="20410476"/>
    <w:multiLevelType w:val="hybridMultilevel"/>
    <w:tmpl w:val="025C051E"/>
    <w:lvl w:ilvl="0" w:tplc="9A10D550">
      <w:start w:val="1"/>
      <w:numFmt w:val="lowerLetter"/>
      <w:lvlText w:val="(%1)"/>
      <w:lvlJc w:val="center"/>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523C99"/>
    <w:multiLevelType w:val="hybridMultilevel"/>
    <w:tmpl w:val="0210925A"/>
    <w:lvl w:ilvl="0" w:tplc="C2BC4BB6">
      <w:start w:val="1"/>
      <w:numFmt w:val="lowerLetter"/>
      <w:lvlText w:val="(%1)"/>
      <w:lvlJc w:val="center"/>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07630"/>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204C97"/>
    <w:multiLevelType w:val="hybridMultilevel"/>
    <w:tmpl w:val="7512BBE0"/>
    <w:lvl w:ilvl="0" w:tplc="1318E222">
      <w:start w:val="1"/>
      <w:numFmt w:val="lowerRoman"/>
      <w:lvlText w:val="(%1) "/>
      <w:lvlJc w:val="center"/>
      <w:pPr>
        <w:tabs>
          <w:tab w:val="num" w:pos="1920"/>
        </w:tabs>
        <w:ind w:left="1920" w:hanging="360"/>
      </w:pPr>
      <w:rPr>
        <w:rFonts w:cs="Times New Roman" w:hint="default"/>
        <w:strike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2D2B0DD7"/>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61451C"/>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0712B7"/>
    <w:multiLevelType w:val="hybridMultilevel"/>
    <w:tmpl w:val="FF0ADE60"/>
    <w:lvl w:ilvl="0" w:tplc="15D25CD0">
      <w:start w:val="1"/>
      <w:numFmt w:val="lowerLetter"/>
      <w:lvlText w:val="(%1)"/>
      <w:lvlJc w:val="center"/>
      <w:pPr>
        <w:tabs>
          <w:tab w:val="num" w:pos="1353"/>
        </w:tabs>
        <w:ind w:left="1353"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7F11B4"/>
    <w:multiLevelType w:val="hybridMultilevel"/>
    <w:tmpl w:val="1B725A24"/>
    <w:lvl w:ilvl="0" w:tplc="995ABC48">
      <w:start w:val="1"/>
      <w:numFmt w:val="lowerLetter"/>
      <w:lvlText w:val="(%1)"/>
      <w:lvlJc w:val="center"/>
      <w:pPr>
        <w:tabs>
          <w:tab w:val="num" w:pos="1440"/>
        </w:tabs>
        <w:ind w:left="1440" w:hanging="360"/>
      </w:pPr>
      <w:rPr>
        <w:rFonts w:cs="Times New Roman" w:hint="default"/>
        <w:strike w:val="0"/>
      </w:rPr>
    </w:lvl>
    <w:lvl w:ilvl="1" w:tplc="04160019">
      <w:start w:val="1"/>
      <w:numFmt w:val="lowerLetter"/>
      <w:lvlText w:val="%2."/>
      <w:lvlJc w:val="left"/>
      <w:pPr>
        <w:tabs>
          <w:tab w:val="num" w:pos="2160"/>
        </w:tabs>
        <w:ind w:left="2160" w:hanging="360"/>
      </w:pPr>
      <w:rPr>
        <w:rFonts w:cs="Times New Roman"/>
      </w:rPr>
    </w:lvl>
    <w:lvl w:ilvl="2" w:tplc="0416001B" w:tentative="1">
      <w:start w:val="1"/>
      <w:numFmt w:val="lowerRoman"/>
      <w:lvlText w:val="%3."/>
      <w:lvlJc w:val="right"/>
      <w:pPr>
        <w:tabs>
          <w:tab w:val="num" w:pos="2880"/>
        </w:tabs>
        <w:ind w:left="2880" w:hanging="180"/>
      </w:pPr>
      <w:rPr>
        <w:rFonts w:cs="Times New Roman"/>
      </w:rPr>
    </w:lvl>
    <w:lvl w:ilvl="3" w:tplc="0416000F" w:tentative="1">
      <w:start w:val="1"/>
      <w:numFmt w:val="decimal"/>
      <w:lvlText w:val="%4."/>
      <w:lvlJc w:val="left"/>
      <w:pPr>
        <w:tabs>
          <w:tab w:val="num" w:pos="3600"/>
        </w:tabs>
        <w:ind w:left="3600" w:hanging="360"/>
      </w:pPr>
      <w:rPr>
        <w:rFonts w:cs="Times New Roman"/>
      </w:rPr>
    </w:lvl>
    <w:lvl w:ilvl="4" w:tplc="04160019" w:tentative="1">
      <w:start w:val="1"/>
      <w:numFmt w:val="lowerLetter"/>
      <w:lvlText w:val="%5."/>
      <w:lvlJc w:val="left"/>
      <w:pPr>
        <w:tabs>
          <w:tab w:val="num" w:pos="4320"/>
        </w:tabs>
        <w:ind w:left="4320" w:hanging="360"/>
      </w:pPr>
      <w:rPr>
        <w:rFonts w:cs="Times New Roman"/>
      </w:rPr>
    </w:lvl>
    <w:lvl w:ilvl="5" w:tplc="0416001B" w:tentative="1">
      <w:start w:val="1"/>
      <w:numFmt w:val="lowerRoman"/>
      <w:lvlText w:val="%6."/>
      <w:lvlJc w:val="right"/>
      <w:pPr>
        <w:tabs>
          <w:tab w:val="num" w:pos="5040"/>
        </w:tabs>
        <w:ind w:left="5040" w:hanging="180"/>
      </w:pPr>
      <w:rPr>
        <w:rFonts w:cs="Times New Roman"/>
      </w:rPr>
    </w:lvl>
    <w:lvl w:ilvl="6" w:tplc="0416000F" w:tentative="1">
      <w:start w:val="1"/>
      <w:numFmt w:val="decimal"/>
      <w:lvlText w:val="%7."/>
      <w:lvlJc w:val="left"/>
      <w:pPr>
        <w:tabs>
          <w:tab w:val="num" w:pos="5760"/>
        </w:tabs>
        <w:ind w:left="5760" w:hanging="360"/>
      </w:pPr>
      <w:rPr>
        <w:rFonts w:cs="Times New Roman"/>
      </w:rPr>
    </w:lvl>
    <w:lvl w:ilvl="7" w:tplc="04160019" w:tentative="1">
      <w:start w:val="1"/>
      <w:numFmt w:val="lowerLetter"/>
      <w:lvlText w:val="%8."/>
      <w:lvlJc w:val="left"/>
      <w:pPr>
        <w:tabs>
          <w:tab w:val="num" w:pos="6480"/>
        </w:tabs>
        <w:ind w:left="6480" w:hanging="360"/>
      </w:pPr>
      <w:rPr>
        <w:rFonts w:cs="Times New Roman"/>
      </w:rPr>
    </w:lvl>
    <w:lvl w:ilvl="8" w:tplc="0416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5DF5827"/>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0E6E9C"/>
    <w:multiLevelType w:val="hybridMultilevel"/>
    <w:tmpl w:val="37E81502"/>
    <w:lvl w:ilvl="0" w:tplc="C994A584">
      <w:start w:val="1"/>
      <w:numFmt w:val="lowerLetter"/>
      <w:lvlText w:val="(%1)"/>
      <w:lvlJc w:val="center"/>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FA42F8"/>
    <w:multiLevelType w:val="hybridMultilevel"/>
    <w:tmpl w:val="23FCCA94"/>
    <w:lvl w:ilvl="0" w:tplc="28ACD608">
      <w:start w:val="1"/>
      <w:numFmt w:val="lowerRoman"/>
      <w:lvlText w:val="(%1) "/>
      <w:lvlJc w:val="center"/>
      <w:pPr>
        <w:tabs>
          <w:tab w:val="num" w:pos="1920"/>
        </w:tabs>
        <w:ind w:left="1920" w:hanging="360"/>
      </w:pPr>
      <w:rPr>
        <w:rFonts w:cs="Times New Roman" w:hint="default"/>
        <w:strike w:val="0"/>
      </w:rPr>
    </w:lvl>
    <w:lvl w:ilvl="1" w:tplc="C8BC5EAC">
      <w:start w:val="1"/>
      <w:numFmt w:val="lowerLetter"/>
      <w:lvlText w:val="(%2)"/>
      <w:lvlJc w:val="center"/>
      <w:pPr>
        <w:tabs>
          <w:tab w:val="num" w:pos="1455"/>
        </w:tabs>
        <w:ind w:left="1455" w:hanging="375"/>
      </w:pPr>
      <w:rPr>
        <w:rFonts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37822A1F"/>
    <w:multiLevelType w:val="hybridMultilevel"/>
    <w:tmpl w:val="E83A7AA0"/>
    <w:lvl w:ilvl="0" w:tplc="B192A80E">
      <w:start w:val="1"/>
      <w:numFmt w:val="lowerLetter"/>
      <w:lvlText w:val="(%1)"/>
      <w:lvlJc w:val="center"/>
      <w:pPr>
        <w:tabs>
          <w:tab w:val="num" w:pos="1211"/>
        </w:tabs>
        <w:ind w:left="1211" w:hanging="360"/>
      </w:pPr>
      <w:rPr>
        <w:rFonts w:cs="Times New Roman" w:hint="default"/>
        <w:b w:val="0"/>
        <w:i w:val="0"/>
        <w:strike w:val="0"/>
      </w:rPr>
    </w:lvl>
    <w:lvl w:ilvl="1" w:tplc="04160019" w:tentative="1">
      <w:start w:val="1"/>
      <w:numFmt w:val="lowerLetter"/>
      <w:lvlText w:val="%2."/>
      <w:lvlJc w:val="left"/>
      <w:pPr>
        <w:tabs>
          <w:tab w:val="num" w:pos="1581"/>
        </w:tabs>
        <w:ind w:left="1581" w:hanging="360"/>
      </w:pPr>
      <w:rPr>
        <w:rFonts w:cs="Times New Roman"/>
      </w:rPr>
    </w:lvl>
    <w:lvl w:ilvl="2" w:tplc="0416001B" w:tentative="1">
      <w:start w:val="1"/>
      <w:numFmt w:val="lowerRoman"/>
      <w:lvlText w:val="%3."/>
      <w:lvlJc w:val="right"/>
      <w:pPr>
        <w:tabs>
          <w:tab w:val="num" w:pos="2301"/>
        </w:tabs>
        <w:ind w:left="2301" w:hanging="180"/>
      </w:pPr>
      <w:rPr>
        <w:rFonts w:cs="Times New Roman"/>
      </w:rPr>
    </w:lvl>
    <w:lvl w:ilvl="3" w:tplc="0416000F" w:tentative="1">
      <w:start w:val="1"/>
      <w:numFmt w:val="decimal"/>
      <w:lvlText w:val="%4."/>
      <w:lvlJc w:val="left"/>
      <w:pPr>
        <w:tabs>
          <w:tab w:val="num" w:pos="3021"/>
        </w:tabs>
        <w:ind w:left="3021" w:hanging="360"/>
      </w:pPr>
      <w:rPr>
        <w:rFonts w:cs="Times New Roman"/>
      </w:rPr>
    </w:lvl>
    <w:lvl w:ilvl="4" w:tplc="04160019" w:tentative="1">
      <w:start w:val="1"/>
      <w:numFmt w:val="lowerLetter"/>
      <w:lvlText w:val="%5."/>
      <w:lvlJc w:val="left"/>
      <w:pPr>
        <w:tabs>
          <w:tab w:val="num" w:pos="3741"/>
        </w:tabs>
        <w:ind w:left="3741" w:hanging="360"/>
      </w:pPr>
      <w:rPr>
        <w:rFonts w:cs="Times New Roman"/>
      </w:rPr>
    </w:lvl>
    <w:lvl w:ilvl="5" w:tplc="0416001B" w:tentative="1">
      <w:start w:val="1"/>
      <w:numFmt w:val="lowerRoman"/>
      <w:lvlText w:val="%6."/>
      <w:lvlJc w:val="right"/>
      <w:pPr>
        <w:tabs>
          <w:tab w:val="num" w:pos="4461"/>
        </w:tabs>
        <w:ind w:left="4461" w:hanging="180"/>
      </w:pPr>
      <w:rPr>
        <w:rFonts w:cs="Times New Roman"/>
      </w:rPr>
    </w:lvl>
    <w:lvl w:ilvl="6" w:tplc="0416000F" w:tentative="1">
      <w:start w:val="1"/>
      <w:numFmt w:val="decimal"/>
      <w:lvlText w:val="%7."/>
      <w:lvlJc w:val="left"/>
      <w:pPr>
        <w:tabs>
          <w:tab w:val="num" w:pos="5181"/>
        </w:tabs>
        <w:ind w:left="5181" w:hanging="360"/>
      </w:pPr>
      <w:rPr>
        <w:rFonts w:cs="Times New Roman"/>
      </w:rPr>
    </w:lvl>
    <w:lvl w:ilvl="7" w:tplc="04160019" w:tentative="1">
      <w:start w:val="1"/>
      <w:numFmt w:val="lowerLetter"/>
      <w:lvlText w:val="%8."/>
      <w:lvlJc w:val="left"/>
      <w:pPr>
        <w:tabs>
          <w:tab w:val="num" w:pos="5901"/>
        </w:tabs>
        <w:ind w:left="5901" w:hanging="360"/>
      </w:pPr>
      <w:rPr>
        <w:rFonts w:cs="Times New Roman"/>
      </w:rPr>
    </w:lvl>
    <w:lvl w:ilvl="8" w:tplc="0416001B" w:tentative="1">
      <w:start w:val="1"/>
      <w:numFmt w:val="lowerRoman"/>
      <w:lvlText w:val="%9."/>
      <w:lvlJc w:val="right"/>
      <w:pPr>
        <w:tabs>
          <w:tab w:val="num" w:pos="6621"/>
        </w:tabs>
        <w:ind w:left="6621" w:hanging="180"/>
      </w:pPr>
      <w:rPr>
        <w:rFonts w:cs="Times New Roman"/>
      </w:rPr>
    </w:lvl>
  </w:abstractNum>
  <w:abstractNum w:abstractNumId="18" w15:restartNumberingAfterBreak="0">
    <w:nsid w:val="3C281A76"/>
    <w:multiLevelType w:val="hybridMultilevel"/>
    <w:tmpl w:val="762031B6"/>
    <w:lvl w:ilvl="0" w:tplc="677A1C00">
      <w:start w:val="1"/>
      <w:numFmt w:val="lowerLetter"/>
      <w:lvlText w:val="(%1)"/>
      <w:lvlJc w:val="center"/>
      <w:pPr>
        <w:tabs>
          <w:tab w:val="num" w:pos="1353"/>
        </w:tabs>
        <w:ind w:left="1353"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FB695B"/>
    <w:multiLevelType w:val="hybridMultilevel"/>
    <w:tmpl w:val="6266496C"/>
    <w:lvl w:ilvl="0" w:tplc="048CE54E">
      <w:start w:val="1"/>
      <w:numFmt w:val="lowerLetter"/>
      <w:lvlText w:val="(%1)"/>
      <w:lvlJc w:val="center"/>
      <w:pPr>
        <w:tabs>
          <w:tab w:val="num" w:pos="1353"/>
        </w:tabs>
        <w:ind w:left="1353"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3A4B3F"/>
    <w:multiLevelType w:val="hybridMultilevel"/>
    <w:tmpl w:val="7D6AE084"/>
    <w:lvl w:ilvl="0" w:tplc="C10C9BB8">
      <w:start w:val="1"/>
      <w:numFmt w:val="lowerLetter"/>
      <w:lvlText w:val="(%1)"/>
      <w:lvlJc w:val="center"/>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3B2E7B"/>
    <w:multiLevelType w:val="hybridMultilevel"/>
    <w:tmpl w:val="C2C6B7DA"/>
    <w:lvl w:ilvl="0" w:tplc="94EC985A">
      <w:start w:val="1"/>
      <w:numFmt w:val="lowerLetter"/>
      <w:lvlText w:val="(%1)"/>
      <w:lvlJc w:val="center"/>
      <w:pPr>
        <w:tabs>
          <w:tab w:val="num" w:pos="1353"/>
        </w:tabs>
        <w:ind w:left="1353" w:hanging="360"/>
      </w:pPr>
      <w:rPr>
        <w:rFonts w:cs="Times New Roman" w:hint="default"/>
        <w:b w:val="0"/>
        <w:i w:val="0"/>
        <w:strike w:val="0"/>
      </w:rPr>
    </w:lvl>
    <w:lvl w:ilvl="1" w:tplc="484AB584">
      <w:start w:val="1"/>
      <w:numFmt w:val="lowerLetter"/>
      <w:lvlText w:val="(%2)"/>
      <w:lvlJc w:val="center"/>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416003"/>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206CCB"/>
    <w:multiLevelType w:val="hybridMultilevel"/>
    <w:tmpl w:val="FADA0DF4"/>
    <w:lvl w:ilvl="0" w:tplc="8878EC5A">
      <w:start w:val="1"/>
      <w:numFmt w:val="lowerLetter"/>
      <w:lvlText w:val="(%1)"/>
      <w:lvlJc w:val="center"/>
      <w:pPr>
        <w:tabs>
          <w:tab w:val="num" w:pos="1353"/>
        </w:tabs>
        <w:ind w:left="1353"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9D05C6"/>
    <w:multiLevelType w:val="hybridMultilevel"/>
    <w:tmpl w:val="B936EED0"/>
    <w:lvl w:ilvl="0" w:tplc="40068418">
      <w:start w:val="1"/>
      <w:numFmt w:val="lowerLetter"/>
      <w:lvlText w:val="(%1)"/>
      <w:lvlJc w:val="center"/>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FD1CB1"/>
    <w:multiLevelType w:val="hybridMultilevel"/>
    <w:tmpl w:val="2D520E16"/>
    <w:lvl w:ilvl="0" w:tplc="862E2C22">
      <w:start w:val="1"/>
      <w:numFmt w:val="lowerLetter"/>
      <w:lvlText w:val="(%1)"/>
      <w:lvlJc w:val="left"/>
      <w:pPr>
        <w:tabs>
          <w:tab w:val="num" w:pos="1353"/>
        </w:tabs>
        <w:ind w:left="1353" w:hanging="360"/>
      </w:pPr>
      <w:rPr>
        <w:rFonts w:cs="Times New Roman" w:hint="default"/>
        <w:b w:val="0"/>
        <w:i w:val="0"/>
      </w:rPr>
    </w:lvl>
    <w:lvl w:ilvl="1" w:tplc="C58E84AC">
      <w:numFmt w:val="bullet"/>
      <w:lvlText w:val="•"/>
      <w:lvlJc w:val="left"/>
      <w:pPr>
        <w:ind w:left="1800" w:hanging="720"/>
      </w:pPr>
      <w:rPr>
        <w:rFonts w:ascii="Times New Roman" w:eastAsia="Times New Roman" w:hAnsi="Times New Roman" w:hint="default"/>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5F35B5"/>
    <w:multiLevelType w:val="hybridMultilevel"/>
    <w:tmpl w:val="2668E4A4"/>
    <w:lvl w:ilvl="0" w:tplc="04160001">
      <w:start w:val="1"/>
      <w:numFmt w:val="bullet"/>
      <w:lvlText w:val=""/>
      <w:lvlJc w:val="left"/>
      <w:pPr>
        <w:ind w:left="2007" w:hanging="360"/>
      </w:pPr>
      <w:rPr>
        <w:rFonts w:ascii="Symbol" w:hAnsi="Symbol" w:hint="default"/>
      </w:rPr>
    </w:lvl>
    <w:lvl w:ilvl="1" w:tplc="04160003" w:tentative="1">
      <w:start w:val="1"/>
      <w:numFmt w:val="bullet"/>
      <w:lvlText w:val="o"/>
      <w:lvlJc w:val="left"/>
      <w:pPr>
        <w:ind w:left="2727" w:hanging="360"/>
      </w:pPr>
      <w:rPr>
        <w:rFonts w:ascii="Courier New" w:hAnsi="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27" w15:restartNumberingAfterBreak="0">
    <w:nsid w:val="6A7F6ADC"/>
    <w:multiLevelType w:val="hybridMultilevel"/>
    <w:tmpl w:val="A1BE9D48"/>
    <w:lvl w:ilvl="0" w:tplc="862E2C22">
      <w:start w:val="1"/>
      <w:numFmt w:val="lowerLetter"/>
      <w:lvlText w:val="(%1)"/>
      <w:lvlJc w:val="left"/>
      <w:pPr>
        <w:tabs>
          <w:tab w:val="num" w:pos="1353"/>
        </w:tabs>
        <w:ind w:left="1353"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1371C2F"/>
    <w:multiLevelType w:val="hybridMultilevel"/>
    <w:tmpl w:val="118A3416"/>
    <w:lvl w:ilvl="0" w:tplc="A162B828">
      <w:start w:val="1"/>
      <w:numFmt w:val="lowerLetter"/>
      <w:lvlText w:val="(%1)"/>
      <w:lvlJc w:val="center"/>
      <w:pPr>
        <w:tabs>
          <w:tab w:val="num" w:pos="1353"/>
        </w:tabs>
        <w:ind w:left="1353"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5F34A68"/>
    <w:multiLevelType w:val="hybridMultilevel"/>
    <w:tmpl w:val="43B265BA"/>
    <w:lvl w:ilvl="0" w:tplc="862E2C22">
      <w:start w:val="1"/>
      <w:numFmt w:val="lowerLetter"/>
      <w:lvlText w:val="(%1)"/>
      <w:lvlJc w:val="left"/>
      <w:pPr>
        <w:tabs>
          <w:tab w:val="num" w:pos="1070"/>
        </w:tabs>
        <w:ind w:left="1070" w:hanging="360"/>
      </w:pPr>
      <w:rPr>
        <w:rFonts w:cs="Times New Roman" w:hint="default"/>
        <w:b w:val="0"/>
        <w:i w:val="0"/>
      </w:rPr>
    </w:lvl>
    <w:lvl w:ilvl="1" w:tplc="71B0F2AC">
      <w:start w:val="1"/>
      <w:numFmt w:val="lowerRoman"/>
      <w:lvlText w:val="(%2) "/>
      <w:lvlJc w:val="center"/>
      <w:pPr>
        <w:tabs>
          <w:tab w:val="num" w:pos="1920"/>
        </w:tabs>
        <w:ind w:left="192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5F5C1E"/>
    <w:multiLevelType w:val="hybridMultilevel"/>
    <w:tmpl w:val="3C9A5BA6"/>
    <w:lvl w:ilvl="0" w:tplc="F3E4F622">
      <w:start w:val="1"/>
      <w:numFmt w:val="lowerLetter"/>
      <w:lvlText w:val="(%1)"/>
      <w:lvlJc w:val="center"/>
      <w:pPr>
        <w:tabs>
          <w:tab w:val="num" w:pos="1353"/>
        </w:tabs>
        <w:ind w:left="1353"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6F61F5A"/>
    <w:multiLevelType w:val="hybridMultilevel"/>
    <w:tmpl w:val="CC0A1454"/>
    <w:lvl w:ilvl="0" w:tplc="9AD6AEB4">
      <w:start w:val="1"/>
      <w:numFmt w:val="lowerLetter"/>
      <w:lvlText w:val="(%1)"/>
      <w:lvlJc w:val="center"/>
      <w:pPr>
        <w:tabs>
          <w:tab w:val="num" w:pos="1353"/>
        </w:tabs>
        <w:ind w:left="1353"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B10EA7"/>
    <w:multiLevelType w:val="hybridMultilevel"/>
    <w:tmpl w:val="EBACC17C"/>
    <w:lvl w:ilvl="0" w:tplc="9C667222">
      <w:start w:val="1"/>
      <w:numFmt w:val="lowerRoman"/>
      <w:lvlText w:val="(%1) "/>
      <w:lvlJc w:val="center"/>
      <w:pPr>
        <w:tabs>
          <w:tab w:val="num" w:pos="1920"/>
        </w:tabs>
        <w:ind w:left="1920" w:hanging="360"/>
      </w:pPr>
      <w:rPr>
        <w:rFonts w:cs="Times New Roman" w:hint="default"/>
      </w:rPr>
    </w:lvl>
    <w:lvl w:ilvl="1" w:tplc="9048A96A">
      <w:start w:val="1"/>
      <w:numFmt w:val="lowerLetter"/>
      <w:lvlText w:val="(%2)"/>
      <w:lvlJc w:val="center"/>
      <w:pPr>
        <w:tabs>
          <w:tab w:val="num" w:pos="1440"/>
        </w:tabs>
        <w:ind w:left="1440" w:hanging="360"/>
      </w:pPr>
      <w:rPr>
        <w:rFonts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3" w15:restartNumberingAfterBreak="0">
    <w:nsid w:val="7BFF394C"/>
    <w:multiLevelType w:val="hybridMultilevel"/>
    <w:tmpl w:val="C868D668"/>
    <w:lvl w:ilvl="0" w:tplc="EDEE865A">
      <w:start w:val="1"/>
      <w:numFmt w:val="lowerLetter"/>
      <w:lvlText w:val="(%1)"/>
      <w:lvlJc w:val="center"/>
      <w:pPr>
        <w:tabs>
          <w:tab w:val="num" w:pos="1070"/>
        </w:tabs>
        <w:ind w:left="1070" w:hanging="360"/>
      </w:pPr>
      <w:rPr>
        <w:rFonts w:cs="Times New Roman" w:hint="default"/>
        <w:b w:val="0"/>
        <w:i w:val="0"/>
        <w:strike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982151"/>
    <w:multiLevelType w:val="hybridMultilevel"/>
    <w:tmpl w:val="7986A5CA"/>
    <w:lvl w:ilvl="0" w:tplc="CAD616BE">
      <w:start w:val="1"/>
      <w:numFmt w:val="lowerLetter"/>
      <w:lvlText w:val="(%1)"/>
      <w:lvlJc w:val="center"/>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2"/>
  </w:num>
  <w:num w:numId="3">
    <w:abstractNumId w:val="29"/>
  </w:num>
  <w:num w:numId="4">
    <w:abstractNumId w:val="6"/>
  </w:num>
  <w:num w:numId="5">
    <w:abstractNumId w:val="24"/>
  </w:num>
  <w:num w:numId="6">
    <w:abstractNumId w:val="17"/>
  </w:num>
  <w:num w:numId="7">
    <w:abstractNumId w:val="33"/>
  </w:num>
  <w:num w:numId="8">
    <w:abstractNumId w:val="20"/>
  </w:num>
  <w:num w:numId="9">
    <w:abstractNumId w:val="7"/>
  </w:num>
  <w:num w:numId="10">
    <w:abstractNumId w:val="1"/>
  </w:num>
  <w:num w:numId="11">
    <w:abstractNumId w:val="34"/>
  </w:num>
  <w:num w:numId="12">
    <w:abstractNumId w:val="9"/>
  </w:num>
  <w:num w:numId="13">
    <w:abstractNumId w:val="32"/>
  </w:num>
  <w:num w:numId="14">
    <w:abstractNumId w:val="11"/>
  </w:num>
  <w:num w:numId="15">
    <w:abstractNumId w:val="8"/>
  </w:num>
  <w:num w:numId="16">
    <w:abstractNumId w:val="10"/>
  </w:num>
  <w:num w:numId="17">
    <w:abstractNumId w:val="14"/>
  </w:num>
  <w:num w:numId="18">
    <w:abstractNumId w:val="0"/>
  </w:num>
  <w:num w:numId="19">
    <w:abstractNumId w:val="2"/>
  </w:num>
  <w:num w:numId="20">
    <w:abstractNumId w:val="25"/>
  </w:num>
  <w:num w:numId="21">
    <w:abstractNumId w:val="27"/>
  </w:num>
  <w:num w:numId="22">
    <w:abstractNumId w:val="12"/>
  </w:num>
  <w:num w:numId="23">
    <w:abstractNumId w:val="3"/>
  </w:num>
  <w:num w:numId="24">
    <w:abstractNumId w:val="16"/>
  </w:num>
  <w:num w:numId="25">
    <w:abstractNumId w:val="4"/>
  </w:num>
  <w:num w:numId="26">
    <w:abstractNumId w:val="19"/>
  </w:num>
  <w:num w:numId="27">
    <w:abstractNumId w:val="28"/>
  </w:num>
  <w:num w:numId="28">
    <w:abstractNumId w:val="21"/>
  </w:num>
  <w:num w:numId="29">
    <w:abstractNumId w:val="23"/>
  </w:num>
  <w:num w:numId="30">
    <w:abstractNumId w:val="30"/>
  </w:num>
  <w:num w:numId="31">
    <w:abstractNumId w:val="31"/>
  </w:num>
  <w:num w:numId="32">
    <w:abstractNumId w:val="18"/>
  </w:num>
  <w:num w:numId="33">
    <w:abstractNumId w:val="15"/>
  </w:num>
  <w:num w:numId="34">
    <w:abstractNumId w:val="13"/>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05E88"/>
    <w:rsid w:val="00022748"/>
    <w:rsid w:val="000F3F53"/>
    <w:rsid w:val="001122C5"/>
    <w:rsid w:val="001373F4"/>
    <w:rsid w:val="00171633"/>
    <w:rsid w:val="001761E4"/>
    <w:rsid w:val="001A50BC"/>
    <w:rsid w:val="00232B93"/>
    <w:rsid w:val="00273211"/>
    <w:rsid w:val="002C3E7C"/>
    <w:rsid w:val="002F11A7"/>
    <w:rsid w:val="003A6351"/>
    <w:rsid w:val="003B4D38"/>
    <w:rsid w:val="003C12AE"/>
    <w:rsid w:val="004164F7"/>
    <w:rsid w:val="004530A0"/>
    <w:rsid w:val="00510D18"/>
    <w:rsid w:val="00524834"/>
    <w:rsid w:val="00544FCE"/>
    <w:rsid w:val="00546E19"/>
    <w:rsid w:val="005C15EE"/>
    <w:rsid w:val="005F67B8"/>
    <w:rsid w:val="00601B37"/>
    <w:rsid w:val="00681257"/>
    <w:rsid w:val="00694A51"/>
    <w:rsid w:val="006D54B9"/>
    <w:rsid w:val="00776AAD"/>
    <w:rsid w:val="0084434F"/>
    <w:rsid w:val="00881B98"/>
    <w:rsid w:val="008C1532"/>
    <w:rsid w:val="008F1E67"/>
    <w:rsid w:val="00955A45"/>
    <w:rsid w:val="0096569F"/>
    <w:rsid w:val="0096648A"/>
    <w:rsid w:val="00986681"/>
    <w:rsid w:val="009A6542"/>
    <w:rsid w:val="009B0FDA"/>
    <w:rsid w:val="009D3457"/>
    <w:rsid w:val="00A051C5"/>
    <w:rsid w:val="00A21437"/>
    <w:rsid w:val="00A92033"/>
    <w:rsid w:val="00AB3649"/>
    <w:rsid w:val="00AD188A"/>
    <w:rsid w:val="00AD488D"/>
    <w:rsid w:val="00B1476D"/>
    <w:rsid w:val="00B21A82"/>
    <w:rsid w:val="00B50D6E"/>
    <w:rsid w:val="00B64CBB"/>
    <w:rsid w:val="00C4357A"/>
    <w:rsid w:val="00C578D8"/>
    <w:rsid w:val="00C72039"/>
    <w:rsid w:val="00CF08C5"/>
    <w:rsid w:val="00CF424B"/>
    <w:rsid w:val="00D0237A"/>
    <w:rsid w:val="00D52EBB"/>
    <w:rsid w:val="00D600A8"/>
    <w:rsid w:val="00DC3686"/>
    <w:rsid w:val="00DD6242"/>
    <w:rsid w:val="00DF432C"/>
    <w:rsid w:val="00DF62F3"/>
    <w:rsid w:val="00EF3A43"/>
    <w:rsid w:val="00F00DE9"/>
    <w:rsid w:val="00F1158F"/>
    <w:rsid w:val="00F307D5"/>
    <w:rsid w:val="00F54822"/>
    <w:rsid w:val="00FB0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uiPriority w:val="9"/>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uiPriority w:val="9"/>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uiPriority w:val="9"/>
    <w:qFormat/>
    <w:rsid w:val="0096648A"/>
    <w:pPr>
      <w:keepNext/>
      <w:spacing w:before="240" w:after="60"/>
      <w:outlineLvl w:val="2"/>
    </w:pPr>
    <w:rPr>
      <w:rFonts w:cs="Arial"/>
      <w:b/>
      <w:bCs/>
      <w:sz w:val="26"/>
      <w:szCs w:val="26"/>
    </w:rPr>
  </w:style>
  <w:style w:type="paragraph" w:styleId="Ttulo4">
    <w:name w:val="heading 4"/>
    <w:basedOn w:val="Normal"/>
    <w:next w:val="Normal"/>
    <w:link w:val="Ttulo4Char"/>
    <w:uiPriority w:val="9"/>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uiPriority w:val="9"/>
    <w:qFormat/>
    <w:rsid w:val="0096648A"/>
    <w:pPr>
      <w:spacing w:before="240" w:after="60"/>
      <w:outlineLvl w:val="4"/>
    </w:pPr>
    <w:rPr>
      <w:b/>
      <w:bCs/>
      <w:i/>
      <w:iCs/>
      <w:sz w:val="26"/>
      <w:szCs w:val="26"/>
    </w:rPr>
  </w:style>
  <w:style w:type="paragraph" w:styleId="Ttulo6">
    <w:name w:val="heading 6"/>
    <w:basedOn w:val="Normal"/>
    <w:next w:val="Normal"/>
    <w:link w:val="Ttulo6Char"/>
    <w:uiPriority w:val="9"/>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uiPriority w:val="9"/>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uiPriority w:val="9"/>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uiPriority w:val="9"/>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uiPriority w:val="9"/>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uiPriority w:val="9"/>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uiPriority w:val="9"/>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uiPriority w:val="9"/>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uiPriority w:val="99"/>
    <w:rsid w:val="0096648A"/>
    <w:pPr>
      <w:tabs>
        <w:tab w:val="center" w:pos="4320"/>
        <w:tab w:val="right" w:pos="8640"/>
      </w:tabs>
    </w:pPr>
    <w:rPr>
      <w:lang w:eastAsia="x-none"/>
    </w:rPr>
  </w:style>
  <w:style w:type="character" w:customStyle="1" w:styleId="RodapChar">
    <w:name w:val="Rodapé Char"/>
    <w:basedOn w:val="Fontepargpadro"/>
    <w:link w:val="Rodap"/>
    <w:uiPriority w:val="99"/>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uiPriority w:val="99"/>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uiPriority w:val="99"/>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uiPriority w:val="99"/>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uiPriority w:val="99"/>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uiPriority w:val="99"/>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uiPriority w:val="99"/>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uiPriority w:val="99"/>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uiPriority w:val="99"/>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uiPriority w:val="99"/>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uiPriority w:val="99"/>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uiPriority w:val="99"/>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uiPriority w:val="99"/>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uiPriority w:val="99"/>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uiPriority w:val="39"/>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uiPriority w:val="99"/>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uiPriority w:val="99"/>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UnresolvedMention">
    <w:name w:val="Unresolved Mention"/>
    <w:basedOn w:val="Fontepargpadro"/>
    <w:uiPriority w:val="99"/>
    <w:semiHidden/>
    <w:unhideWhenUsed/>
    <w:rsid w:val="009A6542"/>
    <w:rPr>
      <w:color w:val="605E5C"/>
      <w:shd w:val="clear" w:color="auto" w:fill="E1DFDD"/>
    </w:rPr>
  </w:style>
  <w:style w:type="paragraph" w:styleId="Ttulo">
    <w:name w:val="Title"/>
    <w:basedOn w:val="Normal"/>
    <w:link w:val="TtuloChar"/>
    <w:uiPriority w:val="10"/>
    <w:qFormat/>
    <w:rsid w:val="003C12AE"/>
    <w:pPr>
      <w:autoSpaceDE w:val="0"/>
      <w:autoSpaceDN w:val="0"/>
      <w:adjustRightInd w:val="0"/>
      <w:spacing w:before="0" w:after="0"/>
      <w:jc w:val="center"/>
    </w:pPr>
    <w:rPr>
      <w:rFonts w:ascii="Times New Roman" w:hAnsi="Times New Roman"/>
      <w:b/>
      <w:bCs/>
      <w:noProof/>
      <w:color w:val="000000"/>
      <w:sz w:val="24"/>
      <w:lang w:val="pt-BR"/>
    </w:rPr>
  </w:style>
  <w:style w:type="character" w:customStyle="1" w:styleId="TtuloChar">
    <w:name w:val="Título Char"/>
    <w:basedOn w:val="Fontepargpadro"/>
    <w:link w:val="Ttulo"/>
    <w:uiPriority w:val="10"/>
    <w:rsid w:val="003C12AE"/>
    <w:rPr>
      <w:rFonts w:ascii="Times New Roman" w:eastAsia="Times New Roman" w:hAnsi="Times New Roman" w:cs="Times New Roman"/>
      <w:b/>
      <w:bCs/>
      <w:noProof/>
      <w:color w:val="000000"/>
      <w:sz w:val="24"/>
      <w:szCs w:val="24"/>
      <w:lang w:eastAsia="pt-BR"/>
    </w:rPr>
  </w:style>
  <w:style w:type="paragraph" w:styleId="Recuonormal">
    <w:name w:val="Normal Indent"/>
    <w:basedOn w:val="Normal"/>
    <w:uiPriority w:val="99"/>
    <w:rsid w:val="003C12AE"/>
    <w:pPr>
      <w:spacing w:before="0" w:after="0"/>
      <w:ind w:left="720"/>
    </w:pPr>
    <w:rPr>
      <w:rFonts w:ascii="Times New Roman" w:hAnsi="Times New Roman"/>
      <w:sz w:val="22"/>
      <w:szCs w:val="20"/>
      <w:lang w:val="pt-BR" w:eastAsia="en-US"/>
    </w:rPr>
  </w:style>
  <w:style w:type="paragraph" w:customStyle="1" w:styleId="IASBIdentifier">
    <w:name w:val="IASB Identifier"/>
    <w:basedOn w:val="IASBTitle"/>
    <w:rsid w:val="003C12AE"/>
    <w:rPr>
      <w:sz w:val="24"/>
      <w:lang w:eastAsia="pt-BR"/>
    </w:rPr>
  </w:style>
  <w:style w:type="paragraph" w:customStyle="1" w:styleId="ColorfulList-Accent11">
    <w:name w:val="Colorful List - Accent 11"/>
    <w:basedOn w:val="Normal"/>
    <w:uiPriority w:val="34"/>
    <w:qFormat/>
    <w:rsid w:val="003C12AE"/>
    <w:pPr>
      <w:ind w:left="708"/>
    </w:pPr>
  </w:style>
  <w:style w:type="character" w:customStyle="1" w:styleId="texton1">
    <w:name w:val="texto_n1"/>
    <w:rsid w:val="003C12AE"/>
    <w:rPr>
      <w:rFonts w:ascii="Verdana" w:hAnsi="Verdana"/>
      <w:color w:val="2C2175"/>
      <w:sz w:val="11"/>
      <w:u w:val="none"/>
      <w:effect w:val="none"/>
    </w:rPr>
  </w:style>
  <w:style w:type="paragraph" w:customStyle="1" w:styleId="western">
    <w:name w:val="western"/>
    <w:basedOn w:val="Normal"/>
    <w:rsid w:val="003C12AE"/>
    <w:pPr>
      <w:spacing w:before="100" w:beforeAutospacing="1" w:after="100" w:afterAutospacing="1"/>
      <w:jc w:val="left"/>
    </w:pPr>
    <w:rPr>
      <w:rFonts w:ascii="Times New Roman" w:hAnsi="Times New Roman"/>
      <w:color w:val="000000"/>
      <w:sz w:val="24"/>
      <w:lang w:val="pt-BR"/>
    </w:rPr>
  </w:style>
  <w:style w:type="paragraph" w:customStyle="1" w:styleId="nparabold">
    <w:name w:val="npara_bold"/>
    <w:rsid w:val="003C12AE"/>
    <w:pPr>
      <w:suppressAutoHyphens/>
      <w:autoSpaceDE w:val="0"/>
      <w:autoSpaceDN w:val="0"/>
      <w:adjustRightInd w:val="0"/>
      <w:spacing w:after="120" w:line="220" w:lineRule="atLeast"/>
      <w:jc w:val="both"/>
    </w:pPr>
    <w:rPr>
      <w:rFonts w:ascii="Swift LT Pro Extra Bold" w:eastAsia="Times New Roman" w:hAnsi="Swift LT Pro Extra Bold" w:cs="Swift LT Pro Extra Bold"/>
      <w:color w:val="000000"/>
      <w:w w:val="0"/>
      <w:sz w:val="16"/>
      <w:szCs w:val="16"/>
      <w:lang w:val="en-GB"/>
    </w:rPr>
  </w:style>
  <w:style w:type="paragraph" w:customStyle="1" w:styleId="loweralpha1bold">
    <w:name w:val="lower_alpha1_bold"/>
    <w:rsid w:val="003C12AE"/>
    <w:pPr>
      <w:tabs>
        <w:tab w:val="left" w:pos="420"/>
      </w:tabs>
      <w:suppressAutoHyphens/>
      <w:autoSpaceDE w:val="0"/>
      <w:autoSpaceDN w:val="0"/>
      <w:adjustRightInd w:val="0"/>
      <w:spacing w:after="120" w:line="220" w:lineRule="atLeast"/>
      <w:ind w:left="420" w:hanging="420"/>
      <w:jc w:val="both"/>
    </w:pPr>
    <w:rPr>
      <w:rFonts w:ascii="Swift LT Pro Extra Bold" w:eastAsia="Times New Roman" w:hAnsi="Swift LT Pro Extra Bold" w:cs="Swift LT Pro Extra Bold"/>
      <w:color w:val="000000"/>
      <w:w w:val="0"/>
      <w:sz w:val="16"/>
      <w:szCs w:val="16"/>
      <w:lang w:val="en-GB"/>
    </w:rPr>
  </w:style>
  <w:style w:type="paragraph" w:customStyle="1" w:styleId="loweralphabold">
    <w:name w:val="lower_alpha_bold"/>
    <w:rsid w:val="003C12AE"/>
    <w:pPr>
      <w:tabs>
        <w:tab w:val="left" w:pos="420"/>
      </w:tabs>
      <w:suppressAutoHyphens/>
      <w:autoSpaceDE w:val="0"/>
      <w:autoSpaceDN w:val="0"/>
      <w:adjustRightInd w:val="0"/>
      <w:spacing w:after="120" w:line="220" w:lineRule="atLeast"/>
      <w:ind w:left="420" w:hanging="420"/>
      <w:jc w:val="both"/>
    </w:pPr>
    <w:rPr>
      <w:rFonts w:ascii="Swift LT Pro Extra Bold" w:eastAsia="Times New Roman" w:hAnsi="Swift LT Pro Extra Bold" w:cs="Swift LT Pro Extra Bold"/>
      <w:color w:val="000000"/>
      <w:w w:val="0"/>
      <w:sz w:val="16"/>
      <w:szCs w:val="16"/>
      <w:lang w:val="en-GB"/>
    </w:rPr>
  </w:style>
  <w:style w:type="character" w:customStyle="1" w:styleId="xreffmt">
    <w:name w:val="xref_fmt"/>
    <w:rsid w:val="003C12AE"/>
  </w:style>
  <w:style w:type="character" w:customStyle="1" w:styleId="FontStyle59">
    <w:name w:val="Font Style59"/>
    <w:rsid w:val="003C12AE"/>
    <w:rPr>
      <w:rFonts w:ascii="Cambria" w:hAnsi="Cambria"/>
      <w:sz w:val="16"/>
    </w:rPr>
  </w:style>
  <w:style w:type="paragraph" w:customStyle="1" w:styleId="Style22">
    <w:name w:val="Style22"/>
    <w:basedOn w:val="Normal"/>
    <w:rsid w:val="003C12AE"/>
    <w:pPr>
      <w:widowControl w:val="0"/>
      <w:autoSpaceDE w:val="0"/>
      <w:autoSpaceDN w:val="0"/>
      <w:adjustRightInd w:val="0"/>
      <w:spacing w:before="0" w:after="0"/>
      <w:jc w:val="left"/>
    </w:pPr>
    <w:rPr>
      <w:rFonts w:ascii="Cambria" w:eastAsia="Batang" w:hAnsi="Cambria"/>
      <w:sz w:val="24"/>
      <w:lang w:val="pt-B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135612">
      <w:bodyDiv w:val="1"/>
      <w:marLeft w:val="0"/>
      <w:marRight w:val="0"/>
      <w:marTop w:val="0"/>
      <w:marBottom w:val="0"/>
      <w:divBdr>
        <w:top w:val="none" w:sz="0" w:space="0" w:color="auto"/>
        <w:left w:val="none" w:sz="0" w:space="0" w:color="auto"/>
        <w:bottom w:val="none" w:sz="0" w:space="0" w:color="auto"/>
        <w:right w:val="none" w:sz="0" w:space="0" w:color="auto"/>
      </w:divBdr>
    </w:div>
    <w:div w:id="21014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B421-2C7C-446D-9C9E-D8A9339D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54</Pages>
  <Words>21156</Words>
  <Characters>114246</Characters>
  <Application>Microsoft Office Word</Application>
  <DocSecurity>0</DocSecurity>
  <Lines>952</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Renata dos Santos Leitão</cp:lastModifiedBy>
  <cp:revision>54</cp:revision>
  <dcterms:created xsi:type="dcterms:W3CDTF">2021-07-21T15:16:00Z</dcterms:created>
  <dcterms:modified xsi:type="dcterms:W3CDTF">2022-06-02T13:48:00Z</dcterms:modified>
</cp:coreProperties>
</file>