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D6084" w14:textId="7603496B" w:rsidR="00D46F9A" w:rsidRPr="00665977" w:rsidRDefault="00101667" w:rsidP="00F6565E">
      <w:pPr>
        <w:pStyle w:val="Corpodetexto2"/>
        <w:spacing w:before="120" w:line="312" w:lineRule="auto"/>
        <w:jc w:val="center"/>
        <w:rPr>
          <w:rFonts w:asciiTheme="minorHAnsi" w:hAnsiTheme="minorHAnsi" w:cstheme="minorHAnsi"/>
          <w:bCs/>
          <w:szCs w:val="16"/>
        </w:rPr>
      </w:pPr>
      <w:r w:rsidRPr="00101667">
        <w:rPr>
          <w:rFonts w:asciiTheme="minorHAnsi" w:hAnsiTheme="minorHAnsi" w:cstheme="minorHAnsi"/>
          <w:szCs w:val="16"/>
        </w:rPr>
        <w:t>RESOLUÇÃO CVM Nº 12</w:t>
      </w:r>
      <w:r>
        <w:rPr>
          <w:rFonts w:asciiTheme="minorHAnsi" w:hAnsiTheme="minorHAnsi" w:cstheme="minorHAnsi"/>
          <w:szCs w:val="16"/>
        </w:rPr>
        <w:t>3</w:t>
      </w:r>
      <w:r w:rsidRPr="00101667">
        <w:rPr>
          <w:rFonts w:asciiTheme="minorHAnsi" w:hAnsiTheme="minorHAnsi" w:cstheme="minorHAnsi"/>
          <w:szCs w:val="16"/>
        </w:rPr>
        <w:t>, DE 3 DE JUNHO DE 2022</w:t>
      </w:r>
    </w:p>
    <w:p w14:paraId="254D7172" w14:textId="5279F18E" w:rsidR="00D46F9A" w:rsidRPr="00665977" w:rsidRDefault="00D46F9A" w:rsidP="00F6565E">
      <w:pPr>
        <w:pStyle w:val="Recuodecorpodetexto"/>
        <w:spacing w:before="240" w:after="240" w:line="312" w:lineRule="auto"/>
        <w:ind w:left="5103"/>
        <w:jc w:val="both"/>
        <w:rPr>
          <w:rFonts w:asciiTheme="minorHAnsi" w:hAnsiTheme="minorHAnsi" w:cstheme="minorHAnsi"/>
          <w:iCs/>
        </w:rPr>
      </w:pPr>
      <w:r w:rsidRPr="00665977">
        <w:rPr>
          <w:rFonts w:asciiTheme="minorHAnsi" w:hAnsiTheme="minorHAnsi" w:cstheme="minorHAnsi"/>
          <w:iCs/>
        </w:rPr>
        <w:t xml:space="preserve">Aprova </w:t>
      </w:r>
      <w:r w:rsidR="00F813E9">
        <w:t>a Consolidação d</w:t>
      </w:r>
      <w:r w:rsidR="007E336C">
        <w:rPr>
          <w:rFonts w:asciiTheme="minorHAnsi" w:hAnsiTheme="minorHAnsi" w:cstheme="minorHAnsi"/>
          <w:iCs/>
        </w:rPr>
        <w:t xml:space="preserve">a Interpretação Técnica ICPC </w:t>
      </w:r>
      <w:r w:rsidR="00E1179D">
        <w:rPr>
          <w:rFonts w:asciiTheme="minorHAnsi" w:hAnsiTheme="minorHAnsi" w:cstheme="minorHAnsi"/>
          <w:iCs/>
        </w:rPr>
        <w:t>07</w:t>
      </w:r>
      <w:r w:rsidRPr="00665977">
        <w:rPr>
          <w:rFonts w:asciiTheme="minorHAnsi" w:hAnsiTheme="minorHAnsi" w:cstheme="minorHAnsi"/>
          <w:iCs/>
        </w:rPr>
        <w:t xml:space="preserve"> do Comitê de Pronunciamentos Contábeis</w:t>
      </w:r>
      <w:r w:rsidR="00F813E9" w:rsidRPr="00F813E9">
        <w:rPr>
          <w:rFonts w:asciiTheme="minorHAnsi" w:hAnsiTheme="minorHAnsi" w:cstheme="minorHAnsi"/>
          <w:iCs/>
        </w:rPr>
        <w:t xml:space="preserve"> – CPC,</w:t>
      </w:r>
      <w:r w:rsidRPr="00665977">
        <w:rPr>
          <w:rFonts w:asciiTheme="minorHAnsi" w:hAnsiTheme="minorHAnsi" w:cstheme="minorHAnsi"/>
          <w:iCs/>
        </w:rPr>
        <w:t xml:space="preserve"> </w:t>
      </w:r>
      <w:r w:rsidR="00E94CB2">
        <w:rPr>
          <w:rFonts w:asciiTheme="minorHAnsi" w:hAnsiTheme="minorHAnsi" w:cstheme="minorHAnsi"/>
          <w:iCs/>
        </w:rPr>
        <w:t xml:space="preserve">que </w:t>
      </w:r>
      <w:r w:rsidR="00E94CB2" w:rsidRPr="003B2E2B">
        <w:rPr>
          <w:rFonts w:asciiTheme="minorHAnsi" w:hAnsiTheme="minorHAnsi" w:cstheme="minorHAnsi"/>
          <w:iCs/>
        </w:rPr>
        <w:t xml:space="preserve">trata </w:t>
      </w:r>
      <w:r w:rsidR="00F813E9">
        <w:rPr>
          <w:rFonts w:asciiTheme="minorHAnsi" w:hAnsiTheme="minorHAnsi" w:cstheme="minorHAnsi"/>
          <w:iCs/>
        </w:rPr>
        <w:t>d</w:t>
      </w:r>
      <w:r w:rsidR="00D11055" w:rsidRPr="003B2E2B">
        <w:rPr>
          <w:rFonts w:asciiTheme="minorHAnsi" w:hAnsiTheme="minorHAnsi" w:cstheme="minorHAnsi"/>
          <w:iCs/>
        </w:rPr>
        <w:t>e</w:t>
      </w:r>
      <w:r w:rsidR="00D95C95" w:rsidRPr="003B2E2B">
        <w:rPr>
          <w:rFonts w:asciiTheme="minorHAnsi" w:hAnsiTheme="minorHAnsi" w:cstheme="minorHAnsi"/>
          <w:iCs/>
        </w:rPr>
        <w:t xml:space="preserve"> </w:t>
      </w:r>
      <w:r w:rsidR="005404F5">
        <w:rPr>
          <w:rFonts w:asciiTheme="minorHAnsi" w:hAnsiTheme="minorHAnsi" w:cstheme="minorHAnsi"/>
          <w:iCs/>
        </w:rPr>
        <w:t>d</w:t>
      </w:r>
      <w:r w:rsidR="0034742C">
        <w:rPr>
          <w:rFonts w:asciiTheme="minorHAnsi" w:hAnsiTheme="minorHAnsi" w:cstheme="minorHAnsi"/>
          <w:iCs/>
        </w:rPr>
        <w:t xml:space="preserve">istribuição de </w:t>
      </w:r>
      <w:r w:rsidR="005404F5">
        <w:rPr>
          <w:rFonts w:asciiTheme="minorHAnsi" w:hAnsiTheme="minorHAnsi" w:cstheme="minorHAnsi"/>
          <w:iCs/>
        </w:rPr>
        <w:t>l</w:t>
      </w:r>
      <w:r w:rsidR="0034742C">
        <w:rPr>
          <w:rFonts w:asciiTheme="minorHAnsi" w:hAnsiTheme="minorHAnsi" w:cstheme="minorHAnsi"/>
          <w:iCs/>
        </w:rPr>
        <w:t xml:space="preserve">ucros </w:t>
      </w:r>
      <w:r w:rsidR="005404F5" w:rsidRPr="005404F5">
        <w:rPr>
          <w:rFonts w:asciiTheme="minorHAnsi" w:hAnsiTheme="minorHAnsi" w:cstheme="minorHAnsi"/>
          <w:i/>
        </w:rPr>
        <w:t>i</w:t>
      </w:r>
      <w:r w:rsidR="0034742C" w:rsidRPr="005404F5">
        <w:rPr>
          <w:rFonts w:asciiTheme="minorHAnsi" w:hAnsiTheme="minorHAnsi" w:cstheme="minorHAnsi"/>
          <w:i/>
        </w:rPr>
        <w:t xml:space="preserve">n </w:t>
      </w:r>
      <w:r w:rsidR="005404F5" w:rsidRPr="005404F5">
        <w:rPr>
          <w:rFonts w:asciiTheme="minorHAnsi" w:hAnsiTheme="minorHAnsi" w:cstheme="minorHAnsi"/>
          <w:i/>
        </w:rPr>
        <w:t>n</w:t>
      </w:r>
      <w:r w:rsidR="0034742C" w:rsidRPr="005404F5">
        <w:rPr>
          <w:rFonts w:asciiTheme="minorHAnsi" w:hAnsiTheme="minorHAnsi" w:cstheme="minorHAnsi"/>
          <w:i/>
        </w:rPr>
        <w:t>atura.</w:t>
      </w:r>
    </w:p>
    <w:p w14:paraId="29D08539" w14:textId="39385175" w:rsidR="00D46F9A" w:rsidRPr="00665977" w:rsidRDefault="00D46F9A" w:rsidP="00F6565E">
      <w:pPr>
        <w:pStyle w:val="Corpodetexto2"/>
        <w:spacing w:before="120" w:line="312" w:lineRule="auto"/>
        <w:ind w:firstLine="567"/>
        <w:jc w:val="both"/>
        <w:rPr>
          <w:rFonts w:asciiTheme="minorHAnsi" w:hAnsiTheme="minorHAnsi" w:cstheme="minorHAnsi"/>
          <w:bCs/>
          <w:szCs w:val="16"/>
        </w:rPr>
      </w:pPr>
      <w:r w:rsidRPr="00665977">
        <w:rPr>
          <w:rFonts w:asciiTheme="minorHAnsi" w:hAnsiTheme="minorHAnsi" w:cstheme="minorHAnsi"/>
          <w:szCs w:val="16"/>
        </w:rPr>
        <w:t xml:space="preserve">O </w:t>
      </w:r>
      <w:r w:rsidRPr="00665977">
        <w:rPr>
          <w:rFonts w:asciiTheme="minorHAnsi" w:hAnsiTheme="minorHAnsi" w:cstheme="minorHAnsi"/>
          <w:b/>
          <w:bCs/>
          <w:szCs w:val="16"/>
        </w:rPr>
        <w:t>PRESIDENTE DA COMISSÃO DE VALORES MOBILIÁRIOS - CVM</w:t>
      </w:r>
      <w:r w:rsidRPr="00665977">
        <w:rPr>
          <w:rFonts w:asciiTheme="minorHAnsi" w:hAnsiTheme="minorHAnsi" w:cstheme="minorHAnsi"/>
          <w:szCs w:val="16"/>
        </w:rPr>
        <w:t xml:space="preserve"> torna público que o Colegiado, em reunião realizada em </w:t>
      </w:r>
      <w:r w:rsidR="00BD36A7">
        <w:rPr>
          <w:rFonts w:asciiTheme="minorHAnsi" w:hAnsiTheme="minorHAnsi" w:cstheme="minorHAnsi"/>
          <w:szCs w:val="16"/>
        </w:rPr>
        <w:t xml:space="preserve">4 de maio </w:t>
      </w:r>
      <w:r w:rsidRPr="00F813E9">
        <w:rPr>
          <w:rFonts w:asciiTheme="minorHAnsi" w:hAnsiTheme="minorHAnsi" w:cstheme="minorHAnsi"/>
          <w:szCs w:val="16"/>
        </w:rPr>
        <w:t>de 20</w:t>
      </w:r>
      <w:r w:rsidR="00045FF1" w:rsidRPr="00F813E9">
        <w:rPr>
          <w:rFonts w:asciiTheme="minorHAnsi" w:hAnsiTheme="minorHAnsi" w:cstheme="minorHAnsi"/>
          <w:szCs w:val="16"/>
        </w:rPr>
        <w:t>2</w:t>
      </w:r>
      <w:r w:rsidR="00F813E9" w:rsidRPr="00F813E9">
        <w:rPr>
          <w:rFonts w:asciiTheme="minorHAnsi" w:hAnsiTheme="minorHAnsi" w:cstheme="minorHAnsi"/>
          <w:szCs w:val="16"/>
        </w:rPr>
        <w:t>2</w:t>
      </w:r>
      <w:r w:rsidRPr="00665977">
        <w:rPr>
          <w:rFonts w:asciiTheme="minorHAnsi" w:hAnsiTheme="minorHAnsi" w:cstheme="minorHAnsi"/>
          <w:szCs w:val="16"/>
        </w:rPr>
        <w:t xml:space="preserve">, com fundamento nos §§ 3º e 5º do art. 177 da Lei n° 6.404, de 15 de dezembro de 1976, combinados com os incisos II e IV do § 1° do art. 22 da Lei n° 6.385, de 7 de dezembro de 1976, </w:t>
      </w:r>
      <w:r w:rsidR="00045FF1" w:rsidRPr="00665977">
        <w:rPr>
          <w:rFonts w:asciiTheme="minorHAnsi" w:hAnsiTheme="minorHAnsi" w:cstheme="minorHAnsi"/>
          <w:szCs w:val="16"/>
        </w:rPr>
        <w:t xml:space="preserve">bem como nos arts. 5º e 14 do Decreto nº 10.139, de 28 de novembro de 2019, </w:t>
      </w:r>
      <w:r w:rsidRPr="00665977">
        <w:rPr>
          <w:rFonts w:asciiTheme="minorHAnsi" w:hAnsiTheme="minorHAnsi" w:cstheme="minorHAnsi"/>
          <w:b/>
          <w:bCs/>
          <w:szCs w:val="16"/>
        </w:rPr>
        <w:t>APROVOU</w:t>
      </w:r>
      <w:r w:rsidRPr="00665977">
        <w:rPr>
          <w:rFonts w:asciiTheme="minorHAnsi" w:hAnsiTheme="minorHAnsi" w:cstheme="minorHAnsi"/>
          <w:szCs w:val="16"/>
        </w:rPr>
        <w:t xml:space="preserve"> a seguinte Resolução:</w:t>
      </w:r>
    </w:p>
    <w:p w14:paraId="65BD1463" w14:textId="50AFCA9E" w:rsidR="00D46F9A" w:rsidRPr="00665977" w:rsidRDefault="00D46F9A" w:rsidP="006E6083">
      <w:pPr>
        <w:autoSpaceDE w:val="0"/>
        <w:autoSpaceDN w:val="0"/>
        <w:adjustRightInd w:val="0"/>
        <w:spacing w:before="360" w:after="120" w:line="312" w:lineRule="auto"/>
        <w:ind w:firstLine="567"/>
        <w:jc w:val="both"/>
        <w:rPr>
          <w:rFonts w:asciiTheme="minorHAnsi" w:hAnsiTheme="minorHAnsi" w:cstheme="minorHAnsi"/>
        </w:rPr>
      </w:pPr>
      <w:r w:rsidRPr="00665977">
        <w:rPr>
          <w:rFonts w:asciiTheme="minorHAnsi" w:hAnsiTheme="minorHAnsi" w:cstheme="minorHAnsi"/>
        </w:rPr>
        <w:t>Art. 1º</w:t>
      </w:r>
      <w:r w:rsidR="0038216D" w:rsidRPr="00665977">
        <w:rPr>
          <w:rFonts w:asciiTheme="minorHAnsi" w:hAnsiTheme="minorHAnsi" w:cstheme="minorHAnsi"/>
        </w:rPr>
        <w:t xml:space="preserve"> </w:t>
      </w:r>
      <w:r w:rsidR="00F813E9">
        <w:rPr>
          <w:rFonts w:asciiTheme="minorHAnsi" w:hAnsiTheme="minorHAnsi" w:cstheme="minorHAnsi"/>
        </w:rPr>
        <w:t xml:space="preserve"> </w:t>
      </w:r>
      <w:r w:rsidR="00665977" w:rsidRPr="00665977">
        <w:rPr>
          <w:rFonts w:asciiTheme="minorHAnsi" w:hAnsiTheme="minorHAnsi" w:cstheme="minorHAnsi"/>
        </w:rPr>
        <w:t>Torna obrigatóri</w:t>
      </w:r>
      <w:r w:rsidR="00FF64C9">
        <w:rPr>
          <w:rFonts w:asciiTheme="minorHAnsi" w:hAnsiTheme="minorHAnsi" w:cstheme="minorHAnsi"/>
        </w:rPr>
        <w:t>a</w:t>
      </w:r>
      <w:r w:rsidR="00665977" w:rsidRPr="00665977">
        <w:rPr>
          <w:rFonts w:asciiTheme="minorHAnsi" w:hAnsiTheme="minorHAnsi" w:cstheme="minorHAnsi"/>
        </w:rPr>
        <w:t xml:space="preserve"> para as companhias abertas </w:t>
      </w:r>
      <w:r w:rsidR="00FF64C9">
        <w:rPr>
          <w:rFonts w:asciiTheme="minorHAnsi" w:hAnsiTheme="minorHAnsi" w:cstheme="minorHAnsi"/>
        </w:rPr>
        <w:t xml:space="preserve">a Interpretação Técnica ICPC </w:t>
      </w:r>
      <w:r w:rsidR="005F4EDC">
        <w:rPr>
          <w:rFonts w:asciiTheme="minorHAnsi" w:hAnsiTheme="minorHAnsi" w:cstheme="minorHAnsi"/>
        </w:rPr>
        <w:t>07</w:t>
      </w:r>
      <w:r w:rsidR="00F813E9" w:rsidRPr="00F813E9">
        <w:rPr>
          <w:rFonts w:asciiTheme="minorHAnsi" w:hAnsiTheme="minorHAnsi" w:cstheme="minorHAnsi"/>
          <w:iCs/>
        </w:rPr>
        <w:t>,</w:t>
      </w:r>
      <w:r w:rsidR="00F813E9" w:rsidRPr="00665977">
        <w:rPr>
          <w:rFonts w:asciiTheme="minorHAnsi" w:hAnsiTheme="minorHAnsi" w:cstheme="minorHAnsi"/>
          <w:iCs/>
        </w:rPr>
        <w:t xml:space="preserve"> </w:t>
      </w:r>
      <w:r w:rsidR="00F813E9">
        <w:rPr>
          <w:rFonts w:asciiTheme="minorHAnsi" w:hAnsiTheme="minorHAnsi" w:cstheme="minorHAnsi"/>
          <w:iCs/>
        </w:rPr>
        <w:t xml:space="preserve">que </w:t>
      </w:r>
      <w:r w:rsidR="00F813E9" w:rsidRPr="003B2E2B">
        <w:rPr>
          <w:rFonts w:asciiTheme="minorHAnsi" w:hAnsiTheme="minorHAnsi" w:cstheme="minorHAnsi"/>
          <w:iCs/>
        </w:rPr>
        <w:t xml:space="preserve">trata </w:t>
      </w:r>
      <w:r w:rsidR="00F813E9">
        <w:rPr>
          <w:rFonts w:asciiTheme="minorHAnsi" w:hAnsiTheme="minorHAnsi" w:cstheme="minorHAnsi"/>
          <w:iCs/>
        </w:rPr>
        <w:t>d</w:t>
      </w:r>
      <w:r w:rsidR="00F813E9" w:rsidRPr="003B2E2B">
        <w:rPr>
          <w:rFonts w:asciiTheme="minorHAnsi" w:hAnsiTheme="minorHAnsi" w:cstheme="minorHAnsi"/>
          <w:iCs/>
        </w:rPr>
        <w:t xml:space="preserve">e </w:t>
      </w:r>
      <w:r w:rsidR="00F813E9">
        <w:rPr>
          <w:rFonts w:asciiTheme="minorHAnsi" w:hAnsiTheme="minorHAnsi" w:cstheme="minorHAnsi"/>
          <w:iCs/>
        </w:rPr>
        <w:t xml:space="preserve">distribuição de lucros </w:t>
      </w:r>
      <w:r w:rsidR="00F813E9" w:rsidRPr="005404F5">
        <w:rPr>
          <w:rFonts w:asciiTheme="minorHAnsi" w:hAnsiTheme="minorHAnsi" w:cstheme="minorHAnsi"/>
          <w:i/>
        </w:rPr>
        <w:t>in natura</w:t>
      </w:r>
      <w:r w:rsidR="00F813E9" w:rsidRPr="00F813E9">
        <w:rPr>
          <w:rFonts w:asciiTheme="minorHAnsi" w:hAnsiTheme="minorHAnsi" w:cstheme="minorHAnsi"/>
          <w:iCs/>
        </w:rPr>
        <w:t>,</w:t>
      </w:r>
      <w:r w:rsidR="00FF64C9">
        <w:rPr>
          <w:rFonts w:asciiTheme="minorHAnsi" w:hAnsiTheme="minorHAnsi" w:cstheme="minorHAnsi"/>
        </w:rPr>
        <w:t xml:space="preserve"> </w:t>
      </w:r>
      <w:r w:rsidR="00665977" w:rsidRPr="00665977">
        <w:rPr>
          <w:rFonts w:asciiTheme="minorHAnsi" w:hAnsiTheme="minorHAnsi" w:cstheme="minorHAnsi"/>
        </w:rPr>
        <w:t>emitid</w:t>
      </w:r>
      <w:r w:rsidR="003A7E45">
        <w:rPr>
          <w:rFonts w:asciiTheme="minorHAnsi" w:hAnsiTheme="minorHAnsi" w:cstheme="minorHAnsi"/>
        </w:rPr>
        <w:t>a</w:t>
      </w:r>
      <w:r w:rsidR="00665977" w:rsidRPr="00665977">
        <w:rPr>
          <w:rFonts w:asciiTheme="minorHAnsi" w:hAnsiTheme="minorHAnsi" w:cstheme="minorHAnsi"/>
        </w:rPr>
        <w:t xml:space="preserve"> pelo Comitê de Pronunciamentos Contábeis - CPC, </w:t>
      </w:r>
      <w:r w:rsidR="00F813E9" w:rsidRPr="00F813E9">
        <w:rPr>
          <w:rFonts w:asciiTheme="minorHAnsi" w:hAnsiTheme="minorHAnsi" w:cstheme="minorHAnsi"/>
        </w:rPr>
        <w:t>conforme consolidad</w:t>
      </w:r>
      <w:r w:rsidR="00F813E9">
        <w:rPr>
          <w:rFonts w:asciiTheme="minorHAnsi" w:hAnsiTheme="minorHAnsi" w:cstheme="minorHAnsi"/>
        </w:rPr>
        <w:t xml:space="preserve">a </w:t>
      </w:r>
      <w:r w:rsidR="00F813E9" w:rsidRPr="00F813E9">
        <w:rPr>
          <w:rFonts w:asciiTheme="minorHAnsi" w:hAnsiTheme="minorHAnsi" w:cstheme="minorHAnsi"/>
        </w:rPr>
        <w:t>no Anexo “A” à presente Resolução</w:t>
      </w:r>
      <w:r w:rsidR="005F4EDC">
        <w:rPr>
          <w:rFonts w:asciiTheme="minorHAnsi" w:hAnsiTheme="minorHAnsi" w:cstheme="minorHAnsi"/>
        </w:rPr>
        <w:t>.</w:t>
      </w:r>
    </w:p>
    <w:p w14:paraId="7713847E" w14:textId="1FCE8422" w:rsidR="00D46F9A" w:rsidRPr="00665977" w:rsidRDefault="00D46F9A" w:rsidP="00F6565E">
      <w:pPr>
        <w:autoSpaceDE w:val="0"/>
        <w:autoSpaceDN w:val="0"/>
        <w:adjustRightInd w:val="0"/>
        <w:spacing w:before="120" w:after="120" w:line="312" w:lineRule="auto"/>
        <w:ind w:firstLine="567"/>
        <w:jc w:val="both"/>
        <w:rPr>
          <w:rFonts w:asciiTheme="minorHAnsi" w:hAnsiTheme="minorHAnsi" w:cstheme="minorHAnsi"/>
        </w:rPr>
      </w:pPr>
      <w:r w:rsidRPr="00665977">
        <w:rPr>
          <w:rFonts w:asciiTheme="minorHAnsi" w:hAnsiTheme="minorHAnsi" w:cstheme="minorHAnsi"/>
        </w:rPr>
        <w:t>Art. 2º</w:t>
      </w:r>
      <w:r w:rsidR="0038216D" w:rsidRPr="00665977">
        <w:rPr>
          <w:rFonts w:asciiTheme="minorHAnsi" w:hAnsiTheme="minorHAnsi" w:cstheme="minorHAnsi"/>
        </w:rPr>
        <w:t xml:space="preserve"> </w:t>
      </w:r>
      <w:r w:rsidR="00F813E9">
        <w:rPr>
          <w:rFonts w:asciiTheme="minorHAnsi" w:hAnsiTheme="minorHAnsi" w:cstheme="minorHAnsi"/>
        </w:rPr>
        <w:t xml:space="preserve"> </w:t>
      </w:r>
      <w:r w:rsidR="00665977" w:rsidRPr="00665977">
        <w:rPr>
          <w:rFonts w:asciiTheme="minorHAnsi" w:hAnsiTheme="minorHAnsi" w:cstheme="minorHAnsi"/>
          <w:color w:val="000000" w:themeColor="text1"/>
        </w:rPr>
        <w:t xml:space="preserve">Fica revogada a Deliberação </w:t>
      </w:r>
      <w:r w:rsidR="009E0BB0">
        <w:rPr>
          <w:rFonts w:asciiTheme="minorHAnsi" w:hAnsiTheme="minorHAnsi" w:cstheme="minorHAnsi"/>
          <w:color w:val="000000" w:themeColor="text1"/>
        </w:rPr>
        <w:t xml:space="preserve">CVM </w:t>
      </w:r>
      <w:r w:rsidR="00F92719">
        <w:rPr>
          <w:rFonts w:asciiTheme="minorHAnsi" w:hAnsiTheme="minorHAnsi" w:cstheme="minorHAnsi"/>
          <w:color w:val="000000" w:themeColor="text1"/>
        </w:rPr>
        <w:t>nº 6</w:t>
      </w:r>
      <w:r w:rsidR="001B2176">
        <w:rPr>
          <w:rFonts w:asciiTheme="minorHAnsi" w:hAnsiTheme="minorHAnsi" w:cstheme="minorHAnsi"/>
          <w:color w:val="000000" w:themeColor="text1"/>
        </w:rPr>
        <w:t>1</w:t>
      </w:r>
      <w:r w:rsidR="00F92719">
        <w:rPr>
          <w:rFonts w:asciiTheme="minorHAnsi" w:hAnsiTheme="minorHAnsi" w:cstheme="minorHAnsi"/>
          <w:color w:val="000000" w:themeColor="text1"/>
        </w:rPr>
        <w:t>7</w:t>
      </w:r>
      <w:r w:rsidR="00665977" w:rsidRPr="00665977">
        <w:rPr>
          <w:rFonts w:asciiTheme="minorHAnsi" w:hAnsiTheme="minorHAnsi" w:cstheme="minorHAnsi"/>
          <w:color w:val="000000" w:themeColor="text1"/>
        </w:rPr>
        <w:t xml:space="preserve">, de </w:t>
      </w:r>
      <w:r w:rsidR="009D1A89">
        <w:rPr>
          <w:rFonts w:asciiTheme="minorHAnsi" w:hAnsiTheme="minorHAnsi" w:cstheme="minorHAnsi"/>
          <w:color w:val="000000" w:themeColor="text1"/>
        </w:rPr>
        <w:t>22</w:t>
      </w:r>
      <w:r w:rsidR="00665977" w:rsidRPr="00665977">
        <w:rPr>
          <w:rFonts w:asciiTheme="minorHAnsi" w:hAnsiTheme="minorHAnsi" w:cstheme="minorHAnsi"/>
          <w:color w:val="000000" w:themeColor="text1"/>
        </w:rPr>
        <w:t xml:space="preserve"> de </w:t>
      </w:r>
      <w:r w:rsidR="00F92719">
        <w:rPr>
          <w:rFonts w:asciiTheme="minorHAnsi" w:hAnsiTheme="minorHAnsi" w:cstheme="minorHAnsi"/>
          <w:color w:val="000000" w:themeColor="text1"/>
        </w:rPr>
        <w:t>dezembro</w:t>
      </w:r>
      <w:r w:rsidR="00665977" w:rsidRPr="00665977">
        <w:rPr>
          <w:rFonts w:asciiTheme="minorHAnsi" w:hAnsiTheme="minorHAnsi" w:cstheme="minorHAnsi"/>
          <w:color w:val="000000" w:themeColor="text1"/>
        </w:rPr>
        <w:t xml:space="preserve"> de 20</w:t>
      </w:r>
      <w:r w:rsidR="009D1A89">
        <w:rPr>
          <w:rFonts w:asciiTheme="minorHAnsi" w:hAnsiTheme="minorHAnsi" w:cstheme="minorHAnsi"/>
          <w:color w:val="000000" w:themeColor="text1"/>
        </w:rPr>
        <w:t>09</w:t>
      </w:r>
      <w:r w:rsidR="00F813E9" w:rsidRPr="00F813E9">
        <w:rPr>
          <w:rFonts w:asciiTheme="minorHAnsi" w:hAnsiTheme="minorHAnsi" w:cstheme="minorHAnsi"/>
          <w:color w:val="000000" w:themeColor="text1"/>
        </w:rPr>
        <w:t>, a partir da vigência desta Resolução</w:t>
      </w:r>
      <w:r w:rsidRPr="00665977">
        <w:rPr>
          <w:rFonts w:asciiTheme="minorHAnsi" w:hAnsiTheme="minorHAnsi" w:cstheme="minorHAnsi"/>
        </w:rPr>
        <w:t>.</w:t>
      </w:r>
    </w:p>
    <w:p w14:paraId="1515FC6F" w14:textId="4EBA1F22" w:rsidR="00D46F9A" w:rsidRPr="00665977" w:rsidRDefault="00D46F9A" w:rsidP="00F6565E">
      <w:pPr>
        <w:pStyle w:val="Recuodecorpodetexto"/>
        <w:spacing w:before="120" w:line="312" w:lineRule="auto"/>
        <w:ind w:firstLine="567"/>
        <w:jc w:val="both"/>
        <w:rPr>
          <w:rFonts w:asciiTheme="minorHAnsi" w:hAnsiTheme="minorHAnsi" w:cstheme="minorHAnsi"/>
        </w:rPr>
      </w:pPr>
      <w:r w:rsidRPr="00665977">
        <w:rPr>
          <w:rFonts w:asciiTheme="minorHAnsi" w:hAnsiTheme="minorHAnsi" w:cstheme="minorHAnsi"/>
        </w:rPr>
        <w:t>Art. 3º</w:t>
      </w:r>
      <w:r w:rsidR="0038216D" w:rsidRPr="00665977">
        <w:rPr>
          <w:rFonts w:asciiTheme="minorHAnsi" w:hAnsiTheme="minorHAnsi" w:cstheme="minorHAnsi"/>
        </w:rPr>
        <w:t xml:space="preserve"> </w:t>
      </w:r>
      <w:r w:rsidR="00F813E9">
        <w:rPr>
          <w:rFonts w:asciiTheme="minorHAnsi" w:hAnsiTheme="minorHAnsi" w:cstheme="minorHAnsi"/>
        </w:rPr>
        <w:t xml:space="preserve"> </w:t>
      </w:r>
      <w:r w:rsidR="00F813E9" w:rsidRPr="00F813E9">
        <w:rPr>
          <w:rFonts w:asciiTheme="minorHAnsi" w:hAnsiTheme="minorHAnsi" w:cstheme="minorHAnsi"/>
        </w:rPr>
        <w:t>Esta Resolução entra em vigor em 1º de julho de 2022</w:t>
      </w:r>
      <w:r w:rsidR="00665977" w:rsidRPr="00665977">
        <w:rPr>
          <w:rFonts w:asciiTheme="minorHAnsi" w:hAnsiTheme="minorHAnsi" w:cstheme="minorHAnsi"/>
          <w:color w:val="000000" w:themeColor="text1"/>
        </w:rPr>
        <w:t>.</w:t>
      </w:r>
    </w:p>
    <w:p w14:paraId="74AA090C" w14:textId="3A2A0A25" w:rsidR="00F813E9" w:rsidRPr="00157E32" w:rsidRDefault="00F813E9" w:rsidP="00F6565E">
      <w:pPr>
        <w:jc w:val="center"/>
        <w:rPr>
          <w:rFonts w:asciiTheme="minorHAnsi" w:hAnsiTheme="minorHAnsi" w:cstheme="minorHAnsi"/>
          <w:color w:val="000000"/>
        </w:rPr>
      </w:pPr>
    </w:p>
    <w:p w14:paraId="79D3FFC9" w14:textId="77777777" w:rsidR="00F813E9" w:rsidRPr="00157E32" w:rsidRDefault="00F813E9" w:rsidP="00F6565E">
      <w:pPr>
        <w:jc w:val="center"/>
        <w:rPr>
          <w:rFonts w:asciiTheme="minorHAnsi" w:hAnsiTheme="minorHAnsi" w:cstheme="minorHAnsi"/>
          <w:color w:val="000000"/>
        </w:rPr>
      </w:pPr>
    </w:p>
    <w:p w14:paraId="2552248F" w14:textId="55493604" w:rsidR="00F6565E" w:rsidRPr="00665977" w:rsidRDefault="00F6565E" w:rsidP="00F6565E">
      <w:pPr>
        <w:jc w:val="center"/>
        <w:rPr>
          <w:rFonts w:asciiTheme="minorHAnsi" w:hAnsiTheme="minorHAnsi" w:cstheme="minorHAnsi"/>
          <w:i/>
          <w:iCs/>
          <w:color w:val="000000"/>
        </w:rPr>
      </w:pPr>
      <w:r w:rsidRPr="00665977">
        <w:rPr>
          <w:rFonts w:asciiTheme="minorHAnsi" w:hAnsiTheme="minorHAnsi" w:cstheme="minorHAnsi"/>
          <w:i/>
          <w:iCs/>
          <w:color w:val="000000"/>
        </w:rPr>
        <w:t>Assinado eletronicamente por</w:t>
      </w:r>
    </w:p>
    <w:p w14:paraId="5B5152DF" w14:textId="77777777" w:rsidR="00F6565E" w:rsidRPr="00665977" w:rsidRDefault="00F6565E" w:rsidP="00F6565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665977">
        <w:rPr>
          <w:rFonts w:asciiTheme="minorHAnsi" w:hAnsiTheme="minorHAnsi" w:cstheme="minorHAnsi"/>
          <w:b/>
          <w:bCs/>
          <w:color w:val="000000"/>
        </w:rPr>
        <w:t>Marcelo Barbosa</w:t>
      </w:r>
    </w:p>
    <w:p w14:paraId="59E51571" w14:textId="7E6B1080" w:rsidR="00F6565E" w:rsidRPr="00665977" w:rsidRDefault="00F6565E" w:rsidP="00F6565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665977">
        <w:rPr>
          <w:rFonts w:asciiTheme="minorHAnsi" w:hAnsiTheme="minorHAnsi" w:cstheme="minorHAnsi"/>
          <w:b/>
          <w:bCs/>
          <w:color w:val="000000"/>
        </w:rPr>
        <w:t>Presidente</w:t>
      </w:r>
    </w:p>
    <w:p w14:paraId="6C650B96" w14:textId="7B7A7AE4" w:rsidR="00F6565E" w:rsidRPr="00665977" w:rsidRDefault="00F6565E" w:rsidP="00F6565E">
      <w:pPr>
        <w:rPr>
          <w:rFonts w:asciiTheme="minorHAnsi" w:hAnsiTheme="minorHAnsi" w:cstheme="minorHAnsi"/>
          <w:b/>
          <w:bCs/>
          <w:color w:val="000000"/>
        </w:rPr>
      </w:pPr>
    </w:p>
    <w:p w14:paraId="24C97158" w14:textId="5F0E01D4" w:rsidR="00F6565E" w:rsidRDefault="00F6565E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C5835B7" w14:textId="650C1D3F" w:rsidR="0085579C" w:rsidRDefault="0085579C" w:rsidP="00DA08ED">
      <w:pPr>
        <w:jc w:val="center"/>
        <w:outlineLvl w:val="0"/>
        <w:rPr>
          <w:b/>
        </w:rPr>
      </w:pPr>
      <w:r w:rsidRPr="0085579C">
        <w:rPr>
          <w:b/>
        </w:rPr>
        <w:lastRenderedPageBreak/>
        <w:t>ANEXO “A”</w:t>
      </w:r>
    </w:p>
    <w:p w14:paraId="6DE02DB3" w14:textId="77777777" w:rsidR="0085579C" w:rsidRDefault="0085579C" w:rsidP="00DA08ED">
      <w:pPr>
        <w:jc w:val="center"/>
        <w:outlineLvl w:val="0"/>
        <w:rPr>
          <w:b/>
        </w:rPr>
      </w:pPr>
    </w:p>
    <w:p w14:paraId="3AD3D7EE" w14:textId="4F11831F" w:rsidR="00DA08ED" w:rsidRPr="00DA08ED" w:rsidRDefault="00DA08ED" w:rsidP="00DA08ED">
      <w:pPr>
        <w:jc w:val="center"/>
        <w:outlineLvl w:val="0"/>
        <w:rPr>
          <w:b/>
        </w:rPr>
      </w:pPr>
      <w:bookmarkStart w:id="0" w:name="_GoBack"/>
      <w:bookmarkEnd w:id="0"/>
      <w:r w:rsidRPr="00DA08ED">
        <w:rPr>
          <w:b/>
        </w:rPr>
        <w:t>COMITÊ DE PRONUNCIAMENTOS CONTÁBEIS</w:t>
      </w:r>
    </w:p>
    <w:p w14:paraId="6C0FA7B1" w14:textId="77777777" w:rsidR="00DA08ED" w:rsidRPr="00DA08ED" w:rsidRDefault="00DA08ED" w:rsidP="00DA08ED">
      <w:pPr>
        <w:jc w:val="center"/>
        <w:outlineLvl w:val="0"/>
        <w:rPr>
          <w:b/>
        </w:rPr>
      </w:pPr>
    </w:p>
    <w:p w14:paraId="2FA11029" w14:textId="77777777" w:rsidR="00DA08ED" w:rsidRPr="00DA08ED" w:rsidRDefault="00DA08ED" w:rsidP="00DA08ED">
      <w:pPr>
        <w:jc w:val="center"/>
        <w:outlineLvl w:val="0"/>
        <w:rPr>
          <w:b/>
        </w:rPr>
      </w:pPr>
      <w:r w:rsidRPr="00DA08ED">
        <w:rPr>
          <w:b/>
        </w:rPr>
        <w:t>INTERPRETAÇÃO TÉCNICA ICPC 07</w:t>
      </w:r>
    </w:p>
    <w:p w14:paraId="50F5CD3C" w14:textId="77777777" w:rsidR="00DA08ED" w:rsidRPr="00F813E9" w:rsidRDefault="00DA08ED" w:rsidP="00DA08ED">
      <w:pPr>
        <w:jc w:val="center"/>
        <w:outlineLvl w:val="0"/>
        <w:rPr>
          <w:b/>
        </w:rPr>
      </w:pPr>
    </w:p>
    <w:p w14:paraId="00CF568F" w14:textId="77777777" w:rsidR="00DA08ED" w:rsidRPr="0085579C" w:rsidRDefault="00DA08ED" w:rsidP="00DA08ED">
      <w:pPr>
        <w:jc w:val="center"/>
        <w:outlineLvl w:val="0"/>
        <w:rPr>
          <w:b/>
          <w:i/>
          <w:caps/>
        </w:rPr>
      </w:pPr>
      <w:r w:rsidRPr="0085579C">
        <w:rPr>
          <w:b/>
          <w:caps/>
        </w:rPr>
        <w:t xml:space="preserve">Distribuição de Lucros </w:t>
      </w:r>
      <w:r w:rsidRPr="0085579C">
        <w:rPr>
          <w:b/>
          <w:i/>
          <w:caps/>
        </w:rPr>
        <w:t>In Natura</w:t>
      </w:r>
    </w:p>
    <w:p w14:paraId="2D3864AC" w14:textId="77777777" w:rsidR="00DA08ED" w:rsidRPr="00DA08ED" w:rsidRDefault="00DA08ED" w:rsidP="00DA08ED">
      <w:pPr>
        <w:jc w:val="center"/>
        <w:outlineLvl w:val="0"/>
        <w:rPr>
          <w:b/>
        </w:rPr>
      </w:pPr>
    </w:p>
    <w:p w14:paraId="701EF24D" w14:textId="77777777" w:rsidR="00DA08ED" w:rsidRPr="00DA08ED" w:rsidRDefault="00DA08ED" w:rsidP="00DA08ED">
      <w:pPr>
        <w:spacing w:before="60" w:after="60"/>
        <w:jc w:val="center"/>
        <w:outlineLvl w:val="0"/>
        <w:rPr>
          <w:b/>
          <w:bCs/>
        </w:rPr>
      </w:pPr>
      <w:r w:rsidRPr="00DA08ED">
        <w:rPr>
          <w:b/>
          <w:bCs/>
        </w:rPr>
        <w:t>Correlação às Normas Internacionais de Contabilidade – IFRIC 17</w:t>
      </w:r>
    </w:p>
    <w:p w14:paraId="0513E3D2" w14:textId="77777777" w:rsidR="00DA08ED" w:rsidRPr="00DA08ED" w:rsidRDefault="00DA08ED" w:rsidP="00DA08ED">
      <w:pPr>
        <w:jc w:val="center"/>
        <w:outlineLvl w:val="0"/>
        <w:rPr>
          <w:b/>
        </w:rPr>
      </w:pPr>
    </w:p>
    <w:p w14:paraId="6717B040" w14:textId="77777777" w:rsidR="00DA08ED" w:rsidRPr="00DA08ED" w:rsidRDefault="00DA08ED" w:rsidP="00DA08ED">
      <w:pPr>
        <w:jc w:val="right"/>
        <w:outlineLvl w:val="0"/>
        <w:rPr>
          <w:b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8028"/>
        <w:gridCol w:w="1260"/>
      </w:tblGrid>
      <w:tr w:rsidR="00DA08ED" w:rsidRPr="00DA08ED" w14:paraId="7A00EDEC" w14:textId="77777777" w:rsidTr="00B61118">
        <w:trPr>
          <w:jc w:val="center"/>
        </w:trPr>
        <w:tc>
          <w:tcPr>
            <w:tcW w:w="8028" w:type="dxa"/>
          </w:tcPr>
          <w:p w14:paraId="12D17399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Índice</w:t>
            </w:r>
          </w:p>
        </w:tc>
        <w:tc>
          <w:tcPr>
            <w:tcW w:w="1260" w:type="dxa"/>
          </w:tcPr>
          <w:p w14:paraId="084C8116" w14:textId="77777777" w:rsidR="00DA08ED" w:rsidRPr="00DA08ED" w:rsidRDefault="00DA08ED" w:rsidP="00DA08ED">
            <w:pPr>
              <w:spacing w:before="60" w:after="60"/>
              <w:jc w:val="both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Item</w:t>
            </w:r>
          </w:p>
        </w:tc>
      </w:tr>
      <w:tr w:rsidR="00DA08ED" w:rsidRPr="00DA08ED" w14:paraId="3BCF290F" w14:textId="77777777" w:rsidTr="00B61118">
        <w:trPr>
          <w:jc w:val="center"/>
        </w:trPr>
        <w:tc>
          <w:tcPr>
            <w:tcW w:w="8028" w:type="dxa"/>
          </w:tcPr>
          <w:p w14:paraId="10B47B23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 xml:space="preserve">REFERÊNCIAS </w:t>
            </w:r>
          </w:p>
        </w:tc>
        <w:tc>
          <w:tcPr>
            <w:tcW w:w="1260" w:type="dxa"/>
          </w:tcPr>
          <w:p w14:paraId="76E49FB0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</w:p>
        </w:tc>
      </w:tr>
      <w:tr w:rsidR="00DA08ED" w:rsidRPr="00DA08ED" w14:paraId="5C729F1A" w14:textId="77777777" w:rsidTr="00B61118">
        <w:trPr>
          <w:jc w:val="center"/>
        </w:trPr>
        <w:tc>
          <w:tcPr>
            <w:tcW w:w="8028" w:type="dxa"/>
          </w:tcPr>
          <w:p w14:paraId="156703B0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ANTECEDENTES</w:t>
            </w:r>
          </w:p>
        </w:tc>
        <w:tc>
          <w:tcPr>
            <w:tcW w:w="1260" w:type="dxa"/>
          </w:tcPr>
          <w:p w14:paraId="2C05253F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1 – 2</w:t>
            </w:r>
          </w:p>
        </w:tc>
      </w:tr>
      <w:tr w:rsidR="00DA08ED" w:rsidRPr="00DA08ED" w14:paraId="4D8288C7" w14:textId="77777777" w:rsidTr="00B61118">
        <w:trPr>
          <w:jc w:val="center"/>
        </w:trPr>
        <w:tc>
          <w:tcPr>
            <w:tcW w:w="8028" w:type="dxa"/>
          </w:tcPr>
          <w:p w14:paraId="344E91A5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ALCANCE</w:t>
            </w:r>
          </w:p>
        </w:tc>
        <w:tc>
          <w:tcPr>
            <w:tcW w:w="1260" w:type="dxa"/>
            <w:vAlign w:val="center"/>
          </w:tcPr>
          <w:p w14:paraId="453641AE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3 – 8</w:t>
            </w:r>
          </w:p>
        </w:tc>
      </w:tr>
      <w:tr w:rsidR="00DA08ED" w:rsidRPr="00DA08ED" w14:paraId="0239C269" w14:textId="77777777" w:rsidTr="00B61118">
        <w:trPr>
          <w:jc w:val="center"/>
        </w:trPr>
        <w:tc>
          <w:tcPr>
            <w:tcW w:w="8028" w:type="dxa"/>
          </w:tcPr>
          <w:p w14:paraId="23C60898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QUESTÕES</w:t>
            </w:r>
          </w:p>
        </w:tc>
        <w:tc>
          <w:tcPr>
            <w:tcW w:w="1260" w:type="dxa"/>
            <w:vAlign w:val="center"/>
          </w:tcPr>
          <w:p w14:paraId="7F4481F0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9</w:t>
            </w:r>
          </w:p>
        </w:tc>
      </w:tr>
      <w:tr w:rsidR="00DA08ED" w:rsidRPr="00DA08ED" w14:paraId="2463D1DC" w14:textId="77777777" w:rsidTr="00B61118">
        <w:trPr>
          <w:jc w:val="center"/>
        </w:trPr>
        <w:tc>
          <w:tcPr>
            <w:tcW w:w="8028" w:type="dxa"/>
          </w:tcPr>
          <w:p w14:paraId="7CE3F11C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CONSENSO</w:t>
            </w:r>
          </w:p>
        </w:tc>
        <w:tc>
          <w:tcPr>
            <w:tcW w:w="1260" w:type="dxa"/>
          </w:tcPr>
          <w:p w14:paraId="4FA5BD81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10 - 17</w:t>
            </w:r>
          </w:p>
        </w:tc>
      </w:tr>
      <w:tr w:rsidR="00DA08ED" w:rsidRPr="00DA08ED" w14:paraId="44C0A24D" w14:textId="77777777" w:rsidTr="00B61118">
        <w:trPr>
          <w:jc w:val="center"/>
        </w:trPr>
        <w:tc>
          <w:tcPr>
            <w:tcW w:w="8028" w:type="dxa"/>
          </w:tcPr>
          <w:p w14:paraId="2476B027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Quando reconhecer o dividendo a ser pago</w:t>
            </w:r>
          </w:p>
        </w:tc>
        <w:tc>
          <w:tcPr>
            <w:tcW w:w="1260" w:type="dxa"/>
          </w:tcPr>
          <w:p w14:paraId="785089BA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10</w:t>
            </w:r>
          </w:p>
        </w:tc>
      </w:tr>
      <w:tr w:rsidR="00DA08ED" w:rsidRPr="00DA08ED" w14:paraId="3593A08F" w14:textId="77777777" w:rsidTr="00B61118">
        <w:trPr>
          <w:jc w:val="center"/>
        </w:trPr>
        <w:tc>
          <w:tcPr>
            <w:tcW w:w="8028" w:type="dxa"/>
          </w:tcPr>
          <w:p w14:paraId="2D1F3605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Mensuração do dividendo a ser pago</w:t>
            </w:r>
          </w:p>
        </w:tc>
        <w:tc>
          <w:tcPr>
            <w:tcW w:w="1260" w:type="dxa"/>
          </w:tcPr>
          <w:p w14:paraId="216833B0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11 – 13</w:t>
            </w:r>
          </w:p>
        </w:tc>
      </w:tr>
      <w:tr w:rsidR="00DA08ED" w:rsidRPr="00DA08ED" w14:paraId="7E81C05E" w14:textId="77777777" w:rsidTr="00B61118">
        <w:trPr>
          <w:jc w:val="center"/>
        </w:trPr>
        <w:tc>
          <w:tcPr>
            <w:tcW w:w="8028" w:type="dxa"/>
          </w:tcPr>
          <w:p w14:paraId="7B835B92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 xml:space="preserve">Contabilização da diferença entre o valor contábil dos ativos distribuídos e o valor do dividendo a ser pago quando a entidade liquida a referida obrigação </w:t>
            </w:r>
          </w:p>
        </w:tc>
        <w:tc>
          <w:tcPr>
            <w:tcW w:w="1260" w:type="dxa"/>
            <w:vAlign w:val="center"/>
          </w:tcPr>
          <w:p w14:paraId="795CF722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14</w:t>
            </w:r>
          </w:p>
        </w:tc>
      </w:tr>
      <w:tr w:rsidR="00DA08ED" w:rsidRPr="00DA08ED" w14:paraId="6400633A" w14:textId="77777777" w:rsidTr="00B61118">
        <w:trPr>
          <w:jc w:val="center"/>
        </w:trPr>
        <w:tc>
          <w:tcPr>
            <w:tcW w:w="8028" w:type="dxa"/>
          </w:tcPr>
          <w:p w14:paraId="52BDE170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Apresentação e evidenciação</w:t>
            </w:r>
          </w:p>
        </w:tc>
        <w:tc>
          <w:tcPr>
            <w:tcW w:w="1260" w:type="dxa"/>
            <w:vAlign w:val="center"/>
          </w:tcPr>
          <w:p w14:paraId="597E794D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15 – 17</w:t>
            </w:r>
          </w:p>
        </w:tc>
      </w:tr>
      <w:tr w:rsidR="00DA08ED" w:rsidRPr="00DA08ED" w14:paraId="4D7103D9" w14:textId="77777777" w:rsidTr="00B61118">
        <w:trPr>
          <w:jc w:val="center"/>
        </w:trPr>
        <w:tc>
          <w:tcPr>
            <w:tcW w:w="8028" w:type="dxa"/>
          </w:tcPr>
          <w:p w14:paraId="7DEB8341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DATA EFETIVA</w:t>
            </w:r>
          </w:p>
        </w:tc>
        <w:tc>
          <w:tcPr>
            <w:tcW w:w="1260" w:type="dxa"/>
            <w:vAlign w:val="center"/>
          </w:tcPr>
          <w:p w14:paraId="4F1756FD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18</w:t>
            </w:r>
          </w:p>
        </w:tc>
      </w:tr>
      <w:tr w:rsidR="00DA08ED" w:rsidRPr="00DA08ED" w14:paraId="70590A06" w14:textId="77777777" w:rsidTr="00B61118">
        <w:trPr>
          <w:jc w:val="center"/>
        </w:trPr>
        <w:tc>
          <w:tcPr>
            <w:tcW w:w="8028" w:type="dxa"/>
          </w:tcPr>
          <w:p w14:paraId="03AD70CE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  <w:r w:rsidRPr="00DA08ED">
              <w:rPr>
                <w:b/>
                <w:bCs/>
                <w:kern w:val="36"/>
              </w:rPr>
              <w:t>EXEMPLOS ILUSTRATIVOS</w:t>
            </w:r>
          </w:p>
        </w:tc>
        <w:tc>
          <w:tcPr>
            <w:tcW w:w="1260" w:type="dxa"/>
          </w:tcPr>
          <w:p w14:paraId="2FCD4190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</w:p>
        </w:tc>
      </w:tr>
      <w:tr w:rsidR="00DA08ED" w:rsidRPr="00DA08ED" w14:paraId="6C501830" w14:textId="77777777" w:rsidTr="00B61118">
        <w:trPr>
          <w:jc w:val="center"/>
        </w:trPr>
        <w:tc>
          <w:tcPr>
            <w:tcW w:w="8028" w:type="dxa"/>
          </w:tcPr>
          <w:p w14:paraId="22E28AC8" w14:textId="77777777" w:rsidR="00DA08ED" w:rsidRPr="00DA08ED" w:rsidRDefault="00DA08ED" w:rsidP="00DA08ED">
            <w:pPr>
              <w:spacing w:before="60" w:after="60"/>
              <w:rPr>
                <w:bCs/>
                <w:kern w:val="36"/>
              </w:rPr>
            </w:pPr>
          </w:p>
        </w:tc>
        <w:tc>
          <w:tcPr>
            <w:tcW w:w="1260" w:type="dxa"/>
            <w:vAlign w:val="center"/>
          </w:tcPr>
          <w:p w14:paraId="67F2E535" w14:textId="77777777" w:rsidR="00DA08ED" w:rsidRPr="00DA08ED" w:rsidRDefault="00DA08ED" w:rsidP="00DA08ED">
            <w:pPr>
              <w:spacing w:before="60" w:after="60"/>
              <w:rPr>
                <w:b/>
                <w:bCs/>
                <w:kern w:val="36"/>
              </w:rPr>
            </w:pPr>
          </w:p>
        </w:tc>
      </w:tr>
    </w:tbl>
    <w:p w14:paraId="1C1A3546" w14:textId="1403E2E3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t>Referências</w:t>
      </w:r>
    </w:p>
    <w:p w14:paraId="347A7B33" w14:textId="77777777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</w:p>
    <w:p w14:paraId="59D512EA" w14:textId="77777777" w:rsidR="00DA08ED" w:rsidRPr="00DA08ED" w:rsidRDefault="00DA08ED" w:rsidP="00CB6E36">
      <w:pPr>
        <w:widowControl w:val="0"/>
        <w:numPr>
          <w:ilvl w:val="0"/>
          <w:numId w:val="21"/>
        </w:numPr>
        <w:ind w:left="714" w:right="57" w:hanging="357"/>
        <w:jc w:val="both"/>
        <w:rPr>
          <w:color w:val="000000"/>
        </w:rPr>
      </w:pPr>
      <w:r w:rsidRPr="00DA08ED">
        <w:rPr>
          <w:color w:val="000000"/>
        </w:rPr>
        <w:t>Pronunciamento Técnico CPC 15 – Combinação de Negócios</w:t>
      </w:r>
    </w:p>
    <w:p w14:paraId="5E438E79" w14:textId="77777777" w:rsidR="00DA08ED" w:rsidRPr="00DA08ED" w:rsidRDefault="00DA08ED" w:rsidP="00CB6E36">
      <w:pPr>
        <w:widowControl w:val="0"/>
        <w:numPr>
          <w:ilvl w:val="0"/>
          <w:numId w:val="21"/>
        </w:numPr>
        <w:ind w:left="714" w:right="57" w:hanging="357"/>
        <w:jc w:val="both"/>
        <w:rPr>
          <w:color w:val="000000"/>
        </w:rPr>
      </w:pPr>
      <w:r w:rsidRPr="00DA08ED">
        <w:rPr>
          <w:color w:val="000000"/>
        </w:rPr>
        <w:t>Pronunciamento Técnico CPC 31 – Ativo Não Circulante Mantido para Venda e Operação Descontinuada</w:t>
      </w:r>
    </w:p>
    <w:p w14:paraId="60BD8E46" w14:textId="77777777" w:rsidR="00DA08ED" w:rsidRPr="00DA08ED" w:rsidRDefault="00DA08ED" w:rsidP="00CB6E36">
      <w:pPr>
        <w:widowControl w:val="0"/>
        <w:numPr>
          <w:ilvl w:val="0"/>
          <w:numId w:val="21"/>
        </w:numPr>
        <w:ind w:left="714" w:right="57" w:hanging="357"/>
        <w:jc w:val="both"/>
        <w:rPr>
          <w:color w:val="000000"/>
        </w:rPr>
      </w:pPr>
      <w:r w:rsidRPr="00DA08ED">
        <w:rPr>
          <w:color w:val="000000"/>
        </w:rPr>
        <w:t>Pronunciamento Técnico CPC 40 – Instrumentos Financeiros: Evidenciação</w:t>
      </w:r>
    </w:p>
    <w:p w14:paraId="6307F6DC" w14:textId="77777777" w:rsidR="00DA08ED" w:rsidRPr="00DA08ED" w:rsidRDefault="00DA08ED" w:rsidP="00CB6E36">
      <w:pPr>
        <w:widowControl w:val="0"/>
        <w:numPr>
          <w:ilvl w:val="0"/>
          <w:numId w:val="21"/>
        </w:numPr>
        <w:ind w:left="714" w:right="57" w:hanging="357"/>
        <w:jc w:val="both"/>
        <w:rPr>
          <w:color w:val="000000"/>
        </w:rPr>
      </w:pPr>
      <w:r w:rsidRPr="00DA08ED">
        <w:rPr>
          <w:color w:val="000000"/>
        </w:rPr>
        <w:t>Pronunciamento Técnico CPC 26 – Apresentação das Demonstrações Contábeis</w:t>
      </w:r>
    </w:p>
    <w:p w14:paraId="4396312F" w14:textId="77777777" w:rsidR="00DA08ED" w:rsidRPr="00DA08ED" w:rsidRDefault="00DA08ED" w:rsidP="00CB6E36">
      <w:pPr>
        <w:widowControl w:val="0"/>
        <w:numPr>
          <w:ilvl w:val="0"/>
          <w:numId w:val="21"/>
        </w:numPr>
        <w:ind w:left="714" w:right="57" w:hanging="357"/>
        <w:jc w:val="both"/>
        <w:rPr>
          <w:color w:val="000000"/>
        </w:rPr>
      </w:pPr>
      <w:r w:rsidRPr="00DA08ED">
        <w:rPr>
          <w:color w:val="000000"/>
        </w:rPr>
        <w:t>Pronunciamento Técnico CPC 24 – Evento Subsequente</w:t>
      </w:r>
    </w:p>
    <w:p w14:paraId="73E9BB0D" w14:textId="77777777" w:rsidR="00DA08ED" w:rsidRPr="00DA08ED" w:rsidRDefault="00DA08ED" w:rsidP="00CB6E36">
      <w:pPr>
        <w:widowControl w:val="0"/>
        <w:numPr>
          <w:ilvl w:val="0"/>
          <w:numId w:val="21"/>
        </w:numPr>
        <w:ind w:left="714" w:right="57" w:hanging="357"/>
        <w:jc w:val="both"/>
        <w:rPr>
          <w:color w:val="000000"/>
        </w:rPr>
      </w:pPr>
      <w:r w:rsidRPr="00DA08ED">
        <w:rPr>
          <w:color w:val="000000"/>
        </w:rPr>
        <w:t>Pronunciamento Técnico CPC 35 – Demonstrações Separadas</w:t>
      </w:r>
    </w:p>
    <w:p w14:paraId="68B9DFE6" w14:textId="7AA99CDC" w:rsidR="00DA08ED" w:rsidRDefault="00DA08ED" w:rsidP="00CB6E36">
      <w:pPr>
        <w:widowControl w:val="0"/>
        <w:numPr>
          <w:ilvl w:val="0"/>
          <w:numId w:val="21"/>
        </w:numPr>
        <w:ind w:left="714" w:right="57" w:hanging="357"/>
        <w:jc w:val="both"/>
        <w:rPr>
          <w:color w:val="000000"/>
        </w:rPr>
      </w:pPr>
      <w:r w:rsidRPr="00DA08ED">
        <w:rPr>
          <w:color w:val="000000"/>
        </w:rPr>
        <w:t>Pronunciamento Técnico CPC 36 – Demonstrações Consolidadas</w:t>
      </w:r>
    </w:p>
    <w:p w14:paraId="35517AF6" w14:textId="2929AF2A" w:rsidR="007C39EB" w:rsidRPr="00CB6E36" w:rsidRDefault="007C39EB" w:rsidP="00CB6E36">
      <w:pPr>
        <w:pStyle w:val="Textoembloco"/>
        <w:numPr>
          <w:ilvl w:val="0"/>
          <w:numId w:val="21"/>
        </w:numPr>
        <w:tabs>
          <w:tab w:val="left" w:pos="708"/>
        </w:tabs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4"/>
          <w:lang w:val="pt-BR"/>
        </w:rPr>
      </w:pPr>
      <w:r w:rsidRPr="00CB6E36">
        <w:rPr>
          <w:rFonts w:ascii="Times New Roman" w:hAnsi="Times New Roman" w:cs="Times New Roman"/>
          <w:sz w:val="24"/>
          <w:lang w:val="pt-BR"/>
        </w:rPr>
        <w:t>Pronunciamento Técnico CPC 46 – Mensuração do Valor Justo</w:t>
      </w:r>
    </w:p>
    <w:p w14:paraId="139A57C2" w14:textId="77777777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lastRenderedPageBreak/>
        <w:t>Antecedentes</w:t>
      </w:r>
    </w:p>
    <w:p w14:paraId="2325653A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6CA91AF0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1. </w:t>
      </w:r>
      <w:r w:rsidRPr="00DA08ED">
        <w:rPr>
          <w:color w:val="000000"/>
        </w:rPr>
        <w:tab/>
        <w:t>Por vezes uma entidade distribui aos seus acionistas ou sócios, ou a detentores de títulos especificados como patrimoniais (ações, cotas, etc.), lucros na forma de ativos que não são o próprio caixa, genericamente qualificados como “dividendos in natura”. Nessas situações, a entidade pode conferir também àqueles que fazem jus aos seus dividendos ou outras formas de distribuição de lucros a faculdade de optarem entre receber o pagamento por meio desses ativos ou alternativamente em caixa. Eventuais demandas por orientação do CPC, acerca de como a entidade deve contabilizar ditas distribuições, podem ser aqui supridas.</w:t>
      </w:r>
    </w:p>
    <w:p w14:paraId="2E7B6439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4EC09C13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2. </w:t>
      </w:r>
      <w:r w:rsidRPr="00DA08ED">
        <w:rPr>
          <w:color w:val="000000"/>
        </w:rPr>
        <w:tab/>
        <w:t>O Comitê de Pronunciamentos Contábeis (CPC) não oferece orientação acerca de como a entidade deve mensurar distribuições de seus lucros àqueles que façam jus a elas (comumente, e aqui, denominados dividendos). O Pronunciamento Técnico CPC 26 – Apresentação das Demonstrações Contábeis requer que a entidade apresente os detalhes dos dividendos (entenda-se, para fins deste Pronunciamento, como representativos de distribuições de lucros para as sociedades que não sejam por ações) reconhecidos como distribuições para seus acionistas e demais beneficiados na demonstração das mutações do patrimônio líquido ou nas notas explicativas que acompanham as demonstrações contábeis.</w:t>
      </w:r>
    </w:p>
    <w:p w14:paraId="4E3055AD" w14:textId="77777777" w:rsidR="00DA08ED" w:rsidRPr="00451C3B" w:rsidRDefault="00DA08ED" w:rsidP="00DA08ED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2F53A058" w14:textId="77777777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t>Alcance</w:t>
      </w:r>
    </w:p>
    <w:p w14:paraId="363B2949" w14:textId="77777777" w:rsidR="00DA08ED" w:rsidRPr="00451C3B" w:rsidRDefault="00DA08ED" w:rsidP="00451C3B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16AB9CC7" w14:textId="77777777" w:rsidR="00DA08ED" w:rsidRPr="00451C3B" w:rsidRDefault="00DA08ED" w:rsidP="00451C3B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451C3B">
        <w:rPr>
          <w:color w:val="000000"/>
        </w:rPr>
        <w:t xml:space="preserve">3. </w:t>
      </w:r>
      <w:r w:rsidRPr="00451C3B">
        <w:rPr>
          <w:color w:val="000000"/>
        </w:rPr>
        <w:tab/>
        <w:t>Esta Interpretação contempla os seguintes tipos de distribuição não recíproca de ativos pela entidade aos seus acionistas e demais beneficiados, agindo nos interesses destes:</w:t>
      </w:r>
    </w:p>
    <w:p w14:paraId="50AA4E2A" w14:textId="77777777" w:rsidR="00DA08ED" w:rsidRPr="00451C3B" w:rsidRDefault="00DA08ED" w:rsidP="00451C3B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3085933A" w14:textId="77777777" w:rsidR="00DA08ED" w:rsidRPr="00451C3B" w:rsidRDefault="00DA08ED" w:rsidP="00451C3B">
      <w:pPr>
        <w:widowControl w:val="0"/>
        <w:numPr>
          <w:ilvl w:val="0"/>
          <w:numId w:val="38"/>
        </w:numPr>
        <w:tabs>
          <w:tab w:val="num" w:pos="1070"/>
        </w:tabs>
        <w:ind w:left="1070" w:right="57"/>
        <w:jc w:val="both"/>
        <w:rPr>
          <w:bCs/>
          <w:iCs/>
          <w:color w:val="000000"/>
        </w:rPr>
      </w:pPr>
      <w:r w:rsidRPr="00451C3B">
        <w:rPr>
          <w:bCs/>
          <w:iCs/>
          <w:color w:val="000000"/>
        </w:rPr>
        <w:t>distribuição de ativos “não caixa” (ex: itens do imobilizado, negócios como assim definidos no Pronunciamento Técnico CPC 15 – Combinação de Negócios, participação em outra entidade ou em ativos em descontinuidade, assim definidos no Pronunciamento Técnico CPC 31 – Ativo Não Circulante Mantido para Venda e Operação Descontinuada); e</w:t>
      </w:r>
    </w:p>
    <w:p w14:paraId="0F6DD61D" w14:textId="77777777" w:rsidR="00DA08ED" w:rsidRPr="00451C3B" w:rsidRDefault="00DA08ED" w:rsidP="00451C3B">
      <w:pPr>
        <w:widowControl w:val="0"/>
        <w:ind w:left="710" w:right="57"/>
        <w:jc w:val="both"/>
        <w:rPr>
          <w:bCs/>
          <w:iCs/>
          <w:color w:val="000000"/>
        </w:rPr>
      </w:pPr>
    </w:p>
    <w:p w14:paraId="03BBD94D" w14:textId="77777777" w:rsidR="00DA08ED" w:rsidRPr="00451C3B" w:rsidRDefault="00DA08ED" w:rsidP="00451C3B">
      <w:pPr>
        <w:widowControl w:val="0"/>
        <w:numPr>
          <w:ilvl w:val="0"/>
          <w:numId w:val="38"/>
        </w:numPr>
        <w:tabs>
          <w:tab w:val="num" w:pos="1070"/>
        </w:tabs>
        <w:ind w:left="1070" w:right="57"/>
        <w:jc w:val="both"/>
        <w:rPr>
          <w:bCs/>
          <w:iCs/>
          <w:color w:val="000000"/>
        </w:rPr>
      </w:pPr>
      <w:r w:rsidRPr="00451C3B">
        <w:rPr>
          <w:bCs/>
          <w:iCs/>
          <w:color w:val="000000"/>
        </w:rPr>
        <w:t>distribuição que confere aos sócios da entidade e demais beneficiados a opção de terem-na liquidada em ativos “não caixa” ou alternativamente em caixa.</w:t>
      </w:r>
    </w:p>
    <w:p w14:paraId="588C0C61" w14:textId="77777777" w:rsidR="00DA08ED" w:rsidRPr="00451C3B" w:rsidRDefault="00DA08ED" w:rsidP="00451C3B">
      <w:pPr>
        <w:jc w:val="both"/>
      </w:pPr>
    </w:p>
    <w:p w14:paraId="0FC3C1EE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4. </w:t>
      </w:r>
      <w:r w:rsidRPr="00DA08ED">
        <w:rPr>
          <w:color w:val="000000"/>
        </w:rPr>
        <w:tab/>
        <w:t>Esta Interpretação deve ser aplicada tão-somente às distribuições por meio das quais são beneficiados os titulares da mesma classe de instrumentos patrimoniais e cujo tratamento seja equitativo.</w:t>
      </w:r>
    </w:p>
    <w:p w14:paraId="63F36F05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0CF70F6D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5. </w:t>
      </w:r>
      <w:r w:rsidRPr="00DA08ED">
        <w:rPr>
          <w:color w:val="000000"/>
        </w:rPr>
        <w:tab/>
        <w:t>Esta Interpretação não se aplica à distribuição de ativo “não caixa” que seja atualmente controlado pela mesma entidade ou entidades envolvidas antes e após a distribuição. Essa exclusão é aplicável às demonstrações separadas, individuais e consolidadas da entidade que procede à distribuição.</w:t>
      </w:r>
    </w:p>
    <w:p w14:paraId="7D177EB1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0964520D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6. </w:t>
      </w:r>
      <w:r w:rsidRPr="00DA08ED">
        <w:rPr>
          <w:color w:val="000000"/>
        </w:rPr>
        <w:tab/>
        <w:t xml:space="preserve">De acordo com o item 5, esta Interpretação não é aplicável quando um ativo “não caixa” é atualmente controlado pelas mesmas entidades envolvidas antes e após a distribuição. O item B2 do Pronunciamento Técnico CPC 15 estabelece que “um grupo de indivíduos deve ser considerado como controlador de uma entidade quando, pelo resultado de acordo contratual, coletivamente têm </w:t>
      </w:r>
      <w:r w:rsidRPr="00DA08ED">
        <w:rPr>
          <w:color w:val="000000"/>
        </w:rPr>
        <w:lastRenderedPageBreak/>
        <w:t>o poder para governar suas políticas financeiras e operacionais de forma a obter os benefícios de suas atividades”. Portanto, para a distribuição ficar fora do alcance desta Interpretação no sentido que ambas as partes controlam o ativo tanto antes quanto depois da distribuição, um grupo de acionistas individuais beneficiados com a distribuição precisa ter, como resultado de acordos contratuais, referido poder coletivo atual sobre a entidade que procede à distribuição.</w:t>
      </w:r>
    </w:p>
    <w:p w14:paraId="68AC790A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3BAC56F0" w14:textId="7A9825AD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7. </w:t>
      </w:r>
      <w:r w:rsidRPr="00DA08ED">
        <w:rPr>
          <w:color w:val="000000"/>
        </w:rPr>
        <w:tab/>
        <w:t xml:space="preserve">De acordo com o item 5, esta Interpretação </w:t>
      </w:r>
      <w:r w:rsidR="00C76E70">
        <w:rPr>
          <w:color w:val="000000"/>
        </w:rPr>
        <w:t xml:space="preserve">Técnica </w:t>
      </w:r>
      <w:r w:rsidRPr="00DA08ED">
        <w:rPr>
          <w:color w:val="000000"/>
        </w:rPr>
        <w:t xml:space="preserve">não é aplicável quando a entidade distribui parte de sua participação em uma controlada, mas retém o controle sobre a mesma. A entidade que procede à distribuição, que resulta no reconhecimento de participação de não controladores na sua controlada, deve </w:t>
      </w:r>
      <w:r w:rsidR="00403BE2">
        <w:rPr>
          <w:color w:val="000000"/>
        </w:rPr>
        <w:t xml:space="preserve">contabilizar essa participação </w:t>
      </w:r>
      <w:r w:rsidR="000C52C9">
        <w:rPr>
          <w:color w:val="000000"/>
        </w:rPr>
        <w:t xml:space="preserve">de não controladores </w:t>
      </w:r>
      <w:r w:rsidRPr="00DA08ED">
        <w:rPr>
          <w:color w:val="000000"/>
        </w:rPr>
        <w:t>de acordo com o previsto no Pronunciamento Técnico CPC 36</w:t>
      </w:r>
      <w:r w:rsidR="00B42A85">
        <w:rPr>
          <w:color w:val="000000"/>
        </w:rPr>
        <w:t xml:space="preserve"> – Demonstrações Consolidadas</w:t>
      </w:r>
      <w:r w:rsidRPr="00DA08ED">
        <w:rPr>
          <w:color w:val="000000"/>
        </w:rPr>
        <w:t>.</w:t>
      </w:r>
    </w:p>
    <w:p w14:paraId="5D901B03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7C693C85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8. </w:t>
      </w:r>
      <w:r w:rsidRPr="00DA08ED">
        <w:rPr>
          <w:color w:val="000000"/>
        </w:rPr>
        <w:tab/>
        <w:t>Esta Interpretação orienta tão-somente o tratamento contábil a ser dispensado por entidade que procede à distribuição de ativos “não caixa”. Ela não contempla o tratamento contábil a ser observado pelos beneficiados com essa distribuição.</w:t>
      </w:r>
    </w:p>
    <w:p w14:paraId="6C43B2E0" w14:textId="77777777" w:rsidR="00DA08ED" w:rsidRPr="00451C3B" w:rsidRDefault="00DA08ED" w:rsidP="00DA08ED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7C321F40" w14:textId="77777777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t>Questões</w:t>
      </w:r>
    </w:p>
    <w:p w14:paraId="29E5DF66" w14:textId="77777777" w:rsidR="00DA08ED" w:rsidRPr="00451C3B" w:rsidRDefault="00DA08ED" w:rsidP="00451C3B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72B81D59" w14:textId="77777777" w:rsidR="00DA08ED" w:rsidRPr="00DA08ED" w:rsidRDefault="00DA08ED" w:rsidP="00451C3B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9. </w:t>
      </w:r>
      <w:r w:rsidRPr="00DA08ED">
        <w:rPr>
          <w:color w:val="000000"/>
        </w:rPr>
        <w:tab/>
        <w:t>Quando a entidade declarar a distribuição de dividendos e tiver a obrigação de distribuir ativos para os beneficiados com tal ato, ela precisa reconhecer um passivo para fazer face ao dividendo declarado. Consequentemente, esta Interpretação trata das seguintes questões:</w:t>
      </w:r>
    </w:p>
    <w:p w14:paraId="1C4AE29C" w14:textId="77777777" w:rsidR="00DA08ED" w:rsidRPr="00DA08ED" w:rsidRDefault="00DA08ED" w:rsidP="00451C3B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7FE43723" w14:textId="77777777" w:rsidR="00DA08ED" w:rsidRPr="00DA08ED" w:rsidRDefault="00DA08ED" w:rsidP="00451C3B">
      <w:pPr>
        <w:widowControl w:val="0"/>
        <w:numPr>
          <w:ilvl w:val="0"/>
          <w:numId w:val="39"/>
        </w:numPr>
        <w:ind w:right="57"/>
        <w:jc w:val="both"/>
        <w:rPr>
          <w:bCs/>
          <w:iCs/>
          <w:color w:val="000000"/>
        </w:rPr>
      </w:pPr>
      <w:r w:rsidRPr="00DA08ED">
        <w:rPr>
          <w:bCs/>
          <w:iCs/>
          <w:color w:val="000000"/>
        </w:rPr>
        <w:t>quando a entidade deve reconhecer o dividendo a ser pago?</w:t>
      </w:r>
    </w:p>
    <w:p w14:paraId="712429F4" w14:textId="77777777" w:rsidR="00DA08ED" w:rsidRPr="00DA08ED" w:rsidRDefault="00DA08ED" w:rsidP="00451C3B">
      <w:pPr>
        <w:widowControl w:val="0"/>
        <w:ind w:left="710" w:right="57"/>
        <w:jc w:val="both"/>
        <w:rPr>
          <w:bCs/>
          <w:iCs/>
          <w:color w:val="000000"/>
        </w:rPr>
      </w:pPr>
    </w:p>
    <w:p w14:paraId="136A79BE" w14:textId="77777777" w:rsidR="00DA08ED" w:rsidRPr="00DA08ED" w:rsidRDefault="00DA08ED" w:rsidP="00451C3B">
      <w:pPr>
        <w:widowControl w:val="0"/>
        <w:numPr>
          <w:ilvl w:val="0"/>
          <w:numId w:val="39"/>
        </w:numPr>
        <w:tabs>
          <w:tab w:val="num" w:pos="1070"/>
        </w:tabs>
        <w:ind w:left="1070" w:right="57"/>
        <w:jc w:val="both"/>
        <w:rPr>
          <w:bCs/>
          <w:iCs/>
          <w:color w:val="000000"/>
        </w:rPr>
      </w:pPr>
      <w:r w:rsidRPr="00DA08ED">
        <w:rPr>
          <w:bCs/>
          <w:iCs/>
          <w:color w:val="000000"/>
        </w:rPr>
        <w:t>como a entidade deve mensurar o dividendo a ser pago?</w:t>
      </w:r>
    </w:p>
    <w:p w14:paraId="76CD2A7D" w14:textId="77777777" w:rsidR="00DA08ED" w:rsidRPr="00DA08ED" w:rsidRDefault="00DA08ED" w:rsidP="00451C3B">
      <w:pPr>
        <w:widowControl w:val="0"/>
        <w:ind w:left="710" w:right="57"/>
        <w:jc w:val="both"/>
        <w:rPr>
          <w:bCs/>
          <w:iCs/>
          <w:color w:val="000000"/>
        </w:rPr>
      </w:pPr>
    </w:p>
    <w:p w14:paraId="37E3EDA7" w14:textId="77777777" w:rsidR="00DA08ED" w:rsidRPr="00DA08ED" w:rsidRDefault="00DA08ED" w:rsidP="00451C3B">
      <w:pPr>
        <w:widowControl w:val="0"/>
        <w:numPr>
          <w:ilvl w:val="0"/>
          <w:numId w:val="39"/>
        </w:numPr>
        <w:tabs>
          <w:tab w:val="num" w:pos="1070"/>
        </w:tabs>
        <w:ind w:left="1070" w:right="57"/>
        <w:jc w:val="both"/>
        <w:rPr>
          <w:bCs/>
          <w:iCs/>
          <w:color w:val="000000"/>
        </w:rPr>
      </w:pPr>
      <w:r w:rsidRPr="00DA08ED">
        <w:rPr>
          <w:bCs/>
          <w:iCs/>
          <w:color w:val="000000"/>
        </w:rPr>
        <w:t>quando a entidade liquidar o dividendo a ser pago, como ela deve contabilizar eventual diferença entre o valor contábil dos ativos distribuídos e o valor do dividendo a pagar?</w:t>
      </w:r>
    </w:p>
    <w:p w14:paraId="3E20FD67" w14:textId="77777777" w:rsidR="00DA08ED" w:rsidRPr="00451C3B" w:rsidRDefault="00DA08ED" w:rsidP="00451C3B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12A63B2D" w14:textId="77777777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t>Consenso</w:t>
      </w:r>
    </w:p>
    <w:p w14:paraId="0E38F043" w14:textId="77777777" w:rsidR="00DA08ED" w:rsidRPr="00451C3B" w:rsidRDefault="00DA08ED" w:rsidP="00DA08ED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3965F5AF" w14:textId="77777777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t>Quando reconhecer o dividendo a ser pago</w:t>
      </w:r>
    </w:p>
    <w:p w14:paraId="178F0F05" w14:textId="77777777" w:rsidR="00DA08ED" w:rsidRPr="00451C3B" w:rsidRDefault="00DA08ED" w:rsidP="00451C3B">
      <w:pPr>
        <w:jc w:val="both"/>
      </w:pPr>
    </w:p>
    <w:p w14:paraId="6640017D" w14:textId="77777777" w:rsidR="00DA08ED" w:rsidRPr="00DA08ED" w:rsidRDefault="00DA08ED" w:rsidP="00451C3B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10. </w:t>
      </w:r>
      <w:r w:rsidRPr="00DA08ED">
        <w:rPr>
          <w:color w:val="000000"/>
        </w:rPr>
        <w:tab/>
        <w:t>O passivo advindo do dividendo a ser pago deve ser reconhecido quando o dividendo for adequadamente autorizado e estiver no limite da discricionariedade da entidade, que vem a ser a data:</w:t>
      </w:r>
    </w:p>
    <w:p w14:paraId="40860DF9" w14:textId="77777777" w:rsidR="00DA08ED" w:rsidRPr="00DA08ED" w:rsidRDefault="00DA08ED" w:rsidP="00451C3B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71D2E312" w14:textId="77777777" w:rsidR="00DA08ED" w:rsidRPr="00DA08ED" w:rsidRDefault="00DA08ED" w:rsidP="00451C3B">
      <w:pPr>
        <w:widowControl w:val="0"/>
        <w:numPr>
          <w:ilvl w:val="0"/>
          <w:numId w:val="40"/>
        </w:numPr>
        <w:ind w:right="57"/>
        <w:jc w:val="both"/>
        <w:rPr>
          <w:bCs/>
          <w:iCs/>
          <w:color w:val="000000"/>
        </w:rPr>
      </w:pPr>
      <w:r w:rsidRPr="00DA08ED">
        <w:rPr>
          <w:bCs/>
          <w:iCs/>
          <w:color w:val="000000"/>
        </w:rPr>
        <w:t xml:space="preserve">em que o dividendo proposto, por exemplo, pelo Conselho de Administração ou pela Diretoria, é aprovado pela autoridade competente, no caso os acionistas, se essa for a condição legalmente imposta para sua validade; ou </w:t>
      </w:r>
    </w:p>
    <w:p w14:paraId="425E0CAB" w14:textId="77777777" w:rsidR="00DA08ED" w:rsidRPr="00DA08ED" w:rsidRDefault="00DA08ED" w:rsidP="00451C3B">
      <w:pPr>
        <w:widowControl w:val="0"/>
        <w:ind w:left="710" w:right="57"/>
        <w:jc w:val="both"/>
        <w:rPr>
          <w:bCs/>
          <w:iCs/>
          <w:color w:val="000000"/>
        </w:rPr>
      </w:pPr>
    </w:p>
    <w:p w14:paraId="2D18E1F3" w14:textId="77777777" w:rsidR="00DA08ED" w:rsidRPr="00DA08ED" w:rsidRDefault="00DA08ED" w:rsidP="00451C3B">
      <w:pPr>
        <w:widowControl w:val="0"/>
        <w:numPr>
          <w:ilvl w:val="0"/>
          <w:numId w:val="40"/>
        </w:numPr>
        <w:tabs>
          <w:tab w:val="num" w:pos="1070"/>
        </w:tabs>
        <w:ind w:left="1070" w:right="57"/>
        <w:jc w:val="both"/>
        <w:rPr>
          <w:bCs/>
          <w:iCs/>
          <w:color w:val="000000"/>
        </w:rPr>
      </w:pPr>
      <w:r w:rsidRPr="00DA08ED">
        <w:rPr>
          <w:bCs/>
          <w:iCs/>
          <w:color w:val="000000"/>
        </w:rPr>
        <w:t>em que o dividendo é declarado, por exemplo, pelo Conselho de Administração ou pela Diretoria, se não houver imposição legal para sua aprovação por outros órgãos da companhia.</w:t>
      </w:r>
    </w:p>
    <w:p w14:paraId="2EA0FB59" w14:textId="77777777" w:rsidR="00DA08ED" w:rsidRPr="00451C3B" w:rsidRDefault="00DA08ED" w:rsidP="00451C3B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70D75787" w14:textId="77777777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lastRenderedPageBreak/>
        <w:t>Mensuração do dividendo a ser pago</w:t>
      </w:r>
    </w:p>
    <w:p w14:paraId="1045B9DA" w14:textId="77777777" w:rsidR="00DA08ED" w:rsidRPr="0003587A" w:rsidRDefault="00DA08ED" w:rsidP="00DA08ED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5DF79192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11. </w:t>
      </w:r>
      <w:r w:rsidRPr="00DA08ED">
        <w:rPr>
          <w:color w:val="000000"/>
        </w:rPr>
        <w:tab/>
        <w:t>A entidade deve mensurar um passivo relacionado à obrigação de distribuir ativos “não caixa” como dividendo aos seus beneficiários pelo valor justo dos ativos a serem distribuídos.</w:t>
      </w:r>
    </w:p>
    <w:p w14:paraId="7D9882C6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5EDDE5FB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12. </w:t>
      </w:r>
      <w:r w:rsidRPr="00DA08ED">
        <w:rPr>
          <w:color w:val="000000"/>
        </w:rPr>
        <w:tab/>
        <w:t>Se a entidade conceder aos beneficiários de seus dividendos o direito de escolher entre receber um ativo “não caixa” ou uma alternativa em caixa, a entidade deve estimar o dividendo a ser pago com base no valor justo de cada alternativa e as probabilidades associadas à seleção de cada alternativa pelos beneficiários.</w:t>
      </w:r>
    </w:p>
    <w:p w14:paraId="01CCB85C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25C963A9" w14:textId="281BA0E6" w:rsid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13. </w:t>
      </w:r>
      <w:r w:rsidRPr="00DA08ED">
        <w:rPr>
          <w:color w:val="000000"/>
        </w:rPr>
        <w:tab/>
        <w:t>Ao final de cada período de elaboração de balanço patrimonial e na data da liquidação, a entidade deve revisar e ajustar o valor do dividendo provisionado, reconhecendo qualquer mudança no dividendo provisionado no patrimônio líquido como ajuste no montante da distribuição declarada.</w:t>
      </w:r>
    </w:p>
    <w:p w14:paraId="46F85106" w14:textId="77777777" w:rsidR="00F13440" w:rsidRPr="00DA08ED" w:rsidRDefault="00F13440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3A0113C1" w14:textId="24AD8B32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t>Contabilização da diferença entre o valor contábil dos ativos distribuídos e o valor do dividendo a ser pago quando a entidade liquida a referida obrigação</w:t>
      </w:r>
    </w:p>
    <w:p w14:paraId="565F96EC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2C2DC456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14. </w:t>
      </w:r>
      <w:r w:rsidRPr="00DA08ED">
        <w:rPr>
          <w:color w:val="000000"/>
        </w:rPr>
        <w:tab/>
        <w:t>Quando a entidade liquidar a obrigação correspondente ao dividendo a ser pago, ela deve reconhecer, na demonstração do resultado do exercício, a eventual diferença entre o valor contábil dos ativos distribuídos e o valor reconhecido correspondente ao dividendo a ser pago.</w:t>
      </w:r>
    </w:p>
    <w:p w14:paraId="72D1E098" w14:textId="77777777" w:rsidR="00DA08ED" w:rsidRPr="004065A7" w:rsidRDefault="00DA08ED" w:rsidP="00DA08ED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78A220C0" w14:textId="77777777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t>Apresentação e evidenciação</w:t>
      </w:r>
    </w:p>
    <w:p w14:paraId="7ECF5790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735F2C37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15. </w:t>
      </w:r>
      <w:r w:rsidRPr="00DA08ED">
        <w:rPr>
          <w:color w:val="000000"/>
        </w:rPr>
        <w:tab/>
        <w:t>A entidade deve apresentar a diferença descrita no item 14 em uma linha separada na demonstração do resultado do exercício.</w:t>
      </w:r>
    </w:p>
    <w:p w14:paraId="25303264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4509FC45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16. </w:t>
      </w:r>
      <w:r w:rsidRPr="00DA08ED">
        <w:rPr>
          <w:color w:val="000000"/>
        </w:rPr>
        <w:tab/>
        <w:t>A entidade deve evidenciar as seguintes informações, se aplicáveis:</w:t>
      </w:r>
    </w:p>
    <w:p w14:paraId="2B1FCA05" w14:textId="77777777" w:rsidR="00DA08ED" w:rsidRPr="00DA08ED" w:rsidRDefault="00DA08ED" w:rsidP="004065A7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7D95EB51" w14:textId="77777777" w:rsidR="00DA08ED" w:rsidRPr="00DA08ED" w:rsidRDefault="00DA08ED" w:rsidP="004065A7">
      <w:pPr>
        <w:widowControl w:val="0"/>
        <w:numPr>
          <w:ilvl w:val="0"/>
          <w:numId w:val="41"/>
        </w:numPr>
        <w:ind w:right="57"/>
        <w:jc w:val="both"/>
        <w:rPr>
          <w:bCs/>
          <w:iCs/>
          <w:color w:val="000000"/>
        </w:rPr>
      </w:pPr>
      <w:r w:rsidRPr="00DA08ED">
        <w:rPr>
          <w:bCs/>
          <w:iCs/>
          <w:color w:val="000000"/>
        </w:rPr>
        <w:t xml:space="preserve"> o valor reconhecido do dividendo a pagar no início e no final do período; e</w:t>
      </w:r>
    </w:p>
    <w:p w14:paraId="7B7189E5" w14:textId="77777777" w:rsidR="00DA08ED" w:rsidRPr="00DA08ED" w:rsidRDefault="00DA08ED" w:rsidP="004065A7">
      <w:pPr>
        <w:widowControl w:val="0"/>
        <w:ind w:left="710" w:right="57"/>
        <w:jc w:val="both"/>
        <w:rPr>
          <w:bCs/>
          <w:iCs/>
          <w:color w:val="000000"/>
        </w:rPr>
      </w:pPr>
    </w:p>
    <w:p w14:paraId="4DC3FF9D" w14:textId="77777777" w:rsidR="00DA08ED" w:rsidRPr="00DA08ED" w:rsidRDefault="00DA08ED" w:rsidP="004065A7">
      <w:pPr>
        <w:widowControl w:val="0"/>
        <w:numPr>
          <w:ilvl w:val="0"/>
          <w:numId w:val="41"/>
        </w:numPr>
        <w:tabs>
          <w:tab w:val="num" w:pos="1070"/>
        </w:tabs>
        <w:ind w:left="1070" w:right="57"/>
        <w:jc w:val="both"/>
        <w:rPr>
          <w:bCs/>
          <w:iCs/>
          <w:color w:val="000000"/>
        </w:rPr>
      </w:pPr>
      <w:r w:rsidRPr="00DA08ED">
        <w:rPr>
          <w:bCs/>
          <w:iCs/>
          <w:color w:val="000000"/>
        </w:rPr>
        <w:t>o aumento ou a diminuição no valor reconhecido no período na forma do item 13, como resultado da mudança no valor justo dos ativos a serem distribuídos.</w:t>
      </w:r>
    </w:p>
    <w:p w14:paraId="733219C0" w14:textId="77777777" w:rsidR="00DA08ED" w:rsidRPr="00DA08ED" w:rsidRDefault="00DA08ED" w:rsidP="004065A7">
      <w:pPr>
        <w:widowControl w:val="0"/>
        <w:ind w:left="710" w:right="57"/>
        <w:jc w:val="both"/>
        <w:rPr>
          <w:bCs/>
          <w:iCs/>
          <w:color w:val="000000"/>
        </w:rPr>
      </w:pPr>
    </w:p>
    <w:p w14:paraId="6412D448" w14:textId="77777777" w:rsidR="00DA08ED" w:rsidRPr="00DA08ED" w:rsidRDefault="00DA08ED" w:rsidP="0003587A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17. </w:t>
      </w:r>
      <w:r w:rsidRPr="00DA08ED">
        <w:rPr>
          <w:color w:val="000000"/>
        </w:rPr>
        <w:tab/>
        <w:t>Se, após o término do período de elaboração de balanço patrimonial, porém antes de as demonstrações contábeis terem sido aprovadas para divulgação, a entidade declarar dividendo a ser distribuído por meio de ativos “não caixa”, ela deve divulgar:</w:t>
      </w:r>
    </w:p>
    <w:p w14:paraId="4166BFF9" w14:textId="77777777" w:rsidR="00DA08ED" w:rsidRPr="0003587A" w:rsidRDefault="00DA08ED" w:rsidP="0003587A">
      <w:pPr>
        <w:jc w:val="both"/>
      </w:pPr>
    </w:p>
    <w:p w14:paraId="1DDF89ED" w14:textId="77777777" w:rsidR="00DA08ED" w:rsidRPr="00DA08ED" w:rsidRDefault="00DA08ED" w:rsidP="0003587A">
      <w:pPr>
        <w:widowControl w:val="0"/>
        <w:numPr>
          <w:ilvl w:val="0"/>
          <w:numId w:val="42"/>
        </w:numPr>
        <w:ind w:right="57"/>
        <w:jc w:val="both"/>
        <w:rPr>
          <w:bCs/>
          <w:iCs/>
          <w:color w:val="000000"/>
        </w:rPr>
      </w:pPr>
      <w:r w:rsidRPr="00DA08ED">
        <w:rPr>
          <w:bCs/>
          <w:iCs/>
          <w:color w:val="000000"/>
        </w:rPr>
        <w:t>a natureza dos ativos a serem distribuídos;</w:t>
      </w:r>
    </w:p>
    <w:p w14:paraId="23BB141A" w14:textId="77777777" w:rsidR="00DA08ED" w:rsidRPr="00DA08ED" w:rsidRDefault="00DA08ED" w:rsidP="0003587A">
      <w:pPr>
        <w:widowControl w:val="0"/>
        <w:ind w:left="720" w:right="57"/>
        <w:jc w:val="both"/>
        <w:rPr>
          <w:bCs/>
          <w:iCs/>
          <w:color w:val="000000"/>
        </w:rPr>
      </w:pPr>
    </w:p>
    <w:p w14:paraId="5AFEFC77" w14:textId="77777777" w:rsidR="00DA08ED" w:rsidRPr="00DA08ED" w:rsidRDefault="00DA08ED" w:rsidP="0003587A">
      <w:pPr>
        <w:widowControl w:val="0"/>
        <w:numPr>
          <w:ilvl w:val="0"/>
          <w:numId w:val="42"/>
        </w:numPr>
        <w:ind w:right="57"/>
        <w:jc w:val="both"/>
        <w:rPr>
          <w:bCs/>
          <w:iCs/>
          <w:color w:val="000000"/>
        </w:rPr>
      </w:pPr>
      <w:r w:rsidRPr="00DA08ED">
        <w:rPr>
          <w:bCs/>
          <w:iCs/>
          <w:color w:val="000000"/>
        </w:rPr>
        <w:t xml:space="preserve">o valor contábil do ativo a ser distribuído ao término do período de elaboração de balanço patrimonial; e </w:t>
      </w:r>
    </w:p>
    <w:p w14:paraId="032844F7" w14:textId="77777777" w:rsidR="00DA08ED" w:rsidRPr="00DA08ED" w:rsidRDefault="00DA08ED" w:rsidP="0003587A">
      <w:pPr>
        <w:widowControl w:val="0"/>
        <w:ind w:left="720" w:right="57"/>
        <w:jc w:val="both"/>
        <w:rPr>
          <w:bCs/>
          <w:iCs/>
          <w:color w:val="000000"/>
        </w:rPr>
      </w:pPr>
    </w:p>
    <w:p w14:paraId="3AEA6224" w14:textId="0323B977" w:rsidR="00DA08ED" w:rsidRPr="00DA08ED" w:rsidRDefault="00DA08ED" w:rsidP="0003587A">
      <w:pPr>
        <w:widowControl w:val="0"/>
        <w:numPr>
          <w:ilvl w:val="0"/>
          <w:numId w:val="42"/>
        </w:numPr>
        <w:ind w:right="57"/>
        <w:jc w:val="both"/>
        <w:rPr>
          <w:bCs/>
          <w:iCs/>
          <w:color w:val="000000"/>
        </w:rPr>
      </w:pPr>
      <w:r w:rsidRPr="00DA08ED">
        <w:rPr>
          <w:bCs/>
          <w:iCs/>
          <w:color w:val="000000"/>
        </w:rPr>
        <w:t>o valor justo do ativo a ser distribuído ao término do período de elaboração d</w:t>
      </w:r>
      <w:r w:rsidR="004065A7">
        <w:rPr>
          <w:bCs/>
          <w:iCs/>
          <w:color w:val="000000"/>
        </w:rPr>
        <w:t>o</w:t>
      </w:r>
      <w:r w:rsidRPr="00DA08ED">
        <w:rPr>
          <w:bCs/>
          <w:iCs/>
          <w:color w:val="000000"/>
        </w:rPr>
        <w:t xml:space="preserve"> balanço patrimonial, se for diferente do seu valor contábil, e a informação acerca do método utilizado </w:t>
      </w:r>
      <w:r w:rsidRPr="00DA08ED">
        <w:rPr>
          <w:bCs/>
          <w:iCs/>
          <w:color w:val="000000"/>
        </w:rPr>
        <w:lastRenderedPageBreak/>
        <w:t>para</w:t>
      </w:r>
      <w:r w:rsidR="00EF09AB">
        <w:rPr>
          <w:bCs/>
          <w:iCs/>
          <w:color w:val="000000"/>
        </w:rPr>
        <w:t xml:space="preserve"> mensurar</w:t>
      </w:r>
      <w:r w:rsidRPr="00DA08ED">
        <w:rPr>
          <w:bCs/>
          <w:iCs/>
          <w:color w:val="000000"/>
        </w:rPr>
        <w:t xml:space="preserve"> o valor justo requerido pelo Pronunciamento Técnico CPC 4</w:t>
      </w:r>
      <w:r w:rsidR="009254A1">
        <w:rPr>
          <w:bCs/>
          <w:iCs/>
          <w:color w:val="000000"/>
        </w:rPr>
        <w:t>6 – Mensuração do Valor Justo, em seus itens 93(b), (d), (g)</w:t>
      </w:r>
      <w:r w:rsidR="00E42516">
        <w:rPr>
          <w:bCs/>
          <w:iCs/>
          <w:color w:val="000000"/>
        </w:rPr>
        <w:t xml:space="preserve"> e (i) e 99</w:t>
      </w:r>
      <w:r w:rsidRPr="00DA08ED">
        <w:rPr>
          <w:bCs/>
          <w:iCs/>
          <w:color w:val="000000"/>
        </w:rPr>
        <w:t>.</w:t>
      </w:r>
    </w:p>
    <w:p w14:paraId="4CC3D193" w14:textId="77777777" w:rsidR="00DA08ED" w:rsidRPr="0003587A" w:rsidRDefault="00DA08ED" w:rsidP="0003587A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0F4BE4B9" w14:textId="77777777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t>Data efetiva</w:t>
      </w:r>
    </w:p>
    <w:p w14:paraId="6D924B65" w14:textId="77777777" w:rsidR="00DA08ED" w:rsidRPr="0003587A" w:rsidRDefault="00DA08ED" w:rsidP="00DA08ED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206358C1" w14:textId="7AE1BED4" w:rsidR="00FD3B64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18. </w:t>
      </w:r>
      <w:r w:rsidRPr="00DA08ED">
        <w:rPr>
          <w:color w:val="000000"/>
        </w:rPr>
        <w:tab/>
        <w:t>A entidade deve aplicar esta Interpretação de forma prospectiva conforme determinado pelos órgãos reguladores. A aplicação retrospectiva não é permitida. Deve ser divulgada a data a partir da qual esta Interpretação passará a ser aplicada.</w:t>
      </w:r>
      <w:r w:rsidR="00FD3B64">
        <w:rPr>
          <w:color w:val="000000"/>
        </w:rPr>
        <w:br w:type="page"/>
      </w:r>
    </w:p>
    <w:p w14:paraId="1871E3E3" w14:textId="77777777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lastRenderedPageBreak/>
        <w:t>Exemplos ilustrativos</w:t>
      </w:r>
    </w:p>
    <w:p w14:paraId="64403E39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0FA00AD8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i/>
          <w:color w:val="000000"/>
        </w:rPr>
      </w:pPr>
      <w:r w:rsidRPr="00DA08ED">
        <w:rPr>
          <w:i/>
          <w:color w:val="000000"/>
        </w:rPr>
        <w:t>Estes Exemplos acompanham, mas não são parte integrante desta Interpretação.</w:t>
      </w:r>
    </w:p>
    <w:p w14:paraId="09CCB6CC" w14:textId="77777777" w:rsidR="00DA08ED" w:rsidRPr="0003587A" w:rsidRDefault="00DA08ED" w:rsidP="00DA08ED">
      <w:pPr>
        <w:widowControl w:val="0"/>
        <w:tabs>
          <w:tab w:val="left" w:pos="6804"/>
        </w:tabs>
        <w:ind w:left="57" w:right="57"/>
        <w:jc w:val="both"/>
        <w:rPr>
          <w:bCs/>
        </w:rPr>
      </w:pPr>
    </w:p>
    <w:p w14:paraId="0D8D57AD" w14:textId="77777777" w:rsidR="00DA08ED" w:rsidRPr="00DA08ED" w:rsidRDefault="00DA08ED" w:rsidP="00DA08ED">
      <w:pPr>
        <w:widowControl w:val="0"/>
        <w:tabs>
          <w:tab w:val="left" w:pos="6804"/>
        </w:tabs>
        <w:ind w:left="57" w:right="57"/>
        <w:jc w:val="both"/>
        <w:rPr>
          <w:b/>
          <w:sz w:val="28"/>
          <w:szCs w:val="28"/>
        </w:rPr>
      </w:pPr>
      <w:r w:rsidRPr="00DA08ED">
        <w:rPr>
          <w:b/>
          <w:sz w:val="28"/>
          <w:szCs w:val="28"/>
        </w:rPr>
        <w:t xml:space="preserve">Alcance da Interpretação (itens </w:t>
      </w:r>
      <w:smartTag w:uri="urn:schemas-microsoft-com:office:smarttags" w:element="metricconverter">
        <w:smartTagPr>
          <w:attr w:name="ProductID" w:val="3 a"/>
        </w:smartTagPr>
        <w:r w:rsidRPr="00DA08ED">
          <w:rPr>
            <w:b/>
            <w:sz w:val="28"/>
            <w:szCs w:val="28"/>
          </w:rPr>
          <w:t>3 a</w:t>
        </w:r>
      </w:smartTag>
      <w:r w:rsidRPr="00DA08ED">
        <w:rPr>
          <w:b/>
          <w:sz w:val="28"/>
          <w:szCs w:val="28"/>
        </w:rPr>
        <w:t xml:space="preserve"> 8)</w:t>
      </w:r>
    </w:p>
    <w:p w14:paraId="026937BB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198BB709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EI1. </w:t>
      </w:r>
      <w:r w:rsidRPr="00DA08ED">
        <w:rPr>
          <w:color w:val="000000"/>
        </w:rPr>
        <w:tab/>
        <w:t>Admita que a Companhia “A” seja aberta. O seu controle é negociado no mercado, não havendo um acionista que a controle individualmente, nem tampouco grupo de acionista que exerça esse poder mediante acordo nesse sentido. A Companhia “A” distribui certos ativos (por exemplo: valores mobiliários disponíveis para venda) de modo rateado entre seus acionistas. Essa transação enquadra-se no alcance desta Interpretação.</w:t>
      </w:r>
    </w:p>
    <w:p w14:paraId="1FF98D4B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43AE497E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EI2. </w:t>
      </w:r>
      <w:r w:rsidRPr="00DA08ED">
        <w:rPr>
          <w:color w:val="000000"/>
        </w:rPr>
        <w:tab/>
        <w:t>Entretanto, se um de seus acionistas (ou grupo de acionistas agindo em conjunto conforme acordo contratual firmado nesse sentido) controla a Companhia “A” antes e após a transação, a transação como um todo (incluindo a distribuição para acionistas não controladores) não se enquadra no alcance desta Interpretação. Isso porque na distribuição pro rata para todos os acionistas da mesma classe de instrumentos patrimoniais, o acionista controlador (ou grupo de acionistas controladores) continuará a controlar os ativos “não caixa” após a distribuição.</w:t>
      </w:r>
    </w:p>
    <w:p w14:paraId="1046390C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710745C4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EI3. </w:t>
      </w:r>
      <w:r w:rsidRPr="00DA08ED">
        <w:rPr>
          <w:color w:val="000000"/>
        </w:rPr>
        <w:tab/>
        <w:t>Admita que a Companhia “A” seja aberta. O seu controle é negociado no mercado, não havendo um acionista que a controle individualmente, nem tampouco um grupo de acionistas que exerça esse poder mediante acordo nesse sentido. A Companhia “A” possui sozinha todas as ações da sua controlada “B” (subsidiária integral). A Companhia “A” distribui todas as ações de sua controlada “B” na base pro rata aos seus acionistas, tendo por implicação a perda do controle de “B”. Esta transação está dentro do alcance desta Interpretação.</w:t>
      </w:r>
    </w:p>
    <w:p w14:paraId="3F0C6A30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5A528230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  <w:r w:rsidRPr="00DA08ED">
        <w:rPr>
          <w:color w:val="000000"/>
        </w:rPr>
        <w:t xml:space="preserve">EI4. </w:t>
      </w:r>
      <w:r w:rsidRPr="00DA08ED">
        <w:rPr>
          <w:color w:val="000000"/>
        </w:rPr>
        <w:tab/>
        <w:t>Entretanto, se a Companhia “A” distribui aos seus acionistas tão-só ações da sua controlada “B” que se qualifiquem como participação de não controladores, retendo por consequência o controle de “B”, essa transação está fora do alcance desta Interpretação. A Companhia “A” deve contabilizar a distribuição de acordo com os Pronunciamentos Técnicos CPC 35 - Demonstrações Separadas e CPC 36 - Demonstrações Consolidadas. A Companhia “A” controla a Companhia “B”, tanto antes quanto depois da transação.</w:t>
      </w:r>
    </w:p>
    <w:p w14:paraId="2A59419B" w14:textId="77777777" w:rsidR="00DA08ED" w:rsidRPr="00DA08ED" w:rsidRDefault="00DA08ED" w:rsidP="00DA08ED">
      <w:pPr>
        <w:widowControl w:val="0"/>
        <w:tabs>
          <w:tab w:val="left" w:pos="6804"/>
        </w:tabs>
        <w:ind w:left="567" w:right="57" w:hanging="567"/>
        <w:jc w:val="both"/>
        <w:rPr>
          <w:color w:val="000000"/>
        </w:rPr>
      </w:pPr>
    </w:p>
    <w:p w14:paraId="3768F915" w14:textId="77777777" w:rsidR="00F6565E" w:rsidRPr="002B3EF5" w:rsidRDefault="00F6565E" w:rsidP="00DA08ED">
      <w:pPr>
        <w:rPr>
          <w:rFonts w:ascii="Arial" w:hAnsi="Arial" w:cs="Arial"/>
          <w:color w:val="000000"/>
          <w:sz w:val="22"/>
          <w:szCs w:val="22"/>
        </w:rPr>
      </w:pPr>
    </w:p>
    <w:sectPr w:rsidR="00F6565E" w:rsidRPr="002B3EF5" w:rsidSect="000C32E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268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AE724" w14:textId="77777777" w:rsidR="00242AD9" w:rsidRDefault="00242AD9">
      <w:r>
        <w:separator/>
      </w:r>
    </w:p>
  </w:endnote>
  <w:endnote w:type="continuationSeparator" w:id="0">
    <w:p w14:paraId="2222D127" w14:textId="77777777" w:rsidR="00242AD9" w:rsidRDefault="0024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520B03EC" w:rsidR="00662CE5" w:rsidRDefault="00662CE5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10166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00662CE5" w14:paraId="090ED991" w14:textId="77777777" w:rsidTr="77F647DA">
      <w:tc>
        <w:tcPr>
          <w:tcW w:w="3402" w:type="dxa"/>
        </w:tcPr>
        <w:p w14:paraId="100A3605" w14:textId="5A24544F" w:rsidR="00662CE5" w:rsidRDefault="00662CE5" w:rsidP="002A7987">
          <w:pPr>
            <w:pStyle w:val="Cabealho"/>
          </w:pPr>
        </w:p>
      </w:tc>
      <w:tc>
        <w:tcPr>
          <w:tcW w:w="3402" w:type="dxa"/>
        </w:tcPr>
        <w:p w14:paraId="00C2E6BC" w14:textId="6F39F36D" w:rsidR="00662CE5" w:rsidRPr="00893BD4" w:rsidRDefault="00662CE5" w:rsidP="77F647DA">
          <w:pPr>
            <w:pStyle w:val="Cabealho"/>
            <w:jc w:val="center"/>
            <w:rPr>
              <w:rFonts w:asciiTheme="minorHAnsi" w:hAnsiTheme="minorHAnsi"/>
            </w:rPr>
          </w:pPr>
        </w:p>
      </w:tc>
      <w:tc>
        <w:tcPr>
          <w:tcW w:w="3402" w:type="dxa"/>
        </w:tcPr>
        <w:p w14:paraId="3670ADF3" w14:textId="557387F6" w:rsidR="00662CE5" w:rsidRDefault="00662CE5" w:rsidP="77F647DA">
          <w:pPr>
            <w:pStyle w:val="Cabealho"/>
            <w:ind w:right="-115"/>
            <w:jc w:val="right"/>
          </w:pPr>
        </w:p>
      </w:tc>
    </w:tr>
  </w:tbl>
  <w:p w14:paraId="6BBD4D3C" w14:textId="7FB81869" w:rsidR="00662CE5" w:rsidRDefault="00662CE5" w:rsidP="006659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6A264" w14:textId="77777777" w:rsidR="00242AD9" w:rsidRDefault="00242AD9">
      <w:r>
        <w:separator/>
      </w:r>
    </w:p>
  </w:footnote>
  <w:footnote w:type="continuationSeparator" w:id="0">
    <w:p w14:paraId="4C4E3AB9" w14:textId="77777777" w:rsidR="00242AD9" w:rsidRDefault="0024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6722F7D5" w:rsidR="00662CE5" w:rsidRPr="007A1E4D" w:rsidRDefault="00662CE5" w:rsidP="00A87174">
    <w:pPr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3A38279B" wp14:editId="11F1B443">
          <wp:extent cx="628650" cy="628650"/>
          <wp:effectExtent l="0" t="0" r="0" b="0"/>
          <wp:docPr id="1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AE494" w14:textId="77777777" w:rsidR="00662CE5" w:rsidRPr="006A4891" w:rsidRDefault="00662CE5" w:rsidP="00A87174">
    <w:pPr>
      <w:jc w:val="center"/>
      <w:rPr>
        <w:b/>
      </w:rPr>
    </w:pPr>
    <w:r w:rsidRPr="006A4891">
      <w:rPr>
        <w:b/>
      </w:rPr>
      <w:t>COMISSÃO DE VALORES MOBILIÁRIOS</w:t>
    </w:r>
  </w:p>
  <w:p w14:paraId="6B6D6F95" w14:textId="77777777" w:rsidR="00662CE5" w:rsidRDefault="00662CE5" w:rsidP="00A87174">
    <w:pPr>
      <w:spacing w:line="180" w:lineRule="exact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Rua Sete de Setembro, 111/2-5º e 23-34º Andares, Centro, Rio de Janeiro/RJ – CEP: 20050-901 – Brasil - Tel.: (21) 3554-8686</w:t>
    </w:r>
  </w:p>
  <w:p w14:paraId="1C6E2277" w14:textId="77777777" w:rsidR="00662CE5" w:rsidRDefault="00662CE5" w:rsidP="00A87174">
    <w:pPr>
      <w:spacing w:line="180" w:lineRule="exact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Rua Cincinato Braga, 340/2º, 3º e 4º Andares, Bela Vista, São Paulo/ SP – CEP: 01333-010 – Brasil - Tel.: (11) 2146-2000</w:t>
    </w:r>
  </w:p>
  <w:p w14:paraId="0757E454" w14:textId="77777777" w:rsidR="00662CE5" w:rsidRDefault="00662CE5" w:rsidP="00A87174">
    <w:pPr>
      <w:spacing w:line="180" w:lineRule="exact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SCN Q.02 – Bl. A – Ed. Corporate Financial Center, S.404/4º Andar, Brasília/DF – CEP: 70712-900 – Brasil -Tel.: (61) 3327-2030/2031</w:t>
    </w:r>
  </w:p>
  <w:p w14:paraId="575BBAA3" w14:textId="7DC19189" w:rsidR="00662CE5" w:rsidRDefault="00101667" w:rsidP="00A87174">
    <w:pPr>
      <w:pStyle w:val="Cabealho"/>
      <w:jc w:val="center"/>
      <w:rPr>
        <w:rFonts w:ascii="Calibri" w:hAnsi="Calibri" w:cs="Calibri"/>
        <w:sz w:val="18"/>
        <w:szCs w:val="18"/>
      </w:rPr>
    </w:pPr>
    <w:hyperlink r:id="rId2" w:history="1">
      <w:r w:rsidR="00773A28" w:rsidRPr="00B828F7">
        <w:rPr>
          <w:rStyle w:val="Hyperlink"/>
          <w:rFonts w:ascii="Calibri" w:hAnsi="Calibri" w:cs="Calibri"/>
          <w:sz w:val="18"/>
          <w:szCs w:val="18"/>
        </w:rPr>
        <w:t>www.gov.br/cvm</w:t>
      </w:r>
    </w:hyperlink>
  </w:p>
  <w:p w14:paraId="34CE0A41" w14:textId="1C4030FB" w:rsidR="00662CE5" w:rsidRPr="00E57EF9" w:rsidRDefault="00101667" w:rsidP="00E57EF9">
    <w:pPr>
      <w:pStyle w:val="Cabealho"/>
      <w:spacing w:before="240" w:after="240"/>
      <w:rPr>
        <w:rFonts w:asciiTheme="minorHAnsi" w:hAnsiTheme="minorHAnsi" w:cstheme="minorHAnsi"/>
        <w:sz w:val="20"/>
        <w:szCs w:val="20"/>
      </w:rPr>
    </w:pPr>
    <w:r w:rsidRPr="00101667">
      <w:rPr>
        <w:rFonts w:ascii="Calibri" w:hAnsi="Calibri" w:cs="Calibri"/>
        <w:sz w:val="20"/>
        <w:szCs w:val="20"/>
      </w:rPr>
      <w:t>RESOLUÇÃO CVM Nº 123, DE 3 DE JUNHO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5968" w14:textId="77777777" w:rsidR="00662CE5" w:rsidRPr="007A1E4D" w:rsidRDefault="00662CE5" w:rsidP="00DE6EF6">
    <w:pPr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51C5733A" wp14:editId="1EE25A9A">
          <wp:extent cx="628650" cy="628650"/>
          <wp:effectExtent l="0" t="0" r="0" b="0"/>
          <wp:docPr id="130328818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1E63A" w14:textId="77777777" w:rsidR="00662CE5" w:rsidRPr="00DB68BE" w:rsidRDefault="00662CE5" w:rsidP="00DE6EF6">
    <w:pPr>
      <w:jc w:val="center"/>
      <w:rPr>
        <w:rFonts w:asciiTheme="minorHAnsi" w:hAnsiTheme="minorHAnsi" w:cstheme="minorHAnsi"/>
        <w:b/>
      </w:rPr>
    </w:pPr>
    <w:r w:rsidRPr="00DB68BE">
      <w:rPr>
        <w:rFonts w:asciiTheme="minorHAnsi" w:hAnsiTheme="minorHAnsi" w:cstheme="minorHAnsi"/>
        <w:b/>
      </w:rPr>
      <w:t>COMISSÃO DE VALORES MOBILIÁRIOS</w:t>
    </w:r>
  </w:p>
  <w:p w14:paraId="003A0F66" w14:textId="77777777" w:rsidR="00662CE5" w:rsidRPr="00DB68BE" w:rsidRDefault="00662CE5" w:rsidP="00DE6EF6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4E6D64BD" w14:textId="77777777" w:rsidR="00662CE5" w:rsidRPr="00DB68BE" w:rsidRDefault="00662CE5" w:rsidP="00DE6EF6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55BE98B4" w14:textId="77777777" w:rsidR="00662CE5" w:rsidRPr="00DB68BE" w:rsidRDefault="00662CE5" w:rsidP="00DE6EF6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1C5EC373" w14:textId="19DCB152" w:rsidR="00662CE5" w:rsidRDefault="00101667" w:rsidP="00DE6EF6">
    <w:pPr>
      <w:pStyle w:val="Cabealho"/>
      <w:spacing w:after="360" w:line="180" w:lineRule="exact"/>
      <w:jc w:val="center"/>
      <w:rPr>
        <w:rFonts w:asciiTheme="minorHAnsi" w:hAnsiTheme="minorHAnsi" w:cstheme="minorHAnsi"/>
        <w:sz w:val="18"/>
        <w:szCs w:val="18"/>
      </w:rPr>
    </w:pPr>
    <w:hyperlink r:id="rId2" w:history="1">
      <w:r w:rsidR="00773A28" w:rsidRPr="00B828F7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54C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35BDC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F35F50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83E99"/>
    <w:multiLevelType w:val="hybridMultilevel"/>
    <w:tmpl w:val="C270F5DA"/>
    <w:lvl w:ilvl="0" w:tplc="0B4A86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124BF"/>
    <w:multiLevelType w:val="hybridMultilevel"/>
    <w:tmpl w:val="285CA474"/>
    <w:lvl w:ilvl="0" w:tplc="5AAABA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0623D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59111A"/>
    <w:multiLevelType w:val="hybridMultilevel"/>
    <w:tmpl w:val="285CA474"/>
    <w:lvl w:ilvl="0" w:tplc="5AAABA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B496F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A62401"/>
    <w:multiLevelType w:val="hybridMultilevel"/>
    <w:tmpl w:val="C1405210"/>
    <w:lvl w:ilvl="0" w:tplc="C980DF56">
      <w:start w:val="1"/>
      <w:numFmt w:val="lowerLetter"/>
      <w:lvlText w:val="(%1)"/>
      <w:lvlJc w:val="left"/>
      <w:pPr>
        <w:ind w:left="897" w:hanging="512"/>
        <w:jc w:val="right"/>
      </w:pPr>
      <w:rPr>
        <w:rFonts w:hint="default"/>
        <w:w w:val="90"/>
        <w:u w:val="single" w:color="000000"/>
        <w:lang w:val="en-US" w:eastAsia="en-US" w:bidi="en-US"/>
      </w:rPr>
    </w:lvl>
    <w:lvl w:ilvl="1" w:tplc="6EF87CEA">
      <w:numFmt w:val="bullet"/>
      <w:lvlText w:val="•"/>
      <w:lvlJc w:val="left"/>
      <w:pPr>
        <w:ind w:left="1528" w:hanging="512"/>
      </w:pPr>
      <w:rPr>
        <w:rFonts w:hint="default"/>
        <w:lang w:val="en-US" w:eastAsia="en-US" w:bidi="en-US"/>
      </w:rPr>
    </w:lvl>
    <w:lvl w:ilvl="2" w:tplc="8BF25CDC">
      <w:numFmt w:val="bullet"/>
      <w:lvlText w:val="•"/>
      <w:lvlJc w:val="left"/>
      <w:pPr>
        <w:ind w:left="2156" w:hanging="512"/>
      </w:pPr>
      <w:rPr>
        <w:rFonts w:hint="default"/>
        <w:lang w:val="en-US" w:eastAsia="en-US" w:bidi="en-US"/>
      </w:rPr>
    </w:lvl>
    <w:lvl w:ilvl="3" w:tplc="B6DA71EC">
      <w:numFmt w:val="bullet"/>
      <w:lvlText w:val="•"/>
      <w:lvlJc w:val="left"/>
      <w:pPr>
        <w:ind w:left="2784" w:hanging="512"/>
      </w:pPr>
      <w:rPr>
        <w:rFonts w:hint="default"/>
        <w:lang w:val="en-US" w:eastAsia="en-US" w:bidi="en-US"/>
      </w:rPr>
    </w:lvl>
    <w:lvl w:ilvl="4" w:tplc="C6289366">
      <w:numFmt w:val="bullet"/>
      <w:lvlText w:val="•"/>
      <w:lvlJc w:val="left"/>
      <w:pPr>
        <w:ind w:left="3412" w:hanging="512"/>
      </w:pPr>
      <w:rPr>
        <w:rFonts w:hint="default"/>
        <w:lang w:val="en-US" w:eastAsia="en-US" w:bidi="en-US"/>
      </w:rPr>
    </w:lvl>
    <w:lvl w:ilvl="5" w:tplc="3C30796E">
      <w:numFmt w:val="bullet"/>
      <w:lvlText w:val="•"/>
      <w:lvlJc w:val="left"/>
      <w:pPr>
        <w:ind w:left="4040" w:hanging="512"/>
      </w:pPr>
      <w:rPr>
        <w:rFonts w:hint="default"/>
        <w:lang w:val="en-US" w:eastAsia="en-US" w:bidi="en-US"/>
      </w:rPr>
    </w:lvl>
    <w:lvl w:ilvl="6" w:tplc="075A72EE">
      <w:numFmt w:val="bullet"/>
      <w:lvlText w:val="•"/>
      <w:lvlJc w:val="left"/>
      <w:pPr>
        <w:ind w:left="4668" w:hanging="512"/>
      </w:pPr>
      <w:rPr>
        <w:rFonts w:hint="default"/>
        <w:lang w:val="en-US" w:eastAsia="en-US" w:bidi="en-US"/>
      </w:rPr>
    </w:lvl>
    <w:lvl w:ilvl="7" w:tplc="A2CE32BA">
      <w:numFmt w:val="bullet"/>
      <w:lvlText w:val="•"/>
      <w:lvlJc w:val="left"/>
      <w:pPr>
        <w:ind w:left="5296" w:hanging="512"/>
      </w:pPr>
      <w:rPr>
        <w:rFonts w:hint="default"/>
        <w:lang w:val="en-US" w:eastAsia="en-US" w:bidi="en-US"/>
      </w:rPr>
    </w:lvl>
    <w:lvl w:ilvl="8" w:tplc="5A32B72E">
      <w:numFmt w:val="bullet"/>
      <w:lvlText w:val="•"/>
      <w:lvlJc w:val="left"/>
      <w:pPr>
        <w:ind w:left="5924" w:hanging="512"/>
      </w:pPr>
      <w:rPr>
        <w:rFonts w:hint="default"/>
        <w:lang w:val="en-US" w:eastAsia="en-US" w:bidi="en-US"/>
      </w:rPr>
    </w:lvl>
  </w:abstractNum>
  <w:abstractNum w:abstractNumId="9" w15:restartNumberingAfterBreak="0">
    <w:nsid w:val="1B583726"/>
    <w:multiLevelType w:val="hybridMultilevel"/>
    <w:tmpl w:val="4F726062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0C7A0F"/>
    <w:multiLevelType w:val="hybridMultilevel"/>
    <w:tmpl w:val="C270F5DA"/>
    <w:lvl w:ilvl="0" w:tplc="0B4A86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63224"/>
    <w:multiLevelType w:val="hybridMultilevel"/>
    <w:tmpl w:val="C270F5DA"/>
    <w:lvl w:ilvl="0" w:tplc="0B4A86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E37CE"/>
    <w:multiLevelType w:val="hybridMultilevel"/>
    <w:tmpl w:val="C270F5DA"/>
    <w:lvl w:ilvl="0" w:tplc="0B4A86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77763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0882792"/>
    <w:multiLevelType w:val="hybridMultilevel"/>
    <w:tmpl w:val="B5286F80"/>
    <w:lvl w:ilvl="0" w:tplc="918AD6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102DA"/>
    <w:multiLevelType w:val="hybridMultilevel"/>
    <w:tmpl w:val="9A40259E"/>
    <w:lvl w:ilvl="0" w:tplc="CE2263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9E6358"/>
    <w:multiLevelType w:val="hybridMultilevel"/>
    <w:tmpl w:val="C270F5DA"/>
    <w:lvl w:ilvl="0" w:tplc="0B4A86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AA3F54"/>
    <w:multiLevelType w:val="hybridMultilevel"/>
    <w:tmpl w:val="622CC0FC"/>
    <w:lvl w:ilvl="0" w:tplc="05BC6738">
      <w:start w:val="1"/>
      <w:numFmt w:val="decimal"/>
      <w:pStyle w:val="ApendiceNumerado"/>
      <w:lvlText w:val="A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D611B"/>
    <w:multiLevelType w:val="hybridMultilevel"/>
    <w:tmpl w:val="48D81110"/>
    <w:lvl w:ilvl="0" w:tplc="00BC9976">
      <w:start w:val="1"/>
      <w:numFmt w:val="lowerLetter"/>
      <w:pStyle w:val="Lista1"/>
      <w:lvlText w:val="(%1)"/>
      <w:lvlJc w:val="left"/>
      <w:pPr>
        <w:ind w:left="720" w:hanging="360"/>
      </w:pPr>
      <w:rPr>
        <w:rFonts w:asciiTheme="minorHAnsi" w:hAnsiTheme="minorHAnsi" w:cstheme="minorHAns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42FE7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FFC262C"/>
    <w:multiLevelType w:val="hybridMultilevel"/>
    <w:tmpl w:val="62FE3F62"/>
    <w:lvl w:ilvl="0" w:tplc="85A4896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02711CD"/>
    <w:multiLevelType w:val="hybridMultilevel"/>
    <w:tmpl w:val="A2E6EFAE"/>
    <w:lvl w:ilvl="0" w:tplc="9844D8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627A2A"/>
    <w:multiLevelType w:val="hybridMultilevel"/>
    <w:tmpl w:val="EBB2BE88"/>
    <w:lvl w:ilvl="0" w:tplc="DD86F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E0C13"/>
    <w:multiLevelType w:val="hybridMultilevel"/>
    <w:tmpl w:val="285CA474"/>
    <w:lvl w:ilvl="0" w:tplc="5AAABA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1E13F2"/>
    <w:multiLevelType w:val="hybridMultilevel"/>
    <w:tmpl w:val="E24286A2"/>
    <w:lvl w:ilvl="0" w:tplc="8680492A">
      <w:start w:val="1"/>
      <w:numFmt w:val="decimal"/>
      <w:pStyle w:val="NormalNumerad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17DB0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48142DE"/>
    <w:multiLevelType w:val="hybridMultilevel"/>
    <w:tmpl w:val="DC98512A"/>
    <w:lvl w:ilvl="0" w:tplc="06401E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AA6051"/>
    <w:multiLevelType w:val="hybridMultilevel"/>
    <w:tmpl w:val="285CA474"/>
    <w:lvl w:ilvl="0" w:tplc="5AAABA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3D3352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687479F"/>
    <w:multiLevelType w:val="hybridMultilevel"/>
    <w:tmpl w:val="285CA474"/>
    <w:lvl w:ilvl="0" w:tplc="5AAABA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4F5F7A"/>
    <w:multiLevelType w:val="hybridMultilevel"/>
    <w:tmpl w:val="ABAC52EC"/>
    <w:lvl w:ilvl="0" w:tplc="8814128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A678E8C0">
      <w:start w:val="1"/>
      <w:numFmt w:val="decimal"/>
      <w:pStyle w:val="Listasegundo"/>
      <w:lvlText w:val="%2."/>
      <w:lvlJc w:val="left"/>
      <w:pPr>
        <w:ind w:left="1440" w:hanging="360"/>
      </w:pPr>
    </w:lvl>
    <w:lvl w:ilvl="2" w:tplc="9A4AA106">
      <w:start w:val="277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1045F"/>
    <w:multiLevelType w:val="hybridMultilevel"/>
    <w:tmpl w:val="582615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C2BDB"/>
    <w:multiLevelType w:val="hybridMultilevel"/>
    <w:tmpl w:val="A87ACC3C"/>
    <w:lvl w:ilvl="0" w:tplc="39CC9B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E0808"/>
    <w:multiLevelType w:val="hybridMultilevel"/>
    <w:tmpl w:val="C270F5DA"/>
    <w:lvl w:ilvl="0" w:tplc="0B4A86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C15E0"/>
    <w:multiLevelType w:val="hybridMultilevel"/>
    <w:tmpl w:val="6EE858E2"/>
    <w:lvl w:ilvl="0" w:tplc="B19A05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08B5"/>
    <w:multiLevelType w:val="hybridMultilevel"/>
    <w:tmpl w:val="541C123A"/>
    <w:lvl w:ilvl="0" w:tplc="8814128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3C6"/>
    <w:multiLevelType w:val="hybridMultilevel"/>
    <w:tmpl w:val="58E6CCBE"/>
    <w:lvl w:ilvl="0" w:tplc="24924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628C1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F912E70"/>
    <w:multiLevelType w:val="hybridMultilevel"/>
    <w:tmpl w:val="6AC6D0A2"/>
    <w:lvl w:ilvl="0" w:tplc="93409F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5"/>
  </w:num>
  <w:num w:numId="4">
    <w:abstractNumId w:val="30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7"/>
  </w:num>
  <w:num w:numId="9">
    <w:abstractNumId w:val="31"/>
  </w:num>
  <w:num w:numId="10">
    <w:abstractNumId w:val="14"/>
  </w:num>
  <w:num w:numId="11">
    <w:abstractNumId w:val="20"/>
  </w:num>
  <w:num w:numId="12">
    <w:abstractNumId w:val="8"/>
  </w:num>
  <w:num w:numId="13">
    <w:abstractNumId w:val="32"/>
  </w:num>
  <w:num w:numId="14">
    <w:abstractNumId w:val="26"/>
  </w:num>
  <w:num w:numId="15">
    <w:abstractNumId w:val="21"/>
  </w:num>
  <w:num w:numId="16">
    <w:abstractNumId w:val="34"/>
  </w:num>
  <w:num w:numId="17">
    <w:abstractNumId w:val="38"/>
  </w:num>
  <w:num w:numId="18">
    <w:abstractNumId w:val="22"/>
  </w:num>
  <w:num w:numId="19">
    <w:abstractNumId w:val="15"/>
  </w:num>
  <w:num w:numId="20">
    <w:abstractNumId w:val="9"/>
  </w:num>
  <w:num w:numId="21">
    <w:abstractNumId w:val="36"/>
  </w:num>
  <w:num w:numId="22">
    <w:abstractNumId w:val="19"/>
  </w:num>
  <w:num w:numId="23">
    <w:abstractNumId w:val="28"/>
  </w:num>
  <w:num w:numId="24">
    <w:abstractNumId w:val="5"/>
  </w:num>
  <w:num w:numId="25">
    <w:abstractNumId w:val="13"/>
  </w:num>
  <w:num w:numId="26">
    <w:abstractNumId w:val="7"/>
  </w:num>
  <w:num w:numId="27">
    <w:abstractNumId w:val="25"/>
  </w:num>
  <w:num w:numId="28">
    <w:abstractNumId w:val="37"/>
  </w:num>
  <w:num w:numId="29">
    <w:abstractNumId w:val="1"/>
  </w:num>
  <w:num w:numId="30">
    <w:abstractNumId w:val="2"/>
  </w:num>
  <w:num w:numId="31">
    <w:abstractNumId w:val="10"/>
  </w:num>
  <w:num w:numId="32">
    <w:abstractNumId w:val="11"/>
  </w:num>
  <w:num w:numId="33">
    <w:abstractNumId w:val="16"/>
  </w:num>
  <w:num w:numId="34">
    <w:abstractNumId w:val="12"/>
  </w:num>
  <w:num w:numId="35">
    <w:abstractNumId w:val="3"/>
  </w:num>
  <w:num w:numId="36">
    <w:abstractNumId w:val="33"/>
  </w:num>
  <w:num w:numId="37">
    <w:abstractNumId w:val="0"/>
  </w:num>
  <w:num w:numId="38">
    <w:abstractNumId w:val="23"/>
  </w:num>
  <w:num w:numId="39">
    <w:abstractNumId w:val="29"/>
  </w:num>
  <w:num w:numId="40">
    <w:abstractNumId w:val="6"/>
  </w:num>
  <w:num w:numId="41">
    <w:abstractNumId w:val="27"/>
  </w:num>
  <w:num w:numId="4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29"/>
    <w:rsid w:val="00003D61"/>
    <w:rsid w:val="00011BC8"/>
    <w:rsid w:val="00021118"/>
    <w:rsid w:val="000228CF"/>
    <w:rsid w:val="00024966"/>
    <w:rsid w:val="00027212"/>
    <w:rsid w:val="00027E32"/>
    <w:rsid w:val="00034409"/>
    <w:rsid w:val="00035503"/>
    <w:rsid w:val="0003587A"/>
    <w:rsid w:val="000449E6"/>
    <w:rsid w:val="00045151"/>
    <w:rsid w:val="0004533E"/>
    <w:rsid w:val="00045FF1"/>
    <w:rsid w:val="0004662E"/>
    <w:rsid w:val="0005283A"/>
    <w:rsid w:val="00052BBC"/>
    <w:rsid w:val="000530E9"/>
    <w:rsid w:val="000540B6"/>
    <w:rsid w:val="0005420B"/>
    <w:rsid w:val="0006484A"/>
    <w:rsid w:val="00066A27"/>
    <w:rsid w:val="00067AC4"/>
    <w:rsid w:val="00073595"/>
    <w:rsid w:val="00073840"/>
    <w:rsid w:val="00081D98"/>
    <w:rsid w:val="000828AA"/>
    <w:rsid w:val="00082C06"/>
    <w:rsid w:val="00084160"/>
    <w:rsid w:val="00086161"/>
    <w:rsid w:val="00087C7F"/>
    <w:rsid w:val="00092202"/>
    <w:rsid w:val="00093377"/>
    <w:rsid w:val="00094207"/>
    <w:rsid w:val="00094B49"/>
    <w:rsid w:val="00096774"/>
    <w:rsid w:val="000973B6"/>
    <w:rsid w:val="000A0F77"/>
    <w:rsid w:val="000A101D"/>
    <w:rsid w:val="000A25B5"/>
    <w:rsid w:val="000A2D20"/>
    <w:rsid w:val="000A6C89"/>
    <w:rsid w:val="000B0AF5"/>
    <w:rsid w:val="000B0B16"/>
    <w:rsid w:val="000C0951"/>
    <w:rsid w:val="000C2D6E"/>
    <w:rsid w:val="000C315A"/>
    <w:rsid w:val="000C31A7"/>
    <w:rsid w:val="000C32E5"/>
    <w:rsid w:val="000C4B77"/>
    <w:rsid w:val="000C52C9"/>
    <w:rsid w:val="000C6A70"/>
    <w:rsid w:val="000D0070"/>
    <w:rsid w:val="000D6158"/>
    <w:rsid w:val="000D79FB"/>
    <w:rsid w:val="000E47A5"/>
    <w:rsid w:val="000F05C4"/>
    <w:rsid w:val="000F7229"/>
    <w:rsid w:val="00101667"/>
    <w:rsid w:val="00105E49"/>
    <w:rsid w:val="001062E8"/>
    <w:rsid w:val="00107C1D"/>
    <w:rsid w:val="00112860"/>
    <w:rsid w:val="00113768"/>
    <w:rsid w:val="00117AAB"/>
    <w:rsid w:val="001225A4"/>
    <w:rsid w:val="00122721"/>
    <w:rsid w:val="00122E27"/>
    <w:rsid w:val="00127D63"/>
    <w:rsid w:val="00133223"/>
    <w:rsid w:val="00152433"/>
    <w:rsid w:val="00152F29"/>
    <w:rsid w:val="00153CF6"/>
    <w:rsid w:val="00156239"/>
    <w:rsid w:val="001574D4"/>
    <w:rsid w:val="00157E32"/>
    <w:rsid w:val="001615FB"/>
    <w:rsid w:val="001624AD"/>
    <w:rsid w:val="0016292B"/>
    <w:rsid w:val="00163947"/>
    <w:rsid w:val="00164465"/>
    <w:rsid w:val="001654ED"/>
    <w:rsid w:val="00176150"/>
    <w:rsid w:val="00182AA4"/>
    <w:rsid w:val="0018464D"/>
    <w:rsid w:val="00195649"/>
    <w:rsid w:val="001A56E0"/>
    <w:rsid w:val="001A5F6C"/>
    <w:rsid w:val="001A785B"/>
    <w:rsid w:val="001B2176"/>
    <w:rsid w:val="001B49AB"/>
    <w:rsid w:val="001C4E14"/>
    <w:rsid w:val="001C6016"/>
    <w:rsid w:val="001D3413"/>
    <w:rsid w:val="001D5DE1"/>
    <w:rsid w:val="001E1491"/>
    <w:rsid w:val="001E14A9"/>
    <w:rsid w:val="001E296C"/>
    <w:rsid w:val="001E4B64"/>
    <w:rsid w:val="001F253A"/>
    <w:rsid w:val="001F590F"/>
    <w:rsid w:val="001F6177"/>
    <w:rsid w:val="00205E98"/>
    <w:rsid w:val="00210034"/>
    <w:rsid w:val="002125BE"/>
    <w:rsid w:val="00213222"/>
    <w:rsid w:val="00213C01"/>
    <w:rsid w:val="00225730"/>
    <w:rsid w:val="002259D6"/>
    <w:rsid w:val="00227D86"/>
    <w:rsid w:val="00232ED9"/>
    <w:rsid w:val="002331C8"/>
    <w:rsid w:val="0023638E"/>
    <w:rsid w:val="00242AD9"/>
    <w:rsid w:val="00252A21"/>
    <w:rsid w:val="00255ABD"/>
    <w:rsid w:val="00257E97"/>
    <w:rsid w:val="0026101A"/>
    <w:rsid w:val="00262B79"/>
    <w:rsid w:val="00262B82"/>
    <w:rsid w:val="0027124C"/>
    <w:rsid w:val="002731D4"/>
    <w:rsid w:val="0027501C"/>
    <w:rsid w:val="002868DE"/>
    <w:rsid w:val="00286E99"/>
    <w:rsid w:val="00287751"/>
    <w:rsid w:val="00287752"/>
    <w:rsid w:val="00291215"/>
    <w:rsid w:val="002939B9"/>
    <w:rsid w:val="00293F3F"/>
    <w:rsid w:val="0029591F"/>
    <w:rsid w:val="002A06C3"/>
    <w:rsid w:val="002A348B"/>
    <w:rsid w:val="002A35AC"/>
    <w:rsid w:val="002A4211"/>
    <w:rsid w:val="002A7987"/>
    <w:rsid w:val="002B014A"/>
    <w:rsid w:val="002B3EF5"/>
    <w:rsid w:val="002B460B"/>
    <w:rsid w:val="002B57C1"/>
    <w:rsid w:val="002B645A"/>
    <w:rsid w:val="002B710E"/>
    <w:rsid w:val="002C0794"/>
    <w:rsid w:val="002C18D1"/>
    <w:rsid w:val="002C35B3"/>
    <w:rsid w:val="002C7DAE"/>
    <w:rsid w:val="002E0234"/>
    <w:rsid w:val="002E1B0E"/>
    <w:rsid w:val="002F2AE2"/>
    <w:rsid w:val="002F37D4"/>
    <w:rsid w:val="002F524A"/>
    <w:rsid w:val="003006F9"/>
    <w:rsid w:val="00301840"/>
    <w:rsid w:val="00301B25"/>
    <w:rsid w:val="00306F91"/>
    <w:rsid w:val="0031199B"/>
    <w:rsid w:val="003146A2"/>
    <w:rsid w:val="00322490"/>
    <w:rsid w:val="0032276F"/>
    <w:rsid w:val="00325987"/>
    <w:rsid w:val="00330126"/>
    <w:rsid w:val="00330ED9"/>
    <w:rsid w:val="003310C5"/>
    <w:rsid w:val="00331A34"/>
    <w:rsid w:val="00331B30"/>
    <w:rsid w:val="00332C1A"/>
    <w:rsid w:val="0033391A"/>
    <w:rsid w:val="00333DF6"/>
    <w:rsid w:val="00336A8D"/>
    <w:rsid w:val="0034046A"/>
    <w:rsid w:val="00340E75"/>
    <w:rsid w:val="003423C0"/>
    <w:rsid w:val="00346883"/>
    <w:rsid w:val="0034742C"/>
    <w:rsid w:val="0035094C"/>
    <w:rsid w:val="00353EA6"/>
    <w:rsid w:val="00363DC2"/>
    <w:rsid w:val="003640CF"/>
    <w:rsid w:val="00364326"/>
    <w:rsid w:val="00364D42"/>
    <w:rsid w:val="003676FA"/>
    <w:rsid w:val="00373160"/>
    <w:rsid w:val="00374C55"/>
    <w:rsid w:val="0038216D"/>
    <w:rsid w:val="00382276"/>
    <w:rsid w:val="00382468"/>
    <w:rsid w:val="003824A5"/>
    <w:rsid w:val="00391589"/>
    <w:rsid w:val="003957DB"/>
    <w:rsid w:val="00397608"/>
    <w:rsid w:val="003A05AE"/>
    <w:rsid w:val="003A491A"/>
    <w:rsid w:val="003A50F3"/>
    <w:rsid w:val="003A7E45"/>
    <w:rsid w:val="003B1D93"/>
    <w:rsid w:val="003B2E2B"/>
    <w:rsid w:val="003B4756"/>
    <w:rsid w:val="003C095F"/>
    <w:rsid w:val="003C0D7D"/>
    <w:rsid w:val="003C13BB"/>
    <w:rsid w:val="003C3070"/>
    <w:rsid w:val="003D08EE"/>
    <w:rsid w:val="003D1EF9"/>
    <w:rsid w:val="003D76DE"/>
    <w:rsid w:val="003E1551"/>
    <w:rsid w:val="003E20F2"/>
    <w:rsid w:val="003E41DC"/>
    <w:rsid w:val="003E538F"/>
    <w:rsid w:val="003E5561"/>
    <w:rsid w:val="003F510F"/>
    <w:rsid w:val="004014D2"/>
    <w:rsid w:val="00401853"/>
    <w:rsid w:val="00403BE2"/>
    <w:rsid w:val="00403DDA"/>
    <w:rsid w:val="00404015"/>
    <w:rsid w:val="00404DF1"/>
    <w:rsid w:val="004065A7"/>
    <w:rsid w:val="004103C3"/>
    <w:rsid w:val="00415189"/>
    <w:rsid w:val="0041561C"/>
    <w:rsid w:val="00426F86"/>
    <w:rsid w:val="00427DA7"/>
    <w:rsid w:val="004315D3"/>
    <w:rsid w:val="0043373A"/>
    <w:rsid w:val="0043759B"/>
    <w:rsid w:val="00437926"/>
    <w:rsid w:val="0044027C"/>
    <w:rsid w:val="00447E47"/>
    <w:rsid w:val="00451C3B"/>
    <w:rsid w:val="00453CFB"/>
    <w:rsid w:val="00465263"/>
    <w:rsid w:val="0046670E"/>
    <w:rsid w:val="0048019C"/>
    <w:rsid w:val="00485A3D"/>
    <w:rsid w:val="00485A86"/>
    <w:rsid w:val="004A0BA8"/>
    <w:rsid w:val="004A2BF0"/>
    <w:rsid w:val="004A6708"/>
    <w:rsid w:val="004B6FA3"/>
    <w:rsid w:val="004C368E"/>
    <w:rsid w:val="004C63D4"/>
    <w:rsid w:val="004D25C7"/>
    <w:rsid w:val="004D6C73"/>
    <w:rsid w:val="004E2838"/>
    <w:rsid w:val="004E5FB9"/>
    <w:rsid w:val="004F06B9"/>
    <w:rsid w:val="004F37E7"/>
    <w:rsid w:val="00502036"/>
    <w:rsid w:val="0050370A"/>
    <w:rsid w:val="00503A27"/>
    <w:rsid w:val="00504A62"/>
    <w:rsid w:val="0051356D"/>
    <w:rsid w:val="00524D05"/>
    <w:rsid w:val="0052674F"/>
    <w:rsid w:val="005275C7"/>
    <w:rsid w:val="0053227B"/>
    <w:rsid w:val="0053231C"/>
    <w:rsid w:val="00534DC1"/>
    <w:rsid w:val="005370BB"/>
    <w:rsid w:val="005404F5"/>
    <w:rsid w:val="00541150"/>
    <w:rsid w:val="005522FF"/>
    <w:rsid w:val="00553FF8"/>
    <w:rsid w:val="00562A7D"/>
    <w:rsid w:val="00566416"/>
    <w:rsid w:val="00566F0A"/>
    <w:rsid w:val="0057302C"/>
    <w:rsid w:val="00574E64"/>
    <w:rsid w:val="00576C40"/>
    <w:rsid w:val="00577AF6"/>
    <w:rsid w:val="005843E3"/>
    <w:rsid w:val="0059044F"/>
    <w:rsid w:val="00593A42"/>
    <w:rsid w:val="00593DF7"/>
    <w:rsid w:val="0059420E"/>
    <w:rsid w:val="0059776F"/>
    <w:rsid w:val="005A048C"/>
    <w:rsid w:val="005A0A12"/>
    <w:rsid w:val="005A256F"/>
    <w:rsid w:val="005A65F3"/>
    <w:rsid w:val="005A76D7"/>
    <w:rsid w:val="005B3864"/>
    <w:rsid w:val="005B607A"/>
    <w:rsid w:val="005B7076"/>
    <w:rsid w:val="005C3FCB"/>
    <w:rsid w:val="005C6382"/>
    <w:rsid w:val="005C63C0"/>
    <w:rsid w:val="005D40CF"/>
    <w:rsid w:val="005D56AF"/>
    <w:rsid w:val="005D625C"/>
    <w:rsid w:val="005D6602"/>
    <w:rsid w:val="005E123B"/>
    <w:rsid w:val="005F3AE1"/>
    <w:rsid w:val="005F4EDC"/>
    <w:rsid w:val="005F6889"/>
    <w:rsid w:val="0060641A"/>
    <w:rsid w:val="00613CA9"/>
    <w:rsid w:val="006143E2"/>
    <w:rsid w:val="00615077"/>
    <w:rsid w:val="00631406"/>
    <w:rsid w:val="00631B4D"/>
    <w:rsid w:val="0063429A"/>
    <w:rsid w:val="006372D9"/>
    <w:rsid w:val="00637DD5"/>
    <w:rsid w:val="00644BFE"/>
    <w:rsid w:val="0064517E"/>
    <w:rsid w:val="006507D9"/>
    <w:rsid w:val="0065351F"/>
    <w:rsid w:val="0066134D"/>
    <w:rsid w:val="00662CE5"/>
    <w:rsid w:val="006631CF"/>
    <w:rsid w:val="00665977"/>
    <w:rsid w:val="00666427"/>
    <w:rsid w:val="00677AC2"/>
    <w:rsid w:val="00677FB4"/>
    <w:rsid w:val="00680A5F"/>
    <w:rsid w:val="00687D68"/>
    <w:rsid w:val="00687D8F"/>
    <w:rsid w:val="0069110D"/>
    <w:rsid w:val="00692965"/>
    <w:rsid w:val="0069364F"/>
    <w:rsid w:val="00697DC4"/>
    <w:rsid w:val="006A048D"/>
    <w:rsid w:val="006A2B84"/>
    <w:rsid w:val="006A3F21"/>
    <w:rsid w:val="006A520C"/>
    <w:rsid w:val="006A6869"/>
    <w:rsid w:val="006B1CDB"/>
    <w:rsid w:val="006B217E"/>
    <w:rsid w:val="006B4EFA"/>
    <w:rsid w:val="006B587A"/>
    <w:rsid w:val="006B6A91"/>
    <w:rsid w:val="006B6BAF"/>
    <w:rsid w:val="006B76CB"/>
    <w:rsid w:val="006B7A40"/>
    <w:rsid w:val="006C0963"/>
    <w:rsid w:val="006C2092"/>
    <w:rsid w:val="006C4B82"/>
    <w:rsid w:val="006D0CA5"/>
    <w:rsid w:val="006D7403"/>
    <w:rsid w:val="006E179D"/>
    <w:rsid w:val="006E4967"/>
    <w:rsid w:val="006E579E"/>
    <w:rsid w:val="006E6083"/>
    <w:rsid w:val="006E69B3"/>
    <w:rsid w:val="006F153F"/>
    <w:rsid w:val="006F24D4"/>
    <w:rsid w:val="00702831"/>
    <w:rsid w:val="007116DC"/>
    <w:rsid w:val="0071173A"/>
    <w:rsid w:val="00715589"/>
    <w:rsid w:val="00716C0D"/>
    <w:rsid w:val="007216DC"/>
    <w:rsid w:val="007217F3"/>
    <w:rsid w:val="0072592E"/>
    <w:rsid w:val="00730CA2"/>
    <w:rsid w:val="00731647"/>
    <w:rsid w:val="00731734"/>
    <w:rsid w:val="00731CD7"/>
    <w:rsid w:val="00737261"/>
    <w:rsid w:val="00740D17"/>
    <w:rsid w:val="00741343"/>
    <w:rsid w:val="00741C26"/>
    <w:rsid w:val="007444FA"/>
    <w:rsid w:val="00744A2C"/>
    <w:rsid w:val="00746A60"/>
    <w:rsid w:val="007473EB"/>
    <w:rsid w:val="00751A62"/>
    <w:rsid w:val="00757113"/>
    <w:rsid w:val="00762998"/>
    <w:rsid w:val="00764C6E"/>
    <w:rsid w:val="007661B3"/>
    <w:rsid w:val="0076777A"/>
    <w:rsid w:val="007735C8"/>
    <w:rsid w:val="00773614"/>
    <w:rsid w:val="00773A28"/>
    <w:rsid w:val="00773CE2"/>
    <w:rsid w:val="00777881"/>
    <w:rsid w:val="007802B9"/>
    <w:rsid w:val="0078141D"/>
    <w:rsid w:val="00785E77"/>
    <w:rsid w:val="00786482"/>
    <w:rsid w:val="00787065"/>
    <w:rsid w:val="00787225"/>
    <w:rsid w:val="007909BB"/>
    <w:rsid w:val="007A0653"/>
    <w:rsid w:val="007B27C2"/>
    <w:rsid w:val="007B5F81"/>
    <w:rsid w:val="007B60F9"/>
    <w:rsid w:val="007C39EB"/>
    <w:rsid w:val="007D0213"/>
    <w:rsid w:val="007D2BCF"/>
    <w:rsid w:val="007D3B76"/>
    <w:rsid w:val="007D683D"/>
    <w:rsid w:val="007D6EF4"/>
    <w:rsid w:val="007D7E76"/>
    <w:rsid w:val="007E1FC7"/>
    <w:rsid w:val="007E2162"/>
    <w:rsid w:val="007E29FE"/>
    <w:rsid w:val="007E336C"/>
    <w:rsid w:val="007E4262"/>
    <w:rsid w:val="007E6F0A"/>
    <w:rsid w:val="007F377A"/>
    <w:rsid w:val="007F4297"/>
    <w:rsid w:val="00801CC7"/>
    <w:rsid w:val="0080598B"/>
    <w:rsid w:val="00807470"/>
    <w:rsid w:val="0081700C"/>
    <w:rsid w:val="0081770F"/>
    <w:rsid w:val="00821AA6"/>
    <w:rsid w:val="00823D63"/>
    <w:rsid w:val="00825E60"/>
    <w:rsid w:val="00827B05"/>
    <w:rsid w:val="008326F6"/>
    <w:rsid w:val="00835937"/>
    <w:rsid w:val="0083593F"/>
    <w:rsid w:val="00837FDE"/>
    <w:rsid w:val="00844254"/>
    <w:rsid w:val="00851335"/>
    <w:rsid w:val="00854529"/>
    <w:rsid w:val="008547B6"/>
    <w:rsid w:val="0085579C"/>
    <w:rsid w:val="008573C6"/>
    <w:rsid w:val="00860489"/>
    <w:rsid w:val="00860EFF"/>
    <w:rsid w:val="0086225D"/>
    <w:rsid w:val="00862515"/>
    <w:rsid w:val="00862D2B"/>
    <w:rsid w:val="00864D75"/>
    <w:rsid w:val="00872B70"/>
    <w:rsid w:val="00872BF6"/>
    <w:rsid w:val="008768DC"/>
    <w:rsid w:val="00876932"/>
    <w:rsid w:val="0087770B"/>
    <w:rsid w:val="00880397"/>
    <w:rsid w:val="00880922"/>
    <w:rsid w:val="0088129B"/>
    <w:rsid w:val="0089080C"/>
    <w:rsid w:val="00890CF4"/>
    <w:rsid w:val="008911A8"/>
    <w:rsid w:val="00891DF5"/>
    <w:rsid w:val="00893286"/>
    <w:rsid w:val="00893BD4"/>
    <w:rsid w:val="00895B8B"/>
    <w:rsid w:val="00895E4F"/>
    <w:rsid w:val="008A05DE"/>
    <w:rsid w:val="008A6FBE"/>
    <w:rsid w:val="008B0CA7"/>
    <w:rsid w:val="008B1390"/>
    <w:rsid w:val="008B5758"/>
    <w:rsid w:val="008B7D16"/>
    <w:rsid w:val="008C12E8"/>
    <w:rsid w:val="008C4FBD"/>
    <w:rsid w:val="008D16B4"/>
    <w:rsid w:val="008D2930"/>
    <w:rsid w:val="008E014A"/>
    <w:rsid w:val="008E1CA0"/>
    <w:rsid w:val="008E3DAC"/>
    <w:rsid w:val="008F2723"/>
    <w:rsid w:val="008F51E2"/>
    <w:rsid w:val="008F60F0"/>
    <w:rsid w:val="0090531E"/>
    <w:rsid w:val="00906FD4"/>
    <w:rsid w:val="00915202"/>
    <w:rsid w:val="00915BDA"/>
    <w:rsid w:val="009244F7"/>
    <w:rsid w:val="009254A1"/>
    <w:rsid w:val="00925F9D"/>
    <w:rsid w:val="00930032"/>
    <w:rsid w:val="00931361"/>
    <w:rsid w:val="00931D6A"/>
    <w:rsid w:val="00935F94"/>
    <w:rsid w:val="00936D36"/>
    <w:rsid w:val="009410C0"/>
    <w:rsid w:val="00942CB2"/>
    <w:rsid w:val="00943705"/>
    <w:rsid w:val="00944490"/>
    <w:rsid w:val="00944E95"/>
    <w:rsid w:val="009453AF"/>
    <w:rsid w:val="009453CB"/>
    <w:rsid w:val="0095247E"/>
    <w:rsid w:val="0095299B"/>
    <w:rsid w:val="0095348A"/>
    <w:rsid w:val="00957228"/>
    <w:rsid w:val="00960774"/>
    <w:rsid w:val="00962951"/>
    <w:rsid w:val="00966D49"/>
    <w:rsid w:val="00966DAA"/>
    <w:rsid w:val="00991D79"/>
    <w:rsid w:val="009949D4"/>
    <w:rsid w:val="00995421"/>
    <w:rsid w:val="00995A77"/>
    <w:rsid w:val="009A0545"/>
    <w:rsid w:val="009A1760"/>
    <w:rsid w:val="009B2834"/>
    <w:rsid w:val="009B3E4B"/>
    <w:rsid w:val="009C08F6"/>
    <w:rsid w:val="009C1DF2"/>
    <w:rsid w:val="009C6535"/>
    <w:rsid w:val="009C7D8C"/>
    <w:rsid w:val="009D0914"/>
    <w:rsid w:val="009D0C2B"/>
    <w:rsid w:val="009D1A89"/>
    <w:rsid w:val="009D22A8"/>
    <w:rsid w:val="009D2A0E"/>
    <w:rsid w:val="009D2F0D"/>
    <w:rsid w:val="009D301C"/>
    <w:rsid w:val="009D7498"/>
    <w:rsid w:val="009E0BB0"/>
    <w:rsid w:val="009E37BE"/>
    <w:rsid w:val="009E5E33"/>
    <w:rsid w:val="009E748C"/>
    <w:rsid w:val="009E76B5"/>
    <w:rsid w:val="009F0E7A"/>
    <w:rsid w:val="009F2222"/>
    <w:rsid w:val="009F6059"/>
    <w:rsid w:val="00A00D24"/>
    <w:rsid w:val="00A053ED"/>
    <w:rsid w:val="00A06E97"/>
    <w:rsid w:val="00A06EBE"/>
    <w:rsid w:val="00A11B9F"/>
    <w:rsid w:val="00A17BC0"/>
    <w:rsid w:val="00A26097"/>
    <w:rsid w:val="00A307D6"/>
    <w:rsid w:val="00A32398"/>
    <w:rsid w:val="00A4099E"/>
    <w:rsid w:val="00A56F3B"/>
    <w:rsid w:val="00A61825"/>
    <w:rsid w:val="00A6444D"/>
    <w:rsid w:val="00A64E2F"/>
    <w:rsid w:val="00A6774F"/>
    <w:rsid w:val="00A77011"/>
    <w:rsid w:val="00A77A89"/>
    <w:rsid w:val="00A85532"/>
    <w:rsid w:val="00A85970"/>
    <w:rsid w:val="00A85A4B"/>
    <w:rsid w:val="00A87174"/>
    <w:rsid w:val="00AA1991"/>
    <w:rsid w:val="00AA372B"/>
    <w:rsid w:val="00AA5E20"/>
    <w:rsid w:val="00AA7FAB"/>
    <w:rsid w:val="00AB2CB1"/>
    <w:rsid w:val="00AB300B"/>
    <w:rsid w:val="00AB43BC"/>
    <w:rsid w:val="00AB4CBF"/>
    <w:rsid w:val="00AB6D5B"/>
    <w:rsid w:val="00AC5521"/>
    <w:rsid w:val="00AC6F39"/>
    <w:rsid w:val="00AD152C"/>
    <w:rsid w:val="00AD6B06"/>
    <w:rsid w:val="00AE5A55"/>
    <w:rsid w:val="00AE7822"/>
    <w:rsid w:val="00AE7CD3"/>
    <w:rsid w:val="00AF3232"/>
    <w:rsid w:val="00AF4D9B"/>
    <w:rsid w:val="00AF6E16"/>
    <w:rsid w:val="00B03502"/>
    <w:rsid w:val="00B04F8B"/>
    <w:rsid w:val="00B0588E"/>
    <w:rsid w:val="00B063A1"/>
    <w:rsid w:val="00B07A0C"/>
    <w:rsid w:val="00B13360"/>
    <w:rsid w:val="00B15263"/>
    <w:rsid w:val="00B2202F"/>
    <w:rsid w:val="00B23987"/>
    <w:rsid w:val="00B24C99"/>
    <w:rsid w:val="00B26E80"/>
    <w:rsid w:val="00B41054"/>
    <w:rsid w:val="00B42A85"/>
    <w:rsid w:val="00B42C30"/>
    <w:rsid w:val="00B46976"/>
    <w:rsid w:val="00B5126F"/>
    <w:rsid w:val="00B56190"/>
    <w:rsid w:val="00B629D0"/>
    <w:rsid w:val="00B62C39"/>
    <w:rsid w:val="00B74298"/>
    <w:rsid w:val="00B74408"/>
    <w:rsid w:val="00B745AD"/>
    <w:rsid w:val="00B750B9"/>
    <w:rsid w:val="00B818B9"/>
    <w:rsid w:val="00B81A66"/>
    <w:rsid w:val="00B875BB"/>
    <w:rsid w:val="00B90FD8"/>
    <w:rsid w:val="00BA3EBC"/>
    <w:rsid w:val="00BB2120"/>
    <w:rsid w:val="00BB453A"/>
    <w:rsid w:val="00BB6E8A"/>
    <w:rsid w:val="00BC1AEE"/>
    <w:rsid w:val="00BC4765"/>
    <w:rsid w:val="00BC4AA9"/>
    <w:rsid w:val="00BD3307"/>
    <w:rsid w:val="00BD36A7"/>
    <w:rsid w:val="00BE23F4"/>
    <w:rsid w:val="00BE3CE3"/>
    <w:rsid w:val="00BF39A4"/>
    <w:rsid w:val="00C00283"/>
    <w:rsid w:val="00C01EFD"/>
    <w:rsid w:val="00C02386"/>
    <w:rsid w:val="00C030C3"/>
    <w:rsid w:val="00C0333C"/>
    <w:rsid w:val="00C0342A"/>
    <w:rsid w:val="00C050EB"/>
    <w:rsid w:val="00C13081"/>
    <w:rsid w:val="00C177F6"/>
    <w:rsid w:val="00C26E0D"/>
    <w:rsid w:val="00C407BB"/>
    <w:rsid w:val="00C41A48"/>
    <w:rsid w:val="00C46D91"/>
    <w:rsid w:val="00C4747B"/>
    <w:rsid w:val="00C49006"/>
    <w:rsid w:val="00C54F59"/>
    <w:rsid w:val="00C55302"/>
    <w:rsid w:val="00C66387"/>
    <w:rsid w:val="00C672BF"/>
    <w:rsid w:val="00C67C50"/>
    <w:rsid w:val="00C72DCC"/>
    <w:rsid w:val="00C739FE"/>
    <w:rsid w:val="00C73D07"/>
    <w:rsid w:val="00C74AE3"/>
    <w:rsid w:val="00C74B77"/>
    <w:rsid w:val="00C76E70"/>
    <w:rsid w:val="00C80190"/>
    <w:rsid w:val="00C8191F"/>
    <w:rsid w:val="00C8298F"/>
    <w:rsid w:val="00C83AEA"/>
    <w:rsid w:val="00C84B5E"/>
    <w:rsid w:val="00C86C8C"/>
    <w:rsid w:val="00C92E2E"/>
    <w:rsid w:val="00C93800"/>
    <w:rsid w:val="00C9500C"/>
    <w:rsid w:val="00C97A47"/>
    <w:rsid w:val="00CA2D5B"/>
    <w:rsid w:val="00CB099D"/>
    <w:rsid w:val="00CB25FB"/>
    <w:rsid w:val="00CB6103"/>
    <w:rsid w:val="00CB6E36"/>
    <w:rsid w:val="00CC048B"/>
    <w:rsid w:val="00CC34EF"/>
    <w:rsid w:val="00CC4A9C"/>
    <w:rsid w:val="00CD3272"/>
    <w:rsid w:val="00CD4E0D"/>
    <w:rsid w:val="00CD53C8"/>
    <w:rsid w:val="00CD64D6"/>
    <w:rsid w:val="00CE3B36"/>
    <w:rsid w:val="00CE4626"/>
    <w:rsid w:val="00CE7D5A"/>
    <w:rsid w:val="00CF00E0"/>
    <w:rsid w:val="00CF6736"/>
    <w:rsid w:val="00CF6CEF"/>
    <w:rsid w:val="00CF7321"/>
    <w:rsid w:val="00D02FA8"/>
    <w:rsid w:val="00D070F6"/>
    <w:rsid w:val="00D11055"/>
    <w:rsid w:val="00D1150C"/>
    <w:rsid w:val="00D1361B"/>
    <w:rsid w:val="00D13E79"/>
    <w:rsid w:val="00D15901"/>
    <w:rsid w:val="00D203B1"/>
    <w:rsid w:val="00D23899"/>
    <w:rsid w:val="00D300A9"/>
    <w:rsid w:val="00D32154"/>
    <w:rsid w:val="00D34727"/>
    <w:rsid w:val="00D37F0E"/>
    <w:rsid w:val="00D40910"/>
    <w:rsid w:val="00D41AB3"/>
    <w:rsid w:val="00D4283D"/>
    <w:rsid w:val="00D46F9A"/>
    <w:rsid w:val="00D66E6D"/>
    <w:rsid w:val="00D67D62"/>
    <w:rsid w:val="00D70263"/>
    <w:rsid w:val="00D72FD5"/>
    <w:rsid w:val="00D76A1D"/>
    <w:rsid w:val="00D7CA91"/>
    <w:rsid w:val="00D813A0"/>
    <w:rsid w:val="00D90E77"/>
    <w:rsid w:val="00D91070"/>
    <w:rsid w:val="00D92E03"/>
    <w:rsid w:val="00D93292"/>
    <w:rsid w:val="00D95751"/>
    <w:rsid w:val="00D95C95"/>
    <w:rsid w:val="00DA08ED"/>
    <w:rsid w:val="00DA1C2D"/>
    <w:rsid w:val="00DA5C25"/>
    <w:rsid w:val="00DA7BBD"/>
    <w:rsid w:val="00DB0479"/>
    <w:rsid w:val="00DB2105"/>
    <w:rsid w:val="00DB3260"/>
    <w:rsid w:val="00DC01BB"/>
    <w:rsid w:val="00DC1873"/>
    <w:rsid w:val="00DD20B2"/>
    <w:rsid w:val="00DD37AC"/>
    <w:rsid w:val="00DD69E5"/>
    <w:rsid w:val="00DE0F49"/>
    <w:rsid w:val="00DE6EF6"/>
    <w:rsid w:val="00E00B3D"/>
    <w:rsid w:val="00E06841"/>
    <w:rsid w:val="00E1179D"/>
    <w:rsid w:val="00E11D6B"/>
    <w:rsid w:val="00E13848"/>
    <w:rsid w:val="00E14CB9"/>
    <w:rsid w:val="00E177C1"/>
    <w:rsid w:val="00E22043"/>
    <w:rsid w:val="00E24832"/>
    <w:rsid w:val="00E31A82"/>
    <w:rsid w:val="00E33232"/>
    <w:rsid w:val="00E37ADF"/>
    <w:rsid w:val="00E40E93"/>
    <w:rsid w:val="00E40F93"/>
    <w:rsid w:val="00E42516"/>
    <w:rsid w:val="00E47EC5"/>
    <w:rsid w:val="00E57A9D"/>
    <w:rsid w:val="00E57B43"/>
    <w:rsid w:val="00E57EF9"/>
    <w:rsid w:val="00E67FBA"/>
    <w:rsid w:val="00E71038"/>
    <w:rsid w:val="00E72ABD"/>
    <w:rsid w:val="00E76F16"/>
    <w:rsid w:val="00E7795F"/>
    <w:rsid w:val="00E82E6A"/>
    <w:rsid w:val="00E82F08"/>
    <w:rsid w:val="00E83CB6"/>
    <w:rsid w:val="00E856F8"/>
    <w:rsid w:val="00E86B8E"/>
    <w:rsid w:val="00E9004F"/>
    <w:rsid w:val="00E9098F"/>
    <w:rsid w:val="00E92739"/>
    <w:rsid w:val="00E94CB2"/>
    <w:rsid w:val="00E96884"/>
    <w:rsid w:val="00E96A03"/>
    <w:rsid w:val="00EA3259"/>
    <w:rsid w:val="00EA33FE"/>
    <w:rsid w:val="00EA77E9"/>
    <w:rsid w:val="00EA79A7"/>
    <w:rsid w:val="00EC05B4"/>
    <w:rsid w:val="00EC137B"/>
    <w:rsid w:val="00EC1AC4"/>
    <w:rsid w:val="00EC36F0"/>
    <w:rsid w:val="00ED1BB0"/>
    <w:rsid w:val="00ED254C"/>
    <w:rsid w:val="00EE0F07"/>
    <w:rsid w:val="00EE2501"/>
    <w:rsid w:val="00EE2E98"/>
    <w:rsid w:val="00EE444C"/>
    <w:rsid w:val="00EE557F"/>
    <w:rsid w:val="00EE5B56"/>
    <w:rsid w:val="00EE6264"/>
    <w:rsid w:val="00EE79A1"/>
    <w:rsid w:val="00EF09AB"/>
    <w:rsid w:val="00EF4E65"/>
    <w:rsid w:val="00F028A8"/>
    <w:rsid w:val="00F069B6"/>
    <w:rsid w:val="00F06B0B"/>
    <w:rsid w:val="00F07A47"/>
    <w:rsid w:val="00F07EF3"/>
    <w:rsid w:val="00F11BA4"/>
    <w:rsid w:val="00F12633"/>
    <w:rsid w:val="00F13440"/>
    <w:rsid w:val="00F1509A"/>
    <w:rsid w:val="00F16ED9"/>
    <w:rsid w:val="00F17116"/>
    <w:rsid w:val="00F21795"/>
    <w:rsid w:val="00F21B81"/>
    <w:rsid w:val="00F24556"/>
    <w:rsid w:val="00F245AA"/>
    <w:rsid w:val="00F24882"/>
    <w:rsid w:val="00F2537E"/>
    <w:rsid w:val="00F26053"/>
    <w:rsid w:val="00F27C5C"/>
    <w:rsid w:val="00F31F58"/>
    <w:rsid w:val="00F354F2"/>
    <w:rsid w:val="00F41672"/>
    <w:rsid w:val="00F427CB"/>
    <w:rsid w:val="00F44F26"/>
    <w:rsid w:val="00F4799E"/>
    <w:rsid w:val="00F52E2A"/>
    <w:rsid w:val="00F53A5C"/>
    <w:rsid w:val="00F56AF9"/>
    <w:rsid w:val="00F60EF5"/>
    <w:rsid w:val="00F633A4"/>
    <w:rsid w:val="00F6565E"/>
    <w:rsid w:val="00F7090D"/>
    <w:rsid w:val="00F70B07"/>
    <w:rsid w:val="00F71BF4"/>
    <w:rsid w:val="00F76827"/>
    <w:rsid w:val="00F80CAD"/>
    <w:rsid w:val="00F813E9"/>
    <w:rsid w:val="00F81715"/>
    <w:rsid w:val="00F86972"/>
    <w:rsid w:val="00F91953"/>
    <w:rsid w:val="00F919DD"/>
    <w:rsid w:val="00F92719"/>
    <w:rsid w:val="00F9296B"/>
    <w:rsid w:val="00F92E7A"/>
    <w:rsid w:val="00F93B36"/>
    <w:rsid w:val="00F9602D"/>
    <w:rsid w:val="00FA0F67"/>
    <w:rsid w:val="00FA214E"/>
    <w:rsid w:val="00FA2BF4"/>
    <w:rsid w:val="00FB03E0"/>
    <w:rsid w:val="00FB5218"/>
    <w:rsid w:val="00FC0FAB"/>
    <w:rsid w:val="00FC28B6"/>
    <w:rsid w:val="00FC681E"/>
    <w:rsid w:val="00FC7B4A"/>
    <w:rsid w:val="00FD169D"/>
    <w:rsid w:val="00FD3B05"/>
    <w:rsid w:val="00FD3B64"/>
    <w:rsid w:val="00FE184B"/>
    <w:rsid w:val="00FE7CD3"/>
    <w:rsid w:val="00FF0DA9"/>
    <w:rsid w:val="00FF24AB"/>
    <w:rsid w:val="00FF64C9"/>
    <w:rsid w:val="02F97C88"/>
    <w:rsid w:val="034D9C66"/>
    <w:rsid w:val="03AD2DD2"/>
    <w:rsid w:val="076B6053"/>
    <w:rsid w:val="078F4A7C"/>
    <w:rsid w:val="084FA0E8"/>
    <w:rsid w:val="08ABDD29"/>
    <w:rsid w:val="0907D45B"/>
    <w:rsid w:val="0A95B22A"/>
    <w:rsid w:val="0A98EAA0"/>
    <w:rsid w:val="0B711762"/>
    <w:rsid w:val="0BCBE4B9"/>
    <w:rsid w:val="0BE3FC3B"/>
    <w:rsid w:val="0CF941F2"/>
    <w:rsid w:val="0D14B3D4"/>
    <w:rsid w:val="0D44CC57"/>
    <w:rsid w:val="0ED55DD1"/>
    <w:rsid w:val="110E611A"/>
    <w:rsid w:val="11F1B443"/>
    <w:rsid w:val="1302A9B2"/>
    <w:rsid w:val="132420C2"/>
    <w:rsid w:val="13939CCA"/>
    <w:rsid w:val="13F6C314"/>
    <w:rsid w:val="1507FA93"/>
    <w:rsid w:val="153AD584"/>
    <w:rsid w:val="15613B41"/>
    <w:rsid w:val="16EF7B48"/>
    <w:rsid w:val="174F145D"/>
    <w:rsid w:val="18244511"/>
    <w:rsid w:val="18709242"/>
    <w:rsid w:val="194F9BB8"/>
    <w:rsid w:val="1B1A2ADF"/>
    <w:rsid w:val="1BE4821A"/>
    <w:rsid w:val="1C2F7337"/>
    <w:rsid w:val="1D83BCDA"/>
    <w:rsid w:val="1E26FDC3"/>
    <w:rsid w:val="1ECDB973"/>
    <w:rsid w:val="1F418966"/>
    <w:rsid w:val="20113EC8"/>
    <w:rsid w:val="20BD6B52"/>
    <w:rsid w:val="22451288"/>
    <w:rsid w:val="267B62B8"/>
    <w:rsid w:val="280D978A"/>
    <w:rsid w:val="291F1DC0"/>
    <w:rsid w:val="295AB180"/>
    <w:rsid w:val="29751758"/>
    <w:rsid w:val="2A49B8E2"/>
    <w:rsid w:val="2A8A158C"/>
    <w:rsid w:val="2B200DE4"/>
    <w:rsid w:val="2D2C5FC0"/>
    <w:rsid w:val="2EA69546"/>
    <w:rsid w:val="2EBF98D7"/>
    <w:rsid w:val="2EDF34E0"/>
    <w:rsid w:val="2F346D7F"/>
    <w:rsid w:val="2FBBBE55"/>
    <w:rsid w:val="32E40091"/>
    <w:rsid w:val="335F025E"/>
    <w:rsid w:val="3446E144"/>
    <w:rsid w:val="351079C6"/>
    <w:rsid w:val="35ACAF51"/>
    <w:rsid w:val="3736874D"/>
    <w:rsid w:val="3746A2A1"/>
    <w:rsid w:val="37CA9C05"/>
    <w:rsid w:val="387A6FF6"/>
    <w:rsid w:val="393E9915"/>
    <w:rsid w:val="399B8971"/>
    <w:rsid w:val="39B5B39F"/>
    <w:rsid w:val="39E0CDBC"/>
    <w:rsid w:val="3BDD3870"/>
    <w:rsid w:val="3D79AAB4"/>
    <w:rsid w:val="3E1D6367"/>
    <w:rsid w:val="3F456CDE"/>
    <w:rsid w:val="3FD48ABA"/>
    <w:rsid w:val="40D412CA"/>
    <w:rsid w:val="413E5F87"/>
    <w:rsid w:val="417AD75C"/>
    <w:rsid w:val="419204C1"/>
    <w:rsid w:val="4282F934"/>
    <w:rsid w:val="43F8118C"/>
    <w:rsid w:val="448CC015"/>
    <w:rsid w:val="45B21913"/>
    <w:rsid w:val="467D9A26"/>
    <w:rsid w:val="47489352"/>
    <w:rsid w:val="47507EC3"/>
    <w:rsid w:val="491D7171"/>
    <w:rsid w:val="49934A5F"/>
    <w:rsid w:val="49A5767F"/>
    <w:rsid w:val="49EA4309"/>
    <w:rsid w:val="4AC6F039"/>
    <w:rsid w:val="4B4A5687"/>
    <w:rsid w:val="4CD4D5E6"/>
    <w:rsid w:val="4E064B10"/>
    <w:rsid w:val="4F068D27"/>
    <w:rsid w:val="4F1D0796"/>
    <w:rsid w:val="4F6DDDC9"/>
    <w:rsid w:val="50EC69F6"/>
    <w:rsid w:val="51D6FC79"/>
    <w:rsid w:val="53A638E4"/>
    <w:rsid w:val="53DA5323"/>
    <w:rsid w:val="567EF56C"/>
    <w:rsid w:val="56956137"/>
    <w:rsid w:val="585AC504"/>
    <w:rsid w:val="58C2AC6E"/>
    <w:rsid w:val="5AA1A2B7"/>
    <w:rsid w:val="5B515418"/>
    <w:rsid w:val="5D91E4A5"/>
    <w:rsid w:val="5ED6504E"/>
    <w:rsid w:val="5F3E55A9"/>
    <w:rsid w:val="5F924675"/>
    <w:rsid w:val="6094087E"/>
    <w:rsid w:val="60C32E84"/>
    <w:rsid w:val="61A389FF"/>
    <w:rsid w:val="63E8F0DA"/>
    <w:rsid w:val="650CE414"/>
    <w:rsid w:val="65320138"/>
    <w:rsid w:val="667B10DA"/>
    <w:rsid w:val="6740B4F0"/>
    <w:rsid w:val="683D4996"/>
    <w:rsid w:val="690A8D31"/>
    <w:rsid w:val="69462877"/>
    <w:rsid w:val="69C3DD62"/>
    <w:rsid w:val="6C4EBF7D"/>
    <w:rsid w:val="6EC1AF42"/>
    <w:rsid w:val="6F09FB2E"/>
    <w:rsid w:val="6F25059E"/>
    <w:rsid w:val="6FDB7A62"/>
    <w:rsid w:val="71169612"/>
    <w:rsid w:val="71686E35"/>
    <w:rsid w:val="7199B74A"/>
    <w:rsid w:val="71ACC8CA"/>
    <w:rsid w:val="74925766"/>
    <w:rsid w:val="752F4300"/>
    <w:rsid w:val="75F6A7F6"/>
    <w:rsid w:val="76FD85DA"/>
    <w:rsid w:val="776B4A04"/>
    <w:rsid w:val="778442C3"/>
    <w:rsid w:val="77F647DA"/>
    <w:rsid w:val="78388078"/>
    <w:rsid w:val="7A3E0773"/>
    <w:rsid w:val="7C490DA0"/>
    <w:rsid w:val="7CDC70AB"/>
    <w:rsid w:val="7DB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4F0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1" w:unhideWhenUsed="1" w:qFormat="1"/>
    <w:lsdException w:name="heading 5" w:locked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94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72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372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C0794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link w:val="Ttulo4Char"/>
    <w:uiPriority w:val="1"/>
    <w:qFormat/>
    <w:locked/>
    <w:rsid w:val="00C74B77"/>
    <w:pPr>
      <w:widowControl w:val="0"/>
      <w:autoSpaceDE w:val="0"/>
      <w:autoSpaceDN w:val="0"/>
      <w:ind w:left="270"/>
      <w:outlineLvl w:val="3"/>
    </w:pPr>
    <w:rPr>
      <w:rFonts w:ascii="Arial" w:eastAsia="Arial" w:hAnsi="Arial" w:cs="Arial"/>
      <w:b/>
      <w:bCs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2C0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C74B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C74B7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7372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semiHidden/>
    <w:locked/>
    <w:rsid w:val="007372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semiHidden/>
    <w:locked/>
    <w:rsid w:val="004E5FB9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1"/>
    <w:rsid w:val="00C74B77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locked/>
    <w:rsid w:val="004E5F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4B7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C74B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2C07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4E5FB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C07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4E5FB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C079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ecuodecorpodetexto1">
    <w:name w:val="Recuo de corpo de texto1"/>
    <w:basedOn w:val="Normal"/>
    <w:uiPriority w:val="99"/>
    <w:rsid w:val="002C0794"/>
    <w:pPr>
      <w:ind w:firstLine="576"/>
      <w:jc w:val="both"/>
    </w:pPr>
    <w:rPr>
      <w:bCs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2C0794"/>
    <w:pPr>
      <w:ind w:firstLine="552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4E5FB9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C0794"/>
    <w:pPr>
      <w:autoSpaceDE w:val="0"/>
      <w:autoSpaceDN w:val="0"/>
      <w:adjustRightInd w:val="0"/>
      <w:spacing w:line="240" w:lineRule="atLeast"/>
      <w:ind w:firstLine="552"/>
      <w:jc w:val="both"/>
    </w:pPr>
    <w:rPr>
      <w:bCs/>
      <w:color w:val="000000"/>
      <w:szCs w:val="20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4E5FB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qFormat/>
    <w:rsid w:val="002C0794"/>
    <w:pPr>
      <w:spacing w:after="120"/>
    </w:pPr>
  </w:style>
  <w:style w:type="character" w:customStyle="1" w:styleId="CorpodetextoChar">
    <w:name w:val="Corpo de texto Char"/>
    <w:link w:val="Corpodetexto"/>
    <w:locked/>
    <w:rsid w:val="004E5FB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2C0794"/>
    <w:pPr>
      <w:spacing w:after="120" w:line="480" w:lineRule="auto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E5FB9"/>
    <w:rPr>
      <w:rFonts w:cs="Times New Roman"/>
      <w:sz w:val="24"/>
      <w:szCs w:val="24"/>
    </w:rPr>
  </w:style>
  <w:style w:type="paragraph" w:customStyle="1" w:styleId="NormalWeb0">
    <w:name w:val="Normal(Web)"/>
    <w:basedOn w:val="Normal"/>
    <w:next w:val="Normal"/>
    <w:uiPriority w:val="99"/>
    <w:rsid w:val="002C079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character" w:customStyle="1" w:styleId="DeltaViewInsertion">
    <w:name w:val="DeltaView Insertion"/>
    <w:uiPriority w:val="99"/>
    <w:rsid w:val="002C0794"/>
    <w:rPr>
      <w:color w:val="0000FF"/>
      <w:spacing w:val="0"/>
      <w:u w:val="double"/>
    </w:rPr>
  </w:style>
  <w:style w:type="paragraph" w:styleId="Textodebalo">
    <w:name w:val="Balloon Text"/>
    <w:basedOn w:val="Normal"/>
    <w:link w:val="TextodebaloChar"/>
    <w:semiHidden/>
    <w:rsid w:val="00E47E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47E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177C1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72DC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locked/>
    <w:rsid w:val="00C72DCC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rsid w:val="007372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locked/>
    <w:rsid w:val="00737261"/>
    <w:rPr>
      <w:rFonts w:cs="Times New Roman"/>
      <w:sz w:val="16"/>
      <w:szCs w:val="16"/>
    </w:rPr>
  </w:style>
  <w:style w:type="character" w:styleId="Refdecomentrio">
    <w:name w:val="annotation reference"/>
    <w:uiPriority w:val="99"/>
    <w:semiHidden/>
    <w:rsid w:val="00C8019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8019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4E5FB9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801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4E5FB9"/>
    <w:rPr>
      <w:rFonts w:cs="Times New Roman"/>
      <w:b/>
      <w:bCs/>
      <w:sz w:val="20"/>
      <w:szCs w:val="20"/>
    </w:rPr>
  </w:style>
  <w:style w:type="character" w:styleId="Hyperlink">
    <w:name w:val="Hyperlink"/>
    <w:unhideWhenUsed/>
    <w:rsid w:val="005843E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17615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nhideWhenUsed/>
    <w:rsid w:val="00C74B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C74B7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semiHidden/>
    <w:unhideWhenUsed/>
    <w:rsid w:val="00C74B77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74B77"/>
    <w:rPr>
      <w:rFonts w:asciiTheme="minorHAnsi" w:eastAsiaTheme="minorHAnsi" w:hAnsiTheme="minorHAnsi" w:cstheme="minorBidi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74B7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xtosemFormatao">
    <w:name w:val="Plain Text"/>
    <w:basedOn w:val="Normal"/>
    <w:link w:val="TextosemFormataoChar"/>
    <w:semiHidden/>
    <w:rsid w:val="00A06E97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6E97"/>
    <w:rPr>
      <w:rFonts w:ascii="Courier New" w:hAnsi="Courier New"/>
      <w:lang w:eastAsia="en-US"/>
    </w:rPr>
  </w:style>
  <w:style w:type="character" w:styleId="Nmerodepgina">
    <w:name w:val="page number"/>
    <w:basedOn w:val="Fontepargpadro"/>
    <w:semiHidden/>
    <w:rsid w:val="00A06E97"/>
  </w:style>
  <w:style w:type="paragraph" w:customStyle="1" w:styleId="NormalNumerado">
    <w:name w:val="Normal Numerado"/>
    <w:basedOn w:val="PargrafodaLista"/>
    <w:qFormat/>
    <w:rsid w:val="00A06E97"/>
    <w:pPr>
      <w:numPr>
        <w:numId w:val="1"/>
      </w:numPr>
      <w:spacing w:after="240"/>
      <w:ind w:left="357" w:hanging="357"/>
      <w:contextualSpacing w:val="0"/>
      <w:jc w:val="both"/>
    </w:pPr>
    <w:rPr>
      <w:rFonts w:ascii="Arial" w:hAnsi="Arial" w:cs="Arial"/>
      <w:sz w:val="20"/>
      <w:szCs w:val="20"/>
      <w:lang w:eastAsia="pt-BR"/>
    </w:rPr>
  </w:style>
  <w:style w:type="paragraph" w:customStyle="1" w:styleId="Lista1">
    <w:name w:val="Lista 1"/>
    <w:basedOn w:val="NormalNumerado"/>
    <w:qFormat/>
    <w:rsid w:val="00A06E97"/>
    <w:pPr>
      <w:numPr>
        <w:numId w:val="2"/>
      </w:numPr>
    </w:pPr>
  </w:style>
  <w:style w:type="paragraph" w:customStyle="1" w:styleId="Listasegundo">
    <w:name w:val="Lista segundo"/>
    <w:basedOn w:val="NormalNumerado"/>
    <w:qFormat/>
    <w:rsid w:val="00A06E97"/>
    <w:pPr>
      <w:numPr>
        <w:ilvl w:val="1"/>
        <w:numId w:val="4"/>
      </w:numPr>
      <w:ind w:left="1134"/>
    </w:pPr>
  </w:style>
  <w:style w:type="paragraph" w:customStyle="1" w:styleId="ApendiceNumerado">
    <w:name w:val="Apendice Numerado"/>
    <w:basedOn w:val="NormalNumerado"/>
    <w:qFormat/>
    <w:rsid w:val="00A06E97"/>
    <w:pPr>
      <w:numPr>
        <w:numId w:val="8"/>
      </w:numPr>
    </w:pPr>
  </w:style>
  <w:style w:type="paragraph" w:styleId="Reviso">
    <w:name w:val="Revision"/>
    <w:hidden/>
    <w:uiPriority w:val="99"/>
    <w:semiHidden/>
    <w:rsid w:val="00A06E97"/>
    <w:rPr>
      <w:rFonts w:ascii="Arial" w:eastAsiaTheme="minorHAnsi" w:hAnsi="Arial" w:cstheme="minorBidi"/>
      <w:szCs w:val="24"/>
      <w:lang w:eastAsia="en-US"/>
    </w:rPr>
  </w:style>
  <w:style w:type="paragraph" w:customStyle="1" w:styleId="IASBTableBoldArial">
    <w:name w:val="IASB Table Bold Arial"/>
    <w:basedOn w:val="Normal"/>
    <w:qFormat/>
    <w:rsid w:val="00A06E97"/>
    <w:pPr>
      <w:spacing w:before="120"/>
    </w:pPr>
    <w:rPr>
      <w:rFonts w:ascii="Arial" w:hAnsi="Arial"/>
      <w:b/>
      <w:sz w:val="18"/>
      <w:szCs w:val="20"/>
    </w:rPr>
  </w:style>
  <w:style w:type="paragraph" w:customStyle="1" w:styleId="IASBNormal">
    <w:name w:val="IASB Normal"/>
    <w:rsid w:val="00485A86"/>
    <w:pPr>
      <w:tabs>
        <w:tab w:val="left" w:pos="4253"/>
      </w:tabs>
      <w:spacing w:before="100" w:after="100"/>
      <w:jc w:val="both"/>
    </w:pPr>
    <w:rPr>
      <w:sz w:val="19"/>
      <w:lang w:eastAsia="pt-BR"/>
    </w:rPr>
  </w:style>
  <w:style w:type="paragraph" w:customStyle="1" w:styleId="IASBNormalnpara">
    <w:name w:val="IASB Normal npara"/>
    <w:basedOn w:val="IASBNormal"/>
    <w:rsid w:val="00485A86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Normal"/>
    <w:rsid w:val="00485A86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Normal"/>
    <w:rsid w:val="00485A86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Normal"/>
    <w:rsid w:val="00485A86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rsid w:val="00485A86"/>
    <w:pPr>
      <w:spacing w:before="240"/>
      <w:ind w:left="782"/>
    </w:pPr>
  </w:style>
  <w:style w:type="paragraph" w:customStyle="1" w:styleId="IASBSectionTitle3NonInd">
    <w:name w:val="IASB Section Title 3 NonInd"/>
    <w:basedOn w:val="Normal"/>
    <w:rsid w:val="00485A86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rsid w:val="00485A86"/>
    <w:pPr>
      <w:spacing w:before="240"/>
      <w:ind w:left="782"/>
    </w:pPr>
  </w:style>
  <w:style w:type="paragraph" w:customStyle="1" w:styleId="IASBSectionTitle4NonInd">
    <w:name w:val="IASB Section Title 4 NonInd"/>
    <w:basedOn w:val="Normal"/>
    <w:rsid w:val="00485A86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rsid w:val="00485A86"/>
    <w:pPr>
      <w:ind w:left="782"/>
    </w:pPr>
  </w:style>
  <w:style w:type="paragraph" w:customStyle="1" w:styleId="IASBSectionTitle5NonInd">
    <w:name w:val="IASB Section Title 5 NonInd"/>
    <w:basedOn w:val="Normal"/>
    <w:rsid w:val="00485A86"/>
    <w:pPr>
      <w:keepNext/>
      <w:keepLines/>
      <w:spacing w:before="300" w:after="200"/>
    </w:pPr>
    <w:rPr>
      <w:rFonts w:ascii="Arial" w:hAnsi="Arial" w:cs="Arial"/>
      <w:b/>
      <w:sz w:val="20"/>
      <w:szCs w:val="20"/>
    </w:rPr>
  </w:style>
  <w:style w:type="paragraph" w:customStyle="1" w:styleId="IASBSectionTitle5Ind">
    <w:name w:val="IASB Section Title 5 Ind"/>
    <w:basedOn w:val="IASBSectionTitle5NonInd"/>
    <w:rsid w:val="00485A86"/>
    <w:pPr>
      <w:ind w:left="782"/>
    </w:pPr>
  </w:style>
  <w:style w:type="paragraph" w:customStyle="1" w:styleId="IASBSectionTitle6NonInd">
    <w:name w:val="IASB Section Title 6 NonInd"/>
    <w:basedOn w:val="IASBSectionTitle5NonInd"/>
    <w:rsid w:val="00485A86"/>
    <w:rPr>
      <w:b w:val="0"/>
      <w:i/>
    </w:rPr>
  </w:style>
  <w:style w:type="paragraph" w:customStyle="1" w:styleId="IASBSectionTitle6Ind">
    <w:name w:val="IASB Section Title 6 Ind"/>
    <w:basedOn w:val="IASBSectionTitle6NonInd"/>
    <w:rsid w:val="00485A86"/>
    <w:pPr>
      <w:ind w:left="782"/>
    </w:pPr>
  </w:style>
  <w:style w:type="paragraph" w:customStyle="1" w:styleId="IASBTitle">
    <w:name w:val="IASB Title"/>
    <w:rsid w:val="00485A86"/>
    <w:pPr>
      <w:keepNext/>
      <w:keepLines/>
      <w:spacing w:before="300" w:after="400"/>
    </w:pPr>
    <w:rPr>
      <w:rFonts w:cs="Arial"/>
      <w:sz w:val="36"/>
      <w:lang w:eastAsia="pt-BR"/>
    </w:rPr>
  </w:style>
  <w:style w:type="paragraph" w:customStyle="1" w:styleId="IASBNormalnparaL1">
    <w:name w:val="IASB Normal nparaL1"/>
    <w:basedOn w:val="IASBNormalnpara"/>
    <w:rsid w:val="00485A86"/>
    <w:pPr>
      <w:ind w:left="1564"/>
    </w:pPr>
  </w:style>
  <w:style w:type="paragraph" w:customStyle="1" w:styleId="IASBNormalnparaP">
    <w:name w:val="IASB Normal nparaP"/>
    <w:basedOn w:val="IASBNormal"/>
    <w:rsid w:val="00485A86"/>
    <w:pPr>
      <w:ind w:left="782"/>
    </w:pPr>
  </w:style>
  <w:style w:type="paragraph" w:customStyle="1" w:styleId="IASBIdentifier">
    <w:name w:val="IASB Identifier"/>
    <w:basedOn w:val="IASBTitle"/>
    <w:rsid w:val="00485A86"/>
    <w:pPr>
      <w:spacing w:after="200"/>
    </w:pPr>
    <w:rPr>
      <w:rFonts w:ascii="Arial" w:hAnsi="Arial"/>
      <w:b/>
      <w:sz w:val="23"/>
    </w:rPr>
  </w:style>
  <w:style w:type="paragraph" w:customStyle="1" w:styleId="IASBTOCPrimary">
    <w:name w:val="IASB TOC Primary"/>
    <w:basedOn w:val="Normal"/>
    <w:rsid w:val="00485A86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Normal"/>
    <w:rsid w:val="00485A86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Normal"/>
    <w:rsid w:val="00485A86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Normal"/>
    <w:rsid w:val="00485A86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Normal"/>
    <w:rsid w:val="00485A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rsid w:val="00485A86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485A86"/>
    <w:rPr>
      <w:i/>
    </w:rPr>
  </w:style>
  <w:style w:type="paragraph" w:customStyle="1" w:styleId="IASBBlockquote">
    <w:name w:val="IASB Blockquote"/>
    <w:basedOn w:val="IASBNormal"/>
    <w:rsid w:val="00485A86"/>
    <w:pPr>
      <w:ind w:left="1565"/>
    </w:pPr>
    <w:rPr>
      <w:sz w:val="16"/>
    </w:rPr>
  </w:style>
  <w:style w:type="character" w:customStyle="1" w:styleId="IASBEduinsert">
    <w:name w:val="IASB Edu insert"/>
    <w:qFormat/>
    <w:rsid w:val="00485A86"/>
  </w:style>
  <w:style w:type="paragraph" w:customStyle="1" w:styleId="IASBNormalL1">
    <w:name w:val="IASB Normal L1"/>
    <w:basedOn w:val="IASBNormalnpara"/>
    <w:rsid w:val="00485A86"/>
  </w:style>
  <w:style w:type="paragraph" w:customStyle="1" w:styleId="IASBRubricL1">
    <w:name w:val="IASB RubricL1"/>
    <w:basedOn w:val="IASBRubric"/>
    <w:rsid w:val="00485A86"/>
    <w:pPr>
      <w:ind w:left="782" w:hanging="782"/>
      <w:jc w:val="left"/>
    </w:pPr>
  </w:style>
  <w:style w:type="paragraph" w:customStyle="1" w:styleId="IASBRubricL2">
    <w:name w:val="IASB RubricL2"/>
    <w:basedOn w:val="IASBRubricL1"/>
    <w:rsid w:val="00485A86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rsid w:val="00485A86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rsid w:val="00485A86"/>
    <w:pPr>
      <w:ind w:left="2347"/>
    </w:pPr>
  </w:style>
  <w:style w:type="paragraph" w:customStyle="1" w:styleId="IASBNormalnparaL3">
    <w:name w:val="IASB Normal nparaL3"/>
    <w:basedOn w:val="IASBNormalnparaL2"/>
    <w:rsid w:val="00485A86"/>
    <w:pPr>
      <w:ind w:left="3129"/>
    </w:pPr>
  </w:style>
  <w:style w:type="paragraph" w:customStyle="1" w:styleId="IASBNormalnparaL4">
    <w:name w:val="IASB Normal nparaL4"/>
    <w:basedOn w:val="IASBNormalnparaL3"/>
    <w:rsid w:val="00485A86"/>
    <w:pPr>
      <w:ind w:left="3912"/>
    </w:pPr>
  </w:style>
  <w:style w:type="paragraph" w:customStyle="1" w:styleId="IASBNormalnparaL5">
    <w:name w:val="IASB Normal nparaL5"/>
    <w:basedOn w:val="IASBNormalnparaL4"/>
    <w:rsid w:val="00485A86"/>
    <w:pPr>
      <w:ind w:left="4694"/>
    </w:pPr>
  </w:style>
  <w:style w:type="paragraph" w:customStyle="1" w:styleId="IASBNormalnparaL1P">
    <w:name w:val="IASB Normal nparaL1P"/>
    <w:basedOn w:val="IASBNormalnparaL2"/>
    <w:rsid w:val="00485A86"/>
    <w:pPr>
      <w:ind w:left="1565" w:firstLine="0"/>
    </w:pPr>
  </w:style>
  <w:style w:type="paragraph" w:customStyle="1" w:styleId="IASBNormalnparaL2P">
    <w:name w:val="IASB Normal nparaL2P"/>
    <w:basedOn w:val="IASBNormalnparaL1P"/>
    <w:rsid w:val="00485A86"/>
    <w:pPr>
      <w:ind w:left="2347"/>
    </w:pPr>
  </w:style>
  <w:style w:type="paragraph" w:customStyle="1" w:styleId="IASBNormalnparaL3P">
    <w:name w:val="IASB Normal nparaL3P"/>
    <w:basedOn w:val="IASBNormalnparaL2P"/>
    <w:rsid w:val="00485A86"/>
    <w:pPr>
      <w:ind w:left="3130"/>
    </w:pPr>
  </w:style>
  <w:style w:type="paragraph" w:customStyle="1" w:styleId="IASBNormalnparaL4P">
    <w:name w:val="IASB Normal nparaL4P"/>
    <w:basedOn w:val="IASBNormalnparaL3P"/>
    <w:rsid w:val="00485A86"/>
    <w:pPr>
      <w:ind w:left="3912"/>
    </w:pPr>
  </w:style>
  <w:style w:type="paragraph" w:customStyle="1" w:styleId="IASBNormalnparaL5P">
    <w:name w:val="IASB Normal nparaL5P"/>
    <w:basedOn w:val="IASBNormalnparaL4P"/>
    <w:rsid w:val="00485A86"/>
    <w:pPr>
      <w:ind w:left="4751"/>
    </w:pPr>
  </w:style>
  <w:style w:type="paragraph" w:customStyle="1" w:styleId="IASBBlockquoteL1">
    <w:name w:val="IASB BlockquoteL1"/>
    <w:basedOn w:val="IASBBlockquote"/>
    <w:rsid w:val="00485A86"/>
    <w:pPr>
      <w:ind w:left="2347" w:hanging="782"/>
    </w:pPr>
  </w:style>
  <w:style w:type="paragraph" w:customStyle="1" w:styleId="IASBBlockquoteL2">
    <w:name w:val="IASB BlockquoteL2"/>
    <w:basedOn w:val="IASBBlockquoteL1"/>
    <w:rsid w:val="00485A86"/>
    <w:pPr>
      <w:ind w:left="3129"/>
    </w:pPr>
  </w:style>
  <w:style w:type="paragraph" w:customStyle="1" w:styleId="IASBNormalL2">
    <w:name w:val="IASB Normal L2"/>
    <w:basedOn w:val="IASBNormalL1"/>
    <w:rsid w:val="00485A86"/>
    <w:pPr>
      <w:ind w:left="1564"/>
    </w:pPr>
  </w:style>
  <w:style w:type="paragraph" w:customStyle="1" w:styleId="IASBTOCQuartery">
    <w:name w:val="IASB TOC Quartery"/>
    <w:basedOn w:val="IASBTOCTertiary"/>
    <w:rsid w:val="00485A86"/>
    <w:pPr>
      <w:ind w:left="851"/>
    </w:pPr>
  </w:style>
  <w:style w:type="paragraph" w:customStyle="1" w:styleId="IASBNoteTitle">
    <w:name w:val="IASB Note Title"/>
    <w:basedOn w:val="IASBTOCPrimary"/>
    <w:rsid w:val="00485A86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rsid w:val="00485A86"/>
    <w:pPr>
      <w:ind w:firstLine="0"/>
    </w:pPr>
  </w:style>
  <w:style w:type="paragraph" w:customStyle="1" w:styleId="IASBNormalL2P">
    <w:name w:val="IASB Normal L2P"/>
    <w:basedOn w:val="IASBNormalL1P"/>
    <w:qFormat/>
    <w:rsid w:val="00485A86"/>
    <w:pPr>
      <w:ind w:left="1565"/>
    </w:pPr>
  </w:style>
  <w:style w:type="paragraph" w:customStyle="1" w:styleId="IASBNormalnparaC">
    <w:name w:val="IASB Normal nparaC"/>
    <w:basedOn w:val="IASBNormalnpara"/>
    <w:qFormat/>
    <w:rsid w:val="00485A86"/>
    <w:pPr>
      <w:spacing w:before="0"/>
    </w:pPr>
  </w:style>
  <w:style w:type="paragraph" w:customStyle="1" w:styleId="IASBEdupara">
    <w:name w:val="IASB Edu para"/>
    <w:basedOn w:val="IASBNormal"/>
    <w:qFormat/>
    <w:rsid w:val="00485A86"/>
  </w:style>
  <w:style w:type="paragraph" w:customStyle="1" w:styleId="IASBTableBoldTNR">
    <w:name w:val="IASB Table Bold TNR"/>
    <w:basedOn w:val="Normal"/>
    <w:qFormat/>
    <w:rsid w:val="00485A86"/>
    <w:pPr>
      <w:spacing w:before="120"/>
    </w:pPr>
    <w:rPr>
      <w:b/>
      <w:sz w:val="19"/>
      <w:szCs w:val="20"/>
    </w:rPr>
  </w:style>
  <w:style w:type="paragraph" w:customStyle="1" w:styleId="IASBTableHeaderTNR">
    <w:name w:val="IASB Table Header TNR"/>
    <w:basedOn w:val="Normal"/>
    <w:qFormat/>
    <w:rsid w:val="00485A86"/>
    <w:pPr>
      <w:keepNext/>
      <w:spacing w:before="120" w:after="200" w:line="276" w:lineRule="auto"/>
    </w:pPr>
    <w:rPr>
      <w:sz w:val="19"/>
      <w:szCs w:val="20"/>
    </w:rPr>
  </w:style>
  <w:style w:type="paragraph" w:customStyle="1" w:styleId="IASBTableTNR">
    <w:name w:val="IASB Table TNR"/>
    <w:basedOn w:val="Normal"/>
    <w:qFormat/>
    <w:rsid w:val="00485A86"/>
    <w:pPr>
      <w:spacing w:before="120"/>
    </w:pPr>
    <w:rPr>
      <w:sz w:val="19"/>
      <w:szCs w:val="20"/>
    </w:rPr>
  </w:style>
  <w:style w:type="paragraph" w:customStyle="1" w:styleId="IASBTableArial">
    <w:name w:val="IASB Table Arial"/>
    <w:basedOn w:val="Normal"/>
    <w:rsid w:val="00485A86"/>
    <w:pPr>
      <w:spacing w:before="120"/>
    </w:pPr>
    <w:rPr>
      <w:rFonts w:ascii="Arial" w:hAnsi="Arial"/>
      <w:sz w:val="18"/>
      <w:szCs w:val="20"/>
    </w:rPr>
  </w:style>
  <w:style w:type="paragraph" w:customStyle="1" w:styleId="IASBTableHeaderArial">
    <w:name w:val="IASB Table Header Arial"/>
    <w:basedOn w:val="IASBTableArial"/>
    <w:qFormat/>
    <w:rsid w:val="00485A86"/>
    <w:pPr>
      <w:keepNext/>
      <w:spacing w:after="200" w:line="276" w:lineRule="auto"/>
    </w:pPr>
  </w:style>
  <w:style w:type="character" w:styleId="Refdenotadefim">
    <w:name w:val="endnote reference"/>
    <w:uiPriority w:val="99"/>
    <w:semiHidden/>
    <w:unhideWhenUsed/>
    <w:rsid w:val="00485A86"/>
    <w:rPr>
      <w:rFonts w:cs="Times New Roman"/>
      <w:vertAlign w:val="superscript"/>
      <w:lang w:val="pt-BR" w:eastAsia="pt-BR"/>
    </w:rPr>
  </w:style>
  <w:style w:type="paragraph" w:customStyle="1" w:styleId="IASBNormalL3">
    <w:name w:val="IASB Normal L3"/>
    <w:basedOn w:val="IASBNormalL2"/>
    <w:qFormat/>
    <w:rsid w:val="00485A86"/>
    <w:pPr>
      <w:ind w:left="2268" w:hanging="708"/>
    </w:pPr>
  </w:style>
  <w:style w:type="paragraph" w:customStyle="1" w:styleId="IASBNormalL3P">
    <w:name w:val="IASB Normal L3P"/>
    <w:basedOn w:val="IASBNormalL2P"/>
    <w:qFormat/>
    <w:rsid w:val="00485A86"/>
    <w:pPr>
      <w:ind w:left="2268"/>
    </w:pPr>
  </w:style>
  <w:style w:type="paragraph" w:customStyle="1" w:styleId="IASBNormalL4">
    <w:name w:val="IASB Normal L4"/>
    <w:basedOn w:val="IASBNormalL3"/>
    <w:qFormat/>
    <w:rsid w:val="00485A86"/>
    <w:pPr>
      <w:ind w:left="2977"/>
    </w:pPr>
  </w:style>
  <w:style w:type="paragraph" w:customStyle="1" w:styleId="IASBNormalL4P">
    <w:name w:val="IASB Normal L4P"/>
    <w:basedOn w:val="IASBNormalL3P"/>
    <w:qFormat/>
    <w:rsid w:val="00485A86"/>
    <w:pPr>
      <w:ind w:left="2977"/>
    </w:pPr>
  </w:style>
  <w:style w:type="paragraph" w:styleId="Ttulo">
    <w:name w:val="Title"/>
    <w:basedOn w:val="Normal"/>
    <w:link w:val="TtuloChar"/>
    <w:qFormat/>
    <w:locked/>
    <w:rsid w:val="00D46F9A"/>
    <w:pPr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character" w:customStyle="1" w:styleId="TtuloChar">
    <w:name w:val="Título Char"/>
    <w:basedOn w:val="Fontepargpadro"/>
    <w:link w:val="Ttulo"/>
    <w:rsid w:val="00D46F9A"/>
    <w:rPr>
      <w:b/>
      <w:bCs/>
      <w:noProof/>
      <w:color w:val="000000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2C7DAE"/>
    <w:pPr>
      <w:widowControl w:val="0"/>
      <w:tabs>
        <w:tab w:val="left" w:pos="6804"/>
      </w:tabs>
      <w:spacing w:before="2" w:after="2" w:line="250" w:lineRule="auto"/>
      <w:ind w:left="336" w:right="57" w:hanging="279"/>
    </w:pPr>
    <w:rPr>
      <w:rFonts w:ascii="Arial" w:hAnsi="Arial" w:cs="Arial"/>
      <w:sz w:val="20"/>
      <w:lang w:val="pt-PT"/>
    </w:rPr>
  </w:style>
  <w:style w:type="paragraph" w:customStyle="1" w:styleId="Estilo1">
    <w:name w:val="Estilo1"/>
    <w:basedOn w:val="Normal"/>
    <w:rsid w:val="002C7DAE"/>
    <w:pPr>
      <w:pBdr>
        <w:bottom w:val="single" w:sz="12" w:space="1" w:color="auto"/>
      </w:pBdr>
      <w:spacing w:before="400" w:after="200"/>
    </w:pPr>
    <w:rPr>
      <w:rFonts w:ascii="Arial" w:hAnsi="Arial" w:cs="Arial"/>
      <w:b/>
      <w:sz w:val="26"/>
    </w:rPr>
  </w:style>
  <w:style w:type="paragraph" w:customStyle="1" w:styleId="Estilo2">
    <w:name w:val="Estilo2"/>
    <w:basedOn w:val="Normal"/>
    <w:rsid w:val="002C7DAE"/>
    <w:pPr>
      <w:spacing w:before="400" w:after="200"/>
      <w:ind w:left="709"/>
    </w:pPr>
    <w:rPr>
      <w:rFonts w:ascii="Arial" w:hAnsi="Arial" w:cs="Arial"/>
      <w:b/>
      <w:sz w:val="26"/>
    </w:rPr>
  </w:style>
  <w:style w:type="paragraph" w:customStyle="1" w:styleId="itlicofrases">
    <w:name w:val="itálico frases"/>
    <w:basedOn w:val="Normal"/>
    <w:next w:val="Normal"/>
    <w:rsid w:val="002C7DAE"/>
    <w:pPr>
      <w:spacing w:before="100" w:after="100"/>
      <w:jc w:val="both"/>
    </w:pPr>
    <w:rPr>
      <w:i/>
      <w:sz w:val="19"/>
    </w:rPr>
  </w:style>
  <w:style w:type="paragraph" w:customStyle="1" w:styleId="IASBFirstTitle">
    <w:name w:val="IASB First Title"/>
    <w:basedOn w:val="Normal"/>
    <w:rsid w:val="002C7DAE"/>
    <w:pPr>
      <w:keepNext/>
      <w:keepLines/>
      <w:spacing w:before="300" w:after="500"/>
    </w:pPr>
    <w:rPr>
      <w:snapToGrid w:val="0"/>
      <w:sz w:val="44"/>
      <w:szCs w:val="20"/>
      <w:lang w:val="en-US"/>
    </w:rPr>
  </w:style>
  <w:style w:type="paragraph" w:customStyle="1" w:styleId="IASBTOCPrimaryTitle">
    <w:name w:val="IASB TOC Primary Title"/>
    <w:basedOn w:val="Normal"/>
    <w:rsid w:val="002C7DAE"/>
    <w:pPr>
      <w:spacing w:before="30" w:after="30"/>
    </w:pPr>
    <w:rPr>
      <w:rFonts w:ascii="Arial" w:hAnsi="Arial" w:cs="Arial"/>
      <w:b/>
      <w:caps/>
      <w:snapToGrid w:val="0"/>
      <w:sz w:val="22"/>
      <w:szCs w:val="20"/>
      <w:lang w:val="en-US"/>
    </w:rPr>
  </w:style>
  <w:style w:type="paragraph" w:customStyle="1" w:styleId="IASBTOC">
    <w:name w:val="IASB TOC"/>
    <w:basedOn w:val="Normal"/>
    <w:rsid w:val="002C7DAE"/>
    <w:pPr>
      <w:spacing w:before="30" w:after="30"/>
    </w:pPr>
    <w:rPr>
      <w:rFonts w:ascii="Arial" w:hAnsi="Arial" w:cs="Arial"/>
      <w:snapToGrid w:val="0"/>
      <w:sz w:val="19"/>
      <w:szCs w:val="20"/>
      <w:lang w:val="en-US"/>
    </w:rPr>
  </w:style>
  <w:style w:type="paragraph" w:customStyle="1" w:styleId="IASBSectionTitleU">
    <w:name w:val="IASB Section Title U"/>
    <w:basedOn w:val="Normal"/>
    <w:rsid w:val="002C7DAE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napToGrid w:val="0"/>
      <w:sz w:val="26"/>
      <w:szCs w:val="20"/>
      <w:lang w:val="en-US"/>
    </w:rPr>
  </w:style>
  <w:style w:type="paragraph" w:customStyle="1" w:styleId="DaveIASBSubsectionTitle">
    <w:name w:val="Dave IASB Subsection Title"/>
    <w:basedOn w:val="Normal"/>
    <w:rsid w:val="002C7DAE"/>
    <w:pPr>
      <w:keepNext/>
      <w:keepLines/>
      <w:spacing w:before="300" w:after="200"/>
      <w:ind w:left="780"/>
    </w:pPr>
    <w:rPr>
      <w:rFonts w:ascii="Arial" w:hAnsi="Arial" w:cs="Arial"/>
      <w:b/>
      <w:snapToGrid w:val="0"/>
      <w:sz w:val="26"/>
      <w:szCs w:val="20"/>
      <w:lang w:val="en-US"/>
    </w:rPr>
  </w:style>
  <w:style w:type="paragraph" w:customStyle="1" w:styleId="IASBSubsubsectionTitle">
    <w:name w:val="IASB Subsubsection Title"/>
    <w:basedOn w:val="Normal"/>
    <w:rsid w:val="002C7DAE"/>
    <w:pPr>
      <w:keepNext/>
      <w:keepLines/>
      <w:spacing w:before="300" w:after="200"/>
      <w:ind w:left="780"/>
    </w:pPr>
    <w:rPr>
      <w:rFonts w:ascii="Arial" w:hAnsi="Arial" w:cs="Arial"/>
      <w:b/>
      <w:snapToGrid w:val="0"/>
      <w:sz w:val="22"/>
      <w:szCs w:val="20"/>
      <w:lang w:val="en-US"/>
    </w:rPr>
  </w:style>
  <w:style w:type="paragraph" w:customStyle="1" w:styleId="IASBSubsubsubsectionTitle">
    <w:name w:val="IASB Subsubsubsection Title"/>
    <w:basedOn w:val="Normal"/>
    <w:rsid w:val="002C7DAE"/>
    <w:pPr>
      <w:keepNext/>
      <w:keepLines/>
      <w:spacing w:before="300" w:after="200"/>
      <w:ind w:left="780"/>
    </w:pPr>
    <w:rPr>
      <w:rFonts w:ascii="Arial" w:hAnsi="Arial" w:cs="Arial"/>
      <w:i/>
      <w:snapToGrid w:val="0"/>
      <w:sz w:val="22"/>
      <w:szCs w:val="20"/>
      <w:lang w:val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7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7DAE"/>
    <w:rPr>
      <w:rFonts w:ascii="Courier New" w:hAnsi="Courier New"/>
      <w:lang w:val="x-none" w:eastAsia="x-none"/>
    </w:rPr>
  </w:style>
  <w:style w:type="paragraph" w:customStyle="1" w:styleId="paragraph">
    <w:name w:val="paragraph"/>
    <w:basedOn w:val="Normal"/>
    <w:next w:val="Normal"/>
    <w:rsid w:val="002C7DAE"/>
    <w:pPr>
      <w:widowControl w:val="0"/>
      <w:ind w:left="432" w:hanging="432"/>
      <w:jc w:val="both"/>
    </w:pPr>
    <w:rPr>
      <w:sz w:val="20"/>
      <w:szCs w:val="20"/>
      <w:lang w:eastAsia="en-US"/>
    </w:rPr>
  </w:style>
  <w:style w:type="paragraph" w:customStyle="1" w:styleId="outline">
    <w:name w:val="outline"/>
    <w:basedOn w:val="Normal"/>
    <w:rsid w:val="002C7DAE"/>
    <w:pPr>
      <w:spacing w:before="100" w:beforeAutospacing="1" w:after="100" w:afterAutospacing="1"/>
    </w:pPr>
    <w:rPr>
      <w:rFonts w:eastAsia="SimSun"/>
      <w:lang w:val="en-US" w:eastAsia="ko-K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3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5BA7DCC295C4B97EFA222803C2E43" ma:contentTypeVersion="13" ma:contentTypeDescription="Create a new document." ma:contentTypeScope="" ma:versionID="dcf61a52a6102d6a804c287eb92f5667">
  <xsd:schema xmlns:xsd="http://www.w3.org/2001/XMLSchema" xmlns:xs="http://www.w3.org/2001/XMLSchema" xmlns:p="http://schemas.microsoft.com/office/2006/metadata/properties" xmlns:ns2="b69b09d8-fb11-4638-84fd-30340ac4eb29" xmlns:ns3="7b795b17-f7d2-4f27-ba4a-6f1f7eb48eda" targetNamespace="http://schemas.microsoft.com/office/2006/metadata/properties" ma:root="true" ma:fieldsID="26b38a98324d2badd97bb04ded0657e9" ns2:_="" ns3:_="">
    <xsd:import namespace="b69b09d8-fb11-4638-84fd-30340ac4eb29"/>
    <xsd:import namespace="7b795b17-f7d2-4f27-ba4a-6f1f7eb48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09d8-fb11-4638-84fd-30340ac4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95b17-f7d2-4f27-ba4a-6f1f7eb4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B243-4EBE-4361-93DF-EFF7B71931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b795b17-f7d2-4f27-ba4a-6f1f7eb48eda"/>
    <ds:schemaRef ds:uri="b69b09d8-fb11-4638-84fd-30340ac4eb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3EBDC3-ED9A-4000-95AE-9637373DA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1A95F-E788-407C-946E-F9F8B6FB2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09d8-fb11-4638-84fd-30340ac4eb29"/>
    <ds:schemaRef ds:uri="7b795b17-f7d2-4f27-ba4a-6f1f7eb48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A82180-768F-4265-AF5B-0AB57F8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1937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Instrucao CVM 495/2011 (redacao original)</vt:lpstr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Instrucao CVM 495/2011 (redacao original)</dc:title>
  <dc:subject/>
  <dc:creator/>
  <cp:keywords/>
  <dc:description/>
  <cp:lastModifiedBy/>
  <cp:revision>1</cp:revision>
  <dcterms:created xsi:type="dcterms:W3CDTF">2021-02-12T18:15:00Z</dcterms:created>
  <dcterms:modified xsi:type="dcterms:W3CDTF">2022-06-02T13:49:00Z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0x0101006275BA7DCC295C4B97EFA222803C2E43</vt:lpwstr>
  </property>
  <property fmtid="{D5CDD505-2E9C-101B-9397-08002B2CF9AE}" pid="3" name="Order">
    <vt:r8>35800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