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7E0A010E" w:rsidR="00CF08C5" w:rsidRPr="005E1EDB" w:rsidRDefault="00D86E4C" w:rsidP="00CF08C5">
      <w:pPr>
        <w:pStyle w:val="Corpodetexto2"/>
        <w:spacing w:before="120" w:line="312" w:lineRule="auto"/>
        <w:jc w:val="center"/>
        <w:rPr>
          <w:rFonts w:asciiTheme="minorHAnsi" w:hAnsiTheme="minorHAnsi" w:cstheme="minorHAnsi"/>
          <w:b w:val="0"/>
          <w:bCs w:val="0"/>
          <w:sz w:val="24"/>
          <w:lang w:val="pt-BR"/>
        </w:rPr>
      </w:pPr>
      <w:r w:rsidRPr="00D86E4C">
        <w:rPr>
          <w:rFonts w:asciiTheme="minorHAnsi" w:hAnsiTheme="minorHAnsi" w:cstheme="minorHAnsi"/>
          <w:b w:val="0"/>
          <w:bCs w:val="0"/>
          <w:sz w:val="24"/>
        </w:rPr>
        <w:t>RESOLUÇÃO CVM Nº 12</w:t>
      </w:r>
      <w:r>
        <w:rPr>
          <w:rFonts w:asciiTheme="minorHAnsi" w:hAnsiTheme="minorHAnsi" w:cstheme="minorHAnsi"/>
          <w:b w:val="0"/>
          <w:bCs w:val="0"/>
          <w:sz w:val="24"/>
          <w:lang w:val="pt-BR"/>
        </w:rPr>
        <w:t>9</w:t>
      </w:r>
      <w:r w:rsidRPr="00D86E4C">
        <w:rPr>
          <w:rFonts w:asciiTheme="minorHAnsi" w:hAnsiTheme="minorHAnsi" w:cstheme="minorHAnsi"/>
          <w:b w:val="0"/>
          <w:bCs w:val="0"/>
          <w:sz w:val="24"/>
        </w:rPr>
        <w:t>, DE 3 DE JUNHO DE 2022</w:t>
      </w:r>
    </w:p>
    <w:p w14:paraId="5B546EE5" w14:textId="1D6A9BB7"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5E1EDB" w:rsidRPr="005E1EDB">
        <w:rPr>
          <w:rFonts w:asciiTheme="minorHAnsi" w:hAnsiTheme="minorHAnsi" w:cstheme="minorHAnsi"/>
          <w:iCs/>
          <w:sz w:val="24"/>
        </w:rPr>
        <w:t>a Consolidação d</w:t>
      </w:r>
      <w:r w:rsidR="00824ACF">
        <w:rPr>
          <w:rFonts w:asciiTheme="minorHAnsi" w:hAnsiTheme="minorHAnsi" w:cstheme="minorHAnsi"/>
          <w:iCs/>
          <w:sz w:val="24"/>
        </w:rPr>
        <w:t>a Interpretação Técnica</w:t>
      </w:r>
      <w:r w:rsidRPr="00273211">
        <w:rPr>
          <w:rFonts w:asciiTheme="minorHAnsi" w:hAnsiTheme="minorHAnsi" w:cstheme="minorHAnsi"/>
          <w:iCs/>
          <w:sz w:val="24"/>
        </w:rPr>
        <w:t xml:space="preserve"> </w:t>
      </w:r>
      <w:r w:rsidR="005D7141">
        <w:rPr>
          <w:rFonts w:asciiTheme="minorHAnsi" w:hAnsiTheme="minorHAnsi" w:cstheme="minorHAnsi"/>
          <w:iCs/>
          <w:sz w:val="24"/>
        </w:rPr>
        <w:t xml:space="preserve">ICPC </w:t>
      </w:r>
      <w:r w:rsidR="00394458">
        <w:rPr>
          <w:rFonts w:asciiTheme="minorHAnsi" w:hAnsiTheme="minorHAnsi" w:cstheme="minorHAnsi"/>
          <w:iCs/>
          <w:sz w:val="24"/>
        </w:rPr>
        <w:t>18</w:t>
      </w:r>
      <w:r w:rsidRPr="00273211">
        <w:rPr>
          <w:rFonts w:asciiTheme="minorHAnsi" w:hAnsiTheme="minorHAnsi" w:cstheme="minorHAnsi"/>
          <w:iCs/>
          <w:sz w:val="24"/>
        </w:rPr>
        <w:t xml:space="preserve"> do Comitê de Pronunciamentos Contábeis</w:t>
      </w:r>
      <w:r w:rsidR="005E1EDB" w:rsidRPr="005E1EDB">
        <w:rPr>
          <w:rFonts w:asciiTheme="minorHAnsi" w:hAnsiTheme="minorHAnsi" w:cstheme="minorHAnsi"/>
          <w:iCs/>
          <w:sz w:val="24"/>
        </w:rPr>
        <w:t xml:space="preserve"> – CPC</w:t>
      </w:r>
      <w:r w:rsidRPr="00273211">
        <w:rPr>
          <w:rFonts w:asciiTheme="minorHAnsi" w:hAnsiTheme="minorHAnsi" w:cstheme="minorHAnsi"/>
          <w:iCs/>
          <w:sz w:val="24"/>
        </w:rPr>
        <w:t xml:space="preserve">, que trata </w:t>
      </w:r>
      <w:r w:rsidR="00F56594">
        <w:rPr>
          <w:rFonts w:asciiTheme="minorHAnsi" w:hAnsiTheme="minorHAnsi" w:cstheme="minorHAnsi"/>
          <w:iCs/>
          <w:sz w:val="24"/>
        </w:rPr>
        <w:t>de</w:t>
      </w:r>
      <w:r w:rsidRPr="00273211">
        <w:rPr>
          <w:rFonts w:asciiTheme="minorHAnsi" w:hAnsiTheme="minorHAnsi" w:cstheme="minorHAnsi"/>
          <w:iCs/>
          <w:sz w:val="24"/>
        </w:rPr>
        <w:t xml:space="preserve"> </w:t>
      </w:r>
      <w:r w:rsidR="00327323">
        <w:rPr>
          <w:rFonts w:asciiTheme="minorHAnsi" w:hAnsiTheme="minorHAnsi" w:cstheme="minorHAnsi"/>
          <w:iCs/>
          <w:sz w:val="24"/>
        </w:rPr>
        <w:t xml:space="preserve">custos de remoção de estéril </w:t>
      </w:r>
      <w:r w:rsidR="00E21F94">
        <w:rPr>
          <w:rFonts w:asciiTheme="minorHAnsi" w:hAnsiTheme="minorHAnsi" w:cstheme="minorHAnsi"/>
          <w:iCs/>
          <w:sz w:val="24"/>
        </w:rPr>
        <w:t>(</w:t>
      </w:r>
      <w:r w:rsidR="00E21F94" w:rsidRPr="00955209">
        <w:rPr>
          <w:rFonts w:asciiTheme="minorHAnsi" w:hAnsiTheme="minorHAnsi" w:cstheme="minorHAnsi"/>
          <w:i/>
          <w:sz w:val="24"/>
        </w:rPr>
        <w:t>stripping</w:t>
      </w:r>
      <w:r w:rsidR="00E21F94">
        <w:rPr>
          <w:rFonts w:asciiTheme="minorHAnsi" w:hAnsiTheme="minorHAnsi" w:cstheme="minorHAnsi"/>
          <w:iCs/>
          <w:sz w:val="24"/>
        </w:rPr>
        <w:t>)</w:t>
      </w:r>
      <w:r w:rsidR="0081096C">
        <w:rPr>
          <w:rFonts w:asciiTheme="minorHAnsi" w:hAnsiTheme="minorHAnsi" w:cstheme="minorHAnsi"/>
          <w:iCs/>
          <w:sz w:val="24"/>
        </w:rPr>
        <w:t xml:space="preserve"> de </w:t>
      </w:r>
      <w:r w:rsidR="00E63AA8">
        <w:rPr>
          <w:rFonts w:asciiTheme="minorHAnsi" w:hAnsiTheme="minorHAnsi" w:cstheme="minorHAnsi"/>
          <w:iCs/>
          <w:sz w:val="24"/>
        </w:rPr>
        <w:t xml:space="preserve">mina de superfície </w:t>
      </w:r>
      <w:r w:rsidR="00955209">
        <w:rPr>
          <w:rFonts w:asciiTheme="minorHAnsi" w:hAnsiTheme="minorHAnsi" w:cstheme="minorHAnsi"/>
          <w:iCs/>
          <w:sz w:val="24"/>
        </w:rPr>
        <w:t>na fase de produção</w:t>
      </w:r>
      <w:r w:rsidRPr="00273211">
        <w:rPr>
          <w:rFonts w:asciiTheme="minorHAnsi" w:hAnsiTheme="minorHAnsi" w:cstheme="minorHAnsi"/>
          <w:iCs/>
          <w:sz w:val="24"/>
        </w:rPr>
        <w:t>.</w:t>
      </w:r>
    </w:p>
    <w:p w14:paraId="7D45C359" w14:textId="5B2AFCE1"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B3045A">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B3045A">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5E1EDB">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0C0A6EFD"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Art. 1º  Torna obrigatóri</w:t>
      </w:r>
      <w:r w:rsidR="00824ACF">
        <w:rPr>
          <w:rFonts w:asciiTheme="minorHAnsi" w:hAnsiTheme="minorHAnsi" w:cstheme="minorHAnsi"/>
          <w:sz w:val="24"/>
        </w:rPr>
        <w:t>a</w:t>
      </w:r>
      <w:r w:rsidRPr="00273211">
        <w:rPr>
          <w:rFonts w:asciiTheme="minorHAnsi" w:hAnsiTheme="minorHAnsi" w:cstheme="minorHAnsi"/>
          <w:sz w:val="24"/>
        </w:rPr>
        <w:t xml:space="preserve"> para as companhias abertas </w:t>
      </w:r>
      <w:r w:rsidR="00824ACF">
        <w:rPr>
          <w:rFonts w:asciiTheme="minorHAnsi" w:hAnsiTheme="minorHAnsi" w:cstheme="minorHAnsi"/>
          <w:sz w:val="24"/>
        </w:rPr>
        <w:t xml:space="preserve">a Interpretação Técnica ICPC </w:t>
      </w:r>
      <w:r w:rsidR="00955209">
        <w:rPr>
          <w:rFonts w:asciiTheme="minorHAnsi" w:hAnsiTheme="minorHAnsi" w:cstheme="minorHAnsi"/>
          <w:sz w:val="24"/>
        </w:rPr>
        <w:t>18</w:t>
      </w:r>
      <w:r w:rsidR="005E1EDB" w:rsidRPr="00273211">
        <w:rPr>
          <w:rFonts w:asciiTheme="minorHAnsi" w:hAnsiTheme="minorHAnsi" w:cstheme="minorHAnsi"/>
          <w:sz w:val="24"/>
        </w:rPr>
        <w:t xml:space="preserve">, que trata </w:t>
      </w:r>
      <w:r w:rsidR="005E1EDB">
        <w:rPr>
          <w:rFonts w:asciiTheme="minorHAnsi" w:hAnsiTheme="minorHAnsi" w:cstheme="minorHAnsi"/>
          <w:sz w:val="24"/>
        </w:rPr>
        <w:t>d</w:t>
      </w:r>
      <w:r w:rsidR="005E1EDB" w:rsidRPr="00273211">
        <w:rPr>
          <w:rFonts w:asciiTheme="minorHAnsi" w:hAnsiTheme="minorHAnsi" w:cstheme="minorHAnsi"/>
          <w:sz w:val="24"/>
        </w:rPr>
        <w:t>e</w:t>
      </w:r>
      <w:r w:rsidR="005E1EDB">
        <w:rPr>
          <w:rFonts w:asciiTheme="minorHAnsi" w:hAnsiTheme="minorHAnsi" w:cstheme="minorHAnsi"/>
          <w:sz w:val="24"/>
        </w:rPr>
        <w:t xml:space="preserve"> </w:t>
      </w:r>
      <w:r w:rsidR="005E1EDB">
        <w:rPr>
          <w:rFonts w:asciiTheme="minorHAnsi" w:hAnsiTheme="minorHAnsi" w:cstheme="minorHAnsi"/>
          <w:iCs/>
          <w:sz w:val="24"/>
        </w:rPr>
        <w:t>custos de remoção de estéril (</w:t>
      </w:r>
      <w:r w:rsidR="005E1EDB" w:rsidRPr="00955209">
        <w:rPr>
          <w:rFonts w:asciiTheme="minorHAnsi" w:hAnsiTheme="minorHAnsi" w:cstheme="minorHAnsi"/>
          <w:i/>
          <w:sz w:val="24"/>
        </w:rPr>
        <w:t>stripping</w:t>
      </w:r>
      <w:r w:rsidR="005E1EDB">
        <w:rPr>
          <w:rFonts w:asciiTheme="minorHAnsi" w:hAnsiTheme="minorHAnsi" w:cstheme="minorHAnsi"/>
          <w:iCs/>
          <w:sz w:val="24"/>
        </w:rPr>
        <w:t>) de mina de superfície na fase de produção,</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5E1EDB" w:rsidRPr="005E1EDB">
        <w:rPr>
          <w:rFonts w:asciiTheme="minorHAnsi" w:hAnsiTheme="minorHAnsi" w:cstheme="minorHAnsi"/>
          <w:sz w:val="24"/>
        </w:rPr>
        <w:t>conforme consolidad</w:t>
      </w:r>
      <w:r w:rsidR="005E1EDB">
        <w:rPr>
          <w:rFonts w:asciiTheme="minorHAnsi" w:hAnsiTheme="minorHAnsi" w:cstheme="minorHAnsi"/>
          <w:sz w:val="24"/>
        </w:rPr>
        <w:t>a</w:t>
      </w:r>
      <w:r w:rsidR="005E1EDB" w:rsidRPr="005E1EDB">
        <w:rPr>
          <w:rFonts w:asciiTheme="minorHAnsi" w:hAnsiTheme="minorHAnsi" w:cstheme="minorHAnsi"/>
          <w:sz w:val="24"/>
        </w:rPr>
        <w:t xml:space="preserve"> no Anexo “A” à presente Resolução</w:t>
      </w:r>
      <w:r w:rsidRPr="00273211">
        <w:rPr>
          <w:rFonts w:asciiTheme="minorHAnsi" w:hAnsiTheme="minorHAnsi" w:cstheme="minorHAnsi"/>
          <w:sz w:val="24"/>
        </w:rPr>
        <w:t>.</w:t>
      </w:r>
    </w:p>
    <w:p w14:paraId="4E2C13E3" w14:textId="321E3152"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B22115">
        <w:rPr>
          <w:rFonts w:asciiTheme="minorHAnsi" w:hAnsiTheme="minorHAnsi" w:cstheme="minorHAnsi"/>
          <w:color w:val="000000" w:themeColor="text1"/>
          <w:sz w:val="24"/>
        </w:rPr>
        <w:t>714</w:t>
      </w:r>
      <w:r w:rsidRPr="00273211">
        <w:rPr>
          <w:rFonts w:asciiTheme="minorHAnsi" w:hAnsiTheme="minorHAnsi" w:cstheme="minorHAnsi"/>
          <w:color w:val="000000" w:themeColor="text1"/>
          <w:sz w:val="24"/>
        </w:rPr>
        <w:t>, de</w:t>
      </w:r>
      <w:r w:rsidR="00905C16">
        <w:rPr>
          <w:rFonts w:asciiTheme="minorHAnsi" w:hAnsiTheme="minorHAnsi" w:cstheme="minorHAnsi"/>
          <w:color w:val="000000" w:themeColor="text1"/>
          <w:sz w:val="24"/>
        </w:rPr>
        <w:t xml:space="preserve"> 19 de setembro </w:t>
      </w:r>
      <w:r w:rsidRPr="00273211">
        <w:rPr>
          <w:rFonts w:asciiTheme="minorHAnsi" w:hAnsiTheme="minorHAnsi" w:cstheme="minorHAnsi"/>
          <w:color w:val="000000" w:themeColor="text1"/>
          <w:sz w:val="24"/>
        </w:rPr>
        <w:t>de 20</w:t>
      </w:r>
      <w:r w:rsidR="00905C16">
        <w:rPr>
          <w:rFonts w:asciiTheme="minorHAnsi" w:hAnsiTheme="minorHAnsi" w:cstheme="minorHAnsi"/>
          <w:color w:val="000000" w:themeColor="text1"/>
          <w:sz w:val="24"/>
        </w:rPr>
        <w:t>13</w:t>
      </w:r>
      <w:r w:rsidR="005E1EDB" w:rsidRPr="005E1EDB">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5BB3F325"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5E1EDB" w:rsidRPr="005E1EDB">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31FDD591" w14:textId="7907FBA5" w:rsidR="00F56594" w:rsidRDefault="00F56594" w:rsidP="00185666">
      <w:pPr>
        <w:spacing w:before="0" w:after="0"/>
        <w:jc w:val="center"/>
        <w:outlineLvl w:val="0"/>
        <w:rPr>
          <w:rFonts w:cs="Arial"/>
          <w:b/>
          <w:sz w:val="22"/>
          <w:szCs w:val="22"/>
          <w:lang w:val="pt-BR"/>
        </w:rPr>
      </w:pPr>
      <w:r w:rsidRPr="00F56594">
        <w:rPr>
          <w:rFonts w:cs="Arial"/>
          <w:b/>
          <w:sz w:val="22"/>
          <w:szCs w:val="22"/>
          <w:lang w:val="pt-BR"/>
        </w:rPr>
        <w:lastRenderedPageBreak/>
        <w:t>ANEXO “A”</w:t>
      </w:r>
    </w:p>
    <w:p w14:paraId="28D6EA68" w14:textId="77777777" w:rsidR="00F56594" w:rsidRDefault="00F56594" w:rsidP="00185666">
      <w:pPr>
        <w:spacing w:before="0" w:after="0"/>
        <w:jc w:val="center"/>
        <w:outlineLvl w:val="0"/>
        <w:rPr>
          <w:rFonts w:cs="Arial"/>
          <w:b/>
          <w:sz w:val="22"/>
          <w:szCs w:val="22"/>
          <w:lang w:val="pt-BR"/>
        </w:rPr>
      </w:pPr>
      <w:bookmarkStart w:id="0" w:name="_GoBack"/>
      <w:bookmarkEnd w:id="0"/>
    </w:p>
    <w:p w14:paraId="6DAF1577" w14:textId="71F6EC5F" w:rsidR="00185666" w:rsidRPr="00185666" w:rsidRDefault="00185666" w:rsidP="00185666">
      <w:pPr>
        <w:spacing w:before="0" w:after="0"/>
        <w:jc w:val="center"/>
        <w:outlineLvl w:val="0"/>
        <w:rPr>
          <w:rFonts w:cs="Arial"/>
          <w:b/>
          <w:sz w:val="22"/>
          <w:szCs w:val="22"/>
          <w:lang w:val="pt-BR"/>
        </w:rPr>
      </w:pPr>
      <w:r w:rsidRPr="00185666">
        <w:rPr>
          <w:rFonts w:cs="Arial"/>
          <w:b/>
          <w:sz w:val="22"/>
          <w:szCs w:val="22"/>
          <w:lang w:val="pt-BR"/>
        </w:rPr>
        <w:t>COMITÊ DE PRONUNCIAMENTOS CONTÁBEIS</w:t>
      </w:r>
    </w:p>
    <w:p w14:paraId="70D75C35" w14:textId="77777777" w:rsidR="00185666" w:rsidRPr="00185666" w:rsidRDefault="00185666" w:rsidP="00185666">
      <w:pPr>
        <w:spacing w:before="0" w:after="0"/>
        <w:jc w:val="center"/>
        <w:outlineLvl w:val="0"/>
        <w:rPr>
          <w:rFonts w:cs="Arial"/>
          <w:b/>
          <w:sz w:val="22"/>
          <w:szCs w:val="22"/>
          <w:lang w:val="pt-BR"/>
        </w:rPr>
      </w:pPr>
    </w:p>
    <w:p w14:paraId="10F93F57" w14:textId="77777777" w:rsidR="00185666" w:rsidRPr="00185666" w:rsidRDefault="00185666" w:rsidP="00185666">
      <w:pPr>
        <w:spacing w:before="0" w:after="0"/>
        <w:jc w:val="center"/>
        <w:outlineLvl w:val="0"/>
        <w:rPr>
          <w:rFonts w:cs="Arial"/>
          <w:b/>
          <w:sz w:val="22"/>
          <w:szCs w:val="22"/>
          <w:lang w:val="pt-BR"/>
        </w:rPr>
      </w:pPr>
      <w:r w:rsidRPr="00185666">
        <w:rPr>
          <w:rFonts w:cs="Arial"/>
          <w:b/>
          <w:sz w:val="22"/>
          <w:szCs w:val="22"/>
          <w:lang w:val="pt-BR"/>
        </w:rPr>
        <w:t>INTERPRETAÇÃO TÉCNICA ICPC 18</w:t>
      </w:r>
    </w:p>
    <w:p w14:paraId="44FF973D" w14:textId="77777777" w:rsidR="00185666" w:rsidRPr="00185666" w:rsidRDefault="00185666" w:rsidP="00185666">
      <w:pPr>
        <w:spacing w:before="0" w:after="0"/>
        <w:jc w:val="center"/>
        <w:outlineLvl w:val="0"/>
        <w:rPr>
          <w:rFonts w:cs="Arial"/>
          <w:b/>
          <w:sz w:val="22"/>
          <w:szCs w:val="22"/>
          <w:lang w:val="pt-BR"/>
        </w:rPr>
      </w:pPr>
    </w:p>
    <w:p w14:paraId="1C59E690" w14:textId="77777777" w:rsidR="00185666" w:rsidRPr="00185666" w:rsidRDefault="00185666" w:rsidP="00185666">
      <w:pPr>
        <w:spacing w:before="0" w:after="0"/>
        <w:jc w:val="center"/>
        <w:outlineLvl w:val="0"/>
        <w:rPr>
          <w:rFonts w:cs="Arial"/>
          <w:b/>
          <w:sz w:val="22"/>
          <w:szCs w:val="22"/>
          <w:lang w:val="pt-BR"/>
        </w:rPr>
      </w:pPr>
      <w:r w:rsidRPr="00185666">
        <w:rPr>
          <w:rFonts w:cs="Arial"/>
          <w:b/>
          <w:sz w:val="22"/>
          <w:szCs w:val="22"/>
          <w:lang w:val="pt-BR"/>
        </w:rPr>
        <w:t>CUSTOS DE REMOÇÃO DE ESTÉRIL (STRIPPING) DE MINA DE SUPERFÍCIE NA FASE DE PRODUÇÃO</w:t>
      </w:r>
    </w:p>
    <w:p w14:paraId="3FEEEF44" w14:textId="77777777" w:rsidR="00185666" w:rsidRPr="00185666" w:rsidRDefault="00185666" w:rsidP="00185666">
      <w:pPr>
        <w:spacing w:before="0" w:after="0"/>
        <w:jc w:val="center"/>
        <w:outlineLvl w:val="0"/>
        <w:rPr>
          <w:rFonts w:cs="Arial"/>
          <w:b/>
          <w:sz w:val="22"/>
          <w:szCs w:val="22"/>
          <w:lang w:val="pt-BR"/>
        </w:rPr>
      </w:pPr>
    </w:p>
    <w:p w14:paraId="4C5DCC15" w14:textId="77777777" w:rsidR="00185666" w:rsidRPr="00185666" w:rsidRDefault="00185666" w:rsidP="00185666">
      <w:pPr>
        <w:spacing w:before="60" w:after="60"/>
        <w:jc w:val="center"/>
        <w:outlineLvl w:val="0"/>
        <w:rPr>
          <w:rFonts w:cs="Arial"/>
          <w:b/>
          <w:bCs/>
          <w:sz w:val="22"/>
          <w:szCs w:val="22"/>
          <w:lang w:val="pt-BR"/>
        </w:rPr>
      </w:pPr>
      <w:r w:rsidRPr="00185666">
        <w:rPr>
          <w:rFonts w:cs="Arial"/>
          <w:b/>
          <w:bCs/>
          <w:sz w:val="22"/>
          <w:szCs w:val="22"/>
          <w:lang w:val="pt-BR"/>
        </w:rPr>
        <w:t xml:space="preserve">Correlação às Normas Internacionais de Contabilidade – </w:t>
      </w:r>
      <w:r w:rsidRPr="00185666">
        <w:rPr>
          <w:rFonts w:cs="Arial"/>
          <w:b/>
          <w:sz w:val="22"/>
          <w:szCs w:val="22"/>
          <w:lang w:val="pt-BR"/>
        </w:rPr>
        <w:t xml:space="preserve">IFRIC 20 </w:t>
      </w:r>
      <w:r w:rsidRPr="00185666">
        <w:rPr>
          <w:rFonts w:cs="Arial"/>
          <w:b/>
          <w:bCs/>
          <w:sz w:val="22"/>
          <w:szCs w:val="22"/>
          <w:lang w:val="pt-BR"/>
        </w:rPr>
        <w:t>(BV2012)</w:t>
      </w:r>
    </w:p>
    <w:p w14:paraId="456B2D4D" w14:textId="77777777" w:rsidR="00185666" w:rsidRPr="00185666" w:rsidRDefault="00185666" w:rsidP="00185666">
      <w:pPr>
        <w:spacing w:before="0" w:after="0"/>
        <w:jc w:val="center"/>
        <w:outlineLvl w:val="0"/>
        <w:rPr>
          <w:rFonts w:cs="Arial"/>
          <w:b/>
          <w:sz w:val="22"/>
          <w:szCs w:val="22"/>
          <w:lang w:val="pt-BR"/>
        </w:rPr>
      </w:pPr>
    </w:p>
    <w:p w14:paraId="3BB5BD7D" w14:textId="77777777" w:rsidR="00185666" w:rsidRPr="00185666" w:rsidRDefault="00185666" w:rsidP="00185666">
      <w:pPr>
        <w:spacing w:before="0" w:after="0"/>
        <w:jc w:val="center"/>
        <w:outlineLvl w:val="0"/>
        <w:rPr>
          <w:rFonts w:cs="Arial"/>
          <w:b/>
          <w:sz w:val="22"/>
          <w:szCs w:val="22"/>
          <w:lang w:val="pt-BR"/>
        </w:rPr>
      </w:pPr>
    </w:p>
    <w:tbl>
      <w:tblPr>
        <w:tblW w:w="907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52"/>
      </w:tblGrid>
      <w:tr w:rsidR="00185666" w:rsidRPr="00185666" w14:paraId="795B3D7C" w14:textId="77777777" w:rsidTr="00B43D76">
        <w:tc>
          <w:tcPr>
            <w:tcW w:w="7920" w:type="dxa"/>
          </w:tcPr>
          <w:p w14:paraId="46332812" w14:textId="77777777" w:rsidR="00185666" w:rsidRPr="00185666" w:rsidRDefault="00185666" w:rsidP="00185666">
            <w:pPr>
              <w:spacing w:before="60" w:after="60"/>
              <w:jc w:val="left"/>
              <w:rPr>
                <w:rFonts w:cs="Arial"/>
                <w:b/>
                <w:bCs/>
                <w:kern w:val="36"/>
                <w:sz w:val="22"/>
                <w:szCs w:val="22"/>
                <w:lang w:val="pt-BR"/>
              </w:rPr>
            </w:pPr>
            <w:r w:rsidRPr="00185666">
              <w:rPr>
                <w:rFonts w:cs="Arial"/>
                <w:b/>
                <w:bCs/>
                <w:kern w:val="36"/>
                <w:sz w:val="22"/>
                <w:szCs w:val="22"/>
                <w:lang w:val="pt-BR"/>
              </w:rPr>
              <w:t>Índice</w:t>
            </w:r>
          </w:p>
        </w:tc>
        <w:tc>
          <w:tcPr>
            <w:tcW w:w="1152" w:type="dxa"/>
          </w:tcPr>
          <w:p w14:paraId="33951534" w14:textId="77777777" w:rsidR="00185666" w:rsidRPr="00185666" w:rsidRDefault="00185666" w:rsidP="00185666">
            <w:pPr>
              <w:spacing w:before="60" w:after="60"/>
              <w:jc w:val="center"/>
              <w:rPr>
                <w:rFonts w:cs="Arial"/>
                <w:b/>
                <w:bCs/>
                <w:kern w:val="36"/>
                <w:sz w:val="22"/>
                <w:szCs w:val="22"/>
                <w:lang w:val="pt-BR"/>
              </w:rPr>
            </w:pPr>
            <w:r w:rsidRPr="00185666">
              <w:rPr>
                <w:rFonts w:cs="Arial"/>
                <w:b/>
                <w:bCs/>
                <w:kern w:val="36"/>
                <w:sz w:val="22"/>
                <w:szCs w:val="22"/>
                <w:lang w:val="pt-BR"/>
              </w:rPr>
              <w:t>Item</w:t>
            </w:r>
          </w:p>
        </w:tc>
      </w:tr>
      <w:tr w:rsidR="00185666" w:rsidRPr="00185666" w14:paraId="55C639F2" w14:textId="77777777" w:rsidTr="00B43D76">
        <w:tc>
          <w:tcPr>
            <w:tcW w:w="7920" w:type="dxa"/>
          </w:tcPr>
          <w:p w14:paraId="3C52B6D5" w14:textId="77777777" w:rsidR="00185666" w:rsidRPr="00185666" w:rsidRDefault="00185666" w:rsidP="00185666">
            <w:pPr>
              <w:spacing w:before="60" w:after="60"/>
              <w:jc w:val="left"/>
              <w:rPr>
                <w:rFonts w:cs="Arial"/>
                <w:b/>
                <w:bCs/>
                <w:kern w:val="36"/>
                <w:sz w:val="22"/>
                <w:szCs w:val="22"/>
                <w:lang w:val="pt-BR"/>
              </w:rPr>
            </w:pPr>
            <w:r w:rsidRPr="00185666">
              <w:rPr>
                <w:rFonts w:cs="Arial"/>
                <w:b/>
                <w:bCs/>
                <w:kern w:val="36"/>
                <w:sz w:val="22"/>
                <w:szCs w:val="22"/>
                <w:lang w:val="pt-BR"/>
              </w:rPr>
              <w:t>REFERÊNCIAS</w:t>
            </w:r>
          </w:p>
        </w:tc>
        <w:tc>
          <w:tcPr>
            <w:tcW w:w="1152" w:type="dxa"/>
          </w:tcPr>
          <w:p w14:paraId="4C3CDBBA" w14:textId="77777777" w:rsidR="00185666" w:rsidRPr="00185666" w:rsidRDefault="00185666" w:rsidP="00185666">
            <w:pPr>
              <w:spacing w:before="60" w:after="60"/>
              <w:jc w:val="center"/>
              <w:rPr>
                <w:rFonts w:cs="Arial"/>
                <w:b/>
                <w:bCs/>
                <w:kern w:val="36"/>
                <w:sz w:val="22"/>
                <w:szCs w:val="22"/>
                <w:lang w:val="pt-BR"/>
              </w:rPr>
            </w:pPr>
          </w:p>
        </w:tc>
      </w:tr>
      <w:tr w:rsidR="00185666" w:rsidRPr="00185666" w14:paraId="09A13685" w14:textId="77777777" w:rsidTr="00B43D76">
        <w:tc>
          <w:tcPr>
            <w:tcW w:w="7920" w:type="dxa"/>
          </w:tcPr>
          <w:p w14:paraId="30A9EEC7" w14:textId="77777777" w:rsidR="00185666" w:rsidRPr="00185666" w:rsidRDefault="00185666" w:rsidP="00185666">
            <w:pPr>
              <w:spacing w:before="60" w:after="60"/>
              <w:jc w:val="left"/>
              <w:rPr>
                <w:rFonts w:cs="Arial"/>
                <w:b/>
                <w:bCs/>
                <w:kern w:val="36"/>
                <w:sz w:val="22"/>
                <w:szCs w:val="22"/>
                <w:lang w:val="pt-BR"/>
              </w:rPr>
            </w:pPr>
            <w:r w:rsidRPr="00185666">
              <w:rPr>
                <w:rFonts w:cs="Arial"/>
                <w:b/>
                <w:bCs/>
                <w:kern w:val="36"/>
                <w:sz w:val="22"/>
                <w:szCs w:val="22"/>
                <w:lang w:val="pt-BR"/>
              </w:rPr>
              <w:t>ANTECEDENTES</w:t>
            </w:r>
          </w:p>
        </w:tc>
        <w:tc>
          <w:tcPr>
            <w:tcW w:w="1152" w:type="dxa"/>
          </w:tcPr>
          <w:p w14:paraId="023A176C" w14:textId="77777777" w:rsidR="00185666" w:rsidRPr="00185666" w:rsidRDefault="00185666" w:rsidP="00185666">
            <w:pPr>
              <w:spacing w:before="60" w:after="60"/>
              <w:jc w:val="center"/>
              <w:rPr>
                <w:rFonts w:cs="Arial"/>
                <w:b/>
                <w:bCs/>
                <w:kern w:val="36"/>
                <w:sz w:val="22"/>
                <w:szCs w:val="22"/>
                <w:lang w:val="pt-BR"/>
              </w:rPr>
            </w:pPr>
            <w:r w:rsidRPr="00185666">
              <w:rPr>
                <w:rFonts w:cs="Arial"/>
                <w:b/>
                <w:bCs/>
                <w:kern w:val="36"/>
                <w:sz w:val="22"/>
                <w:szCs w:val="22"/>
                <w:lang w:val="pt-BR"/>
              </w:rPr>
              <w:t>1 – 5</w:t>
            </w:r>
          </w:p>
        </w:tc>
      </w:tr>
      <w:tr w:rsidR="00185666" w:rsidRPr="00185666" w14:paraId="2A5FA901" w14:textId="77777777" w:rsidTr="00B43D76">
        <w:tc>
          <w:tcPr>
            <w:tcW w:w="7920" w:type="dxa"/>
          </w:tcPr>
          <w:p w14:paraId="08B54D36" w14:textId="77777777" w:rsidR="00185666" w:rsidRPr="00185666" w:rsidRDefault="00185666" w:rsidP="00185666">
            <w:pPr>
              <w:spacing w:before="60" w:after="60"/>
              <w:jc w:val="left"/>
              <w:rPr>
                <w:rFonts w:cs="Arial"/>
                <w:b/>
                <w:bCs/>
                <w:kern w:val="36"/>
                <w:sz w:val="22"/>
                <w:szCs w:val="22"/>
                <w:lang w:val="pt-BR"/>
              </w:rPr>
            </w:pPr>
            <w:r w:rsidRPr="00185666">
              <w:rPr>
                <w:rFonts w:cs="Arial"/>
                <w:b/>
                <w:bCs/>
                <w:kern w:val="36"/>
                <w:sz w:val="22"/>
                <w:szCs w:val="22"/>
                <w:lang w:val="pt-BR"/>
              </w:rPr>
              <w:t>ALCANCE</w:t>
            </w:r>
          </w:p>
        </w:tc>
        <w:tc>
          <w:tcPr>
            <w:tcW w:w="1152" w:type="dxa"/>
          </w:tcPr>
          <w:p w14:paraId="2E5FC043" w14:textId="77777777" w:rsidR="00185666" w:rsidRPr="00185666" w:rsidRDefault="00185666" w:rsidP="00185666">
            <w:pPr>
              <w:spacing w:before="60" w:after="60"/>
              <w:jc w:val="center"/>
              <w:rPr>
                <w:rFonts w:cs="Arial"/>
                <w:b/>
                <w:bCs/>
                <w:kern w:val="36"/>
                <w:sz w:val="22"/>
                <w:szCs w:val="22"/>
                <w:lang w:val="pt-BR"/>
              </w:rPr>
            </w:pPr>
            <w:r w:rsidRPr="00185666">
              <w:rPr>
                <w:rFonts w:cs="Arial"/>
                <w:b/>
                <w:bCs/>
                <w:kern w:val="36"/>
                <w:sz w:val="22"/>
                <w:szCs w:val="22"/>
                <w:lang w:val="pt-BR"/>
              </w:rPr>
              <w:t>6</w:t>
            </w:r>
          </w:p>
        </w:tc>
      </w:tr>
      <w:tr w:rsidR="00185666" w:rsidRPr="00185666" w14:paraId="2E52D8CA" w14:textId="77777777" w:rsidTr="00B43D76">
        <w:tc>
          <w:tcPr>
            <w:tcW w:w="7920" w:type="dxa"/>
          </w:tcPr>
          <w:p w14:paraId="32E35611" w14:textId="77777777" w:rsidR="00185666" w:rsidRPr="00185666" w:rsidRDefault="00185666" w:rsidP="00185666">
            <w:pPr>
              <w:spacing w:before="60" w:after="60"/>
              <w:jc w:val="left"/>
              <w:rPr>
                <w:rFonts w:cs="Arial"/>
                <w:b/>
                <w:bCs/>
                <w:kern w:val="36"/>
                <w:sz w:val="22"/>
                <w:szCs w:val="22"/>
                <w:lang w:val="pt-BR"/>
              </w:rPr>
            </w:pPr>
            <w:r w:rsidRPr="00185666">
              <w:rPr>
                <w:rFonts w:cs="Arial"/>
                <w:b/>
                <w:bCs/>
                <w:kern w:val="36"/>
                <w:sz w:val="22"/>
                <w:szCs w:val="22"/>
                <w:lang w:val="pt-BR"/>
              </w:rPr>
              <w:t>ASSUNTOS TRATADOS</w:t>
            </w:r>
          </w:p>
        </w:tc>
        <w:tc>
          <w:tcPr>
            <w:tcW w:w="1152" w:type="dxa"/>
          </w:tcPr>
          <w:p w14:paraId="5669A7AF" w14:textId="77777777" w:rsidR="00185666" w:rsidRPr="00185666" w:rsidRDefault="00185666" w:rsidP="00185666">
            <w:pPr>
              <w:spacing w:before="60" w:after="60"/>
              <w:jc w:val="center"/>
              <w:rPr>
                <w:rFonts w:cs="Arial"/>
                <w:b/>
                <w:bCs/>
                <w:kern w:val="36"/>
                <w:sz w:val="22"/>
                <w:szCs w:val="22"/>
                <w:lang w:val="pt-BR"/>
              </w:rPr>
            </w:pPr>
            <w:r w:rsidRPr="00185666">
              <w:rPr>
                <w:rFonts w:cs="Arial"/>
                <w:b/>
                <w:bCs/>
                <w:kern w:val="36"/>
                <w:sz w:val="22"/>
                <w:szCs w:val="22"/>
                <w:lang w:val="pt-BR"/>
              </w:rPr>
              <w:t>7</w:t>
            </w:r>
          </w:p>
        </w:tc>
      </w:tr>
      <w:tr w:rsidR="00185666" w:rsidRPr="00185666" w14:paraId="54DA0B0B" w14:textId="77777777" w:rsidTr="00B43D76">
        <w:tc>
          <w:tcPr>
            <w:tcW w:w="7920" w:type="dxa"/>
          </w:tcPr>
          <w:p w14:paraId="3B538CA8" w14:textId="77777777" w:rsidR="00185666" w:rsidRPr="00185666" w:rsidRDefault="00185666" w:rsidP="00185666">
            <w:pPr>
              <w:spacing w:before="60" w:after="60"/>
              <w:jc w:val="left"/>
              <w:rPr>
                <w:rFonts w:cs="Arial"/>
                <w:b/>
                <w:bCs/>
                <w:kern w:val="36"/>
                <w:sz w:val="22"/>
                <w:szCs w:val="22"/>
                <w:lang w:val="pt-BR"/>
              </w:rPr>
            </w:pPr>
            <w:r w:rsidRPr="00185666">
              <w:rPr>
                <w:rFonts w:cs="Arial"/>
                <w:b/>
                <w:bCs/>
                <w:kern w:val="36"/>
                <w:sz w:val="22"/>
                <w:szCs w:val="22"/>
                <w:lang w:val="pt-BR"/>
              </w:rPr>
              <w:t>CONSENSO</w:t>
            </w:r>
          </w:p>
        </w:tc>
        <w:tc>
          <w:tcPr>
            <w:tcW w:w="1152" w:type="dxa"/>
          </w:tcPr>
          <w:p w14:paraId="0F47E99E" w14:textId="77777777" w:rsidR="00185666" w:rsidRPr="00185666" w:rsidRDefault="00185666" w:rsidP="00185666">
            <w:pPr>
              <w:spacing w:before="60" w:after="60"/>
              <w:jc w:val="center"/>
              <w:rPr>
                <w:rFonts w:cs="Arial"/>
                <w:b/>
                <w:bCs/>
                <w:kern w:val="36"/>
                <w:sz w:val="22"/>
                <w:szCs w:val="22"/>
                <w:lang w:val="pt-BR"/>
              </w:rPr>
            </w:pPr>
            <w:r w:rsidRPr="00185666">
              <w:rPr>
                <w:rFonts w:cs="Arial"/>
                <w:b/>
                <w:bCs/>
                <w:kern w:val="36"/>
                <w:sz w:val="22"/>
                <w:szCs w:val="22"/>
                <w:lang w:val="pt-BR"/>
              </w:rPr>
              <w:t>8 – 16</w:t>
            </w:r>
          </w:p>
        </w:tc>
      </w:tr>
      <w:tr w:rsidR="00185666" w:rsidRPr="00185666" w14:paraId="0E37F6F8" w14:textId="77777777" w:rsidTr="00B43D76">
        <w:tc>
          <w:tcPr>
            <w:tcW w:w="7920" w:type="dxa"/>
          </w:tcPr>
          <w:p w14:paraId="4BE68B1F" w14:textId="77777777" w:rsidR="00185666" w:rsidRPr="00185666" w:rsidRDefault="00185666" w:rsidP="00185666">
            <w:pPr>
              <w:widowControl w:val="0"/>
              <w:tabs>
                <w:tab w:val="left" w:pos="709"/>
              </w:tabs>
              <w:spacing w:before="60" w:after="60"/>
              <w:rPr>
                <w:rFonts w:cs="Arial"/>
                <w:b/>
                <w:sz w:val="22"/>
                <w:szCs w:val="22"/>
              </w:rPr>
            </w:pPr>
            <w:r w:rsidRPr="00185666">
              <w:rPr>
                <w:rFonts w:cs="Arial"/>
                <w:b/>
                <w:sz w:val="22"/>
                <w:szCs w:val="22"/>
              </w:rPr>
              <w:t>Reconhecimento dos custos de remoção na fase produtiva como ativo</w:t>
            </w:r>
          </w:p>
        </w:tc>
        <w:tc>
          <w:tcPr>
            <w:tcW w:w="1152" w:type="dxa"/>
          </w:tcPr>
          <w:p w14:paraId="66741434" w14:textId="77777777" w:rsidR="00185666" w:rsidRPr="00185666" w:rsidRDefault="00185666" w:rsidP="00185666">
            <w:pPr>
              <w:spacing w:before="60" w:after="60"/>
              <w:jc w:val="center"/>
              <w:rPr>
                <w:rFonts w:cs="Arial"/>
                <w:b/>
                <w:bCs/>
                <w:kern w:val="36"/>
                <w:sz w:val="22"/>
                <w:szCs w:val="22"/>
              </w:rPr>
            </w:pPr>
            <w:r w:rsidRPr="00185666">
              <w:rPr>
                <w:rFonts w:cs="Arial"/>
                <w:b/>
                <w:bCs/>
                <w:kern w:val="36"/>
                <w:sz w:val="22"/>
                <w:szCs w:val="22"/>
              </w:rPr>
              <w:t>8 – 11</w:t>
            </w:r>
          </w:p>
        </w:tc>
      </w:tr>
      <w:tr w:rsidR="00185666" w:rsidRPr="00185666" w14:paraId="53DB65C7" w14:textId="77777777" w:rsidTr="00B43D76">
        <w:tc>
          <w:tcPr>
            <w:tcW w:w="7920" w:type="dxa"/>
          </w:tcPr>
          <w:p w14:paraId="140A4709" w14:textId="77777777" w:rsidR="00185666" w:rsidRPr="00185666" w:rsidRDefault="00185666" w:rsidP="00185666">
            <w:pPr>
              <w:widowControl w:val="0"/>
              <w:tabs>
                <w:tab w:val="left" w:pos="0"/>
              </w:tabs>
              <w:spacing w:before="60" w:after="60"/>
              <w:rPr>
                <w:rFonts w:cs="Arial"/>
                <w:b/>
                <w:sz w:val="22"/>
                <w:szCs w:val="22"/>
              </w:rPr>
            </w:pPr>
            <w:r w:rsidRPr="00185666">
              <w:rPr>
                <w:rFonts w:cs="Arial"/>
                <w:b/>
                <w:sz w:val="22"/>
                <w:szCs w:val="22"/>
                <w:lang w:val="pt-BR"/>
              </w:rPr>
              <w:t>M</w:t>
            </w:r>
            <w:r w:rsidRPr="00185666">
              <w:rPr>
                <w:rFonts w:cs="Arial"/>
                <w:b/>
                <w:sz w:val="22"/>
                <w:szCs w:val="22"/>
              </w:rPr>
              <w:t>ensuração inicial do ativo advindo da atividade de remoção de estéril</w:t>
            </w:r>
          </w:p>
        </w:tc>
        <w:tc>
          <w:tcPr>
            <w:tcW w:w="1152" w:type="dxa"/>
          </w:tcPr>
          <w:p w14:paraId="6953EDEC" w14:textId="77777777" w:rsidR="00185666" w:rsidRPr="00185666" w:rsidRDefault="00185666" w:rsidP="00185666">
            <w:pPr>
              <w:spacing w:before="60" w:after="60"/>
              <w:jc w:val="center"/>
              <w:rPr>
                <w:rFonts w:cs="Arial"/>
                <w:b/>
                <w:bCs/>
                <w:kern w:val="36"/>
                <w:sz w:val="22"/>
                <w:szCs w:val="22"/>
              </w:rPr>
            </w:pPr>
            <w:r w:rsidRPr="00185666">
              <w:rPr>
                <w:rFonts w:cs="Arial"/>
                <w:b/>
                <w:bCs/>
                <w:kern w:val="36"/>
                <w:sz w:val="22"/>
                <w:szCs w:val="22"/>
              </w:rPr>
              <w:t>12 – 13</w:t>
            </w:r>
          </w:p>
        </w:tc>
      </w:tr>
      <w:tr w:rsidR="00185666" w:rsidRPr="00185666" w14:paraId="42EE4FDB" w14:textId="77777777" w:rsidTr="00B43D76">
        <w:tc>
          <w:tcPr>
            <w:tcW w:w="7920" w:type="dxa"/>
          </w:tcPr>
          <w:p w14:paraId="22DC647A" w14:textId="77777777" w:rsidR="00185666" w:rsidRPr="00185666" w:rsidRDefault="00185666" w:rsidP="00185666">
            <w:pPr>
              <w:widowControl w:val="0"/>
              <w:tabs>
                <w:tab w:val="left" w:pos="0"/>
              </w:tabs>
              <w:spacing w:before="60" w:after="60"/>
              <w:rPr>
                <w:rFonts w:cs="Arial"/>
                <w:b/>
                <w:sz w:val="22"/>
                <w:szCs w:val="22"/>
              </w:rPr>
            </w:pPr>
            <w:r w:rsidRPr="00185666">
              <w:rPr>
                <w:rFonts w:cs="Arial"/>
                <w:b/>
                <w:sz w:val="22"/>
                <w:szCs w:val="22"/>
              </w:rPr>
              <w:t>Mensuração subsequente do ativo advindo da atividade de remoção</w:t>
            </w:r>
          </w:p>
        </w:tc>
        <w:tc>
          <w:tcPr>
            <w:tcW w:w="1152" w:type="dxa"/>
          </w:tcPr>
          <w:p w14:paraId="7C076659" w14:textId="77777777" w:rsidR="00185666" w:rsidRPr="00185666" w:rsidRDefault="00185666" w:rsidP="00185666">
            <w:pPr>
              <w:spacing w:before="60" w:after="60"/>
              <w:jc w:val="center"/>
              <w:rPr>
                <w:rFonts w:cs="Arial"/>
                <w:b/>
                <w:bCs/>
                <w:kern w:val="36"/>
                <w:sz w:val="22"/>
                <w:szCs w:val="22"/>
              </w:rPr>
            </w:pPr>
            <w:r w:rsidRPr="00185666">
              <w:rPr>
                <w:rFonts w:cs="Arial"/>
                <w:b/>
                <w:bCs/>
                <w:kern w:val="36"/>
                <w:sz w:val="22"/>
                <w:szCs w:val="22"/>
              </w:rPr>
              <w:t>14 – 16</w:t>
            </w:r>
          </w:p>
        </w:tc>
      </w:tr>
      <w:tr w:rsidR="00185666" w:rsidRPr="00185666" w14:paraId="0C4B2C35" w14:textId="77777777" w:rsidTr="00B43D76">
        <w:tc>
          <w:tcPr>
            <w:tcW w:w="7920" w:type="dxa"/>
          </w:tcPr>
          <w:p w14:paraId="4B7A5136" w14:textId="77777777" w:rsidR="00185666" w:rsidRPr="00185666" w:rsidRDefault="00185666" w:rsidP="00185666">
            <w:pPr>
              <w:spacing w:before="60" w:after="60"/>
              <w:jc w:val="left"/>
              <w:rPr>
                <w:rFonts w:cs="Arial"/>
                <w:b/>
                <w:bCs/>
                <w:kern w:val="36"/>
                <w:sz w:val="22"/>
                <w:szCs w:val="22"/>
                <w:lang w:val="pt-BR"/>
              </w:rPr>
            </w:pPr>
            <w:r w:rsidRPr="00185666">
              <w:rPr>
                <w:rFonts w:cs="Arial"/>
                <w:b/>
                <w:bCs/>
                <w:kern w:val="36"/>
                <w:sz w:val="22"/>
                <w:szCs w:val="22"/>
                <w:lang w:val="pt-BR"/>
              </w:rPr>
              <w:t>APÊNDICE A – DISPOSIÇÕES TRANSITÓRIAS</w:t>
            </w:r>
          </w:p>
        </w:tc>
        <w:tc>
          <w:tcPr>
            <w:tcW w:w="1152" w:type="dxa"/>
          </w:tcPr>
          <w:p w14:paraId="2E8A577D" w14:textId="77777777" w:rsidR="00185666" w:rsidRPr="00185666" w:rsidRDefault="00185666" w:rsidP="00185666">
            <w:pPr>
              <w:spacing w:before="60" w:after="60"/>
              <w:jc w:val="center"/>
              <w:rPr>
                <w:rFonts w:cs="Arial"/>
                <w:b/>
                <w:bCs/>
                <w:kern w:val="36"/>
                <w:sz w:val="22"/>
                <w:szCs w:val="22"/>
                <w:lang w:val="pt-BR"/>
              </w:rPr>
            </w:pPr>
          </w:p>
        </w:tc>
      </w:tr>
    </w:tbl>
    <w:p w14:paraId="3AEB9FE8" w14:textId="77777777" w:rsidR="00185666" w:rsidRPr="00185666" w:rsidRDefault="00185666" w:rsidP="00185666">
      <w:pPr>
        <w:widowControl w:val="0"/>
        <w:tabs>
          <w:tab w:val="left" w:pos="6804"/>
        </w:tabs>
        <w:spacing w:before="0" w:after="0"/>
        <w:ind w:left="57" w:right="57"/>
        <w:rPr>
          <w:rFonts w:cs="Arial"/>
          <w:b/>
          <w:sz w:val="22"/>
          <w:szCs w:val="22"/>
          <w:lang w:val="pt-BR"/>
        </w:rPr>
      </w:pPr>
    </w:p>
    <w:p w14:paraId="7C625906" w14:textId="77777777" w:rsidR="00185666" w:rsidRPr="00185666" w:rsidRDefault="00185666" w:rsidP="00185666">
      <w:pPr>
        <w:widowControl w:val="0"/>
        <w:tabs>
          <w:tab w:val="left" w:pos="8755"/>
        </w:tabs>
        <w:spacing w:before="0" w:after="0"/>
        <w:ind w:left="57" w:right="57"/>
        <w:rPr>
          <w:rFonts w:cs="Arial"/>
          <w:b/>
          <w:sz w:val="22"/>
          <w:szCs w:val="22"/>
          <w:lang w:val="pt-BR"/>
        </w:rPr>
      </w:pPr>
      <w:r w:rsidRPr="00185666">
        <w:rPr>
          <w:rFonts w:cs="Arial"/>
          <w:b/>
          <w:sz w:val="22"/>
          <w:szCs w:val="22"/>
          <w:lang w:val="pt-BR"/>
        </w:rPr>
        <w:tab/>
      </w:r>
    </w:p>
    <w:p w14:paraId="2FA826DF" w14:textId="424DE1E0" w:rsidR="00185666" w:rsidRDefault="00185666" w:rsidP="00185666">
      <w:pPr>
        <w:widowControl w:val="0"/>
        <w:tabs>
          <w:tab w:val="left" w:pos="6804"/>
        </w:tabs>
        <w:spacing w:before="0" w:after="0"/>
        <w:ind w:right="57"/>
        <w:rPr>
          <w:rFonts w:cs="Arial"/>
          <w:b/>
          <w:sz w:val="22"/>
          <w:szCs w:val="22"/>
          <w:lang w:val="pt-BR"/>
        </w:rPr>
      </w:pPr>
    </w:p>
    <w:p w14:paraId="63FE41E6" w14:textId="6EEDB0E5" w:rsidR="00185666" w:rsidRPr="00185666" w:rsidRDefault="00185666" w:rsidP="00185666">
      <w:pPr>
        <w:widowControl w:val="0"/>
        <w:tabs>
          <w:tab w:val="left" w:pos="6804"/>
        </w:tabs>
        <w:spacing w:before="0" w:after="0"/>
        <w:ind w:right="57"/>
        <w:rPr>
          <w:rFonts w:cs="Arial"/>
          <w:b/>
          <w:sz w:val="22"/>
          <w:szCs w:val="22"/>
          <w:lang w:val="pt-BR"/>
        </w:rPr>
      </w:pPr>
      <w:r w:rsidRPr="00185666">
        <w:rPr>
          <w:rFonts w:cs="Arial"/>
          <w:b/>
          <w:sz w:val="22"/>
          <w:szCs w:val="22"/>
          <w:lang w:val="pt-BR"/>
        </w:rPr>
        <w:t>Referências:</w:t>
      </w:r>
    </w:p>
    <w:p w14:paraId="2C33052C" w14:textId="77777777" w:rsidR="00185666" w:rsidRPr="00185666" w:rsidRDefault="00185666" w:rsidP="00185666">
      <w:pPr>
        <w:widowControl w:val="0"/>
        <w:tabs>
          <w:tab w:val="left" w:pos="6804"/>
        </w:tabs>
        <w:spacing w:before="0" w:after="0"/>
        <w:ind w:left="567" w:right="57" w:hanging="567"/>
        <w:rPr>
          <w:rFonts w:cs="Arial"/>
          <w:iCs/>
          <w:spacing w:val="-8"/>
          <w:sz w:val="22"/>
          <w:szCs w:val="22"/>
          <w:lang w:val="pt-BR"/>
        </w:rPr>
      </w:pPr>
    </w:p>
    <w:p w14:paraId="6DCB09EF" w14:textId="6B03D4BB" w:rsidR="00185666" w:rsidRPr="00185666" w:rsidRDefault="00185666" w:rsidP="00185666">
      <w:pPr>
        <w:widowControl w:val="0"/>
        <w:tabs>
          <w:tab w:val="left" w:pos="6804"/>
        </w:tabs>
        <w:spacing w:before="0" w:after="0"/>
        <w:ind w:left="567" w:right="57" w:hanging="567"/>
        <w:rPr>
          <w:rFonts w:cs="Arial"/>
          <w:sz w:val="22"/>
          <w:szCs w:val="22"/>
          <w:lang w:val="pt-BR"/>
        </w:rPr>
      </w:pPr>
      <w:r w:rsidRPr="00185666">
        <w:rPr>
          <w:rFonts w:cs="Arial"/>
          <w:sz w:val="22"/>
          <w:szCs w:val="22"/>
        </w:rPr>
        <w:tab/>
        <w:t xml:space="preserve">CPC 00 – Estrutura Conceitual para Relatório Financeiro </w:t>
      </w:r>
    </w:p>
    <w:p w14:paraId="21490937" w14:textId="77777777" w:rsidR="00185666" w:rsidRPr="00185666" w:rsidRDefault="00185666" w:rsidP="00185666">
      <w:pPr>
        <w:widowControl w:val="0"/>
        <w:tabs>
          <w:tab w:val="left" w:pos="6804"/>
        </w:tabs>
        <w:spacing w:before="0" w:after="0"/>
        <w:ind w:left="567" w:right="57" w:hanging="567"/>
        <w:rPr>
          <w:rFonts w:cs="Arial"/>
          <w:sz w:val="22"/>
          <w:szCs w:val="22"/>
          <w:lang w:val="pt-BR"/>
        </w:rPr>
      </w:pPr>
      <w:r w:rsidRPr="00185666">
        <w:rPr>
          <w:rFonts w:cs="Arial"/>
          <w:sz w:val="22"/>
          <w:szCs w:val="22"/>
          <w:lang w:val="pt-BR"/>
        </w:rPr>
        <w:tab/>
        <w:t>CPC 04 – Ativo Intangível</w:t>
      </w:r>
    </w:p>
    <w:p w14:paraId="09F35255" w14:textId="77777777" w:rsidR="00185666" w:rsidRPr="00185666" w:rsidRDefault="00185666" w:rsidP="00185666">
      <w:pPr>
        <w:widowControl w:val="0"/>
        <w:tabs>
          <w:tab w:val="left" w:pos="6804"/>
        </w:tabs>
        <w:spacing w:before="0" w:after="0"/>
        <w:ind w:left="567" w:right="57" w:hanging="567"/>
        <w:rPr>
          <w:rFonts w:cs="Arial"/>
          <w:sz w:val="22"/>
          <w:szCs w:val="22"/>
          <w:lang w:val="pt-BR"/>
        </w:rPr>
      </w:pPr>
      <w:r w:rsidRPr="00185666">
        <w:rPr>
          <w:rFonts w:cs="Arial"/>
          <w:sz w:val="22"/>
          <w:szCs w:val="22"/>
          <w:lang w:val="pt-BR"/>
        </w:rPr>
        <w:tab/>
        <w:t>CPC 16 – Estoques</w:t>
      </w:r>
    </w:p>
    <w:p w14:paraId="56AA4811" w14:textId="77777777" w:rsidR="00185666" w:rsidRPr="00185666" w:rsidRDefault="00185666" w:rsidP="00185666">
      <w:pPr>
        <w:widowControl w:val="0"/>
        <w:tabs>
          <w:tab w:val="left" w:pos="6804"/>
        </w:tabs>
        <w:spacing w:before="0" w:after="0"/>
        <w:ind w:left="567" w:right="57" w:hanging="567"/>
        <w:rPr>
          <w:rFonts w:cs="Arial"/>
          <w:sz w:val="22"/>
          <w:szCs w:val="22"/>
          <w:lang w:val="pt-BR"/>
        </w:rPr>
      </w:pPr>
      <w:r w:rsidRPr="00185666">
        <w:rPr>
          <w:rFonts w:cs="Arial"/>
          <w:sz w:val="22"/>
          <w:szCs w:val="22"/>
          <w:lang w:val="pt-BR"/>
        </w:rPr>
        <w:tab/>
        <w:t>CPC 26 – Apresentação das Demonstrações Contábeis</w:t>
      </w:r>
    </w:p>
    <w:p w14:paraId="5D9B8F10" w14:textId="77777777" w:rsidR="00185666" w:rsidRPr="00185666" w:rsidRDefault="00185666" w:rsidP="00185666">
      <w:pPr>
        <w:widowControl w:val="0"/>
        <w:tabs>
          <w:tab w:val="left" w:pos="6804"/>
        </w:tabs>
        <w:spacing w:before="0" w:after="0"/>
        <w:ind w:left="567" w:hanging="567"/>
        <w:rPr>
          <w:rFonts w:cs="Arial"/>
          <w:sz w:val="22"/>
          <w:szCs w:val="22"/>
          <w:lang w:val="pt-BR"/>
        </w:rPr>
      </w:pPr>
      <w:r w:rsidRPr="00185666">
        <w:rPr>
          <w:rFonts w:cs="Arial"/>
          <w:sz w:val="22"/>
          <w:szCs w:val="22"/>
          <w:lang w:val="pt-BR"/>
        </w:rPr>
        <w:tab/>
        <w:t>CPC 27 – Ativo Imobilizado</w:t>
      </w:r>
    </w:p>
    <w:p w14:paraId="33CC3F51" w14:textId="77777777" w:rsidR="00185666" w:rsidRPr="00185666" w:rsidRDefault="00185666" w:rsidP="00185666">
      <w:pPr>
        <w:widowControl w:val="0"/>
        <w:tabs>
          <w:tab w:val="left" w:pos="6804"/>
        </w:tabs>
        <w:spacing w:before="0" w:after="0"/>
        <w:rPr>
          <w:rFonts w:cs="Arial"/>
          <w:b/>
          <w:sz w:val="22"/>
          <w:szCs w:val="22"/>
          <w:lang w:val="pt-BR"/>
        </w:rPr>
      </w:pPr>
    </w:p>
    <w:p w14:paraId="4D138C45" w14:textId="77777777" w:rsidR="00F56594" w:rsidRDefault="00F56594">
      <w:pPr>
        <w:spacing w:before="0" w:after="160" w:line="259" w:lineRule="auto"/>
        <w:jc w:val="left"/>
        <w:rPr>
          <w:rFonts w:cs="Arial"/>
          <w:b/>
          <w:sz w:val="22"/>
          <w:szCs w:val="22"/>
          <w:lang w:val="pt-BR"/>
        </w:rPr>
      </w:pPr>
      <w:r>
        <w:rPr>
          <w:rFonts w:cs="Arial"/>
          <w:b/>
          <w:sz w:val="22"/>
          <w:szCs w:val="22"/>
          <w:lang w:val="pt-BR"/>
        </w:rPr>
        <w:br w:type="page"/>
      </w:r>
    </w:p>
    <w:p w14:paraId="3DA5CC7C" w14:textId="40DF2ECF" w:rsidR="00185666" w:rsidRPr="00185666" w:rsidRDefault="00185666" w:rsidP="00185666">
      <w:pPr>
        <w:widowControl w:val="0"/>
        <w:tabs>
          <w:tab w:val="left" w:pos="6804"/>
        </w:tabs>
        <w:spacing w:before="0" w:after="0"/>
        <w:rPr>
          <w:rFonts w:cs="Arial"/>
          <w:b/>
          <w:sz w:val="22"/>
          <w:szCs w:val="22"/>
          <w:lang w:val="pt-BR"/>
        </w:rPr>
      </w:pPr>
      <w:r w:rsidRPr="00185666">
        <w:rPr>
          <w:rFonts w:cs="Arial"/>
          <w:b/>
          <w:sz w:val="22"/>
          <w:szCs w:val="22"/>
          <w:lang w:val="pt-BR"/>
        </w:rPr>
        <w:lastRenderedPageBreak/>
        <w:t>Antecedentes</w:t>
      </w:r>
    </w:p>
    <w:p w14:paraId="1CA28485" w14:textId="77777777" w:rsidR="00185666" w:rsidRPr="00185666" w:rsidRDefault="00185666" w:rsidP="00185666">
      <w:pPr>
        <w:widowControl w:val="0"/>
        <w:tabs>
          <w:tab w:val="left" w:pos="709"/>
        </w:tabs>
        <w:spacing w:before="0" w:after="0"/>
        <w:ind w:left="62"/>
        <w:rPr>
          <w:rFonts w:cs="Arial"/>
          <w:sz w:val="22"/>
          <w:szCs w:val="22"/>
        </w:rPr>
      </w:pPr>
    </w:p>
    <w:p w14:paraId="21C2A322" w14:textId="77777777" w:rsidR="00185666" w:rsidRPr="00185666" w:rsidRDefault="00185666" w:rsidP="00185666">
      <w:pPr>
        <w:widowControl w:val="0"/>
        <w:numPr>
          <w:ilvl w:val="0"/>
          <w:numId w:val="2"/>
        </w:numPr>
        <w:tabs>
          <w:tab w:val="left" w:pos="567"/>
        </w:tabs>
        <w:spacing w:before="0" w:after="0"/>
        <w:ind w:left="567" w:hanging="567"/>
        <w:rPr>
          <w:rFonts w:cs="Arial"/>
          <w:sz w:val="22"/>
          <w:szCs w:val="22"/>
        </w:rPr>
      </w:pPr>
      <w:r w:rsidRPr="00185666">
        <w:rPr>
          <w:rFonts w:cs="Arial"/>
          <w:sz w:val="22"/>
          <w:szCs w:val="22"/>
        </w:rPr>
        <w:t>Nas operações das minas de superfície, as entidades podem julgar necessária a remoção de resíduos minerários (“remoção de estéril”) para obterem acesso às jazidas de minério. Essa atividade de remoção de resíduos minerários é denominada “remoção de  estéril” (</w:t>
      </w:r>
      <w:r w:rsidRPr="00185666">
        <w:rPr>
          <w:rFonts w:cs="Arial"/>
          <w:i/>
          <w:sz w:val="22"/>
          <w:szCs w:val="22"/>
        </w:rPr>
        <w:t>stripping</w:t>
      </w:r>
      <w:r w:rsidRPr="00185666">
        <w:rPr>
          <w:rFonts w:cs="Arial"/>
          <w:sz w:val="22"/>
          <w:szCs w:val="22"/>
        </w:rPr>
        <w:t>).</w:t>
      </w:r>
    </w:p>
    <w:p w14:paraId="42F90766" w14:textId="77777777" w:rsidR="00185666" w:rsidRPr="00185666" w:rsidRDefault="00185666" w:rsidP="00185666">
      <w:pPr>
        <w:widowControl w:val="0"/>
        <w:tabs>
          <w:tab w:val="left" w:pos="8295"/>
        </w:tabs>
        <w:spacing w:before="0" w:after="0"/>
        <w:ind w:left="336"/>
        <w:rPr>
          <w:rFonts w:cs="Arial"/>
          <w:sz w:val="22"/>
          <w:szCs w:val="22"/>
        </w:rPr>
      </w:pPr>
    </w:p>
    <w:p w14:paraId="669DA8CC" w14:textId="77777777" w:rsidR="00185666" w:rsidRPr="00185666" w:rsidRDefault="00185666" w:rsidP="00185666">
      <w:pPr>
        <w:widowControl w:val="0"/>
        <w:numPr>
          <w:ilvl w:val="0"/>
          <w:numId w:val="2"/>
        </w:numPr>
        <w:tabs>
          <w:tab w:val="left" w:pos="567"/>
        </w:tabs>
        <w:spacing w:before="0" w:after="0"/>
        <w:ind w:left="567" w:hanging="567"/>
        <w:rPr>
          <w:rFonts w:cs="Arial"/>
          <w:sz w:val="22"/>
          <w:szCs w:val="22"/>
        </w:rPr>
      </w:pPr>
      <w:r w:rsidRPr="00185666">
        <w:rPr>
          <w:rFonts w:cs="Arial"/>
          <w:sz w:val="22"/>
          <w:szCs w:val="22"/>
        </w:rPr>
        <w:t>Durante a fase de desenvolvimento da mina (antes que a produção tenha início), os custos de remoção de estéreis e outros resíduos minerários  – custos de remoção – são usualmente capitalizados como parte do custo depreciável de instalação, desenvolvimento e construção da mina. Referidos custos capitalizáveis são depreciados ou amortizados em base sistemática, usualmente por meio do método de unidades produzidas (extraídas), a partir do início da produção.</w:t>
      </w:r>
    </w:p>
    <w:p w14:paraId="496184A8" w14:textId="77777777" w:rsidR="00185666" w:rsidRPr="00185666" w:rsidRDefault="00185666" w:rsidP="00185666">
      <w:pPr>
        <w:widowControl w:val="0"/>
        <w:tabs>
          <w:tab w:val="left" w:pos="8295"/>
        </w:tabs>
        <w:spacing w:before="0" w:after="0"/>
        <w:ind w:left="336"/>
        <w:rPr>
          <w:rFonts w:cs="Arial"/>
          <w:sz w:val="22"/>
          <w:szCs w:val="22"/>
        </w:rPr>
      </w:pPr>
    </w:p>
    <w:p w14:paraId="3D2B061C" w14:textId="77777777" w:rsidR="00185666" w:rsidRPr="00185666" w:rsidRDefault="00185666" w:rsidP="00185666">
      <w:pPr>
        <w:widowControl w:val="0"/>
        <w:numPr>
          <w:ilvl w:val="0"/>
          <w:numId w:val="2"/>
        </w:numPr>
        <w:tabs>
          <w:tab w:val="left" w:pos="567"/>
        </w:tabs>
        <w:spacing w:before="0" w:after="0"/>
        <w:ind w:left="567" w:hanging="567"/>
        <w:rPr>
          <w:rFonts w:cs="Arial"/>
          <w:sz w:val="22"/>
          <w:szCs w:val="22"/>
        </w:rPr>
      </w:pPr>
      <w:r w:rsidRPr="00185666">
        <w:rPr>
          <w:rFonts w:cs="Arial"/>
          <w:sz w:val="22"/>
          <w:szCs w:val="22"/>
        </w:rPr>
        <w:t>A entidade mineradora pode continuar a remoção de estéril e a incorrer em custos de remoção durante a fase de produção da mina</w:t>
      </w:r>
      <w:r w:rsidRPr="00185666">
        <w:rPr>
          <w:rFonts w:cs="Arial"/>
          <w:sz w:val="22"/>
          <w:szCs w:val="22"/>
          <w:vertAlign w:val="superscript"/>
        </w:rPr>
        <w:footnoteReference w:id="1"/>
      </w:r>
      <w:r w:rsidRPr="00185666">
        <w:rPr>
          <w:rFonts w:cs="Arial"/>
          <w:sz w:val="22"/>
          <w:szCs w:val="22"/>
        </w:rPr>
        <w:t>.</w:t>
      </w:r>
    </w:p>
    <w:p w14:paraId="36963B49" w14:textId="77777777" w:rsidR="00185666" w:rsidRPr="00185666" w:rsidRDefault="00185666" w:rsidP="00185666">
      <w:pPr>
        <w:widowControl w:val="0"/>
        <w:tabs>
          <w:tab w:val="left" w:pos="567"/>
        </w:tabs>
        <w:spacing w:before="0" w:after="0"/>
        <w:rPr>
          <w:rFonts w:cs="Arial"/>
          <w:sz w:val="22"/>
          <w:szCs w:val="22"/>
        </w:rPr>
      </w:pPr>
    </w:p>
    <w:p w14:paraId="3C6D3490" w14:textId="23D0B05B" w:rsidR="00185666" w:rsidRPr="00185666" w:rsidRDefault="00185666" w:rsidP="00185666">
      <w:pPr>
        <w:widowControl w:val="0"/>
        <w:numPr>
          <w:ilvl w:val="0"/>
          <w:numId w:val="2"/>
        </w:numPr>
        <w:tabs>
          <w:tab w:val="left" w:pos="567"/>
        </w:tabs>
        <w:spacing w:before="0" w:after="0"/>
        <w:ind w:left="567" w:hanging="567"/>
        <w:rPr>
          <w:rFonts w:cs="Arial"/>
          <w:sz w:val="22"/>
          <w:szCs w:val="22"/>
        </w:rPr>
      </w:pPr>
      <w:r w:rsidRPr="66DB1AA2">
        <w:rPr>
          <w:rFonts w:cs="Arial"/>
          <w:sz w:val="22"/>
          <w:szCs w:val="22"/>
        </w:rPr>
        <w:t>O material removido, quando ocorrer a remoção de estéril na fase de produção, não será necessariamente 100% qualificado como de natureza estéril e outros resíduos minerários. Com frequência, o material removido nessa fase será uma combinação de minério e resíduo. A proporção observada entre minério e resíduo no material removido pode variar de baixa avaliação, economicamente não muito interessante, até ótima avaliação, altamente lucrativa. A remoção de material com baixa proporção de minério com relação ao resíduo pode produzir algum material utilizável, o qual pode ser usado na produção dos estoques. Esse processo de remoção pode ainda proporcionar o acesso a níveis mais profundos da jazida, onde pode ser encontrado material com uma proporção maior de minério com relação ao resíduo. Pode haver, portanto, dois benefícios fluindo para a entidade a partir da atividade de remoção de estéril (</w:t>
      </w:r>
      <w:r w:rsidRPr="66DB1AA2">
        <w:rPr>
          <w:rFonts w:cs="Arial"/>
          <w:i/>
          <w:iCs/>
          <w:sz w:val="22"/>
          <w:szCs w:val="22"/>
        </w:rPr>
        <w:t>stripping</w:t>
      </w:r>
      <w:r w:rsidRPr="66DB1AA2">
        <w:rPr>
          <w:rFonts w:cs="Arial"/>
          <w:sz w:val="22"/>
          <w:szCs w:val="22"/>
        </w:rPr>
        <w:t>): minério utilizável que pode ser usado na produção de estoques e melhoria no acesso a quantidades adicionais de minério, a serem extraídas em períodos futuros.</w:t>
      </w:r>
    </w:p>
    <w:p w14:paraId="4486585F" w14:textId="77777777" w:rsidR="00185666" w:rsidRPr="00185666" w:rsidRDefault="00185666" w:rsidP="00185666">
      <w:pPr>
        <w:spacing w:before="0" w:after="0"/>
        <w:ind w:left="708"/>
        <w:rPr>
          <w:rFonts w:cs="Arial"/>
          <w:sz w:val="22"/>
          <w:szCs w:val="22"/>
          <w:lang w:val="pt-BR"/>
        </w:rPr>
      </w:pPr>
    </w:p>
    <w:p w14:paraId="70F9091A" w14:textId="77777777" w:rsidR="00185666" w:rsidRPr="00185666" w:rsidRDefault="00185666" w:rsidP="00185666">
      <w:pPr>
        <w:widowControl w:val="0"/>
        <w:numPr>
          <w:ilvl w:val="0"/>
          <w:numId w:val="2"/>
        </w:numPr>
        <w:tabs>
          <w:tab w:val="left" w:pos="567"/>
        </w:tabs>
        <w:spacing w:before="0" w:after="0"/>
        <w:ind w:left="567" w:hanging="567"/>
        <w:rPr>
          <w:rFonts w:cs="Arial"/>
          <w:sz w:val="22"/>
          <w:szCs w:val="22"/>
        </w:rPr>
      </w:pPr>
      <w:r w:rsidRPr="00185666">
        <w:rPr>
          <w:rFonts w:cs="Arial"/>
          <w:sz w:val="22"/>
          <w:szCs w:val="22"/>
        </w:rPr>
        <w:t>Esta Interpretação orienta quando e como contabilizar separadamente esses dois benefícios advindos da atividade de remoção de estéril (</w:t>
      </w:r>
      <w:r w:rsidRPr="00185666">
        <w:rPr>
          <w:rFonts w:cs="Arial"/>
          <w:i/>
          <w:sz w:val="22"/>
          <w:szCs w:val="22"/>
        </w:rPr>
        <w:t>stripping</w:t>
      </w:r>
      <w:r w:rsidRPr="00185666">
        <w:rPr>
          <w:rFonts w:cs="Arial"/>
          <w:sz w:val="22"/>
          <w:szCs w:val="22"/>
        </w:rPr>
        <w:t>), assim como de que forma esses benefícios devem ser mensurados no momento inicial e no momento subsequente.</w:t>
      </w:r>
    </w:p>
    <w:p w14:paraId="33B5583C" w14:textId="77777777" w:rsidR="008E0833" w:rsidRPr="00185666" w:rsidRDefault="008E0833" w:rsidP="00185666">
      <w:pPr>
        <w:widowControl w:val="0"/>
        <w:tabs>
          <w:tab w:val="left" w:pos="709"/>
        </w:tabs>
        <w:spacing w:before="0" w:after="0"/>
        <w:ind w:left="336"/>
        <w:rPr>
          <w:rFonts w:cs="Arial"/>
          <w:sz w:val="22"/>
          <w:szCs w:val="22"/>
        </w:rPr>
      </w:pPr>
    </w:p>
    <w:p w14:paraId="38DE4F31" w14:textId="77777777" w:rsidR="00185666" w:rsidRPr="00185666" w:rsidRDefault="00185666" w:rsidP="00185666">
      <w:pPr>
        <w:widowControl w:val="0"/>
        <w:tabs>
          <w:tab w:val="left" w:pos="6804"/>
        </w:tabs>
        <w:spacing w:before="0" w:after="0"/>
        <w:rPr>
          <w:rFonts w:cs="Arial"/>
          <w:b/>
          <w:sz w:val="22"/>
          <w:szCs w:val="22"/>
          <w:lang w:val="pt-BR"/>
        </w:rPr>
      </w:pPr>
      <w:r w:rsidRPr="00185666">
        <w:rPr>
          <w:rFonts w:cs="Arial"/>
          <w:b/>
          <w:sz w:val="22"/>
          <w:szCs w:val="22"/>
          <w:lang w:val="pt-BR"/>
        </w:rPr>
        <w:t>Alcance</w:t>
      </w:r>
    </w:p>
    <w:p w14:paraId="4390E52A" w14:textId="77777777" w:rsidR="00185666" w:rsidRPr="00185666" w:rsidRDefault="00185666" w:rsidP="00185666">
      <w:pPr>
        <w:widowControl w:val="0"/>
        <w:tabs>
          <w:tab w:val="left" w:pos="709"/>
        </w:tabs>
        <w:spacing w:before="0" w:after="0"/>
        <w:ind w:left="62"/>
        <w:rPr>
          <w:rFonts w:cs="Arial"/>
          <w:sz w:val="22"/>
          <w:szCs w:val="22"/>
        </w:rPr>
      </w:pPr>
    </w:p>
    <w:p w14:paraId="28B45859" w14:textId="77777777" w:rsidR="00185666" w:rsidRPr="00185666" w:rsidRDefault="00185666" w:rsidP="00A96C40">
      <w:pPr>
        <w:widowControl w:val="0"/>
        <w:numPr>
          <w:ilvl w:val="0"/>
          <w:numId w:val="2"/>
        </w:numPr>
        <w:tabs>
          <w:tab w:val="left" w:pos="567"/>
        </w:tabs>
        <w:spacing w:before="0" w:after="0"/>
        <w:ind w:left="567" w:hanging="567"/>
        <w:rPr>
          <w:rFonts w:cs="Arial"/>
          <w:sz w:val="22"/>
          <w:szCs w:val="22"/>
        </w:rPr>
      </w:pPr>
      <w:r w:rsidRPr="00185666">
        <w:rPr>
          <w:rFonts w:cs="Arial"/>
          <w:sz w:val="22"/>
          <w:szCs w:val="22"/>
        </w:rPr>
        <w:t>Esta Interpretação deve ser aplicada aos custos de remoção de estéril, incorridos em mina de superfície durante a fase de produção da mina</w:t>
      </w:r>
      <w:r w:rsidRPr="00185666">
        <w:rPr>
          <w:rFonts w:cs="Arial"/>
          <w:sz w:val="22"/>
          <w:szCs w:val="22"/>
          <w:vertAlign w:val="superscript"/>
        </w:rPr>
        <w:footnoteReference w:id="2"/>
      </w:r>
      <w:r w:rsidRPr="00185666">
        <w:rPr>
          <w:rFonts w:cs="Arial"/>
          <w:sz w:val="22"/>
          <w:szCs w:val="22"/>
        </w:rPr>
        <w:t xml:space="preserve"> (custos de remoção de estéril e outros resíduos minerários  na fase produtiva).</w:t>
      </w:r>
    </w:p>
    <w:p w14:paraId="29AE0AE0" w14:textId="77777777" w:rsidR="00185666" w:rsidRPr="00185666" w:rsidRDefault="00185666" w:rsidP="00185666">
      <w:pPr>
        <w:widowControl w:val="0"/>
        <w:tabs>
          <w:tab w:val="left" w:pos="709"/>
        </w:tabs>
        <w:spacing w:before="0" w:after="0"/>
        <w:ind w:left="62"/>
        <w:rPr>
          <w:rFonts w:cs="Arial"/>
          <w:sz w:val="22"/>
          <w:szCs w:val="22"/>
        </w:rPr>
      </w:pPr>
    </w:p>
    <w:p w14:paraId="4D848E84" w14:textId="77777777" w:rsidR="00F56594" w:rsidRDefault="00F56594">
      <w:pPr>
        <w:spacing w:before="0" w:after="160" w:line="259" w:lineRule="auto"/>
        <w:jc w:val="left"/>
        <w:rPr>
          <w:rFonts w:cs="Arial"/>
          <w:b/>
          <w:sz w:val="22"/>
          <w:szCs w:val="22"/>
          <w:lang w:val="pt-BR"/>
        </w:rPr>
      </w:pPr>
      <w:r>
        <w:rPr>
          <w:rFonts w:cs="Arial"/>
          <w:b/>
          <w:sz w:val="22"/>
          <w:szCs w:val="22"/>
          <w:lang w:val="pt-BR"/>
        </w:rPr>
        <w:br w:type="page"/>
      </w:r>
    </w:p>
    <w:p w14:paraId="14E4043A" w14:textId="01F92171" w:rsidR="00185666" w:rsidRPr="00185666" w:rsidRDefault="00185666" w:rsidP="00185666">
      <w:pPr>
        <w:widowControl w:val="0"/>
        <w:tabs>
          <w:tab w:val="left" w:pos="6804"/>
        </w:tabs>
        <w:spacing w:before="0" w:after="0"/>
        <w:rPr>
          <w:rFonts w:cs="Arial"/>
          <w:b/>
          <w:sz w:val="22"/>
          <w:szCs w:val="22"/>
          <w:lang w:val="pt-BR"/>
        </w:rPr>
      </w:pPr>
      <w:r w:rsidRPr="00185666">
        <w:rPr>
          <w:rFonts w:cs="Arial"/>
          <w:b/>
          <w:sz w:val="22"/>
          <w:szCs w:val="22"/>
          <w:lang w:val="pt-BR"/>
        </w:rPr>
        <w:lastRenderedPageBreak/>
        <w:t>Assuntos tratados</w:t>
      </w:r>
    </w:p>
    <w:p w14:paraId="0A82D82D" w14:textId="77777777" w:rsidR="00185666" w:rsidRPr="00185666" w:rsidRDefault="00185666" w:rsidP="00185666">
      <w:pPr>
        <w:widowControl w:val="0"/>
        <w:tabs>
          <w:tab w:val="left" w:pos="6804"/>
        </w:tabs>
        <w:spacing w:before="0" w:after="0"/>
        <w:ind w:left="57"/>
        <w:rPr>
          <w:rFonts w:cs="Arial"/>
          <w:sz w:val="22"/>
          <w:szCs w:val="22"/>
          <w:lang w:val="pt-BR"/>
        </w:rPr>
      </w:pPr>
    </w:p>
    <w:p w14:paraId="58ABE52D" w14:textId="77777777" w:rsidR="00185666" w:rsidRPr="00185666" w:rsidRDefault="00185666" w:rsidP="00A96C40">
      <w:pPr>
        <w:widowControl w:val="0"/>
        <w:numPr>
          <w:ilvl w:val="0"/>
          <w:numId w:val="2"/>
        </w:numPr>
        <w:tabs>
          <w:tab w:val="left" w:pos="567"/>
        </w:tabs>
        <w:spacing w:before="0" w:after="0"/>
        <w:ind w:left="567" w:hanging="567"/>
        <w:rPr>
          <w:rFonts w:cs="Arial"/>
          <w:sz w:val="22"/>
          <w:szCs w:val="22"/>
          <w:lang w:val="pt-BR"/>
        </w:rPr>
      </w:pPr>
      <w:r w:rsidRPr="00185666">
        <w:rPr>
          <w:rFonts w:cs="Arial"/>
          <w:sz w:val="22"/>
          <w:szCs w:val="22"/>
          <w:lang w:val="pt-BR"/>
        </w:rPr>
        <w:t>Esta Interpretação cobre as seguintes questões:</w:t>
      </w:r>
    </w:p>
    <w:p w14:paraId="5583DD57" w14:textId="77777777" w:rsidR="00185666" w:rsidRPr="00185666" w:rsidRDefault="00185666" w:rsidP="00A96C40">
      <w:pPr>
        <w:widowControl w:val="0"/>
        <w:numPr>
          <w:ilvl w:val="0"/>
          <w:numId w:val="3"/>
        </w:numPr>
        <w:tabs>
          <w:tab w:val="left" w:pos="993"/>
        </w:tabs>
        <w:spacing w:before="0" w:after="0"/>
        <w:ind w:left="993" w:hanging="426"/>
        <w:rPr>
          <w:rFonts w:cs="Arial"/>
          <w:sz w:val="22"/>
          <w:szCs w:val="22"/>
          <w:lang w:val="pt-BR"/>
        </w:rPr>
      </w:pPr>
      <w:r w:rsidRPr="00185666">
        <w:rPr>
          <w:rFonts w:cs="Arial"/>
          <w:sz w:val="22"/>
          <w:szCs w:val="22"/>
          <w:lang w:val="pt-BR"/>
        </w:rPr>
        <w:t xml:space="preserve">reconhecimento dos </w:t>
      </w:r>
      <w:r w:rsidRPr="00185666">
        <w:rPr>
          <w:rFonts w:cs="Arial"/>
          <w:sz w:val="22"/>
          <w:szCs w:val="22"/>
        </w:rPr>
        <w:t>custos de remoção na fase produtiva como ativo;</w:t>
      </w:r>
    </w:p>
    <w:p w14:paraId="3ECF4552" w14:textId="77777777" w:rsidR="00185666" w:rsidRPr="00185666" w:rsidRDefault="00185666" w:rsidP="00A96C40">
      <w:pPr>
        <w:widowControl w:val="0"/>
        <w:numPr>
          <w:ilvl w:val="0"/>
          <w:numId w:val="3"/>
        </w:numPr>
        <w:tabs>
          <w:tab w:val="left" w:pos="993"/>
        </w:tabs>
        <w:spacing w:before="0" w:after="0"/>
        <w:ind w:left="993" w:hanging="426"/>
        <w:rPr>
          <w:rFonts w:cs="Arial"/>
          <w:sz w:val="22"/>
          <w:szCs w:val="22"/>
          <w:lang w:val="pt-BR"/>
        </w:rPr>
      </w:pPr>
      <w:r w:rsidRPr="00185666">
        <w:rPr>
          <w:rFonts w:cs="Arial"/>
          <w:sz w:val="22"/>
          <w:szCs w:val="22"/>
          <w:lang w:val="pt-BR"/>
        </w:rPr>
        <w:t>mensuração inicial do ativo advindo da atividade de remoção;</w:t>
      </w:r>
    </w:p>
    <w:p w14:paraId="30A33827" w14:textId="77777777" w:rsidR="00185666" w:rsidRPr="00185666" w:rsidRDefault="00185666" w:rsidP="00A96C40">
      <w:pPr>
        <w:widowControl w:val="0"/>
        <w:numPr>
          <w:ilvl w:val="0"/>
          <w:numId w:val="3"/>
        </w:numPr>
        <w:tabs>
          <w:tab w:val="left" w:pos="993"/>
        </w:tabs>
        <w:spacing w:before="0" w:after="0"/>
        <w:ind w:left="993" w:hanging="426"/>
        <w:rPr>
          <w:rFonts w:cs="Arial"/>
          <w:sz w:val="22"/>
          <w:szCs w:val="22"/>
          <w:lang w:val="pt-BR"/>
        </w:rPr>
      </w:pPr>
      <w:r w:rsidRPr="00185666">
        <w:rPr>
          <w:rFonts w:cs="Arial"/>
          <w:sz w:val="22"/>
          <w:szCs w:val="22"/>
          <w:lang w:val="pt-BR"/>
        </w:rPr>
        <w:t>mensuração subsequente do ativo advindo da atividade de remoção.</w:t>
      </w:r>
    </w:p>
    <w:p w14:paraId="00ADF016" w14:textId="77777777" w:rsidR="00185666" w:rsidRPr="00185666" w:rsidRDefault="00185666" w:rsidP="00185666">
      <w:pPr>
        <w:widowControl w:val="0"/>
        <w:tabs>
          <w:tab w:val="left" w:pos="6804"/>
        </w:tabs>
        <w:spacing w:before="0" w:after="0"/>
        <w:ind w:left="57"/>
        <w:rPr>
          <w:rFonts w:cs="Arial"/>
          <w:sz w:val="22"/>
          <w:szCs w:val="22"/>
        </w:rPr>
      </w:pPr>
    </w:p>
    <w:p w14:paraId="2BE02D26" w14:textId="77777777" w:rsidR="00185666" w:rsidRPr="00185666" w:rsidRDefault="00185666" w:rsidP="00185666">
      <w:pPr>
        <w:widowControl w:val="0"/>
        <w:tabs>
          <w:tab w:val="left" w:pos="6804"/>
        </w:tabs>
        <w:spacing w:before="0" w:after="0"/>
        <w:rPr>
          <w:rFonts w:cs="Arial"/>
          <w:b/>
          <w:sz w:val="22"/>
          <w:szCs w:val="22"/>
          <w:lang w:val="pt-BR"/>
        </w:rPr>
      </w:pPr>
      <w:r w:rsidRPr="00185666">
        <w:rPr>
          <w:rFonts w:cs="Arial"/>
          <w:b/>
          <w:sz w:val="22"/>
          <w:szCs w:val="22"/>
          <w:lang w:val="pt-BR"/>
        </w:rPr>
        <w:t>Consenso</w:t>
      </w:r>
    </w:p>
    <w:p w14:paraId="5230C446" w14:textId="77777777" w:rsidR="00185666" w:rsidRPr="00185666" w:rsidRDefault="00185666" w:rsidP="00185666">
      <w:pPr>
        <w:widowControl w:val="0"/>
        <w:tabs>
          <w:tab w:val="left" w:pos="709"/>
        </w:tabs>
        <w:spacing w:before="0" w:after="0"/>
        <w:ind w:left="62"/>
        <w:rPr>
          <w:rFonts w:cs="Arial"/>
          <w:sz w:val="22"/>
          <w:szCs w:val="22"/>
        </w:rPr>
      </w:pPr>
    </w:p>
    <w:p w14:paraId="33E6A2FC" w14:textId="77777777" w:rsidR="00185666" w:rsidRPr="00185666" w:rsidRDefault="00185666" w:rsidP="00185666">
      <w:pPr>
        <w:widowControl w:val="0"/>
        <w:tabs>
          <w:tab w:val="left" w:pos="709"/>
        </w:tabs>
        <w:spacing w:before="0" w:after="0"/>
        <w:rPr>
          <w:rFonts w:cs="Arial"/>
          <w:b/>
          <w:sz w:val="22"/>
          <w:szCs w:val="22"/>
        </w:rPr>
      </w:pPr>
      <w:r w:rsidRPr="00185666">
        <w:rPr>
          <w:rFonts w:cs="Arial"/>
          <w:b/>
          <w:sz w:val="22"/>
          <w:szCs w:val="22"/>
        </w:rPr>
        <w:t>Reconhecimento dos custos de remoção na fase produtiva como ativo</w:t>
      </w:r>
    </w:p>
    <w:p w14:paraId="32076EC5" w14:textId="77777777" w:rsidR="00185666" w:rsidRPr="00185666" w:rsidRDefault="00185666" w:rsidP="00185666">
      <w:pPr>
        <w:widowControl w:val="0"/>
        <w:tabs>
          <w:tab w:val="left" w:pos="709"/>
        </w:tabs>
        <w:spacing w:before="0" w:after="0"/>
        <w:ind w:left="62"/>
        <w:rPr>
          <w:rFonts w:cs="Arial"/>
          <w:sz w:val="22"/>
          <w:szCs w:val="22"/>
        </w:rPr>
      </w:pPr>
    </w:p>
    <w:p w14:paraId="62315182" w14:textId="77777777" w:rsidR="00185666" w:rsidRPr="00185666" w:rsidRDefault="00185666" w:rsidP="00A96C40">
      <w:pPr>
        <w:widowControl w:val="0"/>
        <w:numPr>
          <w:ilvl w:val="0"/>
          <w:numId w:val="2"/>
        </w:numPr>
        <w:tabs>
          <w:tab w:val="left" w:pos="567"/>
        </w:tabs>
        <w:spacing w:before="0" w:after="0"/>
        <w:ind w:left="567" w:hanging="567"/>
        <w:rPr>
          <w:rFonts w:cs="Arial"/>
          <w:sz w:val="22"/>
          <w:szCs w:val="22"/>
          <w:lang w:val="pt-BR"/>
        </w:rPr>
      </w:pPr>
      <w:r w:rsidRPr="00185666">
        <w:rPr>
          <w:rFonts w:cs="Arial"/>
          <w:sz w:val="22"/>
          <w:szCs w:val="22"/>
        </w:rPr>
        <w:t xml:space="preserve">Na extensão em que o benefício advindo da atividade de remoção de estéril </w:t>
      </w:r>
      <w:r w:rsidRPr="00185666">
        <w:rPr>
          <w:rFonts w:cs="Arial"/>
          <w:sz w:val="22"/>
          <w:szCs w:val="22"/>
          <w:lang w:val="pt-BR"/>
        </w:rPr>
        <w:t xml:space="preserve">seja realizado na forma de estoques produzidos, a entidade deve contabilizar os custos com a atividade de remoção </w:t>
      </w:r>
      <w:r w:rsidRPr="00185666">
        <w:rPr>
          <w:rFonts w:cs="Arial"/>
          <w:sz w:val="22"/>
          <w:szCs w:val="22"/>
        </w:rPr>
        <w:t xml:space="preserve">de estéril </w:t>
      </w:r>
      <w:r w:rsidRPr="00185666">
        <w:rPr>
          <w:rFonts w:cs="Arial"/>
          <w:i/>
          <w:sz w:val="22"/>
          <w:szCs w:val="22"/>
        </w:rPr>
        <w:t>(stripping)</w:t>
      </w:r>
      <w:r w:rsidRPr="00185666">
        <w:rPr>
          <w:rFonts w:cs="Arial"/>
          <w:sz w:val="22"/>
          <w:szCs w:val="22"/>
        </w:rPr>
        <w:t xml:space="preserve"> </w:t>
      </w:r>
      <w:r w:rsidRPr="00185666">
        <w:rPr>
          <w:rFonts w:cs="Arial"/>
          <w:sz w:val="22"/>
          <w:szCs w:val="22"/>
          <w:lang w:val="pt-BR"/>
        </w:rPr>
        <w:t xml:space="preserve">em consonância com os princípios previstos no Pronunciamento Técnico CPC 16 – Estoques. Na extensão em que o benefício seja a melhoria </w:t>
      </w:r>
      <w:r w:rsidRPr="00185666">
        <w:rPr>
          <w:rFonts w:cs="Arial"/>
          <w:sz w:val="22"/>
          <w:szCs w:val="22"/>
        </w:rPr>
        <w:t>no acesso ao minério, a entidade deve reconhecer esses custos como ativo não circulante, se o critério estabelecido no item 9 for observado. Esta Interpretação refere-se ao ativo não circulante como “</w:t>
      </w:r>
      <w:r w:rsidRPr="00185666">
        <w:rPr>
          <w:rFonts w:cs="Arial"/>
          <w:sz w:val="22"/>
          <w:szCs w:val="22"/>
          <w:lang w:val="pt-BR"/>
        </w:rPr>
        <w:t>ativo advindo da atividade de remoção de estéril”.</w:t>
      </w:r>
    </w:p>
    <w:p w14:paraId="1910CF2E" w14:textId="77777777" w:rsidR="00185666" w:rsidRPr="00185666" w:rsidRDefault="00185666" w:rsidP="00A96C40">
      <w:pPr>
        <w:widowControl w:val="0"/>
        <w:tabs>
          <w:tab w:val="left" w:pos="709"/>
        </w:tabs>
        <w:spacing w:before="0" w:after="0"/>
        <w:ind w:left="336"/>
        <w:rPr>
          <w:rFonts w:cs="Arial"/>
          <w:sz w:val="22"/>
          <w:szCs w:val="22"/>
        </w:rPr>
      </w:pPr>
    </w:p>
    <w:p w14:paraId="34E8E137" w14:textId="77777777" w:rsidR="00185666" w:rsidRPr="00185666" w:rsidRDefault="00185666" w:rsidP="00A96C40">
      <w:pPr>
        <w:widowControl w:val="0"/>
        <w:numPr>
          <w:ilvl w:val="0"/>
          <w:numId w:val="2"/>
        </w:numPr>
        <w:tabs>
          <w:tab w:val="left" w:pos="567"/>
        </w:tabs>
        <w:spacing w:before="0" w:after="0"/>
        <w:ind w:left="567" w:hanging="567"/>
        <w:rPr>
          <w:rFonts w:cs="Arial"/>
          <w:sz w:val="22"/>
          <w:szCs w:val="22"/>
        </w:rPr>
      </w:pPr>
      <w:r w:rsidRPr="00185666">
        <w:rPr>
          <w:rFonts w:cs="Arial"/>
          <w:sz w:val="22"/>
          <w:szCs w:val="22"/>
        </w:rPr>
        <w:t xml:space="preserve">A entidade deve reconhecer o </w:t>
      </w:r>
      <w:r w:rsidRPr="00185666">
        <w:rPr>
          <w:rFonts w:cs="Arial"/>
          <w:sz w:val="22"/>
          <w:szCs w:val="22"/>
          <w:lang w:val="pt-BR"/>
        </w:rPr>
        <w:t>ativo advindo da atividade de remoção de estéril se, e somente se, todas as seguintes condições forem atendidas:</w:t>
      </w:r>
    </w:p>
    <w:p w14:paraId="6514DC16" w14:textId="77777777" w:rsidR="00185666" w:rsidRPr="00185666" w:rsidRDefault="00185666" w:rsidP="00A96C40">
      <w:pPr>
        <w:widowControl w:val="0"/>
        <w:numPr>
          <w:ilvl w:val="0"/>
          <w:numId w:val="4"/>
        </w:numPr>
        <w:spacing w:before="0" w:after="0"/>
        <w:ind w:left="992" w:hanging="425"/>
        <w:rPr>
          <w:rFonts w:cs="Arial"/>
          <w:sz w:val="22"/>
          <w:szCs w:val="22"/>
          <w:lang w:val="pt-BR"/>
        </w:rPr>
      </w:pPr>
      <w:r w:rsidRPr="00185666">
        <w:rPr>
          <w:rFonts w:cs="Arial"/>
          <w:sz w:val="22"/>
          <w:szCs w:val="22"/>
          <w:lang w:val="pt-BR"/>
        </w:rPr>
        <w:t>for provável que benefícios econômicos futuros (melhoria de acesso à jazida mineral) associado com a atividade de remoção fluirão para a entidade;</w:t>
      </w:r>
    </w:p>
    <w:p w14:paraId="6C4C216A" w14:textId="77777777" w:rsidR="00185666" w:rsidRPr="00185666" w:rsidRDefault="00185666" w:rsidP="00A96C40">
      <w:pPr>
        <w:widowControl w:val="0"/>
        <w:numPr>
          <w:ilvl w:val="0"/>
          <w:numId w:val="4"/>
        </w:numPr>
        <w:spacing w:before="0" w:after="0"/>
        <w:ind w:left="992" w:hanging="425"/>
        <w:rPr>
          <w:rFonts w:cs="Arial"/>
          <w:sz w:val="22"/>
          <w:szCs w:val="22"/>
          <w:lang w:val="pt-BR"/>
        </w:rPr>
      </w:pPr>
      <w:r w:rsidRPr="00185666">
        <w:rPr>
          <w:rFonts w:cs="Arial"/>
          <w:sz w:val="22"/>
          <w:szCs w:val="22"/>
          <w:lang w:val="pt-BR"/>
        </w:rPr>
        <w:t>a entidade puder identificar o componente</w:t>
      </w:r>
      <w:r w:rsidRPr="00185666">
        <w:rPr>
          <w:rFonts w:cs="Arial"/>
          <w:sz w:val="22"/>
          <w:szCs w:val="22"/>
          <w:vertAlign w:val="superscript"/>
          <w:lang w:val="pt-BR"/>
        </w:rPr>
        <w:footnoteReference w:id="3"/>
      </w:r>
      <w:r w:rsidRPr="00185666">
        <w:rPr>
          <w:rFonts w:cs="Arial"/>
          <w:sz w:val="22"/>
          <w:szCs w:val="22"/>
          <w:lang w:val="pt-BR"/>
        </w:rPr>
        <w:t xml:space="preserve"> da jazida mineral para o qual o acesso tiver melhorado; e </w:t>
      </w:r>
    </w:p>
    <w:p w14:paraId="3FAACF27" w14:textId="4AA1A7D2" w:rsidR="00185666" w:rsidRDefault="00185666" w:rsidP="00A96C40">
      <w:pPr>
        <w:widowControl w:val="0"/>
        <w:numPr>
          <w:ilvl w:val="0"/>
          <w:numId w:val="4"/>
        </w:numPr>
        <w:spacing w:before="0" w:after="0"/>
        <w:ind w:left="992" w:hanging="425"/>
        <w:rPr>
          <w:rFonts w:cs="Arial"/>
          <w:sz w:val="22"/>
          <w:szCs w:val="22"/>
          <w:lang w:val="pt-BR"/>
        </w:rPr>
      </w:pPr>
      <w:r w:rsidRPr="00185666">
        <w:rPr>
          <w:rFonts w:cs="Arial"/>
          <w:sz w:val="22"/>
          <w:szCs w:val="22"/>
          <w:lang w:val="pt-BR"/>
        </w:rPr>
        <w:t>os custos relacionados com a atividade de remoção, associados com dito componente, puderem ser mensurados com confiabilidade.</w:t>
      </w:r>
    </w:p>
    <w:p w14:paraId="16D9D786" w14:textId="77777777" w:rsidR="00185666" w:rsidRPr="00185666" w:rsidRDefault="00185666" w:rsidP="00A96C40">
      <w:pPr>
        <w:widowControl w:val="0"/>
        <w:tabs>
          <w:tab w:val="left" w:pos="709"/>
        </w:tabs>
        <w:spacing w:before="0" w:after="0"/>
        <w:ind w:left="336"/>
        <w:rPr>
          <w:rFonts w:cs="Arial"/>
          <w:sz w:val="22"/>
          <w:szCs w:val="22"/>
          <w:lang w:val="pt-BR"/>
        </w:rPr>
      </w:pPr>
    </w:p>
    <w:p w14:paraId="3E2DE6AD" w14:textId="73F7BC7E" w:rsidR="00185666" w:rsidRDefault="00185666" w:rsidP="00A96C40">
      <w:pPr>
        <w:widowControl w:val="0"/>
        <w:numPr>
          <w:ilvl w:val="0"/>
          <w:numId w:val="2"/>
        </w:numPr>
        <w:tabs>
          <w:tab w:val="left" w:pos="567"/>
        </w:tabs>
        <w:spacing w:before="0" w:after="0"/>
        <w:ind w:left="567" w:hanging="567"/>
        <w:rPr>
          <w:rFonts w:cs="Arial"/>
          <w:sz w:val="22"/>
          <w:szCs w:val="22"/>
          <w:lang w:val="pt-BR"/>
        </w:rPr>
      </w:pPr>
      <w:r w:rsidRPr="00185666">
        <w:rPr>
          <w:rFonts w:cs="Arial"/>
          <w:sz w:val="22"/>
          <w:szCs w:val="22"/>
          <w:lang w:val="pt-BR"/>
        </w:rPr>
        <w:t xml:space="preserve">O ativo advindo da atividade de remoção deve ser contabilizado como adição ou melhoria de ativo existente. Em outras palavras, o ativo advindo da atividade de remoção de estéril </w:t>
      </w:r>
      <w:r w:rsidRPr="00185666">
        <w:rPr>
          <w:rFonts w:cs="Arial"/>
          <w:i/>
          <w:sz w:val="22"/>
          <w:szCs w:val="22"/>
        </w:rPr>
        <w:t>(stripping)</w:t>
      </w:r>
      <w:r w:rsidRPr="00185666">
        <w:rPr>
          <w:rFonts w:cs="Arial"/>
          <w:sz w:val="22"/>
          <w:szCs w:val="22"/>
          <w:lang w:val="pt-BR"/>
        </w:rPr>
        <w:t xml:space="preserve"> deve ser contabilizado como parte de ativo existente</w:t>
      </w:r>
      <w:r w:rsidRPr="00185666">
        <w:rPr>
          <w:rFonts w:cs="Arial"/>
          <w:sz w:val="22"/>
          <w:szCs w:val="22"/>
          <w:vertAlign w:val="superscript"/>
          <w:lang w:val="pt-BR"/>
        </w:rPr>
        <w:footnoteReference w:id="4"/>
      </w:r>
      <w:r w:rsidRPr="00185666">
        <w:rPr>
          <w:rFonts w:cs="Arial"/>
          <w:sz w:val="22"/>
          <w:szCs w:val="22"/>
          <w:lang w:val="pt-BR"/>
        </w:rPr>
        <w:t>.</w:t>
      </w:r>
    </w:p>
    <w:p w14:paraId="020712A2" w14:textId="77777777" w:rsidR="001122E6" w:rsidRPr="00185666" w:rsidRDefault="001122E6" w:rsidP="001122E6">
      <w:pPr>
        <w:widowControl w:val="0"/>
        <w:tabs>
          <w:tab w:val="left" w:pos="567"/>
        </w:tabs>
        <w:spacing w:before="0" w:after="0"/>
        <w:ind w:left="567"/>
        <w:rPr>
          <w:rFonts w:cs="Arial"/>
          <w:sz w:val="22"/>
          <w:szCs w:val="22"/>
          <w:lang w:val="pt-BR"/>
        </w:rPr>
      </w:pPr>
    </w:p>
    <w:p w14:paraId="0A55E025" w14:textId="77777777" w:rsidR="00185666" w:rsidRPr="00185666" w:rsidRDefault="00185666" w:rsidP="00F7272A">
      <w:pPr>
        <w:widowControl w:val="0"/>
        <w:numPr>
          <w:ilvl w:val="0"/>
          <w:numId w:val="2"/>
        </w:numPr>
        <w:tabs>
          <w:tab w:val="left" w:pos="567"/>
        </w:tabs>
        <w:spacing w:before="0" w:after="0"/>
        <w:ind w:left="567" w:hanging="567"/>
        <w:rPr>
          <w:rFonts w:cs="Arial"/>
          <w:sz w:val="22"/>
          <w:szCs w:val="22"/>
          <w:lang w:val="pt-BR"/>
        </w:rPr>
      </w:pPr>
      <w:r w:rsidRPr="00185666">
        <w:rPr>
          <w:rFonts w:cs="Arial"/>
          <w:sz w:val="22"/>
          <w:szCs w:val="22"/>
          <w:lang w:val="pt-BR"/>
        </w:rPr>
        <w:t>A classificação do ativo advindo da atividade de remoção deve seguir aquela do ativo existente, qual seja, ativo tangível ou ativo intangível. Em outras palavras, a natureza desse ativo existente irá determinar se a entidade deve classificar o ativo advindo da atividade de remoção como tangível ou intangível.</w:t>
      </w:r>
    </w:p>
    <w:p w14:paraId="1B84A4EB" w14:textId="77777777" w:rsidR="00185666" w:rsidRPr="00185666" w:rsidRDefault="00185666" w:rsidP="00185666">
      <w:pPr>
        <w:widowControl w:val="0"/>
        <w:tabs>
          <w:tab w:val="left" w:pos="709"/>
        </w:tabs>
        <w:spacing w:before="0" w:after="0"/>
        <w:ind w:left="336"/>
        <w:rPr>
          <w:rFonts w:cs="Arial"/>
          <w:sz w:val="22"/>
          <w:szCs w:val="22"/>
          <w:lang w:val="pt-BR"/>
        </w:rPr>
      </w:pPr>
    </w:p>
    <w:p w14:paraId="4AB77BB1" w14:textId="77777777" w:rsidR="00185666" w:rsidRPr="00185666" w:rsidRDefault="00185666" w:rsidP="00185666">
      <w:pPr>
        <w:widowControl w:val="0"/>
        <w:tabs>
          <w:tab w:val="left" w:pos="0"/>
        </w:tabs>
        <w:spacing w:before="0" w:after="0"/>
        <w:rPr>
          <w:rFonts w:cs="Arial"/>
          <w:b/>
          <w:sz w:val="22"/>
          <w:szCs w:val="22"/>
        </w:rPr>
      </w:pPr>
      <w:r w:rsidRPr="00185666">
        <w:rPr>
          <w:rFonts w:cs="Arial"/>
          <w:b/>
          <w:sz w:val="22"/>
          <w:szCs w:val="22"/>
          <w:lang w:val="pt-BR"/>
        </w:rPr>
        <w:t>M</w:t>
      </w:r>
      <w:r w:rsidRPr="00185666">
        <w:rPr>
          <w:rFonts w:cs="Arial"/>
          <w:b/>
          <w:sz w:val="22"/>
          <w:szCs w:val="22"/>
        </w:rPr>
        <w:t>ensuração inicial do ativo advindo da atividade de remoção de estéril</w:t>
      </w:r>
    </w:p>
    <w:p w14:paraId="7C1105F5" w14:textId="77777777" w:rsidR="00185666" w:rsidRPr="00185666" w:rsidRDefault="00185666" w:rsidP="00185666">
      <w:pPr>
        <w:widowControl w:val="0"/>
        <w:tabs>
          <w:tab w:val="left" w:pos="709"/>
        </w:tabs>
        <w:spacing w:before="0" w:after="0"/>
        <w:ind w:left="336"/>
        <w:rPr>
          <w:rFonts w:cs="Arial"/>
          <w:sz w:val="22"/>
          <w:szCs w:val="22"/>
          <w:lang w:val="pt-BR"/>
        </w:rPr>
      </w:pPr>
    </w:p>
    <w:p w14:paraId="341E89A2" w14:textId="77777777" w:rsidR="00185666" w:rsidRPr="00185666" w:rsidRDefault="00185666" w:rsidP="00F7272A">
      <w:pPr>
        <w:widowControl w:val="0"/>
        <w:numPr>
          <w:ilvl w:val="0"/>
          <w:numId w:val="2"/>
        </w:numPr>
        <w:tabs>
          <w:tab w:val="left" w:pos="567"/>
        </w:tabs>
        <w:spacing w:before="0" w:after="0"/>
        <w:ind w:left="567" w:hanging="567"/>
        <w:rPr>
          <w:rFonts w:cs="Arial"/>
          <w:sz w:val="22"/>
          <w:szCs w:val="22"/>
          <w:lang w:val="pt-BR"/>
        </w:rPr>
      </w:pPr>
      <w:r w:rsidRPr="00185666">
        <w:rPr>
          <w:rFonts w:cs="Arial"/>
          <w:sz w:val="22"/>
          <w:szCs w:val="22"/>
          <w:lang w:val="pt-BR"/>
        </w:rPr>
        <w:t>A entidade deve mensurar inicialmente o ativo advindo da atividade de remoção ao custo, sendo este obtido pela acumulação dos custos diretamente incorridos para desempenhar a atividade de remoção, que melhorem o acesso ao componente identificado da mina, acrescido da alocação dos custos indiretos de produção (</w:t>
      </w:r>
      <w:r w:rsidRPr="00185666">
        <w:rPr>
          <w:rFonts w:cs="Arial"/>
          <w:i/>
          <w:sz w:val="22"/>
          <w:szCs w:val="22"/>
          <w:lang w:val="pt-BR"/>
        </w:rPr>
        <w:t>overheads</w:t>
      </w:r>
      <w:r w:rsidRPr="00185666">
        <w:rPr>
          <w:rFonts w:cs="Arial"/>
          <w:sz w:val="22"/>
          <w:szCs w:val="22"/>
          <w:lang w:val="pt-BR"/>
        </w:rPr>
        <w:t>) diretamente atribuíveis</w:t>
      </w:r>
      <w:r w:rsidRPr="00185666">
        <w:rPr>
          <w:rFonts w:cs="Arial"/>
          <w:sz w:val="22"/>
          <w:szCs w:val="22"/>
          <w:vertAlign w:val="superscript"/>
          <w:lang w:val="pt-BR"/>
        </w:rPr>
        <w:footnoteReference w:id="5"/>
      </w:r>
      <w:r w:rsidRPr="00185666">
        <w:rPr>
          <w:rFonts w:cs="Arial"/>
          <w:sz w:val="22"/>
          <w:szCs w:val="22"/>
          <w:lang w:val="pt-BR"/>
        </w:rPr>
        <w:t>. Algumas operações incidentais</w:t>
      </w:r>
      <w:r w:rsidRPr="00185666">
        <w:rPr>
          <w:rFonts w:cs="Arial"/>
          <w:sz w:val="22"/>
          <w:szCs w:val="22"/>
          <w:vertAlign w:val="superscript"/>
          <w:lang w:val="pt-BR"/>
        </w:rPr>
        <w:footnoteReference w:id="6"/>
      </w:r>
      <w:r w:rsidRPr="00185666">
        <w:rPr>
          <w:rFonts w:cs="Arial"/>
          <w:sz w:val="22"/>
          <w:szCs w:val="22"/>
          <w:lang w:val="pt-BR"/>
        </w:rPr>
        <w:t xml:space="preserve"> podem ser executadas simultaneamente com a atividade de remoção, porém não necessariamente estão voltadas à continuidade da atividade de remoção na fase produtiva, conforme planejado. Os custos associados com essas operações incidentais não devem ser incluídos no custo do ativo advindo da atividade de remoção.</w:t>
      </w:r>
    </w:p>
    <w:p w14:paraId="1292C89F" w14:textId="77777777" w:rsidR="00185666" w:rsidRPr="00185666" w:rsidRDefault="00185666" w:rsidP="00F7272A">
      <w:pPr>
        <w:widowControl w:val="0"/>
        <w:tabs>
          <w:tab w:val="left" w:pos="709"/>
        </w:tabs>
        <w:spacing w:before="0" w:after="0"/>
        <w:ind w:left="336"/>
        <w:rPr>
          <w:rFonts w:cs="Arial"/>
          <w:sz w:val="22"/>
          <w:szCs w:val="22"/>
          <w:lang w:val="pt-BR"/>
        </w:rPr>
      </w:pPr>
    </w:p>
    <w:p w14:paraId="24273B27" w14:textId="77777777" w:rsidR="00185666" w:rsidRPr="00185666" w:rsidRDefault="00185666" w:rsidP="00F7272A">
      <w:pPr>
        <w:widowControl w:val="0"/>
        <w:numPr>
          <w:ilvl w:val="0"/>
          <w:numId w:val="2"/>
        </w:numPr>
        <w:tabs>
          <w:tab w:val="left" w:pos="567"/>
        </w:tabs>
        <w:spacing w:before="0" w:after="0"/>
        <w:ind w:left="567" w:hanging="567"/>
        <w:rPr>
          <w:rFonts w:cs="Arial"/>
          <w:sz w:val="22"/>
          <w:szCs w:val="22"/>
          <w:lang w:val="pt-BR"/>
        </w:rPr>
      </w:pPr>
      <w:r w:rsidRPr="00185666">
        <w:rPr>
          <w:rFonts w:cs="Arial"/>
          <w:sz w:val="22"/>
          <w:szCs w:val="22"/>
          <w:lang w:val="pt-BR"/>
        </w:rPr>
        <w:t>Quando os custos do ativo advindo da atividade de remoção de estéril e os custos dos estoques não forem identificados de modo separado, a entidade deve alocar os custos de remoção de estéril na fase produtiva entre os estoques produzidos e o ativo advindo da atividade de remoção de estéril, por meio do uso de critério de alocação que esteja baseado em medidas relevantes de produção</w:t>
      </w:r>
      <w:r w:rsidRPr="00185666">
        <w:rPr>
          <w:rFonts w:cs="Arial"/>
          <w:sz w:val="22"/>
          <w:szCs w:val="22"/>
          <w:vertAlign w:val="superscript"/>
          <w:lang w:val="pt-BR"/>
        </w:rPr>
        <w:footnoteReference w:id="7"/>
      </w:r>
      <w:r w:rsidRPr="00185666">
        <w:rPr>
          <w:rFonts w:cs="Arial"/>
          <w:sz w:val="22"/>
          <w:szCs w:val="22"/>
          <w:lang w:val="pt-BR"/>
        </w:rPr>
        <w:t>. Essa medida de produção deve ser calculada para o componente identificado da jazida mineral, e deve ser utilizada como padrão (</w:t>
      </w:r>
      <w:r w:rsidRPr="00185666">
        <w:rPr>
          <w:rFonts w:cs="Arial"/>
          <w:i/>
          <w:sz w:val="22"/>
          <w:szCs w:val="22"/>
          <w:lang w:val="pt-BR"/>
        </w:rPr>
        <w:t>benchmark</w:t>
      </w:r>
      <w:r w:rsidRPr="00185666">
        <w:rPr>
          <w:rFonts w:cs="Arial"/>
          <w:sz w:val="22"/>
          <w:szCs w:val="22"/>
          <w:lang w:val="pt-BR"/>
        </w:rPr>
        <w:t>) para identificar a extensão em que as atividades adicionais para criação de futuros benefícios estiverem sendo executadas. Exemplos de referidas medidas incluem:</w:t>
      </w:r>
    </w:p>
    <w:p w14:paraId="10151446" w14:textId="77777777" w:rsidR="00185666" w:rsidRPr="00185666" w:rsidRDefault="00185666" w:rsidP="00F7272A">
      <w:pPr>
        <w:widowControl w:val="0"/>
        <w:numPr>
          <w:ilvl w:val="0"/>
          <w:numId w:val="5"/>
        </w:numPr>
        <w:tabs>
          <w:tab w:val="left" w:pos="993"/>
        </w:tabs>
        <w:spacing w:before="0" w:after="0"/>
        <w:ind w:left="993" w:hanging="426"/>
        <w:rPr>
          <w:rFonts w:cs="Arial"/>
          <w:sz w:val="22"/>
          <w:szCs w:val="22"/>
          <w:lang w:val="pt-BR"/>
        </w:rPr>
      </w:pPr>
      <w:r w:rsidRPr="00185666">
        <w:rPr>
          <w:rFonts w:cs="Arial"/>
          <w:sz w:val="22"/>
          <w:szCs w:val="22"/>
          <w:lang w:val="pt-BR"/>
        </w:rPr>
        <w:t>custo dos estoques produzidos comparado com o custo esperado;</w:t>
      </w:r>
    </w:p>
    <w:p w14:paraId="13B77163" w14:textId="77777777" w:rsidR="00185666" w:rsidRPr="00185666" w:rsidRDefault="00185666" w:rsidP="00F7272A">
      <w:pPr>
        <w:widowControl w:val="0"/>
        <w:numPr>
          <w:ilvl w:val="0"/>
          <w:numId w:val="5"/>
        </w:numPr>
        <w:tabs>
          <w:tab w:val="left" w:pos="993"/>
        </w:tabs>
        <w:spacing w:before="0" w:after="0"/>
        <w:ind w:left="993" w:hanging="426"/>
        <w:rPr>
          <w:rFonts w:cs="Arial"/>
          <w:sz w:val="22"/>
          <w:szCs w:val="22"/>
          <w:lang w:val="pt-BR"/>
        </w:rPr>
      </w:pPr>
      <w:r w:rsidRPr="00185666">
        <w:rPr>
          <w:rFonts w:cs="Arial"/>
          <w:sz w:val="22"/>
          <w:szCs w:val="22"/>
          <w:lang w:val="pt-BR"/>
        </w:rPr>
        <w:t>volume extraído de estéreis e outros resíduos minerários comparado com o volume esperad</w:t>
      </w:r>
      <w:r w:rsidRPr="00185666">
        <w:rPr>
          <w:rFonts w:cs="Arial"/>
          <w:sz w:val="22"/>
          <w:szCs w:val="22"/>
        </w:rPr>
        <w:t>o, para um dado volume de produção de minério; e</w:t>
      </w:r>
    </w:p>
    <w:p w14:paraId="7F85A007" w14:textId="77777777" w:rsidR="00185666" w:rsidRPr="00185666" w:rsidRDefault="00185666" w:rsidP="00F7272A">
      <w:pPr>
        <w:widowControl w:val="0"/>
        <w:numPr>
          <w:ilvl w:val="0"/>
          <w:numId w:val="5"/>
        </w:numPr>
        <w:tabs>
          <w:tab w:val="left" w:pos="993"/>
        </w:tabs>
        <w:spacing w:before="0" w:after="0"/>
        <w:ind w:left="993" w:hanging="426"/>
        <w:rPr>
          <w:rFonts w:cs="Arial"/>
          <w:sz w:val="22"/>
          <w:szCs w:val="22"/>
          <w:lang w:val="pt-BR"/>
        </w:rPr>
      </w:pPr>
      <w:r w:rsidRPr="00185666">
        <w:rPr>
          <w:rFonts w:cs="Arial"/>
          <w:sz w:val="22"/>
          <w:szCs w:val="22"/>
          <w:lang w:val="pt-BR"/>
        </w:rPr>
        <w:t>conteúdo mineral (nível de pureza) de minério extraído comparado com o conteúdo mineral esperado a ser extraído, para uma dada quantidade de minério produzido.</w:t>
      </w:r>
    </w:p>
    <w:p w14:paraId="44592E2B" w14:textId="77777777" w:rsidR="00185666" w:rsidRPr="00185666" w:rsidRDefault="00185666" w:rsidP="00185666">
      <w:pPr>
        <w:widowControl w:val="0"/>
        <w:tabs>
          <w:tab w:val="left" w:pos="709"/>
        </w:tabs>
        <w:spacing w:before="0" w:after="0"/>
        <w:ind w:left="567"/>
        <w:rPr>
          <w:rFonts w:cs="Arial"/>
          <w:sz w:val="22"/>
          <w:szCs w:val="22"/>
          <w:lang w:val="pt-BR"/>
        </w:rPr>
      </w:pPr>
    </w:p>
    <w:p w14:paraId="2C4D0AC1" w14:textId="45249742" w:rsidR="00185666" w:rsidRPr="00185666" w:rsidRDefault="00185666" w:rsidP="00185666">
      <w:pPr>
        <w:widowControl w:val="0"/>
        <w:tabs>
          <w:tab w:val="left" w:pos="0"/>
        </w:tabs>
        <w:spacing w:before="0" w:after="0"/>
        <w:rPr>
          <w:rFonts w:cs="Arial"/>
          <w:b/>
          <w:sz w:val="22"/>
          <w:szCs w:val="22"/>
        </w:rPr>
      </w:pPr>
      <w:r w:rsidRPr="00185666">
        <w:rPr>
          <w:rFonts w:cs="Arial"/>
          <w:b/>
          <w:sz w:val="22"/>
          <w:szCs w:val="22"/>
        </w:rPr>
        <w:t>Mensuração subsequente do ativo advindo da atividade de remoção</w:t>
      </w:r>
    </w:p>
    <w:p w14:paraId="22A24D81" w14:textId="77777777" w:rsidR="00185666" w:rsidRPr="00185666" w:rsidRDefault="00185666" w:rsidP="00185666">
      <w:pPr>
        <w:widowControl w:val="0"/>
        <w:tabs>
          <w:tab w:val="left" w:pos="709"/>
        </w:tabs>
        <w:spacing w:before="0" w:after="0"/>
        <w:ind w:left="336"/>
        <w:rPr>
          <w:rFonts w:cs="Arial"/>
          <w:sz w:val="22"/>
          <w:szCs w:val="22"/>
          <w:lang w:val="pt-BR"/>
        </w:rPr>
      </w:pPr>
    </w:p>
    <w:p w14:paraId="47841AF7" w14:textId="77777777" w:rsidR="00185666" w:rsidRPr="00185666" w:rsidRDefault="00185666" w:rsidP="001654FD">
      <w:pPr>
        <w:widowControl w:val="0"/>
        <w:numPr>
          <w:ilvl w:val="0"/>
          <w:numId w:val="2"/>
        </w:numPr>
        <w:tabs>
          <w:tab w:val="left" w:pos="567"/>
        </w:tabs>
        <w:spacing w:before="0" w:after="0"/>
        <w:ind w:left="567" w:hanging="567"/>
        <w:rPr>
          <w:rFonts w:cs="Arial"/>
          <w:sz w:val="22"/>
          <w:szCs w:val="22"/>
          <w:lang w:val="pt-BR"/>
        </w:rPr>
      </w:pPr>
      <w:r w:rsidRPr="00185666">
        <w:rPr>
          <w:rFonts w:cs="Arial"/>
          <w:sz w:val="22"/>
          <w:szCs w:val="22"/>
          <w:lang w:val="pt-BR"/>
        </w:rPr>
        <w:t>Após o reconhecimento inicial, o ativo advindo da atividade de remoção de estéril deve ser mantido ao custo ou pelo seu montante reavaliado</w:t>
      </w:r>
      <w:r w:rsidRPr="00185666">
        <w:rPr>
          <w:rFonts w:cs="Arial"/>
          <w:sz w:val="22"/>
          <w:szCs w:val="22"/>
          <w:vertAlign w:val="superscript"/>
          <w:lang w:val="pt-BR"/>
        </w:rPr>
        <w:footnoteReference w:id="8"/>
      </w:r>
      <w:r w:rsidRPr="00185666">
        <w:rPr>
          <w:rFonts w:cs="Arial"/>
          <w:sz w:val="22"/>
          <w:szCs w:val="22"/>
          <w:lang w:val="pt-BR"/>
        </w:rPr>
        <w:t>, deduzido de depreciação ou de amortização, e deduzido de provisão para perdas por desvalorização (</w:t>
      </w:r>
      <w:r w:rsidRPr="00185666">
        <w:rPr>
          <w:rFonts w:cs="Arial"/>
          <w:i/>
          <w:sz w:val="22"/>
          <w:szCs w:val="22"/>
          <w:lang w:val="pt-BR"/>
        </w:rPr>
        <w:t>impairment loss</w:t>
      </w:r>
      <w:r w:rsidRPr="00185666">
        <w:rPr>
          <w:rFonts w:cs="Arial"/>
          <w:sz w:val="22"/>
          <w:szCs w:val="22"/>
          <w:lang w:val="pt-BR"/>
        </w:rPr>
        <w:t>), nos mesmos moldes que o ativo existente do qual ele é parte.</w:t>
      </w:r>
    </w:p>
    <w:p w14:paraId="320B4C0D" w14:textId="77777777" w:rsidR="00185666" w:rsidRPr="00185666" w:rsidRDefault="00185666" w:rsidP="001654FD">
      <w:pPr>
        <w:spacing w:before="0" w:after="0"/>
        <w:ind w:left="567"/>
        <w:rPr>
          <w:rFonts w:cs="Arial"/>
          <w:sz w:val="22"/>
          <w:szCs w:val="22"/>
          <w:lang w:val="pt-BR"/>
        </w:rPr>
      </w:pPr>
    </w:p>
    <w:p w14:paraId="76714BC9" w14:textId="77777777" w:rsidR="00185666" w:rsidRPr="00185666" w:rsidRDefault="00185666" w:rsidP="001654FD">
      <w:pPr>
        <w:widowControl w:val="0"/>
        <w:numPr>
          <w:ilvl w:val="0"/>
          <w:numId w:val="2"/>
        </w:numPr>
        <w:tabs>
          <w:tab w:val="left" w:pos="567"/>
        </w:tabs>
        <w:spacing w:before="0" w:after="0"/>
        <w:ind w:left="567" w:hanging="567"/>
        <w:rPr>
          <w:rFonts w:cs="Arial"/>
          <w:sz w:val="22"/>
          <w:szCs w:val="22"/>
        </w:rPr>
      </w:pPr>
      <w:r w:rsidRPr="00185666">
        <w:rPr>
          <w:rFonts w:cs="Arial"/>
          <w:sz w:val="22"/>
          <w:szCs w:val="22"/>
          <w:lang w:val="pt-BR"/>
        </w:rPr>
        <w:t>O ativo advindo da atividade de remoção de estéril deve ser depreciado ou amortizado em base sistemática, ao longo da vida útil esperada de componente identificado da jazida de minério que se torna mais acessível como resultado da atividade de remoção de estéril. O método das unidades de produção deve ser aplicado a menos que outro método seja mais apropriado.</w:t>
      </w:r>
    </w:p>
    <w:p w14:paraId="73755FA5" w14:textId="77777777" w:rsidR="00185666" w:rsidRPr="00185666" w:rsidRDefault="00185666" w:rsidP="001654FD">
      <w:pPr>
        <w:widowControl w:val="0"/>
        <w:tabs>
          <w:tab w:val="left" w:pos="709"/>
        </w:tabs>
        <w:spacing w:before="0" w:after="0"/>
        <w:ind w:left="336"/>
        <w:rPr>
          <w:rFonts w:cs="Arial"/>
          <w:sz w:val="22"/>
          <w:szCs w:val="22"/>
        </w:rPr>
      </w:pPr>
    </w:p>
    <w:p w14:paraId="78E32012" w14:textId="77777777" w:rsidR="00185666" w:rsidRPr="00185666" w:rsidRDefault="00185666" w:rsidP="001654FD">
      <w:pPr>
        <w:widowControl w:val="0"/>
        <w:numPr>
          <w:ilvl w:val="0"/>
          <w:numId w:val="2"/>
        </w:numPr>
        <w:tabs>
          <w:tab w:val="left" w:pos="567"/>
        </w:tabs>
        <w:spacing w:before="0" w:after="0"/>
        <w:ind w:left="567" w:hanging="567"/>
        <w:rPr>
          <w:rFonts w:cs="Arial"/>
          <w:sz w:val="22"/>
          <w:szCs w:val="22"/>
        </w:rPr>
      </w:pPr>
      <w:r w:rsidRPr="00185666">
        <w:rPr>
          <w:rFonts w:cs="Arial"/>
          <w:sz w:val="22"/>
          <w:szCs w:val="22"/>
        </w:rPr>
        <w:t>A vida útil esperada do componente identificado da jazida de minério, que é utilizada para depreciar ou amortizar o ativo advindo da atividade de remoção</w:t>
      </w:r>
      <w:r w:rsidRPr="00185666">
        <w:rPr>
          <w:rFonts w:cs="Arial"/>
          <w:sz w:val="22"/>
          <w:szCs w:val="22"/>
          <w:lang w:val="pt-BR"/>
        </w:rPr>
        <w:t xml:space="preserve"> de estéril</w:t>
      </w:r>
      <w:r w:rsidRPr="00185666">
        <w:rPr>
          <w:rFonts w:cs="Arial"/>
          <w:sz w:val="22"/>
          <w:szCs w:val="22"/>
        </w:rPr>
        <w:t>, será diferente da vida útil esperada que é utilizada para depreciar ou amortizar a mina e das vidas úteis dos ativos relacionados à mina. A exceção a tal fato são aquelas circunstâncias limitadas em que a atividade de remoção</w:t>
      </w:r>
      <w:r w:rsidRPr="00185666">
        <w:rPr>
          <w:rFonts w:cs="Arial"/>
          <w:sz w:val="22"/>
          <w:szCs w:val="22"/>
          <w:lang w:val="pt-BR"/>
        </w:rPr>
        <w:t xml:space="preserve"> de estéril</w:t>
      </w:r>
      <w:r w:rsidRPr="00185666">
        <w:rPr>
          <w:rFonts w:cs="Arial"/>
          <w:sz w:val="22"/>
          <w:szCs w:val="22"/>
        </w:rPr>
        <w:t xml:space="preserve"> possibilite a melhoria de acesso a toda a jazida mineral remanescente. Por exemplo, isso pode ocorrer ao término da vida útil da mina quando o componente identificado representar a parte final da jazida de minério a ser extraída.</w:t>
      </w:r>
    </w:p>
    <w:p w14:paraId="3C52385E" w14:textId="77777777" w:rsidR="00185666" w:rsidRPr="00185666" w:rsidRDefault="00185666" w:rsidP="00185666">
      <w:pPr>
        <w:widowControl w:val="0"/>
        <w:tabs>
          <w:tab w:val="left" w:pos="709"/>
        </w:tabs>
        <w:spacing w:before="0" w:after="0"/>
        <w:ind w:left="336" w:hanging="279"/>
        <w:rPr>
          <w:rFonts w:cs="Arial"/>
          <w:sz w:val="22"/>
          <w:szCs w:val="22"/>
        </w:rPr>
      </w:pPr>
    </w:p>
    <w:p w14:paraId="7D05AAB0" w14:textId="77777777" w:rsidR="00F56594" w:rsidRDefault="00F56594">
      <w:pPr>
        <w:spacing w:before="0" w:after="160" w:line="259" w:lineRule="auto"/>
        <w:jc w:val="left"/>
        <w:rPr>
          <w:rFonts w:cs="Arial"/>
          <w:b/>
          <w:sz w:val="22"/>
          <w:szCs w:val="22"/>
          <w:lang w:val="pt-BR"/>
        </w:rPr>
      </w:pPr>
      <w:r>
        <w:rPr>
          <w:rFonts w:cs="Arial"/>
          <w:b/>
          <w:sz w:val="22"/>
          <w:szCs w:val="22"/>
          <w:lang w:val="pt-BR"/>
        </w:rPr>
        <w:br w:type="page"/>
      </w:r>
    </w:p>
    <w:p w14:paraId="4A811069" w14:textId="715C4D12" w:rsidR="00185666" w:rsidRPr="00185666" w:rsidRDefault="00185666" w:rsidP="00185666">
      <w:pPr>
        <w:widowControl w:val="0"/>
        <w:tabs>
          <w:tab w:val="left" w:pos="6804"/>
        </w:tabs>
        <w:spacing w:before="0" w:after="0"/>
        <w:rPr>
          <w:rFonts w:cs="Arial"/>
          <w:b/>
          <w:sz w:val="22"/>
          <w:szCs w:val="22"/>
          <w:lang w:val="pt-BR"/>
        </w:rPr>
      </w:pPr>
      <w:r w:rsidRPr="00185666">
        <w:rPr>
          <w:rFonts w:cs="Arial"/>
          <w:b/>
          <w:sz w:val="22"/>
          <w:szCs w:val="22"/>
          <w:lang w:val="pt-BR"/>
        </w:rPr>
        <w:lastRenderedPageBreak/>
        <w:t>Apêndice A – Disposições transitórias</w:t>
      </w:r>
    </w:p>
    <w:p w14:paraId="545F6BD4" w14:textId="77777777" w:rsidR="00185666" w:rsidRPr="00185666" w:rsidRDefault="00185666" w:rsidP="00185666">
      <w:pPr>
        <w:widowControl w:val="0"/>
        <w:tabs>
          <w:tab w:val="left" w:pos="709"/>
        </w:tabs>
        <w:spacing w:before="0" w:after="0"/>
        <w:ind w:left="62"/>
        <w:rPr>
          <w:rFonts w:cs="Arial"/>
          <w:sz w:val="22"/>
          <w:szCs w:val="22"/>
        </w:rPr>
      </w:pPr>
    </w:p>
    <w:p w14:paraId="6BB87C21" w14:textId="77777777" w:rsidR="00185666" w:rsidRPr="00185666" w:rsidRDefault="00185666" w:rsidP="00185666">
      <w:pPr>
        <w:widowControl w:val="0"/>
        <w:tabs>
          <w:tab w:val="left" w:pos="567"/>
        </w:tabs>
        <w:spacing w:before="0" w:after="0"/>
        <w:ind w:left="567" w:hanging="567"/>
        <w:rPr>
          <w:rFonts w:cs="Arial"/>
          <w:sz w:val="22"/>
          <w:szCs w:val="22"/>
        </w:rPr>
      </w:pPr>
      <w:r w:rsidRPr="00185666">
        <w:rPr>
          <w:rFonts w:cs="Arial"/>
          <w:sz w:val="22"/>
          <w:szCs w:val="22"/>
        </w:rPr>
        <w:t>A1.</w:t>
      </w:r>
      <w:r w:rsidRPr="00185666">
        <w:rPr>
          <w:rFonts w:cs="Arial"/>
          <w:sz w:val="22"/>
          <w:szCs w:val="22"/>
        </w:rPr>
        <w:tab/>
        <w:t>(Eliminado).</w:t>
      </w:r>
    </w:p>
    <w:p w14:paraId="1F7EEF35" w14:textId="77777777" w:rsidR="00185666" w:rsidRPr="00185666" w:rsidRDefault="00185666" w:rsidP="00185666">
      <w:pPr>
        <w:widowControl w:val="0"/>
        <w:tabs>
          <w:tab w:val="left" w:pos="709"/>
        </w:tabs>
        <w:spacing w:before="0" w:after="0"/>
        <w:ind w:left="62"/>
        <w:rPr>
          <w:rFonts w:cs="Arial"/>
          <w:sz w:val="22"/>
          <w:szCs w:val="22"/>
        </w:rPr>
      </w:pPr>
    </w:p>
    <w:p w14:paraId="63AB8969" w14:textId="77777777" w:rsidR="00185666" w:rsidRPr="00185666" w:rsidRDefault="00185666" w:rsidP="00185666">
      <w:pPr>
        <w:widowControl w:val="0"/>
        <w:tabs>
          <w:tab w:val="left" w:pos="567"/>
        </w:tabs>
        <w:spacing w:before="0" w:after="0"/>
        <w:ind w:left="567" w:hanging="567"/>
        <w:rPr>
          <w:rFonts w:cs="Arial"/>
          <w:sz w:val="22"/>
          <w:szCs w:val="22"/>
        </w:rPr>
      </w:pPr>
      <w:r w:rsidRPr="00185666">
        <w:rPr>
          <w:rFonts w:cs="Arial"/>
          <w:sz w:val="22"/>
          <w:szCs w:val="22"/>
        </w:rPr>
        <w:t>A2.</w:t>
      </w:r>
      <w:r w:rsidRPr="00185666">
        <w:rPr>
          <w:rFonts w:cs="Arial"/>
          <w:sz w:val="22"/>
          <w:szCs w:val="22"/>
        </w:rPr>
        <w:tab/>
        <w:t>(Eliminado).</w:t>
      </w:r>
    </w:p>
    <w:p w14:paraId="46C37416" w14:textId="77777777" w:rsidR="00185666" w:rsidRPr="00185666" w:rsidRDefault="00185666" w:rsidP="00185666">
      <w:pPr>
        <w:widowControl w:val="0"/>
        <w:tabs>
          <w:tab w:val="left" w:pos="709"/>
        </w:tabs>
        <w:spacing w:before="0" w:after="0"/>
        <w:ind w:left="62"/>
        <w:rPr>
          <w:rFonts w:cs="Arial"/>
          <w:sz w:val="22"/>
          <w:szCs w:val="22"/>
        </w:rPr>
      </w:pPr>
    </w:p>
    <w:p w14:paraId="53493BE5" w14:textId="77777777" w:rsidR="00185666" w:rsidRPr="00185666" w:rsidRDefault="00185666" w:rsidP="00185666">
      <w:pPr>
        <w:widowControl w:val="0"/>
        <w:tabs>
          <w:tab w:val="left" w:pos="567"/>
        </w:tabs>
        <w:spacing w:before="0" w:after="0"/>
        <w:ind w:left="567" w:hanging="567"/>
        <w:rPr>
          <w:rFonts w:cs="Arial"/>
          <w:sz w:val="22"/>
          <w:szCs w:val="22"/>
        </w:rPr>
      </w:pPr>
      <w:r w:rsidRPr="00185666">
        <w:rPr>
          <w:rFonts w:cs="Arial"/>
          <w:sz w:val="22"/>
          <w:szCs w:val="22"/>
        </w:rPr>
        <w:t>A3.</w:t>
      </w:r>
      <w:r w:rsidRPr="00185666">
        <w:rPr>
          <w:rFonts w:cs="Arial"/>
          <w:sz w:val="22"/>
          <w:szCs w:val="22"/>
        </w:rPr>
        <w:tab/>
        <w:t>No início do período mais antigo apresentado, qualquer ativo anteriormente reconhecido por força de atividades de remoção</w:t>
      </w:r>
      <w:r w:rsidRPr="00185666">
        <w:rPr>
          <w:rFonts w:cs="Arial"/>
          <w:sz w:val="22"/>
          <w:szCs w:val="22"/>
          <w:lang w:val="pt-BR"/>
        </w:rPr>
        <w:t xml:space="preserve"> de estéril</w:t>
      </w:r>
      <w:r w:rsidRPr="00185666">
        <w:rPr>
          <w:rFonts w:cs="Arial"/>
          <w:sz w:val="22"/>
          <w:szCs w:val="22"/>
        </w:rPr>
        <w:t xml:space="preserve"> executadas durante a fase de produção (ativo de remoção anterior) deve ser reclassificado como parte de ativo existente para o qual a atividade de remoção</w:t>
      </w:r>
      <w:r w:rsidRPr="00185666">
        <w:rPr>
          <w:rFonts w:cs="Arial"/>
          <w:sz w:val="22"/>
          <w:szCs w:val="22"/>
          <w:lang w:val="pt-BR"/>
        </w:rPr>
        <w:t xml:space="preserve"> de estéril</w:t>
      </w:r>
      <w:r w:rsidRPr="00185666">
        <w:rPr>
          <w:rFonts w:cs="Arial"/>
          <w:sz w:val="22"/>
          <w:szCs w:val="22"/>
        </w:rPr>
        <w:t xml:space="preserve"> está relacionada, na extensão em que exista um componente identificável remanescente da jazida de minério para o qual o ativo predecessor da atividade de remoção possa ser associado. Ditos saldos devem ser depreciados ou amortizados ao longo da vida útil remanescente esperada do componente identificado da jazida de minério para o qual cada saldo de ativo de remoção anterior esteja relacionado.</w:t>
      </w:r>
    </w:p>
    <w:p w14:paraId="3B8B9A1B" w14:textId="77777777" w:rsidR="00185666" w:rsidRPr="00185666" w:rsidRDefault="00185666" w:rsidP="00185666">
      <w:pPr>
        <w:widowControl w:val="0"/>
        <w:tabs>
          <w:tab w:val="left" w:pos="709"/>
        </w:tabs>
        <w:spacing w:before="0" w:after="0"/>
        <w:ind w:left="62"/>
        <w:rPr>
          <w:rFonts w:cs="Arial"/>
          <w:sz w:val="22"/>
          <w:szCs w:val="22"/>
        </w:rPr>
      </w:pPr>
    </w:p>
    <w:p w14:paraId="75A3D672" w14:textId="77777777" w:rsidR="00185666" w:rsidRPr="00185666" w:rsidRDefault="00185666" w:rsidP="00185666">
      <w:pPr>
        <w:widowControl w:val="0"/>
        <w:tabs>
          <w:tab w:val="left" w:pos="567"/>
        </w:tabs>
        <w:spacing w:before="0" w:after="0"/>
        <w:ind w:left="567" w:hanging="567"/>
        <w:rPr>
          <w:rFonts w:cs="Arial"/>
          <w:sz w:val="22"/>
          <w:szCs w:val="22"/>
        </w:rPr>
      </w:pPr>
      <w:r w:rsidRPr="00185666">
        <w:rPr>
          <w:rFonts w:cs="Arial"/>
          <w:sz w:val="22"/>
          <w:szCs w:val="22"/>
        </w:rPr>
        <w:t>A4.</w:t>
      </w:r>
      <w:r w:rsidRPr="00185666">
        <w:rPr>
          <w:rFonts w:cs="Arial"/>
          <w:sz w:val="22"/>
          <w:szCs w:val="22"/>
        </w:rPr>
        <w:tab/>
        <w:t>Caso não exista qualquer componente identificável da jazida de minério com o qual um ativo de remoção anterior possa estar relacionado, ele deve ser reconhecido no saldo de abertura de lucros acumulados no início do período mais antigo apresentado.</w:t>
      </w:r>
    </w:p>
    <w:p w14:paraId="2C5A7000" w14:textId="286C3877" w:rsidR="00C578D8" w:rsidRPr="00185666" w:rsidRDefault="00C578D8"/>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D6F3E" w14:textId="77777777" w:rsidR="00B15088" w:rsidRDefault="00B15088" w:rsidP="0096648A">
      <w:pPr>
        <w:spacing w:before="0" w:after="0"/>
      </w:pPr>
      <w:r>
        <w:separator/>
      </w:r>
    </w:p>
  </w:endnote>
  <w:endnote w:type="continuationSeparator" w:id="0">
    <w:p w14:paraId="2E488218" w14:textId="77777777" w:rsidR="00B15088" w:rsidRDefault="00B15088"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D86E4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52A9E2FE"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D86E4C" w:rsidRPr="00D86E4C">
          <w:rPr>
            <w:rFonts w:asciiTheme="minorHAnsi" w:hAnsiTheme="minorHAnsi" w:cstheme="minorHAnsi"/>
            <w:noProof/>
            <w:szCs w:val="20"/>
            <w:lang w:val="pt-BR"/>
          </w:rPr>
          <w:t>7</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85CC" w14:textId="77777777" w:rsidR="00B15088" w:rsidRDefault="00B15088" w:rsidP="0096648A">
      <w:pPr>
        <w:spacing w:before="0" w:after="0"/>
      </w:pPr>
      <w:r>
        <w:separator/>
      </w:r>
    </w:p>
  </w:footnote>
  <w:footnote w:type="continuationSeparator" w:id="0">
    <w:p w14:paraId="2ACA7F9E" w14:textId="77777777" w:rsidR="00B15088" w:rsidRDefault="00B15088" w:rsidP="0096648A">
      <w:pPr>
        <w:spacing w:before="0" w:after="0"/>
      </w:pPr>
      <w:r>
        <w:continuationSeparator/>
      </w:r>
    </w:p>
  </w:footnote>
  <w:footnote w:id="1">
    <w:p w14:paraId="2966CF0C" w14:textId="77777777" w:rsidR="00185666" w:rsidRPr="005F5C8B" w:rsidRDefault="00185666" w:rsidP="00185666">
      <w:pPr>
        <w:pStyle w:val="Textodenotaderodap"/>
        <w:rPr>
          <w:rFonts w:ascii="Arial" w:hAnsi="Arial" w:cs="Arial"/>
          <w:sz w:val="18"/>
          <w:szCs w:val="18"/>
        </w:rPr>
      </w:pPr>
      <w:r w:rsidRPr="005F5C8B">
        <w:rPr>
          <w:rStyle w:val="Refdenotaderodap"/>
          <w:rFonts w:ascii="Arial" w:hAnsi="Arial" w:cs="Arial"/>
          <w:sz w:val="18"/>
          <w:szCs w:val="18"/>
        </w:rPr>
        <w:footnoteRef/>
      </w:r>
      <w:r w:rsidRPr="005F5C8B">
        <w:rPr>
          <w:rFonts w:ascii="Arial" w:hAnsi="Arial" w:cs="Arial"/>
          <w:sz w:val="18"/>
          <w:szCs w:val="18"/>
        </w:rPr>
        <w:t xml:space="preserve"> Conforme salientado no documento emitido pelo IASB, </w:t>
      </w:r>
      <w:r w:rsidRPr="005F5C8B">
        <w:rPr>
          <w:rFonts w:ascii="Arial" w:hAnsi="Arial" w:cs="Arial"/>
          <w:i/>
          <w:sz w:val="18"/>
          <w:szCs w:val="18"/>
        </w:rPr>
        <w:t>Basis for Conclusions</w:t>
      </w:r>
      <w:r w:rsidRPr="005F5C8B">
        <w:rPr>
          <w:rFonts w:ascii="Arial" w:hAnsi="Arial" w:cs="Arial"/>
          <w:sz w:val="18"/>
          <w:szCs w:val="18"/>
        </w:rPr>
        <w:t xml:space="preserve"> da </w:t>
      </w:r>
      <w:r w:rsidRPr="005F5C8B">
        <w:rPr>
          <w:rFonts w:ascii="Arial" w:hAnsi="Arial" w:cs="Arial"/>
          <w:i/>
          <w:sz w:val="18"/>
          <w:szCs w:val="18"/>
        </w:rPr>
        <w:t>IFRIC</w:t>
      </w:r>
      <w:r w:rsidRPr="005F5C8B">
        <w:rPr>
          <w:rFonts w:ascii="Arial" w:hAnsi="Arial" w:cs="Arial"/>
          <w:sz w:val="18"/>
          <w:szCs w:val="18"/>
        </w:rPr>
        <w:t xml:space="preserve"> 20, item BC3, há uma diversidade de tratamento contábil para a matéria. Algumas entidades tratam os custos de remoção da fase produtiva</w:t>
      </w:r>
      <w:r>
        <w:t xml:space="preserve"> </w:t>
      </w:r>
      <w:r w:rsidRPr="005F5C8B">
        <w:rPr>
          <w:rFonts w:ascii="Arial" w:hAnsi="Arial" w:cs="Arial"/>
          <w:sz w:val="18"/>
          <w:szCs w:val="18"/>
        </w:rPr>
        <w:t>como despesa do período (custo de produção); outras capitalizam parte ou a totalidade dos custos de remoção, com base na vida útil esperada da mina; outras ainda capitalizam tão somente os custos associados com alguma melhoria.</w:t>
      </w:r>
    </w:p>
  </w:footnote>
  <w:footnote w:id="2">
    <w:p w14:paraId="6821CE1B" w14:textId="77777777" w:rsidR="00185666" w:rsidRDefault="00185666" w:rsidP="00185666">
      <w:pPr>
        <w:pStyle w:val="Textodenotaderodap"/>
      </w:pPr>
      <w:r w:rsidRPr="005F5C8B">
        <w:rPr>
          <w:rStyle w:val="Refdenotaderodap"/>
          <w:rFonts w:ascii="Arial" w:hAnsi="Arial" w:cs="Arial"/>
          <w:sz w:val="18"/>
          <w:szCs w:val="18"/>
        </w:rPr>
        <w:footnoteRef/>
      </w:r>
      <w:r w:rsidRPr="005F5C8B">
        <w:rPr>
          <w:rFonts w:ascii="Arial" w:hAnsi="Arial" w:cs="Arial"/>
          <w:sz w:val="18"/>
          <w:szCs w:val="18"/>
        </w:rPr>
        <w:t xml:space="preserve"> Ainda no documento emitido pelo IASB, </w:t>
      </w:r>
      <w:r w:rsidRPr="005F5C8B">
        <w:rPr>
          <w:rFonts w:ascii="Arial" w:hAnsi="Arial" w:cs="Arial"/>
          <w:i/>
          <w:sz w:val="18"/>
          <w:szCs w:val="18"/>
        </w:rPr>
        <w:t>Basis for Conclusions</w:t>
      </w:r>
      <w:r w:rsidRPr="005F5C8B">
        <w:rPr>
          <w:rFonts w:ascii="Arial" w:hAnsi="Arial" w:cs="Arial"/>
          <w:sz w:val="18"/>
          <w:szCs w:val="18"/>
        </w:rPr>
        <w:t xml:space="preserve"> da IFRIC 20, em seu item BC4, é ressaltado que a Interpretação se aplica à atividade de mineração de superfície (e não de subsolo - </w:t>
      </w:r>
      <w:r w:rsidRPr="005F5C8B">
        <w:rPr>
          <w:rFonts w:ascii="Arial" w:hAnsi="Arial" w:cs="Arial"/>
          <w:i/>
          <w:sz w:val="18"/>
          <w:szCs w:val="18"/>
        </w:rPr>
        <w:t>underground</w:t>
      </w:r>
      <w:r w:rsidRPr="005F5C8B">
        <w:rPr>
          <w:rFonts w:ascii="Arial" w:hAnsi="Arial" w:cs="Arial"/>
          <w:sz w:val="18"/>
          <w:szCs w:val="18"/>
        </w:rPr>
        <w:t>), contemplando a extração de todo e qualquer recurso natural, inclusive carvão. Contudo estão de fora as atividades de extração de óleo e gás natural.</w:t>
      </w:r>
    </w:p>
  </w:footnote>
  <w:footnote w:id="3">
    <w:p w14:paraId="73ECDE56" w14:textId="18C02B1A" w:rsidR="00185666" w:rsidRDefault="00185666" w:rsidP="00185666">
      <w:pPr>
        <w:pStyle w:val="Textodenotaderodap"/>
        <w:rPr>
          <w:rFonts w:ascii="Arial" w:hAnsi="Arial" w:cs="Arial"/>
          <w:sz w:val="18"/>
          <w:szCs w:val="18"/>
        </w:rPr>
      </w:pPr>
      <w:r w:rsidRPr="005F5C8B">
        <w:rPr>
          <w:rStyle w:val="Refdenotaderodap"/>
          <w:rFonts w:ascii="Arial" w:hAnsi="Arial" w:cs="Arial"/>
          <w:sz w:val="18"/>
          <w:szCs w:val="18"/>
        </w:rPr>
        <w:footnoteRef/>
      </w:r>
      <w:r w:rsidRPr="005F5C8B">
        <w:rPr>
          <w:rFonts w:ascii="Arial" w:hAnsi="Arial" w:cs="Arial"/>
          <w:sz w:val="18"/>
          <w:szCs w:val="18"/>
        </w:rPr>
        <w:t xml:space="preserve"> De acordo com o documento emitido pelo IASB, </w:t>
      </w:r>
      <w:r w:rsidRPr="005F5C8B">
        <w:rPr>
          <w:rFonts w:ascii="Arial" w:hAnsi="Arial" w:cs="Arial"/>
          <w:i/>
          <w:sz w:val="18"/>
          <w:szCs w:val="18"/>
        </w:rPr>
        <w:t>Basis for Conclusions</w:t>
      </w:r>
      <w:r w:rsidRPr="005F5C8B">
        <w:rPr>
          <w:rFonts w:ascii="Arial" w:hAnsi="Arial" w:cs="Arial"/>
          <w:sz w:val="18"/>
          <w:szCs w:val="18"/>
        </w:rPr>
        <w:t xml:space="preserve"> da IFRIC 20, item BC8, um ‘componente’ diz respeito a um volume específico da jazida de minério que se torna mais acessível por meio da atividade de remoção de estéril e outros resíduos. O componente será um subconjunto da jazida como um todo. A mina poderá ter uma série de componentes, os quais devem ser identificados durante o estágio de planejamento da mina. Assim como serve ao propósito de balizar as mensurações de custos com confiabilidade na fase de reconhecimento, a identificação dos componentes da jazida de minério é necessária para fins de depreciação e amortização subsequentes do ativo advindo da atividade de remoção, as quais terão início a partir do momento em que o componente identificado comece a ser extraído da mina.</w:t>
      </w:r>
    </w:p>
    <w:p w14:paraId="1F42396C" w14:textId="77777777" w:rsidR="001122E6" w:rsidRPr="005F5C8B" w:rsidRDefault="001122E6" w:rsidP="00185666">
      <w:pPr>
        <w:pStyle w:val="Textodenotaderodap"/>
        <w:rPr>
          <w:rFonts w:ascii="Arial" w:hAnsi="Arial" w:cs="Arial"/>
          <w:sz w:val="18"/>
          <w:szCs w:val="18"/>
        </w:rPr>
      </w:pPr>
    </w:p>
  </w:footnote>
  <w:footnote w:id="4">
    <w:p w14:paraId="611A8519" w14:textId="77777777" w:rsidR="00185666" w:rsidRPr="005F5C8B" w:rsidRDefault="00185666" w:rsidP="00185666">
      <w:pPr>
        <w:pStyle w:val="Textodenotaderodap"/>
        <w:rPr>
          <w:rFonts w:ascii="Arial" w:hAnsi="Arial" w:cs="Arial"/>
          <w:sz w:val="18"/>
          <w:szCs w:val="18"/>
        </w:rPr>
      </w:pPr>
      <w:r w:rsidRPr="005F5C8B">
        <w:rPr>
          <w:rStyle w:val="Refdenotaderodap"/>
          <w:rFonts w:ascii="Arial" w:hAnsi="Arial" w:cs="Arial"/>
          <w:sz w:val="18"/>
          <w:szCs w:val="18"/>
        </w:rPr>
        <w:footnoteRef/>
      </w:r>
      <w:r w:rsidRPr="005F5C8B">
        <w:rPr>
          <w:rFonts w:ascii="Arial" w:hAnsi="Arial" w:cs="Arial"/>
          <w:sz w:val="18"/>
          <w:szCs w:val="18"/>
        </w:rPr>
        <w:t xml:space="preserve"> No documento emitido pelo IASB, </w:t>
      </w:r>
      <w:r w:rsidRPr="005F5C8B">
        <w:rPr>
          <w:rFonts w:ascii="Arial" w:hAnsi="Arial" w:cs="Arial"/>
          <w:i/>
          <w:sz w:val="18"/>
          <w:szCs w:val="18"/>
        </w:rPr>
        <w:t>Basis for Conclusions</w:t>
      </w:r>
      <w:r w:rsidRPr="005F5C8B">
        <w:rPr>
          <w:rFonts w:ascii="Arial" w:hAnsi="Arial" w:cs="Arial"/>
          <w:sz w:val="18"/>
          <w:szCs w:val="18"/>
        </w:rPr>
        <w:t xml:space="preserve"> da IFRIC 20, item BC10, o ativo advindo da atividade de remoção, na visão do comitê de interpretação do IASB (IFRIC), tem muito mais características de parte de ativo existente do que características de ativo próprio. O ativo advindo da atividade de remoção pode ser incorporado a uma variedade de ativos existentes, como por exemplo, o imobilizado, a própria jazida de minério, o direito de extrair o minério (intangível) ou o ativo originado na fase de desenvolvimento da mina.</w:t>
      </w:r>
    </w:p>
  </w:footnote>
  <w:footnote w:id="5">
    <w:p w14:paraId="5170F3A9" w14:textId="77777777" w:rsidR="00185666" w:rsidRPr="005F5C8B" w:rsidRDefault="00185666" w:rsidP="00185666">
      <w:pPr>
        <w:pStyle w:val="Textodenotaderodap"/>
        <w:rPr>
          <w:rFonts w:ascii="Arial" w:hAnsi="Arial" w:cs="Arial"/>
          <w:sz w:val="18"/>
          <w:szCs w:val="18"/>
        </w:rPr>
      </w:pPr>
      <w:r w:rsidRPr="005F5C8B">
        <w:rPr>
          <w:rStyle w:val="Refdenotaderodap"/>
          <w:rFonts w:ascii="Arial" w:hAnsi="Arial" w:cs="Arial"/>
          <w:sz w:val="18"/>
          <w:szCs w:val="18"/>
        </w:rPr>
        <w:footnoteRef/>
      </w:r>
      <w:r w:rsidRPr="005F5C8B">
        <w:rPr>
          <w:rFonts w:ascii="Arial" w:hAnsi="Arial" w:cs="Arial"/>
          <w:sz w:val="18"/>
          <w:szCs w:val="18"/>
        </w:rPr>
        <w:t xml:space="preserve"> Conforme o documento emitido pelo IASB, </w:t>
      </w:r>
      <w:r w:rsidRPr="005F5C8B">
        <w:rPr>
          <w:rFonts w:ascii="Arial" w:hAnsi="Arial" w:cs="Arial"/>
          <w:i/>
          <w:sz w:val="18"/>
          <w:szCs w:val="18"/>
        </w:rPr>
        <w:t>Basis for Conclusions</w:t>
      </w:r>
      <w:r w:rsidRPr="005F5C8B">
        <w:rPr>
          <w:rFonts w:ascii="Arial" w:hAnsi="Arial" w:cs="Arial"/>
          <w:sz w:val="18"/>
          <w:szCs w:val="18"/>
        </w:rPr>
        <w:t xml:space="preserve"> da IFRIC 20, item BC12, um custo indireto alocável é o custo com o salário do supervisor da mina responsável por acompanhar o componente da mina, assim como a alocação de custos com aluguel de equipamentos, especificamente contratados para desempenhar a atividade de remoção.</w:t>
      </w:r>
    </w:p>
  </w:footnote>
  <w:footnote w:id="6">
    <w:p w14:paraId="75408397" w14:textId="77777777" w:rsidR="00185666" w:rsidRPr="005F5C8B" w:rsidRDefault="00185666" w:rsidP="00185666">
      <w:pPr>
        <w:pStyle w:val="Textodenotaderodap"/>
        <w:rPr>
          <w:rFonts w:ascii="Arial" w:hAnsi="Arial" w:cs="Arial"/>
          <w:sz w:val="18"/>
          <w:szCs w:val="18"/>
        </w:rPr>
      </w:pPr>
      <w:r w:rsidRPr="005F5C8B">
        <w:rPr>
          <w:rStyle w:val="Refdenotaderodap"/>
          <w:rFonts w:ascii="Arial" w:hAnsi="Arial" w:cs="Arial"/>
          <w:sz w:val="18"/>
          <w:szCs w:val="18"/>
        </w:rPr>
        <w:footnoteRef/>
      </w:r>
      <w:r w:rsidRPr="005F5C8B">
        <w:rPr>
          <w:rFonts w:ascii="Arial" w:hAnsi="Arial" w:cs="Arial"/>
          <w:sz w:val="18"/>
          <w:szCs w:val="18"/>
        </w:rPr>
        <w:t xml:space="preserve"> Um exemplo dado pelo documento emitido pelo IASB, </w:t>
      </w:r>
      <w:r w:rsidRPr="005F5C8B">
        <w:rPr>
          <w:rFonts w:ascii="Arial" w:hAnsi="Arial" w:cs="Arial"/>
          <w:i/>
          <w:sz w:val="18"/>
          <w:szCs w:val="18"/>
        </w:rPr>
        <w:t>Basis for Conclusions</w:t>
      </w:r>
      <w:r w:rsidRPr="005F5C8B">
        <w:rPr>
          <w:rFonts w:ascii="Arial" w:hAnsi="Arial" w:cs="Arial"/>
          <w:sz w:val="18"/>
          <w:szCs w:val="18"/>
        </w:rPr>
        <w:t xml:space="preserve"> da IFRIC 20, em seu item BC13, é a operação incidental de construção de rodovia de acesso à área na qual a atividade de remoção será realizada.</w:t>
      </w:r>
    </w:p>
  </w:footnote>
  <w:footnote w:id="7">
    <w:p w14:paraId="470538F5" w14:textId="77777777" w:rsidR="00185666" w:rsidRPr="005F5C8B" w:rsidRDefault="00185666" w:rsidP="00185666">
      <w:pPr>
        <w:pStyle w:val="Textodenotaderodap"/>
        <w:spacing w:after="120"/>
        <w:rPr>
          <w:rFonts w:ascii="Arial" w:hAnsi="Arial" w:cs="Arial"/>
          <w:sz w:val="18"/>
          <w:szCs w:val="18"/>
        </w:rPr>
      </w:pPr>
      <w:r w:rsidRPr="005F5C8B">
        <w:rPr>
          <w:rStyle w:val="Refdenotaderodap"/>
          <w:rFonts w:ascii="Arial" w:hAnsi="Arial" w:cs="Arial"/>
          <w:sz w:val="18"/>
          <w:szCs w:val="18"/>
        </w:rPr>
        <w:footnoteRef/>
      </w:r>
      <w:r w:rsidRPr="005F5C8B">
        <w:rPr>
          <w:rFonts w:ascii="Arial" w:hAnsi="Arial" w:cs="Arial"/>
          <w:sz w:val="18"/>
          <w:szCs w:val="18"/>
        </w:rPr>
        <w:t xml:space="preserve"> Na visão do Comitê de interpretação do IASB (IFRIC), conforme mencionado no documento </w:t>
      </w:r>
      <w:r w:rsidRPr="005F5C8B">
        <w:rPr>
          <w:rFonts w:ascii="Arial" w:hAnsi="Arial" w:cs="Arial"/>
          <w:i/>
          <w:sz w:val="18"/>
          <w:szCs w:val="18"/>
        </w:rPr>
        <w:t>Basis for Conclusions</w:t>
      </w:r>
      <w:r w:rsidRPr="005F5C8B">
        <w:rPr>
          <w:rFonts w:ascii="Arial" w:hAnsi="Arial" w:cs="Arial"/>
          <w:sz w:val="18"/>
          <w:szCs w:val="18"/>
        </w:rPr>
        <w:t xml:space="preserve"> da IFRIC 20, em seu item BC16, uma medida de produção foi considerada um bom indicador da natureza dos benefícios gerados pela atividade de remoção sendo executada na área da mina. A medida de produção requer que a entidade identifique quando o nível de atividade chegar ao volume além do esperado para a produção de estoques no período e, dessa forma, pode dar margem ao acesso a futuros benefícios.</w:t>
      </w:r>
    </w:p>
  </w:footnote>
  <w:footnote w:id="8">
    <w:p w14:paraId="2E66E7A5" w14:textId="77777777" w:rsidR="00185666" w:rsidRPr="005F5C8B" w:rsidRDefault="00185666" w:rsidP="00185666">
      <w:pPr>
        <w:pStyle w:val="Textodenotaderodap"/>
        <w:rPr>
          <w:rFonts w:ascii="Arial" w:hAnsi="Arial" w:cs="Arial"/>
          <w:sz w:val="18"/>
          <w:szCs w:val="18"/>
        </w:rPr>
      </w:pPr>
      <w:r w:rsidRPr="005F5C8B">
        <w:rPr>
          <w:rStyle w:val="Refdenotaderodap"/>
          <w:rFonts w:ascii="Arial" w:hAnsi="Arial" w:cs="Arial"/>
          <w:sz w:val="18"/>
          <w:szCs w:val="18"/>
        </w:rPr>
        <w:footnoteRef/>
      </w:r>
      <w:r w:rsidRPr="005F5C8B">
        <w:rPr>
          <w:rFonts w:ascii="Arial" w:hAnsi="Arial" w:cs="Arial"/>
          <w:sz w:val="18"/>
          <w:szCs w:val="18"/>
        </w:rPr>
        <w:t xml:space="preserve"> Quando não houver vedação legal no ordenamento jurídico brasileiro para o registro contábil da reavaliação.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D86E4C"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1BA51291" w:rsidR="00D76E29" w:rsidRPr="00A21437" w:rsidRDefault="00D86E4C" w:rsidP="00A21437">
    <w:pPr>
      <w:pStyle w:val="Cabealho"/>
      <w:spacing w:before="240" w:after="240"/>
      <w:rPr>
        <w:rFonts w:asciiTheme="minorHAnsi" w:hAnsiTheme="minorHAnsi" w:cstheme="minorHAnsi"/>
      </w:rPr>
    </w:pPr>
    <w:r w:rsidRPr="00D86E4C">
      <w:rPr>
        <w:rFonts w:asciiTheme="minorHAnsi" w:hAnsiTheme="minorHAnsi" w:cstheme="minorHAnsi"/>
        <w:szCs w:val="20"/>
      </w:rPr>
      <w:t>RESOLUÇÃO CVM Nº 129,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Default="00D86E4C" w:rsidP="00DF62F3">
    <w:pPr>
      <w:pStyle w:val="Cabealho"/>
      <w:spacing w:before="0" w:after="36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 w15:restartNumberingAfterBreak="0">
    <w:nsid w:val="20AD37D7"/>
    <w:multiLevelType w:val="hybridMultilevel"/>
    <w:tmpl w:val="A7D6543C"/>
    <w:lvl w:ilvl="0" w:tplc="915AA2A8">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 w15:restartNumberingAfterBreak="0">
    <w:nsid w:val="21F44438"/>
    <w:multiLevelType w:val="hybridMultilevel"/>
    <w:tmpl w:val="D3DE9142"/>
    <w:lvl w:ilvl="0" w:tplc="A64E7682">
      <w:start w:val="1"/>
      <w:numFmt w:val="lowerLetter"/>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3" w15:restartNumberingAfterBreak="0">
    <w:nsid w:val="517702D5"/>
    <w:multiLevelType w:val="hybridMultilevel"/>
    <w:tmpl w:val="C4A81178"/>
    <w:lvl w:ilvl="0" w:tplc="7556EC2A">
      <w:start w:val="1"/>
      <w:numFmt w:val="lowerLetter"/>
      <w:lvlText w:val="(%1)"/>
      <w:lvlJc w:val="left"/>
      <w:pPr>
        <w:ind w:left="41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7B4F0F"/>
    <w:multiLevelType w:val="hybridMultilevel"/>
    <w:tmpl w:val="4EC426AC"/>
    <w:lvl w:ilvl="0" w:tplc="8644774A">
      <w:start w:val="1"/>
      <w:numFmt w:val="lowerLetter"/>
      <w:lvlText w:val="(%1)"/>
      <w:lvlJc w:val="left"/>
      <w:pPr>
        <w:ind w:left="41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1122E6"/>
    <w:rsid w:val="001654FD"/>
    <w:rsid w:val="00185666"/>
    <w:rsid w:val="001F7556"/>
    <w:rsid w:val="00273211"/>
    <w:rsid w:val="00275BD2"/>
    <w:rsid w:val="00327323"/>
    <w:rsid w:val="00394458"/>
    <w:rsid w:val="003C3D12"/>
    <w:rsid w:val="004C4694"/>
    <w:rsid w:val="004C7E13"/>
    <w:rsid w:val="005D7141"/>
    <w:rsid w:val="005E1EDB"/>
    <w:rsid w:val="0081096C"/>
    <w:rsid w:val="00824ACF"/>
    <w:rsid w:val="0084434F"/>
    <w:rsid w:val="008E0833"/>
    <w:rsid w:val="00905C16"/>
    <w:rsid w:val="00955209"/>
    <w:rsid w:val="0096648A"/>
    <w:rsid w:val="009D3457"/>
    <w:rsid w:val="00A21437"/>
    <w:rsid w:val="00A92033"/>
    <w:rsid w:val="00A96C40"/>
    <w:rsid w:val="00AB3649"/>
    <w:rsid w:val="00B15088"/>
    <w:rsid w:val="00B22115"/>
    <w:rsid w:val="00B3045A"/>
    <w:rsid w:val="00C578D8"/>
    <w:rsid w:val="00C72039"/>
    <w:rsid w:val="00CF08C5"/>
    <w:rsid w:val="00CF424B"/>
    <w:rsid w:val="00D410C6"/>
    <w:rsid w:val="00D86E4C"/>
    <w:rsid w:val="00DF62F3"/>
    <w:rsid w:val="00E21F94"/>
    <w:rsid w:val="00E63AA8"/>
    <w:rsid w:val="00E653D2"/>
    <w:rsid w:val="00F56594"/>
    <w:rsid w:val="00F7272A"/>
    <w:rsid w:val="66DB1A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8AC8-B091-4FB8-AA4C-A450181B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4.xml><?xml version="1.0" encoding="utf-8"?>
<ds:datastoreItem xmlns:ds="http://schemas.openxmlformats.org/officeDocument/2006/customXml" ds:itemID="{B4172B9C-F985-4285-96DE-ECD1685C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1667</Words>
  <Characters>9006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129, DE 3 DE JUNHO DE 2022</dc:title>
  <dc:subject/>
  <dc:creator>CVM</dc:creator>
  <cp:keywords/>
  <dc:description/>
  <cp:lastModifiedBy>Renata dos Santos Leitão</cp:lastModifiedBy>
  <cp:revision>37</cp:revision>
  <dcterms:created xsi:type="dcterms:W3CDTF">2021-07-21T15:16:00Z</dcterms:created>
  <dcterms:modified xsi:type="dcterms:W3CDTF">2022-06-02T13:58:00Z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