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938DB" w14:textId="61EC5CD8" w:rsidR="00CF08C5" w:rsidRPr="00752920" w:rsidRDefault="006D7A20" w:rsidP="00CF08C5">
      <w:pPr>
        <w:pStyle w:val="Corpodetexto2"/>
        <w:spacing w:before="120" w:line="312" w:lineRule="auto"/>
        <w:jc w:val="center"/>
        <w:rPr>
          <w:rFonts w:asciiTheme="minorHAnsi" w:hAnsiTheme="minorHAnsi" w:cstheme="minorHAnsi"/>
          <w:b w:val="0"/>
          <w:bCs w:val="0"/>
          <w:sz w:val="24"/>
          <w:lang w:val="pt-BR"/>
        </w:rPr>
      </w:pPr>
      <w:r w:rsidRPr="006D7A20">
        <w:rPr>
          <w:rFonts w:asciiTheme="minorHAnsi" w:hAnsiTheme="minorHAnsi" w:cstheme="minorHAnsi"/>
          <w:b w:val="0"/>
          <w:bCs w:val="0"/>
          <w:sz w:val="24"/>
        </w:rPr>
        <w:t>RESOLUÇÃO CVM Nº 1</w:t>
      </w:r>
      <w:r>
        <w:rPr>
          <w:rFonts w:asciiTheme="minorHAnsi" w:hAnsiTheme="minorHAnsi" w:cstheme="minorHAnsi"/>
          <w:b w:val="0"/>
          <w:bCs w:val="0"/>
          <w:sz w:val="24"/>
          <w:lang w:val="pt-BR"/>
        </w:rPr>
        <w:t>30</w:t>
      </w:r>
      <w:r w:rsidRPr="006D7A20">
        <w:rPr>
          <w:rFonts w:asciiTheme="minorHAnsi" w:hAnsiTheme="minorHAnsi" w:cstheme="minorHAnsi"/>
          <w:b w:val="0"/>
          <w:bCs w:val="0"/>
          <w:sz w:val="24"/>
        </w:rPr>
        <w:t>, DE 3 DE JUNHO DE 2022</w:t>
      </w:r>
    </w:p>
    <w:p w14:paraId="5B546EE5" w14:textId="009A5398" w:rsidR="00CF08C5" w:rsidRPr="00273211" w:rsidRDefault="00CF08C5" w:rsidP="00CF08C5">
      <w:pPr>
        <w:pStyle w:val="Recuodecorpodetexto"/>
        <w:spacing w:before="240" w:after="240" w:line="312" w:lineRule="auto"/>
        <w:ind w:left="4746" w:firstLine="0"/>
        <w:rPr>
          <w:rFonts w:asciiTheme="minorHAnsi" w:hAnsiTheme="minorHAnsi" w:cstheme="minorHAnsi"/>
          <w:iCs/>
          <w:sz w:val="24"/>
        </w:rPr>
      </w:pPr>
      <w:r w:rsidRPr="00273211">
        <w:rPr>
          <w:rFonts w:asciiTheme="minorHAnsi" w:hAnsiTheme="minorHAnsi" w:cstheme="minorHAnsi"/>
          <w:iCs/>
          <w:sz w:val="24"/>
        </w:rPr>
        <w:t xml:space="preserve">Aprova </w:t>
      </w:r>
      <w:r w:rsidR="00752920" w:rsidRPr="00752920">
        <w:rPr>
          <w:rFonts w:asciiTheme="minorHAnsi" w:hAnsiTheme="minorHAnsi" w:cstheme="minorHAnsi"/>
          <w:iCs/>
          <w:sz w:val="24"/>
        </w:rPr>
        <w:t>a Consolidação d</w:t>
      </w:r>
      <w:r w:rsidR="00824ACF">
        <w:rPr>
          <w:rFonts w:asciiTheme="minorHAnsi" w:hAnsiTheme="minorHAnsi" w:cstheme="minorHAnsi"/>
          <w:iCs/>
          <w:sz w:val="24"/>
        </w:rPr>
        <w:t>a Interpretação Técnica</w:t>
      </w:r>
      <w:r w:rsidRPr="00273211">
        <w:rPr>
          <w:rFonts w:asciiTheme="minorHAnsi" w:hAnsiTheme="minorHAnsi" w:cstheme="minorHAnsi"/>
          <w:iCs/>
          <w:sz w:val="24"/>
        </w:rPr>
        <w:t xml:space="preserve"> </w:t>
      </w:r>
      <w:r w:rsidR="005D7141">
        <w:rPr>
          <w:rFonts w:asciiTheme="minorHAnsi" w:hAnsiTheme="minorHAnsi" w:cstheme="minorHAnsi"/>
          <w:iCs/>
          <w:sz w:val="24"/>
        </w:rPr>
        <w:t xml:space="preserve">ICPC </w:t>
      </w:r>
      <w:r w:rsidR="00004750">
        <w:rPr>
          <w:rFonts w:asciiTheme="minorHAnsi" w:hAnsiTheme="minorHAnsi" w:cstheme="minorHAnsi"/>
          <w:iCs/>
          <w:sz w:val="24"/>
        </w:rPr>
        <w:t>21</w:t>
      </w:r>
      <w:r w:rsidRPr="00273211">
        <w:rPr>
          <w:rFonts w:asciiTheme="minorHAnsi" w:hAnsiTheme="minorHAnsi" w:cstheme="minorHAnsi"/>
          <w:iCs/>
          <w:sz w:val="24"/>
        </w:rPr>
        <w:t xml:space="preserve"> do Comitê de Pronunciamentos Contábeis</w:t>
      </w:r>
      <w:r w:rsidR="00752920" w:rsidRPr="00752920">
        <w:rPr>
          <w:rFonts w:asciiTheme="minorHAnsi" w:hAnsiTheme="minorHAnsi" w:cstheme="minorHAnsi"/>
          <w:iCs/>
          <w:sz w:val="24"/>
        </w:rPr>
        <w:t xml:space="preserve"> – CPC,</w:t>
      </w:r>
      <w:r w:rsidRPr="00273211">
        <w:rPr>
          <w:rFonts w:asciiTheme="minorHAnsi" w:hAnsiTheme="minorHAnsi" w:cstheme="minorHAnsi"/>
          <w:iCs/>
          <w:sz w:val="24"/>
        </w:rPr>
        <w:t xml:space="preserve"> que trata </w:t>
      </w:r>
      <w:r w:rsidR="00752920">
        <w:rPr>
          <w:rFonts w:asciiTheme="minorHAnsi" w:hAnsiTheme="minorHAnsi" w:cstheme="minorHAnsi"/>
          <w:iCs/>
          <w:sz w:val="24"/>
        </w:rPr>
        <w:t>de</w:t>
      </w:r>
      <w:r w:rsidRPr="00273211">
        <w:rPr>
          <w:rFonts w:asciiTheme="minorHAnsi" w:hAnsiTheme="minorHAnsi" w:cstheme="minorHAnsi"/>
          <w:iCs/>
          <w:sz w:val="24"/>
        </w:rPr>
        <w:t xml:space="preserve"> </w:t>
      </w:r>
      <w:r w:rsidR="00B56B95">
        <w:rPr>
          <w:rFonts w:asciiTheme="minorHAnsi" w:hAnsiTheme="minorHAnsi" w:cstheme="minorHAnsi"/>
          <w:iCs/>
          <w:sz w:val="24"/>
        </w:rPr>
        <w:t>transação em moeda estrangeira e adiantamento</w:t>
      </w:r>
      <w:r w:rsidRPr="00273211">
        <w:rPr>
          <w:rFonts w:asciiTheme="minorHAnsi" w:hAnsiTheme="minorHAnsi" w:cstheme="minorHAnsi"/>
          <w:iCs/>
          <w:sz w:val="24"/>
        </w:rPr>
        <w:t>.</w:t>
      </w:r>
    </w:p>
    <w:p w14:paraId="7D45C359" w14:textId="3424B466" w:rsidR="00CF08C5" w:rsidRPr="00273211" w:rsidRDefault="00CF08C5" w:rsidP="00CF08C5">
      <w:pPr>
        <w:pStyle w:val="Corpodetexto2"/>
        <w:spacing w:before="120" w:line="312" w:lineRule="auto"/>
        <w:ind w:firstLine="567"/>
        <w:rPr>
          <w:rFonts w:asciiTheme="minorHAnsi" w:hAnsiTheme="minorHAnsi" w:cstheme="minorHAnsi"/>
          <w:b w:val="0"/>
          <w:bCs w:val="0"/>
          <w:sz w:val="24"/>
        </w:rPr>
      </w:pPr>
      <w:r w:rsidRPr="00273211">
        <w:rPr>
          <w:rFonts w:asciiTheme="minorHAnsi" w:hAnsiTheme="minorHAnsi" w:cstheme="minorHAnsi"/>
          <w:b w:val="0"/>
          <w:bCs w:val="0"/>
          <w:sz w:val="24"/>
        </w:rPr>
        <w:t xml:space="preserve">O </w:t>
      </w:r>
      <w:r w:rsidRPr="00273211">
        <w:rPr>
          <w:rFonts w:asciiTheme="minorHAnsi" w:hAnsiTheme="minorHAnsi" w:cstheme="minorHAnsi"/>
          <w:sz w:val="24"/>
        </w:rPr>
        <w:t>PRESIDENTE DA COMISSÃO DE VALORES MOBILIÁRIOS - CVM</w:t>
      </w:r>
      <w:r w:rsidRPr="00273211">
        <w:rPr>
          <w:rFonts w:asciiTheme="minorHAnsi" w:hAnsiTheme="minorHAnsi" w:cstheme="minorHAnsi"/>
          <w:b w:val="0"/>
          <w:bCs w:val="0"/>
          <w:sz w:val="24"/>
        </w:rPr>
        <w:t xml:space="preserve"> torna público que o Colegiado, em reunião realizada em </w:t>
      </w:r>
      <w:r w:rsidR="00B1663C">
        <w:rPr>
          <w:rFonts w:asciiTheme="minorHAnsi" w:hAnsiTheme="minorHAnsi" w:cstheme="minorHAnsi"/>
          <w:b w:val="0"/>
          <w:bCs w:val="0"/>
          <w:sz w:val="24"/>
          <w:lang w:val="pt-BR"/>
        </w:rPr>
        <w:t xml:space="preserve">4 de maio </w:t>
      </w:r>
      <w:r w:rsidRPr="00273211">
        <w:rPr>
          <w:rFonts w:asciiTheme="minorHAnsi" w:hAnsiTheme="minorHAnsi" w:cstheme="minorHAnsi"/>
          <w:b w:val="0"/>
          <w:bCs w:val="0"/>
          <w:sz w:val="24"/>
        </w:rPr>
        <w:t>de 202</w:t>
      </w:r>
      <w:r w:rsidR="00752920">
        <w:rPr>
          <w:rFonts w:asciiTheme="minorHAnsi" w:hAnsiTheme="minorHAnsi" w:cstheme="minorHAnsi"/>
          <w:b w:val="0"/>
          <w:bCs w:val="0"/>
          <w:sz w:val="24"/>
          <w:lang w:val="pt-BR"/>
        </w:rPr>
        <w:t>2</w:t>
      </w:r>
      <w:r w:rsidRPr="00273211">
        <w:rPr>
          <w:rFonts w:asciiTheme="minorHAnsi" w:hAnsiTheme="minorHAnsi" w:cstheme="minorHAnsi"/>
          <w:b w:val="0"/>
          <w:bCs w:val="0"/>
          <w:sz w:val="24"/>
        </w:rPr>
        <w:t xml:space="preserve">, com fundamento nos §§ 3º e 5º do art. 177 da Lei n° 6.404, de 15 de dezembro de 1976, combinados com os incisos II e IV do § 1° do art. 22 da Lei n° 6.385, de 7 de dezembro de 1976, bem como nos arts. 5º e 14 do Decreto nº 10.139, de 28 de novembro de 2019, </w:t>
      </w:r>
      <w:r w:rsidRPr="00273211">
        <w:rPr>
          <w:rFonts w:asciiTheme="minorHAnsi" w:hAnsiTheme="minorHAnsi" w:cstheme="minorHAnsi"/>
          <w:sz w:val="24"/>
        </w:rPr>
        <w:t>APROVOU</w:t>
      </w:r>
      <w:r w:rsidRPr="00273211">
        <w:rPr>
          <w:rFonts w:asciiTheme="minorHAnsi" w:hAnsiTheme="minorHAnsi" w:cstheme="minorHAnsi"/>
          <w:b w:val="0"/>
          <w:bCs w:val="0"/>
          <w:sz w:val="24"/>
        </w:rPr>
        <w:t xml:space="preserve"> a seguinte Resolução:</w:t>
      </w:r>
    </w:p>
    <w:p w14:paraId="4EBD8632" w14:textId="371DEA3A" w:rsidR="00273211" w:rsidRPr="00273211" w:rsidRDefault="00273211" w:rsidP="00273211">
      <w:pPr>
        <w:autoSpaceDE w:val="0"/>
        <w:autoSpaceDN w:val="0"/>
        <w:adjustRightInd w:val="0"/>
        <w:spacing w:before="360" w:line="312" w:lineRule="auto"/>
        <w:ind w:firstLine="567"/>
        <w:rPr>
          <w:rFonts w:asciiTheme="minorHAnsi" w:hAnsiTheme="minorHAnsi" w:cstheme="minorHAnsi"/>
          <w:sz w:val="24"/>
        </w:rPr>
      </w:pPr>
      <w:r w:rsidRPr="00273211">
        <w:rPr>
          <w:rFonts w:asciiTheme="minorHAnsi" w:hAnsiTheme="minorHAnsi" w:cstheme="minorHAnsi"/>
          <w:sz w:val="24"/>
        </w:rPr>
        <w:t>Art. 1º  Torna obrigatóri</w:t>
      </w:r>
      <w:r w:rsidR="00824ACF">
        <w:rPr>
          <w:rFonts w:asciiTheme="minorHAnsi" w:hAnsiTheme="minorHAnsi" w:cstheme="minorHAnsi"/>
          <w:sz w:val="24"/>
        </w:rPr>
        <w:t>a</w:t>
      </w:r>
      <w:r w:rsidRPr="00273211">
        <w:rPr>
          <w:rFonts w:asciiTheme="minorHAnsi" w:hAnsiTheme="minorHAnsi" w:cstheme="minorHAnsi"/>
          <w:sz w:val="24"/>
        </w:rPr>
        <w:t xml:space="preserve"> para as companhias abertas </w:t>
      </w:r>
      <w:r w:rsidR="00824ACF">
        <w:rPr>
          <w:rFonts w:asciiTheme="minorHAnsi" w:hAnsiTheme="minorHAnsi" w:cstheme="minorHAnsi"/>
          <w:sz w:val="24"/>
        </w:rPr>
        <w:t>a Interpretação Técnica ICPC</w:t>
      </w:r>
      <w:r w:rsidR="00B56B95">
        <w:rPr>
          <w:rFonts w:asciiTheme="minorHAnsi" w:hAnsiTheme="minorHAnsi" w:cstheme="minorHAnsi"/>
          <w:sz w:val="24"/>
        </w:rPr>
        <w:t xml:space="preserve"> 21</w:t>
      </w:r>
      <w:r w:rsidR="00AD26A8" w:rsidRPr="00273211">
        <w:rPr>
          <w:rFonts w:asciiTheme="minorHAnsi" w:hAnsiTheme="minorHAnsi" w:cstheme="minorHAnsi"/>
          <w:sz w:val="24"/>
        </w:rPr>
        <w:t xml:space="preserve">, que trata </w:t>
      </w:r>
      <w:r w:rsidR="00AD26A8">
        <w:rPr>
          <w:rFonts w:asciiTheme="minorHAnsi" w:hAnsiTheme="minorHAnsi" w:cstheme="minorHAnsi"/>
          <w:sz w:val="24"/>
        </w:rPr>
        <w:t>d</w:t>
      </w:r>
      <w:r w:rsidR="00AD26A8" w:rsidRPr="00273211">
        <w:rPr>
          <w:rFonts w:asciiTheme="minorHAnsi" w:hAnsiTheme="minorHAnsi" w:cstheme="minorHAnsi"/>
          <w:sz w:val="24"/>
        </w:rPr>
        <w:t xml:space="preserve">e </w:t>
      </w:r>
      <w:r w:rsidR="00AD26A8">
        <w:rPr>
          <w:rFonts w:asciiTheme="minorHAnsi" w:hAnsiTheme="minorHAnsi" w:cstheme="minorHAnsi"/>
          <w:sz w:val="24"/>
        </w:rPr>
        <w:t>transação em moeda estrangeira e adiantamento,</w:t>
      </w:r>
      <w:r w:rsidRPr="00273211">
        <w:rPr>
          <w:rFonts w:asciiTheme="minorHAnsi" w:hAnsiTheme="minorHAnsi" w:cstheme="minorHAnsi"/>
          <w:sz w:val="24"/>
        </w:rPr>
        <w:t xml:space="preserve"> emitid</w:t>
      </w:r>
      <w:r w:rsidR="00824ACF">
        <w:rPr>
          <w:rFonts w:asciiTheme="minorHAnsi" w:hAnsiTheme="minorHAnsi" w:cstheme="minorHAnsi"/>
          <w:sz w:val="24"/>
        </w:rPr>
        <w:t>a</w:t>
      </w:r>
      <w:r w:rsidRPr="00273211">
        <w:rPr>
          <w:rFonts w:asciiTheme="minorHAnsi" w:hAnsiTheme="minorHAnsi" w:cstheme="minorHAnsi"/>
          <w:sz w:val="24"/>
        </w:rPr>
        <w:t xml:space="preserve"> pelo Comitê de Pronunciamentos Contábeis - CPC,</w:t>
      </w:r>
      <w:r w:rsidR="00AD26A8" w:rsidRPr="00AD26A8">
        <w:rPr>
          <w:rFonts w:asciiTheme="minorHAnsi" w:hAnsiTheme="minorHAnsi" w:cstheme="minorHAnsi"/>
          <w:sz w:val="24"/>
        </w:rPr>
        <w:t xml:space="preserve"> conforme consolidad</w:t>
      </w:r>
      <w:r w:rsidR="00AD26A8">
        <w:rPr>
          <w:rFonts w:asciiTheme="minorHAnsi" w:hAnsiTheme="minorHAnsi" w:cstheme="minorHAnsi"/>
          <w:sz w:val="24"/>
        </w:rPr>
        <w:t>a</w:t>
      </w:r>
      <w:r w:rsidR="00AD26A8" w:rsidRPr="00AD26A8">
        <w:rPr>
          <w:rFonts w:asciiTheme="minorHAnsi" w:hAnsiTheme="minorHAnsi" w:cstheme="minorHAnsi"/>
          <w:sz w:val="24"/>
        </w:rPr>
        <w:t xml:space="preserve"> no Anexo “A” à presente Resolução</w:t>
      </w:r>
      <w:r w:rsidRPr="00273211">
        <w:rPr>
          <w:rFonts w:asciiTheme="minorHAnsi" w:hAnsiTheme="minorHAnsi" w:cstheme="minorHAnsi"/>
          <w:sz w:val="24"/>
        </w:rPr>
        <w:t>.</w:t>
      </w:r>
    </w:p>
    <w:p w14:paraId="4E2C13E3" w14:textId="5A626BF2"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2º  </w:t>
      </w:r>
      <w:r w:rsidRPr="00273211">
        <w:rPr>
          <w:rFonts w:asciiTheme="minorHAnsi" w:hAnsiTheme="minorHAnsi" w:cstheme="minorHAnsi"/>
          <w:color w:val="000000" w:themeColor="text1"/>
          <w:sz w:val="24"/>
        </w:rPr>
        <w:t xml:space="preserve">Fica revogada a Deliberação </w:t>
      </w:r>
      <w:r w:rsidR="00D410C6">
        <w:rPr>
          <w:rFonts w:asciiTheme="minorHAnsi" w:hAnsiTheme="minorHAnsi" w:cstheme="minorHAnsi"/>
          <w:color w:val="000000" w:themeColor="text1"/>
          <w:sz w:val="24"/>
        </w:rPr>
        <w:t xml:space="preserve">CVM nº </w:t>
      </w:r>
      <w:r w:rsidR="00240633">
        <w:rPr>
          <w:rFonts w:asciiTheme="minorHAnsi" w:hAnsiTheme="minorHAnsi" w:cstheme="minorHAnsi"/>
          <w:color w:val="000000" w:themeColor="text1"/>
          <w:sz w:val="24"/>
        </w:rPr>
        <w:t>786</w:t>
      </w:r>
      <w:r w:rsidRPr="00273211">
        <w:rPr>
          <w:rFonts w:asciiTheme="minorHAnsi" w:hAnsiTheme="minorHAnsi" w:cstheme="minorHAnsi"/>
          <w:color w:val="000000" w:themeColor="text1"/>
          <w:sz w:val="24"/>
        </w:rPr>
        <w:t>, de</w:t>
      </w:r>
      <w:r w:rsidR="00240633">
        <w:rPr>
          <w:rFonts w:asciiTheme="minorHAnsi" w:hAnsiTheme="minorHAnsi" w:cstheme="minorHAnsi"/>
          <w:color w:val="000000" w:themeColor="text1"/>
          <w:sz w:val="24"/>
        </w:rPr>
        <w:t xml:space="preserve"> 21 de dezembro </w:t>
      </w:r>
      <w:r w:rsidRPr="00273211">
        <w:rPr>
          <w:rFonts w:asciiTheme="minorHAnsi" w:hAnsiTheme="minorHAnsi" w:cstheme="minorHAnsi"/>
          <w:color w:val="000000" w:themeColor="text1"/>
          <w:sz w:val="24"/>
        </w:rPr>
        <w:t>de 20</w:t>
      </w:r>
      <w:r w:rsidR="00240633">
        <w:rPr>
          <w:rFonts w:asciiTheme="minorHAnsi" w:hAnsiTheme="minorHAnsi" w:cstheme="minorHAnsi"/>
          <w:color w:val="000000" w:themeColor="text1"/>
          <w:sz w:val="24"/>
        </w:rPr>
        <w:t>17</w:t>
      </w:r>
      <w:r w:rsidR="00AD26A8" w:rsidRPr="00AD26A8">
        <w:rPr>
          <w:rFonts w:asciiTheme="minorHAnsi" w:hAnsiTheme="minorHAnsi" w:cstheme="minorHAnsi"/>
          <w:color w:val="000000" w:themeColor="text1"/>
          <w:sz w:val="24"/>
        </w:rPr>
        <w:t>, a partir da vigência desta Resolução</w:t>
      </w:r>
      <w:r w:rsidRPr="00273211">
        <w:rPr>
          <w:rFonts w:asciiTheme="minorHAnsi" w:hAnsiTheme="minorHAnsi" w:cstheme="minorHAnsi"/>
          <w:sz w:val="24"/>
        </w:rPr>
        <w:t>.</w:t>
      </w:r>
    </w:p>
    <w:p w14:paraId="7C1D6C73" w14:textId="7BF06470"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3º  </w:t>
      </w:r>
      <w:r w:rsidR="000E0127" w:rsidRPr="000E0127">
        <w:rPr>
          <w:rFonts w:asciiTheme="minorHAnsi" w:hAnsiTheme="minorHAnsi" w:cstheme="minorHAnsi"/>
          <w:sz w:val="24"/>
        </w:rPr>
        <w:t>Esta Resolução entra em vigor em 1º de julho de 2022</w:t>
      </w:r>
      <w:r w:rsidRPr="00273211">
        <w:rPr>
          <w:rFonts w:asciiTheme="minorHAnsi" w:hAnsiTheme="minorHAnsi" w:cstheme="minorHAnsi"/>
          <w:sz w:val="24"/>
        </w:rPr>
        <w:t>.</w:t>
      </w:r>
    </w:p>
    <w:p w14:paraId="4E886EE9" w14:textId="5FF432C1" w:rsidR="00A21437" w:rsidRPr="00A92033" w:rsidRDefault="00A21437">
      <w:pPr>
        <w:spacing w:before="0" w:after="160" w:line="259" w:lineRule="auto"/>
        <w:jc w:val="left"/>
        <w:rPr>
          <w:rFonts w:cs="Arial"/>
          <w:sz w:val="24"/>
        </w:rPr>
      </w:pPr>
    </w:p>
    <w:p w14:paraId="224E36B0" w14:textId="77777777" w:rsidR="00A92033" w:rsidRPr="00A92033" w:rsidRDefault="00A92033" w:rsidP="00A92033">
      <w:pPr>
        <w:jc w:val="center"/>
        <w:rPr>
          <w:rFonts w:asciiTheme="minorHAnsi" w:hAnsiTheme="minorHAnsi" w:cstheme="minorHAnsi"/>
          <w:i/>
          <w:iCs/>
          <w:color w:val="000000"/>
          <w:sz w:val="24"/>
        </w:rPr>
      </w:pPr>
      <w:r w:rsidRPr="00A92033">
        <w:rPr>
          <w:rFonts w:asciiTheme="minorHAnsi" w:hAnsiTheme="minorHAnsi" w:cstheme="minorHAnsi"/>
          <w:i/>
          <w:iCs/>
          <w:color w:val="000000"/>
          <w:sz w:val="24"/>
        </w:rPr>
        <w:t>Assinado eletronicamente por</w:t>
      </w:r>
    </w:p>
    <w:p w14:paraId="2D94B5D6" w14:textId="77777777" w:rsidR="00A92033" w:rsidRPr="00A92033" w:rsidRDefault="00A92033" w:rsidP="00A92033">
      <w:pPr>
        <w:jc w:val="center"/>
        <w:rPr>
          <w:rFonts w:asciiTheme="minorHAnsi" w:hAnsiTheme="minorHAnsi" w:cstheme="minorHAnsi"/>
          <w:b/>
          <w:bCs/>
          <w:color w:val="000000"/>
          <w:sz w:val="24"/>
        </w:rPr>
      </w:pPr>
      <w:r w:rsidRPr="00A92033">
        <w:rPr>
          <w:rFonts w:asciiTheme="minorHAnsi" w:hAnsiTheme="minorHAnsi" w:cstheme="minorHAnsi"/>
          <w:b/>
          <w:bCs/>
          <w:color w:val="000000"/>
          <w:sz w:val="24"/>
        </w:rPr>
        <w:t>Marcelo Barbosa</w:t>
      </w:r>
    </w:p>
    <w:p w14:paraId="3D10998D" w14:textId="77777777" w:rsidR="00A92033" w:rsidRPr="00A92033" w:rsidRDefault="00A92033" w:rsidP="00A92033">
      <w:pPr>
        <w:jc w:val="center"/>
        <w:rPr>
          <w:rFonts w:asciiTheme="minorHAnsi" w:hAnsiTheme="minorHAnsi" w:cstheme="minorHAnsi"/>
          <w:b/>
          <w:bCs/>
          <w:color w:val="000000"/>
          <w:sz w:val="24"/>
        </w:rPr>
      </w:pPr>
      <w:r w:rsidRPr="00A92033">
        <w:rPr>
          <w:rFonts w:asciiTheme="minorHAnsi" w:hAnsiTheme="minorHAnsi" w:cstheme="minorHAnsi"/>
          <w:b/>
          <w:bCs/>
          <w:color w:val="000000"/>
          <w:sz w:val="24"/>
        </w:rPr>
        <w:t>Presidente</w:t>
      </w:r>
    </w:p>
    <w:p w14:paraId="69D71F89" w14:textId="77777777" w:rsidR="00CF08C5" w:rsidRPr="00A92033" w:rsidRDefault="00CF08C5">
      <w:pPr>
        <w:spacing w:before="0" w:after="160" w:line="259" w:lineRule="auto"/>
        <w:jc w:val="left"/>
        <w:rPr>
          <w:rFonts w:cs="Arial"/>
          <w:sz w:val="24"/>
        </w:rPr>
      </w:pPr>
    </w:p>
    <w:p w14:paraId="74B88778" w14:textId="770323FC" w:rsidR="00DF62F3" w:rsidRDefault="00DF62F3">
      <w:pPr>
        <w:spacing w:before="0" w:after="160" w:line="259" w:lineRule="auto"/>
        <w:jc w:val="left"/>
        <w:rPr>
          <w:rFonts w:cs="Arial"/>
          <w:b/>
          <w:sz w:val="22"/>
          <w:szCs w:val="22"/>
          <w:lang w:val="pt-BR"/>
        </w:rPr>
      </w:pPr>
      <w:r>
        <w:rPr>
          <w:rFonts w:cs="Arial"/>
          <w:b/>
          <w:sz w:val="22"/>
          <w:szCs w:val="22"/>
          <w:lang w:val="pt-BR"/>
        </w:rPr>
        <w:br w:type="page"/>
      </w:r>
    </w:p>
    <w:p w14:paraId="2FD4C0A3" w14:textId="6F3C1271" w:rsidR="00F065B9" w:rsidRDefault="00F065B9" w:rsidP="00B2760C">
      <w:pPr>
        <w:spacing w:before="0" w:after="0"/>
        <w:jc w:val="center"/>
        <w:outlineLvl w:val="0"/>
        <w:rPr>
          <w:rFonts w:cs="Arial"/>
          <w:b/>
          <w:sz w:val="22"/>
          <w:szCs w:val="22"/>
          <w:lang w:val="pt-BR"/>
        </w:rPr>
      </w:pPr>
      <w:r w:rsidRPr="00F065B9">
        <w:rPr>
          <w:rFonts w:cs="Arial"/>
          <w:b/>
          <w:sz w:val="22"/>
          <w:szCs w:val="22"/>
          <w:lang w:val="pt-BR"/>
        </w:rPr>
        <w:lastRenderedPageBreak/>
        <w:t>ANEXO “A”</w:t>
      </w:r>
    </w:p>
    <w:p w14:paraId="5DE06D6C" w14:textId="77777777" w:rsidR="00F065B9" w:rsidRDefault="00F065B9" w:rsidP="00B2760C">
      <w:pPr>
        <w:spacing w:before="0" w:after="0"/>
        <w:jc w:val="center"/>
        <w:outlineLvl w:val="0"/>
        <w:rPr>
          <w:rFonts w:cs="Arial"/>
          <w:b/>
          <w:sz w:val="22"/>
          <w:szCs w:val="22"/>
          <w:lang w:val="pt-BR"/>
        </w:rPr>
      </w:pPr>
    </w:p>
    <w:p w14:paraId="49B41951" w14:textId="0FEEF958" w:rsidR="00B2760C" w:rsidRPr="00B2760C" w:rsidRDefault="00B2760C" w:rsidP="00B2760C">
      <w:pPr>
        <w:spacing w:before="0" w:after="0"/>
        <w:jc w:val="center"/>
        <w:outlineLvl w:val="0"/>
        <w:rPr>
          <w:rFonts w:cs="Arial"/>
          <w:b/>
          <w:sz w:val="22"/>
          <w:szCs w:val="22"/>
          <w:lang w:val="pt-BR"/>
        </w:rPr>
      </w:pPr>
      <w:bookmarkStart w:id="0" w:name="_GoBack"/>
      <w:bookmarkEnd w:id="0"/>
      <w:r w:rsidRPr="00B2760C">
        <w:rPr>
          <w:rFonts w:cs="Arial"/>
          <w:b/>
          <w:sz w:val="22"/>
          <w:szCs w:val="22"/>
          <w:lang w:val="pt-BR"/>
        </w:rPr>
        <w:t>COMITÊ DE PRONUNCIAMENTOS CONTÁBEIS</w:t>
      </w:r>
    </w:p>
    <w:p w14:paraId="1D3C0681" w14:textId="77777777" w:rsidR="00B2760C" w:rsidRPr="00B2760C" w:rsidRDefault="00B2760C" w:rsidP="00B2760C">
      <w:pPr>
        <w:spacing w:before="0" w:after="0"/>
        <w:jc w:val="center"/>
        <w:outlineLvl w:val="0"/>
        <w:rPr>
          <w:rFonts w:cs="Arial"/>
          <w:b/>
          <w:sz w:val="22"/>
          <w:szCs w:val="22"/>
          <w:lang w:val="pt-BR"/>
        </w:rPr>
      </w:pPr>
    </w:p>
    <w:p w14:paraId="22D240AE" w14:textId="77777777" w:rsidR="00B2760C" w:rsidRPr="00B2760C" w:rsidRDefault="00B2760C" w:rsidP="00B2760C">
      <w:pPr>
        <w:spacing w:before="0" w:after="0"/>
        <w:jc w:val="center"/>
        <w:outlineLvl w:val="0"/>
        <w:rPr>
          <w:rFonts w:cs="Arial"/>
          <w:b/>
          <w:sz w:val="22"/>
          <w:szCs w:val="22"/>
          <w:lang w:val="pt-BR"/>
        </w:rPr>
      </w:pPr>
      <w:r w:rsidRPr="00B2760C">
        <w:rPr>
          <w:rFonts w:cs="Arial"/>
          <w:b/>
          <w:sz w:val="22"/>
          <w:szCs w:val="22"/>
          <w:lang w:val="pt-BR"/>
        </w:rPr>
        <w:t>INTERPRETAÇÃO TÉCNICA ICPC 21</w:t>
      </w:r>
    </w:p>
    <w:p w14:paraId="7708276D" w14:textId="77777777" w:rsidR="00B2760C" w:rsidRPr="00B2760C" w:rsidRDefault="00B2760C" w:rsidP="00B2760C">
      <w:pPr>
        <w:spacing w:before="0" w:after="0"/>
        <w:jc w:val="center"/>
        <w:outlineLvl w:val="0"/>
        <w:rPr>
          <w:rFonts w:cs="Arial"/>
          <w:b/>
          <w:color w:val="FF0000"/>
          <w:sz w:val="22"/>
          <w:szCs w:val="22"/>
          <w:lang w:val="pt-BR"/>
        </w:rPr>
      </w:pPr>
    </w:p>
    <w:p w14:paraId="0EDD8719" w14:textId="77777777" w:rsidR="00B2760C" w:rsidRPr="00B2760C" w:rsidRDefault="00B2760C" w:rsidP="00B2760C">
      <w:pPr>
        <w:spacing w:before="0" w:after="0"/>
        <w:jc w:val="center"/>
        <w:rPr>
          <w:rFonts w:cs="Arial"/>
          <w:b/>
          <w:sz w:val="22"/>
          <w:szCs w:val="22"/>
          <w:lang w:val="pt-BR"/>
        </w:rPr>
      </w:pPr>
      <w:r w:rsidRPr="00B2760C">
        <w:rPr>
          <w:rFonts w:cs="Arial"/>
          <w:b/>
          <w:sz w:val="22"/>
          <w:szCs w:val="22"/>
          <w:lang w:val="pt-BR"/>
        </w:rPr>
        <w:t>TRANSAÇÃO EM MOEDA ESTRANGEIRA E ADIANTAMENTO</w:t>
      </w:r>
    </w:p>
    <w:p w14:paraId="63947F5B" w14:textId="77777777" w:rsidR="00B2760C" w:rsidRPr="00B2760C" w:rsidRDefault="00B2760C" w:rsidP="00B2760C">
      <w:pPr>
        <w:spacing w:before="0" w:after="0"/>
        <w:jc w:val="center"/>
        <w:outlineLvl w:val="0"/>
        <w:rPr>
          <w:rFonts w:cs="Arial"/>
          <w:b/>
          <w:i/>
          <w:sz w:val="22"/>
          <w:szCs w:val="22"/>
          <w:lang w:val="pt-BR"/>
        </w:rPr>
      </w:pPr>
    </w:p>
    <w:p w14:paraId="52E6A584" w14:textId="77777777" w:rsidR="00B2760C" w:rsidRPr="00B2760C" w:rsidRDefault="00B2760C" w:rsidP="00B2760C">
      <w:pPr>
        <w:spacing w:before="0" w:after="0"/>
        <w:jc w:val="center"/>
        <w:outlineLvl w:val="0"/>
        <w:rPr>
          <w:rFonts w:cs="Arial"/>
          <w:b/>
          <w:sz w:val="22"/>
          <w:szCs w:val="22"/>
          <w:lang w:val="pt-BR"/>
        </w:rPr>
      </w:pPr>
    </w:p>
    <w:p w14:paraId="7568A286" w14:textId="77777777" w:rsidR="00B2760C" w:rsidRPr="00B2760C" w:rsidRDefault="00B2760C" w:rsidP="00B2760C">
      <w:pPr>
        <w:spacing w:before="0" w:after="0"/>
        <w:jc w:val="center"/>
        <w:outlineLvl w:val="0"/>
        <w:rPr>
          <w:rFonts w:cs="Arial"/>
          <w:bCs/>
          <w:sz w:val="22"/>
          <w:szCs w:val="22"/>
          <w:lang w:val="pt-BR"/>
        </w:rPr>
      </w:pPr>
      <w:r w:rsidRPr="00B2760C">
        <w:rPr>
          <w:rFonts w:cs="Arial"/>
          <w:bCs/>
          <w:sz w:val="22"/>
          <w:szCs w:val="22"/>
          <w:lang w:val="pt-BR"/>
        </w:rPr>
        <w:t>Correlação às Normas Internacionais de Contabilidade – IFRIC 22</w:t>
      </w:r>
    </w:p>
    <w:p w14:paraId="4A2FEC42" w14:textId="77777777" w:rsidR="00B2760C" w:rsidRPr="00B2760C" w:rsidRDefault="00B2760C" w:rsidP="00B2760C">
      <w:pPr>
        <w:spacing w:before="0" w:after="0"/>
        <w:jc w:val="center"/>
        <w:outlineLvl w:val="0"/>
        <w:rPr>
          <w:rFonts w:cs="Arial"/>
          <w:b/>
          <w:sz w:val="22"/>
          <w:szCs w:val="22"/>
          <w:lang w:val="pt-BR"/>
        </w:rPr>
      </w:pPr>
    </w:p>
    <w:tbl>
      <w:tblPr>
        <w:tblW w:w="9072"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1152"/>
      </w:tblGrid>
      <w:tr w:rsidR="00B2760C" w:rsidRPr="00B2760C" w14:paraId="44947EEB" w14:textId="77777777" w:rsidTr="000F7D2C">
        <w:tc>
          <w:tcPr>
            <w:tcW w:w="7920" w:type="dxa"/>
          </w:tcPr>
          <w:p w14:paraId="2B878A4D" w14:textId="77777777" w:rsidR="00B2760C" w:rsidRPr="00B2760C" w:rsidRDefault="00B2760C" w:rsidP="00B2760C">
            <w:pPr>
              <w:spacing w:before="60" w:after="60"/>
              <w:rPr>
                <w:rFonts w:cs="Arial"/>
                <w:b/>
                <w:bCs/>
                <w:kern w:val="36"/>
                <w:sz w:val="22"/>
                <w:szCs w:val="22"/>
              </w:rPr>
            </w:pPr>
            <w:r w:rsidRPr="00B2760C">
              <w:rPr>
                <w:rFonts w:cs="Arial"/>
                <w:b/>
                <w:bCs/>
                <w:kern w:val="36"/>
                <w:sz w:val="22"/>
                <w:szCs w:val="22"/>
              </w:rPr>
              <w:t>Sumário</w:t>
            </w:r>
          </w:p>
        </w:tc>
        <w:tc>
          <w:tcPr>
            <w:tcW w:w="1152" w:type="dxa"/>
          </w:tcPr>
          <w:p w14:paraId="09D17C26" w14:textId="77777777" w:rsidR="00B2760C" w:rsidRPr="00B2760C" w:rsidRDefault="00B2760C" w:rsidP="00B2760C">
            <w:pPr>
              <w:spacing w:before="60" w:after="60"/>
              <w:jc w:val="center"/>
              <w:rPr>
                <w:rFonts w:cs="Arial"/>
                <w:b/>
                <w:bCs/>
                <w:kern w:val="36"/>
                <w:sz w:val="22"/>
                <w:szCs w:val="22"/>
              </w:rPr>
            </w:pPr>
            <w:r w:rsidRPr="00B2760C">
              <w:rPr>
                <w:rFonts w:cs="Arial"/>
                <w:b/>
                <w:bCs/>
                <w:kern w:val="36"/>
                <w:sz w:val="22"/>
                <w:szCs w:val="22"/>
              </w:rPr>
              <w:t>Item</w:t>
            </w:r>
          </w:p>
        </w:tc>
      </w:tr>
      <w:tr w:rsidR="00B2760C" w:rsidRPr="00B2760C" w14:paraId="3C2CB6E9" w14:textId="77777777" w:rsidTr="000F7D2C">
        <w:tc>
          <w:tcPr>
            <w:tcW w:w="7920" w:type="dxa"/>
          </w:tcPr>
          <w:p w14:paraId="0FD5D14B" w14:textId="77777777" w:rsidR="00B2760C" w:rsidRPr="00B2760C" w:rsidRDefault="00B2760C" w:rsidP="00B2760C">
            <w:pPr>
              <w:spacing w:before="60" w:after="60"/>
              <w:rPr>
                <w:rFonts w:cs="Arial"/>
                <w:b/>
                <w:bCs/>
                <w:kern w:val="36"/>
                <w:sz w:val="22"/>
                <w:szCs w:val="22"/>
              </w:rPr>
            </w:pPr>
            <w:r w:rsidRPr="00B2760C">
              <w:rPr>
                <w:rFonts w:cs="Arial"/>
                <w:b/>
                <w:bCs/>
                <w:kern w:val="36"/>
                <w:sz w:val="22"/>
                <w:szCs w:val="22"/>
              </w:rPr>
              <w:t>REFERÊNCIAS</w:t>
            </w:r>
          </w:p>
        </w:tc>
        <w:tc>
          <w:tcPr>
            <w:tcW w:w="1152" w:type="dxa"/>
          </w:tcPr>
          <w:p w14:paraId="18CAEE82" w14:textId="77777777" w:rsidR="00B2760C" w:rsidRPr="00B2760C" w:rsidRDefault="00B2760C" w:rsidP="00B2760C">
            <w:pPr>
              <w:spacing w:before="60" w:after="60"/>
              <w:jc w:val="center"/>
              <w:rPr>
                <w:rFonts w:cs="Arial"/>
                <w:b/>
                <w:bCs/>
                <w:kern w:val="36"/>
                <w:sz w:val="22"/>
                <w:szCs w:val="22"/>
              </w:rPr>
            </w:pPr>
          </w:p>
        </w:tc>
      </w:tr>
      <w:tr w:rsidR="00B2760C" w:rsidRPr="00B2760C" w14:paraId="35853464" w14:textId="77777777" w:rsidTr="000F7D2C">
        <w:tc>
          <w:tcPr>
            <w:tcW w:w="7920" w:type="dxa"/>
          </w:tcPr>
          <w:p w14:paraId="1A71DFA4" w14:textId="77777777" w:rsidR="00B2760C" w:rsidRPr="00B2760C" w:rsidRDefault="00B2760C" w:rsidP="00B2760C">
            <w:pPr>
              <w:spacing w:before="60" w:after="60"/>
              <w:rPr>
                <w:rFonts w:cs="Arial"/>
                <w:b/>
                <w:bCs/>
                <w:kern w:val="36"/>
                <w:sz w:val="22"/>
                <w:szCs w:val="22"/>
              </w:rPr>
            </w:pPr>
            <w:r w:rsidRPr="00B2760C">
              <w:rPr>
                <w:rFonts w:cs="Arial"/>
                <w:b/>
                <w:bCs/>
                <w:kern w:val="36"/>
                <w:sz w:val="22"/>
                <w:szCs w:val="22"/>
              </w:rPr>
              <w:t>CONTEXTO</w:t>
            </w:r>
          </w:p>
        </w:tc>
        <w:tc>
          <w:tcPr>
            <w:tcW w:w="1152" w:type="dxa"/>
          </w:tcPr>
          <w:p w14:paraId="1D9D45A3" w14:textId="77777777" w:rsidR="00B2760C" w:rsidRPr="00B2760C" w:rsidRDefault="00B2760C" w:rsidP="00B2760C">
            <w:pPr>
              <w:spacing w:before="60" w:after="60"/>
              <w:jc w:val="center"/>
              <w:rPr>
                <w:rFonts w:cs="Arial"/>
                <w:b/>
                <w:bCs/>
                <w:kern w:val="36"/>
                <w:sz w:val="22"/>
                <w:szCs w:val="22"/>
              </w:rPr>
            </w:pPr>
            <w:r w:rsidRPr="00B2760C">
              <w:rPr>
                <w:rFonts w:cs="Arial"/>
                <w:b/>
                <w:bCs/>
                <w:kern w:val="36"/>
                <w:sz w:val="22"/>
                <w:szCs w:val="22"/>
              </w:rPr>
              <w:t>1 – 3</w:t>
            </w:r>
          </w:p>
        </w:tc>
      </w:tr>
      <w:tr w:rsidR="00B2760C" w:rsidRPr="00B2760C" w14:paraId="2837C35C" w14:textId="77777777" w:rsidTr="000F7D2C">
        <w:tc>
          <w:tcPr>
            <w:tcW w:w="7920" w:type="dxa"/>
          </w:tcPr>
          <w:p w14:paraId="5237A051" w14:textId="77777777" w:rsidR="00B2760C" w:rsidRPr="00B2760C" w:rsidRDefault="00B2760C" w:rsidP="00B2760C">
            <w:pPr>
              <w:spacing w:before="60" w:after="60"/>
              <w:rPr>
                <w:rFonts w:cs="Arial"/>
                <w:b/>
                <w:bCs/>
                <w:kern w:val="36"/>
                <w:sz w:val="22"/>
                <w:szCs w:val="22"/>
              </w:rPr>
            </w:pPr>
            <w:r w:rsidRPr="00B2760C">
              <w:rPr>
                <w:rFonts w:cs="Arial"/>
                <w:b/>
                <w:bCs/>
                <w:kern w:val="36"/>
                <w:sz w:val="22"/>
                <w:szCs w:val="22"/>
              </w:rPr>
              <w:t>ALCANCE</w:t>
            </w:r>
          </w:p>
        </w:tc>
        <w:tc>
          <w:tcPr>
            <w:tcW w:w="1152" w:type="dxa"/>
          </w:tcPr>
          <w:p w14:paraId="3B0E21E9" w14:textId="77777777" w:rsidR="00B2760C" w:rsidRPr="00B2760C" w:rsidRDefault="00B2760C" w:rsidP="00B2760C">
            <w:pPr>
              <w:spacing w:before="60" w:after="60"/>
              <w:jc w:val="center"/>
              <w:rPr>
                <w:rFonts w:cs="Arial"/>
                <w:b/>
                <w:bCs/>
                <w:kern w:val="36"/>
                <w:sz w:val="22"/>
                <w:szCs w:val="22"/>
              </w:rPr>
            </w:pPr>
            <w:r w:rsidRPr="00B2760C">
              <w:rPr>
                <w:rFonts w:cs="Arial"/>
                <w:b/>
                <w:bCs/>
                <w:kern w:val="36"/>
                <w:sz w:val="22"/>
                <w:szCs w:val="22"/>
              </w:rPr>
              <w:t>4 – 6</w:t>
            </w:r>
          </w:p>
        </w:tc>
      </w:tr>
      <w:tr w:rsidR="00B2760C" w:rsidRPr="00B2760C" w14:paraId="4A14B83E" w14:textId="77777777" w:rsidTr="000F7D2C">
        <w:tc>
          <w:tcPr>
            <w:tcW w:w="7920" w:type="dxa"/>
          </w:tcPr>
          <w:p w14:paraId="7E4E607B" w14:textId="77777777" w:rsidR="00B2760C" w:rsidRPr="00B2760C" w:rsidRDefault="00B2760C" w:rsidP="00B2760C">
            <w:pPr>
              <w:spacing w:before="60" w:after="60"/>
              <w:rPr>
                <w:rFonts w:cs="Arial"/>
                <w:b/>
                <w:bCs/>
                <w:kern w:val="36"/>
                <w:sz w:val="22"/>
                <w:szCs w:val="22"/>
              </w:rPr>
            </w:pPr>
            <w:r w:rsidRPr="00B2760C">
              <w:rPr>
                <w:rFonts w:cs="Arial"/>
                <w:b/>
                <w:bCs/>
                <w:kern w:val="36"/>
                <w:sz w:val="22"/>
                <w:szCs w:val="22"/>
              </w:rPr>
              <w:t>QUESTÃO</w:t>
            </w:r>
          </w:p>
        </w:tc>
        <w:tc>
          <w:tcPr>
            <w:tcW w:w="1152" w:type="dxa"/>
          </w:tcPr>
          <w:p w14:paraId="1FD85A81" w14:textId="77777777" w:rsidR="00B2760C" w:rsidRPr="00B2760C" w:rsidRDefault="00B2760C" w:rsidP="00B2760C">
            <w:pPr>
              <w:spacing w:before="60" w:after="60"/>
              <w:jc w:val="center"/>
              <w:rPr>
                <w:rFonts w:cs="Arial"/>
                <w:b/>
                <w:bCs/>
                <w:kern w:val="36"/>
                <w:sz w:val="22"/>
                <w:szCs w:val="22"/>
              </w:rPr>
            </w:pPr>
            <w:r w:rsidRPr="00B2760C">
              <w:rPr>
                <w:rFonts w:cs="Arial"/>
                <w:b/>
                <w:bCs/>
                <w:kern w:val="36"/>
                <w:sz w:val="22"/>
                <w:szCs w:val="22"/>
              </w:rPr>
              <w:t>7</w:t>
            </w:r>
          </w:p>
        </w:tc>
      </w:tr>
      <w:tr w:rsidR="00B2760C" w:rsidRPr="00B2760C" w14:paraId="4785119F" w14:textId="77777777" w:rsidTr="000F7D2C">
        <w:tc>
          <w:tcPr>
            <w:tcW w:w="7920" w:type="dxa"/>
          </w:tcPr>
          <w:p w14:paraId="17ECF0E7" w14:textId="77777777" w:rsidR="00B2760C" w:rsidRPr="00B2760C" w:rsidRDefault="00B2760C" w:rsidP="00B2760C">
            <w:pPr>
              <w:spacing w:before="60" w:after="60"/>
              <w:rPr>
                <w:rFonts w:cs="Arial"/>
                <w:b/>
                <w:bCs/>
                <w:kern w:val="36"/>
                <w:sz w:val="22"/>
                <w:szCs w:val="22"/>
              </w:rPr>
            </w:pPr>
            <w:r w:rsidRPr="00B2760C">
              <w:rPr>
                <w:rFonts w:cs="Arial"/>
                <w:b/>
                <w:bCs/>
                <w:kern w:val="36"/>
                <w:sz w:val="22"/>
                <w:szCs w:val="22"/>
              </w:rPr>
              <w:t>CONSENSO</w:t>
            </w:r>
          </w:p>
        </w:tc>
        <w:tc>
          <w:tcPr>
            <w:tcW w:w="1152" w:type="dxa"/>
          </w:tcPr>
          <w:p w14:paraId="77E2813E" w14:textId="77777777" w:rsidR="00B2760C" w:rsidRPr="00B2760C" w:rsidRDefault="00B2760C" w:rsidP="00B2760C">
            <w:pPr>
              <w:spacing w:before="60" w:after="60"/>
              <w:jc w:val="center"/>
              <w:rPr>
                <w:rFonts w:cs="Arial"/>
                <w:b/>
                <w:bCs/>
                <w:kern w:val="36"/>
                <w:sz w:val="22"/>
                <w:szCs w:val="22"/>
              </w:rPr>
            </w:pPr>
            <w:r w:rsidRPr="00B2760C">
              <w:rPr>
                <w:rFonts w:cs="Arial"/>
                <w:b/>
                <w:bCs/>
                <w:kern w:val="36"/>
                <w:sz w:val="22"/>
                <w:szCs w:val="22"/>
              </w:rPr>
              <w:t>8 – 9</w:t>
            </w:r>
          </w:p>
        </w:tc>
      </w:tr>
      <w:tr w:rsidR="00B2760C" w:rsidRPr="00B2760C" w14:paraId="6C2DE66A" w14:textId="77777777" w:rsidTr="000F7D2C">
        <w:tc>
          <w:tcPr>
            <w:tcW w:w="7920" w:type="dxa"/>
          </w:tcPr>
          <w:p w14:paraId="5701E264" w14:textId="77777777" w:rsidR="00B2760C" w:rsidRPr="00B2760C" w:rsidRDefault="00B2760C" w:rsidP="00B2760C">
            <w:pPr>
              <w:spacing w:before="60" w:after="60"/>
              <w:rPr>
                <w:rFonts w:cs="Arial"/>
                <w:b/>
                <w:bCs/>
                <w:kern w:val="36"/>
                <w:sz w:val="22"/>
                <w:szCs w:val="22"/>
                <w:lang w:val="pt-BR"/>
              </w:rPr>
            </w:pPr>
            <w:r w:rsidRPr="00B2760C">
              <w:rPr>
                <w:rFonts w:cs="Arial"/>
                <w:sz w:val="22"/>
                <w:szCs w:val="22"/>
                <w:lang w:val="pt-BR"/>
              </w:rPr>
              <w:t>Apêndice A – Data de vigência e transição</w:t>
            </w:r>
          </w:p>
        </w:tc>
        <w:tc>
          <w:tcPr>
            <w:tcW w:w="1152" w:type="dxa"/>
          </w:tcPr>
          <w:p w14:paraId="7E570A2A" w14:textId="77777777" w:rsidR="00B2760C" w:rsidRPr="00B2760C" w:rsidRDefault="00B2760C" w:rsidP="00B2760C">
            <w:pPr>
              <w:spacing w:before="60" w:after="60"/>
              <w:jc w:val="center"/>
              <w:rPr>
                <w:rFonts w:cs="Arial"/>
                <w:b/>
                <w:bCs/>
                <w:kern w:val="36"/>
                <w:sz w:val="22"/>
                <w:szCs w:val="22"/>
                <w:lang w:val="pt-BR"/>
              </w:rPr>
            </w:pPr>
          </w:p>
        </w:tc>
      </w:tr>
    </w:tbl>
    <w:p w14:paraId="37ED65C5" w14:textId="77777777" w:rsidR="00B2760C" w:rsidRPr="00B2760C" w:rsidRDefault="00B2760C" w:rsidP="00B2760C">
      <w:pPr>
        <w:widowControl w:val="0"/>
        <w:tabs>
          <w:tab w:val="left" w:pos="6804"/>
        </w:tabs>
        <w:spacing w:before="0" w:after="0"/>
        <w:ind w:right="57"/>
        <w:rPr>
          <w:rFonts w:cs="Arial"/>
          <w:b/>
          <w:sz w:val="22"/>
          <w:szCs w:val="22"/>
          <w:lang w:val="pt-BR"/>
        </w:rPr>
      </w:pPr>
    </w:p>
    <w:p w14:paraId="29661ABF" w14:textId="77777777" w:rsidR="00B2760C" w:rsidRPr="00B2760C" w:rsidRDefault="00B2760C" w:rsidP="00B2760C">
      <w:pPr>
        <w:spacing w:before="0" w:after="0"/>
        <w:rPr>
          <w:rFonts w:cs="Arial"/>
          <w:b/>
          <w:sz w:val="22"/>
          <w:szCs w:val="22"/>
          <w:lang w:val="pt-BR"/>
        </w:rPr>
      </w:pPr>
    </w:p>
    <w:p w14:paraId="1F86DF48" w14:textId="6A7931C3" w:rsidR="00B2760C" w:rsidRDefault="00B2760C" w:rsidP="00B2760C">
      <w:pPr>
        <w:spacing w:before="0" w:after="0"/>
        <w:rPr>
          <w:rFonts w:cs="Arial"/>
          <w:b/>
          <w:sz w:val="22"/>
          <w:szCs w:val="22"/>
          <w:lang w:val="pt-BR"/>
        </w:rPr>
      </w:pPr>
    </w:p>
    <w:p w14:paraId="4D1CE59B" w14:textId="1FF1EFBD" w:rsidR="00B2760C" w:rsidRPr="00B2760C" w:rsidRDefault="00B2760C" w:rsidP="00B2760C">
      <w:pPr>
        <w:spacing w:before="0" w:after="0"/>
        <w:rPr>
          <w:rFonts w:cs="Arial"/>
          <w:b/>
          <w:sz w:val="22"/>
          <w:szCs w:val="22"/>
          <w:lang w:val="pt-BR"/>
        </w:rPr>
      </w:pPr>
      <w:r w:rsidRPr="00B2760C">
        <w:rPr>
          <w:rFonts w:cs="Arial"/>
          <w:b/>
          <w:sz w:val="22"/>
          <w:szCs w:val="22"/>
          <w:lang w:val="pt-BR"/>
        </w:rPr>
        <w:t>Referências</w:t>
      </w:r>
    </w:p>
    <w:p w14:paraId="68A14B70" w14:textId="77777777" w:rsidR="00B2760C" w:rsidRPr="00B2760C" w:rsidRDefault="00B2760C" w:rsidP="00B2760C">
      <w:pPr>
        <w:spacing w:before="0" w:after="0"/>
        <w:rPr>
          <w:rFonts w:cs="Arial"/>
          <w:b/>
          <w:sz w:val="22"/>
          <w:szCs w:val="22"/>
          <w:lang w:val="pt-BR"/>
        </w:rPr>
      </w:pPr>
    </w:p>
    <w:p w14:paraId="10F5A487" w14:textId="07426C77" w:rsidR="00B2760C" w:rsidRPr="00B2760C" w:rsidRDefault="00B2760C" w:rsidP="00B2760C">
      <w:pPr>
        <w:numPr>
          <w:ilvl w:val="0"/>
          <w:numId w:val="2"/>
        </w:numPr>
        <w:spacing w:before="0" w:after="0"/>
        <w:ind w:left="284" w:hanging="284"/>
        <w:jc w:val="left"/>
        <w:rPr>
          <w:rFonts w:cs="Arial"/>
          <w:sz w:val="22"/>
          <w:szCs w:val="22"/>
          <w:lang w:val="pt-BR"/>
        </w:rPr>
      </w:pPr>
      <w:r w:rsidRPr="00B2760C">
        <w:rPr>
          <w:rFonts w:cs="Arial"/>
          <w:sz w:val="22"/>
          <w:szCs w:val="22"/>
          <w:lang w:val="pt-BR"/>
        </w:rPr>
        <w:t xml:space="preserve">CPC 00 – Estrutura Conceitual para Relatório Financeiro </w:t>
      </w:r>
    </w:p>
    <w:p w14:paraId="3AB59660" w14:textId="77777777" w:rsidR="00B2760C" w:rsidRPr="00B2760C" w:rsidRDefault="00B2760C" w:rsidP="00B2760C">
      <w:pPr>
        <w:numPr>
          <w:ilvl w:val="0"/>
          <w:numId w:val="2"/>
        </w:numPr>
        <w:spacing w:before="0" w:after="0"/>
        <w:ind w:left="284" w:hanging="284"/>
        <w:jc w:val="left"/>
        <w:rPr>
          <w:rFonts w:cs="Arial"/>
          <w:sz w:val="22"/>
          <w:szCs w:val="22"/>
          <w:lang w:val="pt-BR"/>
        </w:rPr>
      </w:pPr>
      <w:r w:rsidRPr="00B2760C">
        <w:rPr>
          <w:rFonts w:cs="Arial"/>
          <w:sz w:val="22"/>
          <w:szCs w:val="22"/>
          <w:lang w:val="pt-BR"/>
        </w:rPr>
        <w:t>CPC 02 – Efeitos das Mudanças nas Taxas de Câmbio e Conversão de Demonstrações Contábeis</w:t>
      </w:r>
    </w:p>
    <w:p w14:paraId="6356B7B7" w14:textId="77777777" w:rsidR="00B2760C" w:rsidRPr="00B2760C" w:rsidRDefault="00B2760C" w:rsidP="00B2760C">
      <w:pPr>
        <w:numPr>
          <w:ilvl w:val="0"/>
          <w:numId w:val="2"/>
        </w:numPr>
        <w:spacing w:before="0" w:after="0"/>
        <w:ind w:left="284" w:hanging="284"/>
        <w:jc w:val="left"/>
        <w:rPr>
          <w:rFonts w:cs="Arial"/>
          <w:sz w:val="22"/>
          <w:szCs w:val="22"/>
          <w:lang w:val="pt-BR"/>
        </w:rPr>
      </w:pPr>
      <w:r w:rsidRPr="00B2760C">
        <w:rPr>
          <w:rFonts w:cs="Arial"/>
          <w:sz w:val="22"/>
          <w:szCs w:val="22"/>
          <w:lang w:val="pt-BR"/>
        </w:rPr>
        <w:t>CPC 23 – Políticas Contábeis, Mudança de Estimativa e Retificação de Erro</w:t>
      </w:r>
    </w:p>
    <w:p w14:paraId="10D2D554" w14:textId="77777777" w:rsidR="00B2760C" w:rsidRPr="00B2760C" w:rsidRDefault="00B2760C" w:rsidP="00B2760C">
      <w:pPr>
        <w:spacing w:before="0" w:after="0"/>
        <w:rPr>
          <w:rFonts w:cs="Arial"/>
          <w:b/>
          <w:sz w:val="22"/>
          <w:szCs w:val="22"/>
          <w:lang w:val="pt-BR"/>
        </w:rPr>
      </w:pPr>
    </w:p>
    <w:p w14:paraId="5DD3EC51" w14:textId="77777777" w:rsidR="00E002ED" w:rsidRDefault="00E002ED">
      <w:pPr>
        <w:spacing w:before="0" w:after="160" w:line="259" w:lineRule="auto"/>
        <w:jc w:val="left"/>
        <w:rPr>
          <w:rFonts w:cs="Arial"/>
          <w:b/>
          <w:sz w:val="22"/>
          <w:szCs w:val="22"/>
          <w:lang w:val="pt-BR"/>
        </w:rPr>
      </w:pPr>
      <w:r>
        <w:rPr>
          <w:rFonts w:cs="Arial"/>
          <w:b/>
          <w:sz w:val="22"/>
          <w:szCs w:val="22"/>
          <w:lang w:val="pt-BR"/>
        </w:rPr>
        <w:br w:type="page"/>
      </w:r>
    </w:p>
    <w:p w14:paraId="034EB5EF" w14:textId="4676FCFA" w:rsidR="00B2760C" w:rsidRPr="00B2760C" w:rsidRDefault="00B2760C" w:rsidP="00B2760C">
      <w:pPr>
        <w:spacing w:before="0" w:after="0"/>
        <w:rPr>
          <w:rFonts w:cs="Arial"/>
          <w:b/>
          <w:sz w:val="22"/>
          <w:szCs w:val="22"/>
          <w:lang w:val="pt-BR"/>
        </w:rPr>
      </w:pPr>
      <w:r w:rsidRPr="00B2760C">
        <w:rPr>
          <w:rFonts w:cs="Arial"/>
          <w:b/>
          <w:sz w:val="22"/>
          <w:szCs w:val="22"/>
          <w:lang w:val="pt-BR"/>
        </w:rPr>
        <w:lastRenderedPageBreak/>
        <w:t>Contexto</w:t>
      </w:r>
    </w:p>
    <w:p w14:paraId="7DA6510F" w14:textId="77777777" w:rsidR="00B2760C" w:rsidRPr="00B2760C" w:rsidRDefault="00B2760C" w:rsidP="00B2760C">
      <w:pPr>
        <w:spacing w:before="0" w:after="0"/>
        <w:rPr>
          <w:rFonts w:cs="Arial"/>
          <w:sz w:val="22"/>
          <w:szCs w:val="22"/>
          <w:lang w:val="pt-BR"/>
        </w:rPr>
      </w:pPr>
    </w:p>
    <w:p w14:paraId="7080B857" w14:textId="77777777" w:rsidR="00B2760C" w:rsidRPr="00B2760C" w:rsidRDefault="00B2760C" w:rsidP="00B2760C">
      <w:pPr>
        <w:spacing w:before="0" w:after="0"/>
        <w:ind w:left="567" w:hanging="567"/>
        <w:rPr>
          <w:rFonts w:cs="Arial"/>
          <w:sz w:val="22"/>
          <w:szCs w:val="22"/>
          <w:lang w:val="pt-BR"/>
        </w:rPr>
      </w:pPr>
      <w:r w:rsidRPr="00B2760C">
        <w:rPr>
          <w:rFonts w:cs="Arial"/>
          <w:sz w:val="22"/>
          <w:szCs w:val="22"/>
          <w:lang w:val="pt-BR"/>
        </w:rPr>
        <w:t xml:space="preserve">1. </w:t>
      </w:r>
      <w:r w:rsidRPr="00B2760C">
        <w:rPr>
          <w:rFonts w:cs="Arial"/>
          <w:sz w:val="22"/>
          <w:szCs w:val="22"/>
          <w:lang w:val="pt-BR"/>
        </w:rPr>
        <w:tab/>
        <w:t>O item 21 do CPC 02 – Efeitos das Mudanças nas Taxas de Câmbio e Conversão de Demonstrações Contábeis requer que a entidade registre a transação em moeda estrangeira, no reconhecimento inicial na sua moeda funcional, aplicando ao valor em moeda estrangeira a taxa de câmbio à vista entre a moeda funcional e a moeda estrangeira (taxa de câmbio) na data da transação. O item 22 do CPC 02 estabelece que a data da transação é a data em que ela se qualifica, pela primeira vez, para reconhecimento de acordo com os pronunciamentos, interpretações e orientações.</w:t>
      </w:r>
    </w:p>
    <w:p w14:paraId="152CD72C" w14:textId="77777777" w:rsidR="00B2760C" w:rsidRPr="00B2760C" w:rsidRDefault="00B2760C" w:rsidP="00B2760C">
      <w:pPr>
        <w:spacing w:before="0" w:after="0"/>
        <w:rPr>
          <w:rFonts w:cs="Arial"/>
          <w:sz w:val="22"/>
          <w:szCs w:val="22"/>
          <w:lang w:val="pt-BR"/>
        </w:rPr>
      </w:pPr>
    </w:p>
    <w:p w14:paraId="7447664F" w14:textId="77777777" w:rsidR="00B2760C" w:rsidRPr="00B2760C" w:rsidRDefault="00B2760C" w:rsidP="00B2760C">
      <w:pPr>
        <w:spacing w:before="0" w:after="0"/>
        <w:ind w:left="567" w:hanging="567"/>
        <w:rPr>
          <w:rFonts w:cs="Arial"/>
          <w:sz w:val="22"/>
          <w:szCs w:val="22"/>
          <w:lang w:val="pt-BR"/>
        </w:rPr>
      </w:pPr>
      <w:r w:rsidRPr="00B2760C">
        <w:rPr>
          <w:rFonts w:cs="Arial"/>
          <w:sz w:val="22"/>
          <w:szCs w:val="22"/>
          <w:lang w:val="pt-BR"/>
        </w:rPr>
        <w:t xml:space="preserve">2. </w:t>
      </w:r>
      <w:r w:rsidRPr="00B2760C">
        <w:rPr>
          <w:rFonts w:cs="Arial"/>
          <w:sz w:val="22"/>
          <w:szCs w:val="22"/>
          <w:lang w:val="pt-BR"/>
        </w:rPr>
        <w:tab/>
        <w:t>Quando a entidade paga ou recebe, antecipadamente, contraprestação em moeda estrangeira, geralmente reconhece um ativo não monetário ou um passivo não monetário</w:t>
      </w:r>
      <w:r w:rsidRPr="00B2760C">
        <w:rPr>
          <w:rFonts w:cs="Arial"/>
          <w:sz w:val="22"/>
          <w:szCs w:val="22"/>
          <w:vertAlign w:val="superscript"/>
          <w:lang w:val="pt-BR"/>
        </w:rPr>
        <w:t>(1)</w:t>
      </w:r>
      <w:r w:rsidRPr="00B2760C">
        <w:rPr>
          <w:rFonts w:cs="Arial"/>
          <w:sz w:val="22"/>
          <w:szCs w:val="22"/>
          <w:lang w:val="pt-BR"/>
        </w:rPr>
        <w:t xml:space="preserve"> antes do reconhecimento do respectivo ativo, despesa ou receita. O respectivo ativo, despesa ou receita (ou parte dele) é o montante reconhecido, aplicando o pronunciamento específico, o que resulta no desreconhecimento do ativo não monetário ou do passivo não monetário resultante da contraprestação antecipada.</w:t>
      </w:r>
    </w:p>
    <w:p w14:paraId="722CCECC" w14:textId="77777777" w:rsidR="00B2760C" w:rsidRPr="00B2760C" w:rsidRDefault="00B2760C" w:rsidP="00B2760C">
      <w:pPr>
        <w:spacing w:before="0" w:after="0"/>
        <w:ind w:left="851" w:hanging="284"/>
        <w:rPr>
          <w:rFonts w:cs="Arial"/>
          <w:sz w:val="22"/>
          <w:szCs w:val="22"/>
          <w:lang w:val="pt-BR"/>
        </w:rPr>
      </w:pPr>
      <w:r w:rsidRPr="00B2760C">
        <w:rPr>
          <w:rFonts w:cs="Arial"/>
          <w:sz w:val="22"/>
          <w:szCs w:val="22"/>
          <w:vertAlign w:val="superscript"/>
          <w:lang w:val="pt-BR"/>
        </w:rPr>
        <w:t>(1)</w:t>
      </w:r>
      <w:r w:rsidRPr="00B2760C">
        <w:rPr>
          <w:rFonts w:cs="Arial"/>
          <w:sz w:val="22"/>
          <w:szCs w:val="22"/>
          <w:lang w:val="pt-BR"/>
        </w:rPr>
        <w:t xml:space="preserve"> </w:t>
      </w:r>
      <w:r w:rsidRPr="00B2760C">
        <w:rPr>
          <w:rFonts w:cs="Arial"/>
          <w:sz w:val="22"/>
          <w:szCs w:val="22"/>
          <w:lang w:val="pt-BR"/>
        </w:rPr>
        <w:tab/>
        <w:t>Por exemplo, o item 106 do CPC 47 – Receita de Contrato com Cliente exige que se o cliente paga uma contraprestação, ou a entidade tem direito ao montante de contraprestação incondicional (ou seja, recebível) antes que a entidade transfira o bem ou o serviço para o cliente, ela deve apresentar o contrato como passivo contratual quando o pagamento é feito ou o pagamento é devido (o que ocorrer primeiro).</w:t>
      </w:r>
    </w:p>
    <w:p w14:paraId="3C0649BE" w14:textId="77777777" w:rsidR="00B2760C" w:rsidRPr="00B2760C" w:rsidRDefault="00B2760C" w:rsidP="00B2760C">
      <w:pPr>
        <w:spacing w:before="0" w:after="0"/>
        <w:rPr>
          <w:rFonts w:cs="Arial"/>
          <w:sz w:val="22"/>
          <w:szCs w:val="22"/>
          <w:lang w:val="pt-BR"/>
        </w:rPr>
      </w:pPr>
    </w:p>
    <w:p w14:paraId="5847CB93" w14:textId="77777777" w:rsidR="00B2760C" w:rsidRPr="00B2760C" w:rsidRDefault="00B2760C" w:rsidP="00B2760C">
      <w:pPr>
        <w:spacing w:before="0" w:after="0"/>
        <w:ind w:left="567" w:hanging="567"/>
        <w:rPr>
          <w:rFonts w:cs="Arial"/>
          <w:sz w:val="22"/>
          <w:szCs w:val="22"/>
          <w:lang w:val="pt-BR"/>
        </w:rPr>
      </w:pPr>
      <w:r w:rsidRPr="00B2760C">
        <w:rPr>
          <w:rFonts w:cs="Arial"/>
          <w:sz w:val="22"/>
          <w:szCs w:val="22"/>
          <w:lang w:val="pt-BR"/>
        </w:rPr>
        <w:t xml:space="preserve">3. </w:t>
      </w:r>
      <w:r w:rsidRPr="00B2760C">
        <w:rPr>
          <w:rFonts w:cs="Arial"/>
          <w:sz w:val="22"/>
          <w:szCs w:val="22"/>
          <w:lang w:val="pt-BR"/>
        </w:rPr>
        <w:tab/>
        <w:t>Questionou-se como determinar a "data da transação", aplicando-se os itens 21 e 22 do CPC 02 ao reconhecer a receita. A questão abordou especificamente as circunstâncias em que a entidade deve reconhecer o passivo não monetário decorrente do recebimento antecipado antes de reconhecer as receitas relacionadas. Ao analisar a questão, observou-se que o recebimento ou o pagamento antecipado em moeda estrangeira não se restringem a transações de receita. Em consequência, decidiu-se esclarecer a data da transação, com a finalidade de determinar a taxa de câmbio a ser usada no reconhecimento inicial do ativo, despesa ou receita relacionado, quando a entidade receber ou pagar antecipadamente contraprestação em moeda estrangeira.</w:t>
      </w:r>
    </w:p>
    <w:p w14:paraId="5559A02A" w14:textId="77777777" w:rsidR="00B2760C" w:rsidRPr="00B2760C" w:rsidRDefault="00B2760C" w:rsidP="00B2760C">
      <w:pPr>
        <w:spacing w:before="0" w:after="0"/>
        <w:rPr>
          <w:rFonts w:cs="Arial"/>
          <w:b/>
          <w:sz w:val="22"/>
          <w:szCs w:val="22"/>
          <w:lang w:val="pt-BR"/>
        </w:rPr>
      </w:pPr>
    </w:p>
    <w:p w14:paraId="6A625C53" w14:textId="77777777" w:rsidR="00B2760C" w:rsidRPr="00B2760C" w:rsidRDefault="00B2760C" w:rsidP="00B2760C">
      <w:pPr>
        <w:spacing w:before="0" w:after="0"/>
        <w:rPr>
          <w:rFonts w:cs="Arial"/>
          <w:b/>
          <w:sz w:val="22"/>
          <w:szCs w:val="22"/>
          <w:lang w:val="pt-BR"/>
        </w:rPr>
      </w:pPr>
      <w:r w:rsidRPr="00B2760C">
        <w:rPr>
          <w:rFonts w:cs="Arial"/>
          <w:b/>
          <w:sz w:val="22"/>
          <w:szCs w:val="22"/>
          <w:lang w:val="pt-BR"/>
        </w:rPr>
        <w:t>Alcance</w:t>
      </w:r>
    </w:p>
    <w:p w14:paraId="5A7CB9A9" w14:textId="77777777" w:rsidR="00B2760C" w:rsidRPr="00B2760C" w:rsidRDefault="00B2760C" w:rsidP="00B2760C">
      <w:pPr>
        <w:spacing w:before="0" w:after="0"/>
        <w:rPr>
          <w:rFonts w:cs="Arial"/>
          <w:b/>
          <w:sz w:val="22"/>
          <w:szCs w:val="22"/>
          <w:lang w:val="pt-BR"/>
        </w:rPr>
      </w:pPr>
    </w:p>
    <w:p w14:paraId="7DEB7C9B" w14:textId="77777777" w:rsidR="00B2760C" w:rsidRPr="00B2760C" w:rsidRDefault="00B2760C" w:rsidP="00B2760C">
      <w:pPr>
        <w:spacing w:before="0" w:after="0"/>
        <w:ind w:left="567" w:hanging="567"/>
        <w:rPr>
          <w:rFonts w:cs="Arial"/>
          <w:sz w:val="22"/>
          <w:szCs w:val="22"/>
          <w:lang w:val="pt-BR"/>
        </w:rPr>
      </w:pPr>
      <w:r w:rsidRPr="00B2760C">
        <w:rPr>
          <w:rFonts w:cs="Arial"/>
          <w:sz w:val="22"/>
          <w:szCs w:val="22"/>
          <w:lang w:val="pt-BR"/>
        </w:rPr>
        <w:t xml:space="preserve">4. </w:t>
      </w:r>
      <w:r w:rsidRPr="00B2760C">
        <w:rPr>
          <w:rFonts w:cs="Arial"/>
          <w:sz w:val="22"/>
          <w:szCs w:val="22"/>
          <w:lang w:val="pt-BR"/>
        </w:rPr>
        <w:tab/>
        <w:t>Esta interpretação se aplica à transação em moeda estrangeira (ou parte dela) quando a entidade reconhecer o ativo não monetário ou o passivo não monetário decorrente do pagamento ou do recebimento antecipado, antes que a entidade reconheça o ativo, a despesa ou a receita relacionados (ou parte dele).</w:t>
      </w:r>
    </w:p>
    <w:p w14:paraId="4E183BF2" w14:textId="77777777" w:rsidR="00B2760C" w:rsidRPr="00B2760C" w:rsidRDefault="00B2760C" w:rsidP="00B2760C">
      <w:pPr>
        <w:spacing w:before="0" w:after="0"/>
        <w:rPr>
          <w:rFonts w:cs="Arial"/>
          <w:sz w:val="22"/>
          <w:szCs w:val="22"/>
          <w:lang w:val="pt-BR"/>
        </w:rPr>
      </w:pPr>
    </w:p>
    <w:p w14:paraId="12C093A6" w14:textId="77777777" w:rsidR="00B2760C" w:rsidRPr="00B2760C" w:rsidRDefault="00B2760C" w:rsidP="00B2760C">
      <w:pPr>
        <w:spacing w:before="0" w:after="0"/>
        <w:ind w:left="567" w:hanging="567"/>
        <w:rPr>
          <w:rFonts w:cs="Arial"/>
          <w:sz w:val="22"/>
          <w:szCs w:val="22"/>
          <w:lang w:val="pt-BR"/>
        </w:rPr>
      </w:pPr>
      <w:r w:rsidRPr="00B2760C">
        <w:rPr>
          <w:rFonts w:cs="Arial"/>
          <w:sz w:val="22"/>
          <w:szCs w:val="22"/>
          <w:lang w:val="pt-BR"/>
        </w:rPr>
        <w:t xml:space="preserve">5. </w:t>
      </w:r>
      <w:r w:rsidRPr="00B2760C">
        <w:rPr>
          <w:rFonts w:cs="Arial"/>
          <w:sz w:val="22"/>
          <w:szCs w:val="22"/>
          <w:lang w:val="pt-BR"/>
        </w:rPr>
        <w:tab/>
        <w:t>Esta interpretação não deve ser aplicada quando a entidade mensurar o ativo, a despesa ou a receita relacionados no reconhecimento inicial pelo:</w:t>
      </w:r>
    </w:p>
    <w:p w14:paraId="00ED0DE4" w14:textId="77777777" w:rsidR="00B2760C" w:rsidRPr="00B2760C" w:rsidRDefault="00B2760C" w:rsidP="00B2760C">
      <w:pPr>
        <w:spacing w:before="0" w:after="0"/>
        <w:ind w:left="993" w:hanging="426"/>
        <w:rPr>
          <w:rFonts w:cs="Arial"/>
          <w:sz w:val="22"/>
          <w:szCs w:val="22"/>
          <w:lang w:val="pt-BR"/>
        </w:rPr>
      </w:pPr>
      <w:r w:rsidRPr="00B2760C">
        <w:rPr>
          <w:rFonts w:cs="Arial"/>
          <w:sz w:val="22"/>
          <w:szCs w:val="22"/>
          <w:lang w:val="pt-BR"/>
        </w:rPr>
        <w:t xml:space="preserve">(a) </w:t>
      </w:r>
      <w:r w:rsidRPr="00B2760C">
        <w:rPr>
          <w:rFonts w:cs="Arial"/>
          <w:sz w:val="22"/>
          <w:szCs w:val="22"/>
          <w:lang w:val="pt-BR"/>
        </w:rPr>
        <w:tab/>
        <w:t>valor justo; ou</w:t>
      </w:r>
    </w:p>
    <w:p w14:paraId="213A9B5A" w14:textId="77777777" w:rsidR="00B2760C" w:rsidRPr="00B2760C" w:rsidRDefault="00B2760C" w:rsidP="00B2760C">
      <w:pPr>
        <w:spacing w:before="0" w:after="0"/>
        <w:ind w:left="993" w:hanging="426"/>
        <w:rPr>
          <w:rFonts w:cs="Arial"/>
          <w:sz w:val="22"/>
          <w:szCs w:val="22"/>
          <w:lang w:val="pt-BR"/>
        </w:rPr>
      </w:pPr>
      <w:r w:rsidRPr="00B2760C">
        <w:rPr>
          <w:rFonts w:cs="Arial"/>
          <w:sz w:val="22"/>
          <w:szCs w:val="22"/>
          <w:lang w:val="pt-BR"/>
        </w:rPr>
        <w:t xml:space="preserve">(b) </w:t>
      </w:r>
      <w:r w:rsidRPr="00B2760C">
        <w:rPr>
          <w:rFonts w:cs="Arial"/>
          <w:sz w:val="22"/>
          <w:szCs w:val="22"/>
          <w:lang w:val="pt-BR"/>
        </w:rPr>
        <w:tab/>
        <w:t>valor justo da contraprestação paga ou recebida em data diferente da data do reconhecimento inicial do ativo não monetário ou do passivo não monetário resultante da contraprestação antecipada (por exemplo, mensuração do ágio por expectativa de rentabilidade futura (</w:t>
      </w:r>
      <w:r w:rsidRPr="00B2760C">
        <w:rPr>
          <w:rFonts w:cs="Arial"/>
          <w:i/>
          <w:sz w:val="22"/>
          <w:szCs w:val="22"/>
          <w:lang w:val="pt-BR"/>
        </w:rPr>
        <w:t>goodwill</w:t>
      </w:r>
      <w:r w:rsidRPr="00B2760C">
        <w:rPr>
          <w:rFonts w:cs="Arial"/>
          <w:sz w:val="22"/>
          <w:szCs w:val="22"/>
          <w:lang w:val="pt-BR"/>
        </w:rPr>
        <w:t>) que adotar, como fundamento, o CPC 15 – Combinação de Negócios).</w:t>
      </w:r>
    </w:p>
    <w:p w14:paraId="60669606" w14:textId="77777777" w:rsidR="00B2760C" w:rsidRPr="00B2760C" w:rsidRDefault="00B2760C" w:rsidP="00B2760C">
      <w:pPr>
        <w:spacing w:before="0" w:after="0"/>
        <w:rPr>
          <w:rFonts w:cs="Arial"/>
          <w:sz w:val="22"/>
          <w:szCs w:val="22"/>
          <w:lang w:val="pt-BR"/>
        </w:rPr>
      </w:pPr>
    </w:p>
    <w:p w14:paraId="5A9650B6" w14:textId="77777777" w:rsidR="00B2760C" w:rsidRPr="00B2760C" w:rsidRDefault="00B2760C" w:rsidP="00B2760C">
      <w:pPr>
        <w:spacing w:before="0" w:after="0"/>
        <w:ind w:left="567" w:hanging="567"/>
        <w:rPr>
          <w:rFonts w:cs="Arial"/>
          <w:sz w:val="22"/>
          <w:szCs w:val="22"/>
          <w:lang w:val="pt-BR"/>
        </w:rPr>
      </w:pPr>
      <w:r w:rsidRPr="00B2760C">
        <w:rPr>
          <w:rFonts w:cs="Arial"/>
          <w:sz w:val="22"/>
          <w:szCs w:val="22"/>
          <w:lang w:val="pt-BR"/>
        </w:rPr>
        <w:t xml:space="preserve">6. </w:t>
      </w:r>
      <w:r w:rsidRPr="00B2760C">
        <w:rPr>
          <w:rFonts w:cs="Arial"/>
          <w:sz w:val="22"/>
          <w:szCs w:val="22"/>
          <w:lang w:val="pt-BR"/>
        </w:rPr>
        <w:tab/>
        <w:t>A entidade não é obrigada a aplicar esta interpretação a:</w:t>
      </w:r>
    </w:p>
    <w:p w14:paraId="53A34742" w14:textId="77777777" w:rsidR="00B2760C" w:rsidRPr="00B2760C" w:rsidRDefault="00B2760C" w:rsidP="00B2760C">
      <w:pPr>
        <w:spacing w:before="0" w:after="0"/>
        <w:ind w:left="993" w:hanging="426"/>
        <w:rPr>
          <w:rFonts w:cs="Arial"/>
          <w:sz w:val="22"/>
          <w:szCs w:val="22"/>
          <w:lang w:val="pt-BR"/>
        </w:rPr>
      </w:pPr>
      <w:r w:rsidRPr="00B2760C">
        <w:rPr>
          <w:rFonts w:cs="Arial"/>
          <w:sz w:val="22"/>
          <w:szCs w:val="22"/>
          <w:lang w:val="pt-BR"/>
        </w:rPr>
        <w:lastRenderedPageBreak/>
        <w:t xml:space="preserve">(a) </w:t>
      </w:r>
      <w:r w:rsidRPr="00B2760C">
        <w:rPr>
          <w:rFonts w:cs="Arial"/>
          <w:sz w:val="22"/>
          <w:szCs w:val="22"/>
          <w:lang w:val="pt-BR"/>
        </w:rPr>
        <w:tab/>
        <w:t>tributos sobre o lucro; ou</w:t>
      </w:r>
    </w:p>
    <w:p w14:paraId="39F19375" w14:textId="77777777" w:rsidR="00B2760C" w:rsidRPr="00B2760C" w:rsidRDefault="00B2760C" w:rsidP="00B2760C">
      <w:pPr>
        <w:spacing w:before="0" w:after="0"/>
        <w:ind w:left="993" w:hanging="426"/>
        <w:rPr>
          <w:rFonts w:cs="Arial"/>
          <w:sz w:val="22"/>
          <w:szCs w:val="22"/>
          <w:lang w:val="pt-BR"/>
        </w:rPr>
      </w:pPr>
      <w:r w:rsidRPr="00B2760C">
        <w:rPr>
          <w:rFonts w:cs="Arial"/>
          <w:sz w:val="22"/>
          <w:szCs w:val="22"/>
          <w:lang w:val="pt-BR"/>
        </w:rPr>
        <w:t xml:space="preserve">(b) </w:t>
      </w:r>
      <w:r w:rsidRPr="00B2760C">
        <w:rPr>
          <w:rFonts w:cs="Arial"/>
          <w:sz w:val="22"/>
          <w:szCs w:val="22"/>
          <w:lang w:val="pt-BR"/>
        </w:rPr>
        <w:tab/>
        <w:t xml:space="preserve">contratos de seguro (incluindo contratos de resseguro) que emite ou contratos de resseguro que retém. </w:t>
      </w:r>
    </w:p>
    <w:p w14:paraId="03B2B93D" w14:textId="77777777" w:rsidR="00B2760C" w:rsidRPr="00B2760C" w:rsidRDefault="00B2760C" w:rsidP="00B2760C">
      <w:pPr>
        <w:spacing w:before="0" w:after="0"/>
        <w:rPr>
          <w:rFonts w:cs="Arial"/>
          <w:b/>
          <w:sz w:val="22"/>
          <w:szCs w:val="22"/>
          <w:lang w:val="pt-BR"/>
        </w:rPr>
      </w:pPr>
    </w:p>
    <w:p w14:paraId="7A790271" w14:textId="77777777" w:rsidR="00B2760C" w:rsidRPr="00B2760C" w:rsidRDefault="00B2760C" w:rsidP="00B2760C">
      <w:pPr>
        <w:spacing w:before="0" w:after="0"/>
        <w:rPr>
          <w:rFonts w:cs="Arial"/>
          <w:b/>
          <w:sz w:val="22"/>
          <w:szCs w:val="22"/>
          <w:lang w:val="pt-BR"/>
        </w:rPr>
      </w:pPr>
      <w:r w:rsidRPr="00B2760C">
        <w:rPr>
          <w:rFonts w:cs="Arial"/>
          <w:b/>
          <w:sz w:val="22"/>
          <w:szCs w:val="22"/>
          <w:lang w:val="pt-BR"/>
        </w:rPr>
        <w:t>Questão</w:t>
      </w:r>
    </w:p>
    <w:p w14:paraId="0F5FAC7A" w14:textId="77777777" w:rsidR="00B2760C" w:rsidRPr="00B2760C" w:rsidRDefault="00B2760C" w:rsidP="00B2760C">
      <w:pPr>
        <w:spacing w:before="0" w:after="0"/>
        <w:rPr>
          <w:rFonts w:cs="Arial"/>
          <w:b/>
          <w:sz w:val="22"/>
          <w:szCs w:val="22"/>
          <w:lang w:val="pt-BR"/>
        </w:rPr>
      </w:pPr>
    </w:p>
    <w:p w14:paraId="64688EDF" w14:textId="77777777" w:rsidR="00B2760C" w:rsidRPr="00B2760C" w:rsidRDefault="00B2760C" w:rsidP="00B2760C">
      <w:pPr>
        <w:spacing w:before="0" w:after="0"/>
        <w:ind w:left="567" w:hanging="567"/>
        <w:rPr>
          <w:rFonts w:cs="Arial"/>
          <w:sz w:val="22"/>
          <w:szCs w:val="22"/>
          <w:lang w:val="pt-BR"/>
        </w:rPr>
      </w:pPr>
      <w:r w:rsidRPr="00B2760C">
        <w:rPr>
          <w:rFonts w:cs="Arial"/>
          <w:sz w:val="22"/>
          <w:szCs w:val="22"/>
          <w:lang w:val="pt-BR"/>
        </w:rPr>
        <w:t xml:space="preserve">7. </w:t>
      </w:r>
      <w:r w:rsidRPr="00B2760C">
        <w:rPr>
          <w:rFonts w:cs="Arial"/>
          <w:sz w:val="22"/>
          <w:szCs w:val="22"/>
          <w:lang w:val="pt-BR"/>
        </w:rPr>
        <w:tab/>
        <w:t>Esta interpretação trata de como determinar a data da transação com o objetivo de designar a taxa de câmbio que deve ser utilizada no reconhecimento inicial do respectivo ativo, despesa ou receita (ou parte dele) e no desreconhecimento de ativo não monetário ou passivo não monetário, decorrente do pagamento ou do recebimento antecipado em moeda estrangeira.</w:t>
      </w:r>
    </w:p>
    <w:p w14:paraId="1A3DF6F4" w14:textId="77777777" w:rsidR="00B2760C" w:rsidRPr="00B2760C" w:rsidRDefault="00B2760C" w:rsidP="00B2760C">
      <w:pPr>
        <w:spacing w:before="0" w:after="0"/>
        <w:rPr>
          <w:rFonts w:cs="Arial"/>
          <w:sz w:val="22"/>
          <w:szCs w:val="22"/>
          <w:lang w:val="pt-BR"/>
        </w:rPr>
      </w:pPr>
    </w:p>
    <w:p w14:paraId="56379E5E" w14:textId="77777777" w:rsidR="00B2760C" w:rsidRPr="00B2760C" w:rsidRDefault="00B2760C" w:rsidP="00B2760C">
      <w:pPr>
        <w:spacing w:before="0" w:after="0"/>
        <w:rPr>
          <w:rFonts w:cs="Arial"/>
          <w:b/>
          <w:sz w:val="22"/>
          <w:szCs w:val="22"/>
          <w:lang w:val="pt-BR"/>
        </w:rPr>
      </w:pPr>
      <w:r w:rsidRPr="00B2760C">
        <w:rPr>
          <w:rFonts w:cs="Arial"/>
          <w:b/>
          <w:sz w:val="22"/>
          <w:szCs w:val="22"/>
          <w:lang w:val="pt-BR"/>
        </w:rPr>
        <w:t>Consenso</w:t>
      </w:r>
    </w:p>
    <w:p w14:paraId="2EC3710A" w14:textId="77777777" w:rsidR="00B2760C" w:rsidRPr="00B2760C" w:rsidRDefault="00B2760C" w:rsidP="00B2760C">
      <w:pPr>
        <w:spacing w:before="0" w:after="0"/>
        <w:rPr>
          <w:rFonts w:cs="Arial"/>
          <w:sz w:val="22"/>
          <w:szCs w:val="22"/>
          <w:lang w:val="pt-BR"/>
        </w:rPr>
      </w:pPr>
    </w:p>
    <w:p w14:paraId="1AD44DE6" w14:textId="77777777" w:rsidR="00B2760C" w:rsidRPr="00B2760C" w:rsidRDefault="00B2760C" w:rsidP="00B2760C">
      <w:pPr>
        <w:spacing w:before="0" w:after="0"/>
        <w:ind w:left="567" w:hanging="567"/>
        <w:rPr>
          <w:rFonts w:cs="Arial"/>
          <w:sz w:val="22"/>
          <w:szCs w:val="22"/>
          <w:lang w:val="pt-BR"/>
        </w:rPr>
      </w:pPr>
      <w:r w:rsidRPr="00B2760C">
        <w:rPr>
          <w:rFonts w:cs="Arial"/>
          <w:sz w:val="22"/>
          <w:szCs w:val="22"/>
          <w:lang w:val="pt-BR"/>
        </w:rPr>
        <w:t xml:space="preserve">8. </w:t>
      </w:r>
      <w:r w:rsidRPr="00B2760C">
        <w:rPr>
          <w:rFonts w:cs="Arial"/>
          <w:sz w:val="22"/>
          <w:szCs w:val="22"/>
          <w:lang w:val="pt-BR"/>
        </w:rPr>
        <w:tab/>
        <w:t>Ao aplicar os itens 21 e 22 do CPC 02, a data da transação, para efeitos da determinação da taxa de câmbio, que deve ser utilizada no reconhecimento inicial do respectivo ativo, despesa ou receita (ou parte dele), é a data em que a entidade reconhecer, inicialmente, o ativo não monetário ou o passivo não monetário decorrente do pagamento ou do recebimento antecipado.</w:t>
      </w:r>
    </w:p>
    <w:p w14:paraId="5DBD2C0C" w14:textId="77777777" w:rsidR="00B2760C" w:rsidRPr="00B2760C" w:rsidRDefault="00B2760C" w:rsidP="00B2760C">
      <w:pPr>
        <w:spacing w:before="0" w:after="0"/>
        <w:rPr>
          <w:rFonts w:cs="Arial"/>
          <w:sz w:val="22"/>
          <w:szCs w:val="22"/>
          <w:lang w:val="pt-BR"/>
        </w:rPr>
      </w:pPr>
    </w:p>
    <w:p w14:paraId="3D4FAABE" w14:textId="77777777" w:rsidR="00B2760C" w:rsidRPr="00B2760C" w:rsidRDefault="00B2760C" w:rsidP="00B2760C">
      <w:pPr>
        <w:spacing w:before="0" w:after="0"/>
        <w:ind w:left="567" w:hanging="567"/>
        <w:rPr>
          <w:rFonts w:cs="Arial"/>
          <w:sz w:val="22"/>
          <w:szCs w:val="22"/>
          <w:lang w:val="pt-BR"/>
        </w:rPr>
      </w:pPr>
      <w:r w:rsidRPr="00B2760C">
        <w:rPr>
          <w:rFonts w:cs="Arial"/>
          <w:sz w:val="22"/>
          <w:szCs w:val="22"/>
          <w:lang w:val="pt-BR"/>
        </w:rPr>
        <w:t xml:space="preserve">9. </w:t>
      </w:r>
      <w:r w:rsidRPr="00B2760C">
        <w:rPr>
          <w:rFonts w:cs="Arial"/>
          <w:sz w:val="22"/>
          <w:szCs w:val="22"/>
          <w:lang w:val="pt-BR"/>
        </w:rPr>
        <w:tab/>
        <w:t>Se houver vários pagamentos ou recebimentos antecipados, a entidade deve determinar a data da transação para cada pagamento ou recebimento antecipado.</w:t>
      </w:r>
    </w:p>
    <w:p w14:paraId="34560175" w14:textId="77777777" w:rsidR="00B2760C" w:rsidRPr="00B2760C" w:rsidRDefault="00B2760C" w:rsidP="00B2760C">
      <w:pPr>
        <w:spacing w:before="0" w:after="0"/>
        <w:rPr>
          <w:rFonts w:cs="Arial"/>
          <w:sz w:val="22"/>
          <w:szCs w:val="22"/>
          <w:lang w:val="pt-BR"/>
        </w:rPr>
      </w:pPr>
    </w:p>
    <w:p w14:paraId="6282B573" w14:textId="77777777" w:rsidR="00B2760C" w:rsidRPr="00B2760C" w:rsidRDefault="00B2760C" w:rsidP="00B2760C">
      <w:pPr>
        <w:spacing w:before="0" w:after="0"/>
        <w:rPr>
          <w:rFonts w:cs="Arial"/>
          <w:sz w:val="22"/>
          <w:szCs w:val="22"/>
          <w:lang w:val="pt-BR"/>
        </w:rPr>
      </w:pPr>
    </w:p>
    <w:p w14:paraId="069DB9B8" w14:textId="77777777" w:rsidR="007A377F" w:rsidRDefault="007A377F" w:rsidP="00B2760C">
      <w:pPr>
        <w:spacing w:before="0" w:after="0"/>
        <w:rPr>
          <w:rFonts w:cs="Arial"/>
          <w:b/>
          <w:sz w:val="22"/>
          <w:szCs w:val="22"/>
          <w:lang w:val="pt-BR"/>
        </w:rPr>
      </w:pPr>
      <w:r>
        <w:rPr>
          <w:rFonts w:cs="Arial"/>
          <w:b/>
          <w:sz w:val="22"/>
          <w:szCs w:val="22"/>
          <w:lang w:val="pt-BR"/>
        </w:rPr>
        <w:br w:type="page"/>
      </w:r>
    </w:p>
    <w:p w14:paraId="4B77F5B6" w14:textId="7343AF01" w:rsidR="00B2760C" w:rsidRPr="00B2760C" w:rsidRDefault="00B2760C" w:rsidP="00B2760C">
      <w:pPr>
        <w:spacing w:before="0" w:after="0"/>
        <w:rPr>
          <w:rFonts w:cs="Arial"/>
          <w:b/>
          <w:sz w:val="22"/>
          <w:szCs w:val="22"/>
          <w:lang w:val="pt-BR"/>
        </w:rPr>
      </w:pPr>
      <w:r w:rsidRPr="00B2760C">
        <w:rPr>
          <w:rFonts w:cs="Arial"/>
          <w:b/>
          <w:sz w:val="22"/>
          <w:szCs w:val="22"/>
          <w:lang w:val="pt-BR"/>
        </w:rPr>
        <w:lastRenderedPageBreak/>
        <w:t>Apêndice A – Data de vigência e transição</w:t>
      </w:r>
    </w:p>
    <w:p w14:paraId="541A2766" w14:textId="77777777" w:rsidR="00B2760C" w:rsidRPr="00B2760C" w:rsidRDefault="00B2760C" w:rsidP="00B2760C">
      <w:pPr>
        <w:spacing w:before="0" w:after="0"/>
        <w:rPr>
          <w:rFonts w:cs="Arial"/>
          <w:b/>
          <w:sz w:val="22"/>
          <w:szCs w:val="22"/>
          <w:lang w:val="pt-BR"/>
        </w:rPr>
      </w:pPr>
    </w:p>
    <w:p w14:paraId="0A665D8F" w14:textId="77777777" w:rsidR="00B2760C" w:rsidRPr="00B2760C" w:rsidRDefault="00B2760C" w:rsidP="00B2760C">
      <w:pPr>
        <w:spacing w:before="0" w:after="0"/>
        <w:rPr>
          <w:rFonts w:cs="Arial"/>
          <w:sz w:val="22"/>
          <w:szCs w:val="22"/>
          <w:lang w:val="pt-BR"/>
        </w:rPr>
      </w:pPr>
      <w:r w:rsidRPr="00B2760C">
        <w:rPr>
          <w:rFonts w:cs="Arial"/>
          <w:sz w:val="22"/>
          <w:szCs w:val="22"/>
          <w:lang w:val="pt-BR"/>
        </w:rPr>
        <w:t>Este apêndice faz parte integrante desta interpretação e tem a mesma autoridade que as outras partes da interpretação.</w:t>
      </w:r>
    </w:p>
    <w:p w14:paraId="141FE0D6" w14:textId="77777777" w:rsidR="00B2760C" w:rsidRPr="00B2760C" w:rsidRDefault="00B2760C" w:rsidP="00B2760C">
      <w:pPr>
        <w:spacing w:before="0" w:after="0"/>
        <w:rPr>
          <w:rFonts w:cs="Arial"/>
          <w:sz w:val="22"/>
          <w:szCs w:val="22"/>
          <w:lang w:val="pt-BR"/>
        </w:rPr>
      </w:pPr>
    </w:p>
    <w:p w14:paraId="260139D3" w14:textId="77777777" w:rsidR="00B2760C" w:rsidRPr="00B2760C" w:rsidRDefault="00B2760C" w:rsidP="00B2760C">
      <w:pPr>
        <w:spacing w:before="0" w:after="0"/>
        <w:rPr>
          <w:rFonts w:cs="Arial"/>
          <w:b/>
          <w:sz w:val="22"/>
          <w:szCs w:val="22"/>
          <w:lang w:val="pt-BR"/>
        </w:rPr>
      </w:pPr>
      <w:r w:rsidRPr="00B2760C">
        <w:rPr>
          <w:rFonts w:cs="Arial"/>
          <w:b/>
          <w:sz w:val="22"/>
          <w:szCs w:val="22"/>
          <w:lang w:val="pt-BR"/>
        </w:rPr>
        <w:t>Data efetiva</w:t>
      </w:r>
    </w:p>
    <w:p w14:paraId="18142374" w14:textId="77777777" w:rsidR="00B2760C" w:rsidRPr="00B2760C" w:rsidRDefault="00B2760C" w:rsidP="00B2760C">
      <w:pPr>
        <w:spacing w:before="0" w:after="0"/>
        <w:rPr>
          <w:rFonts w:cs="Arial"/>
          <w:b/>
          <w:sz w:val="22"/>
          <w:szCs w:val="22"/>
          <w:lang w:val="pt-BR"/>
        </w:rPr>
      </w:pPr>
    </w:p>
    <w:p w14:paraId="57A0DDC6" w14:textId="77777777" w:rsidR="00B2760C" w:rsidRPr="00B2760C" w:rsidRDefault="00B2760C" w:rsidP="00B2760C">
      <w:pPr>
        <w:spacing w:before="0" w:after="0"/>
        <w:ind w:left="567" w:hanging="567"/>
        <w:rPr>
          <w:rFonts w:cs="Arial"/>
          <w:sz w:val="22"/>
          <w:szCs w:val="22"/>
          <w:lang w:val="pt-BR"/>
        </w:rPr>
      </w:pPr>
      <w:r w:rsidRPr="00B2760C">
        <w:rPr>
          <w:rFonts w:cs="Arial"/>
          <w:sz w:val="22"/>
          <w:szCs w:val="22"/>
          <w:lang w:val="pt-BR"/>
        </w:rPr>
        <w:t xml:space="preserve">A1. </w:t>
      </w:r>
      <w:r w:rsidRPr="00B2760C">
        <w:rPr>
          <w:rFonts w:cs="Arial"/>
          <w:sz w:val="22"/>
          <w:szCs w:val="22"/>
          <w:lang w:val="pt-BR"/>
        </w:rPr>
        <w:tab/>
        <w:t>A vigência desta interpretação é dada pelos órgãos reguladores que a aprovarem. Não obstante para o pleno atendimento às normas internacionais de contabilidade (IFRS), a entidade deve aplicar esta interpretação para os períodos anuais com início em, ou após, 1º de janeiro de 2018.</w:t>
      </w:r>
    </w:p>
    <w:p w14:paraId="5168DD74" w14:textId="77777777" w:rsidR="00B2760C" w:rsidRPr="00B2760C" w:rsidRDefault="00B2760C" w:rsidP="00B2760C">
      <w:pPr>
        <w:spacing w:before="0" w:after="0"/>
        <w:rPr>
          <w:rFonts w:cs="Arial"/>
          <w:sz w:val="22"/>
          <w:szCs w:val="22"/>
          <w:lang w:val="pt-BR"/>
        </w:rPr>
      </w:pPr>
    </w:p>
    <w:p w14:paraId="3F0493E4" w14:textId="77777777" w:rsidR="00B2760C" w:rsidRPr="00B2760C" w:rsidRDefault="00B2760C" w:rsidP="00B2760C">
      <w:pPr>
        <w:spacing w:before="0" w:after="0"/>
        <w:rPr>
          <w:rFonts w:cs="Arial"/>
          <w:b/>
          <w:sz w:val="22"/>
          <w:szCs w:val="22"/>
          <w:lang w:val="pt-BR"/>
        </w:rPr>
      </w:pPr>
      <w:r w:rsidRPr="00B2760C">
        <w:rPr>
          <w:rFonts w:cs="Arial"/>
          <w:b/>
          <w:sz w:val="22"/>
          <w:szCs w:val="22"/>
          <w:lang w:val="pt-BR"/>
        </w:rPr>
        <w:t>Transição</w:t>
      </w:r>
    </w:p>
    <w:p w14:paraId="2DAA691F" w14:textId="77777777" w:rsidR="00B2760C" w:rsidRPr="00B2760C" w:rsidRDefault="00B2760C" w:rsidP="00B2760C">
      <w:pPr>
        <w:spacing w:before="0" w:after="0"/>
        <w:rPr>
          <w:rFonts w:cs="Arial"/>
          <w:b/>
          <w:sz w:val="22"/>
          <w:szCs w:val="22"/>
          <w:lang w:val="pt-BR"/>
        </w:rPr>
      </w:pPr>
    </w:p>
    <w:p w14:paraId="7D8F9530" w14:textId="77777777" w:rsidR="00B2760C" w:rsidRPr="00B2760C" w:rsidRDefault="00B2760C" w:rsidP="00B2760C">
      <w:pPr>
        <w:spacing w:before="0" w:after="0"/>
        <w:ind w:left="567" w:hanging="567"/>
        <w:rPr>
          <w:rFonts w:cs="Arial"/>
          <w:sz w:val="22"/>
          <w:szCs w:val="22"/>
          <w:lang w:val="pt-BR"/>
        </w:rPr>
      </w:pPr>
      <w:r w:rsidRPr="00B2760C">
        <w:rPr>
          <w:rFonts w:cs="Arial"/>
          <w:sz w:val="22"/>
          <w:szCs w:val="22"/>
          <w:lang w:val="pt-BR"/>
        </w:rPr>
        <w:t xml:space="preserve">A2. </w:t>
      </w:r>
      <w:r w:rsidRPr="00B2760C">
        <w:rPr>
          <w:rFonts w:cs="Arial"/>
          <w:sz w:val="22"/>
          <w:szCs w:val="22"/>
          <w:lang w:val="pt-BR"/>
        </w:rPr>
        <w:tab/>
        <w:t>Na adoção inicial, a entidade deve utilizar esta interpretação:</w:t>
      </w:r>
    </w:p>
    <w:p w14:paraId="085B44DB" w14:textId="77777777" w:rsidR="00B2760C" w:rsidRPr="00B2760C" w:rsidRDefault="00B2760C" w:rsidP="00B2760C">
      <w:pPr>
        <w:spacing w:before="0" w:after="0"/>
        <w:ind w:left="993" w:hanging="426"/>
        <w:rPr>
          <w:rFonts w:cs="Arial"/>
          <w:sz w:val="22"/>
          <w:szCs w:val="22"/>
          <w:lang w:val="pt-BR"/>
        </w:rPr>
      </w:pPr>
      <w:r w:rsidRPr="00B2760C">
        <w:rPr>
          <w:rFonts w:cs="Arial"/>
          <w:sz w:val="22"/>
          <w:szCs w:val="22"/>
          <w:lang w:val="pt-BR"/>
        </w:rPr>
        <w:t xml:space="preserve">(a) </w:t>
      </w:r>
      <w:r w:rsidRPr="00B2760C">
        <w:rPr>
          <w:rFonts w:cs="Arial"/>
          <w:sz w:val="22"/>
          <w:szCs w:val="22"/>
          <w:lang w:val="pt-BR"/>
        </w:rPr>
        <w:tab/>
        <w:t>aplicando, retrospectivamente, o CPC 23; ou</w:t>
      </w:r>
    </w:p>
    <w:p w14:paraId="306D471F" w14:textId="77777777" w:rsidR="00B2760C" w:rsidRPr="00B2760C" w:rsidRDefault="00B2760C" w:rsidP="00B2760C">
      <w:pPr>
        <w:spacing w:before="0" w:after="0"/>
        <w:ind w:left="993" w:hanging="426"/>
        <w:rPr>
          <w:rFonts w:cs="Arial"/>
          <w:sz w:val="22"/>
          <w:szCs w:val="22"/>
          <w:lang w:val="pt-BR"/>
        </w:rPr>
      </w:pPr>
      <w:r w:rsidRPr="00B2760C">
        <w:rPr>
          <w:rFonts w:cs="Arial"/>
          <w:sz w:val="22"/>
          <w:szCs w:val="22"/>
          <w:lang w:val="pt-BR"/>
        </w:rPr>
        <w:t xml:space="preserve">(b) </w:t>
      </w:r>
      <w:r w:rsidRPr="00B2760C">
        <w:rPr>
          <w:rFonts w:cs="Arial"/>
          <w:sz w:val="22"/>
          <w:szCs w:val="22"/>
          <w:lang w:val="pt-BR"/>
        </w:rPr>
        <w:tab/>
        <w:t>aplicando, prospectivamente, a todos os ativos, as despesas e as receitas no âmbito desta interpretação inicialmente reconhecidos em, ou após:</w:t>
      </w:r>
    </w:p>
    <w:p w14:paraId="6B4E47A0" w14:textId="77777777" w:rsidR="00B2760C" w:rsidRPr="00B2760C" w:rsidRDefault="00B2760C" w:rsidP="00B2760C">
      <w:pPr>
        <w:spacing w:before="0" w:after="0"/>
        <w:ind w:left="1418" w:hanging="425"/>
        <w:rPr>
          <w:rFonts w:cs="Arial"/>
          <w:sz w:val="22"/>
          <w:szCs w:val="22"/>
          <w:lang w:val="pt-BR"/>
        </w:rPr>
      </w:pPr>
      <w:r w:rsidRPr="00B2760C">
        <w:rPr>
          <w:rFonts w:cs="Arial"/>
          <w:sz w:val="22"/>
          <w:szCs w:val="22"/>
          <w:lang w:val="pt-BR"/>
        </w:rPr>
        <w:t xml:space="preserve">(i) </w:t>
      </w:r>
      <w:r w:rsidRPr="00B2760C">
        <w:rPr>
          <w:rFonts w:cs="Arial"/>
          <w:sz w:val="22"/>
          <w:szCs w:val="22"/>
          <w:lang w:val="pt-BR"/>
        </w:rPr>
        <w:tab/>
        <w:t>o início do período em que a entidade utilizar pela primeira vez esta interpretação; ou</w:t>
      </w:r>
    </w:p>
    <w:p w14:paraId="351EBD63" w14:textId="77777777" w:rsidR="00B2760C" w:rsidRPr="00B2760C" w:rsidRDefault="00B2760C" w:rsidP="00B2760C">
      <w:pPr>
        <w:spacing w:before="0" w:after="0"/>
        <w:ind w:left="1418" w:hanging="425"/>
        <w:rPr>
          <w:rFonts w:cs="Arial"/>
          <w:sz w:val="22"/>
          <w:szCs w:val="22"/>
          <w:lang w:val="pt-BR"/>
        </w:rPr>
      </w:pPr>
      <w:r w:rsidRPr="00B2760C">
        <w:rPr>
          <w:rFonts w:cs="Arial"/>
          <w:sz w:val="22"/>
          <w:szCs w:val="22"/>
          <w:lang w:val="pt-BR"/>
        </w:rPr>
        <w:t xml:space="preserve">(ii) </w:t>
      </w:r>
      <w:r w:rsidRPr="00B2760C">
        <w:rPr>
          <w:rFonts w:cs="Arial"/>
          <w:sz w:val="22"/>
          <w:szCs w:val="22"/>
          <w:lang w:val="pt-BR"/>
        </w:rPr>
        <w:tab/>
        <w:t>o início do período de relatório anterior apresentado como informação comparativa nas demonstrações contábeis do período em que a entidade utilizar pela primeira vez esta interpretação.</w:t>
      </w:r>
    </w:p>
    <w:p w14:paraId="775446F8" w14:textId="77777777" w:rsidR="00B2760C" w:rsidRPr="00B2760C" w:rsidRDefault="00B2760C" w:rsidP="00B2760C">
      <w:pPr>
        <w:spacing w:before="0" w:after="0"/>
        <w:rPr>
          <w:rFonts w:cs="Arial"/>
          <w:sz w:val="22"/>
          <w:szCs w:val="22"/>
          <w:lang w:val="pt-BR"/>
        </w:rPr>
      </w:pPr>
    </w:p>
    <w:p w14:paraId="77338749" w14:textId="77777777" w:rsidR="00B2760C" w:rsidRPr="00B2760C" w:rsidRDefault="00B2760C" w:rsidP="00B2760C">
      <w:pPr>
        <w:spacing w:before="0" w:after="0"/>
        <w:ind w:left="567" w:hanging="567"/>
        <w:rPr>
          <w:rFonts w:ascii="Times New Roman" w:hAnsi="Times New Roman"/>
          <w:sz w:val="24"/>
          <w:lang w:val="pt-BR"/>
        </w:rPr>
      </w:pPr>
      <w:r w:rsidRPr="00B2760C">
        <w:rPr>
          <w:rFonts w:cs="Arial"/>
          <w:sz w:val="22"/>
          <w:szCs w:val="22"/>
          <w:lang w:val="pt-BR"/>
        </w:rPr>
        <w:t xml:space="preserve">A3. </w:t>
      </w:r>
      <w:r w:rsidRPr="00B2760C">
        <w:rPr>
          <w:rFonts w:cs="Arial"/>
          <w:sz w:val="22"/>
          <w:szCs w:val="22"/>
          <w:lang w:val="pt-BR"/>
        </w:rPr>
        <w:tab/>
        <w:t>A entidade, que aplicar o item A2(b), deve, na adoção inicial, utilizar esta interpretação no ativo, despesa e receita inicialmente reconhecidos no, ou após o, início do período de reporte, no item A2(b)(i) ou (ii), para o qual a entidade tenha reconhecido ativo não monetário ou passivo não monetário, resultante da contraprestação antecipada, ocorrida antes dessa data.</w:t>
      </w:r>
    </w:p>
    <w:p w14:paraId="2C5A7000" w14:textId="286C3877" w:rsidR="00C578D8" w:rsidRDefault="00C578D8">
      <w:pPr>
        <w:rPr>
          <w:lang w:val="pt-BR"/>
        </w:rPr>
      </w:pPr>
    </w:p>
    <w:p w14:paraId="5ABEFC5B" w14:textId="77777777" w:rsidR="00273211" w:rsidRPr="0096648A" w:rsidRDefault="00273211">
      <w:pPr>
        <w:rPr>
          <w:lang w:val="pt-BR"/>
        </w:rPr>
      </w:pPr>
    </w:p>
    <w:sectPr w:rsidR="00273211" w:rsidRPr="0096648A" w:rsidSect="00A21437">
      <w:headerReference w:type="default" r:id="rId11"/>
      <w:footerReference w:type="even" r:id="rId12"/>
      <w:footerReference w:type="default" r:id="rId13"/>
      <w:headerReference w:type="first" r:id="rId14"/>
      <w:footerReference w:type="first" r:id="rId15"/>
      <w:pgSz w:w="11907" w:h="16840" w:code="9"/>
      <w:pgMar w:top="2268" w:right="567" w:bottom="851" w:left="1134" w:header="720" w:footer="6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C9C6C" w14:textId="77777777" w:rsidR="000A4740" w:rsidRDefault="000A4740" w:rsidP="0096648A">
      <w:pPr>
        <w:spacing w:before="0" w:after="0"/>
      </w:pPr>
      <w:r>
        <w:separator/>
      </w:r>
    </w:p>
  </w:endnote>
  <w:endnote w:type="continuationSeparator" w:id="0">
    <w:p w14:paraId="337378F8" w14:textId="77777777" w:rsidR="000A4740" w:rsidRDefault="000A4740" w:rsidP="009664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um">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FDD0" w14:textId="77777777" w:rsidR="00D76E29" w:rsidRDefault="0084434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3FD24D" w14:textId="77777777" w:rsidR="00D76E29" w:rsidRDefault="006D7A2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Cs w:val="20"/>
      </w:rPr>
      <w:id w:val="233443539"/>
      <w:docPartObj>
        <w:docPartGallery w:val="Page Numbers (Bottom of Page)"/>
        <w:docPartUnique/>
      </w:docPartObj>
    </w:sdtPr>
    <w:sdtEndPr/>
    <w:sdtContent>
      <w:p w14:paraId="4E8AE55F" w14:textId="7E975A01" w:rsidR="00AB3649" w:rsidRPr="00AB3649" w:rsidRDefault="00AB3649">
        <w:pPr>
          <w:pStyle w:val="Rodap"/>
          <w:jc w:val="center"/>
          <w:rPr>
            <w:rFonts w:asciiTheme="minorHAnsi" w:hAnsiTheme="minorHAnsi" w:cstheme="minorHAnsi"/>
            <w:szCs w:val="20"/>
          </w:rPr>
        </w:pPr>
        <w:r w:rsidRPr="00AB3649">
          <w:rPr>
            <w:rFonts w:asciiTheme="minorHAnsi" w:hAnsiTheme="minorHAnsi" w:cstheme="minorHAnsi"/>
            <w:szCs w:val="20"/>
          </w:rPr>
          <w:fldChar w:fldCharType="begin"/>
        </w:r>
        <w:r w:rsidRPr="00AB3649">
          <w:rPr>
            <w:rFonts w:asciiTheme="minorHAnsi" w:hAnsiTheme="minorHAnsi" w:cstheme="minorHAnsi"/>
            <w:szCs w:val="20"/>
          </w:rPr>
          <w:instrText>PAGE   \* MERGEFORMAT</w:instrText>
        </w:r>
        <w:r w:rsidRPr="00AB3649">
          <w:rPr>
            <w:rFonts w:asciiTheme="minorHAnsi" w:hAnsiTheme="minorHAnsi" w:cstheme="minorHAnsi"/>
            <w:szCs w:val="20"/>
          </w:rPr>
          <w:fldChar w:fldCharType="separate"/>
        </w:r>
        <w:r w:rsidR="006D7A20" w:rsidRPr="006D7A20">
          <w:rPr>
            <w:rFonts w:asciiTheme="minorHAnsi" w:hAnsiTheme="minorHAnsi" w:cstheme="minorHAnsi"/>
            <w:noProof/>
            <w:szCs w:val="20"/>
            <w:lang w:val="pt-BR"/>
          </w:rPr>
          <w:t>5</w:t>
        </w:r>
        <w:r w:rsidRPr="00AB3649">
          <w:rPr>
            <w:rFonts w:asciiTheme="minorHAnsi" w:hAnsiTheme="minorHAnsi" w:cstheme="minorHAnsi"/>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FC6" w14:textId="69271736" w:rsidR="00A21437" w:rsidRPr="00A21437" w:rsidRDefault="00A21437">
    <w:pPr>
      <w:pStyle w:val="Rodap"/>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55617" w14:textId="77777777" w:rsidR="000A4740" w:rsidRDefault="000A4740" w:rsidP="0096648A">
      <w:pPr>
        <w:spacing w:before="0" w:after="0"/>
      </w:pPr>
      <w:r>
        <w:separator/>
      </w:r>
    </w:p>
  </w:footnote>
  <w:footnote w:type="continuationSeparator" w:id="0">
    <w:p w14:paraId="27341AA6" w14:textId="77777777" w:rsidR="000A4740" w:rsidRDefault="000A4740" w:rsidP="0096648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A5FC" w14:textId="77777777" w:rsidR="00A21437" w:rsidRPr="007A1E4D" w:rsidRDefault="00A21437" w:rsidP="00A21437">
    <w:pPr>
      <w:tabs>
        <w:tab w:val="center" w:pos="4419"/>
        <w:tab w:val="right" w:pos="8838"/>
      </w:tabs>
      <w:spacing w:before="0" w:after="0"/>
      <w:jc w:val="center"/>
    </w:pPr>
    <w:r>
      <w:rPr>
        <w:noProof/>
        <w:lang w:val="pt-BR"/>
      </w:rPr>
      <w:drawing>
        <wp:inline distT="0" distB="0" distL="0" distR="0" wp14:anchorId="7D04D14D" wp14:editId="3CDE6438">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36B8A5" w14:textId="77777777" w:rsidR="00A21437" w:rsidRPr="00A21437" w:rsidRDefault="00A21437" w:rsidP="00A21437">
    <w:pPr>
      <w:spacing w:before="0" w:after="0"/>
      <w:jc w:val="center"/>
      <w:rPr>
        <w:rFonts w:asciiTheme="minorHAnsi" w:hAnsiTheme="minorHAnsi" w:cstheme="minorHAnsi"/>
        <w:b/>
        <w:sz w:val="24"/>
      </w:rPr>
    </w:pPr>
    <w:r w:rsidRPr="00A21437">
      <w:rPr>
        <w:rFonts w:asciiTheme="minorHAnsi" w:hAnsiTheme="minorHAnsi" w:cstheme="minorHAnsi"/>
        <w:b/>
        <w:sz w:val="24"/>
      </w:rPr>
      <w:t>COMISSÃO DE VALORES MOBILIÁRIOS</w:t>
    </w:r>
  </w:p>
  <w:p w14:paraId="385674C6"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Sete de Setembro, 111/2-5º e 23-34º Andares, Centro, Rio de Janeiro/RJ – CEP: 20050-901 – Brasil - Tel.: (21) 3554-8686</w:t>
    </w:r>
  </w:p>
  <w:p w14:paraId="67CA99E2"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Cincinato Braga, 340/2º, 3º e 4º Andares, Bela Vista, São Paulo/ SP – CEP: 01333-010 – Brasil - Tel.: (11) 2146-2000</w:t>
    </w:r>
  </w:p>
  <w:p w14:paraId="627E57A7"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SCN Q.02 – Bl. A – Ed. Corporate Financial Center, S.404/4º Andar, Brasília/DF – CEP: 70712-900 – Brasil -Tel.: (61) 3327-2030/2031</w:t>
    </w:r>
  </w:p>
  <w:p w14:paraId="23F598BB" w14:textId="240864E4" w:rsidR="00A21437" w:rsidRDefault="006D7A20" w:rsidP="00A21437">
    <w:pPr>
      <w:pStyle w:val="Cabealho"/>
      <w:spacing w:before="0" w:after="0"/>
      <w:jc w:val="center"/>
      <w:rPr>
        <w:rFonts w:asciiTheme="minorHAnsi" w:hAnsiTheme="minorHAnsi" w:cstheme="minorHAnsi"/>
        <w:sz w:val="18"/>
        <w:szCs w:val="18"/>
      </w:rPr>
    </w:pPr>
    <w:hyperlink r:id="rId2" w:history="1">
      <w:r w:rsidR="00E653D2" w:rsidRPr="00836193">
        <w:rPr>
          <w:rStyle w:val="Hyperlink"/>
          <w:rFonts w:asciiTheme="minorHAnsi" w:hAnsiTheme="minorHAnsi" w:cstheme="minorHAnsi"/>
          <w:sz w:val="18"/>
          <w:szCs w:val="18"/>
        </w:rPr>
        <w:t>www.gov.br/cvm</w:t>
      </w:r>
    </w:hyperlink>
  </w:p>
  <w:p w14:paraId="18930FD4" w14:textId="197F7E7A" w:rsidR="00D76E29" w:rsidRPr="00A21437" w:rsidRDefault="006D7A20" w:rsidP="00A21437">
    <w:pPr>
      <w:pStyle w:val="Cabealho"/>
      <w:spacing w:before="240" w:after="240"/>
      <w:rPr>
        <w:rFonts w:asciiTheme="minorHAnsi" w:hAnsiTheme="minorHAnsi" w:cstheme="minorHAnsi"/>
      </w:rPr>
    </w:pPr>
    <w:r w:rsidRPr="006D7A20">
      <w:rPr>
        <w:rFonts w:asciiTheme="minorHAnsi" w:hAnsiTheme="minorHAnsi" w:cstheme="minorHAnsi"/>
        <w:szCs w:val="20"/>
      </w:rPr>
      <w:t>RESOLUÇÃO CVM Nº 130, DE 3 DE JUNHO DE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AFD" w14:textId="77777777" w:rsidR="00DF62F3" w:rsidRPr="007A1E4D" w:rsidRDefault="00DF62F3" w:rsidP="00DF62F3">
    <w:pPr>
      <w:tabs>
        <w:tab w:val="center" w:pos="4419"/>
        <w:tab w:val="right" w:pos="8838"/>
      </w:tabs>
      <w:jc w:val="center"/>
    </w:pPr>
    <w:r>
      <w:rPr>
        <w:noProof/>
        <w:lang w:val="pt-BR"/>
      </w:rPr>
      <w:drawing>
        <wp:inline distT="0" distB="0" distL="0" distR="0" wp14:anchorId="03F737A4" wp14:editId="3E1E4ECB">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9B1390C" w14:textId="77777777" w:rsidR="00DF62F3" w:rsidRPr="00DF62F3" w:rsidRDefault="00DF62F3" w:rsidP="00DF62F3">
    <w:pPr>
      <w:spacing w:before="0" w:after="0"/>
      <w:jc w:val="center"/>
      <w:rPr>
        <w:rFonts w:asciiTheme="minorHAnsi" w:hAnsiTheme="minorHAnsi" w:cstheme="minorHAnsi"/>
        <w:b/>
        <w:sz w:val="24"/>
      </w:rPr>
    </w:pPr>
    <w:r w:rsidRPr="00DF62F3">
      <w:rPr>
        <w:rFonts w:asciiTheme="minorHAnsi" w:hAnsiTheme="minorHAnsi" w:cstheme="minorHAnsi"/>
        <w:b/>
        <w:sz w:val="24"/>
      </w:rPr>
      <w:t>COMISSÃO DE VALORES MOBILIÁRIOS</w:t>
    </w:r>
  </w:p>
  <w:p w14:paraId="3EE652BB"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2500B3D1"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26FF1146"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50D54C72" w14:textId="411AEB93" w:rsidR="00D76E29" w:rsidRDefault="006D7A20" w:rsidP="00DF62F3">
    <w:pPr>
      <w:pStyle w:val="Cabealho"/>
      <w:spacing w:before="0" w:after="360"/>
      <w:jc w:val="center"/>
      <w:rPr>
        <w:rFonts w:asciiTheme="minorHAnsi" w:hAnsiTheme="minorHAnsi" w:cstheme="minorHAnsi"/>
        <w:sz w:val="18"/>
        <w:szCs w:val="18"/>
      </w:rPr>
    </w:pPr>
    <w:hyperlink r:id="rId2" w:history="1">
      <w:r w:rsidR="00E653D2" w:rsidRPr="00836193">
        <w:rPr>
          <w:rStyle w:val="Hyperlink"/>
          <w:rFonts w:asciiTheme="minorHAnsi" w:hAnsiTheme="minorHAnsi" w:cstheme="minorHAnsi"/>
          <w:sz w:val="18"/>
          <w:szCs w:val="18"/>
        </w:rPr>
        <w:t>www.gov.br/cvm</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1" w15:restartNumberingAfterBreak="0">
    <w:nsid w:val="21A43A24"/>
    <w:multiLevelType w:val="hybridMultilevel"/>
    <w:tmpl w:val="505E86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8A"/>
    <w:rsid w:val="00004750"/>
    <w:rsid w:val="000A4740"/>
    <w:rsid w:val="000E0127"/>
    <w:rsid w:val="00240633"/>
    <w:rsid w:val="00273211"/>
    <w:rsid w:val="00275BD2"/>
    <w:rsid w:val="005D7141"/>
    <w:rsid w:val="006A28EA"/>
    <w:rsid w:val="006D7A20"/>
    <w:rsid w:val="00752920"/>
    <w:rsid w:val="007A377F"/>
    <w:rsid w:val="00824ACF"/>
    <w:rsid w:val="0084434F"/>
    <w:rsid w:val="0096648A"/>
    <w:rsid w:val="009D3457"/>
    <w:rsid w:val="00A12AE4"/>
    <w:rsid w:val="00A21437"/>
    <w:rsid w:val="00A92033"/>
    <w:rsid w:val="00A97F8B"/>
    <w:rsid w:val="00AB3649"/>
    <w:rsid w:val="00AD26A8"/>
    <w:rsid w:val="00B1663C"/>
    <w:rsid w:val="00B2760C"/>
    <w:rsid w:val="00B56B95"/>
    <w:rsid w:val="00C578D8"/>
    <w:rsid w:val="00C72039"/>
    <w:rsid w:val="00CF08C5"/>
    <w:rsid w:val="00CF424B"/>
    <w:rsid w:val="00D410C6"/>
    <w:rsid w:val="00DB4D8C"/>
    <w:rsid w:val="00DF62F3"/>
    <w:rsid w:val="00E002ED"/>
    <w:rsid w:val="00E653D2"/>
    <w:rsid w:val="00F065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E1952"/>
  <w15:chartTrackingRefBased/>
  <w15:docId w15:val="{A039BEE3-6F4A-46C4-9423-3667D036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8A"/>
    <w:pPr>
      <w:spacing w:before="120" w:after="120" w:line="240" w:lineRule="auto"/>
      <w:jc w:val="both"/>
    </w:pPr>
    <w:rPr>
      <w:rFonts w:ascii="Arial" w:eastAsia="Times New Roman" w:hAnsi="Arial" w:cs="Times New Roman"/>
      <w:sz w:val="20"/>
      <w:szCs w:val="24"/>
      <w:lang w:val="pt-PT" w:eastAsia="pt-BR"/>
    </w:rPr>
  </w:style>
  <w:style w:type="paragraph" w:styleId="Ttulo1">
    <w:name w:val="heading 1"/>
    <w:basedOn w:val="Normal"/>
    <w:link w:val="Ttulo1Char"/>
    <w:qFormat/>
    <w:rsid w:val="0096648A"/>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link w:val="Ttulo2Char"/>
    <w:qFormat/>
    <w:rsid w:val="0096648A"/>
    <w:pPr>
      <w:keepNext/>
      <w:spacing w:before="240" w:after="60"/>
      <w:outlineLvl w:val="1"/>
    </w:pPr>
    <w:rPr>
      <w:rFonts w:cs="Arial"/>
      <w:b/>
      <w:bCs/>
      <w:i/>
      <w:iCs/>
      <w:sz w:val="28"/>
      <w:szCs w:val="28"/>
    </w:rPr>
  </w:style>
  <w:style w:type="paragraph" w:styleId="Ttulo3">
    <w:name w:val="heading 3"/>
    <w:basedOn w:val="Normal"/>
    <w:next w:val="Normal"/>
    <w:link w:val="Ttulo3Char"/>
    <w:qFormat/>
    <w:rsid w:val="0096648A"/>
    <w:pPr>
      <w:keepNext/>
      <w:spacing w:before="240" w:after="60"/>
      <w:outlineLvl w:val="2"/>
    </w:pPr>
    <w:rPr>
      <w:rFonts w:cs="Arial"/>
      <w:b/>
      <w:bCs/>
      <w:sz w:val="26"/>
      <w:szCs w:val="26"/>
    </w:rPr>
  </w:style>
  <w:style w:type="paragraph" w:styleId="Ttulo4">
    <w:name w:val="heading 4"/>
    <w:basedOn w:val="Normal"/>
    <w:next w:val="Normal"/>
    <w:link w:val="Ttulo4Char"/>
    <w:qFormat/>
    <w:rsid w:val="0096648A"/>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96648A"/>
    <w:pPr>
      <w:spacing w:before="240" w:after="60"/>
      <w:outlineLvl w:val="4"/>
    </w:pPr>
    <w:rPr>
      <w:b/>
      <w:bCs/>
      <w:i/>
      <w:iCs/>
      <w:sz w:val="26"/>
      <w:szCs w:val="26"/>
    </w:rPr>
  </w:style>
  <w:style w:type="paragraph" w:styleId="Ttulo6">
    <w:name w:val="heading 6"/>
    <w:basedOn w:val="Normal"/>
    <w:next w:val="Normal"/>
    <w:link w:val="Ttulo6Char"/>
    <w:qFormat/>
    <w:rsid w:val="0096648A"/>
    <w:pPr>
      <w:keepNext/>
      <w:outlineLvl w:val="5"/>
    </w:pPr>
    <w:rPr>
      <w:rFonts w:ascii="Times New Roman" w:hAnsi="Times New Roman"/>
      <w:b/>
      <w:caps/>
      <w:sz w:val="22"/>
      <w:szCs w:val="20"/>
      <w:lang w:val="pt-BR" w:eastAsia="en-US"/>
    </w:rPr>
  </w:style>
  <w:style w:type="paragraph" w:styleId="Ttulo7">
    <w:name w:val="heading 7"/>
    <w:basedOn w:val="Normal"/>
    <w:next w:val="Normal"/>
    <w:link w:val="Ttulo7Char"/>
    <w:qFormat/>
    <w:rsid w:val="0096648A"/>
    <w:pPr>
      <w:spacing w:before="240" w:after="60"/>
      <w:jc w:val="left"/>
      <w:outlineLvl w:val="6"/>
    </w:pPr>
    <w:rPr>
      <w:rFonts w:ascii="Times New Roman" w:hAnsi="Times New Roman"/>
      <w:sz w:val="24"/>
      <w:lang w:val="pt-BR"/>
    </w:rPr>
  </w:style>
  <w:style w:type="paragraph" w:styleId="Ttulo8">
    <w:name w:val="heading 8"/>
    <w:basedOn w:val="Normal"/>
    <w:next w:val="Normal"/>
    <w:link w:val="Ttulo8Char"/>
    <w:qFormat/>
    <w:rsid w:val="0096648A"/>
    <w:pPr>
      <w:spacing w:before="240" w:after="60"/>
      <w:outlineLvl w:val="7"/>
    </w:pPr>
    <w:rPr>
      <w:rFonts w:ascii="Cambria" w:hAnsi="Cambria"/>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48A"/>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rsid w:val="0096648A"/>
    <w:rPr>
      <w:rFonts w:ascii="Arial" w:eastAsia="Times New Roman" w:hAnsi="Arial" w:cs="Arial"/>
      <w:b/>
      <w:bCs/>
      <w:i/>
      <w:iCs/>
      <w:sz w:val="28"/>
      <w:szCs w:val="28"/>
      <w:lang w:val="pt-PT" w:eastAsia="pt-BR"/>
    </w:rPr>
  </w:style>
  <w:style w:type="character" w:customStyle="1" w:styleId="Ttulo3Char">
    <w:name w:val="Título 3 Char"/>
    <w:basedOn w:val="Fontepargpadro"/>
    <w:link w:val="Ttulo3"/>
    <w:rsid w:val="0096648A"/>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96648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96648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96648A"/>
    <w:rPr>
      <w:rFonts w:ascii="Times New Roman" w:eastAsia="Times New Roman" w:hAnsi="Times New Roman" w:cs="Times New Roman"/>
      <w:b/>
      <w:caps/>
      <w:szCs w:val="20"/>
    </w:rPr>
  </w:style>
  <w:style w:type="character" w:customStyle="1" w:styleId="Ttulo7Char">
    <w:name w:val="Título 7 Char"/>
    <w:basedOn w:val="Fontepargpadro"/>
    <w:link w:val="Ttulo7"/>
    <w:rsid w:val="0096648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96648A"/>
    <w:rPr>
      <w:rFonts w:ascii="Cambria" w:eastAsia="Times New Roman" w:hAnsi="Cambria" w:cs="Times New Roman"/>
      <w:i/>
      <w:iCs/>
      <w:sz w:val="24"/>
      <w:szCs w:val="24"/>
      <w:lang w:val="pt-PT" w:eastAsia="pt-BR"/>
    </w:rPr>
  </w:style>
  <w:style w:type="paragraph" w:styleId="Textodebalo">
    <w:name w:val="Balloon Text"/>
    <w:basedOn w:val="Normal"/>
    <w:link w:val="TextodebaloChar"/>
    <w:uiPriority w:val="99"/>
    <w:semiHidden/>
    <w:rsid w:val="0096648A"/>
    <w:rPr>
      <w:rFonts w:ascii="Tahoma" w:hAnsi="Tahoma"/>
      <w:sz w:val="16"/>
      <w:szCs w:val="16"/>
      <w:lang w:eastAsia="x-none"/>
    </w:rPr>
  </w:style>
  <w:style w:type="character" w:customStyle="1" w:styleId="TextodebaloChar">
    <w:name w:val="Texto de balão Char"/>
    <w:basedOn w:val="Fontepargpadro"/>
    <w:link w:val="Textodebalo"/>
    <w:uiPriority w:val="99"/>
    <w:semiHidden/>
    <w:rsid w:val="0096648A"/>
    <w:rPr>
      <w:rFonts w:ascii="Tahoma" w:eastAsia="Times New Roman" w:hAnsi="Tahoma" w:cs="Times New Roman"/>
      <w:sz w:val="16"/>
      <w:szCs w:val="16"/>
      <w:lang w:val="pt-PT" w:eastAsia="x-none"/>
    </w:rPr>
  </w:style>
  <w:style w:type="character" w:customStyle="1" w:styleId="BalloonTextChar">
    <w:name w:val="Balloon Text Char"/>
    <w:semiHidden/>
    <w:rsid w:val="0096648A"/>
    <w:rPr>
      <w:rFonts w:ascii="Lucida Grande" w:hAnsi="Lucida Grande"/>
      <w:sz w:val="18"/>
      <w:szCs w:val="18"/>
    </w:rPr>
  </w:style>
  <w:style w:type="paragraph" w:styleId="Textoembloco">
    <w:name w:val="Block Text"/>
    <w:basedOn w:val="Normal"/>
    <w:link w:val="TextoemblocoChar"/>
    <w:uiPriority w:val="99"/>
    <w:rsid w:val="0096648A"/>
    <w:pPr>
      <w:widowControl w:val="0"/>
      <w:tabs>
        <w:tab w:val="left" w:pos="6804"/>
      </w:tabs>
      <w:spacing w:before="2" w:after="2" w:line="250" w:lineRule="auto"/>
      <w:ind w:left="336" w:right="57" w:hanging="279"/>
      <w:jc w:val="left"/>
    </w:pPr>
    <w:rPr>
      <w:lang w:eastAsia="x-none"/>
    </w:rPr>
  </w:style>
  <w:style w:type="paragraph" w:styleId="Cabealho">
    <w:name w:val="header"/>
    <w:basedOn w:val="Normal"/>
    <w:link w:val="CabealhoChar"/>
    <w:uiPriority w:val="99"/>
    <w:rsid w:val="0096648A"/>
    <w:pPr>
      <w:tabs>
        <w:tab w:val="center" w:pos="4320"/>
        <w:tab w:val="right" w:pos="8640"/>
      </w:tabs>
    </w:pPr>
    <w:rPr>
      <w:lang w:eastAsia="x-none"/>
    </w:rPr>
  </w:style>
  <w:style w:type="character" w:customStyle="1" w:styleId="CabealhoChar">
    <w:name w:val="Cabeçalho Char"/>
    <w:basedOn w:val="Fontepargpadro"/>
    <w:link w:val="Cabealho"/>
    <w:uiPriority w:val="99"/>
    <w:rsid w:val="0096648A"/>
    <w:rPr>
      <w:rFonts w:ascii="Arial" w:eastAsia="Times New Roman" w:hAnsi="Arial" w:cs="Times New Roman"/>
      <w:sz w:val="20"/>
      <w:szCs w:val="24"/>
      <w:lang w:val="pt-PT" w:eastAsia="x-none"/>
    </w:rPr>
  </w:style>
  <w:style w:type="paragraph" w:styleId="Rodap">
    <w:name w:val="footer"/>
    <w:basedOn w:val="Normal"/>
    <w:link w:val="RodapChar"/>
    <w:rsid w:val="0096648A"/>
    <w:pPr>
      <w:tabs>
        <w:tab w:val="center" w:pos="4320"/>
        <w:tab w:val="right" w:pos="8640"/>
      </w:tabs>
    </w:pPr>
    <w:rPr>
      <w:lang w:eastAsia="x-none"/>
    </w:rPr>
  </w:style>
  <w:style w:type="character" w:customStyle="1" w:styleId="RodapChar">
    <w:name w:val="Rodapé Char"/>
    <w:basedOn w:val="Fontepargpadro"/>
    <w:link w:val="Rodap"/>
    <w:rsid w:val="0096648A"/>
    <w:rPr>
      <w:rFonts w:ascii="Arial" w:eastAsia="Times New Roman" w:hAnsi="Arial" w:cs="Times New Roman"/>
      <w:sz w:val="20"/>
      <w:szCs w:val="24"/>
      <w:lang w:val="pt-PT" w:eastAsia="x-none"/>
    </w:rPr>
  </w:style>
  <w:style w:type="character" w:styleId="Refdecomentrio">
    <w:name w:val="annotation reference"/>
    <w:uiPriority w:val="99"/>
    <w:semiHidden/>
    <w:rsid w:val="0096648A"/>
    <w:rPr>
      <w:sz w:val="16"/>
    </w:rPr>
  </w:style>
  <w:style w:type="paragraph" w:styleId="Textodecomentrio">
    <w:name w:val="annotation text"/>
    <w:basedOn w:val="Normal"/>
    <w:link w:val="TextodecomentrioChar"/>
    <w:uiPriority w:val="99"/>
    <w:semiHidden/>
    <w:rsid w:val="0096648A"/>
    <w:pPr>
      <w:spacing w:before="0" w:after="0"/>
    </w:pPr>
    <w:rPr>
      <w:rFonts w:ascii="Times New Roman" w:hAnsi="Times New Roman"/>
      <w:szCs w:val="20"/>
      <w:lang w:val="x-none" w:eastAsia="en-US"/>
    </w:rPr>
  </w:style>
  <w:style w:type="character" w:customStyle="1" w:styleId="TextodecomentrioChar">
    <w:name w:val="Texto de comentário Char"/>
    <w:basedOn w:val="Fontepargpadro"/>
    <w:link w:val="Textodecomentrio"/>
    <w:uiPriority w:val="99"/>
    <w:semiHidden/>
    <w:rsid w:val="0096648A"/>
    <w:rPr>
      <w:rFonts w:ascii="Times New Roman" w:eastAsia="Times New Roman" w:hAnsi="Times New Roman" w:cs="Times New Roman"/>
      <w:sz w:val="20"/>
      <w:szCs w:val="20"/>
      <w:lang w:val="x-none"/>
    </w:rPr>
  </w:style>
  <w:style w:type="paragraph" w:customStyle="1" w:styleId="Recuonormal1">
    <w:name w:val="Recuo normal1"/>
    <w:basedOn w:val="Normal"/>
    <w:rsid w:val="0096648A"/>
    <w:pPr>
      <w:spacing w:before="0" w:after="0"/>
      <w:ind w:left="720"/>
    </w:pPr>
    <w:rPr>
      <w:rFonts w:ascii="Times New Roman" w:hAnsi="Times New Roman"/>
      <w:sz w:val="22"/>
      <w:szCs w:val="20"/>
      <w:lang w:val="pt-BR" w:eastAsia="en-US"/>
    </w:rPr>
  </w:style>
  <w:style w:type="paragraph" w:styleId="NormalWeb">
    <w:name w:val="Normal (Web)"/>
    <w:basedOn w:val="Normal"/>
    <w:semiHidden/>
    <w:rsid w:val="0096648A"/>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link w:val="AssuntodocomentrioChar"/>
    <w:uiPriority w:val="99"/>
    <w:semiHidden/>
    <w:rsid w:val="0096648A"/>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uiPriority w:val="99"/>
    <w:semiHidden/>
    <w:rsid w:val="0096648A"/>
    <w:rPr>
      <w:rFonts w:ascii="Arial" w:eastAsia="Times New Roman" w:hAnsi="Arial" w:cs="Times New Roman"/>
      <w:b/>
      <w:bCs/>
      <w:sz w:val="20"/>
      <w:szCs w:val="20"/>
      <w:lang w:val="pt-PT"/>
    </w:rPr>
  </w:style>
  <w:style w:type="paragraph" w:styleId="Corpodetexto">
    <w:name w:val="Body Text"/>
    <w:basedOn w:val="Normal"/>
    <w:link w:val="CorpodetextoChar"/>
    <w:rsid w:val="0096648A"/>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rsid w:val="0096648A"/>
    <w:rPr>
      <w:rFonts w:ascii="Times New Roman" w:eastAsia="Times New Roman" w:hAnsi="Times New Roman" w:cs="Times New Roman"/>
      <w:lang w:eastAsia="pt-BR"/>
    </w:rPr>
  </w:style>
  <w:style w:type="character" w:customStyle="1" w:styleId="grame">
    <w:name w:val="grame"/>
    <w:basedOn w:val="Fontepargpadro"/>
    <w:rsid w:val="0096648A"/>
  </w:style>
  <w:style w:type="character" w:customStyle="1" w:styleId="spelle">
    <w:name w:val="spelle"/>
    <w:basedOn w:val="Fontepargpadro"/>
    <w:rsid w:val="0096648A"/>
  </w:style>
  <w:style w:type="character" w:styleId="Refdenotaderodap">
    <w:name w:val="footnote reference"/>
    <w:semiHidden/>
    <w:rsid w:val="0096648A"/>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basedOn w:val="Normal"/>
    <w:link w:val="TextodenotaderodapChar"/>
    <w:semiHidden/>
    <w:rsid w:val="0096648A"/>
    <w:pPr>
      <w:spacing w:before="0" w:after="0"/>
    </w:pPr>
    <w:rPr>
      <w:rFonts w:ascii="Times New Roman" w:hAnsi="Times New Roman"/>
      <w:szCs w:val="20"/>
      <w:lang w:val="pt-BR"/>
    </w:rPr>
  </w:style>
  <w:style w:type="character" w:customStyle="1" w:styleId="TextodenotaderodapChar">
    <w:name w:val="Texto de nota de rodapé Char"/>
    <w:basedOn w:val="Fontepargpadro"/>
    <w:link w:val="Textodenotaderodap"/>
    <w:semiHidden/>
    <w:rsid w:val="0096648A"/>
    <w:rPr>
      <w:rFonts w:ascii="Times New Roman" w:eastAsia="Times New Roman" w:hAnsi="Times New Roman" w:cs="Times New Roman"/>
      <w:sz w:val="20"/>
      <w:szCs w:val="20"/>
      <w:lang w:eastAsia="pt-BR"/>
    </w:rPr>
  </w:style>
  <w:style w:type="paragraph" w:customStyle="1" w:styleId="paragraph">
    <w:name w:val="paragraph"/>
    <w:basedOn w:val="Normal"/>
    <w:next w:val="Normal"/>
    <w:rsid w:val="0096648A"/>
    <w:pPr>
      <w:widowControl w:val="0"/>
      <w:spacing w:before="0" w:after="0"/>
      <w:ind w:left="432" w:hanging="432"/>
    </w:pPr>
    <w:rPr>
      <w:rFonts w:ascii="Times New Roman" w:hAnsi="Times New Roman"/>
      <w:szCs w:val="20"/>
      <w:lang w:val="pt-BR" w:eastAsia="en-US"/>
    </w:rPr>
  </w:style>
  <w:style w:type="character" w:styleId="Nmerodepgina">
    <w:name w:val="page number"/>
    <w:basedOn w:val="Fontepargpadro"/>
    <w:rsid w:val="0096648A"/>
  </w:style>
  <w:style w:type="paragraph" w:customStyle="1" w:styleId="Normal1">
    <w:name w:val="Normal1"/>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link w:val="RecuodecorpodetextoChar"/>
    <w:semiHidden/>
    <w:rsid w:val="0096648A"/>
    <w:pPr>
      <w:tabs>
        <w:tab w:val="left" w:pos="720"/>
      </w:tabs>
      <w:spacing w:before="0" w:after="0"/>
      <w:ind w:left="720" w:hanging="360"/>
    </w:pPr>
    <w:rPr>
      <w:rFonts w:ascii="Times New Roman" w:hAnsi="Times New Roman"/>
      <w:lang w:val="pt-BR" w:eastAsia="en-US"/>
    </w:rPr>
  </w:style>
  <w:style w:type="character" w:customStyle="1" w:styleId="RecuodecorpodetextoChar">
    <w:name w:val="Recuo de corpo de texto Char"/>
    <w:basedOn w:val="Fontepargpadro"/>
    <w:link w:val="Recuodecorpodetexto"/>
    <w:semiHidden/>
    <w:rsid w:val="0096648A"/>
    <w:rPr>
      <w:rFonts w:ascii="Times New Roman" w:eastAsia="Times New Roman" w:hAnsi="Times New Roman" w:cs="Times New Roman"/>
      <w:sz w:val="20"/>
      <w:szCs w:val="24"/>
    </w:rPr>
  </w:style>
  <w:style w:type="paragraph" w:styleId="Recuodecorpodetexto2">
    <w:name w:val="Body Text Indent 2"/>
    <w:basedOn w:val="Normal"/>
    <w:link w:val="Recuodecorpodetexto2Char"/>
    <w:semiHidden/>
    <w:rsid w:val="0096648A"/>
    <w:pPr>
      <w:spacing w:before="0" w:line="480" w:lineRule="auto"/>
      <w:ind w:left="283"/>
      <w:jc w:val="left"/>
    </w:pPr>
    <w:rPr>
      <w:rFonts w:ascii="Times New Roman" w:eastAsia="SimSun" w:hAnsi="Times New Roman"/>
      <w:sz w:val="24"/>
      <w:lang w:val="en-US" w:eastAsia="zh-CN"/>
    </w:rPr>
  </w:style>
  <w:style w:type="character" w:customStyle="1" w:styleId="Recuodecorpodetexto2Char">
    <w:name w:val="Recuo de corpo de texto 2 Char"/>
    <w:basedOn w:val="Fontepargpadro"/>
    <w:link w:val="Recuodecorpodetexto2"/>
    <w:semiHidden/>
    <w:rsid w:val="0096648A"/>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648A"/>
    <w:pPr>
      <w:numPr>
        <w:numId w:val="1"/>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semiHidden/>
    <w:rsid w:val="0096648A"/>
    <w:rPr>
      <w:color w:val="008000"/>
      <w:u w:val="single"/>
    </w:rPr>
  </w:style>
  <w:style w:type="paragraph" w:customStyle="1" w:styleId="IASBNormal">
    <w:name w:val="IASB Normal"/>
    <w:rsid w:val="0096648A"/>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648A"/>
    <w:pPr>
      <w:spacing w:before="200"/>
    </w:pPr>
    <w:rPr>
      <w:rFonts w:ascii="Arial" w:hAnsi="Arial" w:cs="Arial"/>
    </w:rPr>
  </w:style>
  <w:style w:type="paragraph" w:customStyle="1" w:styleId="IASBTitle">
    <w:name w:val="IASB Title"/>
    <w:basedOn w:val="IASBNormal"/>
    <w:rsid w:val="0096648A"/>
    <w:pPr>
      <w:keepNext/>
      <w:keepLines/>
      <w:spacing w:before="300" w:after="400"/>
      <w:jc w:val="left"/>
    </w:pPr>
    <w:rPr>
      <w:rFonts w:ascii="Arial" w:hAnsi="Arial" w:cs="Arial"/>
      <w:b/>
      <w:sz w:val="36"/>
    </w:rPr>
  </w:style>
  <w:style w:type="paragraph" w:customStyle="1" w:styleId="IASBSectionTitleU">
    <w:name w:val="IASB Section Title U"/>
    <w:basedOn w:val="IASBTitle"/>
    <w:rsid w:val="0096648A"/>
    <w:pPr>
      <w:pBdr>
        <w:bottom w:val="single" w:sz="4" w:space="0" w:color="auto"/>
      </w:pBdr>
      <w:spacing w:before="400" w:after="200"/>
    </w:pPr>
    <w:rPr>
      <w:sz w:val="26"/>
    </w:rPr>
  </w:style>
  <w:style w:type="paragraph" w:customStyle="1" w:styleId="IASBNote">
    <w:name w:val="IASB Note"/>
    <w:basedOn w:val="IASBNormal"/>
    <w:rsid w:val="0096648A"/>
    <w:rPr>
      <w:i/>
    </w:rPr>
  </w:style>
  <w:style w:type="paragraph" w:customStyle="1" w:styleId="IASBFootnoteText">
    <w:name w:val="IASB Footnote Text"/>
    <w:basedOn w:val="IASBNormal"/>
    <w:rsid w:val="0096648A"/>
    <w:pPr>
      <w:spacing w:before="0" w:after="60"/>
      <w:ind w:left="284" w:hanging="284"/>
    </w:pPr>
    <w:rPr>
      <w:sz w:val="16"/>
    </w:rPr>
  </w:style>
  <w:style w:type="paragraph" w:customStyle="1" w:styleId="DaveIASBSubsectionTitle">
    <w:name w:val="Dave IASB Subsection Title"/>
    <w:basedOn w:val="IASBTitle"/>
    <w:rsid w:val="0096648A"/>
    <w:pPr>
      <w:spacing w:after="200"/>
      <w:ind w:left="780"/>
    </w:pPr>
    <w:rPr>
      <w:sz w:val="26"/>
    </w:rPr>
  </w:style>
  <w:style w:type="paragraph" w:styleId="MapadoDocumento">
    <w:name w:val="Document Map"/>
    <w:basedOn w:val="Normal"/>
    <w:link w:val="MapadoDocumentoChar"/>
    <w:semiHidden/>
    <w:rsid w:val="0096648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6648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648A"/>
    <w:pPr>
      <w:spacing w:before="0" w:after="160" w:line="240" w:lineRule="exact"/>
      <w:jc w:val="left"/>
    </w:pPr>
    <w:rPr>
      <w:rFonts w:ascii="Verdana" w:eastAsia="SimSun" w:hAnsi="Verdana"/>
      <w:szCs w:val="20"/>
      <w:lang w:val="pt-BR" w:eastAsia="es-AR"/>
    </w:rPr>
  </w:style>
  <w:style w:type="paragraph" w:styleId="Corpodetexto3">
    <w:name w:val="Body Text 3"/>
    <w:basedOn w:val="Normal"/>
    <w:link w:val="Corpodetexto3Char"/>
    <w:semiHidden/>
    <w:rsid w:val="0096648A"/>
    <w:rPr>
      <w:sz w:val="16"/>
      <w:szCs w:val="16"/>
    </w:rPr>
  </w:style>
  <w:style w:type="character" w:customStyle="1" w:styleId="Corpodetexto3Char">
    <w:name w:val="Corpo de texto 3 Char"/>
    <w:basedOn w:val="Fontepargpadro"/>
    <w:link w:val="Corpodetexto3"/>
    <w:semiHidden/>
    <w:rsid w:val="0096648A"/>
    <w:rPr>
      <w:rFonts w:ascii="Arial" w:eastAsia="Times New Roman" w:hAnsi="Arial" w:cs="Times New Roman"/>
      <w:sz w:val="16"/>
      <w:szCs w:val="16"/>
      <w:lang w:val="pt-PT" w:eastAsia="pt-BR"/>
    </w:rPr>
  </w:style>
  <w:style w:type="character" w:customStyle="1" w:styleId="CharChar">
    <w:name w:val="Char Char"/>
    <w:semiHidden/>
    <w:rsid w:val="0096648A"/>
    <w:rPr>
      <w:rFonts w:ascii="Cambria" w:eastAsia="Times New Roman" w:hAnsi="Cambria" w:cs="Times New Roman"/>
      <w:i/>
      <w:iCs/>
      <w:sz w:val="24"/>
      <w:szCs w:val="24"/>
      <w:lang w:val="pt-PT" w:eastAsia="pt-BR"/>
    </w:rPr>
  </w:style>
  <w:style w:type="table" w:styleId="Tabelacomgrade">
    <w:name w:val="Table Grid"/>
    <w:basedOn w:val="Tabelanormal"/>
    <w:rsid w:val="0096648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648A"/>
    <w:pPr>
      <w:spacing w:after="60"/>
      <w:jc w:val="left"/>
    </w:pPr>
    <w:rPr>
      <w:rFonts w:ascii="Verdana" w:hAnsi="Verdana"/>
      <w:b/>
      <w:bCs/>
      <w:color w:val="585775"/>
      <w:sz w:val="28"/>
      <w:szCs w:val="28"/>
      <w:lang w:val="en-US" w:eastAsia="en-US"/>
    </w:rPr>
  </w:style>
  <w:style w:type="paragraph" w:styleId="Corpodetexto2">
    <w:name w:val="Body Text 2"/>
    <w:basedOn w:val="Normal"/>
    <w:link w:val="Corpodetexto2Char"/>
    <w:rsid w:val="0096648A"/>
    <w:pPr>
      <w:spacing w:before="40" w:after="40"/>
    </w:pPr>
    <w:rPr>
      <w:rFonts w:ascii="Times New Roman" w:hAnsi="Times New Roman"/>
      <w:b/>
      <w:bCs/>
      <w:sz w:val="22"/>
      <w:lang w:val="x-none" w:eastAsia="x-none"/>
    </w:rPr>
  </w:style>
  <w:style w:type="character" w:customStyle="1" w:styleId="Corpodetexto2Char">
    <w:name w:val="Corpo de texto 2 Char"/>
    <w:basedOn w:val="Fontepargpadro"/>
    <w:link w:val="Corpodetexto2"/>
    <w:rsid w:val="0096648A"/>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648A"/>
    <w:pPr>
      <w:spacing w:before="0" w:after="200" w:line="276" w:lineRule="auto"/>
      <w:ind w:left="720"/>
      <w:jc w:val="left"/>
    </w:pPr>
    <w:rPr>
      <w:rFonts w:ascii="Calibri" w:eastAsia="Calibri" w:hAnsi="Calibri"/>
      <w:sz w:val="22"/>
      <w:szCs w:val="22"/>
      <w:lang w:val="en-US" w:eastAsia="en-US"/>
    </w:rPr>
  </w:style>
  <w:style w:type="paragraph" w:customStyle="1" w:styleId="marcador">
    <w:name w:val="marcador"/>
    <w:basedOn w:val="Normal"/>
    <w:rsid w:val="0096648A"/>
    <w:pPr>
      <w:spacing w:before="0" w:after="0"/>
      <w:jc w:val="left"/>
    </w:pPr>
    <w:rPr>
      <w:sz w:val="24"/>
      <w:lang w:val="pt-BR"/>
    </w:rPr>
  </w:style>
  <w:style w:type="paragraph" w:customStyle="1" w:styleId="Default">
    <w:name w:val="Default"/>
    <w:rsid w:val="00966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rsid w:val="0096648A"/>
    <w:pPr>
      <w:spacing w:before="0" w:after="0"/>
    </w:pPr>
    <w:rPr>
      <w:rFonts w:ascii="Optimum" w:hAnsi="Optimum"/>
      <w:sz w:val="24"/>
      <w:lang w:val="pt-BR"/>
    </w:rPr>
  </w:style>
  <w:style w:type="character" w:customStyle="1" w:styleId="hps">
    <w:name w:val="hps"/>
    <w:uiPriority w:val="99"/>
    <w:rsid w:val="0096648A"/>
    <w:rPr>
      <w:rFonts w:ascii="Times New Roman" w:hAnsi="Times New Roman" w:cs="Times New Roman" w:hint="default"/>
    </w:rPr>
  </w:style>
  <w:style w:type="paragraph" w:customStyle="1" w:styleId="Style20">
    <w:name w:val="Style20"/>
    <w:basedOn w:val="Normal"/>
    <w:uiPriority w:val="99"/>
    <w:rsid w:val="0096648A"/>
    <w:pPr>
      <w:widowControl w:val="0"/>
      <w:autoSpaceDE w:val="0"/>
      <w:autoSpaceDN w:val="0"/>
      <w:adjustRightInd w:val="0"/>
      <w:spacing w:before="0" w:after="0"/>
      <w:jc w:val="left"/>
    </w:pPr>
    <w:rPr>
      <w:rFonts w:ascii="Cambria" w:hAnsi="Cambria"/>
      <w:sz w:val="24"/>
      <w:lang w:val="pt-BR"/>
    </w:rPr>
  </w:style>
  <w:style w:type="paragraph" w:customStyle="1" w:styleId="IASBNormalnpara">
    <w:name w:val="IASB Normal npara"/>
    <w:basedOn w:val="Normal"/>
    <w:rsid w:val="0096648A"/>
    <w:pPr>
      <w:spacing w:before="100" w:after="0"/>
      <w:ind w:left="782" w:hanging="782"/>
    </w:pPr>
    <w:rPr>
      <w:rFonts w:ascii="Times New Roman" w:hAnsi="Times New Roman"/>
      <w:sz w:val="19"/>
      <w:szCs w:val="20"/>
      <w:lang w:val="en-US" w:eastAsia="en-US"/>
    </w:rPr>
  </w:style>
  <w:style w:type="paragraph" w:customStyle="1" w:styleId="IASBNormalnparaL1">
    <w:name w:val="IASB Normal nparaL1"/>
    <w:basedOn w:val="IASBNormalnpara"/>
    <w:rsid w:val="0096648A"/>
    <w:pPr>
      <w:ind w:left="1564"/>
    </w:pPr>
  </w:style>
  <w:style w:type="character" w:customStyle="1" w:styleId="tw4winMark">
    <w:name w:val="tw4winMark"/>
    <w:rsid w:val="0096648A"/>
    <w:rPr>
      <w:rFonts w:ascii="Courier New" w:hAnsi="Courier New" w:cs="Courier New" w:hint="default"/>
      <w:vanish/>
      <w:webHidden w:val="0"/>
      <w:color w:val="800080"/>
      <w:vertAlign w:val="subscript"/>
      <w:specVanish w:val="0"/>
    </w:rPr>
  </w:style>
  <w:style w:type="paragraph" w:styleId="PargrafodaLista">
    <w:name w:val="List Paragraph"/>
    <w:basedOn w:val="Normal"/>
    <w:uiPriority w:val="34"/>
    <w:qFormat/>
    <w:rsid w:val="0096648A"/>
    <w:pPr>
      <w:ind w:left="708"/>
    </w:pPr>
  </w:style>
  <w:style w:type="character" w:customStyle="1" w:styleId="TextoemblocoChar">
    <w:name w:val="Texto em bloco Char"/>
    <w:link w:val="Textoembloco"/>
    <w:uiPriority w:val="99"/>
    <w:locked/>
    <w:rsid w:val="0096648A"/>
    <w:rPr>
      <w:rFonts w:ascii="Arial" w:eastAsia="Times New Roman" w:hAnsi="Arial" w:cs="Times New Roman"/>
      <w:sz w:val="20"/>
      <w:szCs w:val="24"/>
      <w:lang w:val="pt-PT" w:eastAsia="x-none"/>
    </w:rPr>
  </w:style>
  <w:style w:type="character" w:customStyle="1" w:styleId="UnresolvedMention">
    <w:name w:val="Unresolved Mention"/>
    <w:basedOn w:val="Fontepargpadro"/>
    <w:uiPriority w:val="99"/>
    <w:semiHidden/>
    <w:unhideWhenUsed/>
    <w:rsid w:val="00E65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275BA7DCC295C4B97EFA222803C2E43" ma:contentTypeVersion="10" ma:contentTypeDescription="Crie um novo documento." ma:contentTypeScope="" ma:versionID="7d8ea17b59b9333b9b314232a7ebf6e4">
  <xsd:schema xmlns:xsd="http://www.w3.org/2001/XMLSchema" xmlns:xs="http://www.w3.org/2001/XMLSchema" xmlns:p="http://schemas.microsoft.com/office/2006/metadata/properties" xmlns:ns2="b69b09d8-fb11-4638-84fd-30340ac4eb29" targetNamespace="http://schemas.microsoft.com/office/2006/metadata/properties" ma:root="true" ma:fieldsID="aa26f5b75ddb370374fdbca9534ba94d" ns2:_="">
    <xsd:import namespace="b69b09d8-fb11-4638-84fd-30340ac4eb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39C1C-C708-482C-8B79-1D09A5B5D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539F9D-2FE4-4FF9-AA47-BD409D3CE89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69b09d8-fb11-4638-84fd-30340ac4eb29"/>
    <ds:schemaRef ds:uri="http://www.w3.org/XML/1998/namespace"/>
    <ds:schemaRef ds:uri="http://purl.org/dc/dcmitype/"/>
  </ds:schemaRefs>
</ds:datastoreItem>
</file>

<file path=customXml/itemProps3.xml><?xml version="1.0" encoding="utf-8"?>
<ds:datastoreItem xmlns:ds="http://schemas.openxmlformats.org/officeDocument/2006/customXml" ds:itemID="{AA57A24C-C491-418F-ACFB-1D308BF91414}">
  <ds:schemaRefs>
    <ds:schemaRef ds:uri="http://schemas.microsoft.com/sharepoint/v3/contenttype/forms"/>
  </ds:schemaRefs>
</ds:datastoreItem>
</file>

<file path=customXml/itemProps4.xml><?xml version="1.0" encoding="utf-8"?>
<ds:datastoreItem xmlns:ds="http://schemas.openxmlformats.org/officeDocument/2006/customXml" ds:itemID="{1F4CC049-91D5-4CD4-B581-D98888A7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1131</Words>
  <Characters>6113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CVM Nº 130, DE 3 DE JUNHO DE 2022</dc:title>
  <dc:subject/>
  <dc:creator>CVM</dc:creator>
  <cp:keywords/>
  <dc:description/>
  <cp:lastModifiedBy>Renata dos Santos Leitão</cp:lastModifiedBy>
  <cp:revision>29</cp:revision>
  <dcterms:created xsi:type="dcterms:W3CDTF">2021-07-21T15:16:00Z</dcterms:created>
  <dcterms:modified xsi:type="dcterms:W3CDTF">2022-06-02T14:00:00Z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y fmtid="{D5CDD505-2E9C-101B-9397-08002B2CF9AE}" pid="3" name="Order">
    <vt:r8>35900</vt:r8>
  </property>
  <property fmtid="{D5CDD505-2E9C-101B-9397-08002B2CF9AE}" pid="4" name="_ExtendedDescription">
    <vt:lpwstr/>
  </property>
  <property fmtid="{D5CDD505-2E9C-101B-9397-08002B2CF9AE}" pid="5" name="ComplianceAssetId">
    <vt:lpwstr/>
  </property>
</Properties>
</file>