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D74C" w14:textId="30FBB283" w:rsidR="0006320F" w:rsidRPr="008C686B" w:rsidRDefault="0006320F" w:rsidP="0006320F">
      <w:pPr>
        <w:pStyle w:val="TtulodaResoluo"/>
      </w:pPr>
      <w:bookmarkStart w:id="0" w:name="_GoBack"/>
      <w:r w:rsidRPr="008C686B">
        <w:rPr>
          <w:caps w:val="0"/>
        </w:rPr>
        <w:t xml:space="preserve">RESOLUÇÃO </w:t>
      </w:r>
      <w:r w:rsidRPr="008C686B">
        <w:t xml:space="preserve">CVM nº </w:t>
      </w:r>
      <w:r w:rsidR="008C686B" w:rsidRPr="008C686B">
        <w:t>1</w:t>
      </w:r>
      <w:r w:rsidR="006F0DF5">
        <w:t>33</w:t>
      </w:r>
      <w:r w:rsidR="008C686B" w:rsidRPr="008C686B">
        <w:t xml:space="preserve">, </w:t>
      </w:r>
      <w:r w:rsidRPr="008C686B">
        <w:t xml:space="preserve">DE </w:t>
      </w:r>
      <w:r w:rsidR="008C686B" w:rsidRPr="008C686B">
        <w:t xml:space="preserve">10 </w:t>
      </w:r>
      <w:r w:rsidRPr="008C686B">
        <w:t xml:space="preserve">DE </w:t>
      </w:r>
      <w:r w:rsidR="008C686B" w:rsidRPr="008C686B">
        <w:t xml:space="preserve">junho </w:t>
      </w:r>
      <w:r w:rsidRPr="008C686B">
        <w:t>DE 2022</w:t>
      </w:r>
    </w:p>
    <w:bookmarkEnd w:id="0"/>
    <w:p w14:paraId="3D4C7D9D" w14:textId="09F86687" w:rsidR="0006320F" w:rsidRPr="008C686B" w:rsidRDefault="0006320F" w:rsidP="00DA5721">
      <w:pPr>
        <w:pStyle w:val="Ementa"/>
        <w:tabs>
          <w:tab w:val="clear" w:pos="567"/>
        </w:tabs>
      </w:pPr>
      <w:r w:rsidRPr="008C686B">
        <w:t>Dispõe sobre a atividade de formador de mercado para valores mobiliários em mercado organizado</w:t>
      </w:r>
      <w:r w:rsidR="008B73E7" w:rsidRPr="008C686B">
        <w:t xml:space="preserve"> e revoga a </w:t>
      </w:r>
      <w:r w:rsidR="008B73E7" w:rsidRPr="008C686B">
        <w:rPr>
          <w:bCs/>
        </w:rPr>
        <w:t>Instrução CVM n</w:t>
      </w:r>
      <w:r w:rsidR="008B73E7" w:rsidRPr="008C686B">
        <w:rPr>
          <w:bCs/>
          <w:u w:val="single"/>
          <w:vertAlign w:val="superscript"/>
        </w:rPr>
        <w:t>o</w:t>
      </w:r>
      <w:r w:rsidR="008B73E7" w:rsidRPr="008C686B">
        <w:rPr>
          <w:bCs/>
        </w:rPr>
        <w:t xml:space="preserve"> 384, de 17 de março de 2003</w:t>
      </w:r>
      <w:r w:rsidRPr="008C686B">
        <w:t>.</w:t>
      </w:r>
    </w:p>
    <w:p w14:paraId="394FEFCF" w14:textId="3F522F5C" w:rsidR="0006320F" w:rsidRPr="008C686B" w:rsidRDefault="00072E42" w:rsidP="00DA5721">
      <w:pPr>
        <w:spacing w:before="120" w:after="120" w:line="312" w:lineRule="auto"/>
        <w:ind w:firstLine="567"/>
        <w:jc w:val="both"/>
        <w:rPr>
          <w:rFonts w:asciiTheme="minorHAnsi" w:hAnsiTheme="minorHAnsi" w:cstheme="minorHAnsi"/>
        </w:rPr>
      </w:pPr>
      <w:r w:rsidRPr="008C686B">
        <w:rPr>
          <w:rFonts w:asciiTheme="minorHAnsi" w:hAnsiTheme="minorHAnsi" w:cstheme="minorHAnsi"/>
          <w:snapToGrid w:val="0"/>
        </w:rPr>
        <w:t xml:space="preserve">O </w:t>
      </w:r>
      <w:r w:rsidRPr="008C686B">
        <w:rPr>
          <w:rFonts w:asciiTheme="minorHAnsi" w:hAnsiTheme="minorHAnsi" w:cstheme="minorHAnsi"/>
          <w:b/>
          <w:snapToGrid w:val="0"/>
        </w:rPr>
        <w:t>PRESIDENTE DA COMISSÃO DE VALORES MOBILIÁRIOS - CVM</w:t>
      </w:r>
      <w:r w:rsidRPr="008C686B">
        <w:rPr>
          <w:rFonts w:asciiTheme="minorHAnsi" w:hAnsiTheme="minorHAnsi" w:cstheme="minorHAnsi"/>
          <w:snapToGrid w:val="0"/>
        </w:rPr>
        <w:t xml:space="preserve"> </w:t>
      </w:r>
      <w:r w:rsidRPr="00DA5721">
        <w:rPr>
          <w:rFonts w:asciiTheme="minorHAnsi" w:eastAsia="Calibri" w:hAnsiTheme="minorHAnsi" w:cstheme="minorHAnsi"/>
          <w:lang w:eastAsia="en-US"/>
        </w:rPr>
        <w:t>torna</w:t>
      </w:r>
      <w:r w:rsidRPr="008C686B">
        <w:rPr>
          <w:rFonts w:asciiTheme="minorHAnsi" w:hAnsiTheme="minorHAnsi" w:cstheme="minorHAnsi"/>
          <w:bCs/>
        </w:rPr>
        <w:t xml:space="preserve"> público que o Colegiado, em </w:t>
      </w:r>
      <w:r w:rsidRPr="008C686B">
        <w:rPr>
          <w:rFonts w:asciiTheme="minorHAnsi" w:hAnsiTheme="minorHAnsi" w:cstheme="minorHAnsi"/>
          <w:snapToGrid w:val="0"/>
        </w:rPr>
        <w:t>reunião</w:t>
      </w:r>
      <w:r w:rsidRPr="008C686B">
        <w:rPr>
          <w:rFonts w:asciiTheme="minorHAnsi" w:hAnsiTheme="minorHAnsi" w:cstheme="minorHAnsi"/>
          <w:bCs/>
        </w:rPr>
        <w:t xml:space="preserve"> </w:t>
      </w:r>
      <w:r w:rsidRPr="008C686B">
        <w:rPr>
          <w:rFonts w:asciiTheme="minorHAnsi" w:eastAsiaTheme="minorEastAsia" w:hAnsiTheme="minorHAnsi" w:cstheme="minorBidi"/>
          <w:lang w:eastAsia="en-US"/>
        </w:rPr>
        <w:t>realizada</w:t>
      </w:r>
      <w:r w:rsidRPr="008C686B">
        <w:rPr>
          <w:rFonts w:asciiTheme="minorHAnsi" w:hAnsiTheme="minorHAnsi" w:cstheme="minorHAnsi"/>
          <w:bCs/>
        </w:rPr>
        <w:t xml:space="preserve"> em </w:t>
      </w:r>
      <w:r w:rsidR="008C686B" w:rsidRPr="008C686B">
        <w:rPr>
          <w:rFonts w:asciiTheme="minorHAnsi" w:hAnsiTheme="minorHAnsi" w:cstheme="minorHAnsi"/>
        </w:rPr>
        <w:t>25 de maio de 2022</w:t>
      </w:r>
      <w:r w:rsidR="008C686B" w:rsidRPr="008C686B">
        <w:rPr>
          <w:rFonts w:asciiTheme="minorHAnsi" w:hAnsiTheme="minorHAnsi" w:cstheme="minorHAnsi"/>
          <w:bCs/>
        </w:rPr>
        <w:t>,</w:t>
      </w:r>
      <w:r w:rsidR="008C686B" w:rsidRPr="008C686B">
        <w:rPr>
          <w:rFonts w:asciiTheme="minorHAnsi" w:hAnsiTheme="minorHAnsi" w:cstheme="minorHAnsi"/>
          <w:snapToGrid w:val="0"/>
        </w:rPr>
        <w:t xml:space="preserve"> </w:t>
      </w:r>
      <w:r w:rsidRPr="00DA5721">
        <w:rPr>
          <w:rFonts w:asciiTheme="minorHAnsi" w:eastAsiaTheme="minorHAnsi" w:hAnsiTheme="minorHAnsi" w:cstheme="minorBidi"/>
          <w:szCs w:val="22"/>
          <w:lang w:eastAsia="en-US"/>
        </w:rPr>
        <w:t>tendo</w:t>
      </w:r>
      <w:r w:rsidRPr="008C686B">
        <w:rPr>
          <w:rFonts w:asciiTheme="minorHAnsi" w:hAnsiTheme="minorHAnsi" w:cstheme="minorHAnsi"/>
          <w:snapToGrid w:val="0"/>
        </w:rPr>
        <w:t xml:space="preserve"> em vista o </w:t>
      </w:r>
      <w:r w:rsidRPr="00DA5721">
        <w:rPr>
          <w:rFonts w:asciiTheme="minorHAnsi" w:eastAsia="Calibri" w:hAnsiTheme="minorHAnsi" w:cstheme="minorHAnsi"/>
          <w:lang w:eastAsia="en-US"/>
        </w:rPr>
        <w:t>disposto</w:t>
      </w:r>
      <w:r w:rsidRPr="008C686B">
        <w:rPr>
          <w:rFonts w:asciiTheme="minorHAnsi" w:hAnsiTheme="minorHAnsi" w:cstheme="minorHAnsi"/>
          <w:snapToGrid w:val="0"/>
        </w:rPr>
        <w:t xml:space="preserve"> nos </w:t>
      </w:r>
      <w:proofErr w:type="spellStart"/>
      <w:r w:rsidRPr="008C686B">
        <w:rPr>
          <w:rFonts w:asciiTheme="minorHAnsi" w:hAnsiTheme="minorHAnsi" w:cstheme="minorHAnsi"/>
          <w:snapToGrid w:val="0"/>
        </w:rPr>
        <w:t>arts</w:t>
      </w:r>
      <w:proofErr w:type="spellEnd"/>
      <w:r w:rsidRPr="008C686B">
        <w:rPr>
          <w:rFonts w:asciiTheme="minorHAnsi" w:hAnsiTheme="minorHAnsi" w:cstheme="minorHAnsi"/>
          <w:snapToGrid w:val="0"/>
        </w:rPr>
        <w:t>. 8º, inciso I, e 18, inciso I, alínea "f " da Lei n</w:t>
      </w:r>
      <w:r w:rsidRPr="008C686B">
        <w:rPr>
          <w:rFonts w:asciiTheme="minorHAnsi" w:hAnsiTheme="minorHAnsi" w:cstheme="minorHAnsi"/>
          <w:snapToGrid w:val="0"/>
          <w:u w:val="single"/>
          <w:vertAlign w:val="superscript"/>
        </w:rPr>
        <w:t>o</w:t>
      </w:r>
      <w:r w:rsidRPr="008C686B">
        <w:rPr>
          <w:rFonts w:asciiTheme="minorHAnsi" w:hAnsiTheme="minorHAnsi" w:cstheme="minorHAnsi"/>
          <w:snapToGrid w:val="0"/>
        </w:rPr>
        <w:t xml:space="preserve"> 6.385, de 7 de dezembro de 1976, </w:t>
      </w:r>
      <w:r w:rsidRPr="008C686B">
        <w:rPr>
          <w:rFonts w:asciiTheme="minorHAnsi" w:hAnsiTheme="minorHAnsi" w:cstheme="minorHAnsi"/>
          <w:b/>
          <w:snapToGrid w:val="0"/>
        </w:rPr>
        <w:t>APROVOU</w:t>
      </w:r>
      <w:r w:rsidRPr="008C686B">
        <w:rPr>
          <w:rFonts w:asciiTheme="minorHAnsi" w:hAnsiTheme="minorHAnsi" w:cstheme="minorHAnsi"/>
          <w:snapToGrid w:val="0"/>
        </w:rPr>
        <w:t xml:space="preserve"> a seguinte Resolução:</w:t>
      </w:r>
    </w:p>
    <w:p w14:paraId="4AAF9C4F" w14:textId="77777777" w:rsidR="0006320F" w:rsidRPr="008C686B" w:rsidRDefault="0006320F" w:rsidP="00DA5721">
      <w:pPr>
        <w:pStyle w:val="Captulo"/>
        <w:tabs>
          <w:tab w:val="clear" w:pos="567"/>
        </w:tabs>
      </w:pPr>
      <w:r w:rsidRPr="008C686B">
        <w:rPr>
          <w:caps w:val="0"/>
        </w:rPr>
        <w:t>CAPÍTULO I – ÂMBITO E FINALIDADE</w:t>
      </w:r>
    </w:p>
    <w:p w14:paraId="4E0C60CF" w14:textId="14DBC346" w:rsidR="0006320F" w:rsidRPr="008C686B" w:rsidRDefault="0006320F" w:rsidP="00DA5721">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1</w:t>
      </w:r>
      <w:proofErr w:type="gramStart"/>
      <w:r w:rsidRPr="008C686B">
        <w:rPr>
          <w:rFonts w:asciiTheme="minorHAnsi" w:hAnsiTheme="minorHAnsi" w:cstheme="minorHAnsi"/>
        </w:rPr>
        <w:t>º  Esta</w:t>
      </w:r>
      <w:proofErr w:type="gramEnd"/>
      <w:r w:rsidRPr="008C686B">
        <w:rPr>
          <w:rFonts w:asciiTheme="minorHAnsi" w:hAnsiTheme="minorHAnsi" w:cstheme="minorHAnsi"/>
        </w:rPr>
        <w:t xml:space="preserve"> Resolução dispõe </w:t>
      </w:r>
      <w:r w:rsidRPr="008C686B">
        <w:rPr>
          <w:rFonts w:asciiTheme="minorHAnsi" w:hAnsiTheme="minorHAnsi" w:cstheme="minorHAnsi"/>
          <w:iCs/>
        </w:rPr>
        <w:t xml:space="preserve">sobre a atividade de formador de mercado </w:t>
      </w:r>
      <w:r w:rsidRPr="00DA5721">
        <w:rPr>
          <w:rFonts w:asciiTheme="minorHAnsi" w:hAnsiTheme="minorHAnsi" w:cstheme="minorHAnsi"/>
          <w:snapToGrid w:val="0"/>
        </w:rPr>
        <w:t>para</w:t>
      </w:r>
      <w:r w:rsidRPr="008C686B">
        <w:rPr>
          <w:rFonts w:asciiTheme="minorHAnsi" w:hAnsiTheme="minorHAnsi" w:cstheme="minorHAnsi"/>
          <w:iCs/>
        </w:rPr>
        <w:t xml:space="preserve"> valores mobiliários em mercado organizado</w:t>
      </w:r>
      <w:r w:rsidRPr="008C686B">
        <w:rPr>
          <w:rFonts w:asciiTheme="minorHAnsi" w:hAnsiTheme="minorHAnsi" w:cstheme="minorHAnsi"/>
        </w:rPr>
        <w:t>.</w:t>
      </w:r>
    </w:p>
    <w:p w14:paraId="4BEAC46F" w14:textId="77777777" w:rsidR="0006320F" w:rsidRPr="008C686B" w:rsidRDefault="0006320F" w:rsidP="00DA5721">
      <w:pPr>
        <w:pStyle w:val="Captulo"/>
        <w:tabs>
          <w:tab w:val="clear" w:pos="567"/>
        </w:tabs>
      </w:pPr>
      <w:r w:rsidRPr="008C686B">
        <w:rPr>
          <w:caps w:val="0"/>
        </w:rPr>
        <w:t>CAPÍTULO II – CONDIÇÕES PARA O EXERCÍCIO DA ATIVIDADE</w:t>
      </w:r>
    </w:p>
    <w:p w14:paraId="087EAAFF" w14:textId="5F554699" w:rsidR="0006320F" w:rsidRPr="008C686B" w:rsidRDefault="0006320F" w:rsidP="00DA5721">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2</w:t>
      </w:r>
      <w:proofErr w:type="gramStart"/>
      <w:r w:rsidR="00CE4DF9" w:rsidRPr="008C686B">
        <w:rPr>
          <w:rFonts w:asciiTheme="minorHAnsi" w:hAnsiTheme="minorHAnsi" w:cstheme="minorHAnsi"/>
        </w:rPr>
        <w:t>º</w:t>
      </w:r>
      <w:r w:rsidRPr="008C686B">
        <w:rPr>
          <w:rFonts w:asciiTheme="minorHAnsi" w:hAnsiTheme="minorHAnsi" w:cstheme="minorHAnsi"/>
        </w:rPr>
        <w:t xml:space="preserve">  A</w:t>
      </w:r>
      <w:proofErr w:type="gramEnd"/>
      <w:r w:rsidRPr="008C686B">
        <w:rPr>
          <w:rFonts w:asciiTheme="minorHAnsi" w:hAnsiTheme="minorHAnsi" w:cstheme="minorHAnsi"/>
        </w:rPr>
        <w:t xml:space="preserve"> atividade de formador de mercado deve ser exercida por pessoas jurídicas cadastradas pelas entidades administradoras de mercado organizado para a realização de operações destinadas a fomentar a liquidez de </w:t>
      </w:r>
      <w:r w:rsidRPr="00E74078">
        <w:rPr>
          <w:rFonts w:asciiTheme="minorHAnsi" w:eastAsia="Calibri" w:hAnsiTheme="minorHAnsi" w:cstheme="minorHAnsi"/>
          <w:lang w:eastAsia="en-US"/>
        </w:rPr>
        <w:t>valores</w:t>
      </w:r>
      <w:r w:rsidRPr="008C686B">
        <w:rPr>
          <w:rFonts w:asciiTheme="minorHAnsi" w:hAnsiTheme="minorHAnsi" w:cstheme="minorHAnsi"/>
        </w:rPr>
        <w:t xml:space="preserve"> mobiliários admitidos à negociação em mercados por elas administrados.</w:t>
      </w:r>
    </w:p>
    <w:p w14:paraId="7E72B5DA" w14:textId="6BA89209"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3</w:t>
      </w:r>
      <w:proofErr w:type="gramStart"/>
      <w:r w:rsidR="00CE4DF9" w:rsidRPr="008C686B">
        <w:rPr>
          <w:rFonts w:asciiTheme="minorHAnsi" w:hAnsiTheme="minorHAnsi" w:cstheme="minorHAnsi"/>
        </w:rPr>
        <w:t>º</w:t>
      </w:r>
      <w:r w:rsidRPr="008C686B">
        <w:rPr>
          <w:rFonts w:asciiTheme="minorHAnsi" w:hAnsiTheme="minorHAnsi" w:cstheme="minorHAnsi"/>
        </w:rPr>
        <w:t xml:space="preserve">  </w:t>
      </w:r>
      <w:r w:rsidR="00072E42" w:rsidRPr="008C686B">
        <w:rPr>
          <w:rFonts w:asciiTheme="minorHAnsi" w:hAnsiTheme="minorHAnsi" w:cstheme="minorHAnsi"/>
        </w:rPr>
        <w:t>A</w:t>
      </w:r>
      <w:r w:rsidRPr="008C686B">
        <w:rPr>
          <w:rFonts w:asciiTheme="minorHAnsi" w:hAnsiTheme="minorHAnsi" w:cstheme="minorHAnsi"/>
        </w:rPr>
        <w:t>s</w:t>
      </w:r>
      <w:proofErr w:type="gramEnd"/>
      <w:r w:rsidRPr="008C686B">
        <w:rPr>
          <w:rFonts w:asciiTheme="minorHAnsi" w:hAnsiTheme="minorHAnsi" w:cstheme="minorHAnsi"/>
        </w:rPr>
        <w:t xml:space="preserve"> entidades administradoras de mercado organizado devem desenvolver e implementar regras para regular:</w:t>
      </w:r>
    </w:p>
    <w:p w14:paraId="11B75566" w14:textId="777777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 – </w:t>
      </w:r>
      <w:proofErr w:type="gramStart"/>
      <w:r w:rsidRPr="008C686B">
        <w:rPr>
          <w:rFonts w:asciiTheme="minorHAnsi" w:hAnsiTheme="minorHAnsi" w:cstheme="minorHAnsi"/>
        </w:rPr>
        <w:t>as</w:t>
      </w:r>
      <w:proofErr w:type="gramEnd"/>
      <w:r w:rsidRPr="008C686B">
        <w:rPr>
          <w:rFonts w:asciiTheme="minorHAnsi" w:hAnsiTheme="minorHAnsi" w:cstheme="minorHAnsi"/>
        </w:rPr>
        <w:t xml:space="preserve"> operações destinadas a formar mercado para valores mobiliários em seus ambientes e sistemas; e</w:t>
      </w:r>
    </w:p>
    <w:p w14:paraId="4153DE6E" w14:textId="777777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II – </w:t>
      </w:r>
      <w:proofErr w:type="gramStart"/>
      <w:r w:rsidRPr="008C686B">
        <w:rPr>
          <w:rFonts w:asciiTheme="minorHAnsi" w:hAnsiTheme="minorHAnsi" w:cstheme="minorHAnsi"/>
        </w:rPr>
        <w:t>as</w:t>
      </w:r>
      <w:proofErr w:type="gramEnd"/>
      <w:r w:rsidRPr="008C686B">
        <w:rPr>
          <w:rFonts w:asciiTheme="minorHAnsi" w:hAnsiTheme="minorHAnsi" w:cstheme="minorHAnsi"/>
        </w:rPr>
        <w:t xml:space="preserve"> informações que devem ser prestadas por participantes autorizados a operar em seus mercados organizados no exercício da atividade de formador de mercado.</w:t>
      </w:r>
    </w:p>
    <w:p w14:paraId="4988FA87" w14:textId="777777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Parágrafo único.  As regras de que trata o </w:t>
      </w:r>
      <w:r w:rsidRPr="008C686B">
        <w:rPr>
          <w:rFonts w:asciiTheme="minorHAnsi" w:hAnsiTheme="minorHAnsi" w:cstheme="minorHAnsi"/>
          <w:b/>
          <w:bCs/>
        </w:rPr>
        <w:t>caput</w:t>
      </w:r>
      <w:r w:rsidRPr="008C686B">
        <w:rPr>
          <w:rFonts w:asciiTheme="minorHAnsi" w:hAnsiTheme="minorHAnsi" w:cstheme="minorHAnsi"/>
        </w:rPr>
        <w:t xml:space="preserve"> devem dispor, no mínimo, sobre:</w:t>
      </w:r>
    </w:p>
    <w:p w14:paraId="26FFDB58" w14:textId="527275F8" w:rsidR="0006320F" w:rsidRPr="008C686B" w:rsidRDefault="0006320F" w:rsidP="00E75BDC">
      <w:pPr>
        <w:pStyle w:val="Recuodecorpodetexto"/>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 – </w:t>
      </w:r>
      <w:proofErr w:type="gramStart"/>
      <w:r w:rsidRPr="008C686B">
        <w:rPr>
          <w:rFonts w:asciiTheme="minorHAnsi" w:hAnsiTheme="minorHAnsi" w:cstheme="minorHAnsi"/>
        </w:rPr>
        <w:t>exercício</w:t>
      </w:r>
      <w:proofErr w:type="gramEnd"/>
      <w:r w:rsidRPr="008C686B">
        <w:rPr>
          <w:rFonts w:asciiTheme="minorHAnsi" w:hAnsiTheme="minorHAnsi" w:cstheme="minorHAnsi"/>
        </w:rPr>
        <w:t xml:space="preserve"> da atividade de formador de mercado de forma exclusiva por emissor ou em regime competitivo;</w:t>
      </w:r>
    </w:p>
    <w:p w14:paraId="408E91B1" w14:textId="54AB14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II – </w:t>
      </w:r>
      <w:proofErr w:type="gramStart"/>
      <w:r w:rsidRPr="008C686B">
        <w:rPr>
          <w:rFonts w:asciiTheme="minorHAnsi" w:hAnsiTheme="minorHAnsi" w:cstheme="minorHAnsi"/>
        </w:rPr>
        <w:t>requisitos e critérios</w:t>
      </w:r>
      <w:proofErr w:type="gramEnd"/>
      <w:r w:rsidRPr="008C686B">
        <w:rPr>
          <w:rFonts w:asciiTheme="minorHAnsi" w:hAnsiTheme="minorHAnsi" w:cstheme="minorHAnsi"/>
        </w:rPr>
        <w:t xml:space="preserve"> de seleção para o exercício da atividade de formador de mercado;</w:t>
      </w:r>
    </w:p>
    <w:p w14:paraId="3877FB28" w14:textId="3C9BA118" w:rsidR="0006320F" w:rsidRPr="008C686B" w:rsidRDefault="0006320F" w:rsidP="00E75BDC">
      <w:pPr>
        <w:spacing w:before="120" w:after="120" w:line="312" w:lineRule="auto"/>
        <w:ind w:firstLine="567"/>
        <w:jc w:val="both"/>
        <w:rPr>
          <w:rFonts w:asciiTheme="minorHAnsi" w:hAnsiTheme="minorHAnsi" w:cstheme="minorHAnsi"/>
        </w:rPr>
      </w:pPr>
      <w:proofErr w:type="spellStart"/>
      <w:r w:rsidRPr="008C686B">
        <w:rPr>
          <w:rFonts w:asciiTheme="minorHAnsi" w:hAnsiTheme="minorHAnsi" w:cstheme="minorHAnsi"/>
        </w:rPr>
        <w:lastRenderedPageBreak/>
        <w:t>III</w:t>
      </w:r>
      <w:proofErr w:type="spellEnd"/>
      <w:r w:rsidRPr="008C686B">
        <w:rPr>
          <w:rFonts w:asciiTheme="minorHAnsi" w:hAnsiTheme="minorHAnsi" w:cstheme="minorHAnsi"/>
        </w:rPr>
        <w:t xml:space="preserve"> – normas de conduta aplicáveis ao formador de mercado, inclusive no que se refere a limites para colocação obrigatória de ofertas de compra ou venda de valores mobiliários, bem como critérios para atendimento de ordens;</w:t>
      </w:r>
    </w:p>
    <w:p w14:paraId="6DEB0EC9" w14:textId="77777777" w:rsidR="0006320F" w:rsidRPr="008C686B" w:rsidRDefault="0006320F" w:rsidP="00E75BDC">
      <w:pPr>
        <w:spacing w:before="120" w:after="120" w:line="312" w:lineRule="auto"/>
        <w:ind w:firstLine="567"/>
        <w:jc w:val="both"/>
        <w:rPr>
          <w:rFonts w:asciiTheme="minorHAnsi" w:hAnsiTheme="minorHAnsi" w:cstheme="minorHAnsi"/>
        </w:rPr>
      </w:pPr>
      <w:proofErr w:type="spellStart"/>
      <w:r w:rsidRPr="008C686B">
        <w:rPr>
          <w:rFonts w:asciiTheme="minorHAnsi" w:hAnsiTheme="minorHAnsi" w:cstheme="minorHAnsi"/>
        </w:rPr>
        <w:t>IV</w:t>
      </w:r>
      <w:proofErr w:type="spellEnd"/>
      <w:r w:rsidRPr="008C686B">
        <w:rPr>
          <w:rFonts w:asciiTheme="minorHAnsi" w:hAnsiTheme="minorHAnsi" w:cstheme="minorHAnsi"/>
        </w:rPr>
        <w:t xml:space="preserve"> – </w:t>
      </w:r>
      <w:proofErr w:type="gramStart"/>
      <w:r w:rsidRPr="008C686B">
        <w:rPr>
          <w:rFonts w:asciiTheme="minorHAnsi" w:hAnsiTheme="minorHAnsi" w:cstheme="minorHAnsi"/>
        </w:rPr>
        <w:t>o</w:t>
      </w:r>
      <w:proofErr w:type="gramEnd"/>
      <w:r w:rsidRPr="008C686B">
        <w:rPr>
          <w:rFonts w:asciiTheme="minorHAnsi" w:hAnsiTheme="minorHAnsi" w:cstheme="minorHAnsi"/>
        </w:rPr>
        <w:t xml:space="preserve"> processo de credenciamento e de descredenciamento voluntário de formadores de mercado e sobre a obrigatoriedade de divulgação, com antecedência mínima de 30 (trinta) dias, do descredenciamento de formador de mercado;</w:t>
      </w:r>
    </w:p>
    <w:p w14:paraId="6DA32C61" w14:textId="777777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V – </w:t>
      </w:r>
      <w:proofErr w:type="gramStart"/>
      <w:r w:rsidRPr="008C686B">
        <w:rPr>
          <w:rFonts w:asciiTheme="minorHAnsi" w:hAnsiTheme="minorHAnsi" w:cstheme="minorHAnsi"/>
        </w:rPr>
        <w:t>divulgação</w:t>
      </w:r>
      <w:proofErr w:type="gramEnd"/>
      <w:r w:rsidRPr="008C686B">
        <w:rPr>
          <w:rFonts w:asciiTheme="minorHAnsi" w:hAnsiTheme="minorHAnsi" w:cstheme="minorHAnsi"/>
        </w:rPr>
        <w:t xml:space="preserve"> dos valores mobiliários para os quais os formadores de mercado são credenciados;</w:t>
      </w:r>
    </w:p>
    <w:p w14:paraId="27EA6CB7" w14:textId="326087E5"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VI – </w:t>
      </w:r>
      <w:proofErr w:type="gramStart"/>
      <w:r w:rsidRPr="008C686B">
        <w:rPr>
          <w:rFonts w:asciiTheme="minorHAnsi" w:hAnsiTheme="minorHAnsi" w:cstheme="minorHAnsi"/>
        </w:rPr>
        <w:t>cláusulas</w:t>
      </w:r>
      <w:proofErr w:type="gramEnd"/>
      <w:r w:rsidRPr="008C686B">
        <w:rPr>
          <w:rFonts w:asciiTheme="minorHAnsi" w:hAnsiTheme="minorHAnsi" w:cstheme="minorHAnsi"/>
        </w:rPr>
        <w:t xml:space="preserve"> mínimas que devem constar do contrato a ser celebrado entre o formador de mercado e o emissor ou acionista controlador, na hipótese do art. 6</w:t>
      </w:r>
      <w:r w:rsidR="00CE4DF9" w:rsidRPr="008C686B">
        <w:rPr>
          <w:rFonts w:asciiTheme="minorHAnsi" w:hAnsiTheme="minorHAnsi" w:cstheme="minorHAnsi"/>
        </w:rPr>
        <w:t>º</w:t>
      </w:r>
      <w:r w:rsidRPr="008C686B">
        <w:rPr>
          <w:rFonts w:asciiTheme="minorHAnsi" w:hAnsiTheme="minorHAnsi" w:cstheme="minorHAnsi"/>
        </w:rPr>
        <w:t>;</w:t>
      </w:r>
      <w:r w:rsidR="00E74078">
        <w:rPr>
          <w:rFonts w:asciiTheme="minorHAnsi" w:hAnsiTheme="minorHAnsi" w:cstheme="minorHAnsi"/>
        </w:rPr>
        <w:t xml:space="preserve"> e</w:t>
      </w:r>
    </w:p>
    <w:p w14:paraId="67597C79" w14:textId="56B51D80" w:rsidR="0006320F" w:rsidRPr="008C686B" w:rsidRDefault="0006320F" w:rsidP="00E75BDC">
      <w:pPr>
        <w:spacing w:before="120" w:after="120" w:line="312" w:lineRule="auto"/>
        <w:ind w:firstLine="567"/>
        <w:jc w:val="both"/>
        <w:rPr>
          <w:rFonts w:asciiTheme="minorHAnsi" w:hAnsiTheme="minorHAnsi" w:cstheme="minorHAnsi"/>
        </w:rPr>
      </w:pPr>
      <w:proofErr w:type="spellStart"/>
      <w:r w:rsidRPr="008C686B">
        <w:rPr>
          <w:rFonts w:asciiTheme="minorHAnsi" w:hAnsiTheme="minorHAnsi" w:cstheme="minorHAnsi"/>
        </w:rPr>
        <w:t>VII</w:t>
      </w:r>
      <w:proofErr w:type="spellEnd"/>
      <w:r w:rsidRPr="008C686B">
        <w:rPr>
          <w:rFonts w:asciiTheme="minorHAnsi" w:hAnsiTheme="minorHAnsi" w:cstheme="minorHAnsi"/>
        </w:rPr>
        <w:t xml:space="preserve"> – sanções aplicáveis ao formador de mercado no caso de descumprimento das normas de conduta, sem prejuízo das penalidades aplicáveis pela CVM, nos termos do art. 11 da Lei n</w:t>
      </w:r>
      <w:r w:rsidR="00CE4DF9" w:rsidRPr="008C686B">
        <w:rPr>
          <w:rFonts w:asciiTheme="minorHAnsi" w:hAnsiTheme="minorHAnsi" w:cstheme="minorHAnsi"/>
        </w:rPr>
        <w:t>º</w:t>
      </w:r>
      <w:r w:rsidRPr="008C686B">
        <w:rPr>
          <w:rFonts w:asciiTheme="minorHAnsi" w:hAnsiTheme="minorHAnsi" w:cstheme="minorHAnsi"/>
        </w:rPr>
        <w:t xml:space="preserve"> 6.385, de </w:t>
      </w:r>
      <w:r w:rsidR="00072E42" w:rsidRPr="008C686B">
        <w:rPr>
          <w:rFonts w:asciiTheme="minorHAnsi" w:hAnsiTheme="minorHAnsi" w:cstheme="minorHAnsi"/>
        </w:rPr>
        <w:t xml:space="preserve">7 de dezembro de </w:t>
      </w:r>
      <w:r w:rsidRPr="008C686B">
        <w:rPr>
          <w:rFonts w:asciiTheme="minorHAnsi" w:hAnsiTheme="minorHAnsi" w:cstheme="minorHAnsi"/>
        </w:rPr>
        <w:t>1976.</w:t>
      </w:r>
    </w:p>
    <w:p w14:paraId="6F091F8C" w14:textId="552FAD5A"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4</w:t>
      </w:r>
      <w:proofErr w:type="gramStart"/>
      <w:r w:rsidR="00CE4DF9" w:rsidRPr="008C686B">
        <w:rPr>
          <w:rFonts w:asciiTheme="minorHAnsi" w:hAnsiTheme="minorHAnsi" w:cstheme="minorHAnsi"/>
        </w:rPr>
        <w:t>º</w:t>
      </w:r>
      <w:r w:rsidRPr="008C686B">
        <w:rPr>
          <w:rFonts w:asciiTheme="minorHAnsi" w:hAnsiTheme="minorHAnsi" w:cstheme="minorHAnsi"/>
        </w:rPr>
        <w:t xml:space="preserve">  O</w:t>
      </w:r>
      <w:proofErr w:type="gramEnd"/>
      <w:r w:rsidRPr="008C686B">
        <w:rPr>
          <w:rFonts w:asciiTheme="minorHAnsi" w:hAnsiTheme="minorHAnsi" w:cstheme="minorHAnsi"/>
        </w:rPr>
        <w:t xml:space="preserve"> formador de mercado não pode exercer sua atividade de forma a criar, direta ou indiretamente, condições artificiais de demanda, oferta ou preço dos valores mobiliários, ou incorrer em práticas não equitativas.</w:t>
      </w:r>
    </w:p>
    <w:p w14:paraId="4C0C25C9" w14:textId="1F314F4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5</w:t>
      </w:r>
      <w:proofErr w:type="gramStart"/>
      <w:r w:rsidR="00CE4DF9" w:rsidRPr="008C686B">
        <w:rPr>
          <w:rFonts w:asciiTheme="minorHAnsi" w:hAnsiTheme="minorHAnsi" w:cstheme="minorHAnsi"/>
        </w:rPr>
        <w:t>º</w:t>
      </w:r>
      <w:r w:rsidRPr="008C686B">
        <w:rPr>
          <w:rFonts w:asciiTheme="minorHAnsi" w:hAnsiTheme="minorHAnsi" w:cstheme="minorHAnsi"/>
        </w:rPr>
        <w:t xml:space="preserve">  A</w:t>
      </w:r>
      <w:proofErr w:type="gramEnd"/>
      <w:r w:rsidRPr="008C686B">
        <w:rPr>
          <w:rFonts w:asciiTheme="minorHAnsi" w:hAnsiTheme="minorHAnsi" w:cstheme="minorHAnsi"/>
        </w:rPr>
        <w:t xml:space="preserve"> entidade administradora de mercado organizado deve fiscalizar as atividades do formador de mercado.</w:t>
      </w:r>
    </w:p>
    <w:p w14:paraId="09126777" w14:textId="77777777" w:rsidR="0006320F" w:rsidRPr="008C686B" w:rsidRDefault="0006320F" w:rsidP="00E75BDC">
      <w:pPr>
        <w:pStyle w:val="Captulo"/>
        <w:tabs>
          <w:tab w:val="clear" w:pos="567"/>
        </w:tabs>
      </w:pPr>
      <w:r w:rsidRPr="008C686B">
        <w:rPr>
          <w:caps w:val="0"/>
        </w:rPr>
        <w:t xml:space="preserve">CAPÍTULO </w:t>
      </w:r>
      <w:proofErr w:type="spellStart"/>
      <w:r w:rsidRPr="008C686B">
        <w:rPr>
          <w:caps w:val="0"/>
        </w:rPr>
        <w:t>III</w:t>
      </w:r>
      <w:proofErr w:type="spellEnd"/>
      <w:r w:rsidRPr="008C686B">
        <w:t xml:space="preserve"> – </w:t>
      </w:r>
      <w:r w:rsidRPr="008C686B">
        <w:rPr>
          <w:caps w:val="0"/>
        </w:rPr>
        <w:t>CONTRATAÇÃO DE FORMADOR DE MERCADO</w:t>
      </w:r>
    </w:p>
    <w:p w14:paraId="2217F2BC" w14:textId="508DBCA4"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t>Art. 6</w:t>
      </w:r>
      <w:proofErr w:type="gramStart"/>
      <w:r w:rsidR="00CE4DF9" w:rsidRPr="008C686B">
        <w:rPr>
          <w:rFonts w:asciiTheme="minorHAnsi" w:hAnsiTheme="minorHAnsi" w:cstheme="minorHAnsi"/>
        </w:rPr>
        <w:t>º</w:t>
      </w:r>
      <w:r w:rsidRPr="008C686B">
        <w:rPr>
          <w:rFonts w:asciiTheme="minorHAnsi" w:hAnsiTheme="minorHAnsi" w:cstheme="minorBidi"/>
        </w:rPr>
        <w:t xml:space="preserve">  O</w:t>
      </w:r>
      <w:proofErr w:type="gramEnd"/>
      <w:r w:rsidRPr="008C686B">
        <w:rPr>
          <w:rFonts w:asciiTheme="minorHAnsi" w:hAnsiTheme="minorHAnsi" w:cstheme="minorBidi"/>
        </w:rPr>
        <w:t xml:space="preserve"> formador de mercado pode exercer sua atividade de forma autônoma ou ser contratado pelo emissor dos valores mobiliários em que se especialize, por empresas controladoras, controladas ou coligadas ao emissor, ou por qualquer investidor que esteja interessado em formar mercado para os valores mobiliários de que seja titular.</w:t>
      </w:r>
    </w:p>
    <w:p w14:paraId="0BC7DA1C" w14:textId="777777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Parágrafo único.  O contrato a que se refere o </w:t>
      </w:r>
      <w:r w:rsidRPr="008C686B">
        <w:rPr>
          <w:rFonts w:asciiTheme="minorHAnsi" w:hAnsiTheme="minorHAnsi" w:cstheme="minorHAnsi"/>
          <w:b/>
          <w:bCs/>
          <w:iCs/>
        </w:rPr>
        <w:t>caput</w:t>
      </w:r>
      <w:r w:rsidRPr="008C686B">
        <w:rPr>
          <w:rFonts w:asciiTheme="minorHAnsi" w:hAnsiTheme="minorHAnsi" w:cstheme="minorHAnsi"/>
        </w:rPr>
        <w:t xml:space="preserve"> pode prever que o formador de mercado deve receber do contratante:</w:t>
      </w:r>
    </w:p>
    <w:p w14:paraId="0D072669" w14:textId="3AB7F8FD"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 – </w:t>
      </w:r>
      <w:proofErr w:type="gramStart"/>
      <w:r w:rsidRPr="008C686B">
        <w:rPr>
          <w:rFonts w:asciiTheme="minorHAnsi" w:hAnsiTheme="minorHAnsi" w:cstheme="minorHAnsi"/>
        </w:rPr>
        <w:t>remuneração</w:t>
      </w:r>
      <w:proofErr w:type="gramEnd"/>
      <w:r w:rsidRPr="008C686B">
        <w:rPr>
          <w:rFonts w:asciiTheme="minorHAnsi" w:hAnsiTheme="minorHAnsi" w:cstheme="minorHAnsi"/>
        </w:rPr>
        <w:t>; ou</w:t>
      </w:r>
    </w:p>
    <w:p w14:paraId="6659537F" w14:textId="77777777"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II – </w:t>
      </w:r>
      <w:proofErr w:type="gramStart"/>
      <w:r w:rsidRPr="008C686B">
        <w:rPr>
          <w:rFonts w:asciiTheme="minorHAnsi" w:hAnsiTheme="minorHAnsi" w:cstheme="minorHAnsi"/>
        </w:rPr>
        <w:t>recursos</w:t>
      </w:r>
      <w:proofErr w:type="gramEnd"/>
      <w:r w:rsidRPr="008C686B">
        <w:rPr>
          <w:rFonts w:asciiTheme="minorHAnsi" w:hAnsiTheme="minorHAnsi" w:cstheme="minorHAnsi"/>
        </w:rPr>
        <w:t xml:space="preserve"> ou valores mobiliários, a qualquer título, sendo vedada a utilização de ações em tesouraria, inclusive aquelas em poder de empresas coligadas ao emissor ou suas controladas.</w:t>
      </w:r>
    </w:p>
    <w:p w14:paraId="0BE528AD" w14:textId="27917430"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lastRenderedPageBreak/>
        <w:t>Art. 7</w:t>
      </w:r>
      <w:proofErr w:type="gramStart"/>
      <w:r w:rsidR="00CE4DF9" w:rsidRPr="008C686B">
        <w:rPr>
          <w:rFonts w:asciiTheme="minorHAnsi" w:hAnsiTheme="minorHAnsi" w:cstheme="minorHAnsi"/>
        </w:rPr>
        <w:t>º</w:t>
      </w:r>
      <w:r w:rsidRPr="008C686B">
        <w:rPr>
          <w:rFonts w:asciiTheme="minorHAnsi" w:hAnsiTheme="minorHAnsi" w:cstheme="minorBidi"/>
        </w:rPr>
        <w:t xml:space="preserve">  No</w:t>
      </w:r>
      <w:proofErr w:type="gramEnd"/>
      <w:r w:rsidRPr="008C686B">
        <w:rPr>
          <w:rFonts w:asciiTheme="minorHAnsi" w:hAnsiTheme="minorHAnsi" w:cstheme="minorBidi"/>
        </w:rPr>
        <w:t xml:space="preserve"> ato de contratação ou dispensa do formador de mercado, o emissor ou o acionista controlador devem informar à CVM e à entidade administradora de mercado organizado:</w:t>
      </w:r>
    </w:p>
    <w:p w14:paraId="715619C9" w14:textId="77777777"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t xml:space="preserve">I – </w:t>
      </w:r>
      <w:proofErr w:type="gramStart"/>
      <w:r w:rsidRPr="008C686B">
        <w:rPr>
          <w:rFonts w:asciiTheme="minorHAnsi" w:hAnsiTheme="minorHAnsi" w:cstheme="minorBidi"/>
        </w:rPr>
        <w:t>nome e qualificação</w:t>
      </w:r>
      <w:proofErr w:type="gramEnd"/>
      <w:r w:rsidRPr="008C686B">
        <w:rPr>
          <w:rFonts w:asciiTheme="minorHAnsi" w:hAnsiTheme="minorHAnsi" w:cstheme="minorBidi"/>
        </w:rPr>
        <w:t xml:space="preserve"> do formador de mercado;</w:t>
      </w:r>
    </w:p>
    <w:p w14:paraId="0F2822EB" w14:textId="77777777"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t xml:space="preserve">II – </w:t>
      </w:r>
      <w:proofErr w:type="gramStart"/>
      <w:r w:rsidRPr="008C686B">
        <w:rPr>
          <w:rFonts w:asciiTheme="minorHAnsi" w:hAnsiTheme="minorHAnsi" w:cstheme="minorBidi"/>
        </w:rPr>
        <w:t>o</w:t>
      </w:r>
      <w:proofErr w:type="gramEnd"/>
      <w:r w:rsidRPr="008C686B">
        <w:rPr>
          <w:rFonts w:asciiTheme="minorHAnsi" w:hAnsiTheme="minorHAnsi" w:cstheme="minorBidi"/>
        </w:rPr>
        <w:t xml:space="preserve"> objetivo do emissor na operação;</w:t>
      </w:r>
    </w:p>
    <w:p w14:paraId="04FFAD57" w14:textId="63B20B23" w:rsidR="0006320F" w:rsidRPr="008C686B" w:rsidRDefault="0006320F" w:rsidP="00E75BDC">
      <w:pPr>
        <w:spacing w:before="120" w:after="120" w:line="312" w:lineRule="auto"/>
        <w:ind w:firstLine="567"/>
        <w:jc w:val="both"/>
        <w:rPr>
          <w:rFonts w:asciiTheme="minorHAnsi" w:hAnsiTheme="minorHAnsi" w:cstheme="minorBidi"/>
        </w:rPr>
      </w:pPr>
      <w:proofErr w:type="spellStart"/>
      <w:r w:rsidRPr="008C686B">
        <w:rPr>
          <w:rFonts w:asciiTheme="minorHAnsi" w:hAnsiTheme="minorHAnsi" w:cstheme="minorBidi"/>
        </w:rPr>
        <w:t>III</w:t>
      </w:r>
      <w:proofErr w:type="spellEnd"/>
      <w:r w:rsidRPr="008C686B">
        <w:rPr>
          <w:rFonts w:asciiTheme="minorHAnsi" w:hAnsiTheme="minorHAnsi" w:cstheme="minorBidi"/>
        </w:rPr>
        <w:t xml:space="preserve"> – o prazo de duração do contrato;</w:t>
      </w:r>
    </w:p>
    <w:p w14:paraId="26B034B6" w14:textId="20A03C38" w:rsidR="0006320F" w:rsidRPr="008C686B" w:rsidRDefault="0006320F" w:rsidP="00E75BDC">
      <w:pPr>
        <w:spacing w:before="120" w:after="120" w:line="312" w:lineRule="auto"/>
        <w:ind w:firstLine="567"/>
        <w:jc w:val="both"/>
        <w:rPr>
          <w:rFonts w:asciiTheme="minorHAnsi" w:hAnsiTheme="minorHAnsi" w:cstheme="minorBidi"/>
        </w:rPr>
      </w:pPr>
      <w:proofErr w:type="spellStart"/>
      <w:r w:rsidRPr="008C686B">
        <w:rPr>
          <w:rFonts w:asciiTheme="minorHAnsi" w:hAnsiTheme="minorHAnsi" w:cstheme="minorBidi"/>
        </w:rPr>
        <w:t>IV</w:t>
      </w:r>
      <w:proofErr w:type="spellEnd"/>
      <w:r w:rsidRPr="008C686B">
        <w:rPr>
          <w:rFonts w:asciiTheme="minorHAnsi" w:hAnsiTheme="minorHAnsi" w:cstheme="minorBidi"/>
        </w:rPr>
        <w:t xml:space="preserve"> – </w:t>
      </w:r>
      <w:proofErr w:type="gramStart"/>
      <w:r w:rsidRPr="008C686B">
        <w:rPr>
          <w:rFonts w:asciiTheme="minorHAnsi" w:hAnsiTheme="minorHAnsi" w:cstheme="minorBidi"/>
        </w:rPr>
        <w:t>a</w:t>
      </w:r>
      <w:proofErr w:type="gramEnd"/>
      <w:r w:rsidRPr="008C686B">
        <w:rPr>
          <w:rFonts w:asciiTheme="minorHAnsi" w:hAnsiTheme="minorHAnsi" w:cstheme="minorBidi"/>
        </w:rPr>
        <w:t xml:space="preserve"> quantidade de ações em circulação no mercado, por espécie e classe;</w:t>
      </w:r>
    </w:p>
    <w:p w14:paraId="47E169E0" w14:textId="1DDE5E96"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t xml:space="preserve">V – </w:t>
      </w:r>
      <w:proofErr w:type="gramStart"/>
      <w:r w:rsidRPr="008C686B">
        <w:rPr>
          <w:rFonts w:asciiTheme="minorHAnsi" w:hAnsiTheme="minorHAnsi" w:cstheme="minorBidi"/>
        </w:rPr>
        <w:t>indicação</w:t>
      </w:r>
      <w:proofErr w:type="gramEnd"/>
      <w:r w:rsidRPr="008C686B">
        <w:rPr>
          <w:rFonts w:asciiTheme="minorHAnsi" w:hAnsiTheme="minorHAnsi" w:cstheme="minorBidi"/>
        </w:rPr>
        <w:t xml:space="preserve"> da existência de qualquer acordo ou contrato entre o formador de mercado e o controlador, quando for o caso, regulando o exercício do direito de voto ou a compra e venda de valores mobiliários de emissão da companhia.</w:t>
      </w:r>
    </w:p>
    <w:p w14:paraId="2DA78A12" w14:textId="22D6AC10"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t>§</w:t>
      </w:r>
      <w:r w:rsidR="00E75BDC">
        <w:rPr>
          <w:rFonts w:asciiTheme="minorHAnsi" w:hAnsiTheme="minorHAnsi" w:cstheme="minorBidi"/>
        </w:rPr>
        <w:t xml:space="preserve"> </w:t>
      </w:r>
      <w:r w:rsidRPr="008C686B">
        <w:rPr>
          <w:rFonts w:asciiTheme="minorHAnsi" w:hAnsiTheme="minorHAnsi" w:cstheme="minorBidi"/>
        </w:rPr>
        <w:t>1</w:t>
      </w:r>
      <w:proofErr w:type="gramStart"/>
      <w:r w:rsidR="00CE4DF9" w:rsidRPr="008C686B">
        <w:rPr>
          <w:rFonts w:asciiTheme="minorHAnsi" w:hAnsiTheme="minorHAnsi" w:cstheme="minorHAnsi"/>
        </w:rPr>
        <w:t>º</w:t>
      </w:r>
      <w:r w:rsidRPr="008C686B">
        <w:rPr>
          <w:rFonts w:asciiTheme="minorHAnsi" w:hAnsiTheme="minorHAnsi" w:cstheme="minorBidi"/>
        </w:rPr>
        <w:t xml:space="preserve">  No</w:t>
      </w:r>
      <w:proofErr w:type="gramEnd"/>
      <w:r w:rsidRPr="008C686B">
        <w:rPr>
          <w:rFonts w:asciiTheme="minorHAnsi" w:hAnsiTheme="minorHAnsi" w:cstheme="minorBidi"/>
        </w:rPr>
        <w:t xml:space="preserve"> caso de contratação por outra parte que não o emissor ou o seu acionista controlador, cabe à instituição contratada prestar à CVM e à entidade administradora de mercado organizado as informações previstas nos inciso I a V do </w:t>
      </w:r>
      <w:r w:rsidRPr="008C686B">
        <w:rPr>
          <w:rFonts w:asciiTheme="minorHAnsi" w:hAnsiTheme="minorHAnsi" w:cstheme="minorBidi"/>
          <w:b/>
          <w:bCs/>
        </w:rPr>
        <w:t>caput</w:t>
      </w:r>
      <w:r w:rsidRPr="008C686B">
        <w:rPr>
          <w:rFonts w:asciiTheme="minorHAnsi" w:hAnsiTheme="minorHAnsi" w:cstheme="minorBidi"/>
        </w:rPr>
        <w:t>.</w:t>
      </w:r>
    </w:p>
    <w:p w14:paraId="0F68AA43" w14:textId="27343173" w:rsidR="0006320F" w:rsidRPr="008C686B" w:rsidRDefault="0006320F" w:rsidP="00E75BDC">
      <w:pPr>
        <w:spacing w:before="120" w:after="120" w:line="312" w:lineRule="auto"/>
        <w:ind w:firstLine="567"/>
        <w:jc w:val="both"/>
        <w:rPr>
          <w:rFonts w:asciiTheme="minorHAnsi" w:hAnsiTheme="minorHAnsi" w:cstheme="minorBidi"/>
        </w:rPr>
      </w:pPr>
      <w:r w:rsidRPr="008C686B">
        <w:rPr>
          <w:rFonts w:asciiTheme="minorHAnsi" w:hAnsiTheme="minorHAnsi" w:cstheme="minorBidi"/>
        </w:rPr>
        <w:t>§</w:t>
      </w:r>
      <w:r w:rsidR="00E75BDC">
        <w:rPr>
          <w:rFonts w:asciiTheme="minorHAnsi" w:hAnsiTheme="minorHAnsi" w:cstheme="minorBidi"/>
        </w:rPr>
        <w:t xml:space="preserve"> </w:t>
      </w:r>
      <w:r w:rsidRPr="008C686B">
        <w:rPr>
          <w:rFonts w:asciiTheme="minorHAnsi" w:hAnsiTheme="minorHAnsi" w:cstheme="minorBidi"/>
        </w:rPr>
        <w:t>2</w:t>
      </w:r>
      <w:proofErr w:type="gramStart"/>
      <w:r w:rsidR="00CE4DF9" w:rsidRPr="008C686B">
        <w:rPr>
          <w:rFonts w:asciiTheme="minorHAnsi" w:hAnsiTheme="minorHAnsi" w:cstheme="minorHAnsi"/>
        </w:rPr>
        <w:t>º</w:t>
      </w:r>
      <w:r w:rsidRPr="008C686B">
        <w:rPr>
          <w:rFonts w:asciiTheme="minorHAnsi" w:hAnsiTheme="minorHAnsi" w:cstheme="minorBidi"/>
        </w:rPr>
        <w:t xml:space="preserve">  A</w:t>
      </w:r>
      <w:proofErr w:type="gramEnd"/>
      <w:r w:rsidRPr="008C686B">
        <w:rPr>
          <w:rFonts w:asciiTheme="minorHAnsi" w:hAnsiTheme="minorHAnsi" w:cstheme="minorBidi"/>
        </w:rPr>
        <w:t xml:space="preserve"> entidade administradora de mercado organizado deve divulgar ao mercado as informações de que tratam os incisos I a V do </w:t>
      </w:r>
      <w:r w:rsidRPr="008C686B">
        <w:rPr>
          <w:rFonts w:asciiTheme="minorHAnsi" w:hAnsiTheme="minorHAnsi" w:cstheme="minorBidi"/>
          <w:b/>
          <w:bCs/>
        </w:rPr>
        <w:t>caput</w:t>
      </w:r>
      <w:r w:rsidRPr="008C686B">
        <w:rPr>
          <w:rFonts w:asciiTheme="minorHAnsi" w:hAnsiTheme="minorHAnsi" w:cstheme="minorBidi"/>
        </w:rPr>
        <w:t>, assim que recebidas.</w:t>
      </w:r>
    </w:p>
    <w:p w14:paraId="3D587806" w14:textId="6EFD8046"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Art. </w:t>
      </w:r>
      <w:r w:rsidR="0071371B">
        <w:rPr>
          <w:rFonts w:asciiTheme="minorHAnsi" w:hAnsiTheme="minorHAnsi" w:cstheme="minorHAnsi"/>
        </w:rPr>
        <w:t>8</w:t>
      </w:r>
      <w:proofErr w:type="gramStart"/>
      <w:r w:rsidR="00CE4DF9" w:rsidRPr="008C686B">
        <w:rPr>
          <w:rFonts w:asciiTheme="minorHAnsi" w:hAnsiTheme="minorHAnsi" w:cstheme="minorHAnsi"/>
        </w:rPr>
        <w:t>º</w:t>
      </w:r>
      <w:r w:rsidRPr="008C686B">
        <w:rPr>
          <w:rFonts w:asciiTheme="minorHAnsi" w:hAnsiTheme="minorHAnsi" w:cstheme="minorHAnsi"/>
        </w:rPr>
        <w:t xml:space="preserve"> </w:t>
      </w:r>
      <w:r w:rsidR="006F0DF5">
        <w:rPr>
          <w:rFonts w:asciiTheme="minorHAnsi" w:hAnsiTheme="minorHAnsi" w:cstheme="minorHAnsi"/>
        </w:rPr>
        <w:t xml:space="preserve"> </w:t>
      </w:r>
      <w:r w:rsidRPr="008C686B">
        <w:rPr>
          <w:rFonts w:asciiTheme="minorHAnsi" w:hAnsiTheme="minorHAnsi" w:cstheme="minorHAnsi"/>
        </w:rPr>
        <w:t>O</w:t>
      </w:r>
      <w:proofErr w:type="gramEnd"/>
      <w:r w:rsidRPr="008C686B">
        <w:rPr>
          <w:rFonts w:asciiTheme="minorHAnsi" w:hAnsiTheme="minorHAnsi" w:cstheme="minorHAnsi"/>
        </w:rPr>
        <w:t xml:space="preserve"> formador de mercado não pode ter acesso a</w:t>
      </w:r>
      <w:r w:rsidRPr="008C686B">
        <w:rPr>
          <w:rFonts w:asciiTheme="minorHAnsi" w:hAnsiTheme="minorHAnsi" w:cstheme="minorHAnsi"/>
          <w:b/>
        </w:rPr>
        <w:t xml:space="preserve"> </w:t>
      </w:r>
      <w:r w:rsidRPr="008C686B">
        <w:rPr>
          <w:rFonts w:asciiTheme="minorHAnsi" w:hAnsiTheme="minorHAnsi" w:cstheme="minorHAnsi"/>
        </w:rPr>
        <w:t>informações relevantes não divulgadas ao mercado, bem como a informações da mesma natureza relativas a companhias controladoras, controladas e coligadas.</w:t>
      </w:r>
    </w:p>
    <w:p w14:paraId="0601540D" w14:textId="5A4EA38C"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Parágrafo único. </w:t>
      </w:r>
      <w:r w:rsidR="00E75BDC">
        <w:rPr>
          <w:rFonts w:asciiTheme="minorHAnsi" w:hAnsiTheme="minorHAnsi" w:cstheme="minorHAnsi"/>
        </w:rPr>
        <w:t xml:space="preserve"> </w:t>
      </w:r>
      <w:r w:rsidRPr="008C686B">
        <w:rPr>
          <w:rFonts w:asciiTheme="minorHAnsi" w:hAnsiTheme="minorHAnsi" w:cstheme="minorHAnsi"/>
        </w:rPr>
        <w:t>É vedado ao formador de mercado atuar com valores mobiliários em que se especialize, na eventualidade de ter acesso a informação relevante antes de sua divulgação ao mercado.</w:t>
      </w:r>
    </w:p>
    <w:p w14:paraId="7C023057" w14:textId="77777777" w:rsidR="0006320F" w:rsidRPr="008C686B" w:rsidRDefault="0006320F" w:rsidP="00E75BDC">
      <w:pPr>
        <w:pStyle w:val="Captulo"/>
        <w:tabs>
          <w:tab w:val="clear" w:pos="567"/>
        </w:tabs>
      </w:pPr>
      <w:r w:rsidRPr="008C686B">
        <w:rPr>
          <w:caps w:val="0"/>
        </w:rPr>
        <w:t xml:space="preserve">CAPÍTULO </w:t>
      </w:r>
      <w:proofErr w:type="spellStart"/>
      <w:r w:rsidRPr="008C686B">
        <w:rPr>
          <w:caps w:val="0"/>
        </w:rPr>
        <w:t>IV</w:t>
      </w:r>
      <w:proofErr w:type="spellEnd"/>
      <w:r w:rsidRPr="008C686B">
        <w:rPr>
          <w:caps w:val="0"/>
        </w:rPr>
        <w:t xml:space="preserve"> – PEDIDO DE APROVAÇÃO PRÉVIA</w:t>
      </w:r>
    </w:p>
    <w:p w14:paraId="7B056D97" w14:textId="46DF9C4F" w:rsidR="0006320F" w:rsidRPr="008C686B" w:rsidRDefault="0006320F" w:rsidP="00E75BDC">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Art. </w:t>
      </w:r>
      <w:r w:rsidR="0071371B">
        <w:rPr>
          <w:rFonts w:asciiTheme="minorHAnsi" w:hAnsiTheme="minorHAnsi" w:cstheme="minorHAnsi"/>
        </w:rPr>
        <w:t>9</w:t>
      </w:r>
      <w:proofErr w:type="gramStart"/>
      <w:r w:rsidR="0071371B">
        <w:rPr>
          <w:rFonts w:asciiTheme="minorHAnsi" w:hAnsiTheme="minorHAnsi" w:cstheme="minorHAnsi"/>
        </w:rPr>
        <w:t>º</w:t>
      </w:r>
      <w:r w:rsidRPr="008C686B">
        <w:rPr>
          <w:rFonts w:asciiTheme="minorHAnsi" w:hAnsiTheme="minorHAnsi" w:cstheme="minorHAnsi"/>
        </w:rPr>
        <w:t xml:space="preserve">  As</w:t>
      </w:r>
      <w:proofErr w:type="gramEnd"/>
      <w:r w:rsidRPr="008C686B">
        <w:rPr>
          <w:rFonts w:asciiTheme="minorHAnsi" w:hAnsiTheme="minorHAnsi" w:cstheme="minorHAnsi"/>
        </w:rPr>
        <w:t xml:space="preserve"> entidades administradoras de mercado organizado devem submeter as regras a que se refere o </w:t>
      </w:r>
      <w:r w:rsidRPr="008C686B">
        <w:rPr>
          <w:rFonts w:asciiTheme="minorHAnsi" w:hAnsiTheme="minorHAnsi" w:cstheme="minorHAnsi"/>
          <w:iCs/>
        </w:rPr>
        <w:t>art. 3º</w:t>
      </w:r>
      <w:r w:rsidRPr="008C686B">
        <w:rPr>
          <w:rFonts w:asciiTheme="minorHAnsi" w:hAnsiTheme="minorHAnsi" w:cstheme="minorHAnsi"/>
        </w:rPr>
        <w:t>, bem como suas alterações posteriores, à aprovação prévia da CVM.</w:t>
      </w:r>
    </w:p>
    <w:p w14:paraId="1A4A40F4" w14:textId="4C2F0102" w:rsidR="009C34B9" w:rsidRPr="008C686B" w:rsidRDefault="009C34B9" w:rsidP="00E75BDC">
      <w:pPr>
        <w:pStyle w:val="SDM"/>
        <w:spacing w:before="120" w:after="120" w:line="312" w:lineRule="auto"/>
        <w:ind w:firstLine="568"/>
        <w:rPr>
          <w:rFonts w:asciiTheme="minorHAnsi" w:hAnsiTheme="minorHAnsi" w:cstheme="minorBidi"/>
        </w:rPr>
      </w:pPr>
      <w:r w:rsidRPr="008C686B">
        <w:rPr>
          <w:rFonts w:asciiTheme="minorHAnsi" w:hAnsiTheme="minorHAnsi" w:cstheme="minorBidi"/>
        </w:rPr>
        <w:t>Art. 1</w:t>
      </w:r>
      <w:r w:rsidR="0071371B">
        <w:rPr>
          <w:rFonts w:asciiTheme="minorHAnsi" w:hAnsiTheme="minorHAnsi" w:cstheme="minorBidi"/>
        </w:rPr>
        <w:t>0</w:t>
      </w:r>
      <w:r w:rsidRPr="008C686B">
        <w:rPr>
          <w:rFonts w:asciiTheme="minorHAnsi" w:hAnsiTheme="minorHAnsi" w:cstheme="minorBidi"/>
        </w:rPr>
        <w:t>.</w:t>
      </w:r>
      <w:r w:rsidR="00E75BDC">
        <w:rPr>
          <w:rFonts w:asciiTheme="minorHAnsi" w:hAnsiTheme="minorHAnsi" w:cstheme="minorBidi"/>
        </w:rPr>
        <w:t xml:space="preserve"> </w:t>
      </w:r>
      <w:r w:rsidRPr="008C686B">
        <w:rPr>
          <w:rFonts w:asciiTheme="minorHAnsi" w:hAnsiTheme="minorHAnsi" w:cstheme="minorBidi"/>
        </w:rPr>
        <w:t xml:space="preserve"> O pedido de aprovação prévia deve ser encaminhado à </w:t>
      </w:r>
      <w:r w:rsidRPr="008C686B">
        <w:rPr>
          <w:rFonts w:asciiTheme="minorHAnsi" w:hAnsiTheme="minorHAnsi" w:cstheme="minorHAnsi"/>
        </w:rPr>
        <w:t xml:space="preserve">Superintendência de Relações com o Mercado e Intermediários – </w:t>
      </w:r>
      <w:proofErr w:type="spellStart"/>
      <w:r w:rsidRPr="008C686B">
        <w:rPr>
          <w:rFonts w:asciiTheme="minorHAnsi" w:hAnsiTheme="minorHAnsi" w:cstheme="minorBidi"/>
        </w:rPr>
        <w:t>SMI</w:t>
      </w:r>
      <w:proofErr w:type="spellEnd"/>
      <w:r w:rsidRPr="008C686B">
        <w:rPr>
          <w:rFonts w:asciiTheme="minorHAnsi" w:hAnsiTheme="minorHAnsi" w:cstheme="minorBidi"/>
        </w:rPr>
        <w:t>, acompanhado</w:t>
      </w:r>
      <w:r w:rsidR="00072E42" w:rsidRPr="008C686B">
        <w:rPr>
          <w:rFonts w:asciiTheme="minorHAnsi" w:hAnsiTheme="minorHAnsi" w:cstheme="minorBidi"/>
        </w:rPr>
        <w:t>:</w:t>
      </w:r>
    </w:p>
    <w:p w14:paraId="2DAA974D" w14:textId="77777777" w:rsidR="00174C43" w:rsidRPr="008C686B" w:rsidRDefault="00174C43" w:rsidP="00E75BDC">
      <w:pPr>
        <w:pStyle w:val="SDM"/>
        <w:spacing w:before="120" w:after="120" w:line="312" w:lineRule="auto"/>
        <w:ind w:firstLine="568"/>
        <w:rPr>
          <w:rFonts w:asciiTheme="minorHAnsi" w:hAnsiTheme="minorHAnsi" w:cstheme="minorBidi"/>
        </w:rPr>
      </w:pPr>
      <w:r w:rsidRPr="008C686B">
        <w:rPr>
          <w:rFonts w:asciiTheme="minorHAnsi" w:hAnsiTheme="minorHAnsi" w:cstheme="minorBidi"/>
        </w:rPr>
        <w:t xml:space="preserve">I – </w:t>
      </w:r>
      <w:proofErr w:type="gramStart"/>
      <w:r w:rsidRPr="008C686B">
        <w:rPr>
          <w:rFonts w:asciiTheme="minorHAnsi" w:hAnsiTheme="minorHAnsi" w:cstheme="minorBidi"/>
        </w:rPr>
        <w:t>da</w:t>
      </w:r>
      <w:proofErr w:type="gramEnd"/>
      <w:r w:rsidRPr="008C686B">
        <w:rPr>
          <w:rFonts w:asciiTheme="minorHAnsi" w:hAnsiTheme="minorHAnsi" w:cstheme="minorBidi"/>
        </w:rPr>
        <w:t xml:space="preserve"> descrição do objetivo da decisão ou da alteração proposta;</w:t>
      </w:r>
    </w:p>
    <w:p w14:paraId="047B2378" w14:textId="0A05D765" w:rsidR="00174C43" w:rsidRPr="008C686B" w:rsidRDefault="00174C43" w:rsidP="00E75BDC">
      <w:pPr>
        <w:pStyle w:val="SDM"/>
        <w:spacing w:before="120" w:after="120" w:line="312" w:lineRule="auto"/>
        <w:ind w:firstLine="568"/>
        <w:rPr>
          <w:rFonts w:asciiTheme="minorHAnsi" w:hAnsiTheme="minorHAnsi" w:cstheme="minorBidi"/>
        </w:rPr>
      </w:pPr>
      <w:r w:rsidRPr="008C686B">
        <w:rPr>
          <w:rFonts w:asciiTheme="minorHAnsi" w:hAnsiTheme="minorHAnsi" w:cstheme="minorBidi"/>
        </w:rPr>
        <w:t xml:space="preserve">II – </w:t>
      </w:r>
      <w:proofErr w:type="gramStart"/>
      <w:r w:rsidRPr="008C686B">
        <w:rPr>
          <w:rFonts w:asciiTheme="minorHAnsi" w:hAnsiTheme="minorHAnsi" w:cstheme="minorBidi"/>
        </w:rPr>
        <w:t>se</w:t>
      </w:r>
      <w:proofErr w:type="gramEnd"/>
      <w:r w:rsidRPr="008C686B">
        <w:rPr>
          <w:rFonts w:asciiTheme="minorHAnsi" w:hAnsiTheme="minorHAnsi" w:cstheme="minorBidi"/>
        </w:rPr>
        <w:t xml:space="preserve"> for o caso, das versões marcadas dos documentos que se pretende alterar; e</w:t>
      </w:r>
    </w:p>
    <w:p w14:paraId="030C5271" w14:textId="77777777" w:rsidR="00174C43" w:rsidRPr="008C686B" w:rsidRDefault="00174C43" w:rsidP="00BA45E9">
      <w:pPr>
        <w:pStyle w:val="SDM"/>
        <w:spacing w:before="120" w:after="120" w:line="312" w:lineRule="auto"/>
        <w:ind w:firstLine="568"/>
        <w:rPr>
          <w:rFonts w:asciiTheme="minorHAnsi" w:hAnsiTheme="minorHAnsi" w:cstheme="minorBidi"/>
        </w:rPr>
      </w:pPr>
      <w:proofErr w:type="spellStart"/>
      <w:r w:rsidRPr="008C686B">
        <w:rPr>
          <w:rFonts w:asciiTheme="minorHAnsi" w:hAnsiTheme="minorHAnsi" w:cstheme="minorBidi"/>
        </w:rPr>
        <w:lastRenderedPageBreak/>
        <w:t>III</w:t>
      </w:r>
      <w:proofErr w:type="spellEnd"/>
      <w:r w:rsidRPr="008C686B">
        <w:rPr>
          <w:rFonts w:asciiTheme="minorHAnsi" w:hAnsiTheme="minorHAnsi" w:cstheme="minorBidi"/>
        </w:rPr>
        <w:t xml:space="preserve"> – demais documentos </w:t>
      </w:r>
      <w:r w:rsidR="00072E42" w:rsidRPr="008C686B">
        <w:rPr>
          <w:rFonts w:asciiTheme="minorHAnsi" w:hAnsiTheme="minorHAnsi" w:cstheme="minorBidi"/>
        </w:rPr>
        <w:t xml:space="preserve">considerados </w:t>
      </w:r>
      <w:r w:rsidRPr="008C686B">
        <w:rPr>
          <w:rFonts w:asciiTheme="minorHAnsi" w:hAnsiTheme="minorHAnsi" w:cstheme="minorBidi"/>
        </w:rPr>
        <w:t>necessários para a análise do pedido.</w:t>
      </w:r>
    </w:p>
    <w:p w14:paraId="0AC37419" w14:textId="1CFCCE4E" w:rsidR="009C34B9" w:rsidRPr="008C686B" w:rsidRDefault="009C34B9" w:rsidP="00BA45E9">
      <w:pPr>
        <w:pStyle w:val="SDM"/>
        <w:spacing w:before="120" w:after="120" w:line="312" w:lineRule="auto"/>
        <w:ind w:firstLine="568"/>
        <w:rPr>
          <w:rFonts w:asciiTheme="minorHAnsi" w:hAnsiTheme="minorHAnsi" w:cstheme="minorBidi"/>
        </w:rPr>
      </w:pPr>
      <w:r w:rsidRPr="008C686B">
        <w:rPr>
          <w:rFonts w:asciiTheme="minorHAnsi" w:hAnsiTheme="minorHAnsi" w:cstheme="minorBidi"/>
        </w:rPr>
        <w:t>Art. 1</w:t>
      </w:r>
      <w:r w:rsidR="0071371B">
        <w:rPr>
          <w:rFonts w:asciiTheme="minorHAnsi" w:hAnsiTheme="minorHAnsi" w:cstheme="minorBidi"/>
        </w:rPr>
        <w:t>1</w:t>
      </w:r>
      <w:r w:rsidRPr="008C686B">
        <w:rPr>
          <w:rFonts w:asciiTheme="minorHAnsi" w:hAnsiTheme="minorHAnsi" w:cstheme="minorBidi"/>
        </w:rPr>
        <w:t>.  O pedido de aprovação prévia deve ser considerado automaticamente concedido caso não seja indeferido pela CVM dentro de:</w:t>
      </w:r>
    </w:p>
    <w:p w14:paraId="07499BA9" w14:textId="54BC83AB" w:rsidR="009C34B9" w:rsidRPr="008C686B" w:rsidRDefault="009C34B9" w:rsidP="00BA45E9">
      <w:pPr>
        <w:pStyle w:val="SDM"/>
        <w:spacing w:before="120" w:after="120" w:line="312" w:lineRule="auto"/>
        <w:ind w:firstLine="567"/>
        <w:rPr>
          <w:rFonts w:asciiTheme="minorHAnsi" w:hAnsiTheme="minorHAnsi" w:cstheme="minorBidi"/>
        </w:rPr>
      </w:pPr>
      <w:r w:rsidRPr="008C686B">
        <w:rPr>
          <w:rFonts w:asciiTheme="minorHAnsi" w:hAnsiTheme="minorHAnsi" w:cstheme="minorBidi"/>
        </w:rPr>
        <w:t>I – 60 (sessenta) dias úteis contados da data do protocolo nas matérias submetidas à deliberação do Colegiado nos termos do art. 1</w:t>
      </w:r>
      <w:r w:rsidR="0071371B">
        <w:rPr>
          <w:rFonts w:asciiTheme="minorHAnsi" w:hAnsiTheme="minorHAnsi" w:cstheme="minorBidi"/>
        </w:rPr>
        <w:t>3</w:t>
      </w:r>
      <w:r w:rsidRPr="008C686B">
        <w:rPr>
          <w:rFonts w:asciiTheme="minorHAnsi" w:hAnsiTheme="minorHAnsi" w:cstheme="minorBidi"/>
        </w:rPr>
        <w:t>; ou</w:t>
      </w:r>
    </w:p>
    <w:p w14:paraId="2DE54BD2" w14:textId="77777777" w:rsidR="009C34B9" w:rsidRPr="008C686B" w:rsidRDefault="009C34B9" w:rsidP="00BA45E9">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 xml:space="preserve">II – 40 (quarenta) dias úteis contados da data do protocolo, nas demais matérias, cuja aprovação será deliberada pela </w:t>
      </w:r>
      <w:proofErr w:type="spellStart"/>
      <w:r w:rsidRPr="008C686B">
        <w:rPr>
          <w:rFonts w:asciiTheme="minorHAnsi" w:hAnsiTheme="minorHAnsi" w:cstheme="minorHAnsi"/>
        </w:rPr>
        <w:t>SMI</w:t>
      </w:r>
      <w:proofErr w:type="spellEnd"/>
      <w:r w:rsidRPr="008C686B">
        <w:rPr>
          <w:rFonts w:asciiTheme="minorHAnsi" w:hAnsiTheme="minorHAnsi" w:cstheme="minorHAnsi"/>
        </w:rPr>
        <w:t>.</w:t>
      </w:r>
    </w:p>
    <w:p w14:paraId="509A9307" w14:textId="3CB135CD" w:rsidR="009C34B9" w:rsidRPr="008C686B" w:rsidRDefault="009C34B9" w:rsidP="00BA45E9">
      <w:pPr>
        <w:pStyle w:val="SDM"/>
        <w:spacing w:before="120" w:after="120" w:line="312" w:lineRule="auto"/>
        <w:ind w:firstLine="567"/>
        <w:rPr>
          <w:rFonts w:asciiTheme="minorHAnsi" w:hAnsiTheme="minorHAnsi" w:cstheme="minorBidi"/>
        </w:rPr>
      </w:pPr>
      <w:r w:rsidRPr="008C686B">
        <w:rPr>
          <w:rFonts w:asciiTheme="minorHAnsi" w:hAnsiTheme="minorHAnsi" w:cstheme="minorBidi"/>
        </w:rPr>
        <w:t>Parágrafo único.  Na contagem dos prazos fixados nos incisos I e II não será considerado o prazo de resposta mencionado no § 1º do art. 1</w:t>
      </w:r>
      <w:r w:rsidR="0071371B">
        <w:rPr>
          <w:rFonts w:asciiTheme="minorHAnsi" w:hAnsiTheme="minorHAnsi" w:cstheme="minorBidi"/>
        </w:rPr>
        <w:t>2</w:t>
      </w:r>
      <w:r w:rsidRPr="008C686B">
        <w:rPr>
          <w:rFonts w:asciiTheme="minorHAnsi" w:hAnsiTheme="minorHAnsi" w:cstheme="minorBidi"/>
        </w:rPr>
        <w:t>.</w:t>
      </w:r>
    </w:p>
    <w:p w14:paraId="55076163" w14:textId="4FDB9247" w:rsidR="009C34B9" w:rsidRPr="008C686B" w:rsidRDefault="009C34B9" w:rsidP="00BA45E9">
      <w:pPr>
        <w:pStyle w:val="SDM"/>
        <w:spacing w:before="120" w:after="120" w:line="312" w:lineRule="auto"/>
        <w:ind w:firstLine="568"/>
        <w:rPr>
          <w:rFonts w:asciiTheme="minorHAnsi" w:hAnsiTheme="minorHAnsi" w:cstheme="minorBidi"/>
        </w:rPr>
      </w:pPr>
      <w:r w:rsidRPr="008C686B">
        <w:rPr>
          <w:rFonts w:asciiTheme="minorHAnsi" w:hAnsiTheme="minorHAnsi" w:cstheme="minorBidi"/>
        </w:rPr>
        <w:t>Art. 1</w:t>
      </w:r>
      <w:r w:rsidR="0071371B">
        <w:rPr>
          <w:rFonts w:asciiTheme="minorHAnsi" w:hAnsiTheme="minorHAnsi" w:cstheme="minorBidi"/>
        </w:rPr>
        <w:t>2</w:t>
      </w:r>
      <w:r w:rsidRPr="008C686B">
        <w:rPr>
          <w:rFonts w:asciiTheme="minorHAnsi" w:hAnsiTheme="minorHAnsi" w:cstheme="minorBidi"/>
        </w:rPr>
        <w:t xml:space="preserve">.  No curso da análise do pedido de aprovação prévia a </w:t>
      </w:r>
      <w:proofErr w:type="spellStart"/>
      <w:r w:rsidRPr="008C686B">
        <w:rPr>
          <w:rFonts w:asciiTheme="minorHAnsi" w:hAnsiTheme="minorHAnsi" w:cstheme="minorBidi"/>
        </w:rPr>
        <w:t>SMI</w:t>
      </w:r>
      <w:proofErr w:type="spellEnd"/>
      <w:r w:rsidRPr="008C686B">
        <w:rPr>
          <w:rFonts w:asciiTheme="minorHAnsi" w:hAnsiTheme="minorHAnsi" w:cstheme="minorBidi"/>
        </w:rPr>
        <w:t xml:space="preserve"> pode formular exigências uma única vez, ficando a contagem dos prazos previstos no art. </w:t>
      </w:r>
      <w:r w:rsidR="00104497" w:rsidRPr="008C686B">
        <w:rPr>
          <w:rFonts w:asciiTheme="minorHAnsi" w:hAnsiTheme="minorHAnsi" w:cstheme="minorBidi"/>
        </w:rPr>
        <w:t>1</w:t>
      </w:r>
      <w:r w:rsidR="0071371B">
        <w:rPr>
          <w:rFonts w:asciiTheme="minorHAnsi" w:hAnsiTheme="minorHAnsi" w:cstheme="minorBidi"/>
        </w:rPr>
        <w:t>1</w:t>
      </w:r>
      <w:r w:rsidRPr="008C686B">
        <w:rPr>
          <w:rFonts w:asciiTheme="minorHAnsi" w:hAnsiTheme="minorHAnsi" w:cstheme="minorBidi"/>
        </w:rPr>
        <w:t xml:space="preserve"> suspensa a partir da data da solicitação de documentos e informações adicionais.</w:t>
      </w:r>
    </w:p>
    <w:p w14:paraId="172FF7BF" w14:textId="018EF7C8" w:rsidR="009C34B9" w:rsidRPr="008C686B" w:rsidRDefault="009C34B9" w:rsidP="00BA45E9">
      <w:pPr>
        <w:pStyle w:val="SDM"/>
        <w:spacing w:before="120" w:after="120" w:line="312" w:lineRule="auto"/>
        <w:ind w:firstLine="567"/>
        <w:rPr>
          <w:rFonts w:asciiTheme="minorHAnsi" w:hAnsiTheme="minorHAnsi" w:cstheme="minorHAnsi"/>
        </w:rPr>
      </w:pPr>
      <w:r w:rsidRPr="008C686B">
        <w:rPr>
          <w:rFonts w:asciiTheme="minorHAnsi" w:hAnsiTheme="minorHAnsi" w:cstheme="minorHAnsi"/>
        </w:rPr>
        <w:t>§ 1</w:t>
      </w:r>
      <w:proofErr w:type="gramStart"/>
      <w:r w:rsidRPr="008C686B">
        <w:rPr>
          <w:rFonts w:asciiTheme="minorHAnsi" w:hAnsiTheme="minorHAnsi" w:cstheme="minorHAnsi"/>
        </w:rPr>
        <w:t>º  A</w:t>
      </w:r>
      <w:proofErr w:type="gramEnd"/>
      <w:r w:rsidRPr="008C686B">
        <w:rPr>
          <w:rFonts w:asciiTheme="minorHAnsi" w:hAnsiTheme="minorHAnsi" w:cstheme="minorHAnsi"/>
        </w:rPr>
        <w:t xml:space="preserve"> entidade administradora de mercado organizado tem até 20 (vinte) dias úteis para cumprir as exigências formuladas pela </w:t>
      </w:r>
      <w:proofErr w:type="spellStart"/>
      <w:r w:rsidRPr="008C686B">
        <w:rPr>
          <w:rFonts w:asciiTheme="minorHAnsi" w:hAnsiTheme="minorHAnsi" w:cstheme="minorHAnsi"/>
        </w:rPr>
        <w:t>SMI</w:t>
      </w:r>
      <w:proofErr w:type="spellEnd"/>
      <w:r w:rsidRPr="008C686B">
        <w:rPr>
          <w:rFonts w:asciiTheme="minorHAnsi" w:hAnsiTheme="minorHAnsi" w:cstheme="minorHAnsi"/>
        </w:rPr>
        <w:t>, prorrogáveis por igual período.</w:t>
      </w:r>
    </w:p>
    <w:p w14:paraId="264019A1" w14:textId="2D9C9569" w:rsidR="009C34B9" w:rsidRPr="008C686B" w:rsidRDefault="009C34B9" w:rsidP="00BA45E9">
      <w:pPr>
        <w:pStyle w:val="SDM"/>
        <w:spacing w:before="120" w:after="120" w:line="312" w:lineRule="auto"/>
        <w:ind w:firstLine="567"/>
        <w:rPr>
          <w:rFonts w:asciiTheme="minorHAnsi" w:hAnsiTheme="minorHAnsi" w:cstheme="minorBidi"/>
        </w:rPr>
      </w:pPr>
      <w:r w:rsidRPr="008C686B">
        <w:rPr>
          <w:rFonts w:asciiTheme="minorHAnsi" w:hAnsiTheme="minorHAnsi" w:cstheme="minorBidi"/>
        </w:rPr>
        <w:t>§ 2</w:t>
      </w:r>
      <w:proofErr w:type="gramStart"/>
      <w:r w:rsidRPr="008C686B">
        <w:rPr>
          <w:rFonts w:asciiTheme="minorHAnsi" w:hAnsiTheme="minorHAnsi" w:cstheme="minorBidi"/>
        </w:rPr>
        <w:t>º  A</w:t>
      </w:r>
      <w:proofErr w:type="gramEnd"/>
      <w:r w:rsidRPr="008C686B">
        <w:rPr>
          <w:rFonts w:asciiTheme="minorHAnsi" w:hAnsiTheme="minorHAnsi" w:cstheme="minorBidi"/>
        </w:rPr>
        <w:t xml:space="preserve"> contagem dos prazos indicados no art. 1</w:t>
      </w:r>
      <w:r w:rsidR="0071371B">
        <w:rPr>
          <w:rFonts w:asciiTheme="minorHAnsi" w:hAnsiTheme="minorHAnsi" w:cstheme="minorBidi"/>
        </w:rPr>
        <w:t>1</w:t>
      </w:r>
      <w:r w:rsidRPr="008C686B">
        <w:rPr>
          <w:rFonts w:asciiTheme="minorHAnsi" w:hAnsiTheme="minorHAnsi" w:cstheme="minorBidi"/>
        </w:rPr>
        <w:t xml:space="preserve"> será retomada a partir da data do cumprimento das exigências formuladas pela </w:t>
      </w:r>
      <w:proofErr w:type="spellStart"/>
      <w:r w:rsidRPr="008C686B">
        <w:rPr>
          <w:rFonts w:asciiTheme="minorHAnsi" w:hAnsiTheme="minorHAnsi" w:cstheme="minorBidi"/>
        </w:rPr>
        <w:t>SMI</w:t>
      </w:r>
      <w:proofErr w:type="spellEnd"/>
      <w:r w:rsidRPr="008C686B">
        <w:rPr>
          <w:rFonts w:asciiTheme="minorHAnsi" w:hAnsiTheme="minorHAnsi" w:cstheme="minorBidi"/>
        </w:rPr>
        <w:t>.</w:t>
      </w:r>
    </w:p>
    <w:p w14:paraId="0423F4A8" w14:textId="580018E9" w:rsidR="009C34B9" w:rsidRPr="008C686B" w:rsidRDefault="009C34B9" w:rsidP="00BA45E9">
      <w:pPr>
        <w:pStyle w:val="SDM"/>
        <w:spacing w:before="120" w:after="120" w:line="312" w:lineRule="auto"/>
        <w:ind w:firstLine="568"/>
        <w:rPr>
          <w:rFonts w:asciiTheme="minorHAnsi" w:hAnsiTheme="minorHAnsi" w:cstheme="minorBidi"/>
        </w:rPr>
      </w:pPr>
      <w:r w:rsidRPr="008C686B">
        <w:rPr>
          <w:rFonts w:asciiTheme="minorHAnsi" w:hAnsiTheme="minorHAnsi" w:cstheme="minorBidi"/>
        </w:rPr>
        <w:t>Art. 1</w:t>
      </w:r>
      <w:r w:rsidR="0071371B">
        <w:rPr>
          <w:rFonts w:asciiTheme="minorHAnsi" w:hAnsiTheme="minorHAnsi" w:cstheme="minorBidi"/>
        </w:rPr>
        <w:t>3</w:t>
      </w:r>
      <w:r w:rsidRPr="008C686B">
        <w:rPr>
          <w:rFonts w:asciiTheme="minorHAnsi" w:hAnsiTheme="minorHAnsi" w:cstheme="minorBidi"/>
        </w:rPr>
        <w:t xml:space="preserve">. </w:t>
      </w:r>
      <w:r w:rsidR="00E75BDC">
        <w:rPr>
          <w:rFonts w:asciiTheme="minorHAnsi" w:hAnsiTheme="minorHAnsi" w:cstheme="minorBidi"/>
        </w:rPr>
        <w:t xml:space="preserve"> </w:t>
      </w:r>
      <w:r w:rsidRPr="008C686B">
        <w:rPr>
          <w:rFonts w:asciiTheme="minorHAnsi" w:hAnsiTheme="minorHAnsi" w:cstheme="minorBidi"/>
        </w:rPr>
        <w:t>Compete ao Colegiado deliberar sobre a autorização prévia nos casos envolvendo alterações normativas e estatutárias, ou deliberações societárias ou dos órgãos da administração que:</w:t>
      </w:r>
    </w:p>
    <w:p w14:paraId="726D893A" w14:textId="77777777" w:rsidR="009C34B9" w:rsidRPr="008C686B" w:rsidRDefault="009C34B9" w:rsidP="00BA45E9">
      <w:pPr>
        <w:pStyle w:val="SDM"/>
        <w:spacing w:before="120" w:after="120" w:line="312" w:lineRule="auto"/>
        <w:ind w:firstLine="567"/>
        <w:rPr>
          <w:rFonts w:asciiTheme="minorHAnsi" w:hAnsiTheme="minorHAnsi" w:cstheme="minorHAnsi"/>
        </w:rPr>
      </w:pPr>
      <w:r w:rsidRPr="008C686B">
        <w:rPr>
          <w:rFonts w:asciiTheme="minorHAnsi" w:hAnsiTheme="minorHAnsi" w:cstheme="minorHAnsi"/>
        </w:rPr>
        <w:t xml:space="preserve">I – </w:t>
      </w:r>
      <w:proofErr w:type="gramStart"/>
      <w:r w:rsidRPr="008C686B">
        <w:rPr>
          <w:rFonts w:asciiTheme="minorHAnsi" w:hAnsiTheme="minorHAnsi" w:cstheme="minorHAnsi"/>
        </w:rPr>
        <w:t>alteram</w:t>
      </w:r>
      <w:proofErr w:type="gramEnd"/>
      <w:r w:rsidRPr="008C686B">
        <w:rPr>
          <w:rFonts w:asciiTheme="minorHAnsi" w:hAnsiTheme="minorHAnsi" w:cstheme="minorHAnsi"/>
        </w:rPr>
        <w:t xml:space="preserve"> as características fundamentais dos mercados administrados pela entidade ou que tenham potencial para afetar de forma relevante o mercado de valores mobiliários;</w:t>
      </w:r>
    </w:p>
    <w:p w14:paraId="6F3658C0" w14:textId="277583FB" w:rsidR="009C34B9" w:rsidRPr="008C686B" w:rsidRDefault="009C34B9" w:rsidP="00BA45E9">
      <w:pPr>
        <w:pStyle w:val="SDM"/>
        <w:spacing w:before="120" w:after="120" w:line="312" w:lineRule="auto"/>
        <w:ind w:firstLine="567"/>
        <w:rPr>
          <w:rFonts w:asciiTheme="minorHAnsi" w:hAnsiTheme="minorHAnsi" w:cstheme="minorHAnsi"/>
        </w:rPr>
      </w:pPr>
      <w:r w:rsidRPr="008C686B">
        <w:rPr>
          <w:rFonts w:asciiTheme="minorHAnsi" w:hAnsiTheme="minorHAnsi" w:cstheme="minorHAnsi"/>
        </w:rPr>
        <w:t xml:space="preserve">II – </w:t>
      </w:r>
      <w:proofErr w:type="gramStart"/>
      <w:r w:rsidRPr="008C686B">
        <w:rPr>
          <w:rFonts w:asciiTheme="minorHAnsi" w:hAnsiTheme="minorHAnsi" w:cstheme="minorHAnsi"/>
        </w:rPr>
        <w:t>modificam</w:t>
      </w:r>
      <w:proofErr w:type="gramEnd"/>
      <w:r w:rsidRPr="008C686B">
        <w:rPr>
          <w:rFonts w:asciiTheme="minorHAnsi" w:hAnsiTheme="minorHAnsi" w:cstheme="minorHAnsi"/>
        </w:rPr>
        <w:t xml:space="preserve"> as atividades desempenhadas pela entidade administradora de mercado organizado ou que alteram de forma significativa sua organização interna e as atribuições de seus órgãos;</w:t>
      </w:r>
    </w:p>
    <w:p w14:paraId="12F7A022" w14:textId="77777777" w:rsidR="009C34B9" w:rsidRPr="008C686B" w:rsidRDefault="009C34B9" w:rsidP="00BA45E9">
      <w:pPr>
        <w:pStyle w:val="SDM"/>
        <w:spacing w:before="120" w:after="120" w:line="312" w:lineRule="auto"/>
        <w:ind w:firstLine="567"/>
        <w:rPr>
          <w:rFonts w:asciiTheme="minorHAnsi" w:hAnsiTheme="minorHAnsi" w:cstheme="minorHAnsi"/>
        </w:rPr>
      </w:pPr>
      <w:proofErr w:type="spellStart"/>
      <w:r w:rsidRPr="008C686B">
        <w:rPr>
          <w:rFonts w:asciiTheme="minorHAnsi" w:hAnsiTheme="minorHAnsi" w:cstheme="minorHAnsi"/>
        </w:rPr>
        <w:t>III</w:t>
      </w:r>
      <w:proofErr w:type="spellEnd"/>
      <w:r w:rsidRPr="008C686B">
        <w:rPr>
          <w:rFonts w:asciiTheme="minorHAnsi" w:hAnsiTheme="minorHAnsi" w:cstheme="minorHAnsi"/>
        </w:rPr>
        <w:t xml:space="preserve"> – modificam de forma substancial as regras de admissão de participantes ou de valores mobiliários, as obrigações de emissores e as atividades de supervisão e sanção da entidade administradora de mercado organizado; ou</w:t>
      </w:r>
    </w:p>
    <w:p w14:paraId="40C6FEDC" w14:textId="77777777" w:rsidR="009C34B9" w:rsidRPr="008C686B" w:rsidRDefault="009C34B9" w:rsidP="00BA45E9">
      <w:pPr>
        <w:pStyle w:val="SDM"/>
        <w:spacing w:before="120" w:after="120" w:line="312" w:lineRule="auto"/>
        <w:ind w:firstLine="567"/>
        <w:rPr>
          <w:rFonts w:asciiTheme="minorHAnsi" w:hAnsiTheme="minorHAnsi" w:cstheme="minorHAnsi"/>
        </w:rPr>
      </w:pPr>
      <w:proofErr w:type="spellStart"/>
      <w:r w:rsidRPr="008C686B">
        <w:rPr>
          <w:rFonts w:asciiTheme="minorHAnsi" w:hAnsiTheme="minorHAnsi" w:cstheme="minorHAnsi"/>
        </w:rPr>
        <w:t>IV</w:t>
      </w:r>
      <w:proofErr w:type="spellEnd"/>
      <w:r w:rsidRPr="008C686B">
        <w:rPr>
          <w:rFonts w:asciiTheme="minorHAnsi" w:hAnsiTheme="minorHAnsi" w:cstheme="minorHAnsi"/>
        </w:rPr>
        <w:t xml:space="preserve"> – </w:t>
      </w:r>
      <w:proofErr w:type="gramStart"/>
      <w:r w:rsidRPr="008C686B">
        <w:rPr>
          <w:rFonts w:asciiTheme="minorHAnsi" w:hAnsiTheme="minorHAnsi" w:cstheme="minorHAnsi"/>
        </w:rPr>
        <w:t>introduzem</w:t>
      </w:r>
      <w:proofErr w:type="gramEnd"/>
      <w:r w:rsidRPr="008C686B">
        <w:rPr>
          <w:rFonts w:asciiTheme="minorHAnsi" w:hAnsiTheme="minorHAnsi" w:cstheme="minorHAnsi"/>
        </w:rPr>
        <w:t xml:space="preserve"> modificações que, de acordo com a avaliação de risco da </w:t>
      </w:r>
      <w:proofErr w:type="spellStart"/>
      <w:r w:rsidRPr="008C686B">
        <w:rPr>
          <w:rFonts w:asciiTheme="minorHAnsi" w:hAnsiTheme="minorHAnsi" w:cstheme="minorHAnsi"/>
        </w:rPr>
        <w:t>SMI</w:t>
      </w:r>
      <w:proofErr w:type="spellEnd"/>
      <w:r w:rsidRPr="008C686B">
        <w:rPr>
          <w:rFonts w:asciiTheme="minorHAnsi" w:hAnsiTheme="minorHAnsi" w:cstheme="minorHAnsi"/>
        </w:rPr>
        <w:t>, justificam sua submissão ao Colegiado para deliberação.</w:t>
      </w:r>
    </w:p>
    <w:p w14:paraId="2D2C14D7" w14:textId="0FD90FB4" w:rsidR="0006320F" w:rsidRPr="008C686B" w:rsidRDefault="009C34B9" w:rsidP="00BA45E9">
      <w:pPr>
        <w:pStyle w:val="SDM"/>
        <w:spacing w:before="120" w:after="120" w:line="312" w:lineRule="auto"/>
        <w:ind w:firstLine="567"/>
        <w:rPr>
          <w:rFonts w:asciiTheme="minorHAnsi" w:hAnsiTheme="minorHAnsi" w:cstheme="minorHAnsi"/>
        </w:rPr>
      </w:pPr>
      <w:r w:rsidRPr="008C686B">
        <w:rPr>
          <w:rFonts w:asciiTheme="minorHAnsi" w:hAnsiTheme="minorHAnsi" w:cstheme="minorBidi"/>
        </w:rPr>
        <w:lastRenderedPageBreak/>
        <w:t>Art. 1</w:t>
      </w:r>
      <w:r w:rsidR="0071371B">
        <w:rPr>
          <w:rFonts w:asciiTheme="minorHAnsi" w:hAnsiTheme="minorHAnsi" w:cstheme="minorBidi"/>
        </w:rPr>
        <w:t>4</w:t>
      </w:r>
      <w:r w:rsidRPr="008C686B">
        <w:rPr>
          <w:rFonts w:asciiTheme="minorHAnsi" w:hAnsiTheme="minorHAnsi" w:cstheme="minorBidi"/>
        </w:rPr>
        <w:t xml:space="preserve">.  O disposto no art. </w:t>
      </w:r>
      <w:r w:rsidR="0071371B">
        <w:rPr>
          <w:rFonts w:asciiTheme="minorHAnsi" w:hAnsiTheme="minorHAnsi" w:cstheme="minorBidi"/>
        </w:rPr>
        <w:t>9º</w:t>
      </w:r>
      <w:r w:rsidRPr="008C686B">
        <w:rPr>
          <w:rFonts w:asciiTheme="minorHAnsi" w:hAnsiTheme="minorHAnsi" w:cstheme="minorBidi"/>
        </w:rPr>
        <w:t xml:space="preserve"> não se aplica às alterações oriundas de determinações de outros órgãos públicos, em relação a matérias não abrangidas pela competência legal da CVM.</w:t>
      </w:r>
    </w:p>
    <w:p w14:paraId="0F284A8F" w14:textId="3E3DB0D4" w:rsidR="0006320F" w:rsidRPr="008C686B" w:rsidRDefault="0006320F" w:rsidP="00BA45E9">
      <w:pPr>
        <w:pStyle w:val="Captulo"/>
        <w:tabs>
          <w:tab w:val="clear" w:pos="567"/>
        </w:tabs>
      </w:pPr>
      <w:r w:rsidRPr="008C686B">
        <w:rPr>
          <w:caps w:val="0"/>
        </w:rPr>
        <w:t>CAPÍTULO V – DISPOSIÇÕES FINAIS</w:t>
      </w:r>
    </w:p>
    <w:p w14:paraId="17C10A3F" w14:textId="0CD8B42F" w:rsidR="00D91317" w:rsidRPr="008C686B" w:rsidRDefault="0006320F" w:rsidP="00BA45E9">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1</w:t>
      </w:r>
      <w:r w:rsidR="0071371B">
        <w:rPr>
          <w:rFonts w:asciiTheme="minorHAnsi" w:hAnsiTheme="minorHAnsi" w:cstheme="minorHAnsi"/>
        </w:rPr>
        <w:t>5</w:t>
      </w:r>
      <w:r w:rsidRPr="008C686B">
        <w:rPr>
          <w:rFonts w:asciiTheme="minorHAnsi" w:hAnsiTheme="minorHAnsi" w:cstheme="minorHAnsi"/>
        </w:rPr>
        <w:t>.  Considera-se infração grave, para efeito do disposto no §</w:t>
      </w:r>
      <w:r w:rsidR="00072E42" w:rsidRPr="008C686B">
        <w:rPr>
          <w:rFonts w:asciiTheme="minorHAnsi" w:hAnsiTheme="minorHAnsi" w:cstheme="minorHAnsi"/>
        </w:rPr>
        <w:t xml:space="preserve"> 3º do art. 11 da Lei nº 6.385, </w:t>
      </w:r>
      <w:r w:rsidRPr="008C686B">
        <w:rPr>
          <w:rFonts w:asciiTheme="minorHAnsi" w:hAnsiTheme="minorHAnsi" w:cstheme="minorHAnsi"/>
        </w:rPr>
        <w:t xml:space="preserve">de 1976, a infração à </w:t>
      </w:r>
      <w:r w:rsidR="00072E42" w:rsidRPr="008C686B">
        <w:rPr>
          <w:rFonts w:asciiTheme="minorHAnsi" w:hAnsiTheme="minorHAnsi" w:cstheme="minorHAnsi"/>
        </w:rPr>
        <w:t xml:space="preserve">norma contida nos </w:t>
      </w:r>
      <w:proofErr w:type="spellStart"/>
      <w:r w:rsidR="00072E42" w:rsidRPr="008C686B">
        <w:rPr>
          <w:rFonts w:asciiTheme="minorHAnsi" w:hAnsiTheme="minorHAnsi" w:cstheme="minorHAnsi"/>
        </w:rPr>
        <w:t>arts</w:t>
      </w:r>
      <w:proofErr w:type="spellEnd"/>
      <w:r w:rsidR="00072E42" w:rsidRPr="008C686B">
        <w:rPr>
          <w:rFonts w:asciiTheme="minorHAnsi" w:hAnsiTheme="minorHAnsi" w:cstheme="minorHAnsi"/>
        </w:rPr>
        <w:t>. 4º, 5º,</w:t>
      </w:r>
      <w:r w:rsidRPr="008C686B">
        <w:rPr>
          <w:rFonts w:asciiTheme="minorHAnsi" w:hAnsiTheme="minorHAnsi" w:cstheme="minorHAnsi"/>
        </w:rPr>
        <w:t xml:space="preserve"> 9º</w:t>
      </w:r>
      <w:r w:rsidR="00072E42" w:rsidRPr="008C686B">
        <w:rPr>
          <w:rFonts w:asciiTheme="minorHAnsi" w:hAnsiTheme="minorHAnsi" w:cstheme="minorHAnsi"/>
        </w:rPr>
        <w:t xml:space="preserve"> e </w:t>
      </w:r>
      <w:r w:rsidRPr="008C686B">
        <w:rPr>
          <w:rFonts w:asciiTheme="minorHAnsi" w:hAnsiTheme="minorHAnsi" w:cstheme="minorHAnsi"/>
        </w:rPr>
        <w:t>10 dest</w:t>
      </w:r>
      <w:r w:rsidR="009C34B9" w:rsidRPr="008C686B">
        <w:rPr>
          <w:rFonts w:asciiTheme="minorHAnsi" w:hAnsiTheme="minorHAnsi" w:cstheme="minorHAnsi"/>
        </w:rPr>
        <w:t>a</w:t>
      </w:r>
      <w:r w:rsidRPr="008C686B">
        <w:rPr>
          <w:rFonts w:asciiTheme="minorHAnsi" w:hAnsiTheme="minorHAnsi" w:cstheme="minorHAnsi"/>
        </w:rPr>
        <w:t xml:space="preserve"> </w:t>
      </w:r>
      <w:r w:rsidR="009C34B9" w:rsidRPr="008C686B">
        <w:rPr>
          <w:rFonts w:asciiTheme="minorHAnsi" w:hAnsiTheme="minorHAnsi" w:cstheme="minorHAnsi"/>
        </w:rPr>
        <w:t>Resolução</w:t>
      </w:r>
      <w:r w:rsidRPr="008C686B">
        <w:rPr>
          <w:rFonts w:asciiTheme="minorHAnsi" w:hAnsiTheme="minorHAnsi" w:cstheme="minorHAnsi"/>
        </w:rPr>
        <w:t>.</w:t>
      </w:r>
    </w:p>
    <w:p w14:paraId="52C2EFC6" w14:textId="520607AB" w:rsidR="008B73E7" w:rsidRPr="008C686B" w:rsidRDefault="00072E42" w:rsidP="00BA45E9">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1</w:t>
      </w:r>
      <w:r w:rsidR="0071371B">
        <w:rPr>
          <w:rFonts w:asciiTheme="minorHAnsi" w:hAnsiTheme="minorHAnsi" w:cstheme="minorHAnsi"/>
        </w:rPr>
        <w:t>6</w:t>
      </w:r>
      <w:r w:rsidRPr="008C686B">
        <w:rPr>
          <w:rFonts w:asciiTheme="minorHAnsi" w:hAnsiTheme="minorHAnsi" w:cstheme="minorHAnsi"/>
        </w:rPr>
        <w:t xml:space="preserve">.  </w:t>
      </w:r>
      <w:r w:rsidR="008B73E7" w:rsidRPr="008C686B">
        <w:rPr>
          <w:rFonts w:asciiTheme="minorHAnsi" w:hAnsiTheme="minorHAnsi" w:cstheme="minorHAnsi"/>
        </w:rPr>
        <w:t>Fica revogada a Instrução CVM n</w:t>
      </w:r>
      <w:r w:rsidR="00CE4DF9">
        <w:rPr>
          <w:rFonts w:asciiTheme="minorHAnsi" w:hAnsiTheme="minorHAnsi" w:cstheme="minorHAnsi"/>
        </w:rPr>
        <w:t>º</w:t>
      </w:r>
      <w:r w:rsidR="008B73E7" w:rsidRPr="008C686B">
        <w:rPr>
          <w:rFonts w:asciiTheme="minorHAnsi" w:hAnsiTheme="minorHAnsi" w:cstheme="minorHAnsi"/>
        </w:rPr>
        <w:t xml:space="preserve"> 384, de 17 de março de 2003.</w:t>
      </w:r>
    </w:p>
    <w:p w14:paraId="63B2D280" w14:textId="49B651E9" w:rsidR="00072E42" w:rsidRPr="008C686B" w:rsidRDefault="008B73E7" w:rsidP="00BA45E9">
      <w:pPr>
        <w:spacing w:before="120" w:after="120" w:line="312" w:lineRule="auto"/>
        <w:ind w:firstLine="567"/>
        <w:jc w:val="both"/>
        <w:rPr>
          <w:rFonts w:asciiTheme="minorHAnsi" w:hAnsiTheme="minorHAnsi" w:cstheme="minorHAnsi"/>
        </w:rPr>
      </w:pPr>
      <w:r w:rsidRPr="008C686B">
        <w:rPr>
          <w:rFonts w:asciiTheme="minorHAnsi" w:hAnsiTheme="minorHAnsi" w:cstheme="minorHAnsi"/>
        </w:rPr>
        <w:t>Art. 1</w:t>
      </w:r>
      <w:r w:rsidR="0071371B">
        <w:rPr>
          <w:rFonts w:asciiTheme="minorHAnsi" w:hAnsiTheme="minorHAnsi" w:cstheme="minorHAnsi"/>
        </w:rPr>
        <w:t>7</w:t>
      </w:r>
      <w:r w:rsidRPr="008C686B">
        <w:rPr>
          <w:rFonts w:asciiTheme="minorHAnsi" w:hAnsiTheme="minorHAnsi" w:cstheme="minorHAnsi"/>
        </w:rPr>
        <w:t xml:space="preserve">.  </w:t>
      </w:r>
      <w:r w:rsidR="00072E42" w:rsidRPr="008C686B">
        <w:rPr>
          <w:rFonts w:asciiTheme="minorHAnsi" w:hAnsiTheme="minorHAnsi" w:cstheme="minorHAnsi"/>
        </w:rPr>
        <w:t xml:space="preserve">Esta Resolução entra em vigor em </w:t>
      </w:r>
      <w:r w:rsidR="008C686B">
        <w:rPr>
          <w:rFonts w:asciiTheme="minorHAnsi" w:hAnsiTheme="minorHAnsi" w:cstheme="minorHAnsi"/>
        </w:rPr>
        <w:t>1º</w:t>
      </w:r>
      <w:r w:rsidR="008C686B" w:rsidRPr="008C686B">
        <w:rPr>
          <w:rFonts w:asciiTheme="minorHAnsi" w:hAnsiTheme="minorHAnsi" w:cstheme="minorHAnsi"/>
        </w:rPr>
        <w:t xml:space="preserve"> </w:t>
      </w:r>
      <w:r w:rsidR="00072E42" w:rsidRPr="008C686B">
        <w:rPr>
          <w:rFonts w:asciiTheme="minorHAnsi" w:hAnsiTheme="minorHAnsi" w:cstheme="minorHAnsi"/>
        </w:rPr>
        <w:t xml:space="preserve">de </w:t>
      </w:r>
      <w:r w:rsidR="008C686B">
        <w:rPr>
          <w:rFonts w:asciiTheme="minorHAnsi" w:hAnsiTheme="minorHAnsi" w:cstheme="minorHAnsi"/>
        </w:rPr>
        <w:t>julho</w:t>
      </w:r>
      <w:r w:rsidR="008C686B" w:rsidRPr="008C686B">
        <w:rPr>
          <w:rFonts w:asciiTheme="minorHAnsi" w:hAnsiTheme="minorHAnsi" w:cstheme="minorHAnsi"/>
        </w:rPr>
        <w:t xml:space="preserve"> </w:t>
      </w:r>
      <w:r w:rsidR="00072E42" w:rsidRPr="008C686B">
        <w:rPr>
          <w:rFonts w:asciiTheme="minorHAnsi" w:hAnsiTheme="minorHAnsi" w:cstheme="minorHAnsi"/>
        </w:rPr>
        <w:t>de 2022.</w:t>
      </w:r>
    </w:p>
    <w:p w14:paraId="5E425A81" w14:textId="77777777" w:rsidR="00072E42" w:rsidRPr="008C686B" w:rsidRDefault="00072E42" w:rsidP="00BA45E9">
      <w:pPr>
        <w:jc w:val="center"/>
        <w:rPr>
          <w:rFonts w:asciiTheme="minorHAnsi" w:hAnsiTheme="minorHAnsi" w:cstheme="minorHAnsi"/>
        </w:rPr>
      </w:pPr>
    </w:p>
    <w:p w14:paraId="3296F72F" w14:textId="77777777" w:rsidR="00072E42" w:rsidRPr="006F0DF5" w:rsidRDefault="00072E42" w:rsidP="00BA45E9">
      <w:pPr>
        <w:widowControl w:val="0"/>
        <w:spacing w:line="312" w:lineRule="auto"/>
        <w:ind w:firstLine="567"/>
        <w:jc w:val="center"/>
        <w:rPr>
          <w:rFonts w:ascii="Calibri" w:eastAsia="Calibri" w:hAnsi="Calibri" w:cs="Calibri"/>
          <w:bCs/>
          <w:i/>
          <w:lang w:eastAsia="en-US"/>
        </w:rPr>
      </w:pPr>
      <w:r w:rsidRPr="006F0DF5">
        <w:rPr>
          <w:rFonts w:ascii="Calibri" w:eastAsia="Calibri" w:hAnsi="Calibri" w:cs="Calibri"/>
          <w:bCs/>
          <w:i/>
          <w:lang w:eastAsia="en-US"/>
        </w:rPr>
        <w:t>Assinado eletronicamente por</w:t>
      </w:r>
    </w:p>
    <w:p w14:paraId="64958443" w14:textId="77777777" w:rsidR="00072E42" w:rsidRPr="008C686B" w:rsidRDefault="00072E42" w:rsidP="00BA45E9">
      <w:pPr>
        <w:spacing w:line="312" w:lineRule="auto"/>
        <w:ind w:firstLine="567"/>
        <w:jc w:val="center"/>
        <w:rPr>
          <w:rFonts w:ascii="Calibri" w:eastAsia="Calibri" w:hAnsi="Calibri" w:cs="Calibri"/>
          <w:b/>
          <w:lang w:eastAsia="en-US"/>
        </w:rPr>
      </w:pPr>
      <w:r w:rsidRPr="008C686B">
        <w:rPr>
          <w:rFonts w:ascii="Calibri" w:eastAsia="Calibri" w:hAnsi="Calibri" w:cs="Calibri"/>
          <w:b/>
          <w:lang w:eastAsia="en-US"/>
        </w:rPr>
        <w:t>MARCELO BARBOSA</w:t>
      </w:r>
    </w:p>
    <w:p w14:paraId="56FFF566" w14:textId="77777777" w:rsidR="00072E42" w:rsidRPr="008C686B" w:rsidRDefault="00072E42" w:rsidP="00BA45E9">
      <w:pPr>
        <w:spacing w:line="312" w:lineRule="auto"/>
        <w:ind w:firstLine="567"/>
        <w:jc w:val="center"/>
        <w:rPr>
          <w:rFonts w:ascii="Calibri" w:eastAsia="Calibri" w:hAnsi="Calibri" w:cs="Calibri"/>
          <w:b/>
          <w:lang w:eastAsia="en-US"/>
        </w:rPr>
      </w:pPr>
      <w:r w:rsidRPr="008C686B">
        <w:rPr>
          <w:rFonts w:ascii="Calibri" w:eastAsia="Calibri" w:hAnsi="Calibri" w:cs="Calibri"/>
          <w:b/>
          <w:lang w:eastAsia="en-US"/>
        </w:rPr>
        <w:t>Presidente</w:t>
      </w:r>
    </w:p>
    <w:sectPr w:rsidR="00072E42" w:rsidRPr="008C686B" w:rsidSect="00DA5721">
      <w:headerReference w:type="default" r:id="rId10"/>
      <w:headerReference w:type="first" r:id="rId11"/>
      <w:pgSz w:w="11906" w:h="16838"/>
      <w:pgMar w:top="2268"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F5D2" w14:textId="77777777" w:rsidR="00841294" w:rsidRDefault="00841294" w:rsidP="0006320F">
      <w:r>
        <w:separator/>
      </w:r>
    </w:p>
  </w:endnote>
  <w:endnote w:type="continuationSeparator" w:id="0">
    <w:p w14:paraId="73856B5D" w14:textId="77777777" w:rsidR="00841294" w:rsidRDefault="00841294" w:rsidP="000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AB78" w14:textId="77777777" w:rsidR="00841294" w:rsidRDefault="00841294" w:rsidP="0006320F">
      <w:r>
        <w:separator/>
      </w:r>
    </w:p>
  </w:footnote>
  <w:footnote w:type="continuationSeparator" w:id="0">
    <w:p w14:paraId="16701D49" w14:textId="77777777" w:rsidR="00841294" w:rsidRDefault="00841294" w:rsidP="0006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75435"/>
      <w:docPartObj>
        <w:docPartGallery w:val="Page Numbers (Top of Page)"/>
        <w:docPartUnique/>
      </w:docPartObj>
    </w:sdtPr>
    <w:sdtEndPr/>
    <w:sdtContent>
      <w:p w14:paraId="79F58E04" w14:textId="5044DE89" w:rsidR="0006320F" w:rsidRDefault="0006320F">
        <w:pPr>
          <w:pStyle w:val="Cabealho"/>
          <w:jc w:val="right"/>
        </w:pPr>
        <w:r w:rsidRPr="0006320F">
          <w:rPr>
            <w:rFonts w:asciiTheme="minorHAnsi" w:hAnsiTheme="minorHAnsi" w:cstheme="minorHAnsi"/>
            <w:sz w:val="18"/>
            <w:szCs w:val="18"/>
          </w:rPr>
          <w:fldChar w:fldCharType="begin"/>
        </w:r>
        <w:r w:rsidRPr="0006320F">
          <w:rPr>
            <w:rFonts w:asciiTheme="minorHAnsi" w:hAnsiTheme="minorHAnsi" w:cstheme="minorHAnsi"/>
            <w:sz w:val="18"/>
            <w:szCs w:val="18"/>
          </w:rPr>
          <w:instrText>PAGE   \* MERGEFORMAT</w:instrText>
        </w:r>
        <w:r w:rsidRPr="0006320F">
          <w:rPr>
            <w:rFonts w:asciiTheme="minorHAnsi" w:hAnsiTheme="minorHAnsi" w:cstheme="minorHAnsi"/>
            <w:sz w:val="18"/>
            <w:szCs w:val="18"/>
          </w:rPr>
          <w:fldChar w:fldCharType="separate"/>
        </w:r>
        <w:r w:rsidR="008047A0">
          <w:rPr>
            <w:rFonts w:asciiTheme="minorHAnsi" w:hAnsiTheme="minorHAnsi" w:cstheme="minorHAnsi"/>
            <w:noProof/>
            <w:sz w:val="18"/>
            <w:szCs w:val="18"/>
          </w:rPr>
          <w:t>5</w:t>
        </w:r>
        <w:r w:rsidRPr="0006320F">
          <w:rPr>
            <w:rFonts w:asciiTheme="minorHAnsi" w:hAnsiTheme="minorHAnsi" w:cstheme="minorHAnsi"/>
            <w:sz w:val="18"/>
            <w:szCs w:val="18"/>
          </w:rPr>
          <w:fldChar w:fldCharType="end"/>
        </w:r>
      </w:p>
    </w:sdtContent>
  </w:sdt>
  <w:p w14:paraId="5C561CFF"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4635977A" wp14:editId="11010BC6">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EA3520D"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0A8FC0C0"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47E23B53"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4D0AB41F"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2EACE25A" w14:textId="77777777" w:rsidR="0006320F" w:rsidRDefault="008047A0" w:rsidP="0006320F">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06320F" w:rsidRPr="0080519B">
        <w:rPr>
          <w:rFonts w:asciiTheme="minorHAnsi" w:eastAsia="Calibri" w:hAnsiTheme="minorHAnsi" w:cstheme="minorHAnsi"/>
          <w:noProof/>
          <w:color w:val="0000FF"/>
          <w:sz w:val="18"/>
          <w:szCs w:val="18"/>
          <w:u w:val="single"/>
        </w:rPr>
        <w:t>www.cvm.gov.br</w:t>
      </w:r>
    </w:hyperlink>
  </w:p>
  <w:p w14:paraId="39746F69" w14:textId="77777777" w:rsidR="0006320F" w:rsidRDefault="0006320F" w:rsidP="0006320F">
    <w:pPr>
      <w:tabs>
        <w:tab w:val="center" w:pos="4252"/>
        <w:tab w:val="right" w:pos="8504"/>
      </w:tabs>
      <w:ind w:firstLine="142"/>
      <w:jc w:val="center"/>
      <w:rPr>
        <w:rFonts w:asciiTheme="minorHAnsi" w:eastAsia="Calibri" w:hAnsiTheme="minorHAnsi" w:cstheme="minorHAnsi"/>
        <w:noProof/>
        <w:color w:val="0000FF"/>
        <w:sz w:val="18"/>
        <w:szCs w:val="18"/>
        <w:u w:val="single"/>
      </w:rPr>
    </w:pPr>
  </w:p>
  <w:p w14:paraId="42E2EB62" w14:textId="0A997DF7" w:rsidR="0006320F" w:rsidRDefault="0006320F" w:rsidP="00104497">
    <w:pPr>
      <w:tabs>
        <w:tab w:val="center" w:pos="4252"/>
        <w:tab w:val="right" w:pos="8504"/>
      </w:tabs>
      <w:rPr>
        <w:rFonts w:asciiTheme="minorHAnsi" w:eastAsia="Calibri" w:hAnsiTheme="minorHAnsi" w:cstheme="minorHAnsi"/>
        <w:noProof/>
        <w:color w:val="0000FF"/>
        <w:sz w:val="18"/>
        <w:szCs w:val="18"/>
        <w:u w:val="single"/>
      </w:rPr>
    </w:pPr>
    <w:r w:rsidRPr="007B0F9C">
      <w:rPr>
        <w:rFonts w:asciiTheme="minorHAnsi" w:hAnsiTheme="minorHAnsi" w:cstheme="minorHAnsi"/>
        <w:caps/>
        <w:sz w:val="16"/>
        <w:szCs w:val="16"/>
      </w:rPr>
      <w:t xml:space="preserve">RESOLUÇÃO CVM Nº </w:t>
    </w:r>
    <w:r w:rsidR="008C686B">
      <w:rPr>
        <w:rFonts w:asciiTheme="minorHAnsi" w:hAnsiTheme="minorHAnsi" w:cstheme="minorHAnsi"/>
        <w:caps/>
        <w:sz w:val="16"/>
        <w:szCs w:val="16"/>
      </w:rPr>
      <w:t>1</w:t>
    </w:r>
    <w:r w:rsidR="006F0DF5">
      <w:rPr>
        <w:rFonts w:asciiTheme="minorHAnsi" w:hAnsiTheme="minorHAnsi" w:cstheme="minorHAnsi"/>
        <w:caps/>
        <w:sz w:val="16"/>
        <w:szCs w:val="16"/>
      </w:rPr>
      <w:t>33</w:t>
    </w:r>
    <w:r w:rsidR="008C686B" w:rsidRPr="007B0F9C">
      <w:rPr>
        <w:rFonts w:asciiTheme="minorHAnsi" w:hAnsiTheme="minorHAnsi" w:cstheme="minorHAnsi"/>
        <w:caps/>
        <w:sz w:val="16"/>
        <w:szCs w:val="16"/>
      </w:rPr>
      <w:t xml:space="preserve">, </w:t>
    </w:r>
    <w:r w:rsidRPr="007B0F9C">
      <w:rPr>
        <w:rFonts w:asciiTheme="minorHAnsi" w:hAnsiTheme="minorHAnsi" w:cstheme="minorHAnsi"/>
        <w:caps/>
        <w:sz w:val="16"/>
        <w:szCs w:val="16"/>
      </w:rPr>
      <w:t xml:space="preserve">de </w:t>
    </w:r>
    <w:r w:rsidR="008C686B">
      <w:rPr>
        <w:rFonts w:asciiTheme="minorHAnsi" w:hAnsiTheme="minorHAnsi" w:cstheme="minorHAnsi"/>
        <w:caps/>
        <w:sz w:val="16"/>
        <w:szCs w:val="16"/>
      </w:rPr>
      <w:t>10</w:t>
    </w:r>
    <w:r w:rsidR="008C686B" w:rsidRPr="007B0F9C">
      <w:rPr>
        <w:rFonts w:asciiTheme="minorHAnsi" w:hAnsiTheme="minorHAnsi" w:cstheme="minorHAnsi"/>
        <w:caps/>
        <w:sz w:val="16"/>
        <w:szCs w:val="16"/>
      </w:rPr>
      <w:t xml:space="preserve"> </w:t>
    </w:r>
    <w:r w:rsidRPr="007B0F9C">
      <w:rPr>
        <w:rFonts w:asciiTheme="minorHAnsi" w:hAnsiTheme="minorHAnsi" w:cstheme="minorHAnsi"/>
        <w:caps/>
        <w:sz w:val="16"/>
        <w:szCs w:val="16"/>
      </w:rPr>
      <w:t xml:space="preserve">de </w:t>
    </w:r>
    <w:r w:rsidR="008C686B">
      <w:rPr>
        <w:rFonts w:asciiTheme="minorHAnsi" w:hAnsiTheme="minorHAnsi" w:cstheme="minorHAnsi"/>
        <w:caps/>
        <w:sz w:val="16"/>
        <w:szCs w:val="16"/>
      </w:rPr>
      <w:t>junho</w:t>
    </w:r>
    <w:r w:rsidR="008C686B" w:rsidRPr="007B0F9C">
      <w:rPr>
        <w:rFonts w:asciiTheme="minorHAnsi" w:hAnsiTheme="minorHAnsi" w:cstheme="minorHAnsi"/>
        <w:caps/>
        <w:sz w:val="16"/>
        <w:szCs w:val="16"/>
      </w:rPr>
      <w:t xml:space="preserve"> </w:t>
    </w:r>
    <w:r w:rsidRPr="007B0F9C">
      <w:rPr>
        <w:rFonts w:asciiTheme="minorHAnsi" w:hAnsiTheme="minorHAnsi" w:cstheme="minorHAnsi"/>
        <w:caps/>
        <w:sz w:val="16"/>
        <w:szCs w:val="16"/>
      </w:rPr>
      <w:t>de 2022</w:t>
    </w:r>
  </w:p>
  <w:p w14:paraId="166CD915" w14:textId="77777777" w:rsidR="0006320F" w:rsidRDefault="000632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AF03"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hAnsiTheme="minorHAnsi" w:cstheme="minorHAnsi"/>
        <w:noProof/>
      </w:rPr>
      <w:drawing>
        <wp:inline distT="0" distB="0" distL="0" distR="0" wp14:anchorId="16E3FEBF" wp14:editId="43B0B389">
          <wp:extent cx="657225" cy="628650"/>
          <wp:effectExtent l="0" t="0" r="9525"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8ECD43E"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b/>
        <w:noProof/>
      </w:rPr>
    </w:pPr>
    <w:r w:rsidRPr="0080519B">
      <w:rPr>
        <w:rFonts w:asciiTheme="minorHAnsi" w:eastAsia="Calibri" w:hAnsiTheme="minorHAnsi" w:cstheme="minorHAnsi"/>
        <w:b/>
        <w:noProof/>
      </w:rPr>
      <w:t>COMISSÃO DE VALORES MOBILIÁRIOS</w:t>
    </w:r>
  </w:p>
  <w:p w14:paraId="5097134F"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Sete de Setembro, 111/2-5º e 23-34º Andares, Centro, Rio de Janeiro/RJ – CEP: 20050-901 – Brasil - Tel.: (21) 3554-8686</w:t>
    </w:r>
  </w:p>
  <w:p w14:paraId="4ECC8DCC"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Rua Cincinato Braga, 340/2º, 3º e 4º Andares, Bela Vista, São Paulo/ SP – CEP: 01333-010 – Brasil - Tel.: (11) 2146-2000</w:t>
    </w:r>
  </w:p>
  <w:p w14:paraId="1868AB9F" w14:textId="77777777" w:rsidR="0006320F" w:rsidRPr="0080519B" w:rsidRDefault="0006320F" w:rsidP="0006320F">
    <w:pPr>
      <w:tabs>
        <w:tab w:val="center" w:pos="4252"/>
        <w:tab w:val="right" w:pos="8504"/>
      </w:tabs>
      <w:ind w:firstLine="142"/>
      <w:jc w:val="center"/>
      <w:rPr>
        <w:rFonts w:asciiTheme="minorHAnsi" w:eastAsia="Calibri" w:hAnsiTheme="minorHAnsi" w:cstheme="minorHAnsi"/>
        <w:noProof/>
        <w:sz w:val="18"/>
        <w:szCs w:val="18"/>
      </w:rPr>
    </w:pPr>
    <w:r w:rsidRPr="0080519B">
      <w:rPr>
        <w:rFonts w:asciiTheme="minorHAnsi" w:eastAsia="Calibri" w:hAnsiTheme="minorHAnsi" w:cstheme="minorHAnsi"/>
        <w:noProof/>
        <w:sz w:val="18"/>
        <w:szCs w:val="18"/>
      </w:rPr>
      <w:t>SCN Q.02 – Bl. A – Ed. Corporate Financial Center, S.404/4º Andar, Brasília/DF – CEP: 70712-900 – Brasil -Tel.: (61) 3327-2030/2031</w:t>
    </w:r>
  </w:p>
  <w:p w14:paraId="028CA471" w14:textId="77777777" w:rsidR="0006320F" w:rsidRDefault="008047A0" w:rsidP="0006320F">
    <w:pPr>
      <w:tabs>
        <w:tab w:val="center" w:pos="4252"/>
        <w:tab w:val="right" w:pos="8504"/>
      </w:tabs>
      <w:ind w:firstLine="142"/>
      <w:jc w:val="center"/>
      <w:rPr>
        <w:rFonts w:asciiTheme="minorHAnsi" w:eastAsia="Calibri" w:hAnsiTheme="minorHAnsi" w:cstheme="minorHAnsi"/>
        <w:noProof/>
        <w:color w:val="0000FF"/>
        <w:sz w:val="18"/>
        <w:szCs w:val="18"/>
        <w:u w:val="single"/>
      </w:rPr>
    </w:pPr>
    <w:hyperlink r:id="rId2" w:history="1">
      <w:r w:rsidR="0006320F" w:rsidRPr="0080519B">
        <w:rPr>
          <w:rFonts w:asciiTheme="minorHAnsi" w:eastAsia="Calibri" w:hAnsiTheme="minorHAnsi" w:cstheme="minorHAnsi"/>
          <w:noProof/>
          <w:color w:val="0000FF"/>
          <w:sz w:val="18"/>
          <w:szCs w:val="18"/>
          <w:u w:val="single"/>
        </w:rPr>
        <w:t>www.cvm.gov.br</w:t>
      </w:r>
    </w:hyperlink>
  </w:p>
  <w:p w14:paraId="688D46EF" w14:textId="77777777" w:rsidR="0006320F" w:rsidRDefault="0006320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0F"/>
    <w:rsid w:val="0006320F"/>
    <w:rsid w:val="00072E42"/>
    <w:rsid w:val="00104497"/>
    <w:rsid w:val="00174C43"/>
    <w:rsid w:val="0028339B"/>
    <w:rsid w:val="004D0CA6"/>
    <w:rsid w:val="0055712E"/>
    <w:rsid w:val="006F0DF5"/>
    <w:rsid w:val="0071371B"/>
    <w:rsid w:val="008047A0"/>
    <w:rsid w:val="00841294"/>
    <w:rsid w:val="008A2BC4"/>
    <w:rsid w:val="008B73E7"/>
    <w:rsid w:val="008C686B"/>
    <w:rsid w:val="009C34B9"/>
    <w:rsid w:val="00B441C3"/>
    <w:rsid w:val="00BA45E9"/>
    <w:rsid w:val="00CE4DF9"/>
    <w:rsid w:val="00D31B68"/>
    <w:rsid w:val="00D91317"/>
    <w:rsid w:val="00DA5721"/>
    <w:rsid w:val="00E74078"/>
    <w:rsid w:val="00E75BDC"/>
    <w:rsid w:val="00E84B8C"/>
    <w:rsid w:val="00F36DB8"/>
    <w:rsid w:val="39202FEC"/>
    <w:rsid w:val="47E854A9"/>
    <w:rsid w:val="57566B05"/>
    <w:rsid w:val="5DCD9914"/>
    <w:rsid w:val="7445F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6658"/>
  <w15:chartTrackingRefBased/>
  <w15:docId w15:val="{28529D99-0672-4EEA-B40C-CD24ACAE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0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06320F"/>
    <w:pPr>
      <w:ind w:firstLine="709"/>
    </w:pPr>
  </w:style>
  <w:style w:type="character" w:customStyle="1" w:styleId="RecuodecorpodetextoChar">
    <w:name w:val="Recuo de corpo de texto Char"/>
    <w:basedOn w:val="Fontepargpadro"/>
    <w:link w:val="Recuodecorpodetexto"/>
    <w:semiHidden/>
    <w:rsid w:val="0006320F"/>
    <w:rPr>
      <w:rFonts w:ascii="Times New Roman" w:eastAsia="Times New Roman" w:hAnsi="Times New Roman" w:cs="Times New Roman"/>
      <w:sz w:val="24"/>
      <w:szCs w:val="24"/>
      <w:lang w:eastAsia="pt-BR"/>
    </w:rPr>
  </w:style>
  <w:style w:type="paragraph" w:customStyle="1" w:styleId="SDM">
    <w:name w:val="SDM"/>
    <w:basedOn w:val="Normal"/>
    <w:link w:val="SDMChar"/>
    <w:rsid w:val="0006320F"/>
    <w:pPr>
      <w:jc w:val="both"/>
    </w:pPr>
    <w:rPr>
      <w:bCs/>
    </w:rPr>
  </w:style>
  <w:style w:type="character" w:customStyle="1" w:styleId="SDMChar">
    <w:name w:val="SDM Char"/>
    <w:basedOn w:val="Fontepargpadro"/>
    <w:link w:val="SDM"/>
    <w:rsid w:val="0006320F"/>
    <w:rPr>
      <w:rFonts w:ascii="Times New Roman" w:eastAsia="Times New Roman" w:hAnsi="Times New Roman" w:cs="Times New Roman"/>
      <w:bCs/>
      <w:sz w:val="24"/>
      <w:szCs w:val="24"/>
      <w:lang w:eastAsia="pt-BR"/>
    </w:rPr>
  </w:style>
  <w:style w:type="paragraph" w:customStyle="1" w:styleId="Captulo">
    <w:name w:val="Capítulo"/>
    <w:basedOn w:val="Normal"/>
    <w:next w:val="Normal"/>
    <w:qFormat/>
    <w:rsid w:val="0006320F"/>
    <w:pPr>
      <w:keepNext/>
      <w:tabs>
        <w:tab w:val="left" w:pos="567"/>
      </w:tabs>
      <w:spacing w:before="360" w:after="120" w:line="312" w:lineRule="auto"/>
      <w:ind w:firstLine="567"/>
      <w:jc w:val="center"/>
      <w:outlineLvl w:val="1"/>
    </w:pPr>
    <w:rPr>
      <w:rFonts w:asciiTheme="minorHAnsi" w:eastAsia="Calibri" w:hAnsiTheme="minorHAnsi" w:cstheme="minorHAnsi"/>
      <w:caps/>
      <w:lang w:eastAsia="en-US"/>
    </w:rPr>
  </w:style>
  <w:style w:type="paragraph" w:customStyle="1" w:styleId="Ementa">
    <w:name w:val="Ementa"/>
    <w:basedOn w:val="Normal"/>
    <w:next w:val="Normal"/>
    <w:qFormat/>
    <w:rsid w:val="0006320F"/>
    <w:pPr>
      <w:tabs>
        <w:tab w:val="left" w:pos="567"/>
      </w:tabs>
      <w:spacing w:before="120" w:after="120" w:line="312" w:lineRule="auto"/>
      <w:ind w:left="5103"/>
      <w:jc w:val="both"/>
    </w:pPr>
    <w:rPr>
      <w:rFonts w:asciiTheme="minorHAnsi" w:eastAsia="Calibri" w:hAnsiTheme="minorHAnsi" w:cstheme="minorHAnsi"/>
      <w:lang w:eastAsia="en-US"/>
    </w:rPr>
  </w:style>
  <w:style w:type="paragraph" w:customStyle="1" w:styleId="TtulodaResoluo">
    <w:name w:val="Título da Resolução"/>
    <w:basedOn w:val="Normal"/>
    <w:next w:val="Normal"/>
    <w:qFormat/>
    <w:rsid w:val="0006320F"/>
    <w:pPr>
      <w:keepNext/>
      <w:spacing w:before="120" w:after="120" w:line="312" w:lineRule="auto"/>
      <w:ind w:firstLine="567"/>
      <w:jc w:val="center"/>
      <w:outlineLvl w:val="0"/>
    </w:pPr>
    <w:rPr>
      <w:rFonts w:asciiTheme="minorHAnsi" w:eastAsia="Calibri" w:hAnsiTheme="minorHAnsi" w:cstheme="minorHAnsi"/>
      <w:caps/>
      <w:lang w:eastAsia="en-US"/>
    </w:rPr>
  </w:style>
  <w:style w:type="character" w:styleId="TextodoEspaoReservado">
    <w:name w:val="Placeholder Text"/>
    <w:basedOn w:val="Fontepargpadro"/>
    <w:uiPriority w:val="99"/>
    <w:semiHidden/>
    <w:rsid w:val="0006320F"/>
    <w:rPr>
      <w:color w:val="808080"/>
    </w:rPr>
  </w:style>
  <w:style w:type="paragraph" w:styleId="Cabealho">
    <w:name w:val="header"/>
    <w:basedOn w:val="Normal"/>
    <w:link w:val="CabealhoChar"/>
    <w:uiPriority w:val="99"/>
    <w:unhideWhenUsed/>
    <w:rsid w:val="0006320F"/>
    <w:pPr>
      <w:tabs>
        <w:tab w:val="center" w:pos="4252"/>
        <w:tab w:val="right" w:pos="8504"/>
      </w:tabs>
    </w:pPr>
  </w:style>
  <w:style w:type="character" w:customStyle="1" w:styleId="CabealhoChar">
    <w:name w:val="Cabeçalho Char"/>
    <w:basedOn w:val="Fontepargpadro"/>
    <w:link w:val="Cabealho"/>
    <w:uiPriority w:val="99"/>
    <w:rsid w:val="000632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6320F"/>
    <w:pPr>
      <w:tabs>
        <w:tab w:val="center" w:pos="4252"/>
        <w:tab w:val="right" w:pos="8504"/>
      </w:tabs>
    </w:pPr>
  </w:style>
  <w:style w:type="character" w:customStyle="1" w:styleId="RodapChar">
    <w:name w:val="Rodapé Char"/>
    <w:basedOn w:val="Fontepargpadro"/>
    <w:link w:val="Rodap"/>
    <w:uiPriority w:val="99"/>
    <w:rsid w:val="0006320F"/>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72E42"/>
  </w:style>
  <w:style w:type="paragraph" w:styleId="Textodebalo">
    <w:name w:val="Balloon Text"/>
    <w:basedOn w:val="Normal"/>
    <w:link w:val="TextodebaloChar"/>
    <w:uiPriority w:val="99"/>
    <w:semiHidden/>
    <w:unhideWhenUsed/>
    <w:rsid w:val="00B441C3"/>
    <w:rPr>
      <w:rFonts w:ascii="Segoe UI" w:hAnsi="Segoe UI" w:cs="Segoe UI"/>
      <w:sz w:val="18"/>
      <w:szCs w:val="18"/>
    </w:rPr>
  </w:style>
  <w:style w:type="character" w:customStyle="1" w:styleId="TextodebaloChar">
    <w:name w:val="Texto de balão Char"/>
    <w:basedOn w:val="Fontepargpadro"/>
    <w:link w:val="Textodebalo"/>
    <w:uiPriority w:val="99"/>
    <w:semiHidden/>
    <w:rsid w:val="00B441C3"/>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DA5721"/>
    <w:rPr>
      <w:sz w:val="16"/>
      <w:szCs w:val="16"/>
    </w:rPr>
  </w:style>
  <w:style w:type="paragraph" w:styleId="Textodecomentrio">
    <w:name w:val="annotation text"/>
    <w:basedOn w:val="Normal"/>
    <w:link w:val="TextodecomentrioChar"/>
    <w:uiPriority w:val="99"/>
    <w:semiHidden/>
    <w:unhideWhenUsed/>
    <w:rsid w:val="00DA5721"/>
    <w:rPr>
      <w:sz w:val="20"/>
      <w:szCs w:val="20"/>
    </w:rPr>
  </w:style>
  <w:style w:type="character" w:customStyle="1" w:styleId="TextodecomentrioChar">
    <w:name w:val="Texto de comentário Char"/>
    <w:basedOn w:val="Fontepargpadro"/>
    <w:link w:val="Textodecomentrio"/>
    <w:uiPriority w:val="99"/>
    <w:semiHidden/>
    <w:rsid w:val="00DA572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A5721"/>
    <w:rPr>
      <w:b/>
      <w:bCs/>
    </w:rPr>
  </w:style>
  <w:style w:type="character" w:customStyle="1" w:styleId="AssuntodocomentrioChar">
    <w:name w:val="Assunto do comentário Char"/>
    <w:basedOn w:val="TextodecomentrioChar"/>
    <w:link w:val="Assuntodocomentrio"/>
    <w:uiPriority w:val="99"/>
    <w:semiHidden/>
    <w:rsid w:val="00DA572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SharedWithUsers xmlns="53adeefc-49af-490c-b6df-0a140ad55ab3">
      <UserInfo>
        <DisplayName>Claudia Hasler</DisplayName>
        <AccountId>13</AccountId>
        <AccountType/>
      </UserInfo>
      <UserInfo>
        <DisplayName>Margareth Noda</DisplayName>
        <AccountId>259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F9A9-5C4F-4886-83D9-6668232D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C7B01-6FEB-41B9-982C-A7F141CD1C4A}">
  <ds:schemaRefs>
    <ds:schemaRef ds:uri="http://schemas.microsoft.com/sharepoint/v3/contenttype/forms"/>
  </ds:schemaRefs>
</ds:datastoreItem>
</file>

<file path=customXml/itemProps3.xml><?xml version="1.0" encoding="utf-8"?>
<ds:datastoreItem xmlns:ds="http://schemas.openxmlformats.org/officeDocument/2006/customXml" ds:itemID="{D3C3FF03-A479-4EE9-98ED-82965521D2AD}">
  <ds:schemaRefs>
    <ds:schemaRef ds:uri="http://purl.org/dc/terms/"/>
    <ds:schemaRef ds:uri="http://schemas.openxmlformats.org/package/2006/metadata/core-properties"/>
    <ds:schemaRef ds:uri="http://purl.org/dc/dcmitype/"/>
    <ds:schemaRef ds:uri="15cb24ba-756a-4ce4-ac9a-5f0544b55546"/>
    <ds:schemaRef ds:uri="http://purl.org/dc/elements/1.1/"/>
    <ds:schemaRef ds:uri="http://schemas.microsoft.com/office/2006/documentManagement/types"/>
    <ds:schemaRef ds:uri="http://schemas.microsoft.com/office/infopath/2007/PartnerControls"/>
    <ds:schemaRef ds:uri="53adeefc-49af-490c-b6df-0a140ad55ab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4D338F-E9F1-415D-815D-71FBB0B5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1272</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Comissão de Valores Mobiliários</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133, DE 10 DE JUNHO DE 2022</dc:title>
  <dc:subject/>
  <dc:creator>CVM</dc:creator>
  <cp:keywords/>
  <dc:description/>
  <cp:lastModifiedBy>Renata dos Santos Leitão</cp:lastModifiedBy>
  <cp:revision>3</cp:revision>
  <dcterms:created xsi:type="dcterms:W3CDTF">2022-06-10T19:47:00Z</dcterms:created>
  <dcterms:modified xsi:type="dcterms:W3CDTF">2022-06-10T19:56:00Z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