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42DD3F90" w:rsidR="00CF08C5" w:rsidRPr="00453527" w:rsidRDefault="00CF08C5" w:rsidP="00CF08C5">
      <w:pPr>
        <w:pStyle w:val="level2"/>
        <w:spacing w:line="312" w:lineRule="auto"/>
        <w:jc w:val="center"/>
        <w:rPr>
          <w:rFonts w:asciiTheme="minorHAnsi" w:hAnsiTheme="minorHAnsi" w:cstheme="minorHAnsi"/>
          <w:b w:val="0"/>
          <w:bCs w:val="0"/>
          <w:color w:val="auto"/>
          <w:sz w:val="24"/>
          <w:lang w:val="pt-BR"/>
        </w:rPr>
      </w:pPr>
      <w:bookmarkStart w:id="0" w:name="_GoBack"/>
      <w:r w:rsidRPr="00CE2D92">
        <w:rPr>
          <w:rFonts w:asciiTheme="minorHAnsi" w:hAnsiTheme="minorHAnsi" w:cstheme="minorHAnsi"/>
          <w:b w:val="0"/>
          <w:bCs w:val="0"/>
          <w:color w:val="auto"/>
          <w:sz w:val="24"/>
          <w:lang w:val="pt-BR"/>
        </w:rPr>
        <w:t xml:space="preserve">RESOLUÇÃO CVM Nº </w:t>
      </w:r>
      <w:r w:rsidR="00CE2D92" w:rsidRPr="00CE2D92">
        <w:rPr>
          <w:rFonts w:asciiTheme="minorHAnsi" w:hAnsiTheme="minorHAnsi" w:cstheme="minorHAnsi"/>
          <w:b w:val="0"/>
          <w:bCs w:val="0"/>
          <w:color w:val="auto"/>
          <w:sz w:val="24"/>
          <w:lang w:val="pt-BR"/>
        </w:rPr>
        <w:t>142</w:t>
      </w:r>
      <w:r w:rsidRPr="00CE2D92">
        <w:rPr>
          <w:rFonts w:asciiTheme="minorHAnsi" w:hAnsiTheme="minorHAnsi" w:cstheme="minorHAnsi"/>
          <w:b w:val="0"/>
          <w:bCs w:val="0"/>
          <w:color w:val="auto"/>
          <w:sz w:val="24"/>
          <w:lang w:val="pt-BR"/>
        </w:rPr>
        <w:t xml:space="preserve">, DE </w:t>
      </w:r>
      <w:r w:rsidR="00CE2D92" w:rsidRPr="00CE2D92">
        <w:rPr>
          <w:rFonts w:asciiTheme="minorHAnsi" w:hAnsiTheme="minorHAnsi" w:cstheme="minorHAnsi"/>
          <w:b w:val="0"/>
          <w:bCs w:val="0"/>
          <w:color w:val="auto"/>
          <w:sz w:val="24"/>
          <w:lang w:val="pt-BR"/>
        </w:rPr>
        <w:t xml:space="preserve">15 </w:t>
      </w:r>
      <w:r w:rsidRPr="00CE2D92">
        <w:rPr>
          <w:rFonts w:asciiTheme="minorHAnsi" w:hAnsiTheme="minorHAnsi" w:cstheme="minorHAnsi"/>
          <w:b w:val="0"/>
          <w:bCs w:val="0"/>
          <w:color w:val="auto"/>
          <w:sz w:val="24"/>
          <w:lang w:val="pt-BR"/>
        </w:rPr>
        <w:t xml:space="preserve">DE </w:t>
      </w:r>
      <w:r w:rsidR="00CE2D92" w:rsidRPr="00CE2D92">
        <w:rPr>
          <w:rFonts w:asciiTheme="minorHAnsi" w:hAnsiTheme="minorHAnsi" w:cstheme="minorHAnsi"/>
          <w:b w:val="0"/>
          <w:bCs w:val="0"/>
          <w:color w:val="auto"/>
          <w:sz w:val="24"/>
          <w:lang w:val="pt-BR"/>
        </w:rPr>
        <w:t xml:space="preserve">JUNHO </w:t>
      </w:r>
      <w:r w:rsidRPr="00CE2D92">
        <w:rPr>
          <w:rFonts w:asciiTheme="minorHAnsi" w:hAnsiTheme="minorHAnsi" w:cstheme="minorHAnsi"/>
          <w:b w:val="0"/>
          <w:bCs w:val="0"/>
          <w:color w:val="auto"/>
          <w:sz w:val="24"/>
          <w:lang w:val="pt-BR"/>
        </w:rPr>
        <w:t>DE 202</w:t>
      </w:r>
      <w:r w:rsidR="005A2507" w:rsidRPr="00CE2D92">
        <w:rPr>
          <w:rFonts w:asciiTheme="minorHAnsi" w:hAnsiTheme="minorHAnsi" w:cstheme="minorHAnsi"/>
          <w:b w:val="0"/>
          <w:bCs w:val="0"/>
          <w:color w:val="auto"/>
          <w:sz w:val="24"/>
          <w:lang w:val="pt-BR"/>
        </w:rPr>
        <w:t>2</w:t>
      </w:r>
    </w:p>
    <w:bookmarkEnd w:id="0"/>
    <w:p w14:paraId="5B546EE5" w14:textId="43757C9D" w:rsidR="00CF08C5" w:rsidRPr="00453527" w:rsidRDefault="005A2507" w:rsidP="00750C6F">
      <w:pPr>
        <w:pStyle w:val="paragraph2"/>
        <w:spacing w:before="240" w:after="240" w:line="312" w:lineRule="auto"/>
        <w:ind w:left="4746"/>
        <w:jc w:val="both"/>
        <w:rPr>
          <w:rFonts w:asciiTheme="minorHAnsi" w:hAnsiTheme="minorHAnsi" w:cstheme="minorHAnsi"/>
          <w:iCs/>
          <w:lang w:val="pt-BR"/>
        </w:rPr>
      </w:pPr>
      <w:r>
        <w:rPr>
          <w:rFonts w:asciiTheme="minorHAnsi" w:hAnsiTheme="minorHAnsi" w:cstheme="minorHAnsi"/>
          <w:iCs/>
          <w:lang w:val="pt-BR"/>
        </w:rPr>
        <w:t>Ratifica</w:t>
      </w:r>
      <w:r w:rsidR="00987621" w:rsidRPr="00987621">
        <w:rPr>
          <w:rFonts w:asciiTheme="minorHAnsi" w:hAnsiTheme="minorHAnsi" w:cstheme="minorHAnsi"/>
          <w:iCs/>
          <w:lang w:val="pt-BR"/>
        </w:rPr>
        <w:t xml:space="preserve"> a Interpretação Técnica ICPC 06 do Comitê de Pronunciamentos Contábeis</w:t>
      </w:r>
      <w:r w:rsidRPr="005A2507">
        <w:rPr>
          <w:rFonts w:asciiTheme="minorHAnsi" w:hAnsiTheme="minorHAnsi" w:cstheme="minorHAnsi"/>
          <w:iCs/>
          <w:lang w:val="pt-BR"/>
        </w:rPr>
        <w:t xml:space="preserve"> – CPC</w:t>
      </w:r>
      <w:r w:rsidR="00987621" w:rsidRPr="00987621">
        <w:rPr>
          <w:rFonts w:asciiTheme="minorHAnsi" w:hAnsiTheme="minorHAnsi" w:cstheme="minorHAnsi"/>
          <w:iCs/>
          <w:lang w:val="pt-BR"/>
        </w:rPr>
        <w:t xml:space="preserve">, que trata de </w:t>
      </w:r>
      <w:r w:rsidR="00987621" w:rsidRPr="00C72404">
        <w:rPr>
          <w:rFonts w:asciiTheme="minorHAnsi" w:hAnsiTheme="minorHAnsi" w:cstheme="minorHAnsi"/>
          <w:i/>
          <w:lang w:val="pt-BR"/>
        </w:rPr>
        <w:t>hedge</w:t>
      </w:r>
      <w:r w:rsidR="00987621" w:rsidRPr="00987621">
        <w:rPr>
          <w:rFonts w:asciiTheme="minorHAnsi" w:hAnsiTheme="minorHAnsi" w:cstheme="minorHAnsi"/>
          <w:iCs/>
          <w:lang w:val="pt-BR"/>
        </w:rPr>
        <w:t xml:space="preserve"> de investimento líquido em operação no exterior</w:t>
      </w:r>
      <w:r w:rsidR="008A7CBF">
        <w:rPr>
          <w:rFonts w:asciiTheme="minorHAnsi" w:hAnsiTheme="minorHAnsi" w:cstheme="minorHAnsi"/>
          <w:iCs/>
          <w:lang w:val="pt-BR"/>
        </w:rPr>
        <w:t>.</w:t>
      </w:r>
    </w:p>
    <w:p w14:paraId="7D45C359" w14:textId="5312E4F6" w:rsidR="00CF08C5" w:rsidRPr="00453527" w:rsidRDefault="00CF08C5" w:rsidP="00750C6F">
      <w:pPr>
        <w:pStyle w:val="level2"/>
        <w:spacing w:line="312" w:lineRule="auto"/>
        <w:ind w:firstLine="567"/>
        <w:jc w:val="both"/>
        <w:rPr>
          <w:rFonts w:asciiTheme="minorHAnsi" w:hAnsiTheme="minorHAnsi" w:cstheme="minorHAnsi"/>
          <w:b w:val="0"/>
          <w:bCs w:val="0"/>
          <w:color w:val="auto"/>
          <w:sz w:val="24"/>
          <w:lang w:val="pt-BR"/>
        </w:rPr>
      </w:pPr>
      <w:r w:rsidRPr="00453527">
        <w:rPr>
          <w:rFonts w:asciiTheme="minorHAnsi" w:hAnsiTheme="minorHAnsi" w:cstheme="minorHAnsi"/>
          <w:b w:val="0"/>
          <w:bCs w:val="0"/>
          <w:color w:val="auto"/>
          <w:sz w:val="24"/>
          <w:lang w:val="pt-BR"/>
        </w:rPr>
        <w:t xml:space="preserve">O </w:t>
      </w:r>
      <w:r w:rsidRPr="00453527">
        <w:rPr>
          <w:rFonts w:asciiTheme="minorHAnsi" w:hAnsiTheme="minorHAnsi" w:cstheme="minorHAnsi"/>
          <w:color w:val="auto"/>
          <w:sz w:val="24"/>
          <w:lang w:val="pt-BR"/>
        </w:rPr>
        <w:t>PRESIDENTE DA COMISSÃO DE VALORES MOBILIÁRIOS - CVM</w:t>
      </w:r>
      <w:r w:rsidRPr="00453527">
        <w:rPr>
          <w:rFonts w:asciiTheme="minorHAnsi" w:hAnsiTheme="minorHAnsi" w:cstheme="minorHAnsi"/>
          <w:b w:val="0"/>
          <w:bCs w:val="0"/>
          <w:color w:val="auto"/>
          <w:sz w:val="24"/>
          <w:lang w:val="pt-BR"/>
        </w:rPr>
        <w:t xml:space="preserve"> torna público que o Colegiado, em reunião realizada em </w:t>
      </w:r>
      <w:r w:rsidR="008107D7">
        <w:rPr>
          <w:rFonts w:asciiTheme="minorHAnsi" w:hAnsiTheme="minorHAnsi" w:cstheme="minorHAnsi"/>
          <w:b w:val="0"/>
          <w:bCs w:val="0"/>
          <w:color w:val="auto"/>
          <w:sz w:val="24"/>
          <w:lang w:val="pt-BR"/>
        </w:rPr>
        <w:t xml:space="preserve">4 </w:t>
      </w:r>
      <w:r w:rsidRPr="00453527">
        <w:rPr>
          <w:rFonts w:asciiTheme="minorHAnsi" w:hAnsiTheme="minorHAnsi" w:cstheme="minorHAnsi"/>
          <w:b w:val="0"/>
          <w:bCs w:val="0"/>
          <w:color w:val="auto"/>
          <w:sz w:val="24"/>
          <w:lang w:val="pt-BR"/>
        </w:rPr>
        <w:t xml:space="preserve">de </w:t>
      </w:r>
      <w:r w:rsidR="008107D7">
        <w:rPr>
          <w:rFonts w:asciiTheme="minorHAnsi" w:hAnsiTheme="minorHAnsi" w:cstheme="minorHAnsi"/>
          <w:b w:val="0"/>
          <w:bCs w:val="0"/>
          <w:color w:val="auto"/>
          <w:sz w:val="24"/>
          <w:lang w:val="pt-BR"/>
        </w:rPr>
        <w:t xml:space="preserve">maio </w:t>
      </w:r>
      <w:r w:rsidRPr="00453527">
        <w:rPr>
          <w:rFonts w:asciiTheme="minorHAnsi" w:hAnsiTheme="minorHAnsi" w:cstheme="minorHAnsi"/>
          <w:b w:val="0"/>
          <w:bCs w:val="0"/>
          <w:color w:val="auto"/>
          <w:sz w:val="24"/>
          <w:lang w:val="pt-BR"/>
        </w:rPr>
        <w:t>de 202</w:t>
      </w:r>
      <w:r w:rsidR="005A2507">
        <w:rPr>
          <w:rFonts w:asciiTheme="minorHAnsi" w:hAnsiTheme="minorHAnsi" w:cstheme="minorHAnsi"/>
          <w:b w:val="0"/>
          <w:bCs w:val="0"/>
          <w:color w:val="auto"/>
          <w:sz w:val="24"/>
          <w:lang w:val="pt-BR"/>
        </w:rPr>
        <w:t>2</w:t>
      </w:r>
      <w:r w:rsidRPr="00453527">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w:t>
      </w:r>
      <w:proofErr w:type="spellStart"/>
      <w:r w:rsidRPr="00453527">
        <w:rPr>
          <w:rFonts w:asciiTheme="minorHAnsi" w:hAnsiTheme="minorHAnsi" w:cstheme="minorHAnsi"/>
          <w:b w:val="0"/>
          <w:bCs w:val="0"/>
          <w:color w:val="auto"/>
          <w:sz w:val="24"/>
          <w:lang w:val="pt-BR"/>
        </w:rPr>
        <w:t>arts</w:t>
      </w:r>
      <w:proofErr w:type="spellEnd"/>
      <w:r w:rsidRPr="00453527">
        <w:rPr>
          <w:rFonts w:asciiTheme="minorHAnsi" w:hAnsiTheme="minorHAnsi" w:cstheme="minorHAnsi"/>
          <w:b w:val="0"/>
          <w:bCs w:val="0"/>
          <w:color w:val="auto"/>
          <w:sz w:val="24"/>
          <w:lang w:val="pt-BR"/>
        </w:rPr>
        <w:t xml:space="preserve">. 5º e 14 do Decreto nº 10.139, de 28 de novembro de 2019, </w:t>
      </w:r>
      <w:r w:rsidRPr="00453527">
        <w:rPr>
          <w:rFonts w:asciiTheme="minorHAnsi" w:hAnsiTheme="minorHAnsi" w:cstheme="minorHAnsi"/>
          <w:color w:val="auto"/>
          <w:sz w:val="24"/>
          <w:lang w:val="pt-BR"/>
        </w:rPr>
        <w:t>APROVOU</w:t>
      </w:r>
      <w:r w:rsidRPr="00453527">
        <w:rPr>
          <w:rFonts w:asciiTheme="minorHAnsi" w:hAnsiTheme="minorHAnsi" w:cstheme="minorHAnsi"/>
          <w:b w:val="0"/>
          <w:bCs w:val="0"/>
          <w:color w:val="auto"/>
          <w:sz w:val="24"/>
          <w:lang w:val="pt-BR"/>
        </w:rPr>
        <w:t xml:space="preserve"> a seguinte Resolução:</w:t>
      </w:r>
    </w:p>
    <w:p w14:paraId="4EBD8632" w14:textId="619F0129" w:rsid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6E6A54" w:rsidRPr="006E6A54">
        <w:rPr>
          <w:rFonts w:asciiTheme="minorHAnsi" w:hAnsiTheme="minorHAnsi" w:cstheme="minorHAnsi"/>
          <w:sz w:val="24"/>
        </w:rPr>
        <w:t xml:space="preserve">Fica ratificada a obrigatoriedade </w:t>
      </w:r>
      <w:r w:rsidRPr="00273211">
        <w:rPr>
          <w:rFonts w:asciiTheme="minorHAnsi" w:hAnsiTheme="minorHAnsi" w:cstheme="minorHAnsi"/>
          <w:sz w:val="24"/>
        </w:rPr>
        <w:t xml:space="preserve">para as companhias abertas </w:t>
      </w:r>
      <w:r w:rsidR="006E6A54">
        <w:rPr>
          <w:rFonts w:asciiTheme="minorHAnsi" w:hAnsiTheme="minorHAnsi" w:cstheme="minorHAnsi"/>
          <w:sz w:val="24"/>
        </w:rPr>
        <w:t>d</w:t>
      </w:r>
      <w:r w:rsidR="00987621" w:rsidRPr="00987621">
        <w:rPr>
          <w:rFonts w:asciiTheme="minorHAnsi" w:hAnsiTheme="minorHAnsi" w:cstheme="minorHAnsi"/>
          <w:sz w:val="24"/>
        </w:rPr>
        <w:t>a Interpretação Técnica ICPC 06</w:t>
      </w:r>
      <w:r w:rsidR="006E6A54" w:rsidRPr="00273211">
        <w:rPr>
          <w:rFonts w:asciiTheme="minorHAnsi" w:hAnsiTheme="minorHAnsi" w:cstheme="minorHAnsi"/>
          <w:sz w:val="24"/>
        </w:rPr>
        <w:t xml:space="preserve">, que trata sobre </w:t>
      </w:r>
      <w:r w:rsidR="006E6A54" w:rsidRPr="00C72404">
        <w:rPr>
          <w:rFonts w:asciiTheme="minorHAnsi" w:hAnsiTheme="minorHAnsi" w:cstheme="minorHAnsi"/>
          <w:i/>
          <w:iCs/>
          <w:sz w:val="24"/>
        </w:rPr>
        <w:t>hedge</w:t>
      </w:r>
      <w:r w:rsidR="006E6A54" w:rsidRPr="00987621">
        <w:rPr>
          <w:rFonts w:asciiTheme="minorHAnsi" w:hAnsiTheme="minorHAnsi" w:cstheme="minorHAnsi"/>
          <w:sz w:val="24"/>
        </w:rPr>
        <w:t xml:space="preserve"> de investimento líquido em operação no exterior</w:t>
      </w:r>
      <w:r w:rsidR="006E6A54">
        <w:rPr>
          <w:rFonts w:asciiTheme="minorHAnsi" w:hAnsiTheme="minorHAnsi" w:cstheme="minorHAnsi"/>
          <w:sz w:val="24"/>
        </w:rPr>
        <w:t>,</w:t>
      </w:r>
      <w:r w:rsidR="00987621" w:rsidRPr="00987621">
        <w:rPr>
          <w:rFonts w:asciiTheme="minorHAnsi" w:hAnsiTheme="minorHAnsi" w:cstheme="minorHAnsi"/>
          <w:sz w:val="24"/>
        </w:rPr>
        <w:t xml:space="preserve"> </w:t>
      </w:r>
      <w:r w:rsidR="006E6A54">
        <w:rPr>
          <w:rFonts w:asciiTheme="minorHAnsi" w:hAnsiTheme="minorHAnsi" w:cstheme="minorHAnsi"/>
          <w:sz w:val="24"/>
        </w:rPr>
        <w:t>emitid</w:t>
      </w:r>
      <w:r w:rsidR="00AA1130">
        <w:rPr>
          <w:rFonts w:asciiTheme="minorHAnsi" w:hAnsiTheme="minorHAnsi" w:cstheme="minorHAnsi"/>
          <w:sz w:val="24"/>
        </w:rPr>
        <w:t>a</w:t>
      </w:r>
      <w:r w:rsidR="006E6A54">
        <w:rPr>
          <w:rFonts w:asciiTheme="minorHAnsi" w:hAnsiTheme="minorHAnsi" w:cstheme="minorHAnsi"/>
          <w:sz w:val="24"/>
        </w:rPr>
        <w:t xml:space="preserve"> pelo</w:t>
      </w:r>
      <w:r w:rsidR="00987621" w:rsidRPr="00987621">
        <w:rPr>
          <w:rFonts w:asciiTheme="minorHAnsi" w:hAnsiTheme="minorHAnsi" w:cstheme="minorHAnsi"/>
          <w:sz w:val="24"/>
        </w:rPr>
        <w:t xml:space="preserve"> Comitê de Pronunciamentos Contábeis</w:t>
      </w:r>
      <w:r w:rsidRPr="00273211">
        <w:rPr>
          <w:rFonts w:asciiTheme="minorHAnsi" w:hAnsiTheme="minorHAnsi" w:cstheme="minorHAnsi"/>
          <w:sz w:val="24"/>
        </w:rPr>
        <w:t xml:space="preserve"> - CPC, </w:t>
      </w:r>
      <w:r w:rsidR="00E04D59" w:rsidRPr="00E04D59">
        <w:rPr>
          <w:rFonts w:asciiTheme="minorHAnsi" w:hAnsiTheme="minorHAnsi" w:cstheme="minorHAnsi"/>
          <w:sz w:val="24"/>
        </w:rPr>
        <w:t>conforme Anexo “A” à presente Resolução</w:t>
      </w:r>
      <w:r w:rsidRPr="00273211">
        <w:rPr>
          <w:rFonts w:asciiTheme="minorHAnsi" w:hAnsiTheme="minorHAnsi" w:cstheme="minorHAnsi"/>
          <w:sz w:val="24"/>
        </w:rPr>
        <w:t>.</w:t>
      </w:r>
    </w:p>
    <w:p w14:paraId="4E2C13E3" w14:textId="68179AE8"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w:t>
      </w:r>
      <w:r w:rsidR="006671AC">
        <w:rPr>
          <w:rFonts w:asciiTheme="minorHAnsi" w:hAnsiTheme="minorHAnsi" w:cstheme="minorHAnsi"/>
          <w:sz w:val="24"/>
        </w:rPr>
        <w:t>2</w:t>
      </w:r>
      <w:r w:rsidRPr="00273211">
        <w:rPr>
          <w:rFonts w:asciiTheme="minorHAnsi" w:hAnsiTheme="minorHAnsi" w:cstheme="minorHAnsi"/>
          <w:sz w:val="24"/>
        </w:rPr>
        <w:t xml:space="preserve">º  </w:t>
      </w:r>
      <w:r w:rsidRPr="00273211">
        <w:rPr>
          <w:rFonts w:asciiTheme="minorHAnsi" w:hAnsiTheme="minorHAnsi" w:cstheme="minorHAnsi"/>
          <w:color w:val="000000" w:themeColor="text1"/>
          <w:sz w:val="24"/>
        </w:rPr>
        <w:t>Fica revogada</w:t>
      </w:r>
      <w:r w:rsidR="00987621">
        <w:rPr>
          <w:rFonts w:asciiTheme="minorHAnsi" w:hAnsiTheme="minorHAnsi" w:cstheme="minorHAnsi"/>
          <w:color w:val="000000" w:themeColor="text1"/>
          <w:sz w:val="24"/>
        </w:rPr>
        <w:t xml:space="preserve"> </w:t>
      </w:r>
      <w:r w:rsidR="00DA14F5">
        <w:rPr>
          <w:rFonts w:asciiTheme="minorHAnsi" w:hAnsiTheme="minorHAnsi" w:cstheme="minorHAnsi"/>
          <w:sz w:val="24"/>
        </w:rPr>
        <w:t>a Deliberação 616, de 22 de dezembro de 2009</w:t>
      </w:r>
      <w:r w:rsidR="00E04D59" w:rsidRPr="00E04D59">
        <w:rPr>
          <w:rFonts w:asciiTheme="minorHAnsi" w:hAnsiTheme="minorHAnsi" w:cstheme="minorHAnsi"/>
          <w:sz w:val="24"/>
        </w:rPr>
        <w:t>, a partir da vigência desta Resolução</w:t>
      </w:r>
      <w:r w:rsidR="00DA14F5">
        <w:rPr>
          <w:rFonts w:asciiTheme="minorHAnsi" w:hAnsiTheme="minorHAnsi" w:cstheme="minorHAnsi"/>
          <w:sz w:val="24"/>
        </w:rPr>
        <w:t>.</w:t>
      </w:r>
    </w:p>
    <w:p w14:paraId="7C1D6C73" w14:textId="42F1EDEA"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E04D59" w:rsidRPr="00E04D59">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63579211" w14:textId="2C9045B4" w:rsidR="00AB5212" w:rsidRDefault="00AB5212" w:rsidP="001D78A1">
      <w:pPr>
        <w:spacing w:before="0" w:after="0"/>
        <w:jc w:val="center"/>
        <w:outlineLvl w:val="0"/>
        <w:rPr>
          <w:b/>
        </w:rPr>
      </w:pPr>
      <w:r w:rsidRPr="00AB5212">
        <w:rPr>
          <w:b/>
        </w:rPr>
        <w:lastRenderedPageBreak/>
        <w:t>ANEXO “A”</w:t>
      </w:r>
    </w:p>
    <w:p w14:paraId="4ED649CB" w14:textId="77777777" w:rsidR="00AB5212" w:rsidRDefault="00AB5212" w:rsidP="001D78A1">
      <w:pPr>
        <w:spacing w:before="0" w:after="0"/>
        <w:jc w:val="center"/>
        <w:outlineLvl w:val="0"/>
        <w:rPr>
          <w:b/>
        </w:rPr>
      </w:pPr>
    </w:p>
    <w:p w14:paraId="14779620" w14:textId="318B7A0E" w:rsidR="00A95BF3" w:rsidRDefault="00A95BF3" w:rsidP="001D78A1">
      <w:pPr>
        <w:spacing w:before="0" w:after="0"/>
        <w:jc w:val="center"/>
        <w:outlineLvl w:val="0"/>
        <w:rPr>
          <w:b/>
        </w:rPr>
      </w:pPr>
      <w:r>
        <w:rPr>
          <w:b/>
        </w:rPr>
        <w:t>COMITÊ DE PRONUNCIAMENTOS CONTÁBEIS</w:t>
      </w:r>
    </w:p>
    <w:p w14:paraId="4AC709EA" w14:textId="77777777" w:rsidR="00A95BF3" w:rsidRDefault="00A95BF3" w:rsidP="001D78A1">
      <w:pPr>
        <w:spacing w:before="0" w:after="0"/>
        <w:jc w:val="center"/>
        <w:outlineLvl w:val="0"/>
        <w:rPr>
          <w:b/>
        </w:rPr>
      </w:pPr>
    </w:p>
    <w:p w14:paraId="50D42A00" w14:textId="77777777" w:rsidR="00A95BF3" w:rsidRDefault="00A95BF3" w:rsidP="001D78A1">
      <w:pPr>
        <w:spacing w:before="0" w:after="0"/>
        <w:jc w:val="center"/>
        <w:outlineLvl w:val="0"/>
        <w:rPr>
          <w:b/>
        </w:rPr>
      </w:pPr>
      <w:r>
        <w:rPr>
          <w:b/>
        </w:rPr>
        <w:t>INTERPRETAÇÃO TÉCNICA ICPC 06</w:t>
      </w:r>
    </w:p>
    <w:p w14:paraId="765C3397" w14:textId="77777777" w:rsidR="00A95BF3" w:rsidRDefault="00A95BF3" w:rsidP="001D78A1">
      <w:pPr>
        <w:spacing w:before="0" w:after="0"/>
        <w:jc w:val="center"/>
        <w:outlineLvl w:val="0"/>
        <w:rPr>
          <w:b/>
        </w:rPr>
      </w:pPr>
    </w:p>
    <w:p w14:paraId="4A340FC8" w14:textId="77777777" w:rsidR="00A95BF3" w:rsidRPr="00FC653E" w:rsidRDefault="00A95BF3" w:rsidP="001D78A1">
      <w:pPr>
        <w:spacing w:before="0" w:after="0"/>
        <w:jc w:val="center"/>
        <w:outlineLvl w:val="0"/>
        <w:rPr>
          <w:b/>
          <w:caps/>
        </w:rPr>
      </w:pPr>
      <w:r w:rsidRPr="00FC653E">
        <w:rPr>
          <w:b/>
          <w:i/>
          <w:caps/>
        </w:rPr>
        <w:t>Hedge</w:t>
      </w:r>
      <w:r w:rsidRPr="00FC653E">
        <w:rPr>
          <w:b/>
          <w:caps/>
        </w:rPr>
        <w:t xml:space="preserve"> de Investimento Líquido em Operação no Exterior</w:t>
      </w:r>
    </w:p>
    <w:p w14:paraId="4A4E4319" w14:textId="77777777" w:rsidR="00A95BF3" w:rsidRDefault="00A95BF3" w:rsidP="001D78A1">
      <w:pPr>
        <w:spacing w:before="0" w:after="0"/>
        <w:jc w:val="center"/>
        <w:outlineLvl w:val="0"/>
        <w:rPr>
          <w:b/>
        </w:rPr>
      </w:pPr>
    </w:p>
    <w:p w14:paraId="3770EEF3" w14:textId="77777777" w:rsidR="00A95BF3" w:rsidRDefault="00A95BF3" w:rsidP="001D78A1">
      <w:pPr>
        <w:spacing w:before="0" w:after="0"/>
        <w:jc w:val="center"/>
        <w:outlineLvl w:val="0"/>
        <w:rPr>
          <w:b/>
        </w:rPr>
      </w:pPr>
    </w:p>
    <w:p w14:paraId="028BA417" w14:textId="77777777" w:rsidR="00A95BF3" w:rsidRDefault="00A95BF3" w:rsidP="001D78A1">
      <w:pPr>
        <w:spacing w:before="0" w:after="0"/>
        <w:jc w:val="center"/>
        <w:outlineLvl w:val="0"/>
        <w:rPr>
          <w:b/>
        </w:rPr>
      </w:pPr>
      <w:r>
        <w:rPr>
          <w:b/>
        </w:rPr>
        <w:t>Correlação às Normas Internacionais de Contabilidade – IFRIC 16</w:t>
      </w:r>
    </w:p>
    <w:p w14:paraId="4222C898" w14:textId="77777777" w:rsidR="00A95BF3" w:rsidRDefault="00A95BF3" w:rsidP="001D78A1">
      <w:pPr>
        <w:spacing w:before="0" w:after="0"/>
        <w:jc w:val="center"/>
        <w:outlineLvl w:val="0"/>
        <w:rPr>
          <w:b/>
        </w:rPr>
      </w:pPr>
    </w:p>
    <w:p w14:paraId="4B763893" w14:textId="77777777" w:rsidR="00A95BF3" w:rsidRDefault="00A95BF3" w:rsidP="00A95BF3">
      <w:pPr>
        <w:jc w:val="center"/>
        <w:outlineLvl w:val="0"/>
        <w:rPr>
          <w:b/>
        </w:rPr>
      </w:pPr>
    </w:p>
    <w:p w14:paraId="11654994" w14:textId="77777777" w:rsidR="00A95BF3" w:rsidRDefault="00A95BF3" w:rsidP="00A95BF3">
      <w:pPr>
        <w:jc w:val="right"/>
        <w:outlineLvl w:val="0"/>
        <w:rPr>
          <w:b/>
        </w:rPr>
      </w:pPr>
    </w:p>
    <w:tbl>
      <w:tblPr>
        <w:tblW w:w="0" w:type="auto"/>
        <w:jc w:val="center"/>
        <w:tblLayout w:type="fixed"/>
        <w:tblLook w:val="01E0" w:firstRow="1" w:lastRow="1" w:firstColumn="1" w:lastColumn="1" w:noHBand="0" w:noVBand="0"/>
      </w:tblPr>
      <w:tblGrid>
        <w:gridCol w:w="8028"/>
        <w:gridCol w:w="1260"/>
      </w:tblGrid>
      <w:tr w:rsidR="00A95BF3" w14:paraId="26F61617" w14:textId="77777777" w:rsidTr="001B4A27">
        <w:trPr>
          <w:jc w:val="center"/>
        </w:trPr>
        <w:tc>
          <w:tcPr>
            <w:tcW w:w="8028" w:type="dxa"/>
          </w:tcPr>
          <w:p w14:paraId="75C47500" w14:textId="77777777" w:rsidR="00A95BF3" w:rsidRDefault="00A95BF3" w:rsidP="001B4A27">
            <w:pPr>
              <w:spacing w:before="60" w:after="60"/>
              <w:rPr>
                <w:b/>
                <w:kern w:val="36"/>
              </w:rPr>
            </w:pPr>
            <w:r>
              <w:rPr>
                <w:b/>
                <w:kern w:val="36"/>
              </w:rPr>
              <w:t>Índice</w:t>
            </w:r>
          </w:p>
        </w:tc>
        <w:tc>
          <w:tcPr>
            <w:tcW w:w="1260" w:type="dxa"/>
          </w:tcPr>
          <w:p w14:paraId="0CC970B9" w14:textId="77777777" w:rsidR="00A95BF3" w:rsidRDefault="00A95BF3" w:rsidP="001B4A27">
            <w:pPr>
              <w:spacing w:before="60" w:after="60"/>
              <w:rPr>
                <w:b/>
                <w:kern w:val="36"/>
              </w:rPr>
            </w:pPr>
            <w:r>
              <w:rPr>
                <w:b/>
                <w:kern w:val="36"/>
              </w:rPr>
              <w:t>Item</w:t>
            </w:r>
          </w:p>
        </w:tc>
      </w:tr>
      <w:tr w:rsidR="00A95BF3" w14:paraId="1565F12D" w14:textId="77777777" w:rsidTr="001B4A27">
        <w:trPr>
          <w:jc w:val="center"/>
        </w:trPr>
        <w:tc>
          <w:tcPr>
            <w:tcW w:w="8028" w:type="dxa"/>
          </w:tcPr>
          <w:p w14:paraId="49BA42A0" w14:textId="77777777" w:rsidR="00A95BF3" w:rsidRDefault="00A95BF3" w:rsidP="001B4A27">
            <w:pPr>
              <w:spacing w:before="60" w:after="60"/>
              <w:rPr>
                <w:b/>
                <w:kern w:val="36"/>
              </w:rPr>
            </w:pPr>
            <w:r>
              <w:rPr>
                <w:b/>
                <w:kern w:val="36"/>
              </w:rPr>
              <w:t xml:space="preserve">REFERÊNCIAS </w:t>
            </w:r>
          </w:p>
        </w:tc>
        <w:tc>
          <w:tcPr>
            <w:tcW w:w="1260" w:type="dxa"/>
          </w:tcPr>
          <w:p w14:paraId="099ADEE7" w14:textId="77777777" w:rsidR="00A95BF3" w:rsidRDefault="00A95BF3" w:rsidP="001B4A27">
            <w:pPr>
              <w:spacing w:before="60" w:after="60"/>
              <w:rPr>
                <w:b/>
                <w:kern w:val="36"/>
              </w:rPr>
            </w:pPr>
          </w:p>
        </w:tc>
      </w:tr>
      <w:tr w:rsidR="00A95BF3" w14:paraId="7CF2F7BE" w14:textId="77777777" w:rsidTr="001B4A27">
        <w:trPr>
          <w:jc w:val="center"/>
        </w:trPr>
        <w:tc>
          <w:tcPr>
            <w:tcW w:w="8028" w:type="dxa"/>
          </w:tcPr>
          <w:p w14:paraId="02E21A1A" w14:textId="77777777" w:rsidR="00A95BF3" w:rsidRDefault="00A95BF3" w:rsidP="001B4A27">
            <w:pPr>
              <w:tabs>
                <w:tab w:val="left" w:pos="6390"/>
              </w:tabs>
              <w:spacing w:before="60" w:after="60"/>
              <w:rPr>
                <w:b/>
                <w:kern w:val="36"/>
              </w:rPr>
            </w:pPr>
            <w:r>
              <w:rPr>
                <w:b/>
                <w:kern w:val="36"/>
              </w:rPr>
              <w:t>ANTECEDENTES</w:t>
            </w:r>
          </w:p>
        </w:tc>
        <w:tc>
          <w:tcPr>
            <w:tcW w:w="1260" w:type="dxa"/>
          </w:tcPr>
          <w:p w14:paraId="37100740" w14:textId="77777777" w:rsidR="00A95BF3" w:rsidRDefault="00A95BF3" w:rsidP="001B4A27">
            <w:pPr>
              <w:spacing w:before="60" w:after="60"/>
              <w:rPr>
                <w:b/>
                <w:kern w:val="36"/>
              </w:rPr>
            </w:pPr>
            <w:r>
              <w:rPr>
                <w:b/>
                <w:kern w:val="36"/>
              </w:rPr>
              <w:t>1 – 6</w:t>
            </w:r>
          </w:p>
        </w:tc>
      </w:tr>
      <w:tr w:rsidR="00A95BF3" w14:paraId="75FCD097" w14:textId="77777777" w:rsidTr="001B4A27">
        <w:trPr>
          <w:jc w:val="center"/>
        </w:trPr>
        <w:tc>
          <w:tcPr>
            <w:tcW w:w="8028" w:type="dxa"/>
          </w:tcPr>
          <w:p w14:paraId="10172E89" w14:textId="77777777" w:rsidR="00A95BF3" w:rsidRDefault="00A95BF3" w:rsidP="001B4A27">
            <w:pPr>
              <w:spacing w:before="60" w:after="60"/>
              <w:rPr>
                <w:b/>
                <w:kern w:val="36"/>
              </w:rPr>
            </w:pPr>
            <w:r>
              <w:rPr>
                <w:b/>
                <w:kern w:val="36"/>
              </w:rPr>
              <w:t>ALCANCE</w:t>
            </w:r>
          </w:p>
        </w:tc>
        <w:tc>
          <w:tcPr>
            <w:tcW w:w="1260" w:type="dxa"/>
            <w:vAlign w:val="center"/>
          </w:tcPr>
          <w:p w14:paraId="6460F0A5" w14:textId="77777777" w:rsidR="00A95BF3" w:rsidRDefault="00A95BF3" w:rsidP="001B4A27">
            <w:pPr>
              <w:spacing w:before="60" w:after="60"/>
              <w:rPr>
                <w:b/>
                <w:kern w:val="36"/>
              </w:rPr>
            </w:pPr>
            <w:r>
              <w:rPr>
                <w:b/>
                <w:kern w:val="36"/>
              </w:rPr>
              <w:t>7 – 8</w:t>
            </w:r>
          </w:p>
        </w:tc>
      </w:tr>
      <w:tr w:rsidR="00A95BF3" w14:paraId="0EE5C121" w14:textId="77777777" w:rsidTr="001B4A27">
        <w:trPr>
          <w:jc w:val="center"/>
        </w:trPr>
        <w:tc>
          <w:tcPr>
            <w:tcW w:w="8028" w:type="dxa"/>
          </w:tcPr>
          <w:p w14:paraId="7EDB2B36" w14:textId="77777777" w:rsidR="00A95BF3" w:rsidRDefault="00A95BF3" w:rsidP="001B4A27">
            <w:pPr>
              <w:spacing w:before="60" w:after="60"/>
              <w:rPr>
                <w:b/>
                <w:kern w:val="36"/>
              </w:rPr>
            </w:pPr>
            <w:r>
              <w:rPr>
                <w:b/>
                <w:kern w:val="36"/>
              </w:rPr>
              <w:t>QUESTÕES</w:t>
            </w:r>
          </w:p>
        </w:tc>
        <w:tc>
          <w:tcPr>
            <w:tcW w:w="1260" w:type="dxa"/>
            <w:vAlign w:val="center"/>
          </w:tcPr>
          <w:p w14:paraId="3915A849" w14:textId="77777777" w:rsidR="00A95BF3" w:rsidRDefault="00A95BF3" w:rsidP="001B4A27">
            <w:pPr>
              <w:spacing w:before="60" w:after="60"/>
              <w:rPr>
                <w:b/>
                <w:kern w:val="36"/>
              </w:rPr>
            </w:pPr>
            <w:r>
              <w:rPr>
                <w:b/>
                <w:kern w:val="36"/>
              </w:rPr>
              <w:t>9</w:t>
            </w:r>
          </w:p>
        </w:tc>
      </w:tr>
      <w:tr w:rsidR="00A95BF3" w14:paraId="684628C2" w14:textId="77777777" w:rsidTr="001B4A27">
        <w:trPr>
          <w:jc w:val="center"/>
        </w:trPr>
        <w:tc>
          <w:tcPr>
            <w:tcW w:w="8028" w:type="dxa"/>
          </w:tcPr>
          <w:p w14:paraId="1F2EC2D7" w14:textId="77777777" w:rsidR="00A95BF3" w:rsidRDefault="00A95BF3" w:rsidP="001B4A27">
            <w:pPr>
              <w:spacing w:before="60" w:after="60"/>
              <w:rPr>
                <w:b/>
                <w:kern w:val="36"/>
              </w:rPr>
            </w:pPr>
            <w:r>
              <w:rPr>
                <w:b/>
                <w:kern w:val="36"/>
              </w:rPr>
              <w:t>CONSENSO</w:t>
            </w:r>
          </w:p>
        </w:tc>
        <w:tc>
          <w:tcPr>
            <w:tcW w:w="1260" w:type="dxa"/>
          </w:tcPr>
          <w:p w14:paraId="5FF58041" w14:textId="77777777" w:rsidR="00A95BF3" w:rsidRDefault="00A95BF3" w:rsidP="001B4A27">
            <w:pPr>
              <w:spacing w:before="60" w:after="60"/>
              <w:rPr>
                <w:b/>
                <w:kern w:val="36"/>
              </w:rPr>
            </w:pPr>
            <w:r>
              <w:rPr>
                <w:b/>
                <w:kern w:val="36"/>
              </w:rPr>
              <w:t>10 – 18</w:t>
            </w:r>
          </w:p>
        </w:tc>
      </w:tr>
      <w:tr w:rsidR="00A95BF3" w14:paraId="6056AFB4" w14:textId="77777777" w:rsidTr="001B4A27">
        <w:trPr>
          <w:jc w:val="center"/>
        </w:trPr>
        <w:tc>
          <w:tcPr>
            <w:tcW w:w="8028" w:type="dxa"/>
          </w:tcPr>
          <w:p w14:paraId="669690F0" w14:textId="77777777" w:rsidR="00A95BF3" w:rsidRDefault="00A95BF3" w:rsidP="001B4A27">
            <w:pPr>
              <w:spacing w:before="60" w:after="60"/>
              <w:rPr>
                <w:b/>
                <w:kern w:val="36"/>
              </w:rPr>
            </w:pPr>
            <w:r>
              <w:rPr>
                <w:b/>
                <w:kern w:val="36"/>
              </w:rPr>
              <w:t xml:space="preserve">Natureza do risco protegido e montante do item protegido para o qual uma relação de </w:t>
            </w:r>
            <w:r>
              <w:rPr>
                <w:b/>
                <w:i/>
                <w:kern w:val="36"/>
              </w:rPr>
              <w:t>hedge</w:t>
            </w:r>
            <w:r>
              <w:rPr>
                <w:b/>
                <w:kern w:val="36"/>
              </w:rPr>
              <w:t xml:space="preserve"> pode ser designada</w:t>
            </w:r>
          </w:p>
        </w:tc>
        <w:tc>
          <w:tcPr>
            <w:tcW w:w="1260" w:type="dxa"/>
          </w:tcPr>
          <w:p w14:paraId="394327B2" w14:textId="77777777" w:rsidR="00A95BF3" w:rsidRDefault="00A95BF3" w:rsidP="001B4A27">
            <w:pPr>
              <w:spacing w:before="60" w:after="60"/>
              <w:rPr>
                <w:b/>
                <w:kern w:val="36"/>
              </w:rPr>
            </w:pPr>
            <w:r>
              <w:rPr>
                <w:b/>
                <w:kern w:val="36"/>
              </w:rPr>
              <w:t>10 – 13</w:t>
            </w:r>
          </w:p>
        </w:tc>
      </w:tr>
      <w:tr w:rsidR="00A95BF3" w14:paraId="7CB6F653" w14:textId="77777777" w:rsidTr="001B4A27">
        <w:trPr>
          <w:jc w:val="center"/>
        </w:trPr>
        <w:tc>
          <w:tcPr>
            <w:tcW w:w="8028" w:type="dxa"/>
          </w:tcPr>
          <w:p w14:paraId="789F76A3" w14:textId="77777777" w:rsidR="00A95BF3" w:rsidRDefault="00A95BF3" w:rsidP="001B4A27">
            <w:pPr>
              <w:spacing w:before="60" w:after="60"/>
              <w:rPr>
                <w:b/>
                <w:kern w:val="36"/>
              </w:rPr>
            </w:pPr>
            <w:r>
              <w:rPr>
                <w:b/>
                <w:kern w:val="36"/>
              </w:rPr>
              <w:t xml:space="preserve">Onde o instrumento de </w:t>
            </w:r>
            <w:r>
              <w:rPr>
                <w:b/>
                <w:i/>
                <w:kern w:val="36"/>
              </w:rPr>
              <w:t>hedge</w:t>
            </w:r>
            <w:r>
              <w:rPr>
                <w:b/>
                <w:kern w:val="36"/>
              </w:rPr>
              <w:t xml:space="preserve"> pode ser mantido</w:t>
            </w:r>
          </w:p>
        </w:tc>
        <w:tc>
          <w:tcPr>
            <w:tcW w:w="1260" w:type="dxa"/>
          </w:tcPr>
          <w:p w14:paraId="18973AC9" w14:textId="77777777" w:rsidR="00A95BF3" w:rsidRDefault="00A95BF3" w:rsidP="001B4A27">
            <w:pPr>
              <w:spacing w:before="60" w:after="60"/>
              <w:rPr>
                <w:b/>
                <w:kern w:val="36"/>
              </w:rPr>
            </w:pPr>
            <w:r>
              <w:rPr>
                <w:b/>
                <w:kern w:val="36"/>
              </w:rPr>
              <w:t>14 – 15</w:t>
            </w:r>
          </w:p>
        </w:tc>
      </w:tr>
      <w:tr w:rsidR="00A95BF3" w14:paraId="01E27A58" w14:textId="77777777" w:rsidTr="001B4A27">
        <w:trPr>
          <w:jc w:val="center"/>
        </w:trPr>
        <w:tc>
          <w:tcPr>
            <w:tcW w:w="8028" w:type="dxa"/>
          </w:tcPr>
          <w:p w14:paraId="1214CF08" w14:textId="77777777" w:rsidR="00A95BF3" w:rsidRDefault="00A95BF3" w:rsidP="001B4A27">
            <w:pPr>
              <w:spacing w:before="60" w:after="60"/>
              <w:rPr>
                <w:b/>
                <w:kern w:val="36"/>
              </w:rPr>
            </w:pPr>
            <w:r>
              <w:rPr>
                <w:b/>
                <w:kern w:val="36"/>
              </w:rPr>
              <w:t xml:space="preserve">Baixa de </w:t>
            </w:r>
            <w:r>
              <w:rPr>
                <w:b/>
                <w:i/>
                <w:kern w:val="36"/>
              </w:rPr>
              <w:t>hedge</w:t>
            </w:r>
            <w:r>
              <w:rPr>
                <w:b/>
                <w:kern w:val="36"/>
              </w:rPr>
              <w:t xml:space="preserve"> de operação no exterior</w:t>
            </w:r>
          </w:p>
        </w:tc>
        <w:tc>
          <w:tcPr>
            <w:tcW w:w="1260" w:type="dxa"/>
          </w:tcPr>
          <w:p w14:paraId="43572991" w14:textId="77777777" w:rsidR="00A95BF3" w:rsidRDefault="00A95BF3" w:rsidP="001B4A27">
            <w:pPr>
              <w:spacing w:before="60" w:after="60"/>
              <w:rPr>
                <w:b/>
                <w:kern w:val="36"/>
              </w:rPr>
            </w:pPr>
            <w:r>
              <w:rPr>
                <w:b/>
                <w:kern w:val="36"/>
              </w:rPr>
              <w:t>16 – 18</w:t>
            </w:r>
          </w:p>
        </w:tc>
      </w:tr>
      <w:tr w:rsidR="00A95BF3" w14:paraId="4A9C4469" w14:textId="77777777" w:rsidTr="001B4A27">
        <w:trPr>
          <w:jc w:val="center"/>
        </w:trPr>
        <w:tc>
          <w:tcPr>
            <w:tcW w:w="8028" w:type="dxa"/>
          </w:tcPr>
          <w:p w14:paraId="687C2D33" w14:textId="77777777" w:rsidR="00A95BF3" w:rsidRDefault="00A95BF3" w:rsidP="001B4A27">
            <w:pPr>
              <w:spacing w:before="60" w:after="60"/>
              <w:rPr>
                <w:b/>
                <w:kern w:val="36"/>
              </w:rPr>
            </w:pPr>
            <w:r>
              <w:rPr>
                <w:b/>
                <w:kern w:val="36"/>
              </w:rPr>
              <w:t>TRANSIÇÃO</w:t>
            </w:r>
          </w:p>
        </w:tc>
        <w:tc>
          <w:tcPr>
            <w:tcW w:w="1260" w:type="dxa"/>
            <w:vAlign w:val="center"/>
          </w:tcPr>
          <w:p w14:paraId="7EDEF650" w14:textId="77777777" w:rsidR="00A95BF3" w:rsidRDefault="00A95BF3" w:rsidP="001B4A27">
            <w:pPr>
              <w:spacing w:before="60" w:after="60"/>
              <w:rPr>
                <w:b/>
                <w:kern w:val="36"/>
              </w:rPr>
            </w:pPr>
            <w:r>
              <w:rPr>
                <w:b/>
                <w:kern w:val="36"/>
              </w:rPr>
              <w:t>19</w:t>
            </w:r>
          </w:p>
        </w:tc>
      </w:tr>
      <w:tr w:rsidR="00A95BF3" w14:paraId="4A3569DE" w14:textId="77777777" w:rsidTr="001B4A27">
        <w:trPr>
          <w:jc w:val="center"/>
        </w:trPr>
        <w:tc>
          <w:tcPr>
            <w:tcW w:w="8028" w:type="dxa"/>
          </w:tcPr>
          <w:p w14:paraId="67F958F8" w14:textId="77777777" w:rsidR="00A95BF3" w:rsidRDefault="00A95BF3" w:rsidP="001B4A27">
            <w:pPr>
              <w:spacing w:before="60" w:after="60"/>
              <w:rPr>
                <w:b/>
                <w:kern w:val="36"/>
              </w:rPr>
            </w:pPr>
            <w:r>
              <w:rPr>
                <w:b/>
                <w:kern w:val="36"/>
              </w:rPr>
              <w:t>APÊNDICE – GUIA DE APLICAÇÃO</w:t>
            </w:r>
          </w:p>
        </w:tc>
        <w:tc>
          <w:tcPr>
            <w:tcW w:w="1260" w:type="dxa"/>
          </w:tcPr>
          <w:p w14:paraId="63D7005A" w14:textId="77777777" w:rsidR="00A95BF3" w:rsidRDefault="00A95BF3" w:rsidP="001B4A27">
            <w:pPr>
              <w:spacing w:before="60" w:after="60"/>
              <w:rPr>
                <w:b/>
                <w:kern w:val="36"/>
              </w:rPr>
            </w:pPr>
          </w:p>
        </w:tc>
      </w:tr>
      <w:tr w:rsidR="00A95BF3" w14:paraId="06A6C8AB" w14:textId="77777777" w:rsidTr="001B4A27">
        <w:trPr>
          <w:jc w:val="center"/>
        </w:trPr>
        <w:tc>
          <w:tcPr>
            <w:tcW w:w="8028" w:type="dxa"/>
          </w:tcPr>
          <w:p w14:paraId="7E2B3612" w14:textId="77777777" w:rsidR="00A95BF3" w:rsidRDefault="00A95BF3" w:rsidP="001B4A27">
            <w:pPr>
              <w:spacing w:before="60" w:after="60"/>
              <w:rPr>
                <w:b/>
                <w:kern w:val="36"/>
              </w:rPr>
            </w:pPr>
          </w:p>
        </w:tc>
        <w:tc>
          <w:tcPr>
            <w:tcW w:w="1260" w:type="dxa"/>
            <w:vAlign w:val="center"/>
          </w:tcPr>
          <w:p w14:paraId="5AC65B3B" w14:textId="77777777" w:rsidR="00A95BF3" w:rsidRDefault="00A95BF3" w:rsidP="001B4A27">
            <w:pPr>
              <w:spacing w:before="60" w:after="60"/>
              <w:rPr>
                <w:b/>
                <w:kern w:val="36"/>
              </w:rPr>
            </w:pPr>
          </w:p>
        </w:tc>
      </w:tr>
      <w:tr w:rsidR="00A95BF3" w14:paraId="70BAC3AD" w14:textId="77777777" w:rsidTr="001B4A27">
        <w:trPr>
          <w:jc w:val="center"/>
        </w:trPr>
        <w:tc>
          <w:tcPr>
            <w:tcW w:w="8028" w:type="dxa"/>
          </w:tcPr>
          <w:p w14:paraId="476D009E" w14:textId="77777777" w:rsidR="00A95BF3" w:rsidRDefault="00A95BF3" w:rsidP="001B4A27">
            <w:pPr>
              <w:spacing w:before="60" w:after="60"/>
              <w:rPr>
                <w:kern w:val="36"/>
              </w:rPr>
            </w:pPr>
          </w:p>
        </w:tc>
        <w:tc>
          <w:tcPr>
            <w:tcW w:w="1260" w:type="dxa"/>
            <w:vAlign w:val="center"/>
          </w:tcPr>
          <w:p w14:paraId="3BBD8597" w14:textId="77777777" w:rsidR="00A95BF3" w:rsidRDefault="00A95BF3" w:rsidP="001B4A27">
            <w:pPr>
              <w:spacing w:before="60" w:after="60"/>
              <w:rPr>
                <w:b/>
                <w:kern w:val="36"/>
              </w:rPr>
            </w:pPr>
          </w:p>
        </w:tc>
      </w:tr>
    </w:tbl>
    <w:p w14:paraId="47F1AB2C"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1D40A368"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br w:type="page"/>
      </w:r>
      <w:r>
        <w:rPr>
          <w:rFonts w:ascii="Times New Roman" w:hAnsi="Times New Roman"/>
          <w:b/>
          <w:sz w:val="24"/>
          <w:lang w:val="pt-BR"/>
        </w:rPr>
        <w:lastRenderedPageBreak/>
        <w:t>Referências</w:t>
      </w:r>
    </w:p>
    <w:p w14:paraId="53C9A040"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79159E6C"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r>
        <w:rPr>
          <w:rFonts w:ascii="Times New Roman" w:hAnsi="Times New Roman"/>
          <w:sz w:val="24"/>
          <w:lang w:val="pt-BR"/>
        </w:rPr>
        <w:t>Pronunciamento Técnico CPC 23 – Políticas Contábeis, Mudança de Estimativa e Retificação de Erro</w:t>
      </w:r>
    </w:p>
    <w:p w14:paraId="4D6B9A02"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r>
        <w:rPr>
          <w:rFonts w:ascii="Times New Roman" w:hAnsi="Times New Roman"/>
          <w:sz w:val="24"/>
          <w:lang w:val="pt-BR"/>
        </w:rPr>
        <w:t>Pronunciamento Técnico CPC 02 – Efeitos das Mudanças nas Taxas de Câmbio e Conversão das Demonstrações Contábeis</w:t>
      </w:r>
    </w:p>
    <w:p w14:paraId="34001379"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r>
        <w:rPr>
          <w:rFonts w:ascii="Times New Roman" w:hAnsi="Times New Roman"/>
          <w:sz w:val="24"/>
          <w:lang w:val="pt-BR"/>
        </w:rPr>
        <w:t>Pronunciamento Técnico CPC – 38 Instrumentos Financeiros: Reconhecimento e Mensuração</w:t>
      </w:r>
    </w:p>
    <w:p w14:paraId="01F7CD25"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1A85C329"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Antecedentes</w:t>
      </w:r>
    </w:p>
    <w:p w14:paraId="189CB0A6"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E3195FD"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 </w:t>
      </w:r>
      <w:proofErr w:type="gramStart"/>
      <w:r>
        <w:rPr>
          <w:rFonts w:ascii="Times New Roman" w:hAnsi="Times New Roman"/>
          <w:sz w:val="24"/>
          <w:lang w:val="pt-BR"/>
        </w:rPr>
        <w:tab/>
        <w:t>Muitas</w:t>
      </w:r>
      <w:proofErr w:type="gramEnd"/>
      <w:r>
        <w:rPr>
          <w:rFonts w:ascii="Times New Roman" w:hAnsi="Times New Roman"/>
          <w:sz w:val="24"/>
          <w:lang w:val="pt-BR"/>
        </w:rPr>
        <w:t xml:space="preserve"> entidades contábeis possuem investimentos em operações internacionais (como definido no Pronunciamento Técnico CPC 02, item 8). Essas operações no exterior podem ser controladas, coligadas, </w:t>
      </w:r>
      <w:r>
        <w:rPr>
          <w:rFonts w:ascii="Times New Roman" w:hAnsi="Times New Roman"/>
          <w:i/>
          <w:sz w:val="24"/>
          <w:lang w:val="pt-BR"/>
        </w:rPr>
        <w:t>joint ventures</w:t>
      </w:r>
      <w:r>
        <w:rPr>
          <w:rFonts w:ascii="Times New Roman" w:hAnsi="Times New Roman"/>
          <w:sz w:val="24"/>
          <w:lang w:val="pt-BR"/>
        </w:rPr>
        <w:t xml:space="preserve"> ou filiais. O Pronunciamento Técnico CPC 02 requer que a entidade determine a moeda funcional de cada uma de suas operações no exterior como a moeda do ambiente econômico principal dessa operação. Ao traduzir os resultados e o balanço patrimonial de operação no exterior para a moeda de apresentação, a entidade deve reconhecer as diferenças de moeda estrangeira em outros resultados abrangentes como ajustes de conversão acumulados até a alienação da operação no exterior.</w:t>
      </w:r>
    </w:p>
    <w:p w14:paraId="5F53E1E6"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300E3056"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2. </w:t>
      </w:r>
      <w:r>
        <w:rPr>
          <w:rFonts w:ascii="Times New Roman" w:hAnsi="Times New Roman"/>
          <w:sz w:val="24"/>
          <w:lang w:val="pt-BR"/>
        </w:rPr>
        <w:tab/>
        <w:t xml:space="preserve">A contabilidade de </w:t>
      </w:r>
      <w:r>
        <w:rPr>
          <w:rFonts w:ascii="Times New Roman" w:hAnsi="Times New Roman"/>
          <w:i/>
          <w:sz w:val="24"/>
          <w:lang w:val="pt-BR"/>
        </w:rPr>
        <w:t>hedge</w:t>
      </w:r>
      <w:r>
        <w:rPr>
          <w:rFonts w:ascii="Times New Roman" w:hAnsi="Times New Roman"/>
          <w:sz w:val="24"/>
          <w:lang w:val="pt-BR"/>
        </w:rPr>
        <w:t xml:space="preserve"> do risco de moeda estrangeira oriundo do investimento líquido em operação no exterior somente será aplicada quando os ativos líquidos dessa operação forem incluídos nas demonstrações contábeis. O item sendo protegido do risco de variação cambial oriundo do investimento em operação no exterior pode ser um montante de ativos líquidos igual ou inferior ao valor contábil dos ativos líquidos dessa operação no exterior</w:t>
      </w:r>
    </w:p>
    <w:p w14:paraId="2B612FC8"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A72CBA5"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3. </w:t>
      </w:r>
      <w:r>
        <w:rPr>
          <w:rFonts w:ascii="Times New Roman" w:hAnsi="Times New Roman"/>
          <w:sz w:val="24"/>
          <w:lang w:val="pt-BR"/>
        </w:rPr>
        <w:tab/>
        <w:t xml:space="preserve">O Pronunciamento Técnico CPC 38 requer a designação do item objeto de </w:t>
      </w:r>
      <w:r>
        <w:rPr>
          <w:rFonts w:ascii="Times New Roman" w:hAnsi="Times New Roman"/>
          <w:i/>
          <w:sz w:val="24"/>
          <w:lang w:val="pt-BR"/>
        </w:rPr>
        <w:t>hedge</w:t>
      </w:r>
      <w:r>
        <w:rPr>
          <w:rFonts w:ascii="Times New Roman" w:hAnsi="Times New Roman"/>
          <w:sz w:val="24"/>
          <w:lang w:val="pt-BR"/>
        </w:rPr>
        <w:t xml:space="preserve"> e do correspondente instrumento de </w:t>
      </w:r>
      <w:r>
        <w:rPr>
          <w:rFonts w:ascii="Times New Roman" w:hAnsi="Times New Roman"/>
          <w:i/>
          <w:sz w:val="24"/>
          <w:lang w:val="pt-BR"/>
        </w:rPr>
        <w:t>hedge</w:t>
      </w:r>
      <w:r>
        <w:rPr>
          <w:rFonts w:ascii="Times New Roman" w:hAnsi="Times New Roman"/>
          <w:sz w:val="24"/>
          <w:lang w:val="pt-BR"/>
        </w:rPr>
        <w:t xml:space="preserve"> na relação de contabilidade de operações de </w:t>
      </w:r>
      <w:r>
        <w:rPr>
          <w:rFonts w:ascii="Times New Roman" w:hAnsi="Times New Roman"/>
          <w:i/>
          <w:sz w:val="24"/>
          <w:lang w:val="pt-BR"/>
        </w:rPr>
        <w:t>hedge</w:t>
      </w:r>
      <w:r>
        <w:rPr>
          <w:rFonts w:ascii="Times New Roman" w:hAnsi="Times New Roman"/>
          <w:sz w:val="24"/>
          <w:lang w:val="pt-BR"/>
        </w:rPr>
        <w:t xml:space="preserve">. Se existir uma relação de </w:t>
      </w:r>
      <w:r>
        <w:rPr>
          <w:rFonts w:ascii="Times New Roman" w:hAnsi="Times New Roman"/>
          <w:i/>
          <w:sz w:val="24"/>
          <w:lang w:val="pt-BR"/>
        </w:rPr>
        <w:t>hedge</w:t>
      </w:r>
      <w:r>
        <w:rPr>
          <w:rFonts w:ascii="Times New Roman" w:hAnsi="Times New Roman"/>
          <w:sz w:val="24"/>
          <w:lang w:val="pt-BR"/>
        </w:rPr>
        <w:t xml:space="preserve"> designada, no caso de </w:t>
      </w:r>
      <w:r>
        <w:rPr>
          <w:rFonts w:ascii="Times New Roman" w:hAnsi="Times New Roman"/>
          <w:i/>
          <w:sz w:val="24"/>
          <w:lang w:val="pt-BR"/>
        </w:rPr>
        <w:t>hedge</w:t>
      </w:r>
      <w:r>
        <w:rPr>
          <w:rFonts w:ascii="Times New Roman" w:hAnsi="Times New Roman"/>
          <w:sz w:val="24"/>
          <w:lang w:val="pt-BR"/>
        </w:rPr>
        <w:t xml:space="preserve"> de investimento líquido, a perda ou o ganho no instrumento de </w:t>
      </w:r>
      <w:r>
        <w:rPr>
          <w:rFonts w:ascii="Times New Roman" w:hAnsi="Times New Roman"/>
          <w:i/>
          <w:sz w:val="24"/>
          <w:lang w:val="pt-BR"/>
        </w:rPr>
        <w:t>hedge</w:t>
      </w:r>
      <w:r>
        <w:rPr>
          <w:rFonts w:ascii="Times New Roman" w:hAnsi="Times New Roman"/>
          <w:sz w:val="24"/>
          <w:lang w:val="pt-BR"/>
        </w:rPr>
        <w:t xml:space="preserve"> que é determinado como </w:t>
      </w:r>
      <w:r>
        <w:rPr>
          <w:rFonts w:ascii="Times New Roman" w:hAnsi="Times New Roman"/>
          <w:i/>
          <w:sz w:val="24"/>
          <w:lang w:val="pt-BR"/>
        </w:rPr>
        <w:t>hedge</w:t>
      </w:r>
      <w:r>
        <w:rPr>
          <w:rFonts w:ascii="Times New Roman" w:hAnsi="Times New Roman"/>
          <w:sz w:val="24"/>
          <w:lang w:val="pt-BR"/>
        </w:rPr>
        <w:t xml:space="preserve"> efetivo do investimento líquido deve ser reconhecido em outros resultados abrangentes como ajustes de conversão acumulados e devem ser incluídos juntamente com as diferenças cambiais oriundas da conversão dos resultados e do balanço patrimonial da operação no exterior.</w:t>
      </w:r>
    </w:p>
    <w:p w14:paraId="30FB576D"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3555CC50"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4. </w:t>
      </w:r>
      <w:r>
        <w:rPr>
          <w:rFonts w:ascii="Times New Roman" w:hAnsi="Times New Roman"/>
          <w:sz w:val="24"/>
          <w:lang w:val="pt-BR"/>
        </w:rPr>
        <w:tab/>
        <w:t xml:space="preserve">A entidade com muitas operações no exterior pode estar exposta a um número de riscos de variação cambial diferentes. Esta Interpretação fornece orientação para a identificação de riscos de variação cambial que se qualificam como riscos objeto de </w:t>
      </w:r>
      <w:r>
        <w:rPr>
          <w:rFonts w:ascii="Times New Roman" w:hAnsi="Times New Roman"/>
          <w:i/>
          <w:sz w:val="24"/>
          <w:lang w:val="pt-BR"/>
        </w:rPr>
        <w:t>hedge</w:t>
      </w:r>
      <w:r>
        <w:rPr>
          <w:rFonts w:ascii="Times New Roman" w:hAnsi="Times New Roman"/>
          <w:sz w:val="24"/>
          <w:lang w:val="pt-BR"/>
        </w:rPr>
        <w:t xml:space="preserve"> de investimento líquido em operação no exterior.</w:t>
      </w:r>
    </w:p>
    <w:p w14:paraId="378BD921"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0B158615"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5. </w:t>
      </w:r>
      <w:r>
        <w:rPr>
          <w:rFonts w:ascii="Times New Roman" w:hAnsi="Times New Roman"/>
          <w:sz w:val="24"/>
          <w:lang w:val="pt-BR"/>
        </w:rPr>
        <w:tab/>
        <w:t xml:space="preserve">O Pronunciamento Técnico CPC 38 permite que a entidade designe um instrumento financeiro derivativo ou não derivativo (ou uma combinação de um instrumento financeiro derivativo e não derivativo) como instrumento de </w:t>
      </w:r>
      <w:r>
        <w:rPr>
          <w:rFonts w:ascii="Times New Roman" w:hAnsi="Times New Roman"/>
          <w:i/>
          <w:sz w:val="24"/>
          <w:lang w:val="pt-BR"/>
        </w:rPr>
        <w:t>hedge</w:t>
      </w:r>
      <w:r>
        <w:rPr>
          <w:rFonts w:ascii="Times New Roman" w:hAnsi="Times New Roman"/>
          <w:sz w:val="24"/>
          <w:lang w:val="pt-BR"/>
        </w:rPr>
        <w:t xml:space="preserve"> para risco de moeda estrangeira. Esta Interpretação fornece orientação a respeito de onde, dentro de grupo de sociedades, instrumentos de </w:t>
      </w:r>
      <w:r>
        <w:rPr>
          <w:rFonts w:ascii="Times New Roman" w:hAnsi="Times New Roman"/>
          <w:i/>
          <w:sz w:val="24"/>
          <w:lang w:val="pt-BR"/>
        </w:rPr>
        <w:t>hedge</w:t>
      </w:r>
      <w:r>
        <w:rPr>
          <w:rFonts w:ascii="Times New Roman" w:hAnsi="Times New Roman"/>
          <w:sz w:val="24"/>
          <w:lang w:val="pt-BR"/>
        </w:rPr>
        <w:t xml:space="preserve"> que são </w:t>
      </w:r>
      <w:r>
        <w:rPr>
          <w:rFonts w:ascii="Times New Roman" w:hAnsi="Times New Roman"/>
          <w:i/>
          <w:sz w:val="24"/>
          <w:lang w:val="pt-BR"/>
        </w:rPr>
        <w:t>hedge</w:t>
      </w:r>
      <w:r>
        <w:rPr>
          <w:rFonts w:ascii="Times New Roman" w:hAnsi="Times New Roman"/>
          <w:sz w:val="24"/>
          <w:lang w:val="pt-BR"/>
        </w:rPr>
        <w:t xml:space="preserve">s de investimentos líquidos no exterior devem ser mantidos para serem classificados como </w:t>
      </w:r>
      <w:r>
        <w:rPr>
          <w:rFonts w:ascii="Times New Roman" w:hAnsi="Times New Roman"/>
          <w:sz w:val="24"/>
          <w:lang w:val="pt-BR"/>
        </w:rPr>
        <w:lastRenderedPageBreak/>
        <w:t xml:space="preserve">contabilidade de </w:t>
      </w:r>
      <w:r>
        <w:rPr>
          <w:rFonts w:ascii="Times New Roman" w:hAnsi="Times New Roman"/>
          <w:i/>
          <w:sz w:val="24"/>
          <w:lang w:val="pt-BR"/>
        </w:rPr>
        <w:t>hedge</w:t>
      </w:r>
      <w:r>
        <w:rPr>
          <w:rFonts w:ascii="Times New Roman" w:hAnsi="Times New Roman"/>
          <w:sz w:val="24"/>
          <w:lang w:val="pt-BR"/>
        </w:rPr>
        <w:t>.</w:t>
      </w:r>
    </w:p>
    <w:p w14:paraId="53C584DB"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5B86AC5C"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6. </w:t>
      </w:r>
      <w:r>
        <w:rPr>
          <w:rFonts w:ascii="Times New Roman" w:hAnsi="Times New Roman"/>
          <w:sz w:val="24"/>
          <w:lang w:val="pt-BR"/>
        </w:rPr>
        <w:tab/>
        <w:t xml:space="preserve">Os Pronunciamentos Técnicos CPC 02 e CPC 38 requerem que os montantes acumulados reconhecidos, em outros resultados abrangentes, como ajustes de conversão acumulados, relacionados com as diferenças de variação cambial oriundos da conversão do resultado e do balanço patrimonial da operação no exterior e o ganho ou perda no instrumento de </w:t>
      </w:r>
      <w:r>
        <w:rPr>
          <w:rFonts w:ascii="Times New Roman" w:hAnsi="Times New Roman"/>
          <w:i/>
          <w:sz w:val="24"/>
          <w:lang w:val="pt-BR"/>
        </w:rPr>
        <w:t>hedge,</w:t>
      </w:r>
      <w:r>
        <w:rPr>
          <w:rFonts w:ascii="Times New Roman" w:hAnsi="Times New Roman"/>
          <w:sz w:val="24"/>
          <w:lang w:val="pt-BR"/>
        </w:rPr>
        <w:t xml:space="preserve"> que é determinado como sendo </w:t>
      </w:r>
      <w:r>
        <w:rPr>
          <w:rFonts w:ascii="Times New Roman" w:hAnsi="Times New Roman"/>
          <w:i/>
          <w:sz w:val="24"/>
          <w:lang w:val="pt-BR"/>
        </w:rPr>
        <w:t>hedge</w:t>
      </w:r>
      <w:r>
        <w:rPr>
          <w:rFonts w:ascii="Times New Roman" w:hAnsi="Times New Roman"/>
          <w:sz w:val="24"/>
          <w:lang w:val="pt-BR"/>
        </w:rPr>
        <w:t xml:space="preserve"> efetivo de investimento líquido em operação no exterior, sejam reclassificados do patrimônio para o resultado como ajuste de reclassificação, quando a controladora baixar a operação no exterior. Esta Interpretação fornece orientação a respeito de como a entidade deve determinar os montantes a serem reclassificados do patrimônio para o resultado, tanto para o instrumento de </w:t>
      </w:r>
      <w:r>
        <w:rPr>
          <w:rFonts w:ascii="Times New Roman" w:hAnsi="Times New Roman"/>
          <w:i/>
          <w:sz w:val="24"/>
          <w:lang w:val="pt-BR"/>
        </w:rPr>
        <w:t>hedge</w:t>
      </w:r>
      <w:r>
        <w:rPr>
          <w:rFonts w:ascii="Times New Roman" w:hAnsi="Times New Roman"/>
          <w:sz w:val="24"/>
          <w:lang w:val="pt-BR"/>
        </w:rPr>
        <w:t xml:space="preserve"> como para o item objeto de </w:t>
      </w:r>
      <w:r>
        <w:rPr>
          <w:rFonts w:ascii="Times New Roman" w:hAnsi="Times New Roman"/>
          <w:i/>
          <w:sz w:val="24"/>
          <w:lang w:val="pt-BR"/>
        </w:rPr>
        <w:t>hedge</w:t>
      </w:r>
      <w:r>
        <w:rPr>
          <w:rFonts w:ascii="Times New Roman" w:hAnsi="Times New Roman"/>
          <w:sz w:val="24"/>
          <w:lang w:val="pt-BR"/>
        </w:rPr>
        <w:t>.</w:t>
      </w:r>
    </w:p>
    <w:p w14:paraId="588F275A"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6E5910C"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Alcance</w:t>
      </w:r>
    </w:p>
    <w:p w14:paraId="2FFA3BAC"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2DD005CF"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7.</w:t>
      </w:r>
      <w:r>
        <w:rPr>
          <w:rFonts w:ascii="Times New Roman" w:hAnsi="Times New Roman"/>
          <w:sz w:val="24"/>
          <w:lang w:val="pt-BR"/>
        </w:rPr>
        <w:tab/>
        <w:t xml:space="preserve"> Esta Interpretação aplica-se à entidade que protege o risco de moeda estrangeira oriundo de seu investimento líquido em operações no exterior e deseja classificar a operação para a contabilidade de </w:t>
      </w:r>
      <w:r>
        <w:rPr>
          <w:rFonts w:ascii="Times New Roman" w:hAnsi="Times New Roman"/>
          <w:i/>
          <w:sz w:val="24"/>
          <w:lang w:val="pt-BR"/>
        </w:rPr>
        <w:t>hedge</w:t>
      </w:r>
      <w:r>
        <w:rPr>
          <w:rFonts w:ascii="Times New Roman" w:hAnsi="Times New Roman"/>
          <w:sz w:val="24"/>
          <w:lang w:val="pt-BR"/>
        </w:rPr>
        <w:t xml:space="preserve"> de acordo com o Pronunciamento Técnico CPC 38. Por conveniência, esta Interpretação refere-se a essa entidade como controladora e as demonstrações contábeis nas quais os ativos líquidos das operações no exterior estão incluídos como demonstrações contábeis consolidadas. Todas as referências à controladora aplicam-se igualmente à entidade que possui investimento líquido em operação no exterior que é uma </w:t>
      </w:r>
      <w:r>
        <w:rPr>
          <w:rFonts w:ascii="Times New Roman" w:hAnsi="Times New Roman"/>
          <w:i/>
          <w:sz w:val="24"/>
          <w:lang w:val="pt-BR"/>
        </w:rPr>
        <w:t>joint venture</w:t>
      </w:r>
      <w:r>
        <w:rPr>
          <w:rFonts w:ascii="Times New Roman" w:hAnsi="Times New Roman"/>
          <w:sz w:val="24"/>
          <w:lang w:val="pt-BR"/>
        </w:rPr>
        <w:t>, uma coligada ou uma filial.</w:t>
      </w:r>
    </w:p>
    <w:p w14:paraId="207BA540"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27F53EE"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8. </w:t>
      </w:r>
      <w:r>
        <w:rPr>
          <w:rFonts w:ascii="Times New Roman" w:hAnsi="Times New Roman"/>
          <w:sz w:val="24"/>
          <w:lang w:val="pt-BR"/>
        </w:rPr>
        <w:tab/>
        <w:t xml:space="preserve">Esta Interpretação aplica-se somente aos </w:t>
      </w:r>
      <w:r>
        <w:rPr>
          <w:rFonts w:ascii="Times New Roman" w:hAnsi="Times New Roman"/>
          <w:i/>
          <w:sz w:val="24"/>
          <w:lang w:val="pt-BR"/>
        </w:rPr>
        <w:t>hedge</w:t>
      </w:r>
      <w:r>
        <w:rPr>
          <w:rFonts w:ascii="Times New Roman" w:hAnsi="Times New Roman"/>
          <w:sz w:val="24"/>
          <w:lang w:val="pt-BR"/>
        </w:rPr>
        <w:t xml:space="preserve">s de investimento líquido em operações no exterior e não deve ser aplicado por analogia a outros tipos de contabilidade de </w:t>
      </w:r>
      <w:r>
        <w:rPr>
          <w:rFonts w:ascii="Times New Roman" w:hAnsi="Times New Roman"/>
          <w:i/>
          <w:sz w:val="24"/>
          <w:lang w:val="pt-BR"/>
        </w:rPr>
        <w:t>hedge.</w:t>
      </w:r>
    </w:p>
    <w:p w14:paraId="29C39679"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F705E99" w14:textId="77777777" w:rsidR="00A95BF3" w:rsidRDefault="00A95BF3" w:rsidP="00A95BF3">
      <w:pPr>
        <w:pStyle w:val="Textoembloco"/>
        <w:spacing w:before="0" w:after="0" w:line="240" w:lineRule="auto"/>
        <w:ind w:left="567" w:hanging="567"/>
        <w:jc w:val="both"/>
        <w:rPr>
          <w:rFonts w:ascii="Times New Roman" w:hAnsi="Times New Roman"/>
          <w:b/>
          <w:sz w:val="24"/>
          <w:lang w:val="pt-BR"/>
        </w:rPr>
      </w:pPr>
      <w:r>
        <w:rPr>
          <w:rFonts w:ascii="Times New Roman" w:hAnsi="Times New Roman"/>
          <w:b/>
          <w:sz w:val="24"/>
          <w:lang w:val="pt-BR"/>
        </w:rPr>
        <w:t>Questões</w:t>
      </w:r>
    </w:p>
    <w:p w14:paraId="24E9E7BA" w14:textId="77777777" w:rsidR="00A95BF3" w:rsidRPr="00A95BF3" w:rsidRDefault="00A95BF3" w:rsidP="00A95BF3">
      <w:pPr>
        <w:pStyle w:val="Textoembloco"/>
        <w:spacing w:before="0" w:after="0" w:line="240" w:lineRule="auto"/>
        <w:ind w:left="567" w:hanging="567"/>
        <w:jc w:val="both"/>
        <w:rPr>
          <w:rFonts w:ascii="Times New Roman" w:hAnsi="Times New Roman"/>
          <w:sz w:val="24"/>
          <w:lang w:val="pt-BR"/>
        </w:rPr>
      </w:pPr>
    </w:p>
    <w:p w14:paraId="3C6BA3BC" w14:textId="77777777" w:rsidR="00A95BF3" w:rsidRPr="00A95BF3" w:rsidRDefault="00A95BF3" w:rsidP="00A95BF3">
      <w:pPr>
        <w:pStyle w:val="Textoembloco"/>
        <w:spacing w:before="0" w:after="0" w:line="240" w:lineRule="auto"/>
        <w:ind w:left="567" w:hanging="567"/>
        <w:jc w:val="both"/>
        <w:rPr>
          <w:rFonts w:ascii="Times New Roman" w:hAnsi="Times New Roman"/>
          <w:sz w:val="24"/>
          <w:lang w:val="pt-BR"/>
        </w:rPr>
      </w:pPr>
      <w:r w:rsidRPr="00A95BF3">
        <w:rPr>
          <w:rFonts w:ascii="Times New Roman" w:hAnsi="Times New Roman"/>
          <w:sz w:val="24"/>
          <w:lang w:val="pt-BR"/>
        </w:rPr>
        <w:t xml:space="preserve">9. </w:t>
      </w:r>
      <w:r w:rsidRPr="00A95BF3">
        <w:rPr>
          <w:rFonts w:ascii="Times New Roman" w:hAnsi="Times New Roman"/>
          <w:sz w:val="24"/>
          <w:lang w:val="pt-BR"/>
        </w:rPr>
        <w:tab/>
        <w:t>Investimentos em operações no exterior podem ser mantidos diretamente pela controladora ou indiretamente por sua controlada ou controladas. As questões tratadas nesta Interpretação são:</w:t>
      </w:r>
    </w:p>
    <w:p w14:paraId="087542FC" w14:textId="77777777" w:rsidR="00A95BF3" w:rsidRPr="00A95BF3" w:rsidRDefault="00A95BF3" w:rsidP="00A95BF3">
      <w:pPr>
        <w:widowControl w:val="0"/>
        <w:spacing w:before="0" w:after="0"/>
        <w:ind w:left="710" w:right="57"/>
        <w:rPr>
          <w:rFonts w:ascii="Times New Roman" w:hAnsi="Times New Roman"/>
          <w:sz w:val="24"/>
        </w:rPr>
      </w:pPr>
    </w:p>
    <w:p w14:paraId="15976F4D" w14:textId="77777777" w:rsidR="00A95BF3" w:rsidRPr="00A95BF3" w:rsidRDefault="00A95BF3" w:rsidP="00E47C3D">
      <w:pPr>
        <w:widowControl w:val="0"/>
        <w:numPr>
          <w:ilvl w:val="0"/>
          <w:numId w:val="28"/>
        </w:numPr>
        <w:tabs>
          <w:tab w:val="num" w:pos="1070"/>
        </w:tabs>
        <w:spacing w:before="0" w:after="0"/>
        <w:ind w:left="1070" w:right="57"/>
        <w:rPr>
          <w:rFonts w:ascii="Times New Roman" w:hAnsi="Times New Roman"/>
          <w:sz w:val="24"/>
        </w:rPr>
      </w:pPr>
      <w:r w:rsidRPr="00A95BF3">
        <w:rPr>
          <w:rFonts w:ascii="Times New Roman" w:hAnsi="Times New Roman"/>
          <w:sz w:val="24"/>
        </w:rPr>
        <w:t xml:space="preserve">a natureza do risco protegido e o montante do item objeto de </w:t>
      </w:r>
      <w:r w:rsidRPr="00A95BF3">
        <w:rPr>
          <w:rFonts w:ascii="Times New Roman" w:hAnsi="Times New Roman"/>
          <w:i/>
          <w:sz w:val="24"/>
        </w:rPr>
        <w:t>hedge</w:t>
      </w:r>
      <w:r w:rsidRPr="00A95BF3">
        <w:rPr>
          <w:rFonts w:ascii="Times New Roman" w:hAnsi="Times New Roman"/>
          <w:sz w:val="24"/>
        </w:rPr>
        <w:t xml:space="preserve"> para o qual a relação de </w:t>
      </w:r>
      <w:r w:rsidRPr="00A95BF3">
        <w:rPr>
          <w:rFonts w:ascii="Times New Roman" w:hAnsi="Times New Roman"/>
          <w:i/>
          <w:sz w:val="24"/>
        </w:rPr>
        <w:t>hedge</w:t>
      </w:r>
      <w:r w:rsidRPr="00A95BF3">
        <w:rPr>
          <w:rFonts w:ascii="Times New Roman" w:hAnsi="Times New Roman"/>
          <w:sz w:val="24"/>
        </w:rPr>
        <w:t xml:space="preserve"> pode ser designada:</w:t>
      </w:r>
    </w:p>
    <w:p w14:paraId="6D95A7D3" w14:textId="77777777" w:rsidR="00A95BF3" w:rsidRPr="00A95BF3" w:rsidRDefault="00A95BF3" w:rsidP="00A95BF3">
      <w:pPr>
        <w:widowControl w:val="0"/>
        <w:spacing w:before="0" w:after="0"/>
        <w:ind w:left="1418" w:right="57"/>
        <w:rPr>
          <w:rFonts w:ascii="Times New Roman" w:hAnsi="Times New Roman"/>
          <w:sz w:val="24"/>
        </w:rPr>
      </w:pPr>
    </w:p>
    <w:p w14:paraId="2154351A" w14:textId="77777777" w:rsidR="00A95BF3" w:rsidRPr="00A95BF3" w:rsidRDefault="00A95BF3" w:rsidP="00E47C3D">
      <w:pPr>
        <w:widowControl w:val="0"/>
        <w:numPr>
          <w:ilvl w:val="0"/>
          <w:numId w:val="30"/>
        </w:numPr>
        <w:tabs>
          <w:tab w:val="clear" w:pos="1920"/>
          <w:tab w:val="num" w:pos="2127"/>
        </w:tabs>
        <w:spacing w:before="0" w:after="0"/>
        <w:ind w:left="2127" w:right="57" w:hanging="567"/>
        <w:rPr>
          <w:rFonts w:ascii="Times New Roman" w:hAnsi="Times New Roman"/>
          <w:sz w:val="24"/>
        </w:rPr>
      </w:pPr>
      <w:r w:rsidRPr="00A95BF3">
        <w:rPr>
          <w:rFonts w:ascii="Times New Roman" w:hAnsi="Times New Roman"/>
          <w:sz w:val="24"/>
        </w:rPr>
        <w:t>se a controladora pode designar como risco protegido somente as diferenças de variação cambial entre as moedas funcionais da controladora e de suas operações no exterior, ou se ela deve também designar como risco protegido as diferenças de variação cambial oriundas da diferença entre a moeda de apresentação da demonstração consolidada da controladora e a moeda funcional da operação no exterior;</w:t>
      </w:r>
    </w:p>
    <w:p w14:paraId="3685EC34" w14:textId="77777777" w:rsidR="00A95BF3" w:rsidRPr="00A95BF3" w:rsidRDefault="00A95BF3" w:rsidP="00A95BF3">
      <w:pPr>
        <w:widowControl w:val="0"/>
        <w:spacing w:before="0" w:after="0"/>
        <w:ind w:left="1560" w:right="57"/>
        <w:rPr>
          <w:rFonts w:ascii="Times New Roman" w:hAnsi="Times New Roman"/>
          <w:sz w:val="24"/>
        </w:rPr>
      </w:pPr>
    </w:p>
    <w:p w14:paraId="4AC364DA" w14:textId="77777777" w:rsidR="00A95BF3" w:rsidRPr="00A95BF3" w:rsidRDefault="00A95BF3" w:rsidP="00E47C3D">
      <w:pPr>
        <w:widowControl w:val="0"/>
        <w:numPr>
          <w:ilvl w:val="0"/>
          <w:numId w:val="30"/>
        </w:numPr>
        <w:tabs>
          <w:tab w:val="clear" w:pos="1920"/>
          <w:tab w:val="num" w:pos="2127"/>
        </w:tabs>
        <w:spacing w:before="0" w:after="0"/>
        <w:ind w:left="2127" w:right="57" w:hanging="567"/>
        <w:rPr>
          <w:rFonts w:ascii="Times New Roman" w:hAnsi="Times New Roman"/>
          <w:sz w:val="24"/>
        </w:rPr>
      </w:pPr>
      <w:r w:rsidRPr="00A95BF3">
        <w:rPr>
          <w:rFonts w:ascii="Times New Roman" w:hAnsi="Times New Roman"/>
          <w:sz w:val="24"/>
        </w:rPr>
        <w:t xml:space="preserve">se a controladora mantém a operação no exterior indiretamente, se o risco protegido pode incluir somente as diferenças de variação cambial oriundas de diferenças das moedas funcionais entre a operação no exterior e sua controladora imediata, ou se o </w:t>
      </w:r>
      <w:r w:rsidRPr="00A95BF3">
        <w:rPr>
          <w:rFonts w:ascii="Times New Roman" w:hAnsi="Times New Roman"/>
          <w:sz w:val="24"/>
        </w:rPr>
        <w:lastRenderedPageBreak/>
        <w:t>risco protegido pode também incluir quaisquer diferenças de variação cambial entre a moeda funcional da operação no exterior e qualquer sociedade controladora intermediária ou final (se o fato de que o investimento líquido no exterior mantido por intermédio da controladora intermediária afeta o risco econômico da controladora final).</w:t>
      </w:r>
    </w:p>
    <w:p w14:paraId="4500D07E" w14:textId="77777777" w:rsidR="00A95BF3" w:rsidRPr="00A95BF3" w:rsidRDefault="00A95BF3" w:rsidP="00A95BF3">
      <w:pPr>
        <w:widowControl w:val="0"/>
        <w:spacing w:before="0" w:after="0"/>
        <w:ind w:right="57"/>
        <w:rPr>
          <w:rFonts w:ascii="Times New Roman" w:hAnsi="Times New Roman"/>
          <w:sz w:val="24"/>
        </w:rPr>
      </w:pPr>
    </w:p>
    <w:p w14:paraId="4B4B4EAF" w14:textId="77777777" w:rsidR="00A95BF3" w:rsidRPr="00A95BF3" w:rsidRDefault="00A95BF3" w:rsidP="00E47C3D">
      <w:pPr>
        <w:widowControl w:val="0"/>
        <w:numPr>
          <w:ilvl w:val="0"/>
          <w:numId w:val="28"/>
        </w:numPr>
        <w:tabs>
          <w:tab w:val="num" w:pos="1070"/>
        </w:tabs>
        <w:spacing w:before="0" w:after="0"/>
        <w:ind w:left="1070" w:right="57"/>
        <w:rPr>
          <w:rFonts w:ascii="Times New Roman" w:hAnsi="Times New Roman"/>
          <w:sz w:val="24"/>
        </w:rPr>
      </w:pPr>
      <w:r w:rsidRPr="00A95BF3">
        <w:rPr>
          <w:rFonts w:ascii="Times New Roman" w:hAnsi="Times New Roman"/>
          <w:sz w:val="24"/>
        </w:rPr>
        <w:t xml:space="preserve">onde no grupo de sociedades o instrumento de </w:t>
      </w:r>
      <w:r w:rsidRPr="00A95BF3">
        <w:rPr>
          <w:rFonts w:ascii="Times New Roman" w:hAnsi="Times New Roman"/>
          <w:i/>
          <w:sz w:val="24"/>
        </w:rPr>
        <w:t>hedge</w:t>
      </w:r>
      <w:r w:rsidRPr="00A95BF3">
        <w:rPr>
          <w:rFonts w:ascii="Times New Roman" w:hAnsi="Times New Roman"/>
          <w:sz w:val="24"/>
        </w:rPr>
        <w:t xml:space="preserve"> pode ser mantido:</w:t>
      </w:r>
    </w:p>
    <w:p w14:paraId="23167268" w14:textId="77777777" w:rsidR="00A95BF3" w:rsidRPr="00A95BF3" w:rsidRDefault="00A95BF3" w:rsidP="00A95BF3">
      <w:pPr>
        <w:widowControl w:val="0"/>
        <w:spacing w:before="0" w:after="0"/>
        <w:ind w:left="1560" w:right="57"/>
        <w:rPr>
          <w:rFonts w:ascii="Times New Roman" w:hAnsi="Times New Roman"/>
          <w:sz w:val="24"/>
        </w:rPr>
      </w:pPr>
    </w:p>
    <w:p w14:paraId="2F2FC9A9" w14:textId="77777777" w:rsidR="00A95BF3" w:rsidRPr="00A95BF3" w:rsidRDefault="00A95BF3" w:rsidP="00E47C3D">
      <w:pPr>
        <w:widowControl w:val="0"/>
        <w:numPr>
          <w:ilvl w:val="0"/>
          <w:numId w:val="31"/>
        </w:numPr>
        <w:spacing w:before="0" w:after="0"/>
        <w:ind w:right="57"/>
        <w:rPr>
          <w:rFonts w:ascii="Times New Roman" w:hAnsi="Times New Roman"/>
          <w:sz w:val="24"/>
        </w:rPr>
      </w:pPr>
      <w:r w:rsidRPr="00A95BF3">
        <w:rPr>
          <w:rFonts w:ascii="Times New Roman" w:hAnsi="Times New Roman"/>
          <w:sz w:val="24"/>
        </w:rPr>
        <w:t xml:space="preserve">se uma relação de contabilidade de </w:t>
      </w:r>
      <w:r w:rsidRPr="00A95BF3">
        <w:rPr>
          <w:rFonts w:ascii="Times New Roman" w:hAnsi="Times New Roman"/>
          <w:i/>
          <w:sz w:val="24"/>
        </w:rPr>
        <w:t>hedge</w:t>
      </w:r>
      <w:r w:rsidRPr="00A95BF3">
        <w:rPr>
          <w:rFonts w:ascii="Times New Roman" w:hAnsi="Times New Roman"/>
          <w:sz w:val="24"/>
        </w:rPr>
        <w:t xml:space="preserve"> identificada pode ser estabelecida somente se a entidade, protegendo seu investimento líquido, participa do instrumento de </w:t>
      </w:r>
      <w:r w:rsidRPr="00A95BF3">
        <w:rPr>
          <w:rFonts w:ascii="Times New Roman" w:hAnsi="Times New Roman"/>
          <w:i/>
          <w:sz w:val="24"/>
        </w:rPr>
        <w:t>hedge</w:t>
      </w:r>
      <w:r w:rsidRPr="00A95BF3">
        <w:rPr>
          <w:rFonts w:ascii="Times New Roman" w:hAnsi="Times New Roman"/>
          <w:sz w:val="24"/>
        </w:rPr>
        <w:t xml:space="preserve"> ou se qualquer entidade no grupo, independentemente de sua moeda funcional, pode deter o instrumento de </w:t>
      </w:r>
      <w:r w:rsidRPr="00A95BF3">
        <w:rPr>
          <w:rFonts w:ascii="Times New Roman" w:hAnsi="Times New Roman"/>
          <w:i/>
          <w:sz w:val="24"/>
        </w:rPr>
        <w:t>hedge</w:t>
      </w:r>
      <w:r w:rsidRPr="00A95BF3">
        <w:rPr>
          <w:rFonts w:ascii="Times New Roman" w:hAnsi="Times New Roman"/>
          <w:sz w:val="24"/>
        </w:rPr>
        <w:t>;</w:t>
      </w:r>
    </w:p>
    <w:p w14:paraId="575835FB" w14:textId="77777777" w:rsidR="00A95BF3" w:rsidRPr="00A95BF3" w:rsidRDefault="00A95BF3" w:rsidP="00A95BF3">
      <w:pPr>
        <w:widowControl w:val="0"/>
        <w:spacing w:before="0" w:after="0"/>
        <w:ind w:left="1560" w:right="57"/>
        <w:rPr>
          <w:rFonts w:ascii="Times New Roman" w:hAnsi="Times New Roman"/>
          <w:sz w:val="24"/>
        </w:rPr>
      </w:pPr>
    </w:p>
    <w:p w14:paraId="6E1BB300" w14:textId="77777777" w:rsidR="00A95BF3" w:rsidRPr="00A95BF3" w:rsidRDefault="00A95BF3" w:rsidP="00E47C3D">
      <w:pPr>
        <w:widowControl w:val="0"/>
        <w:numPr>
          <w:ilvl w:val="0"/>
          <w:numId w:val="31"/>
        </w:numPr>
        <w:spacing w:before="0" w:after="0"/>
        <w:ind w:right="57"/>
        <w:rPr>
          <w:rFonts w:ascii="Times New Roman" w:hAnsi="Times New Roman"/>
          <w:sz w:val="24"/>
        </w:rPr>
      </w:pPr>
      <w:r w:rsidRPr="00A95BF3">
        <w:rPr>
          <w:rFonts w:ascii="Times New Roman" w:hAnsi="Times New Roman"/>
          <w:sz w:val="24"/>
        </w:rPr>
        <w:t xml:space="preserve">se a natureza do instrumento de </w:t>
      </w:r>
      <w:r w:rsidRPr="00A95BF3">
        <w:rPr>
          <w:rFonts w:ascii="Times New Roman" w:hAnsi="Times New Roman"/>
          <w:i/>
          <w:sz w:val="24"/>
        </w:rPr>
        <w:t>hedge</w:t>
      </w:r>
      <w:r w:rsidRPr="00A95BF3">
        <w:rPr>
          <w:rFonts w:ascii="Times New Roman" w:hAnsi="Times New Roman"/>
          <w:sz w:val="24"/>
        </w:rPr>
        <w:t xml:space="preserve"> (derivativo ou não derivativo) ou o método de consolidação afeta a verificação da eficácia do </w:t>
      </w:r>
      <w:r w:rsidRPr="00A95BF3">
        <w:rPr>
          <w:rFonts w:ascii="Times New Roman" w:hAnsi="Times New Roman"/>
          <w:i/>
          <w:sz w:val="24"/>
        </w:rPr>
        <w:t>hedge</w:t>
      </w:r>
      <w:r w:rsidRPr="00A95BF3">
        <w:rPr>
          <w:rFonts w:ascii="Times New Roman" w:hAnsi="Times New Roman"/>
          <w:sz w:val="24"/>
        </w:rPr>
        <w:t>;</w:t>
      </w:r>
    </w:p>
    <w:p w14:paraId="37AEF884" w14:textId="77777777" w:rsidR="00A95BF3" w:rsidRPr="00A95BF3" w:rsidRDefault="00A95BF3" w:rsidP="00A95BF3">
      <w:pPr>
        <w:widowControl w:val="0"/>
        <w:spacing w:before="0" w:after="0"/>
        <w:ind w:left="710" w:right="57"/>
        <w:rPr>
          <w:rFonts w:ascii="Times New Roman" w:hAnsi="Times New Roman"/>
          <w:sz w:val="24"/>
        </w:rPr>
      </w:pPr>
    </w:p>
    <w:p w14:paraId="4E80C0FC" w14:textId="77777777" w:rsidR="00A95BF3" w:rsidRPr="00A95BF3" w:rsidRDefault="00A95BF3" w:rsidP="00E47C3D">
      <w:pPr>
        <w:widowControl w:val="0"/>
        <w:numPr>
          <w:ilvl w:val="0"/>
          <w:numId w:val="28"/>
        </w:numPr>
        <w:tabs>
          <w:tab w:val="num" w:pos="1070"/>
        </w:tabs>
        <w:spacing w:before="0" w:after="0"/>
        <w:ind w:left="1070" w:right="57"/>
        <w:rPr>
          <w:rFonts w:ascii="Times New Roman" w:hAnsi="Times New Roman"/>
          <w:sz w:val="24"/>
        </w:rPr>
      </w:pPr>
      <w:r w:rsidRPr="00A95BF3">
        <w:rPr>
          <w:rFonts w:ascii="Times New Roman" w:hAnsi="Times New Roman"/>
          <w:sz w:val="24"/>
        </w:rPr>
        <w:t>que montantes devem ser reclassificados do patrimônio líquido para o resultado como ajuste de reclassificação na baixa da operação no exterior:</w:t>
      </w:r>
    </w:p>
    <w:p w14:paraId="3C786601" w14:textId="77777777" w:rsidR="00A95BF3" w:rsidRPr="00A95BF3" w:rsidRDefault="00A95BF3" w:rsidP="00A95BF3">
      <w:pPr>
        <w:widowControl w:val="0"/>
        <w:spacing w:before="0" w:after="0"/>
        <w:ind w:left="1560" w:right="57"/>
        <w:rPr>
          <w:rFonts w:ascii="Times New Roman" w:hAnsi="Times New Roman"/>
          <w:sz w:val="24"/>
        </w:rPr>
      </w:pPr>
    </w:p>
    <w:p w14:paraId="71EE01C3" w14:textId="77777777" w:rsidR="00A95BF3" w:rsidRPr="00A95BF3" w:rsidRDefault="00A95BF3" w:rsidP="00E47C3D">
      <w:pPr>
        <w:widowControl w:val="0"/>
        <w:numPr>
          <w:ilvl w:val="0"/>
          <w:numId w:val="32"/>
        </w:numPr>
        <w:spacing w:before="0" w:after="0"/>
        <w:ind w:right="57"/>
        <w:rPr>
          <w:rFonts w:ascii="Times New Roman" w:hAnsi="Times New Roman"/>
          <w:sz w:val="24"/>
        </w:rPr>
      </w:pPr>
      <w:r w:rsidRPr="00A95BF3">
        <w:rPr>
          <w:rFonts w:ascii="Times New Roman" w:hAnsi="Times New Roman"/>
          <w:sz w:val="24"/>
        </w:rPr>
        <w:t xml:space="preserve">quando uma operação no exterior que foi protegida é baixada, que montantes dos ajustes de conversão acumulados da sociedade controladora, que se referem ao instrumento de </w:t>
      </w:r>
      <w:r w:rsidRPr="00A95BF3">
        <w:rPr>
          <w:rFonts w:ascii="Times New Roman" w:hAnsi="Times New Roman"/>
          <w:i/>
          <w:sz w:val="24"/>
        </w:rPr>
        <w:t>hedge</w:t>
      </w:r>
      <w:r w:rsidRPr="00A95BF3">
        <w:rPr>
          <w:rFonts w:ascii="Times New Roman" w:hAnsi="Times New Roman"/>
          <w:sz w:val="24"/>
        </w:rPr>
        <w:t xml:space="preserve"> e a essa operação no exterior, devem ser reclassificados do patrimônio para o resultado nas demonstrações contábeis consolidadas da sociedade controladora;</w:t>
      </w:r>
    </w:p>
    <w:p w14:paraId="52C68808" w14:textId="77777777" w:rsidR="00A95BF3" w:rsidRPr="00A95BF3" w:rsidRDefault="00A95BF3" w:rsidP="00A95BF3">
      <w:pPr>
        <w:widowControl w:val="0"/>
        <w:spacing w:before="0" w:after="0"/>
        <w:ind w:left="1560" w:right="57"/>
        <w:rPr>
          <w:rFonts w:ascii="Times New Roman" w:hAnsi="Times New Roman"/>
          <w:sz w:val="24"/>
        </w:rPr>
      </w:pPr>
    </w:p>
    <w:p w14:paraId="255D6DDB" w14:textId="77777777" w:rsidR="00A95BF3" w:rsidRPr="00A95BF3" w:rsidRDefault="00A95BF3" w:rsidP="00E47C3D">
      <w:pPr>
        <w:widowControl w:val="0"/>
        <w:numPr>
          <w:ilvl w:val="0"/>
          <w:numId w:val="32"/>
        </w:numPr>
        <w:spacing w:before="0" w:after="0"/>
        <w:ind w:right="57"/>
        <w:rPr>
          <w:rFonts w:ascii="Times New Roman" w:hAnsi="Times New Roman"/>
          <w:sz w:val="24"/>
        </w:rPr>
      </w:pPr>
      <w:r w:rsidRPr="00A95BF3">
        <w:rPr>
          <w:rFonts w:ascii="Times New Roman" w:hAnsi="Times New Roman"/>
          <w:sz w:val="24"/>
        </w:rPr>
        <w:t>se o método de consolidação afeta a determinação dos montantes a serem reclassificados do patrimônio para o resultado.</w:t>
      </w:r>
    </w:p>
    <w:p w14:paraId="0C4C20F6" w14:textId="77777777" w:rsidR="00A95BF3" w:rsidRPr="00A95BF3" w:rsidRDefault="00A95BF3" w:rsidP="00A95BF3">
      <w:pPr>
        <w:pStyle w:val="Textoembloco"/>
        <w:spacing w:before="0" w:after="0" w:line="240" w:lineRule="auto"/>
        <w:ind w:left="57" w:firstLine="0"/>
        <w:jc w:val="both"/>
        <w:rPr>
          <w:rFonts w:ascii="Times New Roman" w:hAnsi="Times New Roman"/>
          <w:b/>
          <w:sz w:val="24"/>
          <w:lang w:val="pt-BR"/>
        </w:rPr>
      </w:pPr>
    </w:p>
    <w:p w14:paraId="5F992BE5"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Consenso</w:t>
      </w:r>
    </w:p>
    <w:p w14:paraId="1235E8AE"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392C11AF"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 xml:space="preserve">Natureza do risco protegido e montante do item objeto de hedge para o qual uma relação de </w:t>
      </w:r>
      <w:r>
        <w:rPr>
          <w:rFonts w:ascii="Times New Roman" w:hAnsi="Times New Roman"/>
          <w:b/>
          <w:i/>
          <w:sz w:val="24"/>
          <w:lang w:val="pt-BR"/>
        </w:rPr>
        <w:t>hedge</w:t>
      </w:r>
      <w:r>
        <w:rPr>
          <w:rFonts w:ascii="Times New Roman" w:hAnsi="Times New Roman"/>
          <w:b/>
          <w:sz w:val="24"/>
          <w:lang w:val="pt-BR"/>
        </w:rPr>
        <w:t xml:space="preserve"> pode ser designada</w:t>
      </w:r>
    </w:p>
    <w:p w14:paraId="6AAF426F"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609490B0"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10. </w:t>
      </w:r>
      <w:r>
        <w:rPr>
          <w:rFonts w:ascii="Times New Roman" w:hAnsi="Times New Roman"/>
          <w:sz w:val="24"/>
          <w:lang w:val="pt-BR"/>
        </w:rPr>
        <w:tab/>
        <w:t xml:space="preserve">A contabilidade de </w:t>
      </w:r>
      <w:r>
        <w:rPr>
          <w:rFonts w:ascii="Times New Roman" w:hAnsi="Times New Roman"/>
          <w:i/>
          <w:sz w:val="24"/>
          <w:lang w:val="pt-BR"/>
        </w:rPr>
        <w:t>hedge</w:t>
      </w:r>
      <w:r>
        <w:rPr>
          <w:rFonts w:ascii="Times New Roman" w:hAnsi="Times New Roman"/>
          <w:sz w:val="24"/>
          <w:lang w:val="pt-BR"/>
        </w:rPr>
        <w:t xml:space="preserve"> pode ser aplicada somente para as diferenças de variação cambial entre a moeda funcional da operação no exterior e a moeda funcional da sociedade controladora.</w:t>
      </w:r>
    </w:p>
    <w:p w14:paraId="3E7F8D26"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3E56C325"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11. </w:t>
      </w:r>
      <w:proofErr w:type="gramStart"/>
      <w:r>
        <w:rPr>
          <w:rFonts w:ascii="Times New Roman" w:hAnsi="Times New Roman"/>
          <w:sz w:val="24"/>
          <w:lang w:val="pt-BR"/>
        </w:rPr>
        <w:tab/>
        <w:t>No</w:t>
      </w:r>
      <w:proofErr w:type="gramEnd"/>
      <w:r>
        <w:rPr>
          <w:rFonts w:ascii="Times New Roman" w:hAnsi="Times New Roman"/>
          <w:sz w:val="24"/>
          <w:lang w:val="pt-BR"/>
        </w:rPr>
        <w:t xml:space="preserve"> </w:t>
      </w:r>
      <w:r>
        <w:rPr>
          <w:rFonts w:ascii="Times New Roman" w:hAnsi="Times New Roman"/>
          <w:i/>
          <w:sz w:val="24"/>
          <w:lang w:val="pt-BR"/>
        </w:rPr>
        <w:t>hedge</w:t>
      </w:r>
      <w:r>
        <w:rPr>
          <w:rFonts w:ascii="Times New Roman" w:hAnsi="Times New Roman"/>
          <w:sz w:val="24"/>
          <w:lang w:val="pt-BR"/>
        </w:rPr>
        <w:t xml:space="preserve"> de riscos de variação cambial oriundos de investimento líquido em operação no exterior, o item objeto de hedge pode ser um montante de ativos líquidos igual ou menor que o valor contábil dos ativos líquidos da operação no exterior apresentados nas demonstrações contábeis consolidadas da sociedade controladora. O valor contábil dos ativos líquidos da operação no exterior que podem ser designados como item protegido nas demonstrações contábeis consolidadas da controladora depende se qualquer outra sociedade controladora intermediária da operação no exterior aplicou contabilidade de </w:t>
      </w:r>
      <w:r>
        <w:rPr>
          <w:rFonts w:ascii="Times New Roman" w:hAnsi="Times New Roman"/>
          <w:i/>
          <w:sz w:val="24"/>
          <w:lang w:val="pt-BR"/>
        </w:rPr>
        <w:t>hedge</w:t>
      </w:r>
      <w:r>
        <w:rPr>
          <w:rFonts w:ascii="Times New Roman" w:hAnsi="Times New Roman"/>
          <w:sz w:val="24"/>
          <w:lang w:val="pt-BR"/>
        </w:rPr>
        <w:t xml:space="preserve"> para todo ou parte dos ativos líquidos daquela operação no exterior e se essa </w:t>
      </w:r>
      <w:r>
        <w:rPr>
          <w:rFonts w:ascii="Times New Roman" w:hAnsi="Times New Roman"/>
          <w:sz w:val="24"/>
          <w:lang w:val="pt-BR"/>
        </w:rPr>
        <w:lastRenderedPageBreak/>
        <w:t>contabilização tenha sido mantida nas demonstrações consolidadas da sociedade controladora final.</w:t>
      </w:r>
    </w:p>
    <w:p w14:paraId="21894234"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29BD7D9D"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12. </w:t>
      </w:r>
      <w:r>
        <w:rPr>
          <w:rFonts w:ascii="Times New Roman" w:hAnsi="Times New Roman"/>
          <w:sz w:val="24"/>
          <w:lang w:val="pt-BR"/>
        </w:rPr>
        <w:tab/>
        <w:t>O risco protegido pode ser conceituado como a exposição em moeda estrangeira oriunda da moeda funcional da operação no exterior e a moeda funcional de qualquer sociedade controladora do grupo (a imediata, intermediária ou controladora final) da operação no exterior. O fato de que o investimento líquido é mantido por intermédio da controladora intermediária não afeta a natureza do risco econômico oriundo da exposição cambial da controladora final.</w:t>
      </w:r>
    </w:p>
    <w:p w14:paraId="6588B6C4"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8D86906"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13. </w:t>
      </w:r>
      <w:r>
        <w:rPr>
          <w:rFonts w:ascii="Times New Roman" w:hAnsi="Times New Roman"/>
          <w:sz w:val="24"/>
          <w:lang w:val="pt-BR"/>
        </w:rPr>
        <w:tab/>
        <w:t xml:space="preserve">A exposição ao risco de moeda estrangeira oriunda de investimento líquido em operação no exterior pode ser enquadrada como contabilidade de </w:t>
      </w:r>
      <w:r>
        <w:rPr>
          <w:rFonts w:ascii="Times New Roman" w:hAnsi="Times New Roman"/>
          <w:i/>
          <w:sz w:val="24"/>
          <w:lang w:val="pt-BR"/>
        </w:rPr>
        <w:t>hedge</w:t>
      </w:r>
      <w:r>
        <w:rPr>
          <w:rFonts w:ascii="Times New Roman" w:hAnsi="Times New Roman"/>
          <w:sz w:val="24"/>
          <w:lang w:val="pt-BR"/>
        </w:rPr>
        <w:t xml:space="preserve"> somente uma vez nas demonstrações contábeis consolidadas. Dessa forma, se os mesmos ativos líquidos de operação no exterior são protegidos por mais de uma sociedade controladora dentro do grupo (por exemplo, simultaneamente pela sociedade controladora direta e indireta) para o mesmo risco, somente uma relação de </w:t>
      </w:r>
      <w:r>
        <w:rPr>
          <w:rFonts w:ascii="Times New Roman" w:hAnsi="Times New Roman"/>
          <w:i/>
          <w:sz w:val="24"/>
          <w:lang w:val="pt-BR"/>
        </w:rPr>
        <w:t>hedge</w:t>
      </w:r>
      <w:r>
        <w:rPr>
          <w:rFonts w:ascii="Times New Roman" w:hAnsi="Times New Roman"/>
          <w:sz w:val="24"/>
          <w:lang w:val="pt-BR"/>
        </w:rPr>
        <w:t xml:space="preserve"> irá classificar-se como contabilidade de </w:t>
      </w:r>
      <w:r>
        <w:rPr>
          <w:rFonts w:ascii="Times New Roman" w:hAnsi="Times New Roman"/>
          <w:i/>
          <w:sz w:val="24"/>
          <w:lang w:val="pt-BR"/>
        </w:rPr>
        <w:t>hedge</w:t>
      </w:r>
      <w:r>
        <w:rPr>
          <w:rFonts w:ascii="Times New Roman" w:hAnsi="Times New Roman"/>
          <w:sz w:val="24"/>
          <w:lang w:val="pt-BR"/>
        </w:rPr>
        <w:t xml:space="preserve"> nas demonstrações contábeis consolidadas da controladora final. A relação de </w:t>
      </w:r>
      <w:r>
        <w:rPr>
          <w:rFonts w:ascii="Times New Roman" w:hAnsi="Times New Roman"/>
          <w:i/>
          <w:sz w:val="24"/>
          <w:lang w:val="pt-BR"/>
        </w:rPr>
        <w:t>hedge</w:t>
      </w:r>
      <w:r>
        <w:rPr>
          <w:rFonts w:ascii="Times New Roman" w:hAnsi="Times New Roman"/>
          <w:sz w:val="24"/>
          <w:lang w:val="pt-BR"/>
        </w:rPr>
        <w:t xml:space="preserve"> designada por uma empresa controladora do grupo em suas demonstrações contábeis consolidadas não precisa ser mantida por outra sociedade controladora em um nível acima. No entanto, se ela não é mantida por uma sociedade controladora em um nível acima, a contabilidade de </w:t>
      </w:r>
      <w:r>
        <w:rPr>
          <w:rFonts w:ascii="Times New Roman" w:hAnsi="Times New Roman"/>
          <w:i/>
          <w:sz w:val="24"/>
          <w:lang w:val="pt-BR"/>
        </w:rPr>
        <w:t>hedge</w:t>
      </w:r>
      <w:r>
        <w:rPr>
          <w:rFonts w:ascii="Times New Roman" w:hAnsi="Times New Roman"/>
          <w:sz w:val="24"/>
          <w:lang w:val="pt-BR"/>
        </w:rPr>
        <w:t xml:space="preserve"> aplicada pela sociedade controladora intermediária deve ser revertida antes de a contabilidade de </w:t>
      </w:r>
      <w:r>
        <w:rPr>
          <w:rFonts w:ascii="Times New Roman" w:hAnsi="Times New Roman"/>
          <w:i/>
          <w:sz w:val="24"/>
          <w:lang w:val="pt-BR"/>
        </w:rPr>
        <w:t>hedge</w:t>
      </w:r>
      <w:r>
        <w:rPr>
          <w:rFonts w:ascii="Times New Roman" w:hAnsi="Times New Roman"/>
          <w:sz w:val="24"/>
          <w:lang w:val="pt-BR"/>
        </w:rPr>
        <w:t xml:space="preserve"> ser reconhecida pela sociedade controladora em um nível acima.</w:t>
      </w:r>
    </w:p>
    <w:p w14:paraId="3141F3A2"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A2C4945"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 xml:space="preserve">Onde o instrumento de </w:t>
      </w:r>
      <w:r>
        <w:rPr>
          <w:rFonts w:ascii="Times New Roman" w:hAnsi="Times New Roman"/>
          <w:b/>
          <w:i/>
          <w:sz w:val="24"/>
          <w:lang w:val="pt-BR"/>
        </w:rPr>
        <w:t>hedge</w:t>
      </w:r>
      <w:r>
        <w:rPr>
          <w:rFonts w:ascii="Times New Roman" w:hAnsi="Times New Roman"/>
          <w:b/>
          <w:sz w:val="24"/>
          <w:lang w:val="pt-BR"/>
        </w:rPr>
        <w:t xml:space="preserve"> pode ser mantido</w:t>
      </w:r>
    </w:p>
    <w:p w14:paraId="2003B77B"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9A2B43D"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14. </w:t>
      </w:r>
      <w:proofErr w:type="gramStart"/>
      <w:r>
        <w:rPr>
          <w:rFonts w:ascii="Times New Roman" w:hAnsi="Times New Roman"/>
          <w:sz w:val="24"/>
          <w:lang w:val="pt-BR"/>
        </w:rPr>
        <w:tab/>
        <w:t>Um</w:t>
      </w:r>
      <w:proofErr w:type="gramEnd"/>
      <w:r>
        <w:rPr>
          <w:rFonts w:ascii="Times New Roman" w:hAnsi="Times New Roman"/>
          <w:sz w:val="24"/>
          <w:lang w:val="pt-BR"/>
        </w:rPr>
        <w:t xml:space="preserve"> derivativo ou um instrumento não derivativo (ou uma combinação de instrumentos derivativos e não derivativo) pode ser designado como instrumento de </w:t>
      </w:r>
      <w:r>
        <w:rPr>
          <w:rFonts w:ascii="Times New Roman" w:hAnsi="Times New Roman"/>
          <w:i/>
          <w:sz w:val="24"/>
          <w:lang w:val="pt-BR"/>
        </w:rPr>
        <w:t>hedge</w:t>
      </w:r>
      <w:r>
        <w:rPr>
          <w:rFonts w:ascii="Times New Roman" w:hAnsi="Times New Roman"/>
          <w:sz w:val="24"/>
          <w:lang w:val="pt-BR"/>
        </w:rPr>
        <w:t xml:space="preserve"> em </w:t>
      </w:r>
      <w:r>
        <w:rPr>
          <w:rFonts w:ascii="Times New Roman" w:hAnsi="Times New Roman"/>
          <w:i/>
          <w:sz w:val="24"/>
          <w:lang w:val="pt-BR"/>
        </w:rPr>
        <w:t>hedge</w:t>
      </w:r>
      <w:r>
        <w:rPr>
          <w:rFonts w:ascii="Times New Roman" w:hAnsi="Times New Roman"/>
          <w:sz w:val="24"/>
          <w:lang w:val="pt-BR"/>
        </w:rPr>
        <w:t xml:space="preserve"> de investimento líquido em operação no exterior. Os instrumentos de </w:t>
      </w:r>
      <w:r>
        <w:rPr>
          <w:rFonts w:ascii="Times New Roman" w:hAnsi="Times New Roman"/>
          <w:i/>
          <w:sz w:val="24"/>
          <w:lang w:val="pt-BR"/>
        </w:rPr>
        <w:t>hedge</w:t>
      </w:r>
      <w:r>
        <w:rPr>
          <w:rFonts w:ascii="Times New Roman" w:hAnsi="Times New Roman"/>
          <w:sz w:val="24"/>
          <w:lang w:val="pt-BR"/>
        </w:rPr>
        <w:t xml:space="preserve"> podem ser mantidos por qualquer entidade ou entidades dentro do grupo (exceto na operação no exterior que está sendo protegida) desde que os requisitos de classificação, documentação e eficácia do Pronunciamento Técnico CPC 38, item 88, que se relacionam com o </w:t>
      </w:r>
      <w:r>
        <w:rPr>
          <w:rFonts w:ascii="Times New Roman" w:hAnsi="Times New Roman"/>
          <w:i/>
          <w:sz w:val="24"/>
          <w:lang w:val="pt-BR"/>
        </w:rPr>
        <w:t>hedge</w:t>
      </w:r>
      <w:r>
        <w:rPr>
          <w:rFonts w:ascii="Times New Roman" w:hAnsi="Times New Roman"/>
          <w:sz w:val="24"/>
          <w:lang w:val="pt-BR"/>
        </w:rPr>
        <w:t xml:space="preserve"> de investimento líquido, sejam atendidos. Em particular, a estratégia de </w:t>
      </w:r>
      <w:r>
        <w:rPr>
          <w:rFonts w:ascii="Times New Roman" w:hAnsi="Times New Roman"/>
          <w:i/>
          <w:sz w:val="24"/>
          <w:lang w:val="pt-BR"/>
        </w:rPr>
        <w:t>hedge</w:t>
      </w:r>
      <w:r>
        <w:rPr>
          <w:rFonts w:ascii="Times New Roman" w:hAnsi="Times New Roman"/>
          <w:sz w:val="24"/>
          <w:lang w:val="pt-BR"/>
        </w:rPr>
        <w:t xml:space="preserve"> do grupo deve ser claramente documentada por causa da possibilidade de diferentes classificações em níveis diferentes do grupo.</w:t>
      </w:r>
    </w:p>
    <w:p w14:paraId="01E957BD"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6FD79D63"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15. </w:t>
      </w:r>
      <w:proofErr w:type="gramStart"/>
      <w:r>
        <w:rPr>
          <w:rFonts w:ascii="Times New Roman" w:hAnsi="Times New Roman"/>
          <w:sz w:val="24"/>
          <w:lang w:val="pt-BR"/>
        </w:rPr>
        <w:tab/>
        <w:t>Para</w:t>
      </w:r>
      <w:proofErr w:type="gramEnd"/>
      <w:r>
        <w:rPr>
          <w:rFonts w:ascii="Times New Roman" w:hAnsi="Times New Roman"/>
          <w:sz w:val="24"/>
          <w:lang w:val="pt-BR"/>
        </w:rPr>
        <w:t xml:space="preserve"> o propósito de verificar a eficácia da contabilidade de </w:t>
      </w:r>
      <w:r>
        <w:rPr>
          <w:rFonts w:ascii="Times New Roman" w:hAnsi="Times New Roman"/>
          <w:i/>
          <w:sz w:val="24"/>
          <w:lang w:val="pt-BR"/>
        </w:rPr>
        <w:t>hedge</w:t>
      </w:r>
      <w:r>
        <w:rPr>
          <w:rFonts w:ascii="Times New Roman" w:hAnsi="Times New Roman"/>
          <w:sz w:val="24"/>
          <w:lang w:val="pt-BR"/>
        </w:rPr>
        <w:t xml:space="preserve">, a mudança no valor do instrumento de </w:t>
      </w:r>
      <w:r>
        <w:rPr>
          <w:rFonts w:ascii="Times New Roman" w:hAnsi="Times New Roman"/>
          <w:i/>
          <w:sz w:val="24"/>
          <w:lang w:val="pt-BR"/>
        </w:rPr>
        <w:t>hedge</w:t>
      </w:r>
      <w:r>
        <w:rPr>
          <w:rFonts w:ascii="Times New Roman" w:hAnsi="Times New Roman"/>
          <w:sz w:val="24"/>
          <w:lang w:val="pt-BR"/>
        </w:rPr>
        <w:t xml:space="preserve">, relativa ao risco de variação cambial deve ser computada com referência à moeda funcional da sociedade controladora contra a moeda funcional cujo risco sendo protegido é mensurado, de acordo com a documentação da contabilidade de </w:t>
      </w:r>
      <w:r>
        <w:rPr>
          <w:rFonts w:ascii="Times New Roman" w:hAnsi="Times New Roman"/>
          <w:i/>
          <w:sz w:val="24"/>
          <w:lang w:val="pt-BR"/>
        </w:rPr>
        <w:t>hedge</w:t>
      </w:r>
      <w:r>
        <w:rPr>
          <w:rFonts w:ascii="Times New Roman" w:hAnsi="Times New Roman"/>
          <w:sz w:val="24"/>
          <w:lang w:val="pt-BR"/>
        </w:rPr>
        <w:t xml:space="preserve">. Dependendo de onde o instrumento de </w:t>
      </w:r>
      <w:r>
        <w:rPr>
          <w:rFonts w:ascii="Times New Roman" w:hAnsi="Times New Roman"/>
          <w:i/>
          <w:sz w:val="24"/>
          <w:lang w:val="pt-BR"/>
        </w:rPr>
        <w:t>hedge</w:t>
      </w:r>
      <w:r>
        <w:rPr>
          <w:rFonts w:ascii="Times New Roman" w:hAnsi="Times New Roman"/>
          <w:sz w:val="24"/>
          <w:lang w:val="pt-BR"/>
        </w:rPr>
        <w:t xml:space="preserve"> é mantido, na ausência de contabilidade de </w:t>
      </w:r>
      <w:r>
        <w:rPr>
          <w:rFonts w:ascii="Times New Roman" w:hAnsi="Times New Roman"/>
          <w:i/>
          <w:sz w:val="24"/>
          <w:lang w:val="pt-BR"/>
        </w:rPr>
        <w:t>hedge</w:t>
      </w:r>
      <w:r>
        <w:rPr>
          <w:rFonts w:ascii="Times New Roman" w:hAnsi="Times New Roman"/>
          <w:sz w:val="24"/>
          <w:lang w:val="pt-BR"/>
        </w:rPr>
        <w:t xml:space="preserve"> a mudança total no valor pode ser reconhecida em resultado, em outros resultados abrangentes, ou em ambos. No entanto, a verificação da eficácia não deve ser afetada se o reconhecimento da mudança do valor do instrumento de </w:t>
      </w:r>
      <w:r>
        <w:rPr>
          <w:rFonts w:ascii="Times New Roman" w:hAnsi="Times New Roman"/>
          <w:i/>
          <w:sz w:val="24"/>
          <w:lang w:val="pt-BR"/>
        </w:rPr>
        <w:t>hedge</w:t>
      </w:r>
      <w:r>
        <w:rPr>
          <w:rFonts w:ascii="Times New Roman" w:hAnsi="Times New Roman"/>
          <w:sz w:val="24"/>
          <w:lang w:val="pt-BR"/>
        </w:rPr>
        <w:t xml:space="preserve"> é feito em resultado ou em outros resultados abrangentes como ajustes de conversão acumulados. Como parte da aplicação da contabilidade de </w:t>
      </w:r>
      <w:r>
        <w:rPr>
          <w:rFonts w:ascii="Times New Roman" w:hAnsi="Times New Roman"/>
          <w:i/>
          <w:sz w:val="24"/>
          <w:lang w:val="pt-BR"/>
        </w:rPr>
        <w:t>hedge</w:t>
      </w:r>
      <w:r>
        <w:rPr>
          <w:rFonts w:ascii="Times New Roman" w:hAnsi="Times New Roman"/>
          <w:sz w:val="24"/>
          <w:lang w:val="pt-BR"/>
        </w:rPr>
        <w:t xml:space="preserve">, a parcela eficaz do </w:t>
      </w:r>
      <w:r>
        <w:rPr>
          <w:rFonts w:ascii="Times New Roman" w:hAnsi="Times New Roman"/>
          <w:i/>
          <w:sz w:val="24"/>
          <w:lang w:val="pt-BR"/>
        </w:rPr>
        <w:t>hedge</w:t>
      </w:r>
      <w:r>
        <w:rPr>
          <w:rFonts w:ascii="Times New Roman" w:hAnsi="Times New Roman"/>
          <w:sz w:val="24"/>
          <w:lang w:val="pt-BR"/>
        </w:rPr>
        <w:t xml:space="preserve"> deve ser incluída em ajustes de conversão acumulados. A verificação da eficácia não deve ser afetada pelo fato de o instrumento de </w:t>
      </w:r>
      <w:r>
        <w:rPr>
          <w:rFonts w:ascii="Times New Roman" w:hAnsi="Times New Roman"/>
          <w:i/>
          <w:sz w:val="24"/>
          <w:lang w:val="pt-BR"/>
        </w:rPr>
        <w:t>hedge</w:t>
      </w:r>
      <w:r>
        <w:rPr>
          <w:rFonts w:ascii="Times New Roman" w:hAnsi="Times New Roman"/>
          <w:sz w:val="24"/>
          <w:lang w:val="pt-BR"/>
        </w:rPr>
        <w:t xml:space="preserve"> ser ou não derivativo ou pelo método de consolidação.</w:t>
      </w:r>
    </w:p>
    <w:p w14:paraId="3DBDD3DB"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367550E6"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lastRenderedPageBreak/>
        <w:t xml:space="preserve">Baixa de </w:t>
      </w:r>
      <w:r>
        <w:rPr>
          <w:rFonts w:ascii="Times New Roman" w:hAnsi="Times New Roman"/>
          <w:b/>
          <w:i/>
          <w:sz w:val="24"/>
          <w:lang w:val="pt-BR"/>
        </w:rPr>
        <w:t>hedge</w:t>
      </w:r>
      <w:r>
        <w:rPr>
          <w:rFonts w:ascii="Times New Roman" w:hAnsi="Times New Roman"/>
          <w:b/>
          <w:sz w:val="24"/>
          <w:lang w:val="pt-BR"/>
        </w:rPr>
        <w:t xml:space="preserve"> de operação no exterior</w:t>
      </w:r>
    </w:p>
    <w:p w14:paraId="4DAD6750"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10614726"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16. </w:t>
      </w:r>
      <w:proofErr w:type="gramStart"/>
      <w:r>
        <w:rPr>
          <w:rFonts w:ascii="Times New Roman" w:hAnsi="Times New Roman"/>
          <w:sz w:val="24"/>
          <w:lang w:val="pt-BR"/>
        </w:rPr>
        <w:tab/>
        <w:t>Quando</w:t>
      </w:r>
      <w:proofErr w:type="gramEnd"/>
      <w:r>
        <w:rPr>
          <w:rFonts w:ascii="Times New Roman" w:hAnsi="Times New Roman"/>
          <w:sz w:val="24"/>
          <w:lang w:val="pt-BR"/>
        </w:rPr>
        <w:t xml:space="preserve"> a operação no exterior que foi protegida é baixada, o montante reclassificado para o resultado nas demonstrações contábeis consolidadas da sociedade controladora como ajuste de reclassificação dos ajustes de conversão acumulados, no que se refere ao instrumento de </w:t>
      </w:r>
      <w:r>
        <w:rPr>
          <w:rFonts w:ascii="Times New Roman" w:hAnsi="Times New Roman"/>
          <w:i/>
          <w:sz w:val="24"/>
          <w:lang w:val="pt-BR"/>
        </w:rPr>
        <w:t>hedge</w:t>
      </w:r>
      <w:r>
        <w:rPr>
          <w:rFonts w:ascii="Times New Roman" w:hAnsi="Times New Roman"/>
          <w:sz w:val="24"/>
          <w:lang w:val="pt-BR"/>
        </w:rPr>
        <w:t xml:space="preserve">, deve ser o montante que o Pronunciamento Técnico CPC 38, item 102, requer que seja identificado. Esse montante é o ganho ou a </w:t>
      </w:r>
      <w:proofErr w:type="gramStart"/>
      <w:r>
        <w:rPr>
          <w:rFonts w:ascii="Times New Roman" w:hAnsi="Times New Roman"/>
          <w:sz w:val="24"/>
          <w:lang w:val="pt-BR"/>
        </w:rPr>
        <w:t>perda cumulativo</w:t>
      </w:r>
      <w:proofErr w:type="gramEnd"/>
      <w:r>
        <w:rPr>
          <w:rFonts w:ascii="Times New Roman" w:hAnsi="Times New Roman"/>
          <w:sz w:val="24"/>
          <w:lang w:val="pt-BR"/>
        </w:rPr>
        <w:t xml:space="preserve"> no instrumento de </w:t>
      </w:r>
      <w:r>
        <w:rPr>
          <w:rFonts w:ascii="Times New Roman" w:hAnsi="Times New Roman"/>
          <w:i/>
          <w:sz w:val="24"/>
          <w:lang w:val="pt-BR"/>
        </w:rPr>
        <w:t>hedge</w:t>
      </w:r>
      <w:r>
        <w:rPr>
          <w:rFonts w:ascii="Times New Roman" w:hAnsi="Times New Roman"/>
          <w:sz w:val="24"/>
          <w:lang w:val="pt-BR"/>
        </w:rPr>
        <w:t xml:space="preserve"> que foi designado como </w:t>
      </w:r>
      <w:r>
        <w:rPr>
          <w:rFonts w:ascii="Times New Roman" w:hAnsi="Times New Roman"/>
          <w:i/>
          <w:sz w:val="24"/>
          <w:lang w:val="pt-BR"/>
        </w:rPr>
        <w:t>hedge</w:t>
      </w:r>
      <w:r>
        <w:rPr>
          <w:rFonts w:ascii="Times New Roman" w:hAnsi="Times New Roman"/>
          <w:sz w:val="24"/>
          <w:lang w:val="pt-BR"/>
        </w:rPr>
        <w:t xml:space="preserve"> efetivo.</w:t>
      </w:r>
    </w:p>
    <w:p w14:paraId="7EF34389"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5572CA97"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17. </w:t>
      </w:r>
      <w:r>
        <w:rPr>
          <w:rFonts w:ascii="Times New Roman" w:hAnsi="Times New Roman"/>
          <w:sz w:val="24"/>
          <w:lang w:val="pt-BR"/>
        </w:rPr>
        <w:tab/>
        <w:t xml:space="preserve">O montante dos ajustes de conversão acumulados reclassificados para o resultado nas demonstrações contábeis consolidadas da sociedade controladora no que se refere ao investimento líquido naquela operação no exterior de acordo com o Pronunciamento Técnico CPC 02, item 48, deve ser o montante incluído nos ajustes de conversão acumulados daquela entidade. Nas demonstrações contábeis consolidadas da controladora final, o montante líquido agregado reconhecido como ajustes de conversão acumulados, com relação a todas as operações no exterior, não deve ser afetado pelo método de consolidação. No entanto, se a controladora final utilizar o método direto ou o método passo a passo de consolidação isso pode afetar o montante incluído em seus ajustes de conversão acumulados no que tange a uma operação individual no exterior. A utilização do método passo a passo de consolidação pode resultar na reclassificação para o resultado de montante diferente daquele utilizado para determinar a eficácia do </w:t>
      </w:r>
      <w:r>
        <w:rPr>
          <w:rFonts w:ascii="Times New Roman" w:hAnsi="Times New Roman"/>
          <w:i/>
          <w:sz w:val="24"/>
          <w:lang w:val="pt-BR"/>
        </w:rPr>
        <w:t>hedge</w:t>
      </w:r>
      <w:r>
        <w:rPr>
          <w:rFonts w:ascii="Times New Roman" w:hAnsi="Times New Roman"/>
          <w:sz w:val="24"/>
          <w:lang w:val="pt-BR"/>
        </w:rPr>
        <w:t>. Essa diferença pode ser eliminada pela determinação do montante relacionado com essa operação no exterior que teria surgido se o método de consolidação direta tivesse sido utilizado. Esse ajuste não é requerido pelo Pronunciamento Técnico CPC 02. No entanto, é uma escolha de política contábil da entidade que deve ser seguida consistentemente para todos os investimentos líquidos.</w:t>
      </w:r>
    </w:p>
    <w:p w14:paraId="2FD2EB62"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99CD0FD"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18. </w:t>
      </w:r>
      <w:r>
        <w:rPr>
          <w:rFonts w:ascii="Times New Roman" w:hAnsi="Times New Roman"/>
          <w:sz w:val="24"/>
          <w:lang w:val="pt-BR"/>
        </w:rPr>
        <w:tab/>
        <w:t xml:space="preserve">(Eliminado). </w:t>
      </w:r>
    </w:p>
    <w:p w14:paraId="200A5134" w14:textId="77777777" w:rsidR="00A95BF3" w:rsidRDefault="00A95BF3" w:rsidP="00A95BF3">
      <w:pPr>
        <w:pStyle w:val="Corpodetexto"/>
      </w:pPr>
    </w:p>
    <w:p w14:paraId="46DA02D2"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Transição</w:t>
      </w:r>
    </w:p>
    <w:p w14:paraId="34AAFE58"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1EEC3775"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 xml:space="preserve">19. </w:t>
      </w:r>
      <w:r>
        <w:rPr>
          <w:rFonts w:ascii="Times New Roman" w:hAnsi="Times New Roman"/>
          <w:sz w:val="24"/>
          <w:lang w:val="pt-BR"/>
        </w:rPr>
        <w:tab/>
        <w:t xml:space="preserve">O Pronunciamento Técnico CPC 23 especifica como a entidade deve aplicar uma mudança de política contábil oriunda da aplicação inicial de uma Interpretação. A entidade não precisa atender a esses requisitos na aplicação inicial desta Interpretação. Se a entidade designou um instrumento de </w:t>
      </w:r>
      <w:r>
        <w:rPr>
          <w:rFonts w:ascii="Times New Roman" w:hAnsi="Times New Roman"/>
          <w:i/>
          <w:sz w:val="24"/>
          <w:lang w:val="pt-BR"/>
        </w:rPr>
        <w:t>hedge</w:t>
      </w:r>
      <w:r>
        <w:rPr>
          <w:rFonts w:ascii="Times New Roman" w:hAnsi="Times New Roman"/>
          <w:sz w:val="24"/>
          <w:lang w:val="pt-BR"/>
        </w:rPr>
        <w:t xml:space="preserve"> como </w:t>
      </w:r>
      <w:r>
        <w:rPr>
          <w:rFonts w:ascii="Times New Roman" w:hAnsi="Times New Roman"/>
          <w:i/>
          <w:sz w:val="24"/>
          <w:lang w:val="pt-BR"/>
        </w:rPr>
        <w:t>hedge</w:t>
      </w:r>
      <w:r>
        <w:rPr>
          <w:rFonts w:ascii="Times New Roman" w:hAnsi="Times New Roman"/>
          <w:sz w:val="24"/>
          <w:lang w:val="pt-BR"/>
        </w:rPr>
        <w:t xml:space="preserve"> de investimento líquido, mas o </w:t>
      </w:r>
      <w:r>
        <w:rPr>
          <w:rFonts w:ascii="Times New Roman" w:hAnsi="Times New Roman"/>
          <w:i/>
          <w:sz w:val="24"/>
          <w:lang w:val="pt-BR"/>
        </w:rPr>
        <w:t>hedge</w:t>
      </w:r>
      <w:r>
        <w:rPr>
          <w:rFonts w:ascii="Times New Roman" w:hAnsi="Times New Roman"/>
          <w:sz w:val="24"/>
          <w:lang w:val="pt-BR"/>
        </w:rPr>
        <w:t xml:space="preserve"> não atende aos requisitos da contabilidade de </w:t>
      </w:r>
      <w:r>
        <w:rPr>
          <w:rFonts w:ascii="Times New Roman" w:hAnsi="Times New Roman"/>
          <w:i/>
          <w:sz w:val="24"/>
          <w:lang w:val="pt-BR"/>
        </w:rPr>
        <w:t>hedge</w:t>
      </w:r>
      <w:r>
        <w:rPr>
          <w:rFonts w:ascii="Times New Roman" w:hAnsi="Times New Roman"/>
          <w:sz w:val="24"/>
          <w:lang w:val="pt-BR"/>
        </w:rPr>
        <w:t xml:space="preserve"> desta Interpretação, a entidade deve aplicar o Pronunciamento Técnico CPC 38 para descontinuar essa relação de </w:t>
      </w:r>
      <w:r>
        <w:rPr>
          <w:rFonts w:ascii="Times New Roman" w:hAnsi="Times New Roman"/>
          <w:i/>
          <w:sz w:val="24"/>
          <w:lang w:val="pt-BR"/>
        </w:rPr>
        <w:t>hedge</w:t>
      </w:r>
      <w:r>
        <w:rPr>
          <w:rFonts w:ascii="Times New Roman" w:hAnsi="Times New Roman"/>
          <w:sz w:val="24"/>
          <w:lang w:val="pt-BR"/>
        </w:rPr>
        <w:t xml:space="preserve"> prospectivamente.</w:t>
      </w:r>
    </w:p>
    <w:p w14:paraId="671853E6"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2B579AF0"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r>
        <w:rPr>
          <w:rFonts w:ascii="Times New Roman" w:hAnsi="Times New Roman"/>
          <w:sz w:val="24"/>
          <w:lang w:val="pt-BR"/>
        </w:rPr>
        <w:tab/>
        <w:t>(O método direto de consolidação é o método através do qual as demonstrações contábeis da operação no exterior são convertidas diretamente para a moeda funcional da controladora final. O método passo a passo é o método de consolidação por meio do qual as demonstrações contábeis da operação no exterior são inicialmente convertidas para a moeda funcional de qualquer uma das controladoras intermediárias do grupo e, em seguida, convertidas para a moeda funcional da controladora final - ou a moeda de apresentação se for diferente.)</w:t>
      </w:r>
    </w:p>
    <w:p w14:paraId="5ADFB0BE"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br w:type="page"/>
      </w:r>
      <w:r>
        <w:rPr>
          <w:rFonts w:ascii="Times New Roman" w:hAnsi="Times New Roman"/>
          <w:b/>
          <w:sz w:val="24"/>
          <w:lang w:val="pt-BR"/>
        </w:rPr>
        <w:lastRenderedPageBreak/>
        <w:t>Apêndice</w:t>
      </w:r>
    </w:p>
    <w:p w14:paraId="528C54C5"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6C9CEB0C"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Guia de aplicação</w:t>
      </w:r>
    </w:p>
    <w:p w14:paraId="5AF21143"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138D1261" w14:textId="77777777" w:rsidR="00A95BF3" w:rsidRDefault="00A95BF3" w:rsidP="00A95BF3">
      <w:pPr>
        <w:pStyle w:val="Textoembloco"/>
        <w:spacing w:before="0" w:after="0" w:line="240" w:lineRule="auto"/>
        <w:ind w:left="567" w:hanging="567"/>
        <w:jc w:val="both"/>
        <w:rPr>
          <w:rFonts w:ascii="Times New Roman" w:hAnsi="Times New Roman"/>
          <w:i/>
          <w:sz w:val="24"/>
          <w:lang w:val="pt-BR"/>
        </w:rPr>
      </w:pPr>
      <w:r>
        <w:rPr>
          <w:rFonts w:ascii="Times New Roman" w:hAnsi="Times New Roman"/>
          <w:i/>
          <w:sz w:val="24"/>
          <w:lang w:val="pt-BR"/>
        </w:rPr>
        <w:t>Este Apêndice é parte integral desta Interpretação.</w:t>
      </w:r>
    </w:p>
    <w:p w14:paraId="2606E151"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70FE9E3D" w14:textId="77777777" w:rsidR="00A95BF3" w:rsidRDefault="00A95BF3" w:rsidP="00A95BF3">
      <w:pPr>
        <w:pStyle w:val="Textoembloco"/>
        <w:spacing w:before="0" w:after="0" w:line="240" w:lineRule="auto"/>
        <w:ind w:left="709" w:hanging="709"/>
        <w:jc w:val="both"/>
        <w:rPr>
          <w:rFonts w:ascii="Times New Roman" w:hAnsi="Times New Roman"/>
          <w:sz w:val="24"/>
          <w:lang w:val="pt-BR"/>
        </w:rPr>
      </w:pPr>
      <w:r>
        <w:rPr>
          <w:rFonts w:ascii="Times New Roman" w:hAnsi="Times New Roman"/>
          <w:sz w:val="24"/>
          <w:lang w:val="pt-BR"/>
        </w:rPr>
        <w:t xml:space="preserve">AG1. </w:t>
      </w:r>
      <w:r>
        <w:rPr>
          <w:rFonts w:ascii="Times New Roman" w:hAnsi="Times New Roman"/>
          <w:sz w:val="24"/>
          <w:lang w:val="pt-BR"/>
        </w:rPr>
        <w:tab/>
        <w:t xml:space="preserve">Este apêndice ilustra a aplicação da Interpretação utilizando a estrutura corporativa ilustrada abaixo. Em todos os casos, as relações de </w:t>
      </w:r>
      <w:r>
        <w:rPr>
          <w:rFonts w:ascii="Times New Roman" w:hAnsi="Times New Roman"/>
          <w:i/>
          <w:sz w:val="24"/>
          <w:lang w:val="pt-BR"/>
        </w:rPr>
        <w:t>hedge</w:t>
      </w:r>
      <w:r>
        <w:rPr>
          <w:rFonts w:ascii="Times New Roman" w:hAnsi="Times New Roman"/>
          <w:sz w:val="24"/>
          <w:lang w:val="pt-BR"/>
        </w:rPr>
        <w:t xml:space="preserve"> descritas fariam teste de eficácia de acordo com o Pronunciamento Técnico CPC 38, apesar de esse teste não ser discutido neste apêndice. A sociedade controladora, considerada como controladora final, apresenta suas demonstrações contábeis consolidadas em sua moeda funcional que é o Euro (EUR). Cada controlada é subsidiária integral. O investimento líquido da controladora de £ 500 milhões na controlada B (cuja moeda funcional é a libra esterlina (GBP)) inclui £ 159 milhões, equivalentes ao investimento líquido da controlada B, de US$ 300 milhões, na controlada C (moeda funcional dólar norte-americano, USD). Em outras palavras, os ativos líquidos da subsidiária B que não representam investimentos na subsidiária C são de £ 341 milhões.</w:t>
      </w:r>
    </w:p>
    <w:p w14:paraId="730984BD" w14:textId="77777777" w:rsidR="00A95BF3" w:rsidRDefault="00A95BF3" w:rsidP="00A95BF3">
      <w:pPr>
        <w:pStyle w:val="Textoembloco"/>
        <w:spacing w:before="0" w:after="0" w:line="240" w:lineRule="auto"/>
        <w:ind w:left="567" w:hanging="567"/>
        <w:jc w:val="both"/>
        <w:rPr>
          <w:rFonts w:ascii="Times New Roman" w:hAnsi="Times New Roman"/>
          <w:sz w:val="24"/>
          <w:lang w:val="pt-BR"/>
        </w:rPr>
      </w:pPr>
    </w:p>
    <w:p w14:paraId="4F364D28"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 xml:space="preserve">Natureza do risco sendo protegido para o qual uma relação de </w:t>
      </w:r>
      <w:r>
        <w:rPr>
          <w:rFonts w:ascii="Times New Roman" w:hAnsi="Times New Roman"/>
          <w:b/>
          <w:i/>
          <w:sz w:val="24"/>
          <w:lang w:val="pt-BR"/>
        </w:rPr>
        <w:t>hedge</w:t>
      </w:r>
      <w:r>
        <w:rPr>
          <w:rFonts w:ascii="Times New Roman" w:hAnsi="Times New Roman"/>
          <w:b/>
          <w:sz w:val="24"/>
          <w:lang w:val="pt-BR"/>
        </w:rPr>
        <w:t xml:space="preserve"> pode ser designada (itens 10 a 13)</w:t>
      </w:r>
    </w:p>
    <w:p w14:paraId="713AD32A"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78C3F814" w14:textId="5A4DACB9"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 xml:space="preserve">AG2.  A controladora pode proteger seu investimento líquido em cada uma das controladas </w:t>
      </w:r>
      <w:proofErr w:type="gramStart"/>
      <w:r>
        <w:rPr>
          <w:rFonts w:ascii="Times New Roman" w:hAnsi="Times New Roman"/>
          <w:sz w:val="24"/>
          <w:lang w:val="pt-BR"/>
        </w:rPr>
        <w:t>A, B</w:t>
      </w:r>
      <w:proofErr w:type="gramEnd"/>
      <w:r>
        <w:rPr>
          <w:rFonts w:ascii="Times New Roman" w:hAnsi="Times New Roman"/>
          <w:sz w:val="24"/>
          <w:lang w:val="pt-BR"/>
        </w:rPr>
        <w:t xml:space="preserve"> e C para o risco de variação cambial entre suas respectivas moedas funcionais (Yen japonês, libra esterlina e dólar norte-americano) e o euro. Além disso, a controladora pode proteger o risco de variação cambial entre o dólar e a libra (USD/GBP) de suas controladas B e C. Em suas demonstrações consolidadas, a controlada B pode proteger seu investimento líquido na controlada C contra o risco de variação cambial entre a moeda funcional dólar e libra esterlina. Nos exemplos seguintes o risco sendo protegido é o risco cambial no mercado à vista porque os instrumentos de </w:t>
      </w:r>
      <w:r>
        <w:rPr>
          <w:rFonts w:ascii="Times New Roman" w:hAnsi="Times New Roman"/>
          <w:i/>
          <w:sz w:val="24"/>
          <w:lang w:val="pt-BR"/>
        </w:rPr>
        <w:t>hedge</w:t>
      </w:r>
      <w:r>
        <w:rPr>
          <w:rFonts w:ascii="Times New Roman" w:hAnsi="Times New Roman"/>
          <w:sz w:val="24"/>
          <w:lang w:val="pt-BR"/>
        </w:rPr>
        <w:t xml:space="preserve"> não são derivativos. Se os instrumentos de </w:t>
      </w:r>
      <w:r>
        <w:rPr>
          <w:rFonts w:ascii="Times New Roman" w:hAnsi="Times New Roman"/>
          <w:i/>
          <w:sz w:val="24"/>
          <w:lang w:val="pt-BR"/>
        </w:rPr>
        <w:t>hedge</w:t>
      </w:r>
      <w:r>
        <w:rPr>
          <w:rFonts w:ascii="Times New Roman" w:hAnsi="Times New Roman"/>
          <w:sz w:val="24"/>
          <w:lang w:val="pt-BR"/>
        </w:rPr>
        <w:t xml:space="preserve"> fossem contratos a termo, a controladora poderia classificar o risco cambial a termo.</w:t>
      </w:r>
    </w:p>
    <w:p w14:paraId="111100FE"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545FCF23" w14:textId="78740827" w:rsidR="00A95BF3" w:rsidRDefault="00A95BF3" w:rsidP="00A95BF3">
      <w:pPr>
        <w:pStyle w:val="Textoembloco"/>
        <w:spacing w:before="0" w:after="0" w:line="240" w:lineRule="auto"/>
        <w:ind w:left="57" w:firstLine="0"/>
        <w:jc w:val="both"/>
        <w:rPr>
          <w:rFonts w:ascii="Times New Roman" w:hAnsi="Times New Roman"/>
          <w:b/>
          <w:sz w:val="24"/>
          <w:lang w:val="pt-BR"/>
        </w:rPr>
      </w:pPr>
      <w:r>
        <w:rPr>
          <w:noProof/>
          <w:lang w:val="pt-BR" w:eastAsia="pt-BR"/>
        </w:rPr>
        <w:lastRenderedPageBreak/>
        <w:drawing>
          <wp:anchor distT="0" distB="0" distL="114300" distR="114300" simplePos="0" relativeHeight="251685888" behindDoc="0" locked="0" layoutInCell="0" allowOverlap="1" wp14:anchorId="20D7DE4B" wp14:editId="5E04C7DB">
            <wp:simplePos x="0" y="0"/>
            <wp:positionH relativeFrom="column">
              <wp:posOffset>541655</wp:posOffset>
            </wp:positionH>
            <wp:positionV relativeFrom="paragraph">
              <wp:posOffset>139700</wp:posOffset>
            </wp:positionV>
            <wp:extent cx="4158615" cy="2641600"/>
            <wp:effectExtent l="19050" t="19050" r="13335" b="25400"/>
            <wp:wrapSquare wrapText="bothSides"/>
            <wp:docPr id="1303288130" name="Imagem 130328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8615" cy="264160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7A9A5AC3"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E98DE02"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1989AD40"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51C81E68"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543516E"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2978DAE"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B22FFD7"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58BD945A"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7BF128D5"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6DB876BA"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58AFA771"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65B78D37"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4DB157CA"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2781ADEF"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34FA8397"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9970290"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14A0577"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FC04DB9"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5F725B1E"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 xml:space="preserve">Montante do item objeto de </w:t>
      </w:r>
      <w:r>
        <w:rPr>
          <w:rFonts w:ascii="Times New Roman" w:hAnsi="Times New Roman"/>
          <w:b/>
          <w:i/>
          <w:sz w:val="24"/>
          <w:lang w:val="pt-BR"/>
        </w:rPr>
        <w:t>hedge</w:t>
      </w:r>
      <w:r>
        <w:rPr>
          <w:rFonts w:ascii="Times New Roman" w:hAnsi="Times New Roman"/>
          <w:b/>
          <w:sz w:val="24"/>
          <w:lang w:val="pt-BR"/>
        </w:rPr>
        <w:t xml:space="preserve"> para o qual uma relação de </w:t>
      </w:r>
      <w:r>
        <w:rPr>
          <w:rFonts w:ascii="Times New Roman" w:hAnsi="Times New Roman"/>
          <w:b/>
          <w:i/>
          <w:sz w:val="24"/>
          <w:lang w:val="pt-BR"/>
        </w:rPr>
        <w:t>hedge</w:t>
      </w:r>
      <w:r>
        <w:rPr>
          <w:rFonts w:ascii="Times New Roman" w:hAnsi="Times New Roman"/>
          <w:b/>
          <w:sz w:val="24"/>
          <w:lang w:val="pt-BR"/>
        </w:rPr>
        <w:t xml:space="preserve"> pode ser designada (itens 10 a 13)</w:t>
      </w:r>
    </w:p>
    <w:p w14:paraId="411E79FC"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493A7FE1"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 xml:space="preserve">AG3. </w:t>
      </w:r>
      <w:r>
        <w:rPr>
          <w:rFonts w:ascii="Times New Roman" w:hAnsi="Times New Roman"/>
          <w:sz w:val="24"/>
          <w:lang w:val="pt-BR"/>
        </w:rPr>
        <w:tab/>
        <w:t xml:space="preserve">A controladora deseja proteger o risco de variação cambial de seu investimento na controlada C. </w:t>
      </w:r>
      <w:proofErr w:type="spellStart"/>
      <w:r>
        <w:rPr>
          <w:rFonts w:ascii="Times New Roman" w:hAnsi="Times New Roman"/>
          <w:sz w:val="24"/>
          <w:lang w:val="pt-BR"/>
        </w:rPr>
        <w:t>Assuma</w:t>
      </w:r>
      <w:proofErr w:type="spellEnd"/>
      <w:r>
        <w:rPr>
          <w:rFonts w:ascii="Times New Roman" w:hAnsi="Times New Roman"/>
          <w:sz w:val="24"/>
          <w:lang w:val="pt-BR"/>
        </w:rPr>
        <w:t xml:space="preserve"> que a controlada A tem um empréstimo externo de USD 300 milhões. Os ativos líquidos da controlada A no início do período são de ¥ 400,000 milhões incluindo os recursos do empréstimo externo de US$ 300 milhões.</w:t>
      </w:r>
    </w:p>
    <w:p w14:paraId="6448B194"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53D1689C"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 xml:space="preserve">AG4. </w:t>
      </w:r>
      <w:r>
        <w:rPr>
          <w:rFonts w:ascii="Times New Roman" w:hAnsi="Times New Roman"/>
          <w:sz w:val="24"/>
          <w:lang w:val="pt-BR"/>
        </w:rPr>
        <w:tab/>
        <w:t xml:space="preserve">O item objeto de hedge pode ser um montante dos ativos líquidos igual ou menor do que o valor contábil do investimento líquido da controladora na controlada C (US$ 300 milhões) contido nas suas demonstrações contábeis consolidadas. Nas suas demonstrações contábeis consolidadas a controladora pode designar o empréstimo externo de US$ 300 milhões na controlada A como </w:t>
      </w:r>
      <w:r>
        <w:rPr>
          <w:rFonts w:ascii="Times New Roman" w:hAnsi="Times New Roman"/>
          <w:i/>
          <w:sz w:val="24"/>
          <w:lang w:val="pt-BR"/>
        </w:rPr>
        <w:t>hedge</w:t>
      </w:r>
      <w:r>
        <w:rPr>
          <w:rFonts w:ascii="Times New Roman" w:hAnsi="Times New Roman"/>
          <w:sz w:val="24"/>
          <w:lang w:val="pt-BR"/>
        </w:rPr>
        <w:t xml:space="preserve"> da variação da taxa de câmbio à vista EUR/USD associado com seu investimento líquido de US$ 300 milhões nos ativos líquidos da controlada C. Nesse caso, a variação na taxa de câmbio entre EUR/USD nos 300 milhões do empréstimo externo da controlada A e a variação na taxa de câmbio entre EUR/USD nos US$ 300 milhões de investimento na controlada C devem ser incluídos nos ajustes de conversão acumulados nas demonstrações contábeis consolidadas da controladora, após a aplicação da contabilidade de </w:t>
      </w:r>
      <w:r>
        <w:rPr>
          <w:rFonts w:ascii="Times New Roman" w:hAnsi="Times New Roman"/>
          <w:i/>
          <w:sz w:val="24"/>
          <w:lang w:val="pt-BR"/>
        </w:rPr>
        <w:t>hedge</w:t>
      </w:r>
      <w:r>
        <w:rPr>
          <w:rFonts w:ascii="Times New Roman" w:hAnsi="Times New Roman"/>
          <w:sz w:val="24"/>
          <w:lang w:val="pt-BR"/>
        </w:rPr>
        <w:t>.</w:t>
      </w:r>
    </w:p>
    <w:p w14:paraId="23A70D74"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5ABBDA61"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 xml:space="preserve">AG5. </w:t>
      </w:r>
      <w:r>
        <w:rPr>
          <w:rFonts w:ascii="Times New Roman" w:hAnsi="Times New Roman"/>
          <w:sz w:val="24"/>
          <w:lang w:val="pt-BR"/>
        </w:rPr>
        <w:tab/>
        <w:t xml:space="preserve">Na ausência de contabilidade de </w:t>
      </w:r>
      <w:r>
        <w:rPr>
          <w:rFonts w:ascii="Times New Roman" w:hAnsi="Times New Roman"/>
          <w:i/>
          <w:sz w:val="24"/>
          <w:lang w:val="pt-BR"/>
        </w:rPr>
        <w:t>hedge</w:t>
      </w:r>
      <w:r>
        <w:rPr>
          <w:rFonts w:ascii="Times New Roman" w:hAnsi="Times New Roman"/>
          <w:sz w:val="24"/>
          <w:lang w:val="pt-BR"/>
        </w:rPr>
        <w:t>, a diferença total USD/EUR nos US$ 300 milhões de empréstimo externo na controlada A poderia ser reconhecida nas demonstrações contábeis consolidadas da controladora da seguinte forma:</w:t>
      </w:r>
    </w:p>
    <w:p w14:paraId="73B5A0C3" w14:textId="77777777" w:rsidR="00A95BF3" w:rsidRDefault="00A95BF3" w:rsidP="00A95BF3">
      <w:pPr>
        <w:pStyle w:val="Textoembloco"/>
        <w:tabs>
          <w:tab w:val="clear" w:pos="6804"/>
        </w:tabs>
        <w:spacing w:before="0" w:after="0" w:line="240" w:lineRule="auto"/>
        <w:ind w:left="360" w:firstLine="0"/>
        <w:jc w:val="both"/>
        <w:rPr>
          <w:rFonts w:ascii="Times New Roman" w:hAnsi="Times New Roman"/>
          <w:sz w:val="24"/>
          <w:lang w:val="pt-BR"/>
        </w:rPr>
      </w:pPr>
    </w:p>
    <w:p w14:paraId="19E55DC4"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proofErr w:type="gramStart"/>
      <w:r>
        <w:rPr>
          <w:rFonts w:ascii="Times New Roman" w:hAnsi="Times New Roman"/>
          <w:sz w:val="24"/>
          <w:lang w:val="pt-BR"/>
        </w:rPr>
        <w:t>variação</w:t>
      </w:r>
      <w:proofErr w:type="gramEnd"/>
      <w:r>
        <w:rPr>
          <w:rFonts w:ascii="Times New Roman" w:hAnsi="Times New Roman"/>
          <w:sz w:val="24"/>
          <w:lang w:val="pt-BR"/>
        </w:rPr>
        <w:t xml:space="preserve"> na taxa de câmbio USD/JPY, traduzida para o Euro, no resultado; e</w:t>
      </w:r>
    </w:p>
    <w:p w14:paraId="0F4AE4AC" w14:textId="77777777" w:rsidR="00A95BF3" w:rsidRDefault="00A95BF3" w:rsidP="00A95BF3">
      <w:pPr>
        <w:pStyle w:val="Textoembloco"/>
        <w:tabs>
          <w:tab w:val="clear" w:pos="6804"/>
        </w:tabs>
        <w:spacing w:before="0" w:after="0" w:line="240" w:lineRule="auto"/>
        <w:ind w:left="360" w:firstLine="0"/>
        <w:jc w:val="both"/>
        <w:rPr>
          <w:rFonts w:ascii="Times New Roman" w:hAnsi="Times New Roman"/>
          <w:sz w:val="24"/>
          <w:lang w:val="pt-BR"/>
        </w:rPr>
      </w:pPr>
    </w:p>
    <w:p w14:paraId="4733645D"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proofErr w:type="gramStart"/>
      <w:r>
        <w:rPr>
          <w:rFonts w:ascii="Times New Roman" w:hAnsi="Times New Roman"/>
          <w:sz w:val="24"/>
          <w:lang w:val="pt-BR"/>
        </w:rPr>
        <w:t>variação</w:t>
      </w:r>
      <w:proofErr w:type="gramEnd"/>
      <w:r>
        <w:rPr>
          <w:rFonts w:ascii="Times New Roman" w:hAnsi="Times New Roman"/>
          <w:sz w:val="24"/>
          <w:lang w:val="pt-BR"/>
        </w:rPr>
        <w:t xml:space="preserve"> na taxa de câmbio JPY/EUR em outros resultados abrangentes.</w:t>
      </w:r>
    </w:p>
    <w:p w14:paraId="199E2160"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62730E54" w14:textId="77777777" w:rsidR="00A95BF3" w:rsidRDefault="00A95BF3" w:rsidP="00A95BF3">
      <w:pPr>
        <w:pStyle w:val="Textoembloco"/>
        <w:spacing w:before="0" w:after="0" w:line="240" w:lineRule="auto"/>
        <w:ind w:left="0" w:firstLine="0"/>
        <w:jc w:val="both"/>
        <w:rPr>
          <w:rFonts w:ascii="Times New Roman" w:hAnsi="Times New Roman"/>
          <w:sz w:val="24"/>
          <w:lang w:val="pt-BR"/>
        </w:rPr>
      </w:pPr>
      <w:r>
        <w:rPr>
          <w:rFonts w:ascii="Times New Roman" w:hAnsi="Times New Roman"/>
          <w:sz w:val="24"/>
          <w:lang w:val="pt-BR"/>
        </w:rPr>
        <w:t xml:space="preserve">Ao invés da designação no item AG4, em suas demonstrações contábeis consolidadas, a controladora pode designar os US$ 300 milhões de empréstimo externo na controlada A como </w:t>
      </w:r>
      <w:r>
        <w:rPr>
          <w:rFonts w:ascii="Times New Roman" w:hAnsi="Times New Roman"/>
          <w:i/>
          <w:sz w:val="24"/>
          <w:lang w:val="pt-BR"/>
        </w:rPr>
        <w:t>hedge</w:t>
      </w:r>
      <w:r>
        <w:rPr>
          <w:rFonts w:ascii="Times New Roman" w:hAnsi="Times New Roman"/>
          <w:sz w:val="24"/>
          <w:lang w:val="pt-BR"/>
        </w:rPr>
        <w:t xml:space="preserve"> do risco de variação cambial à vista GBP/USD entre a controlada C e a controlada B. Nesse caso, a diferença total USD/EUR nos US$ 300 milhões de financiamentos externos na controlada A seria reconhecida nas demonstrações contábeis consolidadas da seguinte forma:</w:t>
      </w:r>
    </w:p>
    <w:p w14:paraId="72F99E07" w14:textId="77777777" w:rsidR="00A95BF3" w:rsidRDefault="00A95BF3" w:rsidP="00A95BF3">
      <w:pPr>
        <w:pStyle w:val="Textoembloco"/>
        <w:spacing w:before="0" w:after="0" w:line="240" w:lineRule="auto"/>
        <w:ind w:left="0" w:firstLine="0"/>
        <w:jc w:val="both"/>
        <w:rPr>
          <w:rFonts w:ascii="Times New Roman" w:hAnsi="Times New Roman"/>
          <w:sz w:val="24"/>
          <w:lang w:val="pt-BR"/>
        </w:rPr>
      </w:pPr>
    </w:p>
    <w:p w14:paraId="6D3079DC"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proofErr w:type="gramStart"/>
      <w:r>
        <w:rPr>
          <w:rFonts w:ascii="Times New Roman" w:hAnsi="Times New Roman"/>
          <w:sz w:val="24"/>
          <w:lang w:val="pt-BR"/>
        </w:rPr>
        <w:t>a</w:t>
      </w:r>
      <w:proofErr w:type="gramEnd"/>
      <w:r>
        <w:rPr>
          <w:rFonts w:ascii="Times New Roman" w:hAnsi="Times New Roman"/>
          <w:sz w:val="24"/>
          <w:lang w:val="pt-BR"/>
        </w:rPr>
        <w:t xml:space="preserve"> variação da taxa de câmbio GBP/USD à vista nos ajustes de conversão acumulados relacionada com a controlada C;</w:t>
      </w:r>
    </w:p>
    <w:p w14:paraId="77BFEEEB" w14:textId="77777777" w:rsidR="00A95BF3" w:rsidRDefault="00A95BF3" w:rsidP="00A95BF3">
      <w:pPr>
        <w:pStyle w:val="Textoembloco"/>
        <w:tabs>
          <w:tab w:val="clear" w:pos="6804"/>
        </w:tabs>
        <w:spacing w:before="0" w:after="0" w:line="240" w:lineRule="auto"/>
        <w:ind w:left="360" w:firstLine="0"/>
        <w:jc w:val="both"/>
        <w:rPr>
          <w:rFonts w:ascii="Times New Roman" w:hAnsi="Times New Roman"/>
          <w:sz w:val="24"/>
          <w:lang w:val="pt-BR"/>
        </w:rPr>
      </w:pPr>
    </w:p>
    <w:p w14:paraId="193DB345"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proofErr w:type="gramStart"/>
      <w:r>
        <w:rPr>
          <w:rFonts w:ascii="Times New Roman" w:hAnsi="Times New Roman"/>
          <w:sz w:val="24"/>
          <w:lang w:val="pt-BR"/>
        </w:rPr>
        <w:t>a</w:t>
      </w:r>
      <w:proofErr w:type="gramEnd"/>
      <w:r>
        <w:rPr>
          <w:rFonts w:ascii="Times New Roman" w:hAnsi="Times New Roman"/>
          <w:sz w:val="24"/>
          <w:lang w:val="pt-BR"/>
        </w:rPr>
        <w:t xml:space="preserve"> variação na taxa de câmbio GBP/JPY à vista, traduzida para o euro no resultado; e</w:t>
      </w:r>
    </w:p>
    <w:p w14:paraId="6F132851" w14:textId="77777777" w:rsidR="00A95BF3" w:rsidRDefault="00A95BF3" w:rsidP="00A95BF3">
      <w:pPr>
        <w:pStyle w:val="Textoembloco"/>
        <w:tabs>
          <w:tab w:val="clear" w:pos="6804"/>
        </w:tabs>
        <w:spacing w:before="0" w:after="0" w:line="240" w:lineRule="auto"/>
        <w:ind w:left="360" w:firstLine="0"/>
        <w:jc w:val="both"/>
        <w:rPr>
          <w:rFonts w:ascii="Times New Roman" w:hAnsi="Times New Roman"/>
          <w:sz w:val="24"/>
          <w:lang w:val="pt-BR"/>
        </w:rPr>
      </w:pPr>
    </w:p>
    <w:p w14:paraId="4CFEABDA" w14:textId="77777777" w:rsidR="00A95BF3" w:rsidRDefault="00A95BF3" w:rsidP="00E47C3D">
      <w:pPr>
        <w:pStyle w:val="Textoembloco"/>
        <w:numPr>
          <w:ilvl w:val="0"/>
          <w:numId w:val="29"/>
        </w:numPr>
        <w:tabs>
          <w:tab w:val="clear" w:pos="6804"/>
        </w:tabs>
        <w:spacing w:before="0" w:after="0" w:line="240" w:lineRule="auto"/>
        <w:jc w:val="both"/>
        <w:rPr>
          <w:rFonts w:ascii="Times New Roman" w:hAnsi="Times New Roman"/>
          <w:sz w:val="24"/>
          <w:lang w:val="pt-BR"/>
        </w:rPr>
      </w:pPr>
      <w:proofErr w:type="gramStart"/>
      <w:r>
        <w:rPr>
          <w:rFonts w:ascii="Times New Roman" w:hAnsi="Times New Roman"/>
          <w:sz w:val="24"/>
          <w:lang w:val="pt-BR"/>
        </w:rPr>
        <w:t>a</w:t>
      </w:r>
      <w:proofErr w:type="gramEnd"/>
      <w:r>
        <w:rPr>
          <w:rFonts w:ascii="Times New Roman" w:hAnsi="Times New Roman"/>
          <w:sz w:val="24"/>
          <w:lang w:val="pt-BR"/>
        </w:rPr>
        <w:t xml:space="preserve"> variação da taxa de câmbio JPY/EUR em ajustes de conversão acumulados.</w:t>
      </w:r>
    </w:p>
    <w:p w14:paraId="6113B0EC"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4B7728B2"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AG6.</w:t>
      </w:r>
      <w:r>
        <w:rPr>
          <w:rFonts w:ascii="Times New Roman" w:hAnsi="Times New Roman"/>
          <w:sz w:val="24"/>
          <w:lang w:val="pt-BR"/>
        </w:rPr>
        <w:tab/>
        <w:t xml:space="preserve"> A controladora não pode designar os US$ 300 milhões de empréstimos externos na controlada A como </w:t>
      </w:r>
      <w:r>
        <w:rPr>
          <w:rFonts w:ascii="Times New Roman" w:hAnsi="Times New Roman"/>
          <w:i/>
          <w:sz w:val="24"/>
          <w:lang w:val="pt-BR"/>
        </w:rPr>
        <w:t>hedge</w:t>
      </w:r>
      <w:r>
        <w:rPr>
          <w:rFonts w:ascii="Times New Roman" w:hAnsi="Times New Roman"/>
          <w:sz w:val="24"/>
          <w:lang w:val="pt-BR"/>
        </w:rPr>
        <w:t xml:space="preserve"> do risco de variação cambial EUR/USD e do risco de variação cambial à vista GBP/USD, em conjunto, nas suas demonstrações contábeis consolidadas. Um único somente pode proteger uma única vez o mesmo risco identificado.</w:t>
      </w:r>
    </w:p>
    <w:p w14:paraId="35612223" w14:textId="77777777" w:rsidR="00A95BF3" w:rsidRDefault="00A95BF3" w:rsidP="00A95BF3">
      <w:pPr>
        <w:pStyle w:val="Textoembloco"/>
        <w:spacing w:before="0" w:after="0" w:line="240" w:lineRule="auto"/>
        <w:ind w:left="0" w:firstLine="0"/>
        <w:jc w:val="both"/>
        <w:rPr>
          <w:rFonts w:ascii="Times New Roman" w:hAnsi="Times New Roman"/>
          <w:sz w:val="24"/>
          <w:lang w:val="pt-BR"/>
        </w:rPr>
      </w:pPr>
    </w:p>
    <w:p w14:paraId="6A675AA6" w14:textId="11C6D1E0" w:rsidR="00A95BF3" w:rsidRDefault="00A95BF3" w:rsidP="00A95BF3">
      <w:pPr>
        <w:pStyle w:val="Textoembloco"/>
        <w:spacing w:before="0" w:after="0" w:line="240" w:lineRule="auto"/>
        <w:ind w:left="0" w:firstLine="0"/>
        <w:jc w:val="both"/>
        <w:rPr>
          <w:rFonts w:ascii="Times New Roman" w:hAnsi="Times New Roman"/>
          <w:sz w:val="24"/>
          <w:lang w:val="pt-BR"/>
        </w:rPr>
      </w:pPr>
      <w:r>
        <w:rPr>
          <w:rFonts w:ascii="Times New Roman" w:hAnsi="Times New Roman"/>
          <w:sz w:val="24"/>
          <w:lang w:val="pt-BR"/>
        </w:rPr>
        <w:t xml:space="preserve">A controlada B não pode aplicar a contabilidade de </w:t>
      </w:r>
      <w:r>
        <w:rPr>
          <w:rFonts w:ascii="Times New Roman" w:hAnsi="Times New Roman"/>
          <w:i/>
          <w:sz w:val="24"/>
          <w:lang w:val="pt-BR"/>
        </w:rPr>
        <w:t>hedge</w:t>
      </w:r>
      <w:r>
        <w:rPr>
          <w:rFonts w:ascii="Times New Roman" w:hAnsi="Times New Roman"/>
          <w:sz w:val="24"/>
          <w:lang w:val="pt-BR"/>
        </w:rPr>
        <w:t xml:space="preserve"> em suas demonstrações consolidadas por que o instrumento de </w:t>
      </w:r>
      <w:r>
        <w:rPr>
          <w:rFonts w:ascii="Times New Roman" w:hAnsi="Times New Roman"/>
          <w:i/>
          <w:sz w:val="24"/>
          <w:lang w:val="pt-BR"/>
        </w:rPr>
        <w:t>hedge</w:t>
      </w:r>
      <w:r>
        <w:rPr>
          <w:rFonts w:ascii="Times New Roman" w:hAnsi="Times New Roman"/>
          <w:sz w:val="24"/>
          <w:lang w:val="pt-BR"/>
        </w:rPr>
        <w:t xml:space="preserve"> é mantido fora do grupo que contém as controladas B e C.</w:t>
      </w:r>
    </w:p>
    <w:p w14:paraId="136E3FA4" w14:textId="77777777" w:rsidR="00A425AC" w:rsidRDefault="00A425AC" w:rsidP="00A95BF3">
      <w:pPr>
        <w:pStyle w:val="Textoembloco"/>
        <w:spacing w:before="0" w:after="0" w:line="240" w:lineRule="auto"/>
        <w:ind w:left="0" w:firstLine="0"/>
        <w:jc w:val="both"/>
        <w:rPr>
          <w:rFonts w:ascii="Times New Roman" w:hAnsi="Times New Roman"/>
          <w:sz w:val="24"/>
          <w:lang w:val="pt-BR"/>
        </w:rPr>
      </w:pPr>
    </w:p>
    <w:p w14:paraId="1A0D8C84"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 xml:space="preserve">Onde no grupo o instrumento de </w:t>
      </w:r>
      <w:r>
        <w:rPr>
          <w:rFonts w:ascii="Times New Roman" w:hAnsi="Times New Roman"/>
          <w:b/>
          <w:i/>
          <w:sz w:val="24"/>
          <w:lang w:val="pt-BR"/>
        </w:rPr>
        <w:t>hedge</w:t>
      </w:r>
      <w:r>
        <w:rPr>
          <w:rFonts w:ascii="Times New Roman" w:hAnsi="Times New Roman"/>
          <w:b/>
          <w:sz w:val="24"/>
          <w:lang w:val="pt-BR"/>
        </w:rPr>
        <w:t xml:space="preserve"> pode ser mantido (itens 14 e 15)?</w:t>
      </w:r>
    </w:p>
    <w:p w14:paraId="14D4613F"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32A377B1"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AG7.</w:t>
      </w:r>
      <w:r>
        <w:rPr>
          <w:rFonts w:ascii="Times New Roman" w:hAnsi="Times New Roman"/>
          <w:sz w:val="24"/>
          <w:lang w:val="pt-BR"/>
        </w:rPr>
        <w:tab/>
        <w:t xml:space="preserve">De acordo com o mencionado no item AG5, a variação total em valor relativa ao risco cambial dos US$ 300 milhões de empréstimos externos na controlada A seria contabilizada em resultado (USD/JPY) e em ajustes de conversão acumulados (EUR/JPY) nas demonstrações contábeis consolidadas da controladora na ausência de contabilidade de </w:t>
      </w:r>
      <w:r>
        <w:rPr>
          <w:rFonts w:ascii="Times New Roman" w:hAnsi="Times New Roman"/>
          <w:i/>
          <w:sz w:val="24"/>
          <w:lang w:val="pt-BR"/>
        </w:rPr>
        <w:t>hedge</w:t>
      </w:r>
      <w:r>
        <w:rPr>
          <w:rFonts w:ascii="Times New Roman" w:hAnsi="Times New Roman"/>
          <w:sz w:val="24"/>
          <w:lang w:val="pt-BR"/>
        </w:rPr>
        <w:t xml:space="preserve">. Ambos os montantes são incluídos com o intuito de se auferir a eficácia do </w:t>
      </w:r>
      <w:r>
        <w:rPr>
          <w:rFonts w:ascii="Times New Roman" w:hAnsi="Times New Roman"/>
          <w:i/>
          <w:sz w:val="24"/>
          <w:lang w:val="pt-BR"/>
        </w:rPr>
        <w:t>hedge</w:t>
      </w:r>
      <w:r>
        <w:rPr>
          <w:rFonts w:ascii="Times New Roman" w:hAnsi="Times New Roman"/>
          <w:sz w:val="24"/>
          <w:lang w:val="pt-BR"/>
        </w:rPr>
        <w:t xml:space="preserve"> designado no item AG4 porque as mudanças de valor do instrumento de </w:t>
      </w:r>
      <w:r>
        <w:rPr>
          <w:rFonts w:ascii="Times New Roman" w:hAnsi="Times New Roman"/>
          <w:i/>
          <w:sz w:val="24"/>
          <w:lang w:val="pt-BR"/>
        </w:rPr>
        <w:t>hedge</w:t>
      </w:r>
      <w:r>
        <w:rPr>
          <w:rFonts w:ascii="Times New Roman" w:hAnsi="Times New Roman"/>
          <w:sz w:val="24"/>
          <w:lang w:val="pt-BR"/>
        </w:rPr>
        <w:t xml:space="preserve"> e do item objeto de </w:t>
      </w:r>
      <w:r>
        <w:rPr>
          <w:rFonts w:ascii="Times New Roman" w:hAnsi="Times New Roman"/>
          <w:i/>
          <w:sz w:val="24"/>
          <w:lang w:val="pt-BR"/>
        </w:rPr>
        <w:t>hedge</w:t>
      </w:r>
      <w:r>
        <w:rPr>
          <w:rFonts w:ascii="Times New Roman" w:hAnsi="Times New Roman"/>
          <w:sz w:val="24"/>
          <w:lang w:val="pt-BR"/>
        </w:rPr>
        <w:t xml:space="preserve"> devem ser calculadas em referência à moeda funcional Euro da controladora contra a moeda funcional dólar da controlada C, de acordo com a documentação de </w:t>
      </w:r>
      <w:r>
        <w:rPr>
          <w:rFonts w:ascii="Times New Roman" w:hAnsi="Times New Roman"/>
          <w:i/>
          <w:sz w:val="24"/>
          <w:lang w:val="pt-BR"/>
        </w:rPr>
        <w:t>hedge</w:t>
      </w:r>
      <w:r>
        <w:rPr>
          <w:rFonts w:ascii="Times New Roman" w:hAnsi="Times New Roman"/>
          <w:sz w:val="24"/>
          <w:lang w:val="pt-BR"/>
        </w:rPr>
        <w:t xml:space="preserve">. O método de consolidação (método direto ou método passo a passo) não afeta a verificação da eficácia do </w:t>
      </w:r>
      <w:r>
        <w:rPr>
          <w:rFonts w:ascii="Times New Roman" w:hAnsi="Times New Roman"/>
          <w:i/>
          <w:sz w:val="24"/>
          <w:lang w:val="pt-BR"/>
        </w:rPr>
        <w:t>hedge</w:t>
      </w:r>
      <w:r>
        <w:rPr>
          <w:rFonts w:ascii="Times New Roman" w:hAnsi="Times New Roman"/>
          <w:sz w:val="24"/>
          <w:lang w:val="pt-BR"/>
        </w:rPr>
        <w:t>.</w:t>
      </w:r>
    </w:p>
    <w:p w14:paraId="443397EB"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p>
    <w:p w14:paraId="0A57EB51"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Montantes reclassificados para o resultado quando da baixa de operação no exterior (itens 16 e 17)</w:t>
      </w:r>
    </w:p>
    <w:p w14:paraId="69EB26D7"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7D3DEA95" w14:textId="77777777" w:rsidR="00A95BF3" w:rsidRPr="00A425AC" w:rsidRDefault="00A95BF3" w:rsidP="00A425AC">
      <w:pPr>
        <w:pStyle w:val="Textoembloco"/>
        <w:spacing w:before="0" w:after="0" w:line="240" w:lineRule="auto"/>
        <w:ind w:left="851" w:hanging="851"/>
        <w:jc w:val="both"/>
        <w:rPr>
          <w:rFonts w:ascii="Times New Roman" w:hAnsi="Times New Roman"/>
          <w:sz w:val="24"/>
          <w:lang w:val="pt-BR"/>
        </w:rPr>
      </w:pPr>
      <w:r w:rsidRPr="00A425AC">
        <w:rPr>
          <w:rFonts w:ascii="Times New Roman" w:hAnsi="Times New Roman"/>
          <w:sz w:val="24"/>
          <w:lang w:val="pt-BR"/>
        </w:rPr>
        <w:t>AG8.</w:t>
      </w:r>
      <w:r w:rsidRPr="00A425AC">
        <w:rPr>
          <w:rFonts w:ascii="Times New Roman" w:hAnsi="Times New Roman"/>
          <w:sz w:val="24"/>
          <w:lang w:val="pt-BR"/>
        </w:rPr>
        <w:tab/>
        <w:t>Quando a controlada C é baixada, os montantes reclassificados para o resultado nas demonstrações contábeis consolidadas da controladora de seus ajustes de conversão acumulados são:</w:t>
      </w:r>
    </w:p>
    <w:p w14:paraId="4B5D4639" w14:textId="77777777" w:rsidR="00A95BF3" w:rsidRPr="00A425AC" w:rsidRDefault="00A95BF3" w:rsidP="00A425AC">
      <w:pPr>
        <w:widowControl w:val="0"/>
        <w:spacing w:before="0" w:after="0"/>
        <w:ind w:left="720" w:right="57"/>
        <w:rPr>
          <w:rFonts w:ascii="Times New Roman" w:hAnsi="Times New Roman"/>
          <w:sz w:val="24"/>
        </w:rPr>
      </w:pPr>
    </w:p>
    <w:p w14:paraId="545BC85B" w14:textId="77777777" w:rsidR="00A95BF3" w:rsidRPr="00A425AC" w:rsidRDefault="00A95BF3" w:rsidP="00A425AC">
      <w:pPr>
        <w:widowControl w:val="0"/>
        <w:numPr>
          <w:ilvl w:val="0"/>
          <w:numId w:val="33"/>
        </w:numPr>
        <w:tabs>
          <w:tab w:val="num" w:pos="1070"/>
        </w:tabs>
        <w:spacing w:before="0" w:after="0"/>
        <w:ind w:left="1070" w:right="57"/>
        <w:rPr>
          <w:rFonts w:ascii="Times New Roman" w:hAnsi="Times New Roman"/>
          <w:sz w:val="24"/>
        </w:rPr>
      </w:pPr>
      <w:r w:rsidRPr="00A425AC">
        <w:rPr>
          <w:rFonts w:ascii="Times New Roman" w:hAnsi="Times New Roman"/>
          <w:sz w:val="24"/>
        </w:rPr>
        <w:t xml:space="preserve">no que diz respeito aos U$ 300 milhões de empréstimos externos da controlada A, o montante </w:t>
      </w:r>
      <w:r w:rsidRPr="00A425AC">
        <w:rPr>
          <w:rFonts w:ascii="Times New Roman" w:hAnsi="Times New Roman"/>
          <w:sz w:val="24"/>
        </w:rPr>
        <w:lastRenderedPageBreak/>
        <w:t xml:space="preserve">que o CPC 38 requer que seja identificado refere-se à mudança total de valor relativo ao risco cambial que foi reconhecido em ajustes de conversão acumulados como a parte eficaz do </w:t>
      </w:r>
      <w:r w:rsidRPr="00A425AC">
        <w:rPr>
          <w:rFonts w:ascii="Times New Roman" w:hAnsi="Times New Roman"/>
          <w:i/>
          <w:sz w:val="24"/>
        </w:rPr>
        <w:t>hedge</w:t>
      </w:r>
      <w:r w:rsidRPr="00A425AC">
        <w:rPr>
          <w:rFonts w:ascii="Times New Roman" w:hAnsi="Times New Roman"/>
          <w:sz w:val="24"/>
        </w:rPr>
        <w:t>; e</w:t>
      </w:r>
    </w:p>
    <w:p w14:paraId="6022281E" w14:textId="77777777" w:rsidR="00A95BF3" w:rsidRPr="00A425AC" w:rsidRDefault="00A95BF3" w:rsidP="00A425AC">
      <w:pPr>
        <w:widowControl w:val="0"/>
        <w:tabs>
          <w:tab w:val="num" w:pos="1440"/>
        </w:tabs>
        <w:spacing w:before="0" w:after="0"/>
        <w:ind w:left="710" w:right="57"/>
        <w:rPr>
          <w:rFonts w:ascii="Times New Roman" w:hAnsi="Times New Roman"/>
          <w:sz w:val="24"/>
        </w:rPr>
      </w:pPr>
    </w:p>
    <w:p w14:paraId="1969F7AB" w14:textId="77777777" w:rsidR="00A95BF3" w:rsidRPr="00A425AC" w:rsidRDefault="00A95BF3" w:rsidP="00A425AC">
      <w:pPr>
        <w:widowControl w:val="0"/>
        <w:numPr>
          <w:ilvl w:val="0"/>
          <w:numId w:val="33"/>
        </w:numPr>
        <w:tabs>
          <w:tab w:val="num" w:pos="358"/>
          <w:tab w:val="num" w:pos="1070"/>
          <w:tab w:val="num" w:pos="1440"/>
        </w:tabs>
        <w:spacing w:before="0" w:after="0"/>
        <w:ind w:left="1070" w:right="57"/>
        <w:rPr>
          <w:rFonts w:ascii="Times New Roman" w:hAnsi="Times New Roman"/>
          <w:sz w:val="24"/>
        </w:rPr>
      </w:pPr>
      <w:r w:rsidRPr="00A425AC">
        <w:rPr>
          <w:rFonts w:ascii="Times New Roman" w:hAnsi="Times New Roman"/>
          <w:sz w:val="24"/>
        </w:rPr>
        <w:t>no que diz respeito aos US$ 300 milhões de investimentos líquidos na controlada C, o montante determinado pelo método de consolidação da entidade. Se a controladora utilizar o método direto, seus ajustes de conversão acumulados, no que tange à controlada C, serão determinados diretamente pela taxa de câmbio EUR/USD. Se a controladora utilizar o método passo a passo, seus ajustes de conversão acumulados, no que tange à controlada C, serão determinados pelos ajustes de conversão acumulados reconhecidos como outros resultados abrangentes na controlada B, refletindo a taxa de câmbio GBP/USD convertida para a moeda funcional da matriz mediante utilização da taxa de câmbio EUR/GBP. A utilização pela controladora do método de consolidação passo a passo nos períodos anteriores não impede a entidade de determinar o montante dos ajustes de conversão acumulados que será reclassificado, quando ela baixar a controlada C, como o montante que seria reconhecido se ela sempre tivesse utilizado o método direto, dependendo de sua política contábil.</w:t>
      </w:r>
    </w:p>
    <w:p w14:paraId="114F1CC3" w14:textId="77777777" w:rsidR="00A95BF3" w:rsidRPr="00A425AC" w:rsidRDefault="00A95BF3" w:rsidP="00A425AC">
      <w:pPr>
        <w:pStyle w:val="Textoembloco"/>
        <w:spacing w:before="0" w:after="0" w:line="240" w:lineRule="auto"/>
        <w:ind w:left="57" w:firstLine="0"/>
        <w:jc w:val="both"/>
        <w:rPr>
          <w:rFonts w:ascii="Times New Roman" w:hAnsi="Times New Roman"/>
          <w:bCs/>
          <w:sz w:val="24"/>
          <w:lang w:val="pt-BR"/>
        </w:rPr>
      </w:pPr>
    </w:p>
    <w:p w14:paraId="230F1CD0"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i/>
          <w:sz w:val="24"/>
          <w:lang w:val="pt-BR"/>
        </w:rPr>
        <w:t>Hedge</w:t>
      </w:r>
      <w:r>
        <w:rPr>
          <w:rFonts w:ascii="Times New Roman" w:hAnsi="Times New Roman"/>
          <w:b/>
          <w:sz w:val="24"/>
          <w:lang w:val="pt-BR"/>
        </w:rPr>
        <w:t xml:space="preserve"> de mais de uma operação no exterior (itens 11, 13 e 15)</w:t>
      </w:r>
    </w:p>
    <w:p w14:paraId="15D12557"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139242EA"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AG9.</w:t>
      </w:r>
      <w:r>
        <w:rPr>
          <w:rFonts w:ascii="Times New Roman" w:hAnsi="Times New Roman"/>
          <w:sz w:val="24"/>
          <w:lang w:val="pt-BR"/>
        </w:rPr>
        <w:tab/>
        <w:t xml:space="preserve">Os exemplos seguintes orientam que, nas demonstrações contábeis consolidadas da controladora, o risco que pode ser protegido é sempre o risco entre sua moeda funcional (euro) e a moeda funcional das controladas B e C. Não importa como os </w:t>
      </w:r>
      <w:r>
        <w:rPr>
          <w:rFonts w:ascii="Times New Roman" w:hAnsi="Times New Roman"/>
          <w:i/>
          <w:sz w:val="24"/>
          <w:lang w:val="pt-BR"/>
        </w:rPr>
        <w:t>hedge</w:t>
      </w:r>
      <w:r>
        <w:rPr>
          <w:rFonts w:ascii="Times New Roman" w:hAnsi="Times New Roman"/>
          <w:sz w:val="24"/>
          <w:lang w:val="pt-BR"/>
        </w:rPr>
        <w:t xml:space="preserve">s são designados, os montantes máximos que podem ser </w:t>
      </w:r>
      <w:r>
        <w:rPr>
          <w:rFonts w:ascii="Times New Roman" w:hAnsi="Times New Roman"/>
          <w:i/>
          <w:sz w:val="24"/>
          <w:lang w:val="pt-BR"/>
        </w:rPr>
        <w:t>hedge</w:t>
      </w:r>
      <w:r>
        <w:rPr>
          <w:rFonts w:ascii="Times New Roman" w:hAnsi="Times New Roman"/>
          <w:sz w:val="24"/>
          <w:lang w:val="pt-BR"/>
        </w:rPr>
        <w:t>s eficazes para serem incluídos nos ajustes de conversão acumulados nas demonstrações consolidadas da controladora, quando ambas as operações estão protegidas, são US$ 300 milhões para o risco EUR/USD e £ 341 milhões para o risco EUR/GBP. Outras mudanças de valor devido a mudanças nas taxas de câmbio devem ser incluídas no resultado consolidado da controladora. Obviamente, é possível para a controladora designar US$ 300 milhões somente para mudanças na taxa de câmbio à vista USD/GBP ou £ 500 milhões somente para mudanças na taxa de câmbio à vista GBP/EUR.</w:t>
      </w:r>
    </w:p>
    <w:p w14:paraId="4D71A4A6" w14:textId="77777777" w:rsidR="00A425AC" w:rsidRPr="00A425AC" w:rsidRDefault="00A425AC" w:rsidP="00A95BF3">
      <w:pPr>
        <w:pStyle w:val="Textoembloco"/>
        <w:spacing w:before="0" w:after="0" w:line="240" w:lineRule="auto"/>
        <w:ind w:left="57" w:firstLine="0"/>
        <w:jc w:val="both"/>
        <w:rPr>
          <w:rFonts w:ascii="Times New Roman" w:hAnsi="Times New Roman"/>
          <w:bCs/>
          <w:sz w:val="24"/>
          <w:lang w:val="pt-BR"/>
        </w:rPr>
      </w:pPr>
    </w:p>
    <w:p w14:paraId="6D1DC959" w14:textId="136CBBE9"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 xml:space="preserve">Controladora possui instrumentos de </w:t>
      </w:r>
      <w:r>
        <w:rPr>
          <w:rFonts w:ascii="Times New Roman" w:hAnsi="Times New Roman"/>
          <w:b/>
          <w:i/>
          <w:sz w:val="24"/>
          <w:lang w:val="pt-BR"/>
        </w:rPr>
        <w:t>hedge</w:t>
      </w:r>
      <w:r>
        <w:rPr>
          <w:rFonts w:ascii="Times New Roman" w:hAnsi="Times New Roman"/>
          <w:b/>
          <w:sz w:val="24"/>
          <w:lang w:val="pt-BR"/>
        </w:rPr>
        <w:t xml:space="preserve"> em USD e GBP</w:t>
      </w:r>
    </w:p>
    <w:p w14:paraId="2AC239F8"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7836A274" w14:textId="77777777" w:rsidR="00A95BF3" w:rsidRPr="00A425AC" w:rsidRDefault="00A95BF3" w:rsidP="00A425AC">
      <w:pPr>
        <w:pStyle w:val="Textoembloco"/>
        <w:spacing w:before="0" w:after="0" w:line="240" w:lineRule="auto"/>
        <w:ind w:left="851" w:hanging="851"/>
        <w:jc w:val="both"/>
        <w:rPr>
          <w:rFonts w:ascii="Times New Roman" w:hAnsi="Times New Roman"/>
          <w:sz w:val="24"/>
          <w:lang w:val="pt-BR"/>
        </w:rPr>
      </w:pPr>
      <w:r w:rsidRPr="00A425AC">
        <w:rPr>
          <w:rFonts w:ascii="Times New Roman" w:hAnsi="Times New Roman"/>
          <w:sz w:val="24"/>
          <w:lang w:val="pt-BR"/>
        </w:rPr>
        <w:t>AG10.</w:t>
      </w:r>
      <w:r w:rsidRPr="00A425AC">
        <w:rPr>
          <w:rFonts w:ascii="Times New Roman" w:hAnsi="Times New Roman"/>
          <w:sz w:val="24"/>
          <w:lang w:val="pt-BR"/>
        </w:rPr>
        <w:tab/>
        <w:t xml:space="preserve">A controladora pode desejar proteger o risco de variação cambial em relação ao seu investimento líquido na controlada B bem como aquele relacionado com a controlada C. Assuma-se que a controladora mantém instrumentos de </w:t>
      </w:r>
      <w:r w:rsidRPr="00A425AC">
        <w:rPr>
          <w:rFonts w:ascii="Times New Roman" w:hAnsi="Times New Roman"/>
          <w:i/>
          <w:sz w:val="24"/>
          <w:lang w:val="pt-BR"/>
        </w:rPr>
        <w:t>hedge</w:t>
      </w:r>
      <w:r w:rsidRPr="00A425AC">
        <w:rPr>
          <w:rFonts w:ascii="Times New Roman" w:hAnsi="Times New Roman"/>
          <w:sz w:val="24"/>
          <w:lang w:val="pt-BR"/>
        </w:rPr>
        <w:t xml:space="preserve"> adequados denominados em dólares norte-americanos e libras esterlinas que poderiam ser designados como </w:t>
      </w:r>
      <w:r w:rsidRPr="00A425AC">
        <w:rPr>
          <w:rFonts w:ascii="Times New Roman" w:hAnsi="Times New Roman"/>
          <w:i/>
          <w:sz w:val="24"/>
          <w:lang w:val="pt-BR"/>
        </w:rPr>
        <w:t>hedge</w:t>
      </w:r>
      <w:r w:rsidRPr="00A425AC">
        <w:rPr>
          <w:rFonts w:ascii="Times New Roman" w:hAnsi="Times New Roman"/>
          <w:sz w:val="24"/>
          <w:lang w:val="pt-BR"/>
        </w:rPr>
        <w:t>s dos seus investimentos líquidos nas controladas B e C. As designações que a controladora pode fazer nas suas demonstrações contábeis consolidadas incluem, por exemplo:</w:t>
      </w:r>
    </w:p>
    <w:p w14:paraId="6303214B" w14:textId="77777777" w:rsidR="00A95BF3" w:rsidRPr="00A425AC" w:rsidRDefault="00A95BF3" w:rsidP="00A425AC">
      <w:pPr>
        <w:widowControl w:val="0"/>
        <w:tabs>
          <w:tab w:val="num" w:pos="1070"/>
          <w:tab w:val="num" w:pos="1440"/>
        </w:tabs>
        <w:spacing w:before="0" w:after="0"/>
        <w:ind w:left="710" w:right="57"/>
        <w:rPr>
          <w:rFonts w:ascii="Times New Roman" w:hAnsi="Times New Roman"/>
          <w:sz w:val="24"/>
        </w:rPr>
      </w:pPr>
    </w:p>
    <w:p w14:paraId="0A211C7B" w14:textId="77777777" w:rsidR="00A95BF3" w:rsidRPr="00A425AC" w:rsidRDefault="00A95BF3" w:rsidP="00A425AC">
      <w:pPr>
        <w:widowControl w:val="0"/>
        <w:numPr>
          <w:ilvl w:val="0"/>
          <w:numId w:val="34"/>
        </w:numPr>
        <w:tabs>
          <w:tab w:val="num" w:pos="1070"/>
          <w:tab w:val="num" w:pos="1440"/>
        </w:tabs>
        <w:spacing w:before="0" w:after="0"/>
        <w:ind w:right="57"/>
        <w:rPr>
          <w:rFonts w:ascii="Times New Roman" w:hAnsi="Times New Roman"/>
          <w:sz w:val="24"/>
        </w:rPr>
      </w:pPr>
      <w:r w:rsidRPr="00A425AC">
        <w:rPr>
          <w:rFonts w:ascii="Times New Roman" w:hAnsi="Times New Roman"/>
          <w:sz w:val="24"/>
        </w:rPr>
        <w:t xml:space="preserve">instrumento de </w:t>
      </w:r>
      <w:r w:rsidRPr="00A425AC">
        <w:rPr>
          <w:rFonts w:ascii="Times New Roman" w:hAnsi="Times New Roman"/>
          <w:i/>
          <w:sz w:val="24"/>
        </w:rPr>
        <w:t>hedge</w:t>
      </w:r>
      <w:r w:rsidRPr="00A425AC">
        <w:rPr>
          <w:rFonts w:ascii="Times New Roman" w:hAnsi="Times New Roman"/>
          <w:sz w:val="24"/>
        </w:rPr>
        <w:t xml:space="preserve"> de US$ 300 milhões designado como </w:t>
      </w:r>
      <w:r w:rsidRPr="00A425AC">
        <w:rPr>
          <w:rFonts w:ascii="Times New Roman" w:hAnsi="Times New Roman"/>
          <w:i/>
          <w:sz w:val="24"/>
        </w:rPr>
        <w:t>hedge</w:t>
      </w:r>
      <w:r w:rsidRPr="00A425AC">
        <w:rPr>
          <w:rFonts w:ascii="Times New Roman" w:hAnsi="Times New Roman"/>
          <w:sz w:val="24"/>
        </w:rPr>
        <w:t xml:space="preserve"> do investimento líquido de US$ 300 milhões na controlada C com o risco sendo a exposição ao risco cambial à vista (EUR/USD) entre a controladora e a controlada C e até £ 341 milhões do investimento líquido na controlada B com o risco sendo a exposição ao risco cambial à vista (EUR/GBP) entre a </w:t>
      </w:r>
      <w:r w:rsidRPr="00A425AC">
        <w:rPr>
          <w:rFonts w:ascii="Times New Roman" w:hAnsi="Times New Roman"/>
          <w:sz w:val="24"/>
        </w:rPr>
        <w:lastRenderedPageBreak/>
        <w:t>controladora e a controlada B;</w:t>
      </w:r>
    </w:p>
    <w:p w14:paraId="334E532E" w14:textId="77777777" w:rsidR="00A95BF3" w:rsidRPr="00A425AC" w:rsidRDefault="00A95BF3" w:rsidP="00A425AC">
      <w:pPr>
        <w:widowControl w:val="0"/>
        <w:tabs>
          <w:tab w:val="num" w:pos="1070"/>
          <w:tab w:val="num" w:pos="1440"/>
        </w:tabs>
        <w:spacing w:before="0" w:after="0"/>
        <w:ind w:left="710" w:right="57"/>
        <w:rPr>
          <w:rFonts w:ascii="Times New Roman" w:hAnsi="Times New Roman"/>
          <w:sz w:val="24"/>
        </w:rPr>
      </w:pPr>
    </w:p>
    <w:p w14:paraId="5ED9E3E6" w14:textId="77777777" w:rsidR="00A95BF3" w:rsidRPr="00A425AC" w:rsidRDefault="00A95BF3" w:rsidP="00A425AC">
      <w:pPr>
        <w:widowControl w:val="0"/>
        <w:numPr>
          <w:ilvl w:val="0"/>
          <w:numId w:val="34"/>
        </w:numPr>
        <w:tabs>
          <w:tab w:val="num" w:pos="-2"/>
          <w:tab w:val="num" w:pos="358"/>
          <w:tab w:val="num" w:pos="1070"/>
          <w:tab w:val="num" w:pos="1440"/>
        </w:tabs>
        <w:spacing w:before="0" w:after="0"/>
        <w:ind w:left="1070" w:right="57"/>
        <w:rPr>
          <w:rFonts w:ascii="Times New Roman" w:hAnsi="Times New Roman"/>
          <w:sz w:val="24"/>
        </w:rPr>
      </w:pPr>
      <w:r w:rsidRPr="00A425AC">
        <w:rPr>
          <w:rFonts w:ascii="Times New Roman" w:hAnsi="Times New Roman"/>
          <w:sz w:val="24"/>
        </w:rPr>
        <w:t xml:space="preserve">instrumento de </w:t>
      </w:r>
      <w:r w:rsidRPr="00A425AC">
        <w:rPr>
          <w:rFonts w:ascii="Times New Roman" w:hAnsi="Times New Roman"/>
          <w:i/>
          <w:sz w:val="24"/>
        </w:rPr>
        <w:t>hedge</w:t>
      </w:r>
      <w:r w:rsidRPr="00A425AC">
        <w:rPr>
          <w:rFonts w:ascii="Times New Roman" w:hAnsi="Times New Roman"/>
          <w:sz w:val="24"/>
        </w:rPr>
        <w:t xml:space="preserve"> de US$ 300 milhões designado como </w:t>
      </w:r>
      <w:r w:rsidRPr="00A425AC">
        <w:rPr>
          <w:rFonts w:ascii="Times New Roman" w:hAnsi="Times New Roman"/>
          <w:i/>
          <w:sz w:val="24"/>
        </w:rPr>
        <w:t>hedge</w:t>
      </w:r>
      <w:r w:rsidRPr="00A425AC">
        <w:rPr>
          <w:rFonts w:ascii="Times New Roman" w:hAnsi="Times New Roman"/>
          <w:sz w:val="24"/>
        </w:rPr>
        <w:t xml:space="preserve"> do investimento líquido de US$ 300 milhões na controlada C com o risco sendo a exposição cambial à vista (GBP/USD) entre a controlada B e a controlada C e até £ 500 milhões do investimento na controlada B com risco sendo a exposição cambial à vista (EUR/GBP) entre a controladora e a controlada B.</w:t>
      </w:r>
    </w:p>
    <w:p w14:paraId="6808E6BD" w14:textId="77777777" w:rsidR="00A95BF3" w:rsidRPr="00A425AC" w:rsidRDefault="00A95BF3" w:rsidP="00A425AC">
      <w:pPr>
        <w:pStyle w:val="Textoembloco"/>
        <w:spacing w:before="0" w:after="0" w:line="240" w:lineRule="auto"/>
        <w:ind w:left="851" w:hanging="851"/>
        <w:jc w:val="both"/>
        <w:rPr>
          <w:rFonts w:ascii="Times New Roman" w:hAnsi="Times New Roman"/>
          <w:sz w:val="24"/>
          <w:lang w:val="pt-BR"/>
        </w:rPr>
      </w:pPr>
    </w:p>
    <w:p w14:paraId="3888C7FD"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AG11.</w:t>
      </w:r>
      <w:r>
        <w:rPr>
          <w:rFonts w:ascii="Times New Roman" w:hAnsi="Times New Roman"/>
          <w:sz w:val="24"/>
          <w:lang w:val="pt-BR"/>
        </w:rPr>
        <w:tab/>
        <w:t xml:space="preserve">O risco EUR/USD do investimento líquido da controladora na controlada C é um risco diferente do risco EUR/GBP do investimento líquido da controladora na controlada B. No entanto, no caso descrito no item AG10(a), pela sua designação do instrumento de </w:t>
      </w:r>
      <w:r>
        <w:rPr>
          <w:rFonts w:ascii="Times New Roman" w:hAnsi="Times New Roman"/>
          <w:i/>
          <w:sz w:val="24"/>
          <w:lang w:val="pt-BR"/>
        </w:rPr>
        <w:t>hedge</w:t>
      </w:r>
      <w:r>
        <w:rPr>
          <w:rFonts w:ascii="Times New Roman" w:hAnsi="Times New Roman"/>
          <w:sz w:val="24"/>
          <w:lang w:val="pt-BR"/>
        </w:rPr>
        <w:t xml:space="preserve"> em USD que possui, a controladora já protegeu integralmente o risco EUR/USD de seu investimento líquido na controlada C. Se a controladora também designou um instrumento em GBP que ela possui como </w:t>
      </w:r>
      <w:r>
        <w:rPr>
          <w:rFonts w:ascii="Times New Roman" w:hAnsi="Times New Roman"/>
          <w:i/>
          <w:sz w:val="24"/>
          <w:lang w:val="pt-BR"/>
        </w:rPr>
        <w:t>hedge</w:t>
      </w:r>
      <w:r>
        <w:rPr>
          <w:rFonts w:ascii="Times New Roman" w:hAnsi="Times New Roman"/>
          <w:sz w:val="24"/>
          <w:lang w:val="pt-BR"/>
        </w:rPr>
        <w:t xml:space="preserve"> de seu investimento líquido de £ 500 milhões na controlada B, os £ 159 milhões desse investimento, representando o equivalente em GBP de seu investimento em USD na controlada C, seria protegido duas vezes para o risco GBP/EUR nas demonstrações contábeis consolidadas da controladora.</w:t>
      </w:r>
    </w:p>
    <w:p w14:paraId="726CFAE4"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59E1EFB1"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AG12.</w:t>
      </w:r>
      <w:r>
        <w:rPr>
          <w:rFonts w:ascii="Times New Roman" w:hAnsi="Times New Roman"/>
          <w:sz w:val="24"/>
          <w:lang w:val="pt-BR"/>
        </w:rPr>
        <w:tab/>
        <w:t xml:space="preserve">No caso descrito no item AG10(b) se a controladora designa o risco sendo protegido como a exposição cambial à vista (GBP/USD) entre a controlada B e a controlada C, somente parte da variação GBP/USD no valor de seu instrumento de </w:t>
      </w:r>
      <w:r>
        <w:rPr>
          <w:rFonts w:ascii="Times New Roman" w:hAnsi="Times New Roman"/>
          <w:i/>
          <w:sz w:val="24"/>
          <w:lang w:val="pt-BR"/>
        </w:rPr>
        <w:t>hedge</w:t>
      </w:r>
      <w:r>
        <w:rPr>
          <w:rFonts w:ascii="Times New Roman" w:hAnsi="Times New Roman"/>
          <w:sz w:val="24"/>
          <w:lang w:val="pt-BR"/>
        </w:rPr>
        <w:t xml:space="preserve"> de US$ 300 milhões deve ser incluído nos ajustes de conversão acumulados da controladora relacionados à controlada C. O restante da variação (equivalente à mudança GBP/EUR sobre os £ 159 milhões) deve ser incluído no resultado consolidado da controladora, como no item AG5. Como a designação do risco USD/GBP entre as controladas B e C não inclui o risco GBP/EUR, a controladora é capaz de designar até £ 500 milhões se seu investimento líquido na controlada B com o risco sendo a exposição cambial à vista (GBP/EUR) entre a controladora e a controlada B.</w:t>
      </w:r>
    </w:p>
    <w:p w14:paraId="4BB544AC"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04185F7E" w14:textId="77777777" w:rsidR="00A95BF3" w:rsidRDefault="00A95BF3" w:rsidP="00A95BF3">
      <w:pPr>
        <w:pStyle w:val="Textoembloco"/>
        <w:spacing w:before="0" w:after="0" w:line="240" w:lineRule="auto"/>
        <w:ind w:left="57" w:firstLine="0"/>
        <w:jc w:val="both"/>
        <w:rPr>
          <w:rFonts w:ascii="Times New Roman" w:hAnsi="Times New Roman"/>
          <w:b/>
          <w:sz w:val="24"/>
          <w:lang w:val="pt-BR"/>
        </w:rPr>
      </w:pPr>
      <w:r>
        <w:rPr>
          <w:rFonts w:ascii="Times New Roman" w:hAnsi="Times New Roman"/>
          <w:b/>
          <w:sz w:val="24"/>
          <w:lang w:val="pt-BR"/>
        </w:rPr>
        <w:t xml:space="preserve">Controlada B possui instrumento de </w:t>
      </w:r>
      <w:r>
        <w:rPr>
          <w:rFonts w:ascii="Times New Roman" w:hAnsi="Times New Roman"/>
          <w:b/>
          <w:i/>
          <w:sz w:val="24"/>
          <w:lang w:val="pt-BR"/>
        </w:rPr>
        <w:t>hedge</w:t>
      </w:r>
      <w:r>
        <w:rPr>
          <w:rFonts w:ascii="Times New Roman" w:hAnsi="Times New Roman"/>
          <w:b/>
          <w:sz w:val="24"/>
          <w:lang w:val="pt-BR"/>
        </w:rPr>
        <w:t xml:space="preserve"> em USD</w:t>
      </w:r>
    </w:p>
    <w:p w14:paraId="3614128E"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3B18AAC0"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AG13.</w:t>
      </w:r>
      <w:r>
        <w:rPr>
          <w:rFonts w:ascii="Times New Roman" w:hAnsi="Times New Roman"/>
          <w:sz w:val="24"/>
          <w:lang w:val="pt-BR"/>
        </w:rPr>
        <w:tab/>
        <w:t xml:space="preserve">Assuma-se que a controlada B possua US$ 300 milhões de dívida com terceiros, cujos recursos obtidos foram transferidos para a controladora por intermédio de empréstimo de mútuo denominado em libras esterlinas. Uma vez que seus ativos e passivos aumentaram em £ 159 milhões, os ativos líquidos da controlada B não mudaram. A controlada B poderia designar sua captação externa como </w:t>
      </w:r>
      <w:r>
        <w:rPr>
          <w:rFonts w:ascii="Times New Roman" w:hAnsi="Times New Roman"/>
          <w:i/>
          <w:sz w:val="24"/>
          <w:lang w:val="pt-BR"/>
        </w:rPr>
        <w:t>hedge</w:t>
      </w:r>
      <w:r>
        <w:rPr>
          <w:rFonts w:ascii="Times New Roman" w:hAnsi="Times New Roman"/>
          <w:sz w:val="24"/>
          <w:lang w:val="pt-BR"/>
        </w:rPr>
        <w:t xml:space="preserve"> do risco GBP/USD de seu investimento líquido na controlada C em suas demonstrações contábeis consolidadas. A controladora poderia manter a designação feita pela controlada B desse instrumento de </w:t>
      </w:r>
      <w:r>
        <w:rPr>
          <w:rFonts w:ascii="Times New Roman" w:hAnsi="Times New Roman"/>
          <w:i/>
          <w:sz w:val="24"/>
          <w:lang w:val="pt-BR"/>
        </w:rPr>
        <w:t>hedge</w:t>
      </w:r>
      <w:r>
        <w:rPr>
          <w:rFonts w:ascii="Times New Roman" w:hAnsi="Times New Roman"/>
          <w:sz w:val="24"/>
          <w:lang w:val="pt-BR"/>
        </w:rPr>
        <w:t xml:space="preserve"> como </w:t>
      </w:r>
      <w:r>
        <w:rPr>
          <w:rFonts w:ascii="Times New Roman" w:hAnsi="Times New Roman"/>
          <w:i/>
          <w:sz w:val="24"/>
          <w:lang w:val="pt-BR"/>
        </w:rPr>
        <w:t>hedge</w:t>
      </w:r>
      <w:r>
        <w:rPr>
          <w:rFonts w:ascii="Times New Roman" w:hAnsi="Times New Roman"/>
          <w:sz w:val="24"/>
          <w:lang w:val="pt-BR"/>
        </w:rPr>
        <w:t xml:space="preserve"> de US$ 300 milhões de investimento líquido na controlada C para o risco GBP/USD (ver item 13) e a controladora poderia designar o instrumento de </w:t>
      </w:r>
      <w:r>
        <w:rPr>
          <w:rFonts w:ascii="Times New Roman" w:hAnsi="Times New Roman"/>
          <w:i/>
          <w:sz w:val="24"/>
          <w:lang w:val="pt-BR"/>
        </w:rPr>
        <w:t>hedge</w:t>
      </w:r>
      <w:r>
        <w:rPr>
          <w:rFonts w:ascii="Times New Roman" w:hAnsi="Times New Roman"/>
          <w:sz w:val="24"/>
          <w:lang w:val="pt-BR"/>
        </w:rPr>
        <w:t xml:space="preserve"> em GBP que ela possui como </w:t>
      </w:r>
      <w:r>
        <w:rPr>
          <w:rFonts w:ascii="Times New Roman" w:hAnsi="Times New Roman"/>
          <w:i/>
          <w:sz w:val="24"/>
          <w:lang w:val="pt-BR"/>
        </w:rPr>
        <w:t>hedge</w:t>
      </w:r>
      <w:r>
        <w:rPr>
          <w:rFonts w:ascii="Times New Roman" w:hAnsi="Times New Roman"/>
          <w:sz w:val="24"/>
          <w:lang w:val="pt-BR"/>
        </w:rPr>
        <w:t xml:space="preserve"> do investimento total de £ 500 milhões na controlada B. O primeiro </w:t>
      </w:r>
      <w:r>
        <w:rPr>
          <w:rFonts w:ascii="Times New Roman" w:hAnsi="Times New Roman"/>
          <w:i/>
          <w:sz w:val="24"/>
          <w:lang w:val="pt-BR"/>
        </w:rPr>
        <w:t>hedge</w:t>
      </w:r>
      <w:r>
        <w:rPr>
          <w:rFonts w:ascii="Times New Roman" w:hAnsi="Times New Roman"/>
          <w:sz w:val="24"/>
          <w:lang w:val="pt-BR"/>
        </w:rPr>
        <w:t xml:space="preserve"> designado pela controlada B poderia ser verificado com referência à moeda funcional da controlada B (libras esterlinas) e o segundo </w:t>
      </w:r>
      <w:r>
        <w:rPr>
          <w:rFonts w:ascii="Times New Roman" w:hAnsi="Times New Roman"/>
          <w:i/>
          <w:sz w:val="24"/>
          <w:lang w:val="pt-BR"/>
        </w:rPr>
        <w:t>hedge</w:t>
      </w:r>
      <w:r>
        <w:rPr>
          <w:rFonts w:ascii="Times New Roman" w:hAnsi="Times New Roman"/>
          <w:sz w:val="24"/>
          <w:lang w:val="pt-BR"/>
        </w:rPr>
        <w:t xml:space="preserve">, designado pela controladora, poderia ser verificado com referência à moeda funcional da controladora (euro). Nesse caso, somente o risco GBP/USD do investimento líquido da controladora na controlada C foi protegido nas demonstrações contábeis consolidadas pelo instrumento de </w:t>
      </w:r>
      <w:r>
        <w:rPr>
          <w:rFonts w:ascii="Times New Roman" w:hAnsi="Times New Roman"/>
          <w:i/>
          <w:sz w:val="24"/>
          <w:lang w:val="pt-BR"/>
        </w:rPr>
        <w:t>hedge</w:t>
      </w:r>
      <w:r>
        <w:rPr>
          <w:rFonts w:ascii="Times New Roman" w:hAnsi="Times New Roman"/>
          <w:sz w:val="24"/>
          <w:lang w:val="pt-BR"/>
        </w:rPr>
        <w:t xml:space="preserve"> em USD e </w:t>
      </w:r>
      <w:r>
        <w:rPr>
          <w:rFonts w:ascii="Times New Roman" w:hAnsi="Times New Roman"/>
          <w:sz w:val="24"/>
          <w:lang w:val="pt-BR"/>
        </w:rPr>
        <w:lastRenderedPageBreak/>
        <w:t>não o risco EUR/USD total. Dessa forma, o risco total EUR/GBP do investimento líquido de £ 500 milhões da controladora na controlada B pode ser protegido nas demonstrações contábeis consolidadas da controladora.</w:t>
      </w:r>
    </w:p>
    <w:p w14:paraId="3C5B676F"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199BE571"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AG14.</w:t>
      </w:r>
      <w:r>
        <w:rPr>
          <w:rFonts w:ascii="Times New Roman" w:hAnsi="Times New Roman"/>
          <w:sz w:val="24"/>
          <w:lang w:val="pt-BR"/>
        </w:rPr>
        <w:tab/>
        <w:t>No entanto, o reconhecimento do empréstimo de £ 159 milhões da controladora com a controlada B também deve ser considerado. Se o empréstimo não for considerado como parte de seu investimento líquido na controlada B porque ele não satisfaz as condições descritas no Pronunciamento Técnico CPC 2, item 15, a diferença cambial GBP/EUR, oriunda da sua conversão deveria ser incluída no resultado consolidado da controladora. Se os £ 159 milhões de empréstimo da controladora com a controlada B for considerado como parte do investimento líquido da controladora, esse investimento líquido seria somente £ 341 milhões e o montante que a controladora poderia designar como item objeto de hedge para o risco GBP/EUR seria reduzido, consequentemente, de £ 500 milhões para £ 341 milhões.</w:t>
      </w:r>
    </w:p>
    <w:p w14:paraId="0CBDEAE8"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p>
    <w:p w14:paraId="6CE98B5D" w14:textId="77777777" w:rsidR="00A95BF3" w:rsidRDefault="00A95BF3" w:rsidP="00A95BF3">
      <w:pPr>
        <w:pStyle w:val="Textoembloco"/>
        <w:spacing w:before="0" w:after="0" w:line="240" w:lineRule="auto"/>
        <w:ind w:left="851" w:hanging="851"/>
        <w:jc w:val="both"/>
        <w:rPr>
          <w:rFonts w:ascii="Times New Roman" w:hAnsi="Times New Roman"/>
          <w:sz w:val="24"/>
          <w:lang w:val="pt-BR"/>
        </w:rPr>
      </w:pPr>
      <w:r>
        <w:rPr>
          <w:rFonts w:ascii="Times New Roman" w:hAnsi="Times New Roman"/>
          <w:sz w:val="24"/>
          <w:lang w:val="pt-BR"/>
        </w:rPr>
        <w:t>AG15.</w:t>
      </w:r>
      <w:r>
        <w:rPr>
          <w:rFonts w:ascii="Times New Roman" w:hAnsi="Times New Roman"/>
          <w:sz w:val="24"/>
          <w:lang w:val="pt-BR"/>
        </w:rPr>
        <w:tab/>
        <w:t xml:space="preserve">Se a controladora revertesse a relação de </w:t>
      </w:r>
      <w:r>
        <w:rPr>
          <w:rFonts w:ascii="Times New Roman" w:hAnsi="Times New Roman"/>
          <w:i/>
          <w:sz w:val="24"/>
          <w:lang w:val="pt-BR"/>
        </w:rPr>
        <w:t>hedge</w:t>
      </w:r>
      <w:r>
        <w:rPr>
          <w:rFonts w:ascii="Times New Roman" w:hAnsi="Times New Roman"/>
          <w:sz w:val="24"/>
          <w:lang w:val="pt-BR"/>
        </w:rPr>
        <w:t xml:space="preserve"> designada pela controlada B, a controladora poderia designar a captação externa de US$ 300 milhões mantida na controlada B como </w:t>
      </w:r>
      <w:r>
        <w:rPr>
          <w:rFonts w:ascii="Times New Roman" w:hAnsi="Times New Roman"/>
          <w:i/>
          <w:sz w:val="24"/>
          <w:lang w:val="pt-BR"/>
        </w:rPr>
        <w:t>hedge</w:t>
      </w:r>
      <w:r>
        <w:rPr>
          <w:rFonts w:ascii="Times New Roman" w:hAnsi="Times New Roman"/>
          <w:sz w:val="24"/>
          <w:lang w:val="pt-BR"/>
        </w:rPr>
        <w:t xml:space="preserve"> de seu investimento líquido de US$ 300 milhões na controlada C para o risco EUR/USD e designar o instrumento de </w:t>
      </w:r>
      <w:r>
        <w:rPr>
          <w:rFonts w:ascii="Times New Roman" w:hAnsi="Times New Roman"/>
          <w:i/>
          <w:sz w:val="24"/>
          <w:lang w:val="pt-BR"/>
        </w:rPr>
        <w:t>hedge</w:t>
      </w:r>
      <w:r>
        <w:rPr>
          <w:rFonts w:ascii="Times New Roman" w:hAnsi="Times New Roman"/>
          <w:sz w:val="24"/>
          <w:lang w:val="pt-BR"/>
        </w:rPr>
        <w:t xml:space="preserve"> em GBP que ela possui somente como </w:t>
      </w:r>
      <w:r>
        <w:rPr>
          <w:rFonts w:ascii="Times New Roman" w:hAnsi="Times New Roman"/>
          <w:i/>
          <w:sz w:val="24"/>
          <w:lang w:val="pt-BR"/>
        </w:rPr>
        <w:t>hedge</w:t>
      </w:r>
      <w:r>
        <w:rPr>
          <w:rFonts w:ascii="Times New Roman" w:hAnsi="Times New Roman"/>
          <w:sz w:val="24"/>
          <w:lang w:val="pt-BR"/>
        </w:rPr>
        <w:t xml:space="preserve"> de até £ 341 milhões do investimento líquido na controlada B. Nesse caso, a eficácia de ambos os </w:t>
      </w:r>
      <w:r>
        <w:rPr>
          <w:rFonts w:ascii="Times New Roman" w:hAnsi="Times New Roman"/>
          <w:i/>
          <w:sz w:val="24"/>
          <w:lang w:val="pt-BR"/>
        </w:rPr>
        <w:t>hedge</w:t>
      </w:r>
      <w:r>
        <w:rPr>
          <w:rFonts w:ascii="Times New Roman" w:hAnsi="Times New Roman"/>
          <w:sz w:val="24"/>
          <w:lang w:val="pt-BR"/>
        </w:rPr>
        <w:t>s poderia ser calculada em referência à moeda funcional da controladora (Euro). Consequentemente, a mudança de valor relativa à variação USD/GBP da captação externa mantida pela controlada B e a mudança de valor (GBP/EUR) do empréstimo da controladora com a controlada B (equivalente a USD/EUR no total) deveria ser incluída nos ajustes de conversão acumulados nas demonstrações contábeis consolidadas da controladora. Uma vez que a controladora já protegeu integralmente o risco EUR/USD de seu investimento líquido na controlada C, ela pode proteger somente até £ 341 milhões do risco EUR/GBP de seu investimento na controlada B.</w:t>
      </w:r>
    </w:p>
    <w:p w14:paraId="0BCFFA4A" w14:textId="037B1F4C" w:rsidR="00C578D8" w:rsidRDefault="00C578D8">
      <w:pPr>
        <w:rPr>
          <w:lang w:val="pt-BR"/>
        </w:rPr>
      </w:pPr>
    </w:p>
    <w:p w14:paraId="256C5F2F" w14:textId="498C46DF" w:rsidR="00E77746" w:rsidRDefault="00E77746">
      <w:pPr>
        <w:rPr>
          <w:lang w:val="pt-BR"/>
        </w:rPr>
      </w:pPr>
    </w:p>
    <w:p w14:paraId="2587A6B7" w14:textId="77777777" w:rsidR="00E77746" w:rsidRDefault="00E77746">
      <w:pPr>
        <w:rPr>
          <w:lang w:val="pt-BR"/>
        </w:rPr>
      </w:pPr>
    </w:p>
    <w:p w14:paraId="5ABEFC5B" w14:textId="77777777" w:rsidR="00273211" w:rsidRPr="0096648A" w:rsidRDefault="00273211">
      <w:pPr>
        <w:rPr>
          <w:lang w:val="pt-BR"/>
        </w:rPr>
      </w:pPr>
    </w:p>
    <w:sectPr w:rsidR="00273211" w:rsidRPr="0096648A" w:rsidSect="00A21437">
      <w:headerReference w:type="default" r:id="rId12"/>
      <w:footerReference w:type="even" r:id="rId13"/>
      <w:footerReference w:type="default" r:id="rId14"/>
      <w:headerReference w:type="first" r:id="rId15"/>
      <w:footerReference w:type="first" r:id="rId16"/>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47DC" w14:textId="77777777" w:rsidR="00B275F6" w:rsidRDefault="00B275F6" w:rsidP="0096648A">
      <w:pPr>
        <w:spacing w:before="0" w:after="0"/>
      </w:pPr>
      <w:r>
        <w:separator/>
      </w:r>
    </w:p>
  </w:endnote>
  <w:endnote w:type="continuationSeparator" w:id="0">
    <w:p w14:paraId="6A76489D" w14:textId="77777777" w:rsidR="00B275F6" w:rsidRDefault="00B275F6"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33596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52473B96"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33596E" w:rsidRPr="0033596E">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B747C" w14:textId="77777777" w:rsidR="00B275F6" w:rsidRDefault="00B275F6" w:rsidP="0096648A">
      <w:pPr>
        <w:spacing w:before="0" w:after="0"/>
      </w:pPr>
      <w:r>
        <w:separator/>
      </w:r>
    </w:p>
  </w:footnote>
  <w:footnote w:type="continuationSeparator" w:id="0">
    <w:p w14:paraId="2139FB0A" w14:textId="77777777" w:rsidR="00B275F6" w:rsidRDefault="00B275F6"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33596E"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6805BD07" w:rsidR="00D76E29" w:rsidRPr="00A21437" w:rsidRDefault="00A21437" w:rsidP="00A21437">
    <w:pPr>
      <w:spacing w:before="240" w:after="240"/>
      <w:rPr>
        <w:rFonts w:asciiTheme="minorHAnsi" w:hAnsiTheme="minorHAnsi" w:cstheme="minorHAnsi"/>
      </w:rPr>
    </w:pPr>
    <w:r w:rsidRPr="00CE2D92">
      <w:rPr>
        <w:rFonts w:asciiTheme="minorHAnsi" w:hAnsiTheme="minorHAnsi" w:cstheme="minorHAnsi"/>
        <w:szCs w:val="20"/>
      </w:rPr>
      <w:t xml:space="preserve">RESOLUÇÃO CVM Nº </w:t>
    </w:r>
    <w:r w:rsidR="00CE2D92" w:rsidRPr="00CE2D92">
      <w:rPr>
        <w:rFonts w:asciiTheme="minorHAnsi" w:hAnsiTheme="minorHAnsi" w:cstheme="minorHAnsi"/>
        <w:szCs w:val="20"/>
      </w:rPr>
      <w:t>142,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33596E"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422A2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44784A"/>
    <w:multiLevelType w:val="hybridMultilevel"/>
    <w:tmpl w:val="AB4C2A3A"/>
    <w:lvl w:ilvl="0" w:tplc="681A38B8">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55214E"/>
    <w:multiLevelType w:val="hybridMultilevel"/>
    <w:tmpl w:val="44CA7F74"/>
    <w:lvl w:ilvl="0" w:tplc="06984872">
      <w:start w:val="1"/>
      <w:numFmt w:val="lowerLetter"/>
      <w:lvlText w:val="(%1)"/>
      <w:lvlJc w:val="left"/>
      <w:pPr>
        <w:ind w:left="106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9A1142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CA4C5A"/>
    <w:multiLevelType w:val="hybridMultilevel"/>
    <w:tmpl w:val="48F414B6"/>
    <w:lvl w:ilvl="0" w:tplc="DD3E461C">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F42EBC"/>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12460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4C6FC1"/>
    <w:multiLevelType w:val="hybridMultilevel"/>
    <w:tmpl w:val="285CA474"/>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 w15:restartNumberingAfterBreak="0">
    <w:nsid w:val="19B7247E"/>
    <w:multiLevelType w:val="hybridMultilevel"/>
    <w:tmpl w:val="44CA7F74"/>
    <w:lvl w:ilvl="0" w:tplc="06984872">
      <w:start w:val="1"/>
      <w:numFmt w:val="lowerLetter"/>
      <w:lvlText w:val="(%1)"/>
      <w:lvlJc w:val="left"/>
      <w:pPr>
        <w:ind w:left="106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1CDF5F2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1" w15:restartNumberingAfterBreak="0">
    <w:nsid w:val="2AD9096C"/>
    <w:multiLevelType w:val="hybridMultilevel"/>
    <w:tmpl w:val="285CA474"/>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 w15:restartNumberingAfterBreak="0">
    <w:nsid w:val="2D9B51EF"/>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55129"/>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EC5779"/>
    <w:multiLevelType w:val="hybridMultilevel"/>
    <w:tmpl w:val="38C0ABA0"/>
    <w:lvl w:ilvl="0" w:tplc="FFFFFFFF">
      <w:start w:val="1"/>
      <w:numFmt w:val="lowerRoman"/>
      <w:lvlText w:val="(%1) "/>
      <w:lvlJc w:val="left"/>
      <w:pPr>
        <w:tabs>
          <w:tab w:val="num" w:pos="1920"/>
        </w:tabs>
        <w:ind w:left="1920" w:hanging="360"/>
      </w:pPr>
      <w:rPr>
        <w:rFonts w:cs="Times New Roman" w:hint="default"/>
        <w:b w:val="0"/>
        <w:i w:val="0"/>
      </w:rPr>
    </w:lvl>
    <w:lvl w:ilvl="1" w:tplc="FFFFFFFF" w:tentative="1">
      <w:start w:val="1"/>
      <w:numFmt w:val="lowerLetter"/>
      <w:lvlText w:val="%2."/>
      <w:lvlJc w:val="left"/>
      <w:pPr>
        <w:tabs>
          <w:tab w:val="num" w:pos="2290"/>
        </w:tabs>
        <w:ind w:left="2290" w:hanging="360"/>
      </w:pPr>
      <w:rPr>
        <w:rFonts w:cs="Times New Roman"/>
      </w:rPr>
    </w:lvl>
    <w:lvl w:ilvl="2" w:tplc="FFFFFFFF" w:tentative="1">
      <w:start w:val="1"/>
      <w:numFmt w:val="lowerRoman"/>
      <w:lvlText w:val="%3."/>
      <w:lvlJc w:val="right"/>
      <w:pPr>
        <w:tabs>
          <w:tab w:val="num" w:pos="3010"/>
        </w:tabs>
        <w:ind w:left="3010" w:hanging="180"/>
      </w:pPr>
      <w:rPr>
        <w:rFonts w:cs="Times New Roman"/>
      </w:rPr>
    </w:lvl>
    <w:lvl w:ilvl="3" w:tplc="FFFFFFFF" w:tentative="1">
      <w:start w:val="1"/>
      <w:numFmt w:val="decimal"/>
      <w:lvlText w:val="%4."/>
      <w:lvlJc w:val="left"/>
      <w:pPr>
        <w:tabs>
          <w:tab w:val="num" w:pos="3730"/>
        </w:tabs>
        <w:ind w:left="3730" w:hanging="360"/>
      </w:pPr>
      <w:rPr>
        <w:rFonts w:cs="Times New Roman"/>
      </w:rPr>
    </w:lvl>
    <w:lvl w:ilvl="4" w:tplc="FFFFFFFF" w:tentative="1">
      <w:start w:val="1"/>
      <w:numFmt w:val="lowerLetter"/>
      <w:lvlText w:val="%5."/>
      <w:lvlJc w:val="left"/>
      <w:pPr>
        <w:tabs>
          <w:tab w:val="num" w:pos="4450"/>
        </w:tabs>
        <w:ind w:left="4450" w:hanging="360"/>
      </w:pPr>
      <w:rPr>
        <w:rFonts w:cs="Times New Roman"/>
      </w:rPr>
    </w:lvl>
    <w:lvl w:ilvl="5" w:tplc="FFFFFFFF" w:tentative="1">
      <w:start w:val="1"/>
      <w:numFmt w:val="lowerRoman"/>
      <w:lvlText w:val="%6."/>
      <w:lvlJc w:val="right"/>
      <w:pPr>
        <w:tabs>
          <w:tab w:val="num" w:pos="5170"/>
        </w:tabs>
        <w:ind w:left="5170" w:hanging="180"/>
      </w:pPr>
      <w:rPr>
        <w:rFonts w:cs="Times New Roman"/>
      </w:rPr>
    </w:lvl>
    <w:lvl w:ilvl="6" w:tplc="FFFFFFFF" w:tentative="1">
      <w:start w:val="1"/>
      <w:numFmt w:val="decimal"/>
      <w:lvlText w:val="%7."/>
      <w:lvlJc w:val="left"/>
      <w:pPr>
        <w:tabs>
          <w:tab w:val="num" w:pos="5890"/>
        </w:tabs>
        <w:ind w:left="5890" w:hanging="360"/>
      </w:pPr>
      <w:rPr>
        <w:rFonts w:cs="Times New Roman"/>
      </w:rPr>
    </w:lvl>
    <w:lvl w:ilvl="7" w:tplc="FFFFFFFF" w:tentative="1">
      <w:start w:val="1"/>
      <w:numFmt w:val="lowerLetter"/>
      <w:lvlText w:val="%8."/>
      <w:lvlJc w:val="left"/>
      <w:pPr>
        <w:tabs>
          <w:tab w:val="num" w:pos="6610"/>
        </w:tabs>
        <w:ind w:left="6610" w:hanging="360"/>
      </w:pPr>
      <w:rPr>
        <w:rFonts w:cs="Times New Roman"/>
      </w:rPr>
    </w:lvl>
    <w:lvl w:ilvl="8" w:tplc="FFFFFFFF" w:tentative="1">
      <w:start w:val="1"/>
      <w:numFmt w:val="lowerRoman"/>
      <w:lvlText w:val="%9."/>
      <w:lvlJc w:val="right"/>
      <w:pPr>
        <w:tabs>
          <w:tab w:val="num" w:pos="7330"/>
        </w:tabs>
        <w:ind w:left="7330" w:hanging="180"/>
      </w:pPr>
      <w:rPr>
        <w:rFonts w:cs="Times New Roman"/>
      </w:rPr>
    </w:lvl>
  </w:abstractNum>
  <w:abstractNum w:abstractNumId="15" w15:restartNumberingAfterBreak="0">
    <w:nsid w:val="3B2E0C13"/>
    <w:multiLevelType w:val="hybridMultilevel"/>
    <w:tmpl w:val="285CA474"/>
    <w:lvl w:ilvl="0" w:tplc="FFFFFFFF">
      <w:start w:val="1"/>
      <w:numFmt w:val="lowerLetter"/>
      <w:lvlText w:val="(%1)"/>
      <w:lvlJc w:val="left"/>
      <w:pPr>
        <w:ind w:left="502" w:hanging="360"/>
      </w:pPr>
      <w:rPr>
        <w:rFonts w:cs="Times New Roman" w:hint="default"/>
      </w:rPr>
    </w:lvl>
    <w:lvl w:ilvl="1" w:tplc="FFFFFFFF" w:tentative="1">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16" w15:restartNumberingAfterBreak="0">
    <w:nsid w:val="3B625005"/>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3F16FB"/>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960C77"/>
    <w:multiLevelType w:val="hybridMultilevel"/>
    <w:tmpl w:val="A1BE9D48"/>
    <w:lvl w:ilvl="0" w:tplc="862E2C22">
      <w:start w:val="1"/>
      <w:numFmt w:val="lowerLetter"/>
      <w:lvlText w:val="(%1)"/>
      <w:lvlJc w:val="left"/>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0A4DB3"/>
    <w:multiLevelType w:val="hybridMultilevel"/>
    <w:tmpl w:val="A1BE9D48"/>
    <w:lvl w:ilvl="0" w:tplc="862E2C22">
      <w:start w:val="1"/>
      <w:numFmt w:val="lowerLetter"/>
      <w:lvlText w:val="(%1)"/>
      <w:lvlJc w:val="left"/>
      <w:pPr>
        <w:tabs>
          <w:tab w:val="num" w:pos="1353"/>
        </w:tabs>
        <w:ind w:left="1353"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9737C1"/>
    <w:multiLevelType w:val="hybridMultilevel"/>
    <w:tmpl w:val="3D0697EC"/>
    <w:lvl w:ilvl="0" w:tplc="5EEE4DCE">
      <w:start w:val="1"/>
      <w:numFmt w:val="lowerRoman"/>
      <w:lvlText w:val="(%1) "/>
      <w:lvlJc w:val="center"/>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4EF41A8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6D568F"/>
    <w:multiLevelType w:val="hybridMultilevel"/>
    <w:tmpl w:val="92C87A5E"/>
    <w:lvl w:ilvl="0" w:tplc="DC16C93C">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685034"/>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AF56A3"/>
    <w:multiLevelType w:val="hybridMultilevel"/>
    <w:tmpl w:val="CE0ADD98"/>
    <w:lvl w:ilvl="0" w:tplc="C3BCBADC">
      <w:start w:val="1"/>
      <w:numFmt w:val="lowerLetter"/>
      <w:lvlText w:val="(%1)"/>
      <w:lvlJc w:val="left"/>
      <w:pPr>
        <w:tabs>
          <w:tab w:val="num" w:pos="1353"/>
        </w:tabs>
        <w:ind w:left="1353" w:hanging="360"/>
      </w:pPr>
      <w:rPr>
        <w:rFonts w:cs="Times New Roman" w:hint="default"/>
        <w:b w:val="0"/>
        <w:i w:val="0"/>
        <w:sz w:val="24"/>
        <w:szCs w:val="24"/>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36222B"/>
    <w:multiLevelType w:val="hybridMultilevel"/>
    <w:tmpl w:val="274E5F8A"/>
    <w:lvl w:ilvl="0" w:tplc="906AA4EC">
      <w:start w:val="1"/>
      <w:numFmt w:val="lowerRoman"/>
      <w:lvlText w:val="(%1) "/>
      <w:lvlJc w:val="center"/>
      <w:pPr>
        <w:tabs>
          <w:tab w:val="num" w:pos="2084"/>
        </w:tabs>
        <w:ind w:left="2084" w:hanging="360"/>
      </w:pPr>
      <w:rPr>
        <w:rFonts w:ascii="Times New Roman" w:hAnsi="Times New Roman" w:cs="Times New Roman" w:hint="default"/>
        <w:sz w:val="24"/>
        <w:szCs w:val="24"/>
      </w:rPr>
    </w:lvl>
    <w:lvl w:ilvl="1" w:tplc="04160019" w:tentative="1">
      <w:start w:val="1"/>
      <w:numFmt w:val="lowerLetter"/>
      <w:lvlText w:val="%2."/>
      <w:lvlJc w:val="left"/>
      <w:pPr>
        <w:ind w:left="1604" w:hanging="360"/>
      </w:pPr>
      <w:rPr>
        <w:rFonts w:cs="Times New Roman"/>
      </w:rPr>
    </w:lvl>
    <w:lvl w:ilvl="2" w:tplc="0416001B" w:tentative="1">
      <w:start w:val="1"/>
      <w:numFmt w:val="lowerRoman"/>
      <w:lvlText w:val="%3."/>
      <w:lvlJc w:val="right"/>
      <w:pPr>
        <w:ind w:left="2324" w:hanging="180"/>
      </w:pPr>
      <w:rPr>
        <w:rFonts w:cs="Times New Roman"/>
      </w:rPr>
    </w:lvl>
    <w:lvl w:ilvl="3" w:tplc="0416000F" w:tentative="1">
      <w:start w:val="1"/>
      <w:numFmt w:val="decimal"/>
      <w:lvlText w:val="%4."/>
      <w:lvlJc w:val="left"/>
      <w:pPr>
        <w:ind w:left="3044" w:hanging="360"/>
      </w:pPr>
      <w:rPr>
        <w:rFonts w:cs="Times New Roman"/>
      </w:rPr>
    </w:lvl>
    <w:lvl w:ilvl="4" w:tplc="04160019" w:tentative="1">
      <w:start w:val="1"/>
      <w:numFmt w:val="lowerLetter"/>
      <w:lvlText w:val="%5."/>
      <w:lvlJc w:val="left"/>
      <w:pPr>
        <w:ind w:left="3764" w:hanging="360"/>
      </w:pPr>
      <w:rPr>
        <w:rFonts w:cs="Times New Roman"/>
      </w:rPr>
    </w:lvl>
    <w:lvl w:ilvl="5" w:tplc="0416001B" w:tentative="1">
      <w:start w:val="1"/>
      <w:numFmt w:val="lowerRoman"/>
      <w:lvlText w:val="%6."/>
      <w:lvlJc w:val="right"/>
      <w:pPr>
        <w:ind w:left="4484" w:hanging="180"/>
      </w:pPr>
      <w:rPr>
        <w:rFonts w:cs="Times New Roman"/>
      </w:rPr>
    </w:lvl>
    <w:lvl w:ilvl="6" w:tplc="0416000F" w:tentative="1">
      <w:start w:val="1"/>
      <w:numFmt w:val="decimal"/>
      <w:lvlText w:val="%7."/>
      <w:lvlJc w:val="left"/>
      <w:pPr>
        <w:ind w:left="5204" w:hanging="360"/>
      </w:pPr>
      <w:rPr>
        <w:rFonts w:cs="Times New Roman"/>
      </w:rPr>
    </w:lvl>
    <w:lvl w:ilvl="7" w:tplc="04160019" w:tentative="1">
      <w:start w:val="1"/>
      <w:numFmt w:val="lowerLetter"/>
      <w:lvlText w:val="%8."/>
      <w:lvlJc w:val="left"/>
      <w:pPr>
        <w:ind w:left="5924" w:hanging="360"/>
      </w:pPr>
      <w:rPr>
        <w:rFonts w:cs="Times New Roman"/>
      </w:rPr>
    </w:lvl>
    <w:lvl w:ilvl="8" w:tplc="0416001B" w:tentative="1">
      <w:start w:val="1"/>
      <w:numFmt w:val="lowerRoman"/>
      <w:lvlText w:val="%9."/>
      <w:lvlJc w:val="right"/>
      <w:pPr>
        <w:ind w:left="6644" w:hanging="180"/>
      </w:pPr>
      <w:rPr>
        <w:rFonts w:cs="Times New Roman"/>
      </w:rPr>
    </w:lvl>
  </w:abstractNum>
  <w:abstractNum w:abstractNumId="26" w15:restartNumberingAfterBreak="0">
    <w:nsid w:val="623A14EA"/>
    <w:multiLevelType w:val="hybridMultilevel"/>
    <w:tmpl w:val="38C0ABA0"/>
    <w:lvl w:ilvl="0" w:tplc="FFFFFFFF">
      <w:start w:val="1"/>
      <w:numFmt w:val="lowerRoman"/>
      <w:lvlText w:val="(%1) "/>
      <w:lvlJc w:val="left"/>
      <w:pPr>
        <w:tabs>
          <w:tab w:val="num" w:pos="1920"/>
        </w:tabs>
        <w:ind w:left="1920" w:hanging="360"/>
      </w:pPr>
      <w:rPr>
        <w:rFonts w:cs="Times New Roman" w:hint="default"/>
        <w:b w:val="0"/>
        <w:i w:val="0"/>
      </w:rPr>
    </w:lvl>
    <w:lvl w:ilvl="1" w:tplc="FFFFFFFF" w:tentative="1">
      <w:start w:val="1"/>
      <w:numFmt w:val="lowerLetter"/>
      <w:lvlText w:val="%2."/>
      <w:lvlJc w:val="left"/>
      <w:pPr>
        <w:tabs>
          <w:tab w:val="num" w:pos="2290"/>
        </w:tabs>
        <w:ind w:left="2290" w:hanging="360"/>
      </w:pPr>
      <w:rPr>
        <w:rFonts w:cs="Times New Roman"/>
      </w:rPr>
    </w:lvl>
    <w:lvl w:ilvl="2" w:tplc="FFFFFFFF" w:tentative="1">
      <w:start w:val="1"/>
      <w:numFmt w:val="lowerRoman"/>
      <w:lvlText w:val="%3."/>
      <w:lvlJc w:val="right"/>
      <w:pPr>
        <w:tabs>
          <w:tab w:val="num" w:pos="3010"/>
        </w:tabs>
        <w:ind w:left="3010" w:hanging="180"/>
      </w:pPr>
      <w:rPr>
        <w:rFonts w:cs="Times New Roman"/>
      </w:rPr>
    </w:lvl>
    <w:lvl w:ilvl="3" w:tplc="FFFFFFFF" w:tentative="1">
      <w:start w:val="1"/>
      <w:numFmt w:val="decimal"/>
      <w:lvlText w:val="%4."/>
      <w:lvlJc w:val="left"/>
      <w:pPr>
        <w:tabs>
          <w:tab w:val="num" w:pos="3730"/>
        </w:tabs>
        <w:ind w:left="3730" w:hanging="360"/>
      </w:pPr>
      <w:rPr>
        <w:rFonts w:cs="Times New Roman"/>
      </w:rPr>
    </w:lvl>
    <w:lvl w:ilvl="4" w:tplc="FFFFFFFF" w:tentative="1">
      <w:start w:val="1"/>
      <w:numFmt w:val="lowerLetter"/>
      <w:lvlText w:val="%5."/>
      <w:lvlJc w:val="left"/>
      <w:pPr>
        <w:tabs>
          <w:tab w:val="num" w:pos="4450"/>
        </w:tabs>
        <w:ind w:left="4450" w:hanging="360"/>
      </w:pPr>
      <w:rPr>
        <w:rFonts w:cs="Times New Roman"/>
      </w:rPr>
    </w:lvl>
    <w:lvl w:ilvl="5" w:tplc="FFFFFFFF" w:tentative="1">
      <w:start w:val="1"/>
      <w:numFmt w:val="lowerRoman"/>
      <w:lvlText w:val="%6."/>
      <w:lvlJc w:val="right"/>
      <w:pPr>
        <w:tabs>
          <w:tab w:val="num" w:pos="5170"/>
        </w:tabs>
        <w:ind w:left="5170" w:hanging="180"/>
      </w:pPr>
      <w:rPr>
        <w:rFonts w:cs="Times New Roman"/>
      </w:rPr>
    </w:lvl>
    <w:lvl w:ilvl="6" w:tplc="FFFFFFFF" w:tentative="1">
      <w:start w:val="1"/>
      <w:numFmt w:val="decimal"/>
      <w:lvlText w:val="%7."/>
      <w:lvlJc w:val="left"/>
      <w:pPr>
        <w:tabs>
          <w:tab w:val="num" w:pos="5890"/>
        </w:tabs>
        <w:ind w:left="5890" w:hanging="360"/>
      </w:pPr>
      <w:rPr>
        <w:rFonts w:cs="Times New Roman"/>
      </w:rPr>
    </w:lvl>
    <w:lvl w:ilvl="7" w:tplc="FFFFFFFF" w:tentative="1">
      <w:start w:val="1"/>
      <w:numFmt w:val="lowerLetter"/>
      <w:lvlText w:val="%8."/>
      <w:lvlJc w:val="left"/>
      <w:pPr>
        <w:tabs>
          <w:tab w:val="num" w:pos="6610"/>
        </w:tabs>
        <w:ind w:left="6610" w:hanging="360"/>
      </w:pPr>
      <w:rPr>
        <w:rFonts w:cs="Times New Roman"/>
      </w:rPr>
    </w:lvl>
    <w:lvl w:ilvl="8" w:tplc="FFFFFFFF" w:tentative="1">
      <w:start w:val="1"/>
      <w:numFmt w:val="lowerRoman"/>
      <w:lvlText w:val="%9."/>
      <w:lvlJc w:val="right"/>
      <w:pPr>
        <w:tabs>
          <w:tab w:val="num" w:pos="7330"/>
        </w:tabs>
        <w:ind w:left="7330" w:hanging="180"/>
      </w:pPr>
      <w:rPr>
        <w:rFonts w:cs="Times New Roman"/>
      </w:rPr>
    </w:lvl>
  </w:abstractNum>
  <w:abstractNum w:abstractNumId="27" w15:restartNumberingAfterBreak="0">
    <w:nsid w:val="72794B20"/>
    <w:multiLevelType w:val="hybridMultilevel"/>
    <w:tmpl w:val="38C0ABA0"/>
    <w:lvl w:ilvl="0" w:tplc="FFFFFFFF">
      <w:start w:val="1"/>
      <w:numFmt w:val="lowerRoman"/>
      <w:lvlText w:val="(%1) "/>
      <w:lvlJc w:val="left"/>
      <w:pPr>
        <w:tabs>
          <w:tab w:val="num" w:pos="1920"/>
        </w:tabs>
        <w:ind w:left="1920" w:hanging="360"/>
      </w:pPr>
      <w:rPr>
        <w:rFonts w:cs="Times New Roman" w:hint="default"/>
        <w:b w:val="0"/>
        <w:i w:val="0"/>
      </w:rPr>
    </w:lvl>
    <w:lvl w:ilvl="1" w:tplc="FFFFFFFF" w:tentative="1">
      <w:start w:val="1"/>
      <w:numFmt w:val="lowerLetter"/>
      <w:lvlText w:val="%2."/>
      <w:lvlJc w:val="left"/>
      <w:pPr>
        <w:tabs>
          <w:tab w:val="num" w:pos="2290"/>
        </w:tabs>
        <w:ind w:left="2290" w:hanging="360"/>
      </w:pPr>
      <w:rPr>
        <w:rFonts w:cs="Times New Roman"/>
      </w:rPr>
    </w:lvl>
    <w:lvl w:ilvl="2" w:tplc="FFFFFFFF" w:tentative="1">
      <w:start w:val="1"/>
      <w:numFmt w:val="lowerRoman"/>
      <w:lvlText w:val="%3."/>
      <w:lvlJc w:val="right"/>
      <w:pPr>
        <w:tabs>
          <w:tab w:val="num" w:pos="3010"/>
        </w:tabs>
        <w:ind w:left="3010" w:hanging="180"/>
      </w:pPr>
      <w:rPr>
        <w:rFonts w:cs="Times New Roman"/>
      </w:rPr>
    </w:lvl>
    <w:lvl w:ilvl="3" w:tplc="FFFFFFFF" w:tentative="1">
      <w:start w:val="1"/>
      <w:numFmt w:val="decimal"/>
      <w:lvlText w:val="%4."/>
      <w:lvlJc w:val="left"/>
      <w:pPr>
        <w:tabs>
          <w:tab w:val="num" w:pos="3730"/>
        </w:tabs>
        <w:ind w:left="3730" w:hanging="360"/>
      </w:pPr>
      <w:rPr>
        <w:rFonts w:cs="Times New Roman"/>
      </w:rPr>
    </w:lvl>
    <w:lvl w:ilvl="4" w:tplc="FFFFFFFF" w:tentative="1">
      <w:start w:val="1"/>
      <w:numFmt w:val="lowerLetter"/>
      <w:lvlText w:val="%5."/>
      <w:lvlJc w:val="left"/>
      <w:pPr>
        <w:tabs>
          <w:tab w:val="num" w:pos="4450"/>
        </w:tabs>
        <w:ind w:left="4450" w:hanging="360"/>
      </w:pPr>
      <w:rPr>
        <w:rFonts w:cs="Times New Roman"/>
      </w:rPr>
    </w:lvl>
    <w:lvl w:ilvl="5" w:tplc="FFFFFFFF" w:tentative="1">
      <w:start w:val="1"/>
      <w:numFmt w:val="lowerRoman"/>
      <w:lvlText w:val="%6."/>
      <w:lvlJc w:val="right"/>
      <w:pPr>
        <w:tabs>
          <w:tab w:val="num" w:pos="5170"/>
        </w:tabs>
        <w:ind w:left="5170" w:hanging="180"/>
      </w:pPr>
      <w:rPr>
        <w:rFonts w:cs="Times New Roman"/>
      </w:rPr>
    </w:lvl>
    <w:lvl w:ilvl="6" w:tplc="FFFFFFFF" w:tentative="1">
      <w:start w:val="1"/>
      <w:numFmt w:val="decimal"/>
      <w:lvlText w:val="%7."/>
      <w:lvlJc w:val="left"/>
      <w:pPr>
        <w:tabs>
          <w:tab w:val="num" w:pos="5890"/>
        </w:tabs>
        <w:ind w:left="5890" w:hanging="360"/>
      </w:pPr>
      <w:rPr>
        <w:rFonts w:cs="Times New Roman"/>
      </w:rPr>
    </w:lvl>
    <w:lvl w:ilvl="7" w:tplc="FFFFFFFF" w:tentative="1">
      <w:start w:val="1"/>
      <w:numFmt w:val="lowerLetter"/>
      <w:lvlText w:val="%8."/>
      <w:lvlJc w:val="left"/>
      <w:pPr>
        <w:tabs>
          <w:tab w:val="num" w:pos="6610"/>
        </w:tabs>
        <w:ind w:left="6610" w:hanging="360"/>
      </w:pPr>
      <w:rPr>
        <w:rFonts w:cs="Times New Roman"/>
      </w:rPr>
    </w:lvl>
    <w:lvl w:ilvl="8" w:tplc="FFFFFFFF" w:tentative="1">
      <w:start w:val="1"/>
      <w:numFmt w:val="lowerRoman"/>
      <w:lvlText w:val="%9."/>
      <w:lvlJc w:val="right"/>
      <w:pPr>
        <w:tabs>
          <w:tab w:val="num" w:pos="7330"/>
        </w:tabs>
        <w:ind w:left="7330" w:hanging="180"/>
      </w:pPr>
      <w:rPr>
        <w:rFonts w:cs="Times New Roman"/>
      </w:rPr>
    </w:lvl>
  </w:abstractNum>
  <w:abstractNum w:abstractNumId="28" w15:restartNumberingAfterBreak="0">
    <w:nsid w:val="747E4F4B"/>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78768C"/>
    <w:multiLevelType w:val="hybridMultilevel"/>
    <w:tmpl w:val="75860D84"/>
    <w:lvl w:ilvl="0" w:tplc="04160001">
      <w:start w:val="1"/>
      <w:numFmt w:val="bullet"/>
      <w:lvlText w:val=""/>
      <w:lvlJc w:val="left"/>
      <w:pPr>
        <w:ind w:left="2707" w:hanging="360"/>
      </w:pPr>
      <w:rPr>
        <w:rFonts w:ascii="Symbol" w:hAnsi="Symbol" w:hint="default"/>
      </w:rPr>
    </w:lvl>
    <w:lvl w:ilvl="1" w:tplc="04160003" w:tentative="1">
      <w:start w:val="1"/>
      <w:numFmt w:val="bullet"/>
      <w:lvlText w:val="o"/>
      <w:lvlJc w:val="left"/>
      <w:pPr>
        <w:ind w:left="3427" w:hanging="360"/>
      </w:pPr>
      <w:rPr>
        <w:rFonts w:ascii="Courier New" w:hAnsi="Courier New" w:hint="default"/>
      </w:rPr>
    </w:lvl>
    <w:lvl w:ilvl="2" w:tplc="04160005" w:tentative="1">
      <w:start w:val="1"/>
      <w:numFmt w:val="bullet"/>
      <w:lvlText w:val=""/>
      <w:lvlJc w:val="left"/>
      <w:pPr>
        <w:ind w:left="4147" w:hanging="360"/>
      </w:pPr>
      <w:rPr>
        <w:rFonts w:ascii="Wingdings" w:hAnsi="Wingdings" w:hint="default"/>
      </w:rPr>
    </w:lvl>
    <w:lvl w:ilvl="3" w:tplc="04160001" w:tentative="1">
      <w:start w:val="1"/>
      <w:numFmt w:val="bullet"/>
      <w:lvlText w:val=""/>
      <w:lvlJc w:val="left"/>
      <w:pPr>
        <w:ind w:left="4867" w:hanging="360"/>
      </w:pPr>
      <w:rPr>
        <w:rFonts w:ascii="Symbol" w:hAnsi="Symbol" w:hint="default"/>
      </w:rPr>
    </w:lvl>
    <w:lvl w:ilvl="4" w:tplc="04160003" w:tentative="1">
      <w:start w:val="1"/>
      <w:numFmt w:val="bullet"/>
      <w:lvlText w:val="o"/>
      <w:lvlJc w:val="left"/>
      <w:pPr>
        <w:ind w:left="5587" w:hanging="360"/>
      </w:pPr>
      <w:rPr>
        <w:rFonts w:ascii="Courier New" w:hAnsi="Courier New" w:hint="default"/>
      </w:rPr>
    </w:lvl>
    <w:lvl w:ilvl="5" w:tplc="04160005" w:tentative="1">
      <w:start w:val="1"/>
      <w:numFmt w:val="bullet"/>
      <w:lvlText w:val=""/>
      <w:lvlJc w:val="left"/>
      <w:pPr>
        <w:ind w:left="6307" w:hanging="360"/>
      </w:pPr>
      <w:rPr>
        <w:rFonts w:ascii="Wingdings" w:hAnsi="Wingdings" w:hint="default"/>
      </w:rPr>
    </w:lvl>
    <w:lvl w:ilvl="6" w:tplc="04160001" w:tentative="1">
      <w:start w:val="1"/>
      <w:numFmt w:val="bullet"/>
      <w:lvlText w:val=""/>
      <w:lvlJc w:val="left"/>
      <w:pPr>
        <w:ind w:left="7027" w:hanging="360"/>
      </w:pPr>
      <w:rPr>
        <w:rFonts w:ascii="Symbol" w:hAnsi="Symbol" w:hint="default"/>
      </w:rPr>
    </w:lvl>
    <w:lvl w:ilvl="7" w:tplc="04160003" w:tentative="1">
      <w:start w:val="1"/>
      <w:numFmt w:val="bullet"/>
      <w:lvlText w:val="o"/>
      <w:lvlJc w:val="left"/>
      <w:pPr>
        <w:ind w:left="7747" w:hanging="360"/>
      </w:pPr>
      <w:rPr>
        <w:rFonts w:ascii="Courier New" w:hAnsi="Courier New" w:hint="default"/>
      </w:rPr>
    </w:lvl>
    <w:lvl w:ilvl="8" w:tplc="04160005" w:tentative="1">
      <w:start w:val="1"/>
      <w:numFmt w:val="bullet"/>
      <w:lvlText w:val=""/>
      <w:lvlJc w:val="left"/>
      <w:pPr>
        <w:ind w:left="8467" w:hanging="360"/>
      </w:pPr>
      <w:rPr>
        <w:rFonts w:ascii="Wingdings" w:hAnsi="Wingdings" w:hint="default"/>
      </w:rPr>
    </w:lvl>
  </w:abstractNum>
  <w:abstractNum w:abstractNumId="30" w15:restartNumberingAfterBreak="0">
    <w:nsid w:val="78577C61"/>
    <w:multiLevelType w:val="hybridMultilevel"/>
    <w:tmpl w:val="277AF714"/>
    <w:lvl w:ilvl="0" w:tplc="EB20D558">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1" w15:restartNumberingAfterBreak="0">
    <w:nsid w:val="78BE6088"/>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50109A"/>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DA73C6"/>
    <w:multiLevelType w:val="hybridMultilevel"/>
    <w:tmpl w:val="5A526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9"/>
  </w:num>
  <w:num w:numId="4">
    <w:abstractNumId w:val="30"/>
  </w:num>
  <w:num w:numId="5">
    <w:abstractNumId w:val="5"/>
  </w:num>
  <w:num w:numId="6">
    <w:abstractNumId w:val="32"/>
  </w:num>
  <w:num w:numId="7">
    <w:abstractNumId w:val="1"/>
  </w:num>
  <w:num w:numId="8">
    <w:abstractNumId w:val="13"/>
  </w:num>
  <w:num w:numId="9">
    <w:abstractNumId w:val="12"/>
  </w:num>
  <w:num w:numId="10">
    <w:abstractNumId w:val="4"/>
  </w:num>
  <w:num w:numId="11">
    <w:abstractNumId w:val="6"/>
  </w:num>
  <w:num w:numId="12">
    <w:abstractNumId w:val="3"/>
  </w:num>
  <w:num w:numId="13">
    <w:abstractNumId w:val="20"/>
  </w:num>
  <w:num w:numId="14">
    <w:abstractNumId w:val="28"/>
  </w:num>
  <w:num w:numId="15">
    <w:abstractNumId w:val="22"/>
  </w:num>
  <w:num w:numId="16">
    <w:abstractNumId w:val="21"/>
  </w:num>
  <w:num w:numId="17">
    <w:abstractNumId w:val="31"/>
  </w:num>
  <w:num w:numId="18">
    <w:abstractNumId w:val="17"/>
  </w:num>
  <w:num w:numId="19">
    <w:abstractNumId w:val="9"/>
  </w:num>
  <w:num w:numId="20">
    <w:abstractNumId w:val="16"/>
  </w:num>
  <w:num w:numId="21">
    <w:abstractNumId w:val="23"/>
  </w:num>
  <w:num w:numId="22">
    <w:abstractNumId w:val="18"/>
  </w:num>
  <w:num w:numId="23">
    <w:abstractNumId w:val="19"/>
  </w:num>
  <w:num w:numId="24">
    <w:abstractNumId w:val="24"/>
  </w:num>
  <w:num w:numId="25">
    <w:abstractNumId w:val="2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3"/>
  </w:num>
  <w:num w:numId="30">
    <w:abstractNumId w:val="14"/>
  </w:num>
  <w:num w:numId="31">
    <w:abstractNumId w:val="27"/>
  </w:num>
  <w:num w:numId="32">
    <w:abstractNumId w:val="26"/>
  </w:num>
  <w:num w:numId="33">
    <w:abstractNumId w:val="11"/>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11357"/>
    <w:rsid w:val="00087A28"/>
    <w:rsid w:val="000E45A5"/>
    <w:rsid w:val="000F12C2"/>
    <w:rsid w:val="00184565"/>
    <w:rsid w:val="001D5FC4"/>
    <w:rsid w:val="001D78A1"/>
    <w:rsid w:val="00244A30"/>
    <w:rsid w:val="00273211"/>
    <w:rsid w:val="00316A11"/>
    <w:rsid w:val="00320082"/>
    <w:rsid w:val="0033596E"/>
    <w:rsid w:val="00373789"/>
    <w:rsid w:val="00387614"/>
    <w:rsid w:val="003955E5"/>
    <w:rsid w:val="003B1A10"/>
    <w:rsid w:val="003F15CE"/>
    <w:rsid w:val="00453527"/>
    <w:rsid w:val="00454F19"/>
    <w:rsid w:val="00542BC6"/>
    <w:rsid w:val="005637C8"/>
    <w:rsid w:val="00580544"/>
    <w:rsid w:val="005A2507"/>
    <w:rsid w:val="0064082D"/>
    <w:rsid w:val="006671AC"/>
    <w:rsid w:val="006806BF"/>
    <w:rsid w:val="006E6A54"/>
    <w:rsid w:val="00750C6F"/>
    <w:rsid w:val="007A3977"/>
    <w:rsid w:val="007C12DA"/>
    <w:rsid w:val="008107D7"/>
    <w:rsid w:val="0084434F"/>
    <w:rsid w:val="00871485"/>
    <w:rsid w:val="00887C64"/>
    <w:rsid w:val="008A7CBF"/>
    <w:rsid w:val="0096648A"/>
    <w:rsid w:val="00987621"/>
    <w:rsid w:val="009A6542"/>
    <w:rsid w:val="009D3457"/>
    <w:rsid w:val="00A054B6"/>
    <w:rsid w:val="00A16C9B"/>
    <w:rsid w:val="00A21437"/>
    <w:rsid w:val="00A22872"/>
    <w:rsid w:val="00A425AC"/>
    <w:rsid w:val="00A451E3"/>
    <w:rsid w:val="00A92033"/>
    <w:rsid w:val="00A952D4"/>
    <w:rsid w:val="00A95BF3"/>
    <w:rsid w:val="00AA1130"/>
    <w:rsid w:val="00AB3649"/>
    <w:rsid w:val="00AB5212"/>
    <w:rsid w:val="00B21A82"/>
    <w:rsid w:val="00B25E0D"/>
    <w:rsid w:val="00B26110"/>
    <w:rsid w:val="00B275F6"/>
    <w:rsid w:val="00B774DE"/>
    <w:rsid w:val="00B82476"/>
    <w:rsid w:val="00C4357A"/>
    <w:rsid w:val="00C43825"/>
    <w:rsid w:val="00C578D8"/>
    <w:rsid w:val="00C72039"/>
    <w:rsid w:val="00C72404"/>
    <w:rsid w:val="00CA4343"/>
    <w:rsid w:val="00CE2D92"/>
    <w:rsid w:val="00CF08C5"/>
    <w:rsid w:val="00CF424B"/>
    <w:rsid w:val="00D36BD9"/>
    <w:rsid w:val="00D74A78"/>
    <w:rsid w:val="00DA14F5"/>
    <w:rsid w:val="00DB6E86"/>
    <w:rsid w:val="00DD20E5"/>
    <w:rsid w:val="00DE2990"/>
    <w:rsid w:val="00DF62F3"/>
    <w:rsid w:val="00E04D59"/>
    <w:rsid w:val="00E43462"/>
    <w:rsid w:val="00E47C3D"/>
    <w:rsid w:val="00E54B3A"/>
    <w:rsid w:val="00E657D1"/>
    <w:rsid w:val="00E77746"/>
    <w:rsid w:val="00EE04A4"/>
    <w:rsid w:val="00EF58FA"/>
    <w:rsid w:val="00FC653E"/>
    <w:rsid w:val="00FD6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uiPriority w:val="9"/>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uiPriority w:val="9"/>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96648A"/>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96648A"/>
    <w:pPr>
      <w:spacing w:before="240" w:after="60"/>
      <w:outlineLvl w:val="4"/>
    </w:pPr>
    <w:rPr>
      <w:b/>
      <w:bCs/>
      <w:i/>
      <w:iCs/>
      <w:sz w:val="26"/>
      <w:szCs w:val="26"/>
    </w:rPr>
  </w:style>
  <w:style w:type="paragraph" w:styleId="Ttulo6">
    <w:name w:val="heading 6"/>
    <w:basedOn w:val="Normal"/>
    <w:next w:val="Normal"/>
    <w:link w:val="Ttulo6Char"/>
    <w:uiPriority w:val="9"/>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uiPriority w:val="9"/>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uiPriority w:val="9"/>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uiPriority w:val="9"/>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uiPriority w:val="9"/>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uiPriority w:val="9"/>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uiPriority w:val="9"/>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uiPriority w:val="9"/>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uiPriority w:val="99"/>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uiPriority w:val="99"/>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uiPriority w:val="99"/>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uiPriority w:val="99"/>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uiPriority w:val="99"/>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uiPriority w:val="99"/>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uiPriority w:val="99"/>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uiPriority w:val="99"/>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5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1"/>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customStyle="1" w:styleId="IASBSectionTitle1Ind">
    <w:name w:val="IASB Section Title 1 Ind"/>
    <w:basedOn w:val="Normal"/>
    <w:rsid w:val="003F15CE"/>
    <w:pPr>
      <w:keepNext/>
      <w:keepLines/>
      <w:pBdr>
        <w:bottom w:val="single" w:sz="4" w:space="0" w:color="auto"/>
      </w:pBdr>
      <w:spacing w:before="400" w:after="200"/>
      <w:ind w:left="782"/>
      <w:jc w:val="left"/>
    </w:pPr>
    <w:rPr>
      <w:rFonts w:cs="Arial"/>
      <w:b/>
      <w:sz w:val="26"/>
      <w:szCs w:val="20"/>
      <w:lang w:val="pt-BR"/>
    </w:rPr>
  </w:style>
  <w:style w:type="paragraph" w:customStyle="1" w:styleId="IASBSectionTitle1NonInd">
    <w:name w:val="IASB Section Title 1 NonInd"/>
    <w:basedOn w:val="Normal"/>
    <w:rsid w:val="003F15CE"/>
    <w:pPr>
      <w:keepNext/>
      <w:keepLines/>
      <w:pBdr>
        <w:bottom w:val="single" w:sz="4" w:space="0" w:color="auto"/>
      </w:pBdr>
      <w:spacing w:before="400" w:after="200"/>
      <w:jc w:val="left"/>
    </w:pPr>
    <w:rPr>
      <w:rFonts w:cs="Arial"/>
      <w:b/>
      <w:sz w:val="26"/>
      <w:szCs w:val="20"/>
      <w:lang w:val="pt-BR"/>
    </w:rPr>
  </w:style>
  <w:style w:type="paragraph" w:customStyle="1" w:styleId="IASBSectionTitle2NonInd">
    <w:name w:val="IASB Section Title 2 NonInd"/>
    <w:basedOn w:val="Normal"/>
    <w:rsid w:val="003F15CE"/>
    <w:pPr>
      <w:keepNext/>
      <w:keepLines/>
      <w:spacing w:before="300" w:after="200"/>
      <w:jc w:val="left"/>
    </w:pPr>
    <w:rPr>
      <w:rFonts w:cs="Arial"/>
      <w:b/>
      <w:sz w:val="26"/>
      <w:szCs w:val="20"/>
      <w:lang w:val="pt-BR"/>
    </w:rPr>
  </w:style>
  <w:style w:type="paragraph" w:customStyle="1" w:styleId="IASBSectionTitle2Ind">
    <w:name w:val="IASB Section Title 2 Ind"/>
    <w:basedOn w:val="IASBSectionTitle2NonInd"/>
    <w:rsid w:val="003F15CE"/>
    <w:pPr>
      <w:spacing w:before="240"/>
      <w:ind w:left="782"/>
    </w:pPr>
  </w:style>
  <w:style w:type="paragraph" w:customStyle="1" w:styleId="IASBSectionTitle3NonInd">
    <w:name w:val="IASB Section Title 3 NonInd"/>
    <w:basedOn w:val="Normal"/>
    <w:rsid w:val="003F15CE"/>
    <w:pPr>
      <w:keepNext/>
      <w:keepLines/>
      <w:spacing w:before="300" w:after="200"/>
      <w:jc w:val="left"/>
    </w:pPr>
    <w:rPr>
      <w:rFonts w:cs="Arial"/>
      <w:b/>
      <w:sz w:val="22"/>
      <w:szCs w:val="20"/>
      <w:lang w:val="pt-BR"/>
    </w:rPr>
  </w:style>
  <w:style w:type="paragraph" w:customStyle="1" w:styleId="IASBSectionTitle3Ind">
    <w:name w:val="IASB Section Title 3 Ind"/>
    <w:basedOn w:val="IASBSectionTitle3NonInd"/>
    <w:rsid w:val="003F15CE"/>
    <w:pPr>
      <w:spacing w:before="240"/>
      <w:ind w:left="782"/>
    </w:pPr>
  </w:style>
  <w:style w:type="paragraph" w:customStyle="1" w:styleId="IASBSectionTitle4NonInd">
    <w:name w:val="IASB Section Title 4 NonInd"/>
    <w:basedOn w:val="Normal"/>
    <w:rsid w:val="003F15CE"/>
    <w:pPr>
      <w:keepNext/>
      <w:keepLines/>
      <w:spacing w:before="300" w:after="200"/>
      <w:jc w:val="left"/>
    </w:pPr>
    <w:rPr>
      <w:rFonts w:cs="Arial"/>
      <w:i/>
      <w:sz w:val="22"/>
      <w:szCs w:val="20"/>
      <w:lang w:val="pt-BR"/>
    </w:rPr>
  </w:style>
  <w:style w:type="paragraph" w:customStyle="1" w:styleId="IASBSectionTitle4Ind">
    <w:name w:val="IASB Section Title 4 Ind"/>
    <w:basedOn w:val="IASBSectionTitle4NonInd"/>
    <w:rsid w:val="003F15CE"/>
    <w:pPr>
      <w:ind w:left="782"/>
    </w:pPr>
  </w:style>
  <w:style w:type="paragraph" w:customStyle="1" w:styleId="IASBSectionTitle5NonInd">
    <w:name w:val="IASB Section Title 5 NonInd"/>
    <w:basedOn w:val="Normal"/>
    <w:rsid w:val="003F15CE"/>
    <w:pPr>
      <w:keepNext/>
      <w:keepLines/>
      <w:spacing w:before="300" w:after="200"/>
      <w:jc w:val="left"/>
    </w:pPr>
    <w:rPr>
      <w:rFonts w:cs="Arial"/>
      <w:b/>
      <w:szCs w:val="20"/>
      <w:lang w:val="pt-BR"/>
    </w:rPr>
  </w:style>
  <w:style w:type="paragraph" w:customStyle="1" w:styleId="IASBSectionTitle5Ind">
    <w:name w:val="IASB Section Title 5 Ind"/>
    <w:basedOn w:val="IASBSectionTitle5NonInd"/>
    <w:rsid w:val="003F15CE"/>
    <w:pPr>
      <w:ind w:left="782"/>
    </w:pPr>
  </w:style>
  <w:style w:type="paragraph" w:customStyle="1" w:styleId="IASBSectionTitle6NonInd">
    <w:name w:val="IASB Section Title 6 NonInd"/>
    <w:basedOn w:val="IASBSectionTitle5NonInd"/>
    <w:rsid w:val="003F15CE"/>
    <w:rPr>
      <w:b w:val="0"/>
      <w:i/>
    </w:rPr>
  </w:style>
  <w:style w:type="paragraph" w:customStyle="1" w:styleId="IASBSectionTitle6Ind">
    <w:name w:val="IASB Section Title 6 Ind"/>
    <w:basedOn w:val="IASBSectionTitle6NonInd"/>
    <w:rsid w:val="003F15CE"/>
    <w:pPr>
      <w:ind w:left="782"/>
    </w:pPr>
  </w:style>
  <w:style w:type="paragraph" w:customStyle="1" w:styleId="IASBNormalnparaP">
    <w:name w:val="IASB Normal nparaP"/>
    <w:basedOn w:val="IASBNormal"/>
    <w:rsid w:val="003F15CE"/>
    <w:pPr>
      <w:tabs>
        <w:tab w:val="left" w:pos="4253"/>
      </w:tabs>
      <w:ind w:left="782"/>
    </w:pPr>
    <w:rPr>
      <w:lang w:val="pt-BR" w:eastAsia="pt-BR"/>
    </w:rPr>
  </w:style>
  <w:style w:type="paragraph" w:customStyle="1" w:styleId="IASBIdentifier">
    <w:name w:val="IASB Identifier"/>
    <w:basedOn w:val="IASBTitle"/>
    <w:rsid w:val="003F15CE"/>
    <w:pPr>
      <w:spacing w:after="200"/>
    </w:pPr>
    <w:rPr>
      <w:sz w:val="23"/>
      <w:lang w:val="pt-BR" w:eastAsia="pt-BR"/>
    </w:rPr>
  </w:style>
  <w:style w:type="paragraph" w:customStyle="1" w:styleId="IASBTOCPrimary">
    <w:name w:val="IASB TOC Primary"/>
    <w:basedOn w:val="Normal"/>
    <w:rsid w:val="003F15CE"/>
    <w:pPr>
      <w:tabs>
        <w:tab w:val="right" w:pos="8647"/>
      </w:tabs>
      <w:spacing w:before="100" w:after="100"/>
      <w:jc w:val="left"/>
    </w:pPr>
    <w:rPr>
      <w:rFonts w:cs="Arial"/>
      <w:b/>
      <w:caps/>
      <w:sz w:val="18"/>
      <w:szCs w:val="20"/>
      <w:lang w:val="pt-BR"/>
    </w:rPr>
  </w:style>
  <w:style w:type="paragraph" w:customStyle="1" w:styleId="IASBTOCParagraph">
    <w:name w:val="IASB TOC Paragraph"/>
    <w:basedOn w:val="Normal"/>
    <w:rsid w:val="003F15CE"/>
    <w:pPr>
      <w:spacing w:before="30" w:after="30"/>
      <w:jc w:val="left"/>
    </w:pPr>
    <w:rPr>
      <w:rFonts w:cs="Arial"/>
      <w:i/>
      <w:sz w:val="18"/>
      <w:szCs w:val="20"/>
      <w:lang w:val="pt-BR"/>
    </w:rPr>
  </w:style>
  <w:style w:type="paragraph" w:customStyle="1" w:styleId="IASBTOCSecondary">
    <w:name w:val="IASB TOC Secondary"/>
    <w:basedOn w:val="Normal"/>
    <w:rsid w:val="003F15CE"/>
    <w:pPr>
      <w:tabs>
        <w:tab w:val="right" w:pos="8647"/>
      </w:tabs>
      <w:spacing w:before="30" w:after="30"/>
      <w:jc w:val="left"/>
    </w:pPr>
    <w:rPr>
      <w:rFonts w:cs="Arial"/>
      <w:b/>
      <w:sz w:val="18"/>
      <w:szCs w:val="20"/>
      <w:lang w:val="pt-BR"/>
    </w:rPr>
  </w:style>
  <w:style w:type="paragraph" w:customStyle="1" w:styleId="IASBTOCTertiary">
    <w:name w:val="IASB TOC Tertiary"/>
    <w:basedOn w:val="Normal"/>
    <w:rsid w:val="003F15CE"/>
    <w:pPr>
      <w:tabs>
        <w:tab w:val="right" w:pos="8647"/>
      </w:tabs>
      <w:spacing w:before="30" w:after="30"/>
      <w:ind w:left="390"/>
      <w:jc w:val="left"/>
    </w:pPr>
    <w:rPr>
      <w:rFonts w:cs="Arial"/>
      <w:sz w:val="18"/>
      <w:szCs w:val="20"/>
      <w:lang w:val="pt-BR"/>
    </w:rPr>
  </w:style>
  <w:style w:type="paragraph" w:customStyle="1" w:styleId="IASBTOCExternal">
    <w:name w:val="IASB TOC External"/>
    <w:basedOn w:val="Normal"/>
    <w:rsid w:val="003F15CE"/>
    <w:pPr>
      <w:pBdr>
        <w:top w:val="single" w:sz="4" w:space="1" w:color="auto"/>
        <w:left w:val="single" w:sz="4" w:space="4" w:color="auto"/>
        <w:bottom w:val="single" w:sz="4" w:space="1" w:color="auto"/>
        <w:right w:val="single" w:sz="4" w:space="4" w:color="auto"/>
      </w:pBdr>
      <w:spacing w:before="30" w:after="30"/>
      <w:jc w:val="left"/>
    </w:pPr>
    <w:rPr>
      <w:rFonts w:cs="Arial"/>
      <w:b/>
      <w:sz w:val="18"/>
      <w:szCs w:val="20"/>
      <w:lang w:val="pt-BR"/>
    </w:rPr>
  </w:style>
  <w:style w:type="paragraph" w:customStyle="1" w:styleId="IASBRubric">
    <w:name w:val="IASB Rubric"/>
    <w:basedOn w:val="IASBNormal"/>
    <w:rsid w:val="003F15CE"/>
    <w:pPr>
      <w:pBdr>
        <w:top w:val="single" w:sz="2" w:space="8" w:color="auto"/>
        <w:left w:val="single" w:sz="2" w:space="5" w:color="auto"/>
        <w:bottom w:val="single" w:sz="2" w:space="5" w:color="auto"/>
        <w:right w:val="single" w:sz="2" w:space="5" w:color="auto"/>
      </w:pBdr>
      <w:tabs>
        <w:tab w:val="left" w:pos="4253"/>
      </w:tabs>
    </w:pPr>
    <w:rPr>
      <w:lang w:val="pt-BR" w:eastAsia="pt-BR"/>
    </w:rPr>
  </w:style>
  <w:style w:type="paragraph" w:customStyle="1" w:styleId="IASBBlockquote">
    <w:name w:val="IASB Blockquote"/>
    <w:basedOn w:val="IASBNormal"/>
    <w:rsid w:val="003F15CE"/>
    <w:pPr>
      <w:tabs>
        <w:tab w:val="left" w:pos="4253"/>
      </w:tabs>
      <w:ind w:left="1565"/>
    </w:pPr>
    <w:rPr>
      <w:sz w:val="16"/>
      <w:lang w:val="pt-BR" w:eastAsia="pt-BR"/>
    </w:rPr>
  </w:style>
  <w:style w:type="character" w:customStyle="1" w:styleId="IASBEduinsert">
    <w:name w:val="IASB Edu insert"/>
    <w:qFormat/>
    <w:rsid w:val="003F15CE"/>
  </w:style>
  <w:style w:type="paragraph" w:customStyle="1" w:styleId="IASBNormalL1">
    <w:name w:val="IASB Normal L1"/>
    <w:basedOn w:val="IASBNormalnpara"/>
    <w:rsid w:val="003F15CE"/>
    <w:rPr>
      <w:lang w:val="pt-BR" w:eastAsia="pt-BR"/>
    </w:rPr>
  </w:style>
  <w:style w:type="paragraph" w:customStyle="1" w:styleId="IASBRubricL1">
    <w:name w:val="IASB RubricL1"/>
    <w:basedOn w:val="IASBRubric"/>
    <w:rsid w:val="003F15CE"/>
    <w:pPr>
      <w:ind w:left="782" w:hanging="782"/>
      <w:jc w:val="left"/>
    </w:pPr>
  </w:style>
  <w:style w:type="paragraph" w:customStyle="1" w:styleId="IASBRubricL2">
    <w:name w:val="IASB RubricL2"/>
    <w:basedOn w:val="IASBRubricL1"/>
    <w:rsid w:val="003F15CE"/>
    <w:pPr>
      <w:tabs>
        <w:tab w:val="left" w:pos="782"/>
      </w:tabs>
      <w:ind w:left="1565" w:hanging="1565"/>
    </w:pPr>
  </w:style>
  <w:style w:type="paragraph" w:customStyle="1" w:styleId="IASBRubricL3">
    <w:name w:val="IASB RubricL3"/>
    <w:basedOn w:val="IASBRubricL2"/>
    <w:rsid w:val="003F15CE"/>
    <w:pPr>
      <w:tabs>
        <w:tab w:val="clear" w:pos="782"/>
        <w:tab w:val="left" w:pos="1565"/>
      </w:tabs>
      <w:ind w:left="2347" w:hanging="2347"/>
    </w:pPr>
  </w:style>
  <w:style w:type="paragraph" w:customStyle="1" w:styleId="IASBNormalnparaL2">
    <w:name w:val="IASB Normal nparaL2"/>
    <w:basedOn w:val="IASBNormalnparaL1"/>
    <w:rsid w:val="003F15CE"/>
    <w:pPr>
      <w:ind w:left="2347"/>
    </w:pPr>
    <w:rPr>
      <w:lang w:val="pt-BR" w:eastAsia="pt-BR"/>
    </w:rPr>
  </w:style>
  <w:style w:type="paragraph" w:customStyle="1" w:styleId="IASBNormalnparaL3">
    <w:name w:val="IASB Normal nparaL3"/>
    <w:basedOn w:val="IASBNormalnparaL2"/>
    <w:rsid w:val="003F15CE"/>
    <w:pPr>
      <w:ind w:left="3129"/>
    </w:pPr>
  </w:style>
  <w:style w:type="paragraph" w:customStyle="1" w:styleId="IASBNormalnparaL4">
    <w:name w:val="IASB Normal nparaL4"/>
    <w:basedOn w:val="IASBNormalnparaL3"/>
    <w:rsid w:val="003F15CE"/>
    <w:pPr>
      <w:ind w:left="3912"/>
    </w:pPr>
  </w:style>
  <w:style w:type="paragraph" w:customStyle="1" w:styleId="IASBNormalnparaL5">
    <w:name w:val="IASB Normal nparaL5"/>
    <w:basedOn w:val="IASBNormalnparaL4"/>
    <w:rsid w:val="003F15CE"/>
    <w:pPr>
      <w:ind w:left="4694"/>
    </w:pPr>
  </w:style>
  <w:style w:type="paragraph" w:customStyle="1" w:styleId="IASBNormalnparaL1P">
    <w:name w:val="IASB Normal nparaL1P"/>
    <w:basedOn w:val="IASBNormalnparaL2"/>
    <w:rsid w:val="003F15CE"/>
    <w:pPr>
      <w:ind w:left="1565" w:firstLine="0"/>
    </w:pPr>
  </w:style>
  <w:style w:type="paragraph" w:customStyle="1" w:styleId="IASBNormalnparaL2P">
    <w:name w:val="IASB Normal nparaL2P"/>
    <w:basedOn w:val="IASBNormalnparaL1P"/>
    <w:rsid w:val="003F15CE"/>
    <w:pPr>
      <w:ind w:left="2347"/>
    </w:pPr>
  </w:style>
  <w:style w:type="paragraph" w:customStyle="1" w:styleId="IASBNormalnparaL3P">
    <w:name w:val="IASB Normal nparaL3P"/>
    <w:basedOn w:val="IASBNormalnparaL2P"/>
    <w:rsid w:val="003F15CE"/>
    <w:pPr>
      <w:ind w:left="3130"/>
    </w:pPr>
  </w:style>
  <w:style w:type="paragraph" w:customStyle="1" w:styleId="IASBNormalnparaL4P">
    <w:name w:val="IASB Normal nparaL4P"/>
    <w:basedOn w:val="IASBNormalnparaL3P"/>
    <w:rsid w:val="003F15CE"/>
    <w:pPr>
      <w:ind w:left="3912"/>
    </w:pPr>
  </w:style>
  <w:style w:type="paragraph" w:customStyle="1" w:styleId="IASBNormalnparaL5P">
    <w:name w:val="IASB Normal nparaL5P"/>
    <w:basedOn w:val="IASBNormalnparaL4P"/>
    <w:rsid w:val="003F15CE"/>
    <w:pPr>
      <w:ind w:left="4751"/>
    </w:pPr>
  </w:style>
  <w:style w:type="paragraph" w:customStyle="1" w:styleId="IASBBlockquoteL1">
    <w:name w:val="IASB BlockquoteL1"/>
    <w:basedOn w:val="IASBBlockquote"/>
    <w:rsid w:val="003F15CE"/>
    <w:pPr>
      <w:ind w:left="2347" w:hanging="782"/>
    </w:pPr>
  </w:style>
  <w:style w:type="paragraph" w:customStyle="1" w:styleId="IASBBlockquoteL2">
    <w:name w:val="IASB BlockquoteL2"/>
    <w:basedOn w:val="IASBBlockquoteL1"/>
    <w:rsid w:val="003F15CE"/>
    <w:pPr>
      <w:ind w:left="3129"/>
    </w:pPr>
  </w:style>
  <w:style w:type="paragraph" w:customStyle="1" w:styleId="IASBNormalL2">
    <w:name w:val="IASB Normal L2"/>
    <w:basedOn w:val="IASBNormalL1"/>
    <w:rsid w:val="003F15CE"/>
    <w:pPr>
      <w:ind w:left="1564"/>
    </w:pPr>
  </w:style>
  <w:style w:type="paragraph" w:customStyle="1" w:styleId="IASBTOCQuartery">
    <w:name w:val="IASB TOC Quartery"/>
    <w:basedOn w:val="IASBTOCTertiary"/>
    <w:rsid w:val="003F15CE"/>
    <w:pPr>
      <w:ind w:left="851"/>
    </w:pPr>
  </w:style>
  <w:style w:type="paragraph" w:customStyle="1" w:styleId="IASBNoteTitle">
    <w:name w:val="IASB Note Title"/>
    <w:basedOn w:val="IASBTOCPrimary"/>
    <w:rsid w:val="003F15CE"/>
    <w:pPr>
      <w:jc w:val="center"/>
    </w:pPr>
    <w:rPr>
      <w:b w:val="0"/>
      <w:caps w:val="0"/>
      <w:sz w:val="24"/>
    </w:rPr>
  </w:style>
  <w:style w:type="paragraph" w:customStyle="1" w:styleId="IASBNormalL1P">
    <w:name w:val="IASB Normal L1P"/>
    <w:basedOn w:val="IASBNormalL1"/>
    <w:qFormat/>
    <w:rsid w:val="003F15CE"/>
    <w:pPr>
      <w:ind w:firstLine="0"/>
    </w:pPr>
  </w:style>
  <w:style w:type="paragraph" w:customStyle="1" w:styleId="IASBNormalL2P">
    <w:name w:val="IASB Normal L2P"/>
    <w:basedOn w:val="IASBNormalL1P"/>
    <w:qFormat/>
    <w:rsid w:val="003F15CE"/>
    <w:pPr>
      <w:ind w:left="1565"/>
    </w:pPr>
  </w:style>
  <w:style w:type="paragraph" w:customStyle="1" w:styleId="IASBNormalnparaC">
    <w:name w:val="IASB Normal nparaC"/>
    <w:basedOn w:val="IASBNormalnpara"/>
    <w:qFormat/>
    <w:rsid w:val="003F15CE"/>
    <w:pPr>
      <w:spacing w:before="0"/>
    </w:pPr>
    <w:rPr>
      <w:lang w:val="pt-BR" w:eastAsia="pt-BR"/>
    </w:rPr>
  </w:style>
  <w:style w:type="paragraph" w:customStyle="1" w:styleId="IASBEdupara">
    <w:name w:val="IASB Edu para"/>
    <w:basedOn w:val="IASBNormal"/>
    <w:qFormat/>
    <w:rsid w:val="003F15CE"/>
    <w:pPr>
      <w:tabs>
        <w:tab w:val="left" w:pos="4253"/>
      </w:tabs>
    </w:pPr>
    <w:rPr>
      <w:lang w:val="pt-BR" w:eastAsia="pt-BR"/>
    </w:rPr>
  </w:style>
  <w:style w:type="paragraph" w:customStyle="1" w:styleId="IASBTableBoldTNR">
    <w:name w:val="IASB Table Bold TNR"/>
    <w:basedOn w:val="Normal"/>
    <w:qFormat/>
    <w:rsid w:val="003F15CE"/>
    <w:pPr>
      <w:spacing w:after="0"/>
      <w:jc w:val="left"/>
    </w:pPr>
    <w:rPr>
      <w:rFonts w:ascii="Times New Roman" w:hAnsi="Times New Roman"/>
      <w:b/>
      <w:sz w:val="19"/>
      <w:szCs w:val="20"/>
      <w:lang w:val="pt-BR"/>
    </w:rPr>
  </w:style>
  <w:style w:type="paragraph" w:customStyle="1" w:styleId="IASBTableHeaderTNR">
    <w:name w:val="IASB Table Header TNR"/>
    <w:basedOn w:val="Normal"/>
    <w:qFormat/>
    <w:rsid w:val="003F15CE"/>
    <w:pPr>
      <w:keepNext/>
      <w:spacing w:after="200" w:line="276" w:lineRule="auto"/>
      <w:jc w:val="left"/>
    </w:pPr>
    <w:rPr>
      <w:rFonts w:ascii="Times New Roman" w:hAnsi="Times New Roman"/>
      <w:sz w:val="19"/>
      <w:szCs w:val="20"/>
      <w:lang w:val="pt-BR"/>
    </w:rPr>
  </w:style>
  <w:style w:type="paragraph" w:customStyle="1" w:styleId="IASBTableTNR">
    <w:name w:val="IASB Table TNR"/>
    <w:basedOn w:val="Normal"/>
    <w:qFormat/>
    <w:rsid w:val="003F15CE"/>
    <w:pPr>
      <w:spacing w:after="0"/>
      <w:jc w:val="left"/>
    </w:pPr>
    <w:rPr>
      <w:rFonts w:ascii="Times New Roman" w:hAnsi="Times New Roman"/>
      <w:sz w:val="19"/>
      <w:szCs w:val="20"/>
      <w:lang w:val="pt-BR"/>
    </w:rPr>
  </w:style>
  <w:style w:type="paragraph" w:customStyle="1" w:styleId="IASBTableArial">
    <w:name w:val="IASB Table Arial"/>
    <w:basedOn w:val="Normal"/>
    <w:rsid w:val="003F15CE"/>
    <w:pPr>
      <w:spacing w:after="0"/>
      <w:jc w:val="left"/>
    </w:pPr>
    <w:rPr>
      <w:sz w:val="18"/>
      <w:szCs w:val="20"/>
      <w:lang w:val="pt-BR"/>
    </w:rPr>
  </w:style>
  <w:style w:type="paragraph" w:customStyle="1" w:styleId="IASBTableBoldArial">
    <w:name w:val="IASB Table Bold Arial"/>
    <w:basedOn w:val="IASBTableArial"/>
    <w:qFormat/>
    <w:rsid w:val="003F15CE"/>
    <w:rPr>
      <w:b/>
    </w:rPr>
  </w:style>
  <w:style w:type="paragraph" w:customStyle="1" w:styleId="IASBTableHeaderArial">
    <w:name w:val="IASB Table Header Arial"/>
    <w:basedOn w:val="IASBTableArial"/>
    <w:qFormat/>
    <w:rsid w:val="003F15CE"/>
    <w:pPr>
      <w:keepNext/>
      <w:spacing w:after="200" w:line="276" w:lineRule="auto"/>
    </w:pPr>
  </w:style>
  <w:style w:type="paragraph" w:styleId="Commarcadores">
    <w:name w:val="List Bullet"/>
    <w:basedOn w:val="Normal"/>
    <w:uiPriority w:val="99"/>
    <w:unhideWhenUsed/>
    <w:rsid w:val="003F15CE"/>
    <w:pPr>
      <w:numPr>
        <w:numId w:val="2"/>
      </w:numPr>
      <w:spacing w:before="0" w:after="0"/>
      <w:contextualSpacing/>
      <w:jc w:val="left"/>
    </w:pPr>
    <w:rPr>
      <w:rFonts w:ascii="Times New Roman" w:hAnsi="Times New Roman"/>
      <w:sz w:val="24"/>
      <w:lang w:val="pt-BR"/>
    </w:rPr>
  </w:style>
  <w:style w:type="paragraph" w:styleId="Recuonormal">
    <w:name w:val="Normal Indent"/>
    <w:basedOn w:val="Normal"/>
    <w:uiPriority w:val="99"/>
    <w:rsid w:val="00EE04A4"/>
    <w:pPr>
      <w:spacing w:before="0" w:after="0"/>
      <w:ind w:left="720"/>
    </w:pPr>
    <w:rPr>
      <w:rFonts w:ascii="Times New Roman" w:hAnsi="Times New Roman"/>
      <w:sz w:val="22"/>
      <w:szCs w:val="20"/>
      <w:lang w:val="pt-BR" w:eastAsia="en-US"/>
    </w:rPr>
  </w:style>
  <w:style w:type="character" w:customStyle="1" w:styleId="texton1">
    <w:name w:val="texto_n1"/>
    <w:basedOn w:val="Fontepargpadro"/>
    <w:rsid w:val="00EE04A4"/>
    <w:rPr>
      <w:rFonts w:ascii="Verdana" w:hAnsi="Verdana" w:cs="Times New Roman"/>
      <w:color w:val="2C2175"/>
      <w:sz w:val="11"/>
      <w:szCs w:val="11"/>
      <w:u w:val="none"/>
      <w:effect w:val="none"/>
    </w:rPr>
  </w:style>
  <w:style w:type="paragraph" w:customStyle="1" w:styleId="Style22">
    <w:name w:val="Style22"/>
    <w:basedOn w:val="Normal"/>
    <w:rsid w:val="00EE04A4"/>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9">
    <w:name w:val="Font Style59"/>
    <w:rsid w:val="00EE04A4"/>
    <w:rPr>
      <w:rFonts w:ascii="Cambria" w:hAnsi="Cambria"/>
      <w:sz w:val="16"/>
    </w:rPr>
  </w:style>
  <w:style w:type="paragraph" w:customStyle="1" w:styleId="Style33">
    <w:name w:val="Style33"/>
    <w:basedOn w:val="Normal"/>
    <w:rsid w:val="00EE04A4"/>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8">
    <w:name w:val="Font Style58"/>
    <w:rsid w:val="00EE04A4"/>
    <w:rPr>
      <w:rFonts w:ascii="Cambria" w:hAnsi="Cambria"/>
      <w:i/>
      <w:sz w:val="16"/>
    </w:rPr>
  </w:style>
  <w:style w:type="character" w:customStyle="1" w:styleId="atn">
    <w:name w:val="atn"/>
    <w:rsid w:val="00EE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FC5E-2BB4-4DF5-8BDE-AD797854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1F17F-D2C9-48E7-882B-DA6455A4DF50}">
  <ds:schemaRefs>
    <ds:schemaRef ds:uri="http://schemas.microsoft.com/sharepoint/v3/contenttype/forms"/>
  </ds:schemaRefs>
</ds:datastoreItem>
</file>

<file path=customXml/itemProps3.xml><?xml version="1.0" encoding="utf-8"?>
<ds:datastoreItem xmlns:ds="http://schemas.openxmlformats.org/officeDocument/2006/customXml" ds:itemID="{38CA129D-B729-42E4-BEEB-EA7BD9D7A228}">
  <ds:schemaRefs>
    <ds:schemaRef ds:uri="http://schemas.microsoft.com/office/2006/documentManagement/types"/>
    <ds:schemaRef ds:uri="http://purl.org/dc/terms/"/>
    <ds:schemaRef ds:uri="http://schemas.openxmlformats.org/package/2006/metadata/core-properties"/>
    <ds:schemaRef ds:uri="202af286-b63d-4051-91f4-2a3db7e26a9f"/>
    <ds:schemaRef ds:uri="http://purl.org/dc/dcmitype/"/>
    <ds:schemaRef ds:uri="http://schemas.microsoft.com/office/infopath/2007/PartnerControls"/>
    <ds:schemaRef ds:uri="http://purl.org/dc/elements/1.1/"/>
    <ds:schemaRef ds:uri="http://schemas.microsoft.com/office/2006/metadata/properties"/>
    <ds:schemaRef ds:uri="f007d275-fe71-4d9d-b733-955bb29c3f57"/>
    <ds:schemaRef ds:uri="http://www.w3.org/XML/1998/namespace"/>
  </ds:schemaRefs>
</ds:datastoreItem>
</file>

<file path=customXml/itemProps4.xml><?xml version="1.0" encoding="utf-8"?>
<ds:datastoreItem xmlns:ds="http://schemas.openxmlformats.org/officeDocument/2006/customXml" ds:itemID="{43EB464C-5291-4082-8DCD-56953F05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4773</Words>
  <Characters>25780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142, DE 15 DE JUNHO DE 2022</dc:title>
  <dc:subject/>
  <dc:creator>CVM</dc:creator>
  <cp:keywords/>
  <dc:description/>
  <cp:lastModifiedBy>Renata dos Santos Leitão</cp:lastModifiedBy>
  <cp:revision>2</cp:revision>
  <cp:lastPrinted>2022-04-04T15:35:00Z</cp:lastPrinted>
  <dcterms:created xsi:type="dcterms:W3CDTF">2021-07-21T15:16:00Z</dcterms:created>
  <dcterms:modified xsi:type="dcterms:W3CDTF">2022-06-14T17:21:00Z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