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38DB" w14:textId="524B4213" w:rsidR="00CF08C5" w:rsidRPr="00C854B4" w:rsidRDefault="00FC4656" w:rsidP="00CF08C5">
      <w:pPr>
        <w:pStyle w:val="Corpodetexto2"/>
        <w:spacing w:before="120" w:line="312" w:lineRule="auto"/>
        <w:jc w:val="center"/>
        <w:rPr>
          <w:rFonts w:asciiTheme="minorHAnsi" w:hAnsiTheme="minorHAnsi" w:cstheme="minorHAnsi"/>
          <w:b w:val="0"/>
          <w:bCs w:val="0"/>
          <w:sz w:val="24"/>
          <w:lang w:val="pt-BR"/>
        </w:rPr>
      </w:pPr>
      <w:r w:rsidRPr="00FC4656">
        <w:rPr>
          <w:rFonts w:asciiTheme="minorHAnsi" w:hAnsiTheme="minorHAnsi" w:cstheme="minorHAnsi"/>
          <w:b w:val="0"/>
          <w:bCs w:val="0"/>
          <w:sz w:val="24"/>
        </w:rPr>
        <w:t>RESOLUÇÃO CVM Nº 14</w:t>
      </w:r>
      <w:r>
        <w:rPr>
          <w:rFonts w:asciiTheme="minorHAnsi" w:hAnsiTheme="minorHAnsi" w:cstheme="minorHAnsi"/>
          <w:b w:val="0"/>
          <w:bCs w:val="0"/>
          <w:sz w:val="24"/>
          <w:lang w:val="pt-BR"/>
        </w:rPr>
        <w:t>6</w:t>
      </w:r>
      <w:r w:rsidRPr="00FC4656">
        <w:rPr>
          <w:rFonts w:asciiTheme="minorHAnsi" w:hAnsiTheme="minorHAnsi" w:cstheme="minorHAnsi"/>
          <w:b w:val="0"/>
          <w:bCs w:val="0"/>
          <w:sz w:val="24"/>
        </w:rPr>
        <w:t>, DE 15 DE JUNHO DE 2022</w:t>
      </w:r>
    </w:p>
    <w:p w14:paraId="5B546EE5" w14:textId="09D07075" w:rsidR="00CF08C5" w:rsidRPr="00273211" w:rsidRDefault="00C854B4" w:rsidP="00CF08C5">
      <w:pPr>
        <w:pStyle w:val="Recuodecorpodetexto"/>
        <w:spacing w:before="240" w:after="240" w:line="312" w:lineRule="auto"/>
        <w:ind w:left="4746" w:firstLine="0"/>
        <w:rPr>
          <w:rFonts w:asciiTheme="minorHAnsi" w:hAnsiTheme="minorHAnsi" w:cstheme="minorHAnsi"/>
          <w:iCs/>
          <w:sz w:val="24"/>
        </w:rPr>
      </w:pPr>
      <w:r w:rsidRPr="00C854B4">
        <w:rPr>
          <w:rFonts w:asciiTheme="minorHAnsi" w:hAnsiTheme="minorHAnsi" w:cstheme="minorHAnsi"/>
          <w:iCs/>
          <w:sz w:val="24"/>
        </w:rPr>
        <w:t xml:space="preserve">Ratifica </w:t>
      </w:r>
      <w:r w:rsidR="00824ACF">
        <w:rPr>
          <w:rFonts w:asciiTheme="minorHAnsi" w:hAnsiTheme="minorHAnsi" w:cstheme="minorHAnsi"/>
          <w:iCs/>
          <w:sz w:val="24"/>
        </w:rPr>
        <w:t>a Interpretação Técnica</w:t>
      </w:r>
      <w:r w:rsidR="00CF08C5" w:rsidRPr="00273211">
        <w:rPr>
          <w:rFonts w:asciiTheme="minorHAnsi" w:hAnsiTheme="minorHAnsi" w:cstheme="minorHAnsi"/>
          <w:iCs/>
          <w:sz w:val="24"/>
        </w:rPr>
        <w:t xml:space="preserve"> </w:t>
      </w:r>
      <w:proofErr w:type="spellStart"/>
      <w:r w:rsidR="005D7141">
        <w:rPr>
          <w:rFonts w:asciiTheme="minorHAnsi" w:hAnsiTheme="minorHAnsi" w:cstheme="minorHAnsi"/>
          <w:iCs/>
          <w:sz w:val="24"/>
        </w:rPr>
        <w:t>ICPC</w:t>
      </w:r>
      <w:proofErr w:type="spellEnd"/>
      <w:r w:rsidR="005D7141">
        <w:rPr>
          <w:rFonts w:asciiTheme="minorHAnsi" w:hAnsiTheme="minorHAnsi" w:cstheme="minorHAnsi"/>
          <w:iCs/>
          <w:sz w:val="24"/>
        </w:rPr>
        <w:t xml:space="preserve"> </w:t>
      </w:r>
      <w:r w:rsidR="00D76141">
        <w:rPr>
          <w:rFonts w:asciiTheme="minorHAnsi" w:hAnsiTheme="minorHAnsi" w:cstheme="minorHAnsi"/>
          <w:iCs/>
          <w:sz w:val="24"/>
        </w:rPr>
        <w:t xml:space="preserve">19 </w:t>
      </w:r>
      <w:r w:rsidR="00CF08C5" w:rsidRPr="00273211">
        <w:rPr>
          <w:rFonts w:asciiTheme="minorHAnsi" w:hAnsiTheme="minorHAnsi" w:cstheme="minorHAnsi"/>
          <w:iCs/>
          <w:sz w:val="24"/>
        </w:rPr>
        <w:t>do Comitê de Pronunciamentos Contábeis</w:t>
      </w:r>
      <w:r w:rsidRPr="00C854B4">
        <w:rPr>
          <w:rFonts w:asciiTheme="minorHAnsi" w:hAnsiTheme="minorHAnsi" w:cstheme="minorHAnsi"/>
          <w:iCs/>
          <w:sz w:val="24"/>
        </w:rPr>
        <w:t xml:space="preserve"> – CPC</w:t>
      </w:r>
      <w:r w:rsidR="00CF08C5" w:rsidRPr="00273211">
        <w:rPr>
          <w:rFonts w:asciiTheme="minorHAnsi" w:hAnsiTheme="minorHAnsi" w:cstheme="minorHAnsi"/>
          <w:iCs/>
          <w:sz w:val="24"/>
        </w:rPr>
        <w:t xml:space="preserve">, que trata </w:t>
      </w:r>
      <w:r>
        <w:rPr>
          <w:rFonts w:asciiTheme="minorHAnsi" w:hAnsiTheme="minorHAnsi" w:cstheme="minorHAnsi"/>
          <w:iCs/>
          <w:sz w:val="24"/>
        </w:rPr>
        <w:t>d</w:t>
      </w:r>
      <w:r w:rsidR="00CF08C5" w:rsidRPr="00273211">
        <w:rPr>
          <w:rFonts w:asciiTheme="minorHAnsi" w:hAnsiTheme="minorHAnsi" w:cstheme="minorHAnsi"/>
          <w:iCs/>
          <w:sz w:val="24"/>
        </w:rPr>
        <w:t xml:space="preserve">e </w:t>
      </w:r>
      <w:r w:rsidR="00D76141">
        <w:rPr>
          <w:rFonts w:asciiTheme="minorHAnsi" w:hAnsiTheme="minorHAnsi" w:cstheme="minorHAnsi"/>
          <w:iCs/>
          <w:sz w:val="24"/>
        </w:rPr>
        <w:t>tributos.</w:t>
      </w:r>
    </w:p>
    <w:p w14:paraId="7D45C359" w14:textId="61CB3058" w:rsidR="00CF08C5" w:rsidRPr="00273211" w:rsidRDefault="00CF08C5" w:rsidP="00CF08C5">
      <w:pPr>
        <w:pStyle w:val="Corpodetexto2"/>
        <w:spacing w:before="120" w:line="312" w:lineRule="auto"/>
        <w:ind w:firstLine="567"/>
        <w:rPr>
          <w:rFonts w:asciiTheme="minorHAnsi" w:hAnsiTheme="minorHAnsi" w:cstheme="minorHAnsi"/>
          <w:b w:val="0"/>
          <w:bCs w:val="0"/>
          <w:sz w:val="24"/>
        </w:rPr>
      </w:pP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O </w:t>
      </w:r>
      <w:r w:rsidRPr="00273211">
        <w:rPr>
          <w:rFonts w:asciiTheme="minorHAnsi" w:hAnsiTheme="minorHAnsi" w:cstheme="minorHAnsi"/>
          <w:sz w:val="24"/>
        </w:rPr>
        <w:t>PRESIDENTE DA COMISSÃO DE VALORES MOBILIÁRIOS - CVM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torna público que o Colegiado, em reunião realizada em </w:t>
      </w:r>
      <w:r w:rsidR="00F8691B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4 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de </w:t>
      </w:r>
      <w:r w:rsidR="00F8691B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maio 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>de 202</w:t>
      </w:r>
      <w:r w:rsidR="00C854B4">
        <w:rPr>
          <w:rFonts w:asciiTheme="minorHAnsi" w:hAnsiTheme="minorHAnsi" w:cstheme="minorHAnsi"/>
          <w:b w:val="0"/>
          <w:bCs w:val="0"/>
          <w:sz w:val="24"/>
          <w:lang w:val="pt-BR"/>
        </w:rPr>
        <w:t>2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, com fundamento nos §§ 3º e 5º do art. 177 da Lei n° 6.404, de 15 de dezembro de 1976, combinados com os incisos II e </w:t>
      </w:r>
      <w:proofErr w:type="spellStart"/>
      <w:r w:rsidRPr="00273211">
        <w:rPr>
          <w:rFonts w:asciiTheme="minorHAnsi" w:hAnsiTheme="minorHAnsi" w:cstheme="minorHAnsi"/>
          <w:b w:val="0"/>
          <w:bCs w:val="0"/>
          <w:sz w:val="24"/>
        </w:rPr>
        <w:t>IV</w:t>
      </w:r>
      <w:proofErr w:type="spellEnd"/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do § 1° do art. 22 da Lei n° 6.385, de 7 de dezembro de 1976, bem como nos </w:t>
      </w:r>
      <w:proofErr w:type="spellStart"/>
      <w:r w:rsidRPr="00273211">
        <w:rPr>
          <w:rFonts w:asciiTheme="minorHAnsi" w:hAnsiTheme="minorHAnsi" w:cstheme="minorHAnsi"/>
          <w:b w:val="0"/>
          <w:bCs w:val="0"/>
          <w:sz w:val="24"/>
        </w:rPr>
        <w:t>arts</w:t>
      </w:r>
      <w:proofErr w:type="spellEnd"/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. 5º e 14 do Decreto nº 10.139, de 28 de novembro de 2019, </w:t>
      </w:r>
      <w:r w:rsidRPr="00273211">
        <w:rPr>
          <w:rFonts w:asciiTheme="minorHAnsi" w:hAnsiTheme="minorHAnsi" w:cstheme="minorHAnsi"/>
          <w:sz w:val="24"/>
        </w:rPr>
        <w:t>APROVOU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a seguinte Resolução:</w:t>
      </w:r>
    </w:p>
    <w:p w14:paraId="4EBD8632" w14:textId="118B7BDC" w:rsidR="00273211" w:rsidRPr="00273211" w:rsidRDefault="00273211" w:rsidP="00273211">
      <w:pPr>
        <w:autoSpaceDE w:val="0"/>
        <w:autoSpaceDN w:val="0"/>
        <w:adjustRightInd w:val="0"/>
        <w:spacing w:before="360" w:line="312" w:lineRule="auto"/>
        <w:ind w:firstLine="567"/>
        <w:rPr>
          <w:rFonts w:asciiTheme="minorHAnsi" w:hAnsiTheme="minorHAnsi" w:cstheme="minorHAnsi"/>
          <w:sz w:val="24"/>
        </w:rPr>
      </w:pPr>
      <w:r w:rsidRPr="00273211">
        <w:rPr>
          <w:rFonts w:asciiTheme="minorHAnsi" w:hAnsiTheme="minorHAnsi" w:cstheme="minorHAnsi"/>
          <w:sz w:val="24"/>
        </w:rPr>
        <w:t xml:space="preserve">Art. 1º  </w:t>
      </w:r>
      <w:r w:rsidR="00C854B4" w:rsidRPr="00C854B4">
        <w:rPr>
          <w:rFonts w:asciiTheme="minorHAnsi" w:hAnsiTheme="minorHAnsi" w:cstheme="minorHAnsi"/>
          <w:sz w:val="24"/>
        </w:rPr>
        <w:t xml:space="preserve">Fica ratificada a obrigatoriedade </w:t>
      </w:r>
      <w:r w:rsidRPr="00273211">
        <w:rPr>
          <w:rFonts w:asciiTheme="minorHAnsi" w:hAnsiTheme="minorHAnsi" w:cstheme="minorHAnsi"/>
          <w:sz w:val="24"/>
        </w:rPr>
        <w:t xml:space="preserve">para as companhias abertas </w:t>
      </w:r>
      <w:r w:rsidR="003D7783">
        <w:rPr>
          <w:rFonts w:asciiTheme="minorHAnsi" w:hAnsiTheme="minorHAnsi" w:cstheme="minorHAnsi"/>
          <w:sz w:val="24"/>
        </w:rPr>
        <w:t>d</w:t>
      </w:r>
      <w:r w:rsidR="00824ACF">
        <w:rPr>
          <w:rFonts w:asciiTheme="minorHAnsi" w:hAnsiTheme="minorHAnsi" w:cstheme="minorHAnsi"/>
          <w:sz w:val="24"/>
        </w:rPr>
        <w:t>a Interpretação Técnica ICPC</w:t>
      </w:r>
      <w:r w:rsidR="00D76141">
        <w:rPr>
          <w:rFonts w:asciiTheme="minorHAnsi" w:hAnsiTheme="minorHAnsi" w:cstheme="minorHAnsi"/>
          <w:sz w:val="24"/>
        </w:rPr>
        <w:t xml:space="preserve"> 19</w:t>
      </w:r>
      <w:r w:rsidR="00C854B4" w:rsidRPr="00C854B4">
        <w:rPr>
          <w:rFonts w:asciiTheme="minorHAnsi" w:hAnsiTheme="minorHAnsi" w:cstheme="minorHAnsi"/>
          <w:sz w:val="24"/>
        </w:rPr>
        <w:t>, que trata de tributos</w:t>
      </w:r>
      <w:r w:rsidR="00C854B4">
        <w:rPr>
          <w:rFonts w:asciiTheme="minorHAnsi" w:hAnsiTheme="minorHAnsi" w:cstheme="minorHAnsi"/>
          <w:sz w:val="24"/>
        </w:rPr>
        <w:t>,</w:t>
      </w:r>
      <w:r w:rsidRPr="00273211">
        <w:rPr>
          <w:rFonts w:asciiTheme="minorHAnsi" w:hAnsiTheme="minorHAnsi" w:cstheme="minorHAnsi"/>
          <w:sz w:val="24"/>
        </w:rPr>
        <w:t xml:space="preserve"> emitid</w:t>
      </w:r>
      <w:r w:rsidR="00824ACF">
        <w:rPr>
          <w:rFonts w:asciiTheme="minorHAnsi" w:hAnsiTheme="minorHAnsi" w:cstheme="minorHAnsi"/>
          <w:sz w:val="24"/>
        </w:rPr>
        <w:t>a</w:t>
      </w:r>
      <w:r w:rsidRPr="00273211">
        <w:rPr>
          <w:rFonts w:asciiTheme="minorHAnsi" w:hAnsiTheme="minorHAnsi" w:cstheme="minorHAnsi"/>
          <w:sz w:val="24"/>
        </w:rPr>
        <w:t xml:space="preserve"> pelo Comitê de Pronunciamentos Contábeis - CPC, </w:t>
      </w:r>
      <w:r w:rsidR="00C854B4" w:rsidRPr="00C854B4">
        <w:rPr>
          <w:rFonts w:asciiTheme="minorHAnsi" w:hAnsiTheme="minorHAnsi" w:cstheme="minorHAnsi"/>
          <w:sz w:val="24"/>
        </w:rPr>
        <w:t>conforme Anexo “A” à presente Resolução</w:t>
      </w:r>
      <w:r w:rsidR="00D76141">
        <w:rPr>
          <w:rFonts w:asciiTheme="minorHAnsi" w:hAnsiTheme="minorHAnsi" w:cstheme="minorHAnsi"/>
          <w:sz w:val="24"/>
        </w:rPr>
        <w:t>.</w:t>
      </w:r>
    </w:p>
    <w:p w14:paraId="4E2C13E3" w14:textId="7CA250BD" w:rsidR="00273211" w:rsidRPr="00273211" w:rsidRDefault="00273211" w:rsidP="00273211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273211">
        <w:rPr>
          <w:rFonts w:asciiTheme="minorHAnsi" w:hAnsiTheme="minorHAnsi" w:cstheme="minorHAnsi"/>
          <w:sz w:val="24"/>
        </w:rPr>
        <w:t xml:space="preserve">Art. 2º  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 xml:space="preserve">Fica revogada a Deliberação </w:t>
      </w:r>
      <w:r w:rsidR="00D410C6">
        <w:rPr>
          <w:rFonts w:asciiTheme="minorHAnsi" w:hAnsiTheme="minorHAnsi" w:cstheme="minorHAnsi"/>
          <w:color w:val="000000" w:themeColor="text1"/>
          <w:sz w:val="24"/>
        </w:rPr>
        <w:t xml:space="preserve">CVM nº </w:t>
      </w:r>
      <w:r w:rsidR="00DF4A86">
        <w:rPr>
          <w:rFonts w:asciiTheme="minorHAnsi" w:hAnsiTheme="minorHAnsi" w:cstheme="minorHAnsi"/>
          <w:color w:val="000000" w:themeColor="text1"/>
          <w:sz w:val="24"/>
        </w:rPr>
        <w:t>730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 xml:space="preserve">, de </w:t>
      </w:r>
      <w:r w:rsidR="00DF4A86">
        <w:rPr>
          <w:rFonts w:asciiTheme="minorHAnsi" w:hAnsiTheme="minorHAnsi" w:cstheme="minorHAnsi"/>
          <w:color w:val="000000" w:themeColor="text1"/>
          <w:sz w:val="24"/>
        </w:rPr>
        <w:t>27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 xml:space="preserve"> de </w:t>
      </w:r>
      <w:r w:rsidR="00DF4A86">
        <w:rPr>
          <w:rFonts w:asciiTheme="minorHAnsi" w:hAnsiTheme="minorHAnsi" w:cstheme="minorHAnsi"/>
          <w:color w:val="000000" w:themeColor="text1"/>
          <w:sz w:val="24"/>
        </w:rPr>
        <w:t>novembro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 xml:space="preserve"> de 20</w:t>
      </w:r>
      <w:r w:rsidR="00DF4A86">
        <w:rPr>
          <w:rFonts w:asciiTheme="minorHAnsi" w:hAnsiTheme="minorHAnsi" w:cstheme="minorHAnsi"/>
          <w:color w:val="000000" w:themeColor="text1"/>
          <w:sz w:val="24"/>
        </w:rPr>
        <w:t>14</w:t>
      </w:r>
      <w:r w:rsidR="00C854B4" w:rsidRPr="00C854B4">
        <w:rPr>
          <w:rFonts w:asciiTheme="minorHAnsi" w:hAnsiTheme="minorHAnsi" w:cstheme="minorHAnsi"/>
          <w:color w:val="000000" w:themeColor="text1"/>
          <w:sz w:val="24"/>
        </w:rPr>
        <w:t>, a partir da vigência desta Resolução</w:t>
      </w:r>
      <w:r w:rsidRPr="00273211">
        <w:rPr>
          <w:rFonts w:asciiTheme="minorHAnsi" w:hAnsiTheme="minorHAnsi" w:cstheme="minorHAnsi"/>
          <w:sz w:val="24"/>
        </w:rPr>
        <w:t>.</w:t>
      </w:r>
    </w:p>
    <w:p w14:paraId="7C1D6C73" w14:textId="04C190FD" w:rsidR="00273211" w:rsidRPr="00273211" w:rsidRDefault="00273211" w:rsidP="00273211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273211">
        <w:rPr>
          <w:rFonts w:asciiTheme="minorHAnsi" w:hAnsiTheme="minorHAnsi" w:cstheme="minorHAnsi"/>
          <w:sz w:val="24"/>
        </w:rPr>
        <w:t xml:space="preserve">Art. 3º  </w:t>
      </w:r>
      <w:r w:rsidR="008B2AC2" w:rsidRPr="008B2AC2">
        <w:rPr>
          <w:rFonts w:asciiTheme="minorHAnsi" w:hAnsiTheme="minorHAnsi" w:cstheme="minorHAnsi"/>
          <w:sz w:val="24"/>
        </w:rPr>
        <w:t>Esta Resolução entra em vigor em 1º de julho de 2022</w:t>
      </w:r>
      <w:r w:rsidRPr="00273211">
        <w:rPr>
          <w:rFonts w:asciiTheme="minorHAnsi" w:hAnsiTheme="minorHAnsi" w:cstheme="minorHAnsi"/>
          <w:sz w:val="24"/>
        </w:rPr>
        <w:t>.</w:t>
      </w:r>
    </w:p>
    <w:p w14:paraId="4E886EE9" w14:textId="5FF432C1" w:rsidR="00A21437" w:rsidRPr="00A92033" w:rsidRDefault="00A21437">
      <w:pPr>
        <w:spacing w:before="0" w:after="160" w:line="259" w:lineRule="auto"/>
        <w:jc w:val="left"/>
        <w:rPr>
          <w:rFonts w:cs="Arial"/>
          <w:sz w:val="24"/>
        </w:rPr>
      </w:pPr>
    </w:p>
    <w:p w14:paraId="224E36B0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i/>
          <w:iCs/>
          <w:color w:val="000000"/>
          <w:sz w:val="24"/>
        </w:rPr>
      </w:pPr>
      <w:r w:rsidRPr="00A92033">
        <w:rPr>
          <w:rFonts w:asciiTheme="minorHAnsi" w:hAnsiTheme="minorHAnsi" w:cstheme="minorHAnsi"/>
          <w:i/>
          <w:iCs/>
          <w:color w:val="000000"/>
          <w:sz w:val="24"/>
        </w:rPr>
        <w:t>Assinado eletronicamente por</w:t>
      </w:r>
    </w:p>
    <w:p w14:paraId="2D94B5D6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A92033">
        <w:rPr>
          <w:rFonts w:asciiTheme="minorHAnsi" w:hAnsiTheme="minorHAnsi" w:cstheme="minorHAnsi"/>
          <w:b/>
          <w:bCs/>
          <w:color w:val="000000"/>
          <w:sz w:val="24"/>
        </w:rPr>
        <w:t>Marcelo Barbosa</w:t>
      </w:r>
    </w:p>
    <w:p w14:paraId="3D10998D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A92033">
        <w:rPr>
          <w:rFonts w:asciiTheme="minorHAnsi" w:hAnsiTheme="minorHAnsi" w:cstheme="minorHAnsi"/>
          <w:b/>
          <w:bCs/>
          <w:color w:val="000000"/>
          <w:sz w:val="24"/>
        </w:rPr>
        <w:t>Presidente</w:t>
      </w:r>
    </w:p>
    <w:p w14:paraId="69D71F89" w14:textId="77777777" w:rsidR="00CF08C5" w:rsidRPr="00A92033" w:rsidRDefault="00CF08C5">
      <w:pPr>
        <w:spacing w:before="0" w:after="160" w:line="259" w:lineRule="auto"/>
        <w:jc w:val="left"/>
        <w:rPr>
          <w:rFonts w:cs="Arial"/>
          <w:sz w:val="24"/>
        </w:rPr>
      </w:pPr>
    </w:p>
    <w:p w14:paraId="74B88778" w14:textId="770323FC" w:rsidR="00DF62F3" w:rsidRDefault="00DF62F3">
      <w:pPr>
        <w:spacing w:before="0" w:after="160" w:line="259" w:lineRule="auto"/>
        <w:jc w:val="left"/>
        <w:rPr>
          <w:rFonts w:cs="Arial"/>
          <w:b/>
          <w:sz w:val="22"/>
          <w:szCs w:val="22"/>
          <w:lang w:val="pt-BR"/>
        </w:rPr>
      </w:pPr>
      <w:r>
        <w:rPr>
          <w:rFonts w:cs="Arial"/>
          <w:b/>
          <w:sz w:val="22"/>
          <w:szCs w:val="22"/>
          <w:lang w:val="pt-BR"/>
        </w:rPr>
        <w:br w:type="page"/>
      </w:r>
    </w:p>
    <w:p w14:paraId="314D93CE" w14:textId="1B04C5A5" w:rsidR="00E74889" w:rsidRDefault="00E74889" w:rsidP="007D75A7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Batang" w:hAnsi="Times New Roman"/>
          <w:b/>
          <w:sz w:val="24"/>
          <w:lang w:val="pt-BR" w:eastAsia="ko-KR"/>
        </w:rPr>
      </w:pPr>
      <w:r w:rsidRPr="00E74889">
        <w:rPr>
          <w:rFonts w:ascii="Times New Roman" w:eastAsia="Batang" w:hAnsi="Times New Roman"/>
          <w:b/>
          <w:sz w:val="24"/>
          <w:lang w:val="pt-BR" w:eastAsia="ko-KR"/>
        </w:rPr>
        <w:lastRenderedPageBreak/>
        <w:t>ANEXO “A”</w:t>
      </w:r>
    </w:p>
    <w:p w14:paraId="1F12E9AB" w14:textId="77777777" w:rsidR="00E74889" w:rsidRDefault="00E74889" w:rsidP="007D75A7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Batang" w:hAnsi="Times New Roman"/>
          <w:b/>
          <w:sz w:val="24"/>
          <w:lang w:val="pt-BR" w:eastAsia="ko-KR"/>
        </w:rPr>
      </w:pPr>
    </w:p>
    <w:p w14:paraId="0C49E3C6" w14:textId="082C1AF5" w:rsidR="007D75A7" w:rsidRPr="007D75A7" w:rsidRDefault="007D75A7" w:rsidP="007D75A7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Batang" w:hAnsi="Times New Roman"/>
          <w:b/>
          <w:sz w:val="24"/>
          <w:lang w:val="pt-BR" w:eastAsia="ko-KR"/>
        </w:rPr>
      </w:pPr>
      <w:r w:rsidRPr="007D75A7">
        <w:rPr>
          <w:rFonts w:ascii="Times New Roman" w:eastAsia="Batang" w:hAnsi="Times New Roman"/>
          <w:b/>
          <w:sz w:val="24"/>
          <w:lang w:val="pt-BR" w:eastAsia="ko-KR"/>
        </w:rPr>
        <w:t>COMITÊ DE PRONUNCIAMENTOS CONTÁBEIS</w:t>
      </w:r>
    </w:p>
    <w:p w14:paraId="09B3E6AB" w14:textId="77777777" w:rsidR="007D75A7" w:rsidRPr="007D75A7" w:rsidRDefault="007D75A7" w:rsidP="007D75A7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Batang" w:hAnsi="Times New Roman"/>
          <w:b/>
          <w:sz w:val="24"/>
          <w:lang w:val="pt-BR" w:eastAsia="ko-KR"/>
        </w:rPr>
      </w:pPr>
    </w:p>
    <w:p w14:paraId="55A4E963" w14:textId="77777777" w:rsidR="007D75A7" w:rsidRPr="007D75A7" w:rsidRDefault="007D75A7" w:rsidP="007D75A7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Batang" w:hAnsi="Times New Roman"/>
          <w:b/>
          <w:sz w:val="24"/>
          <w:lang w:val="pt-BR" w:eastAsia="ko-KR"/>
        </w:rPr>
      </w:pPr>
      <w:r w:rsidRPr="007D75A7">
        <w:rPr>
          <w:rFonts w:ascii="Times New Roman" w:eastAsia="Batang" w:hAnsi="Times New Roman"/>
          <w:b/>
          <w:sz w:val="24"/>
          <w:lang w:val="pt-BR" w:eastAsia="ko-KR"/>
        </w:rPr>
        <w:t xml:space="preserve">INTERPRETAÇÃO TÉCNICA </w:t>
      </w:r>
      <w:proofErr w:type="spellStart"/>
      <w:r w:rsidRPr="007D75A7">
        <w:rPr>
          <w:rFonts w:ascii="Times New Roman" w:eastAsia="Batang" w:hAnsi="Times New Roman"/>
          <w:b/>
          <w:sz w:val="24"/>
          <w:lang w:val="pt-BR" w:eastAsia="ko-KR"/>
        </w:rPr>
        <w:t>ICPC</w:t>
      </w:r>
      <w:proofErr w:type="spellEnd"/>
      <w:r w:rsidRPr="007D75A7">
        <w:rPr>
          <w:rFonts w:ascii="Times New Roman" w:eastAsia="Batang" w:hAnsi="Times New Roman"/>
          <w:b/>
          <w:sz w:val="24"/>
          <w:lang w:val="pt-BR" w:eastAsia="ko-KR"/>
        </w:rPr>
        <w:t xml:space="preserve"> 19</w:t>
      </w:r>
    </w:p>
    <w:p w14:paraId="329A6ECE" w14:textId="77777777" w:rsidR="007D75A7" w:rsidRPr="007D75A7" w:rsidRDefault="007D75A7" w:rsidP="007D75A7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Batang" w:hAnsi="Times New Roman"/>
          <w:b/>
          <w:sz w:val="24"/>
          <w:lang w:val="pt-BR" w:eastAsia="ko-KR"/>
        </w:rPr>
      </w:pPr>
    </w:p>
    <w:p w14:paraId="6999A7A1" w14:textId="77777777" w:rsidR="007D75A7" w:rsidRPr="00E74889" w:rsidRDefault="007D75A7" w:rsidP="007D75A7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Batang" w:hAnsi="Times New Roman"/>
          <w:b/>
          <w:caps/>
          <w:sz w:val="24"/>
          <w:lang w:val="pt-BR" w:eastAsia="ko-KR"/>
        </w:rPr>
      </w:pPr>
      <w:r w:rsidRPr="00E74889">
        <w:rPr>
          <w:rFonts w:ascii="Times New Roman" w:eastAsia="Batang" w:hAnsi="Times New Roman"/>
          <w:b/>
          <w:caps/>
          <w:sz w:val="24"/>
          <w:lang w:val="pt-BR" w:eastAsia="ko-KR"/>
        </w:rPr>
        <w:t xml:space="preserve">Tributos </w:t>
      </w:r>
    </w:p>
    <w:p w14:paraId="46C0C0AD" w14:textId="77777777" w:rsidR="007D75A7" w:rsidRPr="007D75A7" w:rsidRDefault="007D75A7" w:rsidP="007D75A7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Batang" w:hAnsi="Times New Roman"/>
          <w:b/>
          <w:sz w:val="24"/>
          <w:lang w:val="pt-BR" w:eastAsia="ko-KR"/>
        </w:rPr>
      </w:pPr>
    </w:p>
    <w:p w14:paraId="6BAC89FB" w14:textId="77777777" w:rsidR="007D75A7" w:rsidRPr="007D75A7" w:rsidRDefault="007D75A7" w:rsidP="007D75A7">
      <w:pPr>
        <w:widowControl w:val="0"/>
        <w:autoSpaceDE w:val="0"/>
        <w:autoSpaceDN w:val="0"/>
        <w:adjustRightInd w:val="0"/>
        <w:spacing w:before="60" w:after="60"/>
        <w:jc w:val="center"/>
        <w:outlineLvl w:val="0"/>
        <w:rPr>
          <w:rFonts w:ascii="Times New Roman" w:eastAsia="Batang" w:hAnsi="Times New Roman"/>
          <w:b/>
          <w:bCs/>
          <w:sz w:val="24"/>
          <w:lang w:val="pt-BR" w:eastAsia="ko-KR"/>
        </w:rPr>
      </w:pPr>
      <w:r w:rsidRPr="007D75A7">
        <w:rPr>
          <w:rFonts w:ascii="Times New Roman" w:eastAsia="Batang" w:hAnsi="Times New Roman"/>
          <w:b/>
          <w:bCs/>
          <w:sz w:val="24"/>
          <w:lang w:val="pt-BR" w:eastAsia="ko-KR"/>
        </w:rPr>
        <w:t xml:space="preserve">Correlação às Normas Internacionais de Contabilidade – </w:t>
      </w:r>
      <w:proofErr w:type="spellStart"/>
      <w:r w:rsidRPr="007D75A7">
        <w:rPr>
          <w:rFonts w:ascii="Times New Roman" w:eastAsia="Batang" w:hAnsi="Times New Roman"/>
          <w:b/>
          <w:sz w:val="24"/>
          <w:lang w:val="pt-BR" w:eastAsia="ko-KR"/>
        </w:rPr>
        <w:t>IFRIC</w:t>
      </w:r>
      <w:proofErr w:type="spellEnd"/>
      <w:r w:rsidRPr="007D75A7">
        <w:rPr>
          <w:rFonts w:ascii="Times New Roman" w:eastAsia="Batang" w:hAnsi="Times New Roman"/>
          <w:b/>
          <w:sz w:val="24"/>
          <w:lang w:val="pt-BR" w:eastAsia="ko-KR"/>
        </w:rPr>
        <w:t xml:space="preserve"> 21 </w:t>
      </w:r>
      <w:r w:rsidRPr="007D75A7">
        <w:rPr>
          <w:rFonts w:ascii="Times New Roman" w:eastAsia="Batang" w:hAnsi="Times New Roman"/>
          <w:b/>
          <w:bCs/>
          <w:sz w:val="24"/>
          <w:lang w:val="pt-BR" w:eastAsia="ko-KR"/>
        </w:rPr>
        <w:t>(BV2013)</w:t>
      </w:r>
    </w:p>
    <w:p w14:paraId="553659EB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color w:val="800080"/>
          <w:sz w:val="24"/>
          <w:vertAlign w:val="subscript"/>
          <w:lang w:val="pt-BR" w:eastAsia="ko-KR"/>
        </w:rPr>
      </w:pPr>
    </w:p>
    <w:p w14:paraId="21247067" w14:textId="77777777" w:rsidR="007D75A7" w:rsidRPr="007D75A7" w:rsidRDefault="007D75A7" w:rsidP="007D75A7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eastAsia="Batang" w:hAnsi="Times New Roman"/>
          <w:b/>
          <w:sz w:val="24"/>
          <w:lang w:val="pt-BR" w:eastAsia="ko-KR"/>
        </w:rPr>
      </w:pPr>
    </w:p>
    <w:tbl>
      <w:tblPr>
        <w:tblW w:w="9072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152"/>
      </w:tblGrid>
      <w:tr w:rsidR="007D75A7" w:rsidRPr="007D75A7" w14:paraId="72CA063A" w14:textId="77777777" w:rsidTr="00932441">
        <w:tc>
          <w:tcPr>
            <w:tcW w:w="7920" w:type="dxa"/>
          </w:tcPr>
          <w:p w14:paraId="0DF8E5B4" w14:textId="77777777" w:rsidR="007D75A7" w:rsidRPr="007D75A7" w:rsidRDefault="007D75A7" w:rsidP="007D75A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</w:pPr>
            <w:r w:rsidRPr="007D75A7"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  <w:t>Sumário</w:t>
            </w:r>
          </w:p>
        </w:tc>
        <w:tc>
          <w:tcPr>
            <w:tcW w:w="1152" w:type="dxa"/>
          </w:tcPr>
          <w:p w14:paraId="2090EC68" w14:textId="77777777" w:rsidR="007D75A7" w:rsidRPr="007D75A7" w:rsidRDefault="007D75A7" w:rsidP="007D75A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</w:pPr>
            <w:r w:rsidRPr="007D75A7"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  <w:t>Item</w:t>
            </w:r>
          </w:p>
        </w:tc>
      </w:tr>
      <w:tr w:rsidR="007D75A7" w:rsidRPr="007D75A7" w14:paraId="0083D866" w14:textId="77777777" w:rsidTr="00932441">
        <w:tc>
          <w:tcPr>
            <w:tcW w:w="7920" w:type="dxa"/>
          </w:tcPr>
          <w:p w14:paraId="4B5DE4F8" w14:textId="77777777" w:rsidR="007D75A7" w:rsidRPr="007D75A7" w:rsidRDefault="007D75A7" w:rsidP="007D75A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</w:pPr>
            <w:r w:rsidRPr="007D75A7"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  <w:t>REFERÊNCIAS</w:t>
            </w:r>
          </w:p>
        </w:tc>
        <w:tc>
          <w:tcPr>
            <w:tcW w:w="1152" w:type="dxa"/>
          </w:tcPr>
          <w:p w14:paraId="6C25C858" w14:textId="77777777" w:rsidR="007D75A7" w:rsidRPr="007D75A7" w:rsidRDefault="007D75A7" w:rsidP="007D75A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</w:pPr>
          </w:p>
        </w:tc>
      </w:tr>
      <w:tr w:rsidR="007D75A7" w:rsidRPr="007D75A7" w14:paraId="7C58A44F" w14:textId="77777777" w:rsidTr="00932441">
        <w:tc>
          <w:tcPr>
            <w:tcW w:w="7920" w:type="dxa"/>
          </w:tcPr>
          <w:p w14:paraId="5D11816B" w14:textId="77777777" w:rsidR="007D75A7" w:rsidRPr="007D75A7" w:rsidRDefault="007D75A7" w:rsidP="007D75A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</w:pPr>
            <w:r w:rsidRPr="007D75A7"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  <w:t>CONTEXTO</w:t>
            </w:r>
          </w:p>
        </w:tc>
        <w:tc>
          <w:tcPr>
            <w:tcW w:w="1152" w:type="dxa"/>
          </w:tcPr>
          <w:p w14:paraId="039EC0D7" w14:textId="77777777" w:rsidR="007D75A7" w:rsidRPr="007D75A7" w:rsidRDefault="007D75A7" w:rsidP="007D75A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</w:pPr>
            <w:r w:rsidRPr="007D75A7"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  <w:t>1</w:t>
            </w:r>
          </w:p>
        </w:tc>
      </w:tr>
      <w:tr w:rsidR="007D75A7" w:rsidRPr="007D75A7" w14:paraId="31DC79CA" w14:textId="77777777" w:rsidTr="00932441">
        <w:tc>
          <w:tcPr>
            <w:tcW w:w="7920" w:type="dxa"/>
          </w:tcPr>
          <w:p w14:paraId="6FA47158" w14:textId="77777777" w:rsidR="007D75A7" w:rsidRPr="007D75A7" w:rsidRDefault="007D75A7" w:rsidP="007D75A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</w:pPr>
            <w:r w:rsidRPr="007D75A7"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  <w:t>ALCANCE</w:t>
            </w:r>
          </w:p>
        </w:tc>
        <w:tc>
          <w:tcPr>
            <w:tcW w:w="1152" w:type="dxa"/>
          </w:tcPr>
          <w:p w14:paraId="129D268C" w14:textId="77777777" w:rsidR="007D75A7" w:rsidRPr="007D75A7" w:rsidRDefault="007D75A7" w:rsidP="007D75A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</w:pPr>
            <w:r w:rsidRPr="007D75A7"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  <w:t>2 – 6</w:t>
            </w:r>
          </w:p>
        </w:tc>
      </w:tr>
      <w:tr w:rsidR="007D75A7" w:rsidRPr="007D75A7" w14:paraId="235E3276" w14:textId="77777777" w:rsidTr="00932441">
        <w:tc>
          <w:tcPr>
            <w:tcW w:w="7920" w:type="dxa"/>
          </w:tcPr>
          <w:p w14:paraId="7239054F" w14:textId="77777777" w:rsidR="007D75A7" w:rsidRPr="007D75A7" w:rsidRDefault="007D75A7" w:rsidP="007D75A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</w:pPr>
            <w:r w:rsidRPr="007D75A7"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  <w:t>QUESTÕES</w:t>
            </w:r>
          </w:p>
        </w:tc>
        <w:tc>
          <w:tcPr>
            <w:tcW w:w="1152" w:type="dxa"/>
          </w:tcPr>
          <w:p w14:paraId="108D9A1E" w14:textId="77777777" w:rsidR="007D75A7" w:rsidRPr="007D75A7" w:rsidRDefault="007D75A7" w:rsidP="007D75A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</w:pPr>
            <w:r w:rsidRPr="007D75A7"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  <w:t>7</w:t>
            </w:r>
          </w:p>
        </w:tc>
      </w:tr>
      <w:tr w:rsidR="007D75A7" w:rsidRPr="007D75A7" w14:paraId="7A99D7AB" w14:textId="77777777" w:rsidTr="00932441">
        <w:tc>
          <w:tcPr>
            <w:tcW w:w="7920" w:type="dxa"/>
          </w:tcPr>
          <w:p w14:paraId="6FC2B03B" w14:textId="77777777" w:rsidR="007D75A7" w:rsidRPr="007D75A7" w:rsidRDefault="007D75A7" w:rsidP="007D75A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</w:pPr>
            <w:r w:rsidRPr="007D75A7"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  <w:t>CONSENSO</w:t>
            </w:r>
          </w:p>
        </w:tc>
        <w:tc>
          <w:tcPr>
            <w:tcW w:w="1152" w:type="dxa"/>
          </w:tcPr>
          <w:p w14:paraId="1AEFBFB2" w14:textId="77777777" w:rsidR="007D75A7" w:rsidRPr="007D75A7" w:rsidRDefault="007D75A7" w:rsidP="007D75A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</w:pPr>
            <w:r w:rsidRPr="007D75A7">
              <w:rPr>
                <w:rFonts w:ascii="Times New Roman" w:eastAsia="Batang" w:hAnsi="Times New Roman"/>
                <w:b/>
                <w:bCs/>
                <w:kern w:val="36"/>
                <w:sz w:val="24"/>
                <w:lang w:val="pt-BR" w:eastAsia="ko-KR"/>
              </w:rPr>
              <w:t>8 – 14</w:t>
            </w:r>
          </w:p>
        </w:tc>
      </w:tr>
      <w:tr w:rsidR="007D75A7" w:rsidRPr="007D75A7" w14:paraId="69FC02EF" w14:textId="77777777" w:rsidTr="00932441">
        <w:tc>
          <w:tcPr>
            <w:tcW w:w="7920" w:type="dxa"/>
          </w:tcPr>
          <w:p w14:paraId="7AF3AA50" w14:textId="77777777" w:rsidR="007D75A7" w:rsidRPr="007D75A7" w:rsidRDefault="007D75A7" w:rsidP="007D75A7">
            <w:pPr>
              <w:widowControl w:val="0"/>
              <w:tabs>
                <w:tab w:val="left" w:pos="709"/>
              </w:tabs>
              <w:spacing w:before="60" w:after="60"/>
              <w:rPr>
                <w:rFonts w:ascii="Times New Roman" w:hAnsi="Times New Roman"/>
                <w:b/>
                <w:sz w:val="24"/>
              </w:rPr>
            </w:pPr>
            <w:r w:rsidRPr="007D75A7">
              <w:rPr>
                <w:rFonts w:ascii="Times New Roman" w:hAnsi="Times New Roman"/>
                <w:b/>
                <w:bCs/>
                <w:kern w:val="36"/>
                <w:sz w:val="24"/>
              </w:rPr>
              <w:t>APÊNDICE A – TRANSIÇÃO</w:t>
            </w:r>
          </w:p>
        </w:tc>
        <w:tc>
          <w:tcPr>
            <w:tcW w:w="1152" w:type="dxa"/>
          </w:tcPr>
          <w:p w14:paraId="70D9AE2E" w14:textId="77777777" w:rsidR="007D75A7" w:rsidRPr="007D75A7" w:rsidRDefault="007D75A7" w:rsidP="007D75A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Batang" w:hAnsi="Times New Roman"/>
                <w:b/>
                <w:bCs/>
                <w:kern w:val="36"/>
                <w:sz w:val="24"/>
                <w:lang w:eastAsia="ko-KR"/>
              </w:rPr>
            </w:pPr>
          </w:p>
        </w:tc>
      </w:tr>
      <w:tr w:rsidR="007D75A7" w:rsidRPr="007D75A7" w14:paraId="52E0BB2D" w14:textId="77777777" w:rsidTr="00932441">
        <w:tc>
          <w:tcPr>
            <w:tcW w:w="7920" w:type="dxa"/>
          </w:tcPr>
          <w:p w14:paraId="04097E25" w14:textId="77777777" w:rsidR="007D75A7" w:rsidRPr="007D75A7" w:rsidRDefault="007D75A7" w:rsidP="007D75A7">
            <w:pPr>
              <w:widowControl w:val="0"/>
              <w:tabs>
                <w:tab w:val="left" w:pos="0"/>
              </w:tabs>
              <w:spacing w:before="60" w:after="60"/>
              <w:rPr>
                <w:rFonts w:ascii="Times New Roman" w:hAnsi="Times New Roman"/>
                <w:b/>
                <w:sz w:val="24"/>
              </w:rPr>
            </w:pPr>
            <w:r w:rsidRPr="007D75A7">
              <w:rPr>
                <w:rFonts w:ascii="Times New Roman" w:eastAsia="Arial Unicode MS" w:hAnsi="Times New Roman"/>
                <w:b/>
                <w:sz w:val="24"/>
              </w:rPr>
              <w:t>EXEMPLOS ILUSTRATIVOS</w:t>
            </w:r>
          </w:p>
        </w:tc>
        <w:tc>
          <w:tcPr>
            <w:tcW w:w="1152" w:type="dxa"/>
          </w:tcPr>
          <w:p w14:paraId="7B38F375" w14:textId="77777777" w:rsidR="007D75A7" w:rsidRPr="007D75A7" w:rsidRDefault="007D75A7" w:rsidP="007D75A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Batang" w:hAnsi="Times New Roman"/>
                <w:b/>
                <w:bCs/>
                <w:kern w:val="36"/>
                <w:sz w:val="24"/>
                <w:lang w:eastAsia="ko-KR"/>
              </w:rPr>
            </w:pPr>
          </w:p>
        </w:tc>
      </w:tr>
    </w:tbl>
    <w:p w14:paraId="127987F0" w14:textId="77777777" w:rsidR="007D75A7" w:rsidRPr="007D75A7" w:rsidRDefault="007D75A7" w:rsidP="007D75A7">
      <w:pPr>
        <w:widowControl w:val="0"/>
        <w:tabs>
          <w:tab w:val="left" w:pos="6804"/>
        </w:tabs>
        <w:spacing w:before="0" w:after="0"/>
        <w:ind w:right="57"/>
        <w:rPr>
          <w:rFonts w:ascii="Times New Roman" w:hAnsi="Times New Roman"/>
          <w:b/>
          <w:sz w:val="24"/>
          <w:lang w:val="pt-BR"/>
        </w:rPr>
      </w:pPr>
    </w:p>
    <w:p w14:paraId="5B60CCD1" w14:textId="47B0B7FD" w:rsidR="007D75A7" w:rsidRDefault="007D75A7" w:rsidP="007D75A7">
      <w:pPr>
        <w:widowControl w:val="0"/>
        <w:tabs>
          <w:tab w:val="left" w:pos="6804"/>
        </w:tabs>
        <w:spacing w:before="0" w:after="0"/>
        <w:ind w:right="57"/>
        <w:rPr>
          <w:rFonts w:ascii="Times New Roman" w:hAnsi="Times New Roman"/>
          <w:b/>
          <w:sz w:val="24"/>
          <w:lang w:val="pt-BR"/>
        </w:rPr>
      </w:pPr>
    </w:p>
    <w:p w14:paraId="618F42CB" w14:textId="50025670" w:rsidR="0058210D" w:rsidRDefault="0058210D" w:rsidP="007D75A7">
      <w:pPr>
        <w:widowControl w:val="0"/>
        <w:tabs>
          <w:tab w:val="left" w:pos="6804"/>
        </w:tabs>
        <w:spacing w:before="0" w:after="0"/>
        <w:ind w:right="57"/>
        <w:rPr>
          <w:rFonts w:ascii="Times New Roman" w:hAnsi="Times New Roman"/>
          <w:b/>
          <w:sz w:val="24"/>
          <w:lang w:val="pt-BR"/>
        </w:rPr>
      </w:pPr>
    </w:p>
    <w:p w14:paraId="04BAE7B9" w14:textId="77777777" w:rsidR="0058210D" w:rsidRDefault="0058210D" w:rsidP="007D75A7">
      <w:pPr>
        <w:widowControl w:val="0"/>
        <w:tabs>
          <w:tab w:val="left" w:pos="6804"/>
        </w:tabs>
        <w:spacing w:before="0" w:after="0"/>
        <w:ind w:right="57"/>
        <w:rPr>
          <w:rFonts w:ascii="Times New Roman" w:hAnsi="Times New Roman"/>
          <w:b/>
          <w:sz w:val="24"/>
          <w:lang w:val="pt-BR"/>
        </w:rPr>
      </w:pPr>
    </w:p>
    <w:p w14:paraId="2B9E4478" w14:textId="1DE425E3" w:rsidR="007D75A7" w:rsidRPr="007D75A7" w:rsidRDefault="007D75A7" w:rsidP="007D75A7">
      <w:pPr>
        <w:autoSpaceDE w:val="0"/>
        <w:autoSpaceDN w:val="0"/>
        <w:adjustRightInd w:val="0"/>
        <w:spacing w:before="0" w:after="0"/>
        <w:jc w:val="left"/>
        <w:rPr>
          <w:rFonts w:ascii="Times New Roman" w:eastAsia="Arial Unicode MS" w:hAnsi="Times New Roman"/>
          <w:b/>
          <w:color w:val="000000"/>
          <w:sz w:val="24"/>
          <w:lang w:val="pt-BR"/>
        </w:rPr>
      </w:pPr>
      <w:r w:rsidRPr="007D75A7">
        <w:rPr>
          <w:rFonts w:ascii="Times New Roman" w:eastAsia="Arial Unicode MS" w:hAnsi="Times New Roman"/>
          <w:b/>
          <w:color w:val="000000"/>
          <w:sz w:val="24"/>
          <w:lang w:val="pt-BR"/>
        </w:rPr>
        <w:t>Referências</w:t>
      </w:r>
    </w:p>
    <w:p w14:paraId="71B58190" w14:textId="3EE46BDB" w:rsidR="007D75A7" w:rsidRPr="007D75A7" w:rsidRDefault="007D75A7" w:rsidP="007D75A7">
      <w:pPr>
        <w:autoSpaceDE w:val="0"/>
        <w:autoSpaceDN w:val="0"/>
        <w:adjustRightInd w:val="0"/>
        <w:spacing w:before="0" w:after="0"/>
        <w:jc w:val="left"/>
        <w:rPr>
          <w:rFonts w:ascii="Times New Roman" w:eastAsia="Arial Unicode MS" w:hAnsi="Times New Roman"/>
          <w:b/>
          <w:color w:val="000000"/>
          <w:sz w:val="24"/>
          <w:lang w:val="pt-BR"/>
        </w:rPr>
      </w:pPr>
    </w:p>
    <w:p w14:paraId="5B386693" w14:textId="1813A345" w:rsidR="007D75A7" w:rsidRPr="007D75A7" w:rsidRDefault="007D75A7" w:rsidP="007D75A7">
      <w:pPr>
        <w:autoSpaceDE w:val="0"/>
        <w:autoSpaceDN w:val="0"/>
        <w:adjustRightInd w:val="0"/>
        <w:spacing w:before="0" w:after="0"/>
        <w:ind w:left="284" w:hanging="284"/>
        <w:rPr>
          <w:rFonts w:ascii="Times New Roman" w:eastAsia="Batang" w:hAnsi="Times New Roman"/>
          <w:sz w:val="24"/>
          <w:lang w:val="pt-BR" w:eastAsia="ko-KR"/>
        </w:rPr>
      </w:pPr>
      <w:r w:rsidRPr="007D75A7">
        <w:rPr>
          <w:rFonts w:ascii="Times New Roman" w:eastAsia="Batang" w:hAnsi="Times New Roman"/>
          <w:sz w:val="24"/>
          <w:lang w:val="pt-BR" w:eastAsia="ko-KR"/>
        </w:rPr>
        <w:t xml:space="preserve">• </w:t>
      </w:r>
      <w:r w:rsidRPr="007D75A7">
        <w:rPr>
          <w:rFonts w:ascii="Times New Roman" w:eastAsia="Batang" w:hAnsi="Times New Roman"/>
          <w:sz w:val="24"/>
          <w:lang w:val="pt-BR" w:eastAsia="ko-KR"/>
        </w:rPr>
        <w:tab/>
        <w:t>CPC 26 – Apresentação das Demonstrações Contábeis</w:t>
      </w:r>
    </w:p>
    <w:p w14:paraId="1DC3F995" w14:textId="61BE432B" w:rsidR="007D75A7" w:rsidRPr="007D75A7" w:rsidRDefault="007D75A7" w:rsidP="007D75A7">
      <w:pPr>
        <w:autoSpaceDE w:val="0"/>
        <w:autoSpaceDN w:val="0"/>
        <w:adjustRightInd w:val="0"/>
        <w:spacing w:before="0" w:after="0"/>
        <w:ind w:left="284" w:hanging="284"/>
        <w:rPr>
          <w:rFonts w:ascii="Times New Roman" w:eastAsia="Batang" w:hAnsi="Times New Roman"/>
          <w:sz w:val="24"/>
          <w:lang w:val="pt-BR" w:eastAsia="ko-KR"/>
        </w:rPr>
      </w:pPr>
      <w:r w:rsidRPr="007D75A7">
        <w:rPr>
          <w:rFonts w:ascii="Times New Roman" w:eastAsia="Batang" w:hAnsi="Times New Roman"/>
          <w:sz w:val="24"/>
          <w:lang w:val="pt-BR" w:eastAsia="ko-KR"/>
        </w:rPr>
        <w:t xml:space="preserve">• </w:t>
      </w:r>
      <w:r w:rsidRPr="007D75A7">
        <w:rPr>
          <w:rFonts w:ascii="Times New Roman" w:eastAsia="Batang" w:hAnsi="Times New Roman"/>
          <w:sz w:val="24"/>
          <w:lang w:val="pt-BR" w:eastAsia="ko-KR"/>
        </w:rPr>
        <w:tab/>
        <w:t>CPC 23 – Políticas Contábeis, Mudança de Estimativa e Retificação de Erro</w:t>
      </w:r>
    </w:p>
    <w:p w14:paraId="024A9D5A" w14:textId="1A2FAEFF" w:rsidR="007D75A7" w:rsidRPr="007D75A7" w:rsidRDefault="007D75A7" w:rsidP="007D75A7">
      <w:pPr>
        <w:autoSpaceDE w:val="0"/>
        <w:autoSpaceDN w:val="0"/>
        <w:adjustRightInd w:val="0"/>
        <w:spacing w:before="0" w:after="0"/>
        <w:ind w:left="284" w:hanging="284"/>
        <w:rPr>
          <w:rFonts w:ascii="Times New Roman" w:eastAsia="Batang" w:hAnsi="Times New Roman"/>
          <w:sz w:val="24"/>
          <w:lang w:val="pt-BR" w:eastAsia="ko-KR"/>
        </w:rPr>
      </w:pPr>
      <w:r w:rsidRPr="007D75A7">
        <w:rPr>
          <w:rFonts w:ascii="Times New Roman" w:eastAsia="Batang" w:hAnsi="Times New Roman"/>
          <w:sz w:val="24"/>
          <w:lang w:val="pt-BR" w:eastAsia="ko-KR"/>
        </w:rPr>
        <w:t xml:space="preserve">• </w:t>
      </w:r>
      <w:r w:rsidRPr="007D75A7">
        <w:rPr>
          <w:rFonts w:ascii="Times New Roman" w:eastAsia="Batang" w:hAnsi="Times New Roman"/>
          <w:sz w:val="24"/>
          <w:lang w:val="pt-BR" w:eastAsia="ko-KR"/>
        </w:rPr>
        <w:tab/>
        <w:t>CPC 32 – Tributos sobre o Lucro</w:t>
      </w:r>
    </w:p>
    <w:p w14:paraId="03833F78" w14:textId="2306299E" w:rsidR="007D75A7" w:rsidRPr="0058210D" w:rsidRDefault="007D75A7" w:rsidP="007D75A7">
      <w:pPr>
        <w:autoSpaceDE w:val="0"/>
        <w:autoSpaceDN w:val="0"/>
        <w:adjustRightInd w:val="0"/>
        <w:spacing w:before="0" w:after="0"/>
        <w:ind w:left="284" w:hanging="284"/>
        <w:rPr>
          <w:rFonts w:ascii="Times New Roman" w:eastAsia="Batang" w:hAnsi="Times New Roman"/>
          <w:sz w:val="24"/>
          <w:lang w:val="pt-BR" w:eastAsia="ko-KR"/>
        </w:rPr>
      </w:pPr>
      <w:r w:rsidRPr="0058210D">
        <w:rPr>
          <w:rFonts w:ascii="Times New Roman" w:eastAsia="Batang" w:hAnsi="Times New Roman"/>
          <w:sz w:val="24"/>
          <w:lang w:val="pt-BR" w:eastAsia="ko-KR"/>
        </w:rPr>
        <w:t xml:space="preserve">• </w:t>
      </w:r>
      <w:r w:rsidRPr="0058210D">
        <w:rPr>
          <w:rFonts w:ascii="Times New Roman" w:eastAsia="Batang" w:hAnsi="Times New Roman"/>
          <w:sz w:val="24"/>
          <w:lang w:val="pt-BR" w:eastAsia="ko-KR"/>
        </w:rPr>
        <w:tab/>
        <w:t>CPC 07 – Subvenção e Assistência Governamentais</w:t>
      </w:r>
    </w:p>
    <w:p w14:paraId="5D2693CB" w14:textId="06077744" w:rsidR="007D75A7" w:rsidRPr="007D75A7" w:rsidRDefault="007D75A7" w:rsidP="007D75A7">
      <w:pPr>
        <w:autoSpaceDE w:val="0"/>
        <w:autoSpaceDN w:val="0"/>
        <w:adjustRightInd w:val="0"/>
        <w:spacing w:before="0" w:after="0"/>
        <w:ind w:left="284" w:hanging="284"/>
        <w:rPr>
          <w:rFonts w:ascii="Times New Roman" w:eastAsia="Batang" w:hAnsi="Times New Roman"/>
          <w:sz w:val="24"/>
          <w:lang w:val="pt-BR" w:eastAsia="ko-KR"/>
        </w:rPr>
      </w:pPr>
      <w:r w:rsidRPr="007D75A7">
        <w:rPr>
          <w:rFonts w:ascii="Times New Roman" w:eastAsia="Batang" w:hAnsi="Times New Roman"/>
          <w:sz w:val="24"/>
          <w:lang w:val="pt-BR" w:eastAsia="ko-KR"/>
        </w:rPr>
        <w:t xml:space="preserve">• </w:t>
      </w:r>
      <w:r w:rsidRPr="007D75A7">
        <w:rPr>
          <w:rFonts w:ascii="Times New Roman" w:eastAsia="Batang" w:hAnsi="Times New Roman"/>
          <w:sz w:val="24"/>
          <w:lang w:val="pt-BR" w:eastAsia="ko-KR"/>
        </w:rPr>
        <w:tab/>
        <w:t>CPC 05 – Divulgação sobre Partes Relacionadas</w:t>
      </w:r>
    </w:p>
    <w:p w14:paraId="2C00C23B" w14:textId="62D3D846" w:rsidR="007D75A7" w:rsidRPr="007D75A7" w:rsidRDefault="007D75A7" w:rsidP="007D75A7">
      <w:pPr>
        <w:autoSpaceDE w:val="0"/>
        <w:autoSpaceDN w:val="0"/>
        <w:adjustRightInd w:val="0"/>
        <w:spacing w:before="0" w:after="0"/>
        <w:ind w:left="284" w:hanging="284"/>
        <w:rPr>
          <w:rFonts w:ascii="Times New Roman" w:eastAsia="Batang" w:hAnsi="Times New Roman"/>
          <w:sz w:val="24"/>
          <w:lang w:val="pt-BR" w:eastAsia="ko-KR"/>
        </w:rPr>
      </w:pPr>
      <w:r w:rsidRPr="007D75A7">
        <w:rPr>
          <w:rFonts w:ascii="Times New Roman" w:eastAsia="Batang" w:hAnsi="Times New Roman"/>
          <w:sz w:val="24"/>
          <w:lang w:val="pt-BR" w:eastAsia="ko-KR"/>
        </w:rPr>
        <w:t xml:space="preserve">• </w:t>
      </w:r>
      <w:r w:rsidRPr="007D75A7">
        <w:rPr>
          <w:rFonts w:ascii="Times New Roman" w:eastAsia="Batang" w:hAnsi="Times New Roman"/>
          <w:sz w:val="24"/>
          <w:lang w:val="pt-BR" w:eastAsia="ko-KR"/>
        </w:rPr>
        <w:tab/>
        <w:t>CPC 21 – Demonstração Intermediária</w:t>
      </w:r>
    </w:p>
    <w:p w14:paraId="342826C7" w14:textId="1316FB69" w:rsidR="007D75A7" w:rsidRPr="007D75A7" w:rsidRDefault="007D75A7" w:rsidP="007D75A7">
      <w:pPr>
        <w:autoSpaceDE w:val="0"/>
        <w:autoSpaceDN w:val="0"/>
        <w:adjustRightInd w:val="0"/>
        <w:spacing w:before="0" w:after="0"/>
        <w:ind w:left="284" w:hanging="284"/>
        <w:rPr>
          <w:rFonts w:ascii="Times New Roman" w:eastAsia="Batang" w:hAnsi="Times New Roman"/>
          <w:sz w:val="24"/>
          <w:lang w:val="pt-BR" w:eastAsia="ko-KR"/>
        </w:rPr>
      </w:pPr>
      <w:r w:rsidRPr="007D75A7">
        <w:rPr>
          <w:rFonts w:ascii="Times New Roman" w:eastAsia="Batang" w:hAnsi="Times New Roman"/>
          <w:sz w:val="24"/>
          <w:lang w:val="pt-BR" w:eastAsia="ko-KR"/>
        </w:rPr>
        <w:t xml:space="preserve">• </w:t>
      </w:r>
      <w:r w:rsidRPr="007D75A7">
        <w:rPr>
          <w:rFonts w:ascii="Times New Roman" w:eastAsia="Batang" w:hAnsi="Times New Roman"/>
          <w:sz w:val="24"/>
          <w:lang w:val="pt-BR" w:eastAsia="ko-KR"/>
        </w:rPr>
        <w:tab/>
        <w:t>CPC 25 – Provisões, Passivos Contingentes e Ativos Contingentes</w:t>
      </w:r>
    </w:p>
    <w:p w14:paraId="036475DD" w14:textId="671082A3" w:rsidR="007D75A7" w:rsidRPr="007D75A7" w:rsidRDefault="007D75A7" w:rsidP="007D75A7">
      <w:pPr>
        <w:autoSpaceDE w:val="0"/>
        <w:autoSpaceDN w:val="0"/>
        <w:adjustRightInd w:val="0"/>
        <w:spacing w:before="0" w:after="0"/>
        <w:ind w:left="284" w:hanging="284"/>
        <w:rPr>
          <w:rFonts w:ascii="Times New Roman" w:eastAsia="Batang" w:hAnsi="Times New Roman"/>
          <w:sz w:val="24"/>
          <w:lang w:val="pt-BR" w:eastAsia="ko-KR"/>
        </w:rPr>
      </w:pPr>
      <w:r w:rsidRPr="007D75A7">
        <w:rPr>
          <w:rFonts w:ascii="Times New Roman" w:eastAsia="Batang" w:hAnsi="Times New Roman"/>
          <w:sz w:val="24"/>
          <w:lang w:val="pt-BR" w:eastAsia="ko-KR"/>
        </w:rPr>
        <w:t xml:space="preserve">• </w:t>
      </w:r>
      <w:r w:rsidRPr="007D75A7">
        <w:rPr>
          <w:rFonts w:ascii="Times New Roman" w:eastAsia="Batang" w:hAnsi="Times New Roman"/>
          <w:sz w:val="24"/>
          <w:lang w:val="pt-BR" w:eastAsia="ko-KR"/>
        </w:rPr>
        <w:tab/>
      </w:r>
      <w:proofErr w:type="spellStart"/>
      <w:r w:rsidRPr="007D75A7">
        <w:rPr>
          <w:rFonts w:ascii="Times New Roman" w:eastAsia="Batang" w:hAnsi="Times New Roman"/>
          <w:sz w:val="24"/>
          <w:lang w:val="pt-BR" w:eastAsia="ko-KR"/>
        </w:rPr>
        <w:t>ICPC</w:t>
      </w:r>
      <w:proofErr w:type="spellEnd"/>
      <w:r w:rsidRPr="007D75A7">
        <w:rPr>
          <w:rFonts w:ascii="Times New Roman" w:eastAsia="Batang" w:hAnsi="Times New Roman"/>
          <w:sz w:val="24"/>
          <w:lang w:val="pt-BR" w:eastAsia="ko-KR"/>
        </w:rPr>
        <w:t xml:space="preserve"> 15 – Passivo Decorrente da Participação em Mercado Específico – Resíduos de Equipamentos Eletroeletrônicos</w:t>
      </w:r>
    </w:p>
    <w:p w14:paraId="400A6365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</w:p>
    <w:p w14:paraId="6993F7CD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</w:p>
    <w:p w14:paraId="0D2029B5" w14:textId="77777777" w:rsidR="0058210D" w:rsidRDefault="0058210D">
      <w:pPr>
        <w:spacing w:before="0" w:after="160" w:line="259" w:lineRule="auto"/>
        <w:jc w:val="left"/>
        <w:rPr>
          <w:rFonts w:ascii="Times New Roman" w:eastAsia="Arial Unicode MS" w:hAnsi="Times New Roman"/>
          <w:b/>
          <w:sz w:val="24"/>
          <w:lang w:val="pt-BR" w:eastAsia="ko-KR"/>
        </w:rPr>
      </w:pPr>
      <w:r>
        <w:rPr>
          <w:rFonts w:ascii="Times New Roman" w:eastAsia="Arial Unicode MS" w:hAnsi="Times New Roman"/>
          <w:b/>
          <w:sz w:val="24"/>
          <w:lang w:val="pt-BR" w:eastAsia="ko-KR"/>
        </w:rPr>
        <w:br w:type="page"/>
      </w:r>
    </w:p>
    <w:p w14:paraId="6C9652B4" w14:textId="06733761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Arial Unicode MS" w:hAnsi="Times New Roman"/>
          <w:b/>
          <w:sz w:val="24"/>
          <w:lang w:val="pt-BR" w:eastAsia="ko-KR"/>
        </w:rPr>
      </w:pPr>
      <w:r w:rsidRPr="007D75A7">
        <w:rPr>
          <w:rFonts w:ascii="Times New Roman" w:eastAsia="Arial Unicode MS" w:hAnsi="Times New Roman"/>
          <w:b/>
          <w:sz w:val="24"/>
          <w:lang w:val="pt-BR" w:eastAsia="ko-KR"/>
        </w:rPr>
        <w:lastRenderedPageBreak/>
        <w:t>Contexto</w:t>
      </w:r>
    </w:p>
    <w:p w14:paraId="5DEFBE6C" w14:textId="25ECB157" w:rsidR="007D75A7" w:rsidRPr="0058210D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Arial Unicode MS" w:hAnsi="Times New Roman"/>
          <w:bCs/>
          <w:sz w:val="24"/>
          <w:lang w:val="pt-BR" w:eastAsia="ko-KR"/>
        </w:rPr>
      </w:pPr>
    </w:p>
    <w:p w14:paraId="516918F7" w14:textId="70EF1A18" w:rsidR="007D75A7" w:rsidRPr="007D75A7" w:rsidRDefault="007D75A7" w:rsidP="007D75A7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eastAsia="Batang" w:hAnsi="Times New Roman"/>
          <w:i/>
          <w:sz w:val="24"/>
          <w:lang w:val="pt-BR" w:eastAsia="ko-KR"/>
        </w:rPr>
      </w:pPr>
      <w:r w:rsidRPr="007D75A7">
        <w:rPr>
          <w:rFonts w:ascii="Times New Roman" w:eastAsia="Batang" w:hAnsi="Times New Roman"/>
          <w:sz w:val="24"/>
          <w:lang w:val="pt-BR" w:eastAsia="ko-KR"/>
        </w:rPr>
        <w:t>1.</w:t>
      </w:r>
      <w:r w:rsidRPr="007D75A7">
        <w:rPr>
          <w:rFonts w:ascii="Times New Roman" w:eastAsia="Batang" w:hAnsi="Times New Roman"/>
          <w:sz w:val="24"/>
          <w:lang w:val="pt-BR" w:eastAsia="ko-KR"/>
        </w:rPr>
        <w:tab/>
        <w:t xml:space="preserve">Governos podem impor tributos sobre entidades. A questão apresentada nesta Interpretação se refere </w:t>
      </w:r>
      <w:proofErr w:type="spellStart"/>
      <w:r w:rsidRPr="007D75A7">
        <w:rPr>
          <w:rFonts w:ascii="Times New Roman" w:eastAsia="Batang" w:hAnsi="Times New Roman"/>
          <w:sz w:val="24"/>
          <w:lang w:val="pt-BR" w:eastAsia="ko-KR"/>
        </w:rPr>
        <w:t>a</w:t>
      </w:r>
      <w:proofErr w:type="spellEnd"/>
      <w:r w:rsidRPr="007D75A7">
        <w:rPr>
          <w:rFonts w:ascii="Times New Roman" w:eastAsia="Batang" w:hAnsi="Times New Roman"/>
          <w:sz w:val="24"/>
          <w:lang w:val="pt-BR" w:eastAsia="ko-KR"/>
        </w:rPr>
        <w:t xml:space="preserve"> quando reconhecer uma obrigação de pagar tributo que é contabilizada de acordo com o Pronunciamento Técnico CPC 25 – Provisões, Passivos Contingentes e Ativos Contingentes.</w:t>
      </w:r>
    </w:p>
    <w:p w14:paraId="47EF8C81" w14:textId="77777777" w:rsidR="007D75A7" w:rsidRPr="0058210D" w:rsidRDefault="007D75A7" w:rsidP="007D75A7">
      <w:pPr>
        <w:tabs>
          <w:tab w:val="left" w:pos="567"/>
        </w:tabs>
        <w:autoSpaceDE w:val="0"/>
        <w:autoSpaceDN w:val="0"/>
        <w:adjustRightInd w:val="0"/>
        <w:spacing w:before="0" w:after="0"/>
        <w:ind w:left="567" w:hanging="567"/>
        <w:rPr>
          <w:rFonts w:ascii="Times New Roman" w:eastAsia="Arial Unicode MS" w:hAnsi="Times New Roman"/>
          <w:bCs/>
          <w:sz w:val="24"/>
          <w:lang w:val="pt-BR" w:eastAsia="ko-KR"/>
        </w:rPr>
      </w:pPr>
    </w:p>
    <w:p w14:paraId="4BEE035C" w14:textId="1FC90DEC" w:rsidR="007D75A7" w:rsidRPr="007D75A7" w:rsidRDefault="007D75A7" w:rsidP="007D75A7">
      <w:pPr>
        <w:tabs>
          <w:tab w:val="left" w:pos="567"/>
        </w:tabs>
        <w:autoSpaceDE w:val="0"/>
        <w:autoSpaceDN w:val="0"/>
        <w:adjustRightInd w:val="0"/>
        <w:spacing w:before="0" w:after="0"/>
        <w:ind w:left="567" w:hanging="567"/>
        <w:rPr>
          <w:rFonts w:ascii="Times New Roman" w:hAnsi="Times New Roman"/>
          <w:b/>
          <w:sz w:val="24"/>
          <w:lang w:val="pt-BR" w:eastAsia="ko-KR"/>
        </w:rPr>
      </w:pPr>
      <w:r w:rsidRPr="007D75A7">
        <w:rPr>
          <w:rFonts w:ascii="Times New Roman" w:hAnsi="Times New Roman"/>
          <w:b/>
          <w:sz w:val="24"/>
          <w:lang w:val="pt-BR" w:eastAsia="ko-KR"/>
        </w:rPr>
        <w:t>Alcance</w:t>
      </w:r>
    </w:p>
    <w:p w14:paraId="0503B9BE" w14:textId="0859C45D" w:rsidR="007D75A7" w:rsidRPr="0058210D" w:rsidRDefault="007D75A7" w:rsidP="007D75A7">
      <w:pPr>
        <w:tabs>
          <w:tab w:val="left" w:pos="567"/>
        </w:tabs>
        <w:autoSpaceDE w:val="0"/>
        <w:autoSpaceDN w:val="0"/>
        <w:adjustRightInd w:val="0"/>
        <w:spacing w:before="0" w:after="0"/>
        <w:ind w:left="567" w:hanging="567"/>
        <w:rPr>
          <w:rFonts w:ascii="Times New Roman" w:eastAsia="Arial Unicode MS" w:hAnsi="Times New Roman"/>
          <w:bCs/>
          <w:sz w:val="24"/>
          <w:lang w:val="pt-BR" w:eastAsia="ko-KR"/>
        </w:rPr>
      </w:pPr>
    </w:p>
    <w:p w14:paraId="7AF94EEA" w14:textId="1CF42A70" w:rsidR="007D75A7" w:rsidRPr="007D75A7" w:rsidRDefault="007D75A7" w:rsidP="007D75A7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2.</w:t>
      </w:r>
      <w:r w:rsidRPr="007D75A7">
        <w:rPr>
          <w:rFonts w:ascii="Times New Roman" w:hAnsi="Times New Roman"/>
          <w:sz w:val="24"/>
          <w:lang w:val="pt-BR" w:eastAsia="ko-KR"/>
        </w:rPr>
        <w:tab/>
        <w:t xml:space="preserve">Esta Interpretação trata da contabilização de obrigação de pagar um tributo se essa obrigação estiver no alcance do </w:t>
      </w:r>
      <w:r w:rsidRPr="007D75A7">
        <w:rPr>
          <w:rFonts w:ascii="Times New Roman" w:eastAsia="Batang" w:hAnsi="Times New Roman"/>
          <w:sz w:val="24"/>
          <w:lang w:val="pt-BR" w:eastAsia="ko-KR"/>
        </w:rPr>
        <w:t xml:space="preserve">Pronunciamento Técnico </w:t>
      </w:r>
      <w:r w:rsidRPr="007D75A7">
        <w:rPr>
          <w:rFonts w:ascii="Times New Roman" w:hAnsi="Times New Roman"/>
          <w:sz w:val="24"/>
          <w:lang w:val="pt-BR" w:eastAsia="ko-KR"/>
        </w:rPr>
        <w:t>CPC 25.</w:t>
      </w:r>
      <w:r w:rsidR="004F2F86" w:rsidRPr="007D75A7">
        <w:rPr>
          <w:rFonts w:ascii="Times New Roman" w:hAnsi="Times New Roman"/>
          <w:sz w:val="24"/>
          <w:lang w:val="pt-BR" w:eastAsia="ko-KR"/>
        </w:rPr>
        <w:t xml:space="preserve"> </w:t>
      </w:r>
      <w:r w:rsidRPr="007D75A7">
        <w:rPr>
          <w:rFonts w:ascii="Times New Roman" w:hAnsi="Times New Roman"/>
          <w:sz w:val="24"/>
          <w:lang w:val="pt-BR" w:eastAsia="ko-KR"/>
        </w:rPr>
        <w:t>Ela trata também da contabilização de obrigação de pagar tributo cuja época e valor sejam certos.</w:t>
      </w:r>
    </w:p>
    <w:p w14:paraId="49555D3F" w14:textId="77777777" w:rsidR="007D75A7" w:rsidRPr="007D75A7" w:rsidRDefault="007D75A7" w:rsidP="007D75A7">
      <w:pPr>
        <w:tabs>
          <w:tab w:val="left" w:pos="851"/>
        </w:tabs>
        <w:autoSpaceDE w:val="0"/>
        <w:autoSpaceDN w:val="0"/>
        <w:adjustRightInd w:val="0"/>
        <w:spacing w:before="0" w:after="0"/>
        <w:ind w:left="851" w:hanging="851"/>
        <w:rPr>
          <w:rFonts w:ascii="Times New Roman" w:eastAsia="Batang" w:hAnsi="Times New Roman"/>
          <w:sz w:val="24"/>
          <w:lang w:val="pt-BR" w:eastAsia="en-US"/>
        </w:rPr>
      </w:pPr>
    </w:p>
    <w:p w14:paraId="6AE705A3" w14:textId="4AA9764B" w:rsidR="007D75A7" w:rsidRPr="007D75A7" w:rsidRDefault="007D75A7" w:rsidP="007D75A7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3.</w:t>
      </w:r>
      <w:r w:rsidRPr="007D75A7">
        <w:rPr>
          <w:rFonts w:ascii="Times New Roman" w:hAnsi="Times New Roman"/>
          <w:sz w:val="24"/>
          <w:lang w:val="pt-BR" w:eastAsia="ko-KR"/>
        </w:rPr>
        <w:tab/>
        <w:t>Esta Interpretação não trata da contabilização dos custos que resultam do reconhecimento de obrigação de pagar tributo. As entidades devem aplicar outros pronunciamentos contábeis para decidir se o reconhecimento de obrigação de pagar um tributo dá origem a um ativo ou a uma despesa.</w:t>
      </w:r>
    </w:p>
    <w:p w14:paraId="3BD0308E" w14:textId="77777777" w:rsidR="007D75A7" w:rsidRPr="007D75A7" w:rsidRDefault="007D75A7" w:rsidP="007D75A7">
      <w:pPr>
        <w:tabs>
          <w:tab w:val="left" w:pos="851"/>
        </w:tabs>
        <w:autoSpaceDE w:val="0"/>
        <w:autoSpaceDN w:val="0"/>
        <w:adjustRightInd w:val="0"/>
        <w:spacing w:before="0" w:after="0"/>
        <w:ind w:left="851" w:hanging="851"/>
        <w:rPr>
          <w:rFonts w:ascii="Times New Roman" w:eastAsia="Batang" w:hAnsi="Times New Roman"/>
          <w:sz w:val="24"/>
          <w:lang w:val="pt-BR" w:eastAsia="en-US"/>
        </w:rPr>
      </w:pPr>
    </w:p>
    <w:p w14:paraId="3CE3989E" w14:textId="2C546406" w:rsidR="007D75A7" w:rsidRPr="007D75A7" w:rsidRDefault="007D75A7" w:rsidP="007D75A7">
      <w:pPr>
        <w:autoSpaceDE w:val="0"/>
        <w:autoSpaceDN w:val="0"/>
        <w:adjustRightInd w:val="0"/>
        <w:spacing w:before="0"/>
        <w:ind w:left="567" w:hanging="567"/>
        <w:rPr>
          <w:rFonts w:ascii="Times New Roman" w:hAnsi="Times New Roman"/>
          <w:sz w:val="24"/>
          <w:lang w:val="pt-BR" w:eastAsia="ko-KR"/>
        </w:rPr>
      </w:pPr>
      <w:proofErr w:type="gramStart"/>
      <w:r w:rsidRPr="007D75A7">
        <w:rPr>
          <w:rFonts w:ascii="Times New Roman" w:hAnsi="Times New Roman"/>
          <w:sz w:val="24"/>
          <w:lang w:val="pt-BR" w:eastAsia="ko-KR"/>
        </w:rPr>
        <w:t>4.</w:t>
      </w:r>
      <w:r w:rsidRPr="007D75A7">
        <w:rPr>
          <w:rFonts w:ascii="Times New Roman" w:hAnsi="Times New Roman"/>
          <w:sz w:val="24"/>
          <w:lang w:val="pt-BR" w:eastAsia="ko-KR"/>
        </w:rPr>
        <w:tab/>
        <w:t>Para</w:t>
      </w:r>
      <w:proofErr w:type="gramEnd"/>
      <w:r w:rsidRPr="007D75A7">
        <w:rPr>
          <w:rFonts w:ascii="Times New Roman" w:hAnsi="Times New Roman"/>
          <w:sz w:val="24"/>
          <w:lang w:val="pt-BR" w:eastAsia="ko-KR"/>
        </w:rPr>
        <w:t xml:space="preserve"> os fins desta Interpretação, tributo é um fluxo de saída de recursos que incorpora benefícios econômicos que esteja sendo imposto por governos sobre entidades de acordo com a legislação (ou seja, leis e/ou regulamentos), exceto:</w:t>
      </w:r>
    </w:p>
    <w:p w14:paraId="0262C7DC" w14:textId="4A839E97" w:rsidR="007D75A7" w:rsidRPr="007D75A7" w:rsidRDefault="007D75A7" w:rsidP="007D75A7">
      <w:pPr>
        <w:autoSpaceDE w:val="0"/>
        <w:autoSpaceDN w:val="0"/>
        <w:adjustRightInd w:val="0"/>
        <w:spacing w:before="0"/>
        <w:ind w:left="993" w:hanging="426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(a)</w:t>
      </w:r>
      <w:r w:rsidRPr="007D75A7">
        <w:rPr>
          <w:rFonts w:ascii="Times New Roman" w:hAnsi="Times New Roman"/>
          <w:sz w:val="24"/>
          <w:lang w:val="pt-BR" w:eastAsia="ko-KR"/>
        </w:rPr>
        <w:tab/>
        <w:t>os fluxos de saída de recursos que estejam dentro do alcance de outros pronunciamentos contábeis (como, por exemplo, impostos sobre a renda que estejam no alcance do Pronunciamento Técnico CPC 32 –</w:t>
      </w:r>
      <w:r w:rsidRPr="007D75A7">
        <w:rPr>
          <w:rFonts w:ascii="Times New Roman" w:hAnsi="Times New Roman"/>
          <w:i/>
          <w:sz w:val="24"/>
          <w:lang w:val="pt-BR" w:eastAsia="ko-KR"/>
        </w:rPr>
        <w:t xml:space="preserve"> </w:t>
      </w:r>
      <w:r w:rsidRPr="007D75A7">
        <w:rPr>
          <w:rFonts w:ascii="Times New Roman" w:hAnsi="Times New Roman"/>
          <w:sz w:val="24"/>
          <w:lang w:val="pt-BR" w:eastAsia="ko-KR"/>
        </w:rPr>
        <w:t>Tributos sobre o Lucro); e</w:t>
      </w:r>
    </w:p>
    <w:p w14:paraId="2299E9F6" w14:textId="74905EE5" w:rsidR="007D75A7" w:rsidRPr="007D75A7" w:rsidRDefault="007D75A7" w:rsidP="007D75A7">
      <w:pPr>
        <w:autoSpaceDE w:val="0"/>
        <w:autoSpaceDN w:val="0"/>
        <w:adjustRightInd w:val="0"/>
        <w:spacing w:before="0"/>
        <w:ind w:left="993" w:hanging="426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(b)</w:t>
      </w:r>
      <w:r w:rsidRPr="007D75A7">
        <w:rPr>
          <w:rFonts w:ascii="Times New Roman" w:hAnsi="Times New Roman"/>
          <w:sz w:val="24"/>
          <w:lang w:val="pt-BR" w:eastAsia="ko-KR"/>
        </w:rPr>
        <w:tab/>
        <w:t>multas ou outras penalidades que sejam impostas por violação da legislação.</w:t>
      </w:r>
    </w:p>
    <w:p w14:paraId="05B14E33" w14:textId="0B8687E5" w:rsidR="007D75A7" w:rsidRPr="007D75A7" w:rsidRDefault="007D75A7" w:rsidP="007D75A7">
      <w:pPr>
        <w:autoSpaceDE w:val="0"/>
        <w:autoSpaceDN w:val="0"/>
        <w:adjustRightInd w:val="0"/>
        <w:spacing w:before="0" w:after="0"/>
        <w:ind w:left="567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“Governo”</w:t>
      </w:r>
      <w:r w:rsidRPr="007D75A7">
        <w:rPr>
          <w:rFonts w:ascii="Times New Roman" w:hAnsi="Times New Roman"/>
          <w:i/>
          <w:sz w:val="24"/>
          <w:lang w:val="pt-BR" w:eastAsia="ko-KR"/>
        </w:rPr>
        <w:t xml:space="preserve"> </w:t>
      </w:r>
      <w:r w:rsidRPr="007D75A7">
        <w:rPr>
          <w:rFonts w:ascii="Times New Roman" w:hAnsi="Times New Roman"/>
          <w:sz w:val="24"/>
          <w:lang w:val="pt-BR" w:eastAsia="ko-KR"/>
        </w:rPr>
        <w:t>refere-se a governo, agências governamentais e órgãos similares, sejam eles locais, nacionais ou internacionais.</w:t>
      </w:r>
    </w:p>
    <w:p w14:paraId="7E11BE1C" w14:textId="77777777" w:rsidR="007D75A7" w:rsidRPr="007D75A7" w:rsidRDefault="007D75A7" w:rsidP="007D75A7">
      <w:pPr>
        <w:tabs>
          <w:tab w:val="left" w:pos="851"/>
        </w:tabs>
        <w:autoSpaceDE w:val="0"/>
        <w:autoSpaceDN w:val="0"/>
        <w:adjustRightInd w:val="0"/>
        <w:spacing w:before="0" w:after="0"/>
        <w:ind w:left="851" w:hanging="851"/>
        <w:rPr>
          <w:rFonts w:ascii="Times New Roman" w:eastAsia="Batang" w:hAnsi="Times New Roman"/>
          <w:sz w:val="24"/>
          <w:lang w:val="pt-BR" w:eastAsia="en-US"/>
        </w:rPr>
      </w:pPr>
    </w:p>
    <w:p w14:paraId="09B7323C" w14:textId="48524ACF" w:rsidR="007D75A7" w:rsidRPr="007D75A7" w:rsidRDefault="007D75A7" w:rsidP="007D75A7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5.</w:t>
      </w:r>
      <w:r w:rsidRPr="007D75A7">
        <w:rPr>
          <w:rFonts w:ascii="Times New Roman" w:hAnsi="Times New Roman"/>
          <w:sz w:val="24"/>
          <w:lang w:val="pt-BR" w:eastAsia="ko-KR"/>
        </w:rPr>
        <w:tab/>
        <w:t>O pagamento efetuado pela entidade para a aquisição de ativo ou prestação de serviços em virtude de acordo contratual com o governo não atende à definição de tributo.</w:t>
      </w:r>
    </w:p>
    <w:p w14:paraId="540ED73A" w14:textId="77777777" w:rsidR="007D75A7" w:rsidRPr="007D75A7" w:rsidRDefault="007D75A7" w:rsidP="007D75A7">
      <w:pPr>
        <w:tabs>
          <w:tab w:val="left" w:pos="851"/>
        </w:tabs>
        <w:autoSpaceDE w:val="0"/>
        <w:autoSpaceDN w:val="0"/>
        <w:adjustRightInd w:val="0"/>
        <w:spacing w:before="0" w:after="0"/>
        <w:ind w:left="851" w:hanging="851"/>
        <w:rPr>
          <w:rFonts w:ascii="Times New Roman" w:eastAsia="Batang" w:hAnsi="Times New Roman"/>
          <w:sz w:val="24"/>
          <w:lang w:val="pt-BR" w:eastAsia="en-US"/>
        </w:rPr>
      </w:pPr>
    </w:p>
    <w:p w14:paraId="5863A515" w14:textId="3F308D75" w:rsidR="007D75A7" w:rsidRPr="007D75A7" w:rsidRDefault="007D75A7" w:rsidP="007D75A7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6.</w:t>
      </w:r>
      <w:r w:rsidRPr="007D75A7">
        <w:rPr>
          <w:rFonts w:ascii="Times New Roman" w:hAnsi="Times New Roman"/>
          <w:sz w:val="24"/>
          <w:lang w:val="pt-BR" w:eastAsia="ko-KR"/>
        </w:rPr>
        <w:tab/>
        <w:t>A entidade não está obrigada a aplicar esta Interpretação a passivos que resultem de sistemas de comércio de licenças de emissão de gases de efeito estufa.</w:t>
      </w:r>
    </w:p>
    <w:p w14:paraId="01C10EBE" w14:textId="77777777" w:rsidR="007D75A7" w:rsidRPr="004D1E08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Arial Unicode MS" w:hAnsi="Times New Roman"/>
          <w:sz w:val="24"/>
          <w:lang w:val="pt-BR" w:eastAsia="en-US"/>
        </w:rPr>
      </w:pPr>
    </w:p>
    <w:p w14:paraId="665F4904" w14:textId="44AF8FF4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4"/>
          <w:lang w:val="pt-BR" w:eastAsia="ko-KR"/>
        </w:rPr>
      </w:pPr>
      <w:r w:rsidRPr="007D75A7">
        <w:rPr>
          <w:rFonts w:ascii="Times New Roman" w:hAnsi="Times New Roman"/>
          <w:b/>
          <w:sz w:val="24"/>
          <w:lang w:val="pt-BR" w:eastAsia="ko-KR"/>
        </w:rPr>
        <w:t>Questões</w:t>
      </w:r>
    </w:p>
    <w:p w14:paraId="70810EEC" w14:textId="1E32644D" w:rsidR="007D75A7" w:rsidRPr="004D1E08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Arial Unicode MS" w:hAnsi="Times New Roman"/>
          <w:bCs/>
          <w:sz w:val="24"/>
          <w:lang w:val="pt-BR" w:eastAsia="ko-KR"/>
        </w:rPr>
      </w:pPr>
    </w:p>
    <w:p w14:paraId="222656DE" w14:textId="47362F78" w:rsidR="007D75A7" w:rsidRPr="007D75A7" w:rsidRDefault="007D75A7" w:rsidP="007D75A7">
      <w:pPr>
        <w:autoSpaceDE w:val="0"/>
        <w:autoSpaceDN w:val="0"/>
        <w:adjustRightInd w:val="0"/>
        <w:spacing w:before="0"/>
        <w:ind w:left="567" w:hanging="567"/>
        <w:rPr>
          <w:rFonts w:ascii="Times New Roman" w:hAnsi="Times New Roman"/>
          <w:sz w:val="24"/>
          <w:lang w:val="pt-BR" w:eastAsia="ko-KR"/>
        </w:rPr>
      </w:pPr>
      <w:proofErr w:type="gramStart"/>
      <w:r w:rsidRPr="007D75A7">
        <w:rPr>
          <w:rFonts w:ascii="Times New Roman" w:hAnsi="Times New Roman"/>
          <w:sz w:val="24"/>
          <w:lang w:val="pt-BR" w:eastAsia="ko-KR"/>
        </w:rPr>
        <w:t>7.</w:t>
      </w:r>
      <w:r w:rsidRPr="007D75A7">
        <w:rPr>
          <w:rFonts w:ascii="Times New Roman" w:hAnsi="Times New Roman"/>
          <w:sz w:val="24"/>
          <w:lang w:val="pt-BR" w:eastAsia="ko-KR"/>
        </w:rPr>
        <w:tab/>
        <w:t>Para</w:t>
      </w:r>
      <w:proofErr w:type="gramEnd"/>
      <w:r w:rsidRPr="007D75A7">
        <w:rPr>
          <w:rFonts w:ascii="Times New Roman" w:hAnsi="Times New Roman"/>
          <w:sz w:val="24"/>
          <w:lang w:val="pt-BR" w:eastAsia="ko-KR"/>
        </w:rPr>
        <w:t xml:space="preserve"> esclarecer a contabilização da obrigação de pagar um tributo, esta Interpretação trata das seguintes questões:</w:t>
      </w:r>
    </w:p>
    <w:p w14:paraId="33DF421D" w14:textId="457D8D33" w:rsidR="007D75A7" w:rsidRPr="007D75A7" w:rsidRDefault="007D75A7" w:rsidP="007D75A7">
      <w:pPr>
        <w:autoSpaceDE w:val="0"/>
        <w:autoSpaceDN w:val="0"/>
        <w:adjustRightInd w:val="0"/>
        <w:spacing w:before="0"/>
        <w:ind w:left="993" w:hanging="426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(a)</w:t>
      </w:r>
      <w:r w:rsidRPr="007D75A7">
        <w:rPr>
          <w:rFonts w:ascii="Times New Roman" w:hAnsi="Times New Roman"/>
          <w:sz w:val="24"/>
          <w:lang w:val="pt-BR" w:eastAsia="ko-KR"/>
        </w:rPr>
        <w:tab/>
        <w:t>qual é o fato gerador que dá origem ao reconhecimento de obrigação de pagar um tributo?</w:t>
      </w:r>
    </w:p>
    <w:p w14:paraId="16F8269C" w14:textId="6A58C17D" w:rsidR="007D75A7" w:rsidRPr="007D75A7" w:rsidRDefault="007D75A7" w:rsidP="007D75A7">
      <w:pPr>
        <w:autoSpaceDE w:val="0"/>
        <w:autoSpaceDN w:val="0"/>
        <w:adjustRightInd w:val="0"/>
        <w:spacing w:before="0"/>
        <w:ind w:left="993" w:hanging="426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(b)</w:t>
      </w:r>
      <w:r w:rsidRPr="007D75A7">
        <w:rPr>
          <w:rFonts w:ascii="Times New Roman" w:hAnsi="Times New Roman"/>
          <w:sz w:val="24"/>
          <w:lang w:val="pt-BR" w:eastAsia="ko-KR"/>
        </w:rPr>
        <w:tab/>
        <w:t>a compulsão econômica no sentido de continuar a operar em período futuro cria uma obrigação presumida de pagar um tributo que será gerada pela operação nesse período futuro?</w:t>
      </w:r>
    </w:p>
    <w:p w14:paraId="48EDDA81" w14:textId="0700A1EA" w:rsidR="007D75A7" w:rsidRPr="007D75A7" w:rsidRDefault="007D75A7" w:rsidP="007D75A7">
      <w:pPr>
        <w:autoSpaceDE w:val="0"/>
        <w:autoSpaceDN w:val="0"/>
        <w:adjustRightInd w:val="0"/>
        <w:spacing w:before="0"/>
        <w:ind w:left="993" w:hanging="426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(c)</w:t>
      </w:r>
      <w:r w:rsidRPr="007D75A7">
        <w:rPr>
          <w:rFonts w:ascii="Times New Roman" w:hAnsi="Times New Roman"/>
          <w:sz w:val="24"/>
          <w:lang w:val="pt-BR" w:eastAsia="ko-KR"/>
        </w:rPr>
        <w:tab/>
        <w:t>a presunção de continuidade operacional implica em que a entidade tem uma obrigação presente de pagar um tributo que será gerado pela operação em período futuro?</w:t>
      </w:r>
    </w:p>
    <w:p w14:paraId="67E46AAA" w14:textId="2F3D0B67" w:rsidR="007D75A7" w:rsidRPr="007D75A7" w:rsidRDefault="007D75A7" w:rsidP="007D75A7">
      <w:pPr>
        <w:autoSpaceDE w:val="0"/>
        <w:autoSpaceDN w:val="0"/>
        <w:adjustRightInd w:val="0"/>
        <w:spacing w:before="0"/>
        <w:ind w:left="993" w:hanging="426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lastRenderedPageBreak/>
        <w:t>(d)</w:t>
      </w:r>
      <w:r w:rsidRPr="007D75A7">
        <w:rPr>
          <w:rFonts w:ascii="Times New Roman" w:hAnsi="Times New Roman"/>
          <w:sz w:val="24"/>
          <w:lang w:val="pt-BR" w:eastAsia="ko-KR"/>
        </w:rPr>
        <w:tab/>
        <w:t>o reconhecimento de obrigação de pagar um tributo surge em um ponto no tempo ou, em algumas circunstâncias, surge progressivamente ao longo do tempo?</w:t>
      </w:r>
    </w:p>
    <w:p w14:paraId="40DCF9DD" w14:textId="74183DB3" w:rsidR="007D75A7" w:rsidRPr="007D75A7" w:rsidRDefault="007D75A7" w:rsidP="007D75A7">
      <w:pPr>
        <w:autoSpaceDE w:val="0"/>
        <w:autoSpaceDN w:val="0"/>
        <w:adjustRightInd w:val="0"/>
        <w:spacing w:before="0"/>
        <w:ind w:left="993" w:hanging="426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(e)</w:t>
      </w:r>
      <w:r w:rsidRPr="007D75A7">
        <w:rPr>
          <w:rFonts w:ascii="Times New Roman" w:hAnsi="Times New Roman"/>
          <w:sz w:val="24"/>
          <w:lang w:val="pt-BR" w:eastAsia="ko-KR"/>
        </w:rPr>
        <w:tab/>
        <w:t>qual é o fato gerador que dá origem ao reconhecimento de obrigação de pagar um tributo que é gerado se um limite mínimo for atingido?</w:t>
      </w:r>
    </w:p>
    <w:p w14:paraId="786A61A8" w14:textId="39C16295" w:rsidR="007D75A7" w:rsidRPr="007D75A7" w:rsidRDefault="007D75A7" w:rsidP="007D75A7">
      <w:pPr>
        <w:autoSpaceDE w:val="0"/>
        <w:autoSpaceDN w:val="0"/>
        <w:adjustRightInd w:val="0"/>
        <w:spacing w:before="0" w:after="0"/>
        <w:ind w:left="993" w:hanging="426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(f)</w:t>
      </w:r>
      <w:r w:rsidRPr="007D75A7">
        <w:rPr>
          <w:rFonts w:ascii="Times New Roman" w:hAnsi="Times New Roman"/>
          <w:sz w:val="24"/>
          <w:lang w:val="pt-BR" w:eastAsia="ko-KR"/>
        </w:rPr>
        <w:tab/>
        <w:t>os princípios para o reconhecimento de obrigação de pagar um tributo nas demonstrações contábeis anuais e em demonstrações intermediárias são os mesmos?</w:t>
      </w:r>
    </w:p>
    <w:p w14:paraId="24316A16" w14:textId="77777777" w:rsidR="007D75A7" w:rsidRPr="002F1CE1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Arial Unicode MS" w:hAnsi="Times New Roman"/>
          <w:sz w:val="24"/>
          <w:lang w:val="pt-BR" w:eastAsia="en-US"/>
        </w:rPr>
      </w:pPr>
    </w:p>
    <w:p w14:paraId="16BF91CE" w14:textId="4AEFB396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4"/>
          <w:lang w:val="pt-BR" w:eastAsia="ko-KR"/>
        </w:rPr>
      </w:pPr>
      <w:r w:rsidRPr="007D75A7">
        <w:rPr>
          <w:rFonts w:ascii="Times New Roman" w:hAnsi="Times New Roman"/>
          <w:b/>
          <w:sz w:val="24"/>
          <w:lang w:val="pt-BR" w:eastAsia="ko-KR"/>
        </w:rPr>
        <w:t>Consenso</w:t>
      </w:r>
    </w:p>
    <w:p w14:paraId="4E494E12" w14:textId="68C969F1" w:rsidR="007D75A7" w:rsidRPr="002F1CE1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Arial Unicode MS" w:hAnsi="Times New Roman"/>
          <w:bCs/>
          <w:sz w:val="24"/>
          <w:lang w:val="pt-BR" w:eastAsia="ko-KR"/>
        </w:rPr>
      </w:pPr>
    </w:p>
    <w:p w14:paraId="6D44F841" w14:textId="0C8A0ED5" w:rsidR="007D75A7" w:rsidRPr="007D75A7" w:rsidRDefault="007D75A7" w:rsidP="007D75A7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8.</w:t>
      </w:r>
      <w:r w:rsidRPr="007D75A7">
        <w:rPr>
          <w:rFonts w:ascii="Times New Roman" w:hAnsi="Times New Roman"/>
          <w:sz w:val="24"/>
          <w:lang w:val="pt-BR" w:eastAsia="ko-KR"/>
        </w:rPr>
        <w:tab/>
        <w:t>O fato gerador que dá origem à obrigação de pagar um tributo é a atividade que gera o pagamento do tributo, conforme identificada pela legislação. Por exemplo, se a atividade que gera o pagamento do tributo for a geração de receita no período atual e o cálculo desse tributo se basear na receita que foi gerada em período anterior, o fato gerador para esse tributo é a geração de receita no período atual. A geração de receita no período anterior é necessária, mas não suficiente, para criar uma obrigação presente.</w:t>
      </w:r>
    </w:p>
    <w:p w14:paraId="09F4CF27" w14:textId="77777777" w:rsidR="007D75A7" w:rsidRPr="007D75A7" w:rsidRDefault="007D75A7" w:rsidP="007D75A7">
      <w:pPr>
        <w:tabs>
          <w:tab w:val="left" w:pos="851"/>
        </w:tabs>
        <w:autoSpaceDE w:val="0"/>
        <w:autoSpaceDN w:val="0"/>
        <w:adjustRightInd w:val="0"/>
        <w:spacing w:before="0" w:after="0"/>
        <w:ind w:left="851" w:hanging="851"/>
        <w:rPr>
          <w:rFonts w:ascii="Times New Roman" w:eastAsia="Batang" w:hAnsi="Times New Roman"/>
          <w:sz w:val="24"/>
          <w:lang w:val="pt-BR" w:eastAsia="en-US"/>
        </w:rPr>
      </w:pPr>
    </w:p>
    <w:p w14:paraId="0FBBB043" w14:textId="2EF1D70D" w:rsidR="007D75A7" w:rsidRPr="007D75A7" w:rsidRDefault="007D75A7" w:rsidP="007D75A7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9.</w:t>
      </w:r>
      <w:r w:rsidRPr="007D75A7">
        <w:rPr>
          <w:rFonts w:ascii="Times New Roman" w:hAnsi="Times New Roman"/>
          <w:sz w:val="24"/>
          <w:lang w:val="pt-BR" w:eastAsia="ko-KR"/>
        </w:rPr>
        <w:tab/>
        <w:t>A entidade não possui uma obrigação presumida de pagar um tributo que será gerado pela operação em período futuro como resultado de a entidade ser economicamente obrigada a continuar a operar nesse período futuro.</w:t>
      </w:r>
    </w:p>
    <w:p w14:paraId="2E65AA72" w14:textId="77777777" w:rsidR="007D75A7" w:rsidRPr="007D75A7" w:rsidRDefault="007D75A7" w:rsidP="007D75A7">
      <w:pPr>
        <w:tabs>
          <w:tab w:val="left" w:pos="851"/>
        </w:tabs>
        <w:autoSpaceDE w:val="0"/>
        <w:autoSpaceDN w:val="0"/>
        <w:adjustRightInd w:val="0"/>
        <w:spacing w:before="0" w:after="0"/>
        <w:ind w:left="851" w:hanging="851"/>
        <w:rPr>
          <w:rFonts w:ascii="Times New Roman" w:eastAsia="Batang" w:hAnsi="Times New Roman"/>
          <w:sz w:val="24"/>
          <w:lang w:val="pt-BR" w:eastAsia="en-US"/>
        </w:rPr>
      </w:pPr>
    </w:p>
    <w:p w14:paraId="0D48A26C" w14:textId="5E8EDA3C" w:rsidR="007D75A7" w:rsidRPr="007D75A7" w:rsidRDefault="007D75A7" w:rsidP="007D75A7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10.</w:t>
      </w:r>
      <w:r w:rsidRPr="007D75A7">
        <w:rPr>
          <w:rFonts w:ascii="Times New Roman" w:hAnsi="Times New Roman"/>
          <w:sz w:val="24"/>
          <w:lang w:val="pt-BR" w:eastAsia="ko-KR"/>
        </w:rPr>
        <w:tab/>
        <w:t>A elaboração das demonstrações contábeis sob a presunção de continuidade operacional não implica em que a entidade tenha obrigação presente de pagar um tributo que será gerado pela operação em período futuro.</w:t>
      </w:r>
    </w:p>
    <w:p w14:paraId="368BB5E4" w14:textId="77777777" w:rsidR="007D75A7" w:rsidRPr="007D75A7" w:rsidRDefault="007D75A7" w:rsidP="007D75A7">
      <w:pPr>
        <w:tabs>
          <w:tab w:val="left" w:pos="851"/>
        </w:tabs>
        <w:autoSpaceDE w:val="0"/>
        <w:autoSpaceDN w:val="0"/>
        <w:adjustRightInd w:val="0"/>
        <w:spacing w:before="0" w:after="0"/>
        <w:ind w:left="851" w:hanging="851"/>
        <w:rPr>
          <w:rFonts w:ascii="Times New Roman" w:eastAsia="Batang" w:hAnsi="Times New Roman"/>
          <w:sz w:val="24"/>
          <w:lang w:val="pt-BR" w:eastAsia="en-US"/>
        </w:rPr>
      </w:pPr>
    </w:p>
    <w:p w14:paraId="28CDCF8F" w14:textId="193524B8" w:rsidR="007D75A7" w:rsidRDefault="007D75A7" w:rsidP="007D75A7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11.</w:t>
      </w:r>
      <w:r w:rsidRPr="007D75A7">
        <w:rPr>
          <w:rFonts w:ascii="Times New Roman" w:hAnsi="Times New Roman"/>
          <w:sz w:val="24"/>
          <w:lang w:val="pt-BR" w:eastAsia="ko-KR"/>
        </w:rPr>
        <w:tab/>
        <w:t>A obrigação de pagar um tributo é reconhecida progressivamente se o fato gerador ocorrer ao longo do período de tempo (ou seja, se a atividade que gerar o pagamento do tributo, conforme identificada pela legislação, ocorrer ao longo do período de tempo). Por exemplo, se o fator gerador for a geração de receita ao longo do período de tempo, a obrigação correspondente é reconhecida à medida que a entidade gera essa receita.</w:t>
      </w:r>
    </w:p>
    <w:p w14:paraId="26CE73F2" w14:textId="77777777" w:rsidR="00E674FC" w:rsidRPr="007D75A7" w:rsidRDefault="00E674FC" w:rsidP="007D75A7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hAnsi="Times New Roman"/>
          <w:sz w:val="24"/>
          <w:lang w:val="pt-BR" w:eastAsia="ko-KR"/>
        </w:rPr>
      </w:pPr>
    </w:p>
    <w:p w14:paraId="783798B3" w14:textId="70267E4B" w:rsidR="007D75A7" w:rsidRPr="007D75A7" w:rsidRDefault="007D75A7" w:rsidP="007D75A7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hAnsi="Times New Roman"/>
          <w:sz w:val="24"/>
          <w:lang w:val="pt-BR" w:eastAsia="ko-KR"/>
        </w:rPr>
      </w:pPr>
      <w:proofErr w:type="gramStart"/>
      <w:r w:rsidRPr="007D75A7">
        <w:rPr>
          <w:rFonts w:ascii="Times New Roman" w:hAnsi="Times New Roman"/>
          <w:sz w:val="24"/>
          <w:lang w:val="pt-BR" w:eastAsia="ko-KR"/>
        </w:rPr>
        <w:t>12.</w:t>
      </w:r>
      <w:r w:rsidRPr="007D75A7">
        <w:rPr>
          <w:rFonts w:ascii="Times New Roman" w:hAnsi="Times New Roman"/>
          <w:sz w:val="24"/>
          <w:lang w:val="pt-BR" w:eastAsia="ko-KR"/>
        </w:rPr>
        <w:tab/>
        <w:t>Se</w:t>
      </w:r>
      <w:proofErr w:type="gramEnd"/>
      <w:r w:rsidRPr="007D75A7">
        <w:rPr>
          <w:rFonts w:ascii="Times New Roman" w:hAnsi="Times New Roman"/>
          <w:sz w:val="24"/>
          <w:lang w:val="pt-BR" w:eastAsia="ko-KR"/>
        </w:rPr>
        <w:t xml:space="preserve"> a obrigação de pagar um tributo for gerada quando um limite mínimo for atingido, a contabilização do passivo que resulta dessa obrigação deve ser consistente com os princípios estabelecidos nos itens 8 a 14 (em particular, os itens 8 e 11). Por exemplo, se o fato gerador for o atingimento de um limite de atividade mínimo (como, por exemplo, uma quantidade mínima de receita ou de vendas geradas ou de itens produzidos), o passivo correspondente é reconhecido quando esse limite de atividade mínimo é atingido.</w:t>
      </w:r>
    </w:p>
    <w:p w14:paraId="07EA0AC9" w14:textId="77777777" w:rsidR="007D75A7" w:rsidRPr="007D75A7" w:rsidRDefault="007D75A7" w:rsidP="007D75A7">
      <w:pPr>
        <w:tabs>
          <w:tab w:val="left" w:pos="851"/>
        </w:tabs>
        <w:autoSpaceDE w:val="0"/>
        <w:autoSpaceDN w:val="0"/>
        <w:adjustRightInd w:val="0"/>
        <w:spacing w:before="0" w:after="0"/>
        <w:ind w:left="851" w:hanging="851"/>
        <w:rPr>
          <w:rFonts w:ascii="Times New Roman" w:eastAsia="Batang" w:hAnsi="Times New Roman"/>
          <w:sz w:val="24"/>
          <w:lang w:val="pt-BR" w:eastAsia="en-US"/>
        </w:rPr>
      </w:pPr>
    </w:p>
    <w:p w14:paraId="38AC68F5" w14:textId="761A3AD8" w:rsidR="007D75A7" w:rsidRPr="007D75A7" w:rsidRDefault="007D75A7" w:rsidP="007D75A7">
      <w:pPr>
        <w:autoSpaceDE w:val="0"/>
        <w:autoSpaceDN w:val="0"/>
        <w:adjustRightInd w:val="0"/>
        <w:spacing w:before="0"/>
        <w:ind w:left="567" w:hanging="567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13.</w:t>
      </w:r>
      <w:r w:rsidRPr="007D75A7">
        <w:rPr>
          <w:rFonts w:ascii="Times New Roman" w:hAnsi="Times New Roman"/>
          <w:sz w:val="24"/>
          <w:lang w:val="pt-BR" w:eastAsia="ko-KR"/>
        </w:rPr>
        <w:tab/>
        <w:t>A entidade deve aplicar na demonstração intermediária os mesmos princípios de reconhecimento que aplica nas demonstrações contábeis anuais. Como resultado, na demonstração intermediária, a obrigação de pagar um tributo:</w:t>
      </w:r>
    </w:p>
    <w:p w14:paraId="494351B9" w14:textId="3C43BD65" w:rsidR="007D75A7" w:rsidRPr="007D75A7" w:rsidRDefault="007D75A7" w:rsidP="007D75A7">
      <w:pPr>
        <w:autoSpaceDE w:val="0"/>
        <w:autoSpaceDN w:val="0"/>
        <w:adjustRightInd w:val="0"/>
        <w:spacing w:before="0"/>
        <w:ind w:left="993" w:hanging="426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(a)</w:t>
      </w:r>
      <w:r w:rsidRPr="007D75A7">
        <w:rPr>
          <w:rFonts w:ascii="Times New Roman" w:hAnsi="Times New Roman"/>
          <w:sz w:val="24"/>
          <w:lang w:val="pt-BR" w:eastAsia="ko-KR"/>
        </w:rPr>
        <w:tab/>
        <w:t>não será reconhecida se não houver nenhuma obrigação presente de pagar o tributo ao final do período da demonstração intermediária; e</w:t>
      </w:r>
    </w:p>
    <w:p w14:paraId="36A3146D" w14:textId="286FF24B" w:rsidR="007D75A7" w:rsidRPr="007D75A7" w:rsidRDefault="007D75A7" w:rsidP="007D75A7">
      <w:pPr>
        <w:autoSpaceDE w:val="0"/>
        <w:autoSpaceDN w:val="0"/>
        <w:adjustRightInd w:val="0"/>
        <w:spacing w:before="0" w:after="0"/>
        <w:ind w:left="993" w:hanging="426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lastRenderedPageBreak/>
        <w:t>(b)</w:t>
      </w:r>
      <w:r w:rsidR="007B50CD" w:rsidRPr="007D75A7">
        <w:rPr>
          <w:rFonts w:ascii="Times New Roman" w:hAnsi="Times New Roman"/>
          <w:sz w:val="24"/>
          <w:lang w:val="pt-BR" w:eastAsia="ko-KR"/>
        </w:rPr>
        <w:t xml:space="preserve"> </w:t>
      </w:r>
      <w:r w:rsidRPr="007D75A7">
        <w:rPr>
          <w:rFonts w:ascii="Times New Roman" w:hAnsi="Times New Roman"/>
          <w:sz w:val="24"/>
          <w:lang w:val="pt-BR" w:eastAsia="ko-KR"/>
        </w:rPr>
        <w:t>será reconhecida se a obrigação presente de pagar o tributo existir ao final do período da demonstração intermediária.</w:t>
      </w:r>
    </w:p>
    <w:p w14:paraId="29537ADB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029CF48F" w14:textId="78EC249E" w:rsidR="007D75A7" w:rsidRPr="007D75A7" w:rsidRDefault="007D75A7" w:rsidP="007D75A7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14.</w:t>
      </w:r>
      <w:r w:rsidRPr="007D75A7">
        <w:rPr>
          <w:rFonts w:ascii="Times New Roman" w:hAnsi="Times New Roman"/>
          <w:sz w:val="24"/>
          <w:lang w:val="pt-BR" w:eastAsia="ko-KR"/>
        </w:rPr>
        <w:tab/>
        <w:t>A entidade deve reconhecer um ativo se tiver pago antecipadamente um tributo, mas ainda não tiver uma obrigação presente de pagar esse tributo.</w:t>
      </w:r>
    </w:p>
    <w:p w14:paraId="5A5ED2FC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ko-KR"/>
        </w:rPr>
      </w:pPr>
    </w:p>
    <w:p w14:paraId="02D100DE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ko-KR"/>
        </w:rPr>
      </w:pPr>
    </w:p>
    <w:p w14:paraId="4B26BE7D" w14:textId="77777777" w:rsidR="00B33240" w:rsidRDefault="00B33240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color w:val="800080"/>
          <w:sz w:val="24"/>
          <w:vertAlign w:val="subscript"/>
          <w:lang w:val="pt-BR" w:eastAsia="ko-KR"/>
        </w:rPr>
      </w:pPr>
      <w:r>
        <w:rPr>
          <w:rFonts w:ascii="Times New Roman" w:hAnsi="Times New Roman"/>
          <w:color w:val="800080"/>
          <w:sz w:val="24"/>
          <w:vertAlign w:val="subscript"/>
          <w:lang w:val="pt-BR" w:eastAsia="ko-KR"/>
        </w:rPr>
        <w:br w:type="page"/>
      </w:r>
    </w:p>
    <w:p w14:paraId="271AFDAC" w14:textId="0DA75880" w:rsidR="007D75A7" w:rsidRPr="003D7783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Arial Unicode MS" w:hAnsi="Times New Roman"/>
          <w:b/>
          <w:sz w:val="24"/>
          <w:lang w:val="pt-BR" w:eastAsia="ko-KR"/>
        </w:rPr>
      </w:pPr>
      <w:r w:rsidRPr="003D7783">
        <w:rPr>
          <w:rFonts w:ascii="Times New Roman" w:hAnsi="Times New Roman"/>
          <w:b/>
          <w:sz w:val="24"/>
          <w:lang w:val="pt-BR" w:eastAsia="ko-KR"/>
        </w:rPr>
        <w:lastRenderedPageBreak/>
        <w:t>Apêndice A –</w:t>
      </w:r>
      <w:r w:rsidR="00507320" w:rsidRPr="003D7783">
        <w:rPr>
          <w:rFonts w:ascii="Times New Roman" w:hAnsi="Times New Roman"/>
          <w:b/>
          <w:sz w:val="24"/>
          <w:lang w:val="pt-BR" w:eastAsia="ko-KR"/>
        </w:rPr>
        <w:t xml:space="preserve"> </w:t>
      </w:r>
      <w:r w:rsidRPr="003D7783">
        <w:rPr>
          <w:rFonts w:ascii="Times New Roman" w:hAnsi="Times New Roman"/>
          <w:b/>
          <w:sz w:val="24"/>
          <w:lang w:val="pt-BR" w:eastAsia="ko-KR"/>
        </w:rPr>
        <w:t>Transição</w:t>
      </w:r>
    </w:p>
    <w:p w14:paraId="51826BBA" w14:textId="77777777" w:rsidR="007D75A7" w:rsidRPr="003D7783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136BB0EA" w14:textId="1E411538" w:rsidR="007D75A7" w:rsidRPr="00507320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i/>
          <w:sz w:val="24"/>
          <w:lang w:val="pt-BR" w:eastAsia="ko-KR"/>
        </w:rPr>
      </w:pPr>
      <w:r w:rsidRPr="00507320">
        <w:rPr>
          <w:rFonts w:ascii="Times New Roman" w:hAnsi="Times New Roman"/>
          <w:i/>
          <w:sz w:val="24"/>
          <w:lang w:val="pt-BR" w:eastAsia="ko-KR"/>
        </w:rPr>
        <w:t>Este apêndice é parte integrante da Interpretação e tem a mesma importância que as demais partes da Interpretação.</w:t>
      </w:r>
    </w:p>
    <w:p w14:paraId="256EBB87" w14:textId="77777777" w:rsidR="007D75A7" w:rsidRPr="00507320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241CFE90" w14:textId="0C80DA77" w:rsidR="007D75A7" w:rsidRPr="00507320" w:rsidRDefault="007D75A7" w:rsidP="007D75A7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hAnsi="Times New Roman"/>
          <w:sz w:val="24"/>
          <w:lang w:val="pt-BR" w:eastAsia="ko-KR"/>
        </w:rPr>
      </w:pPr>
      <w:r w:rsidRPr="003D7783">
        <w:rPr>
          <w:rFonts w:ascii="Times New Roman" w:hAnsi="Times New Roman"/>
          <w:sz w:val="24"/>
          <w:lang w:val="pt-BR" w:eastAsia="ko-KR"/>
        </w:rPr>
        <w:t>A1.</w:t>
      </w:r>
      <w:r w:rsidRPr="003D7783">
        <w:rPr>
          <w:rFonts w:ascii="Times New Roman" w:hAnsi="Times New Roman"/>
          <w:sz w:val="24"/>
          <w:lang w:val="pt-BR" w:eastAsia="ko-KR"/>
        </w:rPr>
        <w:tab/>
      </w:r>
      <w:r w:rsidRPr="00507320">
        <w:rPr>
          <w:rFonts w:ascii="Times New Roman" w:hAnsi="Times New Roman"/>
          <w:sz w:val="24"/>
          <w:lang w:val="pt-BR" w:eastAsia="ko-KR"/>
        </w:rPr>
        <w:t>(Eliminado).</w:t>
      </w:r>
    </w:p>
    <w:p w14:paraId="075EAFF6" w14:textId="77777777" w:rsidR="007D75A7" w:rsidRPr="00507320" w:rsidRDefault="007D75A7" w:rsidP="007D75A7">
      <w:pPr>
        <w:tabs>
          <w:tab w:val="left" w:pos="851"/>
        </w:tabs>
        <w:autoSpaceDE w:val="0"/>
        <w:autoSpaceDN w:val="0"/>
        <w:adjustRightInd w:val="0"/>
        <w:spacing w:before="0" w:after="0"/>
        <w:ind w:left="851" w:hanging="851"/>
        <w:rPr>
          <w:rFonts w:ascii="Times New Roman" w:hAnsi="Times New Roman"/>
          <w:sz w:val="24"/>
          <w:lang w:val="pt-BR" w:eastAsia="ko-KR"/>
        </w:rPr>
      </w:pPr>
    </w:p>
    <w:p w14:paraId="56911515" w14:textId="0EB540C6" w:rsidR="007D75A7" w:rsidRDefault="007D75A7" w:rsidP="007D75A7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hAnsi="Times New Roman"/>
          <w:sz w:val="24"/>
          <w:lang w:val="pt-BR" w:eastAsia="ko-KR"/>
        </w:rPr>
      </w:pPr>
      <w:r w:rsidRPr="00507320">
        <w:rPr>
          <w:rFonts w:ascii="Times New Roman" w:hAnsi="Times New Roman"/>
          <w:sz w:val="24"/>
          <w:lang w:val="pt-BR" w:eastAsia="ko-KR"/>
        </w:rPr>
        <w:t>A2.</w:t>
      </w:r>
      <w:r w:rsidRPr="00507320">
        <w:rPr>
          <w:rFonts w:ascii="Times New Roman" w:hAnsi="Times New Roman"/>
          <w:sz w:val="24"/>
          <w:lang w:val="pt-BR" w:eastAsia="ko-KR"/>
        </w:rPr>
        <w:tab/>
        <w:t>Mudanças nas políticas contábeis resultantes da aplicação inicial desta Interpretação devem ser contabilizadas retrospectivamente de acordo com o Pronunciamento Técnico</w:t>
      </w:r>
      <w:r w:rsidRPr="00507320">
        <w:rPr>
          <w:rFonts w:ascii="Times New Roman" w:eastAsia="Batang" w:hAnsi="Times New Roman"/>
          <w:sz w:val="24"/>
          <w:lang w:val="pt-BR" w:eastAsia="ko-KR"/>
        </w:rPr>
        <w:t xml:space="preserve"> CPC 23 – Políticas Contábeis, Mudança de Estimativa e Retificação de Erro</w:t>
      </w:r>
      <w:r w:rsidRPr="00507320">
        <w:rPr>
          <w:rFonts w:ascii="Times New Roman" w:hAnsi="Times New Roman"/>
          <w:sz w:val="24"/>
          <w:lang w:val="pt-BR" w:eastAsia="ko-KR"/>
        </w:rPr>
        <w:t>.</w:t>
      </w:r>
    </w:p>
    <w:p w14:paraId="5A8296CA" w14:textId="77777777" w:rsidR="00507320" w:rsidRPr="00507320" w:rsidRDefault="00507320" w:rsidP="007D75A7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hAnsi="Times New Roman"/>
          <w:i/>
          <w:sz w:val="24"/>
          <w:lang w:val="pt-BR" w:eastAsia="ko-KR"/>
        </w:rPr>
      </w:pPr>
    </w:p>
    <w:p w14:paraId="001CF051" w14:textId="77777777" w:rsidR="00AC0046" w:rsidRPr="003D7783" w:rsidRDefault="00AC0046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color w:val="800080"/>
          <w:sz w:val="24"/>
          <w:vertAlign w:val="subscript"/>
          <w:lang w:val="pt-BR" w:eastAsia="ko-KR"/>
        </w:rPr>
      </w:pPr>
      <w:r w:rsidRPr="003D7783">
        <w:rPr>
          <w:rFonts w:ascii="Times New Roman" w:hAnsi="Times New Roman"/>
          <w:color w:val="800080"/>
          <w:sz w:val="24"/>
          <w:vertAlign w:val="subscript"/>
          <w:lang w:val="pt-BR" w:eastAsia="ko-KR"/>
        </w:rPr>
        <w:br w:type="page"/>
      </w:r>
      <w:bookmarkStart w:id="0" w:name="_GoBack"/>
      <w:bookmarkEnd w:id="0"/>
    </w:p>
    <w:p w14:paraId="0C51F6E1" w14:textId="77ED99A6" w:rsidR="007D75A7" w:rsidRPr="003D7783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Arial Unicode MS" w:hAnsi="Times New Roman"/>
          <w:b/>
          <w:sz w:val="24"/>
          <w:lang w:val="pt-BR" w:eastAsia="ko-KR"/>
        </w:rPr>
      </w:pPr>
      <w:r w:rsidRPr="003D7783">
        <w:rPr>
          <w:rFonts w:ascii="Times New Roman" w:hAnsi="Times New Roman"/>
          <w:b/>
          <w:sz w:val="24"/>
          <w:lang w:val="pt-BR" w:eastAsia="ko-KR"/>
        </w:rPr>
        <w:lastRenderedPageBreak/>
        <w:t>Exemplos ilustrativos</w:t>
      </w:r>
    </w:p>
    <w:p w14:paraId="3F78BE5A" w14:textId="77777777" w:rsidR="007D75A7" w:rsidRPr="003D7783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i/>
          <w:iCs/>
          <w:sz w:val="24"/>
          <w:lang w:val="pt-BR" w:eastAsia="en-US"/>
        </w:rPr>
      </w:pPr>
    </w:p>
    <w:p w14:paraId="162B4768" w14:textId="4F09EBFA" w:rsidR="007D75A7" w:rsidRPr="006C5CE2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i/>
          <w:sz w:val="24"/>
          <w:lang w:val="pt-BR" w:eastAsia="ko-KR"/>
        </w:rPr>
      </w:pPr>
      <w:r w:rsidRPr="006C5CE2">
        <w:rPr>
          <w:rFonts w:ascii="Times New Roman" w:hAnsi="Times New Roman"/>
          <w:i/>
          <w:sz w:val="24"/>
          <w:lang w:val="pt-BR" w:eastAsia="ko-KR"/>
        </w:rPr>
        <w:t xml:space="preserve">Esses exemplos acompanham, mas não fazem parte da </w:t>
      </w:r>
      <w:proofErr w:type="spellStart"/>
      <w:r w:rsidRPr="006C5CE2">
        <w:rPr>
          <w:rFonts w:ascii="Times New Roman" w:hAnsi="Times New Roman"/>
          <w:i/>
          <w:sz w:val="24"/>
          <w:lang w:val="pt-BR" w:eastAsia="ko-KR"/>
        </w:rPr>
        <w:t>ICPC</w:t>
      </w:r>
      <w:proofErr w:type="spellEnd"/>
      <w:r w:rsidRPr="006C5CE2">
        <w:rPr>
          <w:rFonts w:ascii="Times New Roman" w:hAnsi="Times New Roman"/>
          <w:i/>
          <w:sz w:val="24"/>
          <w:lang w:val="pt-BR" w:eastAsia="ko-KR"/>
        </w:rPr>
        <w:t xml:space="preserve"> </w:t>
      </w:r>
      <w:r w:rsidRPr="006C5CE2">
        <w:rPr>
          <w:rFonts w:ascii="Times New Roman" w:hAnsi="Times New Roman"/>
          <w:sz w:val="24"/>
          <w:lang w:val="pt-BR" w:eastAsia="ko-KR"/>
        </w:rPr>
        <w:t>19</w:t>
      </w:r>
      <w:r w:rsidRPr="006C5CE2">
        <w:rPr>
          <w:rFonts w:ascii="Times New Roman" w:hAnsi="Times New Roman"/>
          <w:i/>
          <w:sz w:val="24"/>
          <w:lang w:val="pt-BR" w:eastAsia="ko-KR"/>
        </w:rPr>
        <w:t>.</w:t>
      </w:r>
    </w:p>
    <w:p w14:paraId="155F29EA" w14:textId="77777777" w:rsidR="007D75A7" w:rsidRPr="006C5CE2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7ED7B445" w14:textId="2B1FB1DC" w:rsidR="007D75A7" w:rsidRPr="006C5CE2" w:rsidRDefault="007D75A7" w:rsidP="007D75A7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  <w:r w:rsidRPr="006C5CE2">
        <w:rPr>
          <w:rFonts w:ascii="Times New Roman" w:hAnsi="Times New Roman"/>
          <w:sz w:val="24"/>
          <w:lang w:val="pt-BR" w:eastAsia="ko-KR"/>
        </w:rPr>
        <w:t>O objetivo desses exemplos é ilustrar como a entidade deve contabilizar a obrigação de pagar tributo em suas demonstrações contábeis anuais e em suas demonstrações intermediárias.</w:t>
      </w:r>
    </w:p>
    <w:p w14:paraId="342BB919" w14:textId="77777777" w:rsidR="007D75A7" w:rsidRPr="006C5CE2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Arial Unicode MS" w:hAnsi="Times New Roman"/>
          <w:b/>
          <w:bCs/>
          <w:sz w:val="24"/>
          <w:lang w:val="pt-BR" w:eastAsia="en-US"/>
        </w:rPr>
      </w:pPr>
    </w:p>
    <w:p w14:paraId="0C68BBA4" w14:textId="176CBBA3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Arial Unicode MS" w:hAnsi="Times New Roman"/>
          <w:b/>
          <w:sz w:val="24"/>
          <w:lang w:val="pt-BR" w:eastAsia="ko-KR"/>
        </w:rPr>
      </w:pPr>
      <w:r w:rsidRPr="007D75A7">
        <w:rPr>
          <w:rFonts w:ascii="Times New Roman" w:hAnsi="Times New Roman"/>
          <w:b/>
          <w:sz w:val="24"/>
          <w:lang w:val="pt-BR" w:eastAsia="ko-KR"/>
        </w:rPr>
        <w:t>Exemplo 1 – Um tributo é gerado progressivamente à medida que a entidade gera receita</w:t>
      </w:r>
    </w:p>
    <w:p w14:paraId="28F347F7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181C89DA" w14:textId="47730421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A Entidade A tem como data de encerramento de seu exercício social 31 de dezembro de cada ano. De acordo com a legislação, um tributo é gerado progressivamente à medida que a entidade gera receita em 20X1. O valor do tributo é calculado tendo por referência a receita gerada pela entidade em 20X1.</w:t>
      </w:r>
    </w:p>
    <w:p w14:paraId="19E12FBD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6EF11A55" w14:textId="5458C4D9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Neste exemplo, o passivo é reconhecido progressivamente durante 20X1 à medida que a Entidade A gera receita, uma vez que o fato gerador, conforme identificado pela legislação, é a geração de receita durante 20X1. Em qualquer ponto em 20X1, a Entidade A tem a obrigação presente de pagar o tributo sobre a receita gerada até a data presente. A Entidade A não tem nenhuma obrigação presente de pagar o tributo que resultará da geração de receita no futuro.</w:t>
      </w:r>
    </w:p>
    <w:p w14:paraId="328C2352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4533BEC1" w14:textId="0D2E387D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Na demonstração intermediária (se houver), o passivo é reconhecido progressivamente à medida que a Entidade A gera receita. A Entidade A tem a obrigação presente de pagar o tributo sobre a receita gerada de 1° de janeiro de 20X1 ao final do período intermediário.</w:t>
      </w:r>
    </w:p>
    <w:p w14:paraId="6D29D444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78C132F4" w14:textId="17E39F60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Arial Unicode MS" w:hAnsi="Times New Roman"/>
          <w:b/>
          <w:sz w:val="24"/>
          <w:lang w:val="pt-BR" w:eastAsia="ko-KR"/>
        </w:rPr>
      </w:pPr>
      <w:r w:rsidRPr="007D75A7">
        <w:rPr>
          <w:rFonts w:ascii="Times New Roman" w:hAnsi="Times New Roman"/>
          <w:b/>
          <w:sz w:val="24"/>
          <w:lang w:val="pt-BR" w:eastAsia="ko-KR"/>
        </w:rPr>
        <w:t>Exemplo 2 – Um tributo é gerado integralmente assim que a entidade gera receita</w:t>
      </w:r>
    </w:p>
    <w:p w14:paraId="26CCBD64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178A7DD2" w14:textId="5427ED60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A Entidade B tem como data de encerramento de seu exercício social 31 de dezembro de cada ano. De acordo com a legislação, um tributo é gerado integralmente assim que a entidade gera receita em 20X1. O valor do tributo é calculado tendo por referência a receita gerada pela entidade em 20X0. A Entidade B gerou receita em 20X0 e em 20X1 começa a gerar receita em 03 de janeiro de 20X1.</w:t>
      </w:r>
    </w:p>
    <w:p w14:paraId="3709A89F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0896B29B" w14:textId="5E2D55C5" w:rsidR="007D75A7" w:rsidRPr="00730ED9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 xml:space="preserve">Neste exemplo, o passivo é reconhecido integralmente em 03 de janeiro de 20X1, porque o fato gerador, conforme identificado pela legislação, é a primeira geração de receita em 20X1. A geração de receita em 20X0 é necessária, mas não suficiente, para criar a obrigação presente de pagar o tributo. Antes de 03 de janeiro de 20X1, a Entidade B não tinha nenhuma obrigação presente de pagar o tributo. Em outras palavras, a atividade que gera o pagamento do tributo, conforme identificada pela legislação, é o ponto em que a Entidade B primeiramente gera receita em 20X1. </w:t>
      </w:r>
      <w:r w:rsidRPr="00730ED9">
        <w:rPr>
          <w:rFonts w:ascii="Times New Roman" w:hAnsi="Times New Roman"/>
          <w:sz w:val="24"/>
          <w:lang w:val="pt-BR" w:eastAsia="ko-KR"/>
        </w:rPr>
        <w:t>A geração de receita em 20X0 não é a atividade que gera o pagamento do tributo e o reconhecimento do passivo. O valor da receita gerada em 20X0 afeta somente a mensuração do passivo.</w:t>
      </w:r>
    </w:p>
    <w:p w14:paraId="184EABCB" w14:textId="77777777" w:rsidR="007D75A7" w:rsidRPr="00730ED9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1D21492A" w14:textId="1642B944" w:rsid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Na demonstração intermediária (se houver), o passivo é reconhecido integralmente no primeiro período intermediário de 20X1, uma vez que o passivo é reconhecido integralmente em 03 de janeiro de 20X1.</w:t>
      </w:r>
    </w:p>
    <w:p w14:paraId="2438733D" w14:textId="77777777" w:rsidR="00AC0046" w:rsidRPr="007D75A7" w:rsidRDefault="00AC0046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</w:p>
    <w:p w14:paraId="21008F80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Arial Unicode MS" w:hAnsi="Times New Roman"/>
          <w:b/>
          <w:bCs/>
          <w:sz w:val="24"/>
          <w:lang w:val="pt-BR" w:eastAsia="en-US"/>
        </w:rPr>
      </w:pPr>
    </w:p>
    <w:p w14:paraId="2D8DE0AA" w14:textId="62331CEB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Arial Unicode MS" w:hAnsi="Times New Roman"/>
          <w:b/>
          <w:sz w:val="24"/>
          <w:lang w:val="pt-BR" w:eastAsia="ko-KR"/>
        </w:rPr>
      </w:pPr>
      <w:r w:rsidRPr="007D75A7">
        <w:rPr>
          <w:rFonts w:ascii="Times New Roman" w:hAnsi="Times New Roman"/>
          <w:b/>
          <w:sz w:val="24"/>
          <w:lang w:val="pt-BR" w:eastAsia="ko-KR"/>
        </w:rPr>
        <w:lastRenderedPageBreak/>
        <w:t>Exemplo 3 – Um tributo é gerado integralmente se a entidade operar como banco em data específica</w:t>
      </w:r>
    </w:p>
    <w:p w14:paraId="36F0B851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4BDBDE1B" w14:textId="7EBAA9B4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A Entidade C é um banco e tem como data de encerramento de seu exercício social 31 de dezembro de cada ano. De acordo com a legislação, um tributo é gerado integralmente somente se a entidade operar como banco no final do período de relatório anual. O valor do tributo é calculado tendo por referência aos valores apresentados na demonstração contábil da entidade no final do exercício social. O final do exercício social da Entidade C é 31 de dezembro de 20X1.</w:t>
      </w:r>
    </w:p>
    <w:p w14:paraId="4CE4941D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7813025C" w14:textId="27D8D3C1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Neste exemplo, o passivo é reconhecido em 31 de dezembro de 20X1, porque o fato gerador, conforme identificado pela legislação, é a operação da Entidade C como banco no final do exercício social. Antes desse ponto, a Entidade C não possui nenhuma obrigação presente de pagar o tributo, ainda que esteja economicamente compelida a continuar a operar como banco no futuro. Em outras palavras, a atividade que gera o pagamento do tributo, conforme identificada pela legislação, é a operação da entidade como banco no final do exercício social, o que não ocorre até 31 de dezembro de 20X1. A conclusão não se alteraria ainda que o valor do passivo se baseasse na duração do período da demonstração contábil, uma vez que o fato gerador é a operação da entidade como banco no final do exercício.</w:t>
      </w:r>
    </w:p>
    <w:p w14:paraId="0C4E7DDC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3A3F0CE8" w14:textId="3DFA3211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Na demonstração intermediária (se houver), o passivo é reconhecido integralmente no período intermediário que inclui 31 de dezembro de 20X1, uma vez que o passivo é reconhecido integralmente nessa data.</w:t>
      </w:r>
    </w:p>
    <w:p w14:paraId="1FDEEBA9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460381E5" w14:textId="66D43EBE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Arial Unicode MS" w:hAnsi="Times New Roman"/>
          <w:b/>
          <w:sz w:val="24"/>
          <w:lang w:val="pt-BR" w:eastAsia="ko-KR"/>
        </w:rPr>
      </w:pPr>
      <w:r w:rsidRPr="007D75A7">
        <w:rPr>
          <w:rFonts w:ascii="Times New Roman" w:hAnsi="Times New Roman"/>
          <w:b/>
          <w:sz w:val="24"/>
          <w:lang w:val="pt-BR" w:eastAsia="ko-KR"/>
        </w:rPr>
        <w:t>Exemplo 4 – Um tributo é gerado se a entidade gerar receita acima de um valor mínimo</w:t>
      </w:r>
    </w:p>
    <w:p w14:paraId="0F9AFD52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Arial Unicode MS" w:hAnsi="Times New Roman"/>
          <w:b/>
          <w:bCs/>
          <w:sz w:val="24"/>
          <w:lang w:val="pt-BR" w:eastAsia="en-US"/>
        </w:rPr>
      </w:pPr>
    </w:p>
    <w:p w14:paraId="47F4DF12" w14:textId="354B6B2F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A Entidade D tem como data de encerramento de seu exercício social 31 de dezembro de cada ano. De acordo com a legislação, um tributo é gerado se a entidade gerar receita acima de $ 50 milhões em 20X1.</w:t>
      </w:r>
      <w:r w:rsidR="00DF6570">
        <w:rPr>
          <w:rFonts w:ascii="Times New Roman" w:hAnsi="Times New Roman"/>
          <w:sz w:val="24"/>
          <w:lang w:val="pt-BR" w:eastAsia="ko-KR"/>
        </w:rPr>
        <w:t xml:space="preserve"> </w:t>
      </w:r>
      <w:r w:rsidRPr="007D75A7">
        <w:rPr>
          <w:rFonts w:ascii="Times New Roman" w:hAnsi="Times New Roman"/>
          <w:sz w:val="24"/>
          <w:lang w:val="pt-BR" w:eastAsia="ko-KR"/>
        </w:rPr>
        <w:t>O valor do tributo é calculado tomando por referência a receita gerada acima de $ 50 milhões, sendo a alíquota do tributo 0% para os primeiros $ 50 milhões de receita gerados (abaixo do limite) e 2% acima de $ 50 milhões em receita. A receita da Entidade D atinge o limite de receita de $ 50 milhões em 17 de julho de 20X1.</w:t>
      </w:r>
    </w:p>
    <w:p w14:paraId="181E9CCB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6971D6C2" w14:textId="4FBD0DFA" w:rsidR="007D75A7" w:rsidRPr="00D34311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 xml:space="preserve">Neste exemplo, o passivo é reconhecido entre 17 de julho de 20X1 e 31 de dezembro de 20X1, à medida que a Entidade D gere receita acima do limite, já que o fato gerador, conforme identificado pela legislação, é a atividade realizada após o limite ser atingido (ou seja, a geração de receita após o limite ser atingido). </w:t>
      </w:r>
      <w:r w:rsidRPr="00D34311">
        <w:rPr>
          <w:rFonts w:ascii="Times New Roman" w:hAnsi="Times New Roman"/>
          <w:sz w:val="24"/>
          <w:lang w:val="pt-BR" w:eastAsia="ko-KR"/>
        </w:rPr>
        <w:t>O valor do passivo baseia-se na receita gerada até a data presente que exceda o limite de $ 50 milhões.</w:t>
      </w:r>
    </w:p>
    <w:p w14:paraId="4F48C776" w14:textId="77777777" w:rsidR="007D75A7" w:rsidRPr="00D34311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3618E4CA" w14:textId="5435F700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Na demonstração intermediária (se houver), o passivo é reconhecido entre 17 de julho de 20X1 e 31 de dezembro de 20X1, à medida que a Entidade D gera receita acima do limite.</w:t>
      </w:r>
    </w:p>
    <w:p w14:paraId="740DFAF0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5760B60F" w14:textId="143B1FA1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  <w:r w:rsidRPr="007D75A7">
        <w:rPr>
          <w:rFonts w:ascii="Times New Roman" w:hAnsi="Times New Roman"/>
          <w:b/>
          <w:sz w:val="24"/>
          <w:lang w:val="pt-BR" w:eastAsia="ko-KR"/>
        </w:rPr>
        <w:t>Variação:</w:t>
      </w:r>
    </w:p>
    <w:p w14:paraId="34353471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7829A877" w14:textId="171EDFD2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A mesma situação acima (ou seja, um tributo é gerado se a Entidade D gerar receita acima de $ 50 milhões em 20X1), exceto que o valor do tributo é calculado por referência a toda a receita gerada pela Entidade D em 20X1 (ou seja, incluindo os primeiros $ 50 milhões em receita gerados em 20X1).</w:t>
      </w:r>
    </w:p>
    <w:p w14:paraId="7130E021" w14:textId="77777777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7B133869" w14:textId="0200543D" w:rsidR="007D75A7" w:rsidRP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lang w:val="pt-BR" w:eastAsia="ko-KR"/>
        </w:rPr>
      </w:pPr>
      <w:r w:rsidRPr="007D75A7">
        <w:rPr>
          <w:rFonts w:ascii="Times New Roman" w:hAnsi="Times New Roman"/>
          <w:sz w:val="24"/>
          <w:lang w:val="pt-BR" w:eastAsia="ko-KR"/>
        </w:rPr>
        <w:t>Neste exemplo, o passivo referente ao pagamento do tributo relativo aos primeiros $ 50 milhões em receita é reconhecido em 17 de julho de 20X1, quando o limite é atingido, uma vez que o fato gerador, conforme identificado pela legislação, para o pagamento desse valor é o atingimento do limite. O passivo referente à obrigação do pagamento do tributo relativo à receita gerada acima do limite é reconhecido entre 17 de julho de 20X1 e 31 de dezembro de 20X1, à medida que a entidade gera receita acima do limite, uma vez que o fato gerador, conforme identificado pela legislação, é a atividade realizada após o limite ser atingido (ou seja, a geração de receita após o limite ser atingido). O valor do passivo baseia-se na receita gerada até a data presente, incluindo os primeiros $ 50 milhões em receita. Os mesmos princípios de reconhecimento aplicados na demonstração intermediária (se houver) se aplicam nas demonstrações contábeis anuais.</w:t>
      </w:r>
    </w:p>
    <w:p w14:paraId="2B68200A" w14:textId="61AC484D" w:rsidR="007D75A7" w:rsidRDefault="007D75A7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p w14:paraId="295EAF42" w14:textId="77777777" w:rsidR="00D34311" w:rsidRPr="007D75A7" w:rsidRDefault="00D34311" w:rsidP="007D75A7">
      <w:pPr>
        <w:autoSpaceDE w:val="0"/>
        <w:autoSpaceDN w:val="0"/>
        <w:adjustRightInd w:val="0"/>
        <w:spacing w:before="0" w:after="0"/>
        <w:rPr>
          <w:rFonts w:ascii="Times New Roman" w:eastAsia="Batang" w:hAnsi="Times New Roman"/>
          <w:sz w:val="24"/>
          <w:lang w:val="pt-BR" w:eastAsia="en-US"/>
        </w:rPr>
      </w:pPr>
    </w:p>
    <w:sectPr w:rsidR="00D34311" w:rsidRPr="007D75A7" w:rsidSect="00A2143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567" w:bottom="851" w:left="1134" w:header="720" w:footer="62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BBF8E" w14:textId="77777777" w:rsidR="00E06D13" w:rsidRDefault="00E06D13" w:rsidP="0096648A">
      <w:pPr>
        <w:spacing w:before="0" w:after="0"/>
      </w:pPr>
      <w:r>
        <w:separator/>
      </w:r>
    </w:p>
  </w:endnote>
  <w:endnote w:type="continuationSeparator" w:id="0">
    <w:p w14:paraId="033C15FD" w14:textId="77777777" w:rsidR="00E06D13" w:rsidRDefault="00E06D13" w:rsidP="009664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FDD0" w14:textId="77777777" w:rsidR="00D76E29" w:rsidRDefault="0084434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3FD24D" w14:textId="77777777" w:rsidR="00D76E29" w:rsidRDefault="00752AD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Cs w:val="20"/>
      </w:rPr>
      <w:id w:val="233443539"/>
      <w:docPartObj>
        <w:docPartGallery w:val="Page Numbers (Bottom of Page)"/>
        <w:docPartUnique/>
      </w:docPartObj>
    </w:sdtPr>
    <w:sdtEndPr/>
    <w:sdtContent>
      <w:p w14:paraId="4E8AE55F" w14:textId="1A9637FE" w:rsidR="00AB3649" w:rsidRPr="00AB3649" w:rsidRDefault="00AB3649">
        <w:pPr>
          <w:pStyle w:val="Rodap"/>
          <w:jc w:val="center"/>
          <w:rPr>
            <w:rFonts w:asciiTheme="minorHAnsi" w:hAnsiTheme="minorHAnsi" w:cstheme="minorHAnsi"/>
            <w:szCs w:val="20"/>
          </w:rPr>
        </w:pPr>
        <w:r w:rsidRPr="00AB3649">
          <w:rPr>
            <w:rFonts w:asciiTheme="minorHAnsi" w:hAnsiTheme="minorHAnsi" w:cstheme="minorHAnsi"/>
            <w:szCs w:val="20"/>
          </w:rPr>
          <w:fldChar w:fldCharType="begin"/>
        </w:r>
        <w:r w:rsidRPr="00AB3649">
          <w:rPr>
            <w:rFonts w:asciiTheme="minorHAnsi" w:hAnsiTheme="minorHAnsi" w:cstheme="minorHAnsi"/>
            <w:szCs w:val="20"/>
          </w:rPr>
          <w:instrText>PAGE   \* MERGEFORMAT</w:instrText>
        </w:r>
        <w:r w:rsidRPr="00AB3649">
          <w:rPr>
            <w:rFonts w:asciiTheme="minorHAnsi" w:hAnsiTheme="minorHAnsi" w:cstheme="minorHAnsi"/>
            <w:szCs w:val="20"/>
          </w:rPr>
          <w:fldChar w:fldCharType="separate"/>
        </w:r>
        <w:r w:rsidR="00752AD0" w:rsidRPr="00752AD0">
          <w:rPr>
            <w:rFonts w:asciiTheme="minorHAnsi" w:hAnsiTheme="minorHAnsi" w:cstheme="minorHAnsi"/>
            <w:noProof/>
            <w:szCs w:val="20"/>
            <w:lang w:val="pt-BR"/>
          </w:rPr>
          <w:t>2</w:t>
        </w:r>
        <w:r w:rsidRPr="00AB3649">
          <w:rPr>
            <w:rFonts w:asciiTheme="minorHAnsi" w:hAnsiTheme="minorHAnsi" w:cstheme="minorHAnsi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8FC6" w14:textId="69271736" w:rsidR="00A21437" w:rsidRPr="00A21437" w:rsidRDefault="00A21437">
    <w:pPr>
      <w:pStyle w:val="Rodap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AA6C3" w14:textId="77777777" w:rsidR="00E06D13" w:rsidRDefault="00E06D13" w:rsidP="0096648A">
      <w:pPr>
        <w:spacing w:before="0" w:after="0"/>
      </w:pPr>
      <w:r>
        <w:separator/>
      </w:r>
    </w:p>
  </w:footnote>
  <w:footnote w:type="continuationSeparator" w:id="0">
    <w:p w14:paraId="3DE52325" w14:textId="77777777" w:rsidR="00E06D13" w:rsidRDefault="00E06D13" w:rsidP="009664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A5FC" w14:textId="77777777" w:rsidR="00A21437" w:rsidRPr="007A1E4D" w:rsidRDefault="00A21437" w:rsidP="00A21437">
    <w:pPr>
      <w:tabs>
        <w:tab w:val="center" w:pos="4419"/>
        <w:tab w:val="right" w:pos="8838"/>
      </w:tabs>
      <w:spacing w:before="0" w:after="0"/>
      <w:jc w:val="center"/>
    </w:pPr>
    <w:r>
      <w:rPr>
        <w:noProof/>
        <w:lang w:val="pt-BR"/>
      </w:rPr>
      <w:drawing>
        <wp:inline distT="0" distB="0" distL="0" distR="0" wp14:anchorId="7D04D14D" wp14:editId="3CDE6438">
          <wp:extent cx="628650" cy="628650"/>
          <wp:effectExtent l="0" t="0" r="0" b="0"/>
          <wp:docPr id="1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6B8A5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b/>
        <w:sz w:val="24"/>
      </w:rPr>
    </w:pPr>
    <w:r w:rsidRPr="00A21437">
      <w:rPr>
        <w:rFonts w:asciiTheme="minorHAnsi" w:hAnsiTheme="minorHAnsi" w:cstheme="minorHAnsi"/>
        <w:b/>
        <w:sz w:val="24"/>
      </w:rPr>
      <w:t>COMISSÃO DE VALORES MOBILIÁRIOS</w:t>
    </w:r>
  </w:p>
  <w:p w14:paraId="385674C6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67CA99E2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627E57A7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23F598BB" w14:textId="240864E4" w:rsidR="00A21437" w:rsidRDefault="00752AD0" w:rsidP="00A21437">
    <w:pPr>
      <w:pStyle w:val="Cabealho"/>
      <w:spacing w:before="0" w:after="0"/>
      <w:jc w:val="center"/>
      <w:rPr>
        <w:rFonts w:asciiTheme="minorHAnsi" w:hAnsiTheme="minorHAnsi" w:cstheme="minorHAnsi"/>
        <w:sz w:val="18"/>
        <w:szCs w:val="18"/>
      </w:rPr>
    </w:pPr>
    <w:hyperlink r:id="rId2" w:history="1">
      <w:r w:rsidR="00E653D2" w:rsidRPr="00836193">
        <w:rPr>
          <w:rStyle w:val="Hyperlink"/>
          <w:rFonts w:asciiTheme="minorHAnsi" w:hAnsiTheme="minorHAnsi" w:cstheme="minorHAnsi"/>
          <w:sz w:val="18"/>
          <w:szCs w:val="18"/>
        </w:rPr>
        <w:t>www.gov.br/cvm</w:t>
      </w:r>
    </w:hyperlink>
  </w:p>
  <w:p w14:paraId="18930FD4" w14:textId="6DD8FD9E" w:rsidR="00D76E29" w:rsidRPr="00A21437" w:rsidRDefault="00752AD0" w:rsidP="00A21437">
    <w:pPr>
      <w:pStyle w:val="Cabealho"/>
      <w:spacing w:before="240" w:after="240"/>
      <w:rPr>
        <w:rFonts w:asciiTheme="minorHAnsi" w:hAnsiTheme="minorHAnsi" w:cstheme="minorHAnsi"/>
      </w:rPr>
    </w:pPr>
    <w:r w:rsidRPr="00752AD0">
      <w:rPr>
        <w:rFonts w:asciiTheme="minorHAnsi" w:hAnsiTheme="minorHAnsi" w:cstheme="minorHAnsi"/>
        <w:szCs w:val="20"/>
      </w:rPr>
      <w:t>RESOLUÇÃO CVM Nº 14</w:t>
    </w:r>
    <w:r>
      <w:rPr>
        <w:rFonts w:asciiTheme="minorHAnsi" w:hAnsiTheme="minorHAnsi" w:cstheme="minorHAnsi"/>
        <w:szCs w:val="20"/>
      </w:rPr>
      <w:t>6</w:t>
    </w:r>
    <w:r w:rsidRPr="00752AD0">
      <w:rPr>
        <w:rFonts w:asciiTheme="minorHAnsi" w:hAnsiTheme="minorHAnsi" w:cstheme="minorHAnsi"/>
        <w:szCs w:val="20"/>
      </w:rPr>
      <w:t>, DE 15 DE JUNHO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1AFD" w14:textId="77777777" w:rsidR="00DF62F3" w:rsidRPr="007A1E4D" w:rsidRDefault="00DF62F3" w:rsidP="00DF62F3">
    <w:pPr>
      <w:tabs>
        <w:tab w:val="center" w:pos="4419"/>
        <w:tab w:val="right" w:pos="8838"/>
      </w:tabs>
      <w:jc w:val="center"/>
    </w:pPr>
    <w:r>
      <w:rPr>
        <w:noProof/>
        <w:lang w:val="pt-BR"/>
      </w:rPr>
      <w:drawing>
        <wp:inline distT="0" distB="0" distL="0" distR="0" wp14:anchorId="03F737A4" wp14:editId="3E1E4ECB">
          <wp:extent cx="628650" cy="628650"/>
          <wp:effectExtent l="0" t="0" r="0" b="0"/>
          <wp:docPr id="130328818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1390C" w14:textId="77777777" w:rsidR="00DF62F3" w:rsidRPr="00DF62F3" w:rsidRDefault="00DF62F3" w:rsidP="00DF62F3">
    <w:pPr>
      <w:spacing w:before="0" w:after="0"/>
      <w:jc w:val="center"/>
      <w:rPr>
        <w:rFonts w:asciiTheme="minorHAnsi" w:hAnsiTheme="minorHAnsi" w:cstheme="minorHAnsi"/>
        <w:b/>
        <w:sz w:val="24"/>
      </w:rPr>
    </w:pPr>
    <w:r w:rsidRPr="00DF62F3">
      <w:rPr>
        <w:rFonts w:asciiTheme="minorHAnsi" w:hAnsiTheme="minorHAnsi" w:cstheme="minorHAnsi"/>
        <w:b/>
        <w:sz w:val="24"/>
      </w:rPr>
      <w:t>COMISSÃO DE VALORES MOBILIÁRIOS</w:t>
    </w:r>
  </w:p>
  <w:p w14:paraId="3EE652BB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2500B3D1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26FF1146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50D54C72" w14:textId="411AEB93" w:rsidR="00D76E29" w:rsidRDefault="00752AD0" w:rsidP="00DF62F3">
    <w:pPr>
      <w:pStyle w:val="Cabealho"/>
      <w:spacing w:before="0" w:after="360"/>
      <w:jc w:val="center"/>
      <w:rPr>
        <w:rFonts w:asciiTheme="minorHAnsi" w:hAnsiTheme="minorHAnsi" w:cstheme="minorHAnsi"/>
        <w:sz w:val="18"/>
        <w:szCs w:val="18"/>
      </w:rPr>
    </w:pPr>
    <w:hyperlink r:id="rId2" w:history="1">
      <w:r w:rsidR="00E653D2" w:rsidRPr="00836193">
        <w:rPr>
          <w:rStyle w:val="Hyperlink"/>
          <w:rFonts w:asciiTheme="minorHAnsi" w:hAnsiTheme="minorHAnsi" w:cstheme="minorHAnsi"/>
          <w:sz w:val="18"/>
          <w:szCs w:val="18"/>
        </w:rPr>
        <w:t>www.gov.br/cvm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CBF"/>
    <w:multiLevelType w:val="singleLevel"/>
    <w:tmpl w:val="2456485C"/>
    <w:lvl w:ilvl="0">
      <w:start w:val="1"/>
      <w:numFmt w:val="bullet"/>
      <w:pStyle w:val="15-BulletNvel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4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8A"/>
    <w:rsid w:val="001D51D2"/>
    <w:rsid w:val="00273211"/>
    <w:rsid w:val="00275BD2"/>
    <w:rsid w:val="002F1CE1"/>
    <w:rsid w:val="003C0DCA"/>
    <w:rsid w:val="003D7783"/>
    <w:rsid w:val="004D1E08"/>
    <w:rsid w:val="004F2F86"/>
    <w:rsid w:val="00507320"/>
    <w:rsid w:val="00554D62"/>
    <w:rsid w:val="0055560E"/>
    <w:rsid w:val="0058210D"/>
    <w:rsid w:val="005D7141"/>
    <w:rsid w:val="006663C2"/>
    <w:rsid w:val="00694F0E"/>
    <w:rsid w:val="006C5CE2"/>
    <w:rsid w:val="00730ED9"/>
    <w:rsid w:val="00752AD0"/>
    <w:rsid w:val="007B50CD"/>
    <w:rsid w:val="007D75A7"/>
    <w:rsid w:val="00824ACF"/>
    <w:rsid w:val="0084434F"/>
    <w:rsid w:val="008B2AC2"/>
    <w:rsid w:val="0096648A"/>
    <w:rsid w:val="009C525F"/>
    <w:rsid w:val="009D3457"/>
    <w:rsid w:val="00A21437"/>
    <w:rsid w:val="00A337A7"/>
    <w:rsid w:val="00A92033"/>
    <w:rsid w:val="00AB3649"/>
    <w:rsid w:val="00AC0046"/>
    <w:rsid w:val="00AE0B39"/>
    <w:rsid w:val="00B33240"/>
    <w:rsid w:val="00BB26D8"/>
    <w:rsid w:val="00C578D8"/>
    <w:rsid w:val="00C72039"/>
    <w:rsid w:val="00C854B4"/>
    <w:rsid w:val="00C942B5"/>
    <w:rsid w:val="00CF08C5"/>
    <w:rsid w:val="00CF424B"/>
    <w:rsid w:val="00D34311"/>
    <w:rsid w:val="00D410C6"/>
    <w:rsid w:val="00D76141"/>
    <w:rsid w:val="00D97177"/>
    <w:rsid w:val="00DF4A86"/>
    <w:rsid w:val="00DF62F3"/>
    <w:rsid w:val="00DF6570"/>
    <w:rsid w:val="00E06D13"/>
    <w:rsid w:val="00E653D2"/>
    <w:rsid w:val="00E674FC"/>
    <w:rsid w:val="00E74889"/>
    <w:rsid w:val="00EB12D9"/>
    <w:rsid w:val="00F8691B"/>
    <w:rsid w:val="00FC4656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952"/>
  <w15:chartTrackingRefBased/>
  <w15:docId w15:val="{A039BEE3-6F4A-46C4-9423-3667D036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48A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pt-PT" w:eastAsia="pt-BR"/>
    </w:rPr>
  </w:style>
  <w:style w:type="paragraph" w:styleId="Ttulo1">
    <w:name w:val="heading 1"/>
    <w:basedOn w:val="Normal"/>
    <w:link w:val="Ttulo1Char"/>
    <w:qFormat/>
    <w:rsid w:val="0096648A"/>
    <w:pPr>
      <w:keepNext/>
      <w:spacing w:before="0" w:after="0"/>
      <w:outlineLvl w:val="0"/>
    </w:pPr>
    <w:rPr>
      <w:rFonts w:ascii="Times New Roman" w:hAnsi="Times New Roman"/>
      <w:b/>
      <w:bCs/>
      <w:kern w:val="36"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qFormat/>
    <w:rsid w:val="0096648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6648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664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664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6648A"/>
    <w:pPr>
      <w:keepNext/>
      <w:outlineLvl w:val="5"/>
    </w:pPr>
    <w:rPr>
      <w:rFonts w:ascii="Times New Roman" w:hAnsi="Times New Roman"/>
      <w:b/>
      <w:caps/>
      <w:sz w:val="22"/>
      <w:szCs w:val="20"/>
      <w:lang w:val="pt-BR" w:eastAsia="en-US"/>
    </w:rPr>
  </w:style>
  <w:style w:type="paragraph" w:styleId="Ttulo7">
    <w:name w:val="heading 7"/>
    <w:basedOn w:val="Normal"/>
    <w:next w:val="Normal"/>
    <w:link w:val="Ttulo7Char"/>
    <w:qFormat/>
    <w:rsid w:val="0096648A"/>
    <w:pPr>
      <w:spacing w:before="240" w:after="60"/>
      <w:jc w:val="left"/>
      <w:outlineLvl w:val="6"/>
    </w:pPr>
    <w:rPr>
      <w:rFonts w:ascii="Times New Roman" w:hAnsi="Times New Roman"/>
      <w:sz w:val="24"/>
      <w:lang w:val="pt-BR"/>
    </w:rPr>
  </w:style>
  <w:style w:type="paragraph" w:styleId="Ttulo8">
    <w:name w:val="heading 8"/>
    <w:basedOn w:val="Normal"/>
    <w:next w:val="Normal"/>
    <w:link w:val="Ttulo8Char"/>
    <w:qFormat/>
    <w:rsid w:val="0096648A"/>
    <w:pPr>
      <w:spacing w:before="240" w:after="60"/>
      <w:outlineLvl w:val="7"/>
    </w:pPr>
    <w:rPr>
      <w:rFonts w:ascii="Cambria" w:hAnsi="Cambria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48A"/>
    <w:rPr>
      <w:rFonts w:ascii="Times New Roman" w:eastAsia="Times New Roman" w:hAnsi="Times New Roman" w:cs="Times New Roman"/>
      <w:b/>
      <w:bCs/>
      <w:kern w:val="36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6648A"/>
    <w:rPr>
      <w:rFonts w:ascii="Arial" w:eastAsia="Times New Roman" w:hAnsi="Arial" w:cs="Arial"/>
      <w:b/>
      <w:bCs/>
      <w:i/>
      <w:iCs/>
      <w:sz w:val="28"/>
      <w:szCs w:val="28"/>
      <w:lang w:val="pt-PT" w:eastAsia="pt-BR"/>
    </w:rPr>
  </w:style>
  <w:style w:type="character" w:customStyle="1" w:styleId="Ttulo3Char">
    <w:name w:val="Título 3 Char"/>
    <w:basedOn w:val="Fontepargpadro"/>
    <w:link w:val="Ttulo3"/>
    <w:rsid w:val="0096648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character" w:customStyle="1" w:styleId="Ttulo4Char">
    <w:name w:val="Título 4 Char"/>
    <w:basedOn w:val="Fontepargpadro"/>
    <w:link w:val="Ttulo4"/>
    <w:rsid w:val="0096648A"/>
    <w:rPr>
      <w:rFonts w:ascii="Times New Roman" w:eastAsia="Times New Roman" w:hAnsi="Times New Roman" w:cs="Times New Roman"/>
      <w:b/>
      <w:bCs/>
      <w:sz w:val="28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rsid w:val="0096648A"/>
    <w:rPr>
      <w:rFonts w:ascii="Arial" w:eastAsia="Times New Roman" w:hAnsi="Arial" w:cs="Times New Roman"/>
      <w:b/>
      <w:bCs/>
      <w:i/>
      <w:iCs/>
      <w:sz w:val="26"/>
      <w:szCs w:val="26"/>
      <w:lang w:val="pt-PT" w:eastAsia="pt-BR"/>
    </w:rPr>
  </w:style>
  <w:style w:type="character" w:customStyle="1" w:styleId="Ttulo6Char">
    <w:name w:val="Título 6 Char"/>
    <w:basedOn w:val="Fontepargpadro"/>
    <w:link w:val="Ttulo6"/>
    <w:rsid w:val="0096648A"/>
    <w:rPr>
      <w:rFonts w:ascii="Times New Roman" w:eastAsia="Times New Roman" w:hAnsi="Times New Roman" w:cs="Times New Roman"/>
      <w:b/>
      <w:caps/>
      <w:szCs w:val="20"/>
    </w:rPr>
  </w:style>
  <w:style w:type="character" w:customStyle="1" w:styleId="Ttulo7Char">
    <w:name w:val="Título 7 Char"/>
    <w:basedOn w:val="Fontepargpadro"/>
    <w:link w:val="Ttulo7"/>
    <w:rsid w:val="009664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6648A"/>
    <w:rPr>
      <w:rFonts w:ascii="Cambria" w:eastAsia="Times New Roman" w:hAnsi="Cambria" w:cs="Times New Roman"/>
      <w:i/>
      <w:iCs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6648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48A"/>
    <w:rPr>
      <w:rFonts w:ascii="Tahoma" w:eastAsia="Times New Roman" w:hAnsi="Tahoma" w:cs="Times New Roman"/>
      <w:sz w:val="16"/>
      <w:szCs w:val="16"/>
      <w:lang w:val="pt-PT" w:eastAsia="x-none"/>
    </w:rPr>
  </w:style>
  <w:style w:type="character" w:customStyle="1" w:styleId="BalloonTextChar">
    <w:name w:val="Balloon Text Char"/>
    <w:semiHidden/>
    <w:rsid w:val="0096648A"/>
    <w:rPr>
      <w:rFonts w:ascii="Lucida Grande" w:hAnsi="Lucida Grande"/>
      <w:sz w:val="18"/>
      <w:szCs w:val="18"/>
    </w:rPr>
  </w:style>
  <w:style w:type="paragraph" w:styleId="Textoembloco">
    <w:name w:val="Block Text"/>
    <w:basedOn w:val="Normal"/>
    <w:link w:val="TextoemblocoChar"/>
    <w:uiPriority w:val="99"/>
    <w:rsid w:val="0096648A"/>
    <w:pPr>
      <w:widowControl w:val="0"/>
      <w:tabs>
        <w:tab w:val="left" w:pos="6804"/>
      </w:tabs>
      <w:spacing w:before="2" w:after="2" w:line="250" w:lineRule="auto"/>
      <w:ind w:left="336" w:right="57" w:hanging="279"/>
      <w:jc w:val="left"/>
    </w:pPr>
    <w:rPr>
      <w:lang w:eastAsia="x-none"/>
    </w:rPr>
  </w:style>
  <w:style w:type="paragraph" w:styleId="Cabealho">
    <w:name w:val="header"/>
    <w:basedOn w:val="Normal"/>
    <w:link w:val="CabealhoChar"/>
    <w:uiPriority w:val="99"/>
    <w:rsid w:val="0096648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paragraph" w:styleId="Rodap">
    <w:name w:val="footer"/>
    <w:basedOn w:val="Normal"/>
    <w:link w:val="RodapChar"/>
    <w:rsid w:val="0096648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RodapChar">
    <w:name w:val="Rodapé Char"/>
    <w:basedOn w:val="Fontepargpadro"/>
    <w:link w:val="Rodap"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character" w:styleId="Refdecomentrio">
    <w:name w:val="annotation reference"/>
    <w:uiPriority w:val="99"/>
    <w:semiHidden/>
    <w:rsid w:val="0096648A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648A"/>
    <w:pPr>
      <w:spacing w:before="0" w:after="0"/>
    </w:pPr>
    <w:rPr>
      <w:rFonts w:ascii="Times New Roman" w:hAnsi="Times New Roman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48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Recuonormal1">
    <w:name w:val="Recuo normal1"/>
    <w:basedOn w:val="Normal"/>
    <w:rsid w:val="0096648A"/>
    <w:pPr>
      <w:spacing w:before="0" w:after="0"/>
      <w:ind w:left="720"/>
    </w:pPr>
    <w:rPr>
      <w:rFonts w:ascii="Times New Roman" w:hAnsi="Times New Roman"/>
      <w:sz w:val="22"/>
      <w:szCs w:val="20"/>
      <w:lang w:val="pt-BR" w:eastAsia="en-US"/>
    </w:rPr>
  </w:style>
  <w:style w:type="paragraph" w:styleId="NormalWeb">
    <w:name w:val="Normal (Web)"/>
    <w:basedOn w:val="Normal"/>
    <w:semiHidden/>
    <w:rsid w:val="0096648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648A"/>
    <w:pPr>
      <w:spacing w:before="120" w:after="120"/>
    </w:pPr>
    <w:rPr>
      <w:rFonts w:ascii="Arial" w:hAnsi="Arial"/>
      <w:b/>
      <w:bCs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48A"/>
    <w:rPr>
      <w:rFonts w:ascii="Arial" w:eastAsia="Times New Roman" w:hAnsi="Arial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rsid w:val="0096648A"/>
    <w:pPr>
      <w:spacing w:before="0" w:after="0"/>
    </w:pPr>
    <w:rPr>
      <w:rFonts w:ascii="Times New Roman" w:hAnsi="Times New Roman"/>
      <w:sz w:val="22"/>
      <w:szCs w:val="22"/>
      <w:lang w:val="pt-BR"/>
    </w:rPr>
  </w:style>
  <w:style w:type="character" w:customStyle="1" w:styleId="CorpodetextoChar">
    <w:name w:val="Corpo de texto Char"/>
    <w:basedOn w:val="Fontepargpadro"/>
    <w:link w:val="Corpodetexto"/>
    <w:rsid w:val="0096648A"/>
    <w:rPr>
      <w:rFonts w:ascii="Times New Roman" w:eastAsia="Times New Roman" w:hAnsi="Times New Roman" w:cs="Times New Roman"/>
      <w:lang w:eastAsia="pt-BR"/>
    </w:rPr>
  </w:style>
  <w:style w:type="character" w:customStyle="1" w:styleId="grame">
    <w:name w:val="grame"/>
    <w:basedOn w:val="Fontepargpadro"/>
    <w:rsid w:val="0096648A"/>
  </w:style>
  <w:style w:type="character" w:customStyle="1" w:styleId="spelle">
    <w:name w:val="spelle"/>
    <w:basedOn w:val="Fontepargpadro"/>
    <w:rsid w:val="0096648A"/>
  </w:style>
  <w:style w:type="character" w:styleId="Refdenotaderodap">
    <w:name w:val="footnote reference"/>
    <w:semiHidden/>
    <w:rsid w:val="0096648A"/>
    <w:rPr>
      <w:rFonts w:ascii="Times New Roman" w:hAnsi="Times New Roman" w:cs="Times New Roman" w:hint="default"/>
      <w:b/>
      <w:bCs/>
      <w:strike w:val="0"/>
      <w:dstrike w:val="0"/>
      <w:color w:val="000000"/>
      <w:u w:val="none"/>
      <w:effect w:val="none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96648A"/>
    <w:pPr>
      <w:spacing w:before="0" w:after="0"/>
    </w:pPr>
    <w:rPr>
      <w:rFonts w:ascii="Times New Roman" w:hAnsi="Times New Roman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664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next w:val="Normal"/>
    <w:rsid w:val="0096648A"/>
    <w:pPr>
      <w:widowControl w:val="0"/>
      <w:spacing w:before="0" w:after="0"/>
      <w:ind w:left="432" w:hanging="432"/>
    </w:pPr>
    <w:rPr>
      <w:rFonts w:ascii="Times New Roman" w:hAnsi="Times New Roman"/>
      <w:szCs w:val="20"/>
      <w:lang w:val="pt-BR" w:eastAsia="en-US"/>
    </w:rPr>
  </w:style>
  <w:style w:type="character" w:styleId="Nmerodepgina">
    <w:name w:val="page number"/>
    <w:basedOn w:val="Fontepargpadro"/>
    <w:rsid w:val="0096648A"/>
  </w:style>
  <w:style w:type="paragraph" w:customStyle="1" w:styleId="Normal1">
    <w:name w:val="Normal1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outline">
    <w:name w:val="outline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paragraph2">
    <w:name w:val="paragraph2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styleId="Recuodecorpodetexto">
    <w:name w:val="Body Text Indent"/>
    <w:basedOn w:val="Normal"/>
    <w:link w:val="RecuodecorpodetextoChar"/>
    <w:semiHidden/>
    <w:rsid w:val="0096648A"/>
    <w:pPr>
      <w:tabs>
        <w:tab w:val="left" w:pos="720"/>
      </w:tabs>
      <w:spacing w:before="0" w:after="0"/>
      <w:ind w:left="720" w:hanging="360"/>
    </w:pPr>
    <w:rPr>
      <w:rFonts w:ascii="Times New Roman" w:hAnsi="Times New Roman"/>
      <w:lang w:val="pt-BR"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6648A"/>
    <w:rPr>
      <w:rFonts w:ascii="Times New Roman" w:eastAsia="Times New Roman" w:hAnsi="Times New Roman" w:cs="Times New Roman"/>
      <w:sz w:val="20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96648A"/>
    <w:pPr>
      <w:spacing w:before="0" w:line="480" w:lineRule="auto"/>
      <w:ind w:left="283"/>
      <w:jc w:val="left"/>
    </w:pPr>
    <w:rPr>
      <w:rFonts w:ascii="Times New Roman" w:eastAsia="SimSun" w:hAnsi="Times New Roman"/>
      <w:sz w:val="24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648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5-BulletNvel1">
    <w:name w:val="15 - «Bullet» Nível 1"/>
    <w:basedOn w:val="Normal"/>
    <w:rsid w:val="0096648A"/>
    <w:pPr>
      <w:numPr>
        <w:numId w:val="1"/>
      </w:numPr>
      <w:tabs>
        <w:tab w:val="clear" w:pos="360"/>
      </w:tabs>
      <w:spacing w:before="0" w:after="0" w:line="260" w:lineRule="atLeast"/>
    </w:pPr>
    <w:rPr>
      <w:rFonts w:ascii="Times New Roman" w:hAnsi="Times New Roman"/>
      <w:sz w:val="22"/>
      <w:szCs w:val="20"/>
      <w:lang w:val="en-US" w:eastAsia="en-US"/>
    </w:rPr>
  </w:style>
  <w:style w:type="character" w:styleId="Hyperlink">
    <w:name w:val="Hyperlink"/>
    <w:semiHidden/>
    <w:rsid w:val="0096648A"/>
    <w:rPr>
      <w:color w:val="008000"/>
      <w:u w:val="single"/>
    </w:rPr>
  </w:style>
  <w:style w:type="paragraph" w:customStyle="1" w:styleId="IASBNormal">
    <w:name w:val="IASB Normal"/>
    <w:rsid w:val="0096648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IASBNormalArial">
    <w:name w:val="IASB Normal Arial"/>
    <w:basedOn w:val="IASBNormal"/>
    <w:rsid w:val="0096648A"/>
    <w:pPr>
      <w:spacing w:before="200"/>
    </w:pPr>
    <w:rPr>
      <w:rFonts w:ascii="Arial" w:hAnsi="Arial" w:cs="Arial"/>
    </w:rPr>
  </w:style>
  <w:style w:type="paragraph" w:customStyle="1" w:styleId="IASBTitle">
    <w:name w:val="IASB Title"/>
    <w:basedOn w:val="IASBNormal"/>
    <w:rsid w:val="0096648A"/>
    <w:pPr>
      <w:keepNext/>
      <w:keepLines/>
      <w:spacing w:before="300" w:after="400"/>
      <w:jc w:val="left"/>
    </w:pPr>
    <w:rPr>
      <w:rFonts w:ascii="Arial" w:hAnsi="Arial" w:cs="Arial"/>
      <w:b/>
      <w:sz w:val="36"/>
    </w:rPr>
  </w:style>
  <w:style w:type="paragraph" w:customStyle="1" w:styleId="IASBSectionTitleU">
    <w:name w:val="IASB Section Title U"/>
    <w:basedOn w:val="IASBTitle"/>
    <w:rsid w:val="0096648A"/>
    <w:pPr>
      <w:pBdr>
        <w:bottom w:val="single" w:sz="4" w:space="0" w:color="auto"/>
      </w:pBdr>
      <w:spacing w:before="400" w:after="200"/>
    </w:pPr>
    <w:rPr>
      <w:sz w:val="26"/>
    </w:rPr>
  </w:style>
  <w:style w:type="paragraph" w:customStyle="1" w:styleId="IASBNote">
    <w:name w:val="IASB Note"/>
    <w:basedOn w:val="IASBNormal"/>
    <w:rsid w:val="0096648A"/>
    <w:rPr>
      <w:i/>
    </w:rPr>
  </w:style>
  <w:style w:type="paragraph" w:customStyle="1" w:styleId="IASBFootnoteText">
    <w:name w:val="IASB Footnote Text"/>
    <w:basedOn w:val="IASBNormal"/>
    <w:rsid w:val="0096648A"/>
    <w:pPr>
      <w:spacing w:before="0" w:after="60"/>
      <w:ind w:left="284" w:hanging="284"/>
    </w:pPr>
    <w:rPr>
      <w:sz w:val="16"/>
    </w:rPr>
  </w:style>
  <w:style w:type="paragraph" w:customStyle="1" w:styleId="DaveIASBSubsectionTitle">
    <w:name w:val="Dave IASB Subsection Title"/>
    <w:basedOn w:val="IASBTitle"/>
    <w:rsid w:val="0096648A"/>
    <w:pPr>
      <w:spacing w:after="200"/>
      <w:ind w:left="780"/>
    </w:pPr>
    <w:rPr>
      <w:sz w:val="26"/>
    </w:rPr>
  </w:style>
  <w:style w:type="paragraph" w:styleId="MapadoDocumento">
    <w:name w:val="Document Map"/>
    <w:basedOn w:val="Normal"/>
    <w:link w:val="MapadoDocumentoChar"/>
    <w:semiHidden/>
    <w:rsid w:val="009664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96648A"/>
    <w:rPr>
      <w:rFonts w:ascii="Tahoma" w:eastAsia="Times New Roman" w:hAnsi="Tahoma" w:cs="Tahoma"/>
      <w:sz w:val="20"/>
      <w:szCs w:val="24"/>
      <w:shd w:val="clear" w:color="auto" w:fill="000080"/>
      <w:lang w:val="pt-PT" w:eastAsia="pt-BR"/>
    </w:rPr>
  </w:style>
  <w:style w:type="paragraph" w:customStyle="1" w:styleId="ZchnZchnCharCharZchnZchnCharCharZchnZchnCharCharZchnZchn1CharCharZchnZchnCharChar">
    <w:name w:val="Zchn Zchn Char Char Zchn Zchn Char Char Zchn Zchn Char Char Zchn Zchn1 Char Char Zchn Zchn Char Char"/>
    <w:basedOn w:val="Normal"/>
    <w:rsid w:val="0096648A"/>
    <w:pPr>
      <w:spacing w:before="0" w:after="160" w:line="240" w:lineRule="exact"/>
      <w:jc w:val="left"/>
    </w:pPr>
    <w:rPr>
      <w:rFonts w:ascii="Verdana" w:eastAsia="SimSun" w:hAnsi="Verdana"/>
      <w:szCs w:val="20"/>
      <w:lang w:val="pt-BR" w:eastAsia="es-AR"/>
    </w:rPr>
  </w:style>
  <w:style w:type="paragraph" w:styleId="Corpodetexto3">
    <w:name w:val="Body Text 3"/>
    <w:basedOn w:val="Normal"/>
    <w:link w:val="Corpodetexto3Char"/>
    <w:semiHidden/>
    <w:rsid w:val="0096648A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6648A"/>
    <w:rPr>
      <w:rFonts w:ascii="Arial" w:eastAsia="Times New Roman" w:hAnsi="Arial" w:cs="Times New Roman"/>
      <w:sz w:val="16"/>
      <w:szCs w:val="16"/>
      <w:lang w:val="pt-PT" w:eastAsia="pt-BR"/>
    </w:rPr>
  </w:style>
  <w:style w:type="character" w:customStyle="1" w:styleId="CharChar">
    <w:name w:val="Char Char"/>
    <w:semiHidden/>
    <w:rsid w:val="0096648A"/>
    <w:rPr>
      <w:rFonts w:ascii="Cambria" w:eastAsia="Times New Roman" w:hAnsi="Cambria" w:cs="Times New Roman"/>
      <w:i/>
      <w:iCs/>
      <w:sz w:val="24"/>
      <w:szCs w:val="24"/>
      <w:lang w:val="pt-PT" w:eastAsia="pt-BR"/>
    </w:rPr>
  </w:style>
  <w:style w:type="table" w:styleId="Tabelacomgrade">
    <w:name w:val="Table Grid"/>
    <w:basedOn w:val="Tabelanormal"/>
    <w:rsid w:val="0096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2">
    <w:name w:val="level2"/>
    <w:basedOn w:val="Normal"/>
    <w:rsid w:val="0096648A"/>
    <w:pPr>
      <w:spacing w:after="60"/>
      <w:jc w:val="left"/>
    </w:pPr>
    <w:rPr>
      <w:rFonts w:ascii="Verdana" w:hAnsi="Verdana"/>
      <w:b/>
      <w:bCs/>
      <w:color w:val="585775"/>
      <w:sz w:val="28"/>
      <w:szCs w:val="28"/>
      <w:lang w:val="en-US" w:eastAsia="en-US"/>
    </w:rPr>
  </w:style>
  <w:style w:type="paragraph" w:styleId="Corpodetexto2">
    <w:name w:val="Body Text 2"/>
    <w:basedOn w:val="Normal"/>
    <w:link w:val="Corpodetexto2Char"/>
    <w:rsid w:val="0096648A"/>
    <w:pPr>
      <w:spacing w:before="40" w:after="40"/>
    </w:pPr>
    <w:rPr>
      <w:rFonts w:ascii="Times New Roman" w:hAnsi="Times New Roman"/>
      <w:b/>
      <w:bCs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96648A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ListParagraph1">
    <w:name w:val="List Paragraph1"/>
    <w:basedOn w:val="Normal"/>
    <w:qFormat/>
    <w:rsid w:val="0096648A"/>
    <w:pPr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arcador">
    <w:name w:val="marcador"/>
    <w:basedOn w:val="Normal"/>
    <w:rsid w:val="0096648A"/>
    <w:pPr>
      <w:spacing w:before="0" w:after="0"/>
      <w:jc w:val="left"/>
    </w:pPr>
    <w:rPr>
      <w:sz w:val="24"/>
      <w:lang w:val="pt-BR"/>
    </w:rPr>
  </w:style>
  <w:style w:type="paragraph" w:customStyle="1" w:styleId="Default">
    <w:name w:val="Default"/>
    <w:rsid w:val="00966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NDES">
    <w:name w:val="BNDES"/>
    <w:basedOn w:val="Normal"/>
    <w:rsid w:val="0096648A"/>
    <w:pPr>
      <w:spacing w:before="0" w:after="0"/>
    </w:pPr>
    <w:rPr>
      <w:rFonts w:ascii="Optimum" w:hAnsi="Optimum"/>
      <w:sz w:val="24"/>
      <w:lang w:val="pt-BR"/>
    </w:rPr>
  </w:style>
  <w:style w:type="character" w:customStyle="1" w:styleId="hps">
    <w:name w:val="hps"/>
    <w:uiPriority w:val="99"/>
    <w:rsid w:val="0096648A"/>
    <w:rPr>
      <w:rFonts w:ascii="Times New Roman" w:hAnsi="Times New Roman" w:cs="Times New Roman" w:hint="default"/>
    </w:rPr>
  </w:style>
  <w:style w:type="paragraph" w:customStyle="1" w:styleId="Style20">
    <w:name w:val="Style20"/>
    <w:basedOn w:val="Normal"/>
    <w:uiPriority w:val="99"/>
    <w:rsid w:val="0096648A"/>
    <w:pPr>
      <w:widowControl w:val="0"/>
      <w:autoSpaceDE w:val="0"/>
      <w:autoSpaceDN w:val="0"/>
      <w:adjustRightInd w:val="0"/>
      <w:spacing w:before="0" w:after="0"/>
      <w:jc w:val="left"/>
    </w:pPr>
    <w:rPr>
      <w:rFonts w:ascii="Cambria" w:hAnsi="Cambria"/>
      <w:sz w:val="24"/>
      <w:lang w:val="pt-BR"/>
    </w:rPr>
  </w:style>
  <w:style w:type="paragraph" w:customStyle="1" w:styleId="IASBNormalnpara">
    <w:name w:val="IASB Normal npara"/>
    <w:basedOn w:val="Normal"/>
    <w:rsid w:val="0096648A"/>
    <w:pPr>
      <w:spacing w:before="100" w:after="0"/>
      <w:ind w:left="782" w:hanging="782"/>
    </w:pPr>
    <w:rPr>
      <w:rFonts w:ascii="Times New Roman" w:hAnsi="Times New Roman"/>
      <w:sz w:val="19"/>
      <w:szCs w:val="20"/>
      <w:lang w:val="en-US" w:eastAsia="en-US"/>
    </w:rPr>
  </w:style>
  <w:style w:type="paragraph" w:customStyle="1" w:styleId="IASBNormalnparaL1">
    <w:name w:val="IASB Normal nparaL1"/>
    <w:basedOn w:val="IASBNormalnpara"/>
    <w:rsid w:val="0096648A"/>
    <w:pPr>
      <w:ind w:left="1564"/>
    </w:pPr>
  </w:style>
  <w:style w:type="character" w:customStyle="1" w:styleId="tw4winMark">
    <w:name w:val="tw4winMark"/>
    <w:rsid w:val="0096648A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styleId="PargrafodaLista">
    <w:name w:val="List Paragraph"/>
    <w:basedOn w:val="Normal"/>
    <w:uiPriority w:val="34"/>
    <w:qFormat/>
    <w:rsid w:val="0096648A"/>
    <w:pPr>
      <w:ind w:left="708"/>
    </w:pPr>
  </w:style>
  <w:style w:type="character" w:customStyle="1" w:styleId="TextoemblocoChar">
    <w:name w:val="Texto em bloco Char"/>
    <w:link w:val="Textoembloco"/>
    <w:uiPriority w:val="99"/>
    <w:locked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5BA7DCC295C4B97EFA222803C2E43" ma:contentTypeVersion="13" ma:contentTypeDescription="Create a new document." ma:contentTypeScope="" ma:versionID="dcf61a52a6102d6a804c287eb92f5667">
  <xsd:schema xmlns:xsd="http://www.w3.org/2001/XMLSchema" xmlns:xs="http://www.w3.org/2001/XMLSchema" xmlns:p="http://schemas.microsoft.com/office/2006/metadata/properties" xmlns:ns2="b69b09d8-fb11-4638-84fd-30340ac4eb29" xmlns:ns3="7b795b17-f7d2-4f27-ba4a-6f1f7eb48eda" targetNamespace="http://schemas.microsoft.com/office/2006/metadata/properties" ma:root="true" ma:fieldsID="26b38a98324d2badd97bb04ded0657e9" ns2:_="" ns3:_="">
    <xsd:import namespace="b69b09d8-fb11-4638-84fd-30340ac4eb29"/>
    <xsd:import namespace="7b795b17-f7d2-4f27-ba4a-6f1f7eb48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09d8-fb11-4638-84fd-30340ac4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95b17-f7d2-4f27-ba4a-6f1f7eb48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7A24C-C491-418F-ACFB-1D308BF91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39F9D-2FE4-4FF9-AA47-BD409D3CE8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795b17-f7d2-4f27-ba4a-6f1f7eb48eda"/>
    <ds:schemaRef ds:uri="b69b09d8-fb11-4638-84fd-30340ac4eb2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C6B274-A057-47E8-B6AE-DB36BC121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09d8-fb11-4638-84fd-30340ac4eb29"/>
    <ds:schemaRef ds:uri="7b795b17-f7d2-4f27-ba4a-6f1f7eb48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63937-F1FB-4F06-A840-BB4FF398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2260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146, DE 15 DE JUNHO DE 2022</dc:title>
  <dc:subject/>
  <dc:creator>CVM</dc:creator>
  <cp:keywords/>
  <dc:description/>
  <cp:lastModifiedBy>Renata dos Santos Leitão</cp:lastModifiedBy>
  <cp:revision>49</cp:revision>
  <dcterms:created xsi:type="dcterms:W3CDTF">2021-07-21T15:16:00Z</dcterms:created>
  <dcterms:modified xsi:type="dcterms:W3CDTF">2022-06-14T17:48:00Z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0x0101006275BA7DCC295C4B97EFA222803C2E43</vt:lpwstr>
  </property>
  <property fmtid="{D5CDD505-2E9C-101B-9397-08002B2CF9AE}" pid="3" name="Order">
    <vt:r8>35900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