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38DB" w14:textId="2195CC0C" w:rsidR="00CF08C5" w:rsidRPr="00473543" w:rsidRDefault="000A57C9" w:rsidP="00CF08C5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 w:val="0"/>
          <w:bCs w:val="0"/>
          <w:sz w:val="24"/>
          <w:lang w:val="pt-BR"/>
        </w:rPr>
      </w:pPr>
      <w:r w:rsidRPr="000A57C9">
        <w:rPr>
          <w:rFonts w:asciiTheme="minorHAnsi" w:hAnsiTheme="minorHAnsi" w:cstheme="minorHAnsi"/>
          <w:b w:val="0"/>
          <w:bCs w:val="0"/>
          <w:sz w:val="24"/>
        </w:rPr>
        <w:t>RESOLUÇÃO CVM Nº 14</w:t>
      </w:r>
      <w:r>
        <w:rPr>
          <w:rFonts w:asciiTheme="minorHAnsi" w:hAnsiTheme="minorHAnsi" w:cstheme="minorHAnsi"/>
          <w:b w:val="0"/>
          <w:bCs w:val="0"/>
          <w:sz w:val="24"/>
          <w:lang w:val="pt-BR"/>
        </w:rPr>
        <w:t>9</w:t>
      </w:r>
      <w:r w:rsidRPr="000A57C9">
        <w:rPr>
          <w:rFonts w:asciiTheme="minorHAnsi" w:hAnsiTheme="minorHAnsi" w:cstheme="minorHAnsi"/>
          <w:b w:val="0"/>
          <w:bCs w:val="0"/>
          <w:sz w:val="24"/>
        </w:rPr>
        <w:t>, DE 15 DE JUNHO DE 2022</w:t>
      </w:r>
    </w:p>
    <w:p w14:paraId="5B546EE5" w14:textId="67A4F0CC" w:rsidR="00CF08C5" w:rsidRPr="00273211" w:rsidRDefault="004D18FE" w:rsidP="00CF08C5">
      <w:pPr>
        <w:pStyle w:val="Recuodecorpodetexto"/>
        <w:spacing w:before="240" w:after="240" w:line="312" w:lineRule="auto"/>
        <w:ind w:left="4746" w:firstLine="0"/>
        <w:rPr>
          <w:rFonts w:asciiTheme="minorHAnsi" w:hAnsiTheme="minorHAnsi" w:cstheme="minorHAnsi"/>
          <w:iCs/>
          <w:sz w:val="24"/>
        </w:rPr>
      </w:pPr>
      <w:r w:rsidRPr="004D18FE">
        <w:rPr>
          <w:rFonts w:asciiTheme="minorHAnsi" w:hAnsiTheme="minorHAnsi" w:cstheme="minorHAnsi"/>
          <w:iCs/>
          <w:sz w:val="24"/>
        </w:rPr>
        <w:t xml:space="preserve">Ratifica </w:t>
      </w:r>
      <w:r w:rsidR="00824ACF">
        <w:rPr>
          <w:rFonts w:asciiTheme="minorHAnsi" w:hAnsiTheme="minorHAnsi" w:cstheme="minorHAnsi"/>
          <w:iCs/>
          <w:sz w:val="24"/>
        </w:rPr>
        <w:t>a Interpretação Técnica</w:t>
      </w:r>
      <w:r w:rsidR="00CF08C5" w:rsidRPr="00273211">
        <w:rPr>
          <w:rFonts w:asciiTheme="minorHAnsi" w:hAnsiTheme="minorHAnsi" w:cstheme="minorHAnsi"/>
          <w:iCs/>
          <w:sz w:val="24"/>
        </w:rPr>
        <w:t xml:space="preserve"> </w:t>
      </w:r>
      <w:r w:rsidR="005D7141">
        <w:rPr>
          <w:rFonts w:asciiTheme="minorHAnsi" w:hAnsiTheme="minorHAnsi" w:cstheme="minorHAnsi"/>
          <w:iCs/>
          <w:sz w:val="24"/>
        </w:rPr>
        <w:t xml:space="preserve">ICPC </w:t>
      </w:r>
      <w:r w:rsidR="00D81A2F">
        <w:rPr>
          <w:rFonts w:asciiTheme="minorHAnsi" w:hAnsiTheme="minorHAnsi" w:cstheme="minorHAnsi"/>
          <w:iCs/>
          <w:sz w:val="24"/>
        </w:rPr>
        <w:t>23</w:t>
      </w:r>
      <w:r w:rsidR="00CF08C5" w:rsidRPr="00273211">
        <w:rPr>
          <w:rFonts w:asciiTheme="minorHAnsi" w:hAnsiTheme="minorHAnsi" w:cstheme="minorHAnsi"/>
          <w:iCs/>
          <w:sz w:val="24"/>
        </w:rPr>
        <w:t xml:space="preserve"> do Comitê de Pronunciamentos Contábeis</w:t>
      </w:r>
      <w:r w:rsidRPr="004D18FE">
        <w:rPr>
          <w:rFonts w:asciiTheme="minorHAnsi" w:hAnsiTheme="minorHAnsi" w:cstheme="minorHAnsi"/>
          <w:iCs/>
          <w:sz w:val="24"/>
        </w:rPr>
        <w:t xml:space="preserve"> – CPC</w:t>
      </w:r>
      <w:r w:rsidR="00CF08C5" w:rsidRPr="00273211">
        <w:rPr>
          <w:rFonts w:asciiTheme="minorHAnsi" w:hAnsiTheme="minorHAnsi" w:cstheme="minorHAnsi"/>
          <w:iCs/>
          <w:sz w:val="24"/>
        </w:rPr>
        <w:t xml:space="preserve">, que trata </w:t>
      </w:r>
      <w:r>
        <w:rPr>
          <w:rFonts w:asciiTheme="minorHAnsi" w:hAnsiTheme="minorHAnsi" w:cstheme="minorHAnsi"/>
          <w:iCs/>
          <w:sz w:val="24"/>
        </w:rPr>
        <w:t>da</w:t>
      </w:r>
      <w:r w:rsidR="00CF08C5" w:rsidRPr="00273211">
        <w:rPr>
          <w:rFonts w:asciiTheme="minorHAnsi" w:hAnsiTheme="minorHAnsi" w:cstheme="minorHAnsi"/>
          <w:iCs/>
          <w:sz w:val="24"/>
        </w:rPr>
        <w:t xml:space="preserve"> </w:t>
      </w:r>
      <w:r w:rsidR="00CE4E66">
        <w:rPr>
          <w:rFonts w:asciiTheme="minorHAnsi" w:hAnsiTheme="minorHAnsi" w:cstheme="minorHAnsi"/>
          <w:iCs/>
          <w:sz w:val="24"/>
        </w:rPr>
        <w:t xml:space="preserve">aplicação da abordagem de atualização monetária </w:t>
      </w:r>
      <w:r w:rsidR="00AE2043">
        <w:rPr>
          <w:rFonts w:asciiTheme="minorHAnsi" w:hAnsiTheme="minorHAnsi" w:cstheme="minorHAnsi"/>
          <w:iCs/>
          <w:sz w:val="24"/>
        </w:rPr>
        <w:t>prevista no</w:t>
      </w:r>
      <w:r w:rsidR="00C056E1">
        <w:rPr>
          <w:rFonts w:asciiTheme="minorHAnsi" w:hAnsiTheme="minorHAnsi" w:cstheme="minorHAnsi"/>
          <w:iCs/>
          <w:sz w:val="24"/>
        </w:rPr>
        <w:t xml:space="preserve"> Pronunciamento Técnico</w:t>
      </w:r>
      <w:r w:rsidR="00AE2043">
        <w:rPr>
          <w:rFonts w:asciiTheme="minorHAnsi" w:hAnsiTheme="minorHAnsi" w:cstheme="minorHAnsi"/>
          <w:iCs/>
          <w:sz w:val="24"/>
        </w:rPr>
        <w:t xml:space="preserve"> CPC 42</w:t>
      </w:r>
      <w:r w:rsidR="00CF08C5" w:rsidRPr="00273211">
        <w:rPr>
          <w:rFonts w:asciiTheme="minorHAnsi" w:hAnsiTheme="minorHAnsi" w:cstheme="minorHAnsi"/>
          <w:iCs/>
          <w:sz w:val="24"/>
        </w:rPr>
        <w:t>.</w:t>
      </w:r>
    </w:p>
    <w:p w14:paraId="7D45C359" w14:textId="24B0CAF7" w:rsidR="00CF08C5" w:rsidRPr="00273211" w:rsidRDefault="00CF08C5" w:rsidP="00CF08C5">
      <w:pPr>
        <w:pStyle w:val="Corpodetexto2"/>
        <w:spacing w:before="120" w:line="312" w:lineRule="auto"/>
        <w:ind w:firstLine="567"/>
        <w:rPr>
          <w:rFonts w:asciiTheme="minorHAnsi" w:hAnsiTheme="minorHAnsi" w:cstheme="minorHAnsi"/>
          <w:b w:val="0"/>
          <w:bCs w:val="0"/>
          <w:sz w:val="24"/>
        </w:rPr>
      </w:pP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O </w:t>
      </w:r>
      <w:r w:rsidRPr="00273211">
        <w:rPr>
          <w:rFonts w:asciiTheme="minorHAnsi" w:hAnsiTheme="minorHAnsi" w:cstheme="minorHAnsi"/>
          <w:sz w:val="24"/>
        </w:rPr>
        <w:t>PRESIDENTE DA COMISSÃO DE VALORES MOBILIÁRIOS - CVM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torna público que o Colegiado, em reunião realizada em </w:t>
      </w:r>
      <w:r w:rsidR="000B6ABD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4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de </w:t>
      </w:r>
      <w:r w:rsidR="000B6ABD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maio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>de 202</w:t>
      </w:r>
      <w:r w:rsidR="00473543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, com fundamento nos §§ 3º e 5º do art. 177 da Lei n° 6.404, de 15 de dezembro de 1976, combinados com os incisos II e IV do § 1° do art. 22 da Lei n° 6.385, de 7 de dezembro de 1976, bem como nos arts. 5º e 14 do Decreto nº 10.139, de 28 de novembro de 2019, </w:t>
      </w:r>
      <w:r w:rsidRPr="00273211">
        <w:rPr>
          <w:rFonts w:asciiTheme="minorHAnsi" w:hAnsiTheme="minorHAnsi" w:cstheme="minorHAnsi"/>
          <w:sz w:val="24"/>
        </w:rPr>
        <w:t>APROVOU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a seguinte Resolução:</w:t>
      </w:r>
    </w:p>
    <w:p w14:paraId="4EBD8632" w14:textId="69687261" w:rsidR="00273211" w:rsidRPr="00273211" w:rsidRDefault="00273211" w:rsidP="00273211">
      <w:pPr>
        <w:autoSpaceDE w:val="0"/>
        <w:autoSpaceDN w:val="0"/>
        <w:adjustRightInd w:val="0"/>
        <w:spacing w:before="360"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1º  </w:t>
      </w:r>
      <w:r w:rsidR="001A32A9" w:rsidRPr="001A32A9">
        <w:rPr>
          <w:rFonts w:asciiTheme="minorHAnsi" w:hAnsiTheme="minorHAnsi" w:cstheme="minorHAnsi"/>
          <w:sz w:val="24"/>
        </w:rPr>
        <w:t xml:space="preserve">Fica ratificada a obrigatoriedade </w:t>
      </w:r>
      <w:r w:rsidRPr="00273211">
        <w:rPr>
          <w:rFonts w:asciiTheme="minorHAnsi" w:hAnsiTheme="minorHAnsi" w:cstheme="minorHAnsi"/>
          <w:sz w:val="24"/>
        </w:rPr>
        <w:t xml:space="preserve">para as companhias abertas </w:t>
      </w:r>
      <w:r w:rsidR="001A32A9">
        <w:rPr>
          <w:rFonts w:asciiTheme="minorHAnsi" w:hAnsiTheme="minorHAnsi" w:cstheme="minorHAnsi"/>
          <w:sz w:val="24"/>
        </w:rPr>
        <w:t>d</w:t>
      </w:r>
      <w:r w:rsidR="00824ACF">
        <w:rPr>
          <w:rFonts w:asciiTheme="minorHAnsi" w:hAnsiTheme="minorHAnsi" w:cstheme="minorHAnsi"/>
          <w:sz w:val="24"/>
        </w:rPr>
        <w:t xml:space="preserve">a Interpretação Técnica ICPC </w:t>
      </w:r>
      <w:r w:rsidR="00F83D67">
        <w:rPr>
          <w:rFonts w:asciiTheme="minorHAnsi" w:hAnsiTheme="minorHAnsi" w:cstheme="minorHAnsi"/>
          <w:sz w:val="24"/>
        </w:rPr>
        <w:t>23</w:t>
      </w:r>
      <w:r w:rsidR="001A32A9" w:rsidRPr="00273211">
        <w:rPr>
          <w:rFonts w:asciiTheme="minorHAnsi" w:hAnsiTheme="minorHAnsi" w:cstheme="minorHAnsi"/>
          <w:sz w:val="24"/>
        </w:rPr>
        <w:t xml:space="preserve">, que trata </w:t>
      </w:r>
      <w:r w:rsidR="001A32A9">
        <w:rPr>
          <w:rFonts w:asciiTheme="minorHAnsi" w:hAnsiTheme="minorHAnsi" w:cstheme="minorHAnsi"/>
          <w:sz w:val="24"/>
        </w:rPr>
        <w:t xml:space="preserve">da </w:t>
      </w:r>
      <w:r w:rsidR="001A32A9">
        <w:rPr>
          <w:rFonts w:asciiTheme="minorHAnsi" w:hAnsiTheme="minorHAnsi" w:cstheme="minorHAnsi"/>
          <w:iCs/>
          <w:sz w:val="24"/>
        </w:rPr>
        <w:t>aplicação da abordagem de atualização monetária prevista no Pronunciamento Técnico CPC 42,</w:t>
      </w:r>
      <w:r w:rsidRPr="00273211">
        <w:rPr>
          <w:rFonts w:asciiTheme="minorHAnsi" w:hAnsiTheme="minorHAnsi" w:cstheme="minorHAnsi"/>
          <w:sz w:val="24"/>
        </w:rPr>
        <w:t xml:space="preserve"> emitid</w:t>
      </w:r>
      <w:r w:rsidR="00824ACF">
        <w:rPr>
          <w:rFonts w:asciiTheme="minorHAnsi" w:hAnsiTheme="minorHAnsi" w:cstheme="minorHAnsi"/>
          <w:sz w:val="24"/>
        </w:rPr>
        <w:t>a</w:t>
      </w:r>
      <w:r w:rsidRPr="00273211">
        <w:rPr>
          <w:rFonts w:asciiTheme="minorHAnsi" w:hAnsiTheme="minorHAnsi" w:cstheme="minorHAnsi"/>
          <w:sz w:val="24"/>
        </w:rPr>
        <w:t xml:space="preserve"> pelo Comitê de Pronunciamentos Contábeis - CPC, </w:t>
      </w:r>
      <w:r w:rsidR="001A32A9" w:rsidRPr="001A32A9">
        <w:rPr>
          <w:rFonts w:asciiTheme="minorHAnsi" w:hAnsiTheme="minorHAnsi" w:cstheme="minorHAnsi"/>
          <w:sz w:val="24"/>
        </w:rPr>
        <w:t>conforme Anexo “A” à presente Resolução</w:t>
      </w:r>
      <w:r w:rsidR="00F83D67" w:rsidRPr="00273211">
        <w:rPr>
          <w:rFonts w:asciiTheme="minorHAnsi" w:hAnsiTheme="minorHAnsi" w:cstheme="minorHAnsi"/>
          <w:iCs/>
          <w:sz w:val="24"/>
        </w:rPr>
        <w:t>.</w:t>
      </w:r>
    </w:p>
    <w:p w14:paraId="4E2C13E3" w14:textId="4E880036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2º  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Fica revogada a Deliberação </w:t>
      </w:r>
      <w:r w:rsidR="00D410C6">
        <w:rPr>
          <w:rFonts w:asciiTheme="minorHAnsi" w:hAnsiTheme="minorHAnsi" w:cstheme="minorHAnsi"/>
          <w:color w:val="000000" w:themeColor="text1"/>
          <w:sz w:val="24"/>
        </w:rPr>
        <w:t xml:space="preserve">CVM nº </w:t>
      </w:r>
      <w:r w:rsidR="00F83D67">
        <w:rPr>
          <w:rFonts w:asciiTheme="minorHAnsi" w:hAnsiTheme="minorHAnsi" w:cstheme="minorHAnsi"/>
          <w:color w:val="000000" w:themeColor="text1"/>
          <w:sz w:val="24"/>
        </w:rPr>
        <w:t>806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, de </w:t>
      </w:r>
      <w:r w:rsidR="00D532C9">
        <w:rPr>
          <w:rFonts w:asciiTheme="minorHAnsi" w:hAnsiTheme="minorHAnsi" w:cstheme="minorHAnsi"/>
          <w:color w:val="000000" w:themeColor="text1"/>
          <w:sz w:val="24"/>
        </w:rPr>
        <w:t>27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w:r w:rsidR="00D532C9">
        <w:rPr>
          <w:rFonts w:asciiTheme="minorHAnsi" w:hAnsiTheme="minorHAnsi" w:cstheme="minorHAnsi"/>
          <w:color w:val="000000" w:themeColor="text1"/>
          <w:sz w:val="24"/>
        </w:rPr>
        <w:t>dezembro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 de 20</w:t>
      </w:r>
      <w:r w:rsidR="00D532C9">
        <w:rPr>
          <w:rFonts w:asciiTheme="minorHAnsi" w:hAnsiTheme="minorHAnsi" w:cstheme="minorHAnsi"/>
          <w:color w:val="000000" w:themeColor="text1"/>
          <w:sz w:val="24"/>
        </w:rPr>
        <w:t>18</w:t>
      </w:r>
      <w:r w:rsidR="001A32A9" w:rsidRPr="001A32A9">
        <w:rPr>
          <w:rFonts w:asciiTheme="minorHAnsi" w:hAnsiTheme="minorHAnsi" w:cstheme="minorHAnsi"/>
          <w:color w:val="000000" w:themeColor="text1"/>
          <w:sz w:val="24"/>
        </w:rPr>
        <w:t>, a partir da vigência desta Resolução</w:t>
      </w:r>
      <w:r w:rsidR="00D532C9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7C1D6C73" w14:textId="1020920B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3º  </w:t>
      </w:r>
      <w:r w:rsidR="00AA46D1" w:rsidRPr="00AA46D1">
        <w:rPr>
          <w:rFonts w:asciiTheme="minorHAnsi" w:hAnsiTheme="minorHAnsi" w:cstheme="minorHAnsi"/>
          <w:sz w:val="24"/>
        </w:rPr>
        <w:t>Esta Resolução entra em vigor em 1º de julho de 2022</w:t>
      </w:r>
      <w:r w:rsidRPr="00273211">
        <w:rPr>
          <w:rFonts w:asciiTheme="minorHAnsi" w:hAnsiTheme="minorHAnsi" w:cstheme="minorHAnsi"/>
          <w:sz w:val="24"/>
        </w:rPr>
        <w:t>.</w:t>
      </w:r>
    </w:p>
    <w:p w14:paraId="4E886EE9" w14:textId="5FF432C1" w:rsidR="00A21437" w:rsidRPr="00A92033" w:rsidRDefault="00A21437">
      <w:pPr>
        <w:spacing w:before="0" w:after="160" w:line="259" w:lineRule="auto"/>
        <w:jc w:val="left"/>
        <w:rPr>
          <w:rFonts w:cs="Arial"/>
          <w:sz w:val="24"/>
        </w:rPr>
      </w:pPr>
    </w:p>
    <w:p w14:paraId="224E36B0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i/>
          <w:iCs/>
          <w:color w:val="000000"/>
          <w:sz w:val="24"/>
        </w:rPr>
      </w:pPr>
      <w:r w:rsidRPr="00A92033">
        <w:rPr>
          <w:rFonts w:asciiTheme="minorHAnsi" w:hAnsiTheme="minorHAnsi" w:cstheme="minorHAnsi"/>
          <w:i/>
          <w:iCs/>
          <w:color w:val="000000"/>
          <w:sz w:val="24"/>
        </w:rPr>
        <w:t>Assinado eletronicamente por</w:t>
      </w:r>
    </w:p>
    <w:p w14:paraId="2D94B5D6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Marcelo Barbosa</w:t>
      </w:r>
    </w:p>
    <w:p w14:paraId="3D10998D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Presidente</w:t>
      </w:r>
    </w:p>
    <w:p w14:paraId="69D71F89" w14:textId="77777777" w:rsidR="00CF08C5" w:rsidRPr="00A92033" w:rsidRDefault="00CF08C5">
      <w:pPr>
        <w:spacing w:before="0" w:after="160" w:line="259" w:lineRule="auto"/>
        <w:jc w:val="left"/>
        <w:rPr>
          <w:rFonts w:cs="Arial"/>
          <w:sz w:val="24"/>
        </w:rPr>
      </w:pPr>
    </w:p>
    <w:p w14:paraId="74B88778" w14:textId="770323FC" w:rsidR="00DF62F3" w:rsidRDefault="00DF62F3">
      <w:pPr>
        <w:spacing w:before="0" w:after="160" w:line="259" w:lineRule="auto"/>
        <w:jc w:val="left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  <w:br w:type="page"/>
      </w:r>
    </w:p>
    <w:p w14:paraId="7F0A8AEC" w14:textId="03737D22" w:rsidR="00600A43" w:rsidRPr="00600A43" w:rsidRDefault="00600A43" w:rsidP="00F83D67">
      <w:pPr>
        <w:widowControl w:val="0"/>
        <w:autoSpaceDE w:val="0"/>
        <w:autoSpaceDN w:val="0"/>
        <w:spacing w:before="0" w:after="0"/>
        <w:ind w:left="110"/>
        <w:jc w:val="center"/>
        <w:outlineLvl w:val="6"/>
        <w:rPr>
          <w:rFonts w:eastAsia="Arial" w:cs="Arial"/>
          <w:b/>
          <w:bCs/>
          <w:sz w:val="22"/>
          <w:szCs w:val="22"/>
          <w:lang w:val="pt-BR" w:eastAsia="en-US"/>
        </w:rPr>
      </w:pPr>
      <w:r w:rsidRPr="00600A43">
        <w:rPr>
          <w:rFonts w:eastAsia="Arial" w:cs="Arial"/>
          <w:b/>
          <w:bCs/>
          <w:sz w:val="22"/>
          <w:szCs w:val="22"/>
          <w:lang w:val="pt-BR" w:eastAsia="en-US"/>
        </w:rPr>
        <w:lastRenderedPageBreak/>
        <w:t>ANEXO “A”</w:t>
      </w:r>
    </w:p>
    <w:p w14:paraId="249104C4" w14:textId="77777777" w:rsidR="00600A43" w:rsidRPr="00600A43" w:rsidRDefault="00600A43" w:rsidP="00F83D67">
      <w:pPr>
        <w:widowControl w:val="0"/>
        <w:autoSpaceDE w:val="0"/>
        <w:autoSpaceDN w:val="0"/>
        <w:spacing w:before="0" w:after="0"/>
        <w:ind w:left="110"/>
        <w:jc w:val="center"/>
        <w:outlineLvl w:val="6"/>
        <w:rPr>
          <w:rFonts w:eastAsia="Arial" w:cs="Arial"/>
          <w:b/>
          <w:bCs/>
          <w:sz w:val="22"/>
          <w:szCs w:val="22"/>
          <w:lang w:val="pt-BR" w:eastAsia="en-US"/>
        </w:rPr>
      </w:pPr>
    </w:p>
    <w:p w14:paraId="16177B3D" w14:textId="5280718D" w:rsidR="00F83D67" w:rsidRPr="00600A43" w:rsidRDefault="00F83D67" w:rsidP="00F83D67">
      <w:pPr>
        <w:widowControl w:val="0"/>
        <w:autoSpaceDE w:val="0"/>
        <w:autoSpaceDN w:val="0"/>
        <w:spacing w:before="0" w:after="0"/>
        <w:ind w:left="110"/>
        <w:jc w:val="center"/>
        <w:outlineLvl w:val="6"/>
        <w:rPr>
          <w:rFonts w:eastAsia="Arial" w:cs="Arial"/>
          <w:b/>
          <w:bCs/>
          <w:sz w:val="22"/>
          <w:szCs w:val="22"/>
          <w:lang w:val="pt-BR" w:eastAsia="en-US"/>
        </w:rPr>
      </w:pPr>
      <w:bookmarkStart w:id="0" w:name="_GoBack"/>
      <w:bookmarkEnd w:id="0"/>
      <w:r w:rsidRPr="00600A43">
        <w:rPr>
          <w:rFonts w:eastAsia="Arial" w:cs="Arial"/>
          <w:b/>
          <w:bCs/>
          <w:sz w:val="22"/>
          <w:szCs w:val="22"/>
          <w:lang w:val="pt-BR" w:eastAsia="en-US"/>
        </w:rPr>
        <w:t>COMITÊ DE PRONUNCIAMENTOS CONTÁBEIS</w:t>
      </w:r>
    </w:p>
    <w:p w14:paraId="1DDF9BFE" w14:textId="77777777" w:rsidR="00F83D67" w:rsidRPr="00600A43" w:rsidRDefault="00F83D67" w:rsidP="00F83D67">
      <w:pPr>
        <w:widowControl w:val="0"/>
        <w:autoSpaceDE w:val="0"/>
        <w:autoSpaceDN w:val="0"/>
        <w:spacing w:before="0" w:after="0"/>
        <w:jc w:val="center"/>
        <w:rPr>
          <w:rFonts w:cs="Arial"/>
          <w:sz w:val="22"/>
          <w:szCs w:val="22"/>
          <w:lang w:val="pt-BR" w:eastAsia="en-US"/>
        </w:rPr>
      </w:pPr>
    </w:p>
    <w:p w14:paraId="26702808" w14:textId="77777777" w:rsidR="00F83D67" w:rsidRPr="00600A43" w:rsidRDefault="000A57C9" w:rsidP="00F83D67">
      <w:pPr>
        <w:widowControl w:val="0"/>
        <w:autoSpaceDE w:val="0"/>
        <w:autoSpaceDN w:val="0"/>
        <w:spacing w:before="0" w:after="0"/>
        <w:jc w:val="center"/>
        <w:rPr>
          <w:rFonts w:cs="Arial"/>
          <w:sz w:val="22"/>
          <w:szCs w:val="22"/>
          <w:lang w:val="pt-BR" w:eastAsia="en-US"/>
        </w:rPr>
      </w:pPr>
      <w:hyperlink w:anchor="_bookmark907" w:history="1">
        <w:r w:rsidR="00F83D67" w:rsidRPr="00600A43">
          <w:rPr>
            <w:rFonts w:cs="Arial"/>
            <w:b/>
            <w:color w:val="231F20"/>
            <w:sz w:val="22"/>
            <w:szCs w:val="22"/>
            <w:lang w:val="pt-BR" w:eastAsia="en-US"/>
          </w:rPr>
          <w:t>INTERPRETAÇÃO TÉCNICA ICPC 23</w:t>
        </w:r>
      </w:hyperlink>
    </w:p>
    <w:p w14:paraId="37BC7CB2" w14:textId="77777777" w:rsidR="00F83D67" w:rsidRPr="00600A43" w:rsidRDefault="00F83D67" w:rsidP="00F83D67">
      <w:pPr>
        <w:widowControl w:val="0"/>
        <w:autoSpaceDE w:val="0"/>
        <w:autoSpaceDN w:val="0"/>
        <w:spacing w:before="0" w:after="0"/>
        <w:jc w:val="center"/>
        <w:rPr>
          <w:rFonts w:cs="Arial"/>
          <w:b/>
          <w:sz w:val="22"/>
          <w:szCs w:val="22"/>
          <w:lang w:val="pt-BR" w:eastAsia="en-US"/>
        </w:rPr>
      </w:pPr>
    </w:p>
    <w:p w14:paraId="55087E92" w14:textId="77777777" w:rsidR="00F83D67" w:rsidRPr="00600A43" w:rsidRDefault="000A57C9" w:rsidP="00F83D67">
      <w:pPr>
        <w:widowControl w:val="0"/>
        <w:autoSpaceDE w:val="0"/>
        <w:autoSpaceDN w:val="0"/>
        <w:spacing w:before="0" w:after="0"/>
        <w:jc w:val="center"/>
        <w:outlineLvl w:val="7"/>
        <w:rPr>
          <w:rFonts w:cs="Arial"/>
          <w:b/>
          <w:color w:val="231F20"/>
          <w:sz w:val="22"/>
          <w:szCs w:val="22"/>
          <w:lang w:val="pt-BR" w:eastAsia="en-US"/>
        </w:rPr>
      </w:pPr>
      <w:hyperlink w:anchor="_bookmark907" w:history="1">
        <w:r w:rsidR="00F83D67" w:rsidRPr="00600A43">
          <w:rPr>
            <w:rFonts w:eastAsia="Arial" w:cs="Arial"/>
            <w:b/>
            <w:bCs/>
            <w:color w:val="231F20"/>
            <w:sz w:val="22"/>
            <w:szCs w:val="22"/>
            <w:lang w:val="pt-BR" w:eastAsia="en-US"/>
          </w:rPr>
          <w:t>APLICAÇÃO</w:t>
        </w:r>
        <w:r w:rsidR="00F83D67" w:rsidRPr="00600A43">
          <w:rPr>
            <w:rFonts w:eastAsia="Arial" w:cs="Arial"/>
            <w:b/>
            <w:bCs/>
            <w:color w:val="231F20"/>
            <w:spacing w:val="-9"/>
            <w:sz w:val="22"/>
            <w:szCs w:val="22"/>
            <w:lang w:val="pt-BR" w:eastAsia="en-US"/>
          </w:rPr>
          <w:t xml:space="preserve"> </w:t>
        </w:r>
        <w:r w:rsidR="00F83D67" w:rsidRPr="00600A43">
          <w:rPr>
            <w:rFonts w:eastAsia="Arial" w:cs="Arial"/>
            <w:b/>
            <w:bCs/>
            <w:color w:val="231F20"/>
            <w:sz w:val="22"/>
            <w:szCs w:val="22"/>
            <w:lang w:val="pt-BR" w:eastAsia="en-US"/>
          </w:rPr>
          <w:t>DA</w:t>
        </w:r>
        <w:r w:rsidR="00F83D67" w:rsidRPr="00600A43">
          <w:rPr>
            <w:rFonts w:eastAsia="Arial" w:cs="Arial"/>
            <w:b/>
            <w:bCs/>
            <w:color w:val="231F20"/>
            <w:spacing w:val="-21"/>
            <w:sz w:val="22"/>
            <w:szCs w:val="22"/>
            <w:lang w:val="pt-BR" w:eastAsia="en-US"/>
          </w:rPr>
          <w:t xml:space="preserve"> </w:t>
        </w:r>
        <w:r w:rsidR="00F83D67" w:rsidRPr="00600A43">
          <w:rPr>
            <w:rFonts w:eastAsia="Arial" w:cs="Arial"/>
            <w:b/>
            <w:bCs/>
            <w:color w:val="231F20"/>
            <w:sz w:val="22"/>
            <w:szCs w:val="22"/>
            <w:lang w:val="pt-BR" w:eastAsia="en-US"/>
          </w:rPr>
          <w:t>ABORDAGEM</w:t>
        </w:r>
        <w:r w:rsidR="00F83D67" w:rsidRPr="00600A43">
          <w:rPr>
            <w:rFonts w:eastAsia="Arial" w:cs="Arial"/>
            <w:b/>
            <w:bCs/>
            <w:color w:val="231F20"/>
            <w:spacing w:val="-9"/>
            <w:sz w:val="22"/>
            <w:szCs w:val="22"/>
            <w:lang w:val="pt-BR" w:eastAsia="en-US"/>
          </w:rPr>
          <w:t xml:space="preserve"> </w:t>
        </w:r>
        <w:r w:rsidR="00F83D67" w:rsidRPr="00600A43">
          <w:rPr>
            <w:rFonts w:eastAsia="Arial" w:cs="Arial"/>
            <w:b/>
            <w:bCs/>
            <w:color w:val="231F20"/>
            <w:sz w:val="22"/>
            <w:szCs w:val="22"/>
            <w:lang w:val="pt-BR" w:eastAsia="en-US"/>
          </w:rPr>
          <w:t>DE</w:t>
        </w:r>
        <w:r w:rsidR="00F83D67" w:rsidRPr="00600A43">
          <w:rPr>
            <w:rFonts w:eastAsia="Arial" w:cs="Arial"/>
            <w:b/>
            <w:bCs/>
            <w:color w:val="231F20"/>
            <w:spacing w:val="-15"/>
            <w:sz w:val="22"/>
            <w:szCs w:val="22"/>
            <w:lang w:val="pt-BR" w:eastAsia="en-US"/>
          </w:rPr>
          <w:t xml:space="preserve"> </w:t>
        </w:r>
        <w:r w:rsidR="00F83D67" w:rsidRPr="00600A43">
          <w:rPr>
            <w:rFonts w:eastAsia="Arial" w:cs="Arial"/>
            <w:b/>
            <w:bCs/>
            <w:color w:val="231F20"/>
            <w:sz w:val="22"/>
            <w:szCs w:val="22"/>
            <w:lang w:val="pt-BR" w:eastAsia="en-US"/>
          </w:rPr>
          <w:t>ATUALIZAÇÃO</w:t>
        </w:r>
        <w:r w:rsidR="00F83D67" w:rsidRPr="00600A43">
          <w:rPr>
            <w:rFonts w:eastAsia="Arial" w:cs="Arial"/>
            <w:b/>
            <w:bCs/>
            <w:color w:val="231F20"/>
            <w:spacing w:val="-8"/>
            <w:sz w:val="22"/>
            <w:szCs w:val="22"/>
            <w:lang w:val="pt-BR" w:eastAsia="en-US"/>
          </w:rPr>
          <w:t xml:space="preserve"> </w:t>
        </w:r>
        <w:r w:rsidR="00F83D67" w:rsidRPr="00600A43">
          <w:rPr>
            <w:rFonts w:eastAsia="Arial" w:cs="Arial"/>
            <w:b/>
            <w:bCs/>
            <w:color w:val="231F20"/>
            <w:sz w:val="22"/>
            <w:szCs w:val="22"/>
            <w:lang w:val="pt-BR" w:eastAsia="en-US"/>
          </w:rPr>
          <w:t>MONETÁRIA</w:t>
        </w:r>
      </w:hyperlink>
      <w:r w:rsidR="00F83D67" w:rsidRPr="00600A43"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  <w:t xml:space="preserve"> PREVISTA NO CPC 42</w:t>
      </w:r>
    </w:p>
    <w:p w14:paraId="41EC92F0" w14:textId="77777777" w:rsidR="00F83D67" w:rsidRPr="00600A43" w:rsidRDefault="00F83D67" w:rsidP="00F83D67">
      <w:pPr>
        <w:widowControl w:val="0"/>
        <w:autoSpaceDE w:val="0"/>
        <w:autoSpaceDN w:val="0"/>
        <w:spacing w:before="0" w:after="0"/>
        <w:jc w:val="left"/>
        <w:rPr>
          <w:rFonts w:cs="Arial"/>
          <w:b/>
          <w:color w:val="231F20"/>
          <w:sz w:val="22"/>
          <w:szCs w:val="22"/>
          <w:lang w:val="pt-BR" w:eastAsia="en-US"/>
        </w:rPr>
      </w:pPr>
    </w:p>
    <w:p w14:paraId="2BCDCA3F" w14:textId="77777777" w:rsidR="00F83D67" w:rsidRPr="00F83D67" w:rsidRDefault="00F83D67" w:rsidP="00F83D67">
      <w:pPr>
        <w:widowControl w:val="0"/>
        <w:autoSpaceDE w:val="0"/>
        <w:autoSpaceDN w:val="0"/>
        <w:spacing w:before="0" w:after="0"/>
        <w:jc w:val="center"/>
        <w:rPr>
          <w:rFonts w:cs="Arial"/>
          <w:b/>
          <w:i/>
          <w:sz w:val="22"/>
          <w:szCs w:val="22"/>
          <w:lang w:val="pt-BR" w:eastAsia="en-US"/>
        </w:rPr>
      </w:pPr>
      <w:r w:rsidRPr="00F83D67">
        <w:rPr>
          <w:rFonts w:cs="Arial"/>
          <w:b/>
          <w:bCs/>
          <w:sz w:val="22"/>
          <w:szCs w:val="22"/>
          <w:lang w:val="pt-BR"/>
        </w:rPr>
        <w:t>Correlação às Normas Internacionais de Contabilidade – IFRIC 7</w:t>
      </w:r>
    </w:p>
    <w:p w14:paraId="10D48A30" w14:textId="77777777" w:rsidR="00F83D67" w:rsidRPr="00F83D67" w:rsidRDefault="00F83D67" w:rsidP="00F83D67">
      <w:pPr>
        <w:widowControl w:val="0"/>
        <w:autoSpaceDE w:val="0"/>
        <w:autoSpaceDN w:val="0"/>
        <w:spacing w:before="0" w:after="0"/>
        <w:jc w:val="left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560"/>
      </w:tblGrid>
      <w:tr w:rsidR="00F83D67" w:rsidRPr="00F83D67" w14:paraId="76277DC1" w14:textId="77777777" w:rsidTr="00BF3639">
        <w:tc>
          <w:tcPr>
            <w:tcW w:w="4819" w:type="dxa"/>
          </w:tcPr>
          <w:p w14:paraId="44C608DD" w14:textId="77777777" w:rsidR="00F83D67" w:rsidRPr="00F83D67" w:rsidRDefault="00F83D67" w:rsidP="00F83D67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Sumário</w:t>
            </w:r>
          </w:p>
        </w:tc>
        <w:tc>
          <w:tcPr>
            <w:tcW w:w="1560" w:type="dxa"/>
          </w:tcPr>
          <w:p w14:paraId="7C4ECD50" w14:textId="77777777" w:rsidR="00F83D67" w:rsidRPr="00F83D67" w:rsidRDefault="00F83D67" w:rsidP="00F83D67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Item</w:t>
            </w:r>
          </w:p>
        </w:tc>
      </w:tr>
      <w:tr w:rsidR="00F83D67" w:rsidRPr="00F83D67" w14:paraId="5B7C48F7" w14:textId="77777777" w:rsidTr="00BF3639">
        <w:tc>
          <w:tcPr>
            <w:tcW w:w="4819" w:type="dxa"/>
          </w:tcPr>
          <w:p w14:paraId="64105384" w14:textId="77777777" w:rsidR="00F83D67" w:rsidRPr="00F83D67" w:rsidRDefault="00F83D67" w:rsidP="00F83D67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eastAsia="Arial" w:cs="Arial"/>
                <w:b/>
                <w:bCs/>
                <w:color w:val="231F20"/>
                <w:sz w:val="22"/>
                <w:szCs w:val="22"/>
                <w:lang w:val="pt-BR" w:eastAsia="en-US"/>
              </w:rPr>
              <w:t>REFERÊNCIAS</w:t>
            </w:r>
          </w:p>
        </w:tc>
        <w:tc>
          <w:tcPr>
            <w:tcW w:w="1560" w:type="dxa"/>
            <w:vAlign w:val="center"/>
          </w:tcPr>
          <w:p w14:paraId="6160D946" w14:textId="77777777" w:rsidR="00F83D67" w:rsidRPr="00F83D67" w:rsidRDefault="00F83D67" w:rsidP="00F83D67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</w:p>
        </w:tc>
      </w:tr>
      <w:tr w:rsidR="00F83D67" w:rsidRPr="00F83D67" w14:paraId="4A3AFE9B" w14:textId="77777777" w:rsidTr="00BF3639">
        <w:tc>
          <w:tcPr>
            <w:tcW w:w="4819" w:type="dxa"/>
          </w:tcPr>
          <w:p w14:paraId="4A081335" w14:textId="77777777" w:rsidR="00F83D67" w:rsidRPr="00F83D67" w:rsidRDefault="00F83D67" w:rsidP="00F83D67">
            <w:pPr>
              <w:spacing w:before="60" w:after="60"/>
              <w:jc w:val="left"/>
              <w:rPr>
                <w:rFonts w:cs="Arial"/>
                <w:bCs/>
                <w:kern w:val="36"/>
                <w:sz w:val="24"/>
                <w:lang w:val="pt-BR"/>
              </w:rPr>
            </w:pPr>
            <w:r w:rsidRPr="00F83D67">
              <w:rPr>
                <w:rFonts w:eastAsia="Arial" w:cs="Arial"/>
                <w:b/>
                <w:bCs/>
                <w:color w:val="231F20"/>
                <w:sz w:val="22"/>
                <w:szCs w:val="22"/>
                <w:lang w:val="pt-BR" w:eastAsia="en-US"/>
              </w:rPr>
              <w:t>CONTEXTO</w:t>
            </w:r>
          </w:p>
        </w:tc>
        <w:tc>
          <w:tcPr>
            <w:tcW w:w="1560" w:type="dxa"/>
            <w:vAlign w:val="center"/>
          </w:tcPr>
          <w:p w14:paraId="32D5AC2D" w14:textId="77777777" w:rsidR="00F83D67" w:rsidRPr="00F83D67" w:rsidRDefault="00F83D67" w:rsidP="00F83D67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1</w:t>
            </w:r>
          </w:p>
        </w:tc>
      </w:tr>
      <w:tr w:rsidR="00F83D67" w:rsidRPr="00F83D67" w14:paraId="1ECFE625" w14:textId="77777777" w:rsidTr="00BF3639">
        <w:tc>
          <w:tcPr>
            <w:tcW w:w="4819" w:type="dxa"/>
          </w:tcPr>
          <w:p w14:paraId="54466C5B" w14:textId="77777777" w:rsidR="00F83D67" w:rsidRPr="00F83D67" w:rsidRDefault="00F83D67" w:rsidP="00F83D67">
            <w:pPr>
              <w:spacing w:before="60" w:after="60"/>
              <w:jc w:val="left"/>
              <w:rPr>
                <w:rFonts w:cs="Arial"/>
                <w:bCs/>
                <w:kern w:val="36"/>
                <w:sz w:val="24"/>
                <w:lang w:val="pt-BR"/>
              </w:rPr>
            </w:pPr>
            <w:r w:rsidRPr="00F83D67">
              <w:rPr>
                <w:rFonts w:eastAsia="Arial" w:cs="Arial"/>
                <w:b/>
                <w:bCs/>
                <w:color w:val="231F20"/>
                <w:sz w:val="22"/>
                <w:szCs w:val="22"/>
                <w:lang w:val="pt-BR" w:eastAsia="en-US"/>
              </w:rPr>
              <w:t>QUESTÕES</w:t>
            </w:r>
          </w:p>
        </w:tc>
        <w:tc>
          <w:tcPr>
            <w:tcW w:w="1560" w:type="dxa"/>
            <w:vAlign w:val="center"/>
          </w:tcPr>
          <w:p w14:paraId="2CB7B60D" w14:textId="77777777" w:rsidR="00F83D67" w:rsidRPr="00F83D67" w:rsidRDefault="00F83D67" w:rsidP="00F83D67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2</w:t>
            </w:r>
          </w:p>
        </w:tc>
      </w:tr>
      <w:tr w:rsidR="00F83D67" w:rsidRPr="00F83D67" w14:paraId="3196D473" w14:textId="77777777" w:rsidTr="00BF3639">
        <w:tc>
          <w:tcPr>
            <w:tcW w:w="4819" w:type="dxa"/>
          </w:tcPr>
          <w:p w14:paraId="28BCCF9E" w14:textId="77777777" w:rsidR="00F83D67" w:rsidRPr="00F83D67" w:rsidRDefault="00F83D67" w:rsidP="00F83D67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eastAsia="Arial" w:cs="Arial"/>
                <w:b/>
                <w:bCs/>
                <w:color w:val="231F20"/>
                <w:sz w:val="22"/>
                <w:szCs w:val="22"/>
                <w:lang w:val="pt-BR" w:eastAsia="en-US"/>
              </w:rPr>
              <w:t>CONSENSO</w:t>
            </w:r>
          </w:p>
        </w:tc>
        <w:tc>
          <w:tcPr>
            <w:tcW w:w="1560" w:type="dxa"/>
            <w:vAlign w:val="center"/>
          </w:tcPr>
          <w:p w14:paraId="6E75A062" w14:textId="77777777" w:rsidR="00F83D67" w:rsidRPr="00F83D67" w:rsidRDefault="00F83D67" w:rsidP="00F83D67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3 – 5</w:t>
            </w:r>
          </w:p>
        </w:tc>
      </w:tr>
      <w:tr w:rsidR="00F83D67" w:rsidRPr="00F83D67" w14:paraId="4A041116" w14:textId="77777777" w:rsidTr="00BF3639">
        <w:tc>
          <w:tcPr>
            <w:tcW w:w="4819" w:type="dxa"/>
          </w:tcPr>
          <w:p w14:paraId="02611B92" w14:textId="77777777" w:rsidR="00F83D67" w:rsidRPr="00F83D67" w:rsidRDefault="00F83D67" w:rsidP="00F83D67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VIGÊNCIA</w:t>
            </w:r>
          </w:p>
        </w:tc>
        <w:tc>
          <w:tcPr>
            <w:tcW w:w="1560" w:type="dxa"/>
            <w:vAlign w:val="center"/>
          </w:tcPr>
          <w:p w14:paraId="626B50B5" w14:textId="77777777" w:rsidR="00F83D67" w:rsidRPr="00F83D67" w:rsidRDefault="00F83D67" w:rsidP="00F83D67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4"/>
                <w:lang w:val="pt-BR"/>
              </w:rPr>
            </w:pPr>
            <w:r w:rsidRPr="00F83D67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6</w:t>
            </w:r>
          </w:p>
        </w:tc>
      </w:tr>
    </w:tbl>
    <w:p w14:paraId="191067F7" w14:textId="77777777" w:rsidR="00F83D67" w:rsidRPr="00F83D67" w:rsidRDefault="00F83D67" w:rsidP="00F83D67">
      <w:pPr>
        <w:widowControl w:val="0"/>
        <w:autoSpaceDE w:val="0"/>
        <w:autoSpaceDN w:val="0"/>
        <w:spacing w:before="0" w:after="0"/>
        <w:jc w:val="left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</w:p>
    <w:p w14:paraId="7CBF8B3E" w14:textId="0C34A85A" w:rsidR="00365ABB" w:rsidRDefault="00365ABB" w:rsidP="00F83D67">
      <w:pPr>
        <w:widowControl w:val="0"/>
        <w:autoSpaceDE w:val="0"/>
        <w:autoSpaceDN w:val="0"/>
        <w:spacing w:before="0" w:after="0"/>
        <w:jc w:val="left"/>
        <w:outlineLvl w:val="4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  <w:bookmarkStart w:id="1" w:name="_bookmark908"/>
      <w:bookmarkEnd w:id="1"/>
    </w:p>
    <w:p w14:paraId="5B2B3E50" w14:textId="2502770E" w:rsidR="00600A43" w:rsidRDefault="00600A43" w:rsidP="00F83D67">
      <w:pPr>
        <w:widowControl w:val="0"/>
        <w:autoSpaceDE w:val="0"/>
        <w:autoSpaceDN w:val="0"/>
        <w:spacing w:before="0" w:after="0"/>
        <w:jc w:val="left"/>
        <w:outlineLvl w:val="4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</w:p>
    <w:p w14:paraId="6A9E0E74" w14:textId="77777777" w:rsidR="00600A43" w:rsidRDefault="00600A43" w:rsidP="00F83D67">
      <w:pPr>
        <w:widowControl w:val="0"/>
        <w:autoSpaceDE w:val="0"/>
        <w:autoSpaceDN w:val="0"/>
        <w:spacing w:before="0" w:after="0"/>
        <w:jc w:val="left"/>
        <w:outlineLvl w:val="4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</w:p>
    <w:p w14:paraId="00487C49" w14:textId="45F2554F" w:rsidR="00F83D67" w:rsidRPr="00F83D67" w:rsidRDefault="00F83D67" w:rsidP="00F83D67">
      <w:pPr>
        <w:widowControl w:val="0"/>
        <w:autoSpaceDE w:val="0"/>
        <w:autoSpaceDN w:val="0"/>
        <w:spacing w:before="0" w:after="0"/>
        <w:jc w:val="left"/>
        <w:outlineLvl w:val="4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  <w:r w:rsidRPr="00F83D67"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  <w:t>Referências</w:t>
      </w:r>
    </w:p>
    <w:p w14:paraId="77D49AF0" w14:textId="77777777" w:rsidR="00F83D67" w:rsidRPr="00F83D67" w:rsidRDefault="00F83D67" w:rsidP="00F83D67">
      <w:pPr>
        <w:widowControl w:val="0"/>
        <w:autoSpaceDE w:val="0"/>
        <w:autoSpaceDN w:val="0"/>
        <w:spacing w:before="0" w:after="0"/>
        <w:ind w:left="110"/>
        <w:jc w:val="left"/>
        <w:outlineLvl w:val="4"/>
        <w:rPr>
          <w:rFonts w:eastAsia="Arial" w:cs="Arial"/>
          <w:b/>
          <w:bCs/>
          <w:sz w:val="22"/>
          <w:szCs w:val="22"/>
          <w:lang w:val="pt-BR" w:eastAsia="en-US"/>
        </w:rPr>
      </w:pPr>
    </w:p>
    <w:p w14:paraId="3248DFA7" w14:textId="77777777" w:rsidR="00F83D67" w:rsidRPr="00F83D67" w:rsidRDefault="00F83D67" w:rsidP="00F83D67">
      <w:pPr>
        <w:widowControl w:val="0"/>
        <w:numPr>
          <w:ilvl w:val="0"/>
          <w:numId w:val="3"/>
        </w:numPr>
        <w:tabs>
          <w:tab w:val="left" w:pos="507"/>
        </w:tabs>
        <w:autoSpaceDE w:val="0"/>
        <w:autoSpaceDN w:val="0"/>
        <w:spacing w:before="0" w:after="0"/>
        <w:ind w:left="567"/>
        <w:jc w:val="left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 xml:space="preserve"> CPC 32 – Tributos sobre o Lucro</w:t>
      </w:r>
    </w:p>
    <w:p w14:paraId="30B8D246" w14:textId="77777777" w:rsidR="00F83D67" w:rsidRPr="00F83D67" w:rsidRDefault="00F83D67" w:rsidP="00F83D67">
      <w:pPr>
        <w:widowControl w:val="0"/>
        <w:numPr>
          <w:ilvl w:val="0"/>
          <w:numId w:val="3"/>
        </w:numPr>
        <w:tabs>
          <w:tab w:val="left" w:pos="507"/>
        </w:tabs>
        <w:autoSpaceDE w:val="0"/>
        <w:autoSpaceDN w:val="0"/>
        <w:spacing w:before="0" w:after="0"/>
        <w:ind w:left="567"/>
        <w:jc w:val="left"/>
        <w:rPr>
          <w:rFonts w:cs="Arial"/>
          <w:i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 xml:space="preserve"> CPC 42 – Contabilidade em Economia</w:t>
      </w:r>
      <w:r w:rsidRPr="00F83D67">
        <w:rPr>
          <w:rFonts w:cs="Arial"/>
          <w:color w:val="231F20"/>
          <w:spacing w:val="-2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Hiperinflacionária</w:t>
      </w:r>
    </w:p>
    <w:p w14:paraId="3D67A1A5" w14:textId="77777777" w:rsidR="00F83D67" w:rsidRPr="00F83D67" w:rsidRDefault="00F83D67" w:rsidP="00F83D67">
      <w:pPr>
        <w:widowControl w:val="0"/>
        <w:autoSpaceDE w:val="0"/>
        <w:autoSpaceDN w:val="0"/>
        <w:spacing w:before="0" w:after="0"/>
        <w:jc w:val="left"/>
        <w:rPr>
          <w:rFonts w:cs="Arial"/>
          <w:sz w:val="22"/>
          <w:szCs w:val="22"/>
          <w:lang w:val="pt-BR" w:eastAsia="en-US"/>
        </w:rPr>
      </w:pPr>
    </w:p>
    <w:p w14:paraId="4D3BDAE0" w14:textId="77777777" w:rsidR="00600A43" w:rsidRDefault="00600A43">
      <w:pPr>
        <w:spacing w:before="0" w:after="160" w:line="259" w:lineRule="auto"/>
        <w:jc w:val="left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  <w:bookmarkStart w:id="2" w:name="_bookmark909"/>
      <w:bookmarkEnd w:id="2"/>
      <w:r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  <w:br w:type="page"/>
      </w:r>
    </w:p>
    <w:p w14:paraId="4BB10517" w14:textId="4C9D6516" w:rsidR="00F83D67" w:rsidRPr="00F83D67" w:rsidRDefault="00F83D67" w:rsidP="00F83D67">
      <w:pPr>
        <w:widowControl w:val="0"/>
        <w:autoSpaceDE w:val="0"/>
        <w:autoSpaceDN w:val="0"/>
        <w:spacing w:before="0" w:after="0"/>
        <w:jc w:val="left"/>
        <w:outlineLvl w:val="4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  <w:r w:rsidRPr="00F83D67"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  <w:lastRenderedPageBreak/>
        <w:t>Contexto</w:t>
      </w:r>
    </w:p>
    <w:p w14:paraId="611D2E80" w14:textId="77777777" w:rsidR="00F83D67" w:rsidRPr="00F83D67" w:rsidRDefault="00F83D67" w:rsidP="00F83D67">
      <w:pPr>
        <w:widowControl w:val="0"/>
        <w:autoSpaceDE w:val="0"/>
        <w:autoSpaceDN w:val="0"/>
        <w:spacing w:before="0" w:after="0"/>
        <w:ind w:left="110"/>
        <w:jc w:val="left"/>
        <w:outlineLvl w:val="4"/>
        <w:rPr>
          <w:rFonts w:eastAsia="Arial" w:cs="Arial"/>
          <w:b/>
          <w:bCs/>
          <w:sz w:val="22"/>
          <w:szCs w:val="22"/>
          <w:lang w:val="pt-BR" w:eastAsia="en-US"/>
        </w:rPr>
      </w:pPr>
    </w:p>
    <w:p w14:paraId="378DDAF6" w14:textId="77777777" w:rsidR="00F83D67" w:rsidRPr="00F83D67" w:rsidRDefault="00F83D67" w:rsidP="00365ABB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left="567" w:hanging="567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 xml:space="preserve">Esta Interpretação fornece orientação sobre como aplicar os requisitos do CPC 42 em período de relatório em que a entidade </w:t>
      </w:r>
      <w:r w:rsidRPr="00F83D67">
        <w:rPr>
          <w:rFonts w:cs="Arial"/>
          <w:color w:val="231F20"/>
          <w:spacing w:val="1"/>
          <w:sz w:val="22"/>
          <w:szCs w:val="22"/>
          <w:lang w:val="pt-BR" w:eastAsia="en-US"/>
        </w:rPr>
        <w:t>identifica</w:t>
      </w:r>
      <w:r w:rsidRPr="00F83D67">
        <w:rPr>
          <w:rFonts w:cs="Arial"/>
          <w:color w:val="231F20"/>
          <w:spacing w:val="1"/>
          <w:sz w:val="22"/>
          <w:szCs w:val="22"/>
          <w:vertAlign w:val="superscript"/>
          <w:lang w:val="pt-BR" w:eastAsia="en-US"/>
        </w:rPr>
        <w:footnoteReference w:id="1"/>
      </w:r>
      <w:r w:rsidRPr="00F83D67">
        <w:rPr>
          <w:rFonts w:cs="Arial"/>
          <w:color w:val="231F20"/>
          <w:spacing w:val="1"/>
          <w:position w:val="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 xml:space="preserve">a existência de hiperinflação na economia de </w:t>
      </w:r>
      <w:r w:rsidRPr="00F83D67">
        <w:rPr>
          <w:rFonts w:cs="Arial"/>
          <w:color w:val="231F20"/>
          <w:spacing w:val="1"/>
          <w:sz w:val="22"/>
          <w:szCs w:val="22"/>
          <w:lang w:val="pt-BR" w:eastAsia="en-US"/>
        </w:rPr>
        <w:t>sua</w:t>
      </w:r>
      <w:r w:rsidRPr="00F83D67">
        <w:rPr>
          <w:rFonts w:cs="Arial"/>
          <w:color w:val="231F20"/>
          <w:spacing w:val="5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moeda funcional, que não era hiperinflacionária no período anterior, e a entidade, portanto, atualiza monetariamente suas demonstrações contábeis de acordo com o CPC 42.</w:t>
      </w:r>
    </w:p>
    <w:p w14:paraId="5815EFE0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rPr>
          <w:rFonts w:cs="Arial"/>
          <w:sz w:val="22"/>
          <w:szCs w:val="22"/>
          <w:lang w:val="pt-BR" w:eastAsia="en-US"/>
        </w:rPr>
      </w:pPr>
    </w:p>
    <w:p w14:paraId="5CA03C6A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outlineLvl w:val="4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  <w:bookmarkStart w:id="3" w:name="_bookmark910"/>
      <w:bookmarkEnd w:id="3"/>
      <w:r w:rsidRPr="00F83D67"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  <w:t>Questões</w:t>
      </w:r>
    </w:p>
    <w:p w14:paraId="0A3A98C2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ind w:left="110"/>
        <w:outlineLvl w:val="4"/>
        <w:rPr>
          <w:rFonts w:eastAsia="Arial" w:cs="Arial"/>
          <w:b/>
          <w:bCs/>
          <w:sz w:val="22"/>
          <w:szCs w:val="22"/>
          <w:lang w:val="pt-BR" w:eastAsia="en-US"/>
        </w:rPr>
      </w:pPr>
    </w:p>
    <w:p w14:paraId="050313AF" w14:textId="77777777" w:rsidR="00F83D67" w:rsidRPr="00F83D67" w:rsidRDefault="00F83D67" w:rsidP="00365ABB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left="567" w:hanging="567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>As questões tratadas nesta Interpretação</w:t>
      </w:r>
      <w:r w:rsidRPr="00F83D67">
        <w:rPr>
          <w:rFonts w:cs="Arial"/>
          <w:color w:val="231F20"/>
          <w:spacing w:val="-18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são:</w:t>
      </w:r>
    </w:p>
    <w:p w14:paraId="6216E5CE" w14:textId="77777777" w:rsidR="00F83D67" w:rsidRPr="00F83D67" w:rsidRDefault="00F83D67" w:rsidP="00365ABB">
      <w:pPr>
        <w:widowControl w:val="0"/>
        <w:numPr>
          <w:ilvl w:val="1"/>
          <w:numId w:val="2"/>
        </w:numPr>
        <w:autoSpaceDE w:val="0"/>
        <w:autoSpaceDN w:val="0"/>
        <w:spacing w:before="0" w:after="0"/>
        <w:ind w:left="993" w:hanging="426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>como o requisito “... apresentados em termos de unidade de mensuração corrente no final do período de relatório” no item 8 do CPC 42 deve ser interpretado quando a entidade aplica o pronunciamento?</w:t>
      </w:r>
    </w:p>
    <w:p w14:paraId="237B09BF" w14:textId="77777777" w:rsidR="00F83D67" w:rsidRPr="00F83D67" w:rsidRDefault="00F83D67" w:rsidP="00365ABB">
      <w:pPr>
        <w:widowControl w:val="0"/>
        <w:numPr>
          <w:ilvl w:val="1"/>
          <w:numId w:val="2"/>
        </w:numPr>
        <w:autoSpaceDE w:val="0"/>
        <w:autoSpaceDN w:val="0"/>
        <w:spacing w:before="0" w:after="0"/>
        <w:ind w:left="993" w:hanging="426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pacing w:val="1"/>
          <w:sz w:val="22"/>
          <w:szCs w:val="22"/>
          <w:lang w:val="pt-BR" w:eastAsia="en-US"/>
        </w:rPr>
        <w:t xml:space="preserve">como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 xml:space="preserve">a </w:t>
      </w:r>
      <w:r w:rsidRPr="00F83D67">
        <w:rPr>
          <w:rFonts w:cs="Arial"/>
          <w:color w:val="231F20"/>
          <w:spacing w:val="1"/>
          <w:sz w:val="22"/>
          <w:szCs w:val="22"/>
          <w:lang w:val="pt-BR" w:eastAsia="en-US"/>
        </w:rPr>
        <w:t xml:space="preserve">entidade deve contabilizar itens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 xml:space="preserve">de </w:t>
      </w:r>
      <w:r w:rsidRPr="00F83D67">
        <w:rPr>
          <w:rFonts w:cs="Arial"/>
          <w:color w:val="231F20"/>
          <w:spacing w:val="1"/>
          <w:sz w:val="22"/>
          <w:szCs w:val="22"/>
          <w:lang w:val="pt-BR" w:eastAsia="en-US"/>
        </w:rPr>
        <w:t xml:space="preserve">impostos diferidos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 xml:space="preserve">de </w:t>
      </w:r>
      <w:r w:rsidRPr="00F83D67">
        <w:rPr>
          <w:rFonts w:cs="Arial"/>
          <w:color w:val="231F20"/>
          <w:spacing w:val="1"/>
          <w:sz w:val="22"/>
          <w:szCs w:val="22"/>
          <w:lang w:val="pt-BR" w:eastAsia="en-US"/>
        </w:rPr>
        <w:t xml:space="preserve">abertura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 xml:space="preserve">em </w:t>
      </w:r>
      <w:r w:rsidRPr="00F83D67">
        <w:rPr>
          <w:rFonts w:cs="Arial"/>
          <w:color w:val="231F20"/>
          <w:spacing w:val="2"/>
          <w:sz w:val="22"/>
          <w:szCs w:val="22"/>
          <w:lang w:val="pt-BR" w:eastAsia="en-US"/>
        </w:rPr>
        <w:t xml:space="preserve">suas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demonstrações contábeis atualizadas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monetariamente?</w:t>
      </w:r>
    </w:p>
    <w:p w14:paraId="4231AC2B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rPr>
          <w:rFonts w:cs="Arial"/>
          <w:sz w:val="22"/>
          <w:szCs w:val="22"/>
          <w:lang w:val="pt-BR" w:eastAsia="en-US"/>
        </w:rPr>
      </w:pPr>
    </w:p>
    <w:p w14:paraId="06A6C7EA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outlineLvl w:val="4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  <w:bookmarkStart w:id="4" w:name="_bookmark911"/>
      <w:bookmarkEnd w:id="4"/>
      <w:r w:rsidRPr="00F83D67"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  <w:t>Consenso</w:t>
      </w:r>
    </w:p>
    <w:p w14:paraId="47500AC3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ind w:left="110"/>
        <w:outlineLvl w:val="4"/>
        <w:rPr>
          <w:rFonts w:eastAsia="Arial" w:cs="Arial"/>
          <w:b/>
          <w:bCs/>
          <w:sz w:val="22"/>
          <w:szCs w:val="22"/>
          <w:lang w:val="pt-BR" w:eastAsia="en-US"/>
        </w:rPr>
      </w:pPr>
    </w:p>
    <w:p w14:paraId="64B9C1DD" w14:textId="77777777" w:rsidR="00F83D67" w:rsidRPr="00F83D67" w:rsidRDefault="00F83D67" w:rsidP="00365ABB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left="567" w:hanging="567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>No período de relatório em que a entidade identifica a existência de hiperinflação na economia de sua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moeda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funcional,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que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não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era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hiperinflacionária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no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período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>anterior,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entidade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deve aplicar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os</w:t>
      </w:r>
      <w:r w:rsidRPr="00F83D67">
        <w:rPr>
          <w:rFonts w:cs="Arial"/>
          <w:color w:val="231F20"/>
          <w:spacing w:val="-22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requisitos do CPC 42 como se a economia tivesse sempre sido hiperinflacionária. Portanto, em relação a itens não monetários mensurados ao custo histórico, o balanço patrimonial de abertura da entidade, no início do período mais antigo apresentado nas demonstrações contábeis, deve ser atualizado monetariamente para refletir o efeito da inflação a partir da data em que os ativos foram adquiridos e os passivos incorridos ou assumidos até o final do período de relatório. Para itens não monetários reconhecidos</w:t>
      </w:r>
      <w:r w:rsidRPr="00F83D67">
        <w:rPr>
          <w:rFonts w:cs="Arial"/>
          <w:color w:val="231F20"/>
          <w:spacing w:val="-8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no balanço patrimonial</w:t>
      </w:r>
      <w:r w:rsidRPr="00F83D67">
        <w:rPr>
          <w:rFonts w:cs="Arial"/>
          <w:color w:val="231F20"/>
          <w:spacing w:val="-8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abertura</w:t>
      </w:r>
      <w:r w:rsidRPr="00F83D67">
        <w:rPr>
          <w:rFonts w:cs="Arial"/>
          <w:color w:val="231F20"/>
          <w:spacing w:val="-8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</w:t>
      </w:r>
      <w:r w:rsidRPr="00F83D67">
        <w:rPr>
          <w:rFonts w:cs="Arial"/>
          <w:color w:val="231F20"/>
          <w:spacing w:val="-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valores</w:t>
      </w:r>
      <w:r w:rsidRPr="00F83D67">
        <w:rPr>
          <w:rFonts w:cs="Arial"/>
          <w:color w:val="231F20"/>
          <w:spacing w:val="-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correntes</w:t>
      </w:r>
      <w:r w:rsidRPr="00F83D67">
        <w:rPr>
          <w:rFonts w:cs="Arial"/>
          <w:color w:val="231F20"/>
          <w:spacing w:val="-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em</w:t>
      </w:r>
      <w:r w:rsidRPr="00F83D67">
        <w:rPr>
          <w:rFonts w:cs="Arial"/>
          <w:color w:val="231F20"/>
          <w:spacing w:val="-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datas</w:t>
      </w:r>
      <w:r w:rsidRPr="00F83D67">
        <w:rPr>
          <w:rFonts w:cs="Arial"/>
          <w:color w:val="231F20"/>
          <w:spacing w:val="-8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que</w:t>
      </w:r>
      <w:r w:rsidRPr="00F83D67">
        <w:rPr>
          <w:rFonts w:cs="Arial"/>
          <w:color w:val="231F20"/>
          <w:spacing w:val="-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não sejam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as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datas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em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que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os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ativos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foram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adquiridos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ou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os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passivos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incorridos,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essa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atualização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monetária deve refletir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efeito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da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inflação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partir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das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datas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em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que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esses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valores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contábeis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foram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determinados</w:t>
      </w:r>
      <w:r w:rsidRPr="00F83D67">
        <w:rPr>
          <w:rFonts w:cs="Arial"/>
          <w:color w:val="231F20"/>
          <w:spacing w:val="-3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até o final do período de</w:t>
      </w:r>
      <w:r w:rsidRPr="00F83D67">
        <w:rPr>
          <w:rFonts w:cs="Arial"/>
          <w:color w:val="231F20"/>
          <w:spacing w:val="-4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relatório.</w:t>
      </w:r>
    </w:p>
    <w:p w14:paraId="454F321F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rPr>
          <w:rFonts w:cs="Arial"/>
          <w:sz w:val="22"/>
          <w:szCs w:val="22"/>
          <w:lang w:val="pt-BR" w:eastAsia="en-US"/>
        </w:rPr>
      </w:pPr>
    </w:p>
    <w:p w14:paraId="0A42AC40" w14:textId="77777777" w:rsidR="00F83D67" w:rsidRPr="00F83D67" w:rsidRDefault="00F83D67" w:rsidP="00365ABB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left="567" w:hanging="567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>No final do período de relatório, os itens de impostos diferidos devem ser reconhecidos e mensurados de acordo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com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 CPC 32.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Porém,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os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valores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impostos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diferidos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no balanço patrimonial de abertura do período de relatório devem ser determinados da seguinte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forma:</w:t>
      </w:r>
    </w:p>
    <w:p w14:paraId="3AD6D6B0" w14:textId="77777777" w:rsidR="00F83D67" w:rsidRPr="00F83D67" w:rsidRDefault="00F83D67" w:rsidP="00365ABB">
      <w:pPr>
        <w:widowControl w:val="0"/>
        <w:numPr>
          <w:ilvl w:val="0"/>
          <w:numId w:val="5"/>
        </w:numPr>
        <w:autoSpaceDE w:val="0"/>
        <w:autoSpaceDN w:val="0"/>
        <w:spacing w:before="0" w:after="0"/>
        <w:ind w:left="993" w:hanging="426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>a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entidade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remensura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os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itens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impostos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diferidos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acordo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com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 CPC 32,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após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ter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atualizado monetariamente os valores contábeis nominais de seus itens não monetários na data do balanço patrimonial de abertura do período de relatório, aplicando a unidade de mensuração nessa data;</w:t>
      </w:r>
    </w:p>
    <w:p w14:paraId="5EF6E3B2" w14:textId="77777777" w:rsidR="00F83D67" w:rsidRPr="00F83D67" w:rsidRDefault="00F83D67" w:rsidP="00365ABB">
      <w:pPr>
        <w:widowControl w:val="0"/>
        <w:numPr>
          <w:ilvl w:val="0"/>
          <w:numId w:val="5"/>
        </w:numPr>
        <w:autoSpaceDE w:val="0"/>
        <w:autoSpaceDN w:val="0"/>
        <w:spacing w:before="0" w:after="0"/>
        <w:ind w:left="993" w:hanging="426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>os itens de impostos diferidos remensurados de acordo com a alínea (a) devem ser atualizados monetariamente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devido</w:t>
      </w:r>
      <w:r w:rsidRPr="00F83D67">
        <w:rPr>
          <w:rFonts w:cs="Arial"/>
          <w:color w:val="231F20"/>
          <w:spacing w:val="-1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à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mudança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na</w:t>
      </w:r>
      <w:r w:rsidRPr="00F83D67">
        <w:rPr>
          <w:rFonts w:cs="Arial"/>
          <w:color w:val="231F20"/>
          <w:spacing w:val="-1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unidade</w:t>
      </w:r>
      <w:r w:rsidRPr="00F83D67">
        <w:rPr>
          <w:rFonts w:cs="Arial"/>
          <w:color w:val="231F20"/>
          <w:spacing w:val="-1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1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mensuração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</w:t>
      </w:r>
      <w:r w:rsidRPr="00F83D67">
        <w:rPr>
          <w:rFonts w:cs="Arial"/>
          <w:color w:val="231F20"/>
          <w:spacing w:val="-16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partir</w:t>
      </w:r>
      <w:r w:rsidRPr="00F83D67">
        <w:rPr>
          <w:rFonts w:cs="Arial"/>
          <w:color w:val="231F20"/>
          <w:spacing w:val="-1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da</w:t>
      </w:r>
      <w:r w:rsidRPr="00F83D67">
        <w:rPr>
          <w:rFonts w:cs="Arial"/>
          <w:color w:val="231F20"/>
          <w:spacing w:val="-1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data</w:t>
      </w:r>
      <w:r w:rsidRPr="00F83D67">
        <w:rPr>
          <w:rFonts w:cs="Arial"/>
          <w:color w:val="231F20"/>
          <w:spacing w:val="-17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do balanço patrimonial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abertura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do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período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relatório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até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o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final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desse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período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1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relatório.</w:t>
      </w:r>
    </w:p>
    <w:p w14:paraId="408A01A0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ind w:left="993"/>
        <w:rPr>
          <w:rFonts w:cs="Arial"/>
          <w:sz w:val="22"/>
          <w:szCs w:val="22"/>
          <w:lang w:val="pt-BR" w:eastAsia="en-US"/>
        </w:rPr>
      </w:pPr>
    </w:p>
    <w:p w14:paraId="096D286D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ind w:left="567"/>
        <w:rPr>
          <w:rFonts w:cs="Arial"/>
          <w:color w:val="231F20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>A</w:t>
      </w:r>
      <w:r w:rsidRPr="00F83D67">
        <w:rPr>
          <w:rFonts w:cs="Arial"/>
          <w:color w:val="231F20"/>
          <w:spacing w:val="-3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entidade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aplica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abordagem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das alíneas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(a)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(b)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na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atualização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monetária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itens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impostos</w:t>
      </w:r>
      <w:r w:rsidRPr="00F83D67">
        <w:rPr>
          <w:rFonts w:cs="Arial"/>
          <w:color w:val="231F20"/>
          <w:spacing w:val="-21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diferidos no balanço patrimonial de abertura de quaisquer períodos comparativos apresentados nas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demonstrações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contábeis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atualizadas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monetariamente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do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período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de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relatório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em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que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</w:t>
      </w:r>
      <w:r w:rsidRPr="00F83D67">
        <w:rPr>
          <w:rFonts w:cs="Arial"/>
          <w:color w:val="231F20"/>
          <w:spacing w:val="-5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entidade aplica o CPC 42.</w:t>
      </w:r>
    </w:p>
    <w:p w14:paraId="3BB49425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ind w:left="567"/>
        <w:rPr>
          <w:rFonts w:cs="Arial"/>
          <w:sz w:val="22"/>
          <w:szCs w:val="22"/>
          <w:lang w:val="pt-BR" w:eastAsia="en-US"/>
        </w:rPr>
      </w:pPr>
    </w:p>
    <w:p w14:paraId="19A43246" w14:textId="77777777" w:rsidR="00F83D67" w:rsidRPr="00F83D67" w:rsidRDefault="00F83D67" w:rsidP="00365ABB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left="567" w:hanging="567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lastRenderedPageBreak/>
        <w:t>Após a entidade ter atualizado monetariamente suas demonstrações contábeis, todos os valores correspondentes nas demonstrações contábeis para o período de relatório subsequente, incluindo itens de impostos diferidos, devem ser atualizados monetariamente aplicando-se a mudança na unidade de mensuração para esse período de relatório subsequente somente às demonstrações contábeis atualizadas monetariamente do período de relatório</w:t>
      </w:r>
      <w:r w:rsidRPr="00F83D67">
        <w:rPr>
          <w:rFonts w:cs="Arial"/>
          <w:color w:val="231F20"/>
          <w:spacing w:val="-20"/>
          <w:sz w:val="22"/>
          <w:szCs w:val="22"/>
          <w:lang w:val="pt-BR" w:eastAsia="en-US"/>
        </w:rPr>
        <w:t xml:space="preserve"> </w:t>
      </w:r>
      <w:r w:rsidRPr="00F83D67">
        <w:rPr>
          <w:rFonts w:cs="Arial"/>
          <w:color w:val="231F20"/>
          <w:sz w:val="22"/>
          <w:szCs w:val="22"/>
          <w:lang w:val="pt-BR" w:eastAsia="en-US"/>
        </w:rPr>
        <w:t>anterior.</w:t>
      </w:r>
    </w:p>
    <w:p w14:paraId="4B29714F" w14:textId="77777777" w:rsidR="00F83D67" w:rsidRPr="00F83D67" w:rsidRDefault="00F83D67" w:rsidP="00365ABB">
      <w:pPr>
        <w:spacing w:before="0" w:after="0"/>
        <w:rPr>
          <w:rFonts w:cs="Arial"/>
          <w:sz w:val="22"/>
          <w:szCs w:val="22"/>
          <w:lang w:val="pt-BR"/>
        </w:rPr>
      </w:pPr>
    </w:p>
    <w:p w14:paraId="0FECC14A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outlineLvl w:val="4"/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</w:pPr>
      <w:r w:rsidRPr="00F83D67">
        <w:rPr>
          <w:rFonts w:eastAsia="Arial" w:cs="Arial"/>
          <w:b/>
          <w:bCs/>
          <w:color w:val="231F20"/>
          <w:sz w:val="22"/>
          <w:szCs w:val="22"/>
          <w:lang w:val="pt-BR" w:eastAsia="en-US"/>
        </w:rPr>
        <w:t>Vigência</w:t>
      </w:r>
    </w:p>
    <w:p w14:paraId="08BFE258" w14:textId="77777777" w:rsidR="00F83D67" w:rsidRPr="00F83D67" w:rsidRDefault="00F83D67" w:rsidP="00365ABB">
      <w:pPr>
        <w:widowControl w:val="0"/>
        <w:autoSpaceDE w:val="0"/>
        <w:autoSpaceDN w:val="0"/>
        <w:spacing w:before="0" w:after="0"/>
        <w:ind w:left="117"/>
        <w:outlineLvl w:val="4"/>
        <w:rPr>
          <w:rFonts w:eastAsia="Arial" w:cs="Arial"/>
          <w:b/>
          <w:bCs/>
          <w:sz w:val="22"/>
          <w:szCs w:val="22"/>
          <w:lang w:val="pt-BR" w:eastAsia="en-US"/>
        </w:rPr>
      </w:pPr>
    </w:p>
    <w:p w14:paraId="445AEEC2" w14:textId="77777777" w:rsidR="00F83D67" w:rsidRPr="00F83D67" w:rsidRDefault="00F83D67" w:rsidP="00365ABB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left="567" w:hanging="567"/>
        <w:rPr>
          <w:rFonts w:cs="Arial"/>
          <w:sz w:val="22"/>
          <w:szCs w:val="22"/>
          <w:lang w:val="pt-BR" w:eastAsia="en-US"/>
        </w:rPr>
      </w:pPr>
      <w:r w:rsidRPr="00F83D67">
        <w:rPr>
          <w:rFonts w:cs="Arial"/>
          <w:color w:val="231F20"/>
          <w:sz w:val="22"/>
          <w:szCs w:val="22"/>
          <w:lang w:val="pt-BR" w:eastAsia="en-US"/>
        </w:rPr>
        <w:t>A vigência desta Interpretação será dada pelos reguladores que a aprovarem.</w:t>
      </w:r>
    </w:p>
    <w:p w14:paraId="6F86696E" w14:textId="77777777" w:rsidR="00F83D67" w:rsidRPr="00F83D67" w:rsidRDefault="00F83D67" w:rsidP="00F83D67">
      <w:pPr>
        <w:spacing w:before="0" w:after="0"/>
        <w:jc w:val="left"/>
        <w:rPr>
          <w:rFonts w:cs="Arial"/>
          <w:sz w:val="22"/>
          <w:szCs w:val="22"/>
          <w:lang w:val="pt-BR"/>
        </w:rPr>
      </w:pPr>
    </w:p>
    <w:p w14:paraId="2C5A7000" w14:textId="286C3877" w:rsidR="00C578D8" w:rsidRDefault="00C578D8">
      <w:pPr>
        <w:rPr>
          <w:lang w:val="pt-BR"/>
        </w:rPr>
      </w:pPr>
    </w:p>
    <w:p w14:paraId="5ABEFC5B" w14:textId="77777777" w:rsidR="00273211" w:rsidRPr="0096648A" w:rsidRDefault="00273211">
      <w:pPr>
        <w:rPr>
          <w:lang w:val="pt-BR"/>
        </w:rPr>
      </w:pPr>
    </w:p>
    <w:sectPr w:rsidR="00273211" w:rsidRPr="0096648A" w:rsidSect="00A214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567" w:bottom="851" w:left="1134" w:header="720" w:footer="6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2BA3" w14:textId="77777777" w:rsidR="003D2EB3" w:rsidRDefault="003D2EB3" w:rsidP="0096648A">
      <w:pPr>
        <w:spacing w:before="0" w:after="0"/>
      </w:pPr>
      <w:r>
        <w:separator/>
      </w:r>
    </w:p>
  </w:endnote>
  <w:endnote w:type="continuationSeparator" w:id="0">
    <w:p w14:paraId="70F54E69" w14:textId="77777777" w:rsidR="003D2EB3" w:rsidRDefault="003D2EB3" w:rsidP="00966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DD0" w14:textId="77777777" w:rsidR="00D76E29" w:rsidRDefault="008443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FD24D" w14:textId="77777777" w:rsidR="00D76E29" w:rsidRDefault="000A57C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33443539"/>
      <w:docPartObj>
        <w:docPartGallery w:val="Page Numbers (Bottom of Page)"/>
        <w:docPartUnique/>
      </w:docPartObj>
    </w:sdtPr>
    <w:sdtEndPr/>
    <w:sdtContent>
      <w:p w14:paraId="4E8AE55F" w14:textId="1FEEE803" w:rsidR="00AB3649" w:rsidRPr="00AB3649" w:rsidRDefault="00AB3649">
        <w:pPr>
          <w:pStyle w:val="Rodap"/>
          <w:jc w:val="center"/>
          <w:rPr>
            <w:rFonts w:asciiTheme="minorHAnsi" w:hAnsiTheme="minorHAnsi" w:cstheme="minorHAnsi"/>
            <w:szCs w:val="20"/>
          </w:rPr>
        </w:pPr>
        <w:r w:rsidRPr="00AB3649">
          <w:rPr>
            <w:rFonts w:asciiTheme="minorHAnsi" w:hAnsiTheme="minorHAnsi" w:cstheme="minorHAnsi"/>
            <w:szCs w:val="20"/>
          </w:rPr>
          <w:fldChar w:fldCharType="begin"/>
        </w:r>
        <w:r w:rsidRPr="00AB3649">
          <w:rPr>
            <w:rFonts w:asciiTheme="minorHAnsi" w:hAnsiTheme="minorHAnsi" w:cstheme="minorHAnsi"/>
            <w:szCs w:val="20"/>
          </w:rPr>
          <w:instrText>PAGE   \* MERGEFORMAT</w:instrText>
        </w:r>
        <w:r w:rsidRPr="00AB3649">
          <w:rPr>
            <w:rFonts w:asciiTheme="minorHAnsi" w:hAnsiTheme="minorHAnsi" w:cstheme="minorHAnsi"/>
            <w:szCs w:val="20"/>
          </w:rPr>
          <w:fldChar w:fldCharType="separate"/>
        </w:r>
        <w:r w:rsidR="000A57C9" w:rsidRPr="000A57C9">
          <w:rPr>
            <w:rFonts w:asciiTheme="minorHAnsi" w:hAnsiTheme="minorHAnsi" w:cstheme="minorHAnsi"/>
            <w:noProof/>
            <w:szCs w:val="20"/>
            <w:lang w:val="pt-BR"/>
          </w:rPr>
          <w:t>3</w:t>
        </w:r>
        <w:r w:rsidRPr="00AB3649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8FC6" w14:textId="69271736" w:rsidR="00A21437" w:rsidRPr="00A21437" w:rsidRDefault="00A21437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0CC9" w14:textId="77777777" w:rsidR="003D2EB3" w:rsidRDefault="003D2EB3" w:rsidP="0096648A">
      <w:pPr>
        <w:spacing w:before="0" w:after="0"/>
      </w:pPr>
      <w:r>
        <w:separator/>
      </w:r>
    </w:p>
  </w:footnote>
  <w:footnote w:type="continuationSeparator" w:id="0">
    <w:p w14:paraId="043DB440" w14:textId="77777777" w:rsidR="003D2EB3" w:rsidRDefault="003D2EB3" w:rsidP="0096648A">
      <w:pPr>
        <w:spacing w:before="0" w:after="0"/>
      </w:pPr>
      <w:r>
        <w:continuationSeparator/>
      </w:r>
    </w:p>
  </w:footnote>
  <w:footnote w:id="1">
    <w:p w14:paraId="1287A2D1" w14:textId="77777777" w:rsidR="00F83D67" w:rsidRPr="001D2E03" w:rsidRDefault="00F83D67" w:rsidP="00F83D67">
      <w:pPr>
        <w:pStyle w:val="Textodenotaderodap"/>
        <w:rPr>
          <w:rFonts w:ascii="Arial" w:hAnsi="Arial" w:cs="Arial"/>
          <w:sz w:val="18"/>
          <w:szCs w:val="18"/>
        </w:rPr>
      </w:pPr>
      <w:r w:rsidRPr="001D2E03">
        <w:rPr>
          <w:rStyle w:val="Refdenotaderodap"/>
          <w:rFonts w:ascii="Arial" w:hAnsi="Arial" w:cs="Arial"/>
          <w:sz w:val="18"/>
          <w:szCs w:val="18"/>
        </w:rPr>
        <w:footnoteRef/>
      </w:r>
      <w:r w:rsidRPr="001D2E03">
        <w:rPr>
          <w:rFonts w:ascii="Arial" w:hAnsi="Arial" w:cs="Arial"/>
          <w:sz w:val="18"/>
          <w:szCs w:val="18"/>
        </w:rPr>
        <w:t xml:space="preserve"> </w:t>
      </w:r>
      <w:r w:rsidRPr="001D2E03">
        <w:rPr>
          <w:rFonts w:ascii="Arial" w:hAnsi="Arial" w:cs="Arial"/>
          <w:color w:val="231F20"/>
          <w:sz w:val="18"/>
          <w:szCs w:val="18"/>
          <w:lang w:eastAsia="en-US"/>
        </w:rPr>
        <w:t>A identificação de hiperinflação é baseada no julgamento da entidade pelos critérios do item 3 do CPC 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A5FC" w14:textId="77777777" w:rsidR="00A21437" w:rsidRPr="007A1E4D" w:rsidRDefault="00A21437" w:rsidP="00A21437">
    <w:pPr>
      <w:tabs>
        <w:tab w:val="center" w:pos="4419"/>
        <w:tab w:val="right" w:pos="8838"/>
      </w:tabs>
      <w:spacing w:before="0" w:after="0"/>
      <w:jc w:val="center"/>
    </w:pPr>
    <w:r>
      <w:rPr>
        <w:noProof/>
        <w:lang w:val="pt-BR"/>
      </w:rPr>
      <w:drawing>
        <wp:inline distT="0" distB="0" distL="0" distR="0" wp14:anchorId="7D04D14D" wp14:editId="3CDE6438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B8A5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A21437">
      <w:rPr>
        <w:rFonts w:asciiTheme="minorHAnsi" w:hAnsiTheme="minorHAnsi" w:cstheme="minorHAnsi"/>
        <w:b/>
        <w:sz w:val="24"/>
      </w:rPr>
      <w:t>COMISSÃO DE VALORES MOBILIÁRIOS</w:t>
    </w:r>
  </w:p>
  <w:p w14:paraId="385674C6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67CA99E2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27E57A7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23F598BB" w14:textId="240864E4" w:rsidR="00A21437" w:rsidRDefault="000A57C9" w:rsidP="00A21437">
    <w:pPr>
      <w:pStyle w:val="Cabealho"/>
      <w:spacing w:before="0" w:after="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  <w:p w14:paraId="18930FD4" w14:textId="2D86A8F3" w:rsidR="00D76E29" w:rsidRPr="00A21437" w:rsidRDefault="000A57C9" w:rsidP="00A21437">
    <w:pPr>
      <w:pStyle w:val="Cabealho"/>
      <w:spacing w:before="240" w:after="240"/>
      <w:rPr>
        <w:rFonts w:asciiTheme="minorHAnsi" w:hAnsiTheme="minorHAnsi" w:cstheme="minorHAnsi"/>
      </w:rPr>
    </w:pPr>
    <w:r w:rsidRPr="000A57C9">
      <w:rPr>
        <w:rFonts w:asciiTheme="minorHAnsi" w:hAnsiTheme="minorHAnsi" w:cstheme="minorHAnsi"/>
        <w:szCs w:val="20"/>
      </w:rPr>
      <w:t>RESOLUÇÃO CVM Nº 14</w:t>
    </w:r>
    <w:r>
      <w:rPr>
        <w:rFonts w:asciiTheme="minorHAnsi" w:hAnsiTheme="minorHAnsi" w:cstheme="minorHAnsi"/>
        <w:szCs w:val="20"/>
      </w:rPr>
      <w:t>9</w:t>
    </w:r>
    <w:r w:rsidRPr="000A57C9">
      <w:rPr>
        <w:rFonts w:asciiTheme="minorHAnsi" w:hAnsiTheme="minorHAnsi" w:cstheme="minorHAnsi"/>
        <w:szCs w:val="20"/>
      </w:rPr>
      <w:t>, DE 15 DE JUNHO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1AFD" w14:textId="77777777" w:rsidR="00DF62F3" w:rsidRPr="007A1E4D" w:rsidRDefault="00DF62F3" w:rsidP="00DF62F3">
    <w:pPr>
      <w:tabs>
        <w:tab w:val="center" w:pos="4419"/>
        <w:tab w:val="right" w:pos="8838"/>
      </w:tabs>
      <w:jc w:val="center"/>
    </w:pPr>
    <w:r>
      <w:rPr>
        <w:noProof/>
        <w:lang w:val="pt-BR"/>
      </w:rPr>
      <w:drawing>
        <wp:inline distT="0" distB="0" distL="0" distR="0" wp14:anchorId="03F737A4" wp14:editId="3E1E4ECB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1390C" w14:textId="77777777" w:rsidR="00DF62F3" w:rsidRPr="00DF62F3" w:rsidRDefault="00DF62F3" w:rsidP="00DF62F3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DF62F3">
      <w:rPr>
        <w:rFonts w:asciiTheme="minorHAnsi" w:hAnsiTheme="minorHAnsi" w:cstheme="minorHAnsi"/>
        <w:b/>
        <w:sz w:val="24"/>
      </w:rPr>
      <w:t>COMISSÃO DE VALORES MOBILIÁRIOS</w:t>
    </w:r>
  </w:p>
  <w:p w14:paraId="3EE652BB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2500B3D1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6FF1146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0D54C72" w14:textId="411AEB93" w:rsidR="00D76E29" w:rsidRDefault="000A57C9" w:rsidP="00DF62F3">
    <w:pPr>
      <w:pStyle w:val="Cabealho"/>
      <w:spacing w:before="0" w:after="36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abstractNum w:abstractNumId="1" w15:restartNumberingAfterBreak="0">
    <w:nsid w:val="2E855E4A"/>
    <w:multiLevelType w:val="hybridMultilevel"/>
    <w:tmpl w:val="22FECAE4"/>
    <w:lvl w:ilvl="0" w:tplc="F28A4F14">
      <w:start w:val="1"/>
      <w:numFmt w:val="decimal"/>
      <w:lvlText w:val="%1."/>
      <w:lvlJc w:val="left"/>
      <w:pPr>
        <w:ind w:left="469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371275E8"/>
    <w:multiLevelType w:val="hybridMultilevel"/>
    <w:tmpl w:val="AFBE9AC4"/>
    <w:lvl w:ilvl="0" w:tplc="D202561A">
      <w:start w:val="1"/>
      <w:numFmt w:val="lowerLetter"/>
      <w:lvlText w:val="(%1)"/>
      <w:lvlJc w:val="left"/>
      <w:pPr>
        <w:ind w:left="1584" w:hanging="624"/>
      </w:pPr>
      <w:rPr>
        <w:rFonts w:ascii="Arial" w:eastAsia="Times New Roman" w:hAnsi="Arial" w:cs="Arial" w:hint="default"/>
        <w:color w:val="231F20"/>
        <w:spacing w:val="-15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A461C"/>
    <w:multiLevelType w:val="hybridMultilevel"/>
    <w:tmpl w:val="D4B49A06"/>
    <w:lvl w:ilvl="0" w:tplc="E4D68BF2">
      <w:start w:val="1"/>
      <w:numFmt w:val="decimal"/>
      <w:lvlText w:val="%1"/>
      <w:lvlJc w:val="left"/>
      <w:pPr>
        <w:ind w:left="960" w:hanging="851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24"/>
        <w:szCs w:val="24"/>
      </w:rPr>
    </w:lvl>
    <w:lvl w:ilvl="1" w:tplc="612E9410">
      <w:start w:val="1"/>
      <w:numFmt w:val="lowerLetter"/>
      <w:lvlText w:val="(%2)"/>
      <w:lvlJc w:val="left"/>
      <w:pPr>
        <w:ind w:left="1584" w:hanging="624"/>
      </w:pPr>
      <w:rPr>
        <w:rFonts w:ascii="Arial" w:eastAsia="Times New Roman" w:hAnsi="Arial" w:cs="Arial" w:hint="default"/>
        <w:color w:val="231F20"/>
        <w:spacing w:val="-15"/>
        <w:w w:val="100"/>
        <w:sz w:val="22"/>
        <w:szCs w:val="22"/>
      </w:rPr>
    </w:lvl>
    <w:lvl w:ilvl="2" w:tplc="128030B0">
      <w:numFmt w:val="bullet"/>
      <w:lvlText w:val="•"/>
      <w:lvlJc w:val="left"/>
      <w:pPr>
        <w:ind w:left="2374" w:hanging="624"/>
      </w:pPr>
      <w:rPr>
        <w:rFonts w:hint="default"/>
      </w:rPr>
    </w:lvl>
    <w:lvl w:ilvl="3" w:tplc="24507FBC">
      <w:numFmt w:val="bullet"/>
      <w:lvlText w:val="•"/>
      <w:lvlJc w:val="left"/>
      <w:pPr>
        <w:ind w:left="3169" w:hanging="624"/>
      </w:pPr>
      <w:rPr>
        <w:rFonts w:hint="default"/>
      </w:rPr>
    </w:lvl>
    <w:lvl w:ilvl="4" w:tplc="BDA86584">
      <w:numFmt w:val="bullet"/>
      <w:lvlText w:val="•"/>
      <w:lvlJc w:val="left"/>
      <w:pPr>
        <w:ind w:left="3963" w:hanging="624"/>
      </w:pPr>
      <w:rPr>
        <w:rFonts w:hint="default"/>
      </w:rPr>
    </w:lvl>
    <w:lvl w:ilvl="5" w:tplc="0248C416">
      <w:numFmt w:val="bullet"/>
      <w:lvlText w:val="•"/>
      <w:lvlJc w:val="left"/>
      <w:pPr>
        <w:ind w:left="4758" w:hanging="624"/>
      </w:pPr>
      <w:rPr>
        <w:rFonts w:hint="default"/>
      </w:rPr>
    </w:lvl>
    <w:lvl w:ilvl="6" w:tplc="284A2112">
      <w:numFmt w:val="bullet"/>
      <w:lvlText w:val="•"/>
      <w:lvlJc w:val="left"/>
      <w:pPr>
        <w:ind w:left="5553" w:hanging="624"/>
      </w:pPr>
      <w:rPr>
        <w:rFonts w:hint="default"/>
      </w:rPr>
    </w:lvl>
    <w:lvl w:ilvl="7" w:tplc="2E54A018">
      <w:numFmt w:val="bullet"/>
      <w:lvlText w:val="•"/>
      <w:lvlJc w:val="left"/>
      <w:pPr>
        <w:ind w:left="6347" w:hanging="624"/>
      </w:pPr>
      <w:rPr>
        <w:rFonts w:hint="default"/>
      </w:rPr>
    </w:lvl>
    <w:lvl w:ilvl="8" w:tplc="51BAC28A">
      <w:numFmt w:val="bullet"/>
      <w:lvlText w:val="•"/>
      <w:lvlJc w:val="left"/>
      <w:pPr>
        <w:ind w:left="7142" w:hanging="624"/>
      </w:pPr>
      <w:rPr>
        <w:rFonts w:hint="default"/>
      </w:rPr>
    </w:lvl>
  </w:abstractNum>
  <w:abstractNum w:abstractNumId="4" w15:restartNumberingAfterBreak="0">
    <w:nsid w:val="7EB12B54"/>
    <w:multiLevelType w:val="hybridMultilevel"/>
    <w:tmpl w:val="D4C8A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A"/>
    <w:rsid w:val="000A57C9"/>
    <w:rsid w:val="000B6ABD"/>
    <w:rsid w:val="001A32A9"/>
    <w:rsid w:val="00273211"/>
    <w:rsid w:val="00275BD2"/>
    <w:rsid w:val="00365ABB"/>
    <w:rsid w:val="003D2EB3"/>
    <w:rsid w:val="00473543"/>
    <w:rsid w:val="004D18FE"/>
    <w:rsid w:val="005D7141"/>
    <w:rsid w:val="00600A43"/>
    <w:rsid w:val="0061171C"/>
    <w:rsid w:val="00767D0A"/>
    <w:rsid w:val="00824ACF"/>
    <w:rsid w:val="0084434F"/>
    <w:rsid w:val="0096648A"/>
    <w:rsid w:val="009D3457"/>
    <w:rsid w:val="00A21437"/>
    <w:rsid w:val="00A92033"/>
    <w:rsid w:val="00AA46D1"/>
    <w:rsid w:val="00AB3649"/>
    <w:rsid w:val="00AE2043"/>
    <w:rsid w:val="00AF7F34"/>
    <w:rsid w:val="00C056E1"/>
    <w:rsid w:val="00C578D8"/>
    <w:rsid w:val="00C72039"/>
    <w:rsid w:val="00CE4E66"/>
    <w:rsid w:val="00CF08C5"/>
    <w:rsid w:val="00CF424B"/>
    <w:rsid w:val="00D410C6"/>
    <w:rsid w:val="00D532C9"/>
    <w:rsid w:val="00D81A2F"/>
    <w:rsid w:val="00DF62F3"/>
    <w:rsid w:val="00E653D2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952"/>
  <w15:chartTrackingRefBased/>
  <w15:docId w15:val="{A039BEE3-6F4A-46C4-9423-3667D03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8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pt-PT" w:eastAsia="pt-BR"/>
    </w:rPr>
  </w:style>
  <w:style w:type="paragraph" w:styleId="Ttulo1">
    <w:name w:val="heading 1"/>
    <w:basedOn w:val="Normal"/>
    <w:link w:val="Ttulo1Char"/>
    <w:qFormat/>
    <w:rsid w:val="0096648A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9664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664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664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6648A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link w:val="Ttulo7Char"/>
    <w:qFormat/>
    <w:rsid w:val="0096648A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96648A"/>
    <w:pPr>
      <w:spacing w:before="240" w:after="60"/>
      <w:outlineLvl w:val="7"/>
    </w:pPr>
    <w:rPr>
      <w:rFonts w:ascii="Cambria" w:hAnsi="Cambria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48A"/>
    <w:rPr>
      <w:rFonts w:ascii="Times New Roman" w:eastAsia="Times New Roman" w:hAnsi="Times New Roman" w:cs="Times New Roman"/>
      <w:b/>
      <w:bC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6648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96648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96648A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96648A"/>
    <w:rPr>
      <w:rFonts w:ascii="Arial" w:eastAsia="Times New Roman" w:hAnsi="Arial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96648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Ttulo7Char">
    <w:name w:val="Título 7 Char"/>
    <w:basedOn w:val="Fontepargpadro"/>
    <w:link w:val="Ttulo7"/>
    <w:rsid w:val="00966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48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8A"/>
    <w:rPr>
      <w:rFonts w:ascii="Tahoma" w:eastAsia="Times New Roman" w:hAnsi="Tahoma" w:cs="Times New Roman"/>
      <w:sz w:val="16"/>
      <w:szCs w:val="16"/>
      <w:lang w:val="pt-PT" w:eastAsia="x-none"/>
    </w:rPr>
  </w:style>
  <w:style w:type="character" w:customStyle="1" w:styleId="BalloonTextChar">
    <w:name w:val="Balloon Text Char"/>
    <w:semiHidden/>
    <w:rsid w:val="0096648A"/>
    <w:rPr>
      <w:rFonts w:ascii="Lucida Grande" w:hAnsi="Lucida Grande"/>
      <w:sz w:val="18"/>
      <w:szCs w:val="18"/>
    </w:rPr>
  </w:style>
  <w:style w:type="paragraph" w:styleId="Textoembloco">
    <w:name w:val="Block Text"/>
    <w:basedOn w:val="Normal"/>
    <w:link w:val="TextoemblocoChar"/>
    <w:uiPriority w:val="99"/>
    <w:rsid w:val="0096648A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lang w:eastAsia="x-none"/>
    </w:rPr>
  </w:style>
  <w:style w:type="paragraph" w:styleId="Cabealho">
    <w:name w:val="header"/>
    <w:basedOn w:val="Normal"/>
    <w:link w:val="CabealhoChar"/>
    <w:uiPriority w:val="99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Rodap">
    <w:name w:val="footer"/>
    <w:basedOn w:val="Normal"/>
    <w:link w:val="RodapChar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RodapChar">
    <w:name w:val="Rodapé Char"/>
    <w:basedOn w:val="Fontepargpadro"/>
    <w:link w:val="Rodap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styleId="Refdecomentrio">
    <w:name w:val="annotation reference"/>
    <w:uiPriority w:val="99"/>
    <w:semiHidden/>
    <w:rsid w:val="009664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48A"/>
    <w:pPr>
      <w:spacing w:before="0" w:after="0"/>
    </w:pPr>
    <w:rPr>
      <w:rFonts w:ascii="Times New Roman" w:hAnsi="Times New Roman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48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Recuonormal1">
    <w:name w:val="Recuo normal1"/>
    <w:basedOn w:val="Normal"/>
    <w:rsid w:val="0096648A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semiHidden/>
    <w:rsid w:val="0096648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48A"/>
    <w:pPr>
      <w:spacing w:before="120" w:after="120"/>
    </w:pPr>
    <w:rPr>
      <w:rFonts w:ascii="Arial" w:hAnsi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48A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96648A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96648A"/>
    <w:rPr>
      <w:rFonts w:ascii="Times New Roman" w:eastAsia="Times New Roman" w:hAnsi="Times New Roman" w:cs="Times New Roman"/>
      <w:lang w:eastAsia="pt-BR"/>
    </w:rPr>
  </w:style>
  <w:style w:type="character" w:customStyle="1" w:styleId="grame">
    <w:name w:val="grame"/>
    <w:basedOn w:val="Fontepargpadro"/>
    <w:rsid w:val="0096648A"/>
  </w:style>
  <w:style w:type="character" w:customStyle="1" w:styleId="spelle">
    <w:name w:val="spelle"/>
    <w:basedOn w:val="Fontepargpadro"/>
    <w:rsid w:val="0096648A"/>
  </w:style>
  <w:style w:type="character" w:styleId="Refdenotaderodap">
    <w:name w:val="footnote reference"/>
    <w:semiHidden/>
    <w:rsid w:val="0096648A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6648A"/>
    <w:pPr>
      <w:spacing w:before="0" w:after="0"/>
    </w:pPr>
    <w:rPr>
      <w:rFonts w:ascii="Times New Roman" w:hAnsi="Times New Roman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6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next w:val="Normal"/>
    <w:rsid w:val="0096648A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character" w:styleId="Nmerodepgina">
    <w:name w:val="page number"/>
    <w:basedOn w:val="Fontepargpadro"/>
    <w:rsid w:val="0096648A"/>
  </w:style>
  <w:style w:type="paragraph" w:customStyle="1" w:styleId="Normal1">
    <w:name w:val="Normal1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link w:val="RecuodecorpodetextoChar"/>
    <w:semiHidden/>
    <w:rsid w:val="0096648A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48A"/>
    <w:rPr>
      <w:rFonts w:ascii="Times New Roman" w:eastAsia="Times New Roman" w:hAnsi="Times New Roman" w:cs="Times New Roman"/>
      <w:sz w:val="2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96648A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48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5-BulletNvel1">
    <w:name w:val="15 - «Bullet» Nível 1"/>
    <w:basedOn w:val="Normal"/>
    <w:rsid w:val="0096648A"/>
    <w:pPr>
      <w:numPr>
        <w:numId w:val="1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semiHidden/>
    <w:rsid w:val="0096648A"/>
    <w:rPr>
      <w:color w:val="008000"/>
      <w:u w:val="single"/>
    </w:rPr>
  </w:style>
  <w:style w:type="paragraph" w:customStyle="1" w:styleId="IASBNormal">
    <w:name w:val="IASB Normal"/>
    <w:rsid w:val="0096648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Arial">
    <w:name w:val="IASB Normal Arial"/>
    <w:basedOn w:val="IASBNormal"/>
    <w:rsid w:val="0096648A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96648A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96648A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96648A"/>
    <w:rPr>
      <w:i/>
    </w:rPr>
  </w:style>
  <w:style w:type="paragraph" w:customStyle="1" w:styleId="IASBFootnoteText">
    <w:name w:val="IASB Footnote Text"/>
    <w:basedOn w:val="IASBNormal"/>
    <w:rsid w:val="0096648A"/>
    <w:pPr>
      <w:spacing w:before="0" w:after="60"/>
      <w:ind w:left="284" w:hanging="284"/>
    </w:pPr>
    <w:rPr>
      <w:sz w:val="16"/>
    </w:rPr>
  </w:style>
  <w:style w:type="paragraph" w:customStyle="1" w:styleId="DaveIASBSubsectionTitle">
    <w:name w:val="Dave IASB Subsection Title"/>
    <w:basedOn w:val="IASBTitle"/>
    <w:rsid w:val="0096648A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link w:val="MapadoDocumentoChar"/>
    <w:semiHidden/>
    <w:rsid w:val="009664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648A"/>
    <w:rPr>
      <w:rFonts w:ascii="Tahoma" w:eastAsia="Times New Roman" w:hAnsi="Tahoma" w:cs="Tahoma"/>
      <w:sz w:val="20"/>
      <w:szCs w:val="24"/>
      <w:shd w:val="clear" w:color="auto" w:fill="000080"/>
      <w:lang w:val="pt-PT" w:eastAsia="pt-BR"/>
    </w:rPr>
  </w:style>
  <w:style w:type="paragraph" w:customStyle="1" w:styleId="ZchnZchnCharCharZchnZchnCharCharZchnZchnCharCharZchnZchn1CharCharZchnZchnCharChar">
    <w:name w:val="Zchn Zchn Char Char Zchn Zchn Char Char Zchn Zchn Char Char Zchn Zchn1 Char Char Zchn Zchn Char Char"/>
    <w:basedOn w:val="Normal"/>
    <w:rsid w:val="0096648A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styleId="Corpodetexto3">
    <w:name w:val="Body Text 3"/>
    <w:basedOn w:val="Normal"/>
    <w:link w:val="Corpodetexto3Char"/>
    <w:semiHidden/>
    <w:rsid w:val="0096648A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648A"/>
    <w:rPr>
      <w:rFonts w:ascii="Arial" w:eastAsia="Times New Roman" w:hAnsi="Arial" w:cs="Times New Roman"/>
      <w:sz w:val="16"/>
      <w:szCs w:val="16"/>
      <w:lang w:val="pt-PT" w:eastAsia="pt-BR"/>
    </w:rPr>
  </w:style>
  <w:style w:type="character" w:customStyle="1" w:styleId="CharChar">
    <w:name w:val="Char Char"/>
    <w:semiHidden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table" w:styleId="Tabelacomgrade">
    <w:name w:val="Table Grid"/>
    <w:basedOn w:val="Tabelanormal"/>
    <w:rsid w:val="0096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2"/>
    <w:basedOn w:val="Normal"/>
    <w:rsid w:val="0096648A"/>
    <w:pPr>
      <w:spacing w:after="60"/>
      <w:jc w:val="left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paragraph" w:styleId="Corpodetexto2">
    <w:name w:val="Body Text 2"/>
    <w:basedOn w:val="Normal"/>
    <w:link w:val="Corpodetexto2Char"/>
    <w:rsid w:val="0096648A"/>
    <w:pPr>
      <w:spacing w:before="40" w:after="40"/>
    </w:pPr>
    <w:rPr>
      <w:rFonts w:ascii="Times New Roman" w:hAnsi="Times New Roman"/>
      <w:b/>
      <w:b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96648A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ListParagraph1">
    <w:name w:val="List Paragraph1"/>
    <w:basedOn w:val="Normal"/>
    <w:qFormat/>
    <w:rsid w:val="0096648A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rcador">
    <w:name w:val="marcador"/>
    <w:basedOn w:val="Normal"/>
    <w:rsid w:val="0096648A"/>
    <w:pPr>
      <w:spacing w:before="0" w:after="0"/>
      <w:jc w:val="left"/>
    </w:pPr>
    <w:rPr>
      <w:sz w:val="24"/>
      <w:lang w:val="pt-BR"/>
    </w:rPr>
  </w:style>
  <w:style w:type="paragraph" w:customStyle="1" w:styleId="Default">
    <w:name w:val="Default"/>
    <w:rsid w:val="0096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NDES">
    <w:name w:val="BNDES"/>
    <w:basedOn w:val="Normal"/>
    <w:rsid w:val="0096648A"/>
    <w:pPr>
      <w:spacing w:before="0" w:after="0"/>
    </w:pPr>
    <w:rPr>
      <w:rFonts w:ascii="Optimum" w:hAnsi="Optimum"/>
      <w:sz w:val="24"/>
      <w:lang w:val="pt-BR"/>
    </w:rPr>
  </w:style>
  <w:style w:type="character" w:customStyle="1" w:styleId="hps">
    <w:name w:val="hps"/>
    <w:uiPriority w:val="99"/>
    <w:rsid w:val="0096648A"/>
    <w:rPr>
      <w:rFonts w:ascii="Times New Roman" w:hAnsi="Times New Roman" w:cs="Times New Roman" w:hint="default"/>
    </w:rPr>
  </w:style>
  <w:style w:type="paragraph" w:customStyle="1" w:styleId="Style20">
    <w:name w:val="Style20"/>
    <w:basedOn w:val="Normal"/>
    <w:uiPriority w:val="99"/>
    <w:rsid w:val="0096648A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hAnsi="Cambria"/>
      <w:sz w:val="24"/>
      <w:lang w:val="pt-BR"/>
    </w:rPr>
  </w:style>
  <w:style w:type="paragraph" w:customStyle="1" w:styleId="IASBNormalnpara">
    <w:name w:val="IASB Normal npara"/>
    <w:basedOn w:val="Normal"/>
    <w:rsid w:val="0096648A"/>
    <w:pPr>
      <w:spacing w:before="100" w:after="0"/>
      <w:ind w:left="782" w:hanging="782"/>
    </w:pPr>
    <w:rPr>
      <w:rFonts w:ascii="Times New Roman" w:hAnsi="Times New Roman"/>
      <w:sz w:val="19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96648A"/>
    <w:pPr>
      <w:ind w:left="1564"/>
    </w:pPr>
  </w:style>
  <w:style w:type="character" w:customStyle="1" w:styleId="tw4winMark">
    <w:name w:val="tw4winMark"/>
    <w:rsid w:val="0096648A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PargrafodaLista">
    <w:name w:val="List Paragraph"/>
    <w:basedOn w:val="Normal"/>
    <w:uiPriority w:val="34"/>
    <w:qFormat/>
    <w:rsid w:val="0096648A"/>
    <w:pPr>
      <w:ind w:left="708"/>
    </w:pPr>
  </w:style>
  <w:style w:type="character" w:customStyle="1" w:styleId="TextoemblocoChar">
    <w:name w:val="Texto em bloco Char"/>
    <w:link w:val="Textoembloco"/>
    <w:uiPriority w:val="99"/>
    <w:locked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5BA7DCC295C4B97EFA222803C2E43" ma:contentTypeVersion="13" ma:contentTypeDescription="Create a new document." ma:contentTypeScope="" ma:versionID="dcf61a52a6102d6a804c287eb92f5667">
  <xsd:schema xmlns:xsd="http://www.w3.org/2001/XMLSchema" xmlns:xs="http://www.w3.org/2001/XMLSchema" xmlns:p="http://schemas.microsoft.com/office/2006/metadata/properties" xmlns:ns2="b69b09d8-fb11-4638-84fd-30340ac4eb29" xmlns:ns3="7b795b17-f7d2-4f27-ba4a-6f1f7eb48eda" targetNamespace="http://schemas.microsoft.com/office/2006/metadata/properties" ma:root="true" ma:fieldsID="26b38a98324d2badd97bb04ded0657e9" ns2:_="" ns3:_="">
    <xsd:import namespace="b69b09d8-fb11-4638-84fd-30340ac4eb29"/>
    <xsd:import namespace="7b795b17-f7d2-4f27-ba4a-6f1f7eb4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09d8-fb11-4638-84fd-30340ac4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5b17-f7d2-4f27-ba4a-6f1f7eb4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9F9D-2FE4-4FF9-AA47-BD409D3CE89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b795b17-f7d2-4f27-ba4a-6f1f7eb48eda"/>
    <ds:schemaRef ds:uri="b69b09d8-fb11-4638-84fd-30340ac4eb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530AC4-E3F9-4817-BBE5-DA7CE671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09d8-fb11-4638-84fd-30340ac4eb29"/>
    <ds:schemaRef ds:uri="7b795b17-f7d2-4f27-ba4a-6f1f7eb48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7A24C-C491-418F-ACFB-1D308BF91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A51B9-924D-4280-BA42-935240E0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149, DE 15 DE JUNHO DE 2022</dc:title>
  <dc:subject/>
  <dc:creator>CVM</dc:creator>
  <cp:keywords/>
  <dc:description/>
  <cp:lastModifiedBy>Renata dos Santos Leitão</cp:lastModifiedBy>
  <cp:revision>32</cp:revision>
  <dcterms:created xsi:type="dcterms:W3CDTF">2021-07-21T15:16:00Z</dcterms:created>
  <dcterms:modified xsi:type="dcterms:W3CDTF">2022-06-14T18:16:00Z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0x0101006275BA7DCC295C4B97EFA222803C2E43</vt:lpwstr>
  </property>
  <property fmtid="{D5CDD505-2E9C-101B-9397-08002B2CF9AE}" pid="3" name="Order">
    <vt:r8>35900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