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6593" w14:textId="17640FF1" w:rsidR="00841BBF" w:rsidRPr="00C1691E" w:rsidRDefault="00841BBF" w:rsidP="00C1691E">
      <w:pPr>
        <w:pStyle w:val="TtulodaResoluo"/>
      </w:pPr>
      <w:bookmarkStart w:id="0" w:name="_GoBack"/>
      <w:bookmarkEnd w:id="0"/>
      <w:r w:rsidRPr="00C1691E">
        <w:t xml:space="preserve">Resolução CVM nº </w:t>
      </w:r>
      <w:r w:rsidR="00A8425E">
        <w:t>162</w:t>
      </w:r>
      <w:r w:rsidR="009B69B0" w:rsidRPr="00C1691E">
        <w:t xml:space="preserve">, de </w:t>
      </w:r>
      <w:r w:rsidR="00A8425E">
        <w:t>13</w:t>
      </w:r>
      <w:r w:rsidR="00967670">
        <w:t xml:space="preserve"> de </w:t>
      </w:r>
      <w:r w:rsidR="00A8425E">
        <w:t>JULHO</w:t>
      </w:r>
      <w:r w:rsidR="009B69B0" w:rsidRPr="00C1691E">
        <w:t xml:space="preserve"> de </w:t>
      </w:r>
      <w:r w:rsidR="00967670">
        <w:t>202</w:t>
      </w:r>
      <w:r w:rsidR="00A8425E">
        <w:t>2</w:t>
      </w:r>
    </w:p>
    <w:p w14:paraId="5B1689EC" w14:textId="63C59710" w:rsidR="00841BBF" w:rsidRPr="00411F73" w:rsidRDefault="0092756D" w:rsidP="00411F73">
      <w:pPr>
        <w:pStyle w:val="Ementa"/>
      </w:pPr>
      <w:r w:rsidRPr="00411F73">
        <w:t xml:space="preserve">Altera a Instrução CVM nº 153, de 24 de julho de 1991, a Instrução CVM nº 332, de 4 de abril de 2000, </w:t>
      </w:r>
      <w:r w:rsidR="00A65984" w:rsidRPr="00411F73">
        <w:t xml:space="preserve">a Instrução CVM nº 359, de 22 de janeiro de 2002, </w:t>
      </w:r>
      <w:r w:rsidR="00CD5D89">
        <w:t xml:space="preserve">a Instrução CVM nº 381, de 14 de janeiro de 2003, </w:t>
      </w:r>
      <w:r w:rsidR="00A65984" w:rsidRPr="00411F73">
        <w:t xml:space="preserve">a Instrução CVM nº 398, de 28 de outubro de 2003, a Instrução CVM nº 399, de 21 de novembro de 2003, a </w:t>
      </w:r>
      <w:r w:rsidR="009B2E8D" w:rsidRPr="00411F73">
        <w:t>Instrução CVM nº 472, de 31 de outubro de 2008,</w:t>
      </w:r>
      <w:r w:rsidR="00AA6211">
        <w:t xml:space="preserve"> a Instrução CVM nº 555</w:t>
      </w:r>
      <w:r w:rsidR="0015521F">
        <w:t>, de 17 de dezembro de 2014,</w:t>
      </w:r>
      <w:r w:rsidR="009B2E8D" w:rsidRPr="00411F73">
        <w:t xml:space="preserve"> </w:t>
      </w:r>
      <w:r w:rsidR="00A34017">
        <w:t>a</w:t>
      </w:r>
      <w:r w:rsidR="00E81175">
        <w:t xml:space="preserve"> Resolução CVM nº 8</w:t>
      </w:r>
      <w:r w:rsidR="00286326">
        <w:t>, de 14 de outubro de 2020, a</w:t>
      </w:r>
      <w:r w:rsidR="002565FC">
        <w:t xml:space="preserve"> Resolução CVM nº 17 de 9 de fevereiro de 2021</w:t>
      </w:r>
      <w:r w:rsidR="00A34017">
        <w:t>, a</w:t>
      </w:r>
      <w:r w:rsidR="00286326">
        <w:t xml:space="preserve"> Resolução CVM nº 21, </w:t>
      </w:r>
      <w:r w:rsidR="00426B1D">
        <w:t>de 25 de fevereiro de 2021,</w:t>
      </w:r>
      <w:r w:rsidR="00984F31">
        <w:t xml:space="preserve"> a</w:t>
      </w:r>
      <w:r w:rsidR="00426B1D">
        <w:t xml:space="preserve"> </w:t>
      </w:r>
      <w:r w:rsidR="00984F31">
        <w:t xml:space="preserve">Resolução CVM nº 30, de </w:t>
      </w:r>
      <w:r w:rsidR="00F44845">
        <w:t>11</w:t>
      </w:r>
      <w:r w:rsidR="00984F31">
        <w:t xml:space="preserve"> de </w:t>
      </w:r>
      <w:r w:rsidR="003C1822">
        <w:t>ma</w:t>
      </w:r>
      <w:r w:rsidR="00F44845">
        <w:t>io</w:t>
      </w:r>
      <w:r w:rsidR="00984F31">
        <w:t xml:space="preserve"> de 20</w:t>
      </w:r>
      <w:r w:rsidR="00F44845">
        <w:t>21</w:t>
      </w:r>
      <w:r w:rsidR="00984F31">
        <w:t>,</w:t>
      </w:r>
      <w:r w:rsidR="003C1822">
        <w:t xml:space="preserve"> </w:t>
      </w:r>
      <w:r w:rsidR="00426B1D">
        <w:t>a</w:t>
      </w:r>
      <w:r w:rsidR="00A34017">
        <w:t xml:space="preserve"> Resolução CVM nº 45, de 31 de agosto de 2021</w:t>
      </w:r>
      <w:r w:rsidR="00247CF6">
        <w:t>, a Resolução CVM nº 51, de 31 de agosto de 2021,</w:t>
      </w:r>
      <w:r w:rsidR="00E55EC4">
        <w:t xml:space="preserve"> </w:t>
      </w:r>
      <w:r w:rsidR="00564C5D">
        <w:t xml:space="preserve">a Resolução CVM nº 60, de 23 de dezembro de 2021, </w:t>
      </w:r>
      <w:r w:rsidR="00E55EC4">
        <w:t xml:space="preserve">e a Resolução CVM nº 80, de </w:t>
      </w:r>
      <w:r w:rsidR="00733800">
        <w:t>29 de março de 2022</w:t>
      </w:r>
      <w:r w:rsidR="000E5B21" w:rsidRPr="00411F73">
        <w:t>.</w:t>
      </w:r>
      <w:r w:rsidR="00DF1DDA" w:rsidRPr="00411F73">
        <w:t xml:space="preserve"> </w:t>
      </w:r>
    </w:p>
    <w:p w14:paraId="0AB6148E" w14:textId="4633C1E4" w:rsidR="000844C6" w:rsidRDefault="006E1797" w:rsidP="000844C6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B260B6">
        <w:t>7</w:t>
      </w:r>
      <w:r w:rsidR="004070E9">
        <w:t xml:space="preserve"> de </w:t>
      </w:r>
      <w:r w:rsidR="00733800">
        <w:t>ju</w:t>
      </w:r>
      <w:r w:rsidR="00CD1D96">
        <w:t>l</w:t>
      </w:r>
      <w:r w:rsidR="00733800">
        <w:t xml:space="preserve">ho </w:t>
      </w:r>
      <w:r w:rsidR="004070E9">
        <w:t xml:space="preserve">de </w:t>
      </w:r>
      <w:r w:rsidR="00733800">
        <w:t>2022</w:t>
      </w:r>
      <w:r w:rsidR="000844C6">
        <w:t xml:space="preserve">, com fundamento no disposto no art. 8º, inciso I da Lei nº 6.385, de 7 de dezembro de 1976, </w:t>
      </w:r>
      <w:r w:rsidR="000844C6" w:rsidRPr="00C54B60">
        <w:rPr>
          <w:b/>
          <w:bCs/>
        </w:rPr>
        <w:t>APROVOU</w:t>
      </w:r>
      <w:r w:rsidR="000844C6">
        <w:t xml:space="preserve"> a seguinte Resolução:</w:t>
      </w:r>
    </w:p>
    <w:p w14:paraId="42E1C04E" w14:textId="2D90602F" w:rsidR="004030CE" w:rsidRDefault="00DF1DDA" w:rsidP="008929C4">
      <w:r w:rsidRPr="00967670">
        <w:t>Art. 1</w:t>
      </w:r>
      <w:proofErr w:type="gramStart"/>
      <w:r w:rsidR="00DB6EC7">
        <w:t>º</w:t>
      </w:r>
      <w:r w:rsidR="004030CE">
        <w:t xml:space="preserve"> </w:t>
      </w:r>
      <w:r w:rsidR="000E4D22">
        <w:t xml:space="preserve"> </w:t>
      </w:r>
      <w:r w:rsidR="00FB4E57" w:rsidRPr="29884CE1">
        <w:rPr>
          <w:color w:val="000000" w:themeColor="text1"/>
        </w:rPr>
        <w:t>A</w:t>
      </w:r>
      <w:proofErr w:type="gramEnd"/>
      <w:r w:rsidR="00FB4E57" w:rsidRPr="29884CE1">
        <w:rPr>
          <w:color w:val="000000" w:themeColor="text1"/>
        </w:rPr>
        <w:t xml:space="preserve"> </w:t>
      </w:r>
      <w:r w:rsidR="00FB4E57">
        <w:t>Instrução CVM nº 153, de 24 de julho de 1991</w:t>
      </w:r>
      <w:r w:rsidR="00FB4E57" w:rsidRPr="29884CE1">
        <w:rPr>
          <w:color w:val="000000" w:themeColor="text1"/>
        </w:rPr>
        <w:t>, passa a vigorar com a seguinte redação:</w:t>
      </w:r>
    </w:p>
    <w:p w14:paraId="699B435B" w14:textId="4931ABF3" w:rsidR="0011647B" w:rsidRPr="00B70B33" w:rsidRDefault="00FB4E57" w:rsidP="008929C4">
      <w:pPr>
        <w:pStyle w:val="NormaAlterada"/>
        <w:spacing w:before="0"/>
      </w:pPr>
      <w:r w:rsidRPr="00B70B33">
        <w:t>“Art. 20.</w:t>
      </w:r>
      <w:r w:rsidR="00AF17D5" w:rsidRPr="00AF17D5">
        <w:t xml:space="preserve"> </w:t>
      </w:r>
      <w:r w:rsidR="00AF17D5" w:rsidRPr="002D7259">
        <w:t>...........................................</w:t>
      </w:r>
      <w:r w:rsidR="00AF17D5">
        <w:t>.........................</w:t>
      </w:r>
    </w:p>
    <w:p w14:paraId="0473DDCB" w14:textId="3B940F9D" w:rsidR="00103ACD" w:rsidRPr="00B70B33" w:rsidRDefault="00FB4E57" w:rsidP="00BD47ED">
      <w:pPr>
        <w:pStyle w:val="NormaAlterada"/>
      </w:pPr>
      <w:r w:rsidRPr="00B70B33">
        <w:t>§</w:t>
      </w:r>
      <w:r w:rsidR="003323F6">
        <w:t xml:space="preserve"> </w:t>
      </w:r>
      <w:r w:rsidRPr="00B70B33">
        <w:t>1º</w:t>
      </w:r>
      <w:r w:rsidR="00AF17D5" w:rsidRPr="002D7259">
        <w:t>...........................................................................</w:t>
      </w:r>
    </w:p>
    <w:p w14:paraId="6C105F27" w14:textId="0F17358F" w:rsidR="00103ACD" w:rsidRDefault="00103ACD" w:rsidP="00BD47ED">
      <w:pPr>
        <w:pStyle w:val="NormaAlterada"/>
      </w:pPr>
      <w:r w:rsidRPr="00B70B33">
        <w:t xml:space="preserve">I </w:t>
      </w:r>
      <w:r w:rsidR="008929C4">
        <w:t>–</w:t>
      </w:r>
      <w:r w:rsidRPr="00B70B33">
        <w:t xml:space="preserve"> quando</w:t>
      </w:r>
      <w:r w:rsidR="008929C4">
        <w:t xml:space="preserve"> </w:t>
      </w:r>
      <w:r w:rsidRPr="00B70B33">
        <w:t>distribuídas publicamente por meio de oferta registrada na CVM; ou</w:t>
      </w:r>
      <w:r w:rsidR="000A5301">
        <w:rPr>
          <w:rStyle w:val="Refdenotaderodap"/>
        </w:rPr>
        <w:footnoteReference w:id="2"/>
      </w:r>
    </w:p>
    <w:p w14:paraId="0BE769F0" w14:textId="60129AF7" w:rsidR="00103ACD" w:rsidRPr="00B70B33" w:rsidRDefault="00AF17D5" w:rsidP="00BD47ED">
      <w:pPr>
        <w:pStyle w:val="NormaAlterada"/>
      </w:pPr>
      <w:r w:rsidRPr="002D7259">
        <w:t>...........................................................................</w:t>
      </w:r>
      <w:r w:rsidR="00985666">
        <w:t>” (NR)</w:t>
      </w:r>
    </w:p>
    <w:p w14:paraId="56498AE3" w14:textId="07C9C5D6" w:rsidR="00DE2240" w:rsidRDefault="00D93DAC" w:rsidP="00D93DAC">
      <w:r>
        <w:t xml:space="preserve">Art. </w:t>
      </w:r>
      <w:r w:rsidR="00CB737D">
        <w:t>2</w:t>
      </w:r>
      <w:proofErr w:type="gramStart"/>
      <w:r w:rsidR="00CB737D">
        <w:t xml:space="preserve">º  </w:t>
      </w:r>
      <w:r w:rsidRPr="00FB4E57">
        <w:rPr>
          <w:color w:val="000000"/>
        </w:rPr>
        <w:t>A</w:t>
      </w:r>
      <w:proofErr w:type="gramEnd"/>
      <w:r w:rsidRPr="00FB4E57">
        <w:rPr>
          <w:color w:val="000000"/>
        </w:rPr>
        <w:t xml:space="preserve"> </w:t>
      </w:r>
      <w:r>
        <w:t>Instrução CVM nº 332, de 4 de abril de 2000</w:t>
      </w:r>
      <w:r w:rsidRPr="00FB4E57">
        <w:rPr>
          <w:color w:val="000000"/>
        </w:rPr>
        <w:t>, passa a vigorar com a seguinte redação:</w:t>
      </w:r>
    </w:p>
    <w:p w14:paraId="5E6217E8" w14:textId="44CFCD3F" w:rsidR="00D93DAC" w:rsidRDefault="00D93DAC" w:rsidP="00D93DAC">
      <w:pPr>
        <w:pStyle w:val="NormaAlterada"/>
      </w:pPr>
      <w:r>
        <w:t>“Art. 3º</w:t>
      </w:r>
      <w:r w:rsidR="00AF17D5" w:rsidRPr="002D7259">
        <w:t>...........................................</w:t>
      </w:r>
      <w:r w:rsidR="00AF17D5">
        <w:t>.....................</w:t>
      </w:r>
    </w:p>
    <w:p w14:paraId="743BF944" w14:textId="7301C9B8" w:rsidR="00D93DAC" w:rsidRPr="00506488" w:rsidRDefault="00D93DAC" w:rsidP="00D93DAC">
      <w:pPr>
        <w:pStyle w:val="NormaAlterada"/>
      </w:pPr>
      <w:r w:rsidRPr="00506488">
        <w:lastRenderedPageBreak/>
        <w:t>§</w:t>
      </w:r>
      <w:r w:rsidR="00EA1397">
        <w:t xml:space="preserve"> </w:t>
      </w:r>
      <w:r w:rsidRPr="00506488">
        <w:t>1º</w:t>
      </w:r>
      <w:r w:rsidR="00AF17D5" w:rsidRPr="002D7259">
        <w:t>...........................................</w:t>
      </w:r>
      <w:r w:rsidR="00AF17D5">
        <w:t>.........................</w:t>
      </w:r>
    </w:p>
    <w:p w14:paraId="4A01BD87" w14:textId="26A47DE6" w:rsidR="004008F9" w:rsidRDefault="00D93DAC" w:rsidP="004008F9">
      <w:pPr>
        <w:pStyle w:val="NormaAlterada"/>
      </w:pPr>
      <w:r w:rsidRPr="00506488">
        <w:t xml:space="preserve">I </w:t>
      </w:r>
      <w:r w:rsidR="004008F9">
        <w:t>–</w:t>
      </w:r>
      <w:r w:rsidRPr="00506488">
        <w:t xml:space="preserve"> </w:t>
      </w:r>
      <w:r w:rsidR="00AF17D5" w:rsidRPr="002D7259">
        <w:t>...........................................</w:t>
      </w:r>
      <w:r w:rsidR="00AF17D5">
        <w:t>...........................</w:t>
      </w:r>
    </w:p>
    <w:p w14:paraId="2B9F39A3" w14:textId="720AE4E9" w:rsidR="00AF17D5" w:rsidRDefault="00AF17D5" w:rsidP="00D93DAC">
      <w:pPr>
        <w:pStyle w:val="NormaAlterada"/>
      </w:pPr>
      <w:r w:rsidRPr="002D7259">
        <w:t>...........................................</w:t>
      </w:r>
      <w:r w:rsidR="000B458C">
        <w:t>...............................</w:t>
      </w:r>
    </w:p>
    <w:p w14:paraId="3584DCFF" w14:textId="3DD93EA0" w:rsidR="00D93DAC" w:rsidRPr="00506488" w:rsidRDefault="00D93DAC" w:rsidP="00D93DAC">
      <w:pPr>
        <w:pStyle w:val="NormaAlterada"/>
      </w:pPr>
      <w:r w:rsidRPr="00506488">
        <w:t xml:space="preserve">e) possibilidade de oferta pública </w:t>
      </w:r>
      <w:r w:rsidR="00FE3BEB">
        <w:t>sujeita ao</w:t>
      </w:r>
      <w:r w:rsidR="00BD47ED" w:rsidRPr="00506488">
        <w:t xml:space="preserve"> </w:t>
      </w:r>
      <w:r w:rsidR="00506488" w:rsidRPr="00506488">
        <w:t xml:space="preserve">rito automático </w:t>
      </w:r>
      <w:r w:rsidR="00FE3BEB">
        <w:t>de distribuição</w:t>
      </w:r>
      <w:r w:rsidRPr="00506488">
        <w:t>, nos termos da regulamentação específica, hipótese na qual a negociação deve obrigatoriamente ocorrer em segmentos específicos para BDR Nível I de entidade de mercado de balcão organizado ou bolsa de valores.</w:t>
      </w:r>
    </w:p>
    <w:p w14:paraId="091339DA" w14:textId="0AB44920" w:rsidR="004008F9" w:rsidRDefault="00D93DAC" w:rsidP="004008F9">
      <w:pPr>
        <w:pStyle w:val="NormaAlterada"/>
      </w:pPr>
      <w:r w:rsidRPr="00506488">
        <w:t xml:space="preserve">II </w:t>
      </w:r>
      <w:r w:rsidR="00EA1397">
        <w:t>–</w:t>
      </w:r>
      <w:r w:rsidRPr="00506488">
        <w:t xml:space="preserve"> </w:t>
      </w:r>
      <w:r w:rsidR="00AF17D5" w:rsidRPr="002D7259">
        <w:t>...........................................</w:t>
      </w:r>
      <w:r w:rsidR="00AF17D5">
        <w:t>..........................</w:t>
      </w:r>
    </w:p>
    <w:p w14:paraId="5B4D8B6D" w14:textId="77777777" w:rsidR="00AF17D5" w:rsidRDefault="00AF17D5" w:rsidP="00D93DAC">
      <w:pPr>
        <w:pStyle w:val="NormaAlterada"/>
      </w:pPr>
      <w:r w:rsidRPr="002D7259">
        <w:t>...........................................................................</w:t>
      </w:r>
    </w:p>
    <w:p w14:paraId="4F27D8BE" w14:textId="01CD44FD" w:rsidR="00D93DAC" w:rsidRPr="00506488" w:rsidRDefault="00D93DAC" w:rsidP="00D93DAC">
      <w:pPr>
        <w:pStyle w:val="NormaAlterada"/>
      </w:pPr>
      <w:r w:rsidRPr="00506488">
        <w:t xml:space="preserve">c) possibilidade </w:t>
      </w:r>
      <w:r w:rsidR="00FE3BEB">
        <w:t xml:space="preserve">de </w:t>
      </w:r>
      <w:r w:rsidR="00FE3BEB" w:rsidRPr="00506488">
        <w:t xml:space="preserve">oferta pública </w:t>
      </w:r>
      <w:r w:rsidR="00FE3BEB">
        <w:t>sujeita ao</w:t>
      </w:r>
      <w:r w:rsidR="00FE3BEB" w:rsidRPr="00506488">
        <w:t xml:space="preserve"> rito automático </w:t>
      </w:r>
      <w:r w:rsidR="00FE3BEB">
        <w:t>de distribuição</w:t>
      </w:r>
      <w:r w:rsidRPr="00506488">
        <w:t>, nos termos da regulamentação específica.</w:t>
      </w:r>
    </w:p>
    <w:p w14:paraId="1F815488" w14:textId="4B7E9660" w:rsidR="004008F9" w:rsidRDefault="00D93DAC" w:rsidP="004008F9">
      <w:pPr>
        <w:pStyle w:val="NormaAlterada"/>
      </w:pPr>
      <w:r w:rsidRPr="00506488">
        <w:t xml:space="preserve">III </w:t>
      </w:r>
      <w:r w:rsidR="00EA1397">
        <w:t>–</w:t>
      </w:r>
      <w:r w:rsidRPr="00506488">
        <w:t xml:space="preserve"> </w:t>
      </w:r>
      <w:r w:rsidR="00AF17D5" w:rsidRPr="002D7259">
        <w:t>.......................................................................</w:t>
      </w:r>
    </w:p>
    <w:p w14:paraId="575C0C95" w14:textId="525BC7AD" w:rsidR="00D93DAC" w:rsidRPr="000D456A" w:rsidRDefault="00110213" w:rsidP="00110213">
      <w:pPr>
        <w:pStyle w:val="NormaAlterada"/>
      </w:pPr>
      <w:r w:rsidRPr="000D456A">
        <w:t xml:space="preserve">a) </w:t>
      </w:r>
      <w:r w:rsidR="00D93DAC" w:rsidRPr="000D456A">
        <w:t>possibilidade de distribuição por oferta pública registrada na CVM, nos termos da regulamentação específica;</w:t>
      </w:r>
    </w:p>
    <w:p w14:paraId="015B87CD" w14:textId="260819C8" w:rsidR="00D93DAC" w:rsidRPr="000D456A" w:rsidRDefault="00AF17D5" w:rsidP="000D456A">
      <w:pPr>
        <w:spacing w:before="200" w:after="200"/>
      </w:pPr>
      <w:r w:rsidRPr="002D7259">
        <w:t>...........................................................................</w:t>
      </w:r>
      <w:r w:rsidR="00FE3BEB" w:rsidRPr="000D456A">
        <w:t>” (NR)</w:t>
      </w:r>
    </w:p>
    <w:p w14:paraId="2456BB3A" w14:textId="1CBB820E" w:rsidR="00DE2240" w:rsidRDefault="00D93DAC" w:rsidP="00D93DAC">
      <w:r>
        <w:t xml:space="preserve">Art. </w:t>
      </w:r>
      <w:r w:rsidR="00DB6EC7">
        <w:t>3</w:t>
      </w:r>
      <w:proofErr w:type="gramStart"/>
      <w:r w:rsidR="009B2E8D">
        <w:t xml:space="preserve">º  </w:t>
      </w:r>
      <w:r w:rsidRPr="00FB4E57">
        <w:rPr>
          <w:color w:val="000000"/>
        </w:rPr>
        <w:t>A</w:t>
      </w:r>
      <w:proofErr w:type="gramEnd"/>
      <w:r w:rsidRPr="00FB4E57">
        <w:rPr>
          <w:color w:val="000000"/>
        </w:rPr>
        <w:t xml:space="preserve"> </w:t>
      </w:r>
      <w:r>
        <w:t>Instrução CVM nº 359, de 22 de janeiro de 2002</w:t>
      </w:r>
      <w:r w:rsidRPr="00FB4E57">
        <w:rPr>
          <w:color w:val="000000"/>
        </w:rPr>
        <w:t>, passa a vigorar com a seguinte redação:</w:t>
      </w:r>
    </w:p>
    <w:p w14:paraId="0B97A234" w14:textId="75726BC3" w:rsidR="00A57EC9" w:rsidRDefault="00D93DAC" w:rsidP="000107DE">
      <w:pPr>
        <w:pStyle w:val="Seo"/>
        <w:rPr>
          <w:smallCaps/>
        </w:rPr>
      </w:pPr>
      <w:r>
        <w:t>“</w:t>
      </w:r>
      <w:r w:rsidR="00A57EC9" w:rsidRPr="000D3B42">
        <w:t>Seção II</w:t>
      </w:r>
      <w:r w:rsidR="00BE3A93">
        <w:t xml:space="preserve"> – O</w:t>
      </w:r>
      <w:r w:rsidR="00A57EC9" w:rsidRPr="000D3B42">
        <w:t xml:space="preserve">ferta </w:t>
      </w:r>
      <w:r w:rsidR="00BE3A93">
        <w:t>P</w:t>
      </w:r>
      <w:r w:rsidR="00A57EC9" w:rsidRPr="000D3B42">
        <w:t xml:space="preserve">ública de </w:t>
      </w:r>
      <w:r w:rsidR="00BE3A93">
        <w:t>C</w:t>
      </w:r>
      <w:r w:rsidR="00A57EC9" w:rsidRPr="000D3B42">
        <w:t>otas</w:t>
      </w:r>
    </w:p>
    <w:p w14:paraId="533662A1" w14:textId="209B55DB" w:rsidR="00A57EC9" w:rsidRDefault="00576B76" w:rsidP="002E577C">
      <w:pPr>
        <w:spacing w:before="200" w:after="200"/>
      </w:pPr>
      <w:r>
        <w:t>“</w:t>
      </w:r>
      <w:r w:rsidR="00A57EC9">
        <w:t xml:space="preserve">Art. 28.  </w:t>
      </w:r>
      <w:r w:rsidR="004870A2">
        <w:t>A</w:t>
      </w:r>
      <w:r w:rsidR="00A57EC9">
        <w:t xml:space="preserve"> oferta pública de cotas do fundo</w:t>
      </w:r>
      <w:r w:rsidR="005A2E8F">
        <w:t xml:space="preserve"> independe de pr</w:t>
      </w:r>
      <w:r w:rsidR="000D3B42">
        <w:t>évi</w:t>
      </w:r>
      <w:r w:rsidR="002C3C71">
        <w:t>o</w:t>
      </w:r>
      <w:r w:rsidR="000D3B42">
        <w:t xml:space="preserve"> </w:t>
      </w:r>
      <w:r w:rsidR="79C85BA9">
        <w:t>registro</w:t>
      </w:r>
      <w:r w:rsidR="000D3B42">
        <w:t xml:space="preserve"> da CVM</w:t>
      </w:r>
      <w:r w:rsidR="00A57EC9">
        <w:t>.</w:t>
      </w:r>
      <w:r>
        <w:t>” (NR)</w:t>
      </w:r>
    </w:p>
    <w:p w14:paraId="2E596215" w14:textId="02396477" w:rsidR="00D93DAC" w:rsidRDefault="00576B76" w:rsidP="00AF17D5">
      <w:pPr>
        <w:pStyle w:val="NormaAlterada"/>
      </w:pPr>
      <w:r>
        <w:t>“</w:t>
      </w:r>
      <w:r w:rsidR="00D93DAC">
        <w:t>Art. 58</w:t>
      </w:r>
      <w:r w:rsidR="00AF17D5" w:rsidRPr="002D7259">
        <w:t>..............................................................</w:t>
      </w:r>
    </w:p>
    <w:p w14:paraId="6647E43D" w14:textId="77777777" w:rsidR="00AF17D5" w:rsidRDefault="00AF17D5" w:rsidP="00AF17D5">
      <w:pPr>
        <w:pStyle w:val="NormaAlterada"/>
      </w:pPr>
      <w:r w:rsidRPr="002D7259">
        <w:t>...........................................................................</w:t>
      </w:r>
    </w:p>
    <w:p w14:paraId="4F75C095" w14:textId="1F21E877" w:rsidR="00E63F0B" w:rsidRDefault="00D93DAC" w:rsidP="00AF17D5">
      <w:pPr>
        <w:pStyle w:val="NormaAlterada"/>
      </w:pPr>
      <w:r>
        <w:t xml:space="preserve">§ 9º </w:t>
      </w:r>
      <w:r w:rsidR="00AF17D5" w:rsidRPr="002D7259">
        <w:t>...........................................</w:t>
      </w:r>
      <w:r w:rsidR="00AF17D5">
        <w:t>........................</w:t>
      </w:r>
    </w:p>
    <w:p w14:paraId="736A04AB" w14:textId="090C4D82" w:rsidR="00D93DAC" w:rsidRDefault="00D93DAC" w:rsidP="00D93DAC">
      <w:pPr>
        <w:pStyle w:val="NormaAlterada"/>
      </w:pPr>
      <w:r>
        <w:t xml:space="preserve">I </w:t>
      </w:r>
      <w:r w:rsidR="004008F9">
        <w:t>–</w:t>
      </w:r>
      <w:r>
        <w:t xml:space="preserve"> </w:t>
      </w:r>
      <w:proofErr w:type="gramStart"/>
      <w:r>
        <w:t>valores</w:t>
      </w:r>
      <w:proofErr w:type="gramEnd"/>
      <w:r w:rsidR="004008F9">
        <w:t xml:space="preserve"> </w:t>
      </w:r>
      <w:r>
        <w:t xml:space="preserve">mobiliários ou outros ativos financeiros cuja oferta pública </w:t>
      </w:r>
      <w:r w:rsidR="00FE3BEB">
        <w:t xml:space="preserve">tenha sido </w:t>
      </w:r>
      <w:r>
        <w:t>submetida a registro na CVM; e</w:t>
      </w:r>
    </w:p>
    <w:p w14:paraId="45420D94" w14:textId="72DFF0C6" w:rsidR="00E63F0B" w:rsidRDefault="000B458C" w:rsidP="00D93DAC">
      <w:pPr>
        <w:pStyle w:val="NormaAlterada"/>
      </w:pPr>
      <w:r w:rsidRPr="002D7259">
        <w:t>...........................................................................</w:t>
      </w:r>
      <w:r w:rsidR="005F65B8">
        <w:t>” (NR)</w:t>
      </w:r>
    </w:p>
    <w:p w14:paraId="5604296E" w14:textId="1424CA14" w:rsidR="00E63F0B" w:rsidRDefault="00E63F0B" w:rsidP="00E63F0B">
      <w:r>
        <w:t>Art.</w:t>
      </w:r>
      <w:r w:rsidR="000E3E05">
        <w:t xml:space="preserve"> </w:t>
      </w:r>
      <w:r w:rsidR="00DB6EC7">
        <w:t>4</w:t>
      </w:r>
      <w:proofErr w:type="gramStart"/>
      <w:r w:rsidR="009B2E8D">
        <w:t xml:space="preserve">º  </w:t>
      </w:r>
      <w:r w:rsidRPr="00FB4E57">
        <w:rPr>
          <w:color w:val="000000"/>
        </w:rPr>
        <w:t>A</w:t>
      </w:r>
      <w:proofErr w:type="gramEnd"/>
      <w:r w:rsidRPr="00FB4E57">
        <w:rPr>
          <w:color w:val="000000"/>
        </w:rPr>
        <w:t xml:space="preserve"> </w:t>
      </w:r>
      <w:r>
        <w:t>Instrução CVM nº 398, de 28 de outubro de 2003</w:t>
      </w:r>
      <w:r w:rsidRPr="00FB4E57">
        <w:rPr>
          <w:color w:val="000000"/>
        </w:rPr>
        <w:t>, passa a vigorar com a seguinte redação:</w:t>
      </w:r>
    </w:p>
    <w:p w14:paraId="78B64A3B" w14:textId="62691557" w:rsidR="00E63F0B" w:rsidRDefault="00E63F0B" w:rsidP="00734DAB">
      <w:pPr>
        <w:pStyle w:val="NormaAlterada"/>
      </w:pPr>
      <w:r>
        <w:t>“Art. 16</w:t>
      </w:r>
      <w:r w:rsidR="000B458C" w:rsidRPr="002D7259">
        <w:t>...........................................</w:t>
      </w:r>
      <w:r w:rsidR="000B458C">
        <w:t>...................</w:t>
      </w:r>
    </w:p>
    <w:p w14:paraId="044AC182" w14:textId="0FBC9AC9" w:rsidR="00734DAB" w:rsidRDefault="00734DAB" w:rsidP="00734DAB">
      <w:pPr>
        <w:pStyle w:val="NormaAlterada"/>
        <w:rPr>
          <w:rFonts w:cs="Times New Roman"/>
          <w:lang w:eastAsia="pt-BR"/>
        </w:rPr>
      </w:pPr>
      <w:r>
        <w:lastRenderedPageBreak/>
        <w:t xml:space="preserve">I </w:t>
      </w:r>
      <w:r w:rsidR="004008F9">
        <w:t>–</w:t>
      </w:r>
      <w:r>
        <w:t xml:space="preserve"> quando</w:t>
      </w:r>
      <w:r w:rsidR="004008F9">
        <w:t xml:space="preserve"> </w:t>
      </w:r>
      <w:r>
        <w:t>distribuídas publicamente por meio de oferta registrada na CVM; ou</w:t>
      </w:r>
      <w:r w:rsidR="000E3E05">
        <w:rPr>
          <w:rStyle w:val="Refdenotaderodap"/>
        </w:rPr>
        <w:footnoteReference w:id="3"/>
      </w:r>
    </w:p>
    <w:p w14:paraId="4A0C1360" w14:textId="74648DA8" w:rsidR="00734DAB" w:rsidRDefault="00BD3852" w:rsidP="00734DAB">
      <w:pPr>
        <w:pStyle w:val="NormaAlterada"/>
      </w:pPr>
      <w:r w:rsidRPr="002D7259">
        <w:t>...........................................................................</w:t>
      </w:r>
      <w:r w:rsidR="00985666">
        <w:t>” (NR)</w:t>
      </w:r>
    </w:p>
    <w:p w14:paraId="4C501913" w14:textId="509B6B2E" w:rsidR="00734DAB" w:rsidRDefault="00734DAB" w:rsidP="00734DAB">
      <w:r>
        <w:rPr>
          <w:lang w:eastAsia="pt-BR"/>
        </w:rPr>
        <w:t xml:space="preserve">Art. </w:t>
      </w:r>
      <w:r w:rsidR="00DB6EC7">
        <w:rPr>
          <w:lang w:eastAsia="pt-BR"/>
        </w:rPr>
        <w:t>5</w:t>
      </w:r>
      <w:proofErr w:type="gramStart"/>
      <w:r w:rsidR="009B2E8D">
        <w:rPr>
          <w:lang w:eastAsia="pt-BR"/>
        </w:rPr>
        <w:t xml:space="preserve">º  </w:t>
      </w:r>
      <w:r w:rsidRPr="00FB4E57">
        <w:rPr>
          <w:color w:val="000000"/>
        </w:rPr>
        <w:t>A</w:t>
      </w:r>
      <w:proofErr w:type="gramEnd"/>
      <w:r w:rsidRPr="00FB4E57">
        <w:rPr>
          <w:color w:val="000000"/>
        </w:rPr>
        <w:t xml:space="preserve"> </w:t>
      </w:r>
      <w:r>
        <w:t>Instrução CVM nº 399, de 21 de novembro de 2003</w:t>
      </w:r>
      <w:r w:rsidRPr="00FB4E57">
        <w:rPr>
          <w:color w:val="000000"/>
        </w:rPr>
        <w:t>, passa a vigorar com a seguinte redação:</w:t>
      </w:r>
    </w:p>
    <w:p w14:paraId="37DEC784" w14:textId="756B9501" w:rsidR="00734DAB" w:rsidRDefault="00734DAB" w:rsidP="004D4BE0">
      <w:pPr>
        <w:pStyle w:val="NormaAlterada"/>
      </w:pPr>
      <w:r w:rsidRPr="00734DAB">
        <w:t>“Art. 18</w:t>
      </w:r>
      <w:r w:rsidR="00BD3852" w:rsidRPr="002D7259">
        <w:t>...........................................</w:t>
      </w:r>
      <w:r w:rsidR="00BD3852">
        <w:t>............................</w:t>
      </w:r>
    </w:p>
    <w:p w14:paraId="7898F615" w14:textId="3B404AA3" w:rsidR="004D4BE0" w:rsidRPr="00182F9E" w:rsidRDefault="004D4BE0" w:rsidP="004D4BE0">
      <w:pPr>
        <w:pStyle w:val="NormaAlterada"/>
      </w:pPr>
      <w:r w:rsidRPr="00182F9E">
        <w:t>§ 1</w:t>
      </w:r>
      <w:proofErr w:type="gramStart"/>
      <w:r w:rsidRPr="00182F9E">
        <w:t xml:space="preserve">º  </w:t>
      </w:r>
      <w:r w:rsidR="00BD3852" w:rsidRPr="002D7259">
        <w:t>...........................................................................</w:t>
      </w:r>
      <w:proofErr w:type="gramEnd"/>
    </w:p>
    <w:p w14:paraId="1F256962" w14:textId="0DDA4A07" w:rsidR="004D4BE0" w:rsidRPr="00182F9E" w:rsidRDefault="004D4BE0" w:rsidP="004D4BE0">
      <w:pPr>
        <w:pStyle w:val="NormaAlterada"/>
      </w:pPr>
      <w:r w:rsidRPr="00182F9E">
        <w:t xml:space="preserve">I </w:t>
      </w:r>
      <w:r w:rsidR="004008F9">
        <w:t>–</w:t>
      </w:r>
      <w:r w:rsidRPr="00182F9E">
        <w:t xml:space="preserve"> quando</w:t>
      </w:r>
      <w:r w:rsidR="004008F9">
        <w:t xml:space="preserve"> </w:t>
      </w:r>
      <w:r w:rsidRPr="00182F9E">
        <w:t>distribuídas publicamente por meio de oferta registrada na CVM;</w:t>
      </w:r>
      <w:r>
        <w:t xml:space="preserve"> ou</w:t>
      </w:r>
      <w:r w:rsidR="000E3E05">
        <w:rPr>
          <w:rStyle w:val="Refdenotaderodap"/>
        </w:rPr>
        <w:footnoteReference w:id="4"/>
      </w:r>
    </w:p>
    <w:p w14:paraId="72760C72" w14:textId="2C7C320C" w:rsidR="004D4BE0" w:rsidRDefault="00BD3852" w:rsidP="004D4BE0">
      <w:pPr>
        <w:pStyle w:val="NormaAlterada"/>
      </w:pPr>
      <w:r w:rsidRPr="002D7259">
        <w:t>...........................................................................</w:t>
      </w:r>
      <w:r w:rsidR="00985666">
        <w:t>” (NR)</w:t>
      </w:r>
    </w:p>
    <w:p w14:paraId="35C8731E" w14:textId="3398C03D" w:rsidR="004D4BE0" w:rsidRDefault="004D4BE0" w:rsidP="004D4BE0">
      <w:r>
        <w:t xml:space="preserve">Art. </w:t>
      </w:r>
      <w:r w:rsidR="00DB6EC7">
        <w:t>6</w:t>
      </w:r>
      <w:proofErr w:type="gramStart"/>
      <w:r w:rsidR="009B2E8D">
        <w:t xml:space="preserve">º  </w:t>
      </w:r>
      <w:r w:rsidRPr="00FB4E57">
        <w:rPr>
          <w:color w:val="000000"/>
        </w:rPr>
        <w:t>A</w:t>
      </w:r>
      <w:proofErr w:type="gramEnd"/>
      <w:r w:rsidRPr="00FB4E57">
        <w:rPr>
          <w:color w:val="000000"/>
        </w:rPr>
        <w:t xml:space="preserve"> </w:t>
      </w:r>
      <w:r>
        <w:t>Instrução CVM nº 472, de 31 de outubro de 2008</w:t>
      </w:r>
      <w:r w:rsidRPr="00FB4E57">
        <w:rPr>
          <w:color w:val="000000"/>
        </w:rPr>
        <w:t>, passa a vigorar com a seguinte redação:</w:t>
      </w:r>
    </w:p>
    <w:p w14:paraId="65F5098F" w14:textId="0613C1C0" w:rsidR="004D4BE0" w:rsidRDefault="004D4BE0" w:rsidP="004D4BE0">
      <w:pPr>
        <w:pStyle w:val="NormaAlterada"/>
      </w:pPr>
      <w:r>
        <w:t>“Art. 6º</w:t>
      </w:r>
      <w:r w:rsidR="00BD3852" w:rsidRPr="002D7259">
        <w:t>...........................................</w:t>
      </w:r>
      <w:r w:rsidR="00BD3852">
        <w:t>............................</w:t>
      </w:r>
    </w:p>
    <w:p w14:paraId="047C8D9E" w14:textId="3EFC9135" w:rsidR="004D4BE0" w:rsidRDefault="004D4BE0" w:rsidP="004D4BE0">
      <w:pPr>
        <w:pStyle w:val="NormaAlterada"/>
      </w:pPr>
      <w:r>
        <w:t>§ 1</w:t>
      </w:r>
      <w:proofErr w:type="gramStart"/>
      <w:r>
        <w:t>º</w:t>
      </w:r>
      <w:r w:rsidR="004008F9">
        <w:t xml:space="preserve">  </w:t>
      </w:r>
      <w:r w:rsidR="00BD3852" w:rsidRPr="002D7259">
        <w:t>...........................................................................</w:t>
      </w:r>
      <w:proofErr w:type="gramEnd"/>
    </w:p>
    <w:p w14:paraId="395191A2" w14:textId="32436C26" w:rsidR="004D4BE0" w:rsidRPr="00182F9E" w:rsidRDefault="004D4BE0" w:rsidP="004D4BE0">
      <w:pPr>
        <w:pStyle w:val="NormaAlterada"/>
      </w:pPr>
      <w:r w:rsidRPr="00182F9E">
        <w:t xml:space="preserve">I </w:t>
      </w:r>
      <w:r w:rsidR="004008F9">
        <w:t>–</w:t>
      </w:r>
      <w:r w:rsidRPr="00182F9E">
        <w:t xml:space="preserve"> quando</w:t>
      </w:r>
      <w:r w:rsidR="004008F9">
        <w:t xml:space="preserve"> </w:t>
      </w:r>
      <w:r w:rsidRPr="00182F9E">
        <w:t>distribuídas publicamente por meio de oferta registrada na CVM;</w:t>
      </w:r>
      <w:r>
        <w:t xml:space="preserve"> ou</w:t>
      </w:r>
      <w:r w:rsidR="000E3E05">
        <w:rPr>
          <w:rStyle w:val="Refdenotaderodap"/>
        </w:rPr>
        <w:footnoteReference w:id="5"/>
      </w:r>
    </w:p>
    <w:p w14:paraId="615F3DC6" w14:textId="7A5B6967" w:rsidR="004D4BE0" w:rsidRPr="00182F9E" w:rsidRDefault="00BD3852" w:rsidP="004D4BE0">
      <w:pPr>
        <w:pStyle w:val="NormaAlterada"/>
      </w:pPr>
      <w:r w:rsidRPr="002D7259">
        <w:t>...........................................................................</w:t>
      </w:r>
      <w:r w:rsidR="00985666">
        <w:t>” (NR)</w:t>
      </w:r>
    </w:p>
    <w:p w14:paraId="13BD4F2D" w14:textId="134E7D4D" w:rsidR="00990F75" w:rsidRPr="000D456A" w:rsidRDefault="00990F75" w:rsidP="004D4BE0">
      <w:r w:rsidRPr="00AC2F75">
        <w:t>Art. 7</w:t>
      </w:r>
      <w:proofErr w:type="gramStart"/>
      <w:r w:rsidRPr="00AC2F75">
        <w:t>º</w:t>
      </w:r>
      <w:r w:rsidR="00C83878">
        <w:t xml:space="preserve">  </w:t>
      </w:r>
      <w:r w:rsidR="00763774" w:rsidRPr="00F73C7F">
        <w:t>A</w:t>
      </w:r>
      <w:proofErr w:type="gramEnd"/>
      <w:r w:rsidR="00763774" w:rsidRPr="00F73C7F">
        <w:t xml:space="preserve"> Resolução CVM nº 8, de </w:t>
      </w:r>
      <w:r w:rsidR="00CF51B8" w:rsidRPr="00F73C7F">
        <w:t>14 de outubro de</w:t>
      </w:r>
      <w:r w:rsidR="00CF51B8" w:rsidRPr="000D456A">
        <w:t xml:space="preserve"> 2020, passa a vigorar com a seguinte redação:</w:t>
      </w:r>
    </w:p>
    <w:p w14:paraId="13546A57" w14:textId="06471B75" w:rsidR="00A16EB1" w:rsidRPr="000D456A" w:rsidRDefault="004B12D0" w:rsidP="00792AF0">
      <w:pPr>
        <w:pStyle w:val="NormaAlterada"/>
      </w:pPr>
      <w:r w:rsidRPr="000D456A">
        <w:t>“Art. 4º</w:t>
      </w:r>
      <w:r w:rsidR="00D935B8" w:rsidRPr="000D456A">
        <w:t xml:space="preserve">  </w:t>
      </w:r>
      <w:bookmarkStart w:id="1" w:name="_Ref460491192"/>
      <w:r w:rsidR="00A16EB1" w:rsidRPr="000D456A">
        <w:t>Configura oferta pública de distribuição o ato de comunicação oriundo do ofertante</w:t>
      </w:r>
      <w:r w:rsidR="00C368CA">
        <w:t>, do emissor, quando este não for o ofertante,</w:t>
      </w:r>
      <w:r w:rsidR="00A16EB1" w:rsidRPr="000D456A">
        <w:t xml:space="preserve"> </w:t>
      </w:r>
      <w:r w:rsidR="00CA02C4" w:rsidRPr="007E77AF" w:rsidDel="00DE63B2">
        <w:t xml:space="preserve">ou ainda de quaisquer pessoas naturais ou jurídicas, integrantes ou não do sistema de distribuição de valores mobiliários, atuando em nome do emissor, do ofertante ou </w:t>
      </w:r>
      <w:r w:rsidR="00A16EB1" w:rsidRPr="00F73C7F">
        <w:t>das instituições intermediárias</w:t>
      </w:r>
      <w:r w:rsidR="00A16EB1" w:rsidRPr="000D456A">
        <w:t xml:space="preserve">, disseminado por qualquer meio ou forma que permita o alcance de diversos destinatários e cujo conteúdo </w:t>
      </w:r>
      <w:r w:rsidR="00ED4F5A">
        <w:t>e</w:t>
      </w:r>
      <w:r w:rsidR="00A16EB1" w:rsidRPr="00F73C7F">
        <w:t xml:space="preserve"> contexto </w:t>
      </w:r>
      <w:r w:rsidR="00CA3CB9">
        <w:t>representem</w:t>
      </w:r>
      <w:r w:rsidR="00A16EB1" w:rsidRPr="00F73C7F">
        <w:t xml:space="preserve"> </w:t>
      </w:r>
      <w:r w:rsidR="00A16EB1" w:rsidRPr="000D456A">
        <w:t xml:space="preserve">tentativa de despertar o interesse ou prospectar investidores para a realização de investimento em determinado </w:t>
      </w:r>
      <w:r w:rsidR="00595559" w:rsidRPr="000D456A">
        <w:t>COE, LF ou LIG</w:t>
      </w:r>
      <w:r w:rsidR="00A16EB1" w:rsidRPr="000D456A">
        <w:t>.</w:t>
      </w:r>
    </w:p>
    <w:p w14:paraId="288050EA" w14:textId="300061A5" w:rsidR="00A16EB1" w:rsidRPr="000D456A" w:rsidRDefault="00436730" w:rsidP="00792AF0">
      <w:pPr>
        <w:pStyle w:val="NormaAlterada"/>
      </w:pPr>
      <w:r w:rsidRPr="000D456A">
        <w:t>Parágrafo único.</w:t>
      </w:r>
      <w:r w:rsidR="00A16EB1" w:rsidRPr="000D456A">
        <w:t xml:space="preserve">  Sem prejuízo de outros atos que se enquadrem no </w:t>
      </w:r>
      <w:r w:rsidR="00A16EB1" w:rsidRPr="000D456A">
        <w:rPr>
          <w:b/>
          <w:bCs/>
        </w:rPr>
        <w:t>caput</w:t>
      </w:r>
      <w:r w:rsidR="00A16EB1" w:rsidRPr="000D456A">
        <w:t>, são exemplos que caracterizam uma oferta como pública:</w:t>
      </w:r>
      <w:bookmarkEnd w:id="1"/>
    </w:p>
    <w:p w14:paraId="5DACFB85" w14:textId="77777777" w:rsidR="00A16EB1" w:rsidRPr="000D456A" w:rsidRDefault="00A16EB1" w:rsidP="00792AF0">
      <w:pPr>
        <w:pStyle w:val="NormaAlterada"/>
      </w:pPr>
      <w:r w:rsidRPr="000D456A">
        <w:t xml:space="preserve">I – </w:t>
      </w:r>
      <w:proofErr w:type="gramStart"/>
      <w:r w:rsidRPr="000D456A">
        <w:t>a</w:t>
      </w:r>
      <w:proofErr w:type="gramEnd"/>
      <w:r w:rsidRPr="000D456A">
        <w:t xml:space="preserve"> utilização de material publicitário dirigido ao público investidor em geral;</w:t>
      </w:r>
    </w:p>
    <w:p w14:paraId="503A0757" w14:textId="4C8123CA" w:rsidR="00A16EB1" w:rsidRPr="000D456A" w:rsidRDefault="00A16EB1" w:rsidP="00792AF0">
      <w:pPr>
        <w:pStyle w:val="NormaAlterada"/>
      </w:pPr>
      <w:r w:rsidRPr="000D456A">
        <w:lastRenderedPageBreak/>
        <w:t xml:space="preserve">II – </w:t>
      </w:r>
      <w:proofErr w:type="gramStart"/>
      <w:r w:rsidRPr="000D456A">
        <w:t>a</w:t>
      </w:r>
      <w:proofErr w:type="gramEnd"/>
      <w:r w:rsidRPr="000D456A">
        <w:t xml:space="preserve"> procura, no todo ou em parte, de investidores indeterminados para </w:t>
      </w:r>
      <w:r w:rsidR="006A6A94" w:rsidRPr="000D456A">
        <w:t>investimento no COE, LF ou LIG</w:t>
      </w:r>
      <w:r w:rsidRPr="000D456A">
        <w:t>, por meio de quaisquer pessoas naturais ou jurídicas, integrantes ou não do sistema de distribuição de valores mobiliários, atuando em nome do emissor, do ofertante ou das instituições intermediárias;</w:t>
      </w:r>
    </w:p>
    <w:p w14:paraId="59117BAA" w14:textId="41C545B7" w:rsidR="00A16EB1" w:rsidRPr="000D456A" w:rsidRDefault="00A16EB1" w:rsidP="00792AF0">
      <w:pPr>
        <w:pStyle w:val="NormaAlterada"/>
      </w:pPr>
      <w:r w:rsidRPr="000D456A">
        <w:t>I</w:t>
      </w:r>
      <w:r w:rsidR="00B87552" w:rsidRPr="000D456A">
        <w:t>II</w:t>
      </w:r>
      <w:r w:rsidRPr="000D456A">
        <w:t xml:space="preserve"> – a negociação feita em loja, escritório, estabelecimento aberto ao público, página na rede mundial de computadores, rede social ou aplicativo, destinada, no todo ou em parte, a subscritores ou adquirentes indeterminados;</w:t>
      </w:r>
    </w:p>
    <w:p w14:paraId="284E3281" w14:textId="12A91A42" w:rsidR="004B12D0" w:rsidRPr="00A16EB1" w:rsidRDefault="00436730" w:rsidP="00792AF0">
      <w:pPr>
        <w:pStyle w:val="NormaAlterada"/>
      </w:pPr>
      <w:r w:rsidRPr="000D456A">
        <w:t>I</w:t>
      </w:r>
      <w:r w:rsidR="00A16EB1" w:rsidRPr="000D456A">
        <w:t xml:space="preserve">V – a prática de quaisquer atos descritos nos incisos II </w:t>
      </w:r>
      <w:r w:rsidR="00B87552" w:rsidRPr="000D456A">
        <w:t>e</w:t>
      </w:r>
      <w:r w:rsidRPr="000D456A">
        <w:t xml:space="preserve"> III</w:t>
      </w:r>
      <w:r w:rsidR="00A16EB1" w:rsidRPr="000D456A">
        <w:t xml:space="preserve">, quando resultante de comunicação padronizada e massificada, ainda que os destinatários da comunicação sejam individualmente </w:t>
      </w:r>
      <w:proofErr w:type="gramStart"/>
      <w:r w:rsidR="00A16EB1" w:rsidRPr="000D456A">
        <w:t>identificados.”</w:t>
      </w:r>
      <w:proofErr w:type="gramEnd"/>
      <w:r w:rsidR="00A16EB1" w:rsidRPr="000D456A">
        <w:t xml:space="preserve"> (NR)</w:t>
      </w:r>
    </w:p>
    <w:p w14:paraId="3CECFBB9" w14:textId="59A5BED5" w:rsidR="003A14B7" w:rsidRDefault="003A14B7" w:rsidP="003A14B7">
      <w:pPr>
        <w:rPr>
          <w:lang w:eastAsia="pt-BR"/>
        </w:rPr>
      </w:pPr>
      <w:r w:rsidRPr="0092756D">
        <w:rPr>
          <w:lang w:eastAsia="pt-BR"/>
        </w:rPr>
        <w:t xml:space="preserve">Art. </w:t>
      </w:r>
      <w:r w:rsidR="00C83878">
        <w:rPr>
          <w:lang w:eastAsia="pt-BR"/>
        </w:rPr>
        <w:t>8</w:t>
      </w:r>
      <w:proofErr w:type="gramStart"/>
      <w:r>
        <w:rPr>
          <w:lang w:eastAsia="pt-BR"/>
        </w:rPr>
        <w:t>º</w:t>
      </w:r>
      <w:r w:rsidR="00C83878">
        <w:rPr>
          <w:lang w:eastAsia="pt-BR"/>
        </w:rPr>
        <w:t xml:space="preserve">  </w:t>
      </w:r>
      <w:r w:rsidRPr="005D30D9">
        <w:rPr>
          <w:lang w:eastAsia="pt-BR"/>
        </w:rPr>
        <w:t>A</w:t>
      </w:r>
      <w:proofErr w:type="gramEnd"/>
      <w:r w:rsidRPr="005D30D9">
        <w:rPr>
          <w:lang w:eastAsia="pt-BR"/>
        </w:rPr>
        <w:t xml:space="preserve"> </w:t>
      </w:r>
      <w:r>
        <w:rPr>
          <w:lang w:eastAsia="pt-BR"/>
        </w:rPr>
        <w:t>Resolução</w:t>
      </w:r>
      <w:r w:rsidRPr="00B709B3">
        <w:rPr>
          <w:lang w:eastAsia="pt-BR"/>
        </w:rPr>
        <w:t xml:space="preserve"> CVM n</w:t>
      </w:r>
      <w:r>
        <w:rPr>
          <w:lang w:eastAsia="pt-BR"/>
        </w:rPr>
        <w:t>º 17, de 9 de fevereiro de 2021, passa a vigorar com a seguinte redação:</w:t>
      </w:r>
    </w:p>
    <w:p w14:paraId="6A81BC33" w14:textId="4696E96A" w:rsidR="003A14B7" w:rsidRPr="009964C1" w:rsidRDefault="003A14B7" w:rsidP="003A14B7">
      <w:pPr>
        <w:pStyle w:val="NormaAlterada"/>
      </w:pPr>
      <w:r>
        <w:t>“Art. 5º</w:t>
      </w:r>
      <w:r w:rsidR="00BD3852" w:rsidRPr="002D7259">
        <w:t>...........................................</w:t>
      </w:r>
      <w:r w:rsidR="00BD3852">
        <w:t>....................</w:t>
      </w:r>
    </w:p>
    <w:p w14:paraId="7BB5D0A4" w14:textId="77777777" w:rsidR="00BD3852" w:rsidRDefault="00BD3852" w:rsidP="003A14B7">
      <w:pPr>
        <w:pStyle w:val="NormaAlterada"/>
      </w:pPr>
      <w:r w:rsidRPr="002D7259">
        <w:t>...........................................................................</w:t>
      </w:r>
    </w:p>
    <w:p w14:paraId="2B7880D3" w14:textId="1F66C920" w:rsidR="003A14B7" w:rsidRDefault="003A14B7" w:rsidP="003A14B7">
      <w:pPr>
        <w:pStyle w:val="NormaAlterada"/>
      </w:pPr>
      <w:r>
        <w:t>§ 2</w:t>
      </w:r>
      <w:proofErr w:type="gramStart"/>
      <w:r>
        <w:t>º  Nas</w:t>
      </w:r>
      <w:proofErr w:type="gramEnd"/>
      <w:r>
        <w:t xml:space="preserve"> ofertas públicas sujeitas ao rito automático de distribuição, a declaração prevista no </w:t>
      </w:r>
      <w:r w:rsidRPr="002E577C">
        <w:rPr>
          <w:b/>
        </w:rPr>
        <w:t>caput</w:t>
      </w:r>
      <w:r>
        <w:t xml:space="preserve"> e as informações previstas no § 1º devem ser apresentadas à entidade administradora de mercado organizado em que os valores mobiliários sejam registrados e mantidas à disposição da CVM”. (NR)</w:t>
      </w:r>
    </w:p>
    <w:p w14:paraId="7A719292" w14:textId="3ED3B29C" w:rsidR="00FB59A4" w:rsidRDefault="00FB59A4" w:rsidP="004D4BE0">
      <w:r>
        <w:t xml:space="preserve">Art. </w:t>
      </w:r>
      <w:r w:rsidR="00C83878">
        <w:t>9</w:t>
      </w:r>
      <w:proofErr w:type="gramStart"/>
      <w:r>
        <w:t>º</w:t>
      </w:r>
      <w:r w:rsidR="00C83878">
        <w:t xml:space="preserve">  </w:t>
      </w:r>
      <w:r w:rsidR="00841C0C">
        <w:t>A</w:t>
      </w:r>
      <w:proofErr w:type="gramEnd"/>
      <w:r w:rsidR="00841C0C">
        <w:t xml:space="preserve"> Resolução CVM nº 21, de 25 de fevereiro de 2021, </w:t>
      </w:r>
      <w:r w:rsidR="002362DC">
        <w:t>passa a vigorar com a seguinte redação:</w:t>
      </w:r>
    </w:p>
    <w:p w14:paraId="39542CC9" w14:textId="5A77EA47" w:rsidR="004D30E6" w:rsidRDefault="004D30E6" w:rsidP="004D30E6">
      <w:pPr>
        <w:pStyle w:val="NormaAlterada"/>
      </w:pPr>
      <w:r>
        <w:t>“Art. 33</w:t>
      </w:r>
      <w:r w:rsidR="00BD3852" w:rsidRPr="002D7259">
        <w:t>..............................................................</w:t>
      </w:r>
    </w:p>
    <w:p w14:paraId="0485EB06" w14:textId="45639D4E" w:rsidR="00BD55B6" w:rsidRDefault="00C650D6" w:rsidP="004D30E6">
      <w:pPr>
        <w:pStyle w:val="NormaAlterada"/>
      </w:pPr>
      <w:r>
        <w:t xml:space="preserve">I – </w:t>
      </w:r>
      <w:r w:rsidR="00BD3852" w:rsidRPr="002D7259">
        <w:t>......................................................................</w:t>
      </w:r>
    </w:p>
    <w:p w14:paraId="40D32B6B" w14:textId="77777777" w:rsidR="00BD3852" w:rsidRDefault="00BD3852" w:rsidP="004C4894">
      <w:pPr>
        <w:pStyle w:val="NormaAlterada"/>
      </w:pPr>
      <w:r w:rsidRPr="002D7259">
        <w:t>...........................................................................</w:t>
      </w:r>
    </w:p>
    <w:p w14:paraId="5150823C" w14:textId="45F23F9A" w:rsidR="004C4894" w:rsidRDefault="004C4894" w:rsidP="004C4894">
      <w:pPr>
        <w:pStyle w:val="NormaAlterada"/>
      </w:pPr>
      <w:r>
        <w:t>c) normas que dispõem sobre a identificação, o cadastro, o registro, as operações, a comunicação, os limites e a responsabilidade administrativa referentes aos crimes de “lavagem” ou ocultação de bens, direitos e valores</w:t>
      </w:r>
      <w:r>
        <w:rPr>
          <w:rStyle w:val="Refdenotaderodap"/>
          <w:lang w:eastAsia="pt-BR"/>
        </w:rPr>
        <w:footnoteReference w:id="6"/>
      </w:r>
      <w:r>
        <w:t xml:space="preserve">; </w:t>
      </w:r>
    </w:p>
    <w:p w14:paraId="3B779491" w14:textId="77777777" w:rsidR="00BD3852" w:rsidRDefault="00BD3852" w:rsidP="004D30E6">
      <w:pPr>
        <w:pStyle w:val="NormaAlterada"/>
      </w:pPr>
      <w:r w:rsidRPr="002D7259">
        <w:t>...........................................................................</w:t>
      </w:r>
    </w:p>
    <w:p w14:paraId="1060891D" w14:textId="5400BDA0" w:rsidR="00C650D6" w:rsidRDefault="00C650D6" w:rsidP="004D30E6">
      <w:pPr>
        <w:pStyle w:val="NormaAlterada"/>
      </w:pPr>
      <w:r>
        <w:lastRenderedPageBreak/>
        <w:t xml:space="preserve">e) </w:t>
      </w:r>
      <w:r w:rsidR="00AF5869">
        <w:t>norma</w:t>
      </w:r>
      <w:r w:rsidR="009D438A">
        <w:t xml:space="preserve"> </w:t>
      </w:r>
      <w:r w:rsidR="002B40BE">
        <w:t>que dispõe sobre</w:t>
      </w:r>
      <w:r w:rsidR="007876D4">
        <w:t xml:space="preserve"> </w:t>
      </w:r>
      <w:r w:rsidR="00290015">
        <w:t>coordenadores</w:t>
      </w:r>
      <w:r w:rsidR="007876D4">
        <w:t xml:space="preserve"> de ofertas </w:t>
      </w:r>
      <w:r w:rsidR="00D71849">
        <w:t>públicas</w:t>
      </w:r>
      <w:r w:rsidR="00FD4223">
        <w:t xml:space="preserve"> de distribuição de valores mobiliários</w:t>
      </w:r>
      <w:r w:rsidR="008F317E">
        <w:t>, especificamente no que diz respeito a regras de conduta</w:t>
      </w:r>
      <w:r w:rsidR="00404C51">
        <w:t>; e</w:t>
      </w:r>
    </w:p>
    <w:p w14:paraId="0F05FF11" w14:textId="04F6D615" w:rsidR="00404C51" w:rsidRDefault="00BD3852" w:rsidP="004D30E6">
      <w:pPr>
        <w:pStyle w:val="NormaAlterada"/>
      </w:pPr>
      <w:r w:rsidRPr="002D7259">
        <w:t>...........................................................................</w:t>
      </w:r>
      <w:r w:rsidR="00404C51">
        <w:t>” (NR)</w:t>
      </w:r>
    </w:p>
    <w:p w14:paraId="5B85C423" w14:textId="520683F1" w:rsidR="003C1822" w:rsidRDefault="00414A22" w:rsidP="00706536">
      <w:r>
        <w:t xml:space="preserve">Art. </w:t>
      </w:r>
      <w:r w:rsidR="00C83878">
        <w:t xml:space="preserve">10.  </w:t>
      </w:r>
      <w:r w:rsidR="003C1822">
        <w:t xml:space="preserve">A Resolução CVM nº 30, de </w:t>
      </w:r>
      <w:r w:rsidR="00F44845">
        <w:t>11</w:t>
      </w:r>
      <w:r w:rsidR="003C1822">
        <w:t xml:space="preserve"> de ma</w:t>
      </w:r>
      <w:r w:rsidR="00F44845">
        <w:t>io</w:t>
      </w:r>
      <w:r w:rsidR="003C1822">
        <w:t xml:space="preserve"> de 20</w:t>
      </w:r>
      <w:r w:rsidR="00F44845">
        <w:t>21</w:t>
      </w:r>
      <w:r w:rsidR="003C1822">
        <w:t>, passa a vigorar com a seguinte redação:</w:t>
      </w:r>
    </w:p>
    <w:p w14:paraId="5380C8F2" w14:textId="6912CF88" w:rsidR="00F44845" w:rsidRDefault="00F44845" w:rsidP="00F44845">
      <w:pPr>
        <w:pStyle w:val="NormaAlterada"/>
      </w:pPr>
      <w:r>
        <w:t>“Art. 11</w:t>
      </w:r>
      <w:r w:rsidRPr="002D7259">
        <w:t>..............................................................</w:t>
      </w:r>
    </w:p>
    <w:p w14:paraId="1070777E" w14:textId="14C986B9" w:rsidR="004B5B96" w:rsidRDefault="004B5B96" w:rsidP="00F44845">
      <w:pPr>
        <w:pStyle w:val="NormaAlterada"/>
      </w:pPr>
      <w:r w:rsidRPr="002D7259">
        <w:t>......................................................................</w:t>
      </w:r>
      <w:r>
        <w:t>....</w:t>
      </w:r>
    </w:p>
    <w:p w14:paraId="58796D36" w14:textId="3D65CBF4" w:rsidR="00620135" w:rsidRDefault="00620135" w:rsidP="00620135">
      <w:pPr>
        <w:ind w:left="567" w:firstLine="0"/>
      </w:pPr>
      <w:r>
        <w:t>VII – agentes autônomos de investimento, administradores de carteira de valores mobiliários, analistas de valores mobiliários e consultores de valores mobiliários autorizados pela CVM, em relação a seus rec</w:t>
      </w:r>
      <w:r w:rsidR="004B5B96">
        <w:t>ursos próprios;</w:t>
      </w:r>
      <w:r w:rsidR="004B5B96" w:rsidRPr="004B5B96">
        <w:rPr>
          <w:rStyle w:val="Refdenotaderodap"/>
          <w:lang w:eastAsia="pt-BR"/>
        </w:rPr>
        <w:t xml:space="preserve"> </w:t>
      </w:r>
      <w:r w:rsidR="004B5B96">
        <w:rPr>
          <w:rStyle w:val="Refdenotaderodap"/>
          <w:lang w:eastAsia="pt-BR"/>
        </w:rPr>
        <w:footnoteReference w:id="7"/>
      </w:r>
    </w:p>
    <w:p w14:paraId="1A17AB48" w14:textId="78779F0F" w:rsidR="003C1822" w:rsidRDefault="00620135" w:rsidP="00620135">
      <w:pPr>
        <w:ind w:left="567" w:firstLine="0"/>
      </w:pPr>
      <w:r>
        <w:t>VII</w:t>
      </w:r>
      <w:r w:rsidR="004B5B96">
        <w:t>I – investidores não residentes; e</w:t>
      </w:r>
      <w:r w:rsidR="004B5B96">
        <w:rPr>
          <w:rStyle w:val="Refdenotaderodap"/>
          <w:lang w:eastAsia="pt-BR"/>
        </w:rPr>
        <w:footnoteReference w:id="8"/>
      </w:r>
    </w:p>
    <w:p w14:paraId="201E0A39" w14:textId="7491EFE5" w:rsidR="004B5B96" w:rsidRDefault="004B5B96" w:rsidP="00620135">
      <w:pPr>
        <w:ind w:left="567" w:firstLine="0"/>
      </w:pPr>
      <w:r>
        <w:t xml:space="preserve">IX – </w:t>
      </w:r>
      <w:proofErr w:type="gramStart"/>
      <w:r>
        <w:t>fundos</w:t>
      </w:r>
      <w:proofErr w:type="gramEnd"/>
      <w:r>
        <w:t xml:space="preserve"> patrimoniais.</w:t>
      </w:r>
    </w:p>
    <w:p w14:paraId="1FB91BBE" w14:textId="1AEF9CC2" w:rsidR="00414A22" w:rsidRDefault="00FA61B4" w:rsidP="00706536">
      <w:r>
        <w:t xml:space="preserve">Art. 11.  </w:t>
      </w:r>
      <w:r w:rsidR="00414A22">
        <w:t>O Anexo A da Resolução CVM nº 45, de 31 de agosto de 2021</w:t>
      </w:r>
      <w:r w:rsidR="00414A22" w:rsidRPr="00FB4E57">
        <w:rPr>
          <w:color w:val="000000"/>
        </w:rPr>
        <w:t>, passa a vigorar com a seguinte redação:</w:t>
      </w:r>
    </w:p>
    <w:p w14:paraId="1B6A0757" w14:textId="77777777" w:rsidR="00414A22" w:rsidRDefault="00414A22" w:rsidP="00706536">
      <w:pPr>
        <w:pStyle w:val="NormaAlterada"/>
      </w:pPr>
      <w:r>
        <w:t>“Grupo IV</w:t>
      </w:r>
    </w:p>
    <w:p w14:paraId="0FC997A6" w14:textId="77777777" w:rsidR="00BD3852" w:rsidRDefault="00BD3852" w:rsidP="00706536">
      <w:pPr>
        <w:pStyle w:val="NormaAlterada"/>
      </w:pPr>
      <w:r w:rsidRPr="002D7259">
        <w:t>...........................................................................</w:t>
      </w:r>
    </w:p>
    <w:p w14:paraId="4EADDF19" w14:textId="77777777" w:rsidR="00414A22" w:rsidRDefault="00414A22" w:rsidP="00706536">
      <w:pPr>
        <w:pStyle w:val="NormaAlterada"/>
      </w:pPr>
      <w:r>
        <w:t>VII – violações à norma que dispõe sobre as ofertas públicas de distribuição de valores mobiliários; e</w:t>
      </w:r>
    </w:p>
    <w:p w14:paraId="24348048" w14:textId="77777777" w:rsidR="00BD3852" w:rsidRDefault="00BD3852" w:rsidP="00706536">
      <w:pPr>
        <w:pStyle w:val="NormaAlterada"/>
      </w:pPr>
      <w:r w:rsidRPr="002D7259">
        <w:t>...........................................................................</w:t>
      </w:r>
    </w:p>
    <w:p w14:paraId="6D500E7F" w14:textId="77777777" w:rsidR="00414A22" w:rsidRDefault="00414A22" w:rsidP="00706536">
      <w:pPr>
        <w:pStyle w:val="NormaAlterada"/>
      </w:pPr>
      <w:r>
        <w:t>Grupo V</w:t>
      </w:r>
    </w:p>
    <w:p w14:paraId="392953FC" w14:textId="77777777" w:rsidR="00BD3852" w:rsidRDefault="00BD3852" w:rsidP="00706536">
      <w:pPr>
        <w:pStyle w:val="NormaAlterada"/>
      </w:pPr>
      <w:r w:rsidRPr="002D7259">
        <w:t>...........................................................................</w:t>
      </w:r>
    </w:p>
    <w:p w14:paraId="15D61019" w14:textId="77777777" w:rsidR="00414A22" w:rsidRDefault="00414A22" w:rsidP="00706536">
      <w:pPr>
        <w:pStyle w:val="NormaAlterada"/>
      </w:pPr>
      <w:r>
        <w:t xml:space="preserve">II – </w:t>
      </w:r>
      <w:proofErr w:type="gramStart"/>
      <w:r>
        <w:t>violações</w:t>
      </w:r>
      <w:proofErr w:type="gramEnd"/>
      <w:r>
        <w:t xml:space="preserve"> que constituam infrações graves à norma que dispõe sobre as ofertas públicas de distribuição de valores mobiliários;</w:t>
      </w:r>
    </w:p>
    <w:p w14:paraId="50345284" w14:textId="77777777" w:rsidR="00414A22" w:rsidRDefault="00414A22" w:rsidP="00706536">
      <w:pPr>
        <w:pStyle w:val="NormaAlterada"/>
        <w:rPr>
          <w:strike/>
        </w:rPr>
      </w:pPr>
      <w:r>
        <w:t>III – violações que constituam infração grave relacionada às ofertas públicas de aquisição de ações;</w:t>
      </w:r>
    </w:p>
    <w:p w14:paraId="33B389D0" w14:textId="4B99A4D3" w:rsidR="00CC65F2" w:rsidRDefault="00BD3852" w:rsidP="00414A22">
      <w:pPr>
        <w:pStyle w:val="NormaAlterada"/>
      </w:pPr>
      <w:r w:rsidRPr="002D7259">
        <w:t>...........................................................................</w:t>
      </w:r>
      <w:r w:rsidR="00414A22" w:rsidRPr="00AC0A39">
        <w:t>” (NR)</w:t>
      </w:r>
    </w:p>
    <w:p w14:paraId="4DBBA6AA" w14:textId="6566CA75" w:rsidR="003B5958" w:rsidRDefault="003B5958" w:rsidP="00411F73">
      <w:pPr>
        <w:rPr>
          <w:lang w:eastAsia="pt-BR"/>
        </w:rPr>
      </w:pPr>
      <w:r>
        <w:rPr>
          <w:lang w:eastAsia="pt-BR"/>
        </w:rPr>
        <w:lastRenderedPageBreak/>
        <w:t xml:space="preserve">Art. </w:t>
      </w:r>
      <w:r w:rsidR="00482B2E">
        <w:rPr>
          <w:lang w:eastAsia="pt-BR"/>
        </w:rPr>
        <w:t>12</w:t>
      </w:r>
      <w:r w:rsidR="00A95674">
        <w:rPr>
          <w:lang w:eastAsia="pt-BR"/>
        </w:rPr>
        <w:t>.</w:t>
      </w:r>
      <w:r>
        <w:rPr>
          <w:lang w:eastAsia="pt-BR"/>
        </w:rPr>
        <w:t xml:space="preserve">  O Anexo A da Resolução CVM nº 51, de 31 de agosto de 2021, passa a vigorar com a seguinte redação:</w:t>
      </w:r>
    </w:p>
    <w:p w14:paraId="32F5AA37" w14:textId="39A7B121" w:rsidR="003B5958" w:rsidRDefault="003B5958" w:rsidP="003072EF">
      <w:pPr>
        <w:pStyle w:val="NormaAlterada"/>
        <w:rPr>
          <w:lang w:eastAsia="pt-BR"/>
        </w:rPr>
      </w:pPr>
      <w:r>
        <w:rPr>
          <w:lang w:eastAsia="pt-BR"/>
        </w:rPr>
        <w:t>“</w:t>
      </w:r>
      <w:r w:rsidR="00BD3852" w:rsidRPr="002D7259">
        <w:t>...........................................................................</w:t>
      </w:r>
    </w:p>
    <w:p w14:paraId="48C6F46E" w14:textId="3292D76D" w:rsidR="003B5958" w:rsidRDefault="003B5958" w:rsidP="003072EF">
      <w:pPr>
        <w:pStyle w:val="NormaAlterada"/>
        <w:rPr>
          <w:lang w:eastAsia="pt-BR"/>
        </w:rPr>
      </w:pPr>
      <w:r>
        <w:rPr>
          <w:lang w:eastAsia="pt-BR"/>
        </w:rPr>
        <w:t>XXI – prestador de serviço de plataforma eletrônica de investimento participativo;</w:t>
      </w:r>
      <w:r>
        <w:rPr>
          <w:rStyle w:val="Refdenotaderodap"/>
          <w:lang w:eastAsia="pt-BR"/>
        </w:rPr>
        <w:footnoteReference w:id="9"/>
      </w:r>
    </w:p>
    <w:p w14:paraId="6CB97D79" w14:textId="0217262F" w:rsidR="00C77EC8" w:rsidRDefault="00C77EC8" w:rsidP="003072EF">
      <w:pPr>
        <w:pStyle w:val="NormaAlterada"/>
        <w:rPr>
          <w:lang w:eastAsia="pt-BR"/>
        </w:rPr>
      </w:pPr>
      <w:proofErr w:type="spellStart"/>
      <w:r>
        <w:rPr>
          <w:lang w:eastAsia="pt-BR"/>
        </w:rPr>
        <w:t>XXII</w:t>
      </w:r>
      <w:proofErr w:type="spellEnd"/>
      <w:r>
        <w:rPr>
          <w:lang w:eastAsia="pt-BR"/>
        </w:rPr>
        <w:t xml:space="preserve"> – companhia </w:t>
      </w:r>
      <w:proofErr w:type="spellStart"/>
      <w:r>
        <w:rPr>
          <w:lang w:eastAsia="pt-BR"/>
        </w:rPr>
        <w:t>securitizadora</w:t>
      </w:r>
      <w:proofErr w:type="spellEnd"/>
      <w:r>
        <w:rPr>
          <w:lang w:eastAsia="pt-BR"/>
        </w:rPr>
        <w:t>; e</w:t>
      </w:r>
      <w:r>
        <w:rPr>
          <w:rStyle w:val="Refdenotaderodap"/>
          <w:lang w:eastAsia="pt-BR"/>
        </w:rPr>
        <w:footnoteReference w:id="10"/>
      </w:r>
    </w:p>
    <w:p w14:paraId="139BF2E9" w14:textId="23896322" w:rsidR="003B5958" w:rsidRDefault="003B5958" w:rsidP="003072EF">
      <w:pPr>
        <w:pStyle w:val="NormaAlterada"/>
        <w:rPr>
          <w:lang w:eastAsia="pt-BR"/>
        </w:rPr>
      </w:pPr>
      <w:r>
        <w:rPr>
          <w:lang w:eastAsia="pt-BR"/>
        </w:rPr>
        <w:t>XX</w:t>
      </w:r>
      <w:r w:rsidR="00C77EC8">
        <w:rPr>
          <w:lang w:eastAsia="pt-BR"/>
        </w:rPr>
        <w:t>I</w:t>
      </w:r>
      <w:r>
        <w:rPr>
          <w:lang w:eastAsia="pt-BR"/>
        </w:rPr>
        <w:t xml:space="preserve">II – </w:t>
      </w:r>
      <w:r w:rsidR="003D0B53">
        <w:rPr>
          <w:lang w:eastAsia="pt-BR"/>
        </w:rPr>
        <w:t>coordenadores</w:t>
      </w:r>
      <w:r>
        <w:rPr>
          <w:lang w:eastAsia="pt-BR"/>
        </w:rPr>
        <w:t xml:space="preserve"> de ofertas públicas de valores mobiliários.” (NR)</w:t>
      </w:r>
    </w:p>
    <w:p w14:paraId="60C28B0A" w14:textId="7AF7A9FB" w:rsidR="003B5958" w:rsidRDefault="003B5958" w:rsidP="00411F73">
      <w:pPr>
        <w:rPr>
          <w:lang w:eastAsia="pt-BR"/>
        </w:rPr>
      </w:pPr>
      <w:r>
        <w:rPr>
          <w:lang w:eastAsia="pt-BR"/>
        </w:rPr>
        <w:t xml:space="preserve">Art. </w:t>
      </w:r>
      <w:r w:rsidR="00482B2E">
        <w:rPr>
          <w:lang w:eastAsia="pt-BR"/>
        </w:rPr>
        <w:t>13</w:t>
      </w:r>
      <w:r>
        <w:rPr>
          <w:lang w:eastAsia="pt-BR"/>
        </w:rPr>
        <w:t>.  O Anexo B da Resolução CVM nº 51, de 2021, passa a vigorar com a seguinte redação:</w:t>
      </w:r>
    </w:p>
    <w:p w14:paraId="225CF9E4" w14:textId="4FBA87BD" w:rsidR="003B5958" w:rsidRDefault="003B5958" w:rsidP="00F61C4B">
      <w:pPr>
        <w:pStyle w:val="NormaAlterada"/>
        <w:rPr>
          <w:lang w:eastAsia="pt-BR"/>
        </w:rPr>
      </w:pPr>
      <w:r>
        <w:rPr>
          <w:lang w:eastAsia="pt-BR"/>
        </w:rPr>
        <w:t>“</w:t>
      </w:r>
      <w:r w:rsidR="00BD3852" w:rsidRPr="002D7259">
        <w:t>...........................................................................</w:t>
      </w:r>
    </w:p>
    <w:p w14:paraId="63EB71F3" w14:textId="41F6486F" w:rsidR="003B5958" w:rsidRDefault="00074053" w:rsidP="00F61C4B">
      <w:pPr>
        <w:pStyle w:val="NormaAlterada"/>
        <w:rPr>
          <w:lang w:eastAsia="pt-BR"/>
        </w:rPr>
      </w:pPr>
      <w:r>
        <w:rPr>
          <w:lang w:eastAsia="pt-BR"/>
        </w:rPr>
        <w:t>23</w:t>
      </w:r>
      <w:r w:rsidR="003B5958">
        <w:rPr>
          <w:lang w:eastAsia="pt-BR"/>
        </w:rPr>
        <w:t xml:space="preserve"> – INFORMAÇÔES CADASTRAIS RELATIVAS AO </w:t>
      </w:r>
      <w:r w:rsidR="003D0B53">
        <w:rPr>
          <w:lang w:eastAsia="pt-BR"/>
        </w:rPr>
        <w:t>COORDENADOR</w:t>
      </w:r>
      <w:r w:rsidR="003B5958">
        <w:rPr>
          <w:lang w:eastAsia="pt-BR"/>
        </w:rPr>
        <w:t xml:space="preserve"> DE OFERTAS PÚBLICAS DE VALORES MOBILIÁRIOS</w:t>
      </w:r>
    </w:p>
    <w:p w14:paraId="5A7F541D" w14:textId="77777777" w:rsidR="003B5958" w:rsidRPr="00D85C62" w:rsidRDefault="003B5958" w:rsidP="000D456A">
      <w:pPr>
        <w:pStyle w:val="NormaAlterada"/>
        <w:contextualSpacing/>
        <w:rPr>
          <w:b/>
          <w:lang w:eastAsia="pt-BR"/>
        </w:rPr>
      </w:pPr>
      <w:r w:rsidRPr="00D85C62">
        <w:rPr>
          <w:b/>
          <w:lang w:eastAsia="pt-BR"/>
        </w:rPr>
        <w:t>Endereço:</w:t>
      </w:r>
    </w:p>
    <w:p w14:paraId="61CAB865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Tipo de endereço.</w:t>
      </w:r>
    </w:p>
    <w:p w14:paraId="3910EF0E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Logradouro.</w:t>
      </w:r>
    </w:p>
    <w:p w14:paraId="59AFC94C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Complemento.</w:t>
      </w:r>
    </w:p>
    <w:p w14:paraId="47CA40F3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Bairro.</w:t>
      </w:r>
    </w:p>
    <w:p w14:paraId="352A8A09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UF.</w:t>
      </w:r>
    </w:p>
    <w:p w14:paraId="3BFE5A5B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Município.</w:t>
      </w:r>
    </w:p>
    <w:p w14:paraId="27DD1BCB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Cep.</w:t>
      </w:r>
    </w:p>
    <w:p w14:paraId="68800034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Telefone.</w:t>
      </w:r>
    </w:p>
    <w:p w14:paraId="1194B358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E-mail</w:t>
      </w:r>
    </w:p>
    <w:p w14:paraId="10B0F264" w14:textId="77777777" w:rsidR="003B5958" w:rsidRPr="00D85C62" w:rsidRDefault="003B5958" w:rsidP="000D456A">
      <w:pPr>
        <w:pStyle w:val="NormaAlterada"/>
        <w:contextualSpacing/>
        <w:rPr>
          <w:b/>
          <w:lang w:eastAsia="pt-BR"/>
        </w:rPr>
      </w:pPr>
      <w:r w:rsidRPr="00D85C62">
        <w:rPr>
          <w:b/>
          <w:lang w:eastAsia="pt-BR"/>
        </w:rPr>
        <w:t xml:space="preserve">Diretor responsável pelas normas e procedimentos a serem observados na intermediação de </w:t>
      </w:r>
      <w:r>
        <w:rPr>
          <w:b/>
          <w:lang w:eastAsia="pt-BR"/>
        </w:rPr>
        <w:t>ofertas públicas de</w:t>
      </w:r>
      <w:r w:rsidRPr="00D85C62">
        <w:rPr>
          <w:b/>
          <w:lang w:eastAsia="pt-BR"/>
        </w:rPr>
        <w:t xml:space="preserve"> valores mobiliários:</w:t>
      </w:r>
    </w:p>
    <w:p w14:paraId="6F4F9B60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CPF.</w:t>
      </w:r>
    </w:p>
    <w:p w14:paraId="5C08A2CA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Nome.</w:t>
      </w:r>
    </w:p>
    <w:p w14:paraId="525A1565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E-mail.</w:t>
      </w:r>
    </w:p>
    <w:p w14:paraId="64F3A0C0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Logradouro.</w:t>
      </w:r>
    </w:p>
    <w:p w14:paraId="716AD684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Complemento.</w:t>
      </w:r>
    </w:p>
    <w:p w14:paraId="2AB46DF5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lastRenderedPageBreak/>
        <w:t>Bairro.</w:t>
      </w:r>
    </w:p>
    <w:p w14:paraId="66EB07F9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UF.</w:t>
      </w:r>
    </w:p>
    <w:p w14:paraId="619DCF98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Município.</w:t>
      </w:r>
    </w:p>
    <w:p w14:paraId="7E31E8E2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Cep.</w:t>
      </w:r>
    </w:p>
    <w:p w14:paraId="5BC0312B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Telefones relacionados.</w:t>
      </w:r>
    </w:p>
    <w:p w14:paraId="772B1D41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Data de início.</w:t>
      </w:r>
    </w:p>
    <w:p w14:paraId="4C0E3043" w14:textId="77777777" w:rsidR="003B5958" w:rsidRPr="00D85C62" w:rsidRDefault="003B5958" w:rsidP="000D456A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Data de fim.</w:t>
      </w:r>
      <w:r>
        <w:rPr>
          <w:lang w:eastAsia="pt-BR"/>
        </w:rPr>
        <w:t>” (NR)</w:t>
      </w:r>
    </w:p>
    <w:p w14:paraId="7A2113DC" w14:textId="1EAEBA96" w:rsidR="00404C51" w:rsidRDefault="00404C51" w:rsidP="004D30E6">
      <w:pPr>
        <w:pStyle w:val="NormaAlterada"/>
      </w:pPr>
      <w:r>
        <w:t xml:space="preserve">Art. </w:t>
      </w:r>
      <w:r w:rsidR="00482B2E">
        <w:t>14</w:t>
      </w:r>
      <w:r w:rsidR="00A95674">
        <w:t>.</w:t>
      </w:r>
      <w:r>
        <w:t xml:space="preserve">  A Resolução CVM nº </w:t>
      </w:r>
      <w:r w:rsidR="00FC0311">
        <w:t>60</w:t>
      </w:r>
      <w:r>
        <w:t xml:space="preserve">, de </w:t>
      </w:r>
      <w:r w:rsidR="00FC0311">
        <w:t>23</w:t>
      </w:r>
      <w:r>
        <w:t xml:space="preserve"> de </w:t>
      </w:r>
      <w:r w:rsidR="00FC0311">
        <w:t>dezembro</w:t>
      </w:r>
      <w:r>
        <w:t xml:space="preserve"> de 2021, passa a vigorar com a seguinte redação:</w:t>
      </w:r>
    </w:p>
    <w:p w14:paraId="42D1A302" w14:textId="495890D8" w:rsidR="00646CAE" w:rsidRDefault="00646CAE" w:rsidP="00646CAE">
      <w:pPr>
        <w:pStyle w:val="NormaAlterada"/>
      </w:pPr>
      <w:r>
        <w:t>“Art. 43</w:t>
      </w:r>
      <w:r w:rsidR="00BD3852" w:rsidRPr="002D7259">
        <w:t>..............................................................</w:t>
      </w:r>
    </w:p>
    <w:p w14:paraId="7F674A01" w14:textId="14AA3F98" w:rsidR="00646CAE" w:rsidRDefault="00646CAE" w:rsidP="00646CAE">
      <w:pPr>
        <w:pStyle w:val="NormaAlterada"/>
      </w:pPr>
      <w:r>
        <w:t xml:space="preserve">I – </w:t>
      </w:r>
      <w:r w:rsidR="00BD3852" w:rsidRPr="002D7259">
        <w:t>......................................................................</w:t>
      </w:r>
    </w:p>
    <w:p w14:paraId="3F736A15" w14:textId="77777777" w:rsidR="00BD3852" w:rsidRDefault="00BD3852" w:rsidP="00646CAE">
      <w:pPr>
        <w:pStyle w:val="NormaAlterada"/>
      </w:pPr>
      <w:r w:rsidRPr="002D7259">
        <w:t>...........................................................................</w:t>
      </w:r>
    </w:p>
    <w:p w14:paraId="440A69C4" w14:textId="763A8A3B" w:rsidR="006D2094" w:rsidRDefault="009D438A" w:rsidP="00646CAE">
      <w:pPr>
        <w:pStyle w:val="NormaAlterada"/>
      </w:pPr>
      <w:r>
        <w:t>d</w:t>
      </w:r>
      <w:r w:rsidR="00646CAE">
        <w:t xml:space="preserve">) norma </w:t>
      </w:r>
      <w:r w:rsidR="00945C2B">
        <w:t xml:space="preserve">que dispõe sobre </w:t>
      </w:r>
      <w:r w:rsidR="003D0B53">
        <w:t>coordenadores</w:t>
      </w:r>
      <w:r w:rsidR="00945C2B">
        <w:t xml:space="preserve"> de ofertas públicas de distribuição de valores mobiliários</w:t>
      </w:r>
      <w:r w:rsidR="00646CAE">
        <w:t xml:space="preserve">, especificamente no que diz respeito a regras de conduta; </w:t>
      </w:r>
    </w:p>
    <w:p w14:paraId="1812EC8B" w14:textId="34BE7B00" w:rsidR="005D0C74" w:rsidRDefault="005D0C74" w:rsidP="00646CAE">
      <w:pPr>
        <w:pStyle w:val="NormaAlterada"/>
      </w:pPr>
      <w:r>
        <w:t xml:space="preserve">II – </w:t>
      </w:r>
      <w:proofErr w:type="gramStart"/>
      <w:r>
        <w:t>indique</w:t>
      </w:r>
      <w:proofErr w:type="gramEnd"/>
      <w:r>
        <w:t xml:space="preserve"> um diretor responsável pela distribuição e pelo cumprimento das normas de que tratam as alíneas “a”, “b” e “d”, observado o disposto no art. 5º, § 1º</w:t>
      </w:r>
      <w:r w:rsidR="00B10644">
        <w:t>; e</w:t>
      </w:r>
    </w:p>
    <w:p w14:paraId="024F680B" w14:textId="3ED5F19E" w:rsidR="00646CAE" w:rsidRDefault="00BD3852" w:rsidP="000D456A">
      <w:pPr>
        <w:pStyle w:val="NormaAlterada"/>
      </w:pPr>
      <w:r w:rsidRPr="002D7259">
        <w:t>...........................................................................</w:t>
      </w:r>
      <w:r w:rsidR="00646CAE">
        <w:t>” (NR)</w:t>
      </w:r>
    </w:p>
    <w:p w14:paraId="1DD1C6AC" w14:textId="0EDFCE9A" w:rsidR="004D4BE0" w:rsidRDefault="004D4BE0" w:rsidP="004D4BE0">
      <w:r>
        <w:t xml:space="preserve">Art. </w:t>
      </w:r>
      <w:r w:rsidR="00482B2E">
        <w:t>15</w:t>
      </w:r>
      <w:r w:rsidR="00A95674">
        <w:t xml:space="preserve">.  </w:t>
      </w:r>
      <w:r w:rsidRPr="00FB4E57">
        <w:rPr>
          <w:color w:val="000000"/>
        </w:rPr>
        <w:t xml:space="preserve">A </w:t>
      </w:r>
      <w:r w:rsidR="0008151F">
        <w:rPr>
          <w:color w:val="000000"/>
        </w:rPr>
        <w:t>Resolução</w:t>
      </w:r>
      <w:r>
        <w:t xml:space="preserve"> CVM </w:t>
      </w:r>
      <w:r w:rsidR="0008151F">
        <w:t>nº 80</w:t>
      </w:r>
      <w:r>
        <w:t xml:space="preserve">, de </w:t>
      </w:r>
      <w:r w:rsidR="0008151F">
        <w:t>29</w:t>
      </w:r>
      <w:r>
        <w:t xml:space="preserve"> de </w:t>
      </w:r>
      <w:r w:rsidR="0008151F">
        <w:t>março</w:t>
      </w:r>
      <w:r>
        <w:t xml:space="preserve"> de </w:t>
      </w:r>
      <w:r w:rsidR="0008151F">
        <w:t>2022</w:t>
      </w:r>
      <w:r w:rsidRPr="00FB4E57">
        <w:rPr>
          <w:color w:val="000000"/>
        </w:rPr>
        <w:t>, passa a vigorar com a seguinte redação:</w:t>
      </w:r>
    </w:p>
    <w:p w14:paraId="529FAC1D" w14:textId="61E13731" w:rsidR="009C6B9B" w:rsidRDefault="00F44FCB" w:rsidP="004D4BE0">
      <w:pPr>
        <w:pStyle w:val="NormaAlterada"/>
      </w:pPr>
      <w:r>
        <w:t>“</w:t>
      </w:r>
      <w:r w:rsidR="004D4BE0" w:rsidRPr="004D4BE0">
        <w:t xml:space="preserve">Art. </w:t>
      </w:r>
      <w:r w:rsidR="00ED0A20">
        <w:t>3º</w:t>
      </w:r>
      <w:r w:rsidR="00BD3852" w:rsidRPr="002D7259">
        <w:t>...............................................................</w:t>
      </w:r>
    </w:p>
    <w:p w14:paraId="2B4FF7E9" w14:textId="77777777" w:rsidR="00BD3852" w:rsidRDefault="00BD3852" w:rsidP="004040D0">
      <w:pPr>
        <w:pStyle w:val="NormaAlterada"/>
      </w:pPr>
      <w:r w:rsidRPr="002D7259">
        <w:t>...........................................................................</w:t>
      </w:r>
    </w:p>
    <w:p w14:paraId="712D324E" w14:textId="4E37B18A" w:rsidR="004127EF" w:rsidRDefault="6F9D0B48" w:rsidP="004040D0">
      <w:pPr>
        <w:pStyle w:val="NormaAlterada"/>
      </w:pPr>
      <w:r>
        <w:t>§ 5</w:t>
      </w:r>
      <w:proofErr w:type="gramStart"/>
      <w:r>
        <w:t>º</w:t>
      </w:r>
      <w:r w:rsidR="4F0A24A5">
        <w:t xml:space="preserve">  O</w:t>
      </w:r>
      <w:proofErr w:type="gramEnd"/>
      <w:r w:rsidR="569CB30F">
        <w:t xml:space="preserve"> emissor </w:t>
      </w:r>
      <w:r w:rsidR="79FCBE93">
        <w:t xml:space="preserve">é considerado pré-operacional </w:t>
      </w:r>
      <w:r w:rsidR="5B57985F">
        <w:t>enquanto não apresentar receita proveniente de suas operações, em demonstração financeira auditada por auditor independente registrado na CVM.</w:t>
      </w:r>
    </w:p>
    <w:p w14:paraId="0E76B590" w14:textId="77777777" w:rsidR="004630C4" w:rsidRDefault="5B57985F" w:rsidP="004040D0">
      <w:pPr>
        <w:pStyle w:val="NormaAlterada"/>
      </w:pPr>
      <w:r>
        <w:t>§ 6</w:t>
      </w:r>
      <w:proofErr w:type="gramStart"/>
      <w:r>
        <w:t>º  A</w:t>
      </w:r>
      <w:proofErr w:type="gramEnd"/>
      <w:r>
        <w:t xml:space="preserve"> demonstração financeira de que trata o § 5º</w:t>
      </w:r>
      <w:r w:rsidR="004630C4">
        <w:t>:</w:t>
      </w:r>
    </w:p>
    <w:p w14:paraId="741BCECB" w14:textId="69797BCA" w:rsidR="004630C4" w:rsidRDefault="004630C4" w:rsidP="004040D0">
      <w:pPr>
        <w:pStyle w:val="NormaAlterada"/>
      </w:pPr>
      <w:r>
        <w:t xml:space="preserve">I – </w:t>
      </w:r>
      <w:proofErr w:type="gramStart"/>
      <w:r w:rsidR="5B57985F">
        <w:t>pode</w:t>
      </w:r>
      <w:proofErr w:type="gramEnd"/>
      <w:r w:rsidR="5B57985F">
        <w:t xml:space="preserve"> ser </w:t>
      </w:r>
      <w:r>
        <w:t xml:space="preserve">uma demonstração financeira </w:t>
      </w:r>
      <w:r w:rsidR="5B57985F">
        <w:t>individual, consolidada ou combinada</w:t>
      </w:r>
      <w:r w:rsidR="006667DD">
        <w:t>, anual ou elaborada para fins de registro</w:t>
      </w:r>
      <w:r>
        <w:t>; e</w:t>
      </w:r>
    </w:p>
    <w:p w14:paraId="1D3F61CD" w14:textId="3A048B15" w:rsidR="004127EF" w:rsidRDefault="004630C4" w:rsidP="00641545">
      <w:pPr>
        <w:pStyle w:val="NormaAlterada"/>
      </w:pPr>
      <w:r>
        <w:t xml:space="preserve">II – não pode ser </w:t>
      </w:r>
      <w:r w:rsidR="5B57985F">
        <w:t xml:space="preserve">uma </w:t>
      </w:r>
      <w:r w:rsidR="4CF6F0AC">
        <w:t>informação</w:t>
      </w:r>
      <w:r w:rsidR="5B57985F">
        <w:t xml:space="preserve"> financeira </w:t>
      </w:r>
      <w:r w:rsidR="5B57985F" w:rsidRPr="009F4FA1">
        <w:rPr>
          <w:b/>
          <w:bCs/>
        </w:rPr>
        <w:t xml:space="preserve">pro </w:t>
      </w:r>
      <w:proofErr w:type="gramStart"/>
      <w:r w:rsidR="5B57985F" w:rsidRPr="009F4FA1">
        <w:rPr>
          <w:b/>
          <w:bCs/>
        </w:rPr>
        <w:t>forma</w:t>
      </w:r>
      <w:r w:rsidR="5B57985F">
        <w:t>.</w:t>
      </w:r>
      <w:r w:rsidR="18BAE868">
        <w:t>”</w:t>
      </w:r>
      <w:proofErr w:type="gramEnd"/>
      <w:r w:rsidR="18BAE868">
        <w:t xml:space="preserve"> (NR)</w:t>
      </w:r>
    </w:p>
    <w:p w14:paraId="08FA5C88" w14:textId="4EBB8EEC" w:rsidR="00826EB8" w:rsidRDefault="00736122" w:rsidP="004D4BE0">
      <w:pPr>
        <w:pStyle w:val="NormaAlterada"/>
      </w:pPr>
      <w:r>
        <w:lastRenderedPageBreak/>
        <w:t>“</w:t>
      </w:r>
      <w:r w:rsidR="00826EB8">
        <w:t>Art.</w:t>
      </w:r>
      <w:r w:rsidR="002C0728">
        <w:t xml:space="preserve"> 5</w:t>
      </w:r>
      <w:proofErr w:type="gramStart"/>
      <w:r w:rsidR="002C0728">
        <w:t>º</w:t>
      </w:r>
      <w:r w:rsidR="0085749E" w:rsidRPr="00976C39">
        <w:t xml:space="preserve"> </w:t>
      </w:r>
      <w:r w:rsidR="004C6094">
        <w:t xml:space="preserve"> </w:t>
      </w:r>
      <w:r w:rsidR="0085749E">
        <w:t>A</w:t>
      </w:r>
      <w:proofErr w:type="gramEnd"/>
      <w:r w:rsidR="0085749E">
        <w:t xml:space="preserve"> SEP deve concluir a análise do requerimento de registro de </w:t>
      </w:r>
      <w:r w:rsidR="0085749E" w:rsidRPr="00976C39">
        <w:t xml:space="preserve">emissor </w:t>
      </w:r>
      <w:r w:rsidR="0085749E">
        <w:t>no prazo máximo de 60 (sessenta) dias, contado da data do protocolo de todos os documentos elencados no Anexo A, sendo o registro automaticamente deferido se não houver manifestação da SEP neste prazo.</w:t>
      </w:r>
    </w:p>
    <w:p w14:paraId="10932C3B" w14:textId="77777777" w:rsidR="00BD3852" w:rsidRDefault="00BD3852" w:rsidP="000E3D95">
      <w:pPr>
        <w:pStyle w:val="NormaAlterada"/>
      </w:pPr>
      <w:r w:rsidRPr="002D7259">
        <w:t>...........................................................................</w:t>
      </w:r>
    </w:p>
    <w:p w14:paraId="4E9EB2FD" w14:textId="4DEF55C3" w:rsidR="000E3D95" w:rsidRPr="000E3D95" w:rsidRDefault="00736122" w:rsidP="000E3D95">
      <w:pPr>
        <w:pStyle w:val="NormaAlterada"/>
      </w:pPr>
      <w:r>
        <w:t>§ 2</w:t>
      </w:r>
      <w:proofErr w:type="gramStart"/>
      <w:r>
        <w:t xml:space="preserve">º </w:t>
      </w:r>
      <w:r w:rsidR="000E3D95" w:rsidRPr="000E3D95">
        <w:t xml:space="preserve"> A</w:t>
      </w:r>
      <w:proofErr w:type="gramEnd"/>
      <w:r w:rsidR="000E3D95" w:rsidRPr="000E3D95">
        <w:t xml:space="preserve"> SEP deve informar, no prazo de até 10 (dez) dias contado do protocolo, sobre a suficiência dos documentos submetidos e quais documentos ou informações estão faltando.</w:t>
      </w:r>
    </w:p>
    <w:p w14:paraId="51839ED9" w14:textId="17D922C4" w:rsidR="0081064E" w:rsidRDefault="000E3D95" w:rsidP="000E3D95">
      <w:pPr>
        <w:pStyle w:val="NormaAlterada"/>
      </w:pPr>
      <w:r w:rsidRPr="000E3D95">
        <w:t>§ 3</w:t>
      </w:r>
      <w:proofErr w:type="gramStart"/>
      <w:r w:rsidRPr="000E3D95">
        <w:t>º  A</w:t>
      </w:r>
      <w:proofErr w:type="gramEnd"/>
      <w:r w:rsidRPr="000E3D95">
        <w:t xml:space="preserve"> suficiência de que trata o </w:t>
      </w:r>
      <w:r w:rsidR="00065220">
        <w:t xml:space="preserve">§ </w:t>
      </w:r>
      <w:r w:rsidRPr="000E3D95">
        <w:t>2º se consubstancia por meio da observância de aspectos relacionadas ao elevado padrão de completude, compreensibilidade e consistência dos documentos, não podendo haver lacunas relativas a aspectos materiais em seu conteúdo.</w:t>
      </w:r>
    </w:p>
    <w:p w14:paraId="67A3721E" w14:textId="6F1C1CB1" w:rsidR="00736122" w:rsidRDefault="0081064E" w:rsidP="000E3D95">
      <w:pPr>
        <w:pStyle w:val="NormaAlterada"/>
      </w:pPr>
      <w:r>
        <w:t xml:space="preserve">§ </w:t>
      </w:r>
      <w:r w:rsidR="006D28C5">
        <w:t>4</w:t>
      </w:r>
      <w:proofErr w:type="gramStart"/>
      <w:r w:rsidR="006D28C5">
        <w:t>º</w:t>
      </w:r>
      <w:r>
        <w:t xml:space="preserve">  Para</w:t>
      </w:r>
      <w:proofErr w:type="gramEnd"/>
      <w:r>
        <w:t xml:space="preserve"> que a complementação da documentação necessária à instrução do pedido de registro, é concedido prazo de 10 (dez) dias úteis.</w:t>
      </w:r>
      <w:r w:rsidR="00F118BB">
        <w:t>” (NR)</w:t>
      </w:r>
    </w:p>
    <w:p w14:paraId="73A62D92" w14:textId="10C66752" w:rsidR="000E3D95" w:rsidRDefault="00F118BB" w:rsidP="000E3D95">
      <w:pPr>
        <w:pStyle w:val="NormaAlterada"/>
      </w:pPr>
      <w:r>
        <w:t>“</w:t>
      </w:r>
      <w:r w:rsidR="004E3A7B" w:rsidRPr="004E3A7B">
        <w:t>Art. 6</w:t>
      </w:r>
      <w:proofErr w:type="gramStart"/>
      <w:r w:rsidR="004E3A7B" w:rsidRPr="004E3A7B">
        <w:t>º  No</w:t>
      </w:r>
      <w:proofErr w:type="gramEnd"/>
      <w:r w:rsidR="004E3A7B" w:rsidRPr="004E3A7B">
        <w:t xml:space="preserve"> prazo de </w:t>
      </w:r>
      <w:r w:rsidR="00E51C88">
        <w:t>20</w:t>
      </w:r>
      <w:r w:rsidR="004E3A7B" w:rsidRPr="004E3A7B">
        <w:t xml:space="preserve"> (</w:t>
      </w:r>
      <w:r w:rsidR="00E51C88">
        <w:t>vinte</w:t>
      </w:r>
      <w:r w:rsidR="004E3A7B" w:rsidRPr="004E3A7B">
        <w:t xml:space="preserve">) dias úteis da apresentação de todos os documentos necessários à instrução do pedido de registro, a SEP pode suspender o prazo de análise de que trata o </w:t>
      </w:r>
      <w:r w:rsidR="004E3A7B" w:rsidRPr="004E3A7B">
        <w:rPr>
          <w:b/>
          <w:bCs/>
        </w:rPr>
        <w:t>caput</w:t>
      </w:r>
      <w:r w:rsidR="004E3A7B" w:rsidRPr="004E3A7B">
        <w:t xml:space="preserve"> do art. 5º, mediante emissão de ofício com exigências ao requerente.</w:t>
      </w:r>
    </w:p>
    <w:p w14:paraId="666B2A69" w14:textId="77777777" w:rsidR="00BD3852" w:rsidRDefault="00BD3852" w:rsidP="000E3D95">
      <w:pPr>
        <w:pStyle w:val="NormaAlterada"/>
      </w:pPr>
      <w:r w:rsidRPr="002D7259">
        <w:t>...........................................................................</w:t>
      </w:r>
    </w:p>
    <w:p w14:paraId="4A9ECCA4" w14:textId="073D4816" w:rsidR="00F118BB" w:rsidRDefault="00F118BB" w:rsidP="000E3D95">
      <w:pPr>
        <w:pStyle w:val="NormaAlterada"/>
        <w:rPr>
          <w:lang w:val="x-none"/>
        </w:rPr>
      </w:pPr>
      <w:r>
        <w:t>§ 2</w:t>
      </w:r>
      <w:proofErr w:type="gramStart"/>
      <w:r>
        <w:t xml:space="preserve">º  </w:t>
      </w:r>
      <w:r w:rsidR="00605862" w:rsidRPr="00976C39">
        <w:rPr>
          <w:lang w:val="x-none"/>
        </w:rPr>
        <w:t>O</w:t>
      </w:r>
      <w:proofErr w:type="gramEnd"/>
      <w:r w:rsidR="00605862" w:rsidRPr="00976C39">
        <w:rPr>
          <w:lang w:val="x-none"/>
        </w:rPr>
        <w:t xml:space="preserve"> prazo para o cumprimento das exigências pode ser prorrogado uma única vez, por </w:t>
      </w:r>
      <w:r w:rsidR="00605862">
        <w:t xml:space="preserve">período não superior a </w:t>
      </w:r>
      <w:r w:rsidR="00605862" w:rsidRPr="00976C39">
        <w:rPr>
          <w:lang w:val="x-none"/>
        </w:rPr>
        <w:t>20 (vinte) dias úteis, mediante pedido prévio e fundamentado formulado pelo emissor à SEP.</w:t>
      </w:r>
    </w:p>
    <w:p w14:paraId="334A3CF9" w14:textId="5DA86967" w:rsidR="00092C7C" w:rsidRPr="00092C7C" w:rsidRDefault="00092C7C" w:rsidP="00092C7C">
      <w:pPr>
        <w:pStyle w:val="NormaAlterada"/>
        <w:rPr>
          <w:lang w:val="x-none"/>
        </w:rPr>
      </w:pPr>
      <w:r w:rsidRPr="00092C7C">
        <w:rPr>
          <w:lang w:val="x-none"/>
        </w:rPr>
        <w:t xml:space="preserve">§ 3º  </w:t>
      </w:r>
      <w:r w:rsidRPr="00092C7C">
        <w:rPr>
          <w:bCs/>
        </w:rPr>
        <w:t xml:space="preserve">A partir do recebimento de todos os documentos e informações em cumprimento das exigências formuladas, a SEP tem </w:t>
      </w:r>
      <w:r w:rsidR="00F2333D">
        <w:rPr>
          <w:bCs/>
        </w:rPr>
        <w:t>10</w:t>
      </w:r>
      <w:r w:rsidRPr="00092C7C">
        <w:rPr>
          <w:bCs/>
        </w:rPr>
        <w:t xml:space="preserve"> (</w:t>
      </w:r>
      <w:r w:rsidR="00F2333D">
        <w:rPr>
          <w:bCs/>
        </w:rPr>
        <w:t>dez</w:t>
      </w:r>
      <w:r w:rsidRPr="00092C7C">
        <w:rPr>
          <w:bCs/>
        </w:rPr>
        <w:t>) dias úteis para se manifestar sobre o pedido de registro, o qual é automaticamente obtido se não houver manifestação da SEP neste prazo</w:t>
      </w:r>
      <w:r w:rsidRPr="00092C7C">
        <w:rPr>
          <w:lang w:val="x-none"/>
        </w:rPr>
        <w:t>.</w:t>
      </w:r>
    </w:p>
    <w:p w14:paraId="4211F493" w14:textId="65463D34" w:rsidR="00092C7C" w:rsidRPr="00092C7C" w:rsidRDefault="00092C7C" w:rsidP="00092C7C">
      <w:pPr>
        <w:pStyle w:val="NormaAlterada"/>
      </w:pPr>
      <w:r w:rsidRPr="00092C7C">
        <w:t xml:space="preserve">§ 4º   Decorrido o prazo previsto no § 3º, caso restem exigências inicialmente formuladas que não tenham sido plenamente atendidas ou caso as alterações em documentos e informações ensejem a necessidade de se realizar novas exigências, preliminarmente ao indeferimento do pedido de registro, a SEP deve enviar ofício ao requerente reiterando exigências ou apresentando novas exigências que se mostrarem necessárias, concedendo-lhe para atendimento o prazo de 5 (cinco) dias úteis, sem prejuízo do § </w:t>
      </w:r>
      <w:r w:rsidR="00CA7553">
        <w:t>7</w:t>
      </w:r>
      <w:r w:rsidRPr="00092C7C">
        <w:t>º.</w:t>
      </w:r>
    </w:p>
    <w:p w14:paraId="0856CD1E" w14:textId="52A6D18D" w:rsidR="005164CE" w:rsidRDefault="005164CE" w:rsidP="00092C7C">
      <w:pPr>
        <w:pStyle w:val="NormaAlterada"/>
      </w:pPr>
      <w:r>
        <w:t xml:space="preserve">§ </w:t>
      </w:r>
      <w:r w:rsidR="00373DA7">
        <w:t>5</w:t>
      </w:r>
      <w:proofErr w:type="gramStart"/>
      <w:r w:rsidR="00373DA7">
        <w:t>º</w:t>
      </w:r>
      <w:r w:rsidR="00E456EE">
        <w:t xml:space="preserve">  </w:t>
      </w:r>
      <w:r w:rsidR="00E456EE" w:rsidRPr="007E77AF">
        <w:rPr>
          <w:bCs/>
        </w:rPr>
        <w:t>O</w:t>
      </w:r>
      <w:proofErr w:type="gramEnd"/>
      <w:r w:rsidR="00E456EE" w:rsidRPr="007E77AF">
        <w:rPr>
          <w:bCs/>
        </w:rPr>
        <w:t xml:space="preserve"> prazo para o cumprimento das novas exigências pode ser prorrogado uma única vez, por período não superior a 5 (cinco) dias úteis, mediante a prévia apresentação de pedido </w:t>
      </w:r>
      <w:r w:rsidR="00E456EE" w:rsidRPr="007E77AF">
        <w:rPr>
          <w:bCs/>
        </w:rPr>
        <w:lastRenderedPageBreak/>
        <w:t xml:space="preserve">fundamentado pelos interessados, sendo certo que o período da prorrogação não será computado para os fins do art. </w:t>
      </w:r>
      <w:r w:rsidR="00E456EE">
        <w:rPr>
          <w:bCs/>
        </w:rPr>
        <w:t>5º</w:t>
      </w:r>
      <w:r w:rsidR="00E456EE" w:rsidRPr="007E77AF">
        <w:rPr>
          <w:bCs/>
        </w:rPr>
        <w:t>.</w:t>
      </w:r>
    </w:p>
    <w:p w14:paraId="6DBB366B" w14:textId="64C1EA02" w:rsidR="00092C7C" w:rsidRPr="00092C7C" w:rsidRDefault="00092C7C" w:rsidP="00FA4B1F">
      <w:pPr>
        <w:pStyle w:val="NormaAlterada"/>
      </w:pPr>
      <w:r w:rsidRPr="00092C7C">
        <w:t xml:space="preserve">§ </w:t>
      </w:r>
      <w:r w:rsidR="00373DA7">
        <w:t>6</w:t>
      </w:r>
      <w:proofErr w:type="gramStart"/>
      <w:r w:rsidR="00373DA7">
        <w:t>º</w:t>
      </w:r>
      <w:r w:rsidR="000C46E8">
        <w:t xml:space="preserve">  </w:t>
      </w:r>
      <w:r w:rsidRPr="00092C7C">
        <w:t>O</w:t>
      </w:r>
      <w:proofErr w:type="gramEnd"/>
      <w:r w:rsidRPr="00092C7C">
        <w:t xml:space="preserve"> prazo para manifestação da SEP a respeito do cumprimento das exigências em atendimento ao ofício mencionado no § 4º é de</w:t>
      </w:r>
      <w:r w:rsidR="00BA4445">
        <w:t xml:space="preserve"> </w:t>
      </w:r>
      <w:r w:rsidRPr="00092C7C">
        <w:t>3 (três) dias úteis.</w:t>
      </w:r>
    </w:p>
    <w:p w14:paraId="42239D42" w14:textId="7E3B3C1E" w:rsidR="00092C7C" w:rsidRPr="00092C7C" w:rsidRDefault="00092C7C" w:rsidP="00092C7C">
      <w:pPr>
        <w:pStyle w:val="NormaAlterada"/>
      </w:pPr>
      <w:r w:rsidRPr="00092C7C">
        <w:t xml:space="preserve">§ </w:t>
      </w:r>
      <w:r w:rsidR="00373DA7">
        <w:t>7</w:t>
      </w:r>
      <w:proofErr w:type="gramStart"/>
      <w:r w:rsidR="00373DA7">
        <w:t>º</w:t>
      </w:r>
      <w:r w:rsidR="000C46E8">
        <w:t xml:space="preserve">  </w:t>
      </w:r>
      <w:r w:rsidRPr="00092C7C">
        <w:t>Caso</w:t>
      </w:r>
      <w:proofErr w:type="gramEnd"/>
      <w:r w:rsidRPr="00092C7C">
        <w:t xml:space="preserve">, além dos documentos e informações apresentados em resposta aos ofícios previstos no </w:t>
      </w:r>
      <w:r w:rsidRPr="00092C7C">
        <w:rPr>
          <w:b/>
          <w:bCs/>
        </w:rPr>
        <w:t>caput</w:t>
      </w:r>
      <w:r w:rsidRPr="00092C7C">
        <w:t xml:space="preserve"> ou no § 4º do presente artigo, tenham sido realizadas alterações em documentos ou em informações que não decorram do cumprimento de exigências, a SEP pode apontar a ocorrência de fato novo, a depender da relevância das alterações.</w:t>
      </w:r>
    </w:p>
    <w:p w14:paraId="6B54C683" w14:textId="26336943" w:rsidR="00092C7C" w:rsidRPr="00092C7C" w:rsidRDefault="00092C7C" w:rsidP="00092C7C">
      <w:pPr>
        <w:pStyle w:val="NormaAlterada"/>
      </w:pPr>
      <w:r w:rsidRPr="00092C7C">
        <w:t xml:space="preserve">§ </w:t>
      </w:r>
      <w:r w:rsidR="00373DA7">
        <w:t>8</w:t>
      </w:r>
      <w:proofErr w:type="gramStart"/>
      <w:r w:rsidR="00373DA7">
        <w:t>º</w:t>
      </w:r>
      <w:r w:rsidR="000C46E8">
        <w:t xml:space="preserve">  </w:t>
      </w:r>
      <w:r w:rsidRPr="00092C7C">
        <w:t>A</w:t>
      </w:r>
      <w:proofErr w:type="gramEnd"/>
      <w:r w:rsidRPr="00092C7C">
        <w:t xml:space="preserve"> ocorrência de fato novo deve ser comunicada pela SEP ao requerente dentro dos prazos de que trata o § 3º ou § </w:t>
      </w:r>
      <w:r w:rsidR="003F5287">
        <w:t>6</w:t>
      </w:r>
      <w:r w:rsidRPr="00092C7C">
        <w:t>º, e acarreta</w:t>
      </w:r>
      <w:r w:rsidRPr="00092C7C" w:rsidDel="00FD43C2">
        <w:t xml:space="preserve"> </w:t>
      </w:r>
      <w:r w:rsidRPr="00092C7C">
        <w:t xml:space="preserve">nova suspensão de 20 (vinte) dias úteis.  </w:t>
      </w:r>
    </w:p>
    <w:p w14:paraId="66CAA67B" w14:textId="1ED4C147" w:rsidR="00605862" w:rsidRDefault="00092C7C" w:rsidP="00092C7C">
      <w:pPr>
        <w:pStyle w:val="NormaAlterada"/>
      </w:pPr>
      <w:r w:rsidRPr="00092C7C">
        <w:t xml:space="preserve">§ </w:t>
      </w:r>
      <w:r w:rsidR="00373DA7">
        <w:t>9</w:t>
      </w:r>
      <w:proofErr w:type="gramStart"/>
      <w:r w:rsidR="00373DA7">
        <w:t>º</w:t>
      </w:r>
      <w:r w:rsidR="00212BE4">
        <w:t xml:space="preserve">  </w:t>
      </w:r>
      <w:r w:rsidRPr="00092C7C">
        <w:t>Findos</w:t>
      </w:r>
      <w:proofErr w:type="gramEnd"/>
      <w:r w:rsidRPr="00092C7C">
        <w:t xml:space="preserve"> os prazos de que trata o § </w:t>
      </w:r>
      <w:r w:rsidR="000C46E8">
        <w:t>8</w:t>
      </w:r>
      <w:r w:rsidRPr="00092C7C">
        <w:t>º, a SEP deve se manifestar sobre o requerimento de registro no prazo remanescente previsto no art. 5º, sendo o registro automaticamente deferido se não houver manifestação da SEP neste período.</w:t>
      </w:r>
      <w:r w:rsidR="00EC02DB">
        <w:t>” (NR)</w:t>
      </w:r>
    </w:p>
    <w:p w14:paraId="5F6F069C" w14:textId="50E378F6" w:rsidR="00404DD1" w:rsidRPr="00404DD1" w:rsidRDefault="00404DD1" w:rsidP="00404DD1">
      <w:pPr>
        <w:pStyle w:val="NormaAlterada"/>
      </w:pPr>
      <w:r>
        <w:t>“</w:t>
      </w:r>
      <w:r w:rsidRPr="00404DD1">
        <w:t>Art. 7º-</w:t>
      </w:r>
      <w:proofErr w:type="gramStart"/>
      <w:r w:rsidRPr="00404DD1">
        <w:t>A  O</w:t>
      </w:r>
      <w:proofErr w:type="gramEnd"/>
      <w:r w:rsidRPr="00404DD1">
        <w:t xml:space="preserve"> requerimento de registro deve ser indeferido quando não forem cumpridas as exigências formuladas pela SEP, nos prazos previstos nesta Resolução.</w:t>
      </w:r>
    </w:p>
    <w:p w14:paraId="1524B913" w14:textId="05817E94" w:rsidR="004D20B5" w:rsidRDefault="00404DD1" w:rsidP="00404DD1">
      <w:pPr>
        <w:pStyle w:val="NormaAlterada"/>
      </w:pPr>
      <w:r w:rsidRPr="00404DD1">
        <w:t>Parágrafo único.</w:t>
      </w:r>
      <w:r w:rsidR="00747AA0">
        <w:t xml:space="preserve"> </w:t>
      </w:r>
      <w:r w:rsidRPr="00404DD1">
        <w:t xml:space="preserve"> Na hipótese de indeferimento, a SEP deve enviar ofício ao emissor informando sua decisão, da qual cabe recurso ao Colegiado da CVM, na forma da regulamentação vigente.</w:t>
      </w:r>
      <w:r>
        <w:t>” (NR)</w:t>
      </w:r>
    </w:p>
    <w:p w14:paraId="6B9340BE" w14:textId="644E668B" w:rsidR="00622094" w:rsidRPr="00622094" w:rsidRDefault="00622094" w:rsidP="003E3A25">
      <w:pPr>
        <w:pStyle w:val="Seo"/>
      </w:pPr>
      <w:r>
        <w:t>“</w:t>
      </w:r>
      <w:r w:rsidRPr="00622094">
        <w:t>Subseção I – Análise Reservada de Pedidos de Registro</w:t>
      </w:r>
    </w:p>
    <w:p w14:paraId="0B279CAE" w14:textId="47E5FBA8" w:rsidR="00622094" w:rsidRPr="00622094" w:rsidRDefault="00430937" w:rsidP="00622094">
      <w:pPr>
        <w:pStyle w:val="NormaAlterada"/>
      </w:pPr>
      <w:bookmarkStart w:id="2" w:name="_Ref460492381"/>
      <w:r>
        <w:t xml:space="preserve">Art. 7º-B.  </w:t>
      </w:r>
      <w:r w:rsidR="00622094" w:rsidRPr="00622094">
        <w:t>Caso seja requerida, a análise do pedido do registro de emissor pode ser conduzida pela SEP de forma reservada, conforme os prazos e procedimentos constantes da Seção I deste Capítulo, até a data do deferimento do registro ou, no caso de pedido concomitante de registro de oferta pública, até a data em que ocorrer o deferimento do registro ou a divulgação de prospecto, preliminar ou definitivo, o que ocorrer primeiro.</w:t>
      </w:r>
      <w:bookmarkEnd w:id="2"/>
    </w:p>
    <w:p w14:paraId="09B2892B" w14:textId="77777777" w:rsidR="00622094" w:rsidRPr="00622094" w:rsidRDefault="00622094" w:rsidP="00622094">
      <w:pPr>
        <w:pStyle w:val="NormaAlterada"/>
      </w:pPr>
      <w:r w:rsidRPr="00622094">
        <w:t>§ 1</w:t>
      </w:r>
      <w:proofErr w:type="gramStart"/>
      <w:r w:rsidRPr="00622094">
        <w:t>º  É</w:t>
      </w:r>
      <w:proofErr w:type="gramEnd"/>
      <w:r w:rsidRPr="00622094">
        <w:t xml:space="preserve"> facultado ao emissor dar publicidade à existência do pedido de registro, restringindo o tratamento reservado apenas aos documentos submetidos à CVM para fins de análise do pedido.</w:t>
      </w:r>
    </w:p>
    <w:p w14:paraId="2144F4D0" w14:textId="77777777" w:rsidR="00622094" w:rsidRPr="00622094" w:rsidRDefault="00622094" w:rsidP="00622094">
      <w:pPr>
        <w:pStyle w:val="NormaAlterada"/>
      </w:pPr>
      <w:r w:rsidRPr="00622094">
        <w:t>§ 2</w:t>
      </w:r>
      <w:proofErr w:type="gramStart"/>
      <w:r w:rsidRPr="00622094">
        <w:t>º  O</w:t>
      </w:r>
      <w:proofErr w:type="gramEnd"/>
      <w:r w:rsidRPr="00622094">
        <w:t xml:space="preserve"> emissor pode requerer, a qualquer momento, o término do caráter reservado da análise do pedido do registro de emissor por parte da SEP. </w:t>
      </w:r>
    </w:p>
    <w:p w14:paraId="6D70A042" w14:textId="77777777" w:rsidR="00622094" w:rsidRPr="00622094" w:rsidRDefault="00622094" w:rsidP="00622094">
      <w:pPr>
        <w:pStyle w:val="NormaAlterada"/>
      </w:pPr>
      <w:r w:rsidRPr="00622094">
        <w:t>§ 3</w:t>
      </w:r>
      <w:proofErr w:type="gramStart"/>
      <w:r w:rsidRPr="00622094">
        <w:t>º  A</w:t>
      </w:r>
      <w:proofErr w:type="gramEnd"/>
      <w:r w:rsidRPr="00622094">
        <w:t xml:space="preserve"> condução da análise reservada prevista no </w:t>
      </w:r>
      <w:r w:rsidRPr="00622094">
        <w:rPr>
          <w:b/>
        </w:rPr>
        <w:t>caput</w:t>
      </w:r>
      <w:r w:rsidRPr="00622094">
        <w:rPr>
          <w:bCs/>
        </w:rPr>
        <w:t xml:space="preserve"> </w:t>
      </w:r>
      <w:r w:rsidRPr="00622094">
        <w:t>somente é possível se solicitada simultaneamente com o protocolo inicial do pedido de registro de emissor.</w:t>
      </w:r>
    </w:p>
    <w:p w14:paraId="14C0F5DF" w14:textId="4C1992F9" w:rsidR="00622094" w:rsidRPr="00622094" w:rsidRDefault="00622094" w:rsidP="00622094">
      <w:pPr>
        <w:pStyle w:val="NormaAlterada"/>
      </w:pPr>
      <w:r w:rsidRPr="00622094">
        <w:lastRenderedPageBreak/>
        <w:t>§ 4</w:t>
      </w:r>
      <w:proofErr w:type="gramStart"/>
      <w:r w:rsidRPr="00622094">
        <w:t>º  O</w:t>
      </w:r>
      <w:proofErr w:type="gramEnd"/>
      <w:r w:rsidRPr="00622094">
        <w:t xml:space="preserve"> emissor deve declarar no pedido de registro de emissor a justificativa para o sigilo, incluindo, nos termos da Lei de Acesso à Informação </w:t>
      </w:r>
      <w:r w:rsidR="00F44FCB">
        <w:t>–</w:t>
      </w:r>
      <w:r w:rsidRPr="00622094">
        <w:t xml:space="preserve"> LAI, as razões pelas quais a sua divulgação pode representar vantagem competitiva a outros agentes econômicos ou pôr em risco interesse legítimo do ofertante, sendo que, uma vez apresentada tal declaração, o tratamento reservado deve ser deferido pelas áreas técnicas.</w:t>
      </w:r>
      <w:r w:rsidR="00747AA0">
        <w:t>” (NR)</w:t>
      </w:r>
    </w:p>
    <w:p w14:paraId="49A52315" w14:textId="13D35D89" w:rsidR="00622094" w:rsidRPr="00622094" w:rsidRDefault="00747AA0" w:rsidP="00622094">
      <w:pPr>
        <w:pStyle w:val="NormaAlterada"/>
      </w:pPr>
      <w:r>
        <w:t>“</w:t>
      </w:r>
      <w:r w:rsidR="00430937">
        <w:t xml:space="preserve">Art. 7º-C.   </w:t>
      </w:r>
      <w:r w:rsidR="00622094" w:rsidRPr="00622094">
        <w:t xml:space="preserve">As entidades autorreguladoras autorizadas pela CVM que conduzam análises prévias de pedidos de registro de emissor também devem adotar procedimentos que garantam o sigilo dos seus processos de análise, ficando o emissor que solicitar a análise reservada dispensado da divulgação </w:t>
      </w:r>
      <w:r w:rsidR="00622094" w:rsidRPr="00622094" w:rsidDel="00727205">
        <w:t>desta solicitação</w:t>
      </w:r>
      <w:r w:rsidR="00622094" w:rsidRPr="00622094">
        <w:t>.</w:t>
      </w:r>
      <w:r>
        <w:t>”</w:t>
      </w:r>
      <w:r w:rsidR="00622094" w:rsidRPr="00622094">
        <w:t xml:space="preserve"> </w:t>
      </w:r>
      <w:r>
        <w:t>(NR)</w:t>
      </w:r>
    </w:p>
    <w:p w14:paraId="5F3FC9DF" w14:textId="1FD687E5" w:rsidR="00622094" w:rsidRPr="00622094" w:rsidRDefault="00747AA0" w:rsidP="00622094">
      <w:pPr>
        <w:pStyle w:val="NormaAlterada"/>
      </w:pPr>
      <w:bookmarkStart w:id="3" w:name="_Ref464391011"/>
      <w:r>
        <w:t>“</w:t>
      </w:r>
      <w:r w:rsidR="00430937">
        <w:t xml:space="preserve">Art. 7º-D.   </w:t>
      </w:r>
      <w:r w:rsidR="00622094" w:rsidRPr="00622094">
        <w:t>Caso o pedido de registro de emissor submetido à análise reservada torne-se público, o emissor deverá, observadas as regras aplicáveis acerca da divulgação de informações, proceder à imediata divulgação sobre o pedido de registro, bem como informar à SEP para que seja dada publicidade ao pedido de registro, conforme o caso, sem prejuízo da avaliação de eventuais responsabilidades e da eventual suspensão da análise de pedido de registro de emissor.</w:t>
      </w:r>
      <w:bookmarkEnd w:id="3"/>
    </w:p>
    <w:p w14:paraId="2D3069C6" w14:textId="77777777" w:rsidR="00622094" w:rsidRPr="00622094" w:rsidRDefault="00622094" w:rsidP="00622094">
      <w:pPr>
        <w:pStyle w:val="NormaAlterada"/>
      </w:pPr>
      <w:r w:rsidRPr="00622094">
        <w:t>§ 1</w:t>
      </w:r>
      <w:proofErr w:type="gramStart"/>
      <w:r w:rsidRPr="00622094">
        <w:t>º  No</w:t>
      </w:r>
      <w:proofErr w:type="gramEnd"/>
      <w:r w:rsidRPr="00622094">
        <w:t xml:space="preserve"> caso em que se tenha perdido o controle da informação, nos termos do </w:t>
      </w:r>
      <w:r w:rsidRPr="00622094">
        <w:rPr>
          <w:b/>
          <w:bCs/>
        </w:rPr>
        <w:t>caput</w:t>
      </w:r>
      <w:r w:rsidRPr="00622094">
        <w:t xml:space="preserve">, é possível a manutenção do tratamento reservado, por parte da CVM, dos documentos que subsidiam a análise do requerimento do registro, caso o ofertante assim o solicite imediatamente após a divulgação de que trata o </w:t>
      </w:r>
      <w:r w:rsidRPr="00622094">
        <w:rPr>
          <w:b/>
          <w:bCs/>
        </w:rPr>
        <w:t>caput</w:t>
      </w:r>
      <w:r w:rsidRPr="00622094">
        <w:t>.</w:t>
      </w:r>
    </w:p>
    <w:p w14:paraId="35568AC6" w14:textId="6BABCEF9" w:rsidR="00622094" w:rsidRPr="00622094" w:rsidRDefault="00622094" w:rsidP="00622094">
      <w:pPr>
        <w:pStyle w:val="NormaAlterada"/>
      </w:pPr>
      <w:r w:rsidRPr="00622094">
        <w:t>§ 2</w:t>
      </w:r>
      <w:proofErr w:type="gramStart"/>
      <w:r w:rsidRPr="00622094">
        <w:t>º  Na</w:t>
      </w:r>
      <w:proofErr w:type="gramEnd"/>
      <w:r w:rsidRPr="00622094">
        <w:t xml:space="preserve"> hipótese do </w:t>
      </w:r>
      <w:r w:rsidRPr="00622094">
        <w:rPr>
          <w:b/>
        </w:rPr>
        <w:t>caput</w:t>
      </w:r>
      <w:r w:rsidRPr="00622094">
        <w:t>, na ausência de divulgação por parte do emissor, a SEP deve dar publicidade ao pedido de registro, devendo conferir tratamento público ao processo de registro.</w:t>
      </w:r>
      <w:r w:rsidR="00747AA0">
        <w:t>” (NR)</w:t>
      </w:r>
    </w:p>
    <w:p w14:paraId="1D28131D" w14:textId="72C2D6C4" w:rsidR="0075367A" w:rsidRDefault="00747AA0" w:rsidP="00622094">
      <w:pPr>
        <w:pStyle w:val="NormaAlterada"/>
      </w:pPr>
      <w:r>
        <w:t>“</w:t>
      </w:r>
      <w:r w:rsidR="00430937">
        <w:t xml:space="preserve">Art. 7º-E.  </w:t>
      </w:r>
      <w:r w:rsidR="00622094" w:rsidRPr="00622094">
        <w:t>Aplica-se o disposto nesta seção, no que couber, aos processos de análise de atualização de informação de companhias abertas que tenham submetido requerimento de registro de oferta pública.</w:t>
      </w:r>
      <w:r w:rsidR="00622094">
        <w:t>” (NR)</w:t>
      </w:r>
    </w:p>
    <w:p w14:paraId="085F755C" w14:textId="77777777" w:rsidR="00430937" w:rsidRPr="004D4BE0" w:rsidRDefault="00430937" w:rsidP="00430937">
      <w:pPr>
        <w:pStyle w:val="NormaAlterada"/>
      </w:pPr>
      <w:r w:rsidRPr="004D4BE0">
        <w:t xml:space="preserve">“Art. </w:t>
      </w:r>
      <w:r>
        <w:t>8</w:t>
      </w:r>
      <w:proofErr w:type="gramStart"/>
      <w:r w:rsidRPr="004D4BE0">
        <w:t xml:space="preserve">º  </w:t>
      </w:r>
      <w:r w:rsidRPr="002D7259">
        <w:t>.............................................................</w:t>
      </w:r>
      <w:proofErr w:type="gramEnd"/>
    </w:p>
    <w:p w14:paraId="5125F7C1" w14:textId="77777777" w:rsidR="00430937" w:rsidRDefault="00430937" w:rsidP="00430937">
      <w:pPr>
        <w:pStyle w:val="NormaAlterada"/>
      </w:pPr>
      <w:r w:rsidRPr="002D7259">
        <w:t>...........................................................................</w:t>
      </w:r>
    </w:p>
    <w:p w14:paraId="389E7CD5" w14:textId="77777777" w:rsidR="00430937" w:rsidRDefault="00430937" w:rsidP="00430937">
      <w:pPr>
        <w:pStyle w:val="NormaAlterada"/>
      </w:pPr>
      <w:r>
        <w:t xml:space="preserve">VI – </w:t>
      </w:r>
      <w:proofErr w:type="gramStart"/>
      <w:r>
        <w:t>a</w:t>
      </w:r>
      <w:proofErr w:type="gramEnd"/>
      <w:r>
        <w:t xml:space="preserve"> sociedade cujas ações de propriedade da União, Estados, Distrito Federal e M</w:t>
      </w:r>
      <w:r w:rsidRPr="00E038EC">
        <w:t>unicípios</w:t>
      </w:r>
      <w:r>
        <w:t xml:space="preserve"> e demais entidades da Administração Pública sejam objeto de oferta não sujeita a </w:t>
      </w:r>
      <w:r w:rsidRPr="00E038EC" w:rsidDel="00C77AC7">
        <w:t>regulamentação específica sobre ofertas</w:t>
      </w:r>
      <w:r w:rsidDel="00C77AC7">
        <w:t xml:space="preserve"> </w:t>
      </w:r>
      <w:r w:rsidRPr="00E038EC" w:rsidDel="00C77AC7">
        <w:t>públicas</w:t>
      </w:r>
      <w:r w:rsidDel="00C77AC7">
        <w:t xml:space="preserve"> </w:t>
      </w:r>
      <w:r w:rsidRPr="00E038EC" w:rsidDel="00C77AC7">
        <w:t>de distribuição de valores mobiliários</w:t>
      </w:r>
      <w:r>
        <w:t xml:space="preserve">; </w:t>
      </w:r>
    </w:p>
    <w:p w14:paraId="3327C96D" w14:textId="77777777" w:rsidR="00430937" w:rsidRDefault="00430937" w:rsidP="00430937">
      <w:pPr>
        <w:pStyle w:val="NormaAlterada"/>
      </w:pPr>
      <w:r>
        <w:lastRenderedPageBreak/>
        <w:t>VII</w:t>
      </w:r>
      <w:r w:rsidRPr="004D4BE0">
        <w:t xml:space="preserve"> – o emissor de </w:t>
      </w:r>
      <w:r>
        <w:t>valores mobiliários</w:t>
      </w:r>
      <w:r w:rsidRPr="004D4BE0">
        <w:t xml:space="preserve"> </w:t>
      </w:r>
      <w:r>
        <w:t>de títulos representativos de dívida objeto de oferta pública destinada exclusivamente a investidores profissionais e cuja oferta seja realizada pelo</w:t>
      </w:r>
      <w:r w:rsidRPr="004D4BE0">
        <w:t xml:space="preserve"> rito automático </w:t>
      </w:r>
      <w:r>
        <w:t xml:space="preserve">de distribuição, </w:t>
      </w:r>
      <w:r w:rsidRPr="004D4BE0">
        <w:t>nos termos da regulamentação</w:t>
      </w:r>
      <w:r>
        <w:t xml:space="preserve"> que</w:t>
      </w:r>
      <w:r w:rsidRPr="004D4BE0">
        <w:t xml:space="preserve"> </w:t>
      </w:r>
      <w:r>
        <w:t>d</w:t>
      </w:r>
      <w:r w:rsidRPr="005C68F8">
        <w:t>ispõe sobre as ofertas públicas de distribuição</w:t>
      </w:r>
      <w:r>
        <w:t xml:space="preserve"> </w:t>
      </w:r>
      <w:r w:rsidRPr="005C68F8">
        <w:t>primária ou</w:t>
      </w:r>
      <w:r>
        <w:t xml:space="preserve"> </w:t>
      </w:r>
      <w:r w:rsidRPr="005C68F8">
        <w:t>secundária</w:t>
      </w:r>
      <w:r>
        <w:t xml:space="preserve"> </w:t>
      </w:r>
      <w:r w:rsidRPr="005C68F8">
        <w:t>de valores mobiliários</w:t>
      </w:r>
      <w:r>
        <w:t xml:space="preserve"> e </w:t>
      </w:r>
      <w:r w:rsidRPr="005C68F8">
        <w:t>a negociação</w:t>
      </w:r>
      <w:r>
        <w:t xml:space="preserve"> </w:t>
      </w:r>
      <w:r w:rsidRPr="005C68F8">
        <w:t>dos</w:t>
      </w:r>
      <w:r>
        <w:t xml:space="preserve"> </w:t>
      </w:r>
      <w:r w:rsidRPr="005C68F8">
        <w:t>valores mobiliários</w:t>
      </w:r>
      <w:r>
        <w:t xml:space="preserve"> </w:t>
      </w:r>
      <w:r w:rsidRPr="005C68F8">
        <w:t>ofertados</w:t>
      </w:r>
      <w:r>
        <w:t xml:space="preserve"> </w:t>
      </w:r>
      <w:r w:rsidRPr="005C68F8">
        <w:t>nos mercados regulamentados</w:t>
      </w:r>
      <w:r>
        <w:t>; e</w:t>
      </w:r>
    </w:p>
    <w:p w14:paraId="18673078" w14:textId="77777777" w:rsidR="00430937" w:rsidRDefault="00430937" w:rsidP="00430937">
      <w:pPr>
        <w:pStyle w:val="NormaAlterada"/>
      </w:pPr>
      <w:r>
        <w:t>VIII – a sociedade de propósito específico emissora de debêntures não conversíveis objeto de oferta pública destinada exclusivamente a investidores qualificados relacionada à captação de recursos com vistas a implementar projetos de investimento na área de infraestrutura, ou de produção econômica intensiva em pesquisa, desenvolvimento e inovação, considerados como prioritários na forma regulamentada pelo Poder Executivo federal, de acordo com os requisitos da lei que trata de incentivos tributários a tais títulos.</w:t>
      </w:r>
    </w:p>
    <w:p w14:paraId="49BB2537" w14:textId="77777777" w:rsidR="00430937" w:rsidRDefault="00430937" w:rsidP="00430937">
      <w:pPr>
        <w:pStyle w:val="NormaAlterada"/>
      </w:pPr>
      <w:r w:rsidRPr="002D7259">
        <w:t>...........................................................................</w:t>
      </w:r>
      <w:r>
        <w:t>” (NR)</w:t>
      </w:r>
    </w:p>
    <w:p w14:paraId="0ACD7484" w14:textId="5779C74A" w:rsidR="000319E0" w:rsidRDefault="000319E0" w:rsidP="004D4BE0">
      <w:pPr>
        <w:pStyle w:val="NormaAlterada"/>
      </w:pPr>
      <w:r>
        <w:t>“CAPÍTULO V</w:t>
      </w:r>
      <w:r w:rsidR="00BD3852" w:rsidRPr="002D7259">
        <w:t>...........................................</w:t>
      </w:r>
      <w:r w:rsidR="00BD3852">
        <w:t>...........</w:t>
      </w:r>
    </w:p>
    <w:p w14:paraId="624E9D7C" w14:textId="2FF07891" w:rsidR="00BD3852" w:rsidRPr="000D456A" w:rsidRDefault="00BD3852" w:rsidP="000D456A">
      <w:pPr>
        <w:pStyle w:val="Seo"/>
        <w:jc w:val="both"/>
        <w:rPr>
          <w:b w:val="0"/>
        </w:rPr>
      </w:pPr>
      <w:r w:rsidRPr="000D456A">
        <w:rPr>
          <w:b w:val="0"/>
        </w:rPr>
        <w:t>...........................................................................</w:t>
      </w:r>
    </w:p>
    <w:p w14:paraId="203CF9AC" w14:textId="33559066" w:rsidR="000319E0" w:rsidRDefault="000319E0" w:rsidP="00EC4E72">
      <w:pPr>
        <w:pStyle w:val="Seo"/>
      </w:pPr>
      <w:r>
        <w:t>Seção II – Emissores com Grande Exposição ao Mercado e Emissores Frequentes de Renda Fixa</w:t>
      </w:r>
    </w:p>
    <w:p w14:paraId="66EDF624" w14:textId="77777777" w:rsidR="00BD3852" w:rsidRDefault="00BD3852" w:rsidP="004D4BE0">
      <w:pPr>
        <w:pStyle w:val="NormaAlterada"/>
      </w:pPr>
      <w:r w:rsidRPr="002D7259">
        <w:t>...........................................................................</w:t>
      </w:r>
    </w:p>
    <w:p w14:paraId="2B820E27" w14:textId="01CFC04C" w:rsidR="00614BF0" w:rsidRDefault="00AC0A39" w:rsidP="004D4BE0">
      <w:pPr>
        <w:pStyle w:val="NormaAlterada"/>
      </w:pPr>
      <w:r w:rsidRPr="00AC0A39">
        <w:t>Art. 3</w:t>
      </w:r>
      <w:r w:rsidR="00953B24">
        <w:t>8</w:t>
      </w:r>
      <w:r w:rsidR="00EA2B71">
        <w:t>-</w:t>
      </w:r>
      <w:r w:rsidRPr="00AC0A39">
        <w:t>A</w:t>
      </w:r>
      <w:r w:rsidR="00EA2B71">
        <w:t>.</w:t>
      </w:r>
      <w:r w:rsidRPr="00AC0A39">
        <w:t xml:space="preserve">  Terá o </w:t>
      </w:r>
      <w:r w:rsidRPr="00AC0A39">
        <w:rPr>
          <w:b/>
          <w:bCs/>
        </w:rPr>
        <w:t>status</w:t>
      </w:r>
      <w:r w:rsidRPr="00AC0A39">
        <w:t xml:space="preserve"> de </w:t>
      </w:r>
      <w:r>
        <w:t>emissor frequente de renda fixa o emissor que</w:t>
      </w:r>
      <w:r w:rsidR="00614BF0">
        <w:t>:</w:t>
      </w:r>
    </w:p>
    <w:p w14:paraId="0143590E" w14:textId="1A10E5B3" w:rsidR="00614BF0" w:rsidRDefault="00614BF0" w:rsidP="004D4BE0">
      <w:pPr>
        <w:pStyle w:val="NormaAlterada"/>
      </w:pPr>
      <w:r>
        <w:t xml:space="preserve">I – </w:t>
      </w:r>
      <w:proofErr w:type="gramStart"/>
      <w:r>
        <w:t>seja</w:t>
      </w:r>
      <w:proofErr w:type="gramEnd"/>
      <w:r>
        <w:t xml:space="preserve"> considerado emissor com grande exposição ao mercado, nos termos do art. 3</w:t>
      </w:r>
      <w:r w:rsidR="00953B24">
        <w:t>8</w:t>
      </w:r>
      <w:r>
        <w:t>; ou</w:t>
      </w:r>
    </w:p>
    <w:p w14:paraId="19D749CB" w14:textId="61E34832" w:rsidR="00AC0A39" w:rsidRDefault="00614BF0" w:rsidP="004D4BE0">
      <w:pPr>
        <w:pStyle w:val="NormaAlterada"/>
      </w:pPr>
      <w:r>
        <w:t xml:space="preserve">II – </w:t>
      </w:r>
      <w:proofErr w:type="gramStart"/>
      <w:r w:rsidR="00AC0A39">
        <w:t>atenda</w:t>
      </w:r>
      <w:proofErr w:type="gramEnd"/>
      <w:r w:rsidR="00AC0A39">
        <w:t xml:space="preserve"> cumulativamente aos seguintes requisitos:</w:t>
      </w:r>
    </w:p>
    <w:p w14:paraId="4536EE11" w14:textId="61375993" w:rsidR="00AC0A39" w:rsidRDefault="00614BF0" w:rsidP="004D4BE0">
      <w:pPr>
        <w:pStyle w:val="NormaAlterada"/>
      </w:pPr>
      <w:r>
        <w:t>a)</w:t>
      </w:r>
      <w:r w:rsidR="00AC0A39">
        <w:t xml:space="preserve"> </w:t>
      </w:r>
      <w:r>
        <w:t>esteja registrado nas categorias A ou B há mais de 24 (vinte e quatro) meses e esteja em fase operacional;</w:t>
      </w:r>
    </w:p>
    <w:p w14:paraId="068C58C9" w14:textId="1548D672" w:rsidR="00614BF0" w:rsidRDefault="00614BF0" w:rsidP="004D4BE0">
      <w:pPr>
        <w:pStyle w:val="NormaAlterada"/>
      </w:pPr>
      <w:r>
        <w:t>b) tenha cumprido suas obrigações periódicas nos últimos 12 (doze) meses; e</w:t>
      </w:r>
    </w:p>
    <w:p w14:paraId="27A95641" w14:textId="3D813906" w:rsidR="00154BCA" w:rsidRDefault="00614BF0" w:rsidP="004D4BE0">
      <w:pPr>
        <w:pStyle w:val="NormaAlterada"/>
      </w:pPr>
      <w:r>
        <w:t xml:space="preserve">c) </w:t>
      </w:r>
      <w:r w:rsidR="00BC30E3">
        <w:t>nos últimos 4 (quatro) exercícios sociais</w:t>
      </w:r>
      <w:r w:rsidR="004C127E">
        <w:t>:</w:t>
      </w:r>
    </w:p>
    <w:p w14:paraId="0237935D" w14:textId="4F09290D" w:rsidR="00892141" w:rsidRDefault="00154BCA" w:rsidP="004D4BE0">
      <w:pPr>
        <w:pStyle w:val="NormaAlterada"/>
      </w:pPr>
      <w:r>
        <w:t>1.</w:t>
      </w:r>
      <w:r w:rsidR="004C127E">
        <w:t xml:space="preserve"> </w:t>
      </w:r>
      <w:r w:rsidR="002514AD">
        <w:t>tenha realizado ofertas públicas</w:t>
      </w:r>
      <w:r w:rsidR="00E034C2">
        <w:t>,</w:t>
      </w:r>
      <w:r w:rsidR="002514AD">
        <w:t xml:space="preserve"> submetidas ao rito ordinário de registro de distribuição</w:t>
      </w:r>
      <w:r w:rsidR="002C23F5">
        <w:t>,</w:t>
      </w:r>
      <w:r w:rsidR="00614BF0">
        <w:t xml:space="preserve"> em montante total </w:t>
      </w:r>
      <w:r w:rsidR="00B966CB">
        <w:t>igual ou superior</w:t>
      </w:r>
      <w:r w:rsidR="00BC30E3">
        <w:t xml:space="preserve"> </w:t>
      </w:r>
      <w:r w:rsidR="0082653E">
        <w:t>a</w:t>
      </w:r>
      <w:r w:rsidR="00614BF0">
        <w:t xml:space="preserve"> R$</w:t>
      </w:r>
      <w:r w:rsidR="300714DF">
        <w:t xml:space="preserve"> </w:t>
      </w:r>
      <w:r w:rsidR="00614BF0">
        <w:t>500.000.000,00 (quinhentos milhões de reais) do valor mobiliário de renda fixa que pretenda ofertar</w:t>
      </w:r>
      <w:r w:rsidR="00892141">
        <w:t>; ou</w:t>
      </w:r>
    </w:p>
    <w:p w14:paraId="74549C7C" w14:textId="33C07F59" w:rsidR="00614BF0" w:rsidRDefault="00892141" w:rsidP="004D4BE0">
      <w:pPr>
        <w:pStyle w:val="NormaAlterada"/>
      </w:pPr>
      <w:r>
        <w:t xml:space="preserve">2. tenha realizado ao menos </w:t>
      </w:r>
      <w:r w:rsidR="58D76ABF">
        <w:t>2 (duas</w:t>
      </w:r>
      <w:r w:rsidR="00626036">
        <w:t xml:space="preserve">) </w:t>
      </w:r>
      <w:r w:rsidR="00BC32DD">
        <w:t>ofertas públicas</w:t>
      </w:r>
      <w:r w:rsidR="00E034C2">
        <w:t>,</w:t>
      </w:r>
      <w:r w:rsidR="00BC32DD">
        <w:t xml:space="preserve"> </w:t>
      </w:r>
      <w:r w:rsidR="00E034C2">
        <w:t xml:space="preserve">submetidas ao rito ordinário de registro de distribuição, </w:t>
      </w:r>
      <w:r w:rsidR="007236D8">
        <w:t>do valor mobiliário de renda fixa que pretenda ofertar</w:t>
      </w:r>
      <w:r w:rsidR="00614BF0">
        <w:t>.</w:t>
      </w:r>
    </w:p>
    <w:p w14:paraId="02B13732" w14:textId="7AE2569D" w:rsidR="00614BF0" w:rsidRDefault="00614BF0" w:rsidP="005D5240">
      <w:pPr>
        <w:pStyle w:val="NormaAlterada"/>
      </w:pPr>
      <w:r>
        <w:lastRenderedPageBreak/>
        <w:t xml:space="preserve">Parágrafo único.  O </w:t>
      </w:r>
      <w:r w:rsidRPr="005D5240">
        <w:rPr>
          <w:b/>
          <w:bCs/>
        </w:rPr>
        <w:t>status</w:t>
      </w:r>
      <w:r w:rsidRPr="005D5240">
        <w:t xml:space="preserve"> </w:t>
      </w:r>
      <w:r>
        <w:t xml:space="preserve">de emissor </w:t>
      </w:r>
      <w:r w:rsidR="005D5240">
        <w:t xml:space="preserve">frequente </w:t>
      </w:r>
      <w:r w:rsidR="7C7DD187">
        <w:t>de</w:t>
      </w:r>
      <w:r w:rsidR="005D5240">
        <w:t xml:space="preserve"> renda fixa</w:t>
      </w:r>
      <w:r>
        <w:t xml:space="preserve"> deve ser declarado pelo</w:t>
      </w:r>
      <w:r w:rsidR="005D5240">
        <w:t xml:space="preserve"> </w:t>
      </w:r>
      <w:r>
        <w:t>emissor no pedido de registro da oferta pública de distribuição de valores mobiliários, por meio de</w:t>
      </w:r>
      <w:r w:rsidR="005D5240">
        <w:t xml:space="preserve"> </w:t>
      </w:r>
      <w:r>
        <w:t>documento assinado pelo diretor de relações com investidores contendo:</w:t>
      </w:r>
    </w:p>
    <w:p w14:paraId="52BD7FFD" w14:textId="5821CAB5" w:rsidR="005D5240" w:rsidRDefault="005D5240" w:rsidP="005D5240">
      <w:pPr>
        <w:pStyle w:val="NormaAlterada"/>
      </w:pPr>
      <w:r>
        <w:t xml:space="preserve">I – </w:t>
      </w:r>
      <w:proofErr w:type="gramStart"/>
      <w:r>
        <w:t>na</w:t>
      </w:r>
      <w:proofErr w:type="gramEnd"/>
      <w:r>
        <w:t xml:space="preserve"> hipótese do inciso I do </w:t>
      </w:r>
      <w:r w:rsidRPr="005D5240">
        <w:rPr>
          <w:b/>
          <w:bCs/>
        </w:rPr>
        <w:t>caput</w:t>
      </w:r>
      <w:r>
        <w:t xml:space="preserve">, </w:t>
      </w:r>
      <w:r w:rsidRPr="005D5240">
        <w:t>documentos</w:t>
      </w:r>
      <w:r>
        <w:t xml:space="preserve"> previstos no parágrafo único do art. 3</w:t>
      </w:r>
      <w:r w:rsidR="00953B24">
        <w:t>8</w:t>
      </w:r>
      <w:r>
        <w:t xml:space="preserve">; </w:t>
      </w:r>
      <w:r w:rsidR="00A86456">
        <w:t>ou</w:t>
      </w:r>
    </w:p>
    <w:p w14:paraId="69CF07DE" w14:textId="6ECDCA44" w:rsidR="005D5240" w:rsidRDefault="00614BF0" w:rsidP="005D5240">
      <w:pPr>
        <w:pStyle w:val="NormaAlterada"/>
      </w:pPr>
      <w:r>
        <w:t>I</w:t>
      </w:r>
      <w:r w:rsidR="00A82DE9">
        <w:t>I</w:t>
      </w:r>
      <w:r>
        <w:t xml:space="preserve"> – </w:t>
      </w:r>
      <w:proofErr w:type="gramStart"/>
      <w:r w:rsidR="005D5240">
        <w:t>na</w:t>
      </w:r>
      <w:proofErr w:type="gramEnd"/>
      <w:r w:rsidR="005D5240">
        <w:t xml:space="preserve"> hipótese do inciso II do </w:t>
      </w:r>
      <w:r w:rsidR="005D5240" w:rsidRPr="005D5240">
        <w:rPr>
          <w:b/>
          <w:bCs/>
        </w:rPr>
        <w:t>caput</w:t>
      </w:r>
      <w:r w:rsidR="005D5240">
        <w:t>:</w:t>
      </w:r>
    </w:p>
    <w:p w14:paraId="639F31BC" w14:textId="6CB6481A" w:rsidR="00614BF0" w:rsidRDefault="005D5240" w:rsidP="005D5240">
      <w:pPr>
        <w:pStyle w:val="NormaAlterada"/>
      </w:pPr>
      <w:r>
        <w:t xml:space="preserve">a) </w:t>
      </w:r>
      <w:r w:rsidR="00614BF0" w:rsidRPr="005D5240">
        <w:t>declaração</w:t>
      </w:r>
      <w:r w:rsidR="00614BF0">
        <w:t xml:space="preserve"> de que o emissor se enquadra n</w:t>
      </w:r>
      <w:r>
        <w:t>as alíneas “a” e “b”</w:t>
      </w:r>
      <w:r w:rsidR="00EA2B71">
        <w:t>;</w:t>
      </w:r>
      <w:r w:rsidR="00614BF0">
        <w:t xml:space="preserve"> e</w:t>
      </w:r>
    </w:p>
    <w:p w14:paraId="51754599" w14:textId="20733D05" w:rsidR="00614BF0" w:rsidRDefault="00A86456" w:rsidP="00614BF0">
      <w:pPr>
        <w:pStyle w:val="NormaAlterada"/>
      </w:pPr>
      <w:r>
        <w:t>b)</w:t>
      </w:r>
      <w:r w:rsidR="00614BF0">
        <w:t xml:space="preserve"> memória do cálculo feito pelo emissor para a verificação </w:t>
      </w:r>
      <w:r w:rsidR="005D5240">
        <w:t>da alínea “c”</w:t>
      </w:r>
      <w:r w:rsidR="00614BF0">
        <w:t>.</w:t>
      </w:r>
      <w:r w:rsidR="005D5240">
        <w:t>” (NR)</w:t>
      </w:r>
    </w:p>
    <w:p w14:paraId="10725E25" w14:textId="6DEED1E1" w:rsidR="000E4B8A" w:rsidRDefault="000E4B8A" w:rsidP="000E4B8A">
      <w:r>
        <w:t xml:space="preserve">Art. </w:t>
      </w:r>
      <w:r w:rsidR="00482B2E">
        <w:t>16</w:t>
      </w:r>
      <w:r w:rsidR="00A95674">
        <w:t xml:space="preserve">.  </w:t>
      </w:r>
      <w:r>
        <w:t>O Anexo A da Resolução CVM nº 80, de 2022, passa a vigorar com a seguinte redação:</w:t>
      </w:r>
    </w:p>
    <w:p w14:paraId="50A3AC61" w14:textId="428DA4C9" w:rsidR="006018F9" w:rsidRDefault="006018F9" w:rsidP="006018F9">
      <w:pPr>
        <w:pStyle w:val="NormaAlterada"/>
      </w:pPr>
      <w:r>
        <w:t>“Art. 2º</w:t>
      </w:r>
      <w:r w:rsidR="00BD3852" w:rsidRPr="002D7259">
        <w:t>...............................................................</w:t>
      </w:r>
    </w:p>
    <w:p w14:paraId="4025F6A7" w14:textId="77777777" w:rsidR="00BD3852" w:rsidRDefault="00BD3852" w:rsidP="006018F9">
      <w:pPr>
        <w:pStyle w:val="NormaAlterada"/>
      </w:pPr>
      <w:r w:rsidRPr="002D7259">
        <w:t>...........................................................................</w:t>
      </w:r>
    </w:p>
    <w:p w14:paraId="00F05FE5" w14:textId="77777777" w:rsidR="006018F9" w:rsidRDefault="006018F9" w:rsidP="006018F9">
      <w:pPr>
        <w:pStyle w:val="NormaAlterada"/>
      </w:pPr>
      <w:r>
        <w:t xml:space="preserve">XI – demonstrações financeiras especialmente elaboradas para fins de registro, nos termos dos </w:t>
      </w:r>
      <w:proofErr w:type="spellStart"/>
      <w:r>
        <w:t>arts</w:t>
      </w:r>
      <w:proofErr w:type="spellEnd"/>
      <w:r>
        <w:t>. 27 e 29 desta Resolução, referentes:</w:t>
      </w:r>
    </w:p>
    <w:p w14:paraId="6867FBCA" w14:textId="64FCA67A" w:rsidR="000E4B8A" w:rsidRDefault="00BD3852" w:rsidP="002C6F26">
      <w:pPr>
        <w:pStyle w:val="NormaAlterada"/>
      </w:pPr>
      <w:r w:rsidRPr="002D7259">
        <w:t>...........................................................................</w:t>
      </w:r>
      <w:r w:rsidR="002C6F26">
        <w:t>”</w:t>
      </w:r>
      <w:r w:rsidR="00F45238">
        <w:t xml:space="preserve"> </w:t>
      </w:r>
      <w:r w:rsidR="000E4B8A">
        <w:t>(NR)</w:t>
      </w:r>
    </w:p>
    <w:p w14:paraId="79EC466B" w14:textId="63568E1A" w:rsidR="0AB9D470" w:rsidRDefault="0AB9D470">
      <w:r>
        <w:t xml:space="preserve">Art. </w:t>
      </w:r>
      <w:r w:rsidR="00482B2E">
        <w:t>17</w:t>
      </w:r>
      <w:r w:rsidR="00A95674">
        <w:t xml:space="preserve">.  </w:t>
      </w:r>
      <w:r>
        <w:t xml:space="preserve">O item 9 do Anexo C </w:t>
      </w:r>
      <w:r w:rsidR="00F45238">
        <w:t>da</w:t>
      </w:r>
      <w:r>
        <w:t xml:space="preserve"> Resolução CVM nº 80, de 2022, passa a vigorar com a </w:t>
      </w:r>
      <w:r w:rsidR="00631329">
        <w:t>seguinte</w:t>
      </w:r>
      <w:r>
        <w:t xml:space="preserve"> redação:</w:t>
      </w:r>
    </w:p>
    <w:p w14:paraId="5C9EBA86" w14:textId="517BED10" w:rsidR="008D52F0" w:rsidRDefault="00F44FCB" w:rsidP="00C50D99">
      <w:pPr>
        <w:pStyle w:val="NormaAlterada"/>
      </w:pPr>
      <w:r>
        <w:t>“</w:t>
      </w:r>
      <w:r w:rsidR="008D52F0">
        <w:t>9. Auditores</w:t>
      </w:r>
    </w:p>
    <w:p w14:paraId="72F724D9" w14:textId="77777777" w:rsidR="00BD3852" w:rsidRDefault="00BD3852" w:rsidP="00742F1D">
      <w:pPr>
        <w:pStyle w:val="NormaAlterada"/>
      </w:pPr>
      <w:r w:rsidRPr="002D7259">
        <w:t>...........................................................................</w:t>
      </w:r>
    </w:p>
    <w:p w14:paraId="5880C149" w14:textId="02DE0D09" w:rsidR="0AB9D470" w:rsidRDefault="0AB9D470" w:rsidP="00742F1D">
      <w:pPr>
        <w:pStyle w:val="NormaAlterada"/>
      </w:pPr>
      <w:r w:rsidRPr="0AB9D470">
        <w:t>9.3 Caso os auditores ou pessoas a eles ligadas, segundo as normas de independência do Conselho Federal de Contabilidade, tenham sido contratados pelo emissor ou pessoas de seu grupo econômico, para prestar outros serviços além da auditoria</w:t>
      </w:r>
      <w:r w:rsidR="00190B46">
        <w:t>,</w:t>
      </w:r>
      <w:r w:rsidRPr="0AB9D470">
        <w:t xml:space="preserve"> descrever a política ou procedimentos adotados </w:t>
      </w:r>
      <w:r w:rsidR="00190B46">
        <w:t xml:space="preserve">pelo emissor </w:t>
      </w:r>
      <w:r w:rsidRPr="0AB9D470">
        <w:t>para evitar a existência de conflito de interesse, perda de independência ou objetividade de seus auditores independentes</w:t>
      </w:r>
    </w:p>
    <w:p w14:paraId="61A269A1" w14:textId="4A5BD89E" w:rsidR="0AB9D470" w:rsidRDefault="0AB9D470" w:rsidP="00742F1D">
      <w:pPr>
        <w:pStyle w:val="NormaAlterada"/>
      </w:pPr>
      <w:r w:rsidRPr="0AB9D470">
        <w:t>9.4 Fornecer outras informações que o emissor julgue relevantes</w:t>
      </w:r>
      <w:r w:rsidR="009822E0">
        <w:t>” (NR)</w:t>
      </w:r>
    </w:p>
    <w:p w14:paraId="4BC87F17" w14:textId="4A7C43D7" w:rsidR="005D7ABC" w:rsidRPr="005D7ABC" w:rsidRDefault="005D7ABC" w:rsidP="00411F73">
      <w:pPr>
        <w:rPr>
          <w:lang w:eastAsia="pt-BR"/>
        </w:rPr>
      </w:pPr>
      <w:r w:rsidRPr="005D30D9">
        <w:rPr>
          <w:lang w:eastAsia="pt-BR"/>
        </w:rPr>
        <w:t xml:space="preserve">Art. </w:t>
      </w:r>
      <w:r w:rsidR="00482B2E">
        <w:rPr>
          <w:lang w:eastAsia="pt-BR"/>
        </w:rPr>
        <w:t>18</w:t>
      </w:r>
      <w:r w:rsidR="00A95674">
        <w:rPr>
          <w:lang w:eastAsia="pt-BR"/>
        </w:rPr>
        <w:t xml:space="preserve">.  </w:t>
      </w:r>
      <w:r w:rsidRPr="005D7ABC">
        <w:rPr>
          <w:lang w:eastAsia="pt-BR"/>
        </w:rPr>
        <w:t xml:space="preserve">Ficam revogados: </w:t>
      </w:r>
    </w:p>
    <w:p w14:paraId="36C97440" w14:textId="1F16E583" w:rsidR="00BD47ED" w:rsidRDefault="005D7ABC" w:rsidP="00411F73">
      <w:pPr>
        <w:rPr>
          <w:lang w:eastAsia="pt-BR"/>
        </w:rPr>
      </w:pPr>
      <w:r w:rsidRPr="00411F73">
        <w:rPr>
          <w:lang w:eastAsia="pt-BR"/>
        </w:rPr>
        <w:t xml:space="preserve">I – </w:t>
      </w:r>
      <w:r w:rsidRPr="005D7ABC">
        <w:rPr>
          <w:lang w:eastAsia="pt-BR"/>
        </w:rPr>
        <w:t xml:space="preserve"> </w:t>
      </w:r>
      <w:r w:rsidR="00BD47ED">
        <w:rPr>
          <w:lang w:eastAsia="pt-BR"/>
        </w:rPr>
        <w:t>o inciso II do § 1º do art. 20 da Instrução CVM nº 153, de 24 de julho de 1991;</w:t>
      </w:r>
    </w:p>
    <w:p w14:paraId="61F0AC74" w14:textId="740DE4EA" w:rsidR="005F5334" w:rsidRDefault="005F5334" w:rsidP="00411F73">
      <w:r>
        <w:t xml:space="preserve">II – </w:t>
      </w:r>
      <w:proofErr w:type="gramStart"/>
      <w:r>
        <w:t>o</w:t>
      </w:r>
      <w:proofErr w:type="gramEnd"/>
      <w:r>
        <w:t xml:space="preserve"> parágrafo único </w:t>
      </w:r>
      <w:r w:rsidR="000369CE">
        <w:t>do art. 28 da Instrução CVM nº 359, de 22 de janeiro de 2002;</w:t>
      </w:r>
    </w:p>
    <w:p w14:paraId="11A10E63" w14:textId="5413E00A" w:rsidR="00C22087" w:rsidRDefault="00C22087" w:rsidP="00411F73">
      <w:r>
        <w:t>II</w:t>
      </w:r>
      <w:r w:rsidR="00A95674">
        <w:t>I</w:t>
      </w:r>
      <w:r>
        <w:t xml:space="preserve"> – a Instrução CVM nº </w:t>
      </w:r>
      <w:r w:rsidR="00CD5D89">
        <w:t>381, de 14 de janeiro de 2003;</w:t>
      </w:r>
    </w:p>
    <w:p w14:paraId="399212F8" w14:textId="1986C35D" w:rsidR="00985666" w:rsidRDefault="00985666" w:rsidP="00411F73">
      <w:r>
        <w:lastRenderedPageBreak/>
        <w:t>I</w:t>
      </w:r>
      <w:r w:rsidR="00C760B0">
        <w:t>V</w:t>
      </w:r>
      <w:r>
        <w:t xml:space="preserve"> – </w:t>
      </w:r>
      <w:proofErr w:type="gramStart"/>
      <w:r>
        <w:t>o</w:t>
      </w:r>
      <w:proofErr w:type="gramEnd"/>
      <w:r>
        <w:t xml:space="preserve"> inciso II do art. 16 da Instrução CVM nº 398, de 28 de outubro de 2003;</w:t>
      </w:r>
    </w:p>
    <w:p w14:paraId="38ED965E" w14:textId="6201978E" w:rsidR="00E64D28" w:rsidRDefault="00985666" w:rsidP="00411F73">
      <w:r>
        <w:t xml:space="preserve">V – </w:t>
      </w:r>
      <w:proofErr w:type="gramStart"/>
      <w:r>
        <w:t>o</w:t>
      </w:r>
      <w:proofErr w:type="gramEnd"/>
      <w:r>
        <w:t xml:space="preserve"> inciso II do § 1º do art. 18 da Instrução CVM nº 399, de 21 de novembro de 2003;</w:t>
      </w:r>
    </w:p>
    <w:p w14:paraId="21803E43" w14:textId="5AC56F5F" w:rsidR="00FF23AD" w:rsidRDefault="00E64D28" w:rsidP="00411F73">
      <w:r>
        <w:t>V</w:t>
      </w:r>
      <w:r w:rsidR="00C760B0">
        <w:t>I</w:t>
      </w:r>
      <w:r>
        <w:t xml:space="preserve"> – </w:t>
      </w:r>
      <w:proofErr w:type="gramStart"/>
      <w:r>
        <w:t>o</w:t>
      </w:r>
      <w:proofErr w:type="gramEnd"/>
      <w:r>
        <w:t xml:space="preserve"> inciso II do § 1º do art. 6º </w:t>
      </w:r>
      <w:r w:rsidR="00E414D6">
        <w:t>e os incisos II</w:t>
      </w:r>
      <w:r w:rsidR="00A24ED3">
        <w:t xml:space="preserve"> e III do art. 55, ambos </w:t>
      </w:r>
      <w:r>
        <w:t>da Instrução CVM nº 472, de 31 de outubro de 2008;</w:t>
      </w:r>
    </w:p>
    <w:p w14:paraId="57D7D05C" w14:textId="72201B71" w:rsidR="00985666" w:rsidRDefault="00FF23AD" w:rsidP="00411F73">
      <w:r>
        <w:t>V</w:t>
      </w:r>
      <w:r w:rsidR="00C760B0">
        <w:t>II</w:t>
      </w:r>
      <w:r>
        <w:t xml:space="preserve"> – </w:t>
      </w:r>
      <w:r w:rsidR="005048A5">
        <w:t xml:space="preserve">o inciso </w:t>
      </w:r>
      <w:r w:rsidR="00CA5EFC">
        <w:t xml:space="preserve">II do art. 125 da Instrução CVM nº 555, de </w:t>
      </w:r>
      <w:r w:rsidR="00D22697">
        <w:t>17 de dezembro de 2014;</w:t>
      </w:r>
      <w:r w:rsidR="00985666">
        <w:t xml:space="preserve"> </w:t>
      </w:r>
    </w:p>
    <w:p w14:paraId="6EEC171D" w14:textId="244F2B84" w:rsidR="001045A4" w:rsidRDefault="005D30D9" w:rsidP="00411F73">
      <w:r>
        <w:t>VI</w:t>
      </w:r>
      <w:r w:rsidR="00C760B0">
        <w:t>I</w:t>
      </w:r>
      <w:r w:rsidR="004F26F3">
        <w:t>I</w:t>
      </w:r>
      <w:r>
        <w:t xml:space="preserve"> </w:t>
      </w:r>
      <w:r w:rsidR="0093284B">
        <w:t>–</w:t>
      </w:r>
      <w:r w:rsidR="001045A4">
        <w:t xml:space="preserve"> a</w:t>
      </w:r>
      <w:r w:rsidR="0093284B">
        <w:t xml:space="preserve"> </w:t>
      </w:r>
      <w:r w:rsidR="001045A4">
        <w:t xml:space="preserve">alínea </w:t>
      </w:r>
      <w:r w:rsidR="003F321A">
        <w:t>“</w:t>
      </w:r>
      <w:r w:rsidR="001045A4">
        <w:t>c</w:t>
      </w:r>
      <w:r w:rsidR="003F321A">
        <w:t>”</w:t>
      </w:r>
      <w:r w:rsidR="001045A4">
        <w:t xml:space="preserve"> do inciso IX do </w:t>
      </w:r>
      <w:r w:rsidR="003F321A">
        <w:t>art</w:t>
      </w:r>
      <w:r w:rsidR="001045A4">
        <w:t xml:space="preserve">. 1º do Anexo </w:t>
      </w:r>
      <w:r w:rsidR="00655529">
        <w:t xml:space="preserve">C </w:t>
      </w:r>
      <w:r w:rsidR="001045A4">
        <w:t xml:space="preserve">da </w:t>
      </w:r>
      <w:r w:rsidR="00655529">
        <w:t xml:space="preserve">Resolução </w:t>
      </w:r>
      <w:r w:rsidR="001045A4">
        <w:t xml:space="preserve">CVM nº </w:t>
      </w:r>
      <w:r w:rsidR="00655529">
        <w:t>45</w:t>
      </w:r>
      <w:r w:rsidR="001045A4">
        <w:t xml:space="preserve">, de </w:t>
      </w:r>
      <w:r w:rsidR="00655529">
        <w:t>31 de agosto de 2021</w:t>
      </w:r>
      <w:r w:rsidR="001045A4">
        <w:t>;</w:t>
      </w:r>
      <w:r w:rsidR="00CF3041">
        <w:t xml:space="preserve"> e</w:t>
      </w:r>
    </w:p>
    <w:p w14:paraId="1903619F" w14:textId="1CB0235D" w:rsidR="008929C4" w:rsidRDefault="00C760B0" w:rsidP="00967670">
      <w:r>
        <w:t>IX</w:t>
      </w:r>
      <w:r w:rsidR="00340CBD">
        <w:t xml:space="preserve"> – </w:t>
      </w:r>
      <w:proofErr w:type="gramStart"/>
      <w:r w:rsidR="00340CBD">
        <w:t>o</w:t>
      </w:r>
      <w:proofErr w:type="gramEnd"/>
      <w:r w:rsidR="00340CBD">
        <w:t xml:space="preserve"> inciso X do art. 1º do Anexo </w:t>
      </w:r>
      <w:r w:rsidR="00CA35FB">
        <w:t xml:space="preserve">C </w:t>
      </w:r>
      <w:r w:rsidR="00340CBD">
        <w:t xml:space="preserve">da Instrução CVM nº </w:t>
      </w:r>
      <w:r w:rsidR="000C4118">
        <w:t>45</w:t>
      </w:r>
      <w:r w:rsidR="00340CBD">
        <w:t xml:space="preserve">, de </w:t>
      </w:r>
      <w:r w:rsidR="000C4118">
        <w:t>31 de agosto de 2021</w:t>
      </w:r>
      <w:r w:rsidR="00CF3041">
        <w:t>.</w:t>
      </w:r>
    </w:p>
    <w:p w14:paraId="1143C6F5" w14:textId="5A620E28" w:rsidR="00967670" w:rsidRPr="00A47EBB" w:rsidRDefault="00967670" w:rsidP="00967670">
      <w:pPr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 xml:space="preserve">Art. </w:t>
      </w:r>
      <w:r w:rsidR="00482B2E">
        <w:rPr>
          <w:rStyle w:val="normaltextrun"/>
          <w:color w:val="000000"/>
        </w:rPr>
        <w:t>19</w:t>
      </w:r>
      <w:r w:rsidR="00C760B0">
        <w:rPr>
          <w:rStyle w:val="normaltextrun"/>
          <w:color w:val="000000"/>
        </w:rPr>
        <w:t xml:space="preserve">.  </w:t>
      </w:r>
      <w:r>
        <w:rPr>
          <w:rStyle w:val="normaltextrun"/>
          <w:color w:val="000000"/>
        </w:rPr>
        <w:t xml:space="preserve">Esta </w:t>
      </w:r>
      <w:r w:rsidR="001B733D">
        <w:rPr>
          <w:rStyle w:val="normaltextrun"/>
          <w:color w:val="000000"/>
        </w:rPr>
        <w:t>Resolução</w:t>
      </w:r>
      <w:r>
        <w:rPr>
          <w:rStyle w:val="normaltextrun"/>
          <w:color w:val="000000"/>
        </w:rPr>
        <w:t xml:space="preserve"> entra em vigor </w:t>
      </w:r>
      <w:r w:rsidR="009B2E8D">
        <w:rPr>
          <w:rStyle w:val="normaltextrun"/>
          <w:color w:val="000000"/>
        </w:rPr>
        <w:t xml:space="preserve">em </w:t>
      </w:r>
      <w:r w:rsidR="00073EB9">
        <w:rPr>
          <w:rStyle w:val="normaltextrun"/>
          <w:color w:val="000000"/>
        </w:rPr>
        <w:t>2 de janeiro de 2023</w:t>
      </w:r>
      <w:r>
        <w:rPr>
          <w:rStyle w:val="normaltextrun"/>
          <w:color w:val="000000"/>
        </w:rPr>
        <w:t>.</w:t>
      </w:r>
    </w:p>
    <w:p w14:paraId="70346F41" w14:textId="77777777" w:rsidR="00B35CFD" w:rsidRDefault="00B35CFD" w:rsidP="0065401B"/>
    <w:p w14:paraId="269D110B" w14:textId="77777777" w:rsidR="00B35CFD" w:rsidRPr="00E25581" w:rsidRDefault="004660DE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72A3935B" w14:textId="77777777" w:rsidR="00E25581" w:rsidRPr="00E25581" w:rsidRDefault="00536BAE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08590B63" w14:textId="77777777" w:rsidR="009B69B0" w:rsidRPr="00874407" w:rsidRDefault="00E25581" w:rsidP="00874407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sectPr w:rsidR="009B69B0" w:rsidRPr="00874407" w:rsidSect="00E25581">
      <w:headerReference w:type="even" r:id="rId11"/>
      <w:head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D49" w14:textId="77777777" w:rsidR="006673D3" w:rsidRDefault="006673D3" w:rsidP="00ED1FB4">
      <w:r>
        <w:separator/>
      </w:r>
    </w:p>
  </w:endnote>
  <w:endnote w:type="continuationSeparator" w:id="0">
    <w:p w14:paraId="62759A68" w14:textId="77777777" w:rsidR="006673D3" w:rsidRDefault="006673D3" w:rsidP="00ED1FB4">
      <w:r>
        <w:continuationSeparator/>
      </w:r>
    </w:p>
  </w:endnote>
  <w:endnote w:type="continuationNotice" w:id="1">
    <w:p w14:paraId="35091647" w14:textId="77777777" w:rsidR="006673D3" w:rsidRDefault="006673D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C96A" w14:textId="77777777" w:rsidR="006673D3" w:rsidRDefault="006673D3" w:rsidP="00ED1FB4">
      <w:r>
        <w:separator/>
      </w:r>
    </w:p>
  </w:footnote>
  <w:footnote w:type="continuationSeparator" w:id="0">
    <w:p w14:paraId="76CF4924" w14:textId="77777777" w:rsidR="006673D3" w:rsidRDefault="006673D3" w:rsidP="00ED1FB4">
      <w:r>
        <w:continuationSeparator/>
      </w:r>
    </w:p>
  </w:footnote>
  <w:footnote w:type="continuationNotice" w:id="1">
    <w:p w14:paraId="711C83EC" w14:textId="77777777" w:rsidR="006673D3" w:rsidRDefault="006673D3">
      <w:pPr>
        <w:spacing w:before="0" w:after="0" w:line="240" w:lineRule="auto"/>
      </w:pPr>
    </w:p>
  </w:footnote>
  <w:footnote w:id="2">
    <w:p w14:paraId="086E595D" w14:textId="421A504B" w:rsidR="00AF155B" w:rsidRDefault="00AF155B">
      <w:pPr>
        <w:pStyle w:val="Textodenotaderodap"/>
      </w:pPr>
      <w:r>
        <w:rPr>
          <w:rStyle w:val="Refdenotaderodap"/>
        </w:rPr>
        <w:footnoteRef/>
      </w:r>
      <w:r>
        <w:t xml:space="preserve"> Inserido para fins de inclusão da conjunção.</w:t>
      </w:r>
    </w:p>
  </w:footnote>
  <w:footnote w:id="3">
    <w:p w14:paraId="518AD3DB" w14:textId="642F83A5" w:rsidR="00AF155B" w:rsidRDefault="00AF155B">
      <w:pPr>
        <w:pStyle w:val="Textodenotaderodap"/>
      </w:pPr>
      <w:r>
        <w:rPr>
          <w:rStyle w:val="Refdenotaderodap"/>
        </w:rPr>
        <w:footnoteRef/>
      </w:r>
      <w:r>
        <w:t xml:space="preserve"> Inserido para fins de inclusão da conjunção.</w:t>
      </w:r>
    </w:p>
  </w:footnote>
  <w:footnote w:id="4">
    <w:p w14:paraId="0A56B667" w14:textId="7FA684D9" w:rsidR="00AF155B" w:rsidRDefault="00AF155B">
      <w:pPr>
        <w:pStyle w:val="Textodenotaderodap"/>
      </w:pPr>
      <w:r>
        <w:rPr>
          <w:rStyle w:val="Refdenotaderodap"/>
        </w:rPr>
        <w:footnoteRef/>
      </w:r>
      <w:r>
        <w:t xml:space="preserve"> Inserido para fins de inclusão da conjunção.</w:t>
      </w:r>
    </w:p>
  </w:footnote>
  <w:footnote w:id="5">
    <w:p w14:paraId="5F98B642" w14:textId="5BF85AC8" w:rsidR="00AF155B" w:rsidRDefault="00AF155B">
      <w:pPr>
        <w:pStyle w:val="Textodenotaderodap"/>
      </w:pPr>
      <w:r>
        <w:rPr>
          <w:rStyle w:val="Refdenotaderodap"/>
        </w:rPr>
        <w:footnoteRef/>
      </w:r>
      <w:r>
        <w:t xml:space="preserve"> Inserido para fins de inclusão da conjunção.</w:t>
      </w:r>
    </w:p>
  </w:footnote>
  <w:footnote w:id="6">
    <w:p w14:paraId="797EDAE5" w14:textId="77777777" w:rsidR="004C4894" w:rsidRDefault="004C4894" w:rsidP="004C4894">
      <w:pPr>
        <w:pStyle w:val="Textodenotaderodap"/>
      </w:pPr>
      <w:r>
        <w:rPr>
          <w:rStyle w:val="Refdenotaderodap"/>
        </w:rPr>
        <w:footnoteRef/>
      </w:r>
      <w:r>
        <w:t xml:space="preserve"> Dispositivo modificado apenas para fins de ajuste de pontuação.</w:t>
      </w:r>
    </w:p>
  </w:footnote>
  <w:footnote w:id="7">
    <w:p w14:paraId="41679256" w14:textId="77777777" w:rsidR="004B5B96" w:rsidRDefault="004B5B96" w:rsidP="004B5B96">
      <w:pPr>
        <w:pStyle w:val="Textodenotaderodap"/>
      </w:pPr>
      <w:r>
        <w:rPr>
          <w:rStyle w:val="Refdenotaderodap"/>
        </w:rPr>
        <w:footnoteRef/>
      </w:r>
      <w:r>
        <w:t xml:space="preserve"> Dispositivo modificado apenas para fins de ajuste de pontuação.</w:t>
      </w:r>
    </w:p>
  </w:footnote>
  <w:footnote w:id="8">
    <w:p w14:paraId="533168B9" w14:textId="77777777" w:rsidR="004B5B96" w:rsidRDefault="004B5B96" w:rsidP="004B5B96">
      <w:pPr>
        <w:pStyle w:val="Textodenotaderodap"/>
      </w:pPr>
      <w:r>
        <w:rPr>
          <w:rStyle w:val="Refdenotaderodap"/>
        </w:rPr>
        <w:footnoteRef/>
      </w:r>
      <w:r>
        <w:t xml:space="preserve"> Dispositivo modificado apenas para fins de ajuste de pontuação.</w:t>
      </w:r>
    </w:p>
  </w:footnote>
  <w:footnote w:id="9">
    <w:p w14:paraId="1FDD6C6F" w14:textId="77777777" w:rsidR="00AF155B" w:rsidRDefault="00AF155B">
      <w:pPr>
        <w:pStyle w:val="Textodenotaderodap"/>
      </w:pPr>
      <w:r>
        <w:rPr>
          <w:rStyle w:val="Refdenotaderodap"/>
        </w:rPr>
        <w:footnoteRef/>
      </w:r>
      <w:r>
        <w:t xml:space="preserve"> Dispositivo modificado apenas para fins de ajuste de pontuação.</w:t>
      </w:r>
    </w:p>
  </w:footnote>
  <w:footnote w:id="10">
    <w:p w14:paraId="4D209072" w14:textId="77777777" w:rsidR="00C77EC8" w:rsidRDefault="00C77EC8" w:rsidP="00C77EC8">
      <w:pPr>
        <w:pStyle w:val="Textodenotaderodap"/>
      </w:pPr>
      <w:r>
        <w:rPr>
          <w:rStyle w:val="Refdenotaderodap"/>
        </w:rPr>
        <w:footnoteRef/>
      </w:r>
      <w:r>
        <w:t xml:space="preserve"> Dispositivo modificado apenas para fins de ajuste de pontuação.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E61D" w14:textId="77777777" w:rsidR="00AF155B" w:rsidRDefault="00AF155B" w:rsidP="00354603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E67E95C" w14:textId="77777777" w:rsidR="00AF155B" w:rsidRDefault="00AF155B" w:rsidP="004B71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6687" w14:textId="19990436" w:rsidR="00AF155B" w:rsidRPr="004B7172" w:rsidRDefault="00AF155B" w:rsidP="00354603">
    <w:pPr>
      <w:pStyle w:val="Cabealho"/>
      <w:framePr w:wrap="none" w:vAnchor="text" w:hAnchor="margin" w:xAlign="right" w:y="1"/>
      <w:rPr>
        <w:rStyle w:val="Nmerodepgina"/>
        <w:sz w:val="18"/>
      </w:rPr>
    </w:pPr>
    <w:r w:rsidRPr="004B7172">
      <w:rPr>
        <w:rStyle w:val="Nmerodepgina"/>
        <w:sz w:val="18"/>
      </w:rPr>
      <w:fldChar w:fldCharType="begin"/>
    </w:r>
    <w:r w:rsidRPr="004B7172">
      <w:rPr>
        <w:rStyle w:val="Nmerodepgina"/>
        <w:sz w:val="18"/>
      </w:rPr>
      <w:instrText xml:space="preserve"> PAGE </w:instrText>
    </w:r>
    <w:r w:rsidRPr="004B7172">
      <w:rPr>
        <w:rStyle w:val="Nmerodepgina"/>
        <w:sz w:val="18"/>
      </w:rPr>
      <w:fldChar w:fldCharType="separate"/>
    </w:r>
    <w:r w:rsidR="00C317FE">
      <w:rPr>
        <w:rStyle w:val="Nmerodepgina"/>
        <w:noProof/>
        <w:sz w:val="18"/>
      </w:rPr>
      <w:t>13</w:t>
    </w:r>
    <w:r w:rsidRPr="004B7172">
      <w:rPr>
        <w:rStyle w:val="Nmerodepgina"/>
        <w:sz w:val="18"/>
      </w:rPr>
      <w:fldChar w:fldCharType="end"/>
    </w:r>
  </w:p>
  <w:p w14:paraId="2E0A0F8D" w14:textId="2476A985" w:rsidR="00AF155B" w:rsidRPr="00ED1FB4" w:rsidRDefault="00AF155B" w:rsidP="000D5FAA">
    <w:pPr>
      <w:pStyle w:val="Rodap"/>
      <w:ind w:right="360"/>
    </w:pPr>
    <w:r>
      <w:drawing>
        <wp:inline distT="0" distB="0" distL="0" distR="0" wp14:anchorId="77522390" wp14:editId="025D6E28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36B23" w14:textId="77777777" w:rsidR="00AF155B" w:rsidRPr="004D68A2" w:rsidRDefault="00AF155B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5321287" w14:textId="77777777" w:rsidR="00AF155B" w:rsidRPr="00ED1FB4" w:rsidRDefault="00AF155B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2CFDA5B4" w14:textId="77777777" w:rsidR="00AF155B" w:rsidRPr="004D68A2" w:rsidRDefault="00AF155B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9CAAA02" w14:textId="77777777" w:rsidR="00AF155B" w:rsidRPr="00ED1FB4" w:rsidRDefault="00AF155B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EE8CA5F" w14:textId="77777777" w:rsidR="00AF155B" w:rsidRDefault="00C317FE" w:rsidP="00E25581">
    <w:pPr>
      <w:pStyle w:val="Rodap"/>
      <w:spacing w:after="240"/>
    </w:pPr>
    <w:hyperlink r:id="rId2" w:history="1">
      <w:r w:rsidR="00AF155B" w:rsidRPr="00ED1FB4">
        <w:rPr>
          <w:rStyle w:val="Hyperlink"/>
        </w:rPr>
        <w:t>www.cvm.gov.br</w:t>
      </w:r>
    </w:hyperlink>
  </w:p>
  <w:p w14:paraId="13A86878" w14:textId="51B0C7D1" w:rsidR="00AF155B" w:rsidRPr="009B69B0" w:rsidRDefault="00AF155B" w:rsidP="005A3CE2">
    <w:pPr>
      <w:pStyle w:val="Rodap"/>
      <w:spacing w:after="240"/>
      <w:jc w:val="both"/>
      <w:rPr>
        <w:caps/>
      </w:rPr>
    </w:pPr>
    <w:r w:rsidRPr="005A3CE2">
      <w:rPr>
        <w:caps/>
      </w:rPr>
      <w:t xml:space="preserve">Resolução CVM nº </w:t>
    </w:r>
    <w:r w:rsidR="00B260B6">
      <w:rPr>
        <w:caps/>
      </w:rPr>
      <w:t>162</w:t>
    </w:r>
    <w:r w:rsidRPr="005A3CE2">
      <w:rPr>
        <w:caps/>
      </w:rPr>
      <w:t xml:space="preserve">, de </w:t>
    </w:r>
    <w:r w:rsidR="00B260B6">
      <w:rPr>
        <w:caps/>
      </w:rPr>
      <w:t>13</w:t>
    </w:r>
    <w:r w:rsidRPr="005A3CE2">
      <w:rPr>
        <w:caps/>
      </w:rPr>
      <w:t xml:space="preserve"> de </w:t>
    </w:r>
    <w:r w:rsidR="00B260B6">
      <w:rPr>
        <w:caps/>
      </w:rPr>
      <w:t xml:space="preserve">julho </w:t>
    </w:r>
    <w:r w:rsidRPr="005A3CE2">
      <w:rPr>
        <w:caps/>
      </w:rPr>
      <w:t>de 20</w:t>
    </w:r>
    <w:r w:rsidR="00B260B6">
      <w:rPr>
        <w:cap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15ED4" w14:textId="77777777" w:rsidR="00AF155B" w:rsidRPr="00ED1FB4" w:rsidRDefault="00AF155B" w:rsidP="004070E9">
    <w:pPr>
      <w:pStyle w:val="Rodap"/>
      <w:ind w:right="360"/>
    </w:pPr>
    <w:r>
      <w:drawing>
        <wp:inline distT="0" distB="0" distL="0" distR="0" wp14:anchorId="790659A1" wp14:editId="7306A651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FB186" w14:textId="77777777" w:rsidR="00AF155B" w:rsidRPr="004D68A2" w:rsidRDefault="00AF155B" w:rsidP="004070E9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DCA3899" w14:textId="77777777" w:rsidR="00AF155B" w:rsidRPr="00ED1FB4" w:rsidRDefault="00AF155B" w:rsidP="004070E9">
    <w:pPr>
      <w:pStyle w:val="Rodap"/>
    </w:pPr>
    <w:r w:rsidRPr="00ED1FB4">
      <w:t>Rua Sete de Setembro, 111/2-5º e 23-34º Andares, Centro, Rio de Janeiro/RJ – CEP: 20050-901 – Brasil - Tel.: (21) 3554-8686</w:t>
    </w:r>
  </w:p>
  <w:p w14:paraId="71EA1407" w14:textId="77777777" w:rsidR="00AF155B" w:rsidRPr="004D68A2" w:rsidRDefault="00AF155B" w:rsidP="004070E9">
    <w:pPr>
      <w:pStyle w:val="Rodap"/>
    </w:pPr>
    <w:r w:rsidRPr="004D68A2">
      <w:t>Rua Cincinato Braga, 340/2º, 3º e 4º Andares, Bela Vista, São Paulo/ SP – CEP: 01333-010 – Brasil - Tel.: (11) 2146-2000</w:t>
    </w:r>
  </w:p>
  <w:p w14:paraId="3C0F5790" w14:textId="77777777" w:rsidR="00AF155B" w:rsidRPr="00ED1FB4" w:rsidRDefault="00AF155B" w:rsidP="004070E9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39F1571" w14:textId="77777777" w:rsidR="00AF155B" w:rsidRDefault="00C317FE" w:rsidP="004070E9">
    <w:pPr>
      <w:pStyle w:val="Rodap"/>
      <w:spacing w:after="240"/>
    </w:pPr>
    <w:hyperlink r:id="rId2" w:history="1">
      <w:r w:rsidR="00AF155B" w:rsidRPr="00ED1FB4">
        <w:rPr>
          <w:rStyle w:val="Hyperlink"/>
        </w:rPr>
        <w:t>www.cvm.gov.br</w:t>
      </w:r>
    </w:hyperlink>
  </w:p>
  <w:p w14:paraId="3E375753" w14:textId="77777777" w:rsidR="00AF155B" w:rsidRDefault="00AF15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25AC89A4"/>
    <w:lvl w:ilvl="0" w:tplc="1D0820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B0E120A">
      <w:numFmt w:val="decimal"/>
      <w:lvlText w:val=""/>
      <w:lvlJc w:val="left"/>
    </w:lvl>
    <w:lvl w:ilvl="2" w:tplc="5BB46FAC">
      <w:numFmt w:val="decimal"/>
      <w:lvlText w:val=""/>
      <w:lvlJc w:val="left"/>
    </w:lvl>
    <w:lvl w:ilvl="3" w:tplc="B4B63C14">
      <w:numFmt w:val="decimal"/>
      <w:lvlText w:val=""/>
      <w:lvlJc w:val="left"/>
    </w:lvl>
    <w:lvl w:ilvl="4" w:tplc="457E552A">
      <w:numFmt w:val="decimal"/>
      <w:lvlText w:val=""/>
      <w:lvlJc w:val="left"/>
    </w:lvl>
    <w:lvl w:ilvl="5" w:tplc="C7080E96">
      <w:numFmt w:val="decimal"/>
      <w:lvlText w:val=""/>
      <w:lvlJc w:val="left"/>
    </w:lvl>
    <w:lvl w:ilvl="6" w:tplc="EED4F8BE">
      <w:numFmt w:val="decimal"/>
      <w:lvlText w:val=""/>
      <w:lvlJc w:val="left"/>
    </w:lvl>
    <w:lvl w:ilvl="7" w:tplc="3EE07E9E">
      <w:numFmt w:val="decimal"/>
      <w:lvlText w:val=""/>
      <w:lvlJc w:val="left"/>
    </w:lvl>
    <w:lvl w:ilvl="8" w:tplc="F27C2530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4C5AA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CEE04C">
      <w:numFmt w:val="decimal"/>
      <w:lvlText w:val=""/>
      <w:lvlJc w:val="left"/>
    </w:lvl>
    <w:lvl w:ilvl="2" w:tplc="42369A74">
      <w:numFmt w:val="decimal"/>
      <w:lvlText w:val=""/>
      <w:lvlJc w:val="left"/>
    </w:lvl>
    <w:lvl w:ilvl="3" w:tplc="CE868376">
      <w:numFmt w:val="decimal"/>
      <w:lvlText w:val=""/>
      <w:lvlJc w:val="left"/>
    </w:lvl>
    <w:lvl w:ilvl="4" w:tplc="E124CE52">
      <w:numFmt w:val="decimal"/>
      <w:lvlText w:val=""/>
      <w:lvlJc w:val="left"/>
    </w:lvl>
    <w:lvl w:ilvl="5" w:tplc="B13E1EB6">
      <w:numFmt w:val="decimal"/>
      <w:lvlText w:val=""/>
      <w:lvlJc w:val="left"/>
    </w:lvl>
    <w:lvl w:ilvl="6" w:tplc="73842470">
      <w:numFmt w:val="decimal"/>
      <w:lvlText w:val=""/>
      <w:lvlJc w:val="left"/>
    </w:lvl>
    <w:lvl w:ilvl="7" w:tplc="2EAE0D66">
      <w:numFmt w:val="decimal"/>
      <w:lvlText w:val=""/>
      <w:lvlJc w:val="left"/>
    </w:lvl>
    <w:lvl w:ilvl="8" w:tplc="5DF4AFCE">
      <w:numFmt w:val="decimal"/>
      <w:lvlText w:val=""/>
      <w:lvlJc w:val="left"/>
    </w:lvl>
  </w:abstractNum>
  <w:abstractNum w:abstractNumId="3" w15:restartNumberingAfterBreak="0">
    <w:nsid w:val="02F9268F"/>
    <w:multiLevelType w:val="hybridMultilevel"/>
    <w:tmpl w:val="5810E3D4"/>
    <w:name w:val="SDM autonum32"/>
    <w:lvl w:ilvl="0" w:tplc="3B56C880">
      <w:start w:val="1"/>
      <w:numFmt w:val="decimal"/>
      <w:suff w:val="nothing"/>
      <w:lvlText w:val="Art. %1"/>
      <w:lvlJc w:val="left"/>
      <w:pPr>
        <w:ind w:left="358" w:firstLine="210"/>
      </w:pPr>
      <w:rPr>
        <w:rFonts w:hint="default"/>
        <w:b w:val="0"/>
      </w:rPr>
    </w:lvl>
    <w:lvl w:ilvl="1" w:tplc="E4E4C596">
      <w:start w:val="1"/>
      <w:numFmt w:val="upperRoman"/>
      <w:suff w:val="nothing"/>
      <w:lvlText w:val="%2"/>
      <w:lvlJc w:val="left"/>
      <w:pPr>
        <w:ind w:left="0" w:firstLine="567"/>
      </w:pPr>
      <w:rPr>
        <w:rFonts w:hint="default"/>
        <w:color w:val="auto"/>
      </w:rPr>
    </w:lvl>
    <w:lvl w:ilvl="2" w:tplc="3E8607A0">
      <w:start w:val="1"/>
      <w:numFmt w:val="decimal"/>
      <w:lvlText w:val=""/>
      <w:lvlJc w:val="left"/>
      <w:pPr>
        <w:ind w:left="1077" w:hanging="357"/>
      </w:pPr>
      <w:rPr>
        <w:rFonts w:hint="default"/>
      </w:rPr>
    </w:lvl>
    <w:lvl w:ilvl="3" w:tplc="F58A66C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8E458C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4D6304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1543F9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B64527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B827D4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642DAC"/>
    <w:multiLevelType w:val="hybridMultilevel"/>
    <w:tmpl w:val="82B4A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7FC"/>
    <w:multiLevelType w:val="hybridMultilevel"/>
    <w:tmpl w:val="E9E45246"/>
    <w:lvl w:ilvl="0" w:tplc="C3AE75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4715E0"/>
    <w:multiLevelType w:val="hybridMultilevel"/>
    <w:tmpl w:val="FA1E1C2E"/>
    <w:lvl w:ilvl="0" w:tplc="FA563FD4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A0MTI1NTIwMTBQ0lEKTi0uzszPAykwrQUAJ3FzjywAAAA="/>
  </w:docVars>
  <w:rsids>
    <w:rsidRoot w:val="00DF1DDA"/>
    <w:rsid w:val="0000337C"/>
    <w:rsid w:val="00003E61"/>
    <w:rsid w:val="000049D6"/>
    <w:rsid w:val="000107DE"/>
    <w:rsid w:val="00016F18"/>
    <w:rsid w:val="0003144A"/>
    <w:rsid w:val="000319E0"/>
    <w:rsid w:val="000369CE"/>
    <w:rsid w:val="00037B1C"/>
    <w:rsid w:val="00040668"/>
    <w:rsid w:val="000440B9"/>
    <w:rsid w:val="00045BE9"/>
    <w:rsid w:val="00053699"/>
    <w:rsid w:val="00053A43"/>
    <w:rsid w:val="00064EAD"/>
    <w:rsid w:val="00065220"/>
    <w:rsid w:val="00073EB9"/>
    <w:rsid w:val="00074053"/>
    <w:rsid w:val="000761F3"/>
    <w:rsid w:val="0008151F"/>
    <w:rsid w:val="00082F6A"/>
    <w:rsid w:val="00083D8D"/>
    <w:rsid w:val="000844C6"/>
    <w:rsid w:val="00086CD7"/>
    <w:rsid w:val="00090C21"/>
    <w:rsid w:val="00092C7C"/>
    <w:rsid w:val="000A5301"/>
    <w:rsid w:val="000A7E5A"/>
    <w:rsid w:val="000B2DDC"/>
    <w:rsid w:val="000B458C"/>
    <w:rsid w:val="000C4118"/>
    <w:rsid w:val="000C46E8"/>
    <w:rsid w:val="000C514A"/>
    <w:rsid w:val="000D1FE5"/>
    <w:rsid w:val="000D3B42"/>
    <w:rsid w:val="000D456A"/>
    <w:rsid w:val="000D5FAA"/>
    <w:rsid w:val="000E1225"/>
    <w:rsid w:val="000E3C76"/>
    <w:rsid w:val="000E3D95"/>
    <w:rsid w:val="000E3E05"/>
    <w:rsid w:val="000E4B8A"/>
    <w:rsid w:val="000E4D22"/>
    <w:rsid w:val="000E568A"/>
    <w:rsid w:val="000E58B0"/>
    <w:rsid w:val="000E5B21"/>
    <w:rsid w:val="000F384F"/>
    <w:rsid w:val="000F56CC"/>
    <w:rsid w:val="00103ACD"/>
    <w:rsid w:val="001045A4"/>
    <w:rsid w:val="00110213"/>
    <w:rsid w:val="0011439F"/>
    <w:rsid w:val="0011521F"/>
    <w:rsid w:val="0011647B"/>
    <w:rsid w:val="001169AD"/>
    <w:rsid w:val="0012499A"/>
    <w:rsid w:val="00125DC9"/>
    <w:rsid w:val="001335A0"/>
    <w:rsid w:val="00136101"/>
    <w:rsid w:val="00142D26"/>
    <w:rsid w:val="001432D5"/>
    <w:rsid w:val="001433C8"/>
    <w:rsid w:val="00144FFD"/>
    <w:rsid w:val="00154BCA"/>
    <w:rsid w:val="0015521F"/>
    <w:rsid w:val="00164CC8"/>
    <w:rsid w:val="00170D77"/>
    <w:rsid w:val="00171426"/>
    <w:rsid w:val="001776BA"/>
    <w:rsid w:val="00180906"/>
    <w:rsid w:val="001870A3"/>
    <w:rsid w:val="00190B46"/>
    <w:rsid w:val="00192AFC"/>
    <w:rsid w:val="00193270"/>
    <w:rsid w:val="0019E88D"/>
    <w:rsid w:val="001A0307"/>
    <w:rsid w:val="001A12E9"/>
    <w:rsid w:val="001A13F6"/>
    <w:rsid w:val="001A227B"/>
    <w:rsid w:val="001B1602"/>
    <w:rsid w:val="001B733D"/>
    <w:rsid w:val="001B7B48"/>
    <w:rsid w:val="001C1FF2"/>
    <w:rsid w:val="001C628D"/>
    <w:rsid w:val="001D0462"/>
    <w:rsid w:val="001E0083"/>
    <w:rsid w:val="001E23B4"/>
    <w:rsid w:val="001E241C"/>
    <w:rsid w:val="001E4308"/>
    <w:rsid w:val="001E663D"/>
    <w:rsid w:val="001F4141"/>
    <w:rsid w:val="001F4F2D"/>
    <w:rsid w:val="001F6107"/>
    <w:rsid w:val="00200B90"/>
    <w:rsid w:val="00202116"/>
    <w:rsid w:val="002038ED"/>
    <w:rsid w:val="00206198"/>
    <w:rsid w:val="00212BE4"/>
    <w:rsid w:val="00213215"/>
    <w:rsid w:val="0021709F"/>
    <w:rsid w:val="00221B14"/>
    <w:rsid w:val="002319B4"/>
    <w:rsid w:val="00233D06"/>
    <w:rsid w:val="002362DC"/>
    <w:rsid w:val="0023646F"/>
    <w:rsid w:val="0024614E"/>
    <w:rsid w:val="00247CF6"/>
    <w:rsid w:val="002514AD"/>
    <w:rsid w:val="0025235B"/>
    <w:rsid w:val="00254650"/>
    <w:rsid w:val="0025488E"/>
    <w:rsid w:val="0025571C"/>
    <w:rsid w:val="002565FC"/>
    <w:rsid w:val="0027080A"/>
    <w:rsid w:val="0027585E"/>
    <w:rsid w:val="00276FBA"/>
    <w:rsid w:val="00277E44"/>
    <w:rsid w:val="0028512C"/>
    <w:rsid w:val="00286326"/>
    <w:rsid w:val="00290015"/>
    <w:rsid w:val="002915EA"/>
    <w:rsid w:val="00291E5B"/>
    <w:rsid w:val="002B40BE"/>
    <w:rsid w:val="002B5A4C"/>
    <w:rsid w:val="002B6C65"/>
    <w:rsid w:val="002C0639"/>
    <w:rsid w:val="002C0728"/>
    <w:rsid w:val="002C23F5"/>
    <w:rsid w:val="002C3C71"/>
    <w:rsid w:val="002C6F26"/>
    <w:rsid w:val="002C7B38"/>
    <w:rsid w:val="002D17E3"/>
    <w:rsid w:val="002E56F2"/>
    <w:rsid w:val="002E577C"/>
    <w:rsid w:val="002E6B13"/>
    <w:rsid w:val="002F1D96"/>
    <w:rsid w:val="002F2174"/>
    <w:rsid w:val="00300B75"/>
    <w:rsid w:val="00302268"/>
    <w:rsid w:val="003039CF"/>
    <w:rsid w:val="00304559"/>
    <w:rsid w:val="003063A1"/>
    <w:rsid w:val="003072EF"/>
    <w:rsid w:val="003102CE"/>
    <w:rsid w:val="003154EB"/>
    <w:rsid w:val="00316426"/>
    <w:rsid w:val="00321421"/>
    <w:rsid w:val="00322543"/>
    <w:rsid w:val="003225AA"/>
    <w:rsid w:val="00324EDB"/>
    <w:rsid w:val="003323F6"/>
    <w:rsid w:val="00336D35"/>
    <w:rsid w:val="00340CBD"/>
    <w:rsid w:val="00341BE0"/>
    <w:rsid w:val="00347F85"/>
    <w:rsid w:val="0035238E"/>
    <w:rsid w:val="00354603"/>
    <w:rsid w:val="0035470A"/>
    <w:rsid w:val="00356CF9"/>
    <w:rsid w:val="003633CE"/>
    <w:rsid w:val="00370167"/>
    <w:rsid w:val="00373DA7"/>
    <w:rsid w:val="003765F9"/>
    <w:rsid w:val="00382B71"/>
    <w:rsid w:val="00390784"/>
    <w:rsid w:val="00394516"/>
    <w:rsid w:val="003A14B7"/>
    <w:rsid w:val="003B2046"/>
    <w:rsid w:val="003B5958"/>
    <w:rsid w:val="003B6C6C"/>
    <w:rsid w:val="003C1822"/>
    <w:rsid w:val="003D0B53"/>
    <w:rsid w:val="003D17AC"/>
    <w:rsid w:val="003D20BB"/>
    <w:rsid w:val="003D4995"/>
    <w:rsid w:val="003D59B4"/>
    <w:rsid w:val="003E3617"/>
    <w:rsid w:val="003E3A25"/>
    <w:rsid w:val="003F05B7"/>
    <w:rsid w:val="003F321A"/>
    <w:rsid w:val="003F5287"/>
    <w:rsid w:val="004008F9"/>
    <w:rsid w:val="004030CE"/>
    <w:rsid w:val="004040D0"/>
    <w:rsid w:val="00404240"/>
    <w:rsid w:val="004044B3"/>
    <w:rsid w:val="00404C51"/>
    <w:rsid w:val="00404DD1"/>
    <w:rsid w:val="00406616"/>
    <w:rsid w:val="004070E9"/>
    <w:rsid w:val="00411F73"/>
    <w:rsid w:val="004127EF"/>
    <w:rsid w:val="00414A22"/>
    <w:rsid w:val="0041797C"/>
    <w:rsid w:val="00417BE4"/>
    <w:rsid w:val="0042075E"/>
    <w:rsid w:val="00426B1D"/>
    <w:rsid w:val="0042736F"/>
    <w:rsid w:val="00430937"/>
    <w:rsid w:val="00432EAC"/>
    <w:rsid w:val="0043342E"/>
    <w:rsid w:val="0043532C"/>
    <w:rsid w:val="00436730"/>
    <w:rsid w:val="00452FB6"/>
    <w:rsid w:val="0045685E"/>
    <w:rsid w:val="004630C4"/>
    <w:rsid w:val="004660DE"/>
    <w:rsid w:val="00467A51"/>
    <w:rsid w:val="00470AD3"/>
    <w:rsid w:val="00471727"/>
    <w:rsid w:val="00482B2E"/>
    <w:rsid w:val="004840F3"/>
    <w:rsid w:val="004870A2"/>
    <w:rsid w:val="004878BB"/>
    <w:rsid w:val="004905F2"/>
    <w:rsid w:val="004905F8"/>
    <w:rsid w:val="00495291"/>
    <w:rsid w:val="004A6260"/>
    <w:rsid w:val="004B0B11"/>
    <w:rsid w:val="004B12D0"/>
    <w:rsid w:val="004B4B32"/>
    <w:rsid w:val="004B5B96"/>
    <w:rsid w:val="004B708B"/>
    <w:rsid w:val="004B7172"/>
    <w:rsid w:val="004C127E"/>
    <w:rsid w:val="004C4894"/>
    <w:rsid w:val="004C55E5"/>
    <w:rsid w:val="004C6094"/>
    <w:rsid w:val="004C66C5"/>
    <w:rsid w:val="004D1A53"/>
    <w:rsid w:val="004D20B5"/>
    <w:rsid w:val="004D30E6"/>
    <w:rsid w:val="004D4BE0"/>
    <w:rsid w:val="004D68A2"/>
    <w:rsid w:val="004E3A7B"/>
    <w:rsid w:val="004E404D"/>
    <w:rsid w:val="004E435C"/>
    <w:rsid w:val="004F1E6E"/>
    <w:rsid w:val="004F26F3"/>
    <w:rsid w:val="004F3C3A"/>
    <w:rsid w:val="004F4873"/>
    <w:rsid w:val="005048A5"/>
    <w:rsid w:val="0050642F"/>
    <w:rsid w:val="00506488"/>
    <w:rsid w:val="005066EE"/>
    <w:rsid w:val="00506C14"/>
    <w:rsid w:val="00515AF2"/>
    <w:rsid w:val="005164CE"/>
    <w:rsid w:val="00517A37"/>
    <w:rsid w:val="00517B72"/>
    <w:rsid w:val="0053010A"/>
    <w:rsid w:val="00536BAE"/>
    <w:rsid w:val="005536C3"/>
    <w:rsid w:val="00564C5D"/>
    <w:rsid w:val="00565CD0"/>
    <w:rsid w:val="00576B76"/>
    <w:rsid w:val="00595559"/>
    <w:rsid w:val="005A05B3"/>
    <w:rsid w:val="005A2E8F"/>
    <w:rsid w:val="005A3CE2"/>
    <w:rsid w:val="005A4121"/>
    <w:rsid w:val="005B48B9"/>
    <w:rsid w:val="005B7FE8"/>
    <w:rsid w:val="005C1C22"/>
    <w:rsid w:val="005C3A49"/>
    <w:rsid w:val="005C5042"/>
    <w:rsid w:val="005C68F8"/>
    <w:rsid w:val="005D0C74"/>
    <w:rsid w:val="005D2C60"/>
    <w:rsid w:val="005D30D9"/>
    <w:rsid w:val="005D3898"/>
    <w:rsid w:val="005D5240"/>
    <w:rsid w:val="005D7ABC"/>
    <w:rsid w:val="005E159E"/>
    <w:rsid w:val="005F5334"/>
    <w:rsid w:val="005F65B8"/>
    <w:rsid w:val="00600ED9"/>
    <w:rsid w:val="006018F9"/>
    <w:rsid w:val="00605862"/>
    <w:rsid w:val="00607570"/>
    <w:rsid w:val="0061025B"/>
    <w:rsid w:val="00612760"/>
    <w:rsid w:val="006127A5"/>
    <w:rsid w:val="00614BF0"/>
    <w:rsid w:val="00615AFB"/>
    <w:rsid w:val="00620135"/>
    <w:rsid w:val="00622094"/>
    <w:rsid w:val="00624BE3"/>
    <w:rsid w:val="00624F73"/>
    <w:rsid w:val="00626036"/>
    <w:rsid w:val="00631329"/>
    <w:rsid w:val="00633414"/>
    <w:rsid w:val="00641545"/>
    <w:rsid w:val="00642343"/>
    <w:rsid w:val="006423B3"/>
    <w:rsid w:val="00646CAE"/>
    <w:rsid w:val="00650E70"/>
    <w:rsid w:val="0065401B"/>
    <w:rsid w:val="00654E2E"/>
    <w:rsid w:val="00655529"/>
    <w:rsid w:val="00657B55"/>
    <w:rsid w:val="006667DD"/>
    <w:rsid w:val="006673D3"/>
    <w:rsid w:val="00672C94"/>
    <w:rsid w:val="00677A60"/>
    <w:rsid w:val="00681159"/>
    <w:rsid w:val="00681B18"/>
    <w:rsid w:val="00682CAA"/>
    <w:rsid w:val="00690B58"/>
    <w:rsid w:val="00692545"/>
    <w:rsid w:val="0069296C"/>
    <w:rsid w:val="00695402"/>
    <w:rsid w:val="006962EE"/>
    <w:rsid w:val="006A0EE2"/>
    <w:rsid w:val="006A63D3"/>
    <w:rsid w:val="006A6A94"/>
    <w:rsid w:val="006A6ACF"/>
    <w:rsid w:val="006A6C57"/>
    <w:rsid w:val="006B2961"/>
    <w:rsid w:val="006B6831"/>
    <w:rsid w:val="006B7CF8"/>
    <w:rsid w:val="006C3247"/>
    <w:rsid w:val="006D1B9F"/>
    <w:rsid w:val="006D1CEE"/>
    <w:rsid w:val="006D2094"/>
    <w:rsid w:val="006D28C5"/>
    <w:rsid w:val="006E1563"/>
    <w:rsid w:val="006E1623"/>
    <w:rsid w:val="006E1797"/>
    <w:rsid w:val="006E2484"/>
    <w:rsid w:val="006F46CD"/>
    <w:rsid w:val="006F4BFA"/>
    <w:rsid w:val="006F6DCF"/>
    <w:rsid w:val="006F77EA"/>
    <w:rsid w:val="00701542"/>
    <w:rsid w:val="00702E91"/>
    <w:rsid w:val="0070312E"/>
    <w:rsid w:val="0070484A"/>
    <w:rsid w:val="007053BE"/>
    <w:rsid w:val="00706536"/>
    <w:rsid w:val="00714F61"/>
    <w:rsid w:val="00717185"/>
    <w:rsid w:val="00720818"/>
    <w:rsid w:val="00723204"/>
    <w:rsid w:val="007236D8"/>
    <w:rsid w:val="00723B85"/>
    <w:rsid w:val="0072417E"/>
    <w:rsid w:val="00727062"/>
    <w:rsid w:val="00733800"/>
    <w:rsid w:val="00733E0F"/>
    <w:rsid w:val="00734DAB"/>
    <w:rsid w:val="00736122"/>
    <w:rsid w:val="00740F76"/>
    <w:rsid w:val="00741406"/>
    <w:rsid w:val="00742F1D"/>
    <w:rsid w:val="00744251"/>
    <w:rsid w:val="00747AA0"/>
    <w:rsid w:val="00747F62"/>
    <w:rsid w:val="00751154"/>
    <w:rsid w:val="00751E5B"/>
    <w:rsid w:val="00752F9D"/>
    <w:rsid w:val="0075367A"/>
    <w:rsid w:val="007607AA"/>
    <w:rsid w:val="00760AC6"/>
    <w:rsid w:val="00760E22"/>
    <w:rsid w:val="00761A31"/>
    <w:rsid w:val="00763774"/>
    <w:rsid w:val="007678BE"/>
    <w:rsid w:val="0077024A"/>
    <w:rsid w:val="007711EB"/>
    <w:rsid w:val="007722B5"/>
    <w:rsid w:val="007753AD"/>
    <w:rsid w:val="0077770A"/>
    <w:rsid w:val="007818E3"/>
    <w:rsid w:val="007876D4"/>
    <w:rsid w:val="00792AF0"/>
    <w:rsid w:val="00796EFF"/>
    <w:rsid w:val="007A0F77"/>
    <w:rsid w:val="007A3130"/>
    <w:rsid w:val="007B2A09"/>
    <w:rsid w:val="007B7CF8"/>
    <w:rsid w:val="007D07E0"/>
    <w:rsid w:val="007D4625"/>
    <w:rsid w:val="007D4DEE"/>
    <w:rsid w:val="007D69CB"/>
    <w:rsid w:val="007E04AE"/>
    <w:rsid w:val="007E0C9B"/>
    <w:rsid w:val="007E6557"/>
    <w:rsid w:val="007F46C4"/>
    <w:rsid w:val="007F72FD"/>
    <w:rsid w:val="00804F62"/>
    <w:rsid w:val="00805DB6"/>
    <w:rsid w:val="0081064E"/>
    <w:rsid w:val="0081067E"/>
    <w:rsid w:val="00810E0A"/>
    <w:rsid w:val="00811B50"/>
    <w:rsid w:val="008220EE"/>
    <w:rsid w:val="0082534A"/>
    <w:rsid w:val="0082653E"/>
    <w:rsid w:val="00826EB8"/>
    <w:rsid w:val="008310AF"/>
    <w:rsid w:val="00834E0D"/>
    <w:rsid w:val="00841BBF"/>
    <w:rsid w:val="00841C0C"/>
    <w:rsid w:val="00841CF9"/>
    <w:rsid w:val="008518F4"/>
    <w:rsid w:val="0085594E"/>
    <w:rsid w:val="0085749E"/>
    <w:rsid w:val="0085777B"/>
    <w:rsid w:val="00860F52"/>
    <w:rsid w:val="00862E06"/>
    <w:rsid w:val="0086512F"/>
    <w:rsid w:val="008720D3"/>
    <w:rsid w:val="00873A80"/>
    <w:rsid w:val="00874407"/>
    <w:rsid w:val="00886D73"/>
    <w:rsid w:val="00892141"/>
    <w:rsid w:val="008929C4"/>
    <w:rsid w:val="00894689"/>
    <w:rsid w:val="00897DF5"/>
    <w:rsid w:val="008A0A81"/>
    <w:rsid w:val="008A3008"/>
    <w:rsid w:val="008A405A"/>
    <w:rsid w:val="008A4571"/>
    <w:rsid w:val="008B1164"/>
    <w:rsid w:val="008B33C1"/>
    <w:rsid w:val="008C290A"/>
    <w:rsid w:val="008D07F9"/>
    <w:rsid w:val="008D4889"/>
    <w:rsid w:val="008D52F0"/>
    <w:rsid w:val="008D589E"/>
    <w:rsid w:val="008E3CC3"/>
    <w:rsid w:val="008E3E7A"/>
    <w:rsid w:val="008E5F4B"/>
    <w:rsid w:val="008F0A88"/>
    <w:rsid w:val="008F317E"/>
    <w:rsid w:val="009010FE"/>
    <w:rsid w:val="009029CF"/>
    <w:rsid w:val="009109D3"/>
    <w:rsid w:val="00911C93"/>
    <w:rsid w:val="00917EF1"/>
    <w:rsid w:val="00925E41"/>
    <w:rsid w:val="00926C3F"/>
    <w:rsid w:val="0092756D"/>
    <w:rsid w:val="009314AB"/>
    <w:rsid w:val="0093284B"/>
    <w:rsid w:val="009458A5"/>
    <w:rsid w:val="00945C2B"/>
    <w:rsid w:val="00946F69"/>
    <w:rsid w:val="00952F45"/>
    <w:rsid w:val="00953969"/>
    <w:rsid w:val="00953B24"/>
    <w:rsid w:val="00954C9E"/>
    <w:rsid w:val="00956E3B"/>
    <w:rsid w:val="0096072C"/>
    <w:rsid w:val="00967670"/>
    <w:rsid w:val="009678E0"/>
    <w:rsid w:val="009768AB"/>
    <w:rsid w:val="009822E0"/>
    <w:rsid w:val="00983F39"/>
    <w:rsid w:val="00984F31"/>
    <w:rsid w:val="00985666"/>
    <w:rsid w:val="00990F75"/>
    <w:rsid w:val="009913CF"/>
    <w:rsid w:val="009964C1"/>
    <w:rsid w:val="00996DB8"/>
    <w:rsid w:val="009A300E"/>
    <w:rsid w:val="009A3085"/>
    <w:rsid w:val="009A6B26"/>
    <w:rsid w:val="009A7060"/>
    <w:rsid w:val="009B0AF7"/>
    <w:rsid w:val="009B2E8D"/>
    <w:rsid w:val="009B4F69"/>
    <w:rsid w:val="009B4FE6"/>
    <w:rsid w:val="009B69B0"/>
    <w:rsid w:val="009C2080"/>
    <w:rsid w:val="009C403B"/>
    <w:rsid w:val="009C6B9B"/>
    <w:rsid w:val="009D438A"/>
    <w:rsid w:val="009D6D90"/>
    <w:rsid w:val="009E041B"/>
    <w:rsid w:val="009E621A"/>
    <w:rsid w:val="009E67B8"/>
    <w:rsid w:val="009F03D4"/>
    <w:rsid w:val="009F12D0"/>
    <w:rsid w:val="009F4FA1"/>
    <w:rsid w:val="009F53E3"/>
    <w:rsid w:val="00A01901"/>
    <w:rsid w:val="00A0290D"/>
    <w:rsid w:val="00A02ABD"/>
    <w:rsid w:val="00A03E6F"/>
    <w:rsid w:val="00A04806"/>
    <w:rsid w:val="00A049C0"/>
    <w:rsid w:val="00A07BAD"/>
    <w:rsid w:val="00A10A0D"/>
    <w:rsid w:val="00A149F9"/>
    <w:rsid w:val="00A16EB1"/>
    <w:rsid w:val="00A24ED3"/>
    <w:rsid w:val="00A31D2F"/>
    <w:rsid w:val="00A34017"/>
    <w:rsid w:val="00A37795"/>
    <w:rsid w:val="00A41991"/>
    <w:rsid w:val="00A42657"/>
    <w:rsid w:val="00A432E7"/>
    <w:rsid w:val="00A446D1"/>
    <w:rsid w:val="00A44C05"/>
    <w:rsid w:val="00A50D31"/>
    <w:rsid w:val="00A57949"/>
    <w:rsid w:val="00A57EC9"/>
    <w:rsid w:val="00A606D1"/>
    <w:rsid w:val="00A60EDE"/>
    <w:rsid w:val="00A65984"/>
    <w:rsid w:val="00A70D2D"/>
    <w:rsid w:val="00A82DE9"/>
    <w:rsid w:val="00A8425E"/>
    <w:rsid w:val="00A86456"/>
    <w:rsid w:val="00A91C43"/>
    <w:rsid w:val="00A93AA0"/>
    <w:rsid w:val="00A95674"/>
    <w:rsid w:val="00A959B7"/>
    <w:rsid w:val="00AA6211"/>
    <w:rsid w:val="00AA655B"/>
    <w:rsid w:val="00AB08EB"/>
    <w:rsid w:val="00AB1BC9"/>
    <w:rsid w:val="00AB3AA8"/>
    <w:rsid w:val="00AB7233"/>
    <w:rsid w:val="00AC0A39"/>
    <w:rsid w:val="00AC2F75"/>
    <w:rsid w:val="00AC3A7C"/>
    <w:rsid w:val="00AD42BA"/>
    <w:rsid w:val="00AE5C87"/>
    <w:rsid w:val="00AE6842"/>
    <w:rsid w:val="00AF155B"/>
    <w:rsid w:val="00AF17D5"/>
    <w:rsid w:val="00AF4167"/>
    <w:rsid w:val="00AF5869"/>
    <w:rsid w:val="00B01433"/>
    <w:rsid w:val="00B05454"/>
    <w:rsid w:val="00B10644"/>
    <w:rsid w:val="00B12F21"/>
    <w:rsid w:val="00B134AF"/>
    <w:rsid w:val="00B21D85"/>
    <w:rsid w:val="00B2547E"/>
    <w:rsid w:val="00B260B6"/>
    <w:rsid w:val="00B32868"/>
    <w:rsid w:val="00B353FC"/>
    <w:rsid w:val="00B35CFD"/>
    <w:rsid w:val="00B44C58"/>
    <w:rsid w:val="00B45530"/>
    <w:rsid w:val="00B476F2"/>
    <w:rsid w:val="00B56FC5"/>
    <w:rsid w:val="00B601AE"/>
    <w:rsid w:val="00B60BBD"/>
    <w:rsid w:val="00B66A6E"/>
    <w:rsid w:val="00B66E20"/>
    <w:rsid w:val="00B70B33"/>
    <w:rsid w:val="00B7471C"/>
    <w:rsid w:val="00B754FC"/>
    <w:rsid w:val="00B81D5B"/>
    <w:rsid w:val="00B84F97"/>
    <w:rsid w:val="00B86926"/>
    <w:rsid w:val="00B87552"/>
    <w:rsid w:val="00B9413F"/>
    <w:rsid w:val="00B966CB"/>
    <w:rsid w:val="00BA104F"/>
    <w:rsid w:val="00BA4445"/>
    <w:rsid w:val="00BA4D53"/>
    <w:rsid w:val="00BC30E3"/>
    <w:rsid w:val="00BC32DD"/>
    <w:rsid w:val="00BC3A25"/>
    <w:rsid w:val="00BC6747"/>
    <w:rsid w:val="00BD3852"/>
    <w:rsid w:val="00BD47ED"/>
    <w:rsid w:val="00BD55B6"/>
    <w:rsid w:val="00BD6000"/>
    <w:rsid w:val="00BE3A93"/>
    <w:rsid w:val="00BE714C"/>
    <w:rsid w:val="00BF269C"/>
    <w:rsid w:val="00C00284"/>
    <w:rsid w:val="00C033D6"/>
    <w:rsid w:val="00C04C86"/>
    <w:rsid w:val="00C1691E"/>
    <w:rsid w:val="00C22087"/>
    <w:rsid w:val="00C317FE"/>
    <w:rsid w:val="00C3231A"/>
    <w:rsid w:val="00C368CA"/>
    <w:rsid w:val="00C41208"/>
    <w:rsid w:val="00C41FD6"/>
    <w:rsid w:val="00C44C93"/>
    <w:rsid w:val="00C47F0F"/>
    <w:rsid w:val="00C50D99"/>
    <w:rsid w:val="00C54C48"/>
    <w:rsid w:val="00C55F6E"/>
    <w:rsid w:val="00C5650F"/>
    <w:rsid w:val="00C578B8"/>
    <w:rsid w:val="00C6238F"/>
    <w:rsid w:val="00C63298"/>
    <w:rsid w:val="00C650D6"/>
    <w:rsid w:val="00C7135E"/>
    <w:rsid w:val="00C72168"/>
    <w:rsid w:val="00C72CBB"/>
    <w:rsid w:val="00C760B0"/>
    <w:rsid w:val="00C77AC7"/>
    <w:rsid w:val="00C77B1C"/>
    <w:rsid w:val="00C77EC8"/>
    <w:rsid w:val="00C82C89"/>
    <w:rsid w:val="00C83878"/>
    <w:rsid w:val="00C86719"/>
    <w:rsid w:val="00C95326"/>
    <w:rsid w:val="00CA02C4"/>
    <w:rsid w:val="00CA0300"/>
    <w:rsid w:val="00CA35FB"/>
    <w:rsid w:val="00CA3CB9"/>
    <w:rsid w:val="00CA5EFC"/>
    <w:rsid w:val="00CA7553"/>
    <w:rsid w:val="00CB10B1"/>
    <w:rsid w:val="00CB737D"/>
    <w:rsid w:val="00CC65F2"/>
    <w:rsid w:val="00CC6B71"/>
    <w:rsid w:val="00CD1D96"/>
    <w:rsid w:val="00CD5D89"/>
    <w:rsid w:val="00CD7B55"/>
    <w:rsid w:val="00CE0BDD"/>
    <w:rsid w:val="00CE19CA"/>
    <w:rsid w:val="00CE428A"/>
    <w:rsid w:val="00CE53B3"/>
    <w:rsid w:val="00CF0D01"/>
    <w:rsid w:val="00CF3041"/>
    <w:rsid w:val="00CF3B81"/>
    <w:rsid w:val="00CF51B8"/>
    <w:rsid w:val="00CF5756"/>
    <w:rsid w:val="00CF64A0"/>
    <w:rsid w:val="00D21117"/>
    <w:rsid w:val="00D22697"/>
    <w:rsid w:val="00D25166"/>
    <w:rsid w:val="00D262C5"/>
    <w:rsid w:val="00D33817"/>
    <w:rsid w:val="00D35D89"/>
    <w:rsid w:val="00D417E0"/>
    <w:rsid w:val="00D44A72"/>
    <w:rsid w:val="00D546B2"/>
    <w:rsid w:val="00D603E8"/>
    <w:rsid w:val="00D60AF3"/>
    <w:rsid w:val="00D71520"/>
    <w:rsid w:val="00D71849"/>
    <w:rsid w:val="00D84FC6"/>
    <w:rsid w:val="00D85C62"/>
    <w:rsid w:val="00D878F7"/>
    <w:rsid w:val="00D922DC"/>
    <w:rsid w:val="00D9244D"/>
    <w:rsid w:val="00D935B8"/>
    <w:rsid w:val="00D93DAC"/>
    <w:rsid w:val="00D96E7B"/>
    <w:rsid w:val="00D97501"/>
    <w:rsid w:val="00DB0F58"/>
    <w:rsid w:val="00DB1A0A"/>
    <w:rsid w:val="00DB64C5"/>
    <w:rsid w:val="00DB6EC7"/>
    <w:rsid w:val="00DB7F91"/>
    <w:rsid w:val="00DE2240"/>
    <w:rsid w:val="00DE3473"/>
    <w:rsid w:val="00DE74CA"/>
    <w:rsid w:val="00DF134F"/>
    <w:rsid w:val="00DF1DDA"/>
    <w:rsid w:val="00DF3240"/>
    <w:rsid w:val="00DF421E"/>
    <w:rsid w:val="00DF4E8C"/>
    <w:rsid w:val="00DF7809"/>
    <w:rsid w:val="00E034C2"/>
    <w:rsid w:val="00E038EC"/>
    <w:rsid w:val="00E1248C"/>
    <w:rsid w:val="00E1266F"/>
    <w:rsid w:val="00E136DD"/>
    <w:rsid w:val="00E140C4"/>
    <w:rsid w:val="00E25581"/>
    <w:rsid w:val="00E32FB7"/>
    <w:rsid w:val="00E344F8"/>
    <w:rsid w:val="00E34792"/>
    <w:rsid w:val="00E35B20"/>
    <w:rsid w:val="00E37B79"/>
    <w:rsid w:val="00E37F1C"/>
    <w:rsid w:val="00E414D6"/>
    <w:rsid w:val="00E456EE"/>
    <w:rsid w:val="00E461F2"/>
    <w:rsid w:val="00E51C88"/>
    <w:rsid w:val="00E55EC4"/>
    <w:rsid w:val="00E57C76"/>
    <w:rsid w:val="00E6077B"/>
    <w:rsid w:val="00E63EAF"/>
    <w:rsid w:val="00E63EFC"/>
    <w:rsid w:val="00E63F0B"/>
    <w:rsid w:val="00E64457"/>
    <w:rsid w:val="00E64D28"/>
    <w:rsid w:val="00E64D2E"/>
    <w:rsid w:val="00E77281"/>
    <w:rsid w:val="00E80126"/>
    <w:rsid w:val="00E81175"/>
    <w:rsid w:val="00E82FAB"/>
    <w:rsid w:val="00E84DF2"/>
    <w:rsid w:val="00E9061E"/>
    <w:rsid w:val="00E91BE2"/>
    <w:rsid w:val="00EA0AA3"/>
    <w:rsid w:val="00EA1397"/>
    <w:rsid w:val="00EA2B71"/>
    <w:rsid w:val="00EA40E6"/>
    <w:rsid w:val="00EB00F2"/>
    <w:rsid w:val="00EC02DB"/>
    <w:rsid w:val="00EC4E72"/>
    <w:rsid w:val="00EC73B3"/>
    <w:rsid w:val="00EC749C"/>
    <w:rsid w:val="00ED0A20"/>
    <w:rsid w:val="00ED1FB4"/>
    <w:rsid w:val="00ED4F5A"/>
    <w:rsid w:val="00ED73A5"/>
    <w:rsid w:val="00ED7B95"/>
    <w:rsid w:val="00EF2482"/>
    <w:rsid w:val="00EF287D"/>
    <w:rsid w:val="00EF7640"/>
    <w:rsid w:val="00F044C3"/>
    <w:rsid w:val="00F118BB"/>
    <w:rsid w:val="00F138C4"/>
    <w:rsid w:val="00F15338"/>
    <w:rsid w:val="00F2333D"/>
    <w:rsid w:val="00F3154E"/>
    <w:rsid w:val="00F345EC"/>
    <w:rsid w:val="00F40068"/>
    <w:rsid w:val="00F41141"/>
    <w:rsid w:val="00F41E49"/>
    <w:rsid w:val="00F4294F"/>
    <w:rsid w:val="00F43C59"/>
    <w:rsid w:val="00F44845"/>
    <w:rsid w:val="00F44FCB"/>
    <w:rsid w:val="00F45238"/>
    <w:rsid w:val="00F46464"/>
    <w:rsid w:val="00F54DD0"/>
    <w:rsid w:val="00F56BE8"/>
    <w:rsid w:val="00F57E2B"/>
    <w:rsid w:val="00F61C4B"/>
    <w:rsid w:val="00F625BE"/>
    <w:rsid w:val="00F704EB"/>
    <w:rsid w:val="00F70AE7"/>
    <w:rsid w:val="00F71F87"/>
    <w:rsid w:val="00F73BBB"/>
    <w:rsid w:val="00F73C7F"/>
    <w:rsid w:val="00F7735F"/>
    <w:rsid w:val="00F80354"/>
    <w:rsid w:val="00F870C2"/>
    <w:rsid w:val="00F927E8"/>
    <w:rsid w:val="00F95583"/>
    <w:rsid w:val="00F96BEB"/>
    <w:rsid w:val="00FA4B1F"/>
    <w:rsid w:val="00FA61B4"/>
    <w:rsid w:val="00FB2830"/>
    <w:rsid w:val="00FB2C8E"/>
    <w:rsid w:val="00FB4E57"/>
    <w:rsid w:val="00FB59A4"/>
    <w:rsid w:val="00FB7032"/>
    <w:rsid w:val="00FC0311"/>
    <w:rsid w:val="00FC08A3"/>
    <w:rsid w:val="00FC0AFD"/>
    <w:rsid w:val="00FC1BC2"/>
    <w:rsid w:val="00FC75F9"/>
    <w:rsid w:val="00FD014E"/>
    <w:rsid w:val="00FD4223"/>
    <w:rsid w:val="00FD4906"/>
    <w:rsid w:val="00FD6771"/>
    <w:rsid w:val="00FD7AE7"/>
    <w:rsid w:val="00FE07BF"/>
    <w:rsid w:val="00FE11EB"/>
    <w:rsid w:val="00FE3BEB"/>
    <w:rsid w:val="00FF23AD"/>
    <w:rsid w:val="00FF3BE5"/>
    <w:rsid w:val="00FF63E4"/>
    <w:rsid w:val="00FF6503"/>
    <w:rsid w:val="010642CB"/>
    <w:rsid w:val="015059BF"/>
    <w:rsid w:val="01BB7229"/>
    <w:rsid w:val="04DCCDB2"/>
    <w:rsid w:val="055C702A"/>
    <w:rsid w:val="061C4D3F"/>
    <w:rsid w:val="06585279"/>
    <w:rsid w:val="0730B632"/>
    <w:rsid w:val="07E5F7D0"/>
    <w:rsid w:val="0847D517"/>
    <w:rsid w:val="08B9868A"/>
    <w:rsid w:val="091E040F"/>
    <w:rsid w:val="0A2BC501"/>
    <w:rsid w:val="0AB9D470"/>
    <w:rsid w:val="0B1DFA02"/>
    <w:rsid w:val="0CECCCEF"/>
    <w:rsid w:val="0DE98AE8"/>
    <w:rsid w:val="0E36CA4D"/>
    <w:rsid w:val="0F4F0808"/>
    <w:rsid w:val="0FD7E158"/>
    <w:rsid w:val="11BFE88B"/>
    <w:rsid w:val="121D6B1A"/>
    <w:rsid w:val="12EB30D4"/>
    <w:rsid w:val="17C2F71A"/>
    <w:rsid w:val="18BAE868"/>
    <w:rsid w:val="18EB5ED0"/>
    <w:rsid w:val="19CAFA70"/>
    <w:rsid w:val="1A1B3C95"/>
    <w:rsid w:val="1A728691"/>
    <w:rsid w:val="1E24262C"/>
    <w:rsid w:val="1E3C9B99"/>
    <w:rsid w:val="1E90B616"/>
    <w:rsid w:val="22048DA5"/>
    <w:rsid w:val="224FBE46"/>
    <w:rsid w:val="2250E526"/>
    <w:rsid w:val="254B15A7"/>
    <w:rsid w:val="2562142B"/>
    <w:rsid w:val="2564E95A"/>
    <w:rsid w:val="26829F9E"/>
    <w:rsid w:val="26D44FEB"/>
    <w:rsid w:val="29791D31"/>
    <w:rsid w:val="29884CE1"/>
    <w:rsid w:val="29DA4C30"/>
    <w:rsid w:val="2A07F054"/>
    <w:rsid w:val="2A4FB8AC"/>
    <w:rsid w:val="2C060BB5"/>
    <w:rsid w:val="2DDDFAB5"/>
    <w:rsid w:val="2DF015BE"/>
    <w:rsid w:val="2E8DB183"/>
    <w:rsid w:val="300714DF"/>
    <w:rsid w:val="3062506F"/>
    <w:rsid w:val="30F9E97B"/>
    <w:rsid w:val="312B77F8"/>
    <w:rsid w:val="3250FDA1"/>
    <w:rsid w:val="32845F32"/>
    <w:rsid w:val="330385A2"/>
    <w:rsid w:val="337381D5"/>
    <w:rsid w:val="35F924CD"/>
    <w:rsid w:val="37B8757F"/>
    <w:rsid w:val="383C3877"/>
    <w:rsid w:val="383C814F"/>
    <w:rsid w:val="38705912"/>
    <w:rsid w:val="39191654"/>
    <w:rsid w:val="3B00CE10"/>
    <w:rsid w:val="3B8F568A"/>
    <w:rsid w:val="3BADE265"/>
    <w:rsid w:val="3CE885CC"/>
    <w:rsid w:val="3D616FEE"/>
    <w:rsid w:val="3E11FD15"/>
    <w:rsid w:val="3E72BB2C"/>
    <w:rsid w:val="40BF1881"/>
    <w:rsid w:val="40E914DD"/>
    <w:rsid w:val="41E36395"/>
    <w:rsid w:val="42B7D93E"/>
    <w:rsid w:val="434700FD"/>
    <w:rsid w:val="434D531F"/>
    <w:rsid w:val="437D3CEE"/>
    <w:rsid w:val="451B0457"/>
    <w:rsid w:val="45D74DC2"/>
    <w:rsid w:val="492D3FAF"/>
    <w:rsid w:val="494C9060"/>
    <w:rsid w:val="49BC87E5"/>
    <w:rsid w:val="49DAC532"/>
    <w:rsid w:val="4A5F4011"/>
    <w:rsid w:val="4AC91010"/>
    <w:rsid w:val="4CF6F0AC"/>
    <w:rsid w:val="4D5E7223"/>
    <w:rsid w:val="4DCF75DB"/>
    <w:rsid w:val="4E87A958"/>
    <w:rsid w:val="4F0A24A5"/>
    <w:rsid w:val="4F39AE98"/>
    <w:rsid w:val="4F9EC511"/>
    <w:rsid w:val="5278E4D0"/>
    <w:rsid w:val="52AF561B"/>
    <w:rsid w:val="5340ECBE"/>
    <w:rsid w:val="53A83822"/>
    <w:rsid w:val="53B0B6FA"/>
    <w:rsid w:val="54C20205"/>
    <w:rsid w:val="551173FF"/>
    <w:rsid w:val="569CB30F"/>
    <w:rsid w:val="56AD4460"/>
    <w:rsid w:val="58BAA6BC"/>
    <w:rsid w:val="58D76ABF"/>
    <w:rsid w:val="59800A6C"/>
    <w:rsid w:val="59A0EFA3"/>
    <w:rsid w:val="59D3634E"/>
    <w:rsid w:val="59D8DBC5"/>
    <w:rsid w:val="5AA25E78"/>
    <w:rsid w:val="5B57985F"/>
    <w:rsid w:val="5C4B7839"/>
    <w:rsid w:val="5C58D301"/>
    <w:rsid w:val="5DE53960"/>
    <w:rsid w:val="60DF2BBD"/>
    <w:rsid w:val="61E547F5"/>
    <w:rsid w:val="63D76186"/>
    <w:rsid w:val="643B1F6C"/>
    <w:rsid w:val="64E29B90"/>
    <w:rsid w:val="6699AE7C"/>
    <w:rsid w:val="670A3694"/>
    <w:rsid w:val="67519093"/>
    <w:rsid w:val="67B01DE2"/>
    <w:rsid w:val="683A06D1"/>
    <w:rsid w:val="68672611"/>
    <w:rsid w:val="6B3802C1"/>
    <w:rsid w:val="6C216FB6"/>
    <w:rsid w:val="6D1BA954"/>
    <w:rsid w:val="6D3A9734"/>
    <w:rsid w:val="6D4E5729"/>
    <w:rsid w:val="6E210439"/>
    <w:rsid w:val="6F9D0B48"/>
    <w:rsid w:val="707237F6"/>
    <w:rsid w:val="70ABD230"/>
    <w:rsid w:val="711E0DF8"/>
    <w:rsid w:val="72AB1B7E"/>
    <w:rsid w:val="73524762"/>
    <w:rsid w:val="739F29A6"/>
    <w:rsid w:val="74070DA5"/>
    <w:rsid w:val="74A10712"/>
    <w:rsid w:val="74C7A606"/>
    <w:rsid w:val="74E81A5B"/>
    <w:rsid w:val="7528F61D"/>
    <w:rsid w:val="752E1FCF"/>
    <w:rsid w:val="7547B132"/>
    <w:rsid w:val="79C85BA9"/>
    <w:rsid w:val="79C94CFB"/>
    <w:rsid w:val="79DA31C3"/>
    <w:rsid w:val="79E6FE84"/>
    <w:rsid w:val="79FCBE93"/>
    <w:rsid w:val="7B095290"/>
    <w:rsid w:val="7C1D48C1"/>
    <w:rsid w:val="7C7DD187"/>
    <w:rsid w:val="7EDFE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D1F6"/>
  <w15:docId w15:val="{E2E3C28F-66A7-4A6F-B135-2F31562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053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/>
      <w:b/>
      <w:color w:val="000000"/>
      <w:sz w:val="24"/>
      <w:szCs w:val="24"/>
      <w:u w:color="000000"/>
      <w:bdr w:val="nil"/>
      <w:lang w:val="pt-PT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customStyle="1" w:styleId="paragraph">
    <w:name w:val="paragraph"/>
    <w:basedOn w:val="Normal"/>
    <w:rsid w:val="00DF1D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ontepargpadro"/>
    <w:rsid w:val="00DF1DDA"/>
  </w:style>
  <w:style w:type="character" w:customStyle="1" w:styleId="eop">
    <w:name w:val="eop"/>
    <w:basedOn w:val="Fontepargpadro"/>
    <w:rsid w:val="00DF1DDA"/>
  </w:style>
  <w:style w:type="paragraph" w:styleId="Recuodecorpodetexto">
    <w:name w:val="Body Text Indent"/>
    <w:basedOn w:val="Normal"/>
    <w:link w:val="RecuodecorpodetextoChar"/>
    <w:semiHidden/>
    <w:rsid w:val="004030CE"/>
    <w:pPr>
      <w:spacing w:before="0" w:after="0" w:line="240" w:lineRule="auto"/>
      <w:ind w:left="1080"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4030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semiHidden/>
    <w:unhideWhenUsed/>
    <w:rsid w:val="004B7172"/>
  </w:style>
  <w:style w:type="paragraph" w:customStyle="1" w:styleId="Normalalteradora">
    <w:name w:val="Normal alteradora"/>
    <w:basedOn w:val="Normal"/>
    <w:link w:val="NormalalteradoraChar"/>
    <w:qFormat/>
    <w:rsid w:val="000844C6"/>
    <w:rPr>
      <w:rFonts w:eastAsia="Times New Roman" w:cs="Arial"/>
      <w:lang w:eastAsia="pt-BR"/>
    </w:rPr>
  </w:style>
  <w:style w:type="character" w:customStyle="1" w:styleId="NormalalteradoraChar">
    <w:name w:val="Normal alteradora Char"/>
    <w:link w:val="Normalalteradora"/>
    <w:rsid w:val="000844C6"/>
    <w:rPr>
      <w:rFonts w:eastAsia="Times New Roman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44C6"/>
    <w:pPr>
      <w:spacing w:before="0" w:after="160" w:line="259" w:lineRule="auto"/>
      <w:ind w:left="720" w:firstLine="0"/>
      <w:contextualSpacing/>
      <w:jc w:val="left"/>
    </w:pPr>
    <w:rPr>
      <w:rFonts w:cs="Times New Roman"/>
      <w:sz w:val="22"/>
      <w:szCs w:val="22"/>
    </w:rPr>
  </w:style>
  <w:style w:type="paragraph" w:customStyle="1" w:styleId="Default">
    <w:name w:val="Default"/>
    <w:rsid w:val="00103A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3CE2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03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8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38EC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8EC"/>
    <w:rPr>
      <w:rFonts w:cs="Calibri"/>
      <w:b/>
      <w:bCs/>
      <w:lang w:eastAsia="en-US"/>
    </w:rPr>
  </w:style>
  <w:style w:type="paragraph" w:styleId="Reviso">
    <w:name w:val="Revision"/>
    <w:hidden/>
    <w:uiPriority w:val="99"/>
    <w:semiHidden/>
    <w:rsid w:val="00EA1397"/>
    <w:rPr>
      <w:rFonts w:cs="Calibri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3A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DM">
    <w:name w:val="SDM"/>
    <w:basedOn w:val="Normal"/>
    <w:link w:val="SDMChar"/>
    <w:rsid w:val="00A57EC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SDMChar">
    <w:name w:val="SDM Char"/>
    <w:link w:val="SDM"/>
    <w:rsid w:val="00A57EC9"/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styleId="nfase">
    <w:name w:val="Emphasis"/>
    <w:basedOn w:val="Fontepargpadro"/>
    <w:uiPriority w:val="20"/>
    <w:qFormat/>
    <w:rsid w:val="00213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B5F9-E6C7-470E-9BF7-ABE75A3F7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1A1CA-0E11-436E-A5F7-D8835E86801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3adeefc-49af-490c-b6df-0a140ad55ab3"/>
    <ds:schemaRef ds:uri="15cb24ba-756a-4ce4-ac9a-5f0544b555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0B6D4E-9DEC-4195-9F69-59DF16A54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ECEC4-4033-4C4F-9F47-0BDCE3B9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3629</Words>
  <Characters>19601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7, de 30 de SETEMBRO de 2020</vt:lpstr>
    </vt:vector>
  </TitlesOfParts>
  <Manager/>
  <Company/>
  <LinksUpToDate>false</LinksUpToDate>
  <CharactersWithSpaces>23184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162</dc:title>
  <dc:subject/>
  <dc:creator>CVM</dc:creator>
  <cp:keywords/>
  <dc:description/>
  <cp:lastModifiedBy>Renata dos Santos Leitão</cp:lastModifiedBy>
  <cp:revision>3</cp:revision>
  <dcterms:created xsi:type="dcterms:W3CDTF">2022-07-12T15:53:00Z</dcterms:created>
  <dcterms:modified xsi:type="dcterms:W3CDTF">2022-07-12T19:14:00Z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