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7853C" w14:textId="3651958D" w:rsidR="00986E59" w:rsidRPr="00C1691E" w:rsidRDefault="00986E59" w:rsidP="00986E59">
      <w:pPr>
        <w:pStyle w:val="TtulodaResoluo"/>
      </w:pPr>
      <w:r w:rsidRPr="00C1691E">
        <w:t xml:space="preserve">Resolução CVM nº </w:t>
      </w:r>
      <w:sdt>
        <w:sdtPr>
          <w:alias w:val="Título"/>
          <w:tag w:val=""/>
          <w:id w:val="715781499"/>
          <w:placeholder>
            <w:docPart w:val="FA5BB1273EF3407DAED610D2C4847440"/>
          </w:placeholder>
          <w:dataBinding w:prefixMappings="xmlns:ns0='http://purl.org/dc/elements/1.1/' xmlns:ns1='http://schemas.openxmlformats.org/package/2006/metadata/core-properties' " w:xpath="/ns1:coreProperties[1]/ns0:title[1]" w:storeItemID="{6C3C8BC8-F283-45AE-878A-BAB7291924A1}"/>
          <w:text/>
        </w:sdtPr>
        <w:sdtEndPr/>
        <w:sdtContent>
          <w:r w:rsidR="00335B60">
            <w:t>183, de 11 de maio de 2023</w:t>
          </w:r>
        </w:sdtContent>
      </w:sdt>
    </w:p>
    <w:p w14:paraId="0FFF52AD" w14:textId="0615E706" w:rsidR="00986E59" w:rsidRPr="00C82C89" w:rsidRDefault="00D22854" w:rsidP="00986E59">
      <w:pPr>
        <w:pStyle w:val="Ementa"/>
      </w:pPr>
      <w:r>
        <w:t xml:space="preserve">Altera a </w:t>
      </w:r>
      <w:r w:rsidR="00C5342A">
        <w:t>Resolução CVM nº 80, de 29 de março de 2022</w:t>
      </w:r>
      <w:r w:rsidR="00D03837">
        <w:t xml:space="preserve"> e a Resolução CVM nº 160, de 13 de julho de 2022</w:t>
      </w:r>
      <w:r w:rsidR="00986E59">
        <w:t>.</w:t>
      </w:r>
    </w:p>
    <w:p w14:paraId="51135E56" w14:textId="296F64FC" w:rsidR="00986E59" w:rsidRDefault="00986E59" w:rsidP="00986E59">
      <w:r>
        <w:t xml:space="preserve">O </w:t>
      </w:r>
      <w:r w:rsidRPr="00894689">
        <w:rPr>
          <w:b/>
        </w:rPr>
        <w:t>PRESIDENTE DA COMISSÃO DE VALORES MOBILIÁRIOS – CVM</w:t>
      </w:r>
      <w:r>
        <w:t xml:space="preserve"> torna público que o Colegiado, em reunião realizada em</w:t>
      </w:r>
      <w:r w:rsidR="00364CA4">
        <w:t xml:space="preserve"> 3 de maio de 2023</w:t>
      </w:r>
      <w:r>
        <w:t xml:space="preserve">, com fundamento no disposto nos </w:t>
      </w:r>
      <w:proofErr w:type="spellStart"/>
      <w:r>
        <w:t>arts</w:t>
      </w:r>
      <w:proofErr w:type="spellEnd"/>
      <w:r>
        <w:t xml:space="preserve">. 8º, I, 19 e 21 da Lei nº 6.385, de 7 de dezembro de 1976, </w:t>
      </w:r>
      <w:r>
        <w:rPr>
          <w:b/>
        </w:rPr>
        <w:t>APROVOU</w:t>
      </w:r>
      <w:r>
        <w:t xml:space="preserve"> a seguinte Resolução:</w:t>
      </w:r>
    </w:p>
    <w:p w14:paraId="7F634397" w14:textId="4EFD4865" w:rsidR="003015B3" w:rsidRDefault="003015B3" w:rsidP="00986E59">
      <w:r>
        <w:t>Art. 1º  A Resolução CVM nº 80, de 29 de março de 2022, passa a vigorar com a seguinte redação:</w:t>
      </w:r>
    </w:p>
    <w:p w14:paraId="3BE3175D" w14:textId="77777777" w:rsidR="00FE6AD0" w:rsidRDefault="001060D4" w:rsidP="002676E4">
      <w:pPr>
        <w:pStyle w:val="NormaAlterada"/>
      </w:pPr>
      <w:r>
        <w:t>“Art.</w:t>
      </w:r>
      <w:r w:rsidR="00FE6AD0">
        <w:t xml:space="preserve"> 22..............................................................</w:t>
      </w:r>
    </w:p>
    <w:p w14:paraId="4FEB01A9" w14:textId="124932D7" w:rsidR="001060D4" w:rsidRDefault="00FE6AD0" w:rsidP="00FE6AD0">
      <w:pPr>
        <w:pStyle w:val="NormaAlterada"/>
      </w:pPr>
      <w:r>
        <w:t xml:space="preserve">VI – edital de convocação da assembleia geral ordinária, em até </w:t>
      </w:r>
      <w:r w:rsidR="0026182B">
        <w:t>21</w:t>
      </w:r>
      <w:r>
        <w:t xml:space="preserve"> (</w:t>
      </w:r>
      <w:r w:rsidR="0026182B">
        <w:t>vinte e um</w:t>
      </w:r>
      <w:r>
        <w:t>) dias antes da data marcada para a realização da assembleia geral ordinária ou no mesmo dia de sua primeira</w:t>
      </w:r>
      <w:r w:rsidR="0026182B">
        <w:t xml:space="preserve"> </w:t>
      </w:r>
      <w:r>
        <w:t>publicação, o que ocorrer primeiro</w:t>
      </w:r>
      <w:r w:rsidR="0026182B">
        <w:t>;</w:t>
      </w:r>
    </w:p>
    <w:p w14:paraId="7467E9B9" w14:textId="4C007DE2" w:rsidR="0026182B" w:rsidRDefault="0026182B" w:rsidP="00FE6AD0">
      <w:pPr>
        <w:pStyle w:val="NormaAlterada"/>
      </w:pPr>
      <w:r>
        <w:t>..........................................................................” (NR)</w:t>
      </w:r>
      <w:r>
        <w:tab/>
      </w:r>
    </w:p>
    <w:p w14:paraId="4CC88A5A" w14:textId="65A6ED50" w:rsidR="00B95B4A" w:rsidRDefault="00B95B4A" w:rsidP="002676E4">
      <w:pPr>
        <w:pStyle w:val="NormaAlterada"/>
      </w:pPr>
      <w:r>
        <w:t>“Art. 25..............................................................</w:t>
      </w:r>
    </w:p>
    <w:p w14:paraId="551AE544" w14:textId="77777777" w:rsidR="00090F7F" w:rsidRDefault="00B95B4A" w:rsidP="002676E4">
      <w:pPr>
        <w:pStyle w:val="NormaAlterada"/>
      </w:pPr>
      <w:r>
        <w:t>..........................................................................</w:t>
      </w:r>
    </w:p>
    <w:p w14:paraId="30D15782" w14:textId="77777777" w:rsidR="00090F7F" w:rsidRDefault="00090F7F" w:rsidP="002676E4">
      <w:pPr>
        <w:pStyle w:val="NormaAlterada"/>
      </w:pPr>
      <w:r>
        <w:t>§ 2º...................................................................</w:t>
      </w:r>
    </w:p>
    <w:p w14:paraId="1DD40175" w14:textId="77777777" w:rsidR="00090F7F" w:rsidRDefault="00090F7F" w:rsidP="002676E4">
      <w:pPr>
        <w:pStyle w:val="NormaAlterada"/>
      </w:pPr>
      <w:r>
        <w:t>I – na data do pedido de registro de distribuição pública de valores mobiliários, sem prejuízo do disposto no § 6º;</w:t>
      </w:r>
    </w:p>
    <w:p w14:paraId="260F7084" w14:textId="696755B5" w:rsidR="00B95B4A" w:rsidRDefault="00090F7F" w:rsidP="002676E4">
      <w:pPr>
        <w:pStyle w:val="NormaAlterada"/>
      </w:pPr>
      <w:r>
        <w:t>..........................................................................” (NR)</w:t>
      </w:r>
      <w:r>
        <w:tab/>
      </w:r>
      <w:r w:rsidR="00B95B4A">
        <w:t xml:space="preserve"> </w:t>
      </w:r>
    </w:p>
    <w:p w14:paraId="4AED51F8" w14:textId="68587F10" w:rsidR="002676E4" w:rsidRDefault="002676E4" w:rsidP="002676E4">
      <w:pPr>
        <w:pStyle w:val="NormaAlterada"/>
      </w:pPr>
      <w:r>
        <w:t xml:space="preserve">“Art. </w:t>
      </w:r>
      <w:r w:rsidR="00C00996">
        <w:t>53</w:t>
      </w:r>
      <w:r w:rsidR="001B25DA">
        <w:t>..............................................................</w:t>
      </w:r>
      <w:r w:rsidR="00C00996">
        <w:tab/>
      </w:r>
    </w:p>
    <w:p w14:paraId="50A842B6" w14:textId="59C3AC38" w:rsidR="00C00996" w:rsidRDefault="00C00996" w:rsidP="002676E4">
      <w:pPr>
        <w:pStyle w:val="NormaAlterada"/>
      </w:pPr>
      <w:r>
        <w:t xml:space="preserve">Parágrafo único.  O cancelamento </w:t>
      </w:r>
      <w:r w:rsidR="009D58A0">
        <w:t xml:space="preserve">do registro de emissor estrangeiro opera-se automaticamente após o cancelamento voluntário </w:t>
      </w:r>
      <w:r w:rsidR="000F5C60">
        <w:t xml:space="preserve">do programa de </w:t>
      </w:r>
      <w:proofErr w:type="spellStart"/>
      <w:r w:rsidR="000F5C60">
        <w:t>BDR</w:t>
      </w:r>
      <w:proofErr w:type="spellEnd"/>
      <w:r w:rsidR="000F5C60">
        <w:t xml:space="preserve"> Nível II ou </w:t>
      </w:r>
      <w:proofErr w:type="spellStart"/>
      <w:r w:rsidR="000F5C60">
        <w:t>III</w:t>
      </w:r>
      <w:proofErr w:type="spellEnd"/>
      <w:r w:rsidR="000F5C60">
        <w:t xml:space="preserve">, nos termos do </w:t>
      </w:r>
      <w:r w:rsidR="000F5C60">
        <w:rPr>
          <w:b/>
          <w:bCs/>
        </w:rPr>
        <w:t>caput</w:t>
      </w:r>
      <w:r w:rsidR="000F5C60">
        <w:t>”. (NR)</w:t>
      </w:r>
    </w:p>
    <w:p w14:paraId="5159D8B0" w14:textId="3FBE7456" w:rsidR="00220912" w:rsidRPr="000F5C60" w:rsidRDefault="00220912" w:rsidP="002676E4">
      <w:pPr>
        <w:pStyle w:val="NormaAlterada"/>
      </w:pPr>
      <w:r>
        <w:t xml:space="preserve">“Art. </w:t>
      </w:r>
      <w:r w:rsidR="001B25DA">
        <w:t>59-A</w:t>
      </w:r>
      <w:r w:rsidR="00BC290D">
        <w:t xml:space="preserve">.  O cancelamento de ofício do registro de emissor estrangeiro implica cancelamento </w:t>
      </w:r>
      <w:r w:rsidR="00356D81">
        <w:t xml:space="preserve">dos programas de </w:t>
      </w:r>
      <w:proofErr w:type="spellStart"/>
      <w:r w:rsidR="00356D81">
        <w:t>BDR</w:t>
      </w:r>
      <w:proofErr w:type="spellEnd"/>
      <w:r w:rsidR="00356D81">
        <w:t xml:space="preserve"> Nível II ou </w:t>
      </w:r>
      <w:proofErr w:type="spellStart"/>
      <w:r w:rsidR="00356D81">
        <w:t>III</w:t>
      </w:r>
      <w:proofErr w:type="spellEnd"/>
      <w:r w:rsidR="00356D81">
        <w:t xml:space="preserve"> patrocinados pelo emissor.” (NR)</w:t>
      </w:r>
    </w:p>
    <w:p w14:paraId="3430F0B5" w14:textId="69C6F854" w:rsidR="0072596B" w:rsidRDefault="00CA30F3" w:rsidP="00986E59">
      <w:r>
        <w:t xml:space="preserve">Art. </w:t>
      </w:r>
      <w:r w:rsidR="003015B3">
        <w:t>2</w:t>
      </w:r>
      <w:r>
        <w:t>º</w:t>
      </w:r>
      <w:r w:rsidR="0072596B">
        <w:t xml:space="preserve"> </w:t>
      </w:r>
      <w:r w:rsidR="00357658">
        <w:t xml:space="preserve"> </w:t>
      </w:r>
      <w:r w:rsidR="00FE78F1">
        <w:t xml:space="preserve">O anexo </w:t>
      </w:r>
      <w:r w:rsidR="005A2BDE">
        <w:t>J</w:t>
      </w:r>
      <w:r w:rsidR="00FE78F1">
        <w:t xml:space="preserve"> da </w:t>
      </w:r>
      <w:r w:rsidR="005A2BDE">
        <w:t>Resolução</w:t>
      </w:r>
      <w:r w:rsidR="00FE78F1">
        <w:t xml:space="preserve"> CVM nº 80, de </w:t>
      </w:r>
      <w:r w:rsidR="00D00C41">
        <w:t>29 de março de 2022</w:t>
      </w:r>
      <w:r w:rsidR="00FE78F1">
        <w:t>, passa a vigorar com a redação dada pelo anexo A à presente resolução.</w:t>
      </w:r>
    </w:p>
    <w:p w14:paraId="1131A415" w14:textId="10D078A9" w:rsidR="00307F9C" w:rsidRDefault="00307F9C" w:rsidP="00986E59">
      <w:r>
        <w:t xml:space="preserve">Art. 3º  A Resolução CVM nº 160, de </w:t>
      </w:r>
      <w:r w:rsidR="006C03C6">
        <w:t>13 de julho de 2022, passa a vigorar com as seguintes alterações:</w:t>
      </w:r>
    </w:p>
    <w:p w14:paraId="28B1A4CB" w14:textId="60F6AE3D" w:rsidR="006C03C6" w:rsidRDefault="006C03C6" w:rsidP="006C03C6">
      <w:pPr>
        <w:pStyle w:val="NormaAlterada"/>
      </w:pPr>
      <w:r>
        <w:lastRenderedPageBreak/>
        <w:t>“Art. 9º..............................................................</w:t>
      </w:r>
      <w:r>
        <w:tab/>
      </w:r>
    </w:p>
    <w:p w14:paraId="659B8307" w14:textId="4B397D30" w:rsidR="006C03C6" w:rsidRDefault="006C03C6" w:rsidP="006C03C6">
      <w:pPr>
        <w:pStyle w:val="NormaAlterada"/>
      </w:pPr>
      <w:r>
        <w:t>..........................................................................</w:t>
      </w:r>
      <w:r>
        <w:tab/>
      </w:r>
    </w:p>
    <w:p w14:paraId="03CF6C21" w14:textId="77777777" w:rsidR="006C03C6" w:rsidRDefault="006C03C6" w:rsidP="006C03C6">
      <w:pPr>
        <w:pStyle w:val="NormaAlterada"/>
      </w:pPr>
      <w:r>
        <w:t xml:space="preserve">§ 2º  </w:t>
      </w:r>
      <w:r w:rsidRPr="006C03C6">
        <w:t xml:space="preserve">A exceção da divulgação de um prospecto prevista no inciso I do </w:t>
      </w:r>
      <w:r w:rsidRPr="002D2F6C">
        <w:rPr>
          <w:b/>
        </w:rPr>
        <w:t>caput</w:t>
      </w:r>
      <w:r w:rsidRPr="006C03C6">
        <w:t xml:space="preserve"> deste artigo não se aplica às ofertas iniciais de distribuição de ações, bônus de subscrição, debêntures conversíveis ou permutáveis em ações e de certificados de depósito sobre esses valores mobiliários, inclusive certificados de depósitos de valores mobiliários no âmbito de Programa de </w:t>
      </w:r>
      <w:proofErr w:type="spellStart"/>
      <w:r w:rsidRPr="006C03C6">
        <w:t>BDR</w:t>
      </w:r>
      <w:proofErr w:type="spellEnd"/>
      <w:r w:rsidRPr="006C03C6">
        <w:t xml:space="preserve"> com lastro em ações</w:t>
      </w:r>
      <w:r>
        <w:t>.</w:t>
      </w:r>
    </w:p>
    <w:p w14:paraId="0C8763D7" w14:textId="61E308A3" w:rsidR="006C03C6" w:rsidRDefault="006C03C6" w:rsidP="006C03C6">
      <w:pPr>
        <w:pStyle w:val="NormaAlterada"/>
      </w:pPr>
      <w:r>
        <w:t>..........................................................................</w:t>
      </w:r>
      <w:r>
        <w:tab/>
        <w:t>” (NR)</w:t>
      </w:r>
    </w:p>
    <w:p w14:paraId="2B7DA030" w14:textId="77777777" w:rsidR="006C03C6" w:rsidRDefault="006C03C6" w:rsidP="006C03C6">
      <w:pPr>
        <w:pStyle w:val="NormaAlterada"/>
      </w:pPr>
      <w:r>
        <w:t>“Art. 25.............................................................</w:t>
      </w:r>
    </w:p>
    <w:p w14:paraId="271D8E7F" w14:textId="77777777" w:rsidR="006C03C6" w:rsidRDefault="006C03C6" w:rsidP="006C03C6">
      <w:pPr>
        <w:pStyle w:val="NormaAlterada"/>
      </w:pPr>
      <w:r>
        <w:t>..........................................................................</w:t>
      </w:r>
    </w:p>
    <w:p w14:paraId="1BFF178F" w14:textId="77777777" w:rsidR="006C03C6" w:rsidRDefault="006C03C6" w:rsidP="00121FE0">
      <w:pPr>
        <w:pStyle w:val="NormaAlterada"/>
      </w:pPr>
      <w:r w:rsidRPr="007E77AF">
        <w:t xml:space="preserve">§ 2º  As ofertas públicas de </w:t>
      </w:r>
      <w:r>
        <w:t xml:space="preserve">valores mobiliários de </w:t>
      </w:r>
      <w:r w:rsidRPr="007E77AF">
        <w:t xml:space="preserve">emissores não registrados na CVM </w:t>
      </w:r>
      <w:r>
        <w:t xml:space="preserve">e de certificados de depósito de valores mobiliários no âmbito de programas de </w:t>
      </w:r>
      <w:proofErr w:type="spellStart"/>
      <w:r>
        <w:t>BDR</w:t>
      </w:r>
      <w:proofErr w:type="spellEnd"/>
      <w:r>
        <w:t xml:space="preserve"> Patrocinados Níveis I e II com lastro em ações</w:t>
      </w:r>
      <w:r w:rsidRPr="007E77AF">
        <w:t xml:space="preserve"> apenas podem ser destinadas a investidores profissionais.</w:t>
      </w:r>
    </w:p>
    <w:p w14:paraId="58B86FB3" w14:textId="05CC7478" w:rsidR="006C03C6" w:rsidRDefault="006C03C6" w:rsidP="006C03C6">
      <w:pPr>
        <w:pStyle w:val="NormaAlterada"/>
      </w:pPr>
      <w:r>
        <w:t xml:space="preserve">§ 3º  As ofertas públicas de distribuição certificados de depósito de valores mobiliários no âmbito de programas de </w:t>
      </w:r>
      <w:proofErr w:type="spellStart"/>
      <w:r>
        <w:t>BDR</w:t>
      </w:r>
      <w:proofErr w:type="spellEnd"/>
      <w:r>
        <w:t xml:space="preserve"> devem observar ainda, no que tange à qualificação dos investidores destinatários da oferta, as mesmas restrições a que esteja sujeita a oferta pública no exterior dos valores mobiliários que sirvam como lastro para os </w:t>
      </w:r>
      <w:proofErr w:type="spellStart"/>
      <w:r>
        <w:t>BDR</w:t>
      </w:r>
      <w:proofErr w:type="spellEnd"/>
      <w:r>
        <w:t>.” (NR)</w:t>
      </w:r>
    </w:p>
    <w:p w14:paraId="0F9CD5D8" w14:textId="5C58E6C9" w:rsidR="00372EC5" w:rsidRDefault="00372EC5" w:rsidP="006C03C6">
      <w:pPr>
        <w:pStyle w:val="NormaAlterada"/>
      </w:pPr>
      <w:r>
        <w:t>“Art. 26.............................................................</w:t>
      </w:r>
      <w:r>
        <w:tab/>
      </w:r>
    </w:p>
    <w:p w14:paraId="0BE4B526" w14:textId="78D57D4C" w:rsidR="00372EC5" w:rsidRDefault="00372EC5" w:rsidP="006C03C6">
      <w:pPr>
        <w:pStyle w:val="NormaAlterada"/>
      </w:pPr>
      <w:r>
        <w:t>.........................................................................</w:t>
      </w:r>
    </w:p>
    <w:p w14:paraId="3134CDC9" w14:textId="53AED73D" w:rsidR="00372EC5" w:rsidRDefault="00372EC5" w:rsidP="006C03C6">
      <w:pPr>
        <w:pStyle w:val="NormaAlterada"/>
      </w:pPr>
      <w:r>
        <w:t>II – subsequente</w:t>
      </w:r>
      <w:r w:rsidRPr="00372EC5">
        <w:t xml:space="preserve"> de distribuição de ações, bônus de subscrição, certificados de depósitos de valores mobiliários no âmbito de Programa de </w:t>
      </w:r>
      <w:proofErr w:type="spellStart"/>
      <w:r w:rsidRPr="00372EC5">
        <w:t>BDR</w:t>
      </w:r>
      <w:proofErr w:type="spellEnd"/>
      <w:r w:rsidRPr="00372EC5">
        <w:t xml:space="preserve"> Patrocinado Nível </w:t>
      </w:r>
      <w:proofErr w:type="spellStart"/>
      <w:r w:rsidRPr="00372EC5">
        <w:t>III</w:t>
      </w:r>
      <w:proofErr w:type="spellEnd"/>
      <w:r w:rsidRPr="00372EC5">
        <w:t xml:space="preserve"> com lastro em ações, debêntures conversíveis ou permutáveis em ações e de certificados de depósito sobre estes valores mobiliários de emissores em fase operacional (“subsequente de ações”) destinada:</w:t>
      </w:r>
    </w:p>
    <w:p w14:paraId="7A736FFF" w14:textId="77777777" w:rsidR="00372EC5" w:rsidRDefault="00372EC5" w:rsidP="006C03C6">
      <w:pPr>
        <w:pStyle w:val="NormaAlterada"/>
      </w:pPr>
      <w:r>
        <w:t>..........................................................................</w:t>
      </w:r>
    </w:p>
    <w:p w14:paraId="75842343" w14:textId="6007FA97" w:rsidR="00372EC5" w:rsidRDefault="00372EC5" w:rsidP="006C03C6">
      <w:pPr>
        <w:pStyle w:val="NormaAlterada"/>
      </w:pPr>
      <w:proofErr w:type="spellStart"/>
      <w:r w:rsidRPr="00372EC5">
        <w:t>III-A</w:t>
      </w:r>
      <w:proofErr w:type="spellEnd"/>
      <w:r w:rsidRPr="00372EC5">
        <w:t xml:space="preserve"> – subsequente de distribuição de certificados de depósitos de valores mobiliários no âmbito de Programa de </w:t>
      </w:r>
      <w:proofErr w:type="spellStart"/>
      <w:r w:rsidRPr="00372EC5">
        <w:t>BDR</w:t>
      </w:r>
      <w:proofErr w:type="spellEnd"/>
      <w:r w:rsidRPr="00372EC5">
        <w:t xml:space="preserve"> Patrocinado Níveis I e II com lastro em ações (“subsequente de </w:t>
      </w:r>
      <w:proofErr w:type="spellStart"/>
      <w:r w:rsidRPr="00372EC5">
        <w:t>BDR</w:t>
      </w:r>
      <w:proofErr w:type="spellEnd"/>
      <w:r w:rsidRPr="00372EC5">
        <w:t xml:space="preserve"> Patrocinado Níveis</w:t>
      </w:r>
      <w:r>
        <w:t xml:space="preserve"> I e II com lastro em ações”);</w:t>
      </w:r>
    </w:p>
    <w:p w14:paraId="3AA8047F" w14:textId="77777777" w:rsidR="00372EC5" w:rsidRDefault="00372EC5" w:rsidP="006C03C6">
      <w:pPr>
        <w:pStyle w:val="NormaAlterada"/>
      </w:pPr>
      <w:r>
        <w:t>..........................................................................</w:t>
      </w:r>
    </w:p>
    <w:p w14:paraId="2D2552B1" w14:textId="6B8BF75F" w:rsidR="00372EC5" w:rsidRDefault="00372EC5" w:rsidP="006C03C6">
      <w:pPr>
        <w:pStyle w:val="NormaAlterada"/>
      </w:pPr>
      <w:proofErr w:type="spellStart"/>
      <w:r>
        <w:lastRenderedPageBreak/>
        <w:t>V-A</w:t>
      </w:r>
      <w:proofErr w:type="spellEnd"/>
      <w:r>
        <w:t xml:space="preserve"> – </w:t>
      </w:r>
      <w:r w:rsidRPr="00372EC5">
        <w:t xml:space="preserve">de distribuição de certificados de depósito de valores mobiliários no âmbito de programa de </w:t>
      </w:r>
      <w:proofErr w:type="spellStart"/>
      <w:r w:rsidRPr="00372EC5">
        <w:t>BDR</w:t>
      </w:r>
      <w:proofErr w:type="spellEnd"/>
      <w:r w:rsidRPr="00372EC5">
        <w:t xml:space="preserve"> Patrocinado Nível I, II ou </w:t>
      </w:r>
      <w:proofErr w:type="spellStart"/>
      <w:r w:rsidRPr="00372EC5">
        <w:t>III</w:t>
      </w:r>
      <w:proofErr w:type="spellEnd"/>
      <w:r w:rsidRPr="00372EC5">
        <w:t>, com lastro em valores mobiliários representativos de dívida, destinada exclusivamente a investidores profissionais (“</w:t>
      </w:r>
      <w:proofErr w:type="spellStart"/>
      <w:r w:rsidRPr="00372EC5">
        <w:t>BDR</w:t>
      </w:r>
      <w:proofErr w:type="spellEnd"/>
      <w:r w:rsidRPr="00372EC5">
        <w:t xml:space="preserve"> Patrocinado com lastro em dívida”)</w:t>
      </w:r>
      <w:r>
        <w:t>;</w:t>
      </w:r>
    </w:p>
    <w:p w14:paraId="739DEF05" w14:textId="4FA1B4CB" w:rsidR="00372EC5" w:rsidRDefault="00372EC5" w:rsidP="006C03C6">
      <w:pPr>
        <w:pStyle w:val="NormaAlterada"/>
      </w:pPr>
      <w:r>
        <w:t>..........................................................................” (NR)</w:t>
      </w:r>
      <w:r>
        <w:tab/>
      </w:r>
    </w:p>
    <w:p w14:paraId="57D99D3D" w14:textId="475B1600" w:rsidR="00372EC5" w:rsidRDefault="00372EC5" w:rsidP="006C03C6">
      <w:pPr>
        <w:pStyle w:val="NormaAlterada"/>
      </w:pPr>
      <w:r>
        <w:t>“Art. 28...............................................................</w:t>
      </w:r>
    </w:p>
    <w:p w14:paraId="50F27298" w14:textId="0C67D7D8" w:rsidR="006C03C6" w:rsidRDefault="00372EC5" w:rsidP="006C03C6">
      <w:pPr>
        <w:pStyle w:val="NormaAlterada"/>
      </w:pPr>
      <w:r>
        <w:t xml:space="preserve">I – </w:t>
      </w:r>
      <w:r w:rsidRPr="00372EC5">
        <w:t xml:space="preserve">inicial de distribuição de ações, bônus de subscrição, debêntures conversíveis ou permutáveis em ações, certificados de depósito sobre estes valores mobiliários e de certificados de depósito de valores mobiliários no âmbito de programa de </w:t>
      </w:r>
      <w:proofErr w:type="spellStart"/>
      <w:r w:rsidRPr="00372EC5">
        <w:t>BDR</w:t>
      </w:r>
      <w:proofErr w:type="spellEnd"/>
      <w:r w:rsidRPr="00372EC5">
        <w:t xml:space="preserve"> Patrocinado Nível I, II o</w:t>
      </w:r>
      <w:r>
        <w:t xml:space="preserve">u </w:t>
      </w:r>
      <w:proofErr w:type="spellStart"/>
      <w:r>
        <w:t>III</w:t>
      </w:r>
      <w:proofErr w:type="spellEnd"/>
      <w:r>
        <w:t xml:space="preserve"> com lastro em ações</w:t>
      </w:r>
      <w:r w:rsidRPr="00372EC5">
        <w:t>, ressalvado o caso previsto no inciso I do art. 26</w:t>
      </w:r>
      <w:r>
        <w:t>;</w:t>
      </w:r>
    </w:p>
    <w:p w14:paraId="04C0E61A" w14:textId="77777777" w:rsidR="00372EC5" w:rsidRDefault="00372EC5" w:rsidP="006C03C6">
      <w:pPr>
        <w:pStyle w:val="NormaAlterada"/>
      </w:pPr>
      <w:r>
        <w:t>...........................................................................</w:t>
      </w:r>
    </w:p>
    <w:p w14:paraId="226A3149" w14:textId="424B0475" w:rsidR="00E414E4" w:rsidRDefault="00372EC5" w:rsidP="006C03C6">
      <w:pPr>
        <w:pStyle w:val="NormaAlterada"/>
      </w:pPr>
      <w:proofErr w:type="spellStart"/>
      <w:r>
        <w:t>III-A</w:t>
      </w:r>
      <w:proofErr w:type="spellEnd"/>
      <w:r>
        <w:t xml:space="preserve"> – </w:t>
      </w:r>
      <w:r w:rsidRPr="00372EC5">
        <w:t xml:space="preserve">de distribuição de certificados de depósito de valores mobiliários no âmbito de programa de </w:t>
      </w:r>
      <w:proofErr w:type="spellStart"/>
      <w:r w:rsidRPr="00372EC5">
        <w:t>BDR</w:t>
      </w:r>
      <w:proofErr w:type="spellEnd"/>
      <w:r w:rsidRPr="00372EC5">
        <w:t xml:space="preserve"> Patrocinado Nível </w:t>
      </w:r>
      <w:proofErr w:type="spellStart"/>
      <w:r w:rsidRPr="00372EC5">
        <w:t>III</w:t>
      </w:r>
      <w:proofErr w:type="spellEnd"/>
      <w:r w:rsidRPr="00372EC5">
        <w:t xml:space="preserve"> com lastro em valores mobiliários representativos de dívida destinada a investidores qualificados ou ao público investidor em geral</w:t>
      </w:r>
      <w:r w:rsidR="00E414E4">
        <w:t>;</w:t>
      </w:r>
    </w:p>
    <w:p w14:paraId="06D024C8" w14:textId="08CB86BC" w:rsidR="00372EC5" w:rsidRDefault="00E414E4" w:rsidP="006C03C6">
      <w:pPr>
        <w:pStyle w:val="NormaAlterada"/>
      </w:pPr>
      <w:r>
        <w:t>..........................................................................” (NR)</w:t>
      </w:r>
      <w:r w:rsidR="00372EC5">
        <w:tab/>
      </w:r>
    </w:p>
    <w:p w14:paraId="2AFBE30A" w14:textId="77777777" w:rsidR="00A32782" w:rsidRDefault="00E414E4" w:rsidP="00E414E4">
      <w:pPr>
        <w:pStyle w:val="NormaAlterada"/>
      </w:pPr>
      <w:r>
        <w:t>“Art. 87.</w:t>
      </w:r>
      <w:r w:rsidRPr="00E414E4">
        <w:t xml:space="preserve"> </w:t>
      </w:r>
      <w:r>
        <w:t xml:space="preserve"> </w:t>
      </w:r>
      <w:r w:rsidRPr="007E77AF">
        <w:t>Não há restrições à negociação em mercado regulamentado dos ativos adquiridos</w:t>
      </w:r>
      <w:r w:rsidR="0051519C">
        <w:t>:</w:t>
      </w:r>
    </w:p>
    <w:p w14:paraId="115A5187" w14:textId="495CA6E4" w:rsidR="00E414E4" w:rsidRDefault="00A32782" w:rsidP="00E414E4">
      <w:pPr>
        <w:pStyle w:val="NormaAlterada"/>
      </w:pPr>
      <w:r>
        <w:t>I –</w:t>
      </w:r>
      <w:r w:rsidR="00E414E4" w:rsidRPr="007E77AF">
        <w:t xml:space="preserve"> nas ofertas elencadas nos incisos I a </w:t>
      </w:r>
      <w:proofErr w:type="spellStart"/>
      <w:r w:rsidR="00E414E4" w:rsidRPr="007E77AF">
        <w:t>III</w:t>
      </w:r>
      <w:r w:rsidR="00E414E4">
        <w:t>-A</w:t>
      </w:r>
      <w:proofErr w:type="spellEnd"/>
      <w:r w:rsidR="00E414E4" w:rsidRPr="007E77AF">
        <w:rPr>
          <w:rStyle w:val="Refdenotaderodap"/>
        </w:rPr>
        <w:footnoteReference w:id="2"/>
      </w:r>
      <w:r w:rsidR="00E414E4" w:rsidRPr="007E77AF">
        <w:t xml:space="preserve">, inciso </w:t>
      </w:r>
      <w:proofErr w:type="spellStart"/>
      <w:r w:rsidR="00E414E4" w:rsidRPr="007E77AF">
        <w:t>IV</w:t>
      </w:r>
      <w:proofErr w:type="spellEnd"/>
      <w:r w:rsidR="00E414E4" w:rsidRPr="007E77AF">
        <w:t>, alínea “b”</w:t>
      </w:r>
      <w:r w:rsidR="00E414E4" w:rsidRPr="007E77AF">
        <w:rPr>
          <w:rStyle w:val="Refdenotaderodap"/>
        </w:rPr>
        <w:footnoteReference w:id="3"/>
      </w:r>
      <w:r w:rsidR="00E414E4" w:rsidRPr="007E77AF">
        <w:t xml:space="preserve">, inciso V alínea </w:t>
      </w:r>
      <w:r w:rsidR="00E414E4">
        <w:t>“</w:t>
      </w:r>
      <w:r w:rsidR="00E414E4" w:rsidRPr="007E77AF">
        <w:t>c</w:t>
      </w:r>
      <w:r w:rsidR="00E414E4">
        <w:t>”</w:t>
      </w:r>
      <w:r w:rsidR="00E414E4" w:rsidRPr="007E77AF">
        <w:rPr>
          <w:rStyle w:val="Refdenotaderodap"/>
        </w:rPr>
        <w:footnoteReference w:id="4"/>
      </w:r>
      <w:r w:rsidR="00E414E4" w:rsidRPr="007E77AF">
        <w:t xml:space="preserve">, </w:t>
      </w:r>
      <w:r w:rsidR="00E414E4">
        <w:t xml:space="preserve">inciso </w:t>
      </w:r>
      <w:proofErr w:type="spellStart"/>
      <w:r w:rsidR="00E414E4">
        <w:t>V-A</w:t>
      </w:r>
      <w:proofErr w:type="spellEnd"/>
      <w:r w:rsidR="00E414E4">
        <w:rPr>
          <w:rStyle w:val="Refdenotaderodap"/>
        </w:rPr>
        <w:footnoteReference w:id="5"/>
      </w:r>
      <w:r w:rsidR="00E414E4">
        <w:t xml:space="preserve">, </w:t>
      </w:r>
      <w:r w:rsidR="00E414E4" w:rsidRPr="007E77AF">
        <w:t>inciso VI, alínea “c</w:t>
      </w:r>
      <w:r w:rsidR="00E414E4">
        <w:t>”</w:t>
      </w:r>
      <w:r w:rsidR="00E414E4" w:rsidRPr="007E77AF">
        <w:t xml:space="preserve">, inciso </w:t>
      </w:r>
      <w:proofErr w:type="spellStart"/>
      <w:r w:rsidR="00E414E4" w:rsidRPr="007E77AF">
        <w:t>VII</w:t>
      </w:r>
      <w:proofErr w:type="spellEnd"/>
      <w:r w:rsidR="00E414E4" w:rsidRPr="007E77AF">
        <w:rPr>
          <w:rStyle w:val="Refdenotaderodap"/>
        </w:rPr>
        <w:footnoteReference w:id="6"/>
      </w:r>
      <w:r w:rsidR="00E414E4" w:rsidRPr="007E77AF">
        <w:t xml:space="preserve">, inciso </w:t>
      </w:r>
      <w:proofErr w:type="spellStart"/>
      <w:r w:rsidR="00E414E4" w:rsidRPr="007E77AF">
        <w:t>VIII</w:t>
      </w:r>
      <w:proofErr w:type="spellEnd"/>
      <w:r w:rsidR="00E414E4" w:rsidRPr="007E77AF">
        <w:t xml:space="preserve">, alínea </w:t>
      </w:r>
      <w:r w:rsidR="00E414E4">
        <w:t>“</w:t>
      </w:r>
      <w:r w:rsidR="00E414E4" w:rsidRPr="007E77AF">
        <w:t>c</w:t>
      </w:r>
      <w:r w:rsidR="00E414E4">
        <w:t>”</w:t>
      </w:r>
      <w:r w:rsidR="00E414E4" w:rsidRPr="007E77AF">
        <w:rPr>
          <w:rStyle w:val="Refdenotaderodap"/>
        </w:rPr>
        <w:footnoteReference w:id="7"/>
      </w:r>
      <w:r w:rsidR="00E414E4" w:rsidRPr="007E77AF">
        <w:t xml:space="preserve">, e inciso </w:t>
      </w:r>
      <w:proofErr w:type="spellStart"/>
      <w:r w:rsidR="00E414E4" w:rsidRPr="007E77AF">
        <w:t>XIII</w:t>
      </w:r>
      <w:proofErr w:type="spellEnd"/>
      <w:r w:rsidR="00E414E4" w:rsidRPr="007E77AF">
        <w:rPr>
          <w:rStyle w:val="Refdenotaderodap"/>
        </w:rPr>
        <w:footnoteReference w:id="8"/>
      </w:r>
      <w:r w:rsidR="00E414E4" w:rsidRPr="007E77AF">
        <w:t xml:space="preserve">, todos do </w:t>
      </w:r>
      <w:r w:rsidR="00E414E4" w:rsidRPr="007E77AF">
        <w:rPr>
          <w:b/>
          <w:bCs/>
        </w:rPr>
        <w:t>caput</w:t>
      </w:r>
      <w:r w:rsidR="00E414E4" w:rsidRPr="007E77AF">
        <w:t xml:space="preserve"> do art. 26</w:t>
      </w:r>
      <w:r>
        <w:t>; e</w:t>
      </w:r>
    </w:p>
    <w:p w14:paraId="57ED738C" w14:textId="4E5ECFF8" w:rsidR="00485929" w:rsidRPr="007E77AF" w:rsidRDefault="00485929" w:rsidP="00121FE0">
      <w:pPr>
        <w:pStyle w:val="NormaAlterada"/>
      </w:pPr>
      <w:r>
        <w:t xml:space="preserve">II – </w:t>
      </w:r>
      <w:r w:rsidR="007E07BC">
        <w:t xml:space="preserve">em operações envolvendo valores mobiliários de renda fixa, quando realizadas mediante operações com compromissos conjugados de recompra pelo vendedor e de revenda pelo comprador, </w:t>
      </w:r>
      <w:r w:rsidR="00E06869">
        <w:t>com vencimento</w:t>
      </w:r>
      <w:r w:rsidR="007E07BC">
        <w:t xml:space="preserve"> em data </w:t>
      </w:r>
      <w:r w:rsidR="00256D35">
        <w:t>futura</w:t>
      </w:r>
      <w:r w:rsidR="007E07BC">
        <w:t xml:space="preserve">, anterior ou igual à do vencimento dos títulos objeto </w:t>
      </w:r>
      <w:r w:rsidR="007E07BC">
        <w:lastRenderedPageBreak/>
        <w:t>da operação, realizadas com rentabilidade ou parâmetros de remuneração predefinidos, desde que não seja admitida a livre movimentação dos títulos</w:t>
      </w:r>
      <w:r w:rsidR="003C1073">
        <w:t>.</w:t>
      </w:r>
    </w:p>
    <w:p w14:paraId="02FC8E27" w14:textId="265D2D32" w:rsidR="00E414E4" w:rsidRDefault="002B0BB2" w:rsidP="00E414E4">
      <w:pPr>
        <w:pStyle w:val="NormaAlterada"/>
      </w:pPr>
      <w:r>
        <w:t>§ 1º</w:t>
      </w:r>
      <w:r w:rsidR="00E414E4">
        <w:t xml:space="preserve">  O disposto neste artigo não afasta as restrições à negociação em mercado regulamentado previstas em regulamentação específica aplicável a certificados de depósitos com lastro em ações ou valores mobiliários representativos de dívida emitidos no exterior (</w:t>
      </w:r>
      <w:proofErr w:type="spellStart"/>
      <w:r w:rsidR="00E414E4">
        <w:t>BDR</w:t>
      </w:r>
      <w:proofErr w:type="spellEnd"/>
      <w:r w:rsidR="00E414E4">
        <w:t>).</w:t>
      </w:r>
    </w:p>
    <w:p w14:paraId="0E46601E" w14:textId="7C78E9D7" w:rsidR="00A97F10" w:rsidRDefault="00327AAC" w:rsidP="00121FE0">
      <w:pPr>
        <w:pStyle w:val="NormaAlterada"/>
      </w:pPr>
      <w:r>
        <w:t xml:space="preserve">§ 2º  </w:t>
      </w:r>
      <w:r w:rsidR="00EE6457">
        <w:t>N</w:t>
      </w:r>
      <w:r w:rsidR="004E7864">
        <w:t>o caso de transferência do ativo lastro da operação compromissada em decorrência de inadimplemento</w:t>
      </w:r>
      <w:r w:rsidR="00D8758E">
        <w:t xml:space="preserve"> </w:t>
      </w:r>
      <w:r w:rsidR="00AB26A1">
        <w:t xml:space="preserve">do compromisso </w:t>
      </w:r>
      <w:r w:rsidR="00D8758E">
        <w:t xml:space="preserve">de recompra de que trata o inciso II do </w:t>
      </w:r>
      <w:r w:rsidR="00D8758E">
        <w:rPr>
          <w:b/>
          <w:bCs/>
        </w:rPr>
        <w:t>caput</w:t>
      </w:r>
      <w:r w:rsidR="00381958">
        <w:t>,</w:t>
      </w:r>
      <w:r w:rsidR="003168B0">
        <w:t xml:space="preserve"> </w:t>
      </w:r>
      <w:r w:rsidR="00E412A4">
        <w:t>é permitido ao adquirente</w:t>
      </w:r>
      <w:r w:rsidR="004C46DD">
        <w:t xml:space="preserve"> </w:t>
      </w:r>
      <w:r w:rsidR="00BB169B">
        <w:t>alienar</w:t>
      </w:r>
      <w:r w:rsidR="004C46DD">
        <w:t xml:space="preserve"> os ativos recebidos </w:t>
      </w:r>
      <w:r w:rsidR="00BB169B">
        <w:t>a outros investidores</w:t>
      </w:r>
      <w:r w:rsidR="0049168E">
        <w:t xml:space="preserve">, observadas as restrições de prazos e </w:t>
      </w:r>
      <w:r w:rsidR="00F40930">
        <w:t>tipo de investidor</w:t>
      </w:r>
      <w:r w:rsidR="0049168E">
        <w:t xml:space="preserve"> previstas</w:t>
      </w:r>
      <w:r w:rsidR="00756CDA">
        <w:t xml:space="preserve"> </w:t>
      </w:r>
      <w:r w:rsidR="004E7864">
        <w:t>no art. 86.</w:t>
      </w:r>
      <w:r w:rsidR="00AF33E4">
        <w:t>" (NR)</w:t>
      </w:r>
      <w:bookmarkStart w:id="0" w:name="_GoBack"/>
      <w:bookmarkEnd w:id="0"/>
    </w:p>
    <w:p w14:paraId="7D3D0FAA" w14:textId="34E9CE02" w:rsidR="00372EC5" w:rsidRDefault="00372EC5" w:rsidP="0007117D">
      <w:pPr>
        <w:keepNext/>
      </w:pPr>
      <w:r>
        <w:t xml:space="preserve">Art. 4º  Ficam revogados os incisos XI e </w:t>
      </w:r>
      <w:proofErr w:type="spellStart"/>
      <w:r>
        <w:t>XII</w:t>
      </w:r>
      <w:proofErr w:type="spellEnd"/>
      <w:r>
        <w:t xml:space="preserve"> do art. 26</w:t>
      </w:r>
      <w:r w:rsidR="00E414E4">
        <w:t>, o inciso VI do art. 28,</w:t>
      </w:r>
      <w:r>
        <w:t xml:space="preserve"> </w:t>
      </w:r>
      <w:r w:rsidR="00E414E4">
        <w:t xml:space="preserve">e o § 2º do art. 86, todos </w:t>
      </w:r>
      <w:r>
        <w:t>da Resolução CVM nº 160, de 13 de julho de 2022.</w:t>
      </w:r>
    </w:p>
    <w:p w14:paraId="7F203D61" w14:textId="66EF75E4" w:rsidR="00D22854" w:rsidRDefault="00D22854" w:rsidP="0007117D">
      <w:pPr>
        <w:keepNext/>
      </w:pPr>
      <w:r>
        <w:t xml:space="preserve">Art. </w:t>
      </w:r>
      <w:r w:rsidR="00372EC5">
        <w:t>5</w:t>
      </w:r>
      <w:r>
        <w:t xml:space="preserve">º  Esta resolução entra em vigor em </w:t>
      </w:r>
      <w:r w:rsidR="000536A7">
        <w:t>1º de junho de 2023</w:t>
      </w:r>
      <w:r>
        <w:t>.</w:t>
      </w:r>
    </w:p>
    <w:p w14:paraId="12DFA721" w14:textId="77777777" w:rsidR="00D22854" w:rsidRPr="00E25581" w:rsidRDefault="00D22854" w:rsidP="00D22854">
      <w:pPr>
        <w:spacing w:before="0" w:after="0" w:line="240" w:lineRule="auto"/>
        <w:ind w:firstLine="0"/>
        <w:jc w:val="center"/>
        <w:rPr>
          <w:i/>
        </w:rPr>
      </w:pPr>
      <w:r>
        <w:rPr>
          <w:i/>
        </w:rPr>
        <w:t>Assinado eletronicamente por</w:t>
      </w:r>
    </w:p>
    <w:p w14:paraId="291B5E41" w14:textId="66F5800E" w:rsidR="00D22854" w:rsidRPr="00E25581" w:rsidRDefault="00245414" w:rsidP="00D22854">
      <w:pPr>
        <w:spacing w:before="0" w:after="0" w:line="240" w:lineRule="auto"/>
        <w:ind w:firstLine="0"/>
        <w:jc w:val="center"/>
        <w:rPr>
          <w:b/>
        </w:rPr>
      </w:pPr>
      <w:r>
        <w:rPr>
          <w:b/>
        </w:rPr>
        <w:t>JOÃO PEDRO BARROSO DO NASCIMENTO</w:t>
      </w:r>
    </w:p>
    <w:p w14:paraId="19FB9F1C" w14:textId="77777777" w:rsidR="00D22854" w:rsidRDefault="00D22854" w:rsidP="000D5D10">
      <w:pPr>
        <w:spacing w:before="0" w:after="0" w:line="240" w:lineRule="auto"/>
        <w:ind w:firstLine="0"/>
        <w:jc w:val="center"/>
      </w:pPr>
      <w:r w:rsidRPr="00E25581">
        <w:rPr>
          <w:b/>
        </w:rPr>
        <w:t>Presidente</w:t>
      </w:r>
      <w:r>
        <w:br w:type="page"/>
      </w:r>
    </w:p>
    <w:p w14:paraId="6513B130" w14:textId="45115406" w:rsidR="00ED1FB4" w:rsidRDefault="00E25581" w:rsidP="00986E59">
      <w:pPr>
        <w:pStyle w:val="TtulodaResoluo"/>
      </w:pPr>
      <w:r>
        <w:lastRenderedPageBreak/>
        <w:t xml:space="preserve">Anexo </w:t>
      </w:r>
      <w:r w:rsidR="00042030">
        <w:t>A</w:t>
      </w:r>
      <w:r>
        <w:t xml:space="preserve"> à Resolução </w:t>
      </w:r>
      <w:r w:rsidR="009B69B0">
        <w:t xml:space="preserve">CVM nº </w:t>
      </w:r>
      <w:sdt>
        <w:sdtPr>
          <w:alias w:val="Título"/>
          <w:tag w:val=""/>
          <w:id w:val="-1844390304"/>
          <w:placeholder>
            <w:docPart w:val="677FCB8D6E83494CA02EA3DF11D14E4C"/>
          </w:placeholder>
          <w:dataBinding w:prefixMappings="xmlns:ns0='http://purl.org/dc/elements/1.1/' xmlns:ns1='http://schemas.openxmlformats.org/package/2006/metadata/core-properties' " w:xpath="/ns1:coreProperties[1]/ns0:title[1]" w:storeItemID="{6C3C8BC8-F283-45AE-878A-BAB7291924A1}"/>
          <w:text/>
        </w:sdtPr>
        <w:sdtEndPr/>
        <w:sdtContent>
          <w:r w:rsidR="00335B60">
            <w:t>183, de 11 de maio de 2023</w:t>
          </w:r>
        </w:sdtContent>
      </w:sdt>
    </w:p>
    <w:p w14:paraId="3F816B3C" w14:textId="35878B61" w:rsidR="009B69B0" w:rsidRDefault="00042030" w:rsidP="00042030">
      <w:pPr>
        <w:pStyle w:val="TtulodaResoluo"/>
      </w:pPr>
      <w:r>
        <w:t xml:space="preserve">Anexo </w:t>
      </w:r>
      <w:r w:rsidR="000D1D0B">
        <w:t>J</w:t>
      </w:r>
    </w:p>
    <w:p w14:paraId="62FBACBE" w14:textId="6E782A4F" w:rsidR="00042030" w:rsidRPr="00D22854" w:rsidRDefault="00042030" w:rsidP="009B69B0">
      <w:pPr>
        <w:rPr>
          <w:i/>
          <w:iCs/>
        </w:rPr>
      </w:pPr>
      <w:r w:rsidRPr="00D22854">
        <w:rPr>
          <w:i/>
          <w:iCs/>
        </w:rPr>
        <w:t>Regras Específicas para Emissores de Ações</w:t>
      </w:r>
      <w:r w:rsidR="00070768">
        <w:rPr>
          <w:i/>
          <w:iCs/>
        </w:rPr>
        <w:t>, de Certificados de Depósito de Ações</w:t>
      </w:r>
      <w:r w:rsidRPr="00D22854">
        <w:rPr>
          <w:i/>
          <w:iCs/>
        </w:rPr>
        <w:t xml:space="preserve"> ou </w:t>
      </w:r>
      <w:r w:rsidR="0018788D">
        <w:rPr>
          <w:i/>
          <w:iCs/>
        </w:rPr>
        <w:t xml:space="preserve">de </w:t>
      </w:r>
      <w:r w:rsidRPr="00D22854">
        <w:rPr>
          <w:i/>
          <w:iCs/>
        </w:rPr>
        <w:t xml:space="preserve">Valores Mobiliários Representativos de Dívida que Lastreiem Certificados de Depósito de Valores Mobiliários – </w:t>
      </w:r>
      <w:proofErr w:type="spellStart"/>
      <w:r w:rsidRPr="00D22854">
        <w:rPr>
          <w:i/>
          <w:iCs/>
        </w:rPr>
        <w:t>BDR</w:t>
      </w:r>
      <w:proofErr w:type="spellEnd"/>
      <w:r w:rsidR="00F02326">
        <w:rPr>
          <w:i/>
          <w:iCs/>
        </w:rPr>
        <w:t xml:space="preserve"> Níve</w:t>
      </w:r>
      <w:r w:rsidR="004E3B51">
        <w:rPr>
          <w:i/>
          <w:iCs/>
        </w:rPr>
        <w:t>l</w:t>
      </w:r>
      <w:r w:rsidR="00F02326">
        <w:rPr>
          <w:i/>
          <w:iCs/>
        </w:rPr>
        <w:t xml:space="preserve"> II e </w:t>
      </w:r>
      <w:r w:rsidR="00BF3DBF">
        <w:rPr>
          <w:i/>
          <w:iCs/>
        </w:rPr>
        <w:t xml:space="preserve">Nível </w:t>
      </w:r>
      <w:proofErr w:type="spellStart"/>
      <w:r w:rsidR="00F02326">
        <w:rPr>
          <w:i/>
          <w:iCs/>
        </w:rPr>
        <w:t>III</w:t>
      </w:r>
      <w:proofErr w:type="spellEnd"/>
    </w:p>
    <w:p w14:paraId="6C1EEDF5" w14:textId="77777777" w:rsidR="006674EF" w:rsidRDefault="006674EF" w:rsidP="009B69B0"/>
    <w:p w14:paraId="799BB049" w14:textId="45CFA656" w:rsidR="001A34AE" w:rsidRDefault="001A34AE" w:rsidP="001A34AE">
      <w:r>
        <w:t>Art. 1</w:t>
      </w:r>
      <w:r w:rsidR="007075CA">
        <w:t xml:space="preserve">º  </w:t>
      </w:r>
      <w:r>
        <w:t xml:space="preserve">Para os fins deste </w:t>
      </w:r>
      <w:r w:rsidR="00217AA0">
        <w:t>A</w:t>
      </w:r>
      <w:r>
        <w:t>nexo, considera-se</w:t>
      </w:r>
      <w:r w:rsidR="00BC3037">
        <w:t xml:space="preserve"> estrangeiro o emissor que tenha sede fora do Brasil.</w:t>
      </w:r>
    </w:p>
    <w:p w14:paraId="55B8E97A" w14:textId="3B2D23AB" w:rsidR="00142679" w:rsidRDefault="00BC3037" w:rsidP="001A34AE">
      <w:r>
        <w:t>Parágrafo único.  Os termos “</w:t>
      </w:r>
      <w:proofErr w:type="spellStart"/>
      <w:r>
        <w:t>BDR</w:t>
      </w:r>
      <w:proofErr w:type="spellEnd"/>
      <w:r>
        <w:t xml:space="preserve">”, </w:t>
      </w:r>
      <w:r w:rsidR="00A10D22">
        <w:t xml:space="preserve">“emissor”, </w:t>
      </w:r>
      <w:r w:rsidR="001945D3">
        <w:t>“</w:t>
      </w:r>
      <w:r w:rsidR="00A10D22">
        <w:t xml:space="preserve">emissor </w:t>
      </w:r>
      <w:r w:rsidR="004D06AA">
        <w:t>estrangeiro</w:t>
      </w:r>
      <w:r w:rsidR="001945D3">
        <w:t xml:space="preserve">”, </w:t>
      </w:r>
      <w:r w:rsidR="00CE4074">
        <w:t>“</w:t>
      </w:r>
      <w:r w:rsidR="0089175D">
        <w:t>supervisor local”</w:t>
      </w:r>
      <w:r w:rsidR="006745C4">
        <w:t xml:space="preserve"> e</w:t>
      </w:r>
      <w:r w:rsidR="00CE4074">
        <w:t xml:space="preserve"> </w:t>
      </w:r>
      <w:r w:rsidR="008501BE">
        <w:t>“programa”</w:t>
      </w:r>
      <w:r w:rsidR="006745C4">
        <w:t xml:space="preserve"> são empregados neste anexo com o sentido que lhes é atribuído na norma específica que dispõe sobre</w:t>
      </w:r>
      <w:r w:rsidR="00142679">
        <w:t xml:space="preserve"> certificados de depósito emitidos no Brasil com lastro em ações</w:t>
      </w:r>
      <w:r w:rsidR="00F31D77">
        <w:t>, certificados de depósito de ações</w:t>
      </w:r>
      <w:r w:rsidR="00142679">
        <w:t xml:space="preserve"> ou em valores mobiliários representativos de dívida emitidos no exterior.</w:t>
      </w:r>
    </w:p>
    <w:p w14:paraId="3943D203" w14:textId="7EE3C933" w:rsidR="001A34AE" w:rsidRDefault="001A34AE" w:rsidP="001A34AE">
      <w:r>
        <w:t>Art. 2</w:t>
      </w:r>
      <w:proofErr w:type="spellStart"/>
      <w:r w:rsidR="007075CA">
        <w:t>º</w:t>
      </w:r>
      <w:r>
        <w:t>°</w:t>
      </w:r>
      <w:proofErr w:type="spellEnd"/>
      <w:r>
        <w:t xml:space="preserve">  A obtenção de registro por um emissor estrangeiro depende </w:t>
      </w:r>
      <w:r w:rsidR="00A75E4A">
        <w:t xml:space="preserve">da concomitante existência de </w:t>
      </w:r>
      <w:r w:rsidR="001712E7">
        <w:t xml:space="preserve">programa de </w:t>
      </w:r>
      <w:proofErr w:type="spellStart"/>
      <w:r w:rsidR="001712E7">
        <w:t>BDR</w:t>
      </w:r>
      <w:proofErr w:type="spellEnd"/>
      <w:r w:rsidR="001712E7">
        <w:t xml:space="preserve"> registrado na CVM e </w:t>
      </w:r>
      <w:r>
        <w:t>do cumprimento do</w:t>
      </w:r>
      <w:r w:rsidR="00CB7F2B">
        <w:t xml:space="preserve"> disposto no</w:t>
      </w:r>
      <w:r>
        <w:t>s art. 3</w:t>
      </w:r>
      <w:r w:rsidR="007075CA">
        <w:t xml:space="preserve">º, </w:t>
      </w:r>
      <w:r>
        <w:t>4</w:t>
      </w:r>
      <w:r w:rsidR="007075CA">
        <w:t>º</w:t>
      </w:r>
      <w:r w:rsidR="00682218">
        <w:t xml:space="preserve"> ou 5º</w:t>
      </w:r>
      <w:r>
        <w:t>.</w:t>
      </w:r>
    </w:p>
    <w:p w14:paraId="79DC8804" w14:textId="7012F693" w:rsidR="001A34AE" w:rsidRDefault="001A34AE" w:rsidP="001A34AE">
      <w:r>
        <w:t>Parágrafo único.  A escolha entre o cumprimento dos art. 3</w:t>
      </w:r>
      <w:r w:rsidR="007075CA">
        <w:t xml:space="preserve">º, </w:t>
      </w:r>
      <w:r>
        <w:t>4</w:t>
      </w:r>
      <w:r w:rsidR="007075CA">
        <w:t xml:space="preserve">º </w:t>
      </w:r>
      <w:r w:rsidR="00682218">
        <w:t>ou 5º</w:t>
      </w:r>
      <w:r>
        <w:t xml:space="preserve"> cabe ao emissor</w:t>
      </w:r>
      <w:r w:rsidR="0018788D">
        <w:t xml:space="preserve"> estrangeiro</w:t>
      </w:r>
      <w:r>
        <w:t xml:space="preserve">, que deve indicar expressamente sua opção nos requerimentos apresentados por ocasião dos eventos previstos no art. </w:t>
      </w:r>
      <w:r w:rsidR="00682218">
        <w:t>6</w:t>
      </w:r>
      <w:r w:rsidR="007075CA">
        <w:t>º.</w:t>
      </w:r>
    </w:p>
    <w:p w14:paraId="0B40A5C6" w14:textId="76F84D71" w:rsidR="00AF745E" w:rsidRDefault="001A34AE" w:rsidP="00121FE0">
      <w:pPr>
        <w:rPr>
          <w:rFonts w:ascii="Calibri" w:hAnsi="Calibri" w:cs="Calibri"/>
          <w:color w:val="000000" w:themeColor="text1"/>
        </w:rPr>
      </w:pPr>
      <w:r>
        <w:t>Art. 3</w:t>
      </w:r>
      <w:r w:rsidR="007075CA">
        <w:t xml:space="preserve">º  </w:t>
      </w:r>
      <w:r>
        <w:t xml:space="preserve">Para </w:t>
      </w:r>
      <w:r w:rsidR="00D0410F">
        <w:t>que obtenha seu registro</w:t>
      </w:r>
      <w:r>
        <w:t xml:space="preserve"> com base no cumprimento deste artigo, </w:t>
      </w:r>
      <w:r w:rsidRPr="0A7F0644">
        <w:rPr>
          <w:rFonts w:ascii="Calibri" w:hAnsi="Calibri" w:cs="Calibri"/>
          <w:color w:val="000000" w:themeColor="text1"/>
        </w:rPr>
        <w:t xml:space="preserve">o </w:t>
      </w:r>
      <w:r w:rsidR="00D0410F">
        <w:rPr>
          <w:rFonts w:ascii="Calibri" w:hAnsi="Calibri" w:cs="Calibri"/>
          <w:color w:val="000000" w:themeColor="text1"/>
        </w:rPr>
        <w:t xml:space="preserve">emissor </w:t>
      </w:r>
      <w:r w:rsidR="0018788D">
        <w:rPr>
          <w:rFonts w:ascii="Calibri" w:hAnsi="Calibri" w:cs="Calibri"/>
          <w:color w:val="000000" w:themeColor="text1"/>
        </w:rPr>
        <w:t xml:space="preserve">estrangeiro </w:t>
      </w:r>
      <w:r w:rsidR="00D0410F">
        <w:rPr>
          <w:rFonts w:ascii="Calibri" w:hAnsi="Calibri" w:cs="Calibri"/>
          <w:color w:val="000000" w:themeColor="text1"/>
        </w:rPr>
        <w:t xml:space="preserve">deve ter como </w:t>
      </w:r>
      <w:r w:rsidRPr="0A7F0644">
        <w:rPr>
          <w:rFonts w:ascii="Calibri" w:hAnsi="Calibri" w:cs="Calibri"/>
          <w:color w:val="000000" w:themeColor="text1"/>
        </w:rPr>
        <w:t xml:space="preserve">principal mercado de negociação </w:t>
      </w:r>
      <w:r w:rsidR="00F31D77">
        <w:rPr>
          <w:rFonts w:ascii="Calibri" w:hAnsi="Calibri" w:cs="Calibri"/>
          <w:color w:val="000000" w:themeColor="text1"/>
        </w:rPr>
        <w:t>de</w:t>
      </w:r>
      <w:r w:rsidR="00F31D77" w:rsidRPr="0A7F0644">
        <w:rPr>
          <w:rFonts w:ascii="Calibri" w:hAnsi="Calibri" w:cs="Calibri"/>
          <w:color w:val="000000" w:themeColor="text1"/>
        </w:rPr>
        <w:t xml:space="preserve"> </w:t>
      </w:r>
      <w:r w:rsidRPr="0A7F0644">
        <w:rPr>
          <w:rFonts w:ascii="Calibri" w:hAnsi="Calibri" w:cs="Calibri"/>
          <w:color w:val="000000" w:themeColor="text1"/>
        </w:rPr>
        <w:t xml:space="preserve">valores mobiliários </w:t>
      </w:r>
      <w:r w:rsidR="00D0410F">
        <w:rPr>
          <w:rFonts w:ascii="Calibri" w:hAnsi="Calibri" w:cs="Calibri"/>
          <w:color w:val="000000" w:themeColor="text1"/>
        </w:rPr>
        <w:t xml:space="preserve">de sua emissão </w:t>
      </w:r>
      <w:r w:rsidR="003E69F0">
        <w:rPr>
          <w:rFonts w:ascii="Calibri" w:hAnsi="Calibri" w:cs="Calibri"/>
          <w:color w:val="000000" w:themeColor="text1"/>
        </w:rPr>
        <w:t>uma bolsa de valores</w:t>
      </w:r>
      <w:r w:rsidR="00D0410F">
        <w:rPr>
          <w:rFonts w:ascii="Calibri" w:hAnsi="Calibri" w:cs="Calibri"/>
          <w:color w:val="000000" w:themeColor="text1"/>
        </w:rPr>
        <w:t xml:space="preserve"> que atenda cumulativamente</w:t>
      </w:r>
      <w:r w:rsidR="009A37A1">
        <w:rPr>
          <w:rFonts w:ascii="Calibri" w:hAnsi="Calibri" w:cs="Calibri"/>
          <w:color w:val="000000" w:themeColor="text1"/>
        </w:rPr>
        <w:t xml:space="preserve"> as seguintes condições</w:t>
      </w:r>
      <w:r w:rsidR="00AF745E">
        <w:rPr>
          <w:rFonts w:ascii="Calibri" w:hAnsi="Calibri" w:cs="Calibri"/>
          <w:color w:val="000000" w:themeColor="text1"/>
        </w:rPr>
        <w:t>:</w:t>
      </w:r>
      <w:r w:rsidRPr="0A7F0644">
        <w:rPr>
          <w:rFonts w:ascii="Calibri" w:hAnsi="Calibri" w:cs="Calibri"/>
          <w:color w:val="000000" w:themeColor="text1"/>
        </w:rPr>
        <w:t xml:space="preserve"> </w:t>
      </w:r>
    </w:p>
    <w:p w14:paraId="6CFCC529" w14:textId="21154014" w:rsidR="001A34AE" w:rsidRDefault="009A37A1" w:rsidP="001A34AE">
      <w:pPr>
        <w:rPr>
          <w:rFonts w:ascii="Calibri" w:hAnsi="Calibri" w:cs="Calibri"/>
          <w:color w:val="000000" w:themeColor="text1"/>
        </w:rPr>
      </w:pPr>
      <w:r>
        <w:rPr>
          <w:rFonts w:ascii="Calibri" w:hAnsi="Calibri" w:cs="Calibri"/>
          <w:color w:val="000000" w:themeColor="text1"/>
        </w:rPr>
        <w:t xml:space="preserve">I – </w:t>
      </w:r>
      <w:r w:rsidR="001A34AE" w:rsidRPr="0A7F0644">
        <w:rPr>
          <w:rFonts w:ascii="Calibri" w:hAnsi="Calibri" w:cs="Calibri"/>
          <w:color w:val="000000" w:themeColor="text1"/>
        </w:rPr>
        <w:t xml:space="preserve">ter sede no exterior e em país </w:t>
      </w:r>
      <w:r w:rsidR="0089175D">
        <w:rPr>
          <w:rFonts w:ascii="Calibri" w:hAnsi="Calibri" w:cs="Calibri"/>
          <w:color w:val="000000" w:themeColor="text1"/>
        </w:rPr>
        <w:t xml:space="preserve">cujo supervisor </w:t>
      </w:r>
      <w:r w:rsidR="002E443A">
        <w:rPr>
          <w:rFonts w:ascii="Calibri" w:hAnsi="Calibri" w:cs="Calibri"/>
          <w:color w:val="000000" w:themeColor="text1"/>
        </w:rPr>
        <w:t>local</w:t>
      </w:r>
      <w:r w:rsidR="001A34AE" w:rsidRPr="0A7F0644">
        <w:rPr>
          <w:rFonts w:ascii="Calibri" w:hAnsi="Calibri" w:cs="Calibri"/>
          <w:color w:val="000000" w:themeColor="text1"/>
        </w:rPr>
        <w:t xml:space="preserve"> tenha celebrado com a CVM acordo de cooperação sobre consulta, assistência técnica e assistência mútua para troca de informações, ou seja signatário do memorando multilateral de entendimento da Organização Internacional das Comissões de Valores – </w:t>
      </w:r>
      <w:proofErr w:type="spellStart"/>
      <w:r w:rsidR="001A34AE" w:rsidRPr="0A7F0644">
        <w:rPr>
          <w:rFonts w:ascii="Calibri" w:hAnsi="Calibri" w:cs="Calibri"/>
          <w:color w:val="000000" w:themeColor="text1"/>
        </w:rPr>
        <w:t>OICV</w:t>
      </w:r>
      <w:proofErr w:type="spellEnd"/>
      <w:r w:rsidR="001A34AE" w:rsidRPr="0A7F0644">
        <w:rPr>
          <w:rFonts w:ascii="Calibri" w:hAnsi="Calibri" w:cs="Calibri"/>
          <w:color w:val="000000" w:themeColor="text1"/>
        </w:rPr>
        <w:t>; e</w:t>
      </w:r>
    </w:p>
    <w:p w14:paraId="38249E1F" w14:textId="7644F482" w:rsidR="001A34AE" w:rsidRDefault="009A37A1" w:rsidP="001A34AE">
      <w:pPr>
        <w:rPr>
          <w:rFonts w:ascii="Calibri" w:hAnsi="Calibri" w:cs="Calibri"/>
          <w:color w:val="000000" w:themeColor="text1"/>
        </w:rPr>
      </w:pPr>
      <w:r>
        <w:rPr>
          <w:rFonts w:ascii="Calibri" w:hAnsi="Calibri" w:cs="Calibri"/>
          <w:color w:val="000000" w:themeColor="text1"/>
        </w:rPr>
        <w:t xml:space="preserve">II – </w:t>
      </w:r>
      <w:r w:rsidR="001A34AE" w:rsidRPr="0A7F0644">
        <w:rPr>
          <w:rFonts w:ascii="Calibri" w:hAnsi="Calibri" w:cs="Calibri"/>
          <w:color w:val="000000" w:themeColor="text1"/>
        </w:rPr>
        <w:t>ser classificad</w:t>
      </w:r>
      <w:r w:rsidR="003E69F0">
        <w:rPr>
          <w:rFonts w:ascii="Calibri" w:hAnsi="Calibri" w:cs="Calibri"/>
          <w:color w:val="000000" w:themeColor="text1"/>
        </w:rPr>
        <w:t>a</w:t>
      </w:r>
      <w:r w:rsidR="001A34AE" w:rsidRPr="0A7F0644">
        <w:rPr>
          <w:rFonts w:ascii="Calibri" w:hAnsi="Calibri" w:cs="Calibri"/>
          <w:color w:val="000000" w:themeColor="text1"/>
        </w:rPr>
        <w:t xml:space="preserve"> como “mercado reconhecido” no regulamento de entidade administradora de mercado organizado de valores mobiliários aprovado pela CVM.</w:t>
      </w:r>
    </w:p>
    <w:p w14:paraId="6FD2D836" w14:textId="77777777" w:rsidR="001A34AE" w:rsidRDefault="001A34AE" w:rsidP="001A34AE">
      <w:pPr>
        <w:rPr>
          <w:rFonts w:ascii="Calibri" w:hAnsi="Calibri" w:cs="Calibri"/>
          <w:color w:val="000000" w:themeColor="text1"/>
        </w:rPr>
      </w:pPr>
      <w:r w:rsidRPr="10A54817">
        <w:rPr>
          <w:rFonts w:ascii="Calibri" w:hAnsi="Calibri" w:cs="Calibri"/>
          <w:color w:val="000000" w:themeColor="text1"/>
        </w:rPr>
        <w:t>§ 1º  Considera-se principal mercado de negociação:</w:t>
      </w:r>
    </w:p>
    <w:p w14:paraId="06BD7E5D" w14:textId="3FC6C0C5" w:rsidR="001A34AE" w:rsidRDefault="001A34AE" w:rsidP="001A34AE">
      <w:pPr>
        <w:rPr>
          <w:rFonts w:ascii="Calibri" w:hAnsi="Calibri" w:cs="Calibri"/>
          <w:color w:val="000000" w:themeColor="text1"/>
        </w:rPr>
      </w:pPr>
      <w:r w:rsidRPr="10A54817">
        <w:rPr>
          <w:rFonts w:ascii="Calibri" w:hAnsi="Calibri" w:cs="Calibri"/>
          <w:color w:val="000000" w:themeColor="text1"/>
        </w:rPr>
        <w:lastRenderedPageBreak/>
        <w:t xml:space="preserve">I – caso o emissor </w:t>
      </w:r>
      <w:r w:rsidR="0018788D">
        <w:rPr>
          <w:rFonts w:ascii="Calibri" w:hAnsi="Calibri" w:cs="Calibri"/>
          <w:color w:val="000000" w:themeColor="text1"/>
        </w:rPr>
        <w:t xml:space="preserve">estrangeiro </w:t>
      </w:r>
      <w:r w:rsidRPr="10A54817">
        <w:rPr>
          <w:rFonts w:ascii="Calibri" w:hAnsi="Calibri" w:cs="Calibri"/>
          <w:color w:val="000000" w:themeColor="text1"/>
        </w:rPr>
        <w:t>já tenha ações ou certificados de depósito de ações admitidos à negociação, e observado o disposto no § 2º deste artigo, o ambiente de mercado em que, nos 12 (doze) meses anteriores, tais valores mobiliários apresentaram maior volume de negociação; ou</w:t>
      </w:r>
    </w:p>
    <w:p w14:paraId="2EA57B3F" w14:textId="36C73E1F" w:rsidR="001A34AE" w:rsidRDefault="001A34AE" w:rsidP="001A34AE">
      <w:pPr>
        <w:rPr>
          <w:rFonts w:ascii="Calibri" w:hAnsi="Calibri" w:cs="Calibri"/>
          <w:color w:val="000000" w:themeColor="text1"/>
        </w:rPr>
      </w:pPr>
      <w:r w:rsidRPr="10A54817">
        <w:rPr>
          <w:rFonts w:ascii="Calibri" w:hAnsi="Calibri" w:cs="Calibri"/>
          <w:color w:val="000000" w:themeColor="text1"/>
        </w:rPr>
        <w:t xml:space="preserve">II – caso o emissor </w:t>
      </w:r>
      <w:r w:rsidR="0018788D">
        <w:rPr>
          <w:rFonts w:ascii="Calibri" w:hAnsi="Calibri" w:cs="Calibri"/>
          <w:color w:val="000000" w:themeColor="text1"/>
        </w:rPr>
        <w:t xml:space="preserve">estrangeiro </w:t>
      </w:r>
      <w:r w:rsidRPr="10A54817">
        <w:rPr>
          <w:rFonts w:ascii="Calibri" w:hAnsi="Calibri" w:cs="Calibri"/>
          <w:color w:val="000000" w:themeColor="text1"/>
        </w:rPr>
        <w:t>esteja em processo de realização de oferta pública inicial de distribuição de ações</w:t>
      </w:r>
      <w:r w:rsidR="005418E8">
        <w:rPr>
          <w:rFonts w:ascii="Calibri" w:hAnsi="Calibri" w:cs="Calibri"/>
          <w:color w:val="000000" w:themeColor="text1"/>
        </w:rPr>
        <w:t xml:space="preserve"> ou certificados de depósito de ações</w:t>
      </w:r>
      <w:r w:rsidRPr="10A54817">
        <w:rPr>
          <w:rFonts w:ascii="Calibri" w:hAnsi="Calibri" w:cs="Calibri"/>
          <w:color w:val="000000" w:themeColor="text1"/>
        </w:rPr>
        <w:t>, o ambiente de mercado que, cumulativamente:</w:t>
      </w:r>
    </w:p>
    <w:p w14:paraId="1D75E1FA" w14:textId="78763670" w:rsidR="001A34AE" w:rsidRDefault="001A34AE" w:rsidP="001A34AE">
      <w:pPr>
        <w:rPr>
          <w:rFonts w:ascii="Calibri" w:hAnsi="Calibri" w:cs="Calibri"/>
          <w:color w:val="000000" w:themeColor="text1"/>
        </w:rPr>
      </w:pPr>
      <w:r w:rsidRPr="10A54817">
        <w:rPr>
          <w:rFonts w:ascii="Calibri" w:hAnsi="Calibri" w:cs="Calibri"/>
          <w:color w:val="000000" w:themeColor="text1"/>
        </w:rPr>
        <w:t>a) tenha recebido o pleito de listagem do emissor</w:t>
      </w:r>
      <w:r w:rsidR="0018788D">
        <w:rPr>
          <w:rFonts w:ascii="Calibri" w:hAnsi="Calibri" w:cs="Calibri"/>
          <w:color w:val="000000" w:themeColor="text1"/>
        </w:rPr>
        <w:t xml:space="preserve"> estrangeiro</w:t>
      </w:r>
      <w:r w:rsidRPr="10A54817">
        <w:rPr>
          <w:rFonts w:ascii="Calibri" w:hAnsi="Calibri" w:cs="Calibri"/>
          <w:color w:val="000000" w:themeColor="text1"/>
        </w:rPr>
        <w:t>; e</w:t>
      </w:r>
    </w:p>
    <w:p w14:paraId="4E6AEF3D" w14:textId="4CCFF28B" w:rsidR="001A34AE" w:rsidRDefault="001A34AE" w:rsidP="001A34AE">
      <w:pPr>
        <w:rPr>
          <w:rFonts w:ascii="Calibri" w:hAnsi="Calibri" w:cs="Calibri"/>
          <w:color w:val="000000" w:themeColor="text1"/>
        </w:rPr>
      </w:pPr>
      <w:r w:rsidRPr="10A54817">
        <w:rPr>
          <w:rFonts w:ascii="Calibri" w:hAnsi="Calibri" w:cs="Calibri"/>
          <w:color w:val="000000" w:themeColor="text1"/>
        </w:rPr>
        <w:t xml:space="preserve">b) esteja sediado no país em que o emissor </w:t>
      </w:r>
      <w:r w:rsidR="0018788D">
        <w:rPr>
          <w:rFonts w:ascii="Calibri" w:hAnsi="Calibri" w:cs="Calibri"/>
          <w:color w:val="000000" w:themeColor="text1"/>
        </w:rPr>
        <w:t xml:space="preserve">estrangeiro </w:t>
      </w:r>
      <w:r w:rsidRPr="10A54817">
        <w:rPr>
          <w:rFonts w:ascii="Calibri" w:hAnsi="Calibri" w:cs="Calibri"/>
          <w:color w:val="000000" w:themeColor="text1"/>
        </w:rPr>
        <w:t>obtenha a maior parte dos recursos da oferta pública inicial de distribuição das ações</w:t>
      </w:r>
      <w:r w:rsidR="00894A97">
        <w:rPr>
          <w:rFonts w:ascii="Calibri" w:hAnsi="Calibri" w:cs="Calibri"/>
          <w:color w:val="000000" w:themeColor="text1"/>
        </w:rPr>
        <w:t xml:space="preserve"> ou dos certificados de depósito de ações</w:t>
      </w:r>
      <w:r w:rsidRPr="10A54817">
        <w:rPr>
          <w:rFonts w:ascii="Calibri" w:hAnsi="Calibri" w:cs="Calibri"/>
          <w:color w:val="000000" w:themeColor="text1"/>
        </w:rPr>
        <w:t>.</w:t>
      </w:r>
    </w:p>
    <w:p w14:paraId="7768D292" w14:textId="218CAB24" w:rsidR="001A34AE" w:rsidRDefault="001A34AE" w:rsidP="001A34AE">
      <w:pPr>
        <w:rPr>
          <w:rFonts w:ascii="Calibri" w:hAnsi="Calibri" w:cs="Calibri"/>
          <w:color w:val="000000" w:themeColor="text1"/>
        </w:rPr>
      </w:pPr>
      <w:r w:rsidRPr="0A7F0644">
        <w:rPr>
          <w:rFonts w:ascii="Calibri" w:hAnsi="Calibri" w:cs="Calibri"/>
          <w:color w:val="000000" w:themeColor="text1"/>
        </w:rPr>
        <w:t xml:space="preserve">§ 2º  Caso o emissor </w:t>
      </w:r>
      <w:r w:rsidR="0018788D">
        <w:rPr>
          <w:rFonts w:ascii="Calibri" w:hAnsi="Calibri" w:cs="Calibri"/>
          <w:color w:val="000000" w:themeColor="text1"/>
        </w:rPr>
        <w:t xml:space="preserve">estrangeiro </w:t>
      </w:r>
      <w:r w:rsidRPr="0A7F0644">
        <w:rPr>
          <w:rFonts w:ascii="Calibri" w:hAnsi="Calibri" w:cs="Calibri"/>
          <w:color w:val="000000" w:themeColor="text1"/>
        </w:rPr>
        <w:t>tenha ações ou certificados de depósito de ações admitidos à negociação em mais de um ambiente de mercado no exterior e o volume total negociado nesses ambientes exceda o volume negociado em ambientes de mercado no Brasil nos 12 (doze) meses anteriores, será considerado principal mercado de negociação o ambiente de mercado no exterior que, no mesmo período, tenha apresentado maior volume de negociação.</w:t>
      </w:r>
    </w:p>
    <w:p w14:paraId="0B631BF6" w14:textId="073BC2D6" w:rsidR="001A34AE" w:rsidRDefault="001A34AE" w:rsidP="00121FE0">
      <w:pPr>
        <w:rPr>
          <w:rFonts w:ascii="Calibri" w:hAnsi="Calibri" w:cs="Calibri"/>
          <w:color w:val="000000" w:themeColor="text1"/>
        </w:rPr>
      </w:pPr>
      <w:r w:rsidRPr="0A7F0644">
        <w:rPr>
          <w:rFonts w:ascii="Calibri" w:hAnsi="Calibri" w:cs="Calibri"/>
          <w:color w:val="000000" w:themeColor="text1"/>
        </w:rPr>
        <w:t xml:space="preserve">§ 3º  Para fins dos §§ 1º e 2º deste artigo, caso as ações do emissor </w:t>
      </w:r>
      <w:r w:rsidR="0018788D">
        <w:rPr>
          <w:rFonts w:ascii="Calibri" w:hAnsi="Calibri" w:cs="Calibri"/>
          <w:color w:val="000000" w:themeColor="text1"/>
        </w:rPr>
        <w:t xml:space="preserve">estrangeiro </w:t>
      </w:r>
      <w:r w:rsidRPr="0A7F0644">
        <w:rPr>
          <w:rFonts w:ascii="Calibri" w:hAnsi="Calibri" w:cs="Calibri"/>
          <w:color w:val="000000" w:themeColor="text1"/>
        </w:rPr>
        <w:t>estejam admitidas à negociação por período inferior a 12 (doze) meses, será considerado o período decorrido desde a admissão à negociação.</w:t>
      </w:r>
    </w:p>
    <w:p w14:paraId="743455A6" w14:textId="77777777" w:rsidR="001A34AE" w:rsidRPr="007325B9" w:rsidRDefault="001A34AE" w:rsidP="001A34AE">
      <w:pPr>
        <w:rPr>
          <w:rFonts w:ascii="Calibri" w:hAnsi="Calibri" w:cs="Calibri"/>
          <w:color w:val="000000" w:themeColor="text1"/>
        </w:rPr>
      </w:pPr>
      <w:r w:rsidRPr="007325B9">
        <w:rPr>
          <w:rFonts w:ascii="Calibri" w:hAnsi="Calibri" w:cs="Calibri"/>
          <w:color w:val="000000" w:themeColor="text1"/>
        </w:rPr>
        <w:t xml:space="preserve">§ </w:t>
      </w:r>
      <w:r>
        <w:rPr>
          <w:rFonts w:ascii="Calibri" w:hAnsi="Calibri" w:cs="Calibri"/>
          <w:color w:val="000000" w:themeColor="text1"/>
        </w:rPr>
        <w:t>4</w:t>
      </w:r>
      <w:r w:rsidRPr="007325B9">
        <w:rPr>
          <w:rFonts w:ascii="Calibri" w:hAnsi="Calibri" w:cs="Calibri"/>
          <w:color w:val="000000" w:themeColor="text1"/>
        </w:rPr>
        <w:t>º  A classificação de “mercado reconhecido” pela entidade administradora de mercado organizado de valores mobiliários deve considerar, dentre outros fatores:</w:t>
      </w:r>
    </w:p>
    <w:p w14:paraId="16C6C4BB" w14:textId="77777777" w:rsidR="001A34AE" w:rsidRPr="007325B9" w:rsidRDefault="001A34AE" w:rsidP="001A34AE">
      <w:pPr>
        <w:rPr>
          <w:rFonts w:ascii="Calibri" w:hAnsi="Calibri" w:cs="Calibri"/>
          <w:color w:val="000000" w:themeColor="text1"/>
        </w:rPr>
      </w:pPr>
      <w:r w:rsidRPr="007325B9">
        <w:rPr>
          <w:rFonts w:ascii="Calibri" w:hAnsi="Calibri" w:cs="Calibri"/>
          <w:color w:val="000000" w:themeColor="text1"/>
        </w:rPr>
        <w:t>I – a transparência, a adequada prestação de informações, a liquidez, o histórico e os mecanismos de proteção a investidores existentes no mercado estrangeiro; e</w:t>
      </w:r>
    </w:p>
    <w:p w14:paraId="6276047C" w14:textId="620E1D0F" w:rsidR="001A34AE" w:rsidRDefault="001A34AE" w:rsidP="001A34AE">
      <w:pPr>
        <w:rPr>
          <w:rFonts w:ascii="Calibri" w:hAnsi="Calibri" w:cs="Calibri"/>
          <w:color w:val="000000" w:themeColor="text1"/>
        </w:rPr>
      </w:pPr>
      <w:r w:rsidRPr="007325B9">
        <w:rPr>
          <w:rFonts w:ascii="Calibri" w:hAnsi="Calibri" w:cs="Calibri"/>
          <w:color w:val="000000" w:themeColor="text1"/>
        </w:rPr>
        <w:t>II – os riscos à preservação da integridade e higidez do mercado que administra e da sua imagem e reputação, enquanto entidade administradora de mercado organizado de valores mobiliários.</w:t>
      </w:r>
    </w:p>
    <w:p w14:paraId="527DBB63" w14:textId="18907A56" w:rsidR="00254307" w:rsidRDefault="00254307" w:rsidP="001A34AE">
      <w:pPr>
        <w:rPr>
          <w:rFonts w:ascii="Calibri" w:hAnsi="Calibri" w:cs="Calibri"/>
          <w:color w:val="000000" w:themeColor="text1"/>
        </w:rPr>
      </w:pPr>
      <w:r>
        <w:rPr>
          <w:rFonts w:ascii="Calibri" w:hAnsi="Calibri" w:cs="Calibri"/>
          <w:color w:val="000000" w:themeColor="text1"/>
        </w:rPr>
        <w:t xml:space="preserve">§ 5º  </w:t>
      </w:r>
      <w:r w:rsidRPr="0A7F0644">
        <w:rPr>
          <w:rFonts w:ascii="Calibri" w:hAnsi="Calibri" w:cs="Calibri"/>
          <w:color w:val="000000" w:themeColor="text1"/>
        </w:rPr>
        <w:t xml:space="preserve">Se, após a verificação inicial dos requisitos do </w:t>
      </w:r>
      <w:r w:rsidRPr="0A7F0644">
        <w:rPr>
          <w:rFonts w:ascii="Calibri" w:hAnsi="Calibri" w:cs="Calibri"/>
          <w:b/>
          <w:bCs/>
          <w:color w:val="000000" w:themeColor="text1"/>
        </w:rPr>
        <w:t>caput</w:t>
      </w:r>
      <w:r w:rsidRPr="0A7F0644">
        <w:rPr>
          <w:rFonts w:ascii="Calibri" w:hAnsi="Calibri" w:cs="Calibri"/>
          <w:color w:val="000000" w:themeColor="text1"/>
        </w:rPr>
        <w:t>, o volume de negociação dos ativos no “mercado reconhecido” vier a ser superado pelo volume de negociação em outro mercado</w:t>
      </w:r>
      <w:r>
        <w:rPr>
          <w:rFonts w:ascii="Calibri" w:hAnsi="Calibri" w:cs="Calibri"/>
          <w:color w:val="000000" w:themeColor="text1"/>
        </w:rPr>
        <w:t xml:space="preserve">, o emissor </w:t>
      </w:r>
      <w:r w:rsidR="0018788D">
        <w:rPr>
          <w:rFonts w:ascii="Calibri" w:hAnsi="Calibri" w:cs="Calibri"/>
          <w:color w:val="000000" w:themeColor="text1"/>
        </w:rPr>
        <w:t xml:space="preserve">estrangeiro </w:t>
      </w:r>
      <w:r>
        <w:rPr>
          <w:rFonts w:ascii="Calibri" w:hAnsi="Calibri" w:cs="Calibri"/>
          <w:color w:val="000000" w:themeColor="text1"/>
        </w:rPr>
        <w:t>manterá seu registro, desde que os valores mobiliários de sua emissão permaneçam admitidos à negociação no “mercado reconhecido” em que tenha originalmente obtido sua listagem.</w:t>
      </w:r>
    </w:p>
    <w:p w14:paraId="6496FEFB" w14:textId="48DF1D45" w:rsidR="001A34AE" w:rsidRDefault="001A34AE" w:rsidP="001A34AE">
      <w:pPr>
        <w:rPr>
          <w:rFonts w:ascii="Calibri" w:hAnsi="Calibri" w:cs="Calibri"/>
          <w:color w:val="000000" w:themeColor="text1"/>
        </w:rPr>
      </w:pPr>
      <w:r>
        <w:rPr>
          <w:rFonts w:ascii="Calibri" w:hAnsi="Calibri" w:cs="Calibri"/>
          <w:color w:val="000000" w:themeColor="text1"/>
        </w:rPr>
        <w:t xml:space="preserve">§ </w:t>
      </w:r>
      <w:r w:rsidR="00254307">
        <w:rPr>
          <w:rFonts w:ascii="Calibri" w:hAnsi="Calibri" w:cs="Calibri"/>
          <w:color w:val="000000" w:themeColor="text1"/>
        </w:rPr>
        <w:t xml:space="preserve">6º  </w:t>
      </w:r>
      <w:r>
        <w:rPr>
          <w:rFonts w:ascii="Calibri" w:hAnsi="Calibri" w:cs="Calibri"/>
          <w:color w:val="000000" w:themeColor="text1"/>
        </w:rPr>
        <w:t>O disposto neste artigo se aplica aos emissores estrangeiros de títulos representativos de dívida</w:t>
      </w:r>
      <w:r w:rsidR="00806C0D">
        <w:rPr>
          <w:rFonts w:ascii="Calibri" w:hAnsi="Calibri" w:cs="Calibri"/>
          <w:color w:val="000000" w:themeColor="text1"/>
        </w:rPr>
        <w:t xml:space="preserve"> que requeiram o registro na categoria B</w:t>
      </w:r>
      <w:r>
        <w:rPr>
          <w:rFonts w:ascii="Calibri" w:hAnsi="Calibri" w:cs="Calibri"/>
          <w:color w:val="000000" w:themeColor="text1"/>
        </w:rPr>
        <w:t xml:space="preserve">, sendo admitida nessa hipótese a possibilidade de que </w:t>
      </w:r>
      <w:r>
        <w:t xml:space="preserve">o principal </w:t>
      </w:r>
      <w:r>
        <w:lastRenderedPageBreak/>
        <w:t xml:space="preserve">mercado de negociação </w:t>
      </w:r>
      <w:r w:rsidR="00C17A82">
        <w:t xml:space="preserve"> não seja um bolsa de valores, desde que seja um mercado </w:t>
      </w:r>
      <w:r w:rsidR="00110A47">
        <w:t xml:space="preserve">organizado de valores mobiliários </w:t>
      </w:r>
      <w:r w:rsidR="00D80337">
        <w:t xml:space="preserve">administrado pelas entidades que administram os </w:t>
      </w:r>
      <w:r w:rsidR="00E02F64">
        <w:t>ambientes classificados como “mercados reconhecidos” nos termos d</w:t>
      </w:r>
      <w:r w:rsidR="009D039E">
        <w:t>este artigo.</w:t>
      </w:r>
    </w:p>
    <w:p w14:paraId="7550651A" w14:textId="0BD5228C" w:rsidR="001A34AE" w:rsidRDefault="001A34AE" w:rsidP="00D0410F">
      <w:pPr>
        <w:rPr>
          <w:rFonts w:ascii="Calibri" w:hAnsi="Calibri" w:cs="Calibri"/>
          <w:color w:val="000000" w:themeColor="text1"/>
        </w:rPr>
      </w:pPr>
      <w:r>
        <w:t>Art. 4</w:t>
      </w:r>
      <w:r w:rsidR="007075CA">
        <w:t xml:space="preserve">º  </w:t>
      </w:r>
      <w:r w:rsidR="00D0410F">
        <w:t>Para que obtenha seu registro com base no cumprimento deste artigo,</w:t>
      </w:r>
      <w:r w:rsidRPr="0A7F0644">
        <w:rPr>
          <w:rFonts w:ascii="Calibri" w:hAnsi="Calibri" w:cs="Calibri"/>
          <w:color w:val="000000" w:themeColor="text1"/>
        </w:rPr>
        <w:t xml:space="preserve"> o</w:t>
      </w:r>
      <w:r>
        <w:rPr>
          <w:rFonts w:ascii="Calibri" w:hAnsi="Calibri" w:cs="Calibri"/>
          <w:color w:val="000000" w:themeColor="text1"/>
        </w:rPr>
        <w:t xml:space="preserve"> </w:t>
      </w:r>
      <w:r w:rsidRPr="0A7F0644">
        <w:rPr>
          <w:rFonts w:ascii="Calibri" w:hAnsi="Calibri" w:cs="Calibri"/>
          <w:color w:val="000000" w:themeColor="text1"/>
        </w:rPr>
        <w:t xml:space="preserve">emissor </w:t>
      </w:r>
      <w:r w:rsidR="00806C0D">
        <w:rPr>
          <w:rFonts w:ascii="Calibri" w:hAnsi="Calibri" w:cs="Calibri"/>
          <w:color w:val="000000" w:themeColor="text1"/>
        </w:rPr>
        <w:t xml:space="preserve">estrangeiro </w:t>
      </w:r>
      <w:r>
        <w:rPr>
          <w:rFonts w:ascii="Calibri" w:hAnsi="Calibri" w:cs="Calibri"/>
          <w:color w:val="000000" w:themeColor="text1"/>
        </w:rPr>
        <w:t>deve</w:t>
      </w:r>
      <w:r w:rsidR="00D0410F">
        <w:rPr>
          <w:rFonts w:ascii="Calibri" w:hAnsi="Calibri" w:cs="Calibri"/>
          <w:color w:val="000000" w:themeColor="text1"/>
        </w:rPr>
        <w:t xml:space="preserve"> atender cumulativamente as seguintes condições</w:t>
      </w:r>
      <w:r w:rsidRPr="0A7F0644">
        <w:rPr>
          <w:rFonts w:ascii="Calibri" w:hAnsi="Calibri" w:cs="Calibri"/>
          <w:color w:val="000000" w:themeColor="text1"/>
        </w:rPr>
        <w:t>:</w:t>
      </w:r>
    </w:p>
    <w:p w14:paraId="28437E13" w14:textId="77B53117" w:rsidR="001A34AE" w:rsidRDefault="00D0410F" w:rsidP="001A34AE">
      <w:pPr>
        <w:rPr>
          <w:rFonts w:ascii="Calibri" w:hAnsi="Calibri" w:cs="Calibri"/>
          <w:color w:val="000000" w:themeColor="text1"/>
        </w:rPr>
      </w:pPr>
      <w:r>
        <w:rPr>
          <w:rFonts w:ascii="Calibri" w:hAnsi="Calibri" w:cs="Calibri"/>
          <w:color w:val="000000" w:themeColor="text1"/>
        </w:rPr>
        <w:t>I –</w:t>
      </w:r>
      <w:r w:rsidR="001A34AE" w:rsidRPr="10A54817">
        <w:rPr>
          <w:rFonts w:ascii="Calibri" w:hAnsi="Calibri" w:cs="Calibri"/>
          <w:color w:val="000000" w:themeColor="text1"/>
        </w:rPr>
        <w:t xml:space="preserve"> ser </w:t>
      </w:r>
      <w:r w:rsidR="00F34693">
        <w:rPr>
          <w:rFonts w:ascii="Calibri" w:hAnsi="Calibri" w:cs="Calibri"/>
          <w:color w:val="000000" w:themeColor="text1"/>
        </w:rPr>
        <w:t>um emissor estrangeiro</w:t>
      </w:r>
      <w:r w:rsidR="001A34AE" w:rsidRPr="10A54817">
        <w:rPr>
          <w:rFonts w:ascii="Calibri" w:hAnsi="Calibri" w:cs="Calibri"/>
          <w:color w:val="000000" w:themeColor="text1"/>
        </w:rPr>
        <w:t xml:space="preserve"> há mais de 18 (dezoito) meses; e</w:t>
      </w:r>
    </w:p>
    <w:p w14:paraId="40485A78" w14:textId="7D294207" w:rsidR="001A34AE" w:rsidRDefault="00D0410F" w:rsidP="001A34AE">
      <w:pPr>
        <w:rPr>
          <w:rFonts w:ascii="Calibri" w:hAnsi="Calibri" w:cs="Calibri"/>
          <w:color w:val="000000" w:themeColor="text1"/>
        </w:rPr>
      </w:pPr>
      <w:r>
        <w:rPr>
          <w:rFonts w:ascii="Calibri" w:hAnsi="Calibri" w:cs="Calibri"/>
          <w:color w:val="000000" w:themeColor="text1"/>
        </w:rPr>
        <w:t>II –</w:t>
      </w:r>
      <w:r w:rsidR="001A34AE" w:rsidRPr="0A7F0644">
        <w:rPr>
          <w:rFonts w:ascii="Calibri" w:hAnsi="Calibri" w:cs="Calibri"/>
          <w:color w:val="000000" w:themeColor="text1"/>
        </w:rPr>
        <w:t xml:space="preserve"> nos 18 (dezoito) meses anteriores: </w:t>
      </w:r>
    </w:p>
    <w:p w14:paraId="32C396F2" w14:textId="0536733E" w:rsidR="001A34AE" w:rsidRDefault="00D0410F" w:rsidP="001A34AE">
      <w:pPr>
        <w:rPr>
          <w:rFonts w:ascii="Calibri" w:hAnsi="Calibri" w:cs="Calibri"/>
          <w:color w:val="000000" w:themeColor="text1"/>
        </w:rPr>
      </w:pPr>
      <w:r>
        <w:rPr>
          <w:rFonts w:ascii="Calibri" w:hAnsi="Calibri" w:cs="Calibri"/>
          <w:color w:val="000000" w:themeColor="text1"/>
        </w:rPr>
        <w:t>a)</w:t>
      </w:r>
      <w:r w:rsidR="001A34AE" w:rsidRPr="0A7F0644">
        <w:rPr>
          <w:rFonts w:ascii="Calibri" w:hAnsi="Calibri" w:cs="Calibri"/>
          <w:color w:val="000000" w:themeColor="text1"/>
        </w:rPr>
        <w:t xml:space="preserve"> ter mantido ininterruptamente ao menos </w:t>
      </w:r>
      <w:r w:rsidR="00932CE8">
        <w:rPr>
          <w:rFonts w:ascii="Calibri" w:hAnsi="Calibri" w:cs="Calibri"/>
          <w:color w:val="000000" w:themeColor="text1"/>
        </w:rPr>
        <w:t>10</w:t>
      </w:r>
      <w:r w:rsidR="001A34AE" w:rsidRPr="0A7F0644">
        <w:rPr>
          <w:rFonts w:ascii="Calibri" w:hAnsi="Calibri" w:cs="Calibri"/>
          <w:color w:val="000000" w:themeColor="text1"/>
        </w:rPr>
        <w:t>% (</w:t>
      </w:r>
      <w:r w:rsidR="00932CE8">
        <w:rPr>
          <w:rFonts w:ascii="Calibri" w:hAnsi="Calibri" w:cs="Calibri"/>
          <w:color w:val="000000" w:themeColor="text1"/>
        </w:rPr>
        <w:t>dez</w:t>
      </w:r>
      <w:r w:rsidR="00932CE8" w:rsidRPr="0A7F0644">
        <w:rPr>
          <w:rFonts w:ascii="Calibri" w:hAnsi="Calibri" w:cs="Calibri"/>
          <w:color w:val="000000" w:themeColor="text1"/>
        </w:rPr>
        <w:t xml:space="preserve"> </w:t>
      </w:r>
      <w:r w:rsidR="001A34AE" w:rsidRPr="0A7F0644">
        <w:rPr>
          <w:rFonts w:ascii="Calibri" w:hAnsi="Calibri" w:cs="Calibri"/>
          <w:color w:val="000000" w:themeColor="text1"/>
        </w:rPr>
        <w:t>por cento) das ações representativas de seu capital social em circulação; e</w:t>
      </w:r>
    </w:p>
    <w:p w14:paraId="1482843B" w14:textId="4658B167" w:rsidR="001A34AE" w:rsidRDefault="00D0410F" w:rsidP="00121FE0">
      <w:pPr>
        <w:rPr>
          <w:rFonts w:ascii="Calibri" w:hAnsi="Calibri" w:cs="Calibri"/>
          <w:color w:val="000000" w:themeColor="text1"/>
        </w:rPr>
      </w:pPr>
      <w:r>
        <w:rPr>
          <w:rFonts w:ascii="Calibri" w:hAnsi="Calibri" w:cs="Calibri"/>
          <w:color w:val="000000" w:themeColor="text1"/>
        </w:rPr>
        <w:t>b)</w:t>
      </w:r>
      <w:r w:rsidR="001A34AE" w:rsidRPr="0A7F0644">
        <w:rPr>
          <w:rFonts w:ascii="Calibri" w:hAnsi="Calibri" w:cs="Calibri"/>
          <w:color w:val="000000" w:themeColor="text1"/>
        </w:rPr>
        <w:t xml:space="preserve"> ter mantido, na soma do volume financeiro de negociação </w:t>
      </w:r>
      <w:r w:rsidR="00283F1C">
        <w:rPr>
          <w:rFonts w:ascii="Calibri" w:hAnsi="Calibri" w:cs="Calibri"/>
          <w:color w:val="000000" w:themeColor="text1"/>
        </w:rPr>
        <w:t xml:space="preserve">no exterior </w:t>
      </w:r>
      <w:r w:rsidR="00717F6D">
        <w:rPr>
          <w:rFonts w:ascii="Calibri" w:hAnsi="Calibri" w:cs="Calibri"/>
          <w:color w:val="000000" w:themeColor="text1"/>
        </w:rPr>
        <w:t>de</w:t>
      </w:r>
      <w:r w:rsidR="00717F6D" w:rsidRPr="0A7F0644">
        <w:rPr>
          <w:rFonts w:ascii="Calibri" w:hAnsi="Calibri" w:cs="Calibri"/>
          <w:color w:val="000000" w:themeColor="text1"/>
        </w:rPr>
        <w:t xml:space="preserve"> </w:t>
      </w:r>
      <w:r w:rsidR="001A34AE" w:rsidRPr="0A7F0644">
        <w:rPr>
          <w:rFonts w:ascii="Calibri" w:hAnsi="Calibri" w:cs="Calibri"/>
          <w:color w:val="000000" w:themeColor="text1"/>
        </w:rPr>
        <w:t xml:space="preserve">ações e de certificados de depósito de valores mobiliários lastreados em ações, montante </w:t>
      </w:r>
      <w:r w:rsidR="00717F6D">
        <w:rPr>
          <w:rFonts w:ascii="Calibri" w:hAnsi="Calibri" w:cs="Calibri"/>
          <w:color w:val="000000" w:themeColor="text1"/>
        </w:rPr>
        <w:t xml:space="preserve">médio diário </w:t>
      </w:r>
      <w:r w:rsidR="001A34AE" w:rsidRPr="0A7F0644">
        <w:rPr>
          <w:rFonts w:ascii="Calibri" w:hAnsi="Calibri" w:cs="Calibri"/>
          <w:color w:val="000000" w:themeColor="text1"/>
        </w:rPr>
        <w:t>igual ou superior a R$</w:t>
      </w:r>
      <w:r w:rsidR="00932CE8">
        <w:rPr>
          <w:rFonts w:ascii="Calibri" w:hAnsi="Calibri" w:cs="Calibri"/>
          <w:color w:val="000000" w:themeColor="text1"/>
        </w:rPr>
        <w:t>10</w:t>
      </w:r>
      <w:r w:rsidR="001A34AE" w:rsidRPr="0A7F0644">
        <w:rPr>
          <w:rFonts w:ascii="Calibri" w:hAnsi="Calibri" w:cs="Calibri"/>
          <w:color w:val="000000" w:themeColor="text1"/>
        </w:rPr>
        <w:t>.000.000,00 (</w:t>
      </w:r>
      <w:r w:rsidR="00932CE8">
        <w:rPr>
          <w:rFonts w:ascii="Calibri" w:hAnsi="Calibri" w:cs="Calibri"/>
          <w:color w:val="000000" w:themeColor="text1"/>
        </w:rPr>
        <w:t>dez</w:t>
      </w:r>
      <w:r w:rsidR="001A34AE" w:rsidRPr="0A7F0644">
        <w:rPr>
          <w:rFonts w:ascii="Calibri" w:hAnsi="Calibri" w:cs="Calibri"/>
          <w:color w:val="000000" w:themeColor="text1"/>
        </w:rPr>
        <w:t xml:space="preserve"> milhões de reais)</w:t>
      </w:r>
      <w:r w:rsidR="003A61EE">
        <w:rPr>
          <w:rFonts w:ascii="Calibri" w:hAnsi="Calibri" w:cs="Calibri"/>
          <w:color w:val="000000" w:themeColor="text1"/>
        </w:rPr>
        <w:t>.</w:t>
      </w:r>
    </w:p>
    <w:p w14:paraId="3EF06A1F" w14:textId="22A3DD76" w:rsidR="003A61EE" w:rsidRDefault="003A61EE" w:rsidP="003A61EE">
      <w:r>
        <w:rPr>
          <w:rFonts w:ascii="Calibri" w:hAnsi="Calibri" w:cs="Calibri"/>
          <w:color w:val="000000" w:themeColor="text1"/>
        </w:rPr>
        <w:t xml:space="preserve">Parágrafo único.  </w:t>
      </w:r>
      <w:r>
        <w:t xml:space="preserve">Se, após a verificação inicial dos requisitos do </w:t>
      </w:r>
      <w:r>
        <w:rPr>
          <w:b/>
          <w:bCs/>
        </w:rPr>
        <w:t>caput</w:t>
      </w:r>
      <w:r>
        <w:t>, o percentual de ações em circulação ou o volume de negociação ficarem abaixo dos patamares lá previstos, o emissor</w:t>
      </w:r>
      <w:r w:rsidRPr="003A61EE">
        <w:rPr>
          <w:rFonts w:ascii="Calibri" w:hAnsi="Calibri" w:cs="Calibri"/>
          <w:color w:val="000000" w:themeColor="text1"/>
        </w:rPr>
        <w:t xml:space="preserve"> </w:t>
      </w:r>
      <w:r w:rsidR="00806C0D">
        <w:rPr>
          <w:rFonts w:ascii="Calibri" w:hAnsi="Calibri" w:cs="Calibri"/>
          <w:color w:val="000000" w:themeColor="text1"/>
        </w:rPr>
        <w:t xml:space="preserve">estrangeiro </w:t>
      </w:r>
      <w:r>
        <w:rPr>
          <w:rFonts w:ascii="Calibri" w:hAnsi="Calibri" w:cs="Calibri"/>
          <w:color w:val="000000" w:themeColor="text1"/>
        </w:rPr>
        <w:t>manterá seu registro, desde que os valores mobiliários de sua emissão permaneçam admitidos à negociação no mercado em que tenha originalmente obtido sua listagem</w:t>
      </w:r>
      <w:r>
        <w:t>.</w:t>
      </w:r>
    </w:p>
    <w:p w14:paraId="6E177564" w14:textId="32F8BF99" w:rsidR="001A34AE" w:rsidRDefault="003A61EE" w:rsidP="00121FE0">
      <w:pPr>
        <w:rPr>
          <w:rFonts w:ascii="Calibri" w:hAnsi="Calibri" w:cs="Calibri"/>
          <w:color w:val="000000" w:themeColor="text1"/>
        </w:rPr>
      </w:pPr>
      <w:r w:rsidRPr="00682218">
        <w:rPr>
          <w:rFonts w:ascii="Calibri" w:hAnsi="Calibri" w:cs="Calibri"/>
          <w:color w:val="000000" w:themeColor="text1"/>
        </w:rPr>
        <w:t>Art. 5º</w:t>
      </w:r>
      <w:r w:rsidR="00682218">
        <w:rPr>
          <w:rFonts w:ascii="Calibri" w:hAnsi="Calibri" w:cs="Calibri"/>
          <w:color w:val="000000" w:themeColor="text1"/>
        </w:rPr>
        <w:t xml:space="preserve">  </w:t>
      </w:r>
      <w:r w:rsidR="00682218">
        <w:t>Para que obtenha seu registro com base no cumprimento deste artigo,</w:t>
      </w:r>
      <w:r w:rsidR="00682218" w:rsidRPr="0A7F0644">
        <w:rPr>
          <w:rFonts w:ascii="Calibri" w:hAnsi="Calibri" w:cs="Calibri"/>
          <w:color w:val="000000" w:themeColor="text1"/>
        </w:rPr>
        <w:t xml:space="preserve"> </w:t>
      </w:r>
      <w:r w:rsidR="001A34AE" w:rsidRPr="10A54817">
        <w:rPr>
          <w:rFonts w:ascii="Calibri" w:hAnsi="Calibri" w:cs="Calibri"/>
          <w:color w:val="000000" w:themeColor="text1"/>
        </w:rPr>
        <w:t>o</w:t>
      </w:r>
      <w:r w:rsidR="001A34AE">
        <w:rPr>
          <w:rFonts w:ascii="Calibri" w:hAnsi="Calibri" w:cs="Calibri"/>
          <w:color w:val="000000" w:themeColor="text1"/>
        </w:rPr>
        <w:t xml:space="preserve"> </w:t>
      </w:r>
      <w:r w:rsidR="001A34AE" w:rsidRPr="10A54817">
        <w:rPr>
          <w:rFonts w:ascii="Calibri" w:hAnsi="Calibri" w:cs="Calibri"/>
          <w:color w:val="000000" w:themeColor="text1"/>
        </w:rPr>
        <w:t xml:space="preserve">emissor </w:t>
      </w:r>
      <w:r w:rsidR="00806C0D">
        <w:rPr>
          <w:rFonts w:ascii="Calibri" w:hAnsi="Calibri" w:cs="Calibri"/>
          <w:color w:val="000000" w:themeColor="text1"/>
        </w:rPr>
        <w:t xml:space="preserve">estrangeiro </w:t>
      </w:r>
      <w:r w:rsidR="001A34AE">
        <w:rPr>
          <w:rFonts w:ascii="Calibri" w:hAnsi="Calibri" w:cs="Calibri"/>
          <w:color w:val="000000" w:themeColor="text1"/>
        </w:rPr>
        <w:t xml:space="preserve">deve ter </w:t>
      </w:r>
      <w:r w:rsidR="001A34AE" w:rsidRPr="10A54817">
        <w:rPr>
          <w:rFonts w:ascii="Calibri" w:hAnsi="Calibri" w:cs="Calibri"/>
          <w:color w:val="000000" w:themeColor="text1"/>
        </w:rPr>
        <w:t xml:space="preserve">sede em país </w:t>
      </w:r>
      <w:r w:rsidR="0089175D">
        <w:rPr>
          <w:rFonts w:ascii="Calibri" w:hAnsi="Calibri" w:cs="Calibri"/>
          <w:color w:val="000000" w:themeColor="text1"/>
        </w:rPr>
        <w:t>cujo supervisor local</w:t>
      </w:r>
      <w:r w:rsidR="001A34AE" w:rsidRPr="10A54817">
        <w:rPr>
          <w:rFonts w:ascii="Calibri" w:hAnsi="Calibri" w:cs="Calibri"/>
          <w:color w:val="000000" w:themeColor="text1"/>
        </w:rPr>
        <w:t xml:space="preserve"> tenha celebrado com a CVM acordo bilateral específico voltado a cooperação, troca de informações e aumento da efetividade das medidas de fiscalização e supervisão, inclusive das que digam respeito aos emissores de valores mobiliários sediados naquele país.</w:t>
      </w:r>
    </w:p>
    <w:p w14:paraId="14FF72BE" w14:textId="1E3964FB" w:rsidR="001A34AE" w:rsidRDefault="001A34AE" w:rsidP="001A34AE">
      <w:pPr>
        <w:rPr>
          <w:rFonts w:ascii="Calibri" w:hAnsi="Calibri" w:cs="Calibri"/>
          <w:color w:val="000000" w:themeColor="text1"/>
        </w:rPr>
      </w:pPr>
      <w:r w:rsidRPr="0A7F0644">
        <w:rPr>
          <w:rFonts w:ascii="Calibri" w:hAnsi="Calibri" w:cs="Calibri"/>
          <w:color w:val="000000" w:themeColor="text1"/>
        </w:rPr>
        <w:t>§ 1º  Ao decidir sobre a celebração do acordo referido no</w:t>
      </w:r>
      <w:r w:rsidR="0018788D">
        <w:rPr>
          <w:rFonts w:ascii="Calibri" w:hAnsi="Calibri" w:cs="Calibri"/>
          <w:color w:val="000000" w:themeColor="text1"/>
        </w:rPr>
        <w:t xml:space="preserve"> </w:t>
      </w:r>
      <w:r w:rsidR="00682218" w:rsidRPr="00606D83">
        <w:rPr>
          <w:rFonts w:ascii="Calibri" w:hAnsi="Calibri" w:cs="Calibri"/>
          <w:b/>
          <w:bCs/>
          <w:color w:val="000000" w:themeColor="text1"/>
        </w:rPr>
        <w:t>caput</w:t>
      </w:r>
      <w:r w:rsidRPr="0A7F0644">
        <w:rPr>
          <w:rFonts w:ascii="Calibri" w:hAnsi="Calibri" w:cs="Calibri"/>
          <w:color w:val="000000" w:themeColor="text1"/>
        </w:rPr>
        <w:t xml:space="preserve">, a CVM deve considerar ainda o arcabouço legal e regulatório de proteção a direitos de acionistas </w:t>
      </w:r>
      <w:r w:rsidR="00DF0F58">
        <w:rPr>
          <w:rFonts w:ascii="Calibri" w:hAnsi="Calibri" w:cs="Calibri"/>
          <w:color w:val="000000" w:themeColor="text1"/>
        </w:rPr>
        <w:t xml:space="preserve">e de titulares de títulos representativos de dívida </w:t>
      </w:r>
      <w:r w:rsidRPr="0A7F0644">
        <w:rPr>
          <w:rFonts w:ascii="Calibri" w:hAnsi="Calibri" w:cs="Calibri"/>
          <w:color w:val="000000" w:themeColor="text1"/>
        </w:rPr>
        <w:t xml:space="preserve">no país </w:t>
      </w:r>
      <w:r w:rsidR="006663A8">
        <w:rPr>
          <w:rFonts w:ascii="Calibri" w:hAnsi="Calibri" w:cs="Calibri"/>
          <w:color w:val="000000" w:themeColor="text1"/>
        </w:rPr>
        <w:t>da sede do</w:t>
      </w:r>
      <w:r w:rsidRPr="0A7F0644">
        <w:rPr>
          <w:rFonts w:ascii="Calibri" w:hAnsi="Calibri" w:cs="Calibri"/>
          <w:color w:val="000000" w:themeColor="text1"/>
        </w:rPr>
        <w:t xml:space="preserve"> emissor</w:t>
      </w:r>
      <w:r w:rsidR="00806C0D">
        <w:rPr>
          <w:rFonts w:ascii="Calibri" w:hAnsi="Calibri" w:cs="Calibri"/>
          <w:color w:val="000000" w:themeColor="text1"/>
        </w:rPr>
        <w:t xml:space="preserve"> estrangeiro</w:t>
      </w:r>
      <w:r w:rsidRPr="0A7F0644">
        <w:rPr>
          <w:rFonts w:ascii="Calibri" w:hAnsi="Calibri" w:cs="Calibri"/>
          <w:color w:val="000000" w:themeColor="text1"/>
        </w:rPr>
        <w:t>.</w:t>
      </w:r>
    </w:p>
    <w:p w14:paraId="5D0023B2" w14:textId="6CD14785" w:rsidR="00D0632E" w:rsidRPr="00D0632E" w:rsidRDefault="00D0632E" w:rsidP="001A34AE">
      <w:pPr>
        <w:rPr>
          <w:rFonts w:ascii="Calibri" w:hAnsi="Calibri" w:cs="Calibri"/>
          <w:color w:val="000000" w:themeColor="text1"/>
        </w:rPr>
      </w:pPr>
      <w:r>
        <w:rPr>
          <w:rFonts w:ascii="Calibri" w:hAnsi="Calibri" w:cs="Calibri"/>
          <w:color w:val="000000" w:themeColor="text1"/>
        </w:rPr>
        <w:t xml:space="preserve">§ 2º  A </w:t>
      </w:r>
      <w:r>
        <w:t xml:space="preserve">CVM pode determinar o ajuste ou o cancelamento de </w:t>
      </w:r>
      <w:r w:rsidRPr="0A7F0644">
        <w:rPr>
          <w:rFonts w:ascii="Calibri" w:hAnsi="Calibri" w:cs="Calibri"/>
          <w:color w:val="000000" w:themeColor="text1"/>
        </w:rPr>
        <w:t xml:space="preserve">programas </w:t>
      </w:r>
      <w:r w:rsidR="0031087F">
        <w:rPr>
          <w:rFonts w:ascii="Calibri" w:hAnsi="Calibri" w:cs="Calibri"/>
          <w:color w:val="000000" w:themeColor="text1"/>
        </w:rPr>
        <w:t xml:space="preserve">de emissores </w:t>
      </w:r>
      <w:r w:rsidRPr="0A7F0644">
        <w:rPr>
          <w:rFonts w:ascii="Calibri" w:hAnsi="Calibri" w:cs="Calibri"/>
          <w:color w:val="000000" w:themeColor="text1"/>
        </w:rPr>
        <w:t xml:space="preserve">registrados com base </w:t>
      </w:r>
      <w:r>
        <w:rPr>
          <w:rFonts w:ascii="Calibri" w:hAnsi="Calibri" w:cs="Calibri"/>
          <w:color w:val="000000" w:themeColor="text1"/>
        </w:rPr>
        <w:t>neste artigo</w:t>
      </w:r>
      <w:r w:rsidRPr="0A7F0644">
        <w:rPr>
          <w:rFonts w:ascii="Calibri" w:hAnsi="Calibri" w:cs="Calibri"/>
          <w:color w:val="000000" w:themeColor="text1"/>
        </w:rPr>
        <w:t xml:space="preserve"> em caso de modificação ou rescisão </w:t>
      </w:r>
      <w:r>
        <w:rPr>
          <w:rFonts w:ascii="Calibri" w:hAnsi="Calibri" w:cs="Calibri"/>
          <w:color w:val="000000" w:themeColor="text1"/>
        </w:rPr>
        <w:t xml:space="preserve">dos acordos referidos no </w:t>
      </w:r>
      <w:r>
        <w:rPr>
          <w:rFonts w:ascii="Calibri" w:hAnsi="Calibri" w:cs="Calibri"/>
          <w:b/>
          <w:bCs/>
          <w:color w:val="000000" w:themeColor="text1"/>
        </w:rPr>
        <w:t>caput</w:t>
      </w:r>
      <w:r>
        <w:rPr>
          <w:rFonts w:ascii="Calibri" w:hAnsi="Calibri" w:cs="Calibri"/>
          <w:color w:val="000000" w:themeColor="text1"/>
        </w:rPr>
        <w:t>.</w:t>
      </w:r>
    </w:p>
    <w:p w14:paraId="26E1AEC7" w14:textId="0AEAD42A" w:rsidR="001A34AE" w:rsidRDefault="001A34AE" w:rsidP="001A34AE">
      <w:pPr>
        <w:rPr>
          <w:rFonts w:ascii="Calibri" w:hAnsi="Calibri" w:cs="Calibri"/>
          <w:color w:val="000000" w:themeColor="text1"/>
        </w:rPr>
      </w:pPr>
      <w:r w:rsidRPr="0A7F0644">
        <w:rPr>
          <w:rFonts w:ascii="Calibri" w:hAnsi="Calibri" w:cs="Calibri"/>
          <w:color w:val="000000" w:themeColor="text1"/>
        </w:rPr>
        <w:t xml:space="preserve">§ </w:t>
      </w:r>
      <w:r w:rsidR="00DC5BBC">
        <w:rPr>
          <w:rFonts w:ascii="Calibri" w:hAnsi="Calibri" w:cs="Calibri"/>
          <w:color w:val="000000" w:themeColor="text1"/>
        </w:rPr>
        <w:t>3</w:t>
      </w:r>
      <w:r w:rsidRPr="0A7F0644">
        <w:rPr>
          <w:rFonts w:ascii="Calibri" w:hAnsi="Calibri" w:cs="Calibri"/>
          <w:color w:val="000000" w:themeColor="text1"/>
        </w:rPr>
        <w:t xml:space="preserve">º  </w:t>
      </w:r>
      <w:r>
        <w:rPr>
          <w:rFonts w:ascii="Calibri" w:hAnsi="Calibri" w:cs="Calibri"/>
          <w:color w:val="000000" w:themeColor="text1"/>
        </w:rPr>
        <w:t xml:space="preserve">O disposto </w:t>
      </w:r>
      <w:r w:rsidR="00682218">
        <w:rPr>
          <w:rFonts w:ascii="Calibri" w:hAnsi="Calibri" w:cs="Calibri"/>
          <w:color w:val="000000" w:themeColor="text1"/>
        </w:rPr>
        <w:t>neste artigo</w:t>
      </w:r>
      <w:r>
        <w:rPr>
          <w:rFonts w:ascii="Calibri" w:hAnsi="Calibri" w:cs="Calibri"/>
          <w:color w:val="000000" w:themeColor="text1"/>
        </w:rPr>
        <w:t xml:space="preserve"> aplica-se a emissores estrangeiros de títulos representativos de dívida</w:t>
      </w:r>
      <w:r w:rsidR="00806C0D">
        <w:rPr>
          <w:rFonts w:ascii="Calibri" w:hAnsi="Calibri" w:cs="Calibri"/>
          <w:color w:val="000000" w:themeColor="text1"/>
        </w:rPr>
        <w:t xml:space="preserve"> que requeiram o registro na categoria B</w:t>
      </w:r>
      <w:r>
        <w:rPr>
          <w:rFonts w:ascii="Calibri" w:hAnsi="Calibri" w:cs="Calibri"/>
          <w:color w:val="000000" w:themeColor="text1"/>
        </w:rPr>
        <w:t>.</w:t>
      </w:r>
    </w:p>
    <w:p w14:paraId="3AFAD445" w14:textId="227D0351" w:rsidR="001A34AE" w:rsidRDefault="001A34AE" w:rsidP="001A34AE">
      <w:pPr>
        <w:rPr>
          <w:rFonts w:ascii="Calibri" w:hAnsi="Calibri" w:cs="Calibri"/>
          <w:color w:val="000000" w:themeColor="text1"/>
        </w:rPr>
      </w:pPr>
      <w:r>
        <w:rPr>
          <w:rFonts w:ascii="Calibri" w:hAnsi="Calibri" w:cs="Calibri"/>
          <w:color w:val="000000" w:themeColor="text1"/>
        </w:rPr>
        <w:t xml:space="preserve">Art. </w:t>
      </w:r>
      <w:r w:rsidR="00682218">
        <w:rPr>
          <w:rFonts w:ascii="Calibri" w:hAnsi="Calibri" w:cs="Calibri"/>
          <w:color w:val="000000" w:themeColor="text1"/>
        </w:rPr>
        <w:t>6</w:t>
      </w:r>
      <w:r>
        <w:rPr>
          <w:rFonts w:ascii="Calibri" w:hAnsi="Calibri" w:cs="Calibri"/>
          <w:color w:val="000000" w:themeColor="text1"/>
        </w:rPr>
        <w:t xml:space="preserve">°  O cumprimento dos requisitos previstos nos </w:t>
      </w:r>
      <w:proofErr w:type="spellStart"/>
      <w:r>
        <w:rPr>
          <w:rFonts w:ascii="Calibri" w:hAnsi="Calibri" w:cs="Calibri"/>
          <w:color w:val="000000" w:themeColor="text1"/>
        </w:rPr>
        <w:t>art</w:t>
      </w:r>
      <w:r w:rsidR="007075CA">
        <w:rPr>
          <w:rFonts w:ascii="Calibri" w:hAnsi="Calibri" w:cs="Calibri"/>
          <w:color w:val="000000" w:themeColor="text1"/>
        </w:rPr>
        <w:t>s</w:t>
      </w:r>
      <w:proofErr w:type="spellEnd"/>
      <w:r>
        <w:rPr>
          <w:rFonts w:ascii="Calibri" w:hAnsi="Calibri" w:cs="Calibri"/>
          <w:color w:val="000000" w:themeColor="text1"/>
        </w:rPr>
        <w:t>. 3</w:t>
      </w:r>
      <w:r w:rsidR="007075CA">
        <w:rPr>
          <w:rFonts w:ascii="Calibri" w:hAnsi="Calibri" w:cs="Calibri"/>
          <w:color w:val="000000" w:themeColor="text1"/>
        </w:rPr>
        <w:t xml:space="preserve">º, </w:t>
      </w:r>
      <w:r>
        <w:rPr>
          <w:rFonts w:ascii="Calibri" w:hAnsi="Calibri" w:cs="Calibri"/>
          <w:color w:val="000000" w:themeColor="text1"/>
        </w:rPr>
        <w:t>4</w:t>
      </w:r>
      <w:r w:rsidR="007075CA">
        <w:rPr>
          <w:rFonts w:ascii="Calibri" w:hAnsi="Calibri" w:cs="Calibri"/>
          <w:color w:val="000000" w:themeColor="text1"/>
        </w:rPr>
        <w:t xml:space="preserve">º </w:t>
      </w:r>
      <w:r w:rsidR="00682218">
        <w:rPr>
          <w:rFonts w:ascii="Calibri" w:hAnsi="Calibri" w:cs="Calibri"/>
          <w:color w:val="000000" w:themeColor="text1"/>
        </w:rPr>
        <w:t>ou 5º</w:t>
      </w:r>
      <w:r>
        <w:rPr>
          <w:rFonts w:ascii="Calibri" w:hAnsi="Calibri" w:cs="Calibri"/>
          <w:color w:val="000000" w:themeColor="text1"/>
        </w:rPr>
        <w:t>, conforme o caso, deve ser verificado por ocasião de:</w:t>
      </w:r>
    </w:p>
    <w:p w14:paraId="43AE3BF3" w14:textId="77777777" w:rsidR="001A34AE" w:rsidRDefault="001A34AE" w:rsidP="001A34AE">
      <w:pPr>
        <w:rPr>
          <w:rFonts w:ascii="Calibri" w:hAnsi="Calibri" w:cs="Calibri"/>
          <w:color w:val="000000" w:themeColor="text1"/>
        </w:rPr>
      </w:pPr>
      <w:r>
        <w:rPr>
          <w:rFonts w:ascii="Calibri" w:hAnsi="Calibri" w:cs="Calibri"/>
          <w:color w:val="000000" w:themeColor="text1"/>
        </w:rPr>
        <w:lastRenderedPageBreak/>
        <w:t>I – registro de emissor;</w:t>
      </w:r>
    </w:p>
    <w:p w14:paraId="0E3EADCD" w14:textId="77777777" w:rsidR="001A34AE" w:rsidRDefault="001A34AE" w:rsidP="001A34AE">
      <w:pPr>
        <w:rPr>
          <w:rFonts w:ascii="Calibri" w:hAnsi="Calibri" w:cs="Calibri"/>
          <w:color w:val="000000" w:themeColor="text1"/>
        </w:rPr>
      </w:pPr>
      <w:r>
        <w:rPr>
          <w:rFonts w:ascii="Calibri" w:hAnsi="Calibri" w:cs="Calibri"/>
          <w:color w:val="000000" w:themeColor="text1"/>
        </w:rPr>
        <w:t xml:space="preserve">II – realização de oferta pública de distribuição de certificados de depósito de valores mobiliários – </w:t>
      </w:r>
      <w:proofErr w:type="spellStart"/>
      <w:r>
        <w:rPr>
          <w:rFonts w:ascii="Calibri" w:hAnsi="Calibri" w:cs="Calibri"/>
          <w:color w:val="000000" w:themeColor="text1"/>
        </w:rPr>
        <w:t>BDR</w:t>
      </w:r>
      <w:proofErr w:type="spellEnd"/>
      <w:r>
        <w:rPr>
          <w:rFonts w:ascii="Calibri" w:hAnsi="Calibri" w:cs="Calibri"/>
          <w:color w:val="000000" w:themeColor="text1"/>
        </w:rPr>
        <w:t>;</w:t>
      </w:r>
    </w:p>
    <w:p w14:paraId="159E40C1" w14:textId="77777777" w:rsidR="008D565A" w:rsidRDefault="001A34AE" w:rsidP="001A34AE">
      <w:pPr>
        <w:rPr>
          <w:rFonts w:ascii="Calibri" w:hAnsi="Calibri" w:cs="Calibri"/>
          <w:color w:val="000000" w:themeColor="text1"/>
        </w:rPr>
      </w:pPr>
      <w:proofErr w:type="spellStart"/>
      <w:r>
        <w:rPr>
          <w:rFonts w:ascii="Calibri" w:hAnsi="Calibri" w:cs="Calibri"/>
          <w:color w:val="000000" w:themeColor="text1"/>
        </w:rPr>
        <w:t>III</w:t>
      </w:r>
      <w:proofErr w:type="spellEnd"/>
      <w:r>
        <w:rPr>
          <w:rFonts w:ascii="Calibri" w:hAnsi="Calibri" w:cs="Calibri"/>
          <w:color w:val="000000" w:themeColor="text1"/>
        </w:rPr>
        <w:t xml:space="preserve"> – registro de programa de </w:t>
      </w:r>
      <w:proofErr w:type="spellStart"/>
      <w:r>
        <w:rPr>
          <w:rFonts w:ascii="Calibri" w:hAnsi="Calibri" w:cs="Calibri"/>
          <w:color w:val="000000" w:themeColor="text1"/>
        </w:rPr>
        <w:t>BDR</w:t>
      </w:r>
      <w:proofErr w:type="spellEnd"/>
      <w:r w:rsidR="008D565A">
        <w:rPr>
          <w:rFonts w:ascii="Calibri" w:hAnsi="Calibri" w:cs="Calibri"/>
          <w:color w:val="000000" w:themeColor="text1"/>
        </w:rPr>
        <w:t>; e</w:t>
      </w:r>
    </w:p>
    <w:p w14:paraId="7326F730" w14:textId="77777777" w:rsidR="001A34AE" w:rsidRDefault="008D565A" w:rsidP="001A34AE">
      <w:pPr>
        <w:rPr>
          <w:rFonts w:ascii="Calibri" w:hAnsi="Calibri" w:cs="Calibri"/>
          <w:color w:val="000000" w:themeColor="text1"/>
        </w:rPr>
      </w:pPr>
      <w:proofErr w:type="spellStart"/>
      <w:r>
        <w:rPr>
          <w:rFonts w:ascii="Calibri" w:hAnsi="Calibri" w:cs="Calibri"/>
          <w:color w:val="000000" w:themeColor="text1"/>
        </w:rPr>
        <w:t>IV</w:t>
      </w:r>
      <w:proofErr w:type="spellEnd"/>
      <w:r>
        <w:rPr>
          <w:rFonts w:ascii="Calibri" w:hAnsi="Calibri" w:cs="Calibri"/>
          <w:color w:val="000000" w:themeColor="text1"/>
        </w:rPr>
        <w:t xml:space="preserve"> – conversão de nível do programa de </w:t>
      </w:r>
      <w:proofErr w:type="spellStart"/>
      <w:r>
        <w:rPr>
          <w:rFonts w:ascii="Calibri" w:hAnsi="Calibri" w:cs="Calibri"/>
          <w:color w:val="000000" w:themeColor="text1"/>
        </w:rPr>
        <w:t>BDR</w:t>
      </w:r>
      <w:proofErr w:type="spellEnd"/>
      <w:r w:rsidR="001A34AE">
        <w:rPr>
          <w:rFonts w:ascii="Calibri" w:hAnsi="Calibri" w:cs="Calibri"/>
          <w:color w:val="000000" w:themeColor="text1"/>
        </w:rPr>
        <w:t>.</w:t>
      </w:r>
    </w:p>
    <w:p w14:paraId="38E5ECCA" w14:textId="50DDE151" w:rsidR="001A34AE" w:rsidRDefault="001A34AE" w:rsidP="001A34AE">
      <w:pPr>
        <w:rPr>
          <w:rFonts w:ascii="Calibri" w:hAnsi="Calibri" w:cs="Calibri"/>
          <w:color w:val="000000" w:themeColor="text1"/>
        </w:rPr>
      </w:pPr>
      <w:r>
        <w:rPr>
          <w:rFonts w:ascii="Calibri" w:hAnsi="Calibri" w:cs="Calibri"/>
          <w:color w:val="000000" w:themeColor="text1"/>
        </w:rPr>
        <w:t xml:space="preserve">§ 1º  O emissor deve declarar o cumprimento dos requisitos </w:t>
      </w:r>
      <w:r w:rsidR="007F1346">
        <w:rPr>
          <w:rFonts w:ascii="Calibri" w:hAnsi="Calibri" w:cs="Calibri"/>
          <w:color w:val="000000" w:themeColor="text1"/>
        </w:rPr>
        <w:t>previstos nos art. 3º</w:t>
      </w:r>
      <w:r w:rsidR="00682218">
        <w:rPr>
          <w:rFonts w:ascii="Calibri" w:hAnsi="Calibri" w:cs="Calibri"/>
          <w:color w:val="000000" w:themeColor="text1"/>
        </w:rPr>
        <w:t>,</w:t>
      </w:r>
      <w:r w:rsidR="007F1346">
        <w:rPr>
          <w:rFonts w:ascii="Calibri" w:hAnsi="Calibri" w:cs="Calibri"/>
          <w:color w:val="000000" w:themeColor="text1"/>
        </w:rPr>
        <w:t xml:space="preserve"> 4º</w:t>
      </w:r>
      <w:r w:rsidR="00682218">
        <w:rPr>
          <w:rFonts w:ascii="Calibri" w:hAnsi="Calibri" w:cs="Calibri"/>
          <w:color w:val="000000" w:themeColor="text1"/>
        </w:rPr>
        <w:t xml:space="preserve"> ou 5º</w:t>
      </w:r>
      <w:r>
        <w:rPr>
          <w:rFonts w:ascii="Calibri" w:hAnsi="Calibri" w:cs="Calibri"/>
          <w:color w:val="000000" w:themeColor="text1"/>
        </w:rPr>
        <w:t xml:space="preserve">, por meio de documento assinado por seu representante legal designado na forma do art. </w:t>
      </w:r>
      <w:r w:rsidR="00DF0F58">
        <w:rPr>
          <w:rFonts w:ascii="Calibri" w:hAnsi="Calibri" w:cs="Calibri"/>
          <w:color w:val="000000" w:themeColor="text1"/>
        </w:rPr>
        <w:t>9º</w:t>
      </w:r>
      <w:r>
        <w:rPr>
          <w:rFonts w:ascii="Calibri" w:hAnsi="Calibri" w:cs="Calibri"/>
          <w:color w:val="000000" w:themeColor="text1"/>
        </w:rPr>
        <w:t xml:space="preserve">, e, no caso de oferta pública de distribuição de </w:t>
      </w:r>
      <w:proofErr w:type="spellStart"/>
      <w:r>
        <w:rPr>
          <w:rFonts w:ascii="Calibri" w:hAnsi="Calibri" w:cs="Calibri"/>
          <w:color w:val="000000" w:themeColor="text1"/>
        </w:rPr>
        <w:t>BDR</w:t>
      </w:r>
      <w:proofErr w:type="spellEnd"/>
      <w:r>
        <w:rPr>
          <w:rFonts w:ascii="Calibri" w:hAnsi="Calibri" w:cs="Calibri"/>
          <w:color w:val="000000" w:themeColor="text1"/>
        </w:rPr>
        <w:t>, pelo intermediário líder.</w:t>
      </w:r>
    </w:p>
    <w:p w14:paraId="67B9E110" w14:textId="3EBD7163" w:rsidR="001A34AE" w:rsidRDefault="001A34AE" w:rsidP="001A34AE">
      <w:pPr>
        <w:rPr>
          <w:rFonts w:ascii="Calibri" w:hAnsi="Calibri" w:cs="Calibri"/>
          <w:color w:val="000000" w:themeColor="text1"/>
        </w:rPr>
      </w:pPr>
      <w:r>
        <w:rPr>
          <w:rFonts w:ascii="Calibri" w:hAnsi="Calibri" w:cs="Calibri"/>
          <w:color w:val="000000" w:themeColor="text1"/>
        </w:rPr>
        <w:t>§ 2º  A declaração a que se refere o § 1º deve ser acompanhada de memória de cálculo feito para verificação do disposto no</w:t>
      </w:r>
      <w:r w:rsidR="007F1346">
        <w:rPr>
          <w:rFonts w:ascii="Calibri" w:hAnsi="Calibri" w:cs="Calibri"/>
          <w:color w:val="000000" w:themeColor="text1"/>
        </w:rPr>
        <w:t>s</w:t>
      </w:r>
      <w:r>
        <w:rPr>
          <w:rFonts w:ascii="Calibri" w:hAnsi="Calibri" w:cs="Calibri"/>
          <w:color w:val="000000" w:themeColor="text1"/>
        </w:rPr>
        <w:t xml:space="preserve"> art. 3</w:t>
      </w:r>
      <w:r w:rsidR="007075CA">
        <w:rPr>
          <w:rFonts w:ascii="Calibri" w:hAnsi="Calibri" w:cs="Calibri"/>
          <w:color w:val="000000" w:themeColor="text1"/>
        </w:rPr>
        <w:t xml:space="preserve">º, </w:t>
      </w:r>
      <w:r>
        <w:rPr>
          <w:rFonts w:ascii="Calibri" w:hAnsi="Calibri" w:cs="Calibri"/>
          <w:color w:val="000000" w:themeColor="text1"/>
        </w:rPr>
        <w:t>4</w:t>
      </w:r>
      <w:r w:rsidR="007075CA">
        <w:rPr>
          <w:rFonts w:ascii="Calibri" w:hAnsi="Calibri" w:cs="Calibri"/>
          <w:color w:val="000000" w:themeColor="text1"/>
        </w:rPr>
        <w:t xml:space="preserve">º </w:t>
      </w:r>
      <w:r w:rsidR="00682218">
        <w:rPr>
          <w:rFonts w:ascii="Calibri" w:hAnsi="Calibri" w:cs="Calibri"/>
          <w:color w:val="000000" w:themeColor="text1"/>
        </w:rPr>
        <w:t>ou 5º</w:t>
      </w:r>
      <w:r>
        <w:rPr>
          <w:rFonts w:ascii="Calibri" w:hAnsi="Calibri" w:cs="Calibri"/>
          <w:color w:val="000000" w:themeColor="text1"/>
        </w:rPr>
        <w:t>.</w:t>
      </w:r>
    </w:p>
    <w:p w14:paraId="43960519" w14:textId="17B6DAC6" w:rsidR="001A34AE" w:rsidRDefault="001A34AE" w:rsidP="001A34AE">
      <w:r>
        <w:t xml:space="preserve">§ </w:t>
      </w:r>
      <w:r w:rsidR="00D0632E">
        <w:t xml:space="preserve">3º  </w:t>
      </w:r>
      <w:r>
        <w:t xml:space="preserve">Os emissores registrados na CVM como estrangeiros antes de </w:t>
      </w:r>
      <w:r w:rsidR="000E0B66">
        <w:t>31 de dezembro de 2022</w:t>
      </w:r>
      <w:r w:rsidR="00E35332">
        <w:t xml:space="preserve"> </w:t>
      </w:r>
      <w:r>
        <w:t xml:space="preserve">estão dispensados da comprovação do enquadramento na condição de emissor estrangeiro nas hipóteses dos incisos II e </w:t>
      </w:r>
      <w:proofErr w:type="spellStart"/>
      <w:r>
        <w:t>III</w:t>
      </w:r>
      <w:proofErr w:type="spellEnd"/>
      <w:r>
        <w:t xml:space="preserve"> do </w:t>
      </w:r>
      <w:r>
        <w:rPr>
          <w:b/>
          <w:bCs/>
        </w:rPr>
        <w:t>caput</w:t>
      </w:r>
      <w:r>
        <w:t>.</w:t>
      </w:r>
    </w:p>
    <w:p w14:paraId="6D4E7B87" w14:textId="70B7BC72" w:rsidR="001A34AE" w:rsidRDefault="001A34AE" w:rsidP="001A34AE">
      <w:r>
        <w:t xml:space="preserve">Art. </w:t>
      </w:r>
      <w:r w:rsidR="00682218">
        <w:t xml:space="preserve">7º  </w:t>
      </w:r>
      <w:r>
        <w:t>O emissor estrangeiro deve obter o registro:</w:t>
      </w:r>
    </w:p>
    <w:p w14:paraId="76E5D603" w14:textId="582B0218" w:rsidR="001A34AE" w:rsidRDefault="001A34AE" w:rsidP="001A34AE">
      <w:r>
        <w:t xml:space="preserve">I – na categoria A, caso os valores mobiliários que sirvam </w:t>
      </w:r>
      <w:r w:rsidR="0081124A">
        <w:t xml:space="preserve">como </w:t>
      </w:r>
      <w:r>
        <w:t xml:space="preserve">lastro </w:t>
      </w:r>
      <w:r w:rsidR="0081124A">
        <w:t xml:space="preserve">para os </w:t>
      </w:r>
      <w:proofErr w:type="spellStart"/>
      <w:r>
        <w:t>BDR</w:t>
      </w:r>
      <w:proofErr w:type="spellEnd"/>
      <w:r>
        <w:t xml:space="preserve"> sejam:</w:t>
      </w:r>
    </w:p>
    <w:p w14:paraId="6A50278D" w14:textId="77777777" w:rsidR="001A34AE" w:rsidRDefault="001A34AE" w:rsidP="001A34AE">
      <w:r>
        <w:t>a) ações e certificados de depósitos de ações; e</w:t>
      </w:r>
    </w:p>
    <w:p w14:paraId="200A2CCF" w14:textId="77777777" w:rsidR="001A34AE" w:rsidRDefault="001A34AE" w:rsidP="001A34AE">
      <w:r>
        <w:t>b) valores mobiliários que confiram ao titular o direito de adquirir os valores mobiliários mencionados na alínea “a”, em consequência da sua conversão ou do exercício dos direitos que lhes são inerentes, desde que emitidos pelo próprio emissor dos valores mobiliários referidos na alínea “a” ou por uma sociedade pertencente ao grupo do referido emissor; ou</w:t>
      </w:r>
    </w:p>
    <w:p w14:paraId="4165B9D8" w14:textId="77777777" w:rsidR="001A34AE" w:rsidRDefault="001A34AE" w:rsidP="001A34AE">
      <w:r>
        <w:t>II – na categoria B, nos demais casos.</w:t>
      </w:r>
    </w:p>
    <w:p w14:paraId="76977998" w14:textId="11DC9C98" w:rsidR="001A34AE" w:rsidRDefault="001A34AE" w:rsidP="001A34AE">
      <w:r>
        <w:t xml:space="preserve">Art. </w:t>
      </w:r>
      <w:r w:rsidR="00682218">
        <w:t>8</w:t>
      </w:r>
      <w:r w:rsidR="007075CA">
        <w:t xml:space="preserve">º  </w:t>
      </w:r>
      <w:r>
        <w:t xml:space="preserve">O emissor estrangeiro registrado na categoria A e que seja uma entidade de investimentos, conforme definição das normas contábeis que trate desse </w:t>
      </w:r>
      <w:r w:rsidR="00AC1004">
        <w:t>tema</w:t>
      </w:r>
      <w:r>
        <w:t xml:space="preserve">, deve </w:t>
      </w:r>
      <w:r w:rsidR="0056599C">
        <w:t xml:space="preserve">enviar à CVM e </w:t>
      </w:r>
      <w:r>
        <w:t>manter em sua página na rede mundial de computadores as seguintes informações,</w:t>
      </w:r>
      <w:r w:rsidR="009638EF">
        <w:t xml:space="preserve"> além das demais exigidas por esta Instrução</w:t>
      </w:r>
      <w:r>
        <w:t>:</w:t>
      </w:r>
    </w:p>
    <w:p w14:paraId="2C20AC2A" w14:textId="77777777" w:rsidR="001A34AE" w:rsidRDefault="001A34AE" w:rsidP="001A34AE">
      <w:r>
        <w:t>I – taxas cobradas para remuneração dos prestadores de serviços de administração e gestão;</w:t>
      </w:r>
    </w:p>
    <w:p w14:paraId="7C79891E" w14:textId="77777777" w:rsidR="001A34AE" w:rsidRDefault="001A34AE" w:rsidP="001A34AE">
      <w:r>
        <w:t>II – relação de encargos que podem ser imputados ao emissor e seu limite máximo global por exercício social;</w:t>
      </w:r>
    </w:p>
    <w:p w14:paraId="5D8E3723" w14:textId="77777777" w:rsidR="001A34AE" w:rsidRDefault="001A34AE" w:rsidP="001A34AE">
      <w:proofErr w:type="spellStart"/>
      <w:r>
        <w:lastRenderedPageBreak/>
        <w:t>III</w:t>
      </w:r>
      <w:proofErr w:type="spellEnd"/>
      <w:r>
        <w:t xml:space="preserve"> – relação de prestadores de serviços de gestão, avaliação, consultoria, tesouraria, controle e processamento de ativos, escrituração, custódia e formador de mercado;</w:t>
      </w:r>
    </w:p>
    <w:p w14:paraId="33E621A4" w14:textId="77777777" w:rsidR="001A34AE" w:rsidRDefault="001A34AE" w:rsidP="001A34AE">
      <w:proofErr w:type="spellStart"/>
      <w:r>
        <w:t>IV</w:t>
      </w:r>
      <w:proofErr w:type="spellEnd"/>
      <w:r>
        <w:t xml:space="preserve"> – relatório com justificativas para alterações no valor justo dos investimentos que impactem materialmente o patrimônio líquido do emissor; e</w:t>
      </w:r>
    </w:p>
    <w:p w14:paraId="1EA567F2" w14:textId="77777777" w:rsidR="001A34AE" w:rsidRDefault="001A34AE" w:rsidP="001A34AE">
      <w:r>
        <w:t>V – composição de sua carteira, discriminando quantidade e espécie de títulos e valores mobiliários que a integram.</w:t>
      </w:r>
    </w:p>
    <w:p w14:paraId="4A9180CF" w14:textId="21FC5054" w:rsidR="001A34AE" w:rsidRDefault="001A34AE" w:rsidP="001A34AE">
      <w:r>
        <w:t xml:space="preserve">§ 1º  As informações previstas nos incisos I a </w:t>
      </w:r>
      <w:proofErr w:type="spellStart"/>
      <w:r>
        <w:t>IV</w:t>
      </w:r>
      <w:proofErr w:type="spellEnd"/>
      <w:r w:rsidR="0057675F">
        <w:t xml:space="preserve"> do</w:t>
      </w:r>
      <w:r>
        <w:t xml:space="preserve"> </w:t>
      </w:r>
      <w:r>
        <w:rPr>
          <w:b/>
          <w:bCs/>
        </w:rPr>
        <w:t>caput</w:t>
      </w:r>
      <w:r>
        <w:t xml:space="preserve"> devem ser </w:t>
      </w:r>
      <w:r w:rsidR="000014CB">
        <w:t xml:space="preserve">enviadas à CVM e </w:t>
      </w:r>
      <w:r>
        <w:t>atualizadas na página do emissor na rede mundial de computadores em até 7 (sete) dias úteis da ocorrência de quaisquer alterações.</w:t>
      </w:r>
    </w:p>
    <w:p w14:paraId="4B07737E" w14:textId="77777777" w:rsidR="001A34AE" w:rsidRDefault="001A34AE" w:rsidP="001A34AE">
      <w:r>
        <w:t xml:space="preserve">§ 2º  A informação prevista no inciso V do </w:t>
      </w:r>
      <w:r>
        <w:rPr>
          <w:b/>
          <w:bCs/>
        </w:rPr>
        <w:t>caput</w:t>
      </w:r>
      <w:r>
        <w:t xml:space="preserve"> deve ser </w:t>
      </w:r>
      <w:r w:rsidR="0083054D">
        <w:t xml:space="preserve">enviada à CVM e </w:t>
      </w:r>
      <w:r>
        <w:t>atualizada na página do emissor trimestralmente, na mesma data de entrega do formulário de informações trimestrais e tendo a mesma data de referência deste formulário.</w:t>
      </w:r>
    </w:p>
    <w:p w14:paraId="77E690FF" w14:textId="5D59ACAD" w:rsidR="001A34AE" w:rsidRDefault="001A34AE" w:rsidP="001A34AE">
      <w:r>
        <w:t xml:space="preserve">Art. </w:t>
      </w:r>
      <w:r w:rsidR="00682218">
        <w:t>9</w:t>
      </w:r>
      <w:r>
        <w:t>º  Devem designar representantes legais domiciliados e residentes no Brasil, com poderes para receber citações, notificações e intimações relativas a ações propostas contra o emissor no Brasil ou com fundamento em leis ou regulamentos brasileiros, bem como para representá-los amplamente perante a CVM, podendo receber correspondências, intimações, notificações e pedidos de esclarecimento:</w:t>
      </w:r>
    </w:p>
    <w:p w14:paraId="635579E0" w14:textId="2BE245F0" w:rsidR="001A34AE" w:rsidRDefault="001A34AE" w:rsidP="001A34AE">
      <w:r>
        <w:t>I – o emissor estrangeiro;</w:t>
      </w:r>
    </w:p>
    <w:p w14:paraId="61316E4D" w14:textId="70C11E26" w:rsidR="001A34AE" w:rsidRDefault="001A34AE" w:rsidP="001A34AE">
      <w:r>
        <w:t>II – os diretores ou pessoas que desempenhem funções equivalentes a de um diretor no emissor estrangeiro; e</w:t>
      </w:r>
    </w:p>
    <w:p w14:paraId="40615757" w14:textId="3FEF39CD" w:rsidR="001A34AE" w:rsidRDefault="001A34AE" w:rsidP="001A34AE">
      <w:proofErr w:type="spellStart"/>
      <w:r>
        <w:t>III</w:t>
      </w:r>
      <w:proofErr w:type="spellEnd"/>
      <w:r>
        <w:t xml:space="preserve"> – os membros do conselho de administração, ou órgão equivalente, do emissor estrangeiro.</w:t>
      </w:r>
    </w:p>
    <w:p w14:paraId="7AACD825" w14:textId="77777777" w:rsidR="007351F4" w:rsidRDefault="001A34AE" w:rsidP="001A34AE">
      <w:r>
        <w:t>§ 1º  Os representantes legais devem</w:t>
      </w:r>
      <w:r w:rsidR="004E0BE2">
        <w:t>:</w:t>
      </w:r>
    </w:p>
    <w:p w14:paraId="6BC371BA" w14:textId="77777777" w:rsidR="007351F4" w:rsidRDefault="007351F4" w:rsidP="00121FE0">
      <w:r>
        <w:t>I – ser pessoas naturais; e</w:t>
      </w:r>
    </w:p>
    <w:p w14:paraId="71607680" w14:textId="217828C3" w:rsidR="001A34AE" w:rsidRDefault="007351F4" w:rsidP="001A34AE">
      <w:r>
        <w:t>II –</w:t>
      </w:r>
      <w:r w:rsidR="001A34AE">
        <w:t xml:space="preserve"> aceitar a designação por escrito em documento que indique ciência dos poderes a ele conferidos e as responsabilidades impostas pela lei e regulamentos brasileiros. </w:t>
      </w:r>
    </w:p>
    <w:p w14:paraId="1CAEFACC" w14:textId="77777777" w:rsidR="001A34AE" w:rsidRDefault="001A34AE" w:rsidP="001A34AE">
      <w:r>
        <w:t>§ 2º  Em caso de renúncia, morte, interdição, impedimento ou mudança de estado que inabilite o representante legal para exercer a função, o emissor tem o prazo de 15 (quinze) dias úteis para promover a sua substituição, observadas as formalidades referidas no § 1º.</w:t>
      </w:r>
    </w:p>
    <w:p w14:paraId="7FD825F8" w14:textId="77777777" w:rsidR="00ED1FB4" w:rsidRPr="006674EF" w:rsidRDefault="001A34AE" w:rsidP="001A34AE">
      <w:r>
        <w:lastRenderedPageBreak/>
        <w:t xml:space="preserve">§ 3º  Na hipótese de renúncia, caso o emissor deixe de promover a substituição, o representante legal permanecerá responsável pelas atribuições inerentes à função pelo prazo de 60 (sessenta) dias a contar da renúncia, sem prejuízo de outras medidas que a entidade administradora do mercado em que os </w:t>
      </w:r>
      <w:proofErr w:type="spellStart"/>
      <w:r>
        <w:t>BDR</w:t>
      </w:r>
      <w:proofErr w:type="spellEnd"/>
      <w:r>
        <w:t xml:space="preserve"> forem negociados estabeleça em seu regulamento.</w:t>
      </w:r>
    </w:p>
    <w:sectPr w:rsidR="00ED1FB4" w:rsidRPr="006674EF" w:rsidSect="00335B60">
      <w:headerReference w:type="default" r:id="rId11"/>
      <w:footerReference w:type="default" r:id="rId12"/>
      <w:headerReference w:type="first" r:id="rId13"/>
      <w:pgSz w:w="11906" w:h="16838" w:code="9"/>
      <w:pgMar w:top="2268" w:right="567" w:bottom="851" w:left="1134" w:header="708" w:footer="52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16C83" w14:textId="77777777" w:rsidR="00B33E88" w:rsidRDefault="00B33E88" w:rsidP="00ED1FB4">
      <w:r>
        <w:separator/>
      </w:r>
    </w:p>
  </w:endnote>
  <w:endnote w:type="continuationSeparator" w:id="0">
    <w:p w14:paraId="1A5C1990" w14:textId="77777777" w:rsidR="00B33E88" w:rsidRDefault="00B33E88" w:rsidP="00ED1FB4">
      <w:r>
        <w:continuationSeparator/>
      </w:r>
    </w:p>
  </w:endnote>
  <w:endnote w:type="continuationNotice" w:id="1">
    <w:p w14:paraId="644C8A4C" w14:textId="77777777" w:rsidR="00B33E88" w:rsidRDefault="00B33E8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772997"/>
      <w:docPartObj>
        <w:docPartGallery w:val="Page Numbers (Bottom of Page)"/>
        <w:docPartUnique/>
      </w:docPartObj>
    </w:sdtPr>
    <w:sdtEndPr/>
    <w:sdtContent>
      <w:p w14:paraId="0ED8F283" w14:textId="224B9F3A" w:rsidR="00335B60" w:rsidRDefault="00335B60">
        <w:pPr>
          <w:pStyle w:val="Rodap"/>
          <w:jc w:val="right"/>
        </w:pPr>
        <w:r>
          <w:fldChar w:fldCharType="begin"/>
        </w:r>
        <w:r>
          <w:instrText>PAGE   \* MERGEFORMAT</w:instrText>
        </w:r>
        <w:r>
          <w:fldChar w:fldCharType="separate"/>
        </w:r>
        <w:r w:rsidR="00AF33E4">
          <w:t>4</w:t>
        </w:r>
        <w:r>
          <w:fldChar w:fldCharType="end"/>
        </w:r>
      </w:p>
    </w:sdtContent>
  </w:sdt>
  <w:p w14:paraId="51BE9AEF" w14:textId="77777777" w:rsidR="00335B60" w:rsidRDefault="00335B6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DBC78" w14:textId="77777777" w:rsidR="00B33E88" w:rsidRDefault="00B33E88" w:rsidP="00E414E4">
      <w:pPr>
        <w:ind w:firstLine="0"/>
      </w:pPr>
      <w:r>
        <w:separator/>
      </w:r>
    </w:p>
  </w:footnote>
  <w:footnote w:type="continuationSeparator" w:id="0">
    <w:p w14:paraId="5A8BA4C8" w14:textId="77777777" w:rsidR="00B33E88" w:rsidRDefault="00B33E88" w:rsidP="00ED1FB4">
      <w:r>
        <w:continuationSeparator/>
      </w:r>
    </w:p>
  </w:footnote>
  <w:footnote w:type="continuationNotice" w:id="1">
    <w:p w14:paraId="6301C2BF" w14:textId="77777777" w:rsidR="00B33E88" w:rsidRDefault="00B33E88">
      <w:pPr>
        <w:spacing w:before="0" w:after="0" w:line="240" w:lineRule="auto"/>
      </w:pPr>
    </w:p>
  </w:footnote>
  <w:footnote w:id="2">
    <w:p w14:paraId="149AE094" w14:textId="77777777" w:rsidR="00B56533" w:rsidRDefault="00B56533" w:rsidP="00E414E4">
      <w:pPr>
        <w:pStyle w:val="Textodenotaderodap"/>
        <w:ind w:firstLine="0"/>
      </w:pPr>
      <w:r>
        <w:rPr>
          <w:rStyle w:val="Refdenotaderodap"/>
        </w:rPr>
        <w:footnoteRef/>
      </w:r>
      <w:r>
        <w:t xml:space="preserve"> </w:t>
      </w:r>
      <w:proofErr w:type="spellStart"/>
      <w:r w:rsidRPr="2760BB8A">
        <w:t>IPO</w:t>
      </w:r>
      <w:proofErr w:type="spellEnd"/>
      <w:r w:rsidRPr="2760BB8A">
        <w:t xml:space="preserve"> de ações com análise via convênio, subsequente de ações</w:t>
      </w:r>
      <w:r>
        <w:t xml:space="preserve">, subsequente de ações de </w:t>
      </w:r>
      <w:proofErr w:type="spellStart"/>
      <w:r>
        <w:t>EGEM</w:t>
      </w:r>
      <w:proofErr w:type="spellEnd"/>
      <w:r>
        <w:t xml:space="preserve">, subsequente de </w:t>
      </w:r>
      <w:proofErr w:type="spellStart"/>
      <w:r>
        <w:t>BDR</w:t>
      </w:r>
      <w:proofErr w:type="spellEnd"/>
      <w:r>
        <w:t xml:space="preserve"> Patrocinado Níveis I e II com lastro em ações</w:t>
      </w:r>
    </w:p>
  </w:footnote>
  <w:footnote w:id="3">
    <w:p w14:paraId="14A6582C" w14:textId="77777777" w:rsidR="00B56533" w:rsidRDefault="00B56533" w:rsidP="00E414E4">
      <w:pPr>
        <w:pStyle w:val="Textodenotaderodap"/>
        <w:ind w:firstLine="0"/>
      </w:pPr>
      <w:r>
        <w:rPr>
          <w:rStyle w:val="Refdenotaderodap"/>
        </w:rPr>
        <w:footnoteRef/>
      </w:r>
      <w:r>
        <w:t xml:space="preserve"> debêntures simples de emissor frequente de dívida destinada a investidores qualificados</w:t>
      </w:r>
    </w:p>
  </w:footnote>
  <w:footnote w:id="4">
    <w:p w14:paraId="4C91519F" w14:textId="77777777" w:rsidR="00B56533" w:rsidRDefault="00B56533" w:rsidP="00E414E4">
      <w:pPr>
        <w:pStyle w:val="Textodenotaderodap"/>
        <w:ind w:firstLine="0"/>
      </w:pPr>
      <w:r>
        <w:rPr>
          <w:rStyle w:val="Refdenotaderodap"/>
        </w:rPr>
        <w:footnoteRef/>
      </w:r>
      <w:r>
        <w:t xml:space="preserve"> debêntures simples de emissor registrado para o público em geral nas hipóteses de registro automático</w:t>
      </w:r>
    </w:p>
  </w:footnote>
  <w:footnote w:id="5">
    <w:p w14:paraId="7DF51F18" w14:textId="77777777" w:rsidR="00B56533" w:rsidRDefault="00B56533" w:rsidP="00E414E4">
      <w:pPr>
        <w:pStyle w:val="Textodenotaderodap"/>
        <w:ind w:firstLine="0"/>
      </w:pPr>
      <w:r>
        <w:rPr>
          <w:rStyle w:val="Refdenotaderodap"/>
        </w:rPr>
        <w:footnoteRef/>
      </w:r>
      <w:r>
        <w:t xml:space="preserve"> </w:t>
      </w:r>
      <w:proofErr w:type="spellStart"/>
      <w:r>
        <w:t>BDR</w:t>
      </w:r>
      <w:proofErr w:type="spellEnd"/>
      <w:r>
        <w:t xml:space="preserve"> Patrocinado com lastro em dívida</w:t>
      </w:r>
    </w:p>
  </w:footnote>
  <w:footnote w:id="6">
    <w:p w14:paraId="3FB6CFDC" w14:textId="77777777" w:rsidR="00B56533" w:rsidRDefault="00B56533" w:rsidP="00E414E4">
      <w:pPr>
        <w:pStyle w:val="Textodenotaderodap"/>
        <w:ind w:firstLine="0"/>
      </w:pPr>
      <w:r>
        <w:rPr>
          <w:rStyle w:val="Refdenotaderodap"/>
        </w:rPr>
        <w:footnoteRef/>
      </w:r>
      <w:r>
        <w:t xml:space="preserve"> subsequente de cotas fundos fechados destinada ao público investidor em geral sem mudança na política de investimento ou ampliação de público-alvo</w:t>
      </w:r>
    </w:p>
  </w:footnote>
  <w:footnote w:id="7">
    <w:p w14:paraId="6350F360" w14:textId="77777777" w:rsidR="00B56533" w:rsidRDefault="00B56533" w:rsidP="00E414E4">
      <w:pPr>
        <w:pStyle w:val="Textodenotaderodap"/>
        <w:ind w:firstLine="0"/>
      </w:pPr>
      <w:r>
        <w:rPr>
          <w:rStyle w:val="Refdenotaderodap"/>
        </w:rPr>
        <w:footnoteRef/>
      </w:r>
      <w:r>
        <w:t xml:space="preserve"> títulos de securitização com análise via convênio</w:t>
      </w:r>
    </w:p>
  </w:footnote>
  <w:footnote w:id="8">
    <w:p w14:paraId="33959C84" w14:textId="77777777" w:rsidR="00B56533" w:rsidRDefault="00B56533" w:rsidP="00E414E4">
      <w:pPr>
        <w:pStyle w:val="Textodenotaderodap"/>
        <w:ind w:firstLine="0"/>
      </w:pPr>
      <w:r>
        <w:rPr>
          <w:rStyle w:val="Refdenotaderodap"/>
        </w:rPr>
        <w:footnoteRef/>
      </w:r>
      <w:r>
        <w:t xml:space="preserve"> sobras de aumento de capital privado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A339F" w14:textId="77777777" w:rsidR="00B56533" w:rsidRPr="00ED1FB4" w:rsidRDefault="473ABD01" w:rsidP="004D68A2">
    <w:pPr>
      <w:pStyle w:val="Rodap"/>
    </w:pPr>
    <w:r>
      <w:drawing>
        <wp:inline distT="0" distB="0" distL="0" distR="0" wp14:anchorId="500DFB9B" wp14:editId="195C9934">
          <wp:extent cx="657225" cy="628650"/>
          <wp:effectExtent l="0" t="0" r="9525" b="0"/>
          <wp:docPr id="5" name="Picture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6A3B2FA7" w14:textId="77777777" w:rsidR="00B56533" w:rsidRPr="004D68A2" w:rsidRDefault="00B56533" w:rsidP="004D68A2">
    <w:pPr>
      <w:pStyle w:val="Rodap"/>
      <w:rPr>
        <w:b/>
        <w:sz w:val="24"/>
        <w:szCs w:val="24"/>
      </w:rPr>
    </w:pPr>
    <w:r w:rsidRPr="004D68A2">
      <w:rPr>
        <w:b/>
        <w:sz w:val="24"/>
        <w:szCs w:val="24"/>
      </w:rPr>
      <w:t>COMISSÃO DE VALORES MOBILIÁRIOS</w:t>
    </w:r>
  </w:p>
  <w:p w14:paraId="7BA01226" w14:textId="77777777" w:rsidR="00B56533" w:rsidRPr="00ED1FB4" w:rsidRDefault="00B56533" w:rsidP="004D68A2">
    <w:pPr>
      <w:pStyle w:val="Rodap"/>
    </w:pPr>
    <w:r w:rsidRPr="00ED1FB4">
      <w:t>Rua Sete de Setembro, 111/2-5º e 23-34º Andares, Centro, Rio de Janeiro/RJ – CEP: 20050-901 – Brasil - Tel.: (21) 3554-8686</w:t>
    </w:r>
  </w:p>
  <w:p w14:paraId="46E53F01" w14:textId="77777777" w:rsidR="00B56533" w:rsidRPr="004D68A2" w:rsidRDefault="00B56533" w:rsidP="004D68A2">
    <w:pPr>
      <w:pStyle w:val="Rodap"/>
    </w:pPr>
    <w:r w:rsidRPr="004D68A2">
      <w:t>Rua Cincinato Braga, 340/2º, 3º e 4º Andares, Bela Vista, São Paulo/ SP – CEP: 01333-010 – Brasil - Tel.: (11) 2146-2000</w:t>
    </w:r>
  </w:p>
  <w:p w14:paraId="63AEE54C" w14:textId="77777777" w:rsidR="00B56533" w:rsidRPr="00ED1FB4" w:rsidRDefault="00B56533" w:rsidP="004D68A2">
    <w:pPr>
      <w:pStyle w:val="Rodap"/>
    </w:pPr>
    <w:r w:rsidRPr="00ED1FB4">
      <w:t>SCN Q.02 – Bl. A – Ed. Corporate Financial Center, S.404/4º Andar, Brasília/DF – CEP: 70712-900 – Brasil -Tel.: (61) 3327-2030/2031</w:t>
    </w:r>
  </w:p>
  <w:p w14:paraId="479F8FF1" w14:textId="77777777" w:rsidR="00B56533" w:rsidRDefault="00B33E88" w:rsidP="00E25581">
    <w:pPr>
      <w:pStyle w:val="Rodap"/>
      <w:spacing w:after="240"/>
    </w:pPr>
    <w:hyperlink r:id="rId2" w:history="1">
      <w:r w:rsidR="00B56533" w:rsidRPr="00ED1FB4">
        <w:rPr>
          <w:rStyle w:val="Hyperlink"/>
        </w:rPr>
        <w:t>www.cvm.gov.br</w:t>
      </w:r>
    </w:hyperlink>
  </w:p>
  <w:p w14:paraId="4F61E9A4" w14:textId="2C2B19FB" w:rsidR="00B56533" w:rsidRPr="009B69B0" w:rsidRDefault="00B56533" w:rsidP="00E25581">
    <w:pPr>
      <w:pStyle w:val="Rodap"/>
      <w:spacing w:after="240"/>
      <w:jc w:val="both"/>
      <w:rPr>
        <w:caps/>
      </w:rPr>
    </w:pPr>
    <w:r w:rsidRPr="009B69B0">
      <w:rPr>
        <w:caps/>
      </w:rPr>
      <w:t xml:space="preserve">RESOLUÇÃO CVM Nº </w:t>
    </w:r>
    <w:sdt>
      <w:sdtPr>
        <w:rPr>
          <w:caps/>
        </w:rPr>
        <w:alias w:val="Título"/>
        <w:tag w:val=""/>
        <w:id w:val="397323962"/>
        <w:placeholder>
          <w:docPart w:val="677FCB8D6E83494CA02EA3DF11D14E4C"/>
        </w:placeholder>
        <w:dataBinding w:prefixMappings="xmlns:ns0='http://purl.org/dc/elements/1.1/' xmlns:ns1='http://schemas.openxmlformats.org/package/2006/metadata/core-properties' " w:xpath="/ns1:coreProperties[1]/ns0:title[1]" w:storeItemID="{6C3C8BC8-F283-45AE-878A-BAB7291924A1}"/>
        <w:text/>
      </w:sdtPr>
      <w:sdtEndPr/>
      <w:sdtContent>
        <w:r w:rsidR="00335B60">
          <w:rPr>
            <w:caps/>
          </w:rPr>
          <w:t>183, de 11 de maio de 2023</w: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D467B" w14:textId="77777777" w:rsidR="00B56533" w:rsidRPr="00ED1FB4" w:rsidRDefault="473ABD01" w:rsidP="009B69B0">
    <w:pPr>
      <w:pStyle w:val="Rodap"/>
    </w:pPr>
    <w:r>
      <w:drawing>
        <wp:inline distT="0" distB="0" distL="0" distR="0" wp14:anchorId="45A26CA3" wp14:editId="73FEA538">
          <wp:extent cx="657225" cy="628650"/>
          <wp:effectExtent l="0" t="0" r="9525" b="0"/>
          <wp:docPr id="6" name="Picture 4"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21A5CD9A" w14:textId="77777777" w:rsidR="00B56533" w:rsidRPr="004D68A2" w:rsidRDefault="00B56533" w:rsidP="009B69B0">
    <w:pPr>
      <w:pStyle w:val="Rodap"/>
      <w:rPr>
        <w:b/>
        <w:sz w:val="24"/>
        <w:szCs w:val="24"/>
      </w:rPr>
    </w:pPr>
    <w:r w:rsidRPr="004D68A2">
      <w:rPr>
        <w:b/>
        <w:sz w:val="24"/>
        <w:szCs w:val="24"/>
      </w:rPr>
      <w:t>COMISSÃO DE VALORES MOBILIÁRIOS</w:t>
    </w:r>
  </w:p>
  <w:p w14:paraId="70CD5C97" w14:textId="77777777" w:rsidR="00B56533" w:rsidRPr="00ED1FB4" w:rsidRDefault="00B56533" w:rsidP="009B69B0">
    <w:pPr>
      <w:pStyle w:val="Rodap"/>
    </w:pPr>
    <w:r w:rsidRPr="00ED1FB4">
      <w:t>Rua Sete de Setembro, 111/2-5º e 23-34º Andares, Centro, Rio de Janeiro/RJ – CEP: 20050-901 – Brasil - Tel.: (21) 3554-8686</w:t>
    </w:r>
  </w:p>
  <w:p w14:paraId="11661048" w14:textId="77777777" w:rsidR="00B56533" w:rsidRPr="004D68A2" w:rsidRDefault="00B56533" w:rsidP="009B69B0">
    <w:pPr>
      <w:pStyle w:val="Rodap"/>
    </w:pPr>
    <w:r w:rsidRPr="004D68A2">
      <w:t>Rua Cincinato Braga, 340/2º, 3º e 4º Andares, Bela Vista, São Paulo/ SP – CEP: 01333-010 – Brasil - Tel.: (11) 2146-2000</w:t>
    </w:r>
  </w:p>
  <w:p w14:paraId="138B64B7" w14:textId="77777777" w:rsidR="00B56533" w:rsidRPr="00ED1FB4" w:rsidRDefault="00B56533" w:rsidP="009B69B0">
    <w:pPr>
      <w:pStyle w:val="Rodap"/>
    </w:pPr>
    <w:r w:rsidRPr="00ED1FB4">
      <w:t>SCN Q.02 – Bl. A – Ed. Corporate Financial Center, S.404/4º Andar, Brasília/DF – CEP: 70712-900 – Brasil -Tel.: (61) 3327-2030/2031</w:t>
    </w:r>
  </w:p>
  <w:p w14:paraId="65A369B0" w14:textId="77777777" w:rsidR="00B56533" w:rsidRDefault="00B33E88" w:rsidP="009B69B0">
    <w:pPr>
      <w:pStyle w:val="Rodap"/>
      <w:spacing w:after="240"/>
    </w:pPr>
    <w:hyperlink r:id="rId2" w:history="1">
      <w:r w:rsidR="00B56533"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89679E"/>
    <w:multiLevelType w:val="hybridMultilevel"/>
    <w:tmpl w:val="9EF23DA6"/>
    <w:lvl w:ilvl="0" w:tplc="7834EC6A">
      <w:start w:val="1"/>
      <w:numFmt w:val="bullet"/>
      <w:lvlText w:val=""/>
      <w:lvlJc w:val="left"/>
      <w:pPr>
        <w:tabs>
          <w:tab w:val="num" w:pos="1287"/>
        </w:tabs>
        <w:ind w:left="1287" w:hanging="360"/>
      </w:pPr>
      <w:rPr>
        <w:rFonts w:ascii="Symbol" w:hAnsi="Symbol" w:hint="default"/>
        <w:strike w:val="0"/>
      </w:rPr>
    </w:lvl>
    <w:lvl w:ilvl="1" w:tplc="04160003">
      <w:start w:val="1"/>
      <w:numFmt w:val="bullet"/>
      <w:lvlText w:val="o"/>
      <w:lvlJc w:val="left"/>
      <w:pPr>
        <w:tabs>
          <w:tab w:val="num" w:pos="2007"/>
        </w:tabs>
        <w:ind w:left="2007" w:hanging="360"/>
      </w:pPr>
      <w:rPr>
        <w:rFonts w:ascii="Courier New" w:hAnsi="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6" w15:restartNumberingAfterBreak="0">
    <w:nsid w:val="585A38AF"/>
    <w:multiLevelType w:val="hybridMultilevel"/>
    <w:tmpl w:val="08F02992"/>
    <w:lvl w:ilvl="0" w:tplc="8580EA7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7D"/>
    <w:rsid w:val="00000E09"/>
    <w:rsid w:val="000014CB"/>
    <w:rsid w:val="00001A06"/>
    <w:rsid w:val="00003DE4"/>
    <w:rsid w:val="00006D9C"/>
    <w:rsid w:val="000110C5"/>
    <w:rsid w:val="00014D94"/>
    <w:rsid w:val="00016D99"/>
    <w:rsid w:val="00016FBA"/>
    <w:rsid w:val="00025CFC"/>
    <w:rsid w:val="00026705"/>
    <w:rsid w:val="00027FE7"/>
    <w:rsid w:val="00031FD7"/>
    <w:rsid w:val="00034A46"/>
    <w:rsid w:val="000367BD"/>
    <w:rsid w:val="0004165D"/>
    <w:rsid w:val="00042030"/>
    <w:rsid w:val="000449EF"/>
    <w:rsid w:val="000462ED"/>
    <w:rsid w:val="00047082"/>
    <w:rsid w:val="00047E99"/>
    <w:rsid w:val="00051399"/>
    <w:rsid w:val="00052BEB"/>
    <w:rsid w:val="000536A7"/>
    <w:rsid w:val="0005622E"/>
    <w:rsid w:val="0005629E"/>
    <w:rsid w:val="00065560"/>
    <w:rsid w:val="00070768"/>
    <w:rsid w:val="0007117D"/>
    <w:rsid w:val="000756B0"/>
    <w:rsid w:val="00077C22"/>
    <w:rsid w:val="00077D05"/>
    <w:rsid w:val="00081465"/>
    <w:rsid w:val="00082BE8"/>
    <w:rsid w:val="00087CD2"/>
    <w:rsid w:val="00090F7F"/>
    <w:rsid w:val="00093B59"/>
    <w:rsid w:val="0009746F"/>
    <w:rsid w:val="000A5953"/>
    <w:rsid w:val="000A5F32"/>
    <w:rsid w:val="000B2147"/>
    <w:rsid w:val="000B5523"/>
    <w:rsid w:val="000B7EA0"/>
    <w:rsid w:val="000BD485"/>
    <w:rsid w:val="000C35CB"/>
    <w:rsid w:val="000C4439"/>
    <w:rsid w:val="000D1D0B"/>
    <w:rsid w:val="000D3A1B"/>
    <w:rsid w:val="000D45F4"/>
    <w:rsid w:val="000D5D10"/>
    <w:rsid w:val="000E0B66"/>
    <w:rsid w:val="000E2A95"/>
    <w:rsid w:val="000E369B"/>
    <w:rsid w:val="000E3CBE"/>
    <w:rsid w:val="000F1EE1"/>
    <w:rsid w:val="000F3968"/>
    <w:rsid w:val="000F46C6"/>
    <w:rsid w:val="000F46F6"/>
    <w:rsid w:val="000F4BBC"/>
    <w:rsid w:val="000F5C60"/>
    <w:rsid w:val="000F6E9E"/>
    <w:rsid w:val="00102F11"/>
    <w:rsid w:val="00105AD7"/>
    <w:rsid w:val="00106088"/>
    <w:rsid w:val="001060D4"/>
    <w:rsid w:val="00110A47"/>
    <w:rsid w:val="001159E8"/>
    <w:rsid w:val="00116AE0"/>
    <w:rsid w:val="00120764"/>
    <w:rsid w:val="00121FE0"/>
    <w:rsid w:val="00126FAE"/>
    <w:rsid w:val="001305B5"/>
    <w:rsid w:val="0013164F"/>
    <w:rsid w:val="0013171E"/>
    <w:rsid w:val="00132863"/>
    <w:rsid w:val="001352BC"/>
    <w:rsid w:val="001369F7"/>
    <w:rsid w:val="00140428"/>
    <w:rsid w:val="001407E5"/>
    <w:rsid w:val="0014144F"/>
    <w:rsid w:val="00142679"/>
    <w:rsid w:val="00142A20"/>
    <w:rsid w:val="00144418"/>
    <w:rsid w:val="0014709A"/>
    <w:rsid w:val="0015103A"/>
    <w:rsid w:val="00152333"/>
    <w:rsid w:val="00154380"/>
    <w:rsid w:val="001553E7"/>
    <w:rsid w:val="00155B33"/>
    <w:rsid w:val="00156C73"/>
    <w:rsid w:val="00156DAB"/>
    <w:rsid w:val="001571BF"/>
    <w:rsid w:val="001625B6"/>
    <w:rsid w:val="0016346A"/>
    <w:rsid w:val="001643BB"/>
    <w:rsid w:val="00166A2C"/>
    <w:rsid w:val="0016790F"/>
    <w:rsid w:val="00167FEC"/>
    <w:rsid w:val="001702B6"/>
    <w:rsid w:val="0017042D"/>
    <w:rsid w:val="001712E7"/>
    <w:rsid w:val="00173EC7"/>
    <w:rsid w:val="00175E9E"/>
    <w:rsid w:val="00176ACA"/>
    <w:rsid w:val="00180DA5"/>
    <w:rsid w:val="00182864"/>
    <w:rsid w:val="0018710C"/>
    <w:rsid w:val="0018788D"/>
    <w:rsid w:val="0019027F"/>
    <w:rsid w:val="00192DF8"/>
    <w:rsid w:val="001945D3"/>
    <w:rsid w:val="00195B1E"/>
    <w:rsid w:val="001A34AE"/>
    <w:rsid w:val="001A375F"/>
    <w:rsid w:val="001A3FD4"/>
    <w:rsid w:val="001A5BB7"/>
    <w:rsid w:val="001B25DA"/>
    <w:rsid w:val="001B263E"/>
    <w:rsid w:val="001B4262"/>
    <w:rsid w:val="001B6F51"/>
    <w:rsid w:val="001B6F87"/>
    <w:rsid w:val="001B7AC9"/>
    <w:rsid w:val="001C296B"/>
    <w:rsid w:val="001C51A8"/>
    <w:rsid w:val="001C7F21"/>
    <w:rsid w:val="001D2C26"/>
    <w:rsid w:val="001D38F5"/>
    <w:rsid w:val="001D4123"/>
    <w:rsid w:val="001D5D26"/>
    <w:rsid w:val="001D6AD3"/>
    <w:rsid w:val="001E0083"/>
    <w:rsid w:val="001E0901"/>
    <w:rsid w:val="001E0B55"/>
    <w:rsid w:val="001E10F3"/>
    <w:rsid w:val="001E1FFA"/>
    <w:rsid w:val="001E277C"/>
    <w:rsid w:val="001E2908"/>
    <w:rsid w:val="001E56C7"/>
    <w:rsid w:val="001E7336"/>
    <w:rsid w:val="001F121C"/>
    <w:rsid w:val="001F1B50"/>
    <w:rsid w:val="001F3297"/>
    <w:rsid w:val="001F4553"/>
    <w:rsid w:val="00201293"/>
    <w:rsid w:val="00207CB1"/>
    <w:rsid w:val="00207D9F"/>
    <w:rsid w:val="002110B0"/>
    <w:rsid w:val="0021433D"/>
    <w:rsid w:val="0021467B"/>
    <w:rsid w:val="00217AA0"/>
    <w:rsid w:val="00220912"/>
    <w:rsid w:val="00224605"/>
    <w:rsid w:val="002267F0"/>
    <w:rsid w:val="00230A04"/>
    <w:rsid w:val="00236E48"/>
    <w:rsid w:val="0023709D"/>
    <w:rsid w:val="0024222E"/>
    <w:rsid w:val="002428A1"/>
    <w:rsid w:val="00243C4C"/>
    <w:rsid w:val="002440A9"/>
    <w:rsid w:val="00245414"/>
    <w:rsid w:val="0024614E"/>
    <w:rsid w:val="002471B4"/>
    <w:rsid w:val="0025278D"/>
    <w:rsid w:val="00254307"/>
    <w:rsid w:val="00256D35"/>
    <w:rsid w:val="00257AF6"/>
    <w:rsid w:val="00260DBA"/>
    <w:rsid w:val="0026105F"/>
    <w:rsid w:val="0026182B"/>
    <w:rsid w:val="0026566A"/>
    <w:rsid w:val="002669F6"/>
    <w:rsid w:val="002676E4"/>
    <w:rsid w:val="00267EAE"/>
    <w:rsid w:val="00273848"/>
    <w:rsid w:val="0027392C"/>
    <w:rsid w:val="00277B22"/>
    <w:rsid w:val="00277B6A"/>
    <w:rsid w:val="00282381"/>
    <w:rsid w:val="0028367A"/>
    <w:rsid w:val="00283F1C"/>
    <w:rsid w:val="002841F9"/>
    <w:rsid w:val="00285893"/>
    <w:rsid w:val="0029004E"/>
    <w:rsid w:val="00290D74"/>
    <w:rsid w:val="00292780"/>
    <w:rsid w:val="00292AAA"/>
    <w:rsid w:val="00295890"/>
    <w:rsid w:val="00296C5C"/>
    <w:rsid w:val="002A0503"/>
    <w:rsid w:val="002A07B5"/>
    <w:rsid w:val="002A1692"/>
    <w:rsid w:val="002A3F81"/>
    <w:rsid w:val="002B0BB2"/>
    <w:rsid w:val="002B132B"/>
    <w:rsid w:val="002B17C6"/>
    <w:rsid w:val="002B1E75"/>
    <w:rsid w:val="002B3CF9"/>
    <w:rsid w:val="002B4917"/>
    <w:rsid w:val="002D05B3"/>
    <w:rsid w:val="002D2F6C"/>
    <w:rsid w:val="002D5BE9"/>
    <w:rsid w:val="002E3F82"/>
    <w:rsid w:val="002E443A"/>
    <w:rsid w:val="002F0012"/>
    <w:rsid w:val="002F0686"/>
    <w:rsid w:val="002F1D96"/>
    <w:rsid w:val="002F3093"/>
    <w:rsid w:val="002F5616"/>
    <w:rsid w:val="002F78BA"/>
    <w:rsid w:val="003015B3"/>
    <w:rsid w:val="00307C19"/>
    <w:rsid w:val="00307F9C"/>
    <w:rsid w:val="0031087F"/>
    <w:rsid w:val="00311E09"/>
    <w:rsid w:val="00313ABF"/>
    <w:rsid w:val="003140B1"/>
    <w:rsid w:val="00314D52"/>
    <w:rsid w:val="003163E5"/>
    <w:rsid w:val="003168B0"/>
    <w:rsid w:val="003202F1"/>
    <w:rsid w:val="00323612"/>
    <w:rsid w:val="00327AAC"/>
    <w:rsid w:val="003327D7"/>
    <w:rsid w:val="00335B60"/>
    <w:rsid w:val="003418C8"/>
    <w:rsid w:val="00341A59"/>
    <w:rsid w:val="00344BAB"/>
    <w:rsid w:val="00350A80"/>
    <w:rsid w:val="00350EBB"/>
    <w:rsid w:val="00356CA9"/>
    <w:rsid w:val="00356D81"/>
    <w:rsid w:val="00357658"/>
    <w:rsid w:val="003638CE"/>
    <w:rsid w:val="00364CA4"/>
    <w:rsid w:val="0036688D"/>
    <w:rsid w:val="00367B3C"/>
    <w:rsid w:val="00371DDA"/>
    <w:rsid w:val="00372EC5"/>
    <w:rsid w:val="00373044"/>
    <w:rsid w:val="00374269"/>
    <w:rsid w:val="003754D0"/>
    <w:rsid w:val="00375776"/>
    <w:rsid w:val="0038045E"/>
    <w:rsid w:val="00380D55"/>
    <w:rsid w:val="00381062"/>
    <w:rsid w:val="00381157"/>
    <w:rsid w:val="0038133C"/>
    <w:rsid w:val="00381958"/>
    <w:rsid w:val="00381A8D"/>
    <w:rsid w:val="00383C15"/>
    <w:rsid w:val="003847AB"/>
    <w:rsid w:val="003851D7"/>
    <w:rsid w:val="00387340"/>
    <w:rsid w:val="00392251"/>
    <w:rsid w:val="00392ED3"/>
    <w:rsid w:val="00394A40"/>
    <w:rsid w:val="00397439"/>
    <w:rsid w:val="00397762"/>
    <w:rsid w:val="003977B3"/>
    <w:rsid w:val="003A151B"/>
    <w:rsid w:val="003A1A79"/>
    <w:rsid w:val="003A5DB4"/>
    <w:rsid w:val="003A61EE"/>
    <w:rsid w:val="003B3DC0"/>
    <w:rsid w:val="003B4D8E"/>
    <w:rsid w:val="003C1073"/>
    <w:rsid w:val="003C208C"/>
    <w:rsid w:val="003C27FD"/>
    <w:rsid w:val="003C4679"/>
    <w:rsid w:val="003C7E8D"/>
    <w:rsid w:val="003D05E7"/>
    <w:rsid w:val="003D1DDD"/>
    <w:rsid w:val="003D46D6"/>
    <w:rsid w:val="003D4F88"/>
    <w:rsid w:val="003E49C8"/>
    <w:rsid w:val="003E6820"/>
    <w:rsid w:val="003E69F0"/>
    <w:rsid w:val="003F0951"/>
    <w:rsid w:val="003F2034"/>
    <w:rsid w:val="00401CD9"/>
    <w:rsid w:val="0041236F"/>
    <w:rsid w:val="00416CCE"/>
    <w:rsid w:val="0041797C"/>
    <w:rsid w:val="004206A5"/>
    <w:rsid w:val="00420C40"/>
    <w:rsid w:val="00420CF0"/>
    <w:rsid w:val="004213A1"/>
    <w:rsid w:val="00421943"/>
    <w:rsid w:val="0042547F"/>
    <w:rsid w:val="00435A1A"/>
    <w:rsid w:val="00440392"/>
    <w:rsid w:val="004413E5"/>
    <w:rsid w:val="0044249E"/>
    <w:rsid w:val="00443C2E"/>
    <w:rsid w:val="004441E9"/>
    <w:rsid w:val="0044474B"/>
    <w:rsid w:val="0044534F"/>
    <w:rsid w:val="004525E8"/>
    <w:rsid w:val="00457ADA"/>
    <w:rsid w:val="00461D80"/>
    <w:rsid w:val="004624EC"/>
    <w:rsid w:val="004743B9"/>
    <w:rsid w:val="0047459C"/>
    <w:rsid w:val="0048201C"/>
    <w:rsid w:val="00485929"/>
    <w:rsid w:val="00485CB1"/>
    <w:rsid w:val="0049168E"/>
    <w:rsid w:val="0049502D"/>
    <w:rsid w:val="004A1689"/>
    <w:rsid w:val="004A2FF9"/>
    <w:rsid w:val="004A57E8"/>
    <w:rsid w:val="004A6F7E"/>
    <w:rsid w:val="004A714E"/>
    <w:rsid w:val="004B0B36"/>
    <w:rsid w:val="004B2FCE"/>
    <w:rsid w:val="004B56DB"/>
    <w:rsid w:val="004B72E6"/>
    <w:rsid w:val="004B75ED"/>
    <w:rsid w:val="004B7E7C"/>
    <w:rsid w:val="004C46DD"/>
    <w:rsid w:val="004C4C32"/>
    <w:rsid w:val="004C55E5"/>
    <w:rsid w:val="004C5F7E"/>
    <w:rsid w:val="004C71A6"/>
    <w:rsid w:val="004D06AA"/>
    <w:rsid w:val="004D18D1"/>
    <w:rsid w:val="004D196B"/>
    <w:rsid w:val="004D1E3E"/>
    <w:rsid w:val="004D68A2"/>
    <w:rsid w:val="004D7CC7"/>
    <w:rsid w:val="004D7F09"/>
    <w:rsid w:val="004E0BE2"/>
    <w:rsid w:val="004E38B0"/>
    <w:rsid w:val="004E3B51"/>
    <w:rsid w:val="004E4BDC"/>
    <w:rsid w:val="004E7864"/>
    <w:rsid w:val="004F288B"/>
    <w:rsid w:val="004F48EB"/>
    <w:rsid w:val="004F5D0B"/>
    <w:rsid w:val="004F7DC1"/>
    <w:rsid w:val="005021F2"/>
    <w:rsid w:val="00507ACC"/>
    <w:rsid w:val="0051001B"/>
    <w:rsid w:val="00514A22"/>
    <w:rsid w:val="0051519C"/>
    <w:rsid w:val="005151CB"/>
    <w:rsid w:val="0051711C"/>
    <w:rsid w:val="005174AF"/>
    <w:rsid w:val="005223D0"/>
    <w:rsid w:val="00523486"/>
    <w:rsid w:val="00526268"/>
    <w:rsid w:val="00527F0F"/>
    <w:rsid w:val="00530EBE"/>
    <w:rsid w:val="00531E2A"/>
    <w:rsid w:val="00532ACB"/>
    <w:rsid w:val="00532C5D"/>
    <w:rsid w:val="005371DB"/>
    <w:rsid w:val="005418E8"/>
    <w:rsid w:val="0054268A"/>
    <w:rsid w:val="00542AE9"/>
    <w:rsid w:val="00542E1C"/>
    <w:rsid w:val="005434B2"/>
    <w:rsid w:val="00545438"/>
    <w:rsid w:val="00547A76"/>
    <w:rsid w:val="005508DD"/>
    <w:rsid w:val="00554C72"/>
    <w:rsid w:val="00556EDA"/>
    <w:rsid w:val="005573AB"/>
    <w:rsid w:val="00557B8A"/>
    <w:rsid w:val="00560AB2"/>
    <w:rsid w:val="0056599C"/>
    <w:rsid w:val="00567316"/>
    <w:rsid w:val="005703D8"/>
    <w:rsid w:val="00572DF0"/>
    <w:rsid w:val="0057368C"/>
    <w:rsid w:val="0057675F"/>
    <w:rsid w:val="005806D5"/>
    <w:rsid w:val="00582286"/>
    <w:rsid w:val="00583BD2"/>
    <w:rsid w:val="005844CA"/>
    <w:rsid w:val="00584858"/>
    <w:rsid w:val="0058535E"/>
    <w:rsid w:val="005908CE"/>
    <w:rsid w:val="005928F8"/>
    <w:rsid w:val="00593786"/>
    <w:rsid w:val="005A0CE2"/>
    <w:rsid w:val="005A24C3"/>
    <w:rsid w:val="005A2BDE"/>
    <w:rsid w:val="005A2F0A"/>
    <w:rsid w:val="005A32AD"/>
    <w:rsid w:val="005A5412"/>
    <w:rsid w:val="005B098C"/>
    <w:rsid w:val="005B11E4"/>
    <w:rsid w:val="005B425D"/>
    <w:rsid w:val="005B453F"/>
    <w:rsid w:val="005B57B2"/>
    <w:rsid w:val="005B5995"/>
    <w:rsid w:val="005C12BE"/>
    <w:rsid w:val="005C3B8D"/>
    <w:rsid w:val="005C520A"/>
    <w:rsid w:val="005C7749"/>
    <w:rsid w:val="005D2C60"/>
    <w:rsid w:val="005D5B13"/>
    <w:rsid w:val="005E45B0"/>
    <w:rsid w:val="005F1C4D"/>
    <w:rsid w:val="005F5DCB"/>
    <w:rsid w:val="00606D83"/>
    <w:rsid w:val="0061641F"/>
    <w:rsid w:val="00621993"/>
    <w:rsid w:val="00623F96"/>
    <w:rsid w:val="00624168"/>
    <w:rsid w:val="006241F3"/>
    <w:rsid w:val="00625536"/>
    <w:rsid w:val="00625CBD"/>
    <w:rsid w:val="006270DF"/>
    <w:rsid w:val="00641B54"/>
    <w:rsid w:val="006426B7"/>
    <w:rsid w:val="006451B3"/>
    <w:rsid w:val="00647911"/>
    <w:rsid w:val="006515D0"/>
    <w:rsid w:val="00653605"/>
    <w:rsid w:val="0065401B"/>
    <w:rsid w:val="0065602B"/>
    <w:rsid w:val="00657B55"/>
    <w:rsid w:val="00657FF2"/>
    <w:rsid w:val="006604F8"/>
    <w:rsid w:val="006629A5"/>
    <w:rsid w:val="006663A8"/>
    <w:rsid w:val="0066696A"/>
    <w:rsid w:val="00666E0B"/>
    <w:rsid w:val="00667483"/>
    <w:rsid w:val="006674EF"/>
    <w:rsid w:val="0067021C"/>
    <w:rsid w:val="0067079A"/>
    <w:rsid w:val="006745C4"/>
    <w:rsid w:val="00682218"/>
    <w:rsid w:val="00687257"/>
    <w:rsid w:val="006958E9"/>
    <w:rsid w:val="00697294"/>
    <w:rsid w:val="006A11A9"/>
    <w:rsid w:val="006B7E88"/>
    <w:rsid w:val="006C03C6"/>
    <w:rsid w:val="006C1DC8"/>
    <w:rsid w:val="006C33D6"/>
    <w:rsid w:val="006C39E7"/>
    <w:rsid w:val="006C6763"/>
    <w:rsid w:val="006C7B2F"/>
    <w:rsid w:val="006D0B7D"/>
    <w:rsid w:val="006D662E"/>
    <w:rsid w:val="006D747B"/>
    <w:rsid w:val="006E1563"/>
    <w:rsid w:val="006E1797"/>
    <w:rsid w:val="006E2484"/>
    <w:rsid w:val="006E41BA"/>
    <w:rsid w:val="006E5FF2"/>
    <w:rsid w:val="006E7650"/>
    <w:rsid w:val="006F047C"/>
    <w:rsid w:val="006F7822"/>
    <w:rsid w:val="007068C3"/>
    <w:rsid w:val="007075CA"/>
    <w:rsid w:val="007078C5"/>
    <w:rsid w:val="007179A9"/>
    <w:rsid w:val="00717F6D"/>
    <w:rsid w:val="0072596B"/>
    <w:rsid w:val="00727062"/>
    <w:rsid w:val="00727408"/>
    <w:rsid w:val="00727F90"/>
    <w:rsid w:val="00731A3D"/>
    <w:rsid w:val="00732088"/>
    <w:rsid w:val="0073236D"/>
    <w:rsid w:val="007351F4"/>
    <w:rsid w:val="00736326"/>
    <w:rsid w:val="00743DA4"/>
    <w:rsid w:val="0074449C"/>
    <w:rsid w:val="0074605E"/>
    <w:rsid w:val="00746A09"/>
    <w:rsid w:val="0074739F"/>
    <w:rsid w:val="00751D6E"/>
    <w:rsid w:val="007523C3"/>
    <w:rsid w:val="007524E7"/>
    <w:rsid w:val="00756CDA"/>
    <w:rsid w:val="007630CC"/>
    <w:rsid w:val="007651E5"/>
    <w:rsid w:val="007744B7"/>
    <w:rsid w:val="00775C64"/>
    <w:rsid w:val="00776608"/>
    <w:rsid w:val="00776FE9"/>
    <w:rsid w:val="00784ABE"/>
    <w:rsid w:val="00784DB7"/>
    <w:rsid w:val="00785585"/>
    <w:rsid w:val="00785818"/>
    <w:rsid w:val="00795F05"/>
    <w:rsid w:val="00796840"/>
    <w:rsid w:val="007A0604"/>
    <w:rsid w:val="007A1EBF"/>
    <w:rsid w:val="007A5CC3"/>
    <w:rsid w:val="007B0A69"/>
    <w:rsid w:val="007B227B"/>
    <w:rsid w:val="007B3446"/>
    <w:rsid w:val="007B35C5"/>
    <w:rsid w:val="007B36BD"/>
    <w:rsid w:val="007C23CE"/>
    <w:rsid w:val="007C2A6D"/>
    <w:rsid w:val="007C390E"/>
    <w:rsid w:val="007C560D"/>
    <w:rsid w:val="007C5E39"/>
    <w:rsid w:val="007D2687"/>
    <w:rsid w:val="007D364A"/>
    <w:rsid w:val="007D4C6B"/>
    <w:rsid w:val="007D54CF"/>
    <w:rsid w:val="007E07BC"/>
    <w:rsid w:val="007E28F8"/>
    <w:rsid w:val="007E5C89"/>
    <w:rsid w:val="007F0CA1"/>
    <w:rsid w:val="007F1346"/>
    <w:rsid w:val="007F70D2"/>
    <w:rsid w:val="00802062"/>
    <w:rsid w:val="0080384F"/>
    <w:rsid w:val="0080503D"/>
    <w:rsid w:val="0080638E"/>
    <w:rsid w:val="0080648E"/>
    <w:rsid w:val="00806C0D"/>
    <w:rsid w:val="0081067E"/>
    <w:rsid w:val="00810CC7"/>
    <w:rsid w:val="0081124A"/>
    <w:rsid w:val="0081178D"/>
    <w:rsid w:val="00814816"/>
    <w:rsid w:val="00815115"/>
    <w:rsid w:val="0081685E"/>
    <w:rsid w:val="00817730"/>
    <w:rsid w:val="00817C14"/>
    <w:rsid w:val="00817F85"/>
    <w:rsid w:val="00824E3C"/>
    <w:rsid w:val="00826685"/>
    <w:rsid w:val="00827DC3"/>
    <w:rsid w:val="008303ED"/>
    <w:rsid w:val="0083054D"/>
    <w:rsid w:val="00831568"/>
    <w:rsid w:val="0083580E"/>
    <w:rsid w:val="00835F7B"/>
    <w:rsid w:val="00837C19"/>
    <w:rsid w:val="00840B6D"/>
    <w:rsid w:val="00841BBF"/>
    <w:rsid w:val="00842727"/>
    <w:rsid w:val="00846055"/>
    <w:rsid w:val="008501BE"/>
    <w:rsid w:val="00854205"/>
    <w:rsid w:val="00856F83"/>
    <w:rsid w:val="00857114"/>
    <w:rsid w:val="00862647"/>
    <w:rsid w:val="00862AF4"/>
    <w:rsid w:val="008646E0"/>
    <w:rsid w:val="0086532F"/>
    <w:rsid w:val="00866666"/>
    <w:rsid w:val="00867F68"/>
    <w:rsid w:val="008729EE"/>
    <w:rsid w:val="0087529B"/>
    <w:rsid w:val="008755E8"/>
    <w:rsid w:val="0087610B"/>
    <w:rsid w:val="00876327"/>
    <w:rsid w:val="008843AA"/>
    <w:rsid w:val="0089126A"/>
    <w:rsid w:val="0089175D"/>
    <w:rsid w:val="00894689"/>
    <w:rsid w:val="00894A97"/>
    <w:rsid w:val="0089604D"/>
    <w:rsid w:val="008A196E"/>
    <w:rsid w:val="008A4DF3"/>
    <w:rsid w:val="008A559F"/>
    <w:rsid w:val="008B1164"/>
    <w:rsid w:val="008B42F8"/>
    <w:rsid w:val="008B6348"/>
    <w:rsid w:val="008B683F"/>
    <w:rsid w:val="008B6CE6"/>
    <w:rsid w:val="008B770E"/>
    <w:rsid w:val="008B7CFE"/>
    <w:rsid w:val="008C000B"/>
    <w:rsid w:val="008C1CA8"/>
    <w:rsid w:val="008C2118"/>
    <w:rsid w:val="008C4583"/>
    <w:rsid w:val="008C4F1F"/>
    <w:rsid w:val="008C52F1"/>
    <w:rsid w:val="008D250B"/>
    <w:rsid w:val="008D4302"/>
    <w:rsid w:val="008D565A"/>
    <w:rsid w:val="008D7C98"/>
    <w:rsid w:val="008E2DE3"/>
    <w:rsid w:val="008E359B"/>
    <w:rsid w:val="008E5E60"/>
    <w:rsid w:val="008E722C"/>
    <w:rsid w:val="008F2D89"/>
    <w:rsid w:val="009010FE"/>
    <w:rsid w:val="00902CCE"/>
    <w:rsid w:val="009032C0"/>
    <w:rsid w:val="009046D0"/>
    <w:rsid w:val="00906B28"/>
    <w:rsid w:val="00906E2F"/>
    <w:rsid w:val="00914922"/>
    <w:rsid w:val="0091509E"/>
    <w:rsid w:val="00916A1E"/>
    <w:rsid w:val="00920F18"/>
    <w:rsid w:val="0092372D"/>
    <w:rsid w:val="00925E8D"/>
    <w:rsid w:val="009276E7"/>
    <w:rsid w:val="00932CE8"/>
    <w:rsid w:val="00936119"/>
    <w:rsid w:val="0093755D"/>
    <w:rsid w:val="00950331"/>
    <w:rsid w:val="00950BBC"/>
    <w:rsid w:val="009518F1"/>
    <w:rsid w:val="00952A36"/>
    <w:rsid w:val="009547EF"/>
    <w:rsid w:val="00954DFC"/>
    <w:rsid w:val="00956E3B"/>
    <w:rsid w:val="009576B7"/>
    <w:rsid w:val="00957C2E"/>
    <w:rsid w:val="009638EF"/>
    <w:rsid w:val="00963AD1"/>
    <w:rsid w:val="00970309"/>
    <w:rsid w:val="009768AB"/>
    <w:rsid w:val="00977919"/>
    <w:rsid w:val="009827EE"/>
    <w:rsid w:val="009837EA"/>
    <w:rsid w:val="0098390C"/>
    <w:rsid w:val="009840F2"/>
    <w:rsid w:val="00984AA3"/>
    <w:rsid w:val="00986E59"/>
    <w:rsid w:val="00990231"/>
    <w:rsid w:val="0099056E"/>
    <w:rsid w:val="00990875"/>
    <w:rsid w:val="00990B1B"/>
    <w:rsid w:val="00990D74"/>
    <w:rsid w:val="00993DCB"/>
    <w:rsid w:val="00994DCD"/>
    <w:rsid w:val="009A0ABD"/>
    <w:rsid w:val="009A10B1"/>
    <w:rsid w:val="009A37A1"/>
    <w:rsid w:val="009A70CA"/>
    <w:rsid w:val="009A7CCD"/>
    <w:rsid w:val="009B066F"/>
    <w:rsid w:val="009B1E9B"/>
    <w:rsid w:val="009B1FC5"/>
    <w:rsid w:val="009B22B4"/>
    <w:rsid w:val="009B69B0"/>
    <w:rsid w:val="009C0434"/>
    <w:rsid w:val="009C3EC4"/>
    <w:rsid w:val="009C4D72"/>
    <w:rsid w:val="009D039E"/>
    <w:rsid w:val="009D38F7"/>
    <w:rsid w:val="009D58A0"/>
    <w:rsid w:val="009D58F0"/>
    <w:rsid w:val="009D759D"/>
    <w:rsid w:val="009E40E9"/>
    <w:rsid w:val="009E53E6"/>
    <w:rsid w:val="009E621A"/>
    <w:rsid w:val="009E6713"/>
    <w:rsid w:val="009F0C6E"/>
    <w:rsid w:val="009F398A"/>
    <w:rsid w:val="00A0086F"/>
    <w:rsid w:val="00A10952"/>
    <w:rsid w:val="00A10AF1"/>
    <w:rsid w:val="00A10BCE"/>
    <w:rsid w:val="00A10D22"/>
    <w:rsid w:val="00A10F7E"/>
    <w:rsid w:val="00A203B3"/>
    <w:rsid w:val="00A20FA9"/>
    <w:rsid w:val="00A268CF"/>
    <w:rsid w:val="00A27D4D"/>
    <w:rsid w:val="00A27F5E"/>
    <w:rsid w:val="00A32782"/>
    <w:rsid w:val="00A3293D"/>
    <w:rsid w:val="00A33670"/>
    <w:rsid w:val="00A346F7"/>
    <w:rsid w:val="00A3610D"/>
    <w:rsid w:val="00A36C54"/>
    <w:rsid w:val="00A45386"/>
    <w:rsid w:val="00A45D7B"/>
    <w:rsid w:val="00A47D1C"/>
    <w:rsid w:val="00A50EE4"/>
    <w:rsid w:val="00A52C60"/>
    <w:rsid w:val="00A5779D"/>
    <w:rsid w:val="00A57A39"/>
    <w:rsid w:val="00A57E88"/>
    <w:rsid w:val="00A60430"/>
    <w:rsid w:val="00A606B7"/>
    <w:rsid w:val="00A60EDE"/>
    <w:rsid w:val="00A61698"/>
    <w:rsid w:val="00A61CF9"/>
    <w:rsid w:val="00A6304D"/>
    <w:rsid w:val="00A7449E"/>
    <w:rsid w:val="00A757ED"/>
    <w:rsid w:val="00A75E4A"/>
    <w:rsid w:val="00A8130E"/>
    <w:rsid w:val="00A8138E"/>
    <w:rsid w:val="00A81D3A"/>
    <w:rsid w:val="00A81DB1"/>
    <w:rsid w:val="00A8313B"/>
    <w:rsid w:val="00A86146"/>
    <w:rsid w:val="00A862BA"/>
    <w:rsid w:val="00A86971"/>
    <w:rsid w:val="00A87A1F"/>
    <w:rsid w:val="00A91B4F"/>
    <w:rsid w:val="00A91BCF"/>
    <w:rsid w:val="00A9220C"/>
    <w:rsid w:val="00A92A68"/>
    <w:rsid w:val="00A93106"/>
    <w:rsid w:val="00A94950"/>
    <w:rsid w:val="00A952D5"/>
    <w:rsid w:val="00A97F10"/>
    <w:rsid w:val="00AA164B"/>
    <w:rsid w:val="00AA2D6B"/>
    <w:rsid w:val="00AA6663"/>
    <w:rsid w:val="00AB26A1"/>
    <w:rsid w:val="00AB642A"/>
    <w:rsid w:val="00AC1004"/>
    <w:rsid w:val="00AC471F"/>
    <w:rsid w:val="00AC4970"/>
    <w:rsid w:val="00AC4F9C"/>
    <w:rsid w:val="00AC54B6"/>
    <w:rsid w:val="00AC566A"/>
    <w:rsid w:val="00AC7DDD"/>
    <w:rsid w:val="00AC7E32"/>
    <w:rsid w:val="00AE13E6"/>
    <w:rsid w:val="00AE39EA"/>
    <w:rsid w:val="00AE41C0"/>
    <w:rsid w:val="00AE6042"/>
    <w:rsid w:val="00AE6A74"/>
    <w:rsid w:val="00AE77FD"/>
    <w:rsid w:val="00AE7F1B"/>
    <w:rsid w:val="00AF33E4"/>
    <w:rsid w:val="00AF745E"/>
    <w:rsid w:val="00B03073"/>
    <w:rsid w:val="00B05C4C"/>
    <w:rsid w:val="00B064A7"/>
    <w:rsid w:val="00B072AC"/>
    <w:rsid w:val="00B151B1"/>
    <w:rsid w:val="00B21B81"/>
    <w:rsid w:val="00B25AED"/>
    <w:rsid w:val="00B261E7"/>
    <w:rsid w:val="00B330CB"/>
    <w:rsid w:val="00B33D85"/>
    <w:rsid w:val="00B33E88"/>
    <w:rsid w:val="00B34901"/>
    <w:rsid w:val="00B35CFD"/>
    <w:rsid w:val="00B37D6D"/>
    <w:rsid w:val="00B43B55"/>
    <w:rsid w:val="00B450EA"/>
    <w:rsid w:val="00B467D3"/>
    <w:rsid w:val="00B46C0F"/>
    <w:rsid w:val="00B5292D"/>
    <w:rsid w:val="00B53897"/>
    <w:rsid w:val="00B56533"/>
    <w:rsid w:val="00B56CF7"/>
    <w:rsid w:val="00B57A93"/>
    <w:rsid w:val="00B60EAF"/>
    <w:rsid w:val="00B63F9B"/>
    <w:rsid w:val="00B65719"/>
    <w:rsid w:val="00B72883"/>
    <w:rsid w:val="00B807F7"/>
    <w:rsid w:val="00B85F7D"/>
    <w:rsid w:val="00B9043D"/>
    <w:rsid w:val="00B91C1D"/>
    <w:rsid w:val="00B94BBF"/>
    <w:rsid w:val="00B95B4A"/>
    <w:rsid w:val="00BA1464"/>
    <w:rsid w:val="00BA1A71"/>
    <w:rsid w:val="00BA3BC5"/>
    <w:rsid w:val="00BA5DA2"/>
    <w:rsid w:val="00BB1612"/>
    <w:rsid w:val="00BB169B"/>
    <w:rsid w:val="00BB22BB"/>
    <w:rsid w:val="00BB3F5F"/>
    <w:rsid w:val="00BB4E23"/>
    <w:rsid w:val="00BB6C69"/>
    <w:rsid w:val="00BC0E25"/>
    <w:rsid w:val="00BC17B0"/>
    <w:rsid w:val="00BC22CE"/>
    <w:rsid w:val="00BC290D"/>
    <w:rsid w:val="00BC3037"/>
    <w:rsid w:val="00BC4D28"/>
    <w:rsid w:val="00BC6747"/>
    <w:rsid w:val="00BD1181"/>
    <w:rsid w:val="00BD246B"/>
    <w:rsid w:val="00BD4ABB"/>
    <w:rsid w:val="00BD6FD5"/>
    <w:rsid w:val="00BE2F80"/>
    <w:rsid w:val="00BE3272"/>
    <w:rsid w:val="00BE5A53"/>
    <w:rsid w:val="00BE5C09"/>
    <w:rsid w:val="00BE7D5D"/>
    <w:rsid w:val="00BF0E06"/>
    <w:rsid w:val="00BF0E57"/>
    <w:rsid w:val="00BF3138"/>
    <w:rsid w:val="00BF3DBF"/>
    <w:rsid w:val="00C00996"/>
    <w:rsid w:val="00C01A1A"/>
    <w:rsid w:val="00C069A9"/>
    <w:rsid w:val="00C121A5"/>
    <w:rsid w:val="00C12469"/>
    <w:rsid w:val="00C12886"/>
    <w:rsid w:val="00C12BE8"/>
    <w:rsid w:val="00C13FA6"/>
    <w:rsid w:val="00C1691E"/>
    <w:rsid w:val="00C17A82"/>
    <w:rsid w:val="00C17A96"/>
    <w:rsid w:val="00C17DC5"/>
    <w:rsid w:val="00C24B4C"/>
    <w:rsid w:val="00C25836"/>
    <w:rsid w:val="00C271B0"/>
    <w:rsid w:val="00C275A5"/>
    <w:rsid w:val="00C27B1A"/>
    <w:rsid w:val="00C27C2F"/>
    <w:rsid w:val="00C30571"/>
    <w:rsid w:val="00C30D1B"/>
    <w:rsid w:val="00C3101D"/>
    <w:rsid w:val="00C3231A"/>
    <w:rsid w:val="00C342F9"/>
    <w:rsid w:val="00C35280"/>
    <w:rsid w:val="00C370E1"/>
    <w:rsid w:val="00C4506B"/>
    <w:rsid w:val="00C50645"/>
    <w:rsid w:val="00C5342A"/>
    <w:rsid w:val="00C56E6D"/>
    <w:rsid w:val="00C57A4B"/>
    <w:rsid w:val="00C65AAA"/>
    <w:rsid w:val="00C71A66"/>
    <w:rsid w:val="00C7209A"/>
    <w:rsid w:val="00C75769"/>
    <w:rsid w:val="00C75E72"/>
    <w:rsid w:val="00C77679"/>
    <w:rsid w:val="00C82C89"/>
    <w:rsid w:val="00C875B1"/>
    <w:rsid w:val="00C904A1"/>
    <w:rsid w:val="00C90DF5"/>
    <w:rsid w:val="00C93ABF"/>
    <w:rsid w:val="00CA1A3A"/>
    <w:rsid w:val="00CA26FC"/>
    <w:rsid w:val="00CA30F3"/>
    <w:rsid w:val="00CB38C9"/>
    <w:rsid w:val="00CB4B0C"/>
    <w:rsid w:val="00CB7938"/>
    <w:rsid w:val="00CB7F2B"/>
    <w:rsid w:val="00CC2476"/>
    <w:rsid w:val="00CC2F2C"/>
    <w:rsid w:val="00CC34E1"/>
    <w:rsid w:val="00CC4498"/>
    <w:rsid w:val="00CC4CA0"/>
    <w:rsid w:val="00CC6B71"/>
    <w:rsid w:val="00CC6CE0"/>
    <w:rsid w:val="00CD0077"/>
    <w:rsid w:val="00CD1465"/>
    <w:rsid w:val="00CD2091"/>
    <w:rsid w:val="00CD2461"/>
    <w:rsid w:val="00CD455D"/>
    <w:rsid w:val="00CD6DBA"/>
    <w:rsid w:val="00CD6DE2"/>
    <w:rsid w:val="00CE4074"/>
    <w:rsid w:val="00CE5E2B"/>
    <w:rsid w:val="00CE62A4"/>
    <w:rsid w:val="00CE727F"/>
    <w:rsid w:val="00CF15E1"/>
    <w:rsid w:val="00CF3578"/>
    <w:rsid w:val="00CF533E"/>
    <w:rsid w:val="00CF5E0D"/>
    <w:rsid w:val="00CF6F15"/>
    <w:rsid w:val="00CF6F66"/>
    <w:rsid w:val="00CF76EE"/>
    <w:rsid w:val="00CF7F2A"/>
    <w:rsid w:val="00D00C41"/>
    <w:rsid w:val="00D0139F"/>
    <w:rsid w:val="00D013CB"/>
    <w:rsid w:val="00D01D16"/>
    <w:rsid w:val="00D03837"/>
    <w:rsid w:val="00D0410F"/>
    <w:rsid w:val="00D0632E"/>
    <w:rsid w:val="00D10052"/>
    <w:rsid w:val="00D11BBD"/>
    <w:rsid w:val="00D1317B"/>
    <w:rsid w:val="00D1357F"/>
    <w:rsid w:val="00D141D3"/>
    <w:rsid w:val="00D17F3F"/>
    <w:rsid w:val="00D21117"/>
    <w:rsid w:val="00D217F9"/>
    <w:rsid w:val="00D21AE1"/>
    <w:rsid w:val="00D22854"/>
    <w:rsid w:val="00D24C3C"/>
    <w:rsid w:val="00D24F58"/>
    <w:rsid w:val="00D26BDC"/>
    <w:rsid w:val="00D30F38"/>
    <w:rsid w:val="00D32151"/>
    <w:rsid w:val="00D40206"/>
    <w:rsid w:val="00D413D1"/>
    <w:rsid w:val="00D44C02"/>
    <w:rsid w:val="00D4633F"/>
    <w:rsid w:val="00D47660"/>
    <w:rsid w:val="00D527D3"/>
    <w:rsid w:val="00D53DF3"/>
    <w:rsid w:val="00D54569"/>
    <w:rsid w:val="00D628F8"/>
    <w:rsid w:val="00D631D8"/>
    <w:rsid w:val="00D67696"/>
    <w:rsid w:val="00D67F42"/>
    <w:rsid w:val="00D67F96"/>
    <w:rsid w:val="00D71D0B"/>
    <w:rsid w:val="00D77AE9"/>
    <w:rsid w:val="00D80337"/>
    <w:rsid w:val="00D80875"/>
    <w:rsid w:val="00D81303"/>
    <w:rsid w:val="00D8758E"/>
    <w:rsid w:val="00D93271"/>
    <w:rsid w:val="00D94E0C"/>
    <w:rsid w:val="00D9581E"/>
    <w:rsid w:val="00DA6006"/>
    <w:rsid w:val="00DA6730"/>
    <w:rsid w:val="00DB34B8"/>
    <w:rsid w:val="00DB4AC3"/>
    <w:rsid w:val="00DB4B95"/>
    <w:rsid w:val="00DC02FF"/>
    <w:rsid w:val="00DC3580"/>
    <w:rsid w:val="00DC5BBC"/>
    <w:rsid w:val="00DC5D0E"/>
    <w:rsid w:val="00DD2E41"/>
    <w:rsid w:val="00DD3863"/>
    <w:rsid w:val="00DD781B"/>
    <w:rsid w:val="00DE6CFC"/>
    <w:rsid w:val="00DF0F58"/>
    <w:rsid w:val="00DF2246"/>
    <w:rsid w:val="00DF2540"/>
    <w:rsid w:val="00DF52F3"/>
    <w:rsid w:val="00DF79FF"/>
    <w:rsid w:val="00E02F64"/>
    <w:rsid w:val="00E06869"/>
    <w:rsid w:val="00E136DD"/>
    <w:rsid w:val="00E14E58"/>
    <w:rsid w:val="00E15E49"/>
    <w:rsid w:val="00E20E89"/>
    <w:rsid w:val="00E21842"/>
    <w:rsid w:val="00E21C2F"/>
    <w:rsid w:val="00E23091"/>
    <w:rsid w:val="00E23B1C"/>
    <w:rsid w:val="00E25581"/>
    <w:rsid w:val="00E27D9D"/>
    <w:rsid w:val="00E302F2"/>
    <w:rsid w:val="00E30641"/>
    <w:rsid w:val="00E33B26"/>
    <w:rsid w:val="00E35332"/>
    <w:rsid w:val="00E37843"/>
    <w:rsid w:val="00E412A4"/>
    <w:rsid w:val="00E414E4"/>
    <w:rsid w:val="00E50FE3"/>
    <w:rsid w:val="00E55B2D"/>
    <w:rsid w:val="00E57A75"/>
    <w:rsid w:val="00E637BA"/>
    <w:rsid w:val="00E65996"/>
    <w:rsid w:val="00E70800"/>
    <w:rsid w:val="00E74D2B"/>
    <w:rsid w:val="00E75915"/>
    <w:rsid w:val="00E75E64"/>
    <w:rsid w:val="00E7711F"/>
    <w:rsid w:val="00E81486"/>
    <w:rsid w:val="00E81EDE"/>
    <w:rsid w:val="00E8282E"/>
    <w:rsid w:val="00E8310E"/>
    <w:rsid w:val="00E86228"/>
    <w:rsid w:val="00E867C2"/>
    <w:rsid w:val="00E879E9"/>
    <w:rsid w:val="00E90F0E"/>
    <w:rsid w:val="00E91C7D"/>
    <w:rsid w:val="00E929AE"/>
    <w:rsid w:val="00E93F99"/>
    <w:rsid w:val="00E96894"/>
    <w:rsid w:val="00EA35F7"/>
    <w:rsid w:val="00EA436F"/>
    <w:rsid w:val="00EA569B"/>
    <w:rsid w:val="00EA6EA3"/>
    <w:rsid w:val="00EB00AC"/>
    <w:rsid w:val="00EB1CCC"/>
    <w:rsid w:val="00EB27B9"/>
    <w:rsid w:val="00EB6A74"/>
    <w:rsid w:val="00EC5754"/>
    <w:rsid w:val="00ED1FB4"/>
    <w:rsid w:val="00ED601B"/>
    <w:rsid w:val="00ED69D5"/>
    <w:rsid w:val="00EE02A0"/>
    <w:rsid w:val="00EE0609"/>
    <w:rsid w:val="00EE3211"/>
    <w:rsid w:val="00EE3BE9"/>
    <w:rsid w:val="00EE5B8C"/>
    <w:rsid w:val="00EE6457"/>
    <w:rsid w:val="00EE7FF9"/>
    <w:rsid w:val="00EF6193"/>
    <w:rsid w:val="00EF6483"/>
    <w:rsid w:val="00EF6783"/>
    <w:rsid w:val="00EF6FA2"/>
    <w:rsid w:val="00F00834"/>
    <w:rsid w:val="00F01B5E"/>
    <w:rsid w:val="00F02326"/>
    <w:rsid w:val="00F0307C"/>
    <w:rsid w:val="00F032E8"/>
    <w:rsid w:val="00F0346D"/>
    <w:rsid w:val="00F07B9E"/>
    <w:rsid w:val="00F12672"/>
    <w:rsid w:val="00F15413"/>
    <w:rsid w:val="00F15E8B"/>
    <w:rsid w:val="00F26A7A"/>
    <w:rsid w:val="00F3069B"/>
    <w:rsid w:val="00F31D5C"/>
    <w:rsid w:val="00F31D77"/>
    <w:rsid w:val="00F332B2"/>
    <w:rsid w:val="00F34693"/>
    <w:rsid w:val="00F349C8"/>
    <w:rsid w:val="00F3612E"/>
    <w:rsid w:val="00F367A8"/>
    <w:rsid w:val="00F40930"/>
    <w:rsid w:val="00F4283D"/>
    <w:rsid w:val="00F44F09"/>
    <w:rsid w:val="00F46B44"/>
    <w:rsid w:val="00F478A5"/>
    <w:rsid w:val="00F47B6C"/>
    <w:rsid w:val="00F47E7B"/>
    <w:rsid w:val="00F51632"/>
    <w:rsid w:val="00F5321A"/>
    <w:rsid w:val="00F532FF"/>
    <w:rsid w:val="00F6028C"/>
    <w:rsid w:val="00F61415"/>
    <w:rsid w:val="00F644C3"/>
    <w:rsid w:val="00F67B54"/>
    <w:rsid w:val="00F70478"/>
    <w:rsid w:val="00F710D9"/>
    <w:rsid w:val="00F71965"/>
    <w:rsid w:val="00F72E33"/>
    <w:rsid w:val="00F7559A"/>
    <w:rsid w:val="00F75E7B"/>
    <w:rsid w:val="00F77B54"/>
    <w:rsid w:val="00F8381E"/>
    <w:rsid w:val="00F83A18"/>
    <w:rsid w:val="00F847DF"/>
    <w:rsid w:val="00F86647"/>
    <w:rsid w:val="00F86985"/>
    <w:rsid w:val="00F8791D"/>
    <w:rsid w:val="00F97B5B"/>
    <w:rsid w:val="00FA29E1"/>
    <w:rsid w:val="00FA546E"/>
    <w:rsid w:val="00FB1442"/>
    <w:rsid w:val="00FB2325"/>
    <w:rsid w:val="00FB25BB"/>
    <w:rsid w:val="00FB479C"/>
    <w:rsid w:val="00FB5A18"/>
    <w:rsid w:val="00FB5CED"/>
    <w:rsid w:val="00FB7A68"/>
    <w:rsid w:val="00FC16EE"/>
    <w:rsid w:val="00FC4D90"/>
    <w:rsid w:val="00FC636E"/>
    <w:rsid w:val="00FD07F3"/>
    <w:rsid w:val="00FD1713"/>
    <w:rsid w:val="00FD25CE"/>
    <w:rsid w:val="00FD486D"/>
    <w:rsid w:val="00FD48A9"/>
    <w:rsid w:val="00FD5D8F"/>
    <w:rsid w:val="00FD6A28"/>
    <w:rsid w:val="00FD7C3F"/>
    <w:rsid w:val="00FE02BE"/>
    <w:rsid w:val="00FE0D62"/>
    <w:rsid w:val="00FE1E45"/>
    <w:rsid w:val="00FE6AD0"/>
    <w:rsid w:val="00FE6CE5"/>
    <w:rsid w:val="00FE78F1"/>
    <w:rsid w:val="03BD6891"/>
    <w:rsid w:val="0468653F"/>
    <w:rsid w:val="046DE8AF"/>
    <w:rsid w:val="04AFDAA9"/>
    <w:rsid w:val="04DC8916"/>
    <w:rsid w:val="052FD672"/>
    <w:rsid w:val="05FE5530"/>
    <w:rsid w:val="07604CF3"/>
    <w:rsid w:val="0797350A"/>
    <w:rsid w:val="08CA8225"/>
    <w:rsid w:val="09058453"/>
    <w:rsid w:val="09525082"/>
    <w:rsid w:val="096BAA48"/>
    <w:rsid w:val="09A19C74"/>
    <w:rsid w:val="09B9C7B7"/>
    <w:rsid w:val="0A05BCC0"/>
    <w:rsid w:val="0A1E2D48"/>
    <w:rsid w:val="0A5425B6"/>
    <w:rsid w:val="0A7F0644"/>
    <w:rsid w:val="0A9D6A14"/>
    <w:rsid w:val="0AE5552C"/>
    <w:rsid w:val="0C0ACABE"/>
    <w:rsid w:val="0C2CF4E8"/>
    <w:rsid w:val="0CE3B90A"/>
    <w:rsid w:val="0DC3D192"/>
    <w:rsid w:val="0DF82CAB"/>
    <w:rsid w:val="0EEB954D"/>
    <w:rsid w:val="0EF7DF64"/>
    <w:rsid w:val="10A54817"/>
    <w:rsid w:val="11252037"/>
    <w:rsid w:val="1133435A"/>
    <w:rsid w:val="11E7B56D"/>
    <w:rsid w:val="121B2781"/>
    <w:rsid w:val="14A3483B"/>
    <w:rsid w:val="16C082E4"/>
    <w:rsid w:val="177EC452"/>
    <w:rsid w:val="180D7AE1"/>
    <w:rsid w:val="1829FB40"/>
    <w:rsid w:val="1895A276"/>
    <w:rsid w:val="18DAAD3D"/>
    <w:rsid w:val="198AF425"/>
    <w:rsid w:val="1A507E0A"/>
    <w:rsid w:val="1A5B2F2B"/>
    <w:rsid w:val="1A6AC6F6"/>
    <w:rsid w:val="1AC476D0"/>
    <w:rsid w:val="1B2067F8"/>
    <w:rsid w:val="1C7DF2C1"/>
    <w:rsid w:val="1D154727"/>
    <w:rsid w:val="1DFDC79B"/>
    <w:rsid w:val="1E5D1740"/>
    <w:rsid w:val="1EFE54C2"/>
    <w:rsid w:val="1F04814A"/>
    <w:rsid w:val="1F7924CA"/>
    <w:rsid w:val="21586596"/>
    <w:rsid w:val="2184BA98"/>
    <w:rsid w:val="2195BA16"/>
    <w:rsid w:val="219638DB"/>
    <w:rsid w:val="2222CF78"/>
    <w:rsid w:val="22F4268C"/>
    <w:rsid w:val="23A01D7B"/>
    <w:rsid w:val="23B999A7"/>
    <w:rsid w:val="23C37F6B"/>
    <w:rsid w:val="2404BB08"/>
    <w:rsid w:val="24A5BA2B"/>
    <w:rsid w:val="2527D3D1"/>
    <w:rsid w:val="25401897"/>
    <w:rsid w:val="25C204F8"/>
    <w:rsid w:val="25C53465"/>
    <w:rsid w:val="25FFBF01"/>
    <w:rsid w:val="26F18580"/>
    <w:rsid w:val="270B2BA7"/>
    <w:rsid w:val="27ED1CB8"/>
    <w:rsid w:val="282122EC"/>
    <w:rsid w:val="29084D87"/>
    <w:rsid w:val="29087A6D"/>
    <w:rsid w:val="29C86CA8"/>
    <w:rsid w:val="2A511350"/>
    <w:rsid w:val="2A948EEE"/>
    <w:rsid w:val="2AB47BA8"/>
    <w:rsid w:val="2AFA3523"/>
    <w:rsid w:val="2B23938E"/>
    <w:rsid w:val="2BA0FC56"/>
    <w:rsid w:val="2BF16B79"/>
    <w:rsid w:val="2C046BA1"/>
    <w:rsid w:val="2CCD84E5"/>
    <w:rsid w:val="2E7C5C7A"/>
    <w:rsid w:val="2EF43AA0"/>
    <w:rsid w:val="2F170FA7"/>
    <w:rsid w:val="304E9879"/>
    <w:rsid w:val="308BAEEE"/>
    <w:rsid w:val="314B104F"/>
    <w:rsid w:val="31E4BE07"/>
    <w:rsid w:val="31F9A265"/>
    <w:rsid w:val="34572332"/>
    <w:rsid w:val="3552B08C"/>
    <w:rsid w:val="35ED63F3"/>
    <w:rsid w:val="3755945E"/>
    <w:rsid w:val="39DB049D"/>
    <w:rsid w:val="3A084E80"/>
    <w:rsid w:val="3A0DA0AC"/>
    <w:rsid w:val="3B299769"/>
    <w:rsid w:val="3BBF94A3"/>
    <w:rsid w:val="3BD55201"/>
    <w:rsid w:val="3CF6CA6E"/>
    <w:rsid w:val="3DF2D8BA"/>
    <w:rsid w:val="3E448302"/>
    <w:rsid w:val="3E792611"/>
    <w:rsid w:val="3F0F5698"/>
    <w:rsid w:val="40A00C50"/>
    <w:rsid w:val="41A3C9D4"/>
    <w:rsid w:val="424E8923"/>
    <w:rsid w:val="4284BD5E"/>
    <w:rsid w:val="4494674C"/>
    <w:rsid w:val="45764FD4"/>
    <w:rsid w:val="45ADE2EC"/>
    <w:rsid w:val="45B3EC6E"/>
    <w:rsid w:val="4687A893"/>
    <w:rsid w:val="46AE72F1"/>
    <w:rsid w:val="46C94970"/>
    <w:rsid w:val="471C5408"/>
    <w:rsid w:val="473ABD01"/>
    <w:rsid w:val="4749E187"/>
    <w:rsid w:val="485410D0"/>
    <w:rsid w:val="48A63D6B"/>
    <w:rsid w:val="492A7D81"/>
    <w:rsid w:val="4997ED1C"/>
    <w:rsid w:val="4A3BC88C"/>
    <w:rsid w:val="4AD76E2E"/>
    <w:rsid w:val="4AFAE7A1"/>
    <w:rsid w:val="4B1B362D"/>
    <w:rsid w:val="4BD45734"/>
    <w:rsid w:val="4D19513A"/>
    <w:rsid w:val="4DF4532B"/>
    <w:rsid w:val="4E236442"/>
    <w:rsid w:val="4F4E06B5"/>
    <w:rsid w:val="4FCB49ED"/>
    <w:rsid w:val="5355C9C7"/>
    <w:rsid w:val="538DDE21"/>
    <w:rsid w:val="5423676B"/>
    <w:rsid w:val="546A487E"/>
    <w:rsid w:val="551EA53A"/>
    <w:rsid w:val="56C12C2F"/>
    <w:rsid w:val="56F0A2C9"/>
    <w:rsid w:val="5783986C"/>
    <w:rsid w:val="5795E979"/>
    <w:rsid w:val="57D839B1"/>
    <w:rsid w:val="58B0D766"/>
    <w:rsid w:val="58C341D8"/>
    <w:rsid w:val="598CADEB"/>
    <w:rsid w:val="5A2D4101"/>
    <w:rsid w:val="5A3C94F0"/>
    <w:rsid w:val="5A7C99A6"/>
    <w:rsid w:val="5BA9C2E2"/>
    <w:rsid w:val="5DB52D28"/>
    <w:rsid w:val="5E111E11"/>
    <w:rsid w:val="5E26CE90"/>
    <w:rsid w:val="5E4BE1E0"/>
    <w:rsid w:val="5E56DE4E"/>
    <w:rsid w:val="5F91AAE3"/>
    <w:rsid w:val="6021F3F5"/>
    <w:rsid w:val="60269B73"/>
    <w:rsid w:val="604B286D"/>
    <w:rsid w:val="60A8E889"/>
    <w:rsid w:val="61B81A1F"/>
    <w:rsid w:val="631D6E0C"/>
    <w:rsid w:val="63754C03"/>
    <w:rsid w:val="6422E701"/>
    <w:rsid w:val="64D376E0"/>
    <w:rsid w:val="6505D461"/>
    <w:rsid w:val="656A437E"/>
    <w:rsid w:val="66FD09EE"/>
    <w:rsid w:val="67B7B248"/>
    <w:rsid w:val="6860CFFD"/>
    <w:rsid w:val="68B81D3E"/>
    <w:rsid w:val="69130EED"/>
    <w:rsid w:val="6965CC4A"/>
    <w:rsid w:val="69D635B7"/>
    <w:rsid w:val="6B9A5683"/>
    <w:rsid w:val="6C9571FF"/>
    <w:rsid w:val="6CDBD0D6"/>
    <w:rsid w:val="6D06B33C"/>
    <w:rsid w:val="6E43343F"/>
    <w:rsid w:val="73D55A47"/>
    <w:rsid w:val="73F14FC3"/>
    <w:rsid w:val="746FD895"/>
    <w:rsid w:val="758D2024"/>
    <w:rsid w:val="75F56B43"/>
    <w:rsid w:val="76903ED3"/>
    <w:rsid w:val="777A34B5"/>
    <w:rsid w:val="77BDE8BD"/>
    <w:rsid w:val="78EF6E7A"/>
    <w:rsid w:val="796E2267"/>
    <w:rsid w:val="7B00DCDB"/>
    <w:rsid w:val="7B1795CA"/>
    <w:rsid w:val="7C50F75D"/>
    <w:rsid w:val="7C9A3EC9"/>
    <w:rsid w:val="7CDAF73C"/>
    <w:rsid w:val="7CEE45ED"/>
    <w:rsid w:val="7D06E37F"/>
    <w:rsid w:val="7D8B15A1"/>
    <w:rsid w:val="7DEC24B9"/>
    <w:rsid w:val="7F55A11C"/>
    <w:rsid w:val="7FFA9E2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36F35"/>
  <w15:docId w15:val="{C6AB25F4-18EC-42BE-B9BC-8129781F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rsid w:val="0081067E"/>
    <w:rPr>
      <w:rFonts w:cstheme="minorHAnsi"/>
      <w:sz w:val="20"/>
      <w:szCs w:val="20"/>
    </w:rPr>
  </w:style>
  <w:style w:type="character" w:styleId="Refdenotaderodap">
    <w:name w:val="footnote reference"/>
    <w:basedOn w:val="Fontepargpadro"/>
    <w:unhideWhenUsed/>
    <w:rsid w:val="0081067E"/>
    <w:rPr>
      <w:vertAlign w:val="superscript"/>
    </w:rPr>
  </w:style>
  <w:style w:type="paragraph" w:styleId="PargrafodaLista">
    <w:name w:val="List Paragraph"/>
    <w:basedOn w:val="Normal"/>
    <w:uiPriority w:val="34"/>
    <w:rsid w:val="00D013CB"/>
    <w:pPr>
      <w:ind w:left="720"/>
      <w:contextualSpacing/>
    </w:pPr>
  </w:style>
  <w:style w:type="character" w:styleId="Refdecomentrio">
    <w:name w:val="annotation reference"/>
    <w:basedOn w:val="Fontepargpadro"/>
    <w:uiPriority w:val="99"/>
    <w:semiHidden/>
    <w:unhideWhenUsed/>
    <w:rsid w:val="003851D7"/>
    <w:rPr>
      <w:sz w:val="16"/>
      <w:szCs w:val="16"/>
    </w:rPr>
  </w:style>
  <w:style w:type="paragraph" w:styleId="Textodecomentrio">
    <w:name w:val="annotation text"/>
    <w:basedOn w:val="Normal"/>
    <w:link w:val="TextodecomentrioChar"/>
    <w:uiPriority w:val="99"/>
    <w:unhideWhenUsed/>
    <w:rsid w:val="003851D7"/>
    <w:pPr>
      <w:spacing w:line="240" w:lineRule="auto"/>
    </w:pPr>
    <w:rPr>
      <w:sz w:val="20"/>
      <w:szCs w:val="20"/>
    </w:rPr>
  </w:style>
  <w:style w:type="character" w:customStyle="1" w:styleId="TextodecomentrioChar">
    <w:name w:val="Texto de comentário Char"/>
    <w:basedOn w:val="Fontepargpadro"/>
    <w:link w:val="Textodecomentrio"/>
    <w:uiPriority w:val="99"/>
    <w:rsid w:val="003851D7"/>
    <w:rPr>
      <w:rFonts w:cstheme="minorHAnsi"/>
      <w:sz w:val="20"/>
      <w:szCs w:val="20"/>
    </w:rPr>
  </w:style>
  <w:style w:type="paragraph" w:styleId="Assuntodocomentrio">
    <w:name w:val="annotation subject"/>
    <w:basedOn w:val="Textodecomentrio"/>
    <w:next w:val="Textodecomentrio"/>
    <w:link w:val="AssuntodocomentrioChar"/>
    <w:uiPriority w:val="99"/>
    <w:semiHidden/>
    <w:unhideWhenUsed/>
    <w:rsid w:val="003851D7"/>
    <w:rPr>
      <w:b/>
      <w:bCs/>
    </w:rPr>
  </w:style>
  <w:style w:type="character" w:customStyle="1" w:styleId="AssuntodocomentrioChar">
    <w:name w:val="Assunto do comentário Char"/>
    <w:basedOn w:val="TextodecomentrioChar"/>
    <w:link w:val="Assuntodocomentrio"/>
    <w:uiPriority w:val="99"/>
    <w:semiHidden/>
    <w:rsid w:val="003851D7"/>
    <w:rPr>
      <w:rFonts w:cstheme="minorHAnsi"/>
      <w:b/>
      <w:bCs/>
      <w:sz w:val="20"/>
      <w:szCs w:val="20"/>
    </w:rPr>
  </w:style>
  <w:style w:type="paragraph" w:styleId="Recuodecorpodetexto">
    <w:name w:val="Body Text Indent"/>
    <w:basedOn w:val="Normal"/>
    <w:link w:val="RecuodecorpodetextoChar"/>
    <w:semiHidden/>
    <w:rsid w:val="008E2DE3"/>
    <w:pPr>
      <w:spacing w:before="200" w:after="200" w:line="240" w:lineRule="auto"/>
    </w:pPr>
    <w:rPr>
      <w:rFonts w:ascii="Times New Roman" w:eastAsia="Times New Roman" w:hAnsi="Times New Roman" w:cs="Times New Roman"/>
      <w:strike/>
      <w:lang w:eastAsia="pt-BR"/>
    </w:rPr>
  </w:style>
  <w:style w:type="character" w:customStyle="1" w:styleId="RecuodecorpodetextoChar">
    <w:name w:val="Recuo de corpo de texto Char"/>
    <w:basedOn w:val="Fontepargpadro"/>
    <w:link w:val="Recuodecorpodetexto"/>
    <w:semiHidden/>
    <w:rsid w:val="008E2DE3"/>
    <w:rPr>
      <w:rFonts w:ascii="Times New Roman" w:eastAsia="Times New Roman" w:hAnsi="Times New Roman" w:cs="Times New Roman"/>
      <w:strike/>
      <w:sz w:val="24"/>
      <w:szCs w:val="24"/>
      <w:lang w:eastAsia="pt-BR"/>
    </w:rPr>
  </w:style>
  <w:style w:type="paragraph" w:styleId="Reviso">
    <w:name w:val="Revision"/>
    <w:hidden/>
    <w:uiPriority w:val="99"/>
    <w:semiHidden/>
    <w:rsid w:val="001E10F3"/>
    <w:pPr>
      <w:spacing w:after="0" w:line="240" w:lineRule="auto"/>
    </w:pPr>
    <w:rPr>
      <w:rFonts w:cstheme="minorHAnsi"/>
      <w:sz w:val="24"/>
      <w:szCs w:val="24"/>
    </w:rPr>
  </w:style>
  <w:style w:type="paragraph" w:customStyle="1" w:styleId="Default">
    <w:name w:val="Default"/>
    <w:rsid w:val="00AE604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SDM">
    <w:name w:val="SDM"/>
    <w:basedOn w:val="Normal"/>
    <w:rsid w:val="006C03C6"/>
    <w:pPr>
      <w:spacing w:before="0" w:after="0" w:line="240" w:lineRule="auto"/>
      <w:ind w:firstLine="0"/>
    </w:pPr>
    <w:rPr>
      <w:rFonts w:eastAsia="Times New Roman" w:cs="Times New Roman"/>
      <w:bC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371132">
      <w:bodyDiv w:val="1"/>
      <w:marLeft w:val="0"/>
      <w:marRight w:val="0"/>
      <w:marTop w:val="0"/>
      <w:marBottom w:val="0"/>
      <w:divBdr>
        <w:top w:val="none" w:sz="0" w:space="0" w:color="auto"/>
        <w:left w:val="none" w:sz="0" w:space="0" w:color="auto"/>
        <w:bottom w:val="none" w:sz="0" w:space="0" w:color="auto"/>
        <w:right w:val="none" w:sz="0" w:space="0" w:color="auto"/>
      </w:divBdr>
      <w:divsChild>
        <w:div w:id="1154685315">
          <w:marLeft w:val="0"/>
          <w:marRight w:val="0"/>
          <w:marTop w:val="0"/>
          <w:marBottom w:val="0"/>
          <w:divBdr>
            <w:top w:val="none" w:sz="0" w:space="0" w:color="auto"/>
            <w:left w:val="none" w:sz="0" w:space="0" w:color="auto"/>
            <w:bottom w:val="none" w:sz="0" w:space="0" w:color="auto"/>
            <w:right w:val="none" w:sz="0" w:space="0" w:color="auto"/>
          </w:divBdr>
        </w:div>
      </w:divsChild>
    </w:div>
    <w:div w:id="1917280475">
      <w:bodyDiv w:val="1"/>
      <w:marLeft w:val="0"/>
      <w:marRight w:val="0"/>
      <w:marTop w:val="0"/>
      <w:marBottom w:val="0"/>
      <w:divBdr>
        <w:top w:val="none" w:sz="0" w:space="0" w:color="auto"/>
        <w:left w:val="none" w:sz="0" w:space="0" w:color="auto"/>
        <w:bottom w:val="none" w:sz="0" w:space="0" w:color="auto"/>
        <w:right w:val="none" w:sz="0" w:space="0" w:color="auto"/>
      </w:divBdr>
      <w:divsChild>
        <w:div w:id="123894709">
          <w:marLeft w:val="0"/>
          <w:marRight w:val="0"/>
          <w:marTop w:val="0"/>
          <w:marBottom w:val="0"/>
          <w:divBdr>
            <w:top w:val="none" w:sz="0" w:space="0" w:color="auto"/>
            <w:left w:val="none" w:sz="0" w:space="0" w:color="auto"/>
            <w:bottom w:val="none" w:sz="0" w:space="0" w:color="auto"/>
            <w:right w:val="none" w:sz="0" w:space="0" w:color="auto"/>
          </w:divBdr>
        </w:div>
      </w:divsChild>
    </w:div>
    <w:div w:id="19977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OneDrive%20-%20cvm.gov.br\2020-08-07%20Template%20Resolu&#231;&#245;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7FCB8D6E83494CA02EA3DF11D14E4C"/>
        <w:category>
          <w:name w:val="Geral"/>
          <w:gallery w:val="placeholder"/>
        </w:category>
        <w:types>
          <w:type w:val="bbPlcHdr"/>
        </w:types>
        <w:behaviors>
          <w:behavior w:val="content"/>
        </w:behaviors>
        <w:guid w:val="{939C0202-E6BC-4084-B100-0F8F739B3681}"/>
      </w:docPartPr>
      <w:docPartBody>
        <w:p w:rsidR="003A151B" w:rsidRDefault="003A151B">
          <w:pPr>
            <w:pStyle w:val="677FCB8D6E83494CA02EA3DF11D14E4C"/>
          </w:pPr>
          <w:r w:rsidRPr="005311FB">
            <w:rPr>
              <w:rStyle w:val="TextodoEspaoReservado"/>
            </w:rPr>
            <w:t>[Título]</w:t>
          </w:r>
        </w:p>
      </w:docPartBody>
    </w:docPart>
    <w:docPart>
      <w:docPartPr>
        <w:name w:val="FA5BB1273EF3407DAED610D2C4847440"/>
        <w:category>
          <w:name w:val="Geral"/>
          <w:gallery w:val="placeholder"/>
        </w:category>
        <w:types>
          <w:type w:val="bbPlcHdr"/>
        </w:types>
        <w:behaviors>
          <w:behavior w:val="content"/>
        </w:behaviors>
        <w:guid w:val="{725D70FA-0BDF-41C6-BCF0-6E6B2170DB0E}"/>
      </w:docPartPr>
      <w:docPartBody>
        <w:p w:rsidR="002418F9" w:rsidRDefault="00207D9F" w:rsidP="00207D9F">
          <w:pPr>
            <w:pStyle w:val="FA5BB1273EF3407DAED610D2C4847440"/>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3A151B"/>
    <w:rsid w:val="00063997"/>
    <w:rsid w:val="00092E57"/>
    <w:rsid w:val="000B4AB6"/>
    <w:rsid w:val="000E702C"/>
    <w:rsid w:val="001706FE"/>
    <w:rsid w:val="00207D9F"/>
    <w:rsid w:val="002418F9"/>
    <w:rsid w:val="00322970"/>
    <w:rsid w:val="00361D54"/>
    <w:rsid w:val="0039583A"/>
    <w:rsid w:val="003A151B"/>
    <w:rsid w:val="0042785A"/>
    <w:rsid w:val="004811EE"/>
    <w:rsid w:val="00481D93"/>
    <w:rsid w:val="004B49DB"/>
    <w:rsid w:val="004C0F79"/>
    <w:rsid w:val="004F2099"/>
    <w:rsid w:val="00532BB5"/>
    <w:rsid w:val="00591B7B"/>
    <w:rsid w:val="005D7CE2"/>
    <w:rsid w:val="00607008"/>
    <w:rsid w:val="00612123"/>
    <w:rsid w:val="00644B0C"/>
    <w:rsid w:val="006C2B8C"/>
    <w:rsid w:val="007571B9"/>
    <w:rsid w:val="008579C0"/>
    <w:rsid w:val="00863E92"/>
    <w:rsid w:val="008731DA"/>
    <w:rsid w:val="008D1E8A"/>
    <w:rsid w:val="00980968"/>
    <w:rsid w:val="00A12633"/>
    <w:rsid w:val="00AF604C"/>
    <w:rsid w:val="00B32D2A"/>
    <w:rsid w:val="00B50119"/>
    <w:rsid w:val="00B51D81"/>
    <w:rsid w:val="00B623BD"/>
    <w:rsid w:val="00BC0140"/>
    <w:rsid w:val="00BC0468"/>
    <w:rsid w:val="00BC0533"/>
    <w:rsid w:val="00BC1B37"/>
    <w:rsid w:val="00BF0A61"/>
    <w:rsid w:val="00BF1BAC"/>
    <w:rsid w:val="00C14950"/>
    <w:rsid w:val="00C65654"/>
    <w:rsid w:val="00D04865"/>
    <w:rsid w:val="00D86705"/>
    <w:rsid w:val="00D92F67"/>
    <w:rsid w:val="00D94DE3"/>
    <w:rsid w:val="00D95D41"/>
    <w:rsid w:val="00DA0A85"/>
    <w:rsid w:val="00DC252E"/>
    <w:rsid w:val="00DD55F0"/>
    <w:rsid w:val="00E06BDD"/>
    <w:rsid w:val="00E76EA2"/>
    <w:rsid w:val="00F21567"/>
    <w:rsid w:val="00F974E2"/>
    <w:rsid w:val="00FF5346"/>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14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07D9F"/>
    <w:rPr>
      <w:color w:val="808080"/>
    </w:rPr>
  </w:style>
  <w:style w:type="paragraph" w:customStyle="1" w:styleId="677FCB8D6E83494CA02EA3DF11D14E4C">
    <w:name w:val="677FCB8D6E83494CA02EA3DF11D14E4C"/>
    <w:rsid w:val="00BC0140"/>
  </w:style>
  <w:style w:type="paragraph" w:customStyle="1" w:styleId="FA5BB1273EF3407DAED610D2C4847440">
    <w:name w:val="FA5BB1273EF3407DAED610D2C4847440"/>
    <w:rsid w:val="00207D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lcf76f155ced4ddcb4097134ff3c332f xmlns="15cb24ba-756a-4ce4-ac9a-5f0544b55546">
      <Terms xmlns="http://schemas.microsoft.com/office/infopath/2007/PartnerControls"/>
    </lcf76f155ced4ddcb4097134ff3c332f>
    <TaxCatchAll xmlns="53adeefc-49af-490c-b6df-0a140ad55a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6" ma:contentTypeDescription="Create a new document." ma:contentTypeScope="" ma:versionID="71728e5a4c7065b547348831ad60b131">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9f503c888ca7f7a943e648b606a9201b"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e61717-d90c-407f-8ff1-20c07df31b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e42c98-5a55-49ff-bbfe-4906bee2a489}" ma:internalName="TaxCatchAll" ma:showField="CatchAllData" ma:web="53adeefc-49af-490c-b6df-0a140ad55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2445E-F6B9-46F2-8584-8A8D0987AD23}">
  <ds:schemaRefs>
    <ds:schemaRef ds:uri="http://schemas.microsoft.com/office/2006/metadata/properties"/>
    <ds:schemaRef ds:uri="http://schemas.microsoft.com/office/infopath/2007/PartnerControls"/>
    <ds:schemaRef ds:uri="15cb24ba-756a-4ce4-ac9a-5f0544b55546"/>
    <ds:schemaRef ds:uri="53adeefc-49af-490c-b6df-0a140ad55ab3"/>
  </ds:schemaRefs>
</ds:datastoreItem>
</file>

<file path=customXml/itemProps2.xml><?xml version="1.0" encoding="utf-8"?>
<ds:datastoreItem xmlns:ds="http://schemas.openxmlformats.org/officeDocument/2006/customXml" ds:itemID="{2B97F66E-0ACF-4A98-A071-9C0631F699D7}">
  <ds:schemaRefs>
    <ds:schemaRef ds:uri="http://schemas.microsoft.com/sharepoint/v3/contenttype/forms"/>
  </ds:schemaRefs>
</ds:datastoreItem>
</file>

<file path=customXml/itemProps3.xml><?xml version="1.0" encoding="utf-8"?>
<ds:datastoreItem xmlns:ds="http://schemas.openxmlformats.org/officeDocument/2006/customXml" ds:itemID="{B79976C6-5328-49C2-8079-0EFB715CD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F9754A-DC6D-4258-BBAD-EE3382F2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2020-08-07 Template Resoluções.dotx</Template>
  <TotalTime>397</TotalTime>
  <Pages>10</Pages>
  <Words>2830</Words>
  <Characters>15285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184, de 11 de maio de 2023</vt:lpstr>
    </vt:vector>
  </TitlesOfParts>
  <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 de 11 de maio de 2023</dc:title>
  <dc:subject/>
  <dc:creator>CVM</dc:creator>
  <cp:keywords/>
  <cp:lastModifiedBy>Renata Dos Santos Leitão</cp:lastModifiedBy>
  <cp:revision>76</cp:revision>
  <cp:lastPrinted>2021-04-27T19:38:00Z</cp:lastPrinted>
  <dcterms:created xsi:type="dcterms:W3CDTF">2023-04-24T21:44:00Z</dcterms:created>
  <dcterms:modified xsi:type="dcterms:W3CDTF">2023-05-09T20:28:00Z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y fmtid="{D5CDD505-2E9C-101B-9397-08002B2CF9AE}" pid="3" name="MediaServiceImageTags">
    <vt:lpwstr/>
  </property>
</Properties>
</file>