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5328" w14:textId="467BBB10" w:rsidR="00F873DF" w:rsidRPr="00F873DF" w:rsidRDefault="00841BBF" w:rsidP="00F873DF">
      <w:pPr>
        <w:pStyle w:val="TtulodaResoluo"/>
      </w:pPr>
      <w:r w:rsidRPr="00180539">
        <w:t>R</w:t>
      </w:r>
      <w:r w:rsidR="00F873DF">
        <w:t>ESOLUÇÃO</w:t>
      </w:r>
      <w:r w:rsidRPr="00180539">
        <w:t xml:space="preserve"> CVM </w:t>
      </w:r>
      <w:r w:rsidR="00F873DF">
        <w:t>N</w:t>
      </w:r>
      <w:r w:rsidRPr="00180539">
        <w:t xml:space="preserve">º </w:t>
      </w:r>
      <w:sdt>
        <w:sdtPr>
          <w:alias w:val="Título"/>
          <w:tag w:val=""/>
          <w:id w:val="253094646"/>
          <w:placeholder>
            <w:docPart w:val="F30104770A094029836727CFCDAF785D"/>
          </w:placeholder>
          <w:dataBinding w:prefixMappings="xmlns:ns0='http://purl.org/dc/elements/1.1/' xmlns:ns1='http://schemas.openxmlformats.org/package/2006/metadata/core-properties' " w:xpath="/ns1:coreProperties[1]/ns0:title[1]" w:storeItemID="{6C3C8BC8-F283-45AE-878A-BAB7291924A1}"/>
          <w:text/>
        </w:sdtPr>
        <w:sdtEndPr/>
        <w:sdtContent>
          <w:r w:rsidR="0075330C">
            <w:t>187, DE 27</w:t>
          </w:r>
          <w:r w:rsidR="00F873DF">
            <w:t xml:space="preserve"> DE SETEMBRO DE 2023</w:t>
          </w:r>
        </w:sdtContent>
      </w:sdt>
    </w:p>
    <w:p w14:paraId="7CC620BC" w14:textId="4452DB09" w:rsidR="00841BBF" w:rsidRPr="00180539" w:rsidRDefault="00873261" w:rsidP="0010471A">
      <w:pPr>
        <w:pStyle w:val="Ementa"/>
        <w:spacing w:before="360" w:after="360"/>
      </w:pPr>
      <w:r>
        <w:t>Altera a Resolução CVM nº 175, de 23 de dezembro de 2022</w:t>
      </w:r>
      <w:r w:rsidR="00956AB0" w:rsidRPr="000E46A2">
        <w:t>.</w:t>
      </w:r>
    </w:p>
    <w:p w14:paraId="57E2BE09" w14:textId="6F09ABA4" w:rsidR="006E1797" w:rsidRPr="00180539" w:rsidRDefault="006E1797" w:rsidP="00ED1FB4">
      <w:r w:rsidRPr="00180539">
        <w:t xml:space="preserve">O </w:t>
      </w:r>
      <w:r w:rsidR="00894689" w:rsidRPr="00180539">
        <w:rPr>
          <w:b/>
        </w:rPr>
        <w:t>PRESIDENTE DA COMISSÃO DE VALORES MOBILIÁRIOS – CVM</w:t>
      </w:r>
      <w:r w:rsidR="00894689" w:rsidRPr="00180539">
        <w:t xml:space="preserve"> torna público que o Colegiado, em reunião realizada </w:t>
      </w:r>
      <w:r w:rsidR="00F873DF">
        <w:t xml:space="preserve">em </w:t>
      </w:r>
      <w:r w:rsidR="0075330C">
        <w:t>26</w:t>
      </w:r>
      <w:r w:rsidR="00F873DF">
        <w:t xml:space="preserve"> de setembro de 2023</w:t>
      </w:r>
      <w:r w:rsidR="00F85C5E" w:rsidRPr="00180539">
        <w:t xml:space="preserve">, </w:t>
      </w:r>
      <w:r w:rsidR="00894689" w:rsidRPr="00180539">
        <w:t xml:space="preserve">com fundamento no disposto nos </w:t>
      </w:r>
      <w:proofErr w:type="spellStart"/>
      <w:r w:rsidR="00873261" w:rsidRPr="0097459F">
        <w:t>arts</w:t>
      </w:r>
      <w:proofErr w:type="spellEnd"/>
      <w:r w:rsidR="00873261" w:rsidRPr="0097459F">
        <w:t>. 2º, inciso V, 8º, inciso I, 19 e 23, § 2º, da Lei nº 6.385, de 7 de dezembro de</w:t>
      </w:r>
      <w:r w:rsidR="00873261">
        <w:t xml:space="preserve"> 1976</w:t>
      </w:r>
      <w:r w:rsidR="00894689" w:rsidRPr="00180539">
        <w:t>,</w:t>
      </w:r>
      <w:r w:rsidR="00873261" w:rsidRPr="0097459F">
        <w:t xml:space="preserve"> n</w:t>
      </w:r>
      <w:r w:rsidR="00873261" w:rsidRPr="0097459F">
        <w:rPr>
          <w:shd w:val="clear" w:color="auto" w:fill="FFFFFF"/>
        </w:rPr>
        <w:t>a Lei nº 8.167, de 16 de janeiro de 1991, n</w:t>
      </w:r>
      <w:r w:rsidR="00873261" w:rsidRPr="0097459F">
        <w:t xml:space="preserve">a Lei nº 8.313, de 23 de dezembro de 1991, na Lei nº 8.668, de 25 de junho de 1993, na Lei nº 9.491, de 9 de setembro de 1997, na Lei nº 9.635, de 15 de maio de 1998, na Medida Provisória no 2.228-1, de 6 de setembro de 2001, nos </w:t>
      </w:r>
      <w:proofErr w:type="spellStart"/>
      <w:r w:rsidR="00873261" w:rsidRPr="0097459F">
        <w:t>arts</w:t>
      </w:r>
      <w:proofErr w:type="spellEnd"/>
      <w:r w:rsidR="00873261" w:rsidRPr="0097459F">
        <w:t xml:space="preserve">. 1.368-C a 1.368-F da Lei nº 10.406, de 10 de janeiro de 2002, na </w:t>
      </w:r>
      <w:r w:rsidR="00873261" w:rsidRPr="0097459F">
        <w:rPr>
          <w:shd w:val="clear" w:color="auto" w:fill="FFFFFF"/>
        </w:rPr>
        <w:t xml:space="preserve">Lei nº 10.735, de 11 de setembro de 2003, </w:t>
      </w:r>
      <w:r w:rsidR="00873261" w:rsidRPr="0097459F">
        <w:t>na Lei nº 10.973, de 2 de dezembro de 2004, na Lei nº 11.196, de 21 de novembro de 2005, na Lei nº 11.478, de 29 de maio de 2007, na Lei nº 12.431, de 24 de junho de 2011, na Resolução CMN nº 1.787, de 1º de fevereiro de 1991, na Resolução CMN nº 2.424, de 1º de outubro de 1997, e na Resolução CMN nº 2.907, de 29 de novembro de 2001</w:t>
      </w:r>
      <w:r w:rsidR="00873261">
        <w:t xml:space="preserve">, </w:t>
      </w:r>
      <w:r w:rsidR="00697BF1">
        <w:rPr>
          <w:b/>
        </w:rPr>
        <w:t>APROVOU</w:t>
      </w:r>
      <w:r w:rsidR="00894689" w:rsidRPr="00180539">
        <w:t xml:space="preserve"> a seguinte Resolução:</w:t>
      </w:r>
    </w:p>
    <w:p w14:paraId="2596BB4E" w14:textId="5C953F83" w:rsidR="00873261" w:rsidRDefault="00873261" w:rsidP="00873261">
      <w:r>
        <w:t>Art. 1</w:t>
      </w:r>
      <w:bookmarkStart w:id="0" w:name="_Int_GhXJALqH"/>
      <w:proofErr w:type="gramStart"/>
      <w:r>
        <w:t>º  A</w:t>
      </w:r>
      <w:bookmarkEnd w:id="0"/>
      <w:proofErr w:type="gramEnd"/>
      <w:r>
        <w:t xml:space="preserve"> </w:t>
      </w:r>
      <w:r w:rsidR="00577A23">
        <w:t xml:space="preserve">parte geral da </w:t>
      </w:r>
      <w:r>
        <w:t>Resolução CVM nº 175, de 23 de dezembro de 202</w:t>
      </w:r>
      <w:r w:rsidR="00335430">
        <w:t>2</w:t>
      </w:r>
      <w:r>
        <w:t>, passa a vigorar com a seguinte redação:</w:t>
      </w:r>
    </w:p>
    <w:p w14:paraId="56E0479D" w14:textId="2B73E55F" w:rsidR="00E76A97" w:rsidRDefault="00E76A97" w:rsidP="00122A91">
      <w:pPr>
        <w:pStyle w:val="NormaAlterada"/>
      </w:pPr>
      <w:r>
        <w:t xml:space="preserve">“Art. </w:t>
      </w:r>
      <w:r w:rsidR="006E0079">
        <w:t>16</w:t>
      </w:r>
      <w:r>
        <w:t>.  ...........................................................</w:t>
      </w:r>
    </w:p>
    <w:p w14:paraId="2AED00D2" w14:textId="128BC17C" w:rsidR="00E76A97" w:rsidRDefault="006E0079" w:rsidP="00122A91">
      <w:pPr>
        <w:pStyle w:val="NormaAlterada"/>
      </w:pPr>
      <w:r>
        <w:t>........</w:t>
      </w:r>
      <w:r w:rsidR="00E76A97">
        <w:t>..................................................................</w:t>
      </w:r>
    </w:p>
    <w:p w14:paraId="1F7878B2" w14:textId="0C4DECE9" w:rsidR="006E0079" w:rsidRPr="0097459F" w:rsidRDefault="00E76A97" w:rsidP="006E0079">
      <w:pPr>
        <w:pStyle w:val="NormaAlterada"/>
      </w:pPr>
      <w:r>
        <w:t xml:space="preserve">VI – </w:t>
      </w:r>
      <w:bookmarkStart w:id="1" w:name="_Int_Xe25mZN8"/>
      <w:proofErr w:type="gramStart"/>
      <w:r w:rsidR="006E0079">
        <w:t>transferência</w:t>
      </w:r>
      <w:bookmarkEnd w:id="1"/>
      <w:proofErr w:type="gramEnd"/>
      <w:r w:rsidR="006E0079">
        <w:t xml:space="preserve"> de </w:t>
      </w:r>
      <w:r w:rsidR="006E0079" w:rsidRPr="6B4419CC">
        <w:rPr>
          <w:rFonts w:cstheme="minorBidi"/>
        </w:rPr>
        <w:t>administração</w:t>
      </w:r>
      <w:r w:rsidR="006E0079">
        <w:t xml:space="preserve"> ou portabilidade de planos de previdência;</w:t>
      </w:r>
    </w:p>
    <w:p w14:paraId="3C46F64A" w14:textId="367B052F" w:rsidR="00E76A97" w:rsidRDefault="00E76A97" w:rsidP="00122A91">
      <w:pPr>
        <w:pStyle w:val="NormaAlterada"/>
      </w:pPr>
      <w:r>
        <w:t>..........................................................................</w:t>
      </w:r>
      <w:r w:rsidR="006E0079">
        <w:t>” (NR)</w:t>
      </w:r>
    </w:p>
    <w:p w14:paraId="4992F492" w14:textId="6F62A2CC" w:rsidR="006E0079" w:rsidRDefault="006E0079" w:rsidP="44425E68">
      <w:pPr>
        <w:pStyle w:val="NormaAlterada"/>
        <w:rPr>
          <w:rFonts w:cstheme="minorBidi"/>
        </w:rPr>
      </w:pPr>
      <w:r>
        <w:t xml:space="preserve">“Art. 71.  </w:t>
      </w:r>
      <w:r w:rsidRPr="44425E68">
        <w:rPr>
          <w:rFonts w:cstheme="minorBidi"/>
        </w:rPr>
        <w:t xml:space="preserve">Anualmente, a assembleia especial de cotistas deve deliberar sobre as demonstrações contábeis da classe de cotas, assim como a assembleia geral de cotistas deve deliberar sobre as demonstrações contábeis do fundo, </w:t>
      </w:r>
      <w:r w:rsidR="00C22EFE" w:rsidRPr="44425E68">
        <w:rPr>
          <w:rFonts w:cstheme="minorBidi"/>
        </w:rPr>
        <w:t>no prazo de até 60 (sessenta) dias após o encaminhamento das demonstrações contábeis à CVM, contendo relatório do auditor independente</w:t>
      </w:r>
      <w:r w:rsidR="005E4AA9" w:rsidRPr="44425E68">
        <w:rPr>
          <w:rFonts w:cstheme="minorBidi"/>
        </w:rPr>
        <w:t>.</w:t>
      </w:r>
    </w:p>
    <w:p w14:paraId="41F83654" w14:textId="6BAA75F8" w:rsidR="005E4AA9" w:rsidRPr="0097459F" w:rsidRDefault="005E4AA9" w:rsidP="005E4AA9">
      <w:pPr>
        <w:pStyle w:val="NormaAlterada"/>
      </w:pPr>
      <w:r>
        <w:t>§ 1</w:t>
      </w:r>
      <w:bookmarkStart w:id="2" w:name="_Int_IVeusR7p"/>
      <w:proofErr w:type="gramStart"/>
      <w:r>
        <w:t>º  A</w:t>
      </w:r>
      <w:bookmarkEnd w:id="2"/>
      <w:proofErr w:type="gramEnd"/>
      <w:r>
        <w:t xml:space="preserve"> assembleia de cotistas somente pode ser realizada no mínimo 15 (quinze) dias após estarem disponíveis aos cotistas as demonstrações contábeis relativas ao exercício encerrado, contendo relatório do auditor independente.</w:t>
      </w:r>
    </w:p>
    <w:p w14:paraId="514D6828" w14:textId="536940F1" w:rsidR="006E0079" w:rsidRDefault="006E0079" w:rsidP="00122A91">
      <w:pPr>
        <w:pStyle w:val="NormaAlterada"/>
      </w:pPr>
      <w:r>
        <w:t>.........................................................................” (NR)</w:t>
      </w:r>
    </w:p>
    <w:p w14:paraId="3319F597" w14:textId="4D8A548F" w:rsidR="006E0079" w:rsidRDefault="006E0079" w:rsidP="00122A91">
      <w:pPr>
        <w:pStyle w:val="NormaAlterada"/>
      </w:pPr>
      <w:r>
        <w:lastRenderedPageBreak/>
        <w:t>“Art. 73.  .........................................................</w:t>
      </w:r>
    </w:p>
    <w:p w14:paraId="399B03A2" w14:textId="7C031426" w:rsidR="006E0079" w:rsidRDefault="006E0079" w:rsidP="00122A91">
      <w:pPr>
        <w:pStyle w:val="NormaAlterada"/>
      </w:pPr>
      <w:r>
        <w:t>§ 1</w:t>
      </w:r>
      <w:bookmarkStart w:id="3" w:name="_Int_8PKgS1CG"/>
      <w:proofErr w:type="gramStart"/>
      <w:r>
        <w:t>º  O</w:t>
      </w:r>
      <w:bookmarkEnd w:id="3"/>
      <w:proofErr w:type="gramEnd"/>
      <w:r>
        <w:t xml:space="preserve"> pedido de convocação pelo gestor, </w:t>
      </w:r>
      <w:r w:rsidR="00C22EFE">
        <w:t xml:space="preserve">pelo </w:t>
      </w:r>
      <w:r>
        <w:t>custodiante ou por cotistas deve ser dirigid</w:t>
      </w:r>
      <w:r w:rsidR="00551C8F">
        <w:t>o</w:t>
      </w:r>
      <w:r>
        <w:t xml:space="preserve"> ao administrador, que deve, no prazo máximo de 30 (trinta) dias contado do recebimento, convocar a assembleia de cotistas.</w:t>
      </w:r>
    </w:p>
    <w:p w14:paraId="6E6691B1" w14:textId="77777777" w:rsidR="006E0079" w:rsidRDefault="006E0079" w:rsidP="006E0079">
      <w:pPr>
        <w:pStyle w:val="NormaAlterada"/>
      </w:pPr>
      <w:r>
        <w:t>.........................................................................” (NR)</w:t>
      </w:r>
    </w:p>
    <w:p w14:paraId="0BBABCEA" w14:textId="0D8FE6D0" w:rsidR="00122A91" w:rsidRDefault="00122A91" w:rsidP="00122A91">
      <w:r>
        <w:t>Art. 2</w:t>
      </w:r>
      <w:bookmarkStart w:id="4" w:name="_Int_JtqbUeeQ"/>
      <w:proofErr w:type="gramStart"/>
      <w:r>
        <w:t>º  O</w:t>
      </w:r>
      <w:bookmarkEnd w:id="4"/>
      <w:proofErr w:type="gramEnd"/>
      <w:r>
        <w:t xml:space="preserve"> Anexo Normativo I da Resolução CVM nº 175, de 202</w:t>
      </w:r>
      <w:r w:rsidR="00335430">
        <w:t>2</w:t>
      </w:r>
      <w:r>
        <w:t>, passa a vigorar com a seguinte redação:</w:t>
      </w:r>
    </w:p>
    <w:p w14:paraId="1C2654CA" w14:textId="084BCA83" w:rsidR="006E0079" w:rsidRDefault="006E0079" w:rsidP="006E0079">
      <w:pPr>
        <w:pStyle w:val="NormaAlterada"/>
      </w:pPr>
      <w:r w:rsidRPr="001B7C22">
        <w:t xml:space="preserve">“Art. </w:t>
      </w:r>
      <w:r>
        <w:t>22.  ..........................................................</w:t>
      </w:r>
    </w:p>
    <w:p w14:paraId="058F90CB" w14:textId="35DBCFEC" w:rsidR="006E0079" w:rsidRDefault="006E0079" w:rsidP="006E0079">
      <w:pPr>
        <w:pStyle w:val="NormaAlterada"/>
      </w:pPr>
      <w:r>
        <w:t>..........................................................................</w:t>
      </w:r>
    </w:p>
    <w:p w14:paraId="6C4EE705" w14:textId="03012EFA" w:rsidR="006E0079" w:rsidRDefault="006E0079" w:rsidP="001342DA">
      <w:pPr>
        <w:pStyle w:val="NormaAlterada"/>
      </w:pPr>
      <w:r>
        <w:t>§ 4</w:t>
      </w:r>
      <w:bookmarkStart w:id="5" w:name="_Int_e7uomuDf"/>
      <w:proofErr w:type="gramStart"/>
      <w:r>
        <w:t>º  ..................................................................</w:t>
      </w:r>
      <w:bookmarkEnd w:id="5"/>
      <w:proofErr w:type="gramEnd"/>
    </w:p>
    <w:p w14:paraId="634A8DF8" w14:textId="6DA1E2D5" w:rsidR="006E0079" w:rsidRPr="0097459F" w:rsidRDefault="006E0079" w:rsidP="006E0079">
      <w:pPr>
        <w:pStyle w:val="NormaAlterada"/>
      </w:pPr>
      <w:r w:rsidRPr="001D3918">
        <w:t>I –</w:t>
      </w:r>
      <w:r w:rsidRPr="0097459F">
        <w:t xml:space="preserve"> 30 (trinta) dias, improrrogáveis, nas classes tipificadas como “Renda Fixa” que sejam “</w:t>
      </w:r>
      <w:r>
        <w:t>Curto</w:t>
      </w:r>
      <w:r w:rsidRPr="0097459F">
        <w:t xml:space="preserve"> Prazo”, “Referenciada” ou “Simples”; e</w:t>
      </w:r>
    </w:p>
    <w:p w14:paraId="36DAF091" w14:textId="77777777" w:rsidR="006E0079" w:rsidRDefault="006E0079" w:rsidP="006E0079">
      <w:pPr>
        <w:pStyle w:val="NormaAlterada"/>
      </w:pPr>
      <w:r>
        <w:t>.........................................................................” (NR)</w:t>
      </w:r>
    </w:p>
    <w:p w14:paraId="7E6C8B43" w14:textId="4A9B52FC" w:rsidR="006E0079" w:rsidRDefault="006E0079" w:rsidP="006E0079">
      <w:pPr>
        <w:pStyle w:val="NormaAlterada"/>
      </w:pPr>
      <w:r w:rsidRPr="001B7C22">
        <w:t xml:space="preserve">“Art. </w:t>
      </w:r>
      <w:r>
        <w:t>44.  ..........................................................</w:t>
      </w:r>
    </w:p>
    <w:p w14:paraId="25278F2A" w14:textId="0B3A5621" w:rsidR="006E0079" w:rsidRDefault="006E0079" w:rsidP="006E0079">
      <w:pPr>
        <w:pStyle w:val="NormaAlterada"/>
      </w:pPr>
      <w:r>
        <w:t>..........................................................................</w:t>
      </w:r>
    </w:p>
    <w:p w14:paraId="6E66A5D5" w14:textId="77777777" w:rsidR="006E0079" w:rsidRDefault="006E0079" w:rsidP="006E0079">
      <w:pPr>
        <w:pStyle w:val="Normalalteradora"/>
      </w:pPr>
      <w:r w:rsidRPr="6B4419CC">
        <w:rPr>
          <w:rFonts w:ascii="Calibri" w:hAnsi="Calibri" w:cs="Calibri"/>
        </w:rPr>
        <w:t>§ 3</w:t>
      </w:r>
      <w:bookmarkStart w:id="6" w:name="_Int_64BDDGTb"/>
      <w:proofErr w:type="gramStart"/>
      <w:r w:rsidRPr="6B4419CC">
        <w:rPr>
          <w:rFonts w:ascii="Calibri" w:hAnsi="Calibri" w:cs="Calibri"/>
        </w:rPr>
        <w:t>º  A</w:t>
      </w:r>
      <w:bookmarkEnd w:id="6"/>
      <w:proofErr w:type="gramEnd"/>
      <w:r w:rsidRPr="6B4419CC">
        <w:rPr>
          <w:rFonts w:ascii="Calibri" w:hAnsi="Calibri" w:cs="Calibri"/>
        </w:rPr>
        <w:t xml:space="preserve"> vedação de que trata o § 2º</w:t>
      </w:r>
      <w:r>
        <w:t xml:space="preserve"> </w:t>
      </w:r>
      <w:r w:rsidRPr="6B4419CC">
        <w:rPr>
          <w:rFonts w:ascii="Calibri" w:hAnsi="Calibri" w:cs="Calibri"/>
        </w:rPr>
        <w:t xml:space="preserve">não é aplicável nos </w:t>
      </w:r>
      <w:r>
        <w:t xml:space="preserve">seguintes </w:t>
      </w:r>
      <w:r w:rsidRPr="6B4419CC">
        <w:rPr>
          <w:rFonts w:ascii="Calibri" w:hAnsi="Calibri" w:cs="Calibri"/>
        </w:rPr>
        <w:t>casos</w:t>
      </w:r>
      <w:r>
        <w:t>:</w:t>
      </w:r>
    </w:p>
    <w:p w14:paraId="4C20D89F" w14:textId="6FF7C2F9" w:rsidR="006E0079" w:rsidRPr="0097459F" w:rsidRDefault="006E0079" w:rsidP="006E0079">
      <w:pPr>
        <w:pStyle w:val="NormaAlterada"/>
      </w:pPr>
      <w:r>
        <w:t xml:space="preserve">I – </w:t>
      </w:r>
      <w:bookmarkStart w:id="7" w:name="_Int_ZiPL1kUe"/>
      <w:proofErr w:type="gramStart"/>
      <w:r>
        <w:t>quando</w:t>
      </w:r>
      <w:bookmarkEnd w:id="7"/>
      <w:proofErr w:type="gramEnd"/>
      <w:r>
        <w:t xml:space="preserve"> a política de investimento consistir em investir, no mínimo, 95% (noventa e cinco por cento) do patrimônio líquido em ações ou certificados de depósito de ações do próprio gestor ou companhias de seu grupo econômico, ou </w:t>
      </w:r>
    </w:p>
    <w:p w14:paraId="61D44266" w14:textId="7C6507F3" w:rsidR="006E0079" w:rsidRDefault="006E0079" w:rsidP="006E0079">
      <w:pPr>
        <w:pStyle w:val="NormaAlterada"/>
      </w:pPr>
      <w:r>
        <w:t xml:space="preserve">II – </w:t>
      </w:r>
      <w:bookmarkStart w:id="8" w:name="_Int_nkxRaws8"/>
      <w:proofErr w:type="gramStart"/>
      <w:r>
        <w:t>ações</w:t>
      </w:r>
      <w:bookmarkEnd w:id="8"/>
      <w:proofErr w:type="gramEnd"/>
      <w:r>
        <w:t xml:space="preserve"> que integrem índice geral representativo das ações de maior negociabilidade no mercado brasileiro.</w:t>
      </w:r>
    </w:p>
    <w:p w14:paraId="1F078ADD" w14:textId="77777777" w:rsidR="006E0079" w:rsidRDefault="006E0079" w:rsidP="006E0079">
      <w:pPr>
        <w:pStyle w:val="NormaAlterada"/>
      </w:pPr>
      <w:r>
        <w:t>.........................................................................” (NR)</w:t>
      </w:r>
    </w:p>
    <w:p w14:paraId="43FE1AC6" w14:textId="144E0DE2" w:rsidR="006E0079" w:rsidRDefault="006E0079" w:rsidP="006E0079">
      <w:pPr>
        <w:pStyle w:val="NormaAlterada"/>
      </w:pPr>
      <w:r w:rsidRPr="001B7C22">
        <w:t xml:space="preserve">“Art. </w:t>
      </w:r>
      <w:r>
        <w:t>45.  ..........................................................</w:t>
      </w:r>
    </w:p>
    <w:p w14:paraId="0655EEB5" w14:textId="70BB512E" w:rsidR="006E0079" w:rsidRDefault="006E0079" w:rsidP="006E0079">
      <w:pPr>
        <w:pStyle w:val="NormaAlterada"/>
      </w:pPr>
      <w:r>
        <w:t>I – .....................................................................</w:t>
      </w:r>
    </w:p>
    <w:p w14:paraId="49406637" w14:textId="1DE641D2" w:rsidR="006E0079" w:rsidRDefault="006E0079" w:rsidP="006E0079">
      <w:pPr>
        <w:pStyle w:val="NormaAlterada"/>
      </w:pPr>
      <w:r>
        <w:t>..........................................................................</w:t>
      </w:r>
    </w:p>
    <w:p w14:paraId="2E838715" w14:textId="21CE85A3" w:rsidR="006E0079" w:rsidRPr="003E2D93" w:rsidRDefault="006E0079" w:rsidP="006E0079">
      <w:pPr>
        <w:pStyle w:val="NormaAlterada"/>
      </w:pPr>
      <w:r w:rsidRPr="0097459F">
        <w:lastRenderedPageBreak/>
        <w:t>c) cotas de fundos de investimento em direitos creditórios – FIDC, sendo de 5% (cinco por cento) o limite para aplicação em cotas de FIDC cujas políticas de investimento admitam a aquisição de direitos creditórios não-padronizados, conforme definidos no art. 2º, inciso XIII, do Anexo Normativo II;</w:t>
      </w:r>
      <w:r>
        <w:t xml:space="preserve"> </w:t>
      </w:r>
    </w:p>
    <w:p w14:paraId="2515192B" w14:textId="1A2DF5F2" w:rsidR="006E0079" w:rsidRDefault="006E0079" w:rsidP="006E0079">
      <w:pPr>
        <w:pStyle w:val="NormaAlterada"/>
      </w:pPr>
      <w:r>
        <w:t>d) certificados de recebíveis</w:t>
      </w:r>
      <w:r w:rsidRPr="004A5EB3">
        <w:t>, sendo de 5% (cinco por cento) o limite para aplicação em certificados de recebíveis cujo lastro seja composto por direitos creditórios não-padronizados, conforme definidos no art. 2º, inc</w:t>
      </w:r>
      <w:r>
        <w:t>iso XIII, do Anexo Normativo II; e</w:t>
      </w:r>
    </w:p>
    <w:p w14:paraId="024CABAB" w14:textId="127F9C6F" w:rsidR="00B3751D" w:rsidRDefault="00B3751D" w:rsidP="006E0079">
      <w:pPr>
        <w:pStyle w:val="NormaAlterada"/>
      </w:pPr>
      <w:r>
        <w:t xml:space="preserve">e) </w:t>
      </w:r>
      <w:r w:rsidR="0CE25ACF">
        <w:t>valores mobiliários representativos</w:t>
      </w:r>
      <w:r>
        <w:t xml:space="preserve"> de dívida de emissão de companhia emissora não registrada na CVM;</w:t>
      </w:r>
    </w:p>
    <w:p w14:paraId="45C390E7" w14:textId="77777777" w:rsidR="00B3751D" w:rsidRDefault="00B3751D" w:rsidP="00B3751D">
      <w:pPr>
        <w:pStyle w:val="NormaAlterada"/>
      </w:pPr>
      <w:r>
        <w:t>.........................................................................</w:t>
      </w:r>
    </w:p>
    <w:p w14:paraId="165E445C" w14:textId="355CE0C0" w:rsidR="00B3751D" w:rsidRDefault="00B3751D" w:rsidP="00B3751D">
      <w:pPr>
        <w:pStyle w:val="NormaAlterada"/>
      </w:pPr>
      <w:r>
        <w:t>III - ...................................................................</w:t>
      </w:r>
    </w:p>
    <w:p w14:paraId="7A9AB52C" w14:textId="77777777" w:rsidR="00B3751D" w:rsidRDefault="00B3751D" w:rsidP="00B3751D">
      <w:pPr>
        <w:pStyle w:val="NormaAlterada"/>
      </w:pPr>
      <w:r>
        <w:t>.........................................................................</w:t>
      </w:r>
    </w:p>
    <w:p w14:paraId="0C2BF076" w14:textId="27B3EC37" w:rsidR="006E0079" w:rsidRDefault="006E0079" w:rsidP="006E0079">
      <w:pPr>
        <w:pStyle w:val="NormaAlterada"/>
      </w:pPr>
      <w:r>
        <w:t xml:space="preserve">e) outros ativos financeiros não previstos nos </w:t>
      </w:r>
      <w:r w:rsidR="00B3751D">
        <w:t>incisos I</w:t>
      </w:r>
      <w:r w:rsidR="00B43B6D">
        <w:t>, II e IV</w:t>
      </w:r>
      <w:r>
        <w:t xml:space="preserve"> deste artigo;</w:t>
      </w:r>
      <w:r w:rsidR="00B3751D">
        <w:t xml:space="preserve"> e</w:t>
      </w:r>
    </w:p>
    <w:p w14:paraId="34093AEE" w14:textId="77777777" w:rsidR="006E0079" w:rsidRDefault="006E0079" w:rsidP="006E0079">
      <w:pPr>
        <w:pStyle w:val="NormaAlterada"/>
      </w:pPr>
      <w:r>
        <w:t>.........................................................................” (NR)</w:t>
      </w:r>
    </w:p>
    <w:p w14:paraId="2E08FB9E" w14:textId="2A0199DD" w:rsidR="006E0079" w:rsidRDefault="001342DA" w:rsidP="001342DA">
      <w:pPr>
        <w:pStyle w:val="NormaAlterada"/>
      </w:pPr>
      <w:r w:rsidRPr="001B7C22">
        <w:t xml:space="preserve">“Art. </w:t>
      </w:r>
      <w:r w:rsidR="006E0079">
        <w:t>75.  ..........................................................</w:t>
      </w:r>
    </w:p>
    <w:p w14:paraId="3CEC6224" w14:textId="77777777" w:rsidR="00B65F4E" w:rsidRDefault="00B65F4E" w:rsidP="001342DA">
      <w:pPr>
        <w:pStyle w:val="NormaAlterada"/>
      </w:pPr>
      <w:r>
        <w:t>.........................................................................</w:t>
      </w:r>
    </w:p>
    <w:p w14:paraId="326C7C3B" w14:textId="21D79842" w:rsidR="006E0079" w:rsidRPr="006E0079" w:rsidRDefault="006E0079" w:rsidP="001342DA">
      <w:pPr>
        <w:pStyle w:val="NormaAlterada"/>
        <w:rPr>
          <w:rStyle w:val="nfase"/>
          <w:rFonts w:ascii="Segoe UI" w:hAnsi="Segoe UI" w:cs="Segoe UI"/>
          <w:shd w:val="clear" w:color="auto" w:fill="FFFFFF"/>
        </w:rPr>
      </w:pPr>
      <w:r>
        <w:t>§ 2</w:t>
      </w:r>
      <w:bookmarkStart w:id="9" w:name="_Int_R84WPAyl"/>
      <w:proofErr w:type="gramStart"/>
      <w:r>
        <w:t>º  Não</w:t>
      </w:r>
      <w:bookmarkEnd w:id="9"/>
      <w:proofErr w:type="gramEnd"/>
      <w:r>
        <w:t xml:space="preserve"> existe limite por modalidade de ativo financeiro para aplicações em cotas de outros </w:t>
      </w:r>
      <w:r w:rsidR="00B3751D">
        <w:t xml:space="preserve">FIF </w:t>
      </w:r>
      <w:r>
        <w:t>que sejam igualmente destinadas a investidores qualificados.”(NR)</w:t>
      </w:r>
    </w:p>
    <w:p w14:paraId="6D2945A8" w14:textId="5B20BF07" w:rsidR="00B65F4E" w:rsidRDefault="00B65F4E" w:rsidP="00B65F4E">
      <w:r>
        <w:t>Art. 3</w:t>
      </w:r>
      <w:proofErr w:type="gramStart"/>
      <w:r>
        <w:t>º  O</w:t>
      </w:r>
      <w:proofErr w:type="gramEnd"/>
      <w:r>
        <w:t xml:space="preserve"> Anexo Normativo II da Resolução CVM nº 175, de 2022, passa a vigorar com a seguinte redação:</w:t>
      </w:r>
    </w:p>
    <w:p w14:paraId="71B9A222" w14:textId="610AA49E" w:rsidR="00B65F4E" w:rsidRPr="0097459F" w:rsidRDefault="00B65F4E" w:rsidP="00B65F4E">
      <w:pPr>
        <w:pStyle w:val="NormaAlterada"/>
      </w:pPr>
      <w:r>
        <w:t>“</w:t>
      </w:r>
      <w:r w:rsidRPr="0097459F">
        <w:t>Art. 8</w:t>
      </w:r>
      <w:proofErr w:type="gramStart"/>
      <w:r w:rsidRPr="0097459F">
        <w:t>º  As</w:t>
      </w:r>
      <w:proofErr w:type="gramEnd"/>
      <w:r w:rsidRPr="0097459F">
        <w:t xml:space="preserve"> cotas seniores devem ser emitidas em uma única subclasse</w:t>
      </w:r>
      <w:r w:rsidR="0075330C">
        <w:t>.</w:t>
      </w:r>
      <w:r w:rsidRPr="0097459F">
        <w:t xml:space="preserve"> </w:t>
      </w:r>
    </w:p>
    <w:p w14:paraId="3263B647" w14:textId="556C89A1" w:rsidR="00CA34F5" w:rsidRDefault="0077036B" w:rsidP="00CA34F5">
      <w:pPr>
        <w:pStyle w:val="NormaAlterada"/>
      </w:pPr>
      <w:r>
        <w:t>§ 1</w:t>
      </w:r>
      <w:proofErr w:type="gramStart"/>
      <w:r>
        <w:t>º</w:t>
      </w:r>
      <w:r w:rsidR="00B65F4E">
        <w:t xml:space="preserve">  As</w:t>
      </w:r>
      <w:proofErr w:type="gramEnd"/>
      <w:r w:rsidR="00B65F4E">
        <w:t xml:space="preserve"> cotas seniores e subordinadas mezanino</w:t>
      </w:r>
      <w:r w:rsidR="383E434E">
        <w:t xml:space="preserve"> </w:t>
      </w:r>
      <w:r w:rsidR="00B65F4E">
        <w:t>de classe fechada podem ser emitidas em séries com índices referenciais diferentes e prazos diferenciados para amortização, permanecendo inalterados os demais direitos e obrigações.</w:t>
      </w:r>
    </w:p>
    <w:p w14:paraId="5F59B5A8" w14:textId="1B49B7BA" w:rsidR="00CA34F5" w:rsidRDefault="00CA34F5" w:rsidP="00CA34F5">
      <w:pPr>
        <w:pStyle w:val="NormaAlterada"/>
      </w:pPr>
      <w:r w:rsidRPr="00CA34F5">
        <w:t>§ 2</w:t>
      </w:r>
      <w:proofErr w:type="gramStart"/>
      <w:r w:rsidRPr="00CA34F5">
        <w:t xml:space="preserve">º  </w:t>
      </w:r>
      <w:r w:rsidR="00C22EFE">
        <w:t>É</w:t>
      </w:r>
      <w:proofErr w:type="gramEnd"/>
      <w:r w:rsidR="00C22EFE">
        <w:t xml:space="preserve"> vedada a existência de</w:t>
      </w:r>
      <w:r w:rsidRPr="00CA34F5">
        <w:t xml:space="preserve"> subordinação entre diferentes subclasses de cotas subordinadas, sem prejuízo da possibilidade de o Regulamento estabelecer outras diferenciações entre direitos </w:t>
      </w:r>
      <w:r w:rsidRPr="00CA34F5">
        <w:lastRenderedPageBreak/>
        <w:t xml:space="preserve">econômicos e políticos para as referidas subclasses, nos termos do art. 3º deste </w:t>
      </w:r>
      <w:r w:rsidR="00B02FFA" w:rsidRPr="00CA34F5">
        <w:t>A</w:t>
      </w:r>
      <w:r w:rsidRPr="00CA34F5">
        <w:t>nexo Normativo II.</w:t>
      </w:r>
    </w:p>
    <w:p w14:paraId="35D94CA9" w14:textId="37FE5A6F" w:rsidR="00B65F4E" w:rsidRDefault="00CA34F5" w:rsidP="00CA34F5">
      <w:pPr>
        <w:pStyle w:val="NormaAlterada"/>
      </w:pPr>
      <w:r w:rsidRPr="00CA34F5">
        <w:t>§ 3</w:t>
      </w:r>
      <w:proofErr w:type="gramStart"/>
      <w:r w:rsidRPr="00CA34F5">
        <w:t>º  O</w:t>
      </w:r>
      <w:proofErr w:type="gramEnd"/>
      <w:r w:rsidRPr="00CA34F5">
        <w:t xml:space="preserve"> Regulamento deve estabelecer a forma como as obrigações das cotas subordinadas serão cumpridas pelas diferentes subclasses de cotas subordinadas</w:t>
      </w:r>
      <w:r>
        <w:t>, se houver</w:t>
      </w:r>
      <w:r w:rsidRPr="00CA34F5">
        <w:t>.</w:t>
      </w:r>
      <w:r w:rsidR="00B65F4E">
        <w:t>” (NR)</w:t>
      </w:r>
    </w:p>
    <w:p w14:paraId="3783DF69" w14:textId="3A272240" w:rsidR="00B65F4E" w:rsidRPr="0097459F" w:rsidRDefault="00B65F4E" w:rsidP="00B65F4E">
      <w:pPr>
        <w:pStyle w:val="NormaAlterada"/>
      </w:pPr>
      <w:r>
        <w:t>“</w:t>
      </w:r>
      <w:r w:rsidRPr="0097459F">
        <w:t xml:space="preserve">Art. 17.  </w:t>
      </w:r>
      <w:r w:rsidR="003742B6">
        <w:t>..........................................................</w:t>
      </w:r>
    </w:p>
    <w:p w14:paraId="2A32D19B" w14:textId="7A9FFE99" w:rsidR="00B65F4E" w:rsidRDefault="00B65F4E" w:rsidP="00B65F4E">
      <w:pPr>
        <w:pStyle w:val="NormaAlterada"/>
      </w:pPr>
      <w:r>
        <w:t>.........................................................................</w:t>
      </w:r>
    </w:p>
    <w:p w14:paraId="077ADABB" w14:textId="619337A0" w:rsidR="00B65F4E" w:rsidRPr="0097459F" w:rsidRDefault="00B65F4E" w:rsidP="00B65F4E">
      <w:pPr>
        <w:pStyle w:val="NormaAlterada"/>
      </w:pPr>
      <w:r w:rsidRPr="0097459F">
        <w:t xml:space="preserve">II – </w:t>
      </w:r>
      <w:proofErr w:type="gramStart"/>
      <w:r w:rsidRPr="0097459F">
        <w:t>por</w:t>
      </w:r>
      <w:proofErr w:type="gramEnd"/>
      <w:r w:rsidRPr="0097459F">
        <w:t xml:space="preserve"> deliberação da assembleia de cotistas de que trata o art. </w:t>
      </w:r>
      <w:r>
        <w:t xml:space="preserve">126, </w:t>
      </w:r>
      <w:r w:rsidRPr="0097459F">
        <w:t>da parte geral da Resolução;</w:t>
      </w:r>
    </w:p>
    <w:p w14:paraId="0F25DD1A" w14:textId="09849D63" w:rsidR="00B65F4E" w:rsidRDefault="00B65F4E" w:rsidP="00B65F4E">
      <w:pPr>
        <w:pStyle w:val="NormaAlterada"/>
      </w:pPr>
      <w:r w:rsidRPr="0097459F">
        <w:t>III – pelo exercício do direito de dissidência, nos termos do art. 55, parágrafo único, deste Anexo Normativo II</w:t>
      </w:r>
      <w:bookmarkStart w:id="10" w:name="_Toc50223200"/>
      <w:bookmarkStart w:id="11" w:name="_Toc50307886"/>
      <w:bookmarkStart w:id="12" w:name="_Toc50384337"/>
      <w:bookmarkStart w:id="13" w:name="_Toc52102976"/>
      <w:bookmarkStart w:id="14" w:name="_Toc52103010"/>
      <w:bookmarkStart w:id="15" w:name="_Toc52104227"/>
      <w:bookmarkEnd w:id="10"/>
      <w:bookmarkEnd w:id="11"/>
      <w:bookmarkEnd w:id="12"/>
      <w:bookmarkEnd w:id="13"/>
      <w:bookmarkEnd w:id="14"/>
      <w:bookmarkEnd w:id="15"/>
      <w:r>
        <w:t xml:space="preserve">, </w:t>
      </w:r>
      <w:r w:rsidRPr="00E24D22">
        <w:t>ou</w:t>
      </w:r>
    </w:p>
    <w:p w14:paraId="3CB6FF75" w14:textId="0554EE12" w:rsidR="00B65F4E" w:rsidRPr="00E24D22" w:rsidRDefault="00B65F4E" w:rsidP="00B65F4E">
      <w:pPr>
        <w:pStyle w:val="NormaAlterada"/>
      </w:pPr>
      <w:r w:rsidRPr="00E24D22">
        <w:t xml:space="preserve">IV – </w:t>
      </w:r>
      <w:proofErr w:type="gramStart"/>
      <w:r w:rsidRPr="00E24D22">
        <w:t>em</w:t>
      </w:r>
      <w:proofErr w:type="gramEnd"/>
      <w:r w:rsidRPr="00E24D22">
        <w:t xml:space="preserve"> caso de liquidação antecipada da classe, desde que seja destinada exclusivamente a investidores qualificados </w:t>
      </w:r>
      <w:r w:rsidR="00E24D22" w:rsidRPr="00E24D22">
        <w:t>e a possibilidade esteja prevista no Regulamento</w:t>
      </w:r>
      <w:r w:rsidRPr="00E24D22">
        <w:t>.” (NR)</w:t>
      </w:r>
    </w:p>
    <w:p w14:paraId="7C9B962E" w14:textId="179B1660" w:rsidR="00261FB9" w:rsidRDefault="00261FB9" w:rsidP="00261FB9">
      <w:pPr>
        <w:pStyle w:val="NormaAlterada"/>
      </w:pPr>
      <w:r w:rsidRPr="001B7C22">
        <w:t xml:space="preserve">“Art. </w:t>
      </w:r>
      <w:r>
        <w:t>28.  ..........................................................</w:t>
      </w:r>
    </w:p>
    <w:p w14:paraId="690BAFF5" w14:textId="666EB3F1" w:rsidR="00261FB9" w:rsidRPr="0097459F" w:rsidRDefault="00261FB9" w:rsidP="00261FB9">
      <w:pPr>
        <w:pStyle w:val="NormaAlterada"/>
      </w:pPr>
      <w:r>
        <w:t>§ 1</w:t>
      </w:r>
      <w:proofErr w:type="gramStart"/>
      <w:r>
        <w:t xml:space="preserve">º  </w:t>
      </w:r>
      <w:r w:rsidRPr="0097459F">
        <w:t>Caso</w:t>
      </w:r>
      <w:proofErr w:type="gramEnd"/>
      <w:r w:rsidRPr="0097459F">
        <w:t xml:space="preserve"> a matéria em deliberação resulte ou possa resultar em uma redução do índice de subordinação de uma determinada subclasse de cotas, somente podem votar os titulares de cotas seniores, assim como </w:t>
      </w:r>
      <w:r w:rsidRPr="00261FB9">
        <w:rPr>
          <w:rStyle w:val="normaltextrun"/>
          <w:shd w:val="clear" w:color="auto" w:fill="FFFFFF"/>
        </w:rPr>
        <w:t>titulares</w:t>
      </w:r>
      <w:r w:rsidRPr="0097459F">
        <w:t xml:space="preserve"> de cotas mezanino que não se subordinem à subclasse em deliberação.</w:t>
      </w:r>
    </w:p>
    <w:p w14:paraId="555DC5FA" w14:textId="0BBD8A72" w:rsidR="00261FB9" w:rsidRDefault="00261FB9" w:rsidP="00261FB9">
      <w:pPr>
        <w:pStyle w:val="NormaAlterada"/>
      </w:pPr>
      <w:r w:rsidRPr="0097459F">
        <w:t xml:space="preserve">§ </w:t>
      </w:r>
      <w:r>
        <w:t>2</w:t>
      </w:r>
      <w:proofErr w:type="gramStart"/>
      <w:r w:rsidRPr="0097459F">
        <w:t xml:space="preserve">º  </w:t>
      </w:r>
      <w:r>
        <w:rPr>
          <w:rStyle w:val="normaltextrun"/>
          <w:shd w:val="clear" w:color="auto" w:fill="FFFFFF"/>
        </w:rPr>
        <w:t>Em</w:t>
      </w:r>
      <w:proofErr w:type="gramEnd"/>
      <w:r>
        <w:rPr>
          <w:rStyle w:val="normaltextrun"/>
          <w:shd w:val="clear" w:color="auto" w:fill="FFFFFF"/>
        </w:rPr>
        <w:t xml:space="preserve"> acréscimo às hipóteses previstas no § 1º do art. 78 da parte geral da Resolução, o regulamento pode permitir o voto dos prestadores </w:t>
      </w:r>
      <w:r w:rsidR="00546073">
        <w:rPr>
          <w:rStyle w:val="normaltextrun"/>
          <w:shd w:val="clear" w:color="auto" w:fill="FFFFFF"/>
        </w:rPr>
        <w:t xml:space="preserve">de serviços da classe de cotas de </w:t>
      </w:r>
      <w:r>
        <w:rPr>
          <w:rStyle w:val="normaltextrun"/>
        </w:rPr>
        <w:t xml:space="preserve">que </w:t>
      </w:r>
      <w:r>
        <w:rPr>
          <w:rStyle w:val="normaltextrun"/>
          <w:shd w:val="clear" w:color="auto" w:fill="FFFFFF"/>
        </w:rPr>
        <w:t>sejam titulares de cotas subordinadas</w:t>
      </w:r>
      <w:r w:rsidRPr="0097459F">
        <w:t>.</w:t>
      </w:r>
      <w:r>
        <w:t>” (NR)</w:t>
      </w:r>
    </w:p>
    <w:p w14:paraId="3CC84903" w14:textId="12F5777B" w:rsidR="00B65F4E" w:rsidRDefault="00B65F4E" w:rsidP="00B65F4E">
      <w:pPr>
        <w:pStyle w:val="NormaAlterada"/>
      </w:pPr>
      <w:r w:rsidRPr="001B7C22">
        <w:t xml:space="preserve">“Art. </w:t>
      </w:r>
      <w:r>
        <w:t>36.  ..........................................................</w:t>
      </w:r>
    </w:p>
    <w:p w14:paraId="6AA5D885" w14:textId="4088E578" w:rsidR="00B65F4E" w:rsidRDefault="00B65F4E" w:rsidP="00B65F4E">
      <w:pPr>
        <w:pStyle w:val="NormaAlterada"/>
      </w:pPr>
      <w:r>
        <w:t>...........................................................................</w:t>
      </w:r>
    </w:p>
    <w:p w14:paraId="06624A74" w14:textId="3AAFFC2C" w:rsidR="00B65F4E" w:rsidRPr="0097459F" w:rsidRDefault="00B65F4E" w:rsidP="00B65F4E">
      <w:pPr>
        <w:pStyle w:val="NormaAlterada"/>
      </w:pPr>
      <w:r w:rsidRPr="0097459F">
        <w:t>§ 4</w:t>
      </w:r>
      <w:proofErr w:type="gramStart"/>
      <w:r w:rsidRPr="0097459F">
        <w:t>º  O</w:t>
      </w:r>
      <w:proofErr w:type="gramEnd"/>
      <w:r w:rsidRPr="0097459F">
        <w:t xml:space="preserve"> gestor pode contratar terceiros para efetuar a verificação do lastro de que trata este artigo, inclusive a entidade registradora, o custodiante ou a consultoria especializada,</w:t>
      </w:r>
      <w:r w:rsidRPr="00E24D22">
        <w:t xml:space="preserve"> </w:t>
      </w:r>
      <w:r w:rsidRPr="0097459F">
        <w:t>devendo constar do contrato de prestação de serviços as regras e procedimentos aplicáveis à verificação.</w:t>
      </w:r>
    </w:p>
    <w:p w14:paraId="66B54A48" w14:textId="77777777" w:rsidR="00B65F4E" w:rsidRDefault="00B65F4E" w:rsidP="00B65F4E">
      <w:pPr>
        <w:pStyle w:val="NormaAlterada"/>
      </w:pPr>
      <w:r>
        <w:t>.........................................................................” (NR)</w:t>
      </w:r>
    </w:p>
    <w:p w14:paraId="497EAD1F" w14:textId="1130B531" w:rsidR="00754084" w:rsidRDefault="00754084" w:rsidP="00754084">
      <w:r>
        <w:t xml:space="preserve">Art. </w:t>
      </w:r>
      <w:r w:rsidR="00D62986">
        <w:t>4</w:t>
      </w:r>
      <w:proofErr w:type="gramStart"/>
      <w:r>
        <w:t>º  O</w:t>
      </w:r>
      <w:proofErr w:type="gramEnd"/>
      <w:r>
        <w:t xml:space="preserve"> Anexo Normativo I</w:t>
      </w:r>
      <w:r w:rsidR="00D62986">
        <w:t>I</w:t>
      </w:r>
      <w:r>
        <w:t xml:space="preserve">I da Resolução CVM nº 175, de 2022, </w:t>
      </w:r>
      <w:r w:rsidR="009C58BB">
        <w:t xml:space="preserve">com redação dada pela Resolução CVM nº 184, de </w:t>
      </w:r>
      <w:r w:rsidR="00F10E20">
        <w:t xml:space="preserve">31 de maio de 2023, </w:t>
      </w:r>
      <w:r>
        <w:t>passa a vigorar com a seguinte redação:</w:t>
      </w:r>
    </w:p>
    <w:p w14:paraId="5A049780" w14:textId="74551C25" w:rsidR="00C06433" w:rsidRDefault="00C06433" w:rsidP="00C06433">
      <w:pPr>
        <w:pStyle w:val="NormaAlterada"/>
      </w:pPr>
      <w:r>
        <w:lastRenderedPageBreak/>
        <w:t>“</w:t>
      </w:r>
      <w:r w:rsidRPr="001B7C22">
        <w:t xml:space="preserve">“Art. </w:t>
      </w:r>
      <w:r>
        <w:t>11.  ..........................................................</w:t>
      </w:r>
    </w:p>
    <w:p w14:paraId="7D34F83E" w14:textId="77777777" w:rsidR="00C06433" w:rsidRDefault="00C06433" w:rsidP="00C06433">
      <w:pPr>
        <w:pStyle w:val="NormaAlterada"/>
      </w:pPr>
      <w:r>
        <w:t>...........................................................................</w:t>
      </w:r>
    </w:p>
    <w:p w14:paraId="74244E31" w14:textId="1201BA97" w:rsidR="00C06433" w:rsidRPr="0097459F" w:rsidRDefault="00C06433" w:rsidP="00C06433">
      <w:pPr>
        <w:pStyle w:val="NormaAlterada"/>
      </w:pPr>
      <w:r>
        <w:t xml:space="preserve">IV </w:t>
      </w:r>
      <w:r w:rsidR="008E376A">
        <w:t>–</w:t>
      </w:r>
      <w:r>
        <w:t xml:space="preserve"> </w:t>
      </w:r>
      <w:bookmarkStart w:id="16" w:name="_Int_Whw2zlVv"/>
      <w:proofErr w:type="gramStart"/>
      <w:r w:rsidR="00B13219" w:rsidRPr="00A46087">
        <w:t>número</w:t>
      </w:r>
      <w:bookmarkEnd w:id="16"/>
      <w:proofErr w:type="gramEnd"/>
      <w:r w:rsidR="00B13219" w:rsidRPr="00A46087">
        <w:t xml:space="preserve"> de cotas a serem emitidas para a constituição do patrimônio inicial e sua divisão em </w:t>
      </w:r>
      <w:r w:rsidR="00D96146">
        <w:t>subclasses</w:t>
      </w:r>
      <w:r w:rsidR="00B13219" w:rsidRPr="00A46087">
        <w:t>, se for o caso;</w:t>
      </w:r>
    </w:p>
    <w:p w14:paraId="2FD8AEC1" w14:textId="77777777" w:rsidR="00C06433" w:rsidRDefault="00C06433" w:rsidP="00C06433">
      <w:pPr>
        <w:pStyle w:val="NormaAlterada"/>
      </w:pPr>
      <w:r>
        <w:t>.........................................................................” (NR)</w:t>
      </w:r>
    </w:p>
    <w:p w14:paraId="477B2207" w14:textId="59A7E637" w:rsidR="00953CDA" w:rsidRDefault="005E74A7" w:rsidP="00953CDA">
      <w:pPr>
        <w:pStyle w:val="NormaAlterada"/>
      </w:pPr>
      <w:r w:rsidRPr="001B7C22">
        <w:t xml:space="preserve">“Art. </w:t>
      </w:r>
      <w:r>
        <w:t>3</w:t>
      </w:r>
      <w:r w:rsidR="00DF5AD8">
        <w:t>3</w:t>
      </w:r>
      <w:r>
        <w:t xml:space="preserve">.  </w:t>
      </w:r>
      <w:r w:rsidR="00953CDA" w:rsidRPr="00A46087">
        <w:t>A remuneração pelos serviços prestados pelo administrador pode incluir uma parcela variável calculada em função do desempenho da classe de cotas ou de indicador relevante para o mercado imobiliário, que com a classe possa ser razoavelmente comparado.</w:t>
      </w:r>
    </w:p>
    <w:p w14:paraId="0CD00EBD" w14:textId="77777777" w:rsidR="001C5AA3" w:rsidRDefault="001C5AA3" w:rsidP="001C5AA3">
      <w:pPr>
        <w:pStyle w:val="NormaAlterada"/>
      </w:pPr>
      <w:r>
        <w:t>.........................................................................” (NR)</w:t>
      </w:r>
    </w:p>
    <w:p w14:paraId="6085CD7F" w14:textId="514E1B09" w:rsidR="00DC4B48" w:rsidRDefault="00DC4B48" w:rsidP="00DC4B48">
      <w:r>
        <w:t>Art. 5</w:t>
      </w:r>
      <w:proofErr w:type="gramStart"/>
      <w:r>
        <w:t>º  O</w:t>
      </w:r>
      <w:proofErr w:type="gramEnd"/>
      <w:r>
        <w:t xml:space="preserve"> Anexo Normativo IV da Resolução CVM nº 175, de 2022, </w:t>
      </w:r>
      <w:r w:rsidR="008E1B53">
        <w:t>com redação dada pela Resolução CVM nº 184, de 2023,</w:t>
      </w:r>
      <w:r w:rsidR="00E137D5">
        <w:t xml:space="preserve"> </w:t>
      </w:r>
      <w:r>
        <w:t>passa a vigorar com a seguinte redação:</w:t>
      </w:r>
    </w:p>
    <w:p w14:paraId="0829592E" w14:textId="23EE0912" w:rsidR="00DC4B48" w:rsidRDefault="00DC4B48" w:rsidP="00DC4B48">
      <w:pPr>
        <w:pStyle w:val="NormaAlterada"/>
      </w:pPr>
      <w:r>
        <w:t>“</w:t>
      </w:r>
      <w:r w:rsidRPr="001B7C22">
        <w:t xml:space="preserve">“Art. </w:t>
      </w:r>
      <w:r w:rsidR="00662F96">
        <w:t>28</w:t>
      </w:r>
      <w:r>
        <w:t>.  ..........................................................</w:t>
      </w:r>
    </w:p>
    <w:p w14:paraId="354EFD99" w14:textId="77777777" w:rsidR="00DC4B48" w:rsidRDefault="00DC4B48" w:rsidP="00DC4B48">
      <w:pPr>
        <w:pStyle w:val="NormaAlterada"/>
      </w:pPr>
      <w:r>
        <w:t>...........................................................................</w:t>
      </w:r>
    </w:p>
    <w:p w14:paraId="6132C5DB" w14:textId="77777777" w:rsidR="0035006A" w:rsidRDefault="0035006A" w:rsidP="003A612E">
      <w:pPr>
        <w:rPr>
          <w:rStyle w:val="ui-provider"/>
        </w:rPr>
      </w:pPr>
      <w:r>
        <w:rPr>
          <w:rStyle w:val="ui-provider"/>
        </w:rPr>
        <w:t xml:space="preserve">IV – </w:t>
      </w:r>
      <w:proofErr w:type="gramStart"/>
      <w:r>
        <w:rPr>
          <w:rStyle w:val="ui-provider"/>
        </w:rPr>
        <w:t>prêmios</w:t>
      </w:r>
      <w:proofErr w:type="gramEnd"/>
      <w:r>
        <w:rPr>
          <w:rStyle w:val="ui-provider"/>
        </w:rPr>
        <w:t xml:space="preserve"> de seguro; </w:t>
      </w:r>
    </w:p>
    <w:p w14:paraId="0CA4813A" w14:textId="77777777" w:rsidR="0035006A" w:rsidRDefault="0035006A" w:rsidP="0035006A">
      <w:pPr>
        <w:pStyle w:val="NormaAlterada"/>
        <w:rPr>
          <w:rStyle w:val="ui-provider"/>
        </w:rPr>
      </w:pPr>
      <w:r>
        <w:rPr>
          <w:rStyle w:val="ui-provider"/>
        </w:rPr>
        <w:t xml:space="preserve">V – </w:t>
      </w:r>
      <w:proofErr w:type="gramStart"/>
      <w:r w:rsidRPr="0035006A">
        <w:t>inerentes</w:t>
      </w:r>
      <w:proofErr w:type="gramEnd"/>
      <w:r>
        <w:rPr>
          <w:rStyle w:val="ui-provider"/>
        </w:rPr>
        <w:t xml:space="preserve"> à realização de reuniões de comitês ou conselhos, dentro de limites estabelecidos no regulamento; e </w:t>
      </w:r>
    </w:p>
    <w:p w14:paraId="7928487B" w14:textId="31336725" w:rsidR="00DC4B48" w:rsidRDefault="0035006A" w:rsidP="0035006A">
      <w:pPr>
        <w:pStyle w:val="NormaAlterada"/>
      </w:pPr>
      <w:r>
        <w:rPr>
          <w:rStyle w:val="ui-provider"/>
        </w:rPr>
        <w:t xml:space="preserve">VI – </w:t>
      </w:r>
      <w:proofErr w:type="gramStart"/>
      <w:r>
        <w:rPr>
          <w:rStyle w:val="ui-provider"/>
        </w:rPr>
        <w:t>contratação</w:t>
      </w:r>
      <w:proofErr w:type="gramEnd"/>
      <w:r>
        <w:rPr>
          <w:rStyle w:val="ui-provider"/>
        </w:rPr>
        <w:t xml:space="preserve"> de </w:t>
      </w:r>
      <w:r w:rsidRPr="0035006A">
        <w:t>terceiros</w:t>
      </w:r>
      <w:r>
        <w:rPr>
          <w:rStyle w:val="ui-provider"/>
        </w:rPr>
        <w:t xml:space="preserve"> para prestar serviços legais, fiscais, contábeis e de consultoria especializada, dentro de limites estabelecidos pelo regulamento.</w:t>
      </w:r>
      <w:r w:rsidR="009017AA">
        <w:rPr>
          <w:rStyle w:val="ui-provider"/>
        </w:rPr>
        <w:t>” (NR)</w:t>
      </w:r>
    </w:p>
    <w:p w14:paraId="35785C09" w14:textId="3F047556" w:rsidR="003A612E" w:rsidRDefault="003A612E" w:rsidP="003A612E">
      <w:r>
        <w:t xml:space="preserve">Art. </w:t>
      </w:r>
      <w:r w:rsidR="009017AA">
        <w:t>6</w:t>
      </w:r>
      <w:proofErr w:type="gramStart"/>
      <w:r>
        <w:t>º  O</w:t>
      </w:r>
      <w:proofErr w:type="gramEnd"/>
      <w:r>
        <w:t xml:space="preserve"> Anexo Normativo </w:t>
      </w:r>
      <w:r w:rsidR="006E0079">
        <w:t>X</w:t>
      </w:r>
      <w:r>
        <w:t>I da Resolução CVM nº 175, de 202</w:t>
      </w:r>
      <w:r w:rsidR="00335430">
        <w:t>2</w:t>
      </w:r>
      <w:r>
        <w:t xml:space="preserve">, </w:t>
      </w:r>
      <w:r w:rsidR="00C1155A">
        <w:t>com redação dada pela Resolução CVM nº 184, de 2023,</w:t>
      </w:r>
      <w:r w:rsidR="002D1518">
        <w:t xml:space="preserve"> </w:t>
      </w:r>
      <w:r>
        <w:t xml:space="preserve">passa a vigorar </w:t>
      </w:r>
      <w:r w:rsidR="006E0079">
        <w:t xml:space="preserve">acrescido do seguinte </w:t>
      </w:r>
      <w:r w:rsidR="00B65F4E">
        <w:t>artigo</w:t>
      </w:r>
      <w:r>
        <w:t>:</w:t>
      </w:r>
    </w:p>
    <w:p w14:paraId="69A5F9F1" w14:textId="77777777" w:rsidR="006E0079" w:rsidRDefault="00564D91" w:rsidP="007C4252">
      <w:pPr>
        <w:pStyle w:val="NormaAlterada"/>
      </w:pPr>
      <w:r>
        <w:t>“</w:t>
      </w:r>
      <w:r w:rsidRPr="001D3918">
        <w:t xml:space="preserve">Art. </w:t>
      </w:r>
      <w:r w:rsidR="006E0079" w:rsidRPr="001D3918">
        <w:t>7º-A</w:t>
      </w:r>
      <w:r>
        <w:t xml:space="preserve">.  </w:t>
      </w:r>
      <w:r w:rsidR="006E0079" w:rsidRPr="006E0079">
        <w:t>Em acréscimo aos encargos dispostos no art. 117 da parte geral da Resolução, o regulamento pode prever como encargo uma taxa de estruturação e manutenção de planos de previdência e de seguros de pessoas</w:t>
      </w:r>
      <w:r w:rsidR="006E0079">
        <w:t>.” (NR)</w:t>
      </w:r>
    </w:p>
    <w:p w14:paraId="437D7731" w14:textId="73F4B839" w:rsidR="006E0079" w:rsidRDefault="006E0079" w:rsidP="006E0079">
      <w:pPr>
        <w:pStyle w:val="NormaAlterada"/>
        <w:ind w:left="0" w:firstLine="567"/>
      </w:pPr>
      <w:r>
        <w:t xml:space="preserve">Art. </w:t>
      </w:r>
      <w:r w:rsidR="00720317">
        <w:t>7</w:t>
      </w:r>
      <w:proofErr w:type="gramStart"/>
      <w:r>
        <w:t>º  O</w:t>
      </w:r>
      <w:proofErr w:type="gramEnd"/>
      <w:r>
        <w:t xml:space="preserve"> item 3 do Suplemento B da Resolução CVM nº 175, de 2022, passa a vigorar com a seguinte redação:</w:t>
      </w:r>
    </w:p>
    <w:p w14:paraId="4061A981" w14:textId="4C1A99E9" w:rsidR="006E0079" w:rsidRPr="006E0079" w:rsidRDefault="006E0079" w:rsidP="006E0079">
      <w:pPr>
        <w:spacing w:before="0" w:after="0" w:line="240" w:lineRule="auto"/>
        <w:ind w:left="567" w:firstLine="0"/>
        <w:rPr>
          <w:rFonts w:asciiTheme="minorHAnsi" w:hAnsiTheme="minorHAnsi" w:cstheme="minorHAnsi"/>
          <w:color w:val="000000"/>
        </w:rPr>
      </w:pPr>
      <w:r w:rsidRPr="006E0079">
        <w:rPr>
          <w:rFonts w:asciiTheme="minorHAnsi" w:hAnsiTheme="minorHAnsi" w:cstheme="minorHAnsi"/>
          <w:bCs/>
          <w:color w:val="000000"/>
        </w:rPr>
        <w:t>“</w:t>
      </w:r>
      <w:r>
        <w:rPr>
          <w:rFonts w:asciiTheme="minorHAnsi" w:hAnsiTheme="minorHAnsi" w:cstheme="minorHAnsi"/>
          <w:b/>
          <w:color w:val="000000"/>
        </w:rPr>
        <w:t>3.</w:t>
      </w:r>
      <w:r>
        <w:rPr>
          <w:rFonts w:asciiTheme="minorHAnsi" w:hAnsiTheme="minorHAnsi" w:cstheme="minorHAnsi"/>
          <w:b/>
          <w:color w:val="000000"/>
        </w:rPr>
        <w:tab/>
      </w:r>
      <w:r w:rsidRPr="006E0079">
        <w:rPr>
          <w:rFonts w:asciiTheme="minorHAnsi" w:hAnsiTheme="minorHAnsi" w:cstheme="minorHAnsi"/>
          <w:b/>
          <w:color w:val="000000"/>
        </w:rPr>
        <w:t>POLÍTICA DE INVESTIMENTOS</w:t>
      </w:r>
      <w:r w:rsidRPr="006E0079">
        <w:rPr>
          <w:rFonts w:asciiTheme="minorHAnsi" w:hAnsiTheme="minorHAnsi" w:cstheme="minorHAnsi"/>
          <w:color w:val="000000"/>
        </w:rPr>
        <w:t xml:space="preserve">: </w:t>
      </w:r>
    </w:p>
    <w:p w14:paraId="5506C4CF" w14:textId="77777777" w:rsidR="006E0079" w:rsidRDefault="006E0079" w:rsidP="006E0079">
      <w:pPr>
        <w:pStyle w:val="NormaAlterada"/>
      </w:pPr>
      <w:r>
        <w:t xml:space="preserve">                                                                                   </w:t>
      </w:r>
    </w:p>
    <w:p w14:paraId="7C0ABBF2" w14:textId="77777777" w:rsidR="006E0079" w:rsidRPr="0097459F" w:rsidRDefault="006E0079" w:rsidP="006E0079">
      <w:pPr>
        <w:numPr>
          <w:ilvl w:val="0"/>
          <w:numId w:val="31"/>
        </w:numPr>
        <w:spacing w:before="0" w:after="0" w:line="240" w:lineRule="auto"/>
        <w:ind w:left="993"/>
        <w:rPr>
          <w:rFonts w:asciiTheme="minorHAnsi" w:hAnsiTheme="minorHAnsi" w:cstheme="minorHAnsi"/>
          <w:color w:val="000000"/>
        </w:rPr>
      </w:pPr>
      <w:r w:rsidRPr="0097459F">
        <w:rPr>
          <w:rFonts w:asciiTheme="minorHAnsi" w:hAnsiTheme="minorHAnsi" w:cstheme="minorHAnsi"/>
          <w:b/>
          <w:color w:val="000000"/>
        </w:rPr>
        <w:lastRenderedPageBreak/>
        <w:t>A política de investimentos admite</w:t>
      </w:r>
      <w:r w:rsidRPr="0097459F">
        <w:rPr>
          <w:rFonts w:asciiTheme="minorHAnsi" w:hAnsiTheme="minorHAnsi" w:cstheme="minorHAnsi"/>
          <w:color w:val="000000"/>
        </w:rPr>
        <w:t>:</w:t>
      </w:r>
    </w:p>
    <w:tbl>
      <w:tblPr>
        <w:tblW w:w="4724"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4404"/>
      </w:tblGrid>
      <w:tr w:rsidR="006E0079" w:rsidRPr="0097459F" w14:paraId="55237682" w14:textId="77777777" w:rsidTr="006E0079">
        <w:tc>
          <w:tcPr>
            <w:tcW w:w="2714" w:type="pct"/>
            <w:shd w:val="clear" w:color="auto" w:fill="DBE5F1"/>
          </w:tcPr>
          <w:p w14:paraId="42D92495" w14:textId="77777777" w:rsidR="006E0079" w:rsidRPr="0097459F"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rPr>
              <w:t>Aplicar em ativos no exterior até o limite de</w:t>
            </w:r>
          </w:p>
        </w:tc>
        <w:tc>
          <w:tcPr>
            <w:tcW w:w="2286" w:type="pct"/>
            <w:vAlign w:val="center"/>
          </w:tcPr>
          <w:p w14:paraId="1F5D30BD" w14:textId="77777777" w:rsidR="006E0079" w:rsidRPr="0097459F" w:rsidRDefault="006E0079" w:rsidP="0075330C">
            <w:pPr>
              <w:tabs>
                <w:tab w:val="num" w:pos="1134"/>
              </w:tabs>
              <w:spacing w:after="0" w:line="240" w:lineRule="auto"/>
              <w:rPr>
                <w:rFonts w:asciiTheme="minorHAnsi" w:hAnsiTheme="minorHAnsi" w:cstheme="minorHAnsi"/>
                <w:b/>
                <w:color w:val="000000"/>
              </w:rPr>
            </w:pPr>
            <w:r w:rsidRPr="0097459F">
              <w:rPr>
                <w:rFonts w:asciiTheme="minorHAnsi" w:hAnsiTheme="minorHAnsi" w:cstheme="minorHAnsi"/>
                <w:b/>
                <w:color w:val="000000"/>
              </w:rPr>
              <w:t>[% do Patrimônio líquido] ou [não]</w:t>
            </w:r>
          </w:p>
        </w:tc>
      </w:tr>
      <w:tr w:rsidR="006E0079" w:rsidRPr="0097459F" w14:paraId="4780734C" w14:textId="77777777" w:rsidTr="006E0079">
        <w:tc>
          <w:tcPr>
            <w:tcW w:w="2714" w:type="pct"/>
            <w:shd w:val="clear" w:color="auto" w:fill="DBE5F1"/>
          </w:tcPr>
          <w:p w14:paraId="4C864DBD" w14:textId="77777777" w:rsidR="006E0079" w:rsidRPr="0097459F"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rPr>
              <w:t>Aplicar em crédito privado até o limite de</w:t>
            </w:r>
          </w:p>
        </w:tc>
        <w:tc>
          <w:tcPr>
            <w:tcW w:w="2286" w:type="pct"/>
            <w:vAlign w:val="center"/>
          </w:tcPr>
          <w:p w14:paraId="576136CE" w14:textId="77777777" w:rsidR="006E0079" w:rsidRPr="0097459F" w:rsidRDefault="006E0079" w:rsidP="0075330C">
            <w:pPr>
              <w:tabs>
                <w:tab w:val="num" w:pos="1134"/>
              </w:tabs>
              <w:spacing w:after="0" w:line="240" w:lineRule="auto"/>
              <w:rPr>
                <w:rFonts w:asciiTheme="minorHAnsi" w:hAnsiTheme="minorHAnsi" w:cstheme="minorHAnsi"/>
                <w:b/>
                <w:color w:val="000000"/>
              </w:rPr>
            </w:pPr>
            <w:r w:rsidRPr="0097459F">
              <w:rPr>
                <w:rFonts w:asciiTheme="minorHAnsi" w:hAnsiTheme="minorHAnsi" w:cstheme="minorHAnsi"/>
                <w:b/>
                <w:color w:val="000000"/>
              </w:rPr>
              <w:t>[% do Patrimônio líquido] ou [não]</w:t>
            </w:r>
          </w:p>
        </w:tc>
      </w:tr>
      <w:tr w:rsidR="006E0079" w:rsidRPr="0097459F" w14:paraId="77DCC26F" w14:textId="77777777" w:rsidTr="006E0079">
        <w:tc>
          <w:tcPr>
            <w:tcW w:w="2714" w:type="pct"/>
            <w:shd w:val="clear" w:color="auto" w:fill="DBE5F1"/>
          </w:tcPr>
          <w:p w14:paraId="25D40B1E" w14:textId="77777777" w:rsidR="006E0079" w:rsidRPr="0097459F"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rPr>
              <w:t>Aplicar em um só fundo ou classe até o limite de</w:t>
            </w:r>
          </w:p>
        </w:tc>
        <w:tc>
          <w:tcPr>
            <w:tcW w:w="2286" w:type="pct"/>
            <w:vAlign w:val="center"/>
          </w:tcPr>
          <w:p w14:paraId="52BB55F0" w14:textId="77777777" w:rsidR="006E0079" w:rsidRPr="0097459F" w:rsidDel="005B1924"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color w:val="000000"/>
              </w:rPr>
              <w:t>[% do Patrimônio líquido] ou [não]</w:t>
            </w:r>
          </w:p>
        </w:tc>
      </w:tr>
      <w:tr w:rsidR="006E0079" w:rsidRPr="0097459F" w14:paraId="1F5E83B4" w14:textId="77777777" w:rsidTr="006E0079">
        <w:tc>
          <w:tcPr>
            <w:tcW w:w="2714" w:type="pct"/>
            <w:shd w:val="clear" w:color="auto" w:fill="DBE5F1"/>
          </w:tcPr>
          <w:p w14:paraId="5B659395" w14:textId="77777777" w:rsidR="006E0079" w:rsidRPr="0097459F"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rPr>
              <w:t>Utiliza derivativos apenas para proteção da carteira?</w:t>
            </w:r>
          </w:p>
        </w:tc>
        <w:tc>
          <w:tcPr>
            <w:tcW w:w="2286" w:type="pct"/>
            <w:vAlign w:val="center"/>
          </w:tcPr>
          <w:p w14:paraId="62DBA53A" w14:textId="77777777" w:rsidR="006E0079" w:rsidRPr="0097459F"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rPr>
              <w:t>[Sim/Não]</w:t>
            </w:r>
          </w:p>
        </w:tc>
      </w:tr>
      <w:tr w:rsidR="006E0079" w:rsidRPr="0097459F" w14:paraId="27DF443E" w14:textId="77777777" w:rsidTr="006E0079">
        <w:tc>
          <w:tcPr>
            <w:tcW w:w="2714" w:type="pct"/>
            <w:shd w:val="clear" w:color="auto" w:fill="DBE5F1"/>
          </w:tcPr>
          <w:p w14:paraId="07EF5DDF" w14:textId="268FD26F" w:rsidR="006E0079" w:rsidRPr="0097459F" w:rsidRDefault="006E0079" w:rsidP="0075330C">
            <w:pPr>
              <w:tabs>
                <w:tab w:val="num" w:pos="1134"/>
              </w:tabs>
              <w:spacing w:after="0" w:line="240" w:lineRule="auto"/>
              <w:rPr>
                <w:rFonts w:asciiTheme="minorHAnsi" w:hAnsiTheme="minorHAnsi" w:cstheme="minorHAnsi"/>
                <w:b/>
              </w:rPr>
            </w:pPr>
            <w:r>
              <w:rPr>
                <w:rFonts w:asciiTheme="minorHAnsi" w:hAnsiTheme="minorHAnsi" w:cstheme="minorHAnsi"/>
                <w:b/>
              </w:rPr>
              <w:t xml:space="preserve">Limite de margem </w:t>
            </w:r>
            <w:r w:rsidRPr="0097459F">
              <w:rPr>
                <w:rFonts w:asciiTheme="minorHAnsi" w:hAnsiTheme="minorHAnsi" w:cstheme="minorHAnsi"/>
                <w:b/>
              </w:rPr>
              <w:t>até (i)</w:t>
            </w:r>
          </w:p>
        </w:tc>
        <w:tc>
          <w:tcPr>
            <w:tcW w:w="2286" w:type="pct"/>
            <w:vAlign w:val="center"/>
          </w:tcPr>
          <w:p w14:paraId="04F0E073" w14:textId="77777777" w:rsidR="006E0079" w:rsidRPr="0097459F" w:rsidRDefault="006E0079" w:rsidP="0075330C">
            <w:pPr>
              <w:tabs>
                <w:tab w:val="num" w:pos="1134"/>
              </w:tabs>
              <w:spacing w:after="0" w:line="240" w:lineRule="auto"/>
              <w:rPr>
                <w:rFonts w:asciiTheme="minorHAnsi" w:hAnsiTheme="minorHAnsi" w:cstheme="minorHAnsi"/>
                <w:b/>
              </w:rPr>
            </w:pPr>
            <w:r w:rsidRPr="0097459F">
              <w:rPr>
                <w:rFonts w:asciiTheme="minorHAnsi" w:hAnsiTheme="minorHAnsi" w:cstheme="minorHAnsi"/>
                <w:b/>
              </w:rPr>
              <w:t>[% do Patrimônio Líquido em margem] ou [sem limite]</w:t>
            </w:r>
          </w:p>
        </w:tc>
      </w:tr>
      <w:tr w:rsidR="006E0079" w:rsidRPr="0097459F" w14:paraId="15BCF5FC" w14:textId="77777777" w:rsidTr="006E0079">
        <w:tc>
          <w:tcPr>
            <w:tcW w:w="5000" w:type="pct"/>
            <w:gridSpan w:val="2"/>
            <w:shd w:val="clear" w:color="auto" w:fill="DBE5F1"/>
          </w:tcPr>
          <w:p w14:paraId="3B49B54C" w14:textId="00D40C5C" w:rsidR="006E0079" w:rsidRPr="0097459F" w:rsidRDefault="006E0079" w:rsidP="006E0079">
            <w:pPr>
              <w:pStyle w:val="Default"/>
              <w:ind w:left="29" w:hanging="29"/>
              <w:jc w:val="both"/>
              <w:rPr>
                <w:rFonts w:asciiTheme="minorHAnsi" w:eastAsia="Times New Roman" w:hAnsiTheme="minorHAnsi" w:cstheme="minorHAnsi"/>
                <w:b/>
                <w:color w:val="auto"/>
              </w:rPr>
            </w:pPr>
            <w:r w:rsidRPr="0097459F" w:rsidDel="008A7550">
              <w:rPr>
                <w:rFonts w:asciiTheme="minorHAnsi" w:eastAsia="Times New Roman" w:hAnsiTheme="minorHAnsi" w:cstheme="minorHAnsi"/>
                <w:color w:val="auto"/>
              </w:rPr>
              <w:t xml:space="preserve"> </w:t>
            </w:r>
            <w:r w:rsidRPr="0097459F">
              <w:rPr>
                <w:rFonts w:asciiTheme="minorHAnsi" w:eastAsia="Times New Roman" w:hAnsiTheme="minorHAnsi" w:cstheme="minorHAnsi"/>
                <w:color w:val="auto"/>
              </w:rPr>
              <w:t xml:space="preserve">(i) No cálculo do limite de </w:t>
            </w:r>
            <w:r>
              <w:rPr>
                <w:rFonts w:asciiTheme="minorHAnsi" w:eastAsia="Times New Roman" w:hAnsiTheme="minorHAnsi" w:cstheme="minorHAnsi"/>
                <w:color w:val="auto"/>
              </w:rPr>
              <w:t>margem</w:t>
            </w:r>
            <w:r w:rsidRPr="0097459F">
              <w:rPr>
                <w:rFonts w:asciiTheme="minorHAnsi" w:eastAsia="Times New Roman" w:hAnsiTheme="minorHAnsi" w:cstheme="minorHAnsi"/>
                <w:color w:val="auto"/>
              </w:rPr>
              <w:t>, deve-se considerar o valor das margens exigidas em operações com garantia somada à "margem potencial" de operações de derivativos sem garantia. O cálculo de "margem potencial" de operações de derivativos sem garantia deve se basear em modelo de cálculo de garantia do administrador e não pode ser compensado com as margens das operações com garantia.</w:t>
            </w:r>
          </w:p>
        </w:tc>
      </w:tr>
    </w:tbl>
    <w:p w14:paraId="213D9575" w14:textId="6CC0104B" w:rsidR="006E0079" w:rsidRPr="006E0079" w:rsidRDefault="006E0079" w:rsidP="006E0079">
      <w:pPr>
        <w:numPr>
          <w:ilvl w:val="0"/>
          <w:numId w:val="31"/>
        </w:numPr>
        <w:spacing w:before="0" w:after="0" w:line="240" w:lineRule="auto"/>
        <w:ind w:left="567" w:firstLine="0"/>
      </w:pPr>
      <w:r w:rsidRPr="0097459F">
        <w:rPr>
          <w:rFonts w:cstheme="minorHAnsi"/>
          <w:i/>
        </w:rPr>
        <w:t xml:space="preserve">[Para classes de cotas: A metodologia utilizada para o cálculo do limite de </w:t>
      </w:r>
      <w:r>
        <w:rPr>
          <w:rFonts w:cstheme="minorHAnsi"/>
          <w:i/>
        </w:rPr>
        <w:t>margem</w:t>
      </w:r>
      <w:r w:rsidRPr="0097459F">
        <w:rPr>
          <w:rFonts w:cstheme="minorHAnsi"/>
          <w:i/>
        </w:rPr>
        <w:t xml:space="preserve">, disposto no item 3.b é o </w:t>
      </w:r>
      <w:r w:rsidRPr="0097459F">
        <w:rPr>
          <w:rFonts w:cstheme="minorHAnsi"/>
          <w:b/>
          <w:i/>
        </w:rPr>
        <w:t xml:space="preserve">percentual máximo do patrimônio líquido que pode ser depositado em margem de garantia </w:t>
      </w:r>
      <w:r w:rsidRPr="0097459F">
        <w:rPr>
          <w:rFonts w:cstheme="minorHAnsi"/>
          <w:i/>
        </w:rPr>
        <w:t xml:space="preserve">para garantir a liquidação das operações contratadas somado à margem potencial para a liquidação dos derivativos negociados no mercado de balcão.] </w:t>
      </w:r>
      <w:r w:rsidRPr="0097459F">
        <w:rPr>
          <w:rFonts w:cstheme="minorHAnsi"/>
          <w:b/>
        </w:rPr>
        <w:t>OU</w:t>
      </w:r>
      <w:r w:rsidRPr="0097459F">
        <w:rPr>
          <w:rFonts w:cstheme="minorHAnsi"/>
          <w:i/>
        </w:rPr>
        <w:t xml:space="preserve"> [Para classes de investimento em cotas: A metodologia utilizada para o cálculo do limite de </w:t>
      </w:r>
      <w:r>
        <w:rPr>
          <w:rFonts w:cstheme="minorHAnsi"/>
          <w:i/>
        </w:rPr>
        <w:t>margem</w:t>
      </w:r>
      <w:r w:rsidRPr="0097459F">
        <w:rPr>
          <w:rFonts w:cstheme="minorHAnsi"/>
          <w:i/>
        </w:rPr>
        <w:t xml:space="preserve">, disposto no item 3.b é o percentual máximo que pode ser depositado pela classe de cotas em margem de garantia para garantir a liquidação das operações contratadas somado à margem potencial para a liquidação dos derivativos negociados no mercado de balcão. </w:t>
      </w:r>
      <w:r w:rsidRPr="0097459F">
        <w:rPr>
          <w:rFonts w:cstheme="minorHAnsi"/>
          <w:b/>
          <w:i/>
        </w:rPr>
        <w:t>Esta classe de investimento em cotas não realiza depósito de margem de garantia junto às centrais depositárias, mas pode investir em fundos de investimento que podem estar expostos aos riscos decorrentes de aplicações em ativos que incorram em depósito de margem de garantia. As informações apresentadas são provenientes dos fundos investidos geridos por instituições ligadas</w:t>
      </w:r>
      <w:r w:rsidRPr="0097459F">
        <w:rPr>
          <w:rFonts w:cstheme="minorHAnsi"/>
          <w:i/>
        </w:rPr>
        <w:t>.]</w:t>
      </w:r>
    </w:p>
    <w:p w14:paraId="6A558318" w14:textId="77777777" w:rsidR="006E0079" w:rsidRDefault="006E0079" w:rsidP="006E0079">
      <w:pPr>
        <w:pStyle w:val="NormaAlterada"/>
      </w:pPr>
      <w:r>
        <w:t>.........................................................................” (NR)</w:t>
      </w:r>
    </w:p>
    <w:p w14:paraId="272CEDD7" w14:textId="12294B65" w:rsidR="006E0079" w:rsidRDefault="00915245" w:rsidP="00261FB9">
      <w:pPr>
        <w:pStyle w:val="NormaAlterada"/>
      </w:pPr>
      <w:r>
        <w:t xml:space="preserve">Art. </w:t>
      </w:r>
      <w:r w:rsidR="00720317">
        <w:t>8</w:t>
      </w:r>
      <w:proofErr w:type="gramStart"/>
      <w:r>
        <w:t xml:space="preserve">º  </w:t>
      </w:r>
      <w:r w:rsidR="00261FB9">
        <w:rPr>
          <w:rFonts w:eastAsiaTheme="minorEastAsia"/>
          <w:bCs/>
        </w:rPr>
        <w:t>Fica</w:t>
      </w:r>
      <w:proofErr w:type="gramEnd"/>
      <w:r w:rsidR="00261FB9">
        <w:rPr>
          <w:rFonts w:eastAsiaTheme="minorEastAsia"/>
          <w:bCs/>
        </w:rPr>
        <w:t xml:space="preserve"> revogado o inciso I do parágrafo único do art. 15 do Anexo Normativo I</w:t>
      </w:r>
      <w:r w:rsidR="00E24251">
        <w:rPr>
          <w:rFonts w:eastAsiaTheme="minorEastAsia"/>
          <w:bCs/>
        </w:rPr>
        <w:t>I</w:t>
      </w:r>
      <w:r w:rsidR="00261FB9">
        <w:rPr>
          <w:rFonts w:eastAsiaTheme="minorEastAsia"/>
          <w:bCs/>
        </w:rPr>
        <w:t xml:space="preserve"> da Resolução CVM nº 175, de 23 de dezembro de 2022.</w:t>
      </w:r>
    </w:p>
    <w:p w14:paraId="532A015D" w14:textId="7150A0DE" w:rsidR="00F8326D" w:rsidRPr="00D87A11" w:rsidRDefault="00F8326D" w:rsidP="00F8326D">
      <w:pPr>
        <w:pStyle w:val="NormaAlterada"/>
        <w:ind w:left="0" w:firstLine="567"/>
        <w:rPr>
          <w:color w:val="000000"/>
        </w:rPr>
      </w:pPr>
      <w:r>
        <w:t xml:space="preserve">Art. </w:t>
      </w:r>
      <w:r w:rsidR="00720317">
        <w:t>9</w:t>
      </w:r>
      <w:proofErr w:type="gramStart"/>
      <w:r>
        <w:t xml:space="preserve">º  </w:t>
      </w:r>
      <w:r w:rsidRPr="19D1EC44">
        <w:rPr>
          <w:rStyle w:val="normaltextrun"/>
          <w:color w:val="000000" w:themeColor="text1"/>
        </w:rPr>
        <w:t>Esta</w:t>
      </w:r>
      <w:proofErr w:type="gramEnd"/>
      <w:r w:rsidRPr="19D1EC44">
        <w:rPr>
          <w:rStyle w:val="normaltextrun"/>
          <w:color w:val="000000" w:themeColor="text1"/>
        </w:rPr>
        <w:t xml:space="preserve"> Resolução entra em vigor em </w:t>
      </w:r>
      <w:r w:rsidR="006E0079">
        <w:rPr>
          <w:rStyle w:val="normaltextrun"/>
          <w:color w:val="000000" w:themeColor="text1"/>
        </w:rPr>
        <w:t>2</w:t>
      </w:r>
      <w:r w:rsidRPr="19D1EC44">
        <w:rPr>
          <w:rStyle w:val="normaltextrun"/>
          <w:color w:val="000000" w:themeColor="text1"/>
        </w:rPr>
        <w:t xml:space="preserve"> de </w:t>
      </w:r>
      <w:r w:rsidR="006E0079">
        <w:rPr>
          <w:rStyle w:val="normaltextrun"/>
          <w:color w:val="000000" w:themeColor="text1"/>
        </w:rPr>
        <w:t>outubro</w:t>
      </w:r>
      <w:r w:rsidR="56B05324">
        <w:t xml:space="preserve"> d</w:t>
      </w:r>
      <w:r w:rsidRPr="19D1EC44">
        <w:rPr>
          <w:rStyle w:val="normaltextrun"/>
          <w:color w:val="000000" w:themeColor="text1"/>
        </w:rPr>
        <w:t xml:space="preserve">e </w:t>
      </w:r>
      <w:r>
        <w:t>2023</w:t>
      </w:r>
      <w:r w:rsidRPr="19D1EC44">
        <w:rPr>
          <w:rStyle w:val="normaltextrun"/>
          <w:color w:val="000000" w:themeColor="text1"/>
        </w:rPr>
        <w:t>.</w:t>
      </w:r>
    </w:p>
    <w:p w14:paraId="66D0014C" w14:textId="77777777" w:rsidR="0026168E" w:rsidRDefault="0026168E" w:rsidP="0026168E">
      <w:pPr>
        <w:widowControl w:val="0"/>
        <w:spacing w:before="0" w:after="0" w:line="240" w:lineRule="auto"/>
        <w:jc w:val="center"/>
        <w:rPr>
          <w:bCs/>
          <w:i/>
        </w:rPr>
      </w:pPr>
    </w:p>
    <w:p w14:paraId="1827106A" w14:textId="1B74B1A7" w:rsidR="0026168E" w:rsidRPr="00621D05" w:rsidRDefault="000019D4" w:rsidP="0026168E">
      <w:pPr>
        <w:widowControl w:val="0"/>
        <w:spacing w:before="0" w:after="0" w:line="240" w:lineRule="auto"/>
        <w:jc w:val="center"/>
        <w:rPr>
          <w:bCs/>
          <w:i/>
          <w:sz w:val="20"/>
          <w:szCs w:val="20"/>
        </w:rPr>
      </w:pPr>
      <w:r w:rsidRPr="00621D05">
        <w:rPr>
          <w:bCs/>
          <w:i/>
          <w:sz w:val="20"/>
          <w:szCs w:val="20"/>
        </w:rPr>
        <w:t>Assinado eletronicamente por</w:t>
      </w:r>
    </w:p>
    <w:p w14:paraId="04389E31" w14:textId="44B613EC" w:rsidR="0044460A" w:rsidRPr="00893D49" w:rsidRDefault="0044460A" w:rsidP="0026168E">
      <w:pPr>
        <w:widowControl w:val="0"/>
        <w:spacing w:before="0" w:after="0" w:line="240" w:lineRule="auto"/>
        <w:jc w:val="center"/>
        <w:rPr>
          <w:rFonts w:asciiTheme="minorHAnsi" w:hAnsiTheme="minorHAnsi" w:cstheme="minorBidi"/>
          <w:b/>
          <w:bCs/>
          <w:smallCaps/>
        </w:rPr>
      </w:pPr>
      <w:r w:rsidRPr="234C2EA1">
        <w:rPr>
          <w:rFonts w:asciiTheme="minorHAnsi" w:hAnsiTheme="minorHAnsi" w:cstheme="minorBidi"/>
          <w:b/>
          <w:bCs/>
          <w:smallCaps/>
        </w:rPr>
        <w:t>JOÃO PEDRO BARROSO DO NASCIMENTO</w:t>
      </w:r>
    </w:p>
    <w:p w14:paraId="0B195E2C" w14:textId="77777777" w:rsidR="0044460A" w:rsidRDefault="0044460A" w:rsidP="0026168E">
      <w:pPr>
        <w:pStyle w:val="NormalWeb"/>
        <w:spacing w:before="0" w:beforeAutospacing="0" w:after="0" w:afterAutospacing="0"/>
        <w:ind w:firstLine="567"/>
        <w:jc w:val="center"/>
        <w:rPr>
          <w:rFonts w:asciiTheme="minorHAnsi" w:hAnsiTheme="minorHAnsi" w:cstheme="minorHAnsi"/>
          <w:b/>
        </w:rPr>
      </w:pPr>
      <w:r w:rsidRPr="00893D49">
        <w:rPr>
          <w:rFonts w:asciiTheme="minorHAnsi" w:hAnsiTheme="minorHAnsi" w:cstheme="minorHAnsi"/>
          <w:b/>
        </w:rPr>
        <w:t>Presidente</w:t>
      </w:r>
    </w:p>
    <w:sectPr w:rsidR="0044460A" w:rsidSect="00621D05">
      <w:headerReference w:type="even" r:id="rId11"/>
      <w:headerReference w:type="default" r:id="rId12"/>
      <w:footerReference w:type="default" r:id="rId13"/>
      <w:headerReference w:type="first" r:id="rId14"/>
      <w:pgSz w:w="11906" w:h="16838" w:code="9"/>
      <w:pgMar w:top="2268"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F908" w14:textId="77777777" w:rsidR="000D1C57" w:rsidRDefault="000D1C57" w:rsidP="00ED1FB4">
      <w:r>
        <w:separator/>
      </w:r>
    </w:p>
  </w:endnote>
  <w:endnote w:type="continuationSeparator" w:id="0">
    <w:p w14:paraId="6292E336" w14:textId="77777777" w:rsidR="000D1C57" w:rsidRDefault="000D1C57" w:rsidP="00ED1FB4">
      <w:r>
        <w:continuationSeparator/>
      </w:r>
    </w:p>
  </w:endnote>
  <w:endnote w:type="continuationNotice" w:id="1">
    <w:p w14:paraId="423A18DD" w14:textId="77777777" w:rsidR="000D1C57" w:rsidRDefault="000D1C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93749"/>
      <w:docPartObj>
        <w:docPartGallery w:val="Page Numbers (Bottom of Page)"/>
        <w:docPartUnique/>
      </w:docPartObj>
    </w:sdtPr>
    <w:sdtEndPr/>
    <w:sdtContent>
      <w:p w14:paraId="545BED82" w14:textId="637B7764" w:rsidR="000D1C57" w:rsidRDefault="000D1C57" w:rsidP="00621D05">
        <w:pPr>
          <w:pStyle w:val="Rodap"/>
          <w:jc w:val="right"/>
        </w:pPr>
        <w:r>
          <w:fldChar w:fldCharType="begin"/>
        </w:r>
        <w:r>
          <w:instrText>PAGE   \* MERGEFORMAT</w:instrText>
        </w:r>
        <w:r>
          <w:fldChar w:fldCharType="separate"/>
        </w:r>
        <w:r w:rsidR="00EC12F7">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B71E" w14:textId="77777777" w:rsidR="000D1C57" w:rsidRDefault="000D1C57" w:rsidP="00ED1FB4">
      <w:r>
        <w:separator/>
      </w:r>
    </w:p>
  </w:footnote>
  <w:footnote w:type="continuationSeparator" w:id="0">
    <w:p w14:paraId="54EA086E" w14:textId="77777777" w:rsidR="000D1C57" w:rsidRDefault="000D1C57" w:rsidP="00ED1FB4">
      <w:r>
        <w:continuationSeparator/>
      </w:r>
    </w:p>
  </w:footnote>
  <w:footnote w:type="continuationNotice" w:id="1">
    <w:p w14:paraId="3C0288AB" w14:textId="77777777" w:rsidR="000D1C57" w:rsidRDefault="000D1C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2EFC" w14:textId="77777777" w:rsidR="000D1C57" w:rsidRDefault="000D1C57" w:rsidP="00F41819">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AA2776D" w14:textId="77777777" w:rsidR="000D1C57" w:rsidRDefault="000D1C57" w:rsidP="005233F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4138" w14:textId="77777777" w:rsidR="000D1C57" w:rsidRPr="00ED1FB4" w:rsidRDefault="000D1C57" w:rsidP="00553342">
    <w:pPr>
      <w:pStyle w:val="Rodap"/>
    </w:pPr>
    <w:r w:rsidRPr="00ED1FB4">
      <w:drawing>
        <wp:inline distT="0" distB="0" distL="0" distR="0" wp14:anchorId="06B253D6" wp14:editId="0246F07E">
          <wp:extent cx="657225" cy="628650"/>
          <wp:effectExtent l="0" t="0" r="9525" b="0"/>
          <wp:docPr id="4" name="Picture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919B69B" w14:textId="77777777" w:rsidR="000D1C57" w:rsidRPr="004D68A2" w:rsidRDefault="000D1C57" w:rsidP="00553342">
    <w:pPr>
      <w:pStyle w:val="Rodap"/>
      <w:rPr>
        <w:b/>
        <w:sz w:val="24"/>
        <w:szCs w:val="24"/>
      </w:rPr>
    </w:pPr>
    <w:r w:rsidRPr="004D68A2">
      <w:rPr>
        <w:b/>
        <w:sz w:val="24"/>
        <w:szCs w:val="24"/>
      </w:rPr>
      <w:t>COMISSÃO DE VALORES MOBILIÁRIOS</w:t>
    </w:r>
  </w:p>
  <w:p w14:paraId="1A7F4EE3" w14:textId="77777777" w:rsidR="000D1C57" w:rsidRPr="00ED1FB4" w:rsidRDefault="000D1C57" w:rsidP="00553342">
    <w:pPr>
      <w:pStyle w:val="Rodap"/>
    </w:pPr>
    <w:r w:rsidRPr="00ED1FB4">
      <w:t>Rua Sete de Setembro, 111/2-5º e 23-34º Andares, Centro, Rio de Janeiro/RJ – CEP: 20050-901 – Brasil - Tel.: (21) 3554-8686</w:t>
    </w:r>
  </w:p>
  <w:p w14:paraId="21020BEB" w14:textId="77777777" w:rsidR="000D1C57" w:rsidRPr="004D68A2" w:rsidRDefault="000D1C57" w:rsidP="00553342">
    <w:pPr>
      <w:pStyle w:val="Rodap"/>
    </w:pPr>
    <w:r w:rsidRPr="004D68A2">
      <w:t>Rua Cincinato Braga, 340/2º, 3º e 4º Andares, Bela Vista, São Paulo/ SP – CEP: 01333-010 – Brasil - Tel.: (11) 2146-2000</w:t>
    </w:r>
  </w:p>
  <w:p w14:paraId="66900BB6" w14:textId="77777777" w:rsidR="000D1C57" w:rsidRPr="00ED1FB4" w:rsidRDefault="000D1C57" w:rsidP="00553342">
    <w:pPr>
      <w:pStyle w:val="Rodap"/>
    </w:pPr>
    <w:r w:rsidRPr="00ED1FB4">
      <w:t>SCN Q.02 – Bl. A – Ed. Corporate Financial Center, S.404/4º Andar, Brasília/DF – CEP: 70712-900 – Brasil -Tel.: (61) 3327-2030/2031</w:t>
    </w:r>
  </w:p>
  <w:p w14:paraId="3F1E410D" w14:textId="77777777" w:rsidR="000D1C57" w:rsidRDefault="00B02FFA" w:rsidP="00553342">
    <w:pPr>
      <w:pStyle w:val="Rodap"/>
      <w:spacing w:after="240"/>
    </w:pPr>
    <w:hyperlink r:id="rId2" w:history="1">
      <w:r w:rsidR="000D1C57" w:rsidRPr="00ED1FB4">
        <w:rPr>
          <w:rStyle w:val="Hyperlink"/>
        </w:rPr>
        <w:t>www.cvm.gov.br</w:t>
      </w:r>
    </w:hyperlink>
  </w:p>
  <w:p w14:paraId="3B6004B0" w14:textId="7C16A1F6" w:rsidR="000D1C57" w:rsidRPr="00810486" w:rsidRDefault="000D1C57" w:rsidP="00E25581">
    <w:pPr>
      <w:pStyle w:val="Rodap"/>
      <w:spacing w:after="240"/>
      <w:jc w:val="both"/>
      <w:rPr>
        <w:rFonts w:asciiTheme="minorHAnsi" w:hAnsiTheme="minorHAnsi" w:cstheme="minorHAnsi"/>
        <w:caps/>
      </w:rPr>
    </w:pPr>
    <w:r w:rsidRPr="00810486">
      <w:rPr>
        <w:rFonts w:asciiTheme="minorHAnsi" w:hAnsiTheme="minorHAnsi" w:cstheme="minorHAnsi"/>
        <w:caps/>
      </w:rPr>
      <w:t xml:space="preserve">rESOLUÇÃO CVM Nº </w:t>
    </w:r>
    <w:r>
      <w:rPr>
        <w:rFonts w:asciiTheme="minorHAnsi" w:hAnsiTheme="minorHAnsi" w:cstheme="minorHAnsi"/>
        <w:caps/>
      </w:rPr>
      <w:t>187,</w:t>
    </w:r>
    <w:r w:rsidRPr="00810486">
      <w:rPr>
        <w:rFonts w:asciiTheme="minorHAnsi" w:hAnsiTheme="minorHAnsi" w:cstheme="minorHAnsi"/>
        <w:caps/>
      </w:rPr>
      <w:t xml:space="preserve"> DE </w:t>
    </w:r>
    <w:r w:rsidR="00EC12F7">
      <w:rPr>
        <w:rFonts w:asciiTheme="minorHAnsi" w:hAnsiTheme="minorHAnsi" w:cstheme="minorHAnsi"/>
        <w:caps/>
      </w:rPr>
      <w:t>27</w:t>
    </w:r>
    <w:r w:rsidRPr="00810486">
      <w:rPr>
        <w:rFonts w:asciiTheme="minorHAnsi" w:hAnsiTheme="minorHAnsi" w:cstheme="minorHAnsi"/>
        <w:caps/>
      </w:rPr>
      <w:t xml:space="preserve"> de </w:t>
    </w:r>
    <w:r>
      <w:rPr>
        <w:rFonts w:asciiTheme="minorHAnsi" w:hAnsiTheme="minorHAnsi" w:cstheme="minorHAnsi"/>
        <w:caps/>
      </w:rPr>
      <w:t xml:space="preserve">SETEMBRO </w:t>
    </w:r>
    <w:r w:rsidRPr="00810486">
      <w:rPr>
        <w:rFonts w:asciiTheme="minorHAnsi" w:hAnsiTheme="minorHAnsi" w:cstheme="minorHAnsi"/>
        <w:caps/>
      </w:rPr>
      <w:t>de 2023</w:t>
    </w:r>
  </w:p>
  <w:p w14:paraId="6DA0B365" w14:textId="77777777" w:rsidR="000D1C57" w:rsidRPr="005233F3" w:rsidRDefault="000D1C57" w:rsidP="005233F3">
    <w:pPr>
      <w:pStyle w:val="Rodap"/>
      <w:jc w:val="both"/>
      <w:rPr>
        <w:rFonts w:ascii="Times New Roman" w:hAnsi="Times New Roman" w:cs="Times New Roman"/>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0A2E" w14:textId="77777777" w:rsidR="000D1C57" w:rsidRPr="00ED1FB4" w:rsidRDefault="000D1C57" w:rsidP="003B5930">
    <w:pPr>
      <w:pStyle w:val="Rodap"/>
    </w:pPr>
    <w:r w:rsidRPr="00ED1FB4">
      <w:drawing>
        <wp:inline distT="0" distB="0" distL="0" distR="0" wp14:anchorId="55304C67" wp14:editId="38EFFE22">
          <wp:extent cx="657225" cy="628650"/>
          <wp:effectExtent l="0" t="0" r="9525" b="0"/>
          <wp:docPr id="3" name="Picture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4D2F5CA7" w14:textId="77777777" w:rsidR="000D1C57" w:rsidRPr="004D68A2" w:rsidRDefault="000D1C57" w:rsidP="003B5930">
    <w:pPr>
      <w:pStyle w:val="Rodap"/>
      <w:rPr>
        <w:b/>
        <w:sz w:val="24"/>
        <w:szCs w:val="24"/>
      </w:rPr>
    </w:pPr>
    <w:r w:rsidRPr="004D68A2">
      <w:rPr>
        <w:b/>
        <w:sz w:val="24"/>
        <w:szCs w:val="24"/>
      </w:rPr>
      <w:t>COMISSÃO DE VALORES MOBILIÁRIOS</w:t>
    </w:r>
  </w:p>
  <w:p w14:paraId="2D02599F" w14:textId="77777777" w:rsidR="000D1C57" w:rsidRPr="00ED1FB4" w:rsidRDefault="000D1C57" w:rsidP="003B5930">
    <w:pPr>
      <w:pStyle w:val="Rodap"/>
    </w:pPr>
    <w:r w:rsidRPr="00ED1FB4">
      <w:t>Rua Sete de Setembro, 111/2-5º e 23-34º Andares, Centro, Rio de Janeiro/RJ – CEP: 20050-901 – Brasil - Tel.: (21) 3554-8686</w:t>
    </w:r>
  </w:p>
  <w:p w14:paraId="4E34F244" w14:textId="77777777" w:rsidR="000D1C57" w:rsidRPr="004D68A2" w:rsidRDefault="000D1C57" w:rsidP="003B5930">
    <w:pPr>
      <w:pStyle w:val="Rodap"/>
    </w:pPr>
    <w:r w:rsidRPr="004D68A2">
      <w:t>Rua Cincinato Braga, 340/2º, 3º e 4º Andares, Bela Vista, São Paulo/ SP – CEP: 01333-010 – Brasil - Tel.: (11) 2146-2000</w:t>
    </w:r>
  </w:p>
  <w:p w14:paraId="603EFBCF" w14:textId="77777777" w:rsidR="000D1C57" w:rsidRPr="00ED1FB4" w:rsidRDefault="000D1C57" w:rsidP="003B5930">
    <w:pPr>
      <w:pStyle w:val="Rodap"/>
    </w:pPr>
    <w:r w:rsidRPr="00ED1FB4">
      <w:t>SCN Q.02 – Bl. A – Ed. Corporate Financial Center, S.404/4º Andar, Brasília/DF – CEP: 70712-900 – Brasil -Tel.: (61) 3327-2030/2031</w:t>
    </w:r>
  </w:p>
  <w:p w14:paraId="6B4F1D9F" w14:textId="77777777" w:rsidR="000D1C57" w:rsidRDefault="00B02FFA" w:rsidP="003B5930">
    <w:pPr>
      <w:pStyle w:val="Rodap"/>
      <w:spacing w:after="240"/>
    </w:pPr>
    <w:hyperlink r:id="rId2" w:history="1">
      <w:r w:rsidR="000D1C57" w:rsidRPr="00ED1FB4">
        <w:rPr>
          <w:rStyle w:val="Hyperlink"/>
        </w:rPr>
        <w:t>www.cvm.gov.br</w:t>
      </w:r>
    </w:hyperlink>
  </w:p>
  <w:p w14:paraId="14330992" w14:textId="77777777" w:rsidR="000D1C57" w:rsidRPr="005233F3" w:rsidRDefault="000D1C57" w:rsidP="005233F3">
    <w:pPr>
      <w:pStyle w:val="Rodap"/>
      <w:rPr>
        <w:sz w:val="16"/>
        <w:szCs w:val="16"/>
      </w:rPr>
    </w:pPr>
  </w:p>
</w:hdr>
</file>

<file path=word/intelligence2.xml><?xml version="1.0" encoding="utf-8"?>
<int2:intelligence xmlns:int2="http://schemas.microsoft.com/office/intelligence/2020/intelligence" xmlns:oel="http://schemas.microsoft.com/office/2019/extlst">
  <int2:observations>
    <int2:textHash int2:hashCode="eanReCNesdzUu+" int2:id="PKwHPDOp">
      <int2:state int2:value="Rejected" int2:type="AugLoop_Text_Critique"/>
    </int2:textHash>
    <int2:bookmark int2:bookmarkName="_Int_R84WPAyl" int2:invalidationBookmarkName="" int2:hashCode="jMizaB3gypRLgx" int2:id="b8lQERGg">
      <int2:state int2:value="Rejected" int2:type="AugLoop_Text_Critique"/>
    </int2:bookmark>
    <int2:bookmark int2:bookmarkName="_Int_nkxRaws8" int2:invalidationBookmarkName="" int2:hashCode="tsKGu+nDH/jY+f" int2:id="MlhYiv4G">
      <int2:state int2:value="Rejected" int2:type="AugLoop_Text_Critique"/>
    </int2:bookmark>
    <int2:bookmark int2:bookmarkName="_Int_ZiPL1kUe" int2:invalidationBookmarkName="" int2:hashCode="pITyexL4aq1pNA" int2:id="k1qX1rUU">
      <int2:state int2:value="Rejected" int2:type="AugLoop_Text_Critique"/>
    </int2:bookmark>
    <int2:bookmark int2:bookmarkName="_Int_64BDDGTb" int2:invalidationBookmarkName="" int2:hashCode="KcmTEyRR4dAuFw" int2:id="cbAjzvOz">
      <int2:state int2:value="Rejected" int2:type="AugLoop_Text_Critique"/>
    </int2:bookmark>
    <int2:bookmark int2:bookmarkName="_Int_e7uomuDf" int2:invalidationBookmarkName="" int2:hashCode="XeUuEXRYSohRew" int2:id="VkB17WFH">
      <int2:state int2:value="Rejected" int2:type="AugLoop_Text_Critique"/>
    </int2:bookmark>
    <int2:bookmark int2:bookmarkName="_Int_JtqbUeeQ" int2:invalidationBookmarkName="" int2:hashCode="Bn8LTTauRJ5r9M" int2:id="sMN4PGzv">
      <int2:state int2:value="Rejected" int2:type="AugLoop_Text_Critique"/>
    </int2:bookmark>
    <int2:bookmark int2:bookmarkName="_Int_8PKgS1CG" int2:invalidationBookmarkName="" int2:hashCode="Bn8LTTauRJ5r9M" int2:id="Oi3vXPOo">
      <int2:state int2:value="Rejected" int2:type="AugLoop_Text_Critique"/>
    </int2:bookmark>
    <int2:bookmark int2:bookmarkName="_Int_IVeusR7p" int2:invalidationBookmarkName="" int2:hashCode="KcmTEyRR4dAuFw" int2:id="0CWyyDk4">
      <int2:state int2:value="Rejected" int2:type="AugLoop_Text_Critique"/>
    </int2:bookmark>
    <int2:bookmark int2:bookmarkName="_Int_Xe25mZN8" int2:invalidationBookmarkName="" int2:hashCode="Jy7OHPBDxsMJDt" int2:id="KNHzqZcE">
      <int2:state int2:value="Rejected" int2:type="AugLoop_Text_Critique"/>
    </int2:bookmark>
    <int2:bookmark int2:bookmarkName="_Int_GhXJALqH" int2:invalidationBookmarkName="" int2:hashCode="KcmTEyRR4dAuFw" int2:id="Pf1sfye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E5D89"/>
    <w:multiLevelType w:val="multilevel"/>
    <w:tmpl w:val="5734D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02991"/>
    <w:multiLevelType w:val="hybridMultilevel"/>
    <w:tmpl w:val="4F562B74"/>
    <w:lvl w:ilvl="0" w:tplc="2A7C3BA4">
      <w:start w:val="3"/>
      <w:numFmt w:val="decimal"/>
      <w:lvlText w:val="%1."/>
      <w:lvlJc w:val="left"/>
      <w:pPr>
        <w:tabs>
          <w:tab w:val="num" w:pos="847"/>
        </w:tabs>
        <w:ind w:left="847" w:hanging="705"/>
      </w:pPr>
      <w:rPr>
        <w:rFonts w:hint="default"/>
        <w:b w:val="0"/>
        <w:i w:val="0"/>
      </w:rPr>
    </w:lvl>
    <w:lvl w:ilvl="1" w:tplc="1F682D62">
      <w:start w:val="3"/>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2977FC"/>
    <w:multiLevelType w:val="hybridMultilevel"/>
    <w:tmpl w:val="5C98A29A"/>
    <w:lvl w:ilvl="0" w:tplc="097C4724">
      <w:start w:val="1"/>
      <w:numFmt w:val="bullet"/>
      <w:lvlText w:val=""/>
      <w:lvlJc w:val="left"/>
      <w:pPr>
        <w:ind w:left="1287" w:hanging="360"/>
      </w:pPr>
      <w:rPr>
        <w:rFonts w:ascii="Symbol" w:hAnsi="Symbol" w:hint="default"/>
        <w:strike w:val="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1E8D3D5C"/>
    <w:multiLevelType w:val="hybridMultilevel"/>
    <w:tmpl w:val="596AA612"/>
    <w:lvl w:ilvl="0" w:tplc="4F9479FA">
      <w:start w:val="2"/>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1E3A7E"/>
    <w:multiLevelType w:val="multilevel"/>
    <w:tmpl w:val="6E92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D11EA"/>
    <w:multiLevelType w:val="multilevel"/>
    <w:tmpl w:val="CC2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23A7F"/>
    <w:multiLevelType w:val="multilevel"/>
    <w:tmpl w:val="CD98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50FE73C0"/>
    <w:multiLevelType w:val="multilevel"/>
    <w:tmpl w:val="96B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732DAA"/>
    <w:multiLevelType w:val="hybridMultilevel"/>
    <w:tmpl w:val="7AE4F6DA"/>
    <w:lvl w:ilvl="0" w:tplc="299CB30C">
      <w:start w:val="3"/>
      <w:numFmt w:val="decimal"/>
      <w:lvlText w:val="%1."/>
      <w:lvlJc w:val="left"/>
      <w:pPr>
        <w:tabs>
          <w:tab w:val="num" w:pos="1556"/>
        </w:tabs>
        <w:ind w:left="1556" w:hanging="705"/>
      </w:pPr>
      <w:rPr>
        <w:rFonts w:hint="default"/>
        <w:b w:val="0"/>
        <w:i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4" w15:restartNumberingAfterBreak="0">
    <w:nsid w:val="72417C07"/>
    <w:multiLevelType w:val="multilevel"/>
    <w:tmpl w:val="E122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E0314"/>
    <w:multiLevelType w:val="multilevel"/>
    <w:tmpl w:val="8D161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24028028">
    <w:abstractNumId w:val="13"/>
  </w:num>
  <w:num w:numId="2" w16cid:durableId="15792484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4864826">
    <w:abstractNumId w:val="2"/>
  </w:num>
  <w:num w:numId="4" w16cid:durableId="588464734">
    <w:abstractNumId w:val="1"/>
  </w:num>
  <w:num w:numId="5" w16cid:durableId="1211116456">
    <w:abstractNumId w:val="0"/>
  </w:num>
  <w:num w:numId="6" w16cid:durableId="968634020">
    <w:abstractNumId w:val="7"/>
  </w:num>
  <w:num w:numId="7" w16cid:durableId="1925723095">
    <w:abstractNumId w:val="15"/>
  </w:num>
  <w:num w:numId="8" w16cid:durableId="1384795093">
    <w:abstractNumId w:val="14"/>
    <w:lvlOverride w:ilvl="0">
      <w:startOverride w:val="4"/>
    </w:lvlOverride>
  </w:num>
  <w:num w:numId="9" w16cid:durableId="913590284">
    <w:abstractNumId w:val="14"/>
    <w:lvlOverride w:ilvl="0">
      <w:startOverride w:val="5"/>
    </w:lvlOverride>
  </w:num>
  <w:num w:numId="10" w16cid:durableId="1957445343">
    <w:abstractNumId w:val="14"/>
    <w:lvlOverride w:ilvl="0">
      <w:startOverride w:val="6"/>
    </w:lvlOverride>
  </w:num>
  <w:num w:numId="11" w16cid:durableId="574819104">
    <w:abstractNumId w:val="14"/>
    <w:lvlOverride w:ilvl="0">
      <w:startOverride w:val="7"/>
    </w:lvlOverride>
  </w:num>
  <w:num w:numId="12" w16cid:durableId="751775226">
    <w:abstractNumId w:val="8"/>
    <w:lvlOverride w:ilvl="0">
      <w:startOverride w:val="8"/>
    </w:lvlOverride>
  </w:num>
  <w:num w:numId="13" w16cid:durableId="1235431824">
    <w:abstractNumId w:val="8"/>
    <w:lvlOverride w:ilvl="0">
      <w:startOverride w:val="9"/>
    </w:lvlOverride>
  </w:num>
  <w:num w:numId="14" w16cid:durableId="939920528">
    <w:abstractNumId w:val="8"/>
    <w:lvlOverride w:ilvl="0">
      <w:startOverride w:val="10"/>
    </w:lvlOverride>
  </w:num>
  <w:num w:numId="15" w16cid:durableId="1721048393">
    <w:abstractNumId w:val="8"/>
    <w:lvlOverride w:ilvl="0">
      <w:startOverride w:val="11"/>
    </w:lvlOverride>
  </w:num>
  <w:num w:numId="16" w16cid:durableId="87120642">
    <w:abstractNumId w:val="8"/>
    <w:lvlOverride w:ilvl="0">
      <w:startOverride w:val="12"/>
    </w:lvlOverride>
  </w:num>
  <w:num w:numId="17" w16cid:durableId="1279219055">
    <w:abstractNumId w:val="8"/>
    <w:lvlOverride w:ilvl="0">
      <w:startOverride w:val="13"/>
    </w:lvlOverride>
  </w:num>
  <w:num w:numId="18" w16cid:durableId="1901089156">
    <w:abstractNumId w:val="9"/>
    <w:lvlOverride w:ilvl="0">
      <w:startOverride w:val="14"/>
    </w:lvlOverride>
  </w:num>
  <w:num w:numId="19" w16cid:durableId="610166334">
    <w:abstractNumId w:val="9"/>
    <w:lvlOverride w:ilvl="0">
      <w:startOverride w:val="15"/>
    </w:lvlOverride>
  </w:num>
  <w:num w:numId="20" w16cid:durableId="271011499">
    <w:abstractNumId w:val="9"/>
    <w:lvlOverride w:ilvl="0">
      <w:startOverride w:val="16"/>
    </w:lvlOverride>
  </w:num>
  <w:num w:numId="21" w16cid:durableId="169221737">
    <w:abstractNumId w:val="9"/>
    <w:lvlOverride w:ilvl="0">
      <w:startOverride w:val="17"/>
    </w:lvlOverride>
  </w:num>
  <w:num w:numId="22" w16cid:durableId="1556624242">
    <w:abstractNumId w:val="3"/>
    <w:lvlOverride w:ilvl="0">
      <w:startOverride w:val="18"/>
    </w:lvlOverride>
  </w:num>
  <w:num w:numId="23" w16cid:durableId="1236939053">
    <w:abstractNumId w:val="3"/>
    <w:lvlOverride w:ilvl="0">
      <w:startOverride w:val="19"/>
    </w:lvlOverride>
  </w:num>
  <w:num w:numId="24" w16cid:durableId="1695770166">
    <w:abstractNumId w:val="3"/>
    <w:lvlOverride w:ilvl="0">
      <w:startOverride w:val="20"/>
    </w:lvlOverride>
  </w:num>
  <w:num w:numId="25" w16cid:durableId="1778791698">
    <w:abstractNumId w:val="3"/>
    <w:lvlOverride w:ilvl="0">
      <w:startOverride w:val="21"/>
    </w:lvlOverride>
  </w:num>
  <w:num w:numId="26" w16cid:durableId="441850547">
    <w:abstractNumId w:val="11"/>
    <w:lvlOverride w:ilvl="0">
      <w:startOverride w:val="22"/>
    </w:lvlOverride>
  </w:num>
  <w:num w:numId="27" w16cid:durableId="1077048416">
    <w:abstractNumId w:val="11"/>
    <w:lvlOverride w:ilvl="0">
      <w:startOverride w:val="23"/>
    </w:lvlOverride>
  </w:num>
  <w:num w:numId="28" w16cid:durableId="1242449331">
    <w:abstractNumId w:val="11"/>
    <w:lvlOverride w:ilvl="0">
      <w:startOverride w:val="24"/>
    </w:lvlOverride>
  </w:num>
  <w:num w:numId="29" w16cid:durableId="955018158">
    <w:abstractNumId w:val="5"/>
  </w:num>
  <w:num w:numId="30" w16cid:durableId="721558414">
    <w:abstractNumId w:val="4"/>
  </w:num>
  <w:num w:numId="31" w16cid:durableId="1188836871">
    <w:abstractNumId w:val="6"/>
  </w:num>
  <w:num w:numId="32" w16cid:durableId="934048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DA"/>
    <w:rsid w:val="00000EB8"/>
    <w:rsid w:val="00001456"/>
    <w:rsid w:val="000019D4"/>
    <w:rsid w:val="0000411E"/>
    <w:rsid w:val="00006ADB"/>
    <w:rsid w:val="0001629D"/>
    <w:rsid w:val="000171C0"/>
    <w:rsid w:val="00020B8C"/>
    <w:rsid w:val="0002177A"/>
    <w:rsid w:val="00021929"/>
    <w:rsid w:val="000220A5"/>
    <w:rsid w:val="00027811"/>
    <w:rsid w:val="000300EE"/>
    <w:rsid w:val="000327E0"/>
    <w:rsid w:val="00035E9F"/>
    <w:rsid w:val="00040417"/>
    <w:rsid w:val="000413BF"/>
    <w:rsid w:val="000434E1"/>
    <w:rsid w:val="0004368B"/>
    <w:rsid w:val="00043EED"/>
    <w:rsid w:val="000458BB"/>
    <w:rsid w:val="00054239"/>
    <w:rsid w:val="00054CFF"/>
    <w:rsid w:val="0005555D"/>
    <w:rsid w:val="00055598"/>
    <w:rsid w:val="000627D0"/>
    <w:rsid w:val="00064B53"/>
    <w:rsid w:val="00066AE4"/>
    <w:rsid w:val="000700AB"/>
    <w:rsid w:val="000726FA"/>
    <w:rsid w:val="00073DC3"/>
    <w:rsid w:val="00075C86"/>
    <w:rsid w:val="000765E7"/>
    <w:rsid w:val="0007764B"/>
    <w:rsid w:val="000855FB"/>
    <w:rsid w:val="000909AD"/>
    <w:rsid w:val="00093ADA"/>
    <w:rsid w:val="000A5E3F"/>
    <w:rsid w:val="000A7A44"/>
    <w:rsid w:val="000B465A"/>
    <w:rsid w:val="000B5C35"/>
    <w:rsid w:val="000B74F2"/>
    <w:rsid w:val="000C2CEC"/>
    <w:rsid w:val="000C3014"/>
    <w:rsid w:val="000C7F31"/>
    <w:rsid w:val="000D1C57"/>
    <w:rsid w:val="000D44E2"/>
    <w:rsid w:val="000E15B7"/>
    <w:rsid w:val="000E1F04"/>
    <w:rsid w:val="000E2205"/>
    <w:rsid w:val="000E24A4"/>
    <w:rsid w:val="000E2870"/>
    <w:rsid w:val="000E3851"/>
    <w:rsid w:val="000E46A2"/>
    <w:rsid w:val="000E522C"/>
    <w:rsid w:val="000F2219"/>
    <w:rsid w:val="000F2DCE"/>
    <w:rsid w:val="000F54DB"/>
    <w:rsid w:val="000F65D1"/>
    <w:rsid w:val="000F6ADF"/>
    <w:rsid w:val="00103E84"/>
    <w:rsid w:val="0010471A"/>
    <w:rsid w:val="001067BD"/>
    <w:rsid w:val="0011362D"/>
    <w:rsid w:val="0011565B"/>
    <w:rsid w:val="00116DBE"/>
    <w:rsid w:val="00117AC7"/>
    <w:rsid w:val="0012004D"/>
    <w:rsid w:val="00122A91"/>
    <w:rsid w:val="00122BAA"/>
    <w:rsid w:val="001342DA"/>
    <w:rsid w:val="0013479C"/>
    <w:rsid w:val="00134883"/>
    <w:rsid w:val="00135788"/>
    <w:rsid w:val="00136E84"/>
    <w:rsid w:val="0013716C"/>
    <w:rsid w:val="001420A0"/>
    <w:rsid w:val="00147F99"/>
    <w:rsid w:val="00151AD2"/>
    <w:rsid w:val="00152B17"/>
    <w:rsid w:val="00157E8E"/>
    <w:rsid w:val="00161F3F"/>
    <w:rsid w:val="00172136"/>
    <w:rsid w:val="0017338E"/>
    <w:rsid w:val="00174851"/>
    <w:rsid w:val="00175F10"/>
    <w:rsid w:val="00176E40"/>
    <w:rsid w:val="00177F28"/>
    <w:rsid w:val="0018017C"/>
    <w:rsid w:val="00180539"/>
    <w:rsid w:val="00182EF4"/>
    <w:rsid w:val="0018464B"/>
    <w:rsid w:val="00186928"/>
    <w:rsid w:val="001877E8"/>
    <w:rsid w:val="001921C7"/>
    <w:rsid w:val="00192548"/>
    <w:rsid w:val="00192810"/>
    <w:rsid w:val="0019390B"/>
    <w:rsid w:val="00194782"/>
    <w:rsid w:val="00195C03"/>
    <w:rsid w:val="001972CB"/>
    <w:rsid w:val="001A4054"/>
    <w:rsid w:val="001A740B"/>
    <w:rsid w:val="001B20FC"/>
    <w:rsid w:val="001B713F"/>
    <w:rsid w:val="001B7C22"/>
    <w:rsid w:val="001C0CF9"/>
    <w:rsid w:val="001C2105"/>
    <w:rsid w:val="001C5AA3"/>
    <w:rsid w:val="001D3918"/>
    <w:rsid w:val="001E0083"/>
    <w:rsid w:val="001E7438"/>
    <w:rsid w:val="001E7BB6"/>
    <w:rsid w:val="001F31A8"/>
    <w:rsid w:val="0020666F"/>
    <w:rsid w:val="00213739"/>
    <w:rsid w:val="00214D79"/>
    <w:rsid w:val="00216F8E"/>
    <w:rsid w:val="0022377C"/>
    <w:rsid w:val="00223E7E"/>
    <w:rsid w:val="00226B9F"/>
    <w:rsid w:val="00226CB9"/>
    <w:rsid w:val="00226F20"/>
    <w:rsid w:val="00230B79"/>
    <w:rsid w:val="00241F00"/>
    <w:rsid w:val="00242FD9"/>
    <w:rsid w:val="00244171"/>
    <w:rsid w:val="0024614E"/>
    <w:rsid w:val="00246847"/>
    <w:rsid w:val="00246E7E"/>
    <w:rsid w:val="0025708E"/>
    <w:rsid w:val="00257C40"/>
    <w:rsid w:val="0026168E"/>
    <w:rsid w:val="00261E80"/>
    <w:rsid w:val="00261FB9"/>
    <w:rsid w:val="00262FE0"/>
    <w:rsid w:val="00264284"/>
    <w:rsid w:val="002645E0"/>
    <w:rsid w:val="00264C3B"/>
    <w:rsid w:val="0026555F"/>
    <w:rsid w:val="002664C9"/>
    <w:rsid w:val="00271E17"/>
    <w:rsid w:val="00275916"/>
    <w:rsid w:val="00276510"/>
    <w:rsid w:val="00277B4C"/>
    <w:rsid w:val="00277B60"/>
    <w:rsid w:val="00282074"/>
    <w:rsid w:val="00282285"/>
    <w:rsid w:val="00296D11"/>
    <w:rsid w:val="002979CC"/>
    <w:rsid w:val="002A11B2"/>
    <w:rsid w:val="002A1CB4"/>
    <w:rsid w:val="002B0D98"/>
    <w:rsid w:val="002B7632"/>
    <w:rsid w:val="002C0CA1"/>
    <w:rsid w:val="002C2D8E"/>
    <w:rsid w:val="002C2E7A"/>
    <w:rsid w:val="002C4BDD"/>
    <w:rsid w:val="002C564B"/>
    <w:rsid w:val="002C67FB"/>
    <w:rsid w:val="002C6DA2"/>
    <w:rsid w:val="002C794B"/>
    <w:rsid w:val="002D1518"/>
    <w:rsid w:val="002D28BF"/>
    <w:rsid w:val="002F1D96"/>
    <w:rsid w:val="002F29FF"/>
    <w:rsid w:val="002F76AD"/>
    <w:rsid w:val="002F7C4A"/>
    <w:rsid w:val="00300D97"/>
    <w:rsid w:val="00305626"/>
    <w:rsid w:val="00310059"/>
    <w:rsid w:val="00320DA2"/>
    <w:rsid w:val="00320E17"/>
    <w:rsid w:val="00323955"/>
    <w:rsid w:val="00325737"/>
    <w:rsid w:val="003268CB"/>
    <w:rsid w:val="003324D2"/>
    <w:rsid w:val="00335430"/>
    <w:rsid w:val="00335A42"/>
    <w:rsid w:val="00337320"/>
    <w:rsid w:val="00337CE6"/>
    <w:rsid w:val="003439BF"/>
    <w:rsid w:val="00344F89"/>
    <w:rsid w:val="003459E2"/>
    <w:rsid w:val="00346BCA"/>
    <w:rsid w:val="00346D04"/>
    <w:rsid w:val="00346D32"/>
    <w:rsid w:val="0035006A"/>
    <w:rsid w:val="00350463"/>
    <w:rsid w:val="00354C73"/>
    <w:rsid w:val="003563E3"/>
    <w:rsid w:val="00356529"/>
    <w:rsid w:val="00360FDA"/>
    <w:rsid w:val="00366CE7"/>
    <w:rsid w:val="0037262D"/>
    <w:rsid w:val="003742B6"/>
    <w:rsid w:val="00377969"/>
    <w:rsid w:val="00382099"/>
    <w:rsid w:val="0038226E"/>
    <w:rsid w:val="003833E6"/>
    <w:rsid w:val="0038367D"/>
    <w:rsid w:val="00383DF3"/>
    <w:rsid w:val="00385FFD"/>
    <w:rsid w:val="0039097A"/>
    <w:rsid w:val="00391BCD"/>
    <w:rsid w:val="0039255F"/>
    <w:rsid w:val="00394105"/>
    <w:rsid w:val="00394793"/>
    <w:rsid w:val="00395121"/>
    <w:rsid w:val="003977A4"/>
    <w:rsid w:val="003A415D"/>
    <w:rsid w:val="003A4882"/>
    <w:rsid w:val="003A612E"/>
    <w:rsid w:val="003A6DFD"/>
    <w:rsid w:val="003A7A5E"/>
    <w:rsid w:val="003A7C90"/>
    <w:rsid w:val="003A7F7F"/>
    <w:rsid w:val="003B0255"/>
    <w:rsid w:val="003B0FB9"/>
    <w:rsid w:val="003B5930"/>
    <w:rsid w:val="003B7F6A"/>
    <w:rsid w:val="003C29E6"/>
    <w:rsid w:val="003C3B20"/>
    <w:rsid w:val="003C5AF9"/>
    <w:rsid w:val="003C6162"/>
    <w:rsid w:val="003D23EC"/>
    <w:rsid w:val="003D3729"/>
    <w:rsid w:val="003E0FF6"/>
    <w:rsid w:val="003E2D93"/>
    <w:rsid w:val="003F0CB2"/>
    <w:rsid w:val="003F11DA"/>
    <w:rsid w:val="003F266E"/>
    <w:rsid w:val="003F3202"/>
    <w:rsid w:val="003F58FB"/>
    <w:rsid w:val="003F754E"/>
    <w:rsid w:val="00401786"/>
    <w:rsid w:val="0040401D"/>
    <w:rsid w:val="00406299"/>
    <w:rsid w:val="004062C0"/>
    <w:rsid w:val="00406DD1"/>
    <w:rsid w:val="004074B9"/>
    <w:rsid w:val="00410A9D"/>
    <w:rsid w:val="00414511"/>
    <w:rsid w:val="00415C19"/>
    <w:rsid w:val="0041797C"/>
    <w:rsid w:val="004225ED"/>
    <w:rsid w:val="004227EC"/>
    <w:rsid w:val="004240DC"/>
    <w:rsid w:val="00426908"/>
    <w:rsid w:val="00426E1E"/>
    <w:rsid w:val="00426EBD"/>
    <w:rsid w:val="00430E66"/>
    <w:rsid w:val="00432E09"/>
    <w:rsid w:val="0043385E"/>
    <w:rsid w:val="00434A69"/>
    <w:rsid w:val="00435E1C"/>
    <w:rsid w:val="0043790D"/>
    <w:rsid w:val="004440CB"/>
    <w:rsid w:val="0044460A"/>
    <w:rsid w:val="00445D58"/>
    <w:rsid w:val="0045097D"/>
    <w:rsid w:val="00450F06"/>
    <w:rsid w:val="0045284C"/>
    <w:rsid w:val="00452C9C"/>
    <w:rsid w:val="00461EED"/>
    <w:rsid w:val="00467965"/>
    <w:rsid w:val="004755ED"/>
    <w:rsid w:val="00475AE3"/>
    <w:rsid w:val="00476306"/>
    <w:rsid w:val="00481A11"/>
    <w:rsid w:val="0048317E"/>
    <w:rsid w:val="00487CB5"/>
    <w:rsid w:val="00495613"/>
    <w:rsid w:val="004A122C"/>
    <w:rsid w:val="004A1B24"/>
    <w:rsid w:val="004A335A"/>
    <w:rsid w:val="004A5EB3"/>
    <w:rsid w:val="004B69B2"/>
    <w:rsid w:val="004B6C1F"/>
    <w:rsid w:val="004B7A63"/>
    <w:rsid w:val="004C1B62"/>
    <w:rsid w:val="004C55E5"/>
    <w:rsid w:val="004C70AE"/>
    <w:rsid w:val="004C78C4"/>
    <w:rsid w:val="004C7C90"/>
    <w:rsid w:val="004D0B6A"/>
    <w:rsid w:val="004D1BCB"/>
    <w:rsid w:val="004D4241"/>
    <w:rsid w:val="004D43E6"/>
    <w:rsid w:val="004D4EAE"/>
    <w:rsid w:val="004D4EAF"/>
    <w:rsid w:val="004D68A2"/>
    <w:rsid w:val="004D737B"/>
    <w:rsid w:val="004D7EEB"/>
    <w:rsid w:val="004E045B"/>
    <w:rsid w:val="004E2CF0"/>
    <w:rsid w:val="004E3431"/>
    <w:rsid w:val="004E57A1"/>
    <w:rsid w:val="004E5BC1"/>
    <w:rsid w:val="004E65E8"/>
    <w:rsid w:val="004E7AB1"/>
    <w:rsid w:val="004F3B3A"/>
    <w:rsid w:val="00500055"/>
    <w:rsid w:val="005009A6"/>
    <w:rsid w:val="00500E74"/>
    <w:rsid w:val="00500F3E"/>
    <w:rsid w:val="00501486"/>
    <w:rsid w:val="00504E0D"/>
    <w:rsid w:val="005102ED"/>
    <w:rsid w:val="00512824"/>
    <w:rsid w:val="00513C2E"/>
    <w:rsid w:val="0051534F"/>
    <w:rsid w:val="005162BF"/>
    <w:rsid w:val="00522119"/>
    <w:rsid w:val="00522AFB"/>
    <w:rsid w:val="0052328A"/>
    <w:rsid w:val="005233F3"/>
    <w:rsid w:val="00525729"/>
    <w:rsid w:val="00525CC7"/>
    <w:rsid w:val="00526602"/>
    <w:rsid w:val="0053012A"/>
    <w:rsid w:val="0053396F"/>
    <w:rsid w:val="00534196"/>
    <w:rsid w:val="00537344"/>
    <w:rsid w:val="00537C28"/>
    <w:rsid w:val="00540871"/>
    <w:rsid w:val="005435DD"/>
    <w:rsid w:val="00544E77"/>
    <w:rsid w:val="00546073"/>
    <w:rsid w:val="00547D69"/>
    <w:rsid w:val="00551C8F"/>
    <w:rsid w:val="00553342"/>
    <w:rsid w:val="00553521"/>
    <w:rsid w:val="00554DCA"/>
    <w:rsid w:val="00556EDA"/>
    <w:rsid w:val="00556F04"/>
    <w:rsid w:val="00560B25"/>
    <w:rsid w:val="0056173D"/>
    <w:rsid w:val="00562746"/>
    <w:rsid w:val="005636CF"/>
    <w:rsid w:val="00564D91"/>
    <w:rsid w:val="00567407"/>
    <w:rsid w:val="005772AC"/>
    <w:rsid w:val="00577788"/>
    <w:rsid w:val="00577A23"/>
    <w:rsid w:val="00581AD8"/>
    <w:rsid w:val="00582D2F"/>
    <w:rsid w:val="00585743"/>
    <w:rsid w:val="00587597"/>
    <w:rsid w:val="00590BF2"/>
    <w:rsid w:val="00595261"/>
    <w:rsid w:val="005A21CB"/>
    <w:rsid w:val="005A2A86"/>
    <w:rsid w:val="005A5039"/>
    <w:rsid w:val="005A7E6B"/>
    <w:rsid w:val="005B4654"/>
    <w:rsid w:val="005B63F1"/>
    <w:rsid w:val="005C290E"/>
    <w:rsid w:val="005D0BB0"/>
    <w:rsid w:val="005D2C60"/>
    <w:rsid w:val="005D4F61"/>
    <w:rsid w:val="005E0DDC"/>
    <w:rsid w:val="005E145A"/>
    <w:rsid w:val="005E4AA9"/>
    <w:rsid w:val="005E70C9"/>
    <w:rsid w:val="005E74A7"/>
    <w:rsid w:val="005E799C"/>
    <w:rsid w:val="005F01F7"/>
    <w:rsid w:val="005F1E4E"/>
    <w:rsid w:val="005F7652"/>
    <w:rsid w:val="005F781B"/>
    <w:rsid w:val="00600341"/>
    <w:rsid w:val="00600A0D"/>
    <w:rsid w:val="00601CE4"/>
    <w:rsid w:val="00602216"/>
    <w:rsid w:val="00603367"/>
    <w:rsid w:val="00606362"/>
    <w:rsid w:val="00615633"/>
    <w:rsid w:val="00616ED1"/>
    <w:rsid w:val="00617218"/>
    <w:rsid w:val="0061775D"/>
    <w:rsid w:val="00617D91"/>
    <w:rsid w:val="00621D05"/>
    <w:rsid w:val="006231DE"/>
    <w:rsid w:val="0062535C"/>
    <w:rsid w:val="006311E0"/>
    <w:rsid w:val="006322DA"/>
    <w:rsid w:val="006345D9"/>
    <w:rsid w:val="00641472"/>
    <w:rsid w:val="006431DB"/>
    <w:rsid w:val="00645E62"/>
    <w:rsid w:val="00651C21"/>
    <w:rsid w:val="0065401B"/>
    <w:rsid w:val="0065520A"/>
    <w:rsid w:val="006565D0"/>
    <w:rsid w:val="0065711E"/>
    <w:rsid w:val="00657B55"/>
    <w:rsid w:val="00660DDE"/>
    <w:rsid w:val="00662F96"/>
    <w:rsid w:val="0066733B"/>
    <w:rsid w:val="00667C9D"/>
    <w:rsid w:val="00670769"/>
    <w:rsid w:val="0067088C"/>
    <w:rsid w:val="006719CC"/>
    <w:rsid w:val="0067273B"/>
    <w:rsid w:val="00672881"/>
    <w:rsid w:val="00674E0D"/>
    <w:rsid w:val="00675C4B"/>
    <w:rsid w:val="006776B4"/>
    <w:rsid w:val="0068084D"/>
    <w:rsid w:val="00681541"/>
    <w:rsid w:val="00681C1D"/>
    <w:rsid w:val="00681C3E"/>
    <w:rsid w:val="00682722"/>
    <w:rsid w:val="0068478C"/>
    <w:rsid w:val="00687ADB"/>
    <w:rsid w:val="00690665"/>
    <w:rsid w:val="00692091"/>
    <w:rsid w:val="00696262"/>
    <w:rsid w:val="00696EC3"/>
    <w:rsid w:val="00697BF1"/>
    <w:rsid w:val="006A448A"/>
    <w:rsid w:val="006A4C7D"/>
    <w:rsid w:val="006A4FDA"/>
    <w:rsid w:val="006A7B28"/>
    <w:rsid w:val="006B50D0"/>
    <w:rsid w:val="006B63B2"/>
    <w:rsid w:val="006B6936"/>
    <w:rsid w:val="006C0F7A"/>
    <w:rsid w:val="006C1D48"/>
    <w:rsid w:val="006C4BDE"/>
    <w:rsid w:val="006C6B55"/>
    <w:rsid w:val="006C7C60"/>
    <w:rsid w:val="006D0D8A"/>
    <w:rsid w:val="006D190A"/>
    <w:rsid w:val="006D1AAB"/>
    <w:rsid w:val="006D3E72"/>
    <w:rsid w:val="006D3F11"/>
    <w:rsid w:val="006D5343"/>
    <w:rsid w:val="006D5C01"/>
    <w:rsid w:val="006D684F"/>
    <w:rsid w:val="006E0079"/>
    <w:rsid w:val="006E0B77"/>
    <w:rsid w:val="006E1563"/>
    <w:rsid w:val="006E1797"/>
    <w:rsid w:val="006E2484"/>
    <w:rsid w:val="006E30EF"/>
    <w:rsid w:val="006E5E86"/>
    <w:rsid w:val="006E7859"/>
    <w:rsid w:val="006F0B16"/>
    <w:rsid w:val="006F2116"/>
    <w:rsid w:val="006F5565"/>
    <w:rsid w:val="006F5D17"/>
    <w:rsid w:val="006F5EED"/>
    <w:rsid w:val="007001FC"/>
    <w:rsid w:val="007020B5"/>
    <w:rsid w:val="007110DC"/>
    <w:rsid w:val="00714C21"/>
    <w:rsid w:val="007152AB"/>
    <w:rsid w:val="00720317"/>
    <w:rsid w:val="00721674"/>
    <w:rsid w:val="00721C47"/>
    <w:rsid w:val="007224DE"/>
    <w:rsid w:val="00723877"/>
    <w:rsid w:val="00724122"/>
    <w:rsid w:val="007261B8"/>
    <w:rsid w:val="00727062"/>
    <w:rsid w:val="00730678"/>
    <w:rsid w:val="00734695"/>
    <w:rsid w:val="00742506"/>
    <w:rsid w:val="007473C6"/>
    <w:rsid w:val="00752A2B"/>
    <w:rsid w:val="0075330C"/>
    <w:rsid w:val="00754084"/>
    <w:rsid w:val="007622E8"/>
    <w:rsid w:val="00765A68"/>
    <w:rsid w:val="0076697E"/>
    <w:rsid w:val="0077036B"/>
    <w:rsid w:val="007765F2"/>
    <w:rsid w:val="00776B35"/>
    <w:rsid w:val="00777B21"/>
    <w:rsid w:val="0078217B"/>
    <w:rsid w:val="00784965"/>
    <w:rsid w:val="00784A4C"/>
    <w:rsid w:val="007854AB"/>
    <w:rsid w:val="00786998"/>
    <w:rsid w:val="00790C28"/>
    <w:rsid w:val="00791149"/>
    <w:rsid w:val="00791450"/>
    <w:rsid w:val="00792A70"/>
    <w:rsid w:val="00793E40"/>
    <w:rsid w:val="007940FF"/>
    <w:rsid w:val="007974CF"/>
    <w:rsid w:val="00797E53"/>
    <w:rsid w:val="007A082E"/>
    <w:rsid w:val="007A0A36"/>
    <w:rsid w:val="007A6BEE"/>
    <w:rsid w:val="007A7E0F"/>
    <w:rsid w:val="007B1A54"/>
    <w:rsid w:val="007B240F"/>
    <w:rsid w:val="007B3BDE"/>
    <w:rsid w:val="007B79AF"/>
    <w:rsid w:val="007C2D52"/>
    <w:rsid w:val="007C4252"/>
    <w:rsid w:val="007C6690"/>
    <w:rsid w:val="007D19CE"/>
    <w:rsid w:val="007D7C88"/>
    <w:rsid w:val="007D7CD0"/>
    <w:rsid w:val="007E2017"/>
    <w:rsid w:val="007E4A95"/>
    <w:rsid w:val="007F1C14"/>
    <w:rsid w:val="007F57B5"/>
    <w:rsid w:val="00801C8E"/>
    <w:rsid w:val="00801E9E"/>
    <w:rsid w:val="00810486"/>
    <w:rsid w:val="0081067E"/>
    <w:rsid w:val="00812CCB"/>
    <w:rsid w:val="00813A2D"/>
    <w:rsid w:val="00813CF6"/>
    <w:rsid w:val="00821163"/>
    <w:rsid w:val="008229E9"/>
    <w:rsid w:val="008250E9"/>
    <w:rsid w:val="00826DC4"/>
    <w:rsid w:val="0084090C"/>
    <w:rsid w:val="00841BBF"/>
    <w:rsid w:val="00846618"/>
    <w:rsid w:val="0085032A"/>
    <w:rsid w:val="00850F84"/>
    <w:rsid w:val="00854589"/>
    <w:rsid w:val="00864A84"/>
    <w:rsid w:val="00873261"/>
    <w:rsid w:val="0087537B"/>
    <w:rsid w:val="00876478"/>
    <w:rsid w:val="00884157"/>
    <w:rsid w:val="00884901"/>
    <w:rsid w:val="00885CB1"/>
    <w:rsid w:val="00886419"/>
    <w:rsid w:val="00886436"/>
    <w:rsid w:val="00887350"/>
    <w:rsid w:val="00890410"/>
    <w:rsid w:val="00891329"/>
    <w:rsid w:val="00894689"/>
    <w:rsid w:val="008954A1"/>
    <w:rsid w:val="008A1A13"/>
    <w:rsid w:val="008A1F3B"/>
    <w:rsid w:val="008A3074"/>
    <w:rsid w:val="008A706D"/>
    <w:rsid w:val="008A7D71"/>
    <w:rsid w:val="008B1164"/>
    <w:rsid w:val="008B3EF4"/>
    <w:rsid w:val="008B44FB"/>
    <w:rsid w:val="008B477D"/>
    <w:rsid w:val="008B4E88"/>
    <w:rsid w:val="008C1B7B"/>
    <w:rsid w:val="008C1CA6"/>
    <w:rsid w:val="008C2CFC"/>
    <w:rsid w:val="008C73ED"/>
    <w:rsid w:val="008D18EC"/>
    <w:rsid w:val="008D1920"/>
    <w:rsid w:val="008D255D"/>
    <w:rsid w:val="008E1396"/>
    <w:rsid w:val="008E1B53"/>
    <w:rsid w:val="008E27AE"/>
    <w:rsid w:val="008E376A"/>
    <w:rsid w:val="008E45BE"/>
    <w:rsid w:val="008E4C73"/>
    <w:rsid w:val="008E6B40"/>
    <w:rsid w:val="008F2AB4"/>
    <w:rsid w:val="008F2F91"/>
    <w:rsid w:val="008F677E"/>
    <w:rsid w:val="009010FE"/>
    <w:rsid w:val="009017AA"/>
    <w:rsid w:val="00903DF0"/>
    <w:rsid w:val="00910DC3"/>
    <w:rsid w:val="00912CFA"/>
    <w:rsid w:val="00913B79"/>
    <w:rsid w:val="00913D67"/>
    <w:rsid w:val="00915245"/>
    <w:rsid w:val="009276A9"/>
    <w:rsid w:val="00927762"/>
    <w:rsid w:val="00934B42"/>
    <w:rsid w:val="0094158F"/>
    <w:rsid w:val="00944CD6"/>
    <w:rsid w:val="00946DCA"/>
    <w:rsid w:val="00950632"/>
    <w:rsid w:val="00950841"/>
    <w:rsid w:val="009508E8"/>
    <w:rsid w:val="00952193"/>
    <w:rsid w:val="00952EAD"/>
    <w:rsid w:val="00953CBA"/>
    <w:rsid w:val="00953CDA"/>
    <w:rsid w:val="009542FE"/>
    <w:rsid w:val="00954E5B"/>
    <w:rsid w:val="009560A3"/>
    <w:rsid w:val="0095651C"/>
    <w:rsid w:val="00956AB0"/>
    <w:rsid w:val="00956E3B"/>
    <w:rsid w:val="00956ED0"/>
    <w:rsid w:val="009604B5"/>
    <w:rsid w:val="009646F9"/>
    <w:rsid w:val="00967670"/>
    <w:rsid w:val="009768AB"/>
    <w:rsid w:val="00981573"/>
    <w:rsid w:val="00981C93"/>
    <w:rsid w:val="0098523E"/>
    <w:rsid w:val="009857D4"/>
    <w:rsid w:val="00990426"/>
    <w:rsid w:val="009916F4"/>
    <w:rsid w:val="0099643B"/>
    <w:rsid w:val="009A1AE9"/>
    <w:rsid w:val="009A2EEE"/>
    <w:rsid w:val="009A4AAA"/>
    <w:rsid w:val="009A5602"/>
    <w:rsid w:val="009B08BA"/>
    <w:rsid w:val="009B1976"/>
    <w:rsid w:val="009B69B0"/>
    <w:rsid w:val="009C197F"/>
    <w:rsid w:val="009C58BB"/>
    <w:rsid w:val="009C6952"/>
    <w:rsid w:val="009D1166"/>
    <w:rsid w:val="009D4BCD"/>
    <w:rsid w:val="009D4E1D"/>
    <w:rsid w:val="009D601E"/>
    <w:rsid w:val="009E3F18"/>
    <w:rsid w:val="009E621A"/>
    <w:rsid w:val="009F1CE5"/>
    <w:rsid w:val="009F4BF4"/>
    <w:rsid w:val="009F6821"/>
    <w:rsid w:val="00A00EC3"/>
    <w:rsid w:val="00A036B6"/>
    <w:rsid w:val="00A054A4"/>
    <w:rsid w:val="00A05C05"/>
    <w:rsid w:val="00A071A6"/>
    <w:rsid w:val="00A13CDF"/>
    <w:rsid w:val="00A13DEB"/>
    <w:rsid w:val="00A15C8C"/>
    <w:rsid w:val="00A17053"/>
    <w:rsid w:val="00A27F34"/>
    <w:rsid w:val="00A34205"/>
    <w:rsid w:val="00A34B5A"/>
    <w:rsid w:val="00A41A99"/>
    <w:rsid w:val="00A4274A"/>
    <w:rsid w:val="00A429FB"/>
    <w:rsid w:val="00A45321"/>
    <w:rsid w:val="00A47AA9"/>
    <w:rsid w:val="00A53267"/>
    <w:rsid w:val="00A5384C"/>
    <w:rsid w:val="00A56538"/>
    <w:rsid w:val="00A579DF"/>
    <w:rsid w:val="00A60EDE"/>
    <w:rsid w:val="00A61DB9"/>
    <w:rsid w:val="00A719DA"/>
    <w:rsid w:val="00A734A8"/>
    <w:rsid w:val="00A80D24"/>
    <w:rsid w:val="00A8369D"/>
    <w:rsid w:val="00A84A87"/>
    <w:rsid w:val="00A87E87"/>
    <w:rsid w:val="00A91AFB"/>
    <w:rsid w:val="00A957FB"/>
    <w:rsid w:val="00A96895"/>
    <w:rsid w:val="00A969F5"/>
    <w:rsid w:val="00A974B8"/>
    <w:rsid w:val="00A97CDC"/>
    <w:rsid w:val="00AA21FB"/>
    <w:rsid w:val="00AA3110"/>
    <w:rsid w:val="00AA72AA"/>
    <w:rsid w:val="00AA78DC"/>
    <w:rsid w:val="00AB6B1A"/>
    <w:rsid w:val="00AB6C21"/>
    <w:rsid w:val="00AB6F0E"/>
    <w:rsid w:val="00AC5224"/>
    <w:rsid w:val="00AC6FAB"/>
    <w:rsid w:val="00AD038E"/>
    <w:rsid w:val="00AD53A2"/>
    <w:rsid w:val="00AD57C5"/>
    <w:rsid w:val="00AD5D49"/>
    <w:rsid w:val="00AD6766"/>
    <w:rsid w:val="00AD7E93"/>
    <w:rsid w:val="00AE21BE"/>
    <w:rsid w:val="00AE2208"/>
    <w:rsid w:val="00AF1EA2"/>
    <w:rsid w:val="00AF714A"/>
    <w:rsid w:val="00AF78C8"/>
    <w:rsid w:val="00B01423"/>
    <w:rsid w:val="00B029C0"/>
    <w:rsid w:val="00B02FFA"/>
    <w:rsid w:val="00B0458B"/>
    <w:rsid w:val="00B129FD"/>
    <w:rsid w:val="00B13219"/>
    <w:rsid w:val="00B13504"/>
    <w:rsid w:val="00B22463"/>
    <w:rsid w:val="00B26C85"/>
    <w:rsid w:val="00B31A85"/>
    <w:rsid w:val="00B35CFD"/>
    <w:rsid w:val="00B3751D"/>
    <w:rsid w:val="00B41DC9"/>
    <w:rsid w:val="00B429D2"/>
    <w:rsid w:val="00B42FFC"/>
    <w:rsid w:val="00B43B6D"/>
    <w:rsid w:val="00B456BB"/>
    <w:rsid w:val="00B466B7"/>
    <w:rsid w:val="00B50825"/>
    <w:rsid w:val="00B555FA"/>
    <w:rsid w:val="00B55F8E"/>
    <w:rsid w:val="00B6102A"/>
    <w:rsid w:val="00B61585"/>
    <w:rsid w:val="00B61F19"/>
    <w:rsid w:val="00B621F5"/>
    <w:rsid w:val="00B65EBE"/>
    <w:rsid w:val="00B65F4E"/>
    <w:rsid w:val="00B66EEA"/>
    <w:rsid w:val="00B71270"/>
    <w:rsid w:val="00B71CE6"/>
    <w:rsid w:val="00B73603"/>
    <w:rsid w:val="00B75817"/>
    <w:rsid w:val="00B774B4"/>
    <w:rsid w:val="00B82EAA"/>
    <w:rsid w:val="00B87870"/>
    <w:rsid w:val="00BA1E7E"/>
    <w:rsid w:val="00BA39AD"/>
    <w:rsid w:val="00BB4AEB"/>
    <w:rsid w:val="00BC26BB"/>
    <w:rsid w:val="00BC6747"/>
    <w:rsid w:val="00BD0822"/>
    <w:rsid w:val="00BD0998"/>
    <w:rsid w:val="00BD2AE3"/>
    <w:rsid w:val="00BD40A2"/>
    <w:rsid w:val="00BD708C"/>
    <w:rsid w:val="00BE3B8F"/>
    <w:rsid w:val="00BE3BA2"/>
    <w:rsid w:val="00BE7972"/>
    <w:rsid w:val="00BF1294"/>
    <w:rsid w:val="00BF17C1"/>
    <w:rsid w:val="00BF5F9E"/>
    <w:rsid w:val="00C04E4F"/>
    <w:rsid w:val="00C06129"/>
    <w:rsid w:val="00C06433"/>
    <w:rsid w:val="00C10156"/>
    <w:rsid w:val="00C103C9"/>
    <w:rsid w:val="00C1155A"/>
    <w:rsid w:val="00C11B40"/>
    <w:rsid w:val="00C1570D"/>
    <w:rsid w:val="00C1691E"/>
    <w:rsid w:val="00C16B82"/>
    <w:rsid w:val="00C17287"/>
    <w:rsid w:val="00C22DE2"/>
    <w:rsid w:val="00C22EFE"/>
    <w:rsid w:val="00C23114"/>
    <w:rsid w:val="00C24E35"/>
    <w:rsid w:val="00C25098"/>
    <w:rsid w:val="00C26D36"/>
    <w:rsid w:val="00C3112B"/>
    <w:rsid w:val="00C3231A"/>
    <w:rsid w:val="00C33906"/>
    <w:rsid w:val="00C33995"/>
    <w:rsid w:val="00C43A7C"/>
    <w:rsid w:val="00C458B8"/>
    <w:rsid w:val="00C47712"/>
    <w:rsid w:val="00C61506"/>
    <w:rsid w:val="00C62301"/>
    <w:rsid w:val="00C6759F"/>
    <w:rsid w:val="00C67A24"/>
    <w:rsid w:val="00C70257"/>
    <w:rsid w:val="00C73788"/>
    <w:rsid w:val="00C76798"/>
    <w:rsid w:val="00C77622"/>
    <w:rsid w:val="00C810F9"/>
    <w:rsid w:val="00C82C89"/>
    <w:rsid w:val="00C831D1"/>
    <w:rsid w:val="00C9100C"/>
    <w:rsid w:val="00C918CB"/>
    <w:rsid w:val="00C9512D"/>
    <w:rsid w:val="00C97255"/>
    <w:rsid w:val="00CA201B"/>
    <w:rsid w:val="00CA34F5"/>
    <w:rsid w:val="00CA5338"/>
    <w:rsid w:val="00CA5EC8"/>
    <w:rsid w:val="00CA5FCD"/>
    <w:rsid w:val="00CA7DF7"/>
    <w:rsid w:val="00CB26B7"/>
    <w:rsid w:val="00CB491F"/>
    <w:rsid w:val="00CC2E41"/>
    <w:rsid w:val="00CC5016"/>
    <w:rsid w:val="00CC6B71"/>
    <w:rsid w:val="00CD27AC"/>
    <w:rsid w:val="00CD69CA"/>
    <w:rsid w:val="00CE5553"/>
    <w:rsid w:val="00CE7CC8"/>
    <w:rsid w:val="00CF026B"/>
    <w:rsid w:val="00CF2320"/>
    <w:rsid w:val="00CF30B4"/>
    <w:rsid w:val="00CF3B8B"/>
    <w:rsid w:val="00CF3F6D"/>
    <w:rsid w:val="00D00AC0"/>
    <w:rsid w:val="00D01CA9"/>
    <w:rsid w:val="00D07614"/>
    <w:rsid w:val="00D10AA0"/>
    <w:rsid w:val="00D150CF"/>
    <w:rsid w:val="00D167BD"/>
    <w:rsid w:val="00D209B7"/>
    <w:rsid w:val="00D21117"/>
    <w:rsid w:val="00D21EDA"/>
    <w:rsid w:val="00D32998"/>
    <w:rsid w:val="00D331CF"/>
    <w:rsid w:val="00D400AC"/>
    <w:rsid w:val="00D4086B"/>
    <w:rsid w:val="00D43F9C"/>
    <w:rsid w:val="00D4453B"/>
    <w:rsid w:val="00D454E4"/>
    <w:rsid w:val="00D47887"/>
    <w:rsid w:val="00D50858"/>
    <w:rsid w:val="00D5218B"/>
    <w:rsid w:val="00D54362"/>
    <w:rsid w:val="00D54CD9"/>
    <w:rsid w:val="00D627C6"/>
    <w:rsid w:val="00D62986"/>
    <w:rsid w:val="00D65DBB"/>
    <w:rsid w:val="00D67D4E"/>
    <w:rsid w:val="00D76D95"/>
    <w:rsid w:val="00D7781D"/>
    <w:rsid w:val="00D81AB3"/>
    <w:rsid w:val="00D83798"/>
    <w:rsid w:val="00D87471"/>
    <w:rsid w:val="00D878E6"/>
    <w:rsid w:val="00D87A11"/>
    <w:rsid w:val="00D9292B"/>
    <w:rsid w:val="00D96146"/>
    <w:rsid w:val="00DA065D"/>
    <w:rsid w:val="00DA68A7"/>
    <w:rsid w:val="00DB21AC"/>
    <w:rsid w:val="00DB3882"/>
    <w:rsid w:val="00DB5847"/>
    <w:rsid w:val="00DB7745"/>
    <w:rsid w:val="00DC163F"/>
    <w:rsid w:val="00DC4B48"/>
    <w:rsid w:val="00DC69E3"/>
    <w:rsid w:val="00DC7D02"/>
    <w:rsid w:val="00DD2425"/>
    <w:rsid w:val="00DD35B5"/>
    <w:rsid w:val="00DD3DEB"/>
    <w:rsid w:val="00DD52D0"/>
    <w:rsid w:val="00DD7757"/>
    <w:rsid w:val="00DE0D34"/>
    <w:rsid w:val="00DF0748"/>
    <w:rsid w:val="00DF1DDA"/>
    <w:rsid w:val="00DF5AD8"/>
    <w:rsid w:val="00E019A3"/>
    <w:rsid w:val="00E0348A"/>
    <w:rsid w:val="00E05D06"/>
    <w:rsid w:val="00E07437"/>
    <w:rsid w:val="00E136DD"/>
    <w:rsid w:val="00E137D5"/>
    <w:rsid w:val="00E202DB"/>
    <w:rsid w:val="00E24251"/>
    <w:rsid w:val="00E24B2C"/>
    <w:rsid w:val="00E24D22"/>
    <w:rsid w:val="00E25581"/>
    <w:rsid w:val="00E26A6E"/>
    <w:rsid w:val="00E27421"/>
    <w:rsid w:val="00E27B51"/>
    <w:rsid w:val="00E31DEE"/>
    <w:rsid w:val="00E36DA5"/>
    <w:rsid w:val="00E37977"/>
    <w:rsid w:val="00E40E6A"/>
    <w:rsid w:val="00E41243"/>
    <w:rsid w:val="00E5302A"/>
    <w:rsid w:val="00E53D51"/>
    <w:rsid w:val="00E568AC"/>
    <w:rsid w:val="00E651E9"/>
    <w:rsid w:val="00E65AF3"/>
    <w:rsid w:val="00E66ACD"/>
    <w:rsid w:val="00E67478"/>
    <w:rsid w:val="00E6747B"/>
    <w:rsid w:val="00E7096A"/>
    <w:rsid w:val="00E70C38"/>
    <w:rsid w:val="00E76499"/>
    <w:rsid w:val="00E76A97"/>
    <w:rsid w:val="00E808D1"/>
    <w:rsid w:val="00E81F61"/>
    <w:rsid w:val="00E820A0"/>
    <w:rsid w:val="00E828B3"/>
    <w:rsid w:val="00E84D33"/>
    <w:rsid w:val="00E85141"/>
    <w:rsid w:val="00EA0B82"/>
    <w:rsid w:val="00EA12D1"/>
    <w:rsid w:val="00EA210A"/>
    <w:rsid w:val="00EA2719"/>
    <w:rsid w:val="00EA4AF3"/>
    <w:rsid w:val="00EA4C73"/>
    <w:rsid w:val="00EA6050"/>
    <w:rsid w:val="00EB03ED"/>
    <w:rsid w:val="00EB070C"/>
    <w:rsid w:val="00EB103B"/>
    <w:rsid w:val="00EB1EFA"/>
    <w:rsid w:val="00EB234D"/>
    <w:rsid w:val="00EB259E"/>
    <w:rsid w:val="00EB35F1"/>
    <w:rsid w:val="00EB52E1"/>
    <w:rsid w:val="00EB6102"/>
    <w:rsid w:val="00EB647A"/>
    <w:rsid w:val="00EC030B"/>
    <w:rsid w:val="00EC1011"/>
    <w:rsid w:val="00EC12F7"/>
    <w:rsid w:val="00EC765D"/>
    <w:rsid w:val="00ED0678"/>
    <w:rsid w:val="00ED08E1"/>
    <w:rsid w:val="00ED1FB4"/>
    <w:rsid w:val="00ED4DE3"/>
    <w:rsid w:val="00ED5568"/>
    <w:rsid w:val="00ED6FCA"/>
    <w:rsid w:val="00EE7BC0"/>
    <w:rsid w:val="00EE7D9B"/>
    <w:rsid w:val="00EF13FA"/>
    <w:rsid w:val="00EF5CAC"/>
    <w:rsid w:val="00EF7397"/>
    <w:rsid w:val="00F0199F"/>
    <w:rsid w:val="00F01D21"/>
    <w:rsid w:val="00F02949"/>
    <w:rsid w:val="00F02E9B"/>
    <w:rsid w:val="00F04C96"/>
    <w:rsid w:val="00F068D8"/>
    <w:rsid w:val="00F10E20"/>
    <w:rsid w:val="00F2138E"/>
    <w:rsid w:val="00F245F7"/>
    <w:rsid w:val="00F335E3"/>
    <w:rsid w:val="00F34C9F"/>
    <w:rsid w:val="00F41819"/>
    <w:rsid w:val="00F436DD"/>
    <w:rsid w:val="00F53108"/>
    <w:rsid w:val="00F53456"/>
    <w:rsid w:val="00F560C3"/>
    <w:rsid w:val="00F56E91"/>
    <w:rsid w:val="00F609EB"/>
    <w:rsid w:val="00F61F0A"/>
    <w:rsid w:val="00F626DC"/>
    <w:rsid w:val="00F62DC5"/>
    <w:rsid w:val="00F643D3"/>
    <w:rsid w:val="00F65604"/>
    <w:rsid w:val="00F6659D"/>
    <w:rsid w:val="00F6690B"/>
    <w:rsid w:val="00F72225"/>
    <w:rsid w:val="00F72CA1"/>
    <w:rsid w:val="00F72E0E"/>
    <w:rsid w:val="00F7424A"/>
    <w:rsid w:val="00F75013"/>
    <w:rsid w:val="00F7559C"/>
    <w:rsid w:val="00F8212F"/>
    <w:rsid w:val="00F830D1"/>
    <w:rsid w:val="00F8326D"/>
    <w:rsid w:val="00F85C5E"/>
    <w:rsid w:val="00F873DF"/>
    <w:rsid w:val="00F90F0E"/>
    <w:rsid w:val="00F93581"/>
    <w:rsid w:val="00F947ED"/>
    <w:rsid w:val="00F95669"/>
    <w:rsid w:val="00FA147C"/>
    <w:rsid w:val="00FA4074"/>
    <w:rsid w:val="00FA6418"/>
    <w:rsid w:val="00FA6814"/>
    <w:rsid w:val="00FA7EC0"/>
    <w:rsid w:val="00FB04C3"/>
    <w:rsid w:val="00FB310A"/>
    <w:rsid w:val="00FB4291"/>
    <w:rsid w:val="00FC2243"/>
    <w:rsid w:val="00FD2B86"/>
    <w:rsid w:val="00FE148C"/>
    <w:rsid w:val="00FE3064"/>
    <w:rsid w:val="00FE5FAE"/>
    <w:rsid w:val="00FE69C7"/>
    <w:rsid w:val="00FF0665"/>
    <w:rsid w:val="00FF74E3"/>
    <w:rsid w:val="00FF76B3"/>
    <w:rsid w:val="00FF76E1"/>
    <w:rsid w:val="03107A90"/>
    <w:rsid w:val="03940DD2"/>
    <w:rsid w:val="04C17FF8"/>
    <w:rsid w:val="06C7F668"/>
    <w:rsid w:val="06FC5F83"/>
    <w:rsid w:val="080D5AD1"/>
    <w:rsid w:val="08C2D1E7"/>
    <w:rsid w:val="09B362A6"/>
    <w:rsid w:val="0BA08205"/>
    <w:rsid w:val="0CE25ACF"/>
    <w:rsid w:val="0E128884"/>
    <w:rsid w:val="0F06D987"/>
    <w:rsid w:val="0F147B24"/>
    <w:rsid w:val="1094221C"/>
    <w:rsid w:val="11D4954F"/>
    <w:rsid w:val="187C8825"/>
    <w:rsid w:val="19D1EC44"/>
    <w:rsid w:val="1C30D67C"/>
    <w:rsid w:val="1CCFC46D"/>
    <w:rsid w:val="1E4A14D7"/>
    <w:rsid w:val="1E924DB6"/>
    <w:rsid w:val="21830F7C"/>
    <w:rsid w:val="225329B3"/>
    <w:rsid w:val="228BD31A"/>
    <w:rsid w:val="230A7095"/>
    <w:rsid w:val="2427A37B"/>
    <w:rsid w:val="2433EBB2"/>
    <w:rsid w:val="24F0C6CC"/>
    <w:rsid w:val="28188DB2"/>
    <w:rsid w:val="29C02C7F"/>
    <w:rsid w:val="2A66CAB4"/>
    <w:rsid w:val="2C8CDAEE"/>
    <w:rsid w:val="2DCE85C1"/>
    <w:rsid w:val="2E5AA244"/>
    <w:rsid w:val="2F30A6AD"/>
    <w:rsid w:val="305062E5"/>
    <w:rsid w:val="31E6A578"/>
    <w:rsid w:val="31F07E98"/>
    <w:rsid w:val="33F7D2E7"/>
    <w:rsid w:val="383E434E"/>
    <w:rsid w:val="3AB4F64F"/>
    <w:rsid w:val="3AF6033F"/>
    <w:rsid w:val="3CF47AA8"/>
    <w:rsid w:val="3FC6A646"/>
    <w:rsid w:val="40461A59"/>
    <w:rsid w:val="407C2A65"/>
    <w:rsid w:val="42CF5983"/>
    <w:rsid w:val="42EAA7D6"/>
    <w:rsid w:val="44425E68"/>
    <w:rsid w:val="4582CD71"/>
    <w:rsid w:val="45E2ACFF"/>
    <w:rsid w:val="48DB7EA9"/>
    <w:rsid w:val="497F1F8C"/>
    <w:rsid w:val="4A6E29BD"/>
    <w:rsid w:val="4BC542F3"/>
    <w:rsid w:val="554C96F5"/>
    <w:rsid w:val="56B05324"/>
    <w:rsid w:val="59139326"/>
    <w:rsid w:val="5D736E65"/>
    <w:rsid w:val="5FF56CE6"/>
    <w:rsid w:val="6595ACBA"/>
    <w:rsid w:val="66903A66"/>
    <w:rsid w:val="69B7272B"/>
    <w:rsid w:val="6B4419CC"/>
    <w:rsid w:val="6BBA6ACF"/>
    <w:rsid w:val="71D80126"/>
    <w:rsid w:val="7254998A"/>
    <w:rsid w:val="72C30FB3"/>
    <w:rsid w:val="75B8215F"/>
    <w:rsid w:val="774E1517"/>
    <w:rsid w:val="77ADE5DC"/>
    <w:rsid w:val="78C1927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E42C5"/>
  <w15:docId w15:val="{7E7C9887-4FC5-49BC-BFBE-06C75BB1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Calibri"/>
      <w:sz w:val="24"/>
      <w:szCs w:val="24"/>
      <w:lang w:eastAsia="en-US"/>
    </w:rPr>
  </w:style>
  <w:style w:type="paragraph" w:styleId="Ttulo1">
    <w:name w:val="heading 1"/>
    <w:basedOn w:val="Normal"/>
    <w:next w:val="Normal"/>
    <w:link w:val="Ttulo1Char"/>
    <w:uiPriority w:val="9"/>
    <w:rsid w:val="00BC6747"/>
    <w:pPr>
      <w:keepNext/>
      <w:keepLines/>
      <w:spacing w:before="480" w:after="0"/>
      <w:outlineLvl w:val="0"/>
    </w:pPr>
    <w:rPr>
      <w:rFonts w:ascii="Cambria" w:eastAsia="Times New Roman"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bCs w:val="0"/>
      <w:color w:val="000000"/>
      <w:sz w:val="24"/>
      <w:szCs w:val="24"/>
      <w:u w:color="000000"/>
      <w:bdr w:val="nil"/>
      <w:lang w:val="pt-PT" w:eastAsia="pt-BR"/>
    </w:rPr>
  </w:style>
  <w:style w:type="character" w:customStyle="1" w:styleId="TtulosNumeradosChar">
    <w:name w:val="Títulos Numerados Char"/>
    <w:link w:val="TtulosNumerados"/>
    <w:rsid w:val="00BC6747"/>
    <w:rPr>
      <w:rFonts w:ascii="Times New Roman" w:eastAsia="Times New Roman" w:hAnsi="Times New Roman" w:cs="Times New Roman"/>
      <w:b/>
      <w:bCs w:val="0"/>
      <w:color w:val="000000"/>
      <w:sz w:val="24"/>
      <w:szCs w:val="24"/>
      <w:u w:color="000000"/>
      <w:bdr w:val="nil"/>
      <w:lang w:val="pt-PT" w:eastAsia="pt-BR"/>
    </w:rPr>
  </w:style>
  <w:style w:type="character" w:customStyle="1" w:styleId="Ttulo1Char">
    <w:name w:val="Título 1 Char"/>
    <w:link w:val="Ttulo1"/>
    <w:uiPriority w:val="9"/>
    <w:rsid w:val="00BC6747"/>
    <w:rPr>
      <w:rFonts w:ascii="Cambria" w:eastAsia="Times New Roman" w:hAnsi="Cambria" w:cs="Times New Roman"/>
      <w:b/>
      <w:bCs/>
      <w:color w:val="365F91"/>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link w:val="Rodap"/>
    <w:uiPriority w:val="99"/>
    <w:rsid w:val="004D68A2"/>
    <w:rPr>
      <w:rFonts w:cs="Calibr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link w:val="Textodenotaderodap"/>
    <w:uiPriority w:val="99"/>
    <w:semiHidden/>
    <w:rsid w:val="0081067E"/>
    <w:rPr>
      <w:rFonts w:cs="Calibri"/>
      <w:sz w:val="20"/>
      <w:szCs w:val="20"/>
    </w:rPr>
  </w:style>
  <w:style w:type="character" w:styleId="Refdenotaderodap">
    <w:name w:val="footnote reference"/>
    <w:uiPriority w:val="99"/>
    <w:semiHidden/>
    <w:unhideWhenUsed/>
    <w:rsid w:val="0081067E"/>
    <w:rPr>
      <w:vertAlign w:val="superscript"/>
    </w:rPr>
  </w:style>
  <w:style w:type="paragraph" w:customStyle="1" w:styleId="paragraph">
    <w:name w:val="paragraph"/>
    <w:basedOn w:val="Normal"/>
    <w:rsid w:val="00DF1DDA"/>
    <w:pPr>
      <w:spacing w:before="100" w:beforeAutospacing="1" w:after="100" w:afterAutospacing="1" w:line="240" w:lineRule="auto"/>
      <w:ind w:firstLine="0"/>
      <w:jc w:val="left"/>
    </w:pPr>
    <w:rPr>
      <w:rFonts w:ascii="Times New Roman" w:eastAsia="Times New Roman" w:hAnsi="Times New Roman" w:cs="Times New Roman"/>
      <w:lang w:val="en-US"/>
    </w:rPr>
  </w:style>
  <w:style w:type="character" w:customStyle="1" w:styleId="normaltextrun">
    <w:name w:val="normaltextrun"/>
    <w:basedOn w:val="Fontepargpadro"/>
    <w:rsid w:val="00DF1DDA"/>
  </w:style>
  <w:style w:type="character" w:customStyle="1" w:styleId="eop">
    <w:name w:val="eop"/>
    <w:basedOn w:val="Fontepargpadro"/>
    <w:rsid w:val="00DF1DDA"/>
  </w:style>
  <w:style w:type="character" w:styleId="Nmerodepgina">
    <w:name w:val="page number"/>
    <w:uiPriority w:val="99"/>
    <w:semiHidden/>
    <w:unhideWhenUsed/>
    <w:rsid w:val="005233F3"/>
  </w:style>
  <w:style w:type="character" w:styleId="HiperlinkVisitado">
    <w:name w:val="FollowedHyperlink"/>
    <w:uiPriority w:val="99"/>
    <w:semiHidden/>
    <w:unhideWhenUsed/>
    <w:rsid w:val="005233F3"/>
    <w:rPr>
      <w:color w:val="800080"/>
      <w:u w:val="single"/>
    </w:rPr>
  </w:style>
  <w:style w:type="paragraph" w:customStyle="1" w:styleId="textoalinhadoesquerdaespaamentosimples">
    <w:name w:val="texto_alinhado_esquerda_espaçamento_simples"/>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alinhadodireita">
    <w:name w:val="texto_alinhado_direita"/>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styleId="NormalWeb">
    <w:name w:val="Normal (Web)"/>
    <w:basedOn w:val="Normal"/>
    <w:uiPriority w:val="99"/>
    <w:unhideWhenUsed/>
    <w:qFormat/>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Forte">
    <w:name w:val="Strong"/>
    <w:uiPriority w:val="22"/>
    <w:qFormat/>
    <w:rsid w:val="00A13CDF"/>
    <w:rPr>
      <w:b/>
      <w:bCs/>
    </w:rPr>
  </w:style>
  <w:style w:type="paragraph" w:customStyle="1" w:styleId="textojustificadorecuoprimeiralinha">
    <w:name w:val="texto_justificado_recuo_primeira_linha"/>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justificado">
    <w:name w:val="texto_justificado"/>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fundocinzanegrito">
    <w:name w:val="texto_fundo_cinza_negrito"/>
    <w:basedOn w:val="Normal"/>
    <w:rsid w:val="00A13CD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nfase">
    <w:name w:val="Emphasis"/>
    <w:uiPriority w:val="20"/>
    <w:qFormat/>
    <w:rsid w:val="00A13CDF"/>
    <w:rPr>
      <w:i/>
      <w:iCs/>
    </w:rPr>
  </w:style>
  <w:style w:type="paragraph" w:styleId="Reviso">
    <w:name w:val="Revision"/>
    <w:hidden/>
    <w:uiPriority w:val="99"/>
    <w:semiHidden/>
    <w:rsid w:val="00F85C5E"/>
    <w:rPr>
      <w:rFonts w:cs="Calibri"/>
      <w:sz w:val="24"/>
      <w:szCs w:val="24"/>
      <w:lang w:eastAsia="en-US"/>
    </w:rPr>
  </w:style>
  <w:style w:type="character" w:styleId="Refdecomentrio">
    <w:name w:val="annotation reference"/>
    <w:basedOn w:val="Fontepargpadro"/>
    <w:uiPriority w:val="99"/>
    <w:semiHidden/>
    <w:unhideWhenUsed/>
    <w:rsid w:val="0044460A"/>
    <w:rPr>
      <w:sz w:val="16"/>
      <w:szCs w:val="16"/>
    </w:rPr>
  </w:style>
  <w:style w:type="paragraph" w:styleId="Textodecomentrio">
    <w:name w:val="annotation text"/>
    <w:basedOn w:val="Normal"/>
    <w:link w:val="TextodecomentrioChar"/>
    <w:uiPriority w:val="99"/>
    <w:unhideWhenUsed/>
    <w:rsid w:val="0044460A"/>
    <w:pPr>
      <w:spacing w:line="240" w:lineRule="auto"/>
    </w:pPr>
    <w:rPr>
      <w:sz w:val="20"/>
      <w:szCs w:val="20"/>
    </w:rPr>
  </w:style>
  <w:style w:type="character" w:customStyle="1" w:styleId="TextodecomentrioChar">
    <w:name w:val="Texto de comentário Char"/>
    <w:basedOn w:val="Fontepargpadro"/>
    <w:link w:val="Textodecomentrio"/>
    <w:uiPriority w:val="99"/>
    <w:rsid w:val="0044460A"/>
    <w:rPr>
      <w:rFonts w:cs="Calibri"/>
      <w:lang w:eastAsia="en-US"/>
    </w:rPr>
  </w:style>
  <w:style w:type="paragraph" w:styleId="Assuntodocomentrio">
    <w:name w:val="annotation subject"/>
    <w:basedOn w:val="Textodecomentrio"/>
    <w:next w:val="Textodecomentrio"/>
    <w:link w:val="AssuntodocomentrioChar"/>
    <w:uiPriority w:val="99"/>
    <w:semiHidden/>
    <w:unhideWhenUsed/>
    <w:rsid w:val="0044460A"/>
    <w:rPr>
      <w:b/>
      <w:bCs/>
    </w:rPr>
  </w:style>
  <w:style w:type="character" w:customStyle="1" w:styleId="AssuntodocomentrioChar">
    <w:name w:val="Assunto do comentário Char"/>
    <w:basedOn w:val="TextodecomentrioChar"/>
    <w:link w:val="Assuntodocomentrio"/>
    <w:uiPriority w:val="99"/>
    <w:semiHidden/>
    <w:rsid w:val="0044460A"/>
    <w:rPr>
      <w:rFonts w:cs="Calibri"/>
      <w:b/>
      <w:bCs/>
      <w:lang w:eastAsia="en-US"/>
    </w:rPr>
  </w:style>
  <w:style w:type="paragraph" w:customStyle="1" w:styleId="Normalalteradora">
    <w:name w:val="Normal alteradora"/>
    <w:basedOn w:val="Normal"/>
    <w:link w:val="NormalalteradoraChar"/>
    <w:qFormat/>
    <w:rsid w:val="003C3B20"/>
    <w:rPr>
      <w:rFonts w:asciiTheme="minorHAnsi" w:eastAsia="Times New Roman" w:hAnsiTheme="minorHAnsi" w:cstheme="minorBidi"/>
      <w:lang w:eastAsia="pt-BR"/>
    </w:rPr>
  </w:style>
  <w:style w:type="character" w:customStyle="1" w:styleId="NormalalteradoraChar">
    <w:name w:val="Normal alteradora Char"/>
    <w:basedOn w:val="Fontepargpadro"/>
    <w:link w:val="Normalalteradora"/>
    <w:rsid w:val="003C3B20"/>
    <w:rPr>
      <w:rFonts w:asciiTheme="minorHAnsi" w:eastAsia="Times New Roman" w:hAnsiTheme="minorHAnsi" w:cstheme="minorBidi"/>
      <w:sz w:val="24"/>
      <w:szCs w:val="24"/>
    </w:rPr>
  </w:style>
  <w:style w:type="character" w:customStyle="1" w:styleId="ui-provider">
    <w:name w:val="ui-provider"/>
    <w:basedOn w:val="Fontepargpadro"/>
    <w:rsid w:val="00F56E91"/>
  </w:style>
  <w:style w:type="character" w:customStyle="1" w:styleId="Meno1">
    <w:name w:val="Menção1"/>
    <w:basedOn w:val="Fontepargpadro"/>
    <w:uiPriority w:val="99"/>
    <w:unhideWhenUsed/>
    <w:rPr>
      <w:color w:val="2B579A"/>
      <w:shd w:val="clear" w:color="auto" w:fill="E6E6E6"/>
    </w:rPr>
  </w:style>
  <w:style w:type="paragraph" w:customStyle="1" w:styleId="Default">
    <w:name w:val="Default"/>
    <w:rsid w:val="006E0079"/>
    <w:pPr>
      <w:autoSpaceDE w:val="0"/>
      <w:autoSpaceDN w:val="0"/>
      <w:adjustRightInd w:val="0"/>
    </w:pPr>
    <w:rPr>
      <w:rFonts w:ascii="Times New Roman" w:hAnsi="Times New Roman"/>
      <w:color w:val="000000"/>
      <w:sz w:val="24"/>
      <w:szCs w:val="24"/>
      <w:lang w:eastAsia="en-US"/>
    </w:rPr>
  </w:style>
  <w:style w:type="paragraph" w:styleId="TextosemFormatao">
    <w:name w:val="Plain Text"/>
    <w:basedOn w:val="Normal"/>
    <w:link w:val="TextosemFormataoChar"/>
    <w:uiPriority w:val="99"/>
    <w:unhideWhenUsed/>
    <w:rsid w:val="006E0079"/>
    <w:pPr>
      <w:spacing w:before="0" w:after="0" w:line="240" w:lineRule="auto"/>
      <w:ind w:firstLine="0"/>
      <w:jc w:val="left"/>
    </w:pPr>
    <w:rPr>
      <w:rFonts w:ascii="Times New Roman" w:hAnsi="Times New Roman" w:cs="Times New Roman"/>
      <w:sz w:val="22"/>
      <w:szCs w:val="22"/>
    </w:rPr>
  </w:style>
  <w:style w:type="character" w:customStyle="1" w:styleId="TextosemFormataoChar">
    <w:name w:val="Texto sem Formatação Char"/>
    <w:basedOn w:val="Fontepargpadro"/>
    <w:link w:val="TextosemFormatao"/>
    <w:uiPriority w:val="99"/>
    <w:rsid w:val="006E0079"/>
    <w:rPr>
      <w:rFonts w:ascii="Times New Roman" w:hAnsi="Times New Roman"/>
      <w:sz w:val="22"/>
      <w:szCs w:val="22"/>
      <w:lang w:eastAsia="en-US"/>
    </w:rPr>
  </w:style>
  <w:style w:type="paragraph" w:styleId="PargrafodaLista">
    <w:name w:val="List Paragraph"/>
    <w:basedOn w:val="Normal"/>
    <w:uiPriority w:val="34"/>
    <w:rsid w:val="006E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882">
      <w:bodyDiv w:val="1"/>
      <w:marLeft w:val="0"/>
      <w:marRight w:val="0"/>
      <w:marTop w:val="0"/>
      <w:marBottom w:val="0"/>
      <w:divBdr>
        <w:top w:val="none" w:sz="0" w:space="0" w:color="auto"/>
        <w:left w:val="none" w:sz="0" w:space="0" w:color="auto"/>
        <w:bottom w:val="none" w:sz="0" w:space="0" w:color="auto"/>
        <w:right w:val="none" w:sz="0" w:space="0" w:color="auto"/>
      </w:divBdr>
    </w:div>
    <w:div w:id="661783493">
      <w:bodyDiv w:val="1"/>
      <w:marLeft w:val="0"/>
      <w:marRight w:val="0"/>
      <w:marTop w:val="0"/>
      <w:marBottom w:val="0"/>
      <w:divBdr>
        <w:top w:val="none" w:sz="0" w:space="0" w:color="auto"/>
        <w:left w:val="none" w:sz="0" w:space="0" w:color="auto"/>
        <w:bottom w:val="none" w:sz="0" w:space="0" w:color="auto"/>
        <w:right w:val="none" w:sz="0" w:space="0" w:color="auto"/>
      </w:divBdr>
      <w:divsChild>
        <w:div w:id="326592740">
          <w:marLeft w:val="0"/>
          <w:marRight w:val="0"/>
          <w:marTop w:val="0"/>
          <w:marBottom w:val="0"/>
          <w:divBdr>
            <w:top w:val="none" w:sz="0" w:space="0" w:color="auto"/>
            <w:left w:val="none" w:sz="0" w:space="0" w:color="auto"/>
            <w:bottom w:val="none" w:sz="0" w:space="0" w:color="auto"/>
            <w:right w:val="none" w:sz="0" w:space="0" w:color="auto"/>
          </w:divBdr>
        </w:div>
      </w:divsChild>
    </w:div>
    <w:div w:id="926810405">
      <w:bodyDiv w:val="1"/>
      <w:marLeft w:val="0"/>
      <w:marRight w:val="0"/>
      <w:marTop w:val="0"/>
      <w:marBottom w:val="0"/>
      <w:divBdr>
        <w:top w:val="none" w:sz="0" w:space="0" w:color="auto"/>
        <w:left w:val="none" w:sz="0" w:space="0" w:color="auto"/>
        <w:bottom w:val="none" w:sz="0" w:space="0" w:color="auto"/>
        <w:right w:val="none" w:sz="0" w:space="0" w:color="auto"/>
      </w:divBdr>
    </w:div>
    <w:div w:id="163155120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0104770A094029836727CFCDAF785D"/>
        <w:category>
          <w:name w:val="Geral"/>
          <w:gallery w:val="placeholder"/>
        </w:category>
        <w:types>
          <w:type w:val="bbPlcHdr"/>
        </w:types>
        <w:behaviors>
          <w:behavior w:val="content"/>
        </w:behaviors>
        <w:guid w:val="{4BE5A7CE-5AFE-48F2-942F-1783192CB228}"/>
      </w:docPartPr>
      <w:docPartBody>
        <w:p w:rsidR="00893D95" w:rsidRDefault="00EA6050" w:rsidP="00EA6050">
          <w:pPr>
            <w:pStyle w:val="F30104770A094029836727CFCDAF785D"/>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MS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50"/>
    <w:rsid w:val="000D7E75"/>
    <w:rsid w:val="00275210"/>
    <w:rsid w:val="005C0A6A"/>
    <w:rsid w:val="005F1B92"/>
    <w:rsid w:val="006551E3"/>
    <w:rsid w:val="00893D95"/>
    <w:rsid w:val="00CC521B"/>
    <w:rsid w:val="00E63BE7"/>
    <w:rsid w:val="00EA605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6050"/>
    <w:rPr>
      <w:color w:val="808080"/>
    </w:rPr>
  </w:style>
  <w:style w:type="paragraph" w:customStyle="1" w:styleId="F30104770A094029836727CFCDAF785D">
    <w:name w:val="F30104770A094029836727CFCDAF785D"/>
    <w:rsid w:val="00EA6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7" ma:contentTypeDescription="Create a new document." ma:contentTypeScope="" ma:versionID="13dd09f2efa244360efaffc7b8f69032">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ba99435b1d68dd29116d5792ee4043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SharedWithUsers xmlns="53adeefc-49af-490c-b6df-0a140ad55ab3">
      <UserInfo>
        <DisplayName>Antonio Carlos Berwanger</DisplayName>
        <AccountId>19</AccountId>
        <AccountType/>
      </UserInfo>
    </SharedWithUsers>
  </documentManagement>
</p:properties>
</file>

<file path=customXml/itemProps1.xml><?xml version="1.0" encoding="utf-8"?>
<ds:datastoreItem xmlns:ds="http://schemas.openxmlformats.org/officeDocument/2006/customXml" ds:itemID="{9F927239-CBF1-42DA-8444-57CCA66DC621}">
  <ds:schemaRefs>
    <ds:schemaRef ds:uri="http://schemas.microsoft.com/sharepoint/v3/contenttype/forms"/>
  </ds:schemaRefs>
</ds:datastoreItem>
</file>

<file path=customXml/itemProps2.xml><?xml version="1.0" encoding="utf-8"?>
<ds:datastoreItem xmlns:ds="http://schemas.openxmlformats.org/officeDocument/2006/customXml" ds:itemID="{2C497752-154C-44B4-8604-75D51ABD0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572BD-CA12-4420-8B09-A9AD1EC1D1E3}">
  <ds:schemaRefs>
    <ds:schemaRef ds:uri="http://schemas.openxmlformats.org/officeDocument/2006/bibliography"/>
  </ds:schemaRefs>
</ds:datastoreItem>
</file>

<file path=customXml/itemProps4.xml><?xml version="1.0" encoding="utf-8"?>
<ds:datastoreItem xmlns:ds="http://schemas.openxmlformats.org/officeDocument/2006/customXml" ds:itemID="{3A117876-808E-4CA5-9476-45B0D249DE58}">
  <ds:schemaRefs>
    <ds:schemaRef ds:uri="http://purl.org/dc/terms/"/>
    <ds:schemaRef ds:uri="http://schemas.openxmlformats.org/package/2006/metadata/core-properties"/>
    <ds:schemaRef ds:uri="http://schemas.microsoft.com/office/2006/documentManagement/types"/>
    <ds:schemaRef ds:uri="15cb24ba-756a-4ce4-ac9a-5f0544b55546"/>
    <ds:schemaRef ds:uri="http://purl.org/dc/elements/1.1/"/>
    <ds:schemaRef ds:uri="http://schemas.microsoft.com/office/2006/metadata/properties"/>
    <ds:schemaRef ds:uri="http://schemas.microsoft.com/office/infopath/2007/PartnerControls"/>
    <ds:schemaRef ds:uri="53adeefc-49af-490c-b6df-0a140ad55a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1898</Words>
  <Characters>10251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187, DE 27 DE SETEMBRO DE 2023</vt:lpstr>
    </vt:vector>
  </TitlesOfParts>
  <Manager/>
  <Company>CVM</Company>
  <LinksUpToDate>false</LinksUpToDate>
  <CharactersWithSpaces>12125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 DE 27 DE SETEMBRO DE 2023</dc:title>
  <dc:subject/>
  <dc:creator>CVM</dc:creator>
  <cp:keywords/>
  <dc:description/>
  <cp:lastModifiedBy>Mônica Pinheiro Regis De Brito</cp:lastModifiedBy>
  <cp:revision>3</cp:revision>
  <cp:lastPrinted>2023-09-26T12:57:00Z</cp:lastPrinted>
  <dcterms:created xsi:type="dcterms:W3CDTF">2023-09-28T15:47:00Z</dcterms:created>
  <dcterms:modified xsi:type="dcterms:W3CDTF">2023-09-29T22:16:00Z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