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04ED" w14:textId="480044A1" w:rsidR="00024305" w:rsidRPr="00C1691E" w:rsidRDefault="00024305" w:rsidP="00024305">
      <w:pPr>
        <w:pStyle w:val="TtulodaResoluo"/>
      </w:pPr>
      <w:r w:rsidRPr="00C1691E">
        <w:t xml:space="preserve">Resolução CVM nº </w:t>
      </w:r>
      <w:sdt>
        <w:sdtPr>
          <w:alias w:val="Título"/>
          <w:tag w:val=""/>
          <w:id w:val="253094646"/>
          <w:placeholder>
            <w:docPart w:val="4959B5AE03CA40B29CF3759DEF7D90EB"/>
          </w:placeholder>
          <w:dataBinding w:prefixMappings="xmlns:ns0='http://purl.org/dc/elements/1.1/' xmlns:ns1='http://schemas.openxmlformats.org/package/2006/metadata/core-properties' " w:xpath="/ns1:coreProperties[1]/ns0:title[1]" w:storeItemID="{6C3C8BC8-F283-45AE-878A-BAB7291924A1}"/>
          <w:text/>
        </w:sdtPr>
        <w:sdtEndPr/>
        <w:sdtContent>
          <w:r w:rsidR="006E0BF3">
            <w:t>194, de 17 de NOVEMBRO de 2023</w:t>
          </w:r>
        </w:sdtContent>
      </w:sdt>
    </w:p>
    <w:p w14:paraId="7740A3D1" w14:textId="73F07F0F" w:rsidR="00841BBF" w:rsidRPr="00C82C89" w:rsidRDefault="00237C3B" w:rsidP="00C82C89">
      <w:pPr>
        <w:pStyle w:val="Ementa"/>
      </w:pPr>
      <w:r w:rsidRPr="00237C3B">
        <w:t>Altera a Resolu</w:t>
      </w:r>
      <w:r w:rsidR="00742D2B">
        <w:t>ção</w:t>
      </w:r>
      <w:r w:rsidRPr="00237C3B">
        <w:t xml:space="preserve"> CVM nº </w:t>
      </w:r>
      <w:r w:rsidR="00742D2B">
        <w:t>60,</w:t>
      </w:r>
      <w:r w:rsidRPr="00237C3B">
        <w:t xml:space="preserve"> de </w:t>
      </w:r>
      <w:r w:rsidR="003D228C">
        <w:t>2</w:t>
      </w:r>
      <w:r w:rsidR="00742D2B">
        <w:t>3 de dezembro de 2021</w:t>
      </w:r>
      <w:r w:rsidRPr="00237C3B">
        <w:t>.</w:t>
      </w:r>
    </w:p>
    <w:p w14:paraId="13F357FE" w14:textId="6D4BFD7A" w:rsidR="00742D2B" w:rsidRPr="00556AD9" w:rsidRDefault="00BF561B" w:rsidP="00742D2B">
      <w:pPr>
        <w:rPr>
          <w:lang w:eastAsia="pt-BR"/>
        </w:rPr>
      </w:pPr>
      <w:r>
        <w:t xml:space="preserve">O </w:t>
      </w:r>
      <w:r w:rsidR="00894689" w:rsidRPr="00894689">
        <w:rPr>
          <w:b/>
        </w:rPr>
        <w:t>PRESIDENTE DA COMISSÃO DE VALORES MOBILIÁRIOS – CVM</w:t>
      </w:r>
      <w:r w:rsidR="00894689">
        <w:t xml:space="preserve"> torna público que o Colegiado, em reunião realizada </w:t>
      </w:r>
      <w:r w:rsidR="00B47B96">
        <w:t xml:space="preserve">em </w:t>
      </w:r>
      <w:r w:rsidR="0013340D">
        <w:t>1º</w:t>
      </w:r>
      <w:r w:rsidR="00B47B96">
        <w:t xml:space="preserve"> de </w:t>
      </w:r>
      <w:r w:rsidR="00742D2B">
        <w:t xml:space="preserve">novembro </w:t>
      </w:r>
      <w:r w:rsidR="00B47B96">
        <w:t>de 2023</w:t>
      </w:r>
      <w:r w:rsidR="00894689" w:rsidRPr="00B975FA">
        <w:t xml:space="preserve">, </w:t>
      </w:r>
      <w:r w:rsidR="00742D2B">
        <w:t>tendo em vista o</w:t>
      </w:r>
      <w:r w:rsidR="00894689">
        <w:t xml:space="preserve"> disposto </w:t>
      </w:r>
      <w:r w:rsidR="00742D2B" w:rsidRPr="305D07D4">
        <w:rPr>
          <w:lang w:eastAsia="pt-BR"/>
        </w:rPr>
        <w:t xml:space="preserve">nos </w:t>
      </w:r>
      <w:proofErr w:type="spellStart"/>
      <w:r w:rsidR="00742D2B" w:rsidRPr="305D07D4">
        <w:rPr>
          <w:lang w:eastAsia="pt-BR"/>
        </w:rPr>
        <w:t>arts</w:t>
      </w:r>
      <w:proofErr w:type="spellEnd"/>
      <w:r w:rsidR="00742D2B" w:rsidRPr="305D07D4">
        <w:rPr>
          <w:lang w:eastAsia="pt-BR"/>
        </w:rPr>
        <w:t>. 2º, IX, 8º, I, 19, § 5º, 20, 21 e 22 da Lei nº 6.385, de 7 de dezembro de 1976, na Lei nº 9.514, de 20 de novembro de 1997, na Lei nº 11.076, de 30 de dezembro de 2004,</w:t>
      </w:r>
      <w:r w:rsidR="00742D2B">
        <w:rPr>
          <w:lang w:eastAsia="pt-BR"/>
        </w:rPr>
        <w:t xml:space="preserve"> e na Lei </w:t>
      </w:r>
      <w:r w:rsidR="00761A8A">
        <w:rPr>
          <w:lang w:eastAsia="pt-BR"/>
        </w:rPr>
        <w:t xml:space="preserve">nº </w:t>
      </w:r>
      <w:r w:rsidR="00742D2B">
        <w:rPr>
          <w:lang w:eastAsia="pt-BR"/>
        </w:rPr>
        <w:t>14.430, de 3 de agosto de 2022,</w:t>
      </w:r>
      <w:r w:rsidR="00742D2B" w:rsidRPr="305D07D4">
        <w:rPr>
          <w:lang w:eastAsia="pt-BR"/>
        </w:rPr>
        <w:t xml:space="preserve"> </w:t>
      </w:r>
      <w:r w:rsidR="00742D2B" w:rsidRPr="305D07D4">
        <w:rPr>
          <w:b/>
          <w:bCs/>
          <w:lang w:eastAsia="pt-BR"/>
        </w:rPr>
        <w:t>APROVOU</w:t>
      </w:r>
      <w:r w:rsidR="00742D2B" w:rsidRPr="305D07D4">
        <w:rPr>
          <w:lang w:eastAsia="pt-BR"/>
        </w:rPr>
        <w:t xml:space="preserve"> a seguinte Resolução:</w:t>
      </w:r>
    </w:p>
    <w:p w14:paraId="54F66C5A" w14:textId="0CF0DEB5" w:rsidR="007D21D0" w:rsidRDefault="007D21D0" w:rsidP="007D21D0">
      <w:r w:rsidRPr="006E1797">
        <w:t xml:space="preserve">Art. </w:t>
      </w:r>
      <w:r>
        <w:t>1</w:t>
      </w:r>
      <w:r w:rsidRPr="006E1797">
        <w:t xml:space="preserve">º </w:t>
      </w:r>
      <w:r w:rsidR="00AB2CA1">
        <w:t xml:space="preserve"> </w:t>
      </w:r>
      <w:r w:rsidR="00742D2B">
        <w:t>O preâmbulo da</w:t>
      </w:r>
      <w:r w:rsidRPr="006E1797">
        <w:t xml:space="preserve"> Re</w:t>
      </w:r>
      <w:r>
        <w:t xml:space="preserve">solução </w:t>
      </w:r>
      <w:r w:rsidR="00E142F6">
        <w:t xml:space="preserve">CVM nº </w:t>
      </w:r>
      <w:r w:rsidR="00742D2B">
        <w:t>60</w:t>
      </w:r>
      <w:r>
        <w:t>, de</w:t>
      </w:r>
      <w:r w:rsidR="00E142F6">
        <w:t xml:space="preserve"> 2</w:t>
      </w:r>
      <w:r w:rsidR="00742D2B">
        <w:t>3</w:t>
      </w:r>
      <w:r w:rsidR="00E142F6">
        <w:t xml:space="preserve"> de </w:t>
      </w:r>
      <w:r w:rsidR="00742D2B">
        <w:t>dezembro de 2023</w:t>
      </w:r>
      <w:r>
        <w:t>, passa a vigorar com a seguinte redação:</w:t>
      </w:r>
    </w:p>
    <w:p w14:paraId="2B2C30CA" w14:textId="3CADCBD0" w:rsidR="00742D2B" w:rsidRPr="00556AD9" w:rsidRDefault="00742D2B" w:rsidP="00742D2B">
      <w:pPr>
        <w:pStyle w:val="NormaAlterada"/>
        <w:rPr>
          <w:lang w:eastAsia="pt-BR"/>
        </w:rPr>
      </w:pPr>
      <w:r>
        <w:t xml:space="preserve">“O </w:t>
      </w:r>
      <w:r w:rsidRPr="00894689">
        <w:rPr>
          <w:b/>
        </w:rPr>
        <w:t>PRESIDENTE DA COMISSÃO DE VALORES MOBILIÁRIOS – CVM</w:t>
      </w:r>
      <w:r>
        <w:t xml:space="preserve"> torna público que o Colegiado, em reunião realizada em 4 de novembro de 2021, tendo em vista o disposto </w:t>
      </w:r>
      <w:r w:rsidRPr="305D07D4">
        <w:rPr>
          <w:lang w:eastAsia="pt-BR"/>
        </w:rPr>
        <w:t xml:space="preserve">nos </w:t>
      </w:r>
      <w:proofErr w:type="spellStart"/>
      <w:r w:rsidRPr="305D07D4">
        <w:rPr>
          <w:lang w:eastAsia="pt-BR"/>
        </w:rPr>
        <w:t>arts</w:t>
      </w:r>
      <w:proofErr w:type="spellEnd"/>
      <w:r w:rsidRPr="305D07D4">
        <w:rPr>
          <w:lang w:eastAsia="pt-BR"/>
        </w:rPr>
        <w:t>. 2º, IX, 8º, I, 19, § 5º, 20, 21 e 22 da Lei nº 6.385, de 7 de dezembro de 1976, na Lei nº 9.514, de 20 de novembro de 1997, na Lei nº 11.076, de 30 de dezembro de 2004,</w:t>
      </w:r>
      <w:r>
        <w:rPr>
          <w:lang w:eastAsia="pt-BR"/>
        </w:rPr>
        <w:t xml:space="preserve"> e na Lei 14.430, de 3 de agosto de 2022,</w:t>
      </w:r>
      <w:r w:rsidRPr="305D07D4">
        <w:rPr>
          <w:lang w:eastAsia="pt-BR"/>
        </w:rPr>
        <w:t xml:space="preserve"> </w:t>
      </w:r>
      <w:r w:rsidRPr="305D07D4">
        <w:rPr>
          <w:b/>
          <w:bCs/>
          <w:lang w:eastAsia="pt-BR"/>
        </w:rPr>
        <w:t>APROVOU</w:t>
      </w:r>
      <w:r w:rsidRPr="305D07D4">
        <w:rPr>
          <w:lang w:eastAsia="pt-BR"/>
        </w:rPr>
        <w:t xml:space="preserve"> a seguinte Resolução:</w:t>
      </w:r>
      <w:r>
        <w:rPr>
          <w:lang w:eastAsia="pt-BR"/>
        </w:rPr>
        <w:t>” (NR)</w:t>
      </w:r>
    </w:p>
    <w:p w14:paraId="47C1864C" w14:textId="1DC56009" w:rsidR="00742D2B" w:rsidRDefault="00742D2B" w:rsidP="00742D2B">
      <w:r w:rsidRPr="006E1797">
        <w:t xml:space="preserve">Art. </w:t>
      </w:r>
      <w:r>
        <w:t>2</w:t>
      </w:r>
      <w:r w:rsidRPr="006E1797">
        <w:t xml:space="preserve">º </w:t>
      </w:r>
      <w:r>
        <w:t xml:space="preserve"> A</w:t>
      </w:r>
      <w:r w:rsidRPr="006E1797">
        <w:t xml:space="preserve"> Re</w:t>
      </w:r>
      <w:r>
        <w:t>solução CVM nº 60, de 2023, passa a vigorar com a seguinte redação:</w:t>
      </w:r>
    </w:p>
    <w:p w14:paraId="16602064" w14:textId="79AE952D" w:rsidR="0012514F" w:rsidRDefault="0086338B" w:rsidP="00095D44">
      <w:pPr>
        <w:pStyle w:val="NormaAlterada"/>
      </w:pPr>
      <w:r>
        <w:t>“Art.</w:t>
      </w:r>
      <w:r w:rsidR="00ED15F1">
        <w:t xml:space="preserve"> </w:t>
      </w:r>
      <w:r w:rsidR="00742D2B">
        <w:t>2</w:t>
      </w:r>
      <w:r w:rsidR="00ED15F1">
        <w:t>º..............................................................</w:t>
      </w:r>
    </w:p>
    <w:p w14:paraId="07737404" w14:textId="77777777" w:rsidR="0012514F" w:rsidRDefault="0012514F" w:rsidP="00095D44">
      <w:pPr>
        <w:pStyle w:val="NormaAlterada"/>
      </w:pPr>
      <w:r>
        <w:t>..........................................................................</w:t>
      </w:r>
    </w:p>
    <w:p w14:paraId="03BCB3DC" w14:textId="6AF18BF9" w:rsidR="00742D2B" w:rsidRDefault="00742D2B" w:rsidP="00742D2B">
      <w:pPr>
        <w:pStyle w:val="NormaAlterada"/>
        <w:rPr>
          <w:lang w:eastAsia="pt-BR"/>
        </w:rPr>
      </w:pPr>
      <w:r w:rsidRPr="009456B3">
        <w:rPr>
          <w:lang w:eastAsia="pt-BR"/>
        </w:rPr>
        <w:t xml:space="preserve">IV – </w:t>
      </w:r>
      <w:r w:rsidRPr="009456B3">
        <w:t>direitos</w:t>
      </w:r>
      <w:r w:rsidRPr="009456B3">
        <w:rPr>
          <w:lang w:eastAsia="pt-BR"/>
        </w:rPr>
        <w:t xml:space="preserve"> creditórios: direitos</w:t>
      </w:r>
      <w:r w:rsidRPr="0F95C451">
        <w:rPr>
          <w:lang w:eastAsia="pt-BR"/>
        </w:rPr>
        <w:t xml:space="preserve">, </w:t>
      </w:r>
      <w:r w:rsidRPr="009456B3">
        <w:rPr>
          <w:lang w:eastAsia="pt-BR"/>
        </w:rPr>
        <w:t xml:space="preserve">títulos </w:t>
      </w:r>
      <w:r>
        <w:rPr>
          <w:lang w:eastAsia="pt-BR"/>
        </w:rPr>
        <w:t xml:space="preserve">ou </w:t>
      </w:r>
      <w:r w:rsidRPr="00B03577">
        <w:rPr>
          <w:lang w:eastAsia="pt-BR"/>
        </w:rPr>
        <w:t>valores mobiliários</w:t>
      </w:r>
      <w:r w:rsidRPr="009456B3">
        <w:rPr>
          <w:lang w:eastAsia="pt-BR"/>
        </w:rPr>
        <w:t xml:space="preserve"> representativos de crédito, originários de operações realizadas em </w:t>
      </w:r>
      <w:r w:rsidRPr="009456B3">
        <w:t>qualquer</w:t>
      </w:r>
      <w:r w:rsidRPr="009456B3">
        <w:rPr>
          <w:lang w:eastAsia="pt-BR"/>
        </w:rPr>
        <w:t xml:space="preserve"> segmento econômico;</w:t>
      </w:r>
    </w:p>
    <w:p w14:paraId="1C669842" w14:textId="77777777" w:rsidR="00742D2B" w:rsidRDefault="00742D2B" w:rsidP="00742D2B">
      <w:pPr>
        <w:pStyle w:val="NormaAlterada"/>
      </w:pPr>
      <w:r>
        <w:t>..........................................................................</w:t>
      </w:r>
    </w:p>
    <w:p w14:paraId="5134E9B2" w14:textId="57274412" w:rsidR="00742D2B" w:rsidRPr="009456B3" w:rsidRDefault="00742D2B" w:rsidP="00742D2B">
      <w:pPr>
        <w:pStyle w:val="NormaAlterada"/>
        <w:rPr>
          <w:lang w:eastAsia="pt-BR"/>
        </w:rPr>
      </w:pPr>
      <w:r>
        <w:rPr>
          <w:lang w:eastAsia="pt-BR"/>
        </w:rPr>
        <w:t>IX</w:t>
      </w:r>
      <w:r w:rsidRPr="009456B3">
        <w:rPr>
          <w:lang w:eastAsia="pt-BR"/>
        </w:rPr>
        <w:t xml:space="preserve"> – regime fiduciário: regime instituído sobre </w:t>
      </w:r>
      <w:r w:rsidRPr="00B03577">
        <w:rPr>
          <w:lang w:eastAsia="pt-BR"/>
        </w:rPr>
        <w:t xml:space="preserve">os direitos creditórios e </w:t>
      </w:r>
      <w:r w:rsidRPr="00B03577" w:rsidDel="005F66D4">
        <w:rPr>
          <w:lang w:eastAsia="pt-BR"/>
        </w:rPr>
        <w:t>demais</w:t>
      </w:r>
      <w:r w:rsidRPr="009456B3" w:rsidDel="005F66D4">
        <w:rPr>
          <w:lang w:eastAsia="pt-BR"/>
        </w:rPr>
        <w:t xml:space="preserve"> </w:t>
      </w:r>
      <w:r w:rsidRPr="009456B3">
        <w:rPr>
          <w:lang w:eastAsia="pt-BR"/>
        </w:rPr>
        <w:t xml:space="preserve">bens e direitos </w:t>
      </w:r>
      <w:r w:rsidRPr="00B03577">
        <w:rPr>
          <w:lang w:eastAsia="pt-BR"/>
        </w:rPr>
        <w:t xml:space="preserve">que lastreiam </w:t>
      </w:r>
      <w:r w:rsidRPr="009456B3">
        <w:rPr>
          <w:lang w:eastAsia="pt-BR"/>
        </w:rPr>
        <w:t>a emissão de títulos de securitização, mediante declaração unilateral da companhia securitizadora no instrumento de emissão, de que conste, cumulativamente, as seguintes matérias:</w:t>
      </w:r>
    </w:p>
    <w:p w14:paraId="75F62C06" w14:textId="2756C134" w:rsidR="00742D2B" w:rsidRPr="009456B3" w:rsidRDefault="00742D2B" w:rsidP="00742D2B">
      <w:pPr>
        <w:pStyle w:val="NormaAlterada"/>
        <w:rPr>
          <w:lang w:eastAsia="pt-BR"/>
        </w:rPr>
      </w:pPr>
      <w:r w:rsidRPr="009456B3">
        <w:rPr>
          <w:lang w:eastAsia="pt-BR"/>
        </w:rPr>
        <w:t>a) a afetação d</w:t>
      </w:r>
      <w:r w:rsidRPr="00B03577">
        <w:rPr>
          <w:lang w:eastAsia="pt-BR"/>
        </w:rPr>
        <w:t xml:space="preserve">os direitos creditórios e demais </w:t>
      </w:r>
      <w:r w:rsidRPr="009456B3">
        <w:rPr>
          <w:lang w:eastAsia="pt-BR"/>
        </w:rPr>
        <w:t xml:space="preserve">bens e direitos </w:t>
      </w:r>
      <w:r w:rsidRPr="00B03577">
        <w:rPr>
          <w:lang w:eastAsia="pt-BR"/>
        </w:rPr>
        <w:t>que lastreiam a</w:t>
      </w:r>
      <w:r w:rsidRPr="009456B3">
        <w:rPr>
          <w:lang w:eastAsia="pt-BR"/>
        </w:rPr>
        <w:t xml:space="preserve"> respectiva emissão de títulos de securitização; e</w:t>
      </w:r>
    </w:p>
    <w:p w14:paraId="0003E4A2" w14:textId="67C221B1" w:rsidR="00742D2B" w:rsidRPr="009456B3" w:rsidRDefault="00742D2B" w:rsidP="00742D2B">
      <w:pPr>
        <w:pStyle w:val="NormaAlterada"/>
        <w:rPr>
          <w:lang w:eastAsia="pt-BR"/>
        </w:rPr>
      </w:pPr>
      <w:r w:rsidRPr="009456B3">
        <w:rPr>
          <w:lang w:eastAsia="pt-BR"/>
        </w:rPr>
        <w:t xml:space="preserve">b) a constituição de patrimônio separado, integrado, pelos </w:t>
      </w:r>
      <w:r w:rsidRPr="00B03577">
        <w:rPr>
          <w:lang w:eastAsia="pt-BR"/>
        </w:rPr>
        <w:t>direitos creditórios e demais</w:t>
      </w:r>
      <w:r w:rsidRPr="009456B3">
        <w:rPr>
          <w:lang w:eastAsia="pt-BR"/>
        </w:rPr>
        <w:t xml:space="preserve"> bens e direitos que lastreiam </w:t>
      </w:r>
      <w:r>
        <w:rPr>
          <w:lang w:eastAsia="pt-BR"/>
        </w:rPr>
        <w:t xml:space="preserve">a </w:t>
      </w:r>
      <w:r w:rsidRPr="009456B3">
        <w:rPr>
          <w:lang w:eastAsia="pt-BR"/>
        </w:rPr>
        <w:t>emissão dos títulos de securitização e, assim, estão submetidos ao regime fiduciário;</w:t>
      </w:r>
    </w:p>
    <w:p w14:paraId="674E83A5" w14:textId="77777777" w:rsidR="00742D2B" w:rsidRDefault="00742D2B" w:rsidP="00742D2B">
      <w:pPr>
        <w:pStyle w:val="NormaAlterada"/>
      </w:pPr>
      <w:r>
        <w:lastRenderedPageBreak/>
        <w:t>..........................................................................</w:t>
      </w:r>
    </w:p>
    <w:p w14:paraId="46159E68" w14:textId="7378065C" w:rsidR="00742D2B" w:rsidRPr="00556AD9" w:rsidRDefault="00742D2B" w:rsidP="00742D2B">
      <w:pPr>
        <w:pStyle w:val="NormaAlterada"/>
        <w:rPr>
          <w:lang w:eastAsia="pt-BR"/>
        </w:rPr>
      </w:pPr>
      <w:r>
        <w:rPr>
          <w:lang w:eastAsia="pt-BR"/>
        </w:rPr>
        <w:t xml:space="preserve">XI – revolvência: </w:t>
      </w:r>
      <w:r w:rsidRPr="635D46C5">
        <w:rPr>
          <w:lang w:eastAsia="pt-BR"/>
        </w:rPr>
        <w:t>aquisição de novos direitos creditórios com a utilização de recursos originados pelos direitos creditórios e demais bens e direitos que compõem o lastro da emissão</w:t>
      </w:r>
      <w:r>
        <w:rPr>
          <w:lang w:eastAsia="pt-BR"/>
        </w:rPr>
        <w:t>;</w:t>
      </w:r>
    </w:p>
    <w:p w14:paraId="466AE102" w14:textId="77777777" w:rsidR="00742D2B" w:rsidRPr="00556AD9" w:rsidRDefault="00742D2B" w:rsidP="00742D2B">
      <w:pPr>
        <w:pStyle w:val="NormaAlterada"/>
        <w:rPr>
          <w:lang w:eastAsia="pt-BR"/>
        </w:rPr>
      </w:pPr>
      <w:r w:rsidRPr="305D07D4">
        <w:rPr>
          <w:lang w:eastAsia="pt-BR"/>
        </w:rPr>
        <w:t>XI</w:t>
      </w:r>
      <w:r>
        <w:rPr>
          <w:lang w:eastAsia="pt-BR"/>
        </w:rPr>
        <w:t>I</w:t>
      </w:r>
      <w:r w:rsidRPr="305D07D4">
        <w:rPr>
          <w:lang w:eastAsia="pt-BR"/>
        </w:rPr>
        <w:t xml:space="preserve"> – títulos de securitização: valores mobiliários emitidos por companhias securitizadoras no âmbito de operações de securitização; e</w:t>
      </w:r>
    </w:p>
    <w:p w14:paraId="39A55D09" w14:textId="52BAC1BD" w:rsidR="00742D2B" w:rsidRDefault="00742D2B" w:rsidP="00742D2B">
      <w:pPr>
        <w:pStyle w:val="NormaAlterada"/>
        <w:rPr>
          <w:lang w:eastAsia="pt-BR"/>
        </w:rPr>
      </w:pPr>
      <w:r w:rsidRPr="305D07D4">
        <w:rPr>
          <w:lang w:eastAsia="pt-BR"/>
        </w:rPr>
        <w:t>XII</w:t>
      </w:r>
      <w:r>
        <w:rPr>
          <w:lang w:eastAsia="pt-BR"/>
        </w:rPr>
        <w:t>I</w:t>
      </w:r>
      <w:r w:rsidRPr="305D07D4">
        <w:rPr>
          <w:lang w:eastAsia="pt-BR"/>
        </w:rPr>
        <w:t xml:space="preserve"> – </w:t>
      </w:r>
      <w:proofErr w:type="spellStart"/>
      <w:r w:rsidRPr="305D07D4">
        <w:rPr>
          <w:b/>
          <w:bCs/>
          <w:lang w:eastAsia="pt-BR"/>
        </w:rPr>
        <w:t>warehousing</w:t>
      </w:r>
      <w:proofErr w:type="spellEnd"/>
      <w:r w:rsidRPr="305D07D4">
        <w:rPr>
          <w:lang w:eastAsia="pt-BR"/>
        </w:rPr>
        <w:t>: aquisição gradual de direitos creditórios por parte relacionada à companhia securitizadora, com o intuito de montar uma carteira que contenha ativos com diferentes relações de risco e retorno, que possam servir de lastro para diferentes operações de securitização.</w:t>
      </w:r>
      <w:r>
        <w:t>”(NR)</w:t>
      </w:r>
    </w:p>
    <w:p w14:paraId="1ECD39F6" w14:textId="7D36290E" w:rsidR="00742D2B" w:rsidRDefault="00742D2B" w:rsidP="00742D2B">
      <w:pPr>
        <w:pStyle w:val="NormaAlterada"/>
      </w:pPr>
      <w:r>
        <w:rPr>
          <w:lang w:eastAsia="pt-BR"/>
        </w:rPr>
        <w:t xml:space="preserve">“Art. 13.  </w:t>
      </w:r>
      <w:r>
        <w:t>............................................................</w:t>
      </w:r>
    </w:p>
    <w:p w14:paraId="423551C2" w14:textId="21D1FFCA" w:rsidR="00742D2B" w:rsidRDefault="00742D2B" w:rsidP="00742D2B">
      <w:pPr>
        <w:pStyle w:val="NormaAlterada"/>
      </w:pPr>
      <w:r>
        <w:t>...........................................................................</w:t>
      </w:r>
    </w:p>
    <w:p w14:paraId="4D2BB0FE" w14:textId="168940BA" w:rsidR="00742D2B" w:rsidRPr="00556AD9" w:rsidRDefault="00742D2B" w:rsidP="00742D2B">
      <w:pPr>
        <w:pStyle w:val="NormaAlterada"/>
        <w:rPr>
          <w:lang w:eastAsia="pt-BR"/>
        </w:rPr>
      </w:pPr>
      <w:r w:rsidRPr="4CB64091">
        <w:rPr>
          <w:lang w:eastAsia="pt-BR"/>
        </w:rPr>
        <w:t xml:space="preserve">§ 4º  O cancelamento de registro da companhia securitizadora equipara-se a sua insolvência para fins de aplicação dos procedimentos dispostos no art. </w:t>
      </w:r>
      <w:r>
        <w:rPr>
          <w:lang w:eastAsia="pt-BR"/>
        </w:rPr>
        <w:t>31 da Lei nº 14.430, de 2022</w:t>
      </w:r>
      <w:r w:rsidRPr="4CB64091">
        <w:rPr>
          <w:lang w:eastAsia="pt-BR"/>
        </w:rPr>
        <w:t>.</w:t>
      </w:r>
      <w:r>
        <w:rPr>
          <w:lang w:eastAsia="pt-BR"/>
        </w:rPr>
        <w:t>”(NR)</w:t>
      </w:r>
    </w:p>
    <w:p w14:paraId="72986EE6" w14:textId="74E908C2" w:rsidR="00742D2B" w:rsidRDefault="00742D2B" w:rsidP="00742D2B">
      <w:pPr>
        <w:pStyle w:val="NormaAlterada"/>
      </w:pPr>
      <w:r>
        <w:rPr>
          <w:lang w:eastAsia="pt-BR"/>
        </w:rPr>
        <w:t xml:space="preserve">“Art. 17.  </w:t>
      </w:r>
      <w:r>
        <w:t>...........................................................</w:t>
      </w:r>
    </w:p>
    <w:p w14:paraId="1A56AD0B" w14:textId="77777777" w:rsidR="00742D2B" w:rsidRDefault="00742D2B" w:rsidP="00742D2B">
      <w:pPr>
        <w:pStyle w:val="NormaAlterada"/>
      </w:pPr>
      <w:r>
        <w:t>..........................................................................</w:t>
      </w:r>
    </w:p>
    <w:p w14:paraId="365ADAC0" w14:textId="77777777" w:rsidR="00742D2B" w:rsidRPr="00556AD9" w:rsidRDefault="00742D2B" w:rsidP="00742D2B">
      <w:pPr>
        <w:pStyle w:val="NormaAlterada"/>
        <w:rPr>
          <w:lang w:eastAsia="pt-BR"/>
        </w:rPr>
      </w:pPr>
      <w:r w:rsidRPr="00361D85">
        <w:rPr>
          <w:lang w:eastAsia="pt-BR"/>
        </w:rPr>
        <w:t>VIII –</w:t>
      </w:r>
      <w:r>
        <w:rPr>
          <w:lang w:eastAsia="pt-BR"/>
        </w:rPr>
        <w:t xml:space="preserve"> </w:t>
      </w:r>
      <w:r w:rsidRPr="00361D85">
        <w:rPr>
          <w:lang w:eastAsia="pt-BR"/>
        </w:rPr>
        <w:t xml:space="preserve">zelar pela existência e </w:t>
      </w:r>
      <w:r>
        <w:rPr>
          <w:lang w:eastAsia="pt-BR"/>
        </w:rPr>
        <w:t>i</w:t>
      </w:r>
      <w:r w:rsidRPr="00361D85">
        <w:rPr>
          <w:lang w:eastAsia="pt-BR"/>
        </w:rPr>
        <w:t>ntegridade dos ativos e instrumentos que compõem o patrimônio separado, inclusive quando custodiados, depositad</w:t>
      </w:r>
      <w:r>
        <w:rPr>
          <w:lang w:eastAsia="pt-BR"/>
        </w:rPr>
        <w:t>os ou registrados em terceiros;</w:t>
      </w:r>
    </w:p>
    <w:p w14:paraId="5686B557" w14:textId="77777777" w:rsidR="00742D2B" w:rsidRDefault="00742D2B" w:rsidP="00742D2B">
      <w:pPr>
        <w:pStyle w:val="NormaAlterada"/>
        <w:rPr>
          <w:lang w:eastAsia="pt-BR"/>
        </w:rPr>
      </w:pPr>
      <w:r w:rsidRPr="00361D85">
        <w:rPr>
          <w:lang w:eastAsia="pt-BR"/>
        </w:rPr>
        <w:t>IX – quando da aquisição dos direitos creditórios que servirão de lastro à operação de securitização, verificar se o montante atribuído a algum devedor representa parcela igual ou superior a 20% (vinte por cento) do valor total do lastro e, caso positivo, diligenciar p</w:t>
      </w:r>
      <w:r>
        <w:rPr>
          <w:lang w:eastAsia="pt-BR"/>
        </w:rPr>
        <w:t>ara aferir sua situação fiscal; e</w:t>
      </w:r>
    </w:p>
    <w:p w14:paraId="08E7BEAC" w14:textId="0CBD1E60" w:rsidR="00742D2B" w:rsidRPr="00556AD9" w:rsidRDefault="00742D2B" w:rsidP="00742D2B">
      <w:pPr>
        <w:pStyle w:val="NormaAlterada"/>
        <w:rPr>
          <w:lang w:eastAsia="pt-BR"/>
        </w:rPr>
      </w:pPr>
      <w:r>
        <w:rPr>
          <w:lang w:eastAsia="pt-BR"/>
        </w:rPr>
        <w:t>X – zelar para que o</w:t>
      </w:r>
      <w:r>
        <w:t>s direitos creditórios que lastrearão os títulos de securitização sejam identificados, atendam aos critérios de elegibilidade previstos no termo de securitização e sejam adquiridos pela companhia securitizadora até a data de integralização dos títulos de securitização.”(NR)</w:t>
      </w:r>
    </w:p>
    <w:p w14:paraId="6316D068" w14:textId="46417B06" w:rsidR="00742D2B" w:rsidRDefault="00742D2B" w:rsidP="00742D2B">
      <w:pPr>
        <w:pStyle w:val="NormaAlterada"/>
      </w:pPr>
      <w:r>
        <w:rPr>
          <w:lang w:eastAsia="pt-BR"/>
        </w:rPr>
        <w:t xml:space="preserve">“Art. 25.  </w:t>
      </w:r>
      <w:r>
        <w:t>...........................................................</w:t>
      </w:r>
    </w:p>
    <w:p w14:paraId="7D461499" w14:textId="77777777" w:rsidR="00742D2B" w:rsidRDefault="00742D2B" w:rsidP="00742D2B">
      <w:pPr>
        <w:pStyle w:val="NormaAlterada"/>
      </w:pPr>
      <w:r>
        <w:t>..........................................................................</w:t>
      </w:r>
    </w:p>
    <w:p w14:paraId="2502262F" w14:textId="56BDF9E1" w:rsidR="00742D2B" w:rsidRPr="009456B3" w:rsidRDefault="00742D2B" w:rsidP="00742D2B">
      <w:pPr>
        <w:pStyle w:val="NormaAlterada"/>
      </w:pPr>
      <w:r w:rsidRPr="009456B3">
        <w:t xml:space="preserve">IV – qualquer deliberação pertinente à administração ou liquidação do patrimônio separado, nos casos de insuficiência de </w:t>
      </w:r>
      <w:r w:rsidRPr="00B03577">
        <w:t xml:space="preserve">ativos </w:t>
      </w:r>
      <w:r w:rsidRPr="009456B3">
        <w:t xml:space="preserve">para </w:t>
      </w:r>
      <w:r w:rsidRPr="007F3282">
        <w:t>liquidar</w:t>
      </w:r>
      <w:r w:rsidRPr="009456B3">
        <w:t xml:space="preserve"> a emissão ou de decretação de falência ou recuperação judicial ou extrajudicial da companhia securitizadora, podendo deliberar inclusive:</w:t>
      </w:r>
    </w:p>
    <w:p w14:paraId="6DF4133A" w14:textId="77777777" w:rsidR="00742D2B" w:rsidRDefault="00742D2B" w:rsidP="00742D2B">
      <w:pPr>
        <w:pStyle w:val="NormaAlterada"/>
      </w:pPr>
      <w:r>
        <w:lastRenderedPageBreak/>
        <w:t>..........................................................................</w:t>
      </w:r>
    </w:p>
    <w:p w14:paraId="610E6E90" w14:textId="5918990F" w:rsidR="00742D2B" w:rsidRPr="00742D2B" w:rsidRDefault="00742D2B" w:rsidP="00742D2B">
      <w:pPr>
        <w:pStyle w:val="NormaAlterada"/>
      </w:pPr>
      <w:r w:rsidRPr="00742D2B">
        <w:t xml:space="preserve">b) a dação de ativos em pagamento aos investidores </w:t>
      </w:r>
      <w:r w:rsidRPr="007F3282">
        <w:t>dos</w:t>
      </w:r>
      <w:r w:rsidRPr="00742D2B">
        <w:t xml:space="preserve"> valores integrantes do patrimônio separado;</w:t>
      </w:r>
    </w:p>
    <w:p w14:paraId="5FC48B93" w14:textId="77777777" w:rsidR="00742D2B" w:rsidRDefault="00742D2B" w:rsidP="00742D2B">
      <w:pPr>
        <w:pStyle w:val="NormaAlterada"/>
      </w:pPr>
      <w:r>
        <w:t>..........................................................................</w:t>
      </w:r>
    </w:p>
    <w:p w14:paraId="239ED78E" w14:textId="7F9EDF1C" w:rsidR="00742D2B" w:rsidRDefault="00742D2B" w:rsidP="00742D2B">
      <w:pPr>
        <w:pStyle w:val="NormaAlterada"/>
        <w:rPr>
          <w:lang w:eastAsia="pt-BR"/>
        </w:rPr>
      </w:pPr>
      <w:r>
        <w:rPr>
          <w:lang w:eastAsia="pt-BR"/>
        </w:rPr>
        <w:t>§ 3º  ..................................................................</w:t>
      </w:r>
    </w:p>
    <w:p w14:paraId="28BC967D" w14:textId="77777777" w:rsidR="00742D2B" w:rsidRDefault="00742D2B" w:rsidP="00742D2B">
      <w:pPr>
        <w:pStyle w:val="NormaAlterada"/>
      </w:pPr>
      <w:r>
        <w:t>..........................................................................</w:t>
      </w:r>
    </w:p>
    <w:p w14:paraId="1AEC1D5C" w14:textId="1955D274" w:rsidR="00742D2B" w:rsidRPr="00556AD9" w:rsidRDefault="00742D2B" w:rsidP="00742D2B">
      <w:pPr>
        <w:rPr>
          <w:lang w:eastAsia="pt-BR"/>
        </w:rPr>
      </w:pPr>
      <w:r>
        <w:rPr>
          <w:lang w:eastAsia="pt-BR"/>
        </w:rPr>
        <w:t>III</w:t>
      </w:r>
      <w:r w:rsidRPr="00556AD9">
        <w:rPr>
          <w:lang w:eastAsia="pt-BR"/>
        </w:rPr>
        <w:t xml:space="preserve"> – decorrer da revolvência de direitos creditórios;</w:t>
      </w:r>
    </w:p>
    <w:p w14:paraId="6C1F5114" w14:textId="4009E1EA" w:rsidR="00742D2B" w:rsidRPr="00271FEB" w:rsidRDefault="00742D2B" w:rsidP="00742D2B">
      <w:pPr>
        <w:pStyle w:val="NormaAlterada"/>
      </w:pPr>
      <w:r w:rsidRPr="00271FEB">
        <w:t>..........................................................................</w:t>
      </w:r>
      <w:r>
        <w:t>.</w:t>
      </w:r>
      <w:r w:rsidRPr="00271FEB">
        <w:t>” (NR)</w:t>
      </w:r>
    </w:p>
    <w:p w14:paraId="3ECCCFE6" w14:textId="77777777" w:rsidR="00742D2B" w:rsidRDefault="00742D2B" w:rsidP="00742D2B">
      <w:pPr>
        <w:pStyle w:val="NormaAlterada"/>
        <w:rPr>
          <w:lang w:eastAsia="pt-BR"/>
        </w:rPr>
      </w:pPr>
      <w:r>
        <w:rPr>
          <w:lang w:eastAsia="pt-BR"/>
        </w:rPr>
        <w:t>“</w:t>
      </w:r>
      <w:r w:rsidRPr="305D07D4">
        <w:rPr>
          <w:lang w:eastAsia="pt-BR"/>
        </w:rPr>
        <w:t xml:space="preserve">Art. 26.  A convocação da assembleia especial de investidores deve ser disponibilizada </w:t>
      </w:r>
      <w:r w:rsidRPr="00675CB6">
        <w:rPr>
          <w:lang w:eastAsia="pt-BR"/>
        </w:rPr>
        <w:t>pela companhia securitizadora</w:t>
      </w:r>
      <w:r w:rsidRPr="305D07D4">
        <w:rPr>
          <w:lang w:eastAsia="pt-BR"/>
        </w:rPr>
        <w:t xml:space="preserve"> na página que contém as informações do patrimônio separado na rede mundial de computadores.</w:t>
      </w:r>
    </w:p>
    <w:p w14:paraId="683E5D06" w14:textId="77777777" w:rsidR="00742D2B" w:rsidRDefault="00742D2B" w:rsidP="00742D2B">
      <w:pPr>
        <w:pStyle w:val="NormaAlterada"/>
        <w:rPr>
          <w:lang w:eastAsia="pt-BR"/>
        </w:rPr>
      </w:pPr>
      <w:r w:rsidRPr="305D07D4">
        <w:rPr>
          <w:lang w:eastAsia="pt-BR"/>
        </w:rPr>
        <w:t>§ 1º  A convocação da assembleia especial de investidores deve ser feita com 20 (vinte) dias de antecedência, no mínimo, da data de sua realização</w:t>
      </w:r>
      <w:r w:rsidRPr="00675CB6">
        <w:rPr>
          <w:lang w:eastAsia="pt-BR"/>
        </w:rPr>
        <w:t>,</w:t>
      </w:r>
      <w:r w:rsidRPr="00C91599">
        <w:rPr>
          <w:lang w:eastAsia="pt-BR"/>
        </w:rPr>
        <w:t xml:space="preserve"> exceto para </w:t>
      </w:r>
      <w:r w:rsidRPr="7809D2B9">
        <w:rPr>
          <w:lang w:eastAsia="pt-BR"/>
        </w:rPr>
        <w:t>deliberações</w:t>
      </w:r>
      <w:r w:rsidRPr="0008250C">
        <w:rPr>
          <w:lang w:eastAsia="pt-BR"/>
        </w:rPr>
        <w:t xml:space="preserve"> relacionadas à i</w:t>
      </w:r>
      <w:r w:rsidRPr="00C91599">
        <w:rPr>
          <w:color w:val="000000" w:themeColor="text1"/>
        </w:rPr>
        <w:t xml:space="preserve">nsuficiência de ativos integrantes do patrimônio separado para a satisfação integral dos </w:t>
      </w:r>
      <w:r>
        <w:t xml:space="preserve">títulos de securitização </w:t>
      </w:r>
      <w:r w:rsidRPr="00C91599">
        <w:rPr>
          <w:color w:val="000000" w:themeColor="text1"/>
        </w:rPr>
        <w:t>correlatos</w:t>
      </w:r>
      <w:r w:rsidRPr="00C91599">
        <w:rPr>
          <w:lang w:eastAsia="pt-BR"/>
        </w:rPr>
        <w:t>, cujo prazo será de 15 (quinze) dias</w:t>
      </w:r>
      <w:r w:rsidRPr="0008250C">
        <w:rPr>
          <w:lang w:eastAsia="pt-BR"/>
        </w:rPr>
        <w:t>.</w:t>
      </w:r>
    </w:p>
    <w:p w14:paraId="4E2CB4EB" w14:textId="287EEE62" w:rsidR="00BD7F5E" w:rsidRDefault="00BD7F5E" w:rsidP="00BD7F5E">
      <w:pPr>
        <w:pStyle w:val="NormaAlterada"/>
      </w:pPr>
      <w:r w:rsidRPr="00675CB6">
        <w:t xml:space="preserve">§ </w:t>
      </w:r>
      <w:r>
        <w:t>1</w:t>
      </w:r>
      <w:r w:rsidRPr="00675CB6">
        <w:t>º</w:t>
      </w:r>
      <w:r>
        <w:t xml:space="preserve">-A </w:t>
      </w:r>
      <w:r w:rsidRPr="00C91599">
        <w:t xml:space="preserve"> </w:t>
      </w:r>
      <w:r>
        <w:t>É</w:t>
      </w:r>
      <w:r w:rsidRPr="00C91599">
        <w:t xml:space="preserve"> admitida a </w:t>
      </w:r>
      <w:r w:rsidR="002730D3">
        <w:t>realização</w:t>
      </w:r>
      <w:r w:rsidRPr="00C91599">
        <w:t xml:space="preserve"> de primeira e segunda convoca</w:t>
      </w:r>
      <w:r w:rsidR="008170D6">
        <w:t>ções</w:t>
      </w:r>
      <w:r w:rsidRPr="00C91599">
        <w:t>, por meio de edital único, no caso de assembleia especial de investidores convocada para deliberar exclusivamente sobre as demonstrações financeiras prevista</w:t>
      </w:r>
      <w:r>
        <w:t>s</w:t>
      </w:r>
      <w:r w:rsidRPr="00C91599">
        <w:t xml:space="preserve"> no inciso I do art</w:t>
      </w:r>
      <w:r>
        <w:t>.</w:t>
      </w:r>
      <w:r w:rsidRPr="00C91599">
        <w:t xml:space="preserve"> 25, de forma que o edital da segunda convocação poderá </w:t>
      </w:r>
      <w:r>
        <w:t>ser divulgado</w:t>
      </w:r>
      <w:r w:rsidRPr="00C91599">
        <w:t xml:space="preserve"> </w:t>
      </w:r>
      <w:r>
        <w:t>simultaneamente ao</w:t>
      </w:r>
      <w:r w:rsidRPr="00C91599">
        <w:t xml:space="preserve"> edital da primeira convocação.</w:t>
      </w:r>
    </w:p>
    <w:p w14:paraId="24256A6C" w14:textId="77777777" w:rsidR="00BD7F5E" w:rsidRDefault="00BD7F5E" w:rsidP="00BD7F5E">
      <w:pPr>
        <w:pStyle w:val="NormaAlterada"/>
      </w:pPr>
      <w:r>
        <w:t>..........................................................................”(NR)</w:t>
      </w:r>
    </w:p>
    <w:p w14:paraId="5EFD5472" w14:textId="77777777" w:rsidR="00742D2B" w:rsidRPr="00675CB6" w:rsidRDefault="00742D2B" w:rsidP="00742D2B">
      <w:pPr>
        <w:pStyle w:val="NormaAlterada"/>
        <w:rPr>
          <w:lang w:eastAsia="pt-BR"/>
        </w:rPr>
      </w:pPr>
      <w:r>
        <w:t>“</w:t>
      </w:r>
      <w:r w:rsidRPr="009958F2">
        <w:rPr>
          <w:lang w:eastAsia="pt-BR"/>
        </w:rPr>
        <w:t xml:space="preserve">Art. 28.  A assembleia especial de investidores se instala com a presença de qualquer número de investidores, exceto </w:t>
      </w:r>
      <w:r w:rsidRPr="00675CB6">
        <w:rPr>
          <w:lang w:eastAsia="pt-BR"/>
        </w:rPr>
        <w:t xml:space="preserve">nos casos de </w:t>
      </w:r>
      <w:r w:rsidRPr="009958F2">
        <w:rPr>
          <w:lang w:eastAsia="pt-BR"/>
        </w:rPr>
        <w:t>deliberações relacionadas à i</w:t>
      </w:r>
      <w:r w:rsidRPr="009958F2">
        <w:rPr>
          <w:color w:val="000000"/>
        </w:rPr>
        <w:t>nsuficiência de ativos integrantes do patrimônio separado</w:t>
      </w:r>
      <w:r w:rsidRPr="00675CB6">
        <w:rPr>
          <w:color w:val="000000"/>
        </w:rPr>
        <w:t xml:space="preserve"> </w:t>
      </w:r>
      <w:r w:rsidRPr="009958F2">
        <w:rPr>
          <w:color w:val="000000"/>
        </w:rPr>
        <w:t xml:space="preserve">para a satisfação </w:t>
      </w:r>
      <w:r w:rsidRPr="00742D2B">
        <w:rPr>
          <w:lang w:eastAsia="pt-BR"/>
        </w:rPr>
        <w:t>integral</w:t>
      </w:r>
      <w:r w:rsidRPr="009958F2">
        <w:rPr>
          <w:color w:val="000000"/>
        </w:rPr>
        <w:t xml:space="preserve"> dos </w:t>
      </w:r>
      <w:r>
        <w:t xml:space="preserve">títulos de securitização </w:t>
      </w:r>
      <w:r w:rsidRPr="009958F2">
        <w:rPr>
          <w:color w:val="000000"/>
        </w:rPr>
        <w:t>correlatos, que deve ser instalada em primeira convocação</w:t>
      </w:r>
      <w:r w:rsidRPr="00675CB6">
        <w:rPr>
          <w:color w:val="000000"/>
        </w:rPr>
        <w:t xml:space="preserve"> com a presença de titulares de </w:t>
      </w:r>
      <w:r>
        <w:t>títulos de securitização</w:t>
      </w:r>
      <w:r w:rsidRPr="00675CB6">
        <w:rPr>
          <w:color w:val="000000"/>
        </w:rPr>
        <w:t xml:space="preserve"> que representem, no mínimo, 2/3 (dois terços) do valor global dos títulos</w:t>
      </w:r>
      <w:r w:rsidRPr="009958F2">
        <w:rPr>
          <w:lang w:eastAsia="pt-BR"/>
        </w:rPr>
        <w:t>.</w:t>
      </w:r>
    </w:p>
    <w:p w14:paraId="35CE7446" w14:textId="77777777" w:rsidR="00742D2B" w:rsidRDefault="00742D2B" w:rsidP="00742D2B">
      <w:pPr>
        <w:pStyle w:val="NormaAlterada"/>
      </w:pPr>
      <w:r w:rsidRPr="00271FEB">
        <w:t>..........................................................................</w:t>
      </w:r>
      <w:r>
        <w:t>.</w:t>
      </w:r>
      <w:r w:rsidRPr="00271FEB">
        <w:t>”(NR)</w:t>
      </w:r>
    </w:p>
    <w:p w14:paraId="476AF533" w14:textId="55721EEA" w:rsidR="00742D2B" w:rsidRPr="009456B3" w:rsidRDefault="00742D2B" w:rsidP="00742D2B">
      <w:pPr>
        <w:pStyle w:val="NormaAlterada"/>
        <w:rPr>
          <w:lang w:eastAsia="pt-BR"/>
        </w:rPr>
      </w:pPr>
      <w:r>
        <w:rPr>
          <w:lang w:eastAsia="pt-BR"/>
        </w:rPr>
        <w:t>“</w:t>
      </w:r>
      <w:r w:rsidRPr="009456B3">
        <w:rPr>
          <w:lang w:eastAsia="pt-BR"/>
        </w:rPr>
        <w:t xml:space="preserve">Art. 30.  As deliberações da assembleia especial de investidores são tomadas por maioria de votos dos presentes, sem prejuízo do disposto no § 3º </w:t>
      </w:r>
      <w:r w:rsidRPr="00B03577">
        <w:rPr>
          <w:lang w:eastAsia="pt-BR"/>
        </w:rPr>
        <w:t>deste artigo</w:t>
      </w:r>
      <w:r w:rsidRPr="009456B3">
        <w:rPr>
          <w:lang w:eastAsia="pt-BR"/>
        </w:rPr>
        <w:t>.</w:t>
      </w:r>
    </w:p>
    <w:p w14:paraId="1168200B" w14:textId="77777777" w:rsidR="00BD7F5E" w:rsidRDefault="00BD7F5E" w:rsidP="00BD7F5E">
      <w:pPr>
        <w:pStyle w:val="NormaAlterada"/>
      </w:pPr>
      <w:r>
        <w:lastRenderedPageBreak/>
        <w:t>..........................................................................</w:t>
      </w:r>
    </w:p>
    <w:p w14:paraId="62A1FDAB" w14:textId="77777777" w:rsidR="00BD7F5E" w:rsidRPr="00675CB6" w:rsidRDefault="00BD7F5E" w:rsidP="00BD7F5E">
      <w:pPr>
        <w:pStyle w:val="NormaAlterada"/>
        <w:rPr>
          <w:lang w:eastAsia="pt-BR"/>
        </w:rPr>
      </w:pPr>
      <w:r w:rsidRPr="00675CB6">
        <w:rPr>
          <w:lang w:eastAsia="pt-BR"/>
        </w:rPr>
        <w:t>§ 3º-A</w:t>
      </w:r>
      <w:r w:rsidRPr="009958F2">
        <w:rPr>
          <w:lang w:eastAsia="pt-BR"/>
        </w:rPr>
        <w:t xml:space="preserve">  Caso a deliberação da assembleia especial de investidores seja relacionada à </w:t>
      </w:r>
      <w:r w:rsidRPr="00675CB6">
        <w:rPr>
          <w:lang w:eastAsia="pt-BR"/>
        </w:rPr>
        <w:t>i</w:t>
      </w:r>
      <w:r w:rsidRPr="00675CB6">
        <w:rPr>
          <w:color w:val="000000"/>
        </w:rPr>
        <w:t xml:space="preserve">nsuficiência de ativos integrantes do </w:t>
      </w:r>
      <w:r w:rsidRPr="00742D2B">
        <w:t>patrimônio</w:t>
      </w:r>
      <w:r w:rsidRPr="00675CB6">
        <w:rPr>
          <w:color w:val="000000"/>
        </w:rPr>
        <w:t xml:space="preserve"> separado </w:t>
      </w:r>
      <w:r w:rsidRPr="009958F2">
        <w:rPr>
          <w:color w:val="000000"/>
        </w:rPr>
        <w:t xml:space="preserve">para a satisfação integral dos </w:t>
      </w:r>
      <w:r>
        <w:t xml:space="preserve">títulos de securitização </w:t>
      </w:r>
      <w:r w:rsidRPr="009958F2">
        <w:rPr>
          <w:color w:val="000000"/>
        </w:rPr>
        <w:t xml:space="preserve">correlatos, </w:t>
      </w:r>
      <w:r w:rsidRPr="00675CB6">
        <w:rPr>
          <w:color w:val="000000"/>
        </w:rPr>
        <w:t>serão consideradas válidas as deliberações tomadas pela maioria dos presentes, em primeira ou segunda convocação.</w:t>
      </w:r>
    </w:p>
    <w:p w14:paraId="7B8D6162" w14:textId="77777777" w:rsidR="00BD7F5E" w:rsidRDefault="00BD7F5E" w:rsidP="00BD7F5E">
      <w:pPr>
        <w:pStyle w:val="NormaAlterada"/>
      </w:pPr>
      <w:r>
        <w:t>..........................................................................”(NR)</w:t>
      </w:r>
    </w:p>
    <w:p w14:paraId="13204B3A" w14:textId="77777777" w:rsidR="00B634B1" w:rsidRDefault="00B634B1" w:rsidP="00B634B1">
      <w:pPr>
        <w:pStyle w:val="NormaAlterada"/>
      </w:pPr>
      <w:r>
        <w:t>“Art. 33.  ..........................................................</w:t>
      </w:r>
    </w:p>
    <w:p w14:paraId="58F2B514" w14:textId="77777777" w:rsidR="00B634B1" w:rsidRDefault="00B634B1" w:rsidP="00B634B1">
      <w:pPr>
        <w:pStyle w:val="NormaAlterada"/>
      </w:pPr>
      <w:r>
        <w:t>..........................................................................</w:t>
      </w:r>
    </w:p>
    <w:p w14:paraId="7219A544" w14:textId="77777777" w:rsidR="00B634B1" w:rsidRPr="005C191C" w:rsidRDefault="00B634B1" w:rsidP="00B634B1">
      <w:pPr>
        <w:pStyle w:val="NormaAlterada"/>
      </w:pPr>
      <w:r>
        <w:rPr>
          <w:lang w:eastAsia="pt-BR"/>
        </w:rPr>
        <w:t>§ 10.</w:t>
      </w:r>
      <w:r w:rsidRPr="635D46C5">
        <w:rPr>
          <w:lang w:eastAsia="pt-BR"/>
        </w:rPr>
        <w:t xml:space="preserve">  </w:t>
      </w:r>
      <w:r>
        <w:t xml:space="preserve">Nas ofertas </w:t>
      </w:r>
      <w:r w:rsidRPr="00B634B1">
        <w:rPr>
          <w:color w:val="000000"/>
        </w:rPr>
        <w:t>públicas</w:t>
      </w:r>
      <w:r>
        <w:t xml:space="preserve"> de distribuição destinadas ao público em geral é obrigatório haver ao menos um relatório de agência classificadora de risco atribuído ao título de securitização distribuído.</w:t>
      </w:r>
    </w:p>
    <w:p w14:paraId="2E6AB28C" w14:textId="77777777" w:rsidR="00BD7F5E" w:rsidRDefault="00B634B1" w:rsidP="00B634B1">
      <w:pPr>
        <w:pStyle w:val="NormaAlterada"/>
      </w:pPr>
      <w:r w:rsidRPr="305D07D4">
        <w:rPr>
          <w:lang w:eastAsia="pt-BR"/>
        </w:rPr>
        <w:t xml:space="preserve">§ </w:t>
      </w:r>
      <w:r>
        <w:rPr>
          <w:lang w:eastAsia="pt-BR"/>
        </w:rPr>
        <w:t>11</w:t>
      </w:r>
      <w:r w:rsidRPr="305D07D4">
        <w:rPr>
          <w:lang w:eastAsia="pt-BR"/>
        </w:rPr>
        <w:t xml:space="preserve">.  A classificação de risco </w:t>
      </w:r>
      <w:r w:rsidRPr="00B634B1">
        <w:rPr>
          <w:color w:val="000000"/>
        </w:rPr>
        <w:t>deve</w:t>
      </w:r>
      <w:r w:rsidRPr="305D07D4">
        <w:rPr>
          <w:lang w:eastAsia="pt-BR"/>
        </w:rPr>
        <w:t xml:space="preserve"> ser atualizada, </w:t>
      </w:r>
      <w:r w:rsidRPr="00556AD9">
        <w:t xml:space="preserve">pelo menos, a cada período de 12 (doze) meses ou </w:t>
      </w:r>
      <w:r w:rsidRPr="00675CB6">
        <w:rPr>
          <w:lang w:eastAsia="pt-BR"/>
        </w:rPr>
        <w:t>conforme definido no instrumento de emissão</w:t>
      </w:r>
      <w:r w:rsidRPr="00556AD9">
        <w:t>.</w:t>
      </w:r>
    </w:p>
    <w:p w14:paraId="4E5077CE" w14:textId="77777777" w:rsidR="00BD7F5E" w:rsidRPr="00556AD9" w:rsidRDefault="00BD7F5E" w:rsidP="00BD7F5E">
      <w:pPr>
        <w:pStyle w:val="NormaAlterada"/>
      </w:pPr>
      <w:r w:rsidRPr="00556AD9">
        <w:t xml:space="preserve">§ 12.  Caso a oferta pública de distribuição de </w:t>
      </w:r>
      <w:r>
        <w:t xml:space="preserve">títulos de securitização </w:t>
      </w:r>
      <w:r w:rsidRPr="00556AD9">
        <w:t xml:space="preserve">seja exclusivamente destinada a investidores qualificados e os ativos não sejam admitidos à negociação em mercado organizado, e desde que o lastro dos direitos creditórios não seja composto por títulos de crédito, pode ser dispensada a contratação prevista no inciso I do </w:t>
      </w:r>
      <w:r w:rsidRPr="00556AD9">
        <w:rPr>
          <w:b/>
        </w:rPr>
        <w:t>caput</w:t>
      </w:r>
      <w:r w:rsidRPr="00556AD9">
        <w:t>, hipótese na qual a companhia securitizadora fica responsável pela guarda dos documentos comprobatórios que representam os bens e direitos vinculados à emissão, nos termos do art. 34.</w:t>
      </w:r>
    </w:p>
    <w:p w14:paraId="0010F69A" w14:textId="77777777" w:rsidR="00BD7F5E" w:rsidRPr="00556AD9" w:rsidRDefault="00BD7F5E" w:rsidP="00BD7F5E">
      <w:pPr>
        <w:pStyle w:val="NormaAlterada"/>
      </w:pPr>
      <w:r w:rsidRPr="00556AD9">
        <w:t>§ 13.  No caso de que trata o § 12, a companhia securitizadora deve contar com regras e procedimentos adequados, previstos por escrito e passíveis de verificação, para assegurar o controle e a adequada movimentação da documentação comprobatória dos bens e direitos vinculados à emissão.</w:t>
      </w:r>
      <w:r>
        <w:t>”(NR)</w:t>
      </w:r>
    </w:p>
    <w:p w14:paraId="5BB4A051" w14:textId="77777777" w:rsidR="00BD7F5E" w:rsidRDefault="00BD7F5E" w:rsidP="00BD7F5E">
      <w:pPr>
        <w:pStyle w:val="NormaAlterada"/>
      </w:pPr>
      <w:r>
        <w:t>“Art. 37.  ..........................................................</w:t>
      </w:r>
    </w:p>
    <w:p w14:paraId="3B771B2B" w14:textId="77777777" w:rsidR="00BD7F5E" w:rsidRPr="00556AD9" w:rsidRDefault="00BD7F5E" w:rsidP="00BD7F5E">
      <w:pPr>
        <w:pStyle w:val="NormaAlterada"/>
        <w:rPr>
          <w:lang w:eastAsia="pt-BR"/>
        </w:rPr>
      </w:pPr>
      <w:r w:rsidRPr="00361D85">
        <w:rPr>
          <w:lang w:eastAsia="pt-BR"/>
        </w:rPr>
        <w:t xml:space="preserve">§ 1º  O instrumento de emissão pode prever que os recursos oriundos dos recebimentos dos direitos creditórios podem ser </w:t>
      </w:r>
      <w:r w:rsidRPr="00361D85">
        <w:t>recebidos</w:t>
      </w:r>
      <w:r w:rsidRPr="00361D85">
        <w:rPr>
          <w:lang w:eastAsia="pt-BR"/>
        </w:rPr>
        <w:t xml:space="preserve"> diretamente em conta </w:t>
      </w:r>
      <w:proofErr w:type="spellStart"/>
      <w:r w:rsidRPr="00361D85">
        <w:rPr>
          <w:b/>
          <w:bCs/>
          <w:lang w:eastAsia="pt-BR"/>
        </w:rPr>
        <w:t>escrow</w:t>
      </w:r>
      <w:proofErr w:type="spellEnd"/>
      <w:r w:rsidRPr="00361D85">
        <w:rPr>
          <w:b/>
          <w:bCs/>
          <w:lang w:eastAsia="pt-BR"/>
        </w:rPr>
        <w:t xml:space="preserve"> </w:t>
      </w:r>
      <w:r w:rsidRPr="00361D85">
        <w:rPr>
          <w:lang w:eastAsia="pt-BR"/>
        </w:rPr>
        <w:t>ou outro tipo de conta ou arranjo em instituição financeira</w:t>
      </w:r>
      <w:r>
        <w:rPr>
          <w:lang w:eastAsia="pt-BR"/>
        </w:rPr>
        <w:t xml:space="preserve"> ou de pagamento</w:t>
      </w:r>
      <w:r w:rsidRPr="00361D85">
        <w:rPr>
          <w:lang w:eastAsia="pt-BR"/>
        </w:rPr>
        <w:t>, para posterior transferência à companhia securitizadora, de acordo com regras e procedimentos estabelecidos no instrumento de emissão</w:t>
      </w:r>
      <w:r>
        <w:rPr>
          <w:lang w:eastAsia="pt-BR"/>
        </w:rPr>
        <w:t>.</w:t>
      </w:r>
    </w:p>
    <w:p w14:paraId="635A0EFF" w14:textId="77777777" w:rsidR="00BD7F5E" w:rsidRDefault="00BD7F5E" w:rsidP="00BD7F5E">
      <w:pPr>
        <w:pStyle w:val="NormaAlterada"/>
      </w:pPr>
      <w:r>
        <w:t>..........................................................................”(NR)</w:t>
      </w:r>
    </w:p>
    <w:p w14:paraId="10FE2654" w14:textId="77777777" w:rsidR="00BD7F5E" w:rsidRDefault="00BD7F5E" w:rsidP="00BD7F5E">
      <w:pPr>
        <w:pStyle w:val="NormaAlterada"/>
      </w:pPr>
      <w:r>
        <w:lastRenderedPageBreak/>
        <w:t>“Art. 39.  ..........................................................</w:t>
      </w:r>
    </w:p>
    <w:p w14:paraId="01112841" w14:textId="77777777" w:rsidR="00BD7F5E" w:rsidRPr="00556AD9" w:rsidRDefault="00BD7F5E" w:rsidP="00BD7F5E">
      <w:pPr>
        <w:pStyle w:val="NormaAlterada"/>
        <w:rPr>
          <w:lang w:eastAsia="pt-BR"/>
        </w:rPr>
      </w:pPr>
      <w:r w:rsidRPr="0072598F">
        <w:rPr>
          <w:lang w:eastAsia="pt-BR"/>
        </w:rPr>
        <w:t xml:space="preserve">I – insuficiência dos ativos </w:t>
      </w:r>
      <w:r w:rsidRPr="00D64A05">
        <w:rPr>
          <w:lang w:eastAsia="pt-BR"/>
        </w:rPr>
        <w:t xml:space="preserve">integrantes </w:t>
      </w:r>
      <w:r w:rsidRPr="0072598F">
        <w:rPr>
          <w:lang w:eastAsia="pt-BR"/>
        </w:rPr>
        <w:t xml:space="preserve">do patrimônio separado para a satisfação </w:t>
      </w:r>
      <w:r w:rsidRPr="00D64A05">
        <w:rPr>
          <w:lang w:eastAsia="pt-BR"/>
        </w:rPr>
        <w:t xml:space="preserve">integral </w:t>
      </w:r>
      <w:r w:rsidRPr="0072598F">
        <w:rPr>
          <w:lang w:eastAsia="pt-BR"/>
        </w:rPr>
        <w:t>dos títulos de securitização;</w:t>
      </w:r>
    </w:p>
    <w:p w14:paraId="0A4200E3" w14:textId="77777777" w:rsidR="00BD7F5E" w:rsidRDefault="00BD7F5E" w:rsidP="00BD7F5E">
      <w:pPr>
        <w:pStyle w:val="NormaAlterada"/>
      </w:pPr>
      <w:r>
        <w:t>..........................................................................</w:t>
      </w:r>
    </w:p>
    <w:p w14:paraId="2128AB95" w14:textId="77777777" w:rsidR="00BD7F5E" w:rsidRPr="00556AD9" w:rsidRDefault="00BD7F5E" w:rsidP="00BD7F5E">
      <w:pPr>
        <w:pStyle w:val="NormaAlterada"/>
        <w:rPr>
          <w:lang w:eastAsia="pt-BR"/>
        </w:rPr>
      </w:pPr>
      <w:r w:rsidRPr="00361D85">
        <w:rPr>
          <w:lang w:eastAsia="pt-BR"/>
        </w:rPr>
        <w:t xml:space="preserve">§ 1º  Na hipótese prevista no inciso I, cabe </w:t>
      </w:r>
      <w:r w:rsidRPr="00647A80">
        <w:rPr>
          <w:lang w:eastAsia="pt-BR"/>
        </w:rPr>
        <w:t xml:space="preserve">à </w:t>
      </w:r>
      <w:r>
        <w:rPr>
          <w:lang w:eastAsia="pt-BR"/>
        </w:rPr>
        <w:t xml:space="preserve">companhia </w:t>
      </w:r>
      <w:r w:rsidRPr="00647A80">
        <w:rPr>
          <w:lang w:eastAsia="pt-BR"/>
        </w:rPr>
        <w:t>securitizadora ou, caso esta não o faça</w:t>
      </w:r>
      <w:r>
        <w:rPr>
          <w:lang w:eastAsia="pt-BR"/>
        </w:rPr>
        <w:t>,</w:t>
      </w:r>
      <w:r w:rsidRPr="00361D85">
        <w:rPr>
          <w:lang w:eastAsia="pt-BR"/>
        </w:rPr>
        <w:t xml:space="preserve"> ao agente fiduciário convocar assembleia especial de investidores para deliberar sobre a administração ou liq</w:t>
      </w:r>
      <w:r>
        <w:rPr>
          <w:lang w:eastAsia="pt-BR"/>
        </w:rPr>
        <w:t>uidação do patrimônio separado.</w:t>
      </w:r>
    </w:p>
    <w:p w14:paraId="304B2B10" w14:textId="77777777" w:rsidR="00BD7F5E" w:rsidRPr="00556AD9" w:rsidRDefault="00BD7F5E" w:rsidP="00BD7F5E">
      <w:pPr>
        <w:pStyle w:val="NormaAlterada"/>
        <w:rPr>
          <w:lang w:eastAsia="pt-BR"/>
        </w:rPr>
      </w:pPr>
      <w:r w:rsidRPr="305D07D4">
        <w:rPr>
          <w:lang w:eastAsia="pt-BR"/>
        </w:rPr>
        <w:t>§ 2º  Na hipótese prevista no inciso II, cabe ao agente fiduciário assumir imediatamente a custódia e a administração do patrimônio separado e, em até 15 (quinze) dias</w:t>
      </w:r>
      <w:r>
        <w:rPr>
          <w:lang w:eastAsia="pt-BR"/>
        </w:rPr>
        <w:t xml:space="preserve"> </w:t>
      </w:r>
      <w:r w:rsidRPr="00647A80">
        <w:rPr>
          <w:lang w:eastAsia="pt-BR"/>
        </w:rPr>
        <w:t>a contar da sua ciência</w:t>
      </w:r>
      <w:r w:rsidRPr="305D07D4">
        <w:rPr>
          <w:lang w:eastAsia="pt-BR"/>
        </w:rPr>
        <w:t>, convocar assembleia especial de investidores para deliberar sobre a substituição da companhia securitizadora ou liquidação do patrimônio separado</w:t>
      </w:r>
      <w:r>
        <w:rPr>
          <w:lang w:eastAsia="pt-BR"/>
        </w:rPr>
        <w:t>,</w:t>
      </w:r>
      <w:r w:rsidRPr="00647A80">
        <w:rPr>
          <w:lang w:eastAsia="pt-BR"/>
        </w:rPr>
        <w:t xml:space="preserve"> cujo prazo d</w:t>
      </w:r>
      <w:r>
        <w:rPr>
          <w:lang w:eastAsia="pt-BR"/>
        </w:rPr>
        <w:t>e</w:t>
      </w:r>
      <w:r w:rsidRPr="00647A80">
        <w:rPr>
          <w:lang w:eastAsia="pt-BR"/>
        </w:rPr>
        <w:t xml:space="preserve"> realização será de </w:t>
      </w:r>
      <w:r>
        <w:rPr>
          <w:lang w:eastAsia="pt-BR"/>
        </w:rPr>
        <w:t xml:space="preserve">até </w:t>
      </w:r>
      <w:r w:rsidRPr="00647A80">
        <w:rPr>
          <w:lang w:eastAsia="pt-BR"/>
        </w:rPr>
        <w:t xml:space="preserve">20 (vinte) </w:t>
      </w:r>
      <w:r>
        <w:rPr>
          <w:lang w:eastAsia="pt-BR"/>
        </w:rPr>
        <w:t xml:space="preserve">dias </w:t>
      </w:r>
      <w:r w:rsidRPr="00647A80">
        <w:rPr>
          <w:lang w:eastAsia="pt-BR"/>
        </w:rPr>
        <w:t xml:space="preserve">em primeira convocação e </w:t>
      </w:r>
      <w:r>
        <w:rPr>
          <w:lang w:eastAsia="pt-BR"/>
        </w:rPr>
        <w:t xml:space="preserve">até </w:t>
      </w:r>
      <w:r w:rsidRPr="00D64A05">
        <w:rPr>
          <w:lang w:eastAsia="pt-BR"/>
        </w:rPr>
        <w:t>8 (oito) dias em segunda convocação</w:t>
      </w:r>
      <w:r w:rsidRPr="305D07D4">
        <w:rPr>
          <w:lang w:eastAsia="pt-BR"/>
        </w:rPr>
        <w:t>.</w:t>
      </w:r>
    </w:p>
    <w:p w14:paraId="4EBFE249" w14:textId="77777777" w:rsidR="00BD7F5E" w:rsidRDefault="00BD7F5E" w:rsidP="00BD7F5E">
      <w:pPr>
        <w:pStyle w:val="NormaAlterada"/>
      </w:pPr>
      <w:r>
        <w:t>..........................................................................”(NR)</w:t>
      </w:r>
    </w:p>
    <w:p w14:paraId="125C5CD8" w14:textId="4ED868D8" w:rsidR="003022F7" w:rsidRPr="00556AD9" w:rsidRDefault="003022F7" w:rsidP="003022F7">
      <w:pPr>
        <w:pStyle w:val="NormaAlterada"/>
        <w:rPr>
          <w:lang w:eastAsia="pt-BR"/>
        </w:rPr>
      </w:pPr>
      <w:r>
        <w:rPr>
          <w:lang w:eastAsia="pt-BR"/>
        </w:rPr>
        <w:t>“</w:t>
      </w:r>
      <w:r w:rsidRPr="635D46C5">
        <w:rPr>
          <w:lang w:eastAsia="pt-BR"/>
        </w:rPr>
        <w:t>Art. 50.  A companhia securitizadora deve encaminhar à CVM, na data em que forem colocadas à disposição do público, o que não deve ultrapassar 3 (três) meses do encerramento do exercício social</w:t>
      </w:r>
      <w:r>
        <w:rPr>
          <w:lang w:eastAsia="pt-BR"/>
        </w:rPr>
        <w:t xml:space="preserve"> </w:t>
      </w:r>
      <w:r w:rsidRPr="00D64A05">
        <w:rPr>
          <w:lang w:eastAsia="pt-BR"/>
        </w:rPr>
        <w:t>dos respectivos patrimônios separados</w:t>
      </w:r>
      <w:r w:rsidRPr="635D46C5">
        <w:rPr>
          <w:lang w:eastAsia="pt-BR"/>
        </w:rPr>
        <w:t>, as demonstrações financeiras de cada patrimônio separado, que devem ser elaboradas de acordo com a Lei nº 6.404, de 1976, e com as normas da CVM, e auditadas por auditores independentes registrados na CVM.</w:t>
      </w:r>
    </w:p>
    <w:p w14:paraId="6EFFD7B7" w14:textId="77777777" w:rsidR="003022F7" w:rsidRDefault="003022F7" w:rsidP="003022F7">
      <w:pPr>
        <w:pStyle w:val="NormaAlterada"/>
      </w:pPr>
      <w:r>
        <w:t>..........................................................................”(NR)</w:t>
      </w:r>
    </w:p>
    <w:p w14:paraId="42D543AA" w14:textId="5D7F5FB8" w:rsidR="003022F7" w:rsidRPr="00556AD9" w:rsidRDefault="003022F7" w:rsidP="003022F7">
      <w:pPr>
        <w:pStyle w:val="NormaAlterada"/>
        <w:rPr>
          <w:lang w:eastAsia="pt-BR"/>
        </w:rPr>
      </w:pPr>
      <w:r>
        <w:rPr>
          <w:lang w:eastAsia="pt-BR"/>
        </w:rPr>
        <w:t>“</w:t>
      </w:r>
      <w:r w:rsidRPr="635D46C5">
        <w:rPr>
          <w:lang w:eastAsia="pt-BR"/>
        </w:rPr>
        <w:t>Art. 51.  As companhias securitizadoras devem encaminhar anualmente à CVM, por meio de sistema eletrônico disponível na rede mundial de computadores, em até 5 (cinco) dias úteis contados de sua disponibilização para o público, demonstrações financeiras auditadas de devedores</w:t>
      </w:r>
      <w:r>
        <w:rPr>
          <w:lang w:eastAsia="pt-BR"/>
        </w:rPr>
        <w:t xml:space="preserve"> </w:t>
      </w:r>
      <w:r w:rsidRPr="00AE22AC">
        <w:t>ou coobrigados</w:t>
      </w:r>
      <w:r>
        <w:rPr>
          <w:u w:val="single"/>
        </w:rPr>
        <w:t xml:space="preserve"> </w:t>
      </w:r>
      <w:r w:rsidRPr="635D46C5">
        <w:rPr>
          <w:lang w:eastAsia="pt-BR"/>
        </w:rPr>
        <w:t xml:space="preserve">que possuam, direta ou indiretamente exposição maior do que 20% (vinte por cento) de cada </w:t>
      </w:r>
      <w:r>
        <w:rPr>
          <w:lang w:eastAsia="pt-BR"/>
        </w:rPr>
        <w:t>e</w:t>
      </w:r>
      <w:r w:rsidRPr="635D46C5">
        <w:rPr>
          <w:lang w:eastAsia="pt-BR"/>
        </w:rPr>
        <w:t>missão, salvo se o devedor</w:t>
      </w:r>
      <w:r>
        <w:rPr>
          <w:lang w:eastAsia="pt-BR"/>
        </w:rPr>
        <w:t xml:space="preserve"> ou coobrigado</w:t>
      </w:r>
      <w:r w:rsidRPr="635D46C5">
        <w:rPr>
          <w:lang w:eastAsia="pt-BR"/>
        </w:rPr>
        <w:t xml:space="preserve"> for:</w:t>
      </w:r>
    </w:p>
    <w:p w14:paraId="4CDCE72E" w14:textId="20E46569" w:rsidR="003022F7" w:rsidRDefault="003022F7" w:rsidP="003022F7">
      <w:pPr>
        <w:pStyle w:val="NormaAlterada"/>
      </w:pPr>
      <w:r>
        <w:t>..........................................................................</w:t>
      </w:r>
    </w:p>
    <w:p w14:paraId="2A6132BB" w14:textId="77777777" w:rsidR="003022F7" w:rsidRPr="00556AD9" w:rsidRDefault="003022F7" w:rsidP="003022F7">
      <w:pPr>
        <w:pStyle w:val="NormaAlterada"/>
      </w:pPr>
      <w:r w:rsidRPr="00556AD9">
        <w:t xml:space="preserve">§ 2º  </w:t>
      </w:r>
      <w:r w:rsidRPr="00556AD9">
        <w:rPr>
          <w:lang w:eastAsia="pt-BR"/>
        </w:rPr>
        <w:t>Fica</w:t>
      </w:r>
      <w:r w:rsidRPr="00556AD9">
        <w:t xml:space="preserve"> dispensado </w:t>
      </w:r>
      <w:r>
        <w:t xml:space="preserve">o encaminhamento periódico das demonstrações financeiras caso </w:t>
      </w:r>
      <w:r w:rsidRPr="00556AD9">
        <w:t>os títulos de securitização:</w:t>
      </w:r>
    </w:p>
    <w:p w14:paraId="6DE3E74E" w14:textId="4FA6DD79" w:rsidR="003022F7" w:rsidRPr="00556AD9" w:rsidRDefault="003022F7" w:rsidP="003022F7">
      <w:pPr>
        <w:pStyle w:val="NormaAlterada"/>
      </w:pPr>
      <w:r w:rsidRPr="00556AD9">
        <w:lastRenderedPageBreak/>
        <w:t>I –</w:t>
      </w:r>
      <w:r w:rsidR="00761A8A">
        <w:t xml:space="preserve"> </w:t>
      </w:r>
      <w:r w:rsidRPr="00556AD9">
        <w:t>tenha</w:t>
      </w:r>
      <w:r>
        <w:t>m</w:t>
      </w:r>
      <w:r w:rsidRPr="00556AD9">
        <w:t xml:space="preserve"> como público alvo exclusivamente sociedades integrantes do mesmo grupo econômico, e seus respectivos administradores e acionistas controladores, sendo vedada a negociação dos títulos de securitização no mercado secundário; ou</w:t>
      </w:r>
    </w:p>
    <w:p w14:paraId="5BF6E35F" w14:textId="40434DC7" w:rsidR="003022F7" w:rsidRPr="009456B3" w:rsidRDefault="003022F7" w:rsidP="003022F7">
      <w:pPr>
        <w:pStyle w:val="NormaAlterada"/>
        <w:rPr>
          <w:lang w:eastAsia="pt-BR"/>
        </w:rPr>
      </w:pPr>
      <w:r w:rsidRPr="00556AD9">
        <w:t>II – sejam destinad</w:t>
      </w:r>
      <w:r>
        <w:t>os</w:t>
      </w:r>
      <w:r w:rsidRPr="00556AD9">
        <w:t xml:space="preserve"> à </w:t>
      </w:r>
      <w:r w:rsidRPr="003022F7">
        <w:t>subscrição</w:t>
      </w:r>
      <w:r w:rsidRPr="00556AD9">
        <w:t xml:space="preserve"> </w:t>
      </w:r>
      <w:r>
        <w:t xml:space="preserve">e negociação </w:t>
      </w:r>
      <w:r w:rsidRPr="00556AD9">
        <w:t>exclusivamente por investidores profissionais.</w:t>
      </w:r>
      <w:r>
        <w:t>”(NR)</w:t>
      </w:r>
    </w:p>
    <w:p w14:paraId="5ADF91FD" w14:textId="3C0ED6F2" w:rsidR="003022F7" w:rsidRDefault="003022F7" w:rsidP="003022F7">
      <w:pPr>
        <w:pStyle w:val="NormaAlterada"/>
        <w:rPr>
          <w:lang w:eastAsia="pt-BR"/>
        </w:rPr>
      </w:pPr>
      <w:r>
        <w:rPr>
          <w:rFonts w:cstheme="minorBidi"/>
          <w:lang w:eastAsia="pt-BR"/>
        </w:rPr>
        <w:t>“</w:t>
      </w:r>
      <w:r w:rsidRPr="635D46C5">
        <w:rPr>
          <w:rFonts w:cstheme="minorBidi"/>
          <w:lang w:eastAsia="pt-BR"/>
        </w:rPr>
        <w:t xml:space="preserve">Art. </w:t>
      </w:r>
      <w:r w:rsidRPr="00F229FE">
        <w:rPr>
          <w:lang w:eastAsia="pt-BR"/>
        </w:rPr>
        <w:t xml:space="preserve">59.  Considera-se infração grave, para efeito do disposto no art. 11, § 3º, da Lei nº 6.385, de 1976, a violação dos </w:t>
      </w:r>
      <w:proofErr w:type="spellStart"/>
      <w:r w:rsidRPr="00F229FE">
        <w:rPr>
          <w:lang w:eastAsia="pt-BR"/>
        </w:rPr>
        <w:t>arts</w:t>
      </w:r>
      <w:proofErr w:type="spellEnd"/>
      <w:r w:rsidRPr="00F229FE">
        <w:rPr>
          <w:lang w:eastAsia="pt-BR"/>
        </w:rPr>
        <w:t xml:space="preserve">. 16 ao 19, 22, 23, 26, 30, 33, § 4º, 35 a 38, 40, 41, § 2º, 43, </w:t>
      </w:r>
      <w:r>
        <w:rPr>
          <w:lang w:eastAsia="pt-BR"/>
        </w:rPr>
        <w:t xml:space="preserve">43-B e 43-C, </w:t>
      </w:r>
      <w:r w:rsidRPr="00F229FE">
        <w:rPr>
          <w:lang w:eastAsia="pt-BR"/>
        </w:rPr>
        <w:t>52, 53, e 57 desta Resolução, assim como a não celebração de aditivos ao instrumento de emissão, nas hipóteses em que a ação for mandatória.</w:t>
      </w:r>
      <w:r>
        <w:rPr>
          <w:lang w:eastAsia="pt-BR"/>
        </w:rPr>
        <w:t>”(NR)</w:t>
      </w:r>
    </w:p>
    <w:p w14:paraId="79EAA98C" w14:textId="33EE7ABF" w:rsidR="003022F7" w:rsidRDefault="003022F7" w:rsidP="003022F7">
      <w:r>
        <w:t>Art. 3º  O Anexo Normativo I da Resolução CVM nº 60, de 2021, passa a vigorar com a seguinte redação:</w:t>
      </w:r>
    </w:p>
    <w:p w14:paraId="01E42994" w14:textId="781DCA0F" w:rsidR="003022F7" w:rsidRPr="005C191C" w:rsidRDefault="003022F7" w:rsidP="003022F7">
      <w:pPr>
        <w:pStyle w:val="NormaAlterada"/>
      </w:pPr>
      <w:r>
        <w:t>“Art. 4º  A emissão de CRI destinada ao público em geral somente é admitida para CRI lastreados em créditos sobre os quais tenha sido instituído o regime fiduciário previsto no art. 25 da Lei 14.430, de 2022, originados:</w:t>
      </w:r>
    </w:p>
    <w:p w14:paraId="1E456641" w14:textId="73491DA0" w:rsidR="003022F7" w:rsidRDefault="003022F7" w:rsidP="003022F7">
      <w:pPr>
        <w:pStyle w:val="NormaAlterada"/>
      </w:pPr>
      <w:r>
        <w:t>..........................................................................</w:t>
      </w:r>
    </w:p>
    <w:p w14:paraId="0711A2B1" w14:textId="76ACB146" w:rsidR="003022F7" w:rsidRPr="00556AD9" w:rsidRDefault="003022F7" w:rsidP="003022F7">
      <w:pPr>
        <w:pStyle w:val="NormaAlterada"/>
        <w:rPr>
          <w:lang w:eastAsia="pt-BR"/>
        </w:rPr>
      </w:pPr>
      <w:r>
        <w:t xml:space="preserve">Parágrafo único.  </w:t>
      </w:r>
      <w:r w:rsidRPr="00D15A4B">
        <w:rPr>
          <w:lang w:eastAsia="pt-BR"/>
        </w:rPr>
        <w:t xml:space="preserve">Caso os créditos sejam considerados imobiliários pela sua destinação, </w:t>
      </w:r>
      <w:r w:rsidR="00170916">
        <w:rPr>
          <w:lang w:eastAsia="pt-BR"/>
        </w:rPr>
        <w:t>fica</w:t>
      </w:r>
      <w:r>
        <w:rPr>
          <w:lang w:eastAsia="pt-BR"/>
        </w:rPr>
        <w:t xml:space="preserve"> dispensado</w:t>
      </w:r>
      <w:r w:rsidRPr="00D15A4B">
        <w:rPr>
          <w:lang w:eastAsia="pt-BR"/>
        </w:rPr>
        <w:t xml:space="preserve"> o cumprimento dos requisitos dispostos nos incisos I e II do </w:t>
      </w:r>
      <w:r w:rsidRPr="00D15A4B">
        <w:rPr>
          <w:b/>
          <w:bCs/>
          <w:lang w:eastAsia="pt-BR"/>
        </w:rPr>
        <w:t>caput,</w:t>
      </w:r>
      <w:r w:rsidRPr="00D15A4B">
        <w:rPr>
          <w:lang w:eastAsia="pt-BR"/>
        </w:rPr>
        <w:t xml:space="preserve"> desde que a operação de securitização conte com as seguintes características:</w:t>
      </w:r>
    </w:p>
    <w:p w14:paraId="6F5C4A93" w14:textId="77777777" w:rsidR="003022F7" w:rsidRDefault="003022F7" w:rsidP="003022F7">
      <w:pPr>
        <w:pStyle w:val="NormaAlterada"/>
      </w:pPr>
      <w:r>
        <w:t>..........................................................................</w:t>
      </w:r>
    </w:p>
    <w:p w14:paraId="2527F6CF" w14:textId="77777777" w:rsidR="003022F7" w:rsidRPr="00556AD9" w:rsidRDefault="003022F7" w:rsidP="003022F7">
      <w:pPr>
        <w:pStyle w:val="NormaAlterada"/>
        <w:rPr>
          <w:lang w:eastAsia="pt-BR"/>
        </w:rPr>
      </w:pPr>
      <w:r w:rsidRPr="00D15A4B">
        <w:rPr>
          <w:lang w:eastAsia="pt-BR"/>
        </w:rPr>
        <w:t>IV – o agente fiduciário fique responsável por verificar a destinação dos recursos captados a imóveis; e</w:t>
      </w:r>
    </w:p>
    <w:p w14:paraId="6028ED87" w14:textId="77777777" w:rsidR="003022F7" w:rsidRDefault="003022F7" w:rsidP="003022F7">
      <w:pPr>
        <w:pStyle w:val="NormaAlterada"/>
      </w:pPr>
      <w:r>
        <w:t>..........................................................................”(NR)</w:t>
      </w:r>
    </w:p>
    <w:p w14:paraId="3798D7DB" w14:textId="65E28D6D" w:rsidR="003022F7" w:rsidRDefault="003022F7" w:rsidP="00BD7F5E">
      <w:pPr>
        <w:pStyle w:val="NormaAlterada"/>
      </w:pPr>
      <w:r>
        <w:t>“Art. 9º  Em acréscimo às condutas dispostas no art. 59 da Resolução, constitui infração grave, para efeito do § 3º do art. 11 da Lei nº 6.385, de 1976, o descumprimento do disposto no art. 4º deste Anexo.”(NR)</w:t>
      </w:r>
    </w:p>
    <w:p w14:paraId="1D30BAA9" w14:textId="1CBFC6B2" w:rsidR="00742D2B" w:rsidRDefault="00BD7F5E" w:rsidP="00BD7F5E">
      <w:r>
        <w:t xml:space="preserve">Art. </w:t>
      </w:r>
      <w:r w:rsidR="003022F7">
        <w:t>4</w:t>
      </w:r>
      <w:r>
        <w:t>º  O Anexo Normativo II da Resolução CVM nº 60, de 2021, passa a vigorar com a seguinte redação:</w:t>
      </w:r>
    </w:p>
    <w:p w14:paraId="48EAD6D0" w14:textId="0E068B02" w:rsidR="00AD4A51" w:rsidRDefault="006E0952" w:rsidP="00C433ED">
      <w:pPr>
        <w:pStyle w:val="NormaAlterada"/>
      </w:pPr>
      <w:r>
        <w:t>"</w:t>
      </w:r>
      <w:r w:rsidR="00AD4A51">
        <w:t>Art. 1º  Este Anexo Normativo II (“Anexo II”) à Resolução CVM nº 60 dispõe sobre a emissão e distribuição pública de Certificados de Recebíveis do Agronegócio (“CRA” ou “certificado”), conforme definidos no art. 3</w:t>
      </w:r>
      <w:r w:rsidR="00297835">
        <w:t>6</w:t>
      </w:r>
      <w:r w:rsidR="00AD4A51">
        <w:t xml:space="preserve"> da Lei 11.076, de 2004.</w:t>
      </w:r>
      <w:r w:rsidR="00297835">
        <w:t>”(NR)</w:t>
      </w:r>
    </w:p>
    <w:p w14:paraId="31FDC35D" w14:textId="3CE8A5C4" w:rsidR="00BD7F5E" w:rsidRPr="00AC4806" w:rsidRDefault="00BD7F5E" w:rsidP="00BD7F5E">
      <w:pPr>
        <w:pStyle w:val="NormaAlterada"/>
      </w:pPr>
      <w:r>
        <w:lastRenderedPageBreak/>
        <w:t>“</w:t>
      </w:r>
      <w:r w:rsidRPr="00AC4806">
        <w:t xml:space="preserve">Art. 3º </w:t>
      </w:r>
      <w:r>
        <w:t xml:space="preserve"> </w:t>
      </w:r>
      <w:r w:rsidRPr="00AC4806">
        <w:t>As emissões públicas de CRA devem:</w:t>
      </w:r>
    </w:p>
    <w:p w14:paraId="6F3CA51E" w14:textId="77777777" w:rsidR="00BD7F5E" w:rsidRPr="00AC4806" w:rsidRDefault="00BD7F5E" w:rsidP="00BD7F5E">
      <w:pPr>
        <w:pStyle w:val="NormaAlterada"/>
      </w:pPr>
      <w:r w:rsidRPr="00AC4806">
        <w:t>I – contar com a instituição do regime fiduciário sobre o lastro e constituição de correspondente patrimônio separado;</w:t>
      </w:r>
      <w:r>
        <w:t xml:space="preserve"> e</w:t>
      </w:r>
    </w:p>
    <w:p w14:paraId="6D7BB6AA" w14:textId="77777777" w:rsidR="00BD7F5E" w:rsidRDefault="00BD7F5E" w:rsidP="00BD7F5E">
      <w:pPr>
        <w:pStyle w:val="NormaAlterada"/>
      </w:pPr>
      <w:r w:rsidRPr="00AC4806">
        <w:t>II – ter o lastro constituído por direitos creditórios do agronegócio cuja liquidação se dê exclusivamente na forma financeira</w:t>
      </w:r>
      <w:r>
        <w:t>.</w:t>
      </w:r>
    </w:p>
    <w:p w14:paraId="591379FB" w14:textId="77777777" w:rsidR="00156CB9" w:rsidRDefault="00156CB9" w:rsidP="00156CB9">
      <w:pPr>
        <w:pStyle w:val="NormaAlterada"/>
      </w:pPr>
      <w:r>
        <w:t>..........................................................................</w:t>
      </w:r>
    </w:p>
    <w:p w14:paraId="2BF02864" w14:textId="505CD6F3" w:rsidR="00FD1535" w:rsidRDefault="00837A3D" w:rsidP="00CC089A">
      <w:pPr>
        <w:pStyle w:val="NormaAlterada"/>
      </w:pPr>
      <w:r>
        <w:t>§ 1º-A</w:t>
      </w:r>
      <w:r w:rsidR="00FD1535">
        <w:t xml:space="preserve">  Em acréscimo às exceções presentes nos incisos I a III do art. 43-A da parte geral desta Resolução, a</w:t>
      </w:r>
      <w:r w:rsidR="00FD1535" w:rsidRPr="00556AD9">
        <w:t xml:space="preserve">s emissões </w:t>
      </w:r>
      <w:r w:rsidR="00FD1535">
        <w:t xml:space="preserve">de CRA cujo devedor ou coobrigado seja cooperativa agropecuária não se submetem ao limite de exposição de que trata o </w:t>
      </w:r>
      <w:r w:rsidR="00FD1535" w:rsidRPr="00300EFD">
        <w:rPr>
          <w:b/>
          <w:bCs/>
        </w:rPr>
        <w:t>caput</w:t>
      </w:r>
      <w:r w:rsidR="00FD1535">
        <w:t xml:space="preserve"> daquele artigo, desde que a cooperativa </w:t>
      </w:r>
      <w:r w:rsidR="00FD1535" w:rsidRPr="00556AD9">
        <w:t xml:space="preserve">tenha suas demonstrações financeiras relativas ao exercício social imediatamente anterior à data de emissão do </w:t>
      </w:r>
      <w:r w:rsidR="00FD1535">
        <w:t>CRA</w:t>
      </w:r>
      <w:r w:rsidR="00FD1535" w:rsidRPr="00556AD9">
        <w:t xml:space="preserve"> auditadas por auditor independente registrado na CVM</w:t>
      </w:r>
      <w:r w:rsidR="00FD1535">
        <w:t>.</w:t>
      </w:r>
    </w:p>
    <w:p w14:paraId="2E562F8C" w14:textId="5613AAAE" w:rsidR="001C29D1" w:rsidRPr="00697E42" w:rsidRDefault="001C29D1" w:rsidP="00CC089A">
      <w:pPr>
        <w:pStyle w:val="NormaAlterada"/>
      </w:pPr>
      <w:r w:rsidRPr="001C29D1">
        <w:t xml:space="preserve"> </w:t>
      </w:r>
      <w:r w:rsidRPr="00697E42">
        <w:t xml:space="preserve">§ 2º </w:t>
      </w:r>
      <w:r>
        <w:t>F</w:t>
      </w:r>
      <w:r w:rsidRPr="00697E42">
        <w:t xml:space="preserve">ica dispensado o cumprimento </w:t>
      </w:r>
      <w:r>
        <w:t xml:space="preserve">do disposto no </w:t>
      </w:r>
      <w:r w:rsidRPr="00D05C0F">
        <w:rPr>
          <w:b/>
        </w:rPr>
        <w:t>caput</w:t>
      </w:r>
      <w:r>
        <w:t xml:space="preserve"> </w:t>
      </w:r>
      <w:r w:rsidRPr="00AC4806">
        <w:t>deste artigo</w:t>
      </w:r>
      <w:r>
        <w:t xml:space="preserve"> </w:t>
      </w:r>
      <w:r w:rsidRPr="00BF20D4">
        <w:t>caso os títulos de securitização</w:t>
      </w:r>
      <w:r>
        <w:t>:</w:t>
      </w:r>
    </w:p>
    <w:p w14:paraId="3B6AD14C" w14:textId="77777777" w:rsidR="001C29D1" w:rsidRPr="00697E42" w:rsidRDefault="001C29D1" w:rsidP="00CC089A">
      <w:pPr>
        <w:pStyle w:val="NormaAlterada"/>
      </w:pPr>
      <w:r w:rsidRPr="00697E42">
        <w:t>I –tenham como público alvo exclusivamente sociedades integrantes do mesmo grupo econômico, e seus respectivos administradores e acionistas controladores, sendo vedada a negociação dos títulos de securitização no mercado secundário; ou</w:t>
      </w:r>
    </w:p>
    <w:p w14:paraId="17ED1CFF" w14:textId="24EF50DB" w:rsidR="00BD7F5E" w:rsidRDefault="001C29D1" w:rsidP="00BD7F5E">
      <w:pPr>
        <w:pStyle w:val="NormaAlterada"/>
      </w:pPr>
      <w:r w:rsidRPr="00D07596">
        <w:t>II – sejam destinados</w:t>
      </w:r>
      <w:r w:rsidRPr="00277AF2">
        <w:t xml:space="preserve"> à subscrição e negociação exclusivamente por investidores</w:t>
      </w:r>
      <w:r>
        <w:t xml:space="preserve"> profissionais.</w:t>
      </w:r>
      <w:r w:rsidR="00BD7F5E">
        <w:t>”(NR)</w:t>
      </w:r>
    </w:p>
    <w:p w14:paraId="069C659E" w14:textId="77777777" w:rsidR="003022F7" w:rsidRPr="005C191C" w:rsidRDefault="003022F7" w:rsidP="003022F7">
      <w:pPr>
        <w:pStyle w:val="Seo"/>
      </w:pPr>
      <w:r>
        <w:t>“Seção II – Ofertas para o Público em Geral</w:t>
      </w:r>
    </w:p>
    <w:p w14:paraId="38F30D9B" w14:textId="77777777" w:rsidR="003022F7" w:rsidRPr="005C191C" w:rsidRDefault="003022F7" w:rsidP="003022F7">
      <w:r w:rsidRPr="00E759E0">
        <w:t>Art. 7º  Os CRA ofertados ao público em geral devem cumulativamente:</w:t>
      </w:r>
    </w:p>
    <w:p w14:paraId="62184EBF" w14:textId="6C173F13" w:rsidR="003022F7" w:rsidRDefault="003022F7" w:rsidP="003022F7">
      <w:pPr>
        <w:pStyle w:val="NormaAlterada"/>
      </w:pPr>
      <w:r>
        <w:t>...........................................................................</w:t>
      </w:r>
    </w:p>
    <w:p w14:paraId="4744F508" w14:textId="30C799A0" w:rsidR="003022F7" w:rsidRPr="005C191C" w:rsidRDefault="003022F7" w:rsidP="003022F7">
      <w:pPr>
        <w:pStyle w:val="NormaAlterada"/>
      </w:pPr>
      <w:r>
        <w:t>§ 6º  Nos casos em que houver o cumprimento da obrigação de retenção de risco por meio de coobrigação do cedente, nos termos do inciso I, não se aplica o limite de exposição por coobrigado de 20% (vinte por cento) do valor da emissão, conforme previsto no art. 43-A da parte geral desta Resolução.”(NR)</w:t>
      </w:r>
    </w:p>
    <w:p w14:paraId="7B550F17" w14:textId="527809AF" w:rsidR="003022F7" w:rsidRDefault="003022F7" w:rsidP="003022F7">
      <w:pPr>
        <w:pStyle w:val="NormaAlterada"/>
      </w:pPr>
      <w:r>
        <w:t xml:space="preserve">“Art. 8º  Em acréscimo às condutas dispostas no art. 59 da Resolução, constitui infração grave, para efeito do disposto no art. 11, § 3º, da Lei nº 6.385, de 1976, a violação dos </w:t>
      </w:r>
      <w:proofErr w:type="spellStart"/>
      <w:r>
        <w:t>arts</w:t>
      </w:r>
      <w:proofErr w:type="spellEnd"/>
      <w:r>
        <w:t>. 2º, 4º e 7º, deste Anexo II.”(NR)</w:t>
      </w:r>
    </w:p>
    <w:p w14:paraId="28C3423F" w14:textId="0930D680" w:rsidR="00BD7F5E" w:rsidRDefault="00BD7F5E" w:rsidP="00BD7F5E">
      <w:r>
        <w:t xml:space="preserve">Art. </w:t>
      </w:r>
      <w:r w:rsidR="003022F7">
        <w:t>5</w:t>
      </w:r>
      <w:r>
        <w:t>º  O Suplemento A da Resolução CVM nº 60, de 2021, passa a vigorar com a seguinte redação:</w:t>
      </w:r>
    </w:p>
    <w:p w14:paraId="1E270C9A" w14:textId="6C884F58" w:rsidR="00BD7F5E" w:rsidRPr="00556AD9" w:rsidRDefault="00A32256" w:rsidP="00BD7F5E">
      <w:pPr>
        <w:pStyle w:val="NormaAlterada"/>
        <w:rPr>
          <w:lang w:eastAsia="pt-BR"/>
        </w:rPr>
      </w:pPr>
      <w:r>
        <w:lastRenderedPageBreak/>
        <w:t>“</w:t>
      </w:r>
      <w:r w:rsidR="00BD7F5E">
        <w:t xml:space="preserve">Art. 2º  </w:t>
      </w:r>
      <w:r w:rsidR="00BD7F5E">
        <w:rPr>
          <w:lang w:eastAsia="pt-BR"/>
        </w:rPr>
        <w:t>Em acréscimo aos requisitos previstos na legislação específica, d</w:t>
      </w:r>
      <w:r w:rsidR="00BD7F5E" w:rsidRPr="005C191C">
        <w:rPr>
          <w:lang w:eastAsia="pt-BR"/>
        </w:rPr>
        <w:t xml:space="preserve">o instrumento de emissão devem constar as seguintes cláusulas mínimas: </w:t>
      </w:r>
    </w:p>
    <w:p w14:paraId="5B1B2764" w14:textId="21784D5B" w:rsidR="00BD7F5E" w:rsidRPr="00556AD9" w:rsidRDefault="00BD7F5E" w:rsidP="00BD7F5E">
      <w:pPr>
        <w:pStyle w:val="NormaAlterada"/>
        <w:rPr>
          <w:lang w:eastAsia="pt-BR"/>
        </w:rPr>
      </w:pPr>
      <w:r w:rsidRPr="005C191C">
        <w:rPr>
          <w:lang w:eastAsia="pt-BR"/>
        </w:rPr>
        <w:t xml:space="preserve">I – </w:t>
      </w:r>
      <w:r>
        <w:rPr>
          <w:lang w:eastAsia="pt-BR"/>
        </w:rPr>
        <w:t>......................................................................</w:t>
      </w:r>
    </w:p>
    <w:p w14:paraId="3BC3110D" w14:textId="77777777" w:rsidR="00BD7F5E" w:rsidRPr="00556AD9" w:rsidRDefault="00BD7F5E" w:rsidP="00BD7F5E">
      <w:pPr>
        <w:pStyle w:val="NormaAlterada"/>
        <w:rPr>
          <w:lang w:eastAsia="pt-BR"/>
        </w:rPr>
      </w:pPr>
      <w:r w:rsidRPr="005C191C">
        <w:rPr>
          <w:lang w:eastAsia="pt-BR"/>
        </w:rPr>
        <w:t xml:space="preserve">a) </w:t>
      </w:r>
      <w:r>
        <w:rPr>
          <w:lang w:eastAsia="pt-BR"/>
        </w:rPr>
        <w:t>nome</w:t>
      </w:r>
      <w:r w:rsidRPr="005C191C">
        <w:rPr>
          <w:lang w:eastAsia="pt-BR"/>
        </w:rPr>
        <w:t xml:space="preserve"> da companhia securitizadora; </w:t>
      </w:r>
    </w:p>
    <w:p w14:paraId="457204E0" w14:textId="35A00D22" w:rsidR="00BD7F5E" w:rsidRPr="00556AD9" w:rsidRDefault="00BD7F5E" w:rsidP="00BD7F5E">
      <w:pPr>
        <w:pStyle w:val="NormaAlterada"/>
        <w:rPr>
          <w:lang w:eastAsia="pt-BR"/>
        </w:rPr>
      </w:pPr>
      <w:r w:rsidRPr="005C191C">
        <w:rPr>
          <w:lang w:eastAsia="pt-BR"/>
        </w:rPr>
        <w:t xml:space="preserve">b) </w:t>
      </w:r>
      <w:r>
        <w:rPr>
          <w:lang w:eastAsia="pt-BR"/>
        </w:rPr>
        <w:t xml:space="preserve">número de ordem, </w:t>
      </w:r>
      <w:r w:rsidRPr="005C191C">
        <w:rPr>
          <w:lang w:eastAsia="pt-BR"/>
        </w:rPr>
        <w:t xml:space="preserve">local e data de emissão; </w:t>
      </w:r>
    </w:p>
    <w:p w14:paraId="0497640B" w14:textId="24E17DB6" w:rsidR="00BD7F5E" w:rsidRDefault="00BD7F5E" w:rsidP="00BD7F5E">
      <w:pPr>
        <w:pStyle w:val="NormaAlterada"/>
        <w:rPr>
          <w:lang w:eastAsia="pt-BR"/>
        </w:rPr>
      </w:pPr>
      <w:r>
        <w:rPr>
          <w:lang w:eastAsia="pt-BR"/>
        </w:rPr>
        <w:t>...........................................................................</w:t>
      </w:r>
    </w:p>
    <w:p w14:paraId="07CE8451" w14:textId="77777777" w:rsidR="00BD7F5E" w:rsidRDefault="00BD7F5E" w:rsidP="00BD7F5E">
      <w:pPr>
        <w:pStyle w:val="NormaAlterada"/>
        <w:rPr>
          <w:lang w:eastAsia="pt-BR"/>
        </w:rPr>
      </w:pPr>
      <w:r w:rsidRPr="005C191C">
        <w:rPr>
          <w:lang w:eastAsia="pt-BR"/>
        </w:rPr>
        <w:t>e) discriminação dos valores, da forma, local e das datas de pagamento</w:t>
      </w:r>
      <w:r>
        <w:rPr>
          <w:lang w:eastAsia="pt-BR"/>
        </w:rPr>
        <w:t xml:space="preserve"> do valor nominal, da liquidação e, se for o caso, das amortizações</w:t>
      </w:r>
      <w:r w:rsidRPr="005C191C">
        <w:rPr>
          <w:lang w:eastAsia="pt-BR"/>
        </w:rPr>
        <w:t xml:space="preserve">; </w:t>
      </w:r>
    </w:p>
    <w:p w14:paraId="67C4F7D9" w14:textId="77777777" w:rsidR="00BD7F5E" w:rsidRDefault="00BD7F5E" w:rsidP="00BD7F5E">
      <w:pPr>
        <w:pStyle w:val="NormaAlterada"/>
        <w:rPr>
          <w:lang w:eastAsia="pt-BR"/>
        </w:rPr>
      </w:pPr>
      <w:r>
        <w:rPr>
          <w:lang w:eastAsia="pt-BR"/>
        </w:rPr>
        <w:t>...........................................................................</w:t>
      </w:r>
    </w:p>
    <w:p w14:paraId="67B2171A" w14:textId="40EB74FE" w:rsidR="003022F7" w:rsidRPr="00556AD9" w:rsidRDefault="003022F7" w:rsidP="003022F7">
      <w:pPr>
        <w:pStyle w:val="NormaAlterada"/>
        <w:rPr>
          <w:lang w:eastAsia="pt-BR"/>
        </w:rPr>
      </w:pPr>
      <w:r>
        <w:rPr>
          <w:lang w:eastAsia="pt-BR"/>
        </w:rPr>
        <w:t xml:space="preserve">VI – </w:t>
      </w:r>
      <w:r w:rsidRPr="005C191C">
        <w:rPr>
          <w:lang w:eastAsia="pt-BR"/>
        </w:rPr>
        <w:t xml:space="preserve">indicação e descrição de outras garantias da operação de securitização, tais como mecanismos de sobrecolateralização ou de retenção de risco pelo cedente, </w:t>
      </w:r>
      <w:r>
        <w:t>garantias fidejussórias ou reais de amortização dos certificados de recebíveis integrantes da emissão ou de classes e séries específicas, se for o caso</w:t>
      </w:r>
      <w:r w:rsidRPr="005C191C">
        <w:rPr>
          <w:lang w:eastAsia="pt-BR"/>
        </w:rPr>
        <w:t xml:space="preserve">; </w:t>
      </w:r>
    </w:p>
    <w:p w14:paraId="7A3FBC21" w14:textId="77777777" w:rsidR="003022F7" w:rsidRDefault="003022F7" w:rsidP="003022F7">
      <w:pPr>
        <w:pStyle w:val="NormaAlterada"/>
        <w:rPr>
          <w:lang w:eastAsia="pt-BR"/>
        </w:rPr>
      </w:pPr>
      <w:r>
        <w:rPr>
          <w:lang w:eastAsia="pt-BR"/>
        </w:rPr>
        <w:t>...........................................................................</w:t>
      </w:r>
    </w:p>
    <w:p w14:paraId="3B697DA0" w14:textId="77777777" w:rsidR="00BD7F5E" w:rsidRDefault="00BD7F5E" w:rsidP="00BD7F5E">
      <w:pPr>
        <w:pStyle w:val="NormaAlterada"/>
        <w:rPr>
          <w:lang w:eastAsia="pt-BR"/>
        </w:rPr>
      </w:pPr>
      <w:r>
        <w:rPr>
          <w:lang w:eastAsia="pt-BR"/>
        </w:rPr>
        <w:t xml:space="preserve">XVI – </w:t>
      </w:r>
      <w:r w:rsidRPr="00D64A05">
        <w:rPr>
          <w:lang w:eastAsia="pt-BR"/>
        </w:rPr>
        <w:t>cláusula de correção por variação cambial, se houver</w:t>
      </w:r>
      <w:r>
        <w:rPr>
          <w:lang w:eastAsia="pt-BR"/>
        </w:rPr>
        <w:t>; e</w:t>
      </w:r>
    </w:p>
    <w:p w14:paraId="59052C41" w14:textId="77777777" w:rsidR="00BD7F5E" w:rsidRDefault="00BD7F5E" w:rsidP="00BD7F5E">
      <w:pPr>
        <w:pStyle w:val="NormaAlterada"/>
        <w:rPr>
          <w:lang w:eastAsia="pt-BR"/>
        </w:rPr>
      </w:pPr>
      <w:r>
        <w:rPr>
          <w:lang w:eastAsia="pt-BR"/>
        </w:rPr>
        <w:t xml:space="preserve">XVII – </w:t>
      </w:r>
      <w:r w:rsidRPr="305D07D4">
        <w:rPr>
          <w:lang w:eastAsia="pt-BR"/>
        </w:rPr>
        <w:t xml:space="preserve">possibilidade de revolvência da carteira de direitos creditórios e, caso admitida, </w:t>
      </w:r>
      <w:r>
        <w:rPr>
          <w:lang w:eastAsia="pt-BR"/>
        </w:rPr>
        <w:t>p</w:t>
      </w:r>
      <w:r>
        <w:t>razo máximo entre o efetivo recebimento dos recursos e a nova aquisição de direitos creditórios pela companhia securitizadora.</w:t>
      </w:r>
    </w:p>
    <w:p w14:paraId="218E6695" w14:textId="3D90804E" w:rsidR="00A32256" w:rsidRDefault="00A32256" w:rsidP="00A32256">
      <w:pPr>
        <w:pStyle w:val="NormaAlterada"/>
        <w:rPr>
          <w:lang w:eastAsia="pt-BR"/>
        </w:rPr>
      </w:pPr>
      <w:r>
        <w:rPr>
          <w:lang w:eastAsia="pt-BR"/>
        </w:rPr>
        <w:t>...........................................................................”(NR)</w:t>
      </w:r>
    </w:p>
    <w:p w14:paraId="53AE5B09" w14:textId="063D5D7E" w:rsidR="003022F7" w:rsidRDefault="003022F7" w:rsidP="003022F7">
      <w:pPr>
        <w:pStyle w:val="NormaAlterada"/>
      </w:pPr>
      <w:r>
        <w:rPr>
          <w:lang w:eastAsia="pt-BR"/>
        </w:rPr>
        <w:t>“</w:t>
      </w:r>
      <w:r w:rsidRPr="305D07D4">
        <w:rPr>
          <w:lang w:eastAsia="pt-BR"/>
        </w:rPr>
        <w:t xml:space="preserve">Art. 3º  </w:t>
      </w:r>
      <w:r>
        <w:t>O instrumento de emissão de títulos de securitização lastreados em direitos creditórios imobiliários deve estar</w:t>
      </w:r>
      <w:r w:rsidDel="00826E55">
        <w:t xml:space="preserve"> registrado </w:t>
      </w:r>
      <w:r w:rsidRPr="005C191C">
        <w:rPr>
          <w:bCs/>
        </w:rPr>
        <w:t>no cartório de registro de imóveis competente</w:t>
      </w:r>
      <w:r>
        <w:t>, exceto quando o lastro da emissão consistir em Cédulas de Crédito Imobiliário.”(NR)</w:t>
      </w:r>
    </w:p>
    <w:p w14:paraId="0B21BA1D" w14:textId="5626037E" w:rsidR="00FA2C9F" w:rsidRPr="00556AD9" w:rsidRDefault="005E3DDE" w:rsidP="00CC089A">
      <w:pPr>
        <w:pStyle w:val="NormaAlterada"/>
        <w:rPr>
          <w:rStyle w:val="normaltextrun"/>
        </w:rPr>
      </w:pPr>
      <w:r>
        <w:rPr>
          <w:rStyle w:val="normaltextrun"/>
        </w:rPr>
        <w:t>“</w:t>
      </w:r>
      <w:r w:rsidR="00FA2C9F" w:rsidRPr="00556AD9">
        <w:rPr>
          <w:rStyle w:val="normaltextrun"/>
        </w:rPr>
        <w:t xml:space="preserve">Art. 4º  Caso uma das características da operação de securitização informada aos investidores seja a originação de </w:t>
      </w:r>
      <w:r w:rsidR="00FA2C9F">
        <w:rPr>
          <w:rStyle w:val="normaltextrun"/>
        </w:rPr>
        <w:t>benefícios</w:t>
      </w:r>
      <w:r w:rsidR="00FA2C9F" w:rsidRPr="00556AD9">
        <w:rPr>
          <w:rStyle w:val="normaltextrun"/>
        </w:rPr>
        <w:t xml:space="preserve"> ambientais, sociais ou de governança, o instrumento de emissão deve informar de modo preciso e claro:</w:t>
      </w:r>
    </w:p>
    <w:p w14:paraId="27EDAD5F" w14:textId="77777777" w:rsidR="00FA2C9F" w:rsidRPr="00556AD9" w:rsidRDefault="00FA2C9F" w:rsidP="00CC089A">
      <w:pPr>
        <w:pStyle w:val="NormaAlterada"/>
        <w:rPr>
          <w:rStyle w:val="normaltextrun"/>
        </w:rPr>
      </w:pPr>
      <w:r w:rsidRPr="00556AD9">
        <w:rPr>
          <w:rStyle w:val="normaltextrun"/>
        </w:rPr>
        <w:t xml:space="preserve">I – quais </w:t>
      </w:r>
      <w:r>
        <w:rPr>
          <w:rStyle w:val="normaltextrun"/>
        </w:rPr>
        <w:t>os benefícios</w:t>
      </w:r>
      <w:r w:rsidRPr="00556AD9">
        <w:rPr>
          <w:rStyle w:val="normaltextrun"/>
        </w:rPr>
        <w:t xml:space="preserve"> esperad</w:t>
      </w:r>
      <w:r>
        <w:rPr>
          <w:rStyle w:val="normaltextrun"/>
        </w:rPr>
        <w:t>o</w:t>
      </w:r>
      <w:r w:rsidRPr="00556AD9">
        <w:rPr>
          <w:rStyle w:val="normaltextrun"/>
        </w:rPr>
        <w:t>s; e</w:t>
      </w:r>
    </w:p>
    <w:p w14:paraId="5892B266" w14:textId="7186983E" w:rsidR="00FA2C9F" w:rsidRPr="005C191C" w:rsidRDefault="00FA2C9F" w:rsidP="003022F7">
      <w:pPr>
        <w:pStyle w:val="NormaAlterada"/>
        <w:rPr>
          <w:bCs/>
        </w:rPr>
      </w:pPr>
      <w:r w:rsidRPr="00556AD9">
        <w:rPr>
          <w:rStyle w:val="normaltextrun"/>
        </w:rPr>
        <w:t>II – quais metodologias, princípios ou diretrizes são adotados na identificação e, se for o caso, monitoramento d</w:t>
      </w:r>
      <w:r>
        <w:rPr>
          <w:rStyle w:val="normaltextrun"/>
        </w:rPr>
        <w:t>os benefícios</w:t>
      </w:r>
      <w:r w:rsidRPr="00556AD9">
        <w:rPr>
          <w:rStyle w:val="normaltextrun"/>
        </w:rPr>
        <w:t>.</w:t>
      </w:r>
      <w:r w:rsidR="005E3DDE">
        <w:rPr>
          <w:rStyle w:val="normaltextrun"/>
        </w:rPr>
        <w:t>”(NR)</w:t>
      </w:r>
    </w:p>
    <w:p w14:paraId="4EE474C4" w14:textId="0B5C2962" w:rsidR="00397D61" w:rsidRDefault="00397D61" w:rsidP="00397D61">
      <w:r>
        <w:lastRenderedPageBreak/>
        <w:t>Art. 6º  O Suplemento G da Resolução CVM nº 60, de 2021, passa a vigorar com a seguinte redação:</w:t>
      </w:r>
    </w:p>
    <w:p w14:paraId="5FE3C64D" w14:textId="77777777" w:rsidR="00474C07" w:rsidRDefault="00EF617C" w:rsidP="00474C07">
      <w:pPr>
        <w:pStyle w:val="NormaAlterada"/>
        <w:rPr>
          <w:lang w:eastAsia="pt-BR"/>
        </w:rPr>
      </w:pPr>
      <w:r>
        <w:t>“</w:t>
      </w:r>
      <w:r w:rsidR="00474C07">
        <w:rPr>
          <w:lang w:eastAsia="pt-BR"/>
        </w:rPr>
        <w:t>...........................................................................</w:t>
      </w:r>
    </w:p>
    <w:tbl>
      <w:tblPr>
        <w:tblW w:w="9540" w:type="dxa"/>
        <w:tblInd w:w="6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0"/>
        <w:gridCol w:w="5959"/>
        <w:gridCol w:w="2381"/>
      </w:tblGrid>
      <w:tr w:rsidR="008E2B9B" w14:paraId="612AACF1" w14:textId="77777777" w:rsidTr="00C67E6D">
        <w:trPr>
          <w:trHeight w:val="300"/>
        </w:trPr>
        <w:tc>
          <w:tcPr>
            <w:tcW w:w="1200" w:type="dxa"/>
            <w:tcBorders>
              <w:top w:val="single" w:sz="6" w:space="0" w:color="auto"/>
              <w:left w:val="single" w:sz="6" w:space="0" w:color="auto"/>
              <w:bottom w:val="single" w:sz="6" w:space="0" w:color="auto"/>
              <w:right w:val="single" w:sz="6" w:space="0" w:color="auto"/>
            </w:tcBorders>
            <w:vAlign w:val="bottom"/>
            <w:hideMark/>
          </w:tcPr>
          <w:p w14:paraId="0B00506A" w14:textId="77B4BED0" w:rsidR="008E2B9B" w:rsidRDefault="008E2B9B">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 xml:space="preserve">1.14 </w:t>
            </w:r>
          </w:p>
        </w:tc>
        <w:tc>
          <w:tcPr>
            <w:tcW w:w="5959" w:type="dxa"/>
            <w:tcBorders>
              <w:top w:val="single" w:sz="6" w:space="0" w:color="auto"/>
              <w:left w:val="single" w:sz="6" w:space="0" w:color="auto"/>
              <w:bottom w:val="single" w:sz="6" w:space="0" w:color="auto"/>
              <w:right w:val="single" w:sz="6" w:space="0" w:color="auto"/>
            </w:tcBorders>
            <w:vAlign w:val="bottom"/>
            <w:hideMark/>
          </w:tcPr>
          <w:p w14:paraId="26199773" w14:textId="77777777" w:rsidR="008E2B9B" w:rsidRDefault="008E2B9B">
            <w:pPr>
              <w:spacing w:before="0" w:after="0" w:line="240" w:lineRule="auto"/>
              <w:ind w:firstLine="225"/>
              <w:jc w:val="left"/>
              <w:textAlignment w:val="baseline"/>
              <w:rPr>
                <w:rFonts w:ascii="Calibri" w:eastAsia="Times New Roman" w:hAnsi="Calibri" w:cs="Calibri"/>
                <w:lang w:eastAsia="pt-BR"/>
              </w:rPr>
            </w:pPr>
            <w:r>
              <w:rPr>
                <w:rFonts w:ascii="Calibri" w:eastAsia="Times New Roman" w:hAnsi="Calibri" w:cs="Calibri"/>
                <w:lang w:eastAsia="pt-BR"/>
              </w:rPr>
              <w:t xml:space="preserve">Tipos de retenção de risco </w:t>
            </w:r>
          </w:p>
        </w:tc>
        <w:tc>
          <w:tcPr>
            <w:tcW w:w="2381" w:type="dxa"/>
            <w:tcBorders>
              <w:top w:val="single" w:sz="6" w:space="0" w:color="auto"/>
              <w:left w:val="single" w:sz="6" w:space="0" w:color="auto"/>
              <w:bottom w:val="single" w:sz="6" w:space="0" w:color="auto"/>
              <w:right w:val="single" w:sz="6" w:space="0" w:color="auto"/>
            </w:tcBorders>
            <w:vAlign w:val="bottom"/>
            <w:hideMark/>
          </w:tcPr>
          <w:p w14:paraId="3ED3DF4F" w14:textId="77777777" w:rsidR="008E2B9B" w:rsidRDefault="008E2B9B">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 xml:space="preserve">[não há ou descrição] </w:t>
            </w:r>
          </w:p>
        </w:tc>
      </w:tr>
      <w:tr w:rsidR="008E2B9B" w14:paraId="01635FE5" w14:textId="77777777" w:rsidTr="00C67E6D">
        <w:trPr>
          <w:trHeight w:val="300"/>
        </w:trPr>
        <w:tc>
          <w:tcPr>
            <w:tcW w:w="1200" w:type="dxa"/>
            <w:tcBorders>
              <w:top w:val="single" w:sz="6" w:space="0" w:color="auto"/>
              <w:left w:val="single" w:sz="6" w:space="0" w:color="auto"/>
              <w:bottom w:val="single" w:sz="6" w:space="0" w:color="auto"/>
              <w:right w:val="single" w:sz="6" w:space="0" w:color="auto"/>
            </w:tcBorders>
            <w:vAlign w:val="bottom"/>
            <w:hideMark/>
          </w:tcPr>
          <w:p w14:paraId="3D399230" w14:textId="17F9A82A" w:rsidR="008E2B9B" w:rsidRDefault="008E2B9B">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 xml:space="preserve">1.14.1 </w:t>
            </w:r>
          </w:p>
        </w:tc>
        <w:tc>
          <w:tcPr>
            <w:tcW w:w="5959" w:type="dxa"/>
            <w:tcBorders>
              <w:top w:val="single" w:sz="6" w:space="0" w:color="auto"/>
              <w:left w:val="single" w:sz="6" w:space="0" w:color="auto"/>
              <w:bottom w:val="single" w:sz="6" w:space="0" w:color="auto"/>
              <w:right w:val="single" w:sz="6" w:space="0" w:color="auto"/>
            </w:tcBorders>
            <w:vAlign w:val="bottom"/>
            <w:hideMark/>
          </w:tcPr>
          <w:p w14:paraId="64A9FFD8" w14:textId="77777777" w:rsidR="008E2B9B" w:rsidRDefault="008E2B9B">
            <w:pPr>
              <w:spacing w:before="0" w:after="0" w:line="240" w:lineRule="auto"/>
              <w:ind w:firstLine="450"/>
              <w:jc w:val="left"/>
              <w:rPr>
                <w:rFonts w:ascii="Calibri" w:eastAsia="Times New Roman" w:hAnsi="Calibri" w:cs="Calibri"/>
                <w:lang w:eastAsia="pt-BR"/>
              </w:rPr>
            </w:pPr>
            <w:r>
              <w:rPr>
                <w:rFonts w:ascii="Calibri" w:eastAsia="Times New Roman" w:hAnsi="Calibri" w:cs="Calibri"/>
                <w:lang w:eastAsia="pt-BR"/>
              </w:rPr>
              <w:t>Retentor de risco</w:t>
            </w:r>
          </w:p>
        </w:tc>
        <w:tc>
          <w:tcPr>
            <w:tcW w:w="2381" w:type="dxa"/>
            <w:tcBorders>
              <w:top w:val="single" w:sz="6" w:space="0" w:color="auto"/>
              <w:left w:val="single" w:sz="6" w:space="0" w:color="auto"/>
              <w:bottom w:val="single" w:sz="6" w:space="0" w:color="auto"/>
              <w:right w:val="single" w:sz="6" w:space="0" w:color="auto"/>
            </w:tcBorders>
            <w:vAlign w:val="bottom"/>
            <w:hideMark/>
          </w:tcPr>
          <w:p w14:paraId="68C8FB73" w14:textId="77777777" w:rsidR="008E2B9B" w:rsidRDefault="008E2B9B">
            <w:pPr>
              <w:spacing w:before="0" w:after="0" w:line="240" w:lineRule="auto"/>
              <w:ind w:firstLine="0"/>
              <w:jc w:val="left"/>
              <w:textAlignment w:val="baseline"/>
              <w:rPr>
                <w:rFonts w:ascii="Times New Roman" w:eastAsia="Times New Roman" w:hAnsi="Times New Roman" w:cs="Times New Roman"/>
                <w:lang w:eastAsia="pt-BR"/>
              </w:rPr>
            </w:pPr>
            <w:r>
              <w:rPr>
                <w:rFonts w:ascii="Calibri" w:eastAsia="Times New Roman" w:hAnsi="Calibri" w:cs="Calibri"/>
                <w:lang w:eastAsia="pt-BR"/>
              </w:rPr>
              <w:t xml:space="preserve">[CNPJ] </w:t>
            </w:r>
          </w:p>
        </w:tc>
      </w:tr>
    </w:tbl>
    <w:p w14:paraId="0F4EDBB4" w14:textId="77777777" w:rsidR="00061084" w:rsidRDefault="00061084" w:rsidP="00061084">
      <w:pPr>
        <w:pStyle w:val="NormaAlterada"/>
        <w:rPr>
          <w:lang w:eastAsia="pt-BR"/>
        </w:rPr>
      </w:pPr>
      <w:r>
        <w:rPr>
          <w:lang w:eastAsia="pt-BR"/>
        </w:rPr>
        <w:t>...........................................................................”(NR)</w:t>
      </w:r>
    </w:p>
    <w:p w14:paraId="197D7E0D" w14:textId="08AF823C" w:rsidR="00742D2B" w:rsidRDefault="00742D2B" w:rsidP="0075606F">
      <w:r>
        <w:t xml:space="preserve">Art. </w:t>
      </w:r>
      <w:r w:rsidR="00397D61">
        <w:t>7</w:t>
      </w:r>
      <w:r>
        <w:t>º  A Resolução CVM nº 60, de 2021, passa a vigorar acrescida dos seguintes dispositivos:</w:t>
      </w:r>
    </w:p>
    <w:p w14:paraId="4981324C" w14:textId="3665A7D2" w:rsidR="00BD7F5E" w:rsidRPr="00556AD9" w:rsidRDefault="00BD7F5E" w:rsidP="00BD7F5E">
      <w:pPr>
        <w:pStyle w:val="NormaAlterada"/>
      </w:pPr>
      <w:r>
        <w:t>“</w:t>
      </w:r>
      <w:r w:rsidRPr="00556AD9">
        <w:t xml:space="preserve">Art. 43-A.  As emissões de </w:t>
      </w:r>
      <w:r w:rsidRPr="000C4169">
        <w:t>títulos de securitização</w:t>
      </w:r>
      <w:r w:rsidRPr="00556AD9">
        <w:t xml:space="preserve"> devem possuir devedores </w:t>
      </w:r>
      <w:r w:rsidRPr="00603BBD">
        <w:t>ou</w:t>
      </w:r>
      <w:r w:rsidRPr="00556AD9">
        <w:t xml:space="preserve"> coobrigados que possuam, direta ou indiretamente, exposição máxima equivalente a 20% (vinte por cento) do valor da emissão, salvo se o devedor </w:t>
      </w:r>
      <w:r w:rsidRPr="00603BBD">
        <w:t>ou</w:t>
      </w:r>
      <w:r w:rsidRPr="00556AD9">
        <w:t xml:space="preserve"> seu coobrigado for:</w:t>
      </w:r>
    </w:p>
    <w:p w14:paraId="7C737442" w14:textId="77777777" w:rsidR="00BD7F5E" w:rsidRPr="00556AD9" w:rsidRDefault="00BD7F5E" w:rsidP="00BD7F5E">
      <w:pPr>
        <w:pStyle w:val="NormaAlterada"/>
      </w:pPr>
      <w:r>
        <w:t xml:space="preserve">I – </w:t>
      </w:r>
      <w:r w:rsidRPr="00556AD9">
        <w:t>companhia aberta;</w:t>
      </w:r>
    </w:p>
    <w:p w14:paraId="74400255" w14:textId="77777777" w:rsidR="00BD7F5E" w:rsidRPr="00556AD9" w:rsidRDefault="00BD7F5E" w:rsidP="00BD7F5E">
      <w:pPr>
        <w:pStyle w:val="NormaAlterada"/>
      </w:pPr>
      <w:r>
        <w:t xml:space="preserve">II – </w:t>
      </w:r>
      <w:r w:rsidRPr="00556AD9">
        <w:t>instituição financeira ou equiparada; ou</w:t>
      </w:r>
    </w:p>
    <w:p w14:paraId="56A6688B" w14:textId="4F19EB6A" w:rsidR="00BD7F5E" w:rsidRPr="00556AD9" w:rsidRDefault="00BD7F5E" w:rsidP="00BD7F5E">
      <w:pPr>
        <w:pStyle w:val="NormaAlterada"/>
      </w:pPr>
      <w:r>
        <w:t xml:space="preserve">III – </w:t>
      </w:r>
      <w:r w:rsidRPr="00556AD9">
        <w:t>entidade que tenha suas demonstrações financeiras relativas ao exercício social imediatamente anterior à data de emissão do título de securitização elaboradas em conformidade com o disposto na Lei nº 6.404, de 1976, e auditadas por auditor independente registrado na CVM</w:t>
      </w:r>
      <w:r>
        <w:t>.</w:t>
      </w:r>
    </w:p>
    <w:p w14:paraId="49058B77" w14:textId="30693127" w:rsidR="00BD7F5E" w:rsidRPr="00556AD9" w:rsidRDefault="00BD7F5E" w:rsidP="00BD7F5E">
      <w:pPr>
        <w:pStyle w:val="NormaAlterada"/>
      </w:pPr>
      <w:r w:rsidRPr="00556AD9">
        <w:t xml:space="preserve">§ 1º </w:t>
      </w:r>
      <w:r>
        <w:t xml:space="preserve"> </w:t>
      </w:r>
      <w:r w:rsidRPr="00556AD9">
        <w:t xml:space="preserve">Para efeito do disposto no </w:t>
      </w:r>
      <w:r w:rsidRPr="00556AD9">
        <w:rPr>
          <w:b/>
          <w:bCs/>
        </w:rPr>
        <w:t>caput</w:t>
      </w:r>
      <w:r w:rsidRPr="00556AD9">
        <w:t>, equiparam-se ao devedor ou seu coobrigado o seu acionista controlador, as sociedades por eles direta ou indiretamente controladas, suas coligadas e sociedades sob controle comum.</w:t>
      </w:r>
    </w:p>
    <w:p w14:paraId="2698239E" w14:textId="24FE9A0B" w:rsidR="008B3360" w:rsidRPr="00697E42" w:rsidRDefault="008B3360" w:rsidP="00AB11E6">
      <w:pPr>
        <w:pStyle w:val="NormaAlterada"/>
      </w:pPr>
      <w:r w:rsidRPr="008B3360">
        <w:t xml:space="preserve"> </w:t>
      </w:r>
      <w:r w:rsidRPr="00697E42">
        <w:t xml:space="preserve">§ 2º </w:t>
      </w:r>
      <w:r w:rsidR="001A56F4">
        <w:t xml:space="preserve"> </w:t>
      </w:r>
      <w:r>
        <w:t>F</w:t>
      </w:r>
      <w:r w:rsidRPr="00697E42">
        <w:t xml:space="preserve">ica dispensado o cumprimento do limite de exposição previsto no </w:t>
      </w:r>
      <w:r w:rsidRPr="00697E42">
        <w:rPr>
          <w:b/>
        </w:rPr>
        <w:t>caput</w:t>
      </w:r>
      <w:r w:rsidRPr="00BF20D4">
        <w:t xml:space="preserve"> caso os títulos de securitização</w:t>
      </w:r>
      <w:r>
        <w:t>:</w:t>
      </w:r>
    </w:p>
    <w:p w14:paraId="359B24EA" w14:textId="6BCE6BC4" w:rsidR="008B3360" w:rsidRPr="00697E42" w:rsidRDefault="008B3360" w:rsidP="00AB11E6">
      <w:pPr>
        <w:pStyle w:val="NormaAlterada"/>
      </w:pPr>
      <w:r w:rsidRPr="00697E42">
        <w:t>I –</w:t>
      </w:r>
      <w:r w:rsidR="001A56F4">
        <w:t xml:space="preserve"> </w:t>
      </w:r>
      <w:r w:rsidRPr="00697E42">
        <w:t>tenham como público alvo exclusivamente sociedades integrantes do mesmo grupo econômico, e seus respectivos administradores e acionistas controladores, sendo vedada a negociação dos títulos de securitização no mercado secundário; ou</w:t>
      </w:r>
    </w:p>
    <w:p w14:paraId="74C42E71" w14:textId="1BE3E78C" w:rsidR="00BD7F5E" w:rsidRPr="00556AD9" w:rsidRDefault="008B3360" w:rsidP="008B3360">
      <w:pPr>
        <w:pStyle w:val="NormaAlterada"/>
      </w:pPr>
      <w:r w:rsidRPr="00D07596">
        <w:t>II – sejam destinados</w:t>
      </w:r>
      <w:r w:rsidRPr="00277AF2">
        <w:t xml:space="preserve"> à subscrição e negociação exclusivamente por investidores</w:t>
      </w:r>
      <w:r>
        <w:t xml:space="preserve"> profissionais.</w:t>
      </w:r>
      <w:r w:rsidR="00BD7F5E">
        <w:t>”(NR)</w:t>
      </w:r>
    </w:p>
    <w:p w14:paraId="25369991" w14:textId="2E8E41AB" w:rsidR="00BD7F5E" w:rsidRDefault="00BD7F5E" w:rsidP="00BD7F5E">
      <w:pPr>
        <w:pStyle w:val="Seo"/>
      </w:pPr>
      <w:r>
        <w:t xml:space="preserve">“Seção I </w:t>
      </w:r>
      <w:r w:rsidR="6958BF71">
        <w:t>–</w:t>
      </w:r>
      <w:r>
        <w:t xml:space="preserve"> Revolvência</w:t>
      </w:r>
    </w:p>
    <w:p w14:paraId="3AAE1489" w14:textId="77777777" w:rsidR="00BD7F5E" w:rsidRDefault="00BD7F5E" w:rsidP="00BD7F5E">
      <w:r>
        <w:t>Art. 43-B.  É permitida a revolvência em operações de securitização.</w:t>
      </w:r>
    </w:p>
    <w:p w14:paraId="4356A2D6" w14:textId="77777777" w:rsidR="00BD7F5E" w:rsidRDefault="00BD7F5E" w:rsidP="00BD7F5E">
      <w:pPr>
        <w:pStyle w:val="NormaAlterada"/>
        <w:rPr>
          <w:lang w:eastAsia="pt-BR"/>
        </w:rPr>
      </w:pPr>
      <w:r w:rsidRPr="305D07D4" w:rsidDel="000E360E">
        <w:rPr>
          <w:lang w:eastAsia="pt-BR"/>
        </w:rPr>
        <w:t xml:space="preserve">§ </w:t>
      </w:r>
      <w:r>
        <w:rPr>
          <w:lang w:eastAsia="pt-BR"/>
        </w:rPr>
        <w:t>1</w:t>
      </w:r>
      <w:r w:rsidRPr="305D07D4">
        <w:rPr>
          <w:lang w:eastAsia="pt-BR"/>
        </w:rPr>
        <w:t xml:space="preserve">º  A revolvência somente pode ocorrer desde que sejam atendidos os critérios de elegibilidade e demais termos e condições estabelecidos no instrumento de emissão, assim como que não seja </w:t>
      </w:r>
      <w:r w:rsidRPr="305D07D4">
        <w:rPr>
          <w:lang w:eastAsia="pt-BR"/>
        </w:rPr>
        <w:lastRenderedPageBreak/>
        <w:t>alterada, para menor, a remuneração dos investidores ou o montante total dos direitos creditórios vinculados à emissão, nem tampouco postergado o cronograma da operação.</w:t>
      </w:r>
    </w:p>
    <w:p w14:paraId="6DB1C820" w14:textId="6149D0A2" w:rsidR="00BD7F5E" w:rsidRPr="00556AD9" w:rsidRDefault="00BD7F5E" w:rsidP="00BD7F5E">
      <w:pPr>
        <w:pStyle w:val="NormaAlterada"/>
      </w:pPr>
      <w:r>
        <w:t>§ 2º  Em caso de revolvência, a companhia securitizadora deve aditar o instrumento de emissão, de forma a vincular os novos direitos creditórios adquiridos à emissão, em até 45 (quarenta e cinco) dias da data da aquisição dos recebíveis.”(NR)</w:t>
      </w:r>
    </w:p>
    <w:p w14:paraId="58577267" w14:textId="62CDB71E" w:rsidR="00BD7F5E" w:rsidRPr="00556AD9" w:rsidRDefault="00BD7F5E" w:rsidP="00BD7F5E">
      <w:pPr>
        <w:pStyle w:val="NormaAlterada"/>
      </w:pPr>
      <w:r>
        <w:t>“</w:t>
      </w:r>
      <w:r w:rsidRPr="00556AD9">
        <w:t>Art. 43-C.  Enquanto não forem utilizados para a aquisição de novos recebíveis, os recursos decorrentes da revolvência dos direitos creditórios somente podem ser utilizados para aplicação em títulos públicos federais, operações compromissadas com lastro em títulos públicos federais ou em cotas de fundos de investimento classificados nas categorias “Renda Fixa – Curto Prazo” ou “Renda Fixa – Simples”.</w:t>
      </w:r>
    </w:p>
    <w:p w14:paraId="44C0C190" w14:textId="2D0A0644" w:rsidR="00742D2B" w:rsidRDefault="00BD7F5E" w:rsidP="00BD7F5E">
      <w:pPr>
        <w:pStyle w:val="NormaAlterada"/>
        <w:rPr>
          <w:lang w:eastAsia="pt-BR"/>
        </w:rPr>
      </w:pPr>
      <w:r w:rsidRPr="272801D2">
        <w:t xml:space="preserve">Parágrafo único.  A parcela de recursos decorrentes da revolvência que não for utilizada, dentro do prazo estabelecido no </w:t>
      </w:r>
      <w:r>
        <w:t>instrumento de emissão</w:t>
      </w:r>
      <w:r w:rsidRPr="272801D2">
        <w:t>, na aquisição de novos direitos creditórios, deve ser utilizada na amortização ou resgate dos títulos de securitização.</w:t>
      </w:r>
      <w:r>
        <w:t>”(NR)</w:t>
      </w:r>
    </w:p>
    <w:p w14:paraId="4D4C3F67" w14:textId="3BF92EE3" w:rsidR="00BD7F5E" w:rsidRDefault="00BD7F5E" w:rsidP="0075606F">
      <w:r>
        <w:t xml:space="preserve">Art. </w:t>
      </w:r>
      <w:r w:rsidR="00EB7C8F">
        <w:t>8</w:t>
      </w:r>
      <w:r>
        <w:t>º  O Suplemento E da Resolução CVM nº 60, de 2021, passa a vigorar acrescida do seguinte subitem:</w:t>
      </w:r>
    </w:p>
    <w:tbl>
      <w:tblPr>
        <w:tblW w:w="9356" w:type="dxa"/>
        <w:tblInd w:w="557" w:type="dxa"/>
        <w:tblLayout w:type="fixed"/>
        <w:tblLook w:val="04A0" w:firstRow="1" w:lastRow="0" w:firstColumn="1" w:lastColumn="0" w:noHBand="0" w:noVBand="1"/>
      </w:tblPr>
      <w:tblGrid>
        <w:gridCol w:w="2552"/>
        <w:gridCol w:w="4549"/>
        <w:gridCol w:w="2255"/>
      </w:tblGrid>
      <w:tr w:rsidR="00BD7F5E" w:rsidRPr="009456B3" w14:paraId="1572B20D" w14:textId="77777777" w:rsidTr="55D35B87">
        <w:trPr>
          <w:trHeight w:val="300"/>
        </w:trPr>
        <w:tc>
          <w:tcPr>
            <w:tcW w:w="2552" w:type="dxa"/>
            <w:tcBorders>
              <w:top w:val="single" w:sz="8" w:space="0" w:color="auto"/>
              <w:left w:val="single" w:sz="8" w:space="0" w:color="auto"/>
              <w:bottom w:val="single" w:sz="8" w:space="0" w:color="auto"/>
              <w:right w:val="single" w:sz="8" w:space="0" w:color="auto"/>
            </w:tcBorders>
            <w:vAlign w:val="bottom"/>
          </w:tcPr>
          <w:p w14:paraId="231B0133" w14:textId="57AD7E5A" w:rsidR="00BD7F5E" w:rsidRPr="00B03577" w:rsidRDefault="00BD7F5E">
            <w:pPr>
              <w:rPr>
                <w:color w:val="000000" w:themeColor="text1"/>
              </w:rPr>
            </w:pPr>
            <w:r w:rsidRPr="55D35B87">
              <w:rPr>
                <w:color w:val="000000" w:themeColor="text1"/>
              </w:rPr>
              <w:t>1.4-A</w:t>
            </w:r>
          </w:p>
        </w:tc>
        <w:tc>
          <w:tcPr>
            <w:tcW w:w="4549" w:type="dxa"/>
            <w:tcBorders>
              <w:top w:val="single" w:sz="8" w:space="0" w:color="auto"/>
              <w:left w:val="single" w:sz="8" w:space="0" w:color="auto"/>
              <w:bottom w:val="single" w:sz="8" w:space="0" w:color="auto"/>
              <w:right w:val="single" w:sz="8" w:space="0" w:color="auto"/>
            </w:tcBorders>
            <w:vAlign w:val="bottom"/>
          </w:tcPr>
          <w:p w14:paraId="5E09CEC7" w14:textId="77777777" w:rsidR="00BD7F5E" w:rsidRPr="00B03577" w:rsidRDefault="00BD7F5E">
            <w:pPr>
              <w:ind w:left="456"/>
              <w:rPr>
                <w:color w:val="000000" w:themeColor="text1"/>
              </w:rPr>
            </w:pPr>
            <w:r w:rsidRPr="00B03577">
              <w:rPr>
                <w:color w:val="000000" w:themeColor="text1"/>
              </w:rPr>
              <w:t>REVOLVÊNCIA</w:t>
            </w:r>
          </w:p>
        </w:tc>
        <w:tc>
          <w:tcPr>
            <w:tcW w:w="2255" w:type="dxa"/>
            <w:tcBorders>
              <w:top w:val="single" w:sz="8" w:space="0" w:color="auto"/>
              <w:left w:val="single" w:sz="8" w:space="0" w:color="auto"/>
              <w:bottom w:val="single" w:sz="8" w:space="0" w:color="auto"/>
              <w:right w:val="single" w:sz="8" w:space="0" w:color="auto"/>
            </w:tcBorders>
            <w:vAlign w:val="bottom"/>
          </w:tcPr>
          <w:p w14:paraId="394E8C8C" w14:textId="77777777" w:rsidR="00BD7F5E" w:rsidRPr="00B03577" w:rsidRDefault="00BD7F5E">
            <w:pPr>
              <w:rPr>
                <w:color w:val="000000" w:themeColor="text1"/>
              </w:rPr>
            </w:pPr>
            <w:r w:rsidRPr="00B03577">
              <w:rPr>
                <w:color w:val="000000" w:themeColor="text1"/>
              </w:rPr>
              <w:t>[SIM/NÃO]</w:t>
            </w:r>
          </w:p>
        </w:tc>
      </w:tr>
    </w:tbl>
    <w:p w14:paraId="2BDC2155" w14:textId="29240F5E" w:rsidR="00BD7F5E" w:rsidRDefault="00BD7F5E" w:rsidP="0075606F">
      <w:r>
        <w:t xml:space="preserve">Art. </w:t>
      </w:r>
      <w:r w:rsidR="001848CB">
        <w:t>9</w:t>
      </w:r>
      <w:r>
        <w:t>º  O Suplemento G da Resolução CVM nº 60, de 2021, passa a vigorar acrescida do seguinte subitem:</w:t>
      </w:r>
    </w:p>
    <w:tbl>
      <w:tblPr>
        <w:tblW w:w="9356" w:type="dxa"/>
        <w:tblInd w:w="557" w:type="dxa"/>
        <w:tblLayout w:type="fixed"/>
        <w:tblLook w:val="04A0" w:firstRow="1" w:lastRow="0" w:firstColumn="1" w:lastColumn="0" w:noHBand="0" w:noVBand="1"/>
      </w:tblPr>
      <w:tblGrid>
        <w:gridCol w:w="2552"/>
        <w:gridCol w:w="4549"/>
        <w:gridCol w:w="2255"/>
      </w:tblGrid>
      <w:tr w:rsidR="00BD7F5E" w:rsidRPr="009456B3" w14:paraId="5C5CDA0B" w14:textId="77777777" w:rsidTr="55D35B87">
        <w:trPr>
          <w:trHeight w:val="300"/>
        </w:trPr>
        <w:tc>
          <w:tcPr>
            <w:tcW w:w="2552" w:type="dxa"/>
            <w:tcBorders>
              <w:top w:val="single" w:sz="8" w:space="0" w:color="auto"/>
              <w:left w:val="single" w:sz="8" w:space="0" w:color="auto"/>
              <w:bottom w:val="single" w:sz="8" w:space="0" w:color="auto"/>
              <w:right w:val="single" w:sz="8" w:space="0" w:color="auto"/>
            </w:tcBorders>
            <w:vAlign w:val="bottom"/>
          </w:tcPr>
          <w:p w14:paraId="36F774A0" w14:textId="77777777" w:rsidR="00BD7F5E" w:rsidRPr="00B03577" w:rsidRDefault="00BD7F5E">
            <w:pPr>
              <w:rPr>
                <w:color w:val="000000" w:themeColor="text1"/>
              </w:rPr>
            </w:pPr>
            <w:r w:rsidRPr="55D35B87">
              <w:rPr>
                <w:color w:val="000000" w:themeColor="text1"/>
              </w:rPr>
              <w:t>1.4-A</w:t>
            </w:r>
          </w:p>
        </w:tc>
        <w:tc>
          <w:tcPr>
            <w:tcW w:w="4549" w:type="dxa"/>
            <w:tcBorders>
              <w:top w:val="single" w:sz="8" w:space="0" w:color="auto"/>
              <w:left w:val="single" w:sz="8" w:space="0" w:color="auto"/>
              <w:bottom w:val="single" w:sz="8" w:space="0" w:color="auto"/>
              <w:right w:val="single" w:sz="8" w:space="0" w:color="auto"/>
            </w:tcBorders>
            <w:vAlign w:val="bottom"/>
          </w:tcPr>
          <w:p w14:paraId="4E41E12F" w14:textId="77777777" w:rsidR="00BD7F5E" w:rsidRPr="00B03577" w:rsidRDefault="00BD7F5E">
            <w:pPr>
              <w:ind w:left="456"/>
              <w:rPr>
                <w:color w:val="000000" w:themeColor="text1"/>
              </w:rPr>
            </w:pPr>
            <w:r w:rsidRPr="00B03577">
              <w:rPr>
                <w:color w:val="000000" w:themeColor="text1"/>
              </w:rPr>
              <w:t>REVOLVÊNCIA</w:t>
            </w:r>
          </w:p>
        </w:tc>
        <w:tc>
          <w:tcPr>
            <w:tcW w:w="2255" w:type="dxa"/>
            <w:tcBorders>
              <w:top w:val="single" w:sz="8" w:space="0" w:color="auto"/>
              <w:left w:val="single" w:sz="8" w:space="0" w:color="auto"/>
              <w:bottom w:val="single" w:sz="8" w:space="0" w:color="auto"/>
              <w:right w:val="single" w:sz="8" w:space="0" w:color="auto"/>
            </w:tcBorders>
            <w:vAlign w:val="bottom"/>
          </w:tcPr>
          <w:p w14:paraId="5068B7B7" w14:textId="77777777" w:rsidR="00BD7F5E" w:rsidRPr="00B03577" w:rsidRDefault="00BD7F5E">
            <w:pPr>
              <w:rPr>
                <w:color w:val="000000" w:themeColor="text1"/>
              </w:rPr>
            </w:pPr>
            <w:r w:rsidRPr="00B03577">
              <w:rPr>
                <w:color w:val="000000" w:themeColor="text1"/>
              </w:rPr>
              <w:t>[SIM/NÃO]</w:t>
            </w:r>
          </w:p>
        </w:tc>
      </w:tr>
    </w:tbl>
    <w:p w14:paraId="1B7191E6" w14:textId="57C9EE06" w:rsidR="00742D2B" w:rsidRDefault="00251E92" w:rsidP="00237C3B">
      <w:r>
        <w:t xml:space="preserve">Art. </w:t>
      </w:r>
      <w:r w:rsidR="001848CB">
        <w:t>10</w:t>
      </w:r>
      <w:r w:rsidR="004B3709">
        <w:t>.</w:t>
      </w:r>
      <w:r>
        <w:t xml:space="preserve">  Ficam revogad</w:t>
      </w:r>
      <w:r w:rsidR="00742D2B">
        <w:t>o</w:t>
      </w:r>
      <w:r>
        <w:t>s</w:t>
      </w:r>
      <w:r w:rsidR="00BD7F5E">
        <w:t xml:space="preserve"> os seguintes dispositivos da Resolução CVM nº 60, de 23 de dezembro de 2023</w:t>
      </w:r>
      <w:r w:rsidR="00742D2B">
        <w:t>:</w:t>
      </w:r>
    </w:p>
    <w:p w14:paraId="27B58C9A" w14:textId="14DDB59C" w:rsidR="00742D2B" w:rsidRDefault="00742D2B" w:rsidP="00237C3B">
      <w:r>
        <w:t>I – o art. 3º, § 1º, inciso I;</w:t>
      </w:r>
    </w:p>
    <w:p w14:paraId="3C038714" w14:textId="0A564420" w:rsidR="00114628" w:rsidRDefault="00114628" w:rsidP="00237C3B">
      <w:r>
        <w:t xml:space="preserve">II </w:t>
      </w:r>
      <w:r w:rsidR="005637AD">
        <w:t>–</w:t>
      </w:r>
      <w:r>
        <w:t xml:space="preserve"> </w:t>
      </w:r>
      <w:r w:rsidR="005637AD">
        <w:t>o art. 33, § 4º;</w:t>
      </w:r>
    </w:p>
    <w:p w14:paraId="4BF8DF16" w14:textId="638FD641" w:rsidR="00742D2B" w:rsidRDefault="005637AD" w:rsidP="00237C3B">
      <w:r>
        <w:t>I</w:t>
      </w:r>
      <w:r w:rsidR="00BD7F5E">
        <w:t xml:space="preserve">II – os </w:t>
      </w:r>
      <w:proofErr w:type="spellStart"/>
      <w:r w:rsidR="00BD7F5E">
        <w:t>arts</w:t>
      </w:r>
      <w:proofErr w:type="spellEnd"/>
      <w:r w:rsidR="00BD7F5E">
        <w:t>. 2º e 3º do Anexo Normativo I;</w:t>
      </w:r>
    </w:p>
    <w:p w14:paraId="63EE4726" w14:textId="2C29D807" w:rsidR="003022F7" w:rsidRDefault="003022F7" w:rsidP="00237C3B">
      <w:r>
        <w:t>I</w:t>
      </w:r>
      <w:r w:rsidR="005637AD">
        <w:t>V</w:t>
      </w:r>
      <w:r>
        <w:t xml:space="preserve"> – o Capítulo III do Anexo Normativo I;</w:t>
      </w:r>
    </w:p>
    <w:p w14:paraId="4C44CAA8" w14:textId="78820503" w:rsidR="00BD7F5E" w:rsidRDefault="003022F7" w:rsidP="00237C3B">
      <w:r>
        <w:t>V</w:t>
      </w:r>
      <w:r w:rsidR="00BD7F5E">
        <w:t xml:space="preserve"> – o art. 3º, inciso III e § 1º do Anexo Normativo II;</w:t>
      </w:r>
    </w:p>
    <w:p w14:paraId="24F97E54" w14:textId="5787602C" w:rsidR="00BD7F5E" w:rsidRDefault="00BD7F5E" w:rsidP="00237C3B">
      <w:r>
        <w:lastRenderedPageBreak/>
        <w:t>V</w:t>
      </w:r>
      <w:r w:rsidR="005637AD">
        <w:t>I</w:t>
      </w:r>
      <w:r>
        <w:t xml:space="preserve"> – o art. 4º, §§ 1º ao 4º do Anexo Normativo II;</w:t>
      </w:r>
    </w:p>
    <w:p w14:paraId="045EFA1C" w14:textId="2A5DBF43" w:rsidR="00BD7F5E" w:rsidRDefault="00BD7F5E" w:rsidP="00237C3B">
      <w:r>
        <w:t>V</w:t>
      </w:r>
      <w:r w:rsidR="003022F7">
        <w:t>I</w:t>
      </w:r>
      <w:r w:rsidR="005637AD">
        <w:t>I</w:t>
      </w:r>
      <w:r>
        <w:t xml:space="preserve"> – o art. 5º</w:t>
      </w:r>
      <w:r w:rsidRPr="00BD7F5E">
        <w:t xml:space="preserve"> </w:t>
      </w:r>
      <w:r>
        <w:t>do Anexo Normativo II;</w:t>
      </w:r>
    </w:p>
    <w:p w14:paraId="1C6A2CD3" w14:textId="0EA70F21" w:rsidR="003022F7" w:rsidRDefault="003022F7" w:rsidP="00237C3B">
      <w:r>
        <w:t>VII</w:t>
      </w:r>
      <w:r w:rsidR="005637AD">
        <w:t>I</w:t>
      </w:r>
      <w:r>
        <w:t xml:space="preserve"> – a seção I do Capítulo III do Anexo Normativo II;</w:t>
      </w:r>
    </w:p>
    <w:p w14:paraId="73FFB4FC" w14:textId="291CC836" w:rsidR="003022F7" w:rsidRDefault="005637AD" w:rsidP="00237C3B">
      <w:r>
        <w:t>IX</w:t>
      </w:r>
      <w:r w:rsidR="003022F7">
        <w:t xml:space="preserve"> – o art. 7º</w:t>
      </w:r>
      <w:r w:rsidR="00F610C0">
        <w:t>,</w:t>
      </w:r>
      <w:r w:rsidR="003022F7">
        <w:t xml:space="preserve"> § 4º do art. 7º do Anexo Normativo II; </w:t>
      </w:r>
    </w:p>
    <w:p w14:paraId="4A2D363D" w14:textId="49ECB4F8" w:rsidR="00BD7F5E" w:rsidRDefault="003022F7" w:rsidP="00237C3B">
      <w:r>
        <w:t>X</w:t>
      </w:r>
      <w:r w:rsidR="00BD7F5E">
        <w:t xml:space="preserve"> – o art. 2º,</w:t>
      </w:r>
      <w:r>
        <w:t xml:space="preserve"> inciso X e</w:t>
      </w:r>
      <w:r w:rsidR="00BD7F5E">
        <w:t xml:space="preserve"> § 4º do Suplemento A;</w:t>
      </w:r>
      <w:r>
        <w:t xml:space="preserve"> e</w:t>
      </w:r>
    </w:p>
    <w:p w14:paraId="1F7EA917" w14:textId="7D47D012" w:rsidR="003022F7" w:rsidRDefault="003022F7" w:rsidP="00237C3B">
      <w:r>
        <w:t>X</w:t>
      </w:r>
      <w:r w:rsidR="005637AD">
        <w:t>I</w:t>
      </w:r>
      <w:r>
        <w:t xml:space="preserve"> – os Suplementos H, I e J.</w:t>
      </w:r>
    </w:p>
    <w:p w14:paraId="0AE7E8B2" w14:textId="337F7E95" w:rsidR="00237C3B" w:rsidRDefault="00237C3B" w:rsidP="00237C3B">
      <w:r w:rsidRPr="00237C3B">
        <w:t xml:space="preserve">Art. </w:t>
      </w:r>
      <w:r w:rsidR="003022F7">
        <w:t>1</w:t>
      </w:r>
      <w:r w:rsidR="009A3143">
        <w:t>1</w:t>
      </w:r>
      <w:r w:rsidR="003022F7">
        <w:t>.</w:t>
      </w:r>
      <w:r w:rsidRPr="00237C3B">
        <w:t xml:space="preserve"> </w:t>
      </w:r>
      <w:r w:rsidR="00E53842">
        <w:t xml:space="preserve"> </w:t>
      </w:r>
      <w:r w:rsidRPr="00237C3B">
        <w:t xml:space="preserve">Esta Resolução entra em vigor em </w:t>
      </w:r>
      <w:r w:rsidR="00742D2B">
        <w:t xml:space="preserve">1º de dezembro de </w:t>
      </w:r>
      <w:r w:rsidR="00C3324B">
        <w:t>2023</w:t>
      </w:r>
      <w:r w:rsidRPr="00237C3B">
        <w:t>.</w:t>
      </w:r>
    </w:p>
    <w:p w14:paraId="3D27E8E1" w14:textId="77777777" w:rsidR="00C67E6D" w:rsidRPr="00237C3B" w:rsidRDefault="00C67E6D" w:rsidP="00237C3B"/>
    <w:p w14:paraId="3A884FA6" w14:textId="77777777" w:rsidR="00237C3B" w:rsidRPr="00C67E6D" w:rsidRDefault="00237C3B" w:rsidP="00237C3B">
      <w:pPr>
        <w:spacing w:before="0" w:after="0" w:line="240" w:lineRule="auto"/>
        <w:ind w:firstLine="0"/>
        <w:jc w:val="center"/>
        <w:rPr>
          <w:i/>
          <w:sz w:val="20"/>
          <w:szCs w:val="20"/>
        </w:rPr>
      </w:pPr>
      <w:r w:rsidRPr="00C67E6D">
        <w:rPr>
          <w:i/>
          <w:sz w:val="20"/>
          <w:szCs w:val="20"/>
        </w:rPr>
        <w:t>Assinado eletronicamente por</w:t>
      </w:r>
    </w:p>
    <w:p w14:paraId="1A645E76" w14:textId="7983E2DB" w:rsidR="00237C3B" w:rsidRPr="00E25581" w:rsidRDefault="004B5F16" w:rsidP="00237C3B">
      <w:pPr>
        <w:spacing w:before="0" w:after="0" w:line="240" w:lineRule="auto"/>
        <w:ind w:firstLine="0"/>
        <w:jc w:val="center"/>
        <w:rPr>
          <w:b/>
        </w:rPr>
      </w:pPr>
      <w:r>
        <w:rPr>
          <w:b/>
        </w:rPr>
        <w:t xml:space="preserve">JOÃO PEDRO </w:t>
      </w:r>
      <w:r w:rsidR="00AB2CA1">
        <w:rPr>
          <w:b/>
        </w:rPr>
        <w:t xml:space="preserve">BARROSO </w:t>
      </w:r>
      <w:r>
        <w:rPr>
          <w:b/>
        </w:rPr>
        <w:t>DO NASCIMENTO</w:t>
      </w:r>
    </w:p>
    <w:p w14:paraId="59EF8F3B" w14:textId="78D63781" w:rsidR="00237C3B" w:rsidRDefault="00237C3B" w:rsidP="00143B75">
      <w:pPr>
        <w:spacing w:before="0" w:after="0" w:line="240" w:lineRule="auto"/>
        <w:ind w:firstLine="0"/>
        <w:jc w:val="center"/>
      </w:pPr>
      <w:r w:rsidRPr="00E25581">
        <w:rPr>
          <w:b/>
        </w:rPr>
        <w:t>Presidente</w:t>
      </w:r>
    </w:p>
    <w:sectPr w:rsidR="00237C3B" w:rsidSect="00E25581">
      <w:headerReference w:type="default" r:id="rId11"/>
      <w:headerReference w:type="first" r:id="rId12"/>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BACA5" w14:textId="77777777" w:rsidR="00AE5884" w:rsidRDefault="00AE5884" w:rsidP="00ED1FB4">
      <w:r>
        <w:separator/>
      </w:r>
    </w:p>
  </w:endnote>
  <w:endnote w:type="continuationSeparator" w:id="0">
    <w:p w14:paraId="18580882" w14:textId="77777777" w:rsidR="00AE5884" w:rsidRDefault="00AE5884" w:rsidP="00ED1FB4">
      <w:r>
        <w:continuationSeparator/>
      </w:r>
    </w:p>
  </w:endnote>
  <w:endnote w:type="continuationNotice" w:id="1">
    <w:p w14:paraId="53AF3B27" w14:textId="77777777" w:rsidR="00AE5884" w:rsidRDefault="00AE58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2826" w14:textId="77777777" w:rsidR="00AE5884" w:rsidRDefault="00AE5884" w:rsidP="002F01AA">
      <w:pPr>
        <w:ind w:firstLine="0"/>
      </w:pPr>
      <w:r>
        <w:separator/>
      </w:r>
    </w:p>
  </w:footnote>
  <w:footnote w:type="continuationSeparator" w:id="0">
    <w:p w14:paraId="09865BB0" w14:textId="77777777" w:rsidR="00AE5884" w:rsidRDefault="00AE5884" w:rsidP="00ED1FB4">
      <w:r>
        <w:continuationSeparator/>
      </w:r>
    </w:p>
  </w:footnote>
  <w:footnote w:type="continuationNotice" w:id="1">
    <w:p w14:paraId="55B04F79" w14:textId="77777777" w:rsidR="00AE5884" w:rsidRDefault="00AE58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4FCE" w14:textId="77777777" w:rsidR="005D2C60" w:rsidRPr="00ED1FB4" w:rsidRDefault="005D2C60" w:rsidP="004D68A2">
    <w:pPr>
      <w:pStyle w:val="Rodap"/>
    </w:pPr>
    <w:r w:rsidRPr="00ED1FB4">
      <w:drawing>
        <wp:inline distT="0" distB="0" distL="0" distR="0" wp14:anchorId="74FA83AF" wp14:editId="499AB5F4">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6ED75F9C" w14:textId="77777777" w:rsidR="005D2C60" w:rsidRPr="004D68A2" w:rsidRDefault="005D2C60" w:rsidP="004D68A2">
    <w:pPr>
      <w:pStyle w:val="Rodap"/>
      <w:rPr>
        <w:b/>
        <w:sz w:val="24"/>
        <w:szCs w:val="24"/>
      </w:rPr>
    </w:pPr>
    <w:r w:rsidRPr="004D68A2">
      <w:rPr>
        <w:b/>
        <w:sz w:val="24"/>
        <w:szCs w:val="24"/>
      </w:rPr>
      <w:t>COMISSÃO DE VALORES MOBILIÁRIOS</w:t>
    </w:r>
  </w:p>
  <w:p w14:paraId="577BD257" w14:textId="77777777" w:rsidR="005D2C60" w:rsidRPr="00ED1FB4" w:rsidRDefault="005D2C60" w:rsidP="004D68A2">
    <w:pPr>
      <w:pStyle w:val="Rodap"/>
    </w:pPr>
    <w:r w:rsidRPr="00ED1FB4">
      <w:t>Rua Sete de Setembro, 111/2-5º e 23-34º Andares, Centro, Rio de Janeiro/RJ – CEP: 20050-901 – Brasil - Tel.: (21) 3554-8686</w:t>
    </w:r>
  </w:p>
  <w:p w14:paraId="44413862" w14:textId="77777777" w:rsidR="005D2C60" w:rsidRPr="004D68A2" w:rsidRDefault="005D2C60" w:rsidP="004D68A2">
    <w:pPr>
      <w:pStyle w:val="Rodap"/>
    </w:pPr>
    <w:r w:rsidRPr="004D68A2">
      <w:t>Rua Cincinato Braga, 340/2º, 3º e 4º Andares, Bela Vista, São Paulo/ SP – CEP: 01333-010 – Brasil - Tel.: (11) 2146-2000</w:t>
    </w:r>
  </w:p>
  <w:p w14:paraId="151CED35" w14:textId="77777777" w:rsidR="005D2C60" w:rsidRPr="00ED1FB4" w:rsidRDefault="005D2C60" w:rsidP="004D68A2">
    <w:pPr>
      <w:pStyle w:val="Rodap"/>
    </w:pPr>
    <w:r w:rsidRPr="00ED1FB4">
      <w:t>SCN Q.02 – Bl. A – Ed. Corporate Financial Center, S.404/4º Andar, Brasília/DF – CEP: 70712-900 – Brasil -Tel.: (61) 3327-2030/2031</w:t>
    </w:r>
  </w:p>
  <w:p w14:paraId="11C4C96C" w14:textId="77777777" w:rsidR="005D2C60" w:rsidRDefault="002349A3" w:rsidP="00E25581">
    <w:pPr>
      <w:pStyle w:val="Rodap"/>
      <w:spacing w:after="240"/>
    </w:pPr>
    <w:hyperlink r:id="rId2" w:history="1">
      <w:r w:rsidR="005D2C60" w:rsidRPr="00ED1FB4">
        <w:rPr>
          <w:rStyle w:val="Hyperlink"/>
        </w:rPr>
        <w:t>www.cvm.gov.br</w:t>
      </w:r>
    </w:hyperlink>
  </w:p>
  <w:p w14:paraId="456FEC6E" w14:textId="156CD78A" w:rsidR="00E25581" w:rsidRPr="009B69B0" w:rsidRDefault="00E25581" w:rsidP="00E25581">
    <w:pPr>
      <w:pStyle w:val="Rodap"/>
      <w:spacing w:after="240"/>
      <w:jc w:val="both"/>
      <w:rPr>
        <w:caps/>
      </w:rPr>
    </w:pPr>
    <w:r w:rsidRPr="009B69B0">
      <w:rPr>
        <w:caps/>
      </w:rPr>
      <w:t xml:space="preserve">RESOLUÇÃO CVM Nº </w:t>
    </w:r>
    <w:sdt>
      <w:sdtPr>
        <w:rPr>
          <w:caps/>
        </w:rPr>
        <w:alias w:val="Título"/>
        <w:tag w:val=""/>
        <w:id w:val="1007090907"/>
        <w:placeholder>
          <w:docPart w:val="6FA6982FEDAB4CDBA94F8DB2634FAD65"/>
        </w:placeholder>
        <w:dataBinding w:prefixMappings="xmlns:ns0='http://purl.org/dc/elements/1.1/' xmlns:ns1='http://schemas.openxmlformats.org/package/2006/metadata/core-properties' " w:xpath="/ns1:coreProperties[1]/ns0:title[1]" w:storeItemID="{6C3C8BC8-F283-45AE-878A-BAB7291924A1}"/>
        <w:text/>
      </w:sdtPr>
      <w:sdtEndPr/>
      <w:sdtContent>
        <w:r w:rsidR="006E0BF3">
          <w:rPr>
            <w:caps/>
          </w:rPr>
          <w:t>194, de 17 de NOVEMBRO de 2023</w:t>
        </w:r>
      </w:sdtContent>
    </w:sdt>
    <w:r w:rsidR="00B771AF">
      <w:rPr>
        <w:cap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0E7E3" w14:textId="77777777" w:rsidR="009B69B0" w:rsidRPr="00ED1FB4" w:rsidRDefault="009B69B0" w:rsidP="009B69B0">
    <w:pPr>
      <w:pStyle w:val="Rodap"/>
    </w:pPr>
    <w:r w:rsidRPr="00ED1FB4">
      <w:drawing>
        <wp:inline distT="0" distB="0" distL="0" distR="0" wp14:anchorId="4F432256" wp14:editId="5D892F22">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28650"/>
                  </a:xfrm>
                  <a:prstGeom prst="rect">
                    <a:avLst/>
                  </a:prstGeom>
                  <a:noFill/>
                  <a:ln>
                    <a:noFill/>
                  </a:ln>
                </pic:spPr>
              </pic:pic>
            </a:graphicData>
          </a:graphic>
        </wp:inline>
      </w:drawing>
    </w:r>
  </w:p>
  <w:p w14:paraId="712CAEED" w14:textId="77777777" w:rsidR="009B69B0" w:rsidRPr="004D68A2" w:rsidRDefault="009B69B0" w:rsidP="009B69B0">
    <w:pPr>
      <w:pStyle w:val="Rodap"/>
      <w:rPr>
        <w:b/>
        <w:sz w:val="24"/>
        <w:szCs w:val="24"/>
      </w:rPr>
    </w:pPr>
    <w:r w:rsidRPr="004D68A2">
      <w:rPr>
        <w:b/>
        <w:sz w:val="24"/>
        <w:szCs w:val="24"/>
      </w:rPr>
      <w:t>COMISSÃO DE VALORES MOBILIÁRIOS</w:t>
    </w:r>
  </w:p>
  <w:p w14:paraId="5A3FB487" w14:textId="77777777" w:rsidR="009B69B0" w:rsidRPr="00ED1FB4" w:rsidRDefault="009B69B0" w:rsidP="009B69B0">
    <w:pPr>
      <w:pStyle w:val="Rodap"/>
    </w:pPr>
    <w:r w:rsidRPr="00ED1FB4">
      <w:t>Rua Sete de Setembro, 111/2-5º e 23-34º Andares, Centro, Rio de Janeiro/RJ – CEP: 20050-901 – Brasil - Tel.: (21) 3554-8686</w:t>
    </w:r>
  </w:p>
  <w:p w14:paraId="58FD97C0" w14:textId="77777777" w:rsidR="009B69B0" w:rsidRPr="004D68A2" w:rsidRDefault="009B69B0" w:rsidP="009B69B0">
    <w:pPr>
      <w:pStyle w:val="Rodap"/>
    </w:pPr>
    <w:r w:rsidRPr="004D68A2">
      <w:t>Rua Cincinato Braga, 340/2º, 3º e 4º Andares, Bela Vista, São Paulo/ SP – CEP: 01333-010 – Brasil - Tel.: (11) 2146-2000</w:t>
    </w:r>
  </w:p>
  <w:p w14:paraId="13B3927F" w14:textId="77777777" w:rsidR="009B69B0" w:rsidRPr="00ED1FB4" w:rsidRDefault="009B69B0" w:rsidP="009B69B0">
    <w:pPr>
      <w:pStyle w:val="Rodap"/>
    </w:pPr>
    <w:r w:rsidRPr="00ED1FB4">
      <w:t>SCN Q.02 – Bl. A – Ed. Corporate Financial Center, S.404/4º Andar, Brasília/DF – CEP: 70712-900 – Brasil -Tel.: (61) 3327-2030/2031</w:t>
    </w:r>
  </w:p>
  <w:p w14:paraId="6B07BB45" w14:textId="77777777" w:rsidR="009B69B0" w:rsidRDefault="002349A3" w:rsidP="009B69B0">
    <w:pPr>
      <w:pStyle w:val="Rodap"/>
      <w:spacing w:after="240"/>
    </w:pPr>
    <w:hyperlink r:id="rId2" w:history="1">
      <w:r w:rsidR="009B69B0"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19C9AE8"/>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5AC89A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566C260F"/>
    <w:multiLevelType w:val="multilevel"/>
    <w:tmpl w:val="E1FE61FE"/>
    <w:lvl w:ilvl="0">
      <w:start w:val="1"/>
      <w:numFmt w:val="decimal"/>
      <w:pStyle w:val="TtulosNumerados"/>
      <w:lvlText w:val="%1."/>
      <w:lvlJc w:val="left"/>
      <w:pPr>
        <w:tabs>
          <w:tab w:val="num" w:pos="709"/>
        </w:tabs>
        <w:ind w:left="0" w:firstLine="0"/>
      </w:pPr>
      <w:rPr>
        <w:rFonts w:hint="default"/>
      </w:rPr>
    </w:lvl>
    <w:lvl w:ilvl="1">
      <w:start w:val="1"/>
      <w:numFmt w:val="decimal"/>
      <w:lvlText w:val="%1.%2."/>
      <w:lvlJc w:val="left"/>
      <w:pPr>
        <w:tabs>
          <w:tab w:val="num" w:pos="709"/>
        </w:tabs>
        <w:ind w:left="0" w:firstLine="0"/>
      </w:pPr>
      <w:rPr>
        <w:rFonts w:hint="default"/>
      </w:rPr>
    </w:lvl>
    <w:lvl w:ilvl="2">
      <w:start w:val="1"/>
      <w:numFmt w:val="decimal"/>
      <w:lvlText w:val="%1.%2.%3."/>
      <w:lvlJc w:val="left"/>
      <w:pPr>
        <w:tabs>
          <w:tab w:val="num" w:pos="709"/>
        </w:tabs>
        <w:ind w:left="0" w:firstLine="0"/>
      </w:pPr>
      <w:rPr>
        <w:rFonts w:hint="default"/>
      </w:rPr>
    </w:lvl>
    <w:lvl w:ilvl="3">
      <w:start w:val="1"/>
      <w:numFmt w:val="decimal"/>
      <w:lvlText w:val="%1.%2.%3.%4."/>
      <w:lvlJc w:val="left"/>
      <w:pPr>
        <w:tabs>
          <w:tab w:val="num" w:pos="709"/>
        </w:tabs>
        <w:ind w:left="0" w:firstLine="0"/>
      </w:pPr>
      <w:rPr>
        <w:rFonts w:hint="default"/>
      </w:rPr>
    </w:lvl>
    <w:lvl w:ilvl="4">
      <w:start w:val="1"/>
      <w:numFmt w:val="decimal"/>
      <w:lvlText w:val="%1.%2.%3.%4.%5."/>
      <w:lvlJc w:val="left"/>
      <w:pPr>
        <w:tabs>
          <w:tab w:val="num" w:pos="709"/>
        </w:tabs>
        <w:ind w:left="0" w:firstLine="0"/>
      </w:pPr>
      <w:rPr>
        <w:rFonts w:hint="default"/>
      </w:rPr>
    </w:lvl>
    <w:lvl w:ilvl="5">
      <w:start w:val="1"/>
      <w:numFmt w:val="decimal"/>
      <w:lvlText w:val="%1.%2.%3.%4.%5.%6."/>
      <w:lvlJc w:val="left"/>
      <w:pPr>
        <w:tabs>
          <w:tab w:val="num" w:pos="709"/>
        </w:tabs>
        <w:ind w:left="0" w:firstLine="0"/>
      </w:pPr>
      <w:rPr>
        <w:rFonts w:hint="default"/>
      </w:rPr>
    </w:lvl>
    <w:lvl w:ilvl="6">
      <w:start w:val="1"/>
      <w:numFmt w:val="decimal"/>
      <w:lvlText w:val="%1.%2.%3.%4.%5.%6.%7."/>
      <w:lvlJc w:val="left"/>
      <w:pPr>
        <w:tabs>
          <w:tab w:val="num" w:pos="709"/>
        </w:tabs>
        <w:ind w:left="0" w:firstLine="0"/>
      </w:pPr>
      <w:rPr>
        <w:rFonts w:hint="default"/>
      </w:rPr>
    </w:lvl>
    <w:lvl w:ilvl="7">
      <w:start w:val="1"/>
      <w:numFmt w:val="decimal"/>
      <w:lvlText w:val="%1.%2.%3.%4.%5.%6.%7.%8."/>
      <w:lvlJc w:val="left"/>
      <w:pPr>
        <w:tabs>
          <w:tab w:val="num" w:pos="709"/>
        </w:tabs>
        <w:ind w:left="0" w:firstLine="0"/>
      </w:pPr>
      <w:rPr>
        <w:rFonts w:hint="default"/>
      </w:rPr>
    </w:lvl>
    <w:lvl w:ilvl="8">
      <w:start w:val="1"/>
      <w:numFmt w:val="decimal"/>
      <w:lvlText w:val="%1.%2.%3.%4.%5.%6.%7.%8.%9."/>
      <w:lvlJc w:val="left"/>
      <w:pPr>
        <w:tabs>
          <w:tab w:val="num" w:pos="709"/>
        </w:tabs>
        <w:ind w:left="0" w:firstLine="0"/>
      </w:pPr>
      <w:rPr>
        <w:rFonts w:hint="default"/>
      </w:rPr>
    </w:lvl>
  </w:abstractNum>
  <w:num w:numId="1" w16cid:durableId="1016351026">
    <w:abstractNumId w:val="4"/>
  </w:num>
  <w:num w:numId="2" w16cid:durableId="188352076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00765962">
    <w:abstractNumId w:val="2"/>
  </w:num>
  <w:num w:numId="4" w16cid:durableId="471291021">
    <w:abstractNumId w:val="1"/>
  </w:num>
  <w:num w:numId="5" w16cid:durableId="62457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C3B"/>
    <w:rsid w:val="0000361E"/>
    <w:rsid w:val="00004728"/>
    <w:rsid w:val="00012428"/>
    <w:rsid w:val="00022F3D"/>
    <w:rsid w:val="00024305"/>
    <w:rsid w:val="000305DC"/>
    <w:rsid w:val="00033840"/>
    <w:rsid w:val="000412C2"/>
    <w:rsid w:val="00052FE0"/>
    <w:rsid w:val="00061084"/>
    <w:rsid w:val="0006662C"/>
    <w:rsid w:val="0007071C"/>
    <w:rsid w:val="00074589"/>
    <w:rsid w:val="0007556C"/>
    <w:rsid w:val="00082202"/>
    <w:rsid w:val="00082BE8"/>
    <w:rsid w:val="00083335"/>
    <w:rsid w:val="000927F9"/>
    <w:rsid w:val="00092C3F"/>
    <w:rsid w:val="00095D44"/>
    <w:rsid w:val="00096343"/>
    <w:rsid w:val="000B22B0"/>
    <w:rsid w:val="000B3ACB"/>
    <w:rsid w:val="000C3138"/>
    <w:rsid w:val="000D3D4C"/>
    <w:rsid w:val="000D6A38"/>
    <w:rsid w:val="000E0F0E"/>
    <w:rsid w:val="000E1705"/>
    <w:rsid w:val="000E4DF1"/>
    <w:rsid w:val="000F1CC9"/>
    <w:rsid w:val="000F4F95"/>
    <w:rsid w:val="001028F8"/>
    <w:rsid w:val="00105F27"/>
    <w:rsid w:val="00112B99"/>
    <w:rsid w:val="00114628"/>
    <w:rsid w:val="0012514F"/>
    <w:rsid w:val="00127F50"/>
    <w:rsid w:val="0013340D"/>
    <w:rsid w:val="00135122"/>
    <w:rsid w:val="00141F46"/>
    <w:rsid w:val="00143B75"/>
    <w:rsid w:val="00155CCD"/>
    <w:rsid w:val="00156CB9"/>
    <w:rsid w:val="00160C1A"/>
    <w:rsid w:val="00170916"/>
    <w:rsid w:val="001823EC"/>
    <w:rsid w:val="001848CB"/>
    <w:rsid w:val="00185676"/>
    <w:rsid w:val="001918DA"/>
    <w:rsid w:val="0019543F"/>
    <w:rsid w:val="00196E30"/>
    <w:rsid w:val="001A1791"/>
    <w:rsid w:val="001A1EE4"/>
    <w:rsid w:val="001A56F4"/>
    <w:rsid w:val="001B4909"/>
    <w:rsid w:val="001B5525"/>
    <w:rsid w:val="001C1254"/>
    <w:rsid w:val="001C29D1"/>
    <w:rsid w:val="001C5490"/>
    <w:rsid w:val="001D2AC8"/>
    <w:rsid w:val="001D2AE9"/>
    <w:rsid w:val="001D5B98"/>
    <w:rsid w:val="001E0083"/>
    <w:rsid w:val="001E5D79"/>
    <w:rsid w:val="001F0558"/>
    <w:rsid w:val="001F4B44"/>
    <w:rsid w:val="001F658F"/>
    <w:rsid w:val="001F7D07"/>
    <w:rsid w:val="00210A10"/>
    <w:rsid w:val="00213BBB"/>
    <w:rsid w:val="0021616B"/>
    <w:rsid w:val="002224CB"/>
    <w:rsid w:val="00223B2E"/>
    <w:rsid w:val="00227226"/>
    <w:rsid w:val="002343A4"/>
    <w:rsid w:val="002349A3"/>
    <w:rsid w:val="00237B63"/>
    <w:rsid w:val="00237C3B"/>
    <w:rsid w:val="00241E2C"/>
    <w:rsid w:val="00244386"/>
    <w:rsid w:val="0024614E"/>
    <w:rsid w:val="00250084"/>
    <w:rsid w:val="00251019"/>
    <w:rsid w:val="00251E92"/>
    <w:rsid w:val="002649EC"/>
    <w:rsid w:val="00271FEB"/>
    <w:rsid w:val="002730D3"/>
    <w:rsid w:val="002736E7"/>
    <w:rsid w:val="00276817"/>
    <w:rsid w:val="00282E48"/>
    <w:rsid w:val="00282EE5"/>
    <w:rsid w:val="00284CD9"/>
    <w:rsid w:val="002867B7"/>
    <w:rsid w:val="00286CE7"/>
    <w:rsid w:val="00297835"/>
    <w:rsid w:val="00297E11"/>
    <w:rsid w:val="002B001E"/>
    <w:rsid w:val="002B1DF4"/>
    <w:rsid w:val="002C2885"/>
    <w:rsid w:val="002D0F70"/>
    <w:rsid w:val="002D3E56"/>
    <w:rsid w:val="002D527D"/>
    <w:rsid w:val="002D6BC0"/>
    <w:rsid w:val="002E2CF4"/>
    <w:rsid w:val="002F01AA"/>
    <w:rsid w:val="002F1D96"/>
    <w:rsid w:val="003017D6"/>
    <w:rsid w:val="003022F7"/>
    <w:rsid w:val="00314548"/>
    <w:rsid w:val="0031561B"/>
    <w:rsid w:val="003207A3"/>
    <w:rsid w:val="003234F3"/>
    <w:rsid w:val="0032659C"/>
    <w:rsid w:val="00340F72"/>
    <w:rsid w:val="00354C71"/>
    <w:rsid w:val="00355821"/>
    <w:rsid w:val="003564F5"/>
    <w:rsid w:val="003606AE"/>
    <w:rsid w:val="003615CE"/>
    <w:rsid w:val="00383F38"/>
    <w:rsid w:val="003879FD"/>
    <w:rsid w:val="003907F8"/>
    <w:rsid w:val="0039772F"/>
    <w:rsid w:val="00397D61"/>
    <w:rsid w:val="003A10BD"/>
    <w:rsid w:val="003A306C"/>
    <w:rsid w:val="003A7322"/>
    <w:rsid w:val="003B1569"/>
    <w:rsid w:val="003B5DFF"/>
    <w:rsid w:val="003C2175"/>
    <w:rsid w:val="003C5885"/>
    <w:rsid w:val="003D228C"/>
    <w:rsid w:val="003D5A7D"/>
    <w:rsid w:val="003E450A"/>
    <w:rsid w:val="003F5DDD"/>
    <w:rsid w:val="00412579"/>
    <w:rsid w:val="00414AE1"/>
    <w:rsid w:val="0041797C"/>
    <w:rsid w:val="00422DA9"/>
    <w:rsid w:val="00422F3F"/>
    <w:rsid w:val="004253AE"/>
    <w:rsid w:val="00427D1E"/>
    <w:rsid w:val="00434647"/>
    <w:rsid w:val="00435945"/>
    <w:rsid w:val="004472BC"/>
    <w:rsid w:val="00454724"/>
    <w:rsid w:val="00467A80"/>
    <w:rsid w:val="00474C07"/>
    <w:rsid w:val="00474C9C"/>
    <w:rsid w:val="00487C5A"/>
    <w:rsid w:val="00492C53"/>
    <w:rsid w:val="0049303E"/>
    <w:rsid w:val="004A4BB4"/>
    <w:rsid w:val="004A4E03"/>
    <w:rsid w:val="004B3709"/>
    <w:rsid w:val="004B5F16"/>
    <w:rsid w:val="004C217F"/>
    <w:rsid w:val="004C4C08"/>
    <w:rsid w:val="004C55E5"/>
    <w:rsid w:val="004D0746"/>
    <w:rsid w:val="004D0D1D"/>
    <w:rsid w:val="004D1374"/>
    <w:rsid w:val="004D14D5"/>
    <w:rsid w:val="004D5D6B"/>
    <w:rsid w:val="004D68A2"/>
    <w:rsid w:val="004E15DA"/>
    <w:rsid w:val="004E74BF"/>
    <w:rsid w:val="004F0C79"/>
    <w:rsid w:val="004F79CD"/>
    <w:rsid w:val="00504A63"/>
    <w:rsid w:val="00507ACC"/>
    <w:rsid w:val="0051094A"/>
    <w:rsid w:val="0051180B"/>
    <w:rsid w:val="00515B69"/>
    <w:rsid w:val="00520DD2"/>
    <w:rsid w:val="00531C12"/>
    <w:rsid w:val="00540271"/>
    <w:rsid w:val="00542008"/>
    <w:rsid w:val="00547A76"/>
    <w:rsid w:val="005600C2"/>
    <w:rsid w:val="005603A0"/>
    <w:rsid w:val="005637AD"/>
    <w:rsid w:val="00572002"/>
    <w:rsid w:val="00576A08"/>
    <w:rsid w:val="00581666"/>
    <w:rsid w:val="00584FD0"/>
    <w:rsid w:val="0059227E"/>
    <w:rsid w:val="00592E89"/>
    <w:rsid w:val="00595EDB"/>
    <w:rsid w:val="00597EF7"/>
    <w:rsid w:val="005A157C"/>
    <w:rsid w:val="005A2E8D"/>
    <w:rsid w:val="005A534F"/>
    <w:rsid w:val="005A6370"/>
    <w:rsid w:val="005B38EF"/>
    <w:rsid w:val="005C12BE"/>
    <w:rsid w:val="005C7739"/>
    <w:rsid w:val="005D0046"/>
    <w:rsid w:val="005D0DBA"/>
    <w:rsid w:val="005D167D"/>
    <w:rsid w:val="005D2C60"/>
    <w:rsid w:val="005D5125"/>
    <w:rsid w:val="005E3DDE"/>
    <w:rsid w:val="005E61F9"/>
    <w:rsid w:val="005F12B1"/>
    <w:rsid w:val="005F45DD"/>
    <w:rsid w:val="00603BBD"/>
    <w:rsid w:val="00605096"/>
    <w:rsid w:val="00610F1A"/>
    <w:rsid w:val="00617023"/>
    <w:rsid w:val="006270DF"/>
    <w:rsid w:val="006375B1"/>
    <w:rsid w:val="00642F15"/>
    <w:rsid w:val="00652AFD"/>
    <w:rsid w:val="0065401B"/>
    <w:rsid w:val="0065602B"/>
    <w:rsid w:val="00657B55"/>
    <w:rsid w:val="00661C32"/>
    <w:rsid w:val="006620D9"/>
    <w:rsid w:val="00662FCD"/>
    <w:rsid w:val="00674836"/>
    <w:rsid w:val="00677DCA"/>
    <w:rsid w:val="00682809"/>
    <w:rsid w:val="0069664E"/>
    <w:rsid w:val="006A257E"/>
    <w:rsid w:val="006B1479"/>
    <w:rsid w:val="006C140A"/>
    <w:rsid w:val="006C2F8D"/>
    <w:rsid w:val="006C58B3"/>
    <w:rsid w:val="006D26E0"/>
    <w:rsid w:val="006D6C55"/>
    <w:rsid w:val="006E0952"/>
    <w:rsid w:val="006E0BF3"/>
    <w:rsid w:val="006E0C28"/>
    <w:rsid w:val="006E1563"/>
    <w:rsid w:val="006E1797"/>
    <w:rsid w:val="006E2484"/>
    <w:rsid w:val="006E6F04"/>
    <w:rsid w:val="00712A1D"/>
    <w:rsid w:val="00716038"/>
    <w:rsid w:val="007172E8"/>
    <w:rsid w:val="0072336C"/>
    <w:rsid w:val="007239C4"/>
    <w:rsid w:val="00724194"/>
    <w:rsid w:val="00727062"/>
    <w:rsid w:val="00727A4C"/>
    <w:rsid w:val="0073057A"/>
    <w:rsid w:val="00734419"/>
    <w:rsid w:val="00742D2B"/>
    <w:rsid w:val="0074319C"/>
    <w:rsid w:val="00743671"/>
    <w:rsid w:val="0075040E"/>
    <w:rsid w:val="0075606F"/>
    <w:rsid w:val="00761A8A"/>
    <w:rsid w:val="00762DB5"/>
    <w:rsid w:val="00764B6C"/>
    <w:rsid w:val="00767310"/>
    <w:rsid w:val="0077654B"/>
    <w:rsid w:val="007867BC"/>
    <w:rsid w:val="0079019A"/>
    <w:rsid w:val="00791559"/>
    <w:rsid w:val="007A6D5D"/>
    <w:rsid w:val="007B3164"/>
    <w:rsid w:val="007C2472"/>
    <w:rsid w:val="007D21D0"/>
    <w:rsid w:val="0080078A"/>
    <w:rsid w:val="00804696"/>
    <w:rsid w:val="00806059"/>
    <w:rsid w:val="00806FA4"/>
    <w:rsid w:val="0081067E"/>
    <w:rsid w:val="00814816"/>
    <w:rsid w:val="00815D89"/>
    <w:rsid w:val="008170D6"/>
    <w:rsid w:val="008348D2"/>
    <w:rsid w:val="00837A07"/>
    <w:rsid w:val="00837A3D"/>
    <w:rsid w:val="008417F0"/>
    <w:rsid w:val="00841BBF"/>
    <w:rsid w:val="00847B4F"/>
    <w:rsid w:val="00851ECD"/>
    <w:rsid w:val="00856C0E"/>
    <w:rsid w:val="00861A95"/>
    <w:rsid w:val="0086338B"/>
    <w:rsid w:val="00864D62"/>
    <w:rsid w:val="008732EB"/>
    <w:rsid w:val="0087394D"/>
    <w:rsid w:val="00886985"/>
    <w:rsid w:val="00894689"/>
    <w:rsid w:val="008A3F39"/>
    <w:rsid w:val="008A50EB"/>
    <w:rsid w:val="008B1164"/>
    <w:rsid w:val="008B3360"/>
    <w:rsid w:val="008B41B0"/>
    <w:rsid w:val="008B6FFC"/>
    <w:rsid w:val="008D5074"/>
    <w:rsid w:val="008E1C5D"/>
    <w:rsid w:val="008E2B9B"/>
    <w:rsid w:val="008F2F63"/>
    <w:rsid w:val="009010FE"/>
    <w:rsid w:val="00907F33"/>
    <w:rsid w:val="0091476E"/>
    <w:rsid w:val="009166B5"/>
    <w:rsid w:val="00916A1E"/>
    <w:rsid w:val="00925347"/>
    <w:rsid w:val="0092645C"/>
    <w:rsid w:val="00935035"/>
    <w:rsid w:val="00953B04"/>
    <w:rsid w:val="00956E3B"/>
    <w:rsid w:val="00957C1C"/>
    <w:rsid w:val="0096403B"/>
    <w:rsid w:val="00973BDD"/>
    <w:rsid w:val="009768AB"/>
    <w:rsid w:val="00976CF7"/>
    <w:rsid w:val="009816CC"/>
    <w:rsid w:val="00990B1B"/>
    <w:rsid w:val="00996CD3"/>
    <w:rsid w:val="009A086F"/>
    <w:rsid w:val="009A1B14"/>
    <w:rsid w:val="009A3143"/>
    <w:rsid w:val="009A5906"/>
    <w:rsid w:val="009B1A6F"/>
    <w:rsid w:val="009B5091"/>
    <w:rsid w:val="009B69B0"/>
    <w:rsid w:val="009C58CF"/>
    <w:rsid w:val="009C6539"/>
    <w:rsid w:val="009D1FF2"/>
    <w:rsid w:val="009D69C9"/>
    <w:rsid w:val="009E2F50"/>
    <w:rsid w:val="009E3D47"/>
    <w:rsid w:val="009E621A"/>
    <w:rsid w:val="009E7714"/>
    <w:rsid w:val="009F0838"/>
    <w:rsid w:val="009F138D"/>
    <w:rsid w:val="00A114BE"/>
    <w:rsid w:val="00A32256"/>
    <w:rsid w:val="00A32DF0"/>
    <w:rsid w:val="00A35CA6"/>
    <w:rsid w:val="00A3615F"/>
    <w:rsid w:val="00A47F7A"/>
    <w:rsid w:val="00A52999"/>
    <w:rsid w:val="00A55D19"/>
    <w:rsid w:val="00A60EDE"/>
    <w:rsid w:val="00A675E0"/>
    <w:rsid w:val="00A6779B"/>
    <w:rsid w:val="00A71AE2"/>
    <w:rsid w:val="00A72308"/>
    <w:rsid w:val="00A75F9C"/>
    <w:rsid w:val="00A76168"/>
    <w:rsid w:val="00A85ACF"/>
    <w:rsid w:val="00AA2FC4"/>
    <w:rsid w:val="00AA31FE"/>
    <w:rsid w:val="00AA3CEF"/>
    <w:rsid w:val="00AB11E6"/>
    <w:rsid w:val="00AB2CA1"/>
    <w:rsid w:val="00AC0305"/>
    <w:rsid w:val="00AC41BE"/>
    <w:rsid w:val="00AC7E32"/>
    <w:rsid w:val="00AD2820"/>
    <w:rsid w:val="00AD36B7"/>
    <w:rsid w:val="00AD456A"/>
    <w:rsid w:val="00AD4A51"/>
    <w:rsid w:val="00AE22AC"/>
    <w:rsid w:val="00AE52C1"/>
    <w:rsid w:val="00AE5884"/>
    <w:rsid w:val="00AF0C9F"/>
    <w:rsid w:val="00AF73EB"/>
    <w:rsid w:val="00B35CFD"/>
    <w:rsid w:val="00B42B3E"/>
    <w:rsid w:val="00B46AB0"/>
    <w:rsid w:val="00B47B96"/>
    <w:rsid w:val="00B53897"/>
    <w:rsid w:val="00B609EE"/>
    <w:rsid w:val="00B61040"/>
    <w:rsid w:val="00B62120"/>
    <w:rsid w:val="00B634B1"/>
    <w:rsid w:val="00B64E89"/>
    <w:rsid w:val="00B700B2"/>
    <w:rsid w:val="00B771AF"/>
    <w:rsid w:val="00B776A3"/>
    <w:rsid w:val="00B8447C"/>
    <w:rsid w:val="00B85F9A"/>
    <w:rsid w:val="00B86102"/>
    <w:rsid w:val="00B95DBD"/>
    <w:rsid w:val="00B975FA"/>
    <w:rsid w:val="00BA009D"/>
    <w:rsid w:val="00BA04C9"/>
    <w:rsid w:val="00BA1252"/>
    <w:rsid w:val="00BA130B"/>
    <w:rsid w:val="00BA3584"/>
    <w:rsid w:val="00BA3C56"/>
    <w:rsid w:val="00BB018A"/>
    <w:rsid w:val="00BB0862"/>
    <w:rsid w:val="00BC6747"/>
    <w:rsid w:val="00BD2DB7"/>
    <w:rsid w:val="00BD7F5E"/>
    <w:rsid w:val="00BE2430"/>
    <w:rsid w:val="00BF1D51"/>
    <w:rsid w:val="00BF561B"/>
    <w:rsid w:val="00C03B78"/>
    <w:rsid w:val="00C049AB"/>
    <w:rsid w:val="00C0613B"/>
    <w:rsid w:val="00C134E7"/>
    <w:rsid w:val="00C1691E"/>
    <w:rsid w:val="00C17269"/>
    <w:rsid w:val="00C24B4C"/>
    <w:rsid w:val="00C3231A"/>
    <w:rsid w:val="00C324C3"/>
    <w:rsid w:val="00C3324B"/>
    <w:rsid w:val="00C375DA"/>
    <w:rsid w:val="00C433ED"/>
    <w:rsid w:val="00C51055"/>
    <w:rsid w:val="00C62DA0"/>
    <w:rsid w:val="00C67E6D"/>
    <w:rsid w:val="00C71778"/>
    <w:rsid w:val="00C75C66"/>
    <w:rsid w:val="00C82C89"/>
    <w:rsid w:val="00C83190"/>
    <w:rsid w:val="00C83F83"/>
    <w:rsid w:val="00C85C28"/>
    <w:rsid w:val="00CA75A2"/>
    <w:rsid w:val="00CB0DA5"/>
    <w:rsid w:val="00CB2A2B"/>
    <w:rsid w:val="00CC089A"/>
    <w:rsid w:val="00CC6B71"/>
    <w:rsid w:val="00CD5867"/>
    <w:rsid w:val="00CE3066"/>
    <w:rsid w:val="00CF1B6C"/>
    <w:rsid w:val="00CF411F"/>
    <w:rsid w:val="00D013CB"/>
    <w:rsid w:val="00D06B41"/>
    <w:rsid w:val="00D10AF6"/>
    <w:rsid w:val="00D11A9F"/>
    <w:rsid w:val="00D20AC0"/>
    <w:rsid w:val="00D21117"/>
    <w:rsid w:val="00D21915"/>
    <w:rsid w:val="00D25159"/>
    <w:rsid w:val="00D30988"/>
    <w:rsid w:val="00D322CF"/>
    <w:rsid w:val="00D3678F"/>
    <w:rsid w:val="00D45B26"/>
    <w:rsid w:val="00D55FFC"/>
    <w:rsid w:val="00D6601A"/>
    <w:rsid w:val="00D7198B"/>
    <w:rsid w:val="00D72225"/>
    <w:rsid w:val="00D7563C"/>
    <w:rsid w:val="00D8755B"/>
    <w:rsid w:val="00DA4918"/>
    <w:rsid w:val="00DD2680"/>
    <w:rsid w:val="00DE4C8A"/>
    <w:rsid w:val="00DF78C9"/>
    <w:rsid w:val="00E014CC"/>
    <w:rsid w:val="00E0308D"/>
    <w:rsid w:val="00E06C90"/>
    <w:rsid w:val="00E136DD"/>
    <w:rsid w:val="00E142F6"/>
    <w:rsid w:val="00E20B6D"/>
    <w:rsid w:val="00E25581"/>
    <w:rsid w:val="00E271C7"/>
    <w:rsid w:val="00E27833"/>
    <w:rsid w:val="00E27887"/>
    <w:rsid w:val="00E33F61"/>
    <w:rsid w:val="00E3556E"/>
    <w:rsid w:val="00E35AD1"/>
    <w:rsid w:val="00E363B8"/>
    <w:rsid w:val="00E521A5"/>
    <w:rsid w:val="00E524C9"/>
    <w:rsid w:val="00E53842"/>
    <w:rsid w:val="00E579E1"/>
    <w:rsid w:val="00E601D4"/>
    <w:rsid w:val="00E60B81"/>
    <w:rsid w:val="00E66C6A"/>
    <w:rsid w:val="00E67C45"/>
    <w:rsid w:val="00E706A0"/>
    <w:rsid w:val="00E87715"/>
    <w:rsid w:val="00E93BA3"/>
    <w:rsid w:val="00E97227"/>
    <w:rsid w:val="00EA3983"/>
    <w:rsid w:val="00EA436F"/>
    <w:rsid w:val="00EA47DA"/>
    <w:rsid w:val="00EB2126"/>
    <w:rsid w:val="00EB50A8"/>
    <w:rsid w:val="00EB745C"/>
    <w:rsid w:val="00EB7C8F"/>
    <w:rsid w:val="00EC1AFC"/>
    <w:rsid w:val="00EC6E23"/>
    <w:rsid w:val="00EC703D"/>
    <w:rsid w:val="00ED15F1"/>
    <w:rsid w:val="00ED1FB4"/>
    <w:rsid w:val="00EE02C9"/>
    <w:rsid w:val="00EE7B27"/>
    <w:rsid w:val="00EF617C"/>
    <w:rsid w:val="00F11A16"/>
    <w:rsid w:val="00F21248"/>
    <w:rsid w:val="00F25E82"/>
    <w:rsid w:val="00F46879"/>
    <w:rsid w:val="00F474B4"/>
    <w:rsid w:val="00F56E4F"/>
    <w:rsid w:val="00F610C0"/>
    <w:rsid w:val="00F6425E"/>
    <w:rsid w:val="00F71EF4"/>
    <w:rsid w:val="00F76A30"/>
    <w:rsid w:val="00F839CB"/>
    <w:rsid w:val="00F87F12"/>
    <w:rsid w:val="00F9197B"/>
    <w:rsid w:val="00F92C8E"/>
    <w:rsid w:val="00F96118"/>
    <w:rsid w:val="00F973C6"/>
    <w:rsid w:val="00FA29E1"/>
    <w:rsid w:val="00FA2C9F"/>
    <w:rsid w:val="00FB25BB"/>
    <w:rsid w:val="00FB5809"/>
    <w:rsid w:val="00FC73E3"/>
    <w:rsid w:val="00FD1535"/>
    <w:rsid w:val="00FD7BBD"/>
    <w:rsid w:val="00FE09CA"/>
    <w:rsid w:val="00FE5A75"/>
    <w:rsid w:val="00FE713D"/>
    <w:rsid w:val="00FE7D3D"/>
    <w:rsid w:val="00FF00B7"/>
    <w:rsid w:val="00FF169D"/>
    <w:rsid w:val="00FF7BF8"/>
    <w:rsid w:val="0616BC4A"/>
    <w:rsid w:val="07321FEA"/>
    <w:rsid w:val="0773EEB0"/>
    <w:rsid w:val="094DC594"/>
    <w:rsid w:val="13A40B56"/>
    <w:rsid w:val="16961DB1"/>
    <w:rsid w:val="1C207A34"/>
    <w:rsid w:val="1D23E467"/>
    <w:rsid w:val="1D6886C9"/>
    <w:rsid w:val="223C7F2C"/>
    <w:rsid w:val="24E1E001"/>
    <w:rsid w:val="29756AC4"/>
    <w:rsid w:val="29ADC940"/>
    <w:rsid w:val="2F3825C3"/>
    <w:rsid w:val="399BB4E5"/>
    <w:rsid w:val="3C8DC740"/>
    <w:rsid w:val="4075FA6E"/>
    <w:rsid w:val="446B76FC"/>
    <w:rsid w:val="4663024E"/>
    <w:rsid w:val="4B260863"/>
    <w:rsid w:val="4EEE876F"/>
    <w:rsid w:val="55D35B87"/>
    <w:rsid w:val="57FB3D1F"/>
    <w:rsid w:val="586E6080"/>
    <w:rsid w:val="58B3576F"/>
    <w:rsid w:val="6958BF71"/>
    <w:rsid w:val="698953B5"/>
    <w:rsid w:val="6EF2AB58"/>
    <w:rsid w:val="6FEE302E"/>
    <w:rsid w:val="7228A409"/>
    <w:rsid w:val="7C8F5B54"/>
    <w:rsid w:val="7C96E338"/>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77F443"/>
  <w15:docId w15:val="{EA6A7888-9816-4C64-A525-4EAA60F6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7A"/>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uiPriority w:val="9"/>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paragraph" w:styleId="Textodebalo">
    <w:name w:val="Balloon Text"/>
    <w:basedOn w:val="Normal"/>
    <w:link w:val="TextodebaloChar"/>
    <w:uiPriority w:val="99"/>
    <w:semiHidden/>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link w:val="SeoChar"/>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aliases w:val="Footnote Text Char, Char,Char"/>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aliases w:val="Footnote Text Char Char, Char Char,Char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paragraph" w:styleId="PargrafodaLista">
    <w:name w:val="List Paragraph"/>
    <w:basedOn w:val="Normal"/>
    <w:uiPriority w:val="34"/>
    <w:rsid w:val="00D013CB"/>
    <w:pPr>
      <w:ind w:left="720"/>
      <w:contextualSpacing/>
    </w:pPr>
  </w:style>
  <w:style w:type="paragraph" w:styleId="Reviso">
    <w:name w:val="Revision"/>
    <w:hidden/>
    <w:uiPriority w:val="99"/>
    <w:semiHidden/>
    <w:rsid w:val="000412C2"/>
    <w:pPr>
      <w:spacing w:after="0" w:line="240" w:lineRule="auto"/>
    </w:pPr>
    <w:rPr>
      <w:rFonts w:cstheme="minorHAnsi"/>
      <w:sz w:val="24"/>
      <w:szCs w:val="24"/>
    </w:rPr>
  </w:style>
  <w:style w:type="character" w:styleId="Refdecomentrio">
    <w:name w:val="annotation reference"/>
    <w:basedOn w:val="Fontepargpadro"/>
    <w:uiPriority w:val="99"/>
    <w:semiHidden/>
    <w:unhideWhenUsed/>
    <w:rsid w:val="00662FCD"/>
    <w:rPr>
      <w:sz w:val="16"/>
      <w:szCs w:val="16"/>
    </w:rPr>
  </w:style>
  <w:style w:type="paragraph" w:styleId="Textodecomentrio">
    <w:name w:val="annotation text"/>
    <w:basedOn w:val="Normal"/>
    <w:link w:val="TextodecomentrioChar"/>
    <w:uiPriority w:val="99"/>
    <w:unhideWhenUsed/>
    <w:rsid w:val="00662FCD"/>
    <w:pPr>
      <w:spacing w:line="240" w:lineRule="auto"/>
    </w:pPr>
    <w:rPr>
      <w:sz w:val="20"/>
      <w:szCs w:val="20"/>
    </w:rPr>
  </w:style>
  <w:style w:type="character" w:customStyle="1" w:styleId="TextodecomentrioChar">
    <w:name w:val="Texto de comentário Char"/>
    <w:basedOn w:val="Fontepargpadro"/>
    <w:link w:val="Textodecomentrio"/>
    <w:uiPriority w:val="99"/>
    <w:rsid w:val="00662FCD"/>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662FCD"/>
    <w:rPr>
      <w:b/>
      <w:bCs/>
    </w:rPr>
  </w:style>
  <w:style w:type="character" w:customStyle="1" w:styleId="AssuntodocomentrioChar">
    <w:name w:val="Assunto do comentário Char"/>
    <w:basedOn w:val="TextodecomentrioChar"/>
    <w:link w:val="Assuntodocomentrio"/>
    <w:uiPriority w:val="99"/>
    <w:semiHidden/>
    <w:rsid w:val="00662FCD"/>
    <w:rPr>
      <w:rFonts w:cstheme="minorHAnsi"/>
      <w:b/>
      <w:bCs/>
      <w:sz w:val="20"/>
      <w:szCs w:val="20"/>
    </w:rPr>
  </w:style>
  <w:style w:type="character" w:customStyle="1" w:styleId="xcontentpasted0">
    <w:name w:val="x_contentpasted0"/>
    <w:basedOn w:val="Fontepargpadro"/>
    <w:rsid w:val="00012428"/>
  </w:style>
  <w:style w:type="character" w:customStyle="1" w:styleId="SeoChar">
    <w:name w:val="Seção Char"/>
    <w:basedOn w:val="Fontepargpadro"/>
    <w:link w:val="Seo"/>
    <w:rsid w:val="00BD7F5E"/>
    <w:rPr>
      <w:rFonts w:cstheme="minorHAnsi"/>
      <w:b/>
      <w:sz w:val="24"/>
      <w:szCs w:val="24"/>
    </w:rPr>
  </w:style>
  <w:style w:type="character" w:customStyle="1" w:styleId="normaltextrun">
    <w:name w:val="normaltextrun"/>
    <w:basedOn w:val="Fontepargpadro"/>
    <w:rsid w:val="00FA2C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539876">
      <w:bodyDiv w:val="1"/>
      <w:marLeft w:val="0"/>
      <w:marRight w:val="0"/>
      <w:marTop w:val="0"/>
      <w:marBottom w:val="0"/>
      <w:divBdr>
        <w:top w:val="none" w:sz="0" w:space="0" w:color="auto"/>
        <w:left w:val="none" w:sz="0" w:space="0" w:color="auto"/>
        <w:bottom w:val="none" w:sz="0" w:space="0" w:color="auto"/>
        <w:right w:val="none" w:sz="0" w:space="0" w:color="auto"/>
      </w:divBdr>
    </w:div>
    <w:div w:id="140765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hur\OneDrive%20-%20cvm.gov.br\%5bSDM%5d\%5bAGENDA%20REGULAT&#211;RIA%202021%5d\Prazo%20para%20devolver%20pedido%20de%20vista%20%5bRes.%2045%20e%2046%5d\Resolu&#231;&#227;o%20alteradora%2045%20e%2046_23-11-202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A6982FEDAB4CDBA94F8DB2634FAD65"/>
        <w:category>
          <w:name w:val="Geral"/>
          <w:gallery w:val="placeholder"/>
        </w:category>
        <w:types>
          <w:type w:val="bbPlcHdr"/>
        </w:types>
        <w:behaviors>
          <w:behavior w:val="content"/>
        </w:behaviors>
        <w:guid w:val="{DD9A00DC-3139-481A-AB85-292C392740C8}"/>
      </w:docPartPr>
      <w:docPartBody>
        <w:p w:rsidR="00AF244F" w:rsidRDefault="00674836">
          <w:pPr>
            <w:pStyle w:val="6FA6982FEDAB4CDBA94F8DB2634FAD65"/>
          </w:pPr>
          <w:r w:rsidRPr="005311FB">
            <w:rPr>
              <w:rStyle w:val="TextodoEspaoReservado"/>
            </w:rPr>
            <w:t>[Título]</w:t>
          </w:r>
        </w:p>
      </w:docPartBody>
    </w:docPart>
    <w:docPart>
      <w:docPartPr>
        <w:name w:val="4959B5AE03CA40B29CF3759DEF7D90EB"/>
        <w:category>
          <w:name w:val="Geral"/>
          <w:gallery w:val="placeholder"/>
        </w:category>
        <w:types>
          <w:type w:val="bbPlcHdr"/>
        </w:types>
        <w:behaviors>
          <w:behavior w:val="content"/>
        </w:behaviors>
        <w:guid w:val="{B1ECDA19-59DB-40B9-A7C9-EA08AFE25399}"/>
      </w:docPartPr>
      <w:docPartBody>
        <w:p w:rsidR="00124643" w:rsidRDefault="00D21915" w:rsidP="00D21915">
          <w:pPr>
            <w:pStyle w:val="4959B5AE03CA40B29CF3759DEF7D90EB"/>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36"/>
    <w:rsid w:val="00124643"/>
    <w:rsid w:val="001B6547"/>
    <w:rsid w:val="001C369E"/>
    <w:rsid w:val="001D5445"/>
    <w:rsid w:val="003C07B5"/>
    <w:rsid w:val="0044473A"/>
    <w:rsid w:val="004E4C5D"/>
    <w:rsid w:val="00535758"/>
    <w:rsid w:val="0056148F"/>
    <w:rsid w:val="00674836"/>
    <w:rsid w:val="00682015"/>
    <w:rsid w:val="0089495D"/>
    <w:rsid w:val="008962F7"/>
    <w:rsid w:val="008A7074"/>
    <w:rsid w:val="008B11DE"/>
    <w:rsid w:val="008B3B91"/>
    <w:rsid w:val="008C02F4"/>
    <w:rsid w:val="008C7FF4"/>
    <w:rsid w:val="008F194E"/>
    <w:rsid w:val="00971C6B"/>
    <w:rsid w:val="00A001DE"/>
    <w:rsid w:val="00A707BE"/>
    <w:rsid w:val="00A8567D"/>
    <w:rsid w:val="00AA0DB5"/>
    <w:rsid w:val="00AB1CD5"/>
    <w:rsid w:val="00AF244F"/>
    <w:rsid w:val="00BE1938"/>
    <w:rsid w:val="00BE23DF"/>
    <w:rsid w:val="00D21915"/>
    <w:rsid w:val="00FB27C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21915"/>
    <w:rPr>
      <w:color w:val="808080"/>
    </w:rPr>
  </w:style>
  <w:style w:type="paragraph" w:customStyle="1" w:styleId="6FA6982FEDAB4CDBA94F8DB2634FAD65">
    <w:name w:val="6FA6982FEDAB4CDBA94F8DB2634FAD65"/>
  </w:style>
  <w:style w:type="paragraph" w:customStyle="1" w:styleId="4959B5AE03CA40B29CF3759DEF7D90EB">
    <w:name w:val="4959B5AE03CA40B29CF3759DEF7D90EB"/>
    <w:rsid w:val="00D219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lcf76f155ced4ddcb4097134ff3c332f xmlns="15cb24ba-756a-4ce4-ac9a-5f0544b55546">
      <Terms xmlns="http://schemas.microsoft.com/office/infopath/2007/PartnerControls"/>
    </lcf76f155ced4ddcb4097134ff3c332f>
    <TaxCatchAll xmlns="53adeefc-49af-490c-b6df-0a140ad55ab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7" ma:contentTypeDescription="Create a new document." ma:contentTypeScope="" ma:versionID="13dd09f2efa244360efaffc7b8f69032">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6ba99435b1d68dd29116d5792ee4043d"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e61717-d90c-407f-8ff1-20c07df31b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fe42c98-5a55-49ff-bbfe-4906bee2a489}" ma:internalName="TaxCatchAll" ma:showField="CatchAllData" ma:web="53adeefc-49af-490c-b6df-0a140ad55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B5A1A4-9D81-46F0-9142-701166337BCA}">
  <ds:schemaRefs>
    <ds:schemaRef ds:uri="http://schemas.microsoft.com/sharepoint/v3/contenttype/forms"/>
  </ds:schemaRefs>
</ds:datastoreItem>
</file>

<file path=customXml/itemProps2.xml><?xml version="1.0" encoding="utf-8"?>
<ds:datastoreItem xmlns:ds="http://schemas.openxmlformats.org/officeDocument/2006/customXml" ds:itemID="{A129E20E-5821-45D3-AC26-57F50D549409}">
  <ds:schemaRefs>
    <ds:schemaRef ds:uri="http://schemas.microsoft.com/office/2006/metadata/properties"/>
    <ds:schemaRef ds:uri="http://schemas.microsoft.com/office/infopath/2007/PartnerControls"/>
    <ds:schemaRef ds:uri="15cb24ba-756a-4ce4-ac9a-5f0544b55546"/>
    <ds:schemaRef ds:uri="53adeefc-49af-490c-b6df-0a140ad55ab3"/>
  </ds:schemaRefs>
</ds:datastoreItem>
</file>

<file path=customXml/itemProps3.xml><?xml version="1.0" encoding="utf-8"?>
<ds:datastoreItem xmlns:ds="http://schemas.openxmlformats.org/officeDocument/2006/customXml" ds:itemID="{68A8BB08-CC7E-4648-87F0-02C4A0CEEDAF}">
  <ds:schemaRefs>
    <ds:schemaRef ds:uri="http://schemas.openxmlformats.org/officeDocument/2006/bibliography"/>
  </ds:schemaRefs>
</ds:datastoreItem>
</file>

<file path=customXml/itemProps4.xml><?xml version="1.0" encoding="utf-8"?>
<ds:datastoreItem xmlns:ds="http://schemas.openxmlformats.org/officeDocument/2006/customXml" ds:itemID="{C51E4D87-8B8F-4539-88F5-2D83F359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Resolução alteradora 45 e 46_23-11-2021.dotx</Template>
  <TotalTime>12</TotalTime>
  <Pages>11</Pages>
  <Words>3366</Words>
  <Characters>18181</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194, de 17 de NOVEMBRO de 2023</vt:lpstr>
    </vt:vector>
  </TitlesOfParts>
  <Company/>
  <LinksUpToDate>false</LinksUpToDate>
  <CharactersWithSpaces>21504</CharactersWithSpaces>
  <SharedDoc>false</SharedDoc>
  <HLinks>
    <vt:vector size="12" baseType="variant">
      <vt:variant>
        <vt:i4>7929915</vt:i4>
      </vt:variant>
      <vt:variant>
        <vt:i4>3</vt:i4>
      </vt:variant>
      <vt:variant>
        <vt:i4>0</vt:i4>
      </vt:variant>
      <vt:variant>
        <vt:i4>5</vt:i4>
      </vt:variant>
      <vt:variant>
        <vt:lpwstr>http://www.cvm.gov.br/</vt:lpwstr>
      </vt:variant>
      <vt:variant>
        <vt:lpwstr/>
      </vt:variant>
      <vt:variant>
        <vt:i4>7929915</vt:i4>
      </vt:variant>
      <vt:variant>
        <vt:i4>0</vt:i4>
      </vt:variant>
      <vt:variant>
        <vt:i4>0</vt:i4>
      </vt:variant>
      <vt:variant>
        <vt:i4>5</vt:i4>
      </vt:variant>
      <vt:variant>
        <vt:lpwstr>http://www.cvm.gov.br/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 de 17 de NOVEMBRO de 2023</dc:title>
  <dc:subject/>
  <dc:creator>CVM</dc:creator>
  <cp:keywords/>
  <cp:lastModifiedBy>Renata Dos Santos Leitão</cp:lastModifiedBy>
  <cp:revision>17</cp:revision>
  <cp:lastPrinted>2023-11-15T13:52:00Z</cp:lastPrinted>
  <dcterms:created xsi:type="dcterms:W3CDTF">2023-11-10T15:28:00Z</dcterms:created>
  <dcterms:modified xsi:type="dcterms:W3CDTF">2023-11-16T21:38:00Z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MediaServiceImageTags">
    <vt:lpwstr/>
  </property>
</Properties>
</file>