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9B605" w14:textId="04CAC450" w:rsidR="009E55EA" w:rsidRPr="00792FF5" w:rsidRDefault="009E55EA" w:rsidP="009E55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92FF5">
        <w:rPr>
          <w:rFonts w:ascii="Calibri" w:hAnsi="Calibri" w:cs="Calibri"/>
          <w:color w:val="000000"/>
        </w:rPr>
        <w:t>DELIBERAÇÃO CVM Nº </w:t>
      </w:r>
      <w:r w:rsidRPr="00792FF5">
        <w:rPr>
          <w:rFonts w:ascii="Calibri" w:eastAsiaTheme="majorEastAsia" w:hAnsi="Calibri" w:cs="Calibri"/>
          <w:color w:val="000000"/>
        </w:rPr>
        <w:t>88</w:t>
      </w:r>
      <w:r w:rsidRPr="00792FF5">
        <w:rPr>
          <w:rFonts w:ascii="Calibri" w:hAnsi="Calibri" w:cs="Calibri"/>
          <w:color w:val="000000"/>
        </w:rPr>
        <w:t>6</w:t>
      </w:r>
      <w:r w:rsidRPr="00792FF5">
        <w:rPr>
          <w:rFonts w:ascii="Calibri" w:eastAsiaTheme="majorEastAsia" w:hAnsi="Calibri" w:cs="Calibri"/>
          <w:color w:val="000000"/>
        </w:rPr>
        <w:t xml:space="preserve">, DE 15 DE FEVEREIRO </w:t>
      </w:r>
      <w:r w:rsidRPr="00792FF5">
        <w:rPr>
          <w:rFonts w:ascii="Calibri" w:hAnsi="Calibri" w:cs="Calibri"/>
          <w:color w:val="000000"/>
        </w:rPr>
        <w:t>DE 2023</w:t>
      </w:r>
    </w:p>
    <w:p w14:paraId="05889DE2" w14:textId="77777777" w:rsidR="009E55EA" w:rsidRPr="00792FF5" w:rsidRDefault="009E55EA" w:rsidP="009E55EA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  <w:r w:rsidRPr="00792FF5">
        <w:rPr>
          <w:rFonts w:ascii="Calibri" w:hAnsi="Calibri" w:cs="Calibri"/>
          <w:color w:val="000000"/>
        </w:rPr>
        <w:t> </w:t>
      </w:r>
    </w:p>
    <w:p w14:paraId="651DA630" w14:textId="77777777" w:rsidR="009E55EA" w:rsidRPr="00792FF5" w:rsidRDefault="009E55EA" w:rsidP="0054063F">
      <w:pPr>
        <w:pStyle w:val="Ementa"/>
        <w:rPr>
          <w:rFonts w:ascii="Calibri" w:hAnsi="Calibri" w:cs="Calibri"/>
          <w:color w:val="000000"/>
        </w:rPr>
      </w:pPr>
      <w:r w:rsidRPr="0054063F">
        <w:t>Altera a Deliberação CVM nº 875, de 30 de setembro de 2021</w:t>
      </w:r>
      <w:r w:rsidRPr="00792FF5">
        <w:rPr>
          <w:rFonts w:ascii="Calibri" w:hAnsi="Calibri" w:cs="Calibri"/>
          <w:color w:val="000000"/>
        </w:rPr>
        <w:t>.</w:t>
      </w:r>
    </w:p>
    <w:p w14:paraId="3D7D7D64" w14:textId="1CA7CD01" w:rsidR="009E55EA" w:rsidRPr="00792FF5" w:rsidRDefault="009E55EA" w:rsidP="009E55EA">
      <w:pPr>
        <w:pStyle w:val="textojustificadorecuoprimeiralinha"/>
        <w:spacing w:before="120" w:beforeAutospacing="0" w:after="120" w:afterAutospacing="0"/>
        <w:ind w:left="120" w:right="120" w:firstLine="1440"/>
        <w:jc w:val="both"/>
        <w:rPr>
          <w:rFonts w:ascii="Calibri" w:hAnsi="Calibri" w:cs="Calibri"/>
          <w:color w:val="000000"/>
        </w:rPr>
      </w:pPr>
    </w:p>
    <w:p w14:paraId="12404C22" w14:textId="77777777" w:rsidR="009E55EA" w:rsidRPr="00792FF5" w:rsidRDefault="009E55EA" w:rsidP="0054063F">
      <w:r w:rsidRPr="00792FF5">
        <w:t>O </w:t>
      </w:r>
      <w:r w:rsidRPr="00792FF5">
        <w:rPr>
          <w:rStyle w:val="Forte"/>
          <w:rFonts w:ascii="Calibri" w:hAnsi="Calibri" w:cs="Calibri"/>
          <w:color w:val="000000"/>
        </w:rPr>
        <w:t>PRESIDENTE DA COMISSÃO DE VALORES MOBILIÁRIOS – CVM</w:t>
      </w:r>
      <w:r w:rsidRPr="00792FF5">
        <w:t> torna público que o Colegiado, em reunião realizada em </w:t>
      </w:r>
      <w:r w:rsidRPr="00792FF5">
        <w:rPr>
          <w:rStyle w:val="dark-mode-color-black"/>
          <w:rFonts w:ascii="Calibri" w:hAnsi="Calibri" w:cs="Calibri"/>
          <w:color w:val="000000"/>
        </w:rPr>
        <w:t>14 de fevereiro </w:t>
      </w:r>
      <w:r w:rsidRPr="00792FF5">
        <w:t xml:space="preserve">de 2023 com fundamento no disposto no art. 8º, I, da Lei nº 6.385, de 7 de dezembro de 1976, e nos </w:t>
      </w:r>
      <w:proofErr w:type="spellStart"/>
      <w:r w:rsidRPr="00792FF5">
        <w:t>ar</w:t>
      </w:r>
      <w:bookmarkStart w:id="0" w:name="_GoBack"/>
      <w:bookmarkEnd w:id="0"/>
      <w:r w:rsidRPr="00792FF5">
        <w:t>ts</w:t>
      </w:r>
      <w:proofErr w:type="spellEnd"/>
      <w:r w:rsidRPr="00792FF5">
        <w:t>. 12, § 1º e 13, § 3º da Resolução CVM nº 29, de 11 de maio de 2021, APROVOU a seguinte Deliberação:</w:t>
      </w:r>
    </w:p>
    <w:p w14:paraId="47B56FEB" w14:textId="18CEDE26" w:rsidR="009E55EA" w:rsidRPr="00792FF5" w:rsidRDefault="009E55EA" w:rsidP="0054063F">
      <w:r w:rsidRPr="00792FF5">
        <w:t>Art. 1º O item I, item II, item V, subitens c, d e j, e o item VII da Deliberação CVM nº 875, de 30 de setembro de 2021, passam a vigorar com a seguinte redação:</w:t>
      </w:r>
    </w:p>
    <w:p w14:paraId="169373B9" w14:textId="77777777" w:rsidR="009E55EA" w:rsidRPr="00792FF5" w:rsidRDefault="009E55EA" w:rsidP="0054063F">
      <w:r w:rsidRPr="00792FF5">
        <w:t>“I – autorizar </w:t>
      </w:r>
      <w:proofErr w:type="spellStart"/>
      <w:r w:rsidRPr="00792FF5">
        <w:t>Vórtx</w:t>
      </w:r>
      <w:proofErr w:type="spellEnd"/>
      <w:r w:rsidRPr="00792FF5">
        <w:t xml:space="preserve"> QR </w:t>
      </w:r>
      <w:proofErr w:type="spellStart"/>
      <w:r w:rsidRPr="00792FF5">
        <w:t>Tokenizadora</w:t>
      </w:r>
      <w:proofErr w:type="spellEnd"/>
      <w:r w:rsidRPr="00792FF5">
        <w:t xml:space="preserve"> S.A (“</w:t>
      </w:r>
      <w:proofErr w:type="spellStart"/>
      <w:r w:rsidRPr="00792FF5">
        <w:t>Vórtx</w:t>
      </w:r>
      <w:proofErr w:type="spellEnd"/>
      <w:r w:rsidRPr="00792FF5">
        <w:t xml:space="preserve"> QR </w:t>
      </w:r>
      <w:proofErr w:type="spellStart"/>
      <w:r w:rsidRPr="00792FF5">
        <w:t>Tokenizadora</w:t>
      </w:r>
      <w:proofErr w:type="spellEnd"/>
      <w:r w:rsidRPr="00792FF5">
        <w:t>”) a realizar a atividade de constituição e administração de mercados organizados de valores mobiliários, nos termos da Resolução CVM nº 135, de 10 de junho de 2022, com dispensa de observância dos seguintes dispositivos: art. 16, inciso II, alíneas "a" e "b"; art. 20, incisos II a VII; art. 21, § 1º, inciso V; art. 33; art. 41, § 1º, inciso II; art. 42; art. 53, § 2º; art. 54; art. 67, incisos II, III e IV, §§ 1º e 2º; art. 71; art. 73; art. 74, § 1º; art. 80, parágrafo único; art. 83, § 1º; art. 103." (NR)</w:t>
      </w:r>
    </w:p>
    <w:p w14:paraId="31CB4285" w14:textId="77777777" w:rsidR="009E55EA" w:rsidRPr="00792FF5" w:rsidRDefault="009E55EA" w:rsidP="0054063F">
      <w:r w:rsidRPr="00792FF5">
        <w:t xml:space="preserve">"II - </w:t>
      </w:r>
      <w:proofErr w:type="gramStart"/>
      <w:r w:rsidRPr="00792FF5">
        <w:t>autorizar</w:t>
      </w:r>
      <w:proofErr w:type="gramEnd"/>
      <w:r w:rsidRPr="00792FF5">
        <w:t xml:space="preserve"> a </w:t>
      </w:r>
      <w:proofErr w:type="spellStart"/>
      <w:r w:rsidRPr="00792FF5">
        <w:t>Vórtx</w:t>
      </w:r>
      <w:proofErr w:type="spellEnd"/>
      <w:r w:rsidRPr="00792FF5">
        <w:t xml:space="preserve"> Distribuidora de Títulos e Valores Mobiliários Ltda. (“</w:t>
      </w:r>
      <w:proofErr w:type="spellStart"/>
      <w:r w:rsidRPr="00792FF5">
        <w:t>Vórtx</w:t>
      </w:r>
      <w:proofErr w:type="spellEnd"/>
      <w:r w:rsidRPr="00792FF5">
        <w:t xml:space="preserve"> DTVM”), instituição integrante do sistema de distribuição de valores mobiliários, a realizar, no âmbito do </w:t>
      </w:r>
      <w:proofErr w:type="spellStart"/>
      <w:r w:rsidRPr="00792FF5">
        <w:t>Sandbox</w:t>
      </w:r>
      <w:proofErr w:type="spellEnd"/>
      <w:r w:rsidRPr="00792FF5">
        <w:t xml:space="preserve"> Regulatório, a atividade de intermediação de ofertas públicas de valores mobiliários realizadas sob o rito da Resolução CVM nº 160, de 13 de julho de 2022, com dispensa de observância do art. 27, inciso II, alínea b; e art. 25, parágrafo segundo." (NR)</w:t>
      </w:r>
    </w:p>
    <w:p w14:paraId="5DC3B8A3" w14:textId="77777777" w:rsidR="009E55EA" w:rsidRPr="00792FF5" w:rsidRDefault="009E55EA" w:rsidP="0054063F">
      <w:r w:rsidRPr="00792FF5">
        <w:t>"V – </w:t>
      </w:r>
      <w:r w:rsidRPr="00792FF5">
        <w:rPr>
          <w:rStyle w:val="markedcontent"/>
          <w:rFonts w:ascii="Calibri" w:hAnsi="Calibri" w:cs="Calibri"/>
          <w:color w:val="000000"/>
        </w:rPr>
        <w:t>...........................................................</w:t>
      </w:r>
    </w:p>
    <w:p w14:paraId="388F3AA1" w14:textId="77777777" w:rsidR="009E55EA" w:rsidRPr="00792FF5" w:rsidRDefault="009E55EA" w:rsidP="0054063F">
      <w:r w:rsidRPr="00792FF5">
        <w:rPr>
          <w:rStyle w:val="markedcontent"/>
          <w:rFonts w:ascii="Calibri" w:hAnsi="Calibri" w:cs="Calibri"/>
          <w:color w:val="000000"/>
        </w:rPr>
        <w:t>...........................................................</w:t>
      </w:r>
    </w:p>
    <w:p w14:paraId="69C8FE2A" w14:textId="77777777" w:rsidR="009E55EA" w:rsidRPr="00792FF5" w:rsidRDefault="009E55EA" w:rsidP="0054063F">
      <w:r w:rsidRPr="00792FF5">
        <w:t>c) as ofertas públicas de valores mobiliários e as negociações em mercado organizado realizadas nos termos desta Deliberação são restritas a: (i) no máximo, 12 (doze) emissores ativos, no caso de operações envolvendo debêntures, cotas de fundos de investimento fechados e certificados de depósito e certificados de valores mobiliários que tenham como lastro tais valores mobiliários; e (</w:t>
      </w:r>
      <w:proofErr w:type="spellStart"/>
      <w:r w:rsidRPr="00792FF5">
        <w:t>ii</w:t>
      </w:r>
      <w:proofErr w:type="spellEnd"/>
      <w:r w:rsidRPr="00792FF5">
        <w:t>) no máximo, 12 (doze) emissões ativas, no caso de operações envolvendo certificados de recebíveis imobiliários e certificados de recebíveis do agronegócio e certificados de depósito e certificados de valores mobiliários que tenham como lastro tais valores mobiliários.</w:t>
      </w:r>
    </w:p>
    <w:p w14:paraId="5ECB7CA1" w14:textId="77777777" w:rsidR="009E55EA" w:rsidRPr="00792FF5" w:rsidRDefault="009E55EA" w:rsidP="0054063F">
      <w:r w:rsidRPr="00792FF5">
        <w:t xml:space="preserve">d) as operações da </w:t>
      </w:r>
      <w:proofErr w:type="spellStart"/>
      <w:r w:rsidRPr="00792FF5">
        <w:t>Vórtx</w:t>
      </w:r>
      <w:proofErr w:type="spellEnd"/>
      <w:r w:rsidRPr="00792FF5">
        <w:t xml:space="preserve"> DTVM e da </w:t>
      </w:r>
      <w:proofErr w:type="spellStart"/>
      <w:r w:rsidRPr="00792FF5">
        <w:t>Vórtx</w:t>
      </w:r>
      <w:proofErr w:type="spellEnd"/>
      <w:r w:rsidRPr="00792FF5">
        <w:t xml:space="preserve"> QR </w:t>
      </w:r>
      <w:proofErr w:type="spellStart"/>
      <w:r w:rsidRPr="00792FF5">
        <w:t>Tokenizadora</w:t>
      </w:r>
      <w:proofErr w:type="spellEnd"/>
      <w:r w:rsidRPr="00792FF5">
        <w:t xml:space="preserve"> no âmbito do </w:t>
      </w:r>
      <w:proofErr w:type="spellStart"/>
      <w:r w:rsidRPr="00792FF5">
        <w:t>Sandbox</w:t>
      </w:r>
      <w:proofErr w:type="spellEnd"/>
      <w:r w:rsidRPr="00792FF5">
        <w:t xml:space="preserve"> Regulatório se restringem a debêntures, cotas de fundos de investimento fechados, certificados de recebíveis imobiliários e certificados de recebíveis do agronegócio, bem como certificados de depósito e certificados de valores mobiliários que tenham como lastro tais valores mobiliários;</w:t>
      </w:r>
    </w:p>
    <w:p w14:paraId="3F79117E" w14:textId="77777777" w:rsidR="009E55EA" w:rsidRPr="00792FF5" w:rsidRDefault="009E55EA" w:rsidP="0054063F">
      <w:r w:rsidRPr="00792FF5">
        <w:t>(...)</w:t>
      </w:r>
    </w:p>
    <w:p w14:paraId="22A0E2EC" w14:textId="77777777" w:rsidR="009E55EA" w:rsidRPr="00792FF5" w:rsidRDefault="009E55EA" w:rsidP="0054063F">
      <w:r w:rsidRPr="00792FF5">
        <w:t>j) as ofertas públicas realizadas nos termos desta Deliberação de emissores não registrados na CVM apenas podem ser destinadas a investidores profissionais e qualificados.</w:t>
      </w:r>
    </w:p>
    <w:p w14:paraId="112E2A8A" w14:textId="77777777" w:rsidR="009E55EA" w:rsidRPr="00792FF5" w:rsidRDefault="009E55EA" w:rsidP="0054063F">
      <w:r w:rsidRPr="00792FF5">
        <w:rPr>
          <w:rStyle w:val="markedcontent"/>
          <w:rFonts w:ascii="Calibri" w:hAnsi="Calibri" w:cs="Calibri"/>
          <w:color w:val="000000"/>
        </w:rPr>
        <w:t>...........................................................</w:t>
      </w:r>
      <w:r w:rsidRPr="00792FF5">
        <w:t>" (NR)</w:t>
      </w:r>
    </w:p>
    <w:p w14:paraId="3322A974" w14:textId="77777777" w:rsidR="009E55EA" w:rsidRPr="00792FF5" w:rsidRDefault="009E55EA" w:rsidP="0054063F">
      <w:r w:rsidRPr="00792FF5">
        <w:t>"VII - que as autorizações temporárias e dispensas previstas nesta Deliberação são válidas até 14 de março de 2024." (NR)</w:t>
      </w:r>
    </w:p>
    <w:p w14:paraId="45A971D4" w14:textId="70DA0E5C" w:rsidR="009E55EA" w:rsidRPr="00792FF5" w:rsidRDefault="009E55EA" w:rsidP="0054063F">
      <w:r w:rsidRPr="00792FF5">
        <w:t>Art. 2º Est</w:t>
      </w:r>
      <w:r w:rsidR="00F72698">
        <w:t xml:space="preserve">a Deliberação entra em vigor em </w:t>
      </w:r>
      <w:r w:rsidRPr="00792FF5">
        <w:rPr>
          <w:rStyle w:val="dark-mode-color-black"/>
          <w:rFonts w:ascii="Calibri" w:hAnsi="Calibri" w:cs="Calibri"/>
          <w:color w:val="000000"/>
        </w:rPr>
        <w:t>16 de fevereiro</w:t>
      </w:r>
      <w:r w:rsidR="00F72698">
        <w:t xml:space="preserve"> </w:t>
      </w:r>
      <w:r w:rsidRPr="00792FF5">
        <w:t>de 2023.</w:t>
      </w:r>
    </w:p>
    <w:p w14:paraId="35F143D7" w14:textId="39ED383B" w:rsidR="009E55EA" w:rsidRPr="00792FF5" w:rsidRDefault="009E55EA" w:rsidP="009E55EA">
      <w:pPr>
        <w:pStyle w:val="textojustificadorecuoprimeiralinha"/>
        <w:spacing w:before="120" w:beforeAutospacing="0" w:after="120" w:afterAutospacing="0"/>
        <w:ind w:left="120" w:right="120" w:firstLine="1440"/>
        <w:jc w:val="both"/>
        <w:rPr>
          <w:rFonts w:ascii="Calibri" w:hAnsi="Calibri" w:cs="Calibri"/>
          <w:color w:val="000000"/>
        </w:rPr>
      </w:pPr>
      <w:r w:rsidRPr="00792FF5">
        <w:rPr>
          <w:rFonts w:ascii="Calibri" w:hAnsi="Calibri" w:cs="Calibri"/>
          <w:color w:val="000000"/>
        </w:rPr>
        <w:t>  </w:t>
      </w:r>
    </w:p>
    <w:p w14:paraId="03C45F22" w14:textId="77777777" w:rsidR="009E55EA" w:rsidRPr="00792FF5" w:rsidRDefault="009E55EA" w:rsidP="009E55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92FF5">
        <w:rPr>
          <w:rStyle w:val="nfase"/>
          <w:rFonts w:ascii="Calibri" w:hAnsi="Calibri" w:cs="Calibri"/>
          <w:color w:val="000000"/>
        </w:rPr>
        <w:t>Assinado eletronicamente por</w:t>
      </w:r>
    </w:p>
    <w:p w14:paraId="1F824E88" w14:textId="532D1ACA" w:rsidR="009E55EA" w:rsidRPr="00792FF5" w:rsidRDefault="009E55EA" w:rsidP="009E55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92FF5">
        <w:rPr>
          <w:rStyle w:val="Forte"/>
          <w:rFonts w:ascii="Calibri" w:hAnsi="Calibri" w:cs="Calibri"/>
          <w:color w:val="000000"/>
        </w:rPr>
        <w:t>João Pedro Nascimento</w:t>
      </w:r>
    </w:p>
    <w:p w14:paraId="650B6D34" w14:textId="77777777" w:rsidR="009E55EA" w:rsidRPr="00792FF5" w:rsidRDefault="009E55EA" w:rsidP="009E55E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792FF5">
        <w:rPr>
          <w:rStyle w:val="Forte"/>
          <w:rFonts w:ascii="Calibri" w:hAnsi="Calibri" w:cs="Calibri"/>
          <w:color w:val="000000"/>
        </w:rPr>
        <w:t>Presidente</w:t>
      </w:r>
    </w:p>
    <w:p w14:paraId="4B0A953B" w14:textId="38EC64A5" w:rsidR="00632190" w:rsidRPr="009E55EA" w:rsidRDefault="00632190" w:rsidP="009E55EA"/>
    <w:sectPr w:rsidR="00632190" w:rsidRPr="009E55EA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2532" w14:textId="77777777" w:rsidR="009C1367" w:rsidRDefault="009C1367" w:rsidP="00ED1FB4">
      <w:r>
        <w:separator/>
      </w:r>
    </w:p>
  </w:endnote>
  <w:endnote w:type="continuationSeparator" w:id="0">
    <w:p w14:paraId="4BC1D6A4" w14:textId="77777777" w:rsidR="009C1367" w:rsidRDefault="009C1367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A7C0" w14:textId="77777777" w:rsidR="009C1367" w:rsidRDefault="009C1367" w:rsidP="00ED1FB4">
      <w:r>
        <w:separator/>
      </w:r>
    </w:p>
  </w:footnote>
  <w:footnote w:type="continuationSeparator" w:id="0">
    <w:p w14:paraId="5BEDD3E5" w14:textId="77777777" w:rsidR="009C1367" w:rsidRDefault="009C1367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54063F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7D5D67BA" w:rsidR="00E25581" w:rsidRPr="0054063F" w:rsidRDefault="0054063F" w:rsidP="0054063F">
    <w:pPr>
      <w:pStyle w:val="Rodap"/>
      <w:spacing w:after="240"/>
      <w:jc w:val="both"/>
      <w:rPr>
        <w:caps/>
      </w:rPr>
    </w:pPr>
    <w:r w:rsidRPr="0054063F">
      <w:rPr>
        <w:rFonts w:ascii="Calibri" w:hAnsi="Calibri" w:cs="Calibri"/>
        <w:color w:val="000000"/>
      </w:rPr>
      <w:t>DELIBERAÇÃO CVM Nº 886, DE 15 DE FEVEREIRO DE 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54063F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6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9B1412"/>
    <w:multiLevelType w:val="hybridMultilevel"/>
    <w:tmpl w:val="3D429A2C"/>
    <w:lvl w:ilvl="0" w:tplc="22602362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E8444">
      <w:start w:val="1"/>
      <w:numFmt w:val="lowerLetter"/>
      <w:lvlText w:val="%2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25C4">
      <w:start w:val="1"/>
      <w:numFmt w:val="lowerRoman"/>
      <w:lvlText w:val="%3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AC460">
      <w:start w:val="1"/>
      <w:numFmt w:val="decimal"/>
      <w:lvlText w:val="%4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AF40E">
      <w:start w:val="1"/>
      <w:numFmt w:val="lowerLetter"/>
      <w:lvlText w:val="%5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AB48">
      <w:start w:val="1"/>
      <w:numFmt w:val="lowerRoman"/>
      <w:lvlText w:val="%6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C9DDA">
      <w:start w:val="1"/>
      <w:numFmt w:val="decimal"/>
      <w:lvlText w:val="%7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40058">
      <w:start w:val="1"/>
      <w:numFmt w:val="lowerLetter"/>
      <w:lvlText w:val="%8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C3EF8">
      <w:start w:val="1"/>
      <w:numFmt w:val="lowerRoman"/>
      <w:lvlText w:val="%9"/>
      <w:lvlJc w:val="left"/>
      <w:pPr>
        <w:ind w:left="6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82BE8"/>
    <w:rsid w:val="000A3C68"/>
    <w:rsid w:val="00150CD1"/>
    <w:rsid w:val="001E0083"/>
    <w:rsid w:val="00235908"/>
    <w:rsid w:val="0024614E"/>
    <w:rsid w:val="00252BFE"/>
    <w:rsid w:val="002F1D96"/>
    <w:rsid w:val="0038342B"/>
    <w:rsid w:val="003B6981"/>
    <w:rsid w:val="003E5D99"/>
    <w:rsid w:val="003E7649"/>
    <w:rsid w:val="0041797C"/>
    <w:rsid w:val="004C55E5"/>
    <w:rsid w:val="004D68A2"/>
    <w:rsid w:val="00507ACC"/>
    <w:rsid w:val="0054063F"/>
    <w:rsid w:val="0054459C"/>
    <w:rsid w:val="00547A76"/>
    <w:rsid w:val="005C12BE"/>
    <w:rsid w:val="005D2C60"/>
    <w:rsid w:val="00602705"/>
    <w:rsid w:val="006270DF"/>
    <w:rsid w:val="00632190"/>
    <w:rsid w:val="0065401B"/>
    <w:rsid w:val="0065602B"/>
    <w:rsid w:val="00657B55"/>
    <w:rsid w:val="006659D0"/>
    <w:rsid w:val="00680A47"/>
    <w:rsid w:val="006E1563"/>
    <w:rsid w:val="006E1797"/>
    <w:rsid w:val="006E2484"/>
    <w:rsid w:val="00727062"/>
    <w:rsid w:val="00733831"/>
    <w:rsid w:val="00792A2E"/>
    <w:rsid w:val="00792FF5"/>
    <w:rsid w:val="007B3834"/>
    <w:rsid w:val="007B4F00"/>
    <w:rsid w:val="007C7DF7"/>
    <w:rsid w:val="007E65C3"/>
    <w:rsid w:val="0081067E"/>
    <w:rsid w:val="00814816"/>
    <w:rsid w:val="00841BBF"/>
    <w:rsid w:val="008501A5"/>
    <w:rsid w:val="00894689"/>
    <w:rsid w:val="008959E7"/>
    <w:rsid w:val="008B1164"/>
    <w:rsid w:val="008B38E4"/>
    <w:rsid w:val="009010FE"/>
    <w:rsid w:val="00916A1E"/>
    <w:rsid w:val="00956E3B"/>
    <w:rsid w:val="009768AB"/>
    <w:rsid w:val="00990B1B"/>
    <w:rsid w:val="009B2AF4"/>
    <w:rsid w:val="009B6265"/>
    <w:rsid w:val="009B69B0"/>
    <w:rsid w:val="009C1367"/>
    <w:rsid w:val="009E55EA"/>
    <w:rsid w:val="009E621A"/>
    <w:rsid w:val="00A60EDE"/>
    <w:rsid w:val="00AB4671"/>
    <w:rsid w:val="00AC2347"/>
    <w:rsid w:val="00AC7E32"/>
    <w:rsid w:val="00B35CFD"/>
    <w:rsid w:val="00B53897"/>
    <w:rsid w:val="00BC6747"/>
    <w:rsid w:val="00C12C55"/>
    <w:rsid w:val="00C1691E"/>
    <w:rsid w:val="00C24B4C"/>
    <w:rsid w:val="00C3004A"/>
    <w:rsid w:val="00C3231A"/>
    <w:rsid w:val="00C82C89"/>
    <w:rsid w:val="00CC6B71"/>
    <w:rsid w:val="00CE5904"/>
    <w:rsid w:val="00D013CB"/>
    <w:rsid w:val="00D21117"/>
    <w:rsid w:val="00D40AF5"/>
    <w:rsid w:val="00D43F23"/>
    <w:rsid w:val="00D7632B"/>
    <w:rsid w:val="00D76A49"/>
    <w:rsid w:val="00D935D1"/>
    <w:rsid w:val="00DF46D2"/>
    <w:rsid w:val="00DF78D6"/>
    <w:rsid w:val="00E07F7A"/>
    <w:rsid w:val="00E11866"/>
    <w:rsid w:val="00E136DD"/>
    <w:rsid w:val="00E25581"/>
    <w:rsid w:val="00EA436F"/>
    <w:rsid w:val="00EB106E"/>
    <w:rsid w:val="00ED1FB4"/>
    <w:rsid w:val="00ED2164"/>
    <w:rsid w:val="00EE3118"/>
    <w:rsid w:val="00F6796F"/>
    <w:rsid w:val="00F72698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centralizado">
    <w:name w:val="texto_centralizado"/>
    <w:basedOn w:val="Normal"/>
    <w:rsid w:val="009E55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dark-mode-color-black">
    <w:name w:val="dark-mode-color-black"/>
    <w:basedOn w:val="Fontepargpadro"/>
    <w:rsid w:val="009E55EA"/>
  </w:style>
  <w:style w:type="paragraph" w:customStyle="1" w:styleId="textoalinhadodireita">
    <w:name w:val="texto_alinhado_direita"/>
    <w:basedOn w:val="Normal"/>
    <w:rsid w:val="009E55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recuoprimeiralinha">
    <w:name w:val="texto_justificado_recuo_primeira_linha"/>
    <w:basedOn w:val="Normal"/>
    <w:rsid w:val="009E55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9E55EA"/>
    <w:rPr>
      <w:b/>
      <w:bCs/>
    </w:rPr>
  </w:style>
  <w:style w:type="paragraph" w:customStyle="1" w:styleId="textojustificado">
    <w:name w:val="texto_justificado"/>
    <w:basedOn w:val="Normal"/>
    <w:rsid w:val="009E55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alinhadoesquerda">
    <w:name w:val="texto_alinhado_esquerda"/>
    <w:basedOn w:val="Normal"/>
    <w:rsid w:val="009E55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arkedcontent">
    <w:name w:val="markedcontent"/>
    <w:basedOn w:val="Fontepargpadro"/>
    <w:rsid w:val="009E55EA"/>
  </w:style>
  <w:style w:type="character" w:styleId="nfase">
    <w:name w:val="Emphasis"/>
    <w:basedOn w:val="Fontepargpadro"/>
    <w:uiPriority w:val="20"/>
    <w:qFormat/>
    <w:rsid w:val="009E5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3" ma:contentTypeDescription="Crie um novo documento." ma:contentTypeScope="" ma:versionID="dbc5827bd70df4747a70f274633b65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c1686316e86440fcb392216649e7f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6874-A106-441F-8A3D-76B758B5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15cb24ba-756a-4ce4-ac9a-5f0544b5554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3adeefc-49af-490c-b6df-0a140ad55a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1BBD2-DA45-4321-A5D7-6B29BF0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</Template>
  <TotalTime>7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885, DE 24 DE JANEIRO DE 2023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885, DE 24 DE JANEIRO DE 2023</dc:title>
  <dc:creator>Juliana</dc:creator>
  <cp:lastModifiedBy>José Antonio Rodrigues Neto</cp:lastModifiedBy>
  <cp:revision>5</cp:revision>
  <cp:lastPrinted>2023-01-23T21:14:00Z</cp:lastPrinted>
  <dcterms:created xsi:type="dcterms:W3CDTF">2023-02-15T18:14:00Z</dcterms:created>
  <dcterms:modified xsi:type="dcterms:W3CDTF">2023-02-15T18:25:00Z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