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761DE3" w14:textId="4F7A83CE" w:rsidR="0094399B" w:rsidRPr="00BB0D31" w:rsidRDefault="00B8737F" w:rsidP="00BB0D31">
      <w:pPr>
        <w:pStyle w:val="level2"/>
        <w:spacing w:after="120" w:line="312" w:lineRule="auto"/>
        <w:ind w:firstLine="567"/>
        <w:jc w:val="center"/>
        <w:rPr>
          <w:rFonts w:asciiTheme="minorHAnsi" w:hAnsiTheme="minorHAnsi" w:cstheme="minorHAnsi"/>
          <w:b w:val="0"/>
          <w:sz w:val="24"/>
          <w:szCs w:val="24"/>
          <w:lang w:val="pt-BR"/>
        </w:rPr>
      </w:pPr>
      <w:bookmarkStart w:id="0" w:name="_GoBack"/>
      <w:r w:rsidRPr="00BB0D31">
        <w:rPr>
          <w:rFonts w:asciiTheme="minorHAnsi" w:hAnsiTheme="minorHAnsi" w:cstheme="minorHAnsi"/>
          <w:b w:val="0"/>
          <w:color w:val="auto"/>
          <w:sz w:val="24"/>
          <w:szCs w:val="24"/>
          <w:lang w:val="pt-BR"/>
        </w:rPr>
        <w:t xml:space="preserve">NOTA EXPLICATIVA À </w:t>
      </w:r>
      <w:r w:rsidR="0094399B" w:rsidRPr="00BB0D31">
        <w:rPr>
          <w:rFonts w:asciiTheme="minorHAnsi" w:hAnsiTheme="minorHAnsi" w:cstheme="minorHAnsi"/>
          <w:b w:val="0"/>
          <w:bCs w:val="0"/>
          <w:color w:val="auto"/>
          <w:sz w:val="24"/>
          <w:szCs w:val="24"/>
          <w:lang w:val="pt-BR"/>
        </w:rPr>
        <w:t>RESOLUÇÃO</w:t>
      </w:r>
      <w:r w:rsidR="0094399B" w:rsidRPr="00BB0D31">
        <w:rPr>
          <w:rFonts w:asciiTheme="minorHAnsi" w:hAnsiTheme="minorHAnsi" w:cstheme="minorHAnsi"/>
          <w:b w:val="0"/>
          <w:color w:val="auto"/>
          <w:sz w:val="24"/>
          <w:szCs w:val="24"/>
          <w:lang w:val="pt-BR"/>
        </w:rPr>
        <w:t xml:space="preserve"> CVM Nº </w:t>
      </w:r>
      <w:r w:rsidR="000E1576">
        <w:rPr>
          <w:rFonts w:asciiTheme="minorHAnsi" w:hAnsiTheme="minorHAnsi" w:cstheme="minorHAnsi"/>
          <w:b w:val="0"/>
          <w:bCs w:val="0"/>
          <w:color w:val="auto"/>
          <w:sz w:val="24"/>
          <w:szCs w:val="24"/>
          <w:lang w:val="pt-BR"/>
        </w:rPr>
        <w:t>156</w:t>
      </w:r>
      <w:r w:rsidR="0094399B" w:rsidRPr="00BB0D31">
        <w:rPr>
          <w:rFonts w:asciiTheme="minorHAnsi" w:hAnsiTheme="minorHAnsi" w:cstheme="minorHAnsi"/>
          <w:b w:val="0"/>
          <w:bCs w:val="0"/>
          <w:color w:val="auto"/>
          <w:sz w:val="24"/>
          <w:szCs w:val="24"/>
          <w:lang w:val="pt-BR"/>
        </w:rPr>
        <w:t>,</w:t>
      </w:r>
      <w:r w:rsidR="0094399B" w:rsidRPr="00BB0D31">
        <w:rPr>
          <w:rFonts w:asciiTheme="minorHAnsi" w:hAnsiTheme="minorHAnsi" w:cstheme="minorHAnsi"/>
          <w:b w:val="0"/>
          <w:color w:val="auto"/>
          <w:sz w:val="24"/>
          <w:szCs w:val="24"/>
          <w:lang w:val="pt-BR"/>
        </w:rPr>
        <w:t xml:space="preserve"> DE </w:t>
      </w:r>
      <w:r w:rsidR="000E1576">
        <w:rPr>
          <w:rFonts w:asciiTheme="minorHAnsi" w:hAnsiTheme="minorHAnsi" w:cstheme="minorHAnsi"/>
          <w:b w:val="0"/>
          <w:bCs w:val="0"/>
          <w:color w:val="auto"/>
          <w:sz w:val="24"/>
          <w:szCs w:val="24"/>
          <w:lang w:val="pt-BR"/>
        </w:rPr>
        <w:t xml:space="preserve">23 </w:t>
      </w:r>
      <w:r w:rsidR="0094399B" w:rsidRPr="00BB0D31">
        <w:rPr>
          <w:rFonts w:asciiTheme="minorHAnsi" w:hAnsiTheme="minorHAnsi" w:cstheme="minorHAnsi"/>
          <w:b w:val="0"/>
          <w:color w:val="auto"/>
          <w:sz w:val="24"/>
          <w:szCs w:val="24"/>
          <w:lang w:val="pt-BR"/>
        </w:rPr>
        <w:t xml:space="preserve">DE </w:t>
      </w:r>
      <w:r w:rsidR="000E1576">
        <w:rPr>
          <w:rFonts w:asciiTheme="minorHAnsi" w:hAnsiTheme="minorHAnsi" w:cstheme="minorHAnsi"/>
          <w:b w:val="0"/>
          <w:bCs w:val="0"/>
          <w:color w:val="auto"/>
          <w:sz w:val="24"/>
          <w:szCs w:val="24"/>
          <w:lang w:val="pt-BR"/>
        </w:rPr>
        <w:t xml:space="preserve">JUNHO </w:t>
      </w:r>
      <w:r w:rsidR="0094399B" w:rsidRPr="00BB0D31">
        <w:rPr>
          <w:rFonts w:asciiTheme="minorHAnsi" w:hAnsiTheme="minorHAnsi" w:cstheme="minorHAnsi"/>
          <w:b w:val="0"/>
          <w:color w:val="auto"/>
          <w:sz w:val="24"/>
          <w:szCs w:val="24"/>
          <w:lang w:val="pt-BR"/>
        </w:rPr>
        <w:t xml:space="preserve">DE </w:t>
      </w:r>
      <w:r w:rsidR="0094399B" w:rsidRPr="00BB0D31">
        <w:rPr>
          <w:rFonts w:asciiTheme="minorHAnsi" w:hAnsiTheme="minorHAnsi" w:cstheme="minorHAnsi"/>
          <w:b w:val="0"/>
          <w:bCs w:val="0"/>
          <w:color w:val="auto"/>
          <w:sz w:val="24"/>
          <w:szCs w:val="24"/>
          <w:lang w:val="pt-BR"/>
        </w:rPr>
        <w:t>2022</w:t>
      </w:r>
    </w:p>
    <w:bookmarkEnd w:id="0"/>
    <w:p w14:paraId="24655985" w14:textId="2367C1F4" w:rsidR="00982DAA" w:rsidRPr="00BB0D31" w:rsidRDefault="00B8737F" w:rsidP="00BB0D31">
      <w:pPr>
        <w:pStyle w:val="Recuodecorpodetexto"/>
        <w:spacing w:before="120" w:line="312" w:lineRule="auto"/>
        <w:ind w:left="5103"/>
        <w:jc w:val="both"/>
        <w:rPr>
          <w:rFonts w:asciiTheme="minorHAnsi" w:hAnsiTheme="minorHAnsi" w:cstheme="minorHAnsi"/>
          <w:b/>
          <w:sz w:val="24"/>
          <w:szCs w:val="24"/>
          <w:lang w:val="pt-BR"/>
        </w:rPr>
      </w:pPr>
      <w:r w:rsidRPr="00BB0D31">
        <w:rPr>
          <w:rFonts w:asciiTheme="minorHAnsi" w:hAnsiTheme="minorHAnsi" w:cstheme="minorHAnsi"/>
          <w:sz w:val="24"/>
          <w:szCs w:val="24"/>
          <w:lang w:val="pt-BR"/>
        </w:rPr>
        <w:t xml:space="preserve">Ref.: Resolução CVM nº </w:t>
      </w:r>
      <w:r w:rsidR="000E1576">
        <w:rPr>
          <w:rFonts w:asciiTheme="minorHAnsi" w:hAnsiTheme="minorHAnsi" w:cstheme="minorHAnsi"/>
          <w:sz w:val="24"/>
          <w:szCs w:val="24"/>
          <w:lang w:val="pt-BR"/>
        </w:rPr>
        <w:t>156</w:t>
      </w:r>
      <w:r w:rsidRPr="00BB0D31">
        <w:rPr>
          <w:rFonts w:asciiTheme="minorHAnsi" w:hAnsiTheme="minorHAnsi" w:cstheme="minorHAnsi"/>
          <w:sz w:val="24"/>
          <w:szCs w:val="24"/>
          <w:lang w:val="pt-BR"/>
        </w:rPr>
        <w:t xml:space="preserve">, de </w:t>
      </w:r>
      <w:r w:rsidR="000E1576">
        <w:rPr>
          <w:rFonts w:asciiTheme="minorHAnsi" w:hAnsiTheme="minorHAnsi" w:cstheme="minorHAnsi"/>
          <w:sz w:val="24"/>
          <w:szCs w:val="24"/>
          <w:lang w:val="pt-BR"/>
        </w:rPr>
        <w:t xml:space="preserve">23 </w:t>
      </w:r>
      <w:r w:rsidRPr="00BB0D31">
        <w:rPr>
          <w:rFonts w:asciiTheme="minorHAnsi" w:hAnsiTheme="minorHAnsi" w:cstheme="minorHAnsi"/>
          <w:sz w:val="24"/>
          <w:szCs w:val="24"/>
          <w:lang w:val="pt-BR"/>
        </w:rPr>
        <w:t xml:space="preserve">de </w:t>
      </w:r>
      <w:r w:rsidR="000E1576">
        <w:rPr>
          <w:rFonts w:asciiTheme="minorHAnsi" w:hAnsiTheme="minorHAnsi" w:cstheme="minorHAnsi"/>
          <w:sz w:val="24"/>
          <w:szCs w:val="24"/>
          <w:lang w:val="pt-BR"/>
        </w:rPr>
        <w:t xml:space="preserve">junho </w:t>
      </w:r>
      <w:r w:rsidRPr="00BB0D31">
        <w:rPr>
          <w:rFonts w:asciiTheme="minorHAnsi" w:hAnsiTheme="minorHAnsi" w:cstheme="minorHAnsi"/>
          <w:sz w:val="24"/>
          <w:szCs w:val="24"/>
          <w:lang w:val="pt-BR"/>
        </w:rPr>
        <w:t>de 2022, que d</w:t>
      </w:r>
      <w:proofErr w:type="spellStart"/>
      <w:r w:rsidR="00775A18" w:rsidRPr="00BB0D31">
        <w:rPr>
          <w:rFonts w:asciiTheme="minorHAnsi" w:hAnsiTheme="minorHAnsi" w:cstheme="minorHAnsi"/>
          <w:sz w:val="24"/>
          <w:szCs w:val="24"/>
        </w:rPr>
        <w:t>ispõe</w:t>
      </w:r>
      <w:proofErr w:type="spellEnd"/>
      <w:r w:rsidR="00775A18" w:rsidRPr="00BB0D31">
        <w:rPr>
          <w:rFonts w:asciiTheme="minorHAnsi" w:hAnsiTheme="minorHAnsi" w:cstheme="minorHAnsi"/>
          <w:sz w:val="24"/>
          <w:szCs w:val="24"/>
        </w:rPr>
        <w:t xml:space="preserve"> sobre a divulgação voluntária de informações de natureza não contábil denominadas </w:t>
      </w:r>
      <w:proofErr w:type="spellStart"/>
      <w:r w:rsidR="00775A18" w:rsidRPr="00BB0D31">
        <w:rPr>
          <w:rFonts w:asciiTheme="minorHAnsi" w:hAnsiTheme="minorHAnsi" w:cstheme="minorHAnsi"/>
          <w:sz w:val="24"/>
          <w:szCs w:val="24"/>
        </w:rPr>
        <w:t>LAJIDA</w:t>
      </w:r>
      <w:proofErr w:type="spellEnd"/>
      <w:r w:rsidR="00775A18" w:rsidRPr="00BB0D31">
        <w:rPr>
          <w:rFonts w:asciiTheme="minorHAnsi" w:hAnsiTheme="minorHAnsi" w:cstheme="minorHAnsi"/>
          <w:sz w:val="24"/>
          <w:szCs w:val="24"/>
        </w:rPr>
        <w:t xml:space="preserve"> e </w:t>
      </w:r>
      <w:proofErr w:type="spellStart"/>
      <w:r w:rsidR="00775A18" w:rsidRPr="00BB0D31">
        <w:rPr>
          <w:rFonts w:asciiTheme="minorHAnsi" w:hAnsiTheme="minorHAnsi" w:cstheme="minorHAnsi"/>
          <w:sz w:val="24"/>
          <w:szCs w:val="24"/>
        </w:rPr>
        <w:t>LAJIR</w:t>
      </w:r>
      <w:proofErr w:type="spellEnd"/>
      <w:r w:rsidR="00775A18" w:rsidRPr="00BB0D31">
        <w:rPr>
          <w:rFonts w:asciiTheme="minorHAnsi" w:hAnsiTheme="minorHAnsi" w:cstheme="minorHAnsi"/>
          <w:sz w:val="24"/>
          <w:szCs w:val="24"/>
        </w:rPr>
        <w:t>.</w:t>
      </w:r>
    </w:p>
    <w:p w14:paraId="5F2804CD" w14:textId="007840C9" w:rsidR="00775A18" w:rsidRPr="00BB0D31" w:rsidRDefault="0094399B" w:rsidP="00BB0D31">
      <w:pPr>
        <w:pStyle w:val="Ttulo"/>
        <w:spacing w:before="120" w:after="120" w:line="312" w:lineRule="auto"/>
        <w:ind w:firstLine="567"/>
        <w:jc w:val="both"/>
        <w:rPr>
          <w:rFonts w:asciiTheme="minorHAnsi" w:hAnsiTheme="minorHAnsi" w:cstheme="minorHAnsi"/>
          <w:b w:val="0"/>
          <w:lang w:val="pt-BR"/>
        </w:rPr>
      </w:pPr>
      <w:r w:rsidRPr="00BB0D31">
        <w:rPr>
          <w:rFonts w:asciiTheme="minorHAnsi" w:hAnsiTheme="minorHAnsi" w:cstheme="minorHAnsi"/>
          <w:lang w:val="pt-BR"/>
        </w:rPr>
        <w:t>O</w:t>
      </w:r>
      <w:r w:rsidR="00775A18" w:rsidRPr="00BB0D31">
        <w:rPr>
          <w:rFonts w:asciiTheme="minorHAnsi" w:hAnsiTheme="minorHAnsi" w:cstheme="minorHAnsi"/>
        </w:rPr>
        <w:t xml:space="preserve"> PRESIDENTE DA COMISSÃO DE VALORES MOBILIÁRIOS - CVM</w:t>
      </w:r>
      <w:r w:rsidR="00775A18" w:rsidRPr="00BB0D31">
        <w:rPr>
          <w:rFonts w:asciiTheme="minorHAnsi" w:hAnsiTheme="minorHAnsi" w:cstheme="minorHAnsi"/>
          <w:b w:val="0"/>
        </w:rPr>
        <w:t xml:space="preserve"> torna público que o Colegiado, em </w:t>
      </w:r>
      <w:r w:rsidR="00D771DA" w:rsidRPr="00BB0D31">
        <w:rPr>
          <w:rFonts w:asciiTheme="minorHAnsi" w:hAnsiTheme="minorHAnsi" w:cstheme="minorHAnsi"/>
          <w:b w:val="0"/>
          <w:lang w:val="pt-BR"/>
        </w:rPr>
        <w:t>reunião</w:t>
      </w:r>
      <w:r w:rsidR="00775A18" w:rsidRPr="00BB0D31">
        <w:rPr>
          <w:rFonts w:asciiTheme="minorHAnsi" w:hAnsiTheme="minorHAnsi" w:cstheme="minorHAnsi"/>
          <w:b w:val="0"/>
        </w:rPr>
        <w:t xml:space="preserve"> realizada em </w:t>
      </w:r>
      <w:r w:rsidR="000E1576">
        <w:rPr>
          <w:rFonts w:asciiTheme="minorHAnsi" w:hAnsiTheme="minorHAnsi" w:cstheme="minorHAnsi"/>
          <w:b w:val="0"/>
          <w:lang w:val="pt-BR"/>
        </w:rPr>
        <w:t xml:space="preserve">15 </w:t>
      </w:r>
      <w:r w:rsidR="00D771DA" w:rsidRPr="00BB0D31">
        <w:rPr>
          <w:rFonts w:asciiTheme="minorHAnsi" w:hAnsiTheme="minorHAnsi" w:cstheme="minorHAnsi"/>
          <w:b w:val="0"/>
          <w:lang w:val="pt-BR"/>
        </w:rPr>
        <w:t xml:space="preserve">de </w:t>
      </w:r>
      <w:r w:rsidR="000E1576">
        <w:rPr>
          <w:rFonts w:asciiTheme="minorHAnsi" w:hAnsiTheme="minorHAnsi" w:cstheme="minorHAnsi"/>
          <w:b w:val="0"/>
          <w:lang w:val="pt-BR"/>
        </w:rPr>
        <w:t xml:space="preserve">junho </w:t>
      </w:r>
      <w:r w:rsidR="00D771DA" w:rsidRPr="00BB0D31">
        <w:rPr>
          <w:rFonts w:asciiTheme="minorHAnsi" w:hAnsiTheme="minorHAnsi" w:cstheme="minorHAnsi"/>
          <w:b w:val="0"/>
          <w:lang w:val="pt-BR"/>
        </w:rPr>
        <w:t>de 20</w:t>
      </w:r>
      <w:r w:rsidRPr="00BB0D31">
        <w:rPr>
          <w:rFonts w:asciiTheme="minorHAnsi" w:hAnsiTheme="minorHAnsi" w:cstheme="minorHAnsi"/>
          <w:b w:val="0"/>
          <w:lang w:val="pt-BR"/>
        </w:rPr>
        <w:t>2</w:t>
      </w:r>
      <w:r w:rsidR="00D771DA" w:rsidRPr="00BB0D31">
        <w:rPr>
          <w:rFonts w:asciiTheme="minorHAnsi" w:hAnsiTheme="minorHAnsi" w:cstheme="minorHAnsi"/>
          <w:b w:val="0"/>
          <w:lang w:val="pt-BR"/>
        </w:rPr>
        <w:t>2</w:t>
      </w:r>
      <w:r w:rsidR="00775A18" w:rsidRPr="00BB0D31">
        <w:rPr>
          <w:rFonts w:asciiTheme="minorHAnsi" w:hAnsiTheme="minorHAnsi" w:cstheme="minorHAnsi"/>
          <w:b w:val="0"/>
        </w:rPr>
        <w:t>, com fundamento no inciso</w:t>
      </w:r>
      <w:r w:rsidR="00C13AC4" w:rsidRPr="00BB0D31">
        <w:rPr>
          <w:rFonts w:asciiTheme="minorHAnsi" w:hAnsiTheme="minorHAnsi" w:cstheme="minorHAnsi"/>
          <w:b w:val="0"/>
        </w:rPr>
        <w:t xml:space="preserve"> I</w:t>
      </w:r>
      <w:r w:rsidR="00B8737F" w:rsidRPr="00BB0D31">
        <w:rPr>
          <w:rFonts w:asciiTheme="minorHAnsi" w:hAnsiTheme="minorHAnsi" w:cstheme="minorHAnsi"/>
          <w:b w:val="0"/>
          <w:lang w:val="pt-BR"/>
        </w:rPr>
        <w:t>II</w:t>
      </w:r>
      <w:r w:rsidR="00C13AC4" w:rsidRPr="00BB0D31">
        <w:rPr>
          <w:rFonts w:asciiTheme="minorHAnsi" w:hAnsiTheme="minorHAnsi" w:cstheme="minorHAnsi"/>
          <w:b w:val="0"/>
        </w:rPr>
        <w:t>, art</w:t>
      </w:r>
      <w:r w:rsidR="00C13AC4" w:rsidRPr="00BB0D31">
        <w:rPr>
          <w:rFonts w:asciiTheme="minorHAnsi" w:hAnsiTheme="minorHAnsi" w:cstheme="minorHAnsi"/>
          <w:b w:val="0"/>
          <w:lang w:val="pt-BR"/>
        </w:rPr>
        <w:t>.</w:t>
      </w:r>
      <w:r w:rsidR="00274887" w:rsidRPr="00BB0D31">
        <w:rPr>
          <w:rFonts w:asciiTheme="minorHAnsi" w:hAnsiTheme="minorHAnsi" w:cstheme="minorHAnsi"/>
          <w:b w:val="0"/>
        </w:rPr>
        <w:t xml:space="preserve"> 2</w:t>
      </w:r>
      <w:r w:rsidR="00B8737F" w:rsidRPr="00BB0D31">
        <w:rPr>
          <w:rFonts w:asciiTheme="minorHAnsi" w:hAnsiTheme="minorHAnsi" w:cstheme="minorHAnsi"/>
          <w:b w:val="0"/>
          <w:lang w:val="pt-BR"/>
        </w:rPr>
        <w:t xml:space="preserve">º </w:t>
      </w:r>
      <w:r w:rsidR="00274887" w:rsidRPr="00BB0D31">
        <w:rPr>
          <w:rFonts w:asciiTheme="minorHAnsi" w:hAnsiTheme="minorHAnsi" w:cstheme="minorHAnsi"/>
          <w:b w:val="0"/>
        </w:rPr>
        <w:t xml:space="preserve">da </w:t>
      </w:r>
      <w:r w:rsidR="00B8737F" w:rsidRPr="00BB0D31">
        <w:rPr>
          <w:rFonts w:asciiTheme="minorHAnsi" w:hAnsiTheme="minorHAnsi" w:cstheme="minorHAnsi"/>
          <w:b w:val="0"/>
          <w:lang w:val="pt-BR"/>
        </w:rPr>
        <w:t>Resolução CVM</w:t>
      </w:r>
      <w:r w:rsidR="00274887" w:rsidRPr="00BB0D31">
        <w:rPr>
          <w:rFonts w:asciiTheme="minorHAnsi" w:hAnsiTheme="minorHAnsi" w:cstheme="minorHAnsi"/>
          <w:b w:val="0"/>
        </w:rPr>
        <w:t xml:space="preserve"> nº </w:t>
      </w:r>
      <w:r w:rsidR="00B8737F" w:rsidRPr="00BB0D31">
        <w:rPr>
          <w:rFonts w:asciiTheme="minorHAnsi" w:hAnsiTheme="minorHAnsi" w:cstheme="minorHAnsi"/>
          <w:b w:val="0"/>
          <w:lang w:val="pt-BR"/>
        </w:rPr>
        <w:t>1</w:t>
      </w:r>
      <w:r w:rsidR="00274887" w:rsidRPr="00BB0D31">
        <w:rPr>
          <w:rFonts w:asciiTheme="minorHAnsi" w:hAnsiTheme="minorHAnsi" w:cstheme="minorHAnsi"/>
          <w:b w:val="0"/>
        </w:rPr>
        <w:t xml:space="preserve">, de </w:t>
      </w:r>
      <w:r w:rsidR="00B8737F" w:rsidRPr="00BB0D31">
        <w:rPr>
          <w:rFonts w:asciiTheme="minorHAnsi" w:hAnsiTheme="minorHAnsi" w:cstheme="minorHAnsi"/>
          <w:b w:val="0"/>
          <w:lang w:val="pt-BR"/>
        </w:rPr>
        <w:t>6</w:t>
      </w:r>
      <w:r w:rsidR="00775A18" w:rsidRPr="00BB0D31">
        <w:rPr>
          <w:rFonts w:asciiTheme="minorHAnsi" w:hAnsiTheme="minorHAnsi" w:cstheme="minorHAnsi"/>
          <w:b w:val="0"/>
        </w:rPr>
        <w:t xml:space="preserve"> de </w:t>
      </w:r>
      <w:r w:rsidR="00B8737F" w:rsidRPr="00BB0D31">
        <w:rPr>
          <w:rFonts w:asciiTheme="minorHAnsi" w:hAnsiTheme="minorHAnsi" w:cstheme="minorHAnsi"/>
          <w:b w:val="0"/>
          <w:lang w:val="pt-BR"/>
        </w:rPr>
        <w:t>agosto</w:t>
      </w:r>
      <w:r w:rsidR="00775A18" w:rsidRPr="00BB0D31">
        <w:rPr>
          <w:rFonts w:asciiTheme="minorHAnsi" w:hAnsiTheme="minorHAnsi" w:cstheme="minorHAnsi"/>
          <w:b w:val="0"/>
        </w:rPr>
        <w:t xml:space="preserve"> de </w:t>
      </w:r>
      <w:r w:rsidR="00B8737F" w:rsidRPr="00BB0D31">
        <w:rPr>
          <w:rFonts w:asciiTheme="minorHAnsi" w:hAnsiTheme="minorHAnsi" w:cstheme="minorHAnsi"/>
          <w:b w:val="0"/>
          <w:lang w:val="pt-BR"/>
        </w:rPr>
        <w:t>2020</w:t>
      </w:r>
      <w:r w:rsidR="00775A18" w:rsidRPr="00BB0D31">
        <w:rPr>
          <w:rFonts w:asciiTheme="minorHAnsi" w:hAnsiTheme="minorHAnsi" w:cstheme="minorHAnsi"/>
          <w:b w:val="0"/>
        </w:rPr>
        <w:t>,</w:t>
      </w:r>
      <w:r w:rsidRPr="00BB0D31">
        <w:rPr>
          <w:rFonts w:asciiTheme="minorHAnsi" w:hAnsiTheme="minorHAnsi" w:cstheme="minorHAnsi"/>
          <w:b w:val="0"/>
          <w:lang w:val="pt-BR"/>
        </w:rPr>
        <w:t xml:space="preserve"> bem como nos </w:t>
      </w:r>
      <w:proofErr w:type="spellStart"/>
      <w:r w:rsidRPr="00BB0D31">
        <w:rPr>
          <w:rFonts w:asciiTheme="minorHAnsi" w:hAnsiTheme="minorHAnsi" w:cstheme="minorHAnsi"/>
          <w:b w:val="0"/>
          <w:lang w:val="pt-BR"/>
        </w:rPr>
        <w:t>arts</w:t>
      </w:r>
      <w:proofErr w:type="spellEnd"/>
      <w:r w:rsidRPr="00BB0D31">
        <w:rPr>
          <w:rFonts w:asciiTheme="minorHAnsi" w:hAnsiTheme="minorHAnsi" w:cstheme="minorHAnsi"/>
          <w:b w:val="0"/>
          <w:lang w:val="pt-BR"/>
        </w:rPr>
        <w:t xml:space="preserve">. 5º e 14 do Decreto nº 10.139, de 28 de novembro de 2019, </w:t>
      </w:r>
      <w:r w:rsidRPr="00BB0D31">
        <w:rPr>
          <w:rFonts w:asciiTheme="minorHAnsi" w:hAnsiTheme="minorHAnsi" w:cstheme="minorHAnsi"/>
          <w:bCs w:val="0"/>
          <w:lang w:val="pt-BR"/>
        </w:rPr>
        <w:t>APROVOU</w:t>
      </w:r>
      <w:r w:rsidRPr="00BB0D31">
        <w:rPr>
          <w:rFonts w:asciiTheme="minorHAnsi" w:hAnsiTheme="minorHAnsi" w:cstheme="minorHAnsi"/>
          <w:b w:val="0"/>
          <w:lang w:val="pt-BR"/>
        </w:rPr>
        <w:t xml:space="preserve"> a seguinte </w:t>
      </w:r>
      <w:r w:rsidR="00B8737F" w:rsidRPr="00BB0D31">
        <w:rPr>
          <w:rFonts w:asciiTheme="minorHAnsi" w:hAnsiTheme="minorHAnsi" w:cstheme="minorHAnsi"/>
          <w:b w:val="0"/>
          <w:lang w:val="pt-BR"/>
        </w:rPr>
        <w:t>Nota Explicativa</w:t>
      </w:r>
      <w:r w:rsidRPr="00BB0D31">
        <w:rPr>
          <w:rFonts w:asciiTheme="minorHAnsi" w:hAnsiTheme="minorHAnsi" w:cstheme="minorHAnsi"/>
          <w:b w:val="0"/>
          <w:lang w:val="pt-BR"/>
        </w:rPr>
        <w:t>:</w:t>
      </w:r>
    </w:p>
    <w:p w14:paraId="1D4D233D" w14:textId="77777777" w:rsidR="0081257D" w:rsidRPr="00BB0D31" w:rsidRDefault="0081257D" w:rsidP="00BB0D31">
      <w:pPr>
        <w:pStyle w:val="Ttulo"/>
        <w:spacing w:before="120" w:after="120" w:line="312" w:lineRule="auto"/>
        <w:jc w:val="left"/>
        <w:rPr>
          <w:rFonts w:asciiTheme="minorHAnsi" w:hAnsiTheme="minorHAnsi" w:cstheme="minorHAnsi"/>
          <w:b w:val="0"/>
        </w:rPr>
      </w:pPr>
      <w:r w:rsidRPr="00BB0D31">
        <w:rPr>
          <w:rFonts w:asciiTheme="minorHAnsi" w:hAnsiTheme="minorHAnsi" w:cstheme="minorHAnsi"/>
        </w:rPr>
        <w:t>I – INTRODUÇÃO</w:t>
      </w:r>
    </w:p>
    <w:p w14:paraId="334D8AD1" w14:textId="77777777" w:rsidR="0081257D" w:rsidRPr="00BB0D31" w:rsidRDefault="0081257D" w:rsidP="00BB0D31">
      <w:pPr>
        <w:pStyle w:val="Ttulo"/>
        <w:spacing w:before="120" w:after="120" w:line="312" w:lineRule="auto"/>
        <w:ind w:firstLine="567"/>
        <w:jc w:val="both"/>
        <w:rPr>
          <w:rFonts w:asciiTheme="minorHAnsi" w:hAnsiTheme="minorHAnsi" w:cstheme="minorHAnsi"/>
          <w:b w:val="0"/>
        </w:rPr>
      </w:pPr>
      <w:r w:rsidRPr="00BB0D31">
        <w:rPr>
          <w:rFonts w:asciiTheme="minorHAnsi" w:hAnsiTheme="minorHAnsi" w:cstheme="minorHAnsi"/>
          <w:b w:val="0"/>
        </w:rPr>
        <w:t>A frequente divulgação de informações e medições pelas companhias abertas com base em dados contábeis ajustados e em dados não contábeis suscita cuidados que devem ser observados pelos administradores das companhias abertas, com vistas a preservar a qualidade das informações que são dirigidas aos investidores.</w:t>
      </w:r>
    </w:p>
    <w:p w14:paraId="40D33B7C" w14:textId="5F4EDFDC" w:rsidR="0081257D" w:rsidRPr="00BB0D31" w:rsidRDefault="0081257D" w:rsidP="00BB0D31">
      <w:pPr>
        <w:pStyle w:val="Ttulo"/>
        <w:spacing w:before="120" w:after="120" w:line="312" w:lineRule="auto"/>
        <w:ind w:firstLine="567"/>
        <w:jc w:val="both"/>
        <w:rPr>
          <w:rFonts w:asciiTheme="minorHAnsi" w:hAnsiTheme="minorHAnsi" w:cstheme="minorHAnsi"/>
          <w:b w:val="0"/>
        </w:rPr>
      </w:pPr>
      <w:r w:rsidRPr="00BB0D31">
        <w:rPr>
          <w:rFonts w:asciiTheme="minorHAnsi" w:hAnsiTheme="minorHAnsi" w:cstheme="minorHAnsi"/>
          <w:b w:val="0"/>
        </w:rPr>
        <w:t>As medições e informações não contábeis compreendem todas as informações que não sejam uma representação estruturada da informação contábil prevista nos Pronunciamentos emitidos pelo Comitê de Pronunciamentos Contábeis – CPC e aprovados pela Comissão de Valores Mobiliários, mas que competem com os mesmos propósitos das chamadas demonstrações contábeis de propósito geral, nos termos do item 9 do Pronunciamento Técnico CPC 26</w:t>
      </w:r>
      <w:r w:rsidR="0067059F" w:rsidRPr="00BB0D31">
        <w:rPr>
          <w:rFonts w:asciiTheme="minorHAnsi" w:hAnsiTheme="minorHAnsi" w:cstheme="minorHAnsi"/>
          <w:b w:val="0"/>
          <w:lang w:val="pt-BR"/>
        </w:rPr>
        <w:t xml:space="preserve"> (R1)</w:t>
      </w:r>
      <w:r w:rsidRPr="00BB0D31">
        <w:rPr>
          <w:rFonts w:asciiTheme="minorHAnsi" w:hAnsiTheme="minorHAnsi" w:cstheme="minorHAnsi"/>
          <w:b w:val="0"/>
        </w:rPr>
        <w:t xml:space="preserve"> – Apresentação das Demonstrações Contábeis.</w:t>
      </w:r>
    </w:p>
    <w:p w14:paraId="029DC96F" w14:textId="77777777" w:rsidR="0081257D" w:rsidRPr="00BB0D31" w:rsidRDefault="0081257D" w:rsidP="00BB0D31">
      <w:pPr>
        <w:pStyle w:val="Ttulo"/>
        <w:spacing w:before="120" w:after="120" w:line="312" w:lineRule="auto"/>
        <w:ind w:firstLine="567"/>
        <w:jc w:val="both"/>
        <w:rPr>
          <w:rFonts w:asciiTheme="minorHAnsi" w:hAnsiTheme="minorHAnsi" w:cstheme="minorHAnsi"/>
          <w:b w:val="0"/>
        </w:rPr>
      </w:pPr>
      <w:r w:rsidRPr="00BB0D31">
        <w:rPr>
          <w:rFonts w:asciiTheme="minorHAnsi" w:hAnsiTheme="minorHAnsi" w:cstheme="minorHAnsi"/>
          <w:b w:val="0"/>
        </w:rPr>
        <w:t>A relevância desse tema é evidente, pois essas informações influenciam as decisões econômicas dos usuários, acrescentando elementos não previstos na estrutura usual das demonstrações financeiras baseadas em regulação própria e auditadas por auditores independentes.</w:t>
      </w:r>
    </w:p>
    <w:p w14:paraId="7A456270" w14:textId="3BA3C923" w:rsidR="0081257D" w:rsidRPr="00BB0D31" w:rsidRDefault="0081257D" w:rsidP="00BB0D31">
      <w:pPr>
        <w:pStyle w:val="Ttulo"/>
        <w:spacing w:before="120" w:after="120" w:line="312" w:lineRule="auto"/>
        <w:ind w:firstLine="567"/>
        <w:jc w:val="both"/>
        <w:rPr>
          <w:rFonts w:asciiTheme="minorHAnsi" w:hAnsiTheme="minorHAnsi" w:cstheme="minorHAnsi"/>
          <w:b w:val="0"/>
        </w:rPr>
      </w:pPr>
      <w:r w:rsidRPr="00BB0D31">
        <w:rPr>
          <w:rFonts w:asciiTheme="minorHAnsi" w:hAnsiTheme="minorHAnsi" w:cstheme="minorHAnsi"/>
          <w:b w:val="0"/>
        </w:rPr>
        <w:t xml:space="preserve">Um exemplo dessas informações é a relativa ao lucro antes dos juros, imposto de renda, depreciação e amortização – </w:t>
      </w:r>
      <w:proofErr w:type="spellStart"/>
      <w:r w:rsidRPr="00BB0D31">
        <w:rPr>
          <w:rFonts w:asciiTheme="minorHAnsi" w:hAnsiTheme="minorHAnsi" w:cstheme="minorHAnsi"/>
          <w:b w:val="0"/>
        </w:rPr>
        <w:t>LAJIDA</w:t>
      </w:r>
      <w:proofErr w:type="spellEnd"/>
      <w:r w:rsidRPr="00BB0D31">
        <w:rPr>
          <w:rFonts w:asciiTheme="minorHAnsi" w:hAnsiTheme="minorHAnsi" w:cstheme="minorHAnsi"/>
          <w:b w:val="0"/>
        </w:rPr>
        <w:t xml:space="preserve"> (</w:t>
      </w:r>
      <w:proofErr w:type="spellStart"/>
      <w:r w:rsidRPr="00BB0D31">
        <w:rPr>
          <w:rFonts w:asciiTheme="minorHAnsi" w:hAnsiTheme="minorHAnsi" w:cstheme="minorHAnsi"/>
          <w:b w:val="0"/>
        </w:rPr>
        <w:t>EBITDA</w:t>
      </w:r>
      <w:proofErr w:type="spellEnd"/>
      <w:r w:rsidRPr="00BB0D31">
        <w:rPr>
          <w:rFonts w:asciiTheme="minorHAnsi" w:hAnsiTheme="minorHAnsi" w:cstheme="minorHAnsi"/>
          <w:b w:val="0"/>
        </w:rPr>
        <w:t xml:space="preserve"> – </w:t>
      </w:r>
      <w:proofErr w:type="spellStart"/>
      <w:r w:rsidRPr="00BB0D31">
        <w:rPr>
          <w:rFonts w:asciiTheme="minorHAnsi" w:hAnsiTheme="minorHAnsi" w:cstheme="minorHAnsi"/>
          <w:b w:val="0"/>
          <w:i/>
          <w:iCs/>
        </w:rPr>
        <w:t>earnings</w:t>
      </w:r>
      <w:proofErr w:type="spellEnd"/>
      <w:r w:rsidRPr="00BB0D31">
        <w:rPr>
          <w:rFonts w:asciiTheme="minorHAnsi" w:hAnsiTheme="minorHAnsi" w:cstheme="minorHAnsi"/>
          <w:b w:val="0"/>
          <w:i/>
          <w:iCs/>
        </w:rPr>
        <w:t xml:space="preserve"> </w:t>
      </w:r>
      <w:proofErr w:type="spellStart"/>
      <w:r w:rsidRPr="00BB0D31">
        <w:rPr>
          <w:rFonts w:asciiTheme="minorHAnsi" w:hAnsiTheme="minorHAnsi" w:cstheme="minorHAnsi"/>
          <w:b w:val="0"/>
          <w:i/>
          <w:iCs/>
        </w:rPr>
        <w:t>before</w:t>
      </w:r>
      <w:proofErr w:type="spellEnd"/>
      <w:r w:rsidRPr="00BB0D31">
        <w:rPr>
          <w:rFonts w:asciiTheme="minorHAnsi" w:hAnsiTheme="minorHAnsi" w:cstheme="minorHAnsi"/>
          <w:b w:val="0"/>
          <w:i/>
          <w:iCs/>
        </w:rPr>
        <w:t xml:space="preserve"> </w:t>
      </w:r>
      <w:proofErr w:type="spellStart"/>
      <w:r w:rsidRPr="00BB0D31">
        <w:rPr>
          <w:rFonts w:asciiTheme="minorHAnsi" w:hAnsiTheme="minorHAnsi" w:cstheme="minorHAnsi"/>
          <w:b w:val="0"/>
          <w:i/>
          <w:iCs/>
        </w:rPr>
        <w:t>interest</w:t>
      </w:r>
      <w:proofErr w:type="spellEnd"/>
      <w:r w:rsidRPr="00BB0D31">
        <w:rPr>
          <w:rFonts w:asciiTheme="minorHAnsi" w:hAnsiTheme="minorHAnsi" w:cstheme="minorHAnsi"/>
          <w:b w:val="0"/>
          <w:i/>
          <w:iCs/>
        </w:rPr>
        <w:t xml:space="preserve">, taxes, </w:t>
      </w:r>
      <w:proofErr w:type="spellStart"/>
      <w:r w:rsidRPr="00BB0D31">
        <w:rPr>
          <w:rFonts w:asciiTheme="minorHAnsi" w:hAnsiTheme="minorHAnsi" w:cstheme="minorHAnsi"/>
          <w:b w:val="0"/>
          <w:i/>
          <w:iCs/>
        </w:rPr>
        <w:t>depreciation</w:t>
      </w:r>
      <w:proofErr w:type="spellEnd"/>
      <w:r w:rsidRPr="00BB0D31">
        <w:rPr>
          <w:rFonts w:asciiTheme="minorHAnsi" w:hAnsiTheme="minorHAnsi" w:cstheme="minorHAnsi"/>
          <w:b w:val="0"/>
          <w:i/>
          <w:iCs/>
        </w:rPr>
        <w:t xml:space="preserve"> </w:t>
      </w:r>
      <w:proofErr w:type="spellStart"/>
      <w:r w:rsidRPr="00BB0D31">
        <w:rPr>
          <w:rFonts w:asciiTheme="minorHAnsi" w:hAnsiTheme="minorHAnsi" w:cstheme="minorHAnsi"/>
          <w:b w:val="0"/>
          <w:i/>
          <w:iCs/>
        </w:rPr>
        <w:t>and</w:t>
      </w:r>
      <w:proofErr w:type="spellEnd"/>
      <w:r w:rsidRPr="00BB0D31">
        <w:rPr>
          <w:rFonts w:asciiTheme="minorHAnsi" w:hAnsiTheme="minorHAnsi" w:cstheme="minorHAnsi"/>
          <w:b w:val="0"/>
          <w:i/>
          <w:iCs/>
        </w:rPr>
        <w:t xml:space="preserve"> </w:t>
      </w:r>
      <w:proofErr w:type="spellStart"/>
      <w:r w:rsidRPr="00BB0D31">
        <w:rPr>
          <w:rFonts w:asciiTheme="minorHAnsi" w:hAnsiTheme="minorHAnsi" w:cstheme="minorHAnsi"/>
          <w:b w:val="0"/>
          <w:i/>
          <w:iCs/>
        </w:rPr>
        <w:t>amortization</w:t>
      </w:r>
      <w:proofErr w:type="spellEnd"/>
      <w:r w:rsidRPr="00BB0D31">
        <w:rPr>
          <w:rFonts w:asciiTheme="minorHAnsi" w:hAnsiTheme="minorHAnsi" w:cstheme="minorHAnsi"/>
          <w:b w:val="0"/>
        </w:rPr>
        <w:t xml:space="preserve">) e ao lucro antes dos juros e imposto de renda – </w:t>
      </w:r>
      <w:proofErr w:type="spellStart"/>
      <w:r w:rsidRPr="00BB0D31">
        <w:rPr>
          <w:rFonts w:asciiTheme="minorHAnsi" w:hAnsiTheme="minorHAnsi" w:cstheme="minorHAnsi"/>
          <w:b w:val="0"/>
        </w:rPr>
        <w:t>LAJIR</w:t>
      </w:r>
      <w:proofErr w:type="spellEnd"/>
      <w:r w:rsidRPr="00BB0D31">
        <w:rPr>
          <w:rFonts w:asciiTheme="minorHAnsi" w:hAnsiTheme="minorHAnsi" w:cstheme="minorHAnsi"/>
          <w:b w:val="0"/>
        </w:rPr>
        <w:t xml:space="preserve"> (</w:t>
      </w:r>
      <w:proofErr w:type="spellStart"/>
      <w:r w:rsidRPr="00BB0D31">
        <w:rPr>
          <w:rFonts w:asciiTheme="minorHAnsi" w:hAnsiTheme="minorHAnsi" w:cstheme="minorHAnsi"/>
          <w:b w:val="0"/>
        </w:rPr>
        <w:t>EBIT</w:t>
      </w:r>
      <w:proofErr w:type="spellEnd"/>
      <w:r w:rsidRPr="00BB0D31">
        <w:rPr>
          <w:rFonts w:asciiTheme="minorHAnsi" w:hAnsiTheme="minorHAnsi" w:cstheme="minorHAnsi"/>
          <w:b w:val="0"/>
        </w:rPr>
        <w:t xml:space="preserve"> – </w:t>
      </w:r>
      <w:proofErr w:type="spellStart"/>
      <w:r w:rsidRPr="00BB0D31">
        <w:rPr>
          <w:rFonts w:asciiTheme="minorHAnsi" w:hAnsiTheme="minorHAnsi" w:cstheme="minorHAnsi"/>
          <w:b w:val="0"/>
          <w:i/>
          <w:iCs/>
        </w:rPr>
        <w:t>earnings</w:t>
      </w:r>
      <w:proofErr w:type="spellEnd"/>
      <w:r w:rsidRPr="00BB0D31">
        <w:rPr>
          <w:rFonts w:asciiTheme="minorHAnsi" w:hAnsiTheme="minorHAnsi" w:cstheme="minorHAnsi"/>
          <w:b w:val="0"/>
          <w:i/>
          <w:iCs/>
        </w:rPr>
        <w:t xml:space="preserve"> </w:t>
      </w:r>
      <w:proofErr w:type="spellStart"/>
      <w:r w:rsidRPr="00BB0D31">
        <w:rPr>
          <w:rFonts w:asciiTheme="minorHAnsi" w:hAnsiTheme="minorHAnsi" w:cstheme="minorHAnsi"/>
          <w:b w:val="0"/>
          <w:i/>
          <w:iCs/>
        </w:rPr>
        <w:t>before</w:t>
      </w:r>
      <w:proofErr w:type="spellEnd"/>
      <w:r w:rsidRPr="00BB0D31">
        <w:rPr>
          <w:rFonts w:asciiTheme="minorHAnsi" w:hAnsiTheme="minorHAnsi" w:cstheme="minorHAnsi"/>
          <w:b w:val="0"/>
          <w:i/>
          <w:iCs/>
        </w:rPr>
        <w:t xml:space="preserve"> </w:t>
      </w:r>
      <w:proofErr w:type="spellStart"/>
      <w:r w:rsidRPr="00BB0D31">
        <w:rPr>
          <w:rFonts w:asciiTheme="minorHAnsi" w:hAnsiTheme="minorHAnsi" w:cstheme="minorHAnsi"/>
          <w:b w:val="0"/>
          <w:i/>
          <w:iCs/>
        </w:rPr>
        <w:t>interest</w:t>
      </w:r>
      <w:proofErr w:type="spellEnd"/>
      <w:r w:rsidRPr="00BB0D31">
        <w:rPr>
          <w:rFonts w:asciiTheme="minorHAnsi" w:hAnsiTheme="minorHAnsi" w:cstheme="minorHAnsi"/>
          <w:b w:val="0"/>
          <w:i/>
          <w:iCs/>
        </w:rPr>
        <w:t xml:space="preserve"> </w:t>
      </w:r>
      <w:proofErr w:type="spellStart"/>
      <w:r w:rsidRPr="00BB0D31">
        <w:rPr>
          <w:rFonts w:asciiTheme="minorHAnsi" w:hAnsiTheme="minorHAnsi" w:cstheme="minorHAnsi"/>
          <w:b w:val="0"/>
          <w:i/>
          <w:iCs/>
        </w:rPr>
        <w:t>and</w:t>
      </w:r>
      <w:proofErr w:type="spellEnd"/>
      <w:r w:rsidRPr="00BB0D31">
        <w:rPr>
          <w:rFonts w:asciiTheme="minorHAnsi" w:hAnsiTheme="minorHAnsi" w:cstheme="minorHAnsi"/>
          <w:b w:val="0"/>
          <w:i/>
          <w:iCs/>
        </w:rPr>
        <w:t xml:space="preserve"> </w:t>
      </w:r>
      <w:proofErr w:type="spellStart"/>
      <w:r w:rsidRPr="00BB0D31">
        <w:rPr>
          <w:rFonts w:asciiTheme="minorHAnsi" w:hAnsiTheme="minorHAnsi" w:cstheme="minorHAnsi"/>
          <w:b w:val="0"/>
          <w:i/>
          <w:iCs/>
        </w:rPr>
        <w:t>tax</w:t>
      </w:r>
      <w:proofErr w:type="spellEnd"/>
      <w:r w:rsidRPr="00BB0D31">
        <w:rPr>
          <w:rFonts w:asciiTheme="minorHAnsi" w:hAnsiTheme="minorHAnsi" w:cstheme="minorHAnsi"/>
          <w:b w:val="0"/>
        </w:rPr>
        <w:t>). A menção a esses conceitos pode ocorrer nos comentários dos diretores no formulário de referência (</w:t>
      </w:r>
      <w:r w:rsidR="00FD6924" w:rsidRPr="00BB0D31">
        <w:rPr>
          <w:rFonts w:asciiTheme="minorHAnsi" w:hAnsiTheme="minorHAnsi" w:cstheme="minorHAnsi"/>
          <w:b w:val="0"/>
          <w:lang w:val="pt-BR"/>
        </w:rPr>
        <w:t>Resolução</w:t>
      </w:r>
      <w:r w:rsidRPr="00BB0D31">
        <w:rPr>
          <w:rFonts w:asciiTheme="minorHAnsi" w:hAnsiTheme="minorHAnsi" w:cstheme="minorHAnsi"/>
          <w:b w:val="0"/>
        </w:rPr>
        <w:t xml:space="preserve"> CVM nº 80/</w:t>
      </w:r>
      <w:r w:rsidR="00FD6924" w:rsidRPr="00BB0D31">
        <w:rPr>
          <w:rFonts w:asciiTheme="minorHAnsi" w:hAnsiTheme="minorHAnsi" w:cstheme="minorHAnsi"/>
          <w:b w:val="0"/>
          <w:lang w:val="pt-BR"/>
        </w:rPr>
        <w:t>22</w:t>
      </w:r>
      <w:r w:rsidRPr="00BB0D31">
        <w:rPr>
          <w:rFonts w:asciiTheme="minorHAnsi" w:hAnsiTheme="minorHAnsi" w:cstheme="minorHAnsi"/>
          <w:b w:val="0"/>
        </w:rPr>
        <w:t xml:space="preserve">), no relatório da administração, em prospectos, </w:t>
      </w:r>
      <w:proofErr w:type="spellStart"/>
      <w:r w:rsidRPr="00BB0D31">
        <w:rPr>
          <w:rFonts w:asciiTheme="minorHAnsi" w:hAnsiTheme="minorHAnsi" w:cstheme="minorHAnsi"/>
          <w:b w:val="0"/>
          <w:i/>
          <w:iCs/>
        </w:rPr>
        <w:t>press</w:t>
      </w:r>
      <w:proofErr w:type="spellEnd"/>
      <w:r w:rsidRPr="00BB0D31">
        <w:rPr>
          <w:rFonts w:asciiTheme="minorHAnsi" w:hAnsiTheme="minorHAnsi" w:cstheme="minorHAnsi"/>
          <w:b w:val="0"/>
          <w:i/>
          <w:iCs/>
        </w:rPr>
        <w:t xml:space="preserve"> releases</w:t>
      </w:r>
      <w:r w:rsidRPr="00BB0D31">
        <w:rPr>
          <w:rFonts w:asciiTheme="minorHAnsi" w:hAnsiTheme="minorHAnsi" w:cstheme="minorHAnsi"/>
          <w:b w:val="0"/>
        </w:rPr>
        <w:t>, comunicados ou outros documentos públicos.</w:t>
      </w:r>
    </w:p>
    <w:p w14:paraId="52DE6EF4" w14:textId="55F225E1" w:rsidR="0081257D" w:rsidRPr="00BB0D31" w:rsidRDefault="0081257D" w:rsidP="00BB0D31">
      <w:pPr>
        <w:pStyle w:val="Ttulo"/>
        <w:spacing w:before="120" w:after="120" w:line="312" w:lineRule="auto"/>
        <w:ind w:firstLine="567"/>
        <w:jc w:val="both"/>
        <w:rPr>
          <w:rFonts w:asciiTheme="minorHAnsi" w:hAnsiTheme="minorHAnsi" w:cstheme="minorHAnsi"/>
          <w:b w:val="0"/>
          <w:bCs w:val="0"/>
        </w:rPr>
      </w:pPr>
      <w:r w:rsidRPr="00BB0D31">
        <w:rPr>
          <w:rFonts w:asciiTheme="minorHAnsi" w:hAnsiTheme="minorHAnsi" w:cstheme="minorHAnsi"/>
          <w:b w:val="0"/>
          <w:bCs w:val="0"/>
        </w:rPr>
        <w:t xml:space="preserve">A divulgação dessas informações não contábeis, para que seja preservada a qualidade da informação dirigida ao público, deve merecer o mesmo tratamento e cuidado despendidos às </w:t>
      </w:r>
      <w:r w:rsidRPr="00BB0D31">
        <w:rPr>
          <w:rFonts w:asciiTheme="minorHAnsi" w:hAnsiTheme="minorHAnsi" w:cstheme="minorHAnsi"/>
          <w:b w:val="0"/>
          <w:bCs w:val="0"/>
        </w:rPr>
        <w:lastRenderedPageBreak/>
        <w:t>informações contábeis. Nesse sentido, observou-se à época da emissão da Instrução CVM n</w:t>
      </w:r>
      <w:r w:rsidR="0025231C" w:rsidRPr="00BB0D31">
        <w:rPr>
          <w:rFonts w:asciiTheme="minorHAnsi" w:hAnsiTheme="minorHAnsi" w:cstheme="minorHAnsi"/>
          <w:b w:val="0"/>
          <w:bCs w:val="0"/>
          <w:lang w:val="pt-BR"/>
        </w:rPr>
        <w:t>º</w:t>
      </w:r>
      <w:r w:rsidRPr="00BB0D31">
        <w:rPr>
          <w:rFonts w:asciiTheme="minorHAnsi" w:hAnsiTheme="minorHAnsi" w:cstheme="minorHAnsi"/>
          <w:b w:val="0"/>
          <w:bCs w:val="0"/>
        </w:rPr>
        <w:t xml:space="preserve"> 527/12 que a informação do LAJIDA e do LAJIR estava sendo elaborada e divulgada de forma muito particular pelas companhias abertas e divergente entre elas.</w:t>
      </w:r>
    </w:p>
    <w:p w14:paraId="3A5378C2" w14:textId="77777777" w:rsidR="0081257D" w:rsidRPr="00BB0D31" w:rsidRDefault="0081257D" w:rsidP="00BB0D31">
      <w:pPr>
        <w:pStyle w:val="Ttulo"/>
        <w:spacing w:before="120" w:after="120" w:line="312" w:lineRule="auto"/>
        <w:ind w:firstLine="567"/>
        <w:jc w:val="both"/>
        <w:rPr>
          <w:rFonts w:asciiTheme="minorHAnsi" w:hAnsiTheme="minorHAnsi" w:cstheme="minorHAnsi"/>
          <w:b w:val="0"/>
        </w:rPr>
      </w:pPr>
      <w:r w:rsidRPr="00BB0D31">
        <w:rPr>
          <w:rFonts w:asciiTheme="minorHAnsi" w:hAnsiTheme="minorHAnsi" w:cstheme="minorHAnsi"/>
          <w:b w:val="0"/>
        </w:rPr>
        <w:t>Essa situação pode tornar difícil a compreensão tanto da formação do número apresentado quanto da sua integração ou conciliação com os outros números da demonstração do resultado. Em muitos casos, é relevante observar que os números informados não são comparáveis com as informações prestadas por outras companhias abertas.</w:t>
      </w:r>
    </w:p>
    <w:p w14:paraId="2F4C7675" w14:textId="5DA74655" w:rsidR="0081257D" w:rsidRPr="00BB0D31" w:rsidRDefault="0081257D" w:rsidP="00BB0D31">
      <w:pPr>
        <w:pStyle w:val="Ttulo"/>
        <w:spacing w:before="120" w:after="120" w:line="312" w:lineRule="auto"/>
        <w:ind w:firstLine="567"/>
        <w:jc w:val="both"/>
        <w:rPr>
          <w:rFonts w:asciiTheme="minorHAnsi" w:hAnsiTheme="minorHAnsi" w:cstheme="minorHAnsi"/>
          <w:b w:val="0"/>
          <w:bCs w:val="0"/>
        </w:rPr>
      </w:pPr>
      <w:r w:rsidRPr="00BB0D31">
        <w:rPr>
          <w:rFonts w:asciiTheme="minorHAnsi" w:hAnsiTheme="minorHAnsi" w:cstheme="minorHAnsi"/>
          <w:b w:val="0"/>
          <w:bCs w:val="0"/>
        </w:rPr>
        <w:t xml:space="preserve">Dessa forma, a preocupação da CVM, à época que motivou a emissão </w:t>
      </w:r>
      <w:r w:rsidR="0025231C" w:rsidRPr="00BB0D31">
        <w:rPr>
          <w:rFonts w:asciiTheme="minorHAnsi" w:hAnsiTheme="minorHAnsi" w:cstheme="minorHAnsi"/>
          <w:b w:val="0"/>
          <w:bCs w:val="0"/>
          <w:lang w:val="pt-BR"/>
        </w:rPr>
        <w:t>da Instrução CVM nº 527</w:t>
      </w:r>
      <w:r w:rsidRPr="00BB0D31">
        <w:rPr>
          <w:rFonts w:asciiTheme="minorHAnsi" w:hAnsiTheme="minorHAnsi" w:cstheme="minorHAnsi"/>
          <w:b w:val="0"/>
          <w:bCs w:val="0"/>
        </w:rPr>
        <w:t xml:space="preserve">, hoje </w:t>
      </w:r>
      <w:r w:rsidRPr="00612AB8">
        <w:rPr>
          <w:rFonts w:asciiTheme="minorHAnsi" w:hAnsiTheme="minorHAnsi" w:cstheme="minorHAnsi"/>
          <w:b w:val="0"/>
          <w:bCs w:val="0"/>
        </w:rPr>
        <w:t xml:space="preserve">Resolução CVM </w:t>
      </w:r>
      <w:r w:rsidR="0025231C" w:rsidRPr="00612AB8">
        <w:rPr>
          <w:rFonts w:asciiTheme="minorHAnsi" w:hAnsiTheme="minorHAnsi" w:cstheme="minorHAnsi"/>
          <w:b w:val="0"/>
          <w:bCs w:val="0"/>
          <w:lang w:val="pt-BR"/>
        </w:rPr>
        <w:t xml:space="preserve">nº </w:t>
      </w:r>
      <w:r w:rsidR="00612AB8" w:rsidRPr="00612AB8">
        <w:rPr>
          <w:rFonts w:asciiTheme="minorHAnsi" w:hAnsiTheme="minorHAnsi" w:cstheme="minorHAnsi"/>
          <w:b w:val="0"/>
          <w:bCs w:val="0"/>
          <w:lang w:val="pt-BR"/>
        </w:rPr>
        <w:t>156</w:t>
      </w:r>
      <w:r w:rsidR="0025231C" w:rsidRPr="00612AB8">
        <w:rPr>
          <w:rFonts w:asciiTheme="minorHAnsi" w:hAnsiTheme="minorHAnsi" w:cstheme="minorHAnsi"/>
          <w:b w:val="0"/>
          <w:bCs w:val="0"/>
          <w:lang w:val="pt-BR"/>
        </w:rPr>
        <w:t>/22</w:t>
      </w:r>
      <w:r w:rsidRPr="00BB0D31">
        <w:rPr>
          <w:rFonts w:asciiTheme="minorHAnsi" w:hAnsiTheme="minorHAnsi" w:cstheme="minorHAnsi"/>
          <w:b w:val="0"/>
          <w:bCs w:val="0"/>
        </w:rPr>
        <w:t xml:space="preserve">, pautou-se na compreensibilidade e comparabilidade do indicador divulgado ao mercado, cujos principais comandos pretende-se esmiuçar nesta </w:t>
      </w:r>
      <w:r w:rsidR="004A36DC" w:rsidRPr="00BB0D31">
        <w:rPr>
          <w:rFonts w:asciiTheme="minorHAnsi" w:hAnsiTheme="minorHAnsi" w:cstheme="minorHAnsi"/>
          <w:b w:val="0"/>
          <w:bCs w:val="0"/>
          <w:lang w:val="pt-BR"/>
        </w:rPr>
        <w:t>Nota Explicativa</w:t>
      </w:r>
      <w:r w:rsidRPr="00BB0D31">
        <w:rPr>
          <w:rFonts w:asciiTheme="minorHAnsi" w:hAnsiTheme="minorHAnsi" w:cstheme="minorHAnsi"/>
          <w:b w:val="0"/>
          <w:bCs w:val="0"/>
        </w:rPr>
        <w:t>, para a sua melhor compreensão e aplicação.</w:t>
      </w:r>
    </w:p>
    <w:p w14:paraId="23692106" w14:textId="77777777" w:rsidR="0081257D" w:rsidRPr="00BB0D31" w:rsidRDefault="0081257D" w:rsidP="00BB0D31">
      <w:pPr>
        <w:pStyle w:val="Ttulo"/>
        <w:spacing w:before="120" w:after="120" w:line="312" w:lineRule="auto"/>
        <w:jc w:val="left"/>
        <w:rPr>
          <w:rFonts w:asciiTheme="minorHAnsi" w:hAnsiTheme="minorHAnsi" w:cstheme="minorHAnsi"/>
          <w:bCs w:val="0"/>
        </w:rPr>
      </w:pPr>
      <w:r w:rsidRPr="00BB0D31">
        <w:rPr>
          <w:rFonts w:asciiTheme="minorHAnsi" w:hAnsiTheme="minorHAnsi" w:cstheme="minorHAnsi"/>
          <w:bCs w:val="0"/>
        </w:rPr>
        <w:t>II - LAJIDA E LAJIR</w:t>
      </w:r>
    </w:p>
    <w:p w14:paraId="1324B7B4" w14:textId="77777777" w:rsidR="0081257D" w:rsidRPr="00BB0D31" w:rsidRDefault="0081257D" w:rsidP="00BB0D31">
      <w:pPr>
        <w:pStyle w:val="Ttulo"/>
        <w:spacing w:before="120" w:after="120" w:line="312" w:lineRule="auto"/>
        <w:ind w:firstLine="567"/>
        <w:jc w:val="both"/>
        <w:rPr>
          <w:rFonts w:asciiTheme="minorHAnsi" w:hAnsiTheme="minorHAnsi" w:cstheme="minorHAnsi"/>
          <w:b w:val="0"/>
        </w:rPr>
      </w:pPr>
      <w:r w:rsidRPr="00BB0D31">
        <w:rPr>
          <w:rFonts w:asciiTheme="minorHAnsi" w:hAnsiTheme="minorHAnsi" w:cstheme="minorHAnsi"/>
          <w:b w:val="0"/>
        </w:rPr>
        <w:t>Caso se pretenda refletir a visão da administração sobre o potencial de geração bruta de caixa pela companhia, ou pelo menos uma aproximação dessa geração, os ajustes feitos ao LAJIDA devem estabelecer uma relação com as medições previstas nas normas contábeis, assim como a própria demonstração dos fluxos de caixa, pelo método direto, também estabelece.</w:t>
      </w:r>
    </w:p>
    <w:p w14:paraId="02A823AD" w14:textId="77777777" w:rsidR="0081257D" w:rsidRPr="00BB0D31" w:rsidRDefault="0081257D" w:rsidP="00BB0D31">
      <w:pPr>
        <w:pStyle w:val="Ttulo"/>
        <w:spacing w:before="120" w:after="120" w:line="312" w:lineRule="auto"/>
        <w:ind w:firstLine="567"/>
        <w:jc w:val="both"/>
        <w:rPr>
          <w:rFonts w:asciiTheme="minorHAnsi" w:hAnsiTheme="minorHAnsi" w:cstheme="minorHAnsi"/>
          <w:b w:val="0"/>
        </w:rPr>
      </w:pPr>
      <w:r w:rsidRPr="00BB0D31">
        <w:rPr>
          <w:rFonts w:asciiTheme="minorHAnsi" w:hAnsiTheme="minorHAnsi" w:cstheme="minorHAnsi"/>
          <w:b w:val="0"/>
        </w:rPr>
        <w:t>Com isso, a primeira conclusão é a de que não devem entrar na composição do LAJIDA ou do LAJIR valores que não constem das demonstrações contábeis, no caso, da demonstração do resultado.</w:t>
      </w:r>
    </w:p>
    <w:p w14:paraId="076D4891" w14:textId="77777777" w:rsidR="0081257D" w:rsidRPr="00BB0D31" w:rsidRDefault="0081257D" w:rsidP="00BB0D31">
      <w:pPr>
        <w:pStyle w:val="Ttulo"/>
        <w:spacing w:before="120" w:after="120" w:line="312" w:lineRule="auto"/>
        <w:ind w:firstLine="567"/>
        <w:jc w:val="both"/>
        <w:rPr>
          <w:rFonts w:asciiTheme="minorHAnsi" w:hAnsiTheme="minorHAnsi" w:cstheme="minorHAnsi"/>
          <w:b w:val="0"/>
        </w:rPr>
      </w:pPr>
      <w:r w:rsidRPr="00BB0D31">
        <w:rPr>
          <w:rFonts w:asciiTheme="minorHAnsi" w:hAnsiTheme="minorHAnsi" w:cstheme="minorHAnsi"/>
          <w:b w:val="0"/>
        </w:rPr>
        <w:t>Costumam ser introduzidos, extrapolando o próprio conteúdo do título dado a esses indicadores, ajustes que não são relativos apenas aos juros, aos tributos sobre o lucro, às depreciações, amortizações e exaustões. Alguns desses ajustes dizem respeito a itens não recorrentes, com o objetivo de procurar mostrar o potencial de geração bruta recorrente de caixa por parte dos ativos não financeiros.</w:t>
      </w:r>
    </w:p>
    <w:p w14:paraId="0685964F" w14:textId="1593B7A0" w:rsidR="0081257D" w:rsidRPr="00BB0D31" w:rsidRDefault="0081257D" w:rsidP="00BB0D31">
      <w:pPr>
        <w:pStyle w:val="Ttulo"/>
        <w:spacing w:before="120" w:after="120" w:line="312" w:lineRule="auto"/>
        <w:ind w:firstLine="567"/>
        <w:jc w:val="both"/>
        <w:rPr>
          <w:rFonts w:asciiTheme="minorHAnsi" w:hAnsiTheme="minorHAnsi" w:cstheme="minorHAnsi"/>
          <w:b w:val="0"/>
        </w:rPr>
      </w:pPr>
      <w:r w:rsidRPr="00BB0D31">
        <w:rPr>
          <w:rFonts w:asciiTheme="minorHAnsi" w:hAnsiTheme="minorHAnsi" w:cstheme="minorHAnsi"/>
          <w:b w:val="0"/>
        </w:rPr>
        <w:t xml:space="preserve">Inicialmente, o mais relevante é que o título dado ao indicador não exclui, por si só, quaisquer itens não recorrentes, não operacionais e de operações descontinuadas. Assim, infere-se que o primeiro e mais simples conceito de </w:t>
      </w:r>
      <w:r w:rsidR="001F7645" w:rsidRPr="00BB0D31">
        <w:rPr>
          <w:rFonts w:asciiTheme="minorHAnsi" w:hAnsiTheme="minorHAnsi" w:cstheme="minorHAnsi"/>
          <w:b w:val="0"/>
        </w:rPr>
        <w:t>LAJIDA</w:t>
      </w:r>
      <w:r w:rsidRPr="00BB0D31">
        <w:rPr>
          <w:rFonts w:asciiTheme="minorHAnsi" w:hAnsiTheme="minorHAnsi" w:cstheme="minorHAnsi"/>
          <w:b w:val="0"/>
        </w:rPr>
        <w:t xml:space="preserve"> diz respeito ao montante dado pela adição, ao resultado líquido do</w:t>
      </w:r>
      <w:r w:rsidRPr="00BB0D31">
        <w:rPr>
          <w:rFonts w:asciiTheme="minorHAnsi" w:hAnsiTheme="minorHAnsi" w:cstheme="minorHAnsi"/>
          <w:b w:val="0"/>
          <w:lang w:val="pt-BR"/>
        </w:rPr>
        <w:t xml:space="preserve"> </w:t>
      </w:r>
      <w:r w:rsidRPr="00BB0D31">
        <w:rPr>
          <w:rFonts w:asciiTheme="minorHAnsi" w:hAnsiTheme="minorHAnsi" w:cstheme="minorHAnsi"/>
          <w:b w:val="0"/>
        </w:rPr>
        <w:t xml:space="preserve">período, tão somente dos tributos sobre o lucro, das despesas financeiras líquidas das receitas financeiras e das depreciações, amortizações e exaustões. Convém relembrar que os conceitos de depreciação, amortização e exaustão aqui mencionados referem-se aos itens não monetários classificados no ativo não circulante, nos grupos de investimento (propriedades para investimentos), imobilizado e intangível. </w:t>
      </w:r>
      <w:r w:rsidRPr="00BB0D31">
        <w:rPr>
          <w:rFonts w:asciiTheme="minorHAnsi" w:hAnsiTheme="minorHAnsi" w:cstheme="minorHAnsi"/>
          <w:b w:val="0"/>
        </w:rPr>
        <w:lastRenderedPageBreak/>
        <w:t>Dentro dessa linha, o conceito do LAJIR corresponde ao do LAJIDA diminuído das depreciações, amortizações e exaustões.</w:t>
      </w:r>
    </w:p>
    <w:p w14:paraId="4DE3FE93" w14:textId="77777777" w:rsidR="0081257D" w:rsidRPr="00BB0D31" w:rsidRDefault="0081257D" w:rsidP="00BB0D31">
      <w:pPr>
        <w:pStyle w:val="Ttulo"/>
        <w:spacing w:before="120" w:after="120" w:line="312" w:lineRule="auto"/>
        <w:ind w:firstLine="567"/>
        <w:jc w:val="both"/>
        <w:rPr>
          <w:rFonts w:asciiTheme="minorHAnsi" w:hAnsiTheme="minorHAnsi" w:cstheme="minorHAnsi"/>
          <w:b w:val="0"/>
        </w:rPr>
      </w:pPr>
      <w:r w:rsidRPr="00BB0D31">
        <w:rPr>
          <w:rFonts w:asciiTheme="minorHAnsi" w:hAnsiTheme="minorHAnsi" w:cstheme="minorHAnsi"/>
          <w:b w:val="0"/>
        </w:rPr>
        <w:t>Todavia, a literatura de fato se refere, muitas vezes, à figura do potencial de geração bruta de recursos com ajuste de alguns itens que a administração entende não contribuir para essa geração bruta de recursos. É importante garantir que esses ajustes não tornem o indicador não compreensível e comparável entre as companhias que o divulgam.</w:t>
      </w:r>
    </w:p>
    <w:p w14:paraId="3EAA2C97" w14:textId="77777777" w:rsidR="0081257D" w:rsidRPr="00BB0D31" w:rsidRDefault="0081257D" w:rsidP="00BB0D31">
      <w:pPr>
        <w:pStyle w:val="Ttulo"/>
        <w:spacing w:before="120" w:after="120" w:line="312" w:lineRule="auto"/>
        <w:jc w:val="left"/>
        <w:rPr>
          <w:rFonts w:asciiTheme="minorHAnsi" w:hAnsiTheme="minorHAnsi" w:cstheme="minorHAnsi"/>
          <w:bCs w:val="0"/>
        </w:rPr>
      </w:pPr>
      <w:r w:rsidRPr="00BB0D31">
        <w:rPr>
          <w:rFonts w:asciiTheme="minorHAnsi" w:hAnsiTheme="minorHAnsi" w:cstheme="minorHAnsi"/>
          <w:bCs w:val="0"/>
        </w:rPr>
        <w:t>III - LAJIDA E LAJIR ajustados</w:t>
      </w:r>
    </w:p>
    <w:p w14:paraId="217D71FA" w14:textId="77777777" w:rsidR="0081257D" w:rsidRPr="00BB0D31" w:rsidRDefault="0081257D" w:rsidP="00BB0D31">
      <w:pPr>
        <w:pStyle w:val="Ttulo"/>
        <w:spacing w:before="120" w:after="120" w:line="312" w:lineRule="auto"/>
        <w:ind w:firstLine="567"/>
        <w:jc w:val="both"/>
        <w:rPr>
          <w:rFonts w:asciiTheme="minorHAnsi" w:hAnsiTheme="minorHAnsi" w:cstheme="minorHAnsi"/>
          <w:b w:val="0"/>
        </w:rPr>
      </w:pPr>
      <w:r w:rsidRPr="00BB0D31">
        <w:rPr>
          <w:rFonts w:asciiTheme="minorHAnsi" w:hAnsiTheme="minorHAnsi" w:cstheme="minorHAnsi"/>
          <w:b w:val="0"/>
        </w:rPr>
        <w:t>É importante lembrar que a legislação brasileira não mais segrega, desde 2008, a partir da Lei nº 11.941/08, os anteriormente denominados “resultados não operacionais”, apenas se referindo a “outras receitas” e “outras despesas”, deixando essa caracterização por conta de normas contábeis específicas.</w:t>
      </w:r>
    </w:p>
    <w:p w14:paraId="648A447B" w14:textId="77777777" w:rsidR="0081257D" w:rsidRPr="00BB0D31" w:rsidRDefault="0081257D" w:rsidP="00BB0D31">
      <w:pPr>
        <w:pStyle w:val="Ttulo"/>
        <w:spacing w:before="120" w:after="120" w:line="312" w:lineRule="auto"/>
        <w:ind w:firstLine="567"/>
        <w:jc w:val="both"/>
        <w:rPr>
          <w:rFonts w:asciiTheme="minorHAnsi" w:hAnsiTheme="minorHAnsi" w:cstheme="minorHAnsi"/>
          <w:b w:val="0"/>
        </w:rPr>
      </w:pPr>
      <w:r w:rsidRPr="00BB0D31">
        <w:rPr>
          <w:rFonts w:asciiTheme="minorHAnsi" w:hAnsiTheme="minorHAnsi" w:cstheme="minorHAnsi"/>
          <w:b w:val="0"/>
        </w:rPr>
        <w:t>Com a aprovação do Pronunciamento Técnico CPC 26</w:t>
      </w:r>
      <w:r w:rsidR="001D4368" w:rsidRPr="00BB0D31">
        <w:rPr>
          <w:rFonts w:asciiTheme="minorHAnsi" w:hAnsiTheme="minorHAnsi" w:cstheme="minorHAnsi"/>
          <w:b w:val="0"/>
          <w:lang w:val="pt-BR"/>
        </w:rPr>
        <w:t xml:space="preserve"> (R1)</w:t>
      </w:r>
      <w:r w:rsidRPr="00BB0D31">
        <w:rPr>
          <w:rFonts w:asciiTheme="minorHAnsi" w:hAnsiTheme="minorHAnsi" w:cstheme="minorHAnsi"/>
          <w:b w:val="0"/>
        </w:rPr>
        <w:t xml:space="preserve"> – Apresentação das Demonstrações Contábeis, tem-se a seguinte estruturação mínima da demonstração do resultado:</w:t>
      </w:r>
    </w:p>
    <w:p w14:paraId="27721986" w14:textId="734875F3" w:rsidR="001C44B6" w:rsidRPr="00BB0D31" w:rsidRDefault="001C44B6" w:rsidP="00BB0D31">
      <w:pPr>
        <w:pStyle w:val="Textoembloco"/>
        <w:spacing w:before="120" w:after="120" w:line="312" w:lineRule="auto"/>
        <w:ind w:left="1134" w:firstLine="0"/>
        <w:jc w:val="both"/>
        <w:rPr>
          <w:rFonts w:asciiTheme="minorHAnsi" w:hAnsiTheme="minorHAnsi" w:cstheme="minorHAnsi"/>
          <w:b/>
          <w:sz w:val="24"/>
          <w:lang w:val="pt-BR"/>
        </w:rPr>
      </w:pPr>
      <w:r w:rsidRPr="00BB0D31">
        <w:rPr>
          <w:rFonts w:asciiTheme="minorHAnsi" w:hAnsiTheme="minorHAnsi" w:cstheme="minorHAnsi"/>
          <w:sz w:val="24"/>
          <w:lang w:val="pt-BR"/>
        </w:rPr>
        <w:t>“82. Além dos itens requeridos em outros pronunciamentos, a demonstração do resultado do período deve, no mínimo, incluir as seguintes rubricas, obedecidas também às determinações legais:</w:t>
      </w:r>
    </w:p>
    <w:p w14:paraId="5F49E04D" w14:textId="21D76FC3" w:rsidR="001C44B6" w:rsidRPr="00BB0D31" w:rsidRDefault="00BB0D31" w:rsidP="001332D8">
      <w:pPr>
        <w:widowControl w:val="0"/>
        <w:tabs>
          <w:tab w:val="num" w:pos="1496"/>
        </w:tabs>
        <w:autoSpaceDN w:val="0"/>
        <w:spacing w:before="120" w:after="120" w:line="312" w:lineRule="auto"/>
        <w:ind w:left="1560"/>
        <w:jc w:val="both"/>
        <w:rPr>
          <w:rFonts w:asciiTheme="minorHAnsi" w:hAnsiTheme="minorHAnsi" w:cstheme="minorHAnsi"/>
          <w:bCs/>
          <w:iCs/>
          <w:strike/>
          <w:sz w:val="24"/>
          <w:szCs w:val="24"/>
        </w:rPr>
      </w:pPr>
      <w:r>
        <w:rPr>
          <w:rFonts w:asciiTheme="minorHAnsi" w:hAnsiTheme="minorHAnsi" w:cstheme="minorHAnsi"/>
          <w:sz w:val="24"/>
          <w:szCs w:val="24"/>
        </w:rPr>
        <w:t xml:space="preserve">(a) </w:t>
      </w:r>
      <w:r w:rsidR="001C44B6" w:rsidRPr="00BB0D31">
        <w:rPr>
          <w:rFonts w:asciiTheme="minorHAnsi" w:hAnsiTheme="minorHAnsi" w:cstheme="minorHAnsi"/>
          <w:sz w:val="24"/>
          <w:szCs w:val="24"/>
        </w:rPr>
        <w:t>receitas, apresentando separadamente receita de juros calculada utilizando o método de juros efetivos;</w:t>
      </w:r>
    </w:p>
    <w:p w14:paraId="302ED3C6" w14:textId="6D09F720" w:rsidR="001C44B6" w:rsidRPr="00BB0D31" w:rsidRDefault="00BB0D31" w:rsidP="00BB0D31">
      <w:pPr>
        <w:spacing w:before="120" w:after="120" w:line="312" w:lineRule="auto"/>
        <w:ind w:left="1559"/>
        <w:jc w:val="both"/>
        <w:rPr>
          <w:rFonts w:asciiTheme="minorHAnsi" w:hAnsiTheme="minorHAnsi" w:cstheme="minorHAnsi"/>
          <w:bCs/>
          <w:iCs/>
          <w:strike/>
          <w:sz w:val="24"/>
          <w:szCs w:val="24"/>
        </w:rPr>
      </w:pPr>
      <w:r>
        <w:rPr>
          <w:rFonts w:asciiTheme="minorHAnsi" w:hAnsiTheme="minorHAnsi" w:cstheme="minorHAnsi"/>
          <w:bCs/>
          <w:iCs/>
          <w:sz w:val="24"/>
          <w:szCs w:val="24"/>
        </w:rPr>
        <w:t>(</w:t>
      </w:r>
      <w:proofErr w:type="gramStart"/>
      <w:r>
        <w:rPr>
          <w:rFonts w:asciiTheme="minorHAnsi" w:hAnsiTheme="minorHAnsi" w:cstheme="minorHAnsi"/>
          <w:bCs/>
          <w:iCs/>
          <w:sz w:val="24"/>
          <w:szCs w:val="24"/>
        </w:rPr>
        <w:t>aa</w:t>
      </w:r>
      <w:proofErr w:type="gramEnd"/>
      <w:r>
        <w:rPr>
          <w:rFonts w:asciiTheme="minorHAnsi" w:hAnsiTheme="minorHAnsi" w:cstheme="minorHAnsi"/>
          <w:bCs/>
          <w:iCs/>
          <w:sz w:val="24"/>
          <w:szCs w:val="24"/>
        </w:rPr>
        <w:t xml:space="preserve">) </w:t>
      </w:r>
      <w:r w:rsidR="001C44B6" w:rsidRPr="00BB0D31">
        <w:rPr>
          <w:rFonts w:asciiTheme="minorHAnsi" w:hAnsiTheme="minorHAnsi" w:cstheme="minorHAnsi"/>
          <w:bCs/>
          <w:iCs/>
          <w:sz w:val="24"/>
          <w:szCs w:val="24"/>
        </w:rPr>
        <w:t xml:space="preserve">ganhos e perdas decorrentes do </w:t>
      </w:r>
      <w:proofErr w:type="spellStart"/>
      <w:r w:rsidR="001C44B6" w:rsidRPr="00BB0D31">
        <w:rPr>
          <w:rFonts w:asciiTheme="minorHAnsi" w:hAnsiTheme="minorHAnsi" w:cstheme="minorHAnsi"/>
          <w:bCs/>
          <w:iCs/>
          <w:sz w:val="24"/>
          <w:szCs w:val="24"/>
        </w:rPr>
        <w:t>desreconhecimento</w:t>
      </w:r>
      <w:proofErr w:type="spellEnd"/>
      <w:r w:rsidR="001C44B6" w:rsidRPr="00BB0D31">
        <w:rPr>
          <w:rFonts w:asciiTheme="minorHAnsi" w:hAnsiTheme="minorHAnsi" w:cstheme="minorHAnsi"/>
          <w:bCs/>
          <w:iCs/>
          <w:sz w:val="24"/>
          <w:szCs w:val="24"/>
        </w:rPr>
        <w:t xml:space="preserve"> de ativos financeiros mensurados pelo</w:t>
      </w:r>
      <w:r w:rsidR="001C44B6" w:rsidRPr="00BB0D31">
        <w:rPr>
          <w:rFonts w:asciiTheme="minorHAnsi" w:hAnsiTheme="minorHAnsi" w:cstheme="minorHAnsi"/>
          <w:sz w:val="24"/>
          <w:szCs w:val="24"/>
        </w:rPr>
        <w:t xml:space="preserve"> custo </w:t>
      </w:r>
      <w:r w:rsidR="001C44B6" w:rsidRPr="00BB0D31">
        <w:rPr>
          <w:rFonts w:asciiTheme="minorHAnsi" w:hAnsiTheme="minorHAnsi" w:cstheme="minorHAnsi"/>
          <w:bCs/>
          <w:iCs/>
          <w:sz w:val="24"/>
          <w:szCs w:val="24"/>
        </w:rPr>
        <w:t>amortizado;</w:t>
      </w:r>
    </w:p>
    <w:p w14:paraId="0F7F18B1" w14:textId="7F4A0E16" w:rsidR="001C44B6" w:rsidRPr="00BB0D31" w:rsidRDefault="00BB0D31" w:rsidP="001332D8">
      <w:pPr>
        <w:widowControl w:val="0"/>
        <w:tabs>
          <w:tab w:val="num" w:pos="1496"/>
        </w:tabs>
        <w:autoSpaceDN w:val="0"/>
        <w:spacing w:before="120" w:after="120" w:line="312" w:lineRule="auto"/>
        <w:ind w:left="1560"/>
        <w:jc w:val="both"/>
        <w:rPr>
          <w:rFonts w:asciiTheme="minorHAnsi" w:hAnsiTheme="minorHAnsi" w:cstheme="minorHAnsi"/>
          <w:bCs/>
          <w:iCs/>
          <w:sz w:val="24"/>
          <w:szCs w:val="24"/>
        </w:rPr>
      </w:pPr>
      <w:r>
        <w:rPr>
          <w:rFonts w:asciiTheme="minorHAnsi" w:hAnsiTheme="minorHAnsi" w:cstheme="minorHAnsi"/>
          <w:bCs/>
          <w:iCs/>
          <w:sz w:val="24"/>
          <w:szCs w:val="24"/>
        </w:rPr>
        <w:t xml:space="preserve">(b) </w:t>
      </w:r>
      <w:r w:rsidR="001C44B6" w:rsidRPr="00BB0D31">
        <w:rPr>
          <w:rFonts w:asciiTheme="minorHAnsi" w:hAnsiTheme="minorHAnsi" w:cstheme="minorHAnsi"/>
          <w:bCs/>
          <w:iCs/>
          <w:sz w:val="24"/>
          <w:szCs w:val="24"/>
        </w:rPr>
        <w:t>custos de financiamento;</w:t>
      </w:r>
    </w:p>
    <w:p w14:paraId="19E2F5E6" w14:textId="77777777" w:rsidR="001C44B6" w:rsidRPr="00BB0D31" w:rsidRDefault="001C44B6" w:rsidP="00BB0D31">
      <w:pPr>
        <w:pStyle w:val="Textoembloco"/>
        <w:spacing w:before="120" w:after="120" w:line="312" w:lineRule="auto"/>
        <w:ind w:left="1559" w:firstLine="0"/>
        <w:jc w:val="both"/>
        <w:rPr>
          <w:rFonts w:asciiTheme="minorHAnsi" w:hAnsiTheme="minorHAnsi" w:cstheme="minorHAnsi"/>
          <w:sz w:val="24"/>
          <w:lang w:val="pt-BR"/>
        </w:rPr>
      </w:pPr>
      <w:r w:rsidRPr="00BB0D31">
        <w:rPr>
          <w:rFonts w:asciiTheme="minorHAnsi" w:hAnsiTheme="minorHAnsi" w:cstheme="minorHAnsi"/>
          <w:sz w:val="24"/>
          <w:lang w:val="pt-BR"/>
        </w:rPr>
        <w:t>(</w:t>
      </w:r>
      <w:proofErr w:type="spellStart"/>
      <w:proofErr w:type="gramStart"/>
      <w:r w:rsidRPr="00BB0D31">
        <w:rPr>
          <w:rFonts w:asciiTheme="minorHAnsi" w:hAnsiTheme="minorHAnsi" w:cstheme="minorHAnsi"/>
          <w:sz w:val="24"/>
          <w:lang w:val="pt-BR"/>
        </w:rPr>
        <w:t>ba</w:t>
      </w:r>
      <w:proofErr w:type="spellEnd"/>
      <w:proofErr w:type="gramEnd"/>
      <w:r w:rsidRPr="00BB0D31">
        <w:rPr>
          <w:rFonts w:asciiTheme="minorHAnsi" w:hAnsiTheme="minorHAnsi" w:cstheme="minorHAnsi"/>
          <w:sz w:val="24"/>
          <w:lang w:val="pt-BR"/>
        </w:rPr>
        <w:t>) perda por redução ao valor recuperável (incluindo reversões de perdas por redução ao valor recuperável ou ganhos na redução ao valor recuperável), determinado de acordo com a Seção 5.5 do CPC 48;</w:t>
      </w:r>
    </w:p>
    <w:p w14:paraId="330049DA" w14:textId="7EAFEF24" w:rsidR="001C44B6" w:rsidRPr="00BB0D31" w:rsidRDefault="00BB0D31" w:rsidP="001332D8">
      <w:pPr>
        <w:widowControl w:val="0"/>
        <w:tabs>
          <w:tab w:val="num" w:pos="1496"/>
        </w:tabs>
        <w:autoSpaceDN w:val="0"/>
        <w:spacing w:before="120" w:after="120" w:line="312" w:lineRule="auto"/>
        <w:ind w:left="1560"/>
        <w:jc w:val="both"/>
        <w:rPr>
          <w:rFonts w:asciiTheme="minorHAnsi" w:hAnsiTheme="minorHAnsi" w:cstheme="minorHAnsi"/>
          <w:bCs/>
          <w:iCs/>
          <w:sz w:val="24"/>
          <w:szCs w:val="24"/>
        </w:rPr>
      </w:pPr>
      <w:r>
        <w:rPr>
          <w:rFonts w:asciiTheme="minorHAnsi" w:hAnsiTheme="minorHAnsi" w:cstheme="minorHAnsi"/>
          <w:bCs/>
          <w:iCs/>
          <w:sz w:val="24"/>
          <w:szCs w:val="24"/>
        </w:rPr>
        <w:t xml:space="preserve">(c) </w:t>
      </w:r>
      <w:r w:rsidR="001C44B6" w:rsidRPr="00BB0D31">
        <w:rPr>
          <w:rFonts w:asciiTheme="minorHAnsi" w:hAnsiTheme="minorHAnsi" w:cstheme="minorHAnsi"/>
          <w:bCs/>
          <w:iCs/>
          <w:sz w:val="24"/>
          <w:szCs w:val="24"/>
        </w:rPr>
        <w:t>parcela dos resultados de empresas investidas, reconhecida por meio do método da equivalência patrimonial;</w:t>
      </w:r>
    </w:p>
    <w:p w14:paraId="2D1E0D1C" w14:textId="34877636" w:rsidR="001C44B6" w:rsidRPr="00BB0D31" w:rsidRDefault="00BB0D31" w:rsidP="00BB0D31">
      <w:pPr>
        <w:autoSpaceDE w:val="0"/>
        <w:autoSpaceDN w:val="0"/>
        <w:adjustRightInd w:val="0"/>
        <w:spacing w:before="120" w:after="120" w:line="312" w:lineRule="auto"/>
        <w:ind w:left="1560"/>
        <w:jc w:val="both"/>
        <w:rPr>
          <w:rFonts w:asciiTheme="minorHAnsi" w:hAnsiTheme="minorHAnsi" w:cstheme="minorHAnsi"/>
          <w:sz w:val="24"/>
          <w:szCs w:val="24"/>
        </w:rPr>
      </w:pPr>
      <w:r>
        <w:rPr>
          <w:rFonts w:asciiTheme="minorHAnsi" w:hAnsiTheme="minorHAnsi" w:cstheme="minorHAnsi"/>
          <w:bCs/>
          <w:sz w:val="24"/>
          <w:szCs w:val="24"/>
        </w:rPr>
        <w:t>(</w:t>
      </w:r>
      <w:proofErr w:type="spellStart"/>
      <w:proofErr w:type="gramStart"/>
      <w:r>
        <w:rPr>
          <w:rFonts w:asciiTheme="minorHAnsi" w:hAnsiTheme="minorHAnsi" w:cstheme="minorHAnsi"/>
          <w:bCs/>
          <w:sz w:val="24"/>
          <w:szCs w:val="24"/>
        </w:rPr>
        <w:t>ca</w:t>
      </w:r>
      <w:proofErr w:type="spellEnd"/>
      <w:proofErr w:type="gramEnd"/>
      <w:r>
        <w:rPr>
          <w:rFonts w:asciiTheme="minorHAnsi" w:hAnsiTheme="minorHAnsi" w:cstheme="minorHAnsi"/>
          <w:bCs/>
          <w:sz w:val="24"/>
          <w:szCs w:val="24"/>
        </w:rPr>
        <w:t xml:space="preserve">) </w:t>
      </w:r>
      <w:r w:rsidR="001C44B6" w:rsidRPr="00BB0D31">
        <w:rPr>
          <w:rFonts w:asciiTheme="minorHAnsi" w:hAnsiTheme="minorHAnsi" w:cstheme="minorHAnsi"/>
          <w:bCs/>
          <w:sz w:val="24"/>
          <w:szCs w:val="24"/>
        </w:rPr>
        <w:t>se o ativo financeiro for reclassificado da categoria de mensuração ao custo amortizado de modo que seja mensurado ao valor justo por meio do resultado, qualquer ganho ou perda decorrente da diferença entre o custo amortizado anterior do ativo financeiro e seu valor justo na data da reclassificação (conforme definido no CPC 48);</w:t>
      </w:r>
    </w:p>
    <w:p w14:paraId="74E9A7A3" w14:textId="283AD6A1" w:rsidR="001C44B6" w:rsidRPr="00BB0D31" w:rsidRDefault="00BB0D31" w:rsidP="00BB0D31">
      <w:pPr>
        <w:pStyle w:val="Textoembloco"/>
        <w:tabs>
          <w:tab w:val="left" w:pos="708"/>
        </w:tabs>
        <w:spacing w:before="120" w:after="120" w:line="312" w:lineRule="auto"/>
        <w:ind w:left="1559" w:firstLine="0"/>
        <w:jc w:val="both"/>
        <w:rPr>
          <w:rFonts w:asciiTheme="minorHAnsi" w:hAnsiTheme="minorHAnsi" w:cstheme="minorHAnsi"/>
          <w:sz w:val="24"/>
          <w:lang w:val="pt-BR"/>
        </w:rPr>
      </w:pPr>
      <w:r>
        <w:rPr>
          <w:rFonts w:asciiTheme="minorHAnsi" w:hAnsiTheme="minorHAnsi" w:cstheme="minorHAnsi"/>
          <w:sz w:val="24"/>
          <w:lang w:val="pt-BR"/>
        </w:rPr>
        <w:lastRenderedPageBreak/>
        <w:t>(</w:t>
      </w:r>
      <w:proofErr w:type="spellStart"/>
      <w:proofErr w:type="gramStart"/>
      <w:r>
        <w:rPr>
          <w:rFonts w:asciiTheme="minorHAnsi" w:hAnsiTheme="minorHAnsi" w:cstheme="minorHAnsi"/>
          <w:sz w:val="24"/>
          <w:lang w:val="pt-BR"/>
        </w:rPr>
        <w:t>cb</w:t>
      </w:r>
      <w:proofErr w:type="spellEnd"/>
      <w:proofErr w:type="gramEnd"/>
      <w:r>
        <w:rPr>
          <w:rFonts w:asciiTheme="minorHAnsi" w:hAnsiTheme="minorHAnsi" w:cstheme="minorHAnsi"/>
          <w:sz w:val="24"/>
          <w:lang w:val="pt-BR"/>
        </w:rPr>
        <w:t xml:space="preserve">) </w:t>
      </w:r>
      <w:r w:rsidR="001C44B6" w:rsidRPr="00BB0D31">
        <w:rPr>
          <w:rFonts w:asciiTheme="minorHAnsi" w:hAnsiTheme="minorHAnsi" w:cstheme="minorHAnsi"/>
          <w:sz w:val="24"/>
          <w:lang w:val="pt-BR"/>
        </w:rPr>
        <w:t>se o ativo financeiro for reclassificado da categoria de mensuração ao valor justo por meio de outros resultados abrangentes de modo que seja mensurado ao valor justo por meio do resultado, qualquer ganho ou perda acumulado reconhecido anteriormente em outros resultados abrangentes que sejam reclassificados para o resultado;</w:t>
      </w:r>
    </w:p>
    <w:p w14:paraId="42D10875" w14:textId="09FA41D7" w:rsidR="001C44B6" w:rsidRPr="00BB0D31" w:rsidRDefault="00BB0D31" w:rsidP="001332D8">
      <w:pPr>
        <w:widowControl w:val="0"/>
        <w:tabs>
          <w:tab w:val="num" w:pos="1496"/>
        </w:tabs>
        <w:autoSpaceDN w:val="0"/>
        <w:spacing w:before="120" w:after="120" w:line="312" w:lineRule="auto"/>
        <w:ind w:left="1560"/>
        <w:jc w:val="both"/>
        <w:rPr>
          <w:rFonts w:asciiTheme="minorHAnsi" w:hAnsiTheme="minorHAnsi" w:cstheme="minorHAnsi"/>
          <w:b/>
          <w:sz w:val="24"/>
          <w:szCs w:val="24"/>
        </w:rPr>
      </w:pPr>
      <w:r>
        <w:rPr>
          <w:rFonts w:asciiTheme="minorHAnsi" w:hAnsiTheme="minorHAnsi" w:cstheme="minorHAnsi"/>
          <w:sz w:val="24"/>
          <w:szCs w:val="24"/>
        </w:rPr>
        <w:t xml:space="preserve">(d) </w:t>
      </w:r>
      <w:r w:rsidR="001C44B6" w:rsidRPr="00BB0D31">
        <w:rPr>
          <w:rFonts w:asciiTheme="minorHAnsi" w:hAnsiTheme="minorHAnsi" w:cstheme="minorHAnsi"/>
          <w:sz w:val="24"/>
          <w:szCs w:val="24"/>
        </w:rPr>
        <w:t>tributos sobre o lucro;</w:t>
      </w:r>
    </w:p>
    <w:p w14:paraId="683E4E3D" w14:textId="0EB312AF" w:rsidR="001C44B6" w:rsidRPr="00BB0D31" w:rsidRDefault="00BB0D31" w:rsidP="001332D8">
      <w:pPr>
        <w:widowControl w:val="0"/>
        <w:tabs>
          <w:tab w:val="num" w:pos="1496"/>
        </w:tabs>
        <w:autoSpaceDN w:val="0"/>
        <w:spacing w:before="120" w:after="120" w:line="312" w:lineRule="auto"/>
        <w:ind w:left="1560"/>
        <w:jc w:val="both"/>
        <w:rPr>
          <w:rFonts w:asciiTheme="minorHAnsi" w:hAnsiTheme="minorHAnsi" w:cstheme="minorHAnsi"/>
          <w:bCs/>
          <w:iCs/>
          <w:sz w:val="24"/>
          <w:szCs w:val="24"/>
        </w:rPr>
      </w:pPr>
      <w:r>
        <w:rPr>
          <w:rFonts w:asciiTheme="minorHAnsi" w:hAnsiTheme="minorHAnsi" w:cstheme="minorHAnsi"/>
          <w:sz w:val="24"/>
          <w:szCs w:val="24"/>
        </w:rPr>
        <w:t xml:space="preserve">(e) </w:t>
      </w:r>
      <w:r w:rsidR="001C44B6" w:rsidRPr="00BB0D31">
        <w:rPr>
          <w:rFonts w:asciiTheme="minorHAnsi" w:hAnsiTheme="minorHAnsi" w:cstheme="minorHAnsi"/>
          <w:sz w:val="24"/>
          <w:szCs w:val="24"/>
        </w:rPr>
        <w:t>(</w:t>
      </w:r>
      <w:r w:rsidR="001C44B6" w:rsidRPr="00BB0D31">
        <w:rPr>
          <w:rFonts w:asciiTheme="minorHAnsi" w:hAnsiTheme="minorHAnsi" w:cstheme="minorHAnsi"/>
          <w:bCs/>
          <w:iCs/>
          <w:sz w:val="24"/>
          <w:szCs w:val="24"/>
        </w:rPr>
        <w:t>eliminada);</w:t>
      </w:r>
    </w:p>
    <w:p w14:paraId="394C5CEB" w14:textId="440AEA74" w:rsidR="001C44B6" w:rsidRPr="00BB0D31" w:rsidRDefault="00BB0D31" w:rsidP="00BB0D31">
      <w:pPr>
        <w:spacing w:before="120" w:after="120" w:line="312" w:lineRule="auto"/>
        <w:ind w:left="1560"/>
        <w:jc w:val="both"/>
        <w:rPr>
          <w:rFonts w:asciiTheme="minorHAnsi" w:hAnsiTheme="minorHAnsi" w:cstheme="minorHAnsi"/>
          <w:bCs/>
          <w:iCs/>
          <w:sz w:val="24"/>
          <w:szCs w:val="24"/>
        </w:rPr>
      </w:pPr>
      <w:r>
        <w:rPr>
          <w:rFonts w:asciiTheme="minorHAnsi" w:hAnsiTheme="minorHAnsi" w:cstheme="minorHAnsi"/>
          <w:bCs/>
          <w:iCs/>
          <w:sz w:val="24"/>
          <w:szCs w:val="24"/>
        </w:rPr>
        <w:t>(</w:t>
      </w:r>
      <w:proofErr w:type="spellStart"/>
      <w:proofErr w:type="gramStart"/>
      <w:r>
        <w:rPr>
          <w:rFonts w:asciiTheme="minorHAnsi" w:hAnsiTheme="minorHAnsi" w:cstheme="minorHAnsi"/>
          <w:bCs/>
          <w:iCs/>
          <w:sz w:val="24"/>
          <w:szCs w:val="24"/>
        </w:rPr>
        <w:t>ea</w:t>
      </w:r>
      <w:proofErr w:type="spellEnd"/>
      <w:proofErr w:type="gramEnd"/>
      <w:r>
        <w:rPr>
          <w:rFonts w:asciiTheme="minorHAnsi" w:hAnsiTheme="minorHAnsi" w:cstheme="minorHAnsi"/>
          <w:bCs/>
          <w:iCs/>
          <w:sz w:val="24"/>
          <w:szCs w:val="24"/>
        </w:rPr>
        <w:t xml:space="preserve">) </w:t>
      </w:r>
      <w:r w:rsidR="001C44B6" w:rsidRPr="00BB0D31">
        <w:rPr>
          <w:rFonts w:asciiTheme="minorHAnsi" w:hAnsiTheme="minorHAnsi" w:cstheme="minorHAnsi"/>
          <w:bCs/>
          <w:iCs/>
          <w:sz w:val="24"/>
          <w:szCs w:val="24"/>
        </w:rPr>
        <w:t>um único valor para o total de operações descontinuadas (ver Pronunciamento Técnico CPC 31);</w:t>
      </w:r>
    </w:p>
    <w:p w14:paraId="41956648" w14:textId="0CBF1D0C" w:rsidR="001C44B6" w:rsidRPr="00BB0D31" w:rsidRDefault="00BB0D31" w:rsidP="001332D8">
      <w:pPr>
        <w:widowControl w:val="0"/>
        <w:tabs>
          <w:tab w:val="num" w:pos="1496"/>
        </w:tabs>
        <w:autoSpaceDN w:val="0"/>
        <w:spacing w:before="120" w:after="120" w:line="312" w:lineRule="auto"/>
        <w:ind w:left="1560"/>
        <w:jc w:val="both"/>
        <w:rPr>
          <w:rFonts w:asciiTheme="minorHAnsi" w:hAnsiTheme="minorHAnsi" w:cstheme="minorHAnsi"/>
          <w:bCs/>
          <w:iCs/>
          <w:sz w:val="24"/>
          <w:szCs w:val="24"/>
        </w:rPr>
      </w:pPr>
      <w:r>
        <w:rPr>
          <w:rFonts w:asciiTheme="minorHAnsi" w:hAnsiTheme="minorHAnsi" w:cstheme="minorHAnsi"/>
          <w:bCs/>
          <w:iCs/>
          <w:sz w:val="24"/>
          <w:szCs w:val="24"/>
        </w:rPr>
        <w:t xml:space="preserve">(f) </w:t>
      </w:r>
      <w:r w:rsidR="001C44B6" w:rsidRPr="00BB0D31">
        <w:rPr>
          <w:rFonts w:asciiTheme="minorHAnsi" w:hAnsiTheme="minorHAnsi" w:cstheme="minorHAnsi"/>
          <w:bCs/>
          <w:iCs/>
          <w:sz w:val="24"/>
          <w:szCs w:val="24"/>
        </w:rPr>
        <w:t xml:space="preserve">em atendimento à legislação </w:t>
      </w:r>
      <w:r w:rsidR="001C44B6" w:rsidRPr="00BB0D31">
        <w:rPr>
          <w:rFonts w:asciiTheme="minorHAnsi" w:hAnsiTheme="minorHAnsi" w:cstheme="minorHAnsi"/>
          <w:sz w:val="24"/>
          <w:szCs w:val="24"/>
        </w:rPr>
        <w:t>societária brasileira vigente na data da emissão deste Pronunciamento, a demonstração do resultado deve incluir ainda as seguintes rubricas:</w:t>
      </w:r>
    </w:p>
    <w:p w14:paraId="1B81B9DE" w14:textId="6F6FDCDF" w:rsidR="001C44B6" w:rsidRPr="00BB0D31" w:rsidRDefault="00BB0D31" w:rsidP="001332D8">
      <w:pPr>
        <w:widowControl w:val="0"/>
        <w:autoSpaceDN w:val="0"/>
        <w:spacing w:before="120" w:after="120" w:line="312" w:lineRule="auto"/>
        <w:ind w:left="1985"/>
        <w:jc w:val="both"/>
        <w:rPr>
          <w:rFonts w:asciiTheme="minorHAnsi" w:hAnsiTheme="minorHAnsi" w:cstheme="minorHAnsi"/>
          <w:b/>
          <w:sz w:val="24"/>
          <w:szCs w:val="24"/>
        </w:rPr>
      </w:pPr>
      <w:r>
        <w:rPr>
          <w:rFonts w:asciiTheme="minorHAnsi" w:hAnsiTheme="minorHAnsi" w:cstheme="minorHAnsi"/>
          <w:bCs/>
          <w:iCs/>
          <w:sz w:val="24"/>
          <w:szCs w:val="24"/>
        </w:rPr>
        <w:t xml:space="preserve">(i) </w:t>
      </w:r>
      <w:r w:rsidR="001C44B6" w:rsidRPr="00BB0D31">
        <w:rPr>
          <w:rFonts w:asciiTheme="minorHAnsi" w:hAnsiTheme="minorHAnsi" w:cstheme="minorHAnsi"/>
          <w:bCs/>
          <w:iCs/>
          <w:sz w:val="24"/>
          <w:szCs w:val="24"/>
        </w:rPr>
        <w:t xml:space="preserve">custo </w:t>
      </w:r>
      <w:r w:rsidR="001C44B6" w:rsidRPr="00BB0D31">
        <w:rPr>
          <w:rFonts w:asciiTheme="minorHAnsi" w:hAnsiTheme="minorHAnsi" w:cstheme="minorHAnsi"/>
          <w:sz w:val="24"/>
          <w:szCs w:val="24"/>
        </w:rPr>
        <w:t xml:space="preserve">dos produtos, das mercadorias </w:t>
      </w:r>
      <w:r w:rsidR="001C44B6" w:rsidRPr="00BB0D31">
        <w:rPr>
          <w:rFonts w:asciiTheme="minorHAnsi" w:hAnsiTheme="minorHAnsi" w:cstheme="minorHAnsi"/>
          <w:bCs/>
          <w:iCs/>
          <w:sz w:val="24"/>
          <w:szCs w:val="24"/>
        </w:rPr>
        <w:t>e</w:t>
      </w:r>
      <w:r w:rsidR="001C44B6" w:rsidRPr="00BB0D31">
        <w:rPr>
          <w:rFonts w:asciiTheme="minorHAnsi" w:hAnsiTheme="minorHAnsi" w:cstheme="minorHAnsi"/>
          <w:sz w:val="24"/>
          <w:szCs w:val="24"/>
        </w:rPr>
        <w:t xml:space="preserve"> dos serviços vendidos;</w:t>
      </w:r>
    </w:p>
    <w:p w14:paraId="5AC427BA" w14:textId="0ADBB41C" w:rsidR="001C44B6" w:rsidRPr="00BB0D31" w:rsidRDefault="00BB0D31" w:rsidP="001332D8">
      <w:pPr>
        <w:widowControl w:val="0"/>
        <w:autoSpaceDN w:val="0"/>
        <w:spacing w:before="120" w:after="120" w:line="312" w:lineRule="auto"/>
        <w:ind w:left="1985"/>
        <w:jc w:val="both"/>
        <w:rPr>
          <w:rFonts w:asciiTheme="minorHAnsi" w:hAnsiTheme="minorHAnsi" w:cstheme="minorHAnsi"/>
          <w:b/>
          <w:sz w:val="24"/>
          <w:szCs w:val="24"/>
        </w:rPr>
      </w:pPr>
      <w:r>
        <w:rPr>
          <w:rFonts w:asciiTheme="minorHAnsi" w:hAnsiTheme="minorHAnsi" w:cstheme="minorHAnsi"/>
          <w:sz w:val="24"/>
          <w:szCs w:val="24"/>
        </w:rPr>
        <w:t>(</w:t>
      </w:r>
      <w:proofErr w:type="spellStart"/>
      <w:r>
        <w:rPr>
          <w:rFonts w:asciiTheme="minorHAnsi" w:hAnsiTheme="minorHAnsi" w:cstheme="minorHAnsi"/>
          <w:sz w:val="24"/>
          <w:szCs w:val="24"/>
        </w:rPr>
        <w:t>ii</w:t>
      </w:r>
      <w:proofErr w:type="spellEnd"/>
      <w:r>
        <w:rPr>
          <w:rFonts w:asciiTheme="minorHAnsi" w:hAnsiTheme="minorHAnsi" w:cstheme="minorHAnsi"/>
          <w:sz w:val="24"/>
          <w:szCs w:val="24"/>
        </w:rPr>
        <w:t xml:space="preserve">) </w:t>
      </w:r>
      <w:r w:rsidR="001C44B6" w:rsidRPr="00BB0D31">
        <w:rPr>
          <w:rFonts w:asciiTheme="minorHAnsi" w:hAnsiTheme="minorHAnsi" w:cstheme="minorHAnsi"/>
          <w:sz w:val="24"/>
          <w:szCs w:val="24"/>
        </w:rPr>
        <w:t>lucro bruto;</w:t>
      </w:r>
    </w:p>
    <w:p w14:paraId="3234FF9C" w14:textId="5B330872" w:rsidR="001C44B6" w:rsidRPr="00BB0D31" w:rsidRDefault="00BB0D31" w:rsidP="001332D8">
      <w:pPr>
        <w:widowControl w:val="0"/>
        <w:autoSpaceDN w:val="0"/>
        <w:spacing w:before="120" w:after="120" w:line="312" w:lineRule="auto"/>
        <w:ind w:left="1985"/>
        <w:jc w:val="both"/>
        <w:rPr>
          <w:rFonts w:asciiTheme="minorHAnsi" w:hAnsiTheme="minorHAnsi" w:cstheme="minorHAnsi"/>
          <w:b/>
          <w:sz w:val="24"/>
          <w:szCs w:val="24"/>
        </w:rPr>
      </w:pPr>
      <w:r>
        <w:rPr>
          <w:rFonts w:asciiTheme="minorHAnsi" w:hAnsiTheme="minorHAnsi" w:cstheme="minorHAnsi"/>
          <w:sz w:val="24"/>
          <w:szCs w:val="24"/>
        </w:rPr>
        <w:t>(</w:t>
      </w:r>
      <w:proofErr w:type="spellStart"/>
      <w:r>
        <w:rPr>
          <w:rFonts w:asciiTheme="minorHAnsi" w:hAnsiTheme="minorHAnsi" w:cstheme="minorHAnsi"/>
          <w:sz w:val="24"/>
          <w:szCs w:val="24"/>
        </w:rPr>
        <w:t>iii</w:t>
      </w:r>
      <w:proofErr w:type="spellEnd"/>
      <w:r>
        <w:rPr>
          <w:rFonts w:asciiTheme="minorHAnsi" w:hAnsiTheme="minorHAnsi" w:cstheme="minorHAnsi"/>
          <w:sz w:val="24"/>
          <w:szCs w:val="24"/>
        </w:rPr>
        <w:t xml:space="preserve">) </w:t>
      </w:r>
      <w:r w:rsidR="001C44B6" w:rsidRPr="00BB0D31">
        <w:rPr>
          <w:rFonts w:asciiTheme="minorHAnsi" w:hAnsiTheme="minorHAnsi" w:cstheme="minorHAnsi"/>
          <w:sz w:val="24"/>
          <w:szCs w:val="24"/>
        </w:rPr>
        <w:t>despesas com vendas, gerais, administrativas e outras despesas e receitas operacionais;</w:t>
      </w:r>
    </w:p>
    <w:p w14:paraId="363ED2DF" w14:textId="2EBAD5B5" w:rsidR="001C44B6" w:rsidRPr="00BB0D31" w:rsidRDefault="00BB0D31" w:rsidP="001332D8">
      <w:pPr>
        <w:widowControl w:val="0"/>
        <w:autoSpaceDN w:val="0"/>
        <w:spacing w:before="120" w:after="120" w:line="312" w:lineRule="auto"/>
        <w:ind w:left="1985"/>
        <w:jc w:val="both"/>
        <w:rPr>
          <w:rFonts w:asciiTheme="minorHAnsi" w:hAnsiTheme="minorHAnsi" w:cstheme="minorHAnsi"/>
          <w:b/>
          <w:sz w:val="24"/>
          <w:szCs w:val="24"/>
        </w:rPr>
      </w:pPr>
      <w:r>
        <w:rPr>
          <w:rFonts w:asciiTheme="minorHAnsi" w:hAnsiTheme="minorHAnsi" w:cstheme="minorHAnsi"/>
          <w:sz w:val="24"/>
          <w:szCs w:val="24"/>
        </w:rPr>
        <w:t>(</w:t>
      </w:r>
      <w:proofErr w:type="spellStart"/>
      <w:r>
        <w:rPr>
          <w:rFonts w:asciiTheme="minorHAnsi" w:hAnsiTheme="minorHAnsi" w:cstheme="minorHAnsi"/>
          <w:sz w:val="24"/>
          <w:szCs w:val="24"/>
        </w:rPr>
        <w:t>iv</w:t>
      </w:r>
      <w:proofErr w:type="spellEnd"/>
      <w:r>
        <w:rPr>
          <w:rFonts w:asciiTheme="minorHAnsi" w:hAnsiTheme="minorHAnsi" w:cstheme="minorHAnsi"/>
          <w:sz w:val="24"/>
          <w:szCs w:val="24"/>
        </w:rPr>
        <w:t xml:space="preserve">) </w:t>
      </w:r>
      <w:r w:rsidR="001C44B6" w:rsidRPr="00BB0D31">
        <w:rPr>
          <w:rFonts w:asciiTheme="minorHAnsi" w:hAnsiTheme="minorHAnsi" w:cstheme="minorHAnsi"/>
          <w:sz w:val="24"/>
          <w:szCs w:val="24"/>
        </w:rPr>
        <w:t>resultado antes das receitas e despesas financeiras;</w:t>
      </w:r>
    </w:p>
    <w:p w14:paraId="232C8EA1" w14:textId="639F9958" w:rsidR="001C44B6" w:rsidRPr="00BB0D31" w:rsidRDefault="00BB0D31" w:rsidP="001332D8">
      <w:pPr>
        <w:widowControl w:val="0"/>
        <w:autoSpaceDN w:val="0"/>
        <w:spacing w:before="120" w:after="120" w:line="312" w:lineRule="auto"/>
        <w:ind w:left="1985"/>
        <w:jc w:val="both"/>
        <w:rPr>
          <w:rFonts w:asciiTheme="minorHAnsi" w:hAnsiTheme="minorHAnsi" w:cstheme="minorHAnsi"/>
          <w:b/>
          <w:sz w:val="24"/>
          <w:szCs w:val="24"/>
        </w:rPr>
      </w:pPr>
      <w:r>
        <w:rPr>
          <w:rFonts w:asciiTheme="minorHAnsi" w:hAnsiTheme="minorHAnsi" w:cstheme="minorHAnsi"/>
          <w:sz w:val="24"/>
          <w:szCs w:val="24"/>
        </w:rPr>
        <w:t xml:space="preserve">(v) </w:t>
      </w:r>
      <w:r w:rsidR="001C44B6" w:rsidRPr="00BB0D31">
        <w:rPr>
          <w:rFonts w:asciiTheme="minorHAnsi" w:hAnsiTheme="minorHAnsi" w:cstheme="minorHAnsi"/>
          <w:sz w:val="24"/>
          <w:szCs w:val="24"/>
        </w:rPr>
        <w:t>resultado antes dos tributos sobre o lucro;</w:t>
      </w:r>
    </w:p>
    <w:p w14:paraId="7F687340" w14:textId="3B03085F" w:rsidR="001C44B6" w:rsidRPr="00BB0D31" w:rsidRDefault="00BB0D31" w:rsidP="001332D8">
      <w:pPr>
        <w:widowControl w:val="0"/>
        <w:autoSpaceDN w:val="0"/>
        <w:spacing w:before="120" w:after="120" w:line="312" w:lineRule="auto"/>
        <w:ind w:left="1985"/>
        <w:jc w:val="both"/>
        <w:rPr>
          <w:rFonts w:asciiTheme="minorHAnsi" w:hAnsiTheme="minorHAnsi" w:cstheme="minorHAnsi"/>
          <w:b/>
          <w:color w:val="000000"/>
          <w:sz w:val="24"/>
          <w:szCs w:val="24"/>
        </w:rPr>
      </w:pPr>
      <w:r>
        <w:rPr>
          <w:rFonts w:asciiTheme="minorHAnsi" w:hAnsiTheme="minorHAnsi" w:cstheme="minorHAnsi"/>
          <w:sz w:val="24"/>
          <w:szCs w:val="24"/>
        </w:rPr>
        <w:t xml:space="preserve">(vi) </w:t>
      </w:r>
      <w:r w:rsidR="001C44B6" w:rsidRPr="00BB0D31">
        <w:rPr>
          <w:rFonts w:asciiTheme="minorHAnsi" w:hAnsiTheme="minorHAnsi" w:cstheme="minorHAnsi"/>
          <w:sz w:val="24"/>
          <w:szCs w:val="24"/>
        </w:rPr>
        <w:t xml:space="preserve">resultado líquido do </w:t>
      </w:r>
      <w:proofErr w:type="gramStart"/>
      <w:r w:rsidR="001C44B6" w:rsidRPr="00BB0D31">
        <w:rPr>
          <w:rFonts w:asciiTheme="minorHAnsi" w:hAnsiTheme="minorHAnsi" w:cstheme="minorHAnsi"/>
          <w:sz w:val="24"/>
          <w:szCs w:val="24"/>
        </w:rPr>
        <w:t>período.”</w:t>
      </w:r>
      <w:proofErr w:type="gramEnd"/>
    </w:p>
    <w:p w14:paraId="651A6A5D" w14:textId="13F54A1C" w:rsidR="0081257D" w:rsidRPr="00BB0D31" w:rsidRDefault="0081257D" w:rsidP="00BB0D31">
      <w:pPr>
        <w:pStyle w:val="Ttulo"/>
        <w:spacing w:before="120" w:after="120" w:line="312" w:lineRule="auto"/>
        <w:ind w:firstLine="567"/>
        <w:jc w:val="both"/>
        <w:rPr>
          <w:rFonts w:asciiTheme="minorHAnsi" w:hAnsiTheme="minorHAnsi" w:cstheme="minorHAnsi"/>
          <w:b w:val="0"/>
        </w:rPr>
      </w:pPr>
      <w:r w:rsidRPr="00BB0D31">
        <w:rPr>
          <w:rFonts w:asciiTheme="minorHAnsi" w:hAnsiTheme="minorHAnsi" w:cstheme="minorHAnsi"/>
          <w:b w:val="0"/>
        </w:rPr>
        <w:t>Note-se que essa estrutura, onde as únicas receitas e despesas deixadas à parte dizem respeito ao contido na letra (</w:t>
      </w:r>
      <w:proofErr w:type="spellStart"/>
      <w:r w:rsidR="00102D19" w:rsidRPr="00BB0D31">
        <w:rPr>
          <w:rFonts w:asciiTheme="minorHAnsi" w:hAnsiTheme="minorHAnsi" w:cstheme="minorHAnsi"/>
          <w:b w:val="0"/>
          <w:lang w:val="pt-BR"/>
        </w:rPr>
        <w:t>ea</w:t>
      </w:r>
      <w:proofErr w:type="spellEnd"/>
      <w:r w:rsidRPr="00BB0D31">
        <w:rPr>
          <w:rFonts w:asciiTheme="minorHAnsi" w:hAnsiTheme="minorHAnsi" w:cstheme="minorHAnsi"/>
          <w:b w:val="0"/>
        </w:rPr>
        <w:t>), abrangendo o resultado líquido (inclusive dos tributos) das operações descontinuadas, evidencia na estruturação da demonstração do resultado uma informação relevante quanto ao resultado decorrente das atividades continuadas e aqueles oriundos das operações descontinuadas. Essa identificação é fundamental para a avaliação atual e futura do desempenho da entidade.</w:t>
      </w:r>
    </w:p>
    <w:p w14:paraId="416F6566" w14:textId="72CCFCC6" w:rsidR="0081257D" w:rsidRPr="00BB0D31" w:rsidRDefault="0081257D" w:rsidP="00BB0D31">
      <w:pPr>
        <w:pStyle w:val="Ttulo"/>
        <w:spacing w:before="120" w:after="120" w:line="312" w:lineRule="auto"/>
        <w:ind w:firstLine="567"/>
        <w:jc w:val="both"/>
        <w:rPr>
          <w:rFonts w:asciiTheme="minorHAnsi" w:hAnsiTheme="minorHAnsi" w:cstheme="minorHAnsi"/>
          <w:b w:val="0"/>
        </w:rPr>
      </w:pPr>
      <w:r w:rsidRPr="00BB0D31">
        <w:rPr>
          <w:rFonts w:asciiTheme="minorHAnsi" w:hAnsiTheme="minorHAnsi" w:cstheme="minorHAnsi"/>
          <w:b w:val="0"/>
        </w:rPr>
        <w:t xml:space="preserve">É importante ressaltar que o Pronunciamento </w:t>
      </w:r>
      <w:r w:rsidR="00F8444C" w:rsidRPr="00BB0D31">
        <w:rPr>
          <w:rFonts w:asciiTheme="minorHAnsi" w:hAnsiTheme="minorHAnsi" w:cstheme="minorHAnsi"/>
          <w:b w:val="0"/>
        </w:rPr>
        <w:t>Técnico CPC 00 (R2)</w:t>
      </w:r>
      <w:r w:rsidR="00F8444C" w:rsidRPr="00BB0D31">
        <w:rPr>
          <w:rFonts w:asciiTheme="minorHAnsi" w:hAnsiTheme="minorHAnsi" w:cstheme="minorHAnsi"/>
          <w:b w:val="0"/>
          <w:lang w:val="pt-BR"/>
        </w:rPr>
        <w:t>,</w:t>
      </w:r>
      <w:r w:rsidRPr="00BB0D31">
        <w:rPr>
          <w:rFonts w:asciiTheme="minorHAnsi" w:hAnsiTheme="minorHAnsi" w:cstheme="minorHAnsi"/>
          <w:b w:val="0"/>
        </w:rPr>
        <w:t xml:space="preserve"> que dispõe sobre a </w:t>
      </w:r>
      <w:r w:rsidR="00F8444C" w:rsidRPr="00BB0D31">
        <w:rPr>
          <w:rFonts w:asciiTheme="minorHAnsi" w:hAnsiTheme="minorHAnsi" w:cstheme="minorHAnsi"/>
          <w:b w:val="0"/>
        </w:rPr>
        <w:t>Estrutura Conceitual para Relatório Financeiro</w:t>
      </w:r>
      <w:r w:rsidR="00F8444C" w:rsidRPr="00BB0D31">
        <w:rPr>
          <w:rFonts w:asciiTheme="minorHAnsi" w:hAnsiTheme="minorHAnsi" w:cstheme="minorHAnsi"/>
          <w:b w:val="0"/>
          <w:lang w:val="pt-BR"/>
        </w:rPr>
        <w:t>,</w:t>
      </w:r>
      <w:r w:rsidRPr="00BB0D31">
        <w:rPr>
          <w:rFonts w:asciiTheme="minorHAnsi" w:hAnsiTheme="minorHAnsi" w:cstheme="minorHAnsi"/>
          <w:b w:val="0"/>
        </w:rPr>
        <w:t xml:space="preserve"> destaca esse poder preditivo da demonstração do resultado quando trata do desempenho financeiro refletido pelo regime de competência (</w:t>
      </w:r>
      <w:proofErr w:type="spellStart"/>
      <w:r w:rsidRPr="00BB0D31">
        <w:rPr>
          <w:rFonts w:asciiTheme="minorHAnsi" w:hAnsiTheme="minorHAnsi" w:cstheme="minorHAnsi"/>
          <w:b w:val="0"/>
          <w:i/>
          <w:iCs/>
        </w:rPr>
        <w:t>accruals</w:t>
      </w:r>
      <w:proofErr w:type="spellEnd"/>
      <w:r w:rsidRPr="00BB0D31">
        <w:rPr>
          <w:rFonts w:asciiTheme="minorHAnsi" w:hAnsiTheme="minorHAnsi" w:cstheme="minorHAnsi"/>
          <w:b w:val="0"/>
        </w:rPr>
        <w:t>):</w:t>
      </w:r>
    </w:p>
    <w:p w14:paraId="6991DE4E" w14:textId="49B0DA82" w:rsidR="0081257D" w:rsidRPr="00BB0D31" w:rsidRDefault="002F5396" w:rsidP="00BB0D31">
      <w:pPr>
        <w:pStyle w:val="Ttulo"/>
        <w:spacing w:before="120" w:after="120" w:line="312" w:lineRule="auto"/>
        <w:ind w:left="1134"/>
        <w:jc w:val="both"/>
        <w:rPr>
          <w:rFonts w:asciiTheme="minorHAnsi" w:hAnsiTheme="minorHAnsi" w:cstheme="minorHAnsi"/>
          <w:b w:val="0"/>
        </w:rPr>
      </w:pPr>
      <w:r w:rsidRPr="00BB0D31">
        <w:rPr>
          <w:rFonts w:asciiTheme="minorHAnsi" w:hAnsiTheme="minorHAnsi" w:cstheme="minorHAnsi"/>
          <w:b w:val="0"/>
          <w:lang w:val="pt-BR"/>
        </w:rPr>
        <w:t>“</w:t>
      </w:r>
      <w:r w:rsidR="008B1D9B" w:rsidRPr="00BB0D31">
        <w:rPr>
          <w:rFonts w:asciiTheme="minorHAnsi" w:hAnsiTheme="minorHAnsi" w:cstheme="minorHAnsi"/>
          <w:b w:val="0"/>
          <w:lang w:val="pt-BR"/>
        </w:rPr>
        <w:t xml:space="preserve">1.18. </w:t>
      </w:r>
      <w:r w:rsidR="008B1D9B" w:rsidRPr="00BB0D31">
        <w:rPr>
          <w:rFonts w:asciiTheme="minorHAnsi" w:hAnsiTheme="minorHAnsi" w:cstheme="minorHAnsi"/>
          <w:b w:val="0"/>
        </w:rPr>
        <w:t xml:space="preserve">Informações sobre o desempenho financeiro da entidade que reporta durante o período, refletidas por mudanças em seus recursos econômicos e reivindicações, exceto </w:t>
      </w:r>
      <w:r w:rsidR="008B1D9B" w:rsidRPr="00BB0D31">
        <w:rPr>
          <w:rFonts w:asciiTheme="minorHAnsi" w:hAnsiTheme="minorHAnsi" w:cstheme="minorHAnsi"/>
          <w:b w:val="0"/>
        </w:rPr>
        <w:lastRenderedPageBreak/>
        <w:t xml:space="preserve">aquelas resultantes da obtenção de recursos adicionais diretamente de investidores e credores (ver item 1.21), </w:t>
      </w:r>
      <w:r w:rsidR="008B1D9B" w:rsidRPr="00BB0D31">
        <w:rPr>
          <w:rFonts w:asciiTheme="minorHAnsi" w:hAnsiTheme="minorHAnsi" w:cstheme="minorHAnsi"/>
        </w:rPr>
        <w:t xml:space="preserve">são úteis </w:t>
      </w:r>
      <w:r w:rsidR="008B1D9B" w:rsidRPr="00BB0D31">
        <w:rPr>
          <w:rFonts w:asciiTheme="minorHAnsi" w:hAnsiTheme="minorHAnsi" w:cstheme="minorHAnsi"/>
          <w:bCs w:val="0"/>
        </w:rPr>
        <w:t xml:space="preserve">na avaliação da </w:t>
      </w:r>
      <w:r w:rsidR="008B1D9B" w:rsidRPr="00BB0D31">
        <w:rPr>
          <w:rFonts w:asciiTheme="minorHAnsi" w:hAnsiTheme="minorHAnsi" w:cstheme="minorHAnsi"/>
        </w:rPr>
        <w:t xml:space="preserve">capacidade passada e futura da entidade de </w:t>
      </w:r>
      <w:r w:rsidR="008B1D9B" w:rsidRPr="00BB0D31">
        <w:rPr>
          <w:rFonts w:asciiTheme="minorHAnsi" w:hAnsiTheme="minorHAnsi" w:cstheme="minorHAnsi"/>
          <w:bCs w:val="0"/>
        </w:rPr>
        <w:t xml:space="preserve">gerar </w:t>
      </w:r>
      <w:r w:rsidR="008B1D9B" w:rsidRPr="00BB0D31">
        <w:rPr>
          <w:rFonts w:asciiTheme="minorHAnsi" w:hAnsiTheme="minorHAnsi" w:cstheme="minorHAnsi"/>
        </w:rPr>
        <w:t>fluxos</w:t>
      </w:r>
      <w:r w:rsidR="008B1D9B" w:rsidRPr="00BB0D31">
        <w:rPr>
          <w:rFonts w:asciiTheme="minorHAnsi" w:hAnsiTheme="minorHAnsi" w:cstheme="minorHAnsi"/>
          <w:bCs w:val="0"/>
        </w:rPr>
        <w:t xml:space="preserve"> de entrada</w:t>
      </w:r>
      <w:r w:rsidR="008B1D9B" w:rsidRPr="00BB0D31">
        <w:rPr>
          <w:rFonts w:asciiTheme="minorHAnsi" w:hAnsiTheme="minorHAnsi" w:cstheme="minorHAnsi"/>
        </w:rPr>
        <w:t xml:space="preserve"> de caixa líquidos</w:t>
      </w:r>
      <w:r w:rsidR="008B1D9B" w:rsidRPr="00BB0D31">
        <w:rPr>
          <w:rFonts w:asciiTheme="minorHAnsi" w:hAnsiTheme="minorHAnsi" w:cstheme="minorHAnsi"/>
          <w:b w:val="0"/>
        </w:rPr>
        <w:t>. Essas informações indicam em que medida a entidade que reporta aumentou seus recursos econômicos disponíveis e, assim, a sua capacidade de gerar fluxos de entrada de caixa líquidos por meio de suas operações e, não, pela obtenção de recursos adicionais diretamente de investidores e credores. Informações sobre o desempenho financeiro da entidade que reporta durante o período também podem ajudar os usuários a avaliar a gestão de recursos da administração sobre os recursos econômicos da entidade</w:t>
      </w:r>
      <w:r w:rsidRPr="00BB0D31">
        <w:rPr>
          <w:rFonts w:asciiTheme="minorHAnsi" w:hAnsiTheme="minorHAnsi" w:cstheme="minorHAnsi"/>
          <w:b w:val="0"/>
          <w:lang w:val="pt-BR"/>
        </w:rPr>
        <w:t>”</w:t>
      </w:r>
      <w:r w:rsidR="0081257D" w:rsidRPr="00BB0D31">
        <w:rPr>
          <w:rFonts w:asciiTheme="minorHAnsi" w:hAnsiTheme="minorHAnsi" w:cstheme="minorHAnsi"/>
          <w:b w:val="0"/>
        </w:rPr>
        <w:t xml:space="preserve"> (</w:t>
      </w:r>
      <w:r w:rsidR="0081257D" w:rsidRPr="00BB0D31">
        <w:rPr>
          <w:rFonts w:asciiTheme="minorHAnsi" w:hAnsiTheme="minorHAnsi" w:cstheme="minorHAnsi"/>
          <w:bCs w:val="0"/>
        </w:rPr>
        <w:t>grifamos</w:t>
      </w:r>
      <w:r w:rsidR="0081257D" w:rsidRPr="00BB0D31">
        <w:rPr>
          <w:rFonts w:asciiTheme="minorHAnsi" w:hAnsiTheme="minorHAnsi" w:cstheme="minorHAnsi"/>
          <w:b w:val="0"/>
        </w:rPr>
        <w:t>)</w:t>
      </w:r>
    </w:p>
    <w:p w14:paraId="1C0A57E4" w14:textId="77777777" w:rsidR="0081257D" w:rsidRPr="00BB0D31" w:rsidRDefault="0081257D" w:rsidP="00BB0D31">
      <w:pPr>
        <w:pStyle w:val="Ttulo"/>
        <w:spacing w:before="120" w:after="120" w:line="312" w:lineRule="auto"/>
        <w:ind w:firstLine="567"/>
        <w:jc w:val="both"/>
        <w:rPr>
          <w:rFonts w:asciiTheme="minorHAnsi" w:hAnsiTheme="minorHAnsi" w:cstheme="minorHAnsi"/>
          <w:b w:val="0"/>
        </w:rPr>
      </w:pPr>
      <w:r w:rsidRPr="00BB0D31">
        <w:rPr>
          <w:rFonts w:asciiTheme="minorHAnsi" w:hAnsiTheme="minorHAnsi" w:cstheme="minorHAnsi"/>
          <w:b w:val="0"/>
        </w:rPr>
        <w:t>Entretanto, é prática comum no mercado de capitais a divulgação, pelas companhias abertas, de um indicador que contempla ajustes adicionais ao resultado do período a fim de gerar informação quanto ao seu potencial de geração bruta futura de caixa. Esses ajustes, agregados àqueles previstos no item II acima, resultam na determinação do LAJIDA/LAJIR Ajustado e são provenientes do julgamento da administração quanto a sua representatividade na determinação do potencial de geração bruta futura de caixa específico da entidade.</w:t>
      </w:r>
    </w:p>
    <w:p w14:paraId="53DA7B7A" w14:textId="77777777" w:rsidR="0081257D" w:rsidRPr="00BB0D31" w:rsidRDefault="0081257D" w:rsidP="00BB0D31">
      <w:pPr>
        <w:pStyle w:val="Ttulo"/>
        <w:spacing w:before="120" w:after="120" w:line="312" w:lineRule="auto"/>
        <w:ind w:firstLine="567"/>
        <w:jc w:val="both"/>
        <w:rPr>
          <w:rFonts w:asciiTheme="minorHAnsi" w:hAnsiTheme="minorHAnsi" w:cstheme="minorHAnsi"/>
          <w:b w:val="0"/>
        </w:rPr>
      </w:pPr>
      <w:r w:rsidRPr="00BB0D31">
        <w:rPr>
          <w:rFonts w:asciiTheme="minorHAnsi" w:hAnsiTheme="minorHAnsi" w:cstheme="minorHAnsi"/>
          <w:b w:val="0"/>
        </w:rPr>
        <w:t>Assim, sendo esses ajustes decorrentes do julgamento da administração quanto aos seus efeitos na determinação do potencial de geração bruta de caixa da entidade, nada mais relevante do que a divulgação das premissas consideradas em seu julgamento quando da elaboração do LAJIDA/LAJIR Ajustado. Adicionalmente deve ser descrita a motivação e a natureza dos ajustes efetuados, bem como uma conciliação entre o resultado do período e o LAJIDA/LAJIR Ajustado, tudo em prol da adequada compreensão do indicador e sua comparabilidade com aqueles provenientes dos demais pares, setoriais ou não.</w:t>
      </w:r>
    </w:p>
    <w:p w14:paraId="7FBFD341" w14:textId="77777777" w:rsidR="0081257D" w:rsidRPr="00BB0D31" w:rsidRDefault="0081257D" w:rsidP="00BB0D31">
      <w:pPr>
        <w:pStyle w:val="Ttulo"/>
        <w:spacing w:before="120" w:after="120" w:line="312" w:lineRule="auto"/>
        <w:jc w:val="both"/>
        <w:rPr>
          <w:rFonts w:asciiTheme="minorHAnsi" w:hAnsiTheme="minorHAnsi" w:cstheme="minorHAnsi"/>
          <w:bCs w:val="0"/>
        </w:rPr>
      </w:pPr>
      <w:r w:rsidRPr="00BB0D31">
        <w:rPr>
          <w:rFonts w:asciiTheme="minorHAnsi" w:hAnsiTheme="minorHAnsi" w:cstheme="minorHAnsi"/>
          <w:bCs w:val="0"/>
        </w:rPr>
        <w:t>IV - DIVULGAÇÕES PERMITIDAS E RESTRIÇÕES</w:t>
      </w:r>
    </w:p>
    <w:p w14:paraId="7D185FF1" w14:textId="77777777" w:rsidR="0081257D" w:rsidRPr="00BB0D31" w:rsidRDefault="0081257D" w:rsidP="00BB0D31">
      <w:pPr>
        <w:pStyle w:val="Ttulo"/>
        <w:spacing w:before="120" w:after="120" w:line="312" w:lineRule="auto"/>
        <w:ind w:firstLine="567"/>
        <w:jc w:val="both"/>
        <w:rPr>
          <w:rFonts w:asciiTheme="minorHAnsi" w:hAnsiTheme="minorHAnsi" w:cstheme="minorHAnsi"/>
          <w:b w:val="0"/>
        </w:rPr>
      </w:pPr>
      <w:r w:rsidRPr="00BB0D31">
        <w:rPr>
          <w:rFonts w:asciiTheme="minorHAnsi" w:hAnsiTheme="minorHAnsi" w:cstheme="minorHAnsi"/>
          <w:b w:val="0"/>
        </w:rPr>
        <w:t>À vista do contido até este ponto, verifica-se que a companhia pode divulgar um valor para o LAJIDA e um para o LAJIR do período e também o relativo ao LAJIDA ou LAJIR Ajustado do período.</w:t>
      </w:r>
    </w:p>
    <w:p w14:paraId="2B25A028" w14:textId="21BF3A6A" w:rsidR="0081257D" w:rsidRPr="00BB0D31" w:rsidRDefault="0081257D" w:rsidP="00BB0D31">
      <w:pPr>
        <w:pStyle w:val="Ttulo"/>
        <w:spacing w:before="120" w:after="120" w:line="312" w:lineRule="auto"/>
        <w:ind w:firstLine="567"/>
        <w:jc w:val="both"/>
        <w:rPr>
          <w:rFonts w:asciiTheme="minorHAnsi" w:hAnsiTheme="minorHAnsi" w:cstheme="minorHAnsi"/>
          <w:b w:val="0"/>
        </w:rPr>
      </w:pPr>
      <w:r w:rsidRPr="00BB0D31">
        <w:rPr>
          <w:rFonts w:asciiTheme="minorHAnsi" w:hAnsiTheme="minorHAnsi" w:cstheme="minorHAnsi"/>
          <w:b w:val="0"/>
        </w:rPr>
        <w:t xml:space="preserve">Assim, a companhia pode divulgar exclusivamente o conceito de LAJIDA ou de LAJIR previsto no item II, ou o conceito de LAJIDA/LAJIR Ajustado, previsto no item III, desde que esse último seja apresentado em conjunto com o primeiro. Neste último caso, precisa ser dada completa divulgação da motivação, natureza e dos valores dos ajustes introduzidos, bem como sua conciliação com o LAJIDA/LAJIR previsto no item II e o resultado do período, sem que, em nenhuma hipótese, sejam comprometidos os conceitos </w:t>
      </w:r>
      <w:r w:rsidRPr="00BB0D31">
        <w:rPr>
          <w:rFonts w:asciiTheme="minorHAnsi" w:hAnsiTheme="minorHAnsi" w:cstheme="minorHAnsi"/>
          <w:b w:val="0"/>
        </w:rPr>
        <w:lastRenderedPageBreak/>
        <w:t>dessas medições (LAJIR E LAJIDA) ou das determinações d</w:t>
      </w:r>
      <w:r w:rsidR="00B554D8" w:rsidRPr="00BB0D31">
        <w:rPr>
          <w:rFonts w:asciiTheme="minorHAnsi" w:hAnsiTheme="minorHAnsi" w:cstheme="minorHAnsi"/>
          <w:b w:val="0"/>
          <w:lang w:val="pt-BR"/>
        </w:rPr>
        <w:t xml:space="preserve">a </w:t>
      </w:r>
      <w:r w:rsidR="00B554D8" w:rsidRPr="00121DFB">
        <w:rPr>
          <w:rFonts w:asciiTheme="minorHAnsi" w:hAnsiTheme="minorHAnsi" w:cstheme="minorHAnsi"/>
          <w:b w:val="0"/>
          <w:lang w:val="pt-BR"/>
        </w:rPr>
        <w:t xml:space="preserve">Resolução CVM nº </w:t>
      </w:r>
      <w:r w:rsidR="00121DFB" w:rsidRPr="00121DFB">
        <w:rPr>
          <w:rFonts w:asciiTheme="minorHAnsi" w:hAnsiTheme="minorHAnsi" w:cstheme="minorHAnsi"/>
          <w:b w:val="0"/>
          <w:lang w:val="pt-BR"/>
        </w:rPr>
        <w:t>156</w:t>
      </w:r>
      <w:r w:rsidR="004421B6" w:rsidRPr="00121DFB">
        <w:rPr>
          <w:rFonts w:asciiTheme="minorHAnsi" w:hAnsiTheme="minorHAnsi" w:cstheme="minorHAnsi"/>
          <w:b w:val="0"/>
          <w:lang w:val="pt-BR"/>
        </w:rPr>
        <w:t>/</w:t>
      </w:r>
      <w:r w:rsidR="00B554D8" w:rsidRPr="00121DFB">
        <w:rPr>
          <w:rFonts w:asciiTheme="minorHAnsi" w:hAnsiTheme="minorHAnsi" w:cstheme="minorHAnsi"/>
          <w:b w:val="0"/>
          <w:lang w:val="pt-BR"/>
        </w:rPr>
        <w:t>22</w:t>
      </w:r>
      <w:r w:rsidRPr="00121DFB">
        <w:rPr>
          <w:rFonts w:asciiTheme="minorHAnsi" w:hAnsiTheme="minorHAnsi" w:cstheme="minorHAnsi"/>
          <w:b w:val="0"/>
        </w:rPr>
        <w:t xml:space="preserve"> devidamente</w:t>
      </w:r>
      <w:r w:rsidRPr="00BB0D31">
        <w:rPr>
          <w:rFonts w:asciiTheme="minorHAnsi" w:hAnsiTheme="minorHAnsi" w:cstheme="minorHAnsi"/>
          <w:b w:val="0"/>
        </w:rPr>
        <w:t xml:space="preserve"> esclarecidas nesta </w:t>
      </w:r>
      <w:r w:rsidR="004A36DC" w:rsidRPr="00BB0D31">
        <w:rPr>
          <w:rFonts w:asciiTheme="minorHAnsi" w:hAnsiTheme="minorHAnsi" w:cstheme="minorHAnsi"/>
          <w:b w:val="0"/>
          <w:lang w:val="pt-BR"/>
        </w:rPr>
        <w:t>Nota</w:t>
      </w:r>
      <w:r w:rsidR="005C5B40" w:rsidRPr="00BB0D31">
        <w:rPr>
          <w:rFonts w:asciiTheme="minorHAnsi" w:hAnsiTheme="minorHAnsi" w:cstheme="minorHAnsi"/>
          <w:b w:val="0"/>
          <w:lang w:val="pt-BR"/>
        </w:rPr>
        <w:t xml:space="preserve"> </w:t>
      </w:r>
      <w:r w:rsidR="004A36DC" w:rsidRPr="00BB0D31">
        <w:rPr>
          <w:rFonts w:asciiTheme="minorHAnsi" w:hAnsiTheme="minorHAnsi" w:cstheme="minorHAnsi"/>
          <w:b w:val="0"/>
          <w:lang w:val="pt-BR"/>
        </w:rPr>
        <w:t>Explicativa</w:t>
      </w:r>
      <w:r w:rsidRPr="00BB0D31">
        <w:rPr>
          <w:rFonts w:asciiTheme="minorHAnsi" w:hAnsiTheme="minorHAnsi" w:cstheme="minorHAnsi"/>
          <w:b w:val="0"/>
        </w:rPr>
        <w:t>.</w:t>
      </w:r>
    </w:p>
    <w:p w14:paraId="5D7DDEE5" w14:textId="77777777" w:rsidR="0081257D" w:rsidRPr="00BB0D31" w:rsidRDefault="0081257D" w:rsidP="00BB0D31">
      <w:pPr>
        <w:pStyle w:val="Ttulo"/>
        <w:spacing w:before="120" w:after="120" w:line="312" w:lineRule="auto"/>
        <w:ind w:firstLine="567"/>
        <w:jc w:val="both"/>
        <w:rPr>
          <w:rFonts w:asciiTheme="minorHAnsi" w:hAnsiTheme="minorHAnsi" w:cstheme="minorHAnsi"/>
          <w:b w:val="0"/>
        </w:rPr>
      </w:pPr>
      <w:r w:rsidRPr="00BB0D31">
        <w:rPr>
          <w:rFonts w:asciiTheme="minorHAnsi" w:hAnsiTheme="minorHAnsi" w:cstheme="minorHAnsi"/>
          <w:b w:val="0"/>
        </w:rPr>
        <w:t>Ademais, toda a divulgação relativa ao LAJIDA ou LAJIR deve ser feita de forma consistente e comparável com a apresentação de períodos anteriores e, em caso de mudança, deve ser apresentada a justificativa, bem como a descrição completa da mudança introduzida.</w:t>
      </w:r>
    </w:p>
    <w:p w14:paraId="40DCD228" w14:textId="77777777" w:rsidR="0081257D" w:rsidRPr="00BB0D31" w:rsidRDefault="0081257D" w:rsidP="00BB0D31">
      <w:pPr>
        <w:pStyle w:val="Ttulo"/>
        <w:spacing w:before="120" w:after="120" w:line="312" w:lineRule="auto"/>
        <w:ind w:firstLine="567"/>
        <w:jc w:val="both"/>
        <w:rPr>
          <w:rFonts w:asciiTheme="minorHAnsi" w:hAnsiTheme="minorHAnsi" w:cstheme="minorHAnsi"/>
          <w:b w:val="0"/>
        </w:rPr>
      </w:pPr>
      <w:r w:rsidRPr="00BB0D31">
        <w:rPr>
          <w:rFonts w:asciiTheme="minorHAnsi" w:hAnsiTheme="minorHAnsi" w:cstheme="minorHAnsi"/>
          <w:b w:val="0"/>
        </w:rPr>
        <w:t>A divulgação dos valores de LAJIDA ou LAJIR deve, ainda, ser feita fora do conjunto completo de demonstrações contábeis previsto nos itens 10 a 14 do Pronunciamento Técnico CPC 26</w:t>
      </w:r>
      <w:r w:rsidR="008A21F7" w:rsidRPr="00BB0D31">
        <w:rPr>
          <w:rFonts w:asciiTheme="minorHAnsi" w:hAnsiTheme="minorHAnsi" w:cstheme="minorHAnsi"/>
          <w:b w:val="0"/>
          <w:lang w:val="pt-BR"/>
        </w:rPr>
        <w:t xml:space="preserve"> (R1)</w:t>
      </w:r>
      <w:r w:rsidRPr="00BB0D31">
        <w:rPr>
          <w:rFonts w:asciiTheme="minorHAnsi" w:hAnsiTheme="minorHAnsi" w:cstheme="minorHAnsi"/>
          <w:b w:val="0"/>
        </w:rPr>
        <w:t xml:space="preserve"> – Apresentação das Demonstrações Contábeis, de forma que essas medições não concorram com as informações de natureza exclusivamente contábil ali apresentadas.</w:t>
      </w:r>
    </w:p>
    <w:p w14:paraId="72770FA3" w14:textId="77777777" w:rsidR="0081257D" w:rsidRPr="00BB0D31" w:rsidRDefault="0081257D" w:rsidP="00BB0D31">
      <w:pPr>
        <w:pStyle w:val="Ttulo"/>
        <w:spacing w:before="120" w:after="120" w:line="312" w:lineRule="auto"/>
        <w:jc w:val="left"/>
        <w:rPr>
          <w:rFonts w:asciiTheme="minorHAnsi" w:hAnsiTheme="minorHAnsi" w:cstheme="minorHAnsi"/>
          <w:bCs w:val="0"/>
        </w:rPr>
      </w:pPr>
      <w:r w:rsidRPr="00BB0D31">
        <w:rPr>
          <w:rFonts w:asciiTheme="minorHAnsi" w:hAnsiTheme="minorHAnsi" w:cstheme="minorHAnsi"/>
          <w:bCs w:val="0"/>
        </w:rPr>
        <w:t>V – AUDITORIA</w:t>
      </w:r>
    </w:p>
    <w:p w14:paraId="5C9FC883" w14:textId="77777777" w:rsidR="0081257D" w:rsidRPr="00BB0D31" w:rsidRDefault="0081257D" w:rsidP="00BB0D31">
      <w:pPr>
        <w:pStyle w:val="Ttulo"/>
        <w:spacing w:before="120" w:after="120" w:line="312" w:lineRule="auto"/>
        <w:ind w:firstLine="567"/>
        <w:jc w:val="both"/>
        <w:rPr>
          <w:rFonts w:asciiTheme="minorHAnsi" w:hAnsiTheme="minorHAnsi" w:cstheme="minorHAnsi"/>
          <w:b w:val="0"/>
        </w:rPr>
      </w:pPr>
      <w:r w:rsidRPr="00BB0D31">
        <w:rPr>
          <w:rFonts w:asciiTheme="minorHAnsi" w:hAnsiTheme="minorHAnsi" w:cstheme="minorHAnsi"/>
          <w:b w:val="0"/>
        </w:rPr>
        <w:t>Embora o LAJIR e o LAJIDA não integrem o conjunto completo de Demonstrações Contábeis constante de Pronunciamento Técnico CPC 26</w:t>
      </w:r>
      <w:r w:rsidR="008A21F7" w:rsidRPr="00BB0D31">
        <w:rPr>
          <w:rFonts w:asciiTheme="minorHAnsi" w:hAnsiTheme="minorHAnsi" w:cstheme="minorHAnsi"/>
          <w:b w:val="0"/>
          <w:lang w:val="pt-BR"/>
        </w:rPr>
        <w:t xml:space="preserve"> (R1)</w:t>
      </w:r>
      <w:r w:rsidRPr="00BB0D31">
        <w:rPr>
          <w:rFonts w:asciiTheme="minorHAnsi" w:hAnsiTheme="minorHAnsi" w:cstheme="minorHAnsi"/>
          <w:b w:val="0"/>
        </w:rPr>
        <w:t xml:space="preserve"> – Apresentação das Demonstrações Contábeis, ele deve ser submetido ao trabalho de verificação por parte do auditor independente.</w:t>
      </w:r>
    </w:p>
    <w:p w14:paraId="78DC43CB" w14:textId="77777777" w:rsidR="0081257D" w:rsidRPr="00BB0D31" w:rsidRDefault="0081257D" w:rsidP="00BB0D31">
      <w:pPr>
        <w:pStyle w:val="Ttulo"/>
        <w:spacing w:before="120" w:after="120" w:line="312" w:lineRule="auto"/>
        <w:ind w:firstLine="567"/>
        <w:jc w:val="both"/>
        <w:rPr>
          <w:rFonts w:asciiTheme="minorHAnsi" w:hAnsiTheme="minorHAnsi" w:cstheme="minorHAnsi"/>
          <w:b w:val="0"/>
        </w:rPr>
      </w:pPr>
      <w:r w:rsidRPr="00BB0D31">
        <w:rPr>
          <w:rFonts w:asciiTheme="minorHAnsi" w:hAnsiTheme="minorHAnsi" w:cstheme="minorHAnsi"/>
          <w:b w:val="0"/>
        </w:rPr>
        <w:t>Essa verificação objetiva propiciar uma adequada segurança quanto a origem dos valores e sua fidedignidade, fatores estes imprescindíveis para a confiabilidade de quaisquer informações divulgadas ao mercado.</w:t>
      </w:r>
    </w:p>
    <w:p w14:paraId="3521CCC4" w14:textId="77777777" w:rsidR="0081257D" w:rsidRPr="00BB0D31" w:rsidRDefault="0081257D" w:rsidP="00BB0D31">
      <w:pPr>
        <w:pStyle w:val="Ttulo"/>
        <w:spacing w:before="120" w:after="120" w:line="312" w:lineRule="auto"/>
        <w:ind w:firstLine="567"/>
        <w:jc w:val="both"/>
        <w:rPr>
          <w:rFonts w:asciiTheme="minorHAnsi" w:hAnsiTheme="minorHAnsi" w:cstheme="minorHAnsi"/>
          <w:b w:val="0"/>
        </w:rPr>
      </w:pPr>
      <w:r w:rsidRPr="00BB0D31">
        <w:rPr>
          <w:rFonts w:asciiTheme="minorHAnsi" w:hAnsiTheme="minorHAnsi" w:cstheme="minorHAnsi"/>
          <w:b w:val="0"/>
        </w:rPr>
        <w:t>Considerando que todos os ajustes efetuados no cálculo do LAJIR e LAJIDA têm origem nos registros contábeis da companhia e que esses foram objeto de asseguração por parte do auditor independente, não há razão para que o indicador não seja identificado como verificado, nos termos da norma NBC TA 720 (Responsabilidade do auditor em relação a outras informações</w:t>
      </w:r>
      <w:r w:rsidR="008A21F7" w:rsidRPr="00BB0D31">
        <w:rPr>
          <w:rFonts w:asciiTheme="minorHAnsi" w:hAnsiTheme="minorHAnsi" w:cstheme="minorHAnsi"/>
          <w:b w:val="0"/>
          <w:lang w:val="pt-BR"/>
        </w:rPr>
        <w:t xml:space="preserve"> – </w:t>
      </w:r>
      <w:r w:rsidRPr="00BB0D31">
        <w:rPr>
          <w:rFonts w:asciiTheme="minorHAnsi" w:hAnsiTheme="minorHAnsi" w:cstheme="minorHAnsi"/>
          <w:b w:val="0"/>
        </w:rPr>
        <w:t>incluídas em documentos que contenham demonstrações contábeis auditadas) emitida pelo Conselho Federal de Contabilidade.</w:t>
      </w:r>
    </w:p>
    <w:p w14:paraId="6CB94528" w14:textId="77777777" w:rsidR="0081257D" w:rsidRPr="00BB0D31" w:rsidRDefault="0081257D" w:rsidP="00BB0D31">
      <w:pPr>
        <w:pStyle w:val="Ttulo"/>
        <w:spacing w:before="120" w:after="120" w:line="312" w:lineRule="auto"/>
        <w:ind w:firstLine="567"/>
        <w:jc w:val="both"/>
        <w:rPr>
          <w:rFonts w:asciiTheme="minorHAnsi" w:hAnsiTheme="minorHAnsi" w:cstheme="minorHAnsi"/>
          <w:b w:val="0"/>
        </w:rPr>
      </w:pPr>
      <w:r w:rsidRPr="00BB0D31">
        <w:rPr>
          <w:rFonts w:asciiTheme="minorHAnsi" w:hAnsiTheme="minorHAnsi" w:cstheme="minorHAnsi"/>
          <w:b w:val="0"/>
        </w:rPr>
        <w:t>Dessa forma, compete ao auditor independente verificar somente se o montante do ajuste é originado dos registros contábeis da companhia, não sendo necessária a validação do julgamento da administração quanto aos ajustes incluídos no cálculo dos indicadores LAJIDA/LAJIR.</w:t>
      </w:r>
    </w:p>
    <w:p w14:paraId="5C3C73B6" w14:textId="77777777" w:rsidR="00BB0D31" w:rsidRDefault="00BB0D31" w:rsidP="00BB0D31">
      <w:pPr>
        <w:jc w:val="center"/>
        <w:rPr>
          <w:rFonts w:asciiTheme="minorHAnsi" w:hAnsiTheme="minorHAnsi" w:cstheme="minorHAnsi"/>
          <w:i/>
          <w:iCs/>
          <w:sz w:val="24"/>
          <w:szCs w:val="24"/>
        </w:rPr>
      </w:pPr>
    </w:p>
    <w:p w14:paraId="2120D192" w14:textId="55EC105C" w:rsidR="004A36DC" w:rsidRPr="00BB0D31" w:rsidRDefault="004A36DC" w:rsidP="00BB0D31">
      <w:pPr>
        <w:jc w:val="center"/>
        <w:rPr>
          <w:rFonts w:asciiTheme="minorHAnsi" w:hAnsiTheme="minorHAnsi" w:cstheme="minorHAnsi"/>
          <w:i/>
          <w:iCs/>
          <w:sz w:val="24"/>
          <w:szCs w:val="24"/>
        </w:rPr>
      </w:pPr>
      <w:r w:rsidRPr="00BB0D31">
        <w:rPr>
          <w:rFonts w:asciiTheme="minorHAnsi" w:hAnsiTheme="minorHAnsi" w:cstheme="minorHAnsi"/>
          <w:i/>
          <w:iCs/>
          <w:sz w:val="24"/>
          <w:szCs w:val="24"/>
        </w:rPr>
        <w:t>Assinado eletronicamente por</w:t>
      </w:r>
    </w:p>
    <w:p w14:paraId="0314A33D" w14:textId="77777777" w:rsidR="004A36DC" w:rsidRPr="00BB0D31" w:rsidRDefault="004A36DC" w:rsidP="00BB0D31">
      <w:pPr>
        <w:jc w:val="center"/>
        <w:rPr>
          <w:rFonts w:asciiTheme="minorHAnsi" w:hAnsiTheme="minorHAnsi" w:cstheme="minorHAnsi"/>
          <w:b/>
          <w:bCs/>
          <w:sz w:val="24"/>
          <w:szCs w:val="24"/>
        </w:rPr>
      </w:pPr>
      <w:r w:rsidRPr="00BB0D31">
        <w:rPr>
          <w:rFonts w:asciiTheme="minorHAnsi" w:hAnsiTheme="minorHAnsi" w:cstheme="minorHAnsi"/>
          <w:b/>
          <w:bCs/>
          <w:sz w:val="24"/>
          <w:szCs w:val="24"/>
        </w:rPr>
        <w:t>Marcelo Barbosa</w:t>
      </w:r>
    </w:p>
    <w:p w14:paraId="49C6FC6E" w14:textId="1898D40B" w:rsidR="004A36DC" w:rsidRPr="00BB0D31" w:rsidRDefault="004A36DC" w:rsidP="00BB0D31">
      <w:pPr>
        <w:jc w:val="center"/>
        <w:rPr>
          <w:rStyle w:val="DeltaViewInsertion"/>
          <w:rFonts w:asciiTheme="minorHAnsi" w:hAnsiTheme="minorHAnsi" w:cstheme="minorHAnsi"/>
          <w:b/>
          <w:bCs/>
          <w:color w:val="auto"/>
          <w:sz w:val="24"/>
          <w:szCs w:val="24"/>
        </w:rPr>
      </w:pPr>
      <w:r w:rsidRPr="00BB0D31">
        <w:rPr>
          <w:rFonts w:asciiTheme="minorHAnsi" w:hAnsiTheme="minorHAnsi" w:cstheme="minorHAnsi"/>
          <w:b/>
          <w:sz w:val="24"/>
          <w:szCs w:val="24"/>
        </w:rPr>
        <w:t>Presidente</w:t>
      </w:r>
    </w:p>
    <w:p w14:paraId="71CED450" w14:textId="77777777" w:rsidR="004A36DC" w:rsidRPr="00BB0D31" w:rsidRDefault="004A36DC" w:rsidP="00BB0D31">
      <w:pPr>
        <w:pStyle w:val="Ttulo"/>
        <w:spacing w:before="120" w:after="120" w:line="312" w:lineRule="auto"/>
        <w:rPr>
          <w:rFonts w:asciiTheme="minorHAnsi" w:hAnsiTheme="minorHAnsi" w:cstheme="minorHAnsi"/>
          <w:b w:val="0"/>
        </w:rPr>
      </w:pPr>
    </w:p>
    <w:sectPr w:rsidR="004A36DC" w:rsidRPr="00BB0D31" w:rsidSect="00E93AD4">
      <w:headerReference w:type="default" r:id="rId8"/>
      <w:footerReference w:type="default" r:id="rId9"/>
      <w:headerReference w:type="first" r:id="rId10"/>
      <w:pgSz w:w="11906" w:h="16838" w:code="9"/>
      <w:pgMar w:top="2552" w:right="567" w:bottom="851" w:left="1134" w:header="709"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742F01" w14:textId="77777777" w:rsidR="004263A0" w:rsidRDefault="004263A0" w:rsidP="00EE27CD">
      <w:r>
        <w:separator/>
      </w:r>
    </w:p>
  </w:endnote>
  <w:endnote w:type="continuationSeparator" w:id="0">
    <w:p w14:paraId="5F934BC4" w14:textId="77777777" w:rsidR="004263A0" w:rsidRDefault="004263A0" w:rsidP="00EE27CD">
      <w:r>
        <w:continuationSeparator/>
      </w:r>
    </w:p>
  </w:endnote>
  <w:endnote w:type="continuationNotice" w:id="1">
    <w:p w14:paraId="0043FD1B" w14:textId="77777777" w:rsidR="004263A0" w:rsidRDefault="004263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AEC90F" w14:textId="56A8251A" w:rsidR="0018283D" w:rsidRDefault="0018283D" w:rsidP="00C43A98">
    <w:pPr>
      <w:pStyle w:val="Rodap"/>
      <w:jc w:val="center"/>
    </w:pPr>
    <w:r>
      <w:fldChar w:fldCharType="begin"/>
    </w:r>
    <w:r>
      <w:instrText>PAGE   \* MERGEFORMAT</w:instrText>
    </w:r>
    <w:r>
      <w:fldChar w:fldCharType="separate"/>
    </w:r>
    <w:r w:rsidR="00CF57C1" w:rsidRPr="00CF57C1">
      <w:rPr>
        <w:noProof/>
        <w:lang w:val="pt-BR"/>
      </w:rPr>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46B7FD" w14:textId="77777777" w:rsidR="004263A0" w:rsidRDefault="004263A0" w:rsidP="00EE27CD">
      <w:r>
        <w:separator/>
      </w:r>
    </w:p>
  </w:footnote>
  <w:footnote w:type="continuationSeparator" w:id="0">
    <w:p w14:paraId="054679BB" w14:textId="77777777" w:rsidR="004263A0" w:rsidRDefault="004263A0" w:rsidP="00EE27CD">
      <w:r>
        <w:continuationSeparator/>
      </w:r>
    </w:p>
  </w:footnote>
  <w:footnote w:type="continuationNotice" w:id="1">
    <w:p w14:paraId="78FBED4F" w14:textId="77777777" w:rsidR="004263A0" w:rsidRDefault="004263A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B3F56E" w14:textId="2ACB23C7" w:rsidR="0094399B" w:rsidRPr="007A1E4D" w:rsidRDefault="009D1FDA" w:rsidP="0094399B">
    <w:pPr>
      <w:tabs>
        <w:tab w:val="center" w:pos="4419"/>
        <w:tab w:val="right" w:pos="8838"/>
      </w:tabs>
      <w:jc w:val="center"/>
    </w:pPr>
    <w:r w:rsidRPr="009D01C6">
      <w:rPr>
        <w:noProof/>
      </w:rPr>
      <w:drawing>
        <wp:inline distT="0" distB="0" distL="0" distR="0" wp14:anchorId="19D5015F" wp14:editId="7FE5B7DA">
          <wp:extent cx="628650" cy="628650"/>
          <wp:effectExtent l="0" t="0" r="0" b="0"/>
          <wp:docPr id="1" name="Imagem 3" descr="planalto_presidencia_simbolosnacionais_brasa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planalto_presidencia_simbolosnacionais_brasa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inline>
      </w:drawing>
    </w:r>
  </w:p>
  <w:p w14:paraId="60DB33E2" w14:textId="77777777" w:rsidR="0094399B" w:rsidRPr="009D01C6" w:rsidRDefault="0094399B" w:rsidP="0094399B">
    <w:pPr>
      <w:jc w:val="center"/>
      <w:rPr>
        <w:rFonts w:ascii="Calibri" w:hAnsi="Calibri" w:cs="Calibri"/>
        <w:b/>
        <w:sz w:val="24"/>
      </w:rPr>
    </w:pPr>
    <w:r w:rsidRPr="009D01C6">
      <w:rPr>
        <w:rFonts w:ascii="Calibri" w:hAnsi="Calibri" w:cs="Calibri"/>
        <w:b/>
        <w:sz w:val="24"/>
      </w:rPr>
      <w:t>COMISSÃO DE VALORES MOBILIÁRIOS</w:t>
    </w:r>
  </w:p>
  <w:p w14:paraId="54624469" w14:textId="77777777" w:rsidR="0094399B" w:rsidRPr="009D01C6" w:rsidRDefault="0094399B" w:rsidP="0094399B">
    <w:pPr>
      <w:jc w:val="center"/>
      <w:rPr>
        <w:rFonts w:ascii="Calibri" w:hAnsi="Calibri" w:cs="Calibri"/>
        <w:sz w:val="18"/>
        <w:szCs w:val="18"/>
      </w:rPr>
    </w:pPr>
    <w:r w:rsidRPr="009D01C6">
      <w:rPr>
        <w:rFonts w:ascii="Calibri" w:hAnsi="Calibri" w:cs="Calibri"/>
        <w:sz w:val="18"/>
        <w:szCs w:val="18"/>
      </w:rPr>
      <w:t>Rua Sete de Setembro, 111/2-5º e 23-34º Andares, Centro, Rio de Janeiro/RJ – CEP: 20050-901 – Brasil - Tel.: (21) 3554-8686</w:t>
    </w:r>
  </w:p>
  <w:p w14:paraId="58E74BC8" w14:textId="77777777" w:rsidR="0094399B" w:rsidRPr="009D01C6" w:rsidRDefault="0094399B" w:rsidP="0094399B">
    <w:pPr>
      <w:jc w:val="center"/>
      <w:rPr>
        <w:rFonts w:ascii="Calibri" w:hAnsi="Calibri" w:cs="Calibri"/>
        <w:sz w:val="18"/>
        <w:szCs w:val="18"/>
      </w:rPr>
    </w:pPr>
    <w:r w:rsidRPr="009D01C6">
      <w:rPr>
        <w:rFonts w:ascii="Calibri" w:hAnsi="Calibri" w:cs="Calibri"/>
        <w:sz w:val="18"/>
        <w:szCs w:val="18"/>
      </w:rPr>
      <w:t>Rua Cincinato Braga, 340/2º, 3º e 4º Andares, Bela Vista, São Paulo/ SP – CEP: 01333-010 – Brasil - Tel.: (11) 2146-2000</w:t>
    </w:r>
  </w:p>
  <w:p w14:paraId="3C53171E" w14:textId="77777777" w:rsidR="0094399B" w:rsidRPr="009D01C6" w:rsidRDefault="0094399B" w:rsidP="0094399B">
    <w:pPr>
      <w:jc w:val="center"/>
      <w:rPr>
        <w:rFonts w:ascii="Calibri" w:hAnsi="Calibri" w:cs="Calibri"/>
        <w:sz w:val="18"/>
        <w:szCs w:val="18"/>
      </w:rPr>
    </w:pPr>
    <w:proofErr w:type="spellStart"/>
    <w:r w:rsidRPr="009D01C6">
      <w:rPr>
        <w:rFonts w:ascii="Calibri" w:hAnsi="Calibri" w:cs="Calibri"/>
        <w:sz w:val="18"/>
        <w:szCs w:val="18"/>
      </w:rPr>
      <w:t>SCN</w:t>
    </w:r>
    <w:proofErr w:type="spellEnd"/>
    <w:r w:rsidRPr="009D01C6">
      <w:rPr>
        <w:rFonts w:ascii="Calibri" w:hAnsi="Calibri" w:cs="Calibri"/>
        <w:sz w:val="18"/>
        <w:szCs w:val="18"/>
      </w:rPr>
      <w:t xml:space="preserve"> Q.02 – </w:t>
    </w:r>
    <w:proofErr w:type="spellStart"/>
    <w:r w:rsidRPr="009D01C6">
      <w:rPr>
        <w:rFonts w:ascii="Calibri" w:hAnsi="Calibri" w:cs="Calibri"/>
        <w:sz w:val="18"/>
        <w:szCs w:val="18"/>
      </w:rPr>
      <w:t>Bl</w:t>
    </w:r>
    <w:proofErr w:type="spellEnd"/>
    <w:r w:rsidRPr="009D01C6">
      <w:rPr>
        <w:rFonts w:ascii="Calibri" w:hAnsi="Calibri" w:cs="Calibri"/>
        <w:sz w:val="18"/>
        <w:szCs w:val="18"/>
      </w:rPr>
      <w:t>. A – Ed. Corporate Financial Center, S.404/4º Andar, Brasília/DF – CEP: 70712-900 – Brasil -Tel.: (61) 3327-2030/2031</w:t>
    </w:r>
  </w:p>
  <w:p w14:paraId="5AAA9D1C" w14:textId="77777777" w:rsidR="0094399B" w:rsidRPr="009D01C6" w:rsidRDefault="00CF57C1" w:rsidP="0094399B">
    <w:pPr>
      <w:jc w:val="center"/>
      <w:rPr>
        <w:rFonts w:ascii="Calibri" w:hAnsi="Calibri" w:cs="Calibri"/>
        <w:noProof/>
        <w:sz w:val="18"/>
        <w:szCs w:val="18"/>
      </w:rPr>
    </w:pPr>
    <w:hyperlink r:id="rId2" w:history="1">
      <w:r w:rsidR="0094399B" w:rsidRPr="009D01C6">
        <w:rPr>
          <w:rFonts w:ascii="Calibri" w:hAnsi="Calibri" w:cs="Calibri"/>
          <w:sz w:val="18"/>
          <w:szCs w:val="18"/>
        </w:rPr>
        <w:t>www.gov.br/cvm</w:t>
      </w:r>
    </w:hyperlink>
  </w:p>
  <w:p w14:paraId="5E5A1263" w14:textId="540DDDF8" w:rsidR="00D74AE4" w:rsidRPr="00BB0D31" w:rsidRDefault="00BB0D31" w:rsidP="00C43A98">
    <w:pPr>
      <w:spacing w:before="240" w:after="240"/>
    </w:pPr>
    <w:r w:rsidRPr="00BB0D31">
      <w:rPr>
        <w:rFonts w:ascii="Calibri" w:hAnsi="Calibri"/>
        <w:bCs/>
        <w:lang w:val="x-none"/>
      </w:rPr>
      <w:t xml:space="preserve">NOTA EXPLICATIVA À </w:t>
    </w:r>
    <w:r w:rsidRPr="00BB0D31">
      <w:rPr>
        <w:rFonts w:ascii="Calibri" w:hAnsi="Calibri" w:cs="Calibri"/>
      </w:rPr>
      <w:t>RESOLUÇÃO</w:t>
    </w:r>
    <w:r w:rsidRPr="00BB0D31">
      <w:rPr>
        <w:rFonts w:ascii="Calibri" w:hAnsi="Calibri"/>
        <w:bCs/>
        <w:lang w:val="x-none"/>
      </w:rPr>
      <w:t xml:space="preserve"> CVM Nº </w:t>
    </w:r>
    <w:r w:rsidR="000E1576">
      <w:rPr>
        <w:rFonts w:ascii="Calibri" w:hAnsi="Calibri" w:cs="Calibri"/>
      </w:rPr>
      <w:t>156</w:t>
    </w:r>
    <w:r w:rsidRPr="00BB0D31">
      <w:rPr>
        <w:rFonts w:ascii="Calibri" w:hAnsi="Calibri" w:cs="Calibri"/>
      </w:rPr>
      <w:t>,</w:t>
    </w:r>
    <w:r w:rsidRPr="00BB0D31">
      <w:rPr>
        <w:rFonts w:ascii="Calibri" w:hAnsi="Calibri"/>
        <w:bCs/>
        <w:lang w:val="x-none"/>
      </w:rPr>
      <w:t xml:space="preserve"> DE </w:t>
    </w:r>
    <w:r w:rsidR="000E1576">
      <w:rPr>
        <w:rFonts w:ascii="Calibri" w:hAnsi="Calibri" w:cs="Calibri"/>
      </w:rPr>
      <w:t xml:space="preserve">23 </w:t>
    </w:r>
    <w:r w:rsidRPr="00BB0D31">
      <w:rPr>
        <w:rFonts w:ascii="Calibri" w:hAnsi="Calibri"/>
        <w:bCs/>
        <w:lang w:val="x-none"/>
      </w:rPr>
      <w:t xml:space="preserve">DE </w:t>
    </w:r>
    <w:r w:rsidR="000E1576">
      <w:rPr>
        <w:rFonts w:ascii="Calibri" w:hAnsi="Calibri" w:cs="Calibri"/>
      </w:rPr>
      <w:t xml:space="preserve">JUNHO </w:t>
    </w:r>
    <w:r w:rsidRPr="00BB0D31">
      <w:rPr>
        <w:rFonts w:ascii="Calibri" w:hAnsi="Calibri" w:cs="Calibri"/>
      </w:rPr>
      <w:t>DE 2022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36393B" w14:textId="53FAFBC9" w:rsidR="0094399B" w:rsidRPr="007A1E4D" w:rsidRDefault="009D1FDA" w:rsidP="0094399B">
    <w:pPr>
      <w:tabs>
        <w:tab w:val="center" w:pos="4419"/>
        <w:tab w:val="right" w:pos="8838"/>
      </w:tabs>
      <w:jc w:val="center"/>
    </w:pPr>
    <w:r w:rsidRPr="009D01C6">
      <w:rPr>
        <w:noProof/>
      </w:rPr>
      <w:drawing>
        <wp:inline distT="0" distB="0" distL="0" distR="0" wp14:anchorId="2E4061BE" wp14:editId="595CB0E4">
          <wp:extent cx="628650" cy="628650"/>
          <wp:effectExtent l="0" t="0" r="0" b="0"/>
          <wp:docPr id="3" name="Imagem 3" descr="planalto_presidencia_simbolosnacionais_brasa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planalto_presidencia_simbolosnacionais_brasa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inline>
      </w:drawing>
    </w:r>
  </w:p>
  <w:p w14:paraId="033E7710" w14:textId="77777777" w:rsidR="0094399B" w:rsidRPr="009D01C6" w:rsidRDefault="0094399B" w:rsidP="0094399B">
    <w:pPr>
      <w:jc w:val="center"/>
      <w:rPr>
        <w:rFonts w:ascii="Calibri" w:hAnsi="Calibri" w:cs="Calibri"/>
        <w:b/>
        <w:sz w:val="24"/>
      </w:rPr>
    </w:pPr>
    <w:r w:rsidRPr="009D01C6">
      <w:rPr>
        <w:rFonts w:ascii="Calibri" w:hAnsi="Calibri" w:cs="Calibri"/>
        <w:b/>
        <w:sz w:val="24"/>
      </w:rPr>
      <w:t>COMISSÃO DE VALORES MOBILIÁRIOS</w:t>
    </w:r>
  </w:p>
  <w:p w14:paraId="0E6A4023" w14:textId="77777777" w:rsidR="0094399B" w:rsidRPr="009D01C6" w:rsidRDefault="0094399B" w:rsidP="0094399B">
    <w:pPr>
      <w:jc w:val="center"/>
      <w:rPr>
        <w:rFonts w:ascii="Calibri" w:hAnsi="Calibri" w:cs="Calibri"/>
        <w:sz w:val="18"/>
        <w:szCs w:val="18"/>
      </w:rPr>
    </w:pPr>
    <w:r w:rsidRPr="009D01C6">
      <w:rPr>
        <w:rFonts w:ascii="Calibri" w:hAnsi="Calibri" w:cs="Calibri"/>
        <w:sz w:val="18"/>
        <w:szCs w:val="18"/>
      </w:rPr>
      <w:t>Rua Sete de Setembro, 111/2-5º e 23-34º Andares, Centro, Rio de Janeiro/RJ – CEP: 20050-901 – Brasil - Tel.: (21) 3554-8686</w:t>
    </w:r>
  </w:p>
  <w:p w14:paraId="1D2B2F59" w14:textId="77777777" w:rsidR="0094399B" w:rsidRPr="009D01C6" w:rsidRDefault="0094399B" w:rsidP="0094399B">
    <w:pPr>
      <w:jc w:val="center"/>
      <w:rPr>
        <w:rFonts w:ascii="Calibri" w:hAnsi="Calibri" w:cs="Calibri"/>
        <w:sz w:val="18"/>
        <w:szCs w:val="18"/>
      </w:rPr>
    </w:pPr>
    <w:r w:rsidRPr="009D01C6">
      <w:rPr>
        <w:rFonts w:ascii="Calibri" w:hAnsi="Calibri" w:cs="Calibri"/>
        <w:sz w:val="18"/>
        <w:szCs w:val="18"/>
      </w:rPr>
      <w:t>Rua Cincinato Braga, 340/2º, 3º e 4º Andares, Bela Vista, São Paulo/ SP – CEP: 01333-010 – Brasil - Tel.: (11) 2146-2000</w:t>
    </w:r>
  </w:p>
  <w:p w14:paraId="1CC42F64" w14:textId="77777777" w:rsidR="0094399B" w:rsidRPr="009D01C6" w:rsidRDefault="0094399B" w:rsidP="0094399B">
    <w:pPr>
      <w:jc w:val="center"/>
      <w:rPr>
        <w:rFonts w:ascii="Calibri" w:hAnsi="Calibri" w:cs="Calibri"/>
        <w:sz w:val="18"/>
        <w:szCs w:val="18"/>
      </w:rPr>
    </w:pPr>
    <w:proofErr w:type="spellStart"/>
    <w:r w:rsidRPr="009D01C6">
      <w:rPr>
        <w:rFonts w:ascii="Calibri" w:hAnsi="Calibri" w:cs="Calibri"/>
        <w:sz w:val="18"/>
        <w:szCs w:val="18"/>
      </w:rPr>
      <w:t>SCN</w:t>
    </w:r>
    <w:proofErr w:type="spellEnd"/>
    <w:r w:rsidRPr="009D01C6">
      <w:rPr>
        <w:rFonts w:ascii="Calibri" w:hAnsi="Calibri" w:cs="Calibri"/>
        <w:sz w:val="18"/>
        <w:szCs w:val="18"/>
      </w:rPr>
      <w:t xml:space="preserve"> Q.02 – </w:t>
    </w:r>
    <w:proofErr w:type="spellStart"/>
    <w:r w:rsidRPr="009D01C6">
      <w:rPr>
        <w:rFonts w:ascii="Calibri" w:hAnsi="Calibri" w:cs="Calibri"/>
        <w:sz w:val="18"/>
        <w:szCs w:val="18"/>
      </w:rPr>
      <w:t>Bl</w:t>
    </w:r>
    <w:proofErr w:type="spellEnd"/>
    <w:r w:rsidRPr="009D01C6">
      <w:rPr>
        <w:rFonts w:ascii="Calibri" w:hAnsi="Calibri" w:cs="Calibri"/>
        <w:sz w:val="18"/>
        <w:szCs w:val="18"/>
      </w:rPr>
      <w:t>. A – Ed. Corporate Financial Center, S.404/4º Andar, Brasília/DF – CEP: 70712-900 – Brasil -Tel.: (61) 3327-2030/2031</w:t>
    </w:r>
  </w:p>
  <w:p w14:paraId="2D5AE2CD" w14:textId="77777777" w:rsidR="00D74AE4" w:rsidRPr="0094399B" w:rsidRDefault="00CF57C1" w:rsidP="00C43A98">
    <w:pPr>
      <w:spacing w:after="360"/>
      <w:jc w:val="center"/>
    </w:pPr>
    <w:hyperlink r:id="rId2" w:history="1">
      <w:r w:rsidR="0094399B" w:rsidRPr="009D01C6">
        <w:rPr>
          <w:rFonts w:ascii="Calibri" w:hAnsi="Calibri" w:cs="Calibri"/>
          <w:sz w:val="18"/>
          <w:szCs w:val="18"/>
        </w:rPr>
        <w:t>www.gov.br/cvm</w:t>
      </w:r>
    </w:hyperlink>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10A52"/>
    <w:multiLevelType w:val="hybridMultilevel"/>
    <w:tmpl w:val="EAE4D99C"/>
    <w:lvl w:ilvl="0" w:tplc="B5E243F2">
      <w:start w:val="1"/>
      <w:numFmt w:val="decimal"/>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1" w15:restartNumberingAfterBreak="0">
    <w:nsid w:val="172C1A18"/>
    <w:multiLevelType w:val="hybridMultilevel"/>
    <w:tmpl w:val="28640C36"/>
    <w:lvl w:ilvl="0" w:tplc="EAD0EE18">
      <w:start w:val="1"/>
      <w:numFmt w:val="lowerLetter"/>
      <w:lvlText w:val="(%1)"/>
      <w:lvlJc w:val="left"/>
      <w:pPr>
        <w:tabs>
          <w:tab w:val="num" w:pos="1070"/>
        </w:tabs>
        <w:ind w:left="1070" w:hanging="360"/>
      </w:pPr>
      <w:rPr>
        <w:b w:val="0"/>
        <w:i w:val="0"/>
        <w:strike w:val="0"/>
        <w:dstrike w:val="0"/>
        <w:u w:val="none"/>
        <w:effect w:val="none"/>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15:restartNumberingAfterBreak="0">
    <w:nsid w:val="57E06C7F"/>
    <w:multiLevelType w:val="hybridMultilevel"/>
    <w:tmpl w:val="9F6A20DA"/>
    <w:lvl w:ilvl="0" w:tplc="5288BC48">
      <w:start w:val="1"/>
      <w:numFmt w:val="lowerRoman"/>
      <w:lvlText w:val="(%1)"/>
      <w:lvlJc w:val="left"/>
      <w:pPr>
        <w:ind w:left="1790" w:hanging="72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08"/>
  <w:hyphenationZone w:val="425"/>
  <w:drawingGridHorizontalSpacing w:val="10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7CD"/>
    <w:rsid w:val="00017E44"/>
    <w:rsid w:val="00024459"/>
    <w:rsid w:val="000325E1"/>
    <w:rsid w:val="00036A63"/>
    <w:rsid w:val="00043A49"/>
    <w:rsid w:val="00052E7C"/>
    <w:rsid w:val="000536D6"/>
    <w:rsid w:val="00056538"/>
    <w:rsid w:val="0006554B"/>
    <w:rsid w:val="000659E7"/>
    <w:rsid w:val="00071F77"/>
    <w:rsid w:val="00075751"/>
    <w:rsid w:val="000A4219"/>
    <w:rsid w:val="000B26BE"/>
    <w:rsid w:val="000D4D64"/>
    <w:rsid w:val="000D5E11"/>
    <w:rsid w:val="000E0C96"/>
    <w:rsid w:val="000E125D"/>
    <w:rsid w:val="000E1576"/>
    <w:rsid w:val="000F2E35"/>
    <w:rsid w:val="00102D19"/>
    <w:rsid w:val="00121DFB"/>
    <w:rsid w:val="001332D8"/>
    <w:rsid w:val="00160F97"/>
    <w:rsid w:val="00164112"/>
    <w:rsid w:val="00177D8D"/>
    <w:rsid w:val="0018283D"/>
    <w:rsid w:val="001C44B6"/>
    <w:rsid w:val="001D4368"/>
    <w:rsid w:val="001E01CD"/>
    <w:rsid w:val="001F1383"/>
    <w:rsid w:val="001F7333"/>
    <w:rsid w:val="001F7645"/>
    <w:rsid w:val="00202337"/>
    <w:rsid w:val="002044E0"/>
    <w:rsid w:val="00213A65"/>
    <w:rsid w:val="00230F80"/>
    <w:rsid w:val="00232AAF"/>
    <w:rsid w:val="00242721"/>
    <w:rsid w:val="0025231C"/>
    <w:rsid w:val="00274887"/>
    <w:rsid w:val="00282993"/>
    <w:rsid w:val="00295771"/>
    <w:rsid w:val="002A10AD"/>
    <w:rsid w:val="002C6244"/>
    <w:rsid w:val="002F5396"/>
    <w:rsid w:val="00305AE7"/>
    <w:rsid w:val="00305E3D"/>
    <w:rsid w:val="00310CE4"/>
    <w:rsid w:val="00325EB8"/>
    <w:rsid w:val="00334968"/>
    <w:rsid w:val="003422E3"/>
    <w:rsid w:val="00361657"/>
    <w:rsid w:val="003C2963"/>
    <w:rsid w:val="003D538D"/>
    <w:rsid w:val="003E5868"/>
    <w:rsid w:val="003F7CB0"/>
    <w:rsid w:val="00405054"/>
    <w:rsid w:val="00407AE9"/>
    <w:rsid w:val="00410703"/>
    <w:rsid w:val="004263A0"/>
    <w:rsid w:val="004421B6"/>
    <w:rsid w:val="00455394"/>
    <w:rsid w:val="00483572"/>
    <w:rsid w:val="004A36DC"/>
    <w:rsid w:val="004C71AC"/>
    <w:rsid w:val="004D3FCD"/>
    <w:rsid w:val="004E3A38"/>
    <w:rsid w:val="00501926"/>
    <w:rsid w:val="005166C1"/>
    <w:rsid w:val="00525BE6"/>
    <w:rsid w:val="00536EB3"/>
    <w:rsid w:val="00544CD2"/>
    <w:rsid w:val="00553E45"/>
    <w:rsid w:val="005713C0"/>
    <w:rsid w:val="005C5B40"/>
    <w:rsid w:val="005F7997"/>
    <w:rsid w:val="00612AB8"/>
    <w:rsid w:val="00630B14"/>
    <w:rsid w:val="00635097"/>
    <w:rsid w:val="0067059F"/>
    <w:rsid w:val="00671E20"/>
    <w:rsid w:val="00674CDA"/>
    <w:rsid w:val="006A1936"/>
    <w:rsid w:val="006A703C"/>
    <w:rsid w:val="006E2E9C"/>
    <w:rsid w:val="006E62AE"/>
    <w:rsid w:val="007201F3"/>
    <w:rsid w:val="00727A0E"/>
    <w:rsid w:val="00742821"/>
    <w:rsid w:val="00742FFB"/>
    <w:rsid w:val="00772354"/>
    <w:rsid w:val="00775A18"/>
    <w:rsid w:val="00792558"/>
    <w:rsid w:val="00796D74"/>
    <w:rsid w:val="007B140D"/>
    <w:rsid w:val="007C5C5E"/>
    <w:rsid w:val="007D6BB6"/>
    <w:rsid w:val="00802E07"/>
    <w:rsid w:val="00803F4B"/>
    <w:rsid w:val="0080613E"/>
    <w:rsid w:val="0081257D"/>
    <w:rsid w:val="008334AD"/>
    <w:rsid w:val="008710B0"/>
    <w:rsid w:val="0089526F"/>
    <w:rsid w:val="00897C1A"/>
    <w:rsid w:val="008A21F7"/>
    <w:rsid w:val="008A591B"/>
    <w:rsid w:val="008B1D9B"/>
    <w:rsid w:val="008C4F47"/>
    <w:rsid w:val="008C7E2F"/>
    <w:rsid w:val="008D746E"/>
    <w:rsid w:val="008E4CA5"/>
    <w:rsid w:val="00906482"/>
    <w:rsid w:val="0094399B"/>
    <w:rsid w:val="00945758"/>
    <w:rsid w:val="00947359"/>
    <w:rsid w:val="00951759"/>
    <w:rsid w:val="00952ECB"/>
    <w:rsid w:val="00963D9B"/>
    <w:rsid w:val="00982DAA"/>
    <w:rsid w:val="00986A21"/>
    <w:rsid w:val="009B0E8B"/>
    <w:rsid w:val="009D1FDA"/>
    <w:rsid w:val="00A27F62"/>
    <w:rsid w:val="00A731CF"/>
    <w:rsid w:val="00AE6539"/>
    <w:rsid w:val="00B12662"/>
    <w:rsid w:val="00B4749D"/>
    <w:rsid w:val="00B549ED"/>
    <w:rsid w:val="00B554D8"/>
    <w:rsid w:val="00B620DA"/>
    <w:rsid w:val="00B872BE"/>
    <w:rsid w:val="00B8737F"/>
    <w:rsid w:val="00B9743A"/>
    <w:rsid w:val="00BA15BD"/>
    <w:rsid w:val="00BB0D31"/>
    <w:rsid w:val="00BB7015"/>
    <w:rsid w:val="00BD227F"/>
    <w:rsid w:val="00BE5BA7"/>
    <w:rsid w:val="00C13AC4"/>
    <w:rsid w:val="00C15BC8"/>
    <w:rsid w:val="00C24893"/>
    <w:rsid w:val="00C43A98"/>
    <w:rsid w:val="00C47B8A"/>
    <w:rsid w:val="00C63928"/>
    <w:rsid w:val="00C704C4"/>
    <w:rsid w:val="00C90195"/>
    <w:rsid w:val="00C9107C"/>
    <w:rsid w:val="00C95576"/>
    <w:rsid w:val="00CB2AA9"/>
    <w:rsid w:val="00CB59CD"/>
    <w:rsid w:val="00CB6426"/>
    <w:rsid w:val="00CB6E9E"/>
    <w:rsid w:val="00CC50B9"/>
    <w:rsid w:val="00CE2B1A"/>
    <w:rsid w:val="00CF57C1"/>
    <w:rsid w:val="00D06C12"/>
    <w:rsid w:val="00D474BB"/>
    <w:rsid w:val="00D60101"/>
    <w:rsid w:val="00D74AE4"/>
    <w:rsid w:val="00D755D6"/>
    <w:rsid w:val="00D771DA"/>
    <w:rsid w:val="00DA0C59"/>
    <w:rsid w:val="00DD637D"/>
    <w:rsid w:val="00DF0B5B"/>
    <w:rsid w:val="00E06380"/>
    <w:rsid w:val="00E3396A"/>
    <w:rsid w:val="00E53E1B"/>
    <w:rsid w:val="00E86BCE"/>
    <w:rsid w:val="00E93AD4"/>
    <w:rsid w:val="00ED09B1"/>
    <w:rsid w:val="00ED798A"/>
    <w:rsid w:val="00EE1DF1"/>
    <w:rsid w:val="00EE27CD"/>
    <w:rsid w:val="00F0418A"/>
    <w:rsid w:val="00F0615E"/>
    <w:rsid w:val="00F46D02"/>
    <w:rsid w:val="00F669EF"/>
    <w:rsid w:val="00F74B9C"/>
    <w:rsid w:val="00F81CAB"/>
    <w:rsid w:val="00F82891"/>
    <w:rsid w:val="00F8444C"/>
    <w:rsid w:val="00F93D99"/>
    <w:rsid w:val="00FC73EC"/>
    <w:rsid w:val="00FD6924"/>
    <w:rsid w:val="00FE3AEA"/>
    <w:rsid w:val="0109A4E7"/>
    <w:rsid w:val="068D10FE"/>
    <w:rsid w:val="2451C417"/>
    <w:rsid w:val="2615CC9D"/>
    <w:rsid w:val="3AA0461F"/>
    <w:rsid w:val="3EE4D231"/>
    <w:rsid w:val="47CCA9BB"/>
    <w:rsid w:val="522FD436"/>
    <w:rsid w:val="5BCCD0B8"/>
    <w:rsid w:val="64B015B6"/>
    <w:rsid w:val="6555F815"/>
    <w:rsid w:val="705CAE85"/>
    <w:rsid w:val="7AB84009"/>
    <w:rsid w:val="7FED98B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BC4F71"/>
  <w15:chartTrackingRefBased/>
  <w15:docId w15:val="{685C9E78-748D-45FC-AA74-DEC967027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27CD"/>
    <w:rPr>
      <w:rFonts w:ascii="Times New Roman" w:eastAsia="Times New Roman" w:hAnsi="Times New Roman"/>
    </w:rPr>
  </w:style>
  <w:style w:type="paragraph" w:styleId="Ttulo2">
    <w:name w:val="heading 2"/>
    <w:basedOn w:val="Normal"/>
    <w:next w:val="Normal"/>
    <w:link w:val="Ttulo2Char"/>
    <w:qFormat/>
    <w:rsid w:val="00982DAA"/>
    <w:pPr>
      <w:keepNext/>
      <w:jc w:val="center"/>
      <w:outlineLvl w:val="1"/>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daLista1">
    <w:name w:val="Parágrafo da Lista1"/>
    <w:basedOn w:val="Normal"/>
    <w:uiPriority w:val="34"/>
    <w:qFormat/>
    <w:rsid w:val="00EE27CD"/>
    <w:pPr>
      <w:ind w:left="720"/>
      <w:contextualSpacing/>
    </w:pPr>
  </w:style>
  <w:style w:type="paragraph" w:styleId="Recuodecorpodetexto">
    <w:name w:val="Body Text Indent"/>
    <w:basedOn w:val="Normal"/>
    <w:link w:val="RecuodecorpodetextoChar"/>
    <w:uiPriority w:val="99"/>
    <w:unhideWhenUsed/>
    <w:rsid w:val="00EE27CD"/>
    <w:pPr>
      <w:spacing w:after="120"/>
      <w:ind w:left="283"/>
    </w:pPr>
    <w:rPr>
      <w:lang w:val="x-none"/>
    </w:rPr>
  </w:style>
  <w:style w:type="character" w:customStyle="1" w:styleId="RecuodecorpodetextoChar">
    <w:name w:val="Recuo de corpo de texto Char"/>
    <w:link w:val="Recuodecorpodetexto"/>
    <w:uiPriority w:val="99"/>
    <w:rsid w:val="00EE27CD"/>
    <w:rPr>
      <w:rFonts w:ascii="Times New Roman" w:eastAsia="Times New Roman" w:hAnsi="Times New Roman" w:cs="Times New Roman"/>
      <w:sz w:val="20"/>
      <w:szCs w:val="20"/>
      <w:lang w:eastAsia="pt-BR"/>
    </w:rPr>
  </w:style>
  <w:style w:type="paragraph" w:styleId="Ttulo">
    <w:name w:val="Title"/>
    <w:basedOn w:val="Normal"/>
    <w:link w:val="TtuloChar"/>
    <w:qFormat/>
    <w:rsid w:val="00EE27CD"/>
    <w:pPr>
      <w:jc w:val="center"/>
    </w:pPr>
    <w:rPr>
      <w:b/>
      <w:bCs/>
      <w:sz w:val="24"/>
      <w:szCs w:val="24"/>
      <w:lang w:val="x-none"/>
    </w:rPr>
  </w:style>
  <w:style w:type="character" w:customStyle="1" w:styleId="TtuloChar">
    <w:name w:val="Título Char"/>
    <w:link w:val="Ttulo"/>
    <w:rsid w:val="00EE27CD"/>
    <w:rPr>
      <w:rFonts w:ascii="Times New Roman" w:eastAsia="Times New Roman" w:hAnsi="Times New Roman" w:cs="Times New Roman"/>
      <w:b/>
      <w:bCs/>
      <w:sz w:val="24"/>
      <w:szCs w:val="24"/>
      <w:lang w:eastAsia="pt-BR"/>
    </w:rPr>
  </w:style>
  <w:style w:type="paragraph" w:customStyle="1" w:styleId="SDM">
    <w:name w:val="SDM"/>
    <w:basedOn w:val="Normal"/>
    <w:rsid w:val="00EE27CD"/>
    <w:pPr>
      <w:jc w:val="both"/>
    </w:pPr>
    <w:rPr>
      <w:bCs/>
      <w:sz w:val="24"/>
      <w:szCs w:val="24"/>
    </w:rPr>
  </w:style>
  <w:style w:type="paragraph" w:styleId="Cabealho">
    <w:name w:val="header"/>
    <w:basedOn w:val="Normal"/>
    <w:link w:val="CabealhoChar"/>
    <w:uiPriority w:val="99"/>
    <w:unhideWhenUsed/>
    <w:rsid w:val="00EE27CD"/>
    <w:pPr>
      <w:tabs>
        <w:tab w:val="center" w:pos="4252"/>
        <w:tab w:val="right" w:pos="8504"/>
      </w:tabs>
    </w:pPr>
    <w:rPr>
      <w:lang w:val="x-none"/>
    </w:rPr>
  </w:style>
  <w:style w:type="character" w:customStyle="1" w:styleId="CabealhoChar">
    <w:name w:val="Cabeçalho Char"/>
    <w:link w:val="Cabealho"/>
    <w:uiPriority w:val="99"/>
    <w:rsid w:val="00EE27CD"/>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EE27CD"/>
    <w:pPr>
      <w:tabs>
        <w:tab w:val="center" w:pos="4252"/>
        <w:tab w:val="right" w:pos="8504"/>
      </w:tabs>
    </w:pPr>
    <w:rPr>
      <w:lang w:val="x-none"/>
    </w:rPr>
  </w:style>
  <w:style w:type="character" w:customStyle="1" w:styleId="RodapChar">
    <w:name w:val="Rodapé Char"/>
    <w:link w:val="Rodap"/>
    <w:uiPriority w:val="99"/>
    <w:rsid w:val="00EE27CD"/>
    <w:rPr>
      <w:rFonts w:ascii="Times New Roman" w:eastAsia="Times New Roman" w:hAnsi="Times New Roman" w:cs="Times New Roman"/>
      <w:sz w:val="20"/>
      <w:szCs w:val="20"/>
      <w:lang w:eastAsia="pt-BR"/>
    </w:rPr>
  </w:style>
  <w:style w:type="paragraph" w:styleId="Corpodetexto">
    <w:name w:val="Body Text"/>
    <w:basedOn w:val="Normal"/>
    <w:link w:val="CorpodetextoChar"/>
    <w:uiPriority w:val="99"/>
    <w:semiHidden/>
    <w:unhideWhenUsed/>
    <w:rsid w:val="00455394"/>
    <w:pPr>
      <w:spacing w:after="120"/>
    </w:pPr>
    <w:rPr>
      <w:lang w:val="x-none" w:eastAsia="x-none"/>
    </w:rPr>
  </w:style>
  <w:style w:type="character" w:customStyle="1" w:styleId="CorpodetextoChar">
    <w:name w:val="Corpo de texto Char"/>
    <w:link w:val="Corpodetexto"/>
    <w:uiPriority w:val="99"/>
    <w:semiHidden/>
    <w:rsid w:val="00455394"/>
    <w:rPr>
      <w:rFonts w:ascii="Times New Roman" w:eastAsia="Times New Roman" w:hAnsi="Times New Roman"/>
    </w:rPr>
  </w:style>
  <w:style w:type="paragraph" w:styleId="Textodenotaderodap">
    <w:name w:val="footnote text"/>
    <w:basedOn w:val="Normal"/>
    <w:link w:val="TextodenotaderodapChar"/>
    <w:uiPriority w:val="99"/>
    <w:semiHidden/>
    <w:unhideWhenUsed/>
    <w:rsid w:val="00501926"/>
    <w:rPr>
      <w:lang w:val="x-none" w:eastAsia="x-none"/>
    </w:rPr>
  </w:style>
  <w:style w:type="character" w:customStyle="1" w:styleId="TextodenotaderodapChar">
    <w:name w:val="Texto de nota de rodapé Char"/>
    <w:link w:val="Textodenotaderodap"/>
    <w:uiPriority w:val="99"/>
    <w:semiHidden/>
    <w:rsid w:val="00501926"/>
    <w:rPr>
      <w:rFonts w:ascii="Times New Roman" w:eastAsia="Times New Roman" w:hAnsi="Times New Roman"/>
    </w:rPr>
  </w:style>
  <w:style w:type="character" w:styleId="Refdenotaderodap">
    <w:name w:val="footnote reference"/>
    <w:uiPriority w:val="99"/>
    <w:semiHidden/>
    <w:unhideWhenUsed/>
    <w:rsid w:val="00501926"/>
    <w:rPr>
      <w:vertAlign w:val="superscript"/>
    </w:rPr>
  </w:style>
  <w:style w:type="character" w:styleId="nfase">
    <w:name w:val="Emphasis"/>
    <w:qFormat/>
    <w:rsid w:val="00C9107C"/>
    <w:rPr>
      <w:i/>
      <w:iCs/>
    </w:rPr>
  </w:style>
  <w:style w:type="character" w:customStyle="1" w:styleId="Ttulo2Char">
    <w:name w:val="Título 2 Char"/>
    <w:link w:val="Ttulo2"/>
    <w:rsid w:val="00982DAA"/>
    <w:rPr>
      <w:rFonts w:ascii="Times New Roman" w:eastAsia="Times New Roman" w:hAnsi="Times New Roman"/>
      <w:b/>
      <w:bCs/>
      <w:sz w:val="24"/>
      <w:szCs w:val="24"/>
    </w:rPr>
  </w:style>
  <w:style w:type="paragraph" w:customStyle="1" w:styleId="level2">
    <w:name w:val="level2"/>
    <w:basedOn w:val="Normal"/>
    <w:rsid w:val="0094399B"/>
    <w:pPr>
      <w:spacing w:before="120" w:after="60"/>
    </w:pPr>
    <w:rPr>
      <w:rFonts w:ascii="Verdana" w:hAnsi="Verdana"/>
      <w:b/>
      <w:bCs/>
      <w:color w:val="585775"/>
      <w:sz w:val="28"/>
      <w:szCs w:val="28"/>
      <w:lang w:val="en-US" w:eastAsia="en-US"/>
    </w:rPr>
  </w:style>
  <w:style w:type="character" w:customStyle="1" w:styleId="DeltaViewInsertion">
    <w:name w:val="DeltaView Insertion"/>
    <w:rsid w:val="00024459"/>
    <w:rPr>
      <w:color w:val="0000FF"/>
      <w:spacing w:val="0"/>
      <w:u w:val="double"/>
    </w:rPr>
  </w:style>
  <w:style w:type="character" w:customStyle="1" w:styleId="TextoemblocoChar">
    <w:name w:val="Texto em bloco Char"/>
    <w:link w:val="Textoembloco"/>
    <w:uiPriority w:val="99"/>
    <w:semiHidden/>
    <w:locked/>
    <w:rsid w:val="001C44B6"/>
    <w:rPr>
      <w:rFonts w:ascii="Arial" w:eastAsia="Times New Roman" w:hAnsi="Arial"/>
      <w:szCs w:val="24"/>
      <w:lang w:val="pt-PT" w:eastAsia="x-none"/>
    </w:rPr>
  </w:style>
  <w:style w:type="paragraph" w:styleId="Textoembloco">
    <w:name w:val="Block Text"/>
    <w:basedOn w:val="Normal"/>
    <w:link w:val="TextoemblocoChar"/>
    <w:uiPriority w:val="99"/>
    <w:semiHidden/>
    <w:unhideWhenUsed/>
    <w:rsid w:val="001C44B6"/>
    <w:pPr>
      <w:widowControl w:val="0"/>
      <w:tabs>
        <w:tab w:val="left" w:pos="6804"/>
      </w:tabs>
      <w:spacing w:before="2" w:after="2" w:line="249" w:lineRule="auto"/>
      <w:ind w:left="336" w:right="57" w:hanging="279"/>
    </w:pPr>
    <w:rPr>
      <w:rFonts w:ascii="Arial" w:hAnsi="Arial"/>
      <w:szCs w:val="24"/>
      <w:lang w:val="pt-PT"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5663482">
      <w:bodyDiv w:val="1"/>
      <w:marLeft w:val="0"/>
      <w:marRight w:val="0"/>
      <w:marTop w:val="0"/>
      <w:marBottom w:val="0"/>
      <w:divBdr>
        <w:top w:val="none" w:sz="0" w:space="0" w:color="auto"/>
        <w:left w:val="none" w:sz="0" w:space="0" w:color="auto"/>
        <w:bottom w:val="none" w:sz="0" w:space="0" w:color="auto"/>
        <w:right w:val="none" w:sz="0" w:space="0" w:color="auto"/>
      </w:divBdr>
    </w:div>
    <w:div w:id="2064520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http://www.gov.br/cvm"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hyperlink" Target="http://www.gov.br/cvm"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9A85E7-FA73-4F78-903F-D30C5C99D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6</Pages>
  <Words>2099</Words>
  <Characters>11336</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Instrucao CVM 527/2012 (redacao original)</vt:lpstr>
    </vt:vector>
  </TitlesOfParts>
  <Company>CVM</Company>
  <LinksUpToDate>false</LinksUpToDate>
  <CharactersWithSpaces>13409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 EXPLICATIVA À RESOLUÇÃO CVM Nº 156, DE 23 DE JUNHO DE 2022</dc:title>
  <dc:subject/>
  <dc:creator>CVM</dc:creator>
  <cp:keywords/>
  <cp:lastModifiedBy>Renata dos Santos Leitão</cp:lastModifiedBy>
  <cp:revision>13</cp:revision>
  <cp:lastPrinted>2012-05-10T20:18:00Z</cp:lastPrinted>
  <dcterms:created xsi:type="dcterms:W3CDTF">2012-10-03T16:30:00Z</dcterms:created>
  <dcterms:modified xsi:type="dcterms:W3CDTF">2022-06-22T19:13:00Z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ABAAVOAfoSrQoyw/bsxmaqyTKKU1Q2/ba4AymmNB9uKrwKZXuiGmuTyuggQr3E/z3u7H</vt:lpwstr>
  </property>
  <property fmtid="{D5CDD505-2E9C-101B-9397-08002B2CF9AE}" pid="3" name="MAIL_MSG_ID2">
    <vt:lpwstr>y1bSzcEsMYUYlAYaoj5vYDx4E+jFnRa+g8HfwWXFnuYWU3E5B+5O8/Egu3m_x000d_
gNQdM0tEl4P2v5nGP7LZfz548TGCzUwFduMXfA==</vt:lpwstr>
  </property>
  <property fmtid="{D5CDD505-2E9C-101B-9397-08002B2CF9AE}" pid="4" name="RESPONSE_SENDER_NAME">
    <vt:lpwstr>gAAAdya76B99d4hLGUR1rQ+8TxTv0GGEPdix</vt:lpwstr>
  </property>
  <property fmtid="{D5CDD505-2E9C-101B-9397-08002B2CF9AE}" pid="5" name="EMAIL_OWNER_ADDRESS">
    <vt:lpwstr>sAAA2RgG6J6jCJ18wXE8IWBMg/42eIiYDd9NbbyHgj9OdPo=</vt:lpwstr>
  </property>
</Properties>
</file>