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83B1D" w14:textId="503F7815" w:rsidR="00841BBF" w:rsidRPr="00D078A9" w:rsidRDefault="00841BBF" w:rsidP="00C1691E">
      <w:pPr>
        <w:pStyle w:val="TtulodaResoluo"/>
      </w:pPr>
      <w:r w:rsidRPr="00D078A9">
        <w:t xml:space="preserve">Resolução CVM nº </w:t>
      </w:r>
      <w:sdt>
        <w:sdtPr>
          <w:alias w:val="Título"/>
          <w:tag w:val=""/>
          <w:id w:val="253094646"/>
          <w:placeholder>
            <w:docPart w:val="8BE1B0B6779B43DAA300845CCFA12C9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40C33" w:rsidRPr="00D078A9">
            <w:t>19, de 2</w:t>
          </w:r>
          <w:r w:rsidR="00D078A9" w:rsidRPr="00D078A9">
            <w:t>5</w:t>
          </w:r>
          <w:r w:rsidR="00040C33" w:rsidRPr="00D078A9">
            <w:t xml:space="preserve"> de FEVEREIRO de 2021</w:t>
          </w:r>
        </w:sdtContent>
      </w:sdt>
    </w:p>
    <w:p w14:paraId="6BE0D034" w14:textId="6E927152" w:rsidR="00841BBF" w:rsidRPr="0057246D" w:rsidRDefault="00C75731" w:rsidP="00C82C89">
      <w:pPr>
        <w:pStyle w:val="Ementa"/>
      </w:pPr>
      <w:r w:rsidRPr="0057246D">
        <w:t>Dispõe sobre a atividade de consultoria de valores mobiliários</w:t>
      </w:r>
      <w:r w:rsidR="008577AD">
        <w:t xml:space="preserve"> e revoga a Instrução CVM nº 592, de 17 de novembro de 2017, a Instrução CVM nº 6</w:t>
      </w:r>
      <w:r w:rsidR="00A806FD">
        <w:t>1</w:t>
      </w:r>
      <w:r w:rsidR="008577AD">
        <w:t xml:space="preserve">9, de </w:t>
      </w:r>
      <w:r w:rsidR="00A806FD">
        <w:t xml:space="preserve">6 de </w:t>
      </w:r>
      <w:r w:rsidR="008577AD">
        <w:t>fevereiro de 2020</w:t>
      </w:r>
      <w:r w:rsidR="007F20BB">
        <w:t xml:space="preserve"> </w:t>
      </w:r>
      <w:r w:rsidR="006F5920">
        <w:t xml:space="preserve">e a Deliberação CVM nº </w:t>
      </w:r>
      <w:r w:rsidR="00085361">
        <w:t>7</w:t>
      </w:r>
      <w:r w:rsidR="006F5920">
        <w:t>83, de 17 de novembro de 2017</w:t>
      </w:r>
      <w:r w:rsidR="00C82C89" w:rsidRPr="0057246D">
        <w:t>.</w:t>
      </w:r>
    </w:p>
    <w:p w14:paraId="2AA040B8" w14:textId="458512A2" w:rsidR="006E1797" w:rsidRDefault="00311997" w:rsidP="00ED1FB4">
      <w:r w:rsidRPr="0057246D">
        <w:t xml:space="preserve">O </w:t>
      </w:r>
      <w:r w:rsidRPr="0057246D">
        <w:rPr>
          <w:b/>
          <w:bCs/>
        </w:rPr>
        <w:t>PRESIDENTE DA COMISSÃO DE VALORES MOBILIÁRIOS</w:t>
      </w:r>
      <w:r w:rsidRPr="0057246D">
        <w:t xml:space="preserve"> - CVM torna público que o Colegiado, em reunião realizada em </w:t>
      </w:r>
      <w:r w:rsidR="002B6CD6">
        <w:t>23</w:t>
      </w:r>
      <w:r w:rsidR="002B6CD6" w:rsidRPr="0057246D">
        <w:t xml:space="preserve"> </w:t>
      </w:r>
      <w:r w:rsidRPr="0057246D">
        <w:t xml:space="preserve">de </w:t>
      </w:r>
      <w:r w:rsidR="008577AD">
        <w:t>fevereiro</w:t>
      </w:r>
      <w:r w:rsidR="008577AD" w:rsidRPr="0057246D">
        <w:t xml:space="preserve"> </w:t>
      </w:r>
      <w:r w:rsidRPr="0057246D">
        <w:t xml:space="preserve">de </w:t>
      </w:r>
      <w:r w:rsidR="008577AD">
        <w:t>2021</w:t>
      </w:r>
      <w:r w:rsidR="008577AD" w:rsidRPr="0057246D">
        <w:t xml:space="preserve">, </w:t>
      </w:r>
      <w:r w:rsidRPr="0057246D">
        <w:t xml:space="preserve">com fundamento nos </w:t>
      </w:r>
      <w:proofErr w:type="spellStart"/>
      <w:r w:rsidRPr="0057246D">
        <w:t>arts</w:t>
      </w:r>
      <w:proofErr w:type="spellEnd"/>
      <w:r w:rsidRPr="0057246D">
        <w:t>. 1º, inciso VIII, 8</w:t>
      </w:r>
      <w:r w:rsidR="00B255BF" w:rsidRPr="0057246D">
        <w:t>º</w:t>
      </w:r>
      <w:r w:rsidRPr="0057246D">
        <w:t>, inciso I, e 27 da Lei n</w:t>
      </w:r>
      <w:r w:rsidR="006700F0" w:rsidRPr="0057246D">
        <w:t>º</w:t>
      </w:r>
      <w:r w:rsidRPr="0057246D">
        <w:t xml:space="preserve"> 6.385, de 7 de dezembro de 1976, </w:t>
      </w:r>
      <w:r w:rsidRPr="0057246D">
        <w:rPr>
          <w:b/>
          <w:bCs/>
        </w:rPr>
        <w:t>APROVOU</w:t>
      </w:r>
      <w:r w:rsidRPr="0057246D">
        <w:t xml:space="preserve"> a seguinte Resolução</w:t>
      </w:r>
      <w:r w:rsidR="00894689" w:rsidRPr="0057246D">
        <w:t>:</w:t>
      </w:r>
    </w:p>
    <w:p w14:paraId="60DFA6FD" w14:textId="77777777" w:rsidR="00894689" w:rsidRPr="005C6D95" w:rsidRDefault="39205C57" w:rsidP="004E023D">
      <w:pPr>
        <w:pStyle w:val="Captulo"/>
      </w:pPr>
      <w:r>
        <w:t xml:space="preserve">Capítulo </w:t>
      </w:r>
      <w:r w:rsidR="75BFB89A">
        <w:t>I</w:t>
      </w:r>
      <w:r>
        <w:t xml:space="preserve"> – Âmbito e finalidade</w:t>
      </w:r>
    </w:p>
    <w:p w14:paraId="2481A6FB" w14:textId="2BEE33A7" w:rsidR="00311997" w:rsidRPr="00E41F22" w:rsidRDefault="00E4A3F4" w:rsidP="3D3BB236">
      <w:r w:rsidRPr="0057246D">
        <w:t xml:space="preserve">Art. 1º  Para os efeitos desta </w:t>
      </w:r>
      <w:r w:rsidR="1427B1DF">
        <w:t>Resolução</w:t>
      </w:r>
      <w:r w:rsidRPr="00E41F22">
        <w:t>, considera-se consultoria de valores mobiliários a prestação dos serviços de orientação, recomendação e aconselhamento, de forma profissional, independente e individualizada, sobre investimentos no mercado de valores mobiliários, cuja adoção e implementação sejam exclusivas do cliente.</w:t>
      </w:r>
    </w:p>
    <w:p w14:paraId="3263EB83" w14:textId="77777777" w:rsidR="00311997" w:rsidRPr="00647B02" w:rsidRDefault="00E4A3F4" w:rsidP="3D3BB236">
      <w:r w:rsidRPr="00E41F22">
        <w:t xml:space="preserve">§ 1º  A prestação de serviço de que trata o </w:t>
      </w:r>
      <w:r w:rsidRPr="00E41F22">
        <w:rPr>
          <w:b/>
          <w:bCs/>
        </w:rPr>
        <w:t>caput</w:t>
      </w:r>
      <w:r w:rsidRPr="00647B02">
        <w:t xml:space="preserve"> pode se dar por meio de uma ou mais das seguintes formas de orientação, recomendação e aconselhamento:</w:t>
      </w:r>
    </w:p>
    <w:p w14:paraId="70D6CE60" w14:textId="77777777" w:rsidR="00311997" w:rsidRPr="00647B02" w:rsidRDefault="00E4A3F4" w:rsidP="3D3BB236">
      <w:r w:rsidRPr="00647B02">
        <w:t>I – sobre classes de ativos e valores mobiliários;</w:t>
      </w:r>
    </w:p>
    <w:p w14:paraId="610BB8B5" w14:textId="77777777" w:rsidR="00311997" w:rsidRPr="00647B02" w:rsidRDefault="00E4A3F4" w:rsidP="3D3BB236">
      <w:r w:rsidRPr="00647B02">
        <w:t>II – sobre títulos e valores mobiliários específicos;</w:t>
      </w:r>
    </w:p>
    <w:p w14:paraId="0A487345" w14:textId="77777777" w:rsidR="00311997" w:rsidRPr="00647B02" w:rsidRDefault="00E4A3F4" w:rsidP="3D3BB236">
      <w:r w:rsidRPr="00647B02">
        <w:t>III – sobre prestadores de serviços no âmbito do mercado de valores mobiliários; e</w:t>
      </w:r>
    </w:p>
    <w:p w14:paraId="3DC230C5" w14:textId="77777777" w:rsidR="00311997" w:rsidRPr="00647B02" w:rsidRDefault="00E4A3F4" w:rsidP="3D3BB236">
      <w:r w:rsidRPr="00647B02">
        <w:t xml:space="preserve">IV – sobre outros aspectos relacionados às atividades abarcadas pelo </w:t>
      </w:r>
      <w:r w:rsidRPr="00647B02">
        <w:rPr>
          <w:b/>
          <w:bCs/>
        </w:rPr>
        <w:t>caput</w:t>
      </w:r>
      <w:r w:rsidRPr="00647B02">
        <w:t>.</w:t>
      </w:r>
    </w:p>
    <w:p w14:paraId="6B244140" w14:textId="32EDA9D2" w:rsidR="00311997" w:rsidRPr="00647B02" w:rsidRDefault="00E4A3F4" w:rsidP="3D3BB236">
      <w:r w:rsidRPr="00647B02">
        <w:t xml:space="preserve">§ 2º  A presente </w:t>
      </w:r>
      <w:r w:rsidR="1427B1DF" w:rsidRPr="00647B02">
        <w:t>Resolução</w:t>
      </w:r>
      <w:r w:rsidRPr="00647B02">
        <w:t xml:space="preserve"> não se aplica às pessoas físicas ou jurídicas que atuem exclusivamente:</w:t>
      </w:r>
    </w:p>
    <w:p w14:paraId="2AAD8BE1" w14:textId="77777777" w:rsidR="00311997" w:rsidRPr="00AC71C8" w:rsidRDefault="00E4A3F4" w:rsidP="3D3BB236">
      <w:r w:rsidRPr="00647B02">
        <w:t xml:space="preserve">I – como planejadores financeiros, cuja atuação circunscreva-se, dentre outros serviços, ao planejamento sucessório, produtos de previdência e administração de finanças em geral de seus clientes e que não envolvam a orientação, recomendação ou aconselhamento de que trata o </w:t>
      </w:r>
      <w:r w:rsidRPr="00AC71C8">
        <w:rPr>
          <w:b/>
          <w:bCs/>
        </w:rPr>
        <w:t>caput</w:t>
      </w:r>
      <w:r w:rsidRPr="00AC71C8">
        <w:t>;</w:t>
      </w:r>
    </w:p>
    <w:p w14:paraId="37BD5A3F" w14:textId="77777777" w:rsidR="00311997" w:rsidRPr="00AC71C8" w:rsidRDefault="00E4A3F4" w:rsidP="3D3BB236">
      <w:r w:rsidRPr="00AC71C8">
        <w:t>II – na elaboração de relatórios gerenciais ou de controle que objetivem, dentre outros, retratar a rentabilidade, composição e enquadramento de uma carteira de investimento à luz de políticas de investimento, regulamentos ou da regulamentação específica incidente sobre determinado tipo de cliente; e</w:t>
      </w:r>
    </w:p>
    <w:p w14:paraId="73BD7B5F" w14:textId="77777777" w:rsidR="00311997" w:rsidRPr="00AC71C8" w:rsidRDefault="00E4A3F4" w:rsidP="3D3BB236">
      <w:r w:rsidRPr="00AC71C8">
        <w:lastRenderedPageBreak/>
        <w:t>III – como consultores especializados que não atuem nos mercados de valores mobiliários, tais como aqueles previstos nas regulamentações específicas sobre fundos de investimento em direitos creditórios e fundos de investimento imobiliário.</w:t>
      </w:r>
    </w:p>
    <w:p w14:paraId="07A65BF0" w14:textId="49C046A6" w:rsidR="00311997" w:rsidRPr="00AF1C15" w:rsidRDefault="00E4A3F4" w:rsidP="3D3BB236">
      <w:r w:rsidRPr="00AC71C8">
        <w:t>§ 3º</w:t>
      </w:r>
      <w:r w:rsidR="4E7DD03C" w:rsidRPr="00AC71C8">
        <w:t xml:space="preserve"> </w:t>
      </w:r>
      <w:r w:rsidRPr="00AC71C8">
        <w:t xml:space="preserve"> A presente </w:t>
      </w:r>
      <w:r w:rsidR="1427B1DF" w:rsidRPr="00AC71C8">
        <w:t>Resolução</w:t>
      </w:r>
      <w:r w:rsidRPr="00AC71C8">
        <w:t xml:space="preserve"> se aplica às pessoas físicas ou jurídicas que, ainda que atuem, preponderantemente ou não, nas atividades elencadas nos incisos do § 2º, exerçam, também, a atividade de que trata o </w:t>
      </w:r>
      <w:r w:rsidRPr="00AF1C15">
        <w:rPr>
          <w:b/>
          <w:bCs/>
        </w:rPr>
        <w:t>caput</w:t>
      </w:r>
      <w:r w:rsidRPr="00AF1C15">
        <w:t>.</w:t>
      </w:r>
    </w:p>
    <w:p w14:paraId="6D695A17" w14:textId="6A98E9B1" w:rsidR="00311997" w:rsidRPr="000B0F67" w:rsidRDefault="00E4A3F4" w:rsidP="3D3BB236">
      <w:r w:rsidRPr="00AF1C15">
        <w:t xml:space="preserve">§ 4º  Os agentes autônomos de investimento, gerentes de investimentos de instituições financeiras e outras pessoas que atuem na distribuição de valores mobiliários podem prestar informações sobre os produtos oferecidos e sobre os serviços prestados pela instituição integrante do sistema de distribuição de valores mobiliários pela qual trabalhem ou tenham sido contratados, sem configurar a atividade de que trata o </w:t>
      </w:r>
      <w:r w:rsidRPr="000B0F67">
        <w:rPr>
          <w:b/>
          <w:bCs/>
        </w:rPr>
        <w:t>caput</w:t>
      </w:r>
      <w:r w:rsidRPr="000B0F67">
        <w:t>.</w:t>
      </w:r>
    </w:p>
    <w:p w14:paraId="349C0602" w14:textId="77777777" w:rsidR="00311997" w:rsidRPr="000B0F67" w:rsidRDefault="00E4A3F4" w:rsidP="3D3BB236">
      <w:r w:rsidRPr="000B0F67">
        <w:t>§ 5º  A prestação de informações a que se refere o § 4º circunscreve-se às atividades de suporte e orientação inerentes à relação comercial com os clientes.</w:t>
      </w:r>
    </w:p>
    <w:p w14:paraId="589C3174" w14:textId="77777777" w:rsidR="00311997" w:rsidRPr="000B0F67" w:rsidRDefault="00E4A3F4" w:rsidP="3D3BB236">
      <w:r w:rsidRPr="000B0F67">
        <w:t>§ 6º  As entidades integrantes do sistema de distribuição não podem induzir os investidores a erro ao dar a entender que atuam como prestadores de serviço de consultoria independente de valores mobiliários, de forma autônoma à atividade de distribuição, quando prestam as informações nos termos dos §§ 4º e 5º ou quando recomendam produtos por ela distribuídos.</w:t>
      </w:r>
    </w:p>
    <w:p w14:paraId="7F161112" w14:textId="610400BA" w:rsidR="00ED1FB4" w:rsidRPr="000B0F67" w:rsidRDefault="00E4A3F4" w:rsidP="3D3BB236">
      <w:r w:rsidRPr="000B0F67">
        <w:t>§ 7º  Admite-se que o consultor de valores mobiliários, as entidades integrantes do sistema de distribuição de valores mobiliários e os seus clientes em comum estabeleçam canais de comunicação e ferramentas que permitam conferir maior agilidade e segurança à implementação das recomendações e execução de ordens pelo cliente.</w:t>
      </w:r>
    </w:p>
    <w:p w14:paraId="0C99E597" w14:textId="66E7F60C" w:rsidR="00C3231A" w:rsidRPr="000B0F67" w:rsidRDefault="00E4A3F4" w:rsidP="003E133B">
      <w:pPr>
        <w:pStyle w:val="Captulo"/>
      </w:pPr>
      <w:r w:rsidRPr="000B0F67">
        <w:t>CAPÍTULO II – AUTORIZAÇÃO PARA O EXERCÍCIO DA ATIVIDADE DE CONSULTORIA DE VALORES MOBILIÁRIOS</w:t>
      </w:r>
    </w:p>
    <w:p w14:paraId="04BA71CF" w14:textId="163DB659" w:rsidR="00311997" w:rsidRPr="000B0F67" w:rsidRDefault="00E4A3F4" w:rsidP="3D3BB236">
      <w:r w:rsidRPr="000B0F67">
        <w:t xml:space="preserve">Art. 2º  A consultoria de valores mobiliários é atividade privativa de consultores de valores mobiliários </w:t>
      </w:r>
      <w:r w:rsidR="0032545D">
        <w:t>autorizados</w:t>
      </w:r>
      <w:r w:rsidRPr="000B0F67">
        <w:t xml:space="preserve"> </w:t>
      </w:r>
      <w:r w:rsidR="00132FC0">
        <w:t xml:space="preserve">pela </w:t>
      </w:r>
      <w:r w:rsidRPr="000B0F67">
        <w:t>CVM, no caso de consultores domiciliados no Brasil, ou por ela reconhecidos, no caso de consultores domiciliados no exterior.</w:t>
      </w:r>
    </w:p>
    <w:p w14:paraId="2053C49A" w14:textId="41723493" w:rsidR="00311997" w:rsidRPr="009F48B3" w:rsidRDefault="00E4A3F4" w:rsidP="3D3BB236">
      <w:r w:rsidRPr="000B0F67">
        <w:t xml:space="preserve">Parágrafo único.  Quando de sua atuação no Brasil, aplicam-se aos consultores de valores mobiliários reconhecidos de que trata o </w:t>
      </w:r>
      <w:r w:rsidRPr="009F48B3">
        <w:rPr>
          <w:b/>
          <w:bCs/>
        </w:rPr>
        <w:t>caput</w:t>
      </w:r>
      <w:r w:rsidRPr="009F48B3">
        <w:t xml:space="preserve">, além das regras dispostas nesta </w:t>
      </w:r>
      <w:r w:rsidR="1427B1DF" w:rsidRPr="009F48B3">
        <w:t>Resolução</w:t>
      </w:r>
      <w:r w:rsidRPr="009F48B3">
        <w:t>, as normas específicas editadas pela CVM referentes:</w:t>
      </w:r>
    </w:p>
    <w:p w14:paraId="3EFF0ECD" w14:textId="77777777" w:rsidR="00311997" w:rsidRPr="009F48B3" w:rsidRDefault="00E4A3F4" w:rsidP="3D3BB236">
      <w:r w:rsidRPr="009F48B3">
        <w:lastRenderedPageBreak/>
        <w:t>I – ao dever de verificação da adequação dos produtos, serviços e operações ao perfil do cliente; e</w:t>
      </w:r>
    </w:p>
    <w:p w14:paraId="5AF42E26" w14:textId="649B5B44" w:rsidR="00311997" w:rsidRPr="009F48B3" w:rsidRDefault="00E4A3F4" w:rsidP="3D3BB236">
      <w:r w:rsidRPr="009F48B3">
        <w:t>II – ao cadastro dos investidores e à prevenção à lavagem de dinheiro e ao financiamento do terrorismo – PLDFT no âmbito do mercado de valores mobiliários.</w:t>
      </w:r>
    </w:p>
    <w:p w14:paraId="402E0AA5" w14:textId="77777777" w:rsidR="00311997" w:rsidRPr="009F48B3" w:rsidRDefault="00E4A3F4" w:rsidP="004B43A2">
      <w:pPr>
        <w:pStyle w:val="Seo"/>
      </w:pPr>
      <w:r w:rsidRPr="009F48B3">
        <w:t>Seção I – Consultor de Valores Mobiliários – Pessoa Natural</w:t>
      </w:r>
    </w:p>
    <w:p w14:paraId="084C03DD" w14:textId="28A7197C" w:rsidR="00311997" w:rsidRPr="009F48B3" w:rsidRDefault="00E4A3F4" w:rsidP="3D3BB236">
      <w:r w:rsidRPr="009F48B3">
        <w:t>Art. 3º  Para fins de obtenção e manutenção de autorização ou, conforme o caso, do reconhecimento junto à CVM, o consultor de valores mobiliários, pessoa natural, deve atender os seguintes requisitos:</w:t>
      </w:r>
    </w:p>
    <w:p w14:paraId="1150E0A5" w14:textId="23CA87B2" w:rsidR="00311997" w:rsidRPr="009F48B3" w:rsidRDefault="00E4A3F4" w:rsidP="3D3BB236">
      <w:r w:rsidRPr="009F48B3">
        <w:t>I – ser graduado em curso superior ou equivalente, em instituição reconhecida oficialmente no país ou no exterior;</w:t>
      </w:r>
    </w:p>
    <w:p w14:paraId="441BAD53" w14:textId="3912771E" w:rsidR="00A81D81" w:rsidRPr="00FB06F0" w:rsidRDefault="00E4A3F4" w:rsidP="3D3BB236">
      <w:r w:rsidRPr="009F48B3">
        <w:t>II –</w:t>
      </w:r>
      <w:r w:rsidR="0022398E">
        <w:t xml:space="preserve"> </w:t>
      </w:r>
      <w:r w:rsidR="0022398E" w:rsidRPr="0022398E">
        <w:t>ter sido aprovado em exame de certificação previsto no Anexo A, cuja metodologia e conteúdo tenham sido previamente aprovados pela CVM, ou por entidade equivalente em seu país de domicílio</w:t>
      </w:r>
      <w:r w:rsidR="00311997" w:rsidRPr="00FB06F0">
        <w:t>;</w:t>
      </w:r>
    </w:p>
    <w:p w14:paraId="66D0BAF0" w14:textId="2DABACF0" w:rsidR="00311997" w:rsidRPr="00FB06F0" w:rsidRDefault="00E4A3F4" w:rsidP="3D3BB236">
      <w:r w:rsidRPr="00FB06F0">
        <w:t>I</w:t>
      </w:r>
      <w:r w:rsidR="012C9E79" w:rsidRPr="00FB06F0">
        <w:t>II</w:t>
      </w:r>
      <w:r w:rsidRPr="00FB06F0">
        <w:t xml:space="preserve"> – ter reputação ilibada;</w:t>
      </w:r>
    </w:p>
    <w:p w14:paraId="5E2B422F" w14:textId="1577C71F" w:rsidR="00311997" w:rsidRPr="00FB06F0" w:rsidRDefault="012C9E79" w:rsidP="3D3BB236">
      <w:r w:rsidRPr="00FB06F0">
        <w:t>I</w:t>
      </w:r>
      <w:r w:rsidR="00E4A3F4" w:rsidRPr="00FB06F0">
        <w:t>V – não estar inabilitado ou suspenso para o exercício de cargo em instituições financeiras e demais entidades autorizadas a funcionar pela CVM, pelo Banco Central do Brasil, pela Superintendência de Seguros Privados – SUSEP, pela Superintendência Nacional de Previdência Complementar – PREVIC ou por entidades equivalentes em seu país de domicílio;</w:t>
      </w:r>
    </w:p>
    <w:p w14:paraId="302DF114" w14:textId="72691180" w:rsidR="00311997" w:rsidRPr="00FB06F0" w:rsidRDefault="00E4A3F4" w:rsidP="3D3BB236">
      <w:r w:rsidRPr="00FB06F0">
        <w:t>V – não haver sido condenado, no Brasil, ou por crimes equivalentes, em seu país de domicílio, por crime falimentar, prevaricação, suborno, concussão, peculato, “lavagem” de dinheiro ou ocultação de bens, direitos e valores, contra a economia popular, a ordem econômica, as relações de consumo, a fé pública ou a propriedade pública, o sistema financeiro nacional, ou a pena criminal que vede, ainda que temporariamente, o acesso a cargos públicos, por decisão transitada em julgado, ressalvada a hipótese de reabilitação;</w:t>
      </w:r>
    </w:p>
    <w:p w14:paraId="37FD609E" w14:textId="21401ADD" w:rsidR="00311997" w:rsidRPr="00FB06F0" w:rsidRDefault="00E4A3F4" w:rsidP="3D3BB236">
      <w:r w:rsidRPr="00FB06F0">
        <w:t>VI – não estar impedido de administrar seus bens ou deles dispor em razão de decisão judicial ou administrativa;</w:t>
      </w:r>
    </w:p>
    <w:p w14:paraId="06893F9E" w14:textId="335353CC" w:rsidR="00311997" w:rsidRPr="00FB06F0" w:rsidRDefault="00E4A3F4" w:rsidP="3D3BB236">
      <w:r w:rsidRPr="00FB06F0">
        <w:t>VII – não estar incluído em relação de comitentes inadimplentes de entidade administradora de mercado organizado; e</w:t>
      </w:r>
    </w:p>
    <w:p w14:paraId="515B5788" w14:textId="52C4AF63" w:rsidR="00311997" w:rsidRPr="00FB06F0" w:rsidRDefault="012C9E79" w:rsidP="3D3BB236">
      <w:r w:rsidRPr="00FB06F0">
        <w:t>VIII</w:t>
      </w:r>
      <w:r w:rsidR="00E4A3F4" w:rsidRPr="00FB06F0">
        <w:t xml:space="preserve"> – preencher o formulário do Anexo </w:t>
      </w:r>
      <w:r w:rsidR="00D0507D">
        <w:t>B</w:t>
      </w:r>
      <w:r w:rsidR="00E4A3F4" w:rsidRPr="00FB06F0">
        <w:t xml:space="preserve"> de modo a comprovar a sua aptidão para o exercício da atividade.</w:t>
      </w:r>
    </w:p>
    <w:p w14:paraId="20A020BF" w14:textId="4697A3E8" w:rsidR="00311997" w:rsidRPr="00D0507D" w:rsidRDefault="00E4A3F4" w:rsidP="3D3BB236">
      <w:r w:rsidRPr="00FB06F0">
        <w:lastRenderedPageBreak/>
        <w:t xml:space="preserve">§ 1º  A Superintendência de </w:t>
      </w:r>
      <w:r w:rsidR="00682D01">
        <w:t>Supervisão de</w:t>
      </w:r>
      <w:r w:rsidRPr="00FB06F0">
        <w:t xml:space="preserve"> Investidores Institucionais – SIN pode, excepcionalmente, dispensar o atendimento aos requisitos previstos nos incisos I e II  do </w:t>
      </w:r>
      <w:r w:rsidRPr="00D0507D">
        <w:rPr>
          <w:b/>
          <w:bCs/>
        </w:rPr>
        <w:t>caput</w:t>
      </w:r>
      <w:r w:rsidRPr="00D0507D">
        <w:t xml:space="preserve"> deste artigo, desde que o requerente possua:</w:t>
      </w:r>
    </w:p>
    <w:p w14:paraId="53F1B4B6" w14:textId="77777777" w:rsidR="00311997" w:rsidRPr="00D0507D" w:rsidRDefault="00E4A3F4" w:rsidP="3D3BB236">
      <w:r w:rsidRPr="00D0507D">
        <w:t>I – comprovada experiência profissional de, no mínimo, 7 (sete) anos em atividades diretamente relacionadas à consultoria de valores mobiliários, gestão de recursos de terceiros ou análise de valores mobiliários; ou</w:t>
      </w:r>
    </w:p>
    <w:p w14:paraId="1453DC51" w14:textId="77777777" w:rsidR="00311997" w:rsidRPr="00D0507D" w:rsidRDefault="00E4A3F4" w:rsidP="3D3BB236">
      <w:r w:rsidRPr="00D0507D">
        <w:t>II – notório saber e elevada qualificação em área de conhecimento que o habilite para o exercício da atividade de consultoria de valores mobiliários.</w:t>
      </w:r>
    </w:p>
    <w:p w14:paraId="275C5CA9" w14:textId="77777777" w:rsidR="00311997" w:rsidRPr="00D0507D" w:rsidRDefault="00E4A3F4" w:rsidP="3D3BB236">
      <w:r w:rsidRPr="00D0507D">
        <w:t>§ 2º  Não é considerada experiência profissional no âmbito do mercado de valores mobiliários, para fins do disposto no § 1º deste artigo:</w:t>
      </w:r>
    </w:p>
    <w:p w14:paraId="59C29621" w14:textId="77777777" w:rsidR="00311997" w:rsidRPr="00D0507D" w:rsidRDefault="00E4A3F4" w:rsidP="3D3BB236">
      <w:r w:rsidRPr="00D0507D">
        <w:t xml:space="preserve">I – a atuação como investidor; </w:t>
      </w:r>
    </w:p>
    <w:p w14:paraId="22A9CBE9" w14:textId="77777777" w:rsidR="00311997" w:rsidRPr="00D0507D" w:rsidRDefault="00E4A3F4" w:rsidP="3D3BB236">
      <w:r w:rsidRPr="00D0507D">
        <w:t xml:space="preserve">II – a prestação de serviços de forma não remunerada; </w:t>
      </w:r>
    </w:p>
    <w:p w14:paraId="1914857B" w14:textId="77777777" w:rsidR="00311997" w:rsidRPr="00D0507D" w:rsidRDefault="00E4A3F4" w:rsidP="3D3BB236">
      <w:r w:rsidRPr="00D0507D">
        <w:t>III – a realização de estágio, e</w:t>
      </w:r>
    </w:p>
    <w:p w14:paraId="2939E0DC" w14:textId="77777777" w:rsidR="00311997" w:rsidRPr="00D0507D" w:rsidRDefault="00E4A3F4" w:rsidP="3D3BB236">
      <w:r w:rsidRPr="00D0507D">
        <w:t>IV – a atuação como agente autônomo de investimento.</w:t>
      </w:r>
    </w:p>
    <w:p w14:paraId="37E37639" w14:textId="12736F17" w:rsidR="002745C7" w:rsidRDefault="00315927" w:rsidP="3D3BB236">
      <w:r>
        <w:t xml:space="preserve">§ 3º  </w:t>
      </w:r>
      <w:r w:rsidR="00E6490B">
        <w:t xml:space="preserve">O pedido de dispensa </w:t>
      </w:r>
      <w:r w:rsidR="00282B34">
        <w:t xml:space="preserve">de requisitos </w:t>
      </w:r>
      <w:r w:rsidR="00E6490B">
        <w:t xml:space="preserve">a que se refere o § 1º deve ser </w:t>
      </w:r>
      <w:r w:rsidR="007F62C9">
        <w:t>submetido à análise da SIN</w:t>
      </w:r>
      <w:r w:rsidR="00003029">
        <w:t xml:space="preserve"> anteriormente ao pedido de </w:t>
      </w:r>
      <w:r w:rsidR="002745C7">
        <w:t xml:space="preserve">autorização </w:t>
      </w:r>
      <w:r w:rsidR="005E01F1">
        <w:t xml:space="preserve">ou reconhecimento, conforme </w:t>
      </w:r>
      <w:r w:rsidR="00CA0022">
        <w:t>previsto</w:t>
      </w:r>
      <w:r w:rsidR="002745C7">
        <w:t xml:space="preserve"> </w:t>
      </w:r>
      <w:r w:rsidR="00CA0022">
        <w:t>n</w:t>
      </w:r>
      <w:r w:rsidR="002745C7">
        <w:t>a Seção III deste Capítulo.</w:t>
      </w:r>
    </w:p>
    <w:p w14:paraId="7A2C3118" w14:textId="782380D8" w:rsidR="00315927" w:rsidRDefault="002745C7" w:rsidP="3D3BB236">
      <w:r>
        <w:t xml:space="preserve">§ 4º  </w:t>
      </w:r>
      <w:r w:rsidR="00901C4C">
        <w:t>A SIN tem 1</w:t>
      </w:r>
      <w:r w:rsidR="000E414F">
        <w:t>5</w:t>
      </w:r>
      <w:r w:rsidR="00901C4C">
        <w:t xml:space="preserve"> (</w:t>
      </w:r>
      <w:r w:rsidR="000E414F">
        <w:t>quinze</w:t>
      </w:r>
      <w:r w:rsidR="00901C4C">
        <w:t>) dias úteis para analisar o pedi</w:t>
      </w:r>
      <w:r w:rsidR="00EF176B">
        <w:t xml:space="preserve">do de dispensa </w:t>
      </w:r>
      <w:r w:rsidR="00282B34">
        <w:t xml:space="preserve">de requisitos </w:t>
      </w:r>
      <w:r w:rsidR="00EF0797">
        <w:t xml:space="preserve">a que se refere o § </w:t>
      </w:r>
      <w:r w:rsidR="00282B34">
        <w:t>1</w:t>
      </w:r>
      <w:r w:rsidR="00EF0797">
        <w:t>º.</w:t>
      </w:r>
      <w:r w:rsidR="006A3FEF">
        <w:t xml:space="preserve"> </w:t>
      </w:r>
    </w:p>
    <w:p w14:paraId="3EDB8AE8" w14:textId="37DE2312" w:rsidR="00D20151" w:rsidRPr="00AE6792" w:rsidRDefault="00D20151" w:rsidP="00D20151">
      <w:r w:rsidRPr="005D2752">
        <w:t xml:space="preserve">§ </w:t>
      </w:r>
      <w:r>
        <w:t>5</w:t>
      </w:r>
      <w:r w:rsidRPr="005D2752">
        <w:t xml:space="preserve">º  O prazo de que trata o § </w:t>
      </w:r>
      <w:r>
        <w:t>4</w:t>
      </w:r>
      <w:r w:rsidRPr="005D2752">
        <w:t>º pode ser interrompido uma única vez, caso a SIN solicite ao requerente informações ou documentos adicionais,</w:t>
      </w:r>
      <w:r w:rsidRPr="00AE6792">
        <w:t xml:space="preserve"> passando a fluir novo prazo a partir do cumprimento das exigências. </w:t>
      </w:r>
    </w:p>
    <w:p w14:paraId="076CB483" w14:textId="1A7E0A13" w:rsidR="00D20151" w:rsidRPr="00AE6792" w:rsidRDefault="00D20151" w:rsidP="00D20151">
      <w:r w:rsidRPr="00AE6792">
        <w:t xml:space="preserve">§ </w:t>
      </w:r>
      <w:r w:rsidR="00E06ADB">
        <w:t>6</w:t>
      </w:r>
      <w:r w:rsidRPr="00AE6792">
        <w:t>º  O requerente tem 10 (dez) dias úteis para cumprir as exigências formuladas pela SIN.</w:t>
      </w:r>
    </w:p>
    <w:p w14:paraId="7055AAFA" w14:textId="1E679682" w:rsidR="00D20151" w:rsidRPr="00AE6792" w:rsidRDefault="00D20151" w:rsidP="00D20151">
      <w:r w:rsidRPr="00AE6792">
        <w:t xml:space="preserve">§ </w:t>
      </w:r>
      <w:r w:rsidR="00E06ADB">
        <w:t>7</w:t>
      </w:r>
      <w:r w:rsidRPr="00AE6792">
        <w:t xml:space="preserve">º  A ausência de manifestação da SIN no prazo mencionado no § </w:t>
      </w:r>
      <w:r w:rsidR="00E06ADB">
        <w:t>4</w:t>
      </w:r>
      <w:r w:rsidRPr="00AE6792">
        <w:t xml:space="preserve">º implica deferimento automático do pedido de </w:t>
      </w:r>
      <w:r w:rsidR="00E06ADB">
        <w:t>dispensa de requisitos</w:t>
      </w:r>
      <w:r w:rsidRPr="00AE6792">
        <w:t>.</w:t>
      </w:r>
    </w:p>
    <w:p w14:paraId="218D2B2A" w14:textId="7B177E86" w:rsidR="00D20151" w:rsidRPr="00AE6792" w:rsidRDefault="00D20151" w:rsidP="00D20151">
      <w:r>
        <w:t xml:space="preserve">§ </w:t>
      </w:r>
      <w:r w:rsidR="00934818">
        <w:t>8</w:t>
      </w:r>
      <w:r>
        <w:t xml:space="preserve">º  A inobservância do prazo mencionado no § </w:t>
      </w:r>
      <w:r w:rsidR="00934818">
        <w:t>6</w:t>
      </w:r>
      <w:r>
        <w:t xml:space="preserve">º implica indeferimento automático do pedido de </w:t>
      </w:r>
      <w:r w:rsidR="00002CAD">
        <w:t>dispensa de requisitos</w:t>
      </w:r>
      <w:r>
        <w:t>.</w:t>
      </w:r>
    </w:p>
    <w:p w14:paraId="0512D755" w14:textId="77777777" w:rsidR="00D20151" w:rsidRDefault="00D20151" w:rsidP="3D3BB236"/>
    <w:p w14:paraId="7BB51069" w14:textId="333FC0E9" w:rsidR="00311997" w:rsidRPr="00D931BF" w:rsidRDefault="00E4A3F4" w:rsidP="3D3BB236">
      <w:r w:rsidRPr="00D0507D">
        <w:lastRenderedPageBreak/>
        <w:t xml:space="preserve">§ </w:t>
      </w:r>
      <w:r w:rsidR="00934818">
        <w:t>9</w:t>
      </w:r>
      <w:r w:rsidR="00CA0022" w:rsidRPr="00D0507D">
        <w:t xml:space="preserve">º  </w:t>
      </w:r>
      <w:r w:rsidRPr="00D0507D">
        <w:t xml:space="preserve">Para a manutenção da autorização </w:t>
      </w:r>
      <w:r w:rsidR="00F60369">
        <w:t xml:space="preserve">ou </w:t>
      </w:r>
      <w:r w:rsidR="0091415E">
        <w:t xml:space="preserve">do reconhecimento </w:t>
      </w:r>
      <w:r w:rsidRPr="00D0507D">
        <w:t xml:space="preserve">pela CVM, o consultor de valores mobiliários, pessoa natural, está dispensado do atendimento aos requisitos previstos nos incisos I e II do </w:t>
      </w:r>
      <w:r w:rsidRPr="00D931BF">
        <w:rPr>
          <w:b/>
          <w:bCs/>
        </w:rPr>
        <w:t>caput</w:t>
      </w:r>
      <w:r w:rsidRPr="00D931BF">
        <w:t>, caso não tenha tido que atendê-los para obter sua autorização.</w:t>
      </w:r>
    </w:p>
    <w:p w14:paraId="37093C62" w14:textId="03123F65" w:rsidR="00311997" w:rsidRPr="00D931BF" w:rsidRDefault="00E4A3F4" w:rsidP="3D3BB236">
      <w:r w:rsidRPr="00D931BF">
        <w:t xml:space="preserve">§ </w:t>
      </w:r>
      <w:r w:rsidR="00934818">
        <w:t>10</w:t>
      </w:r>
      <w:r w:rsidR="00002CAD">
        <w:t>.</w:t>
      </w:r>
      <w:r w:rsidR="00CA0022" w:rsidRPr="00D931BF">
        <w:t xml:space="preserve">  </w:t>
      </w:r>
      <w:r w:rsidRPr="00D931BF">
        <w:t xml:space="preserve">Na hipótese prevista no inciso VII do </w:t>
      </w:r>
      <w:r w:rsidRPr="00D931BF">
        <w:rPr>
          <w:b/>
          <w:bCs/>
        </w:rPr>
        <w:t>caput</w:t>
      </w:r>
      <w:r w:rsidRPr="00D931BF">
        <w:t xml:space="preserve">, a SIN pode avaliar a conveniência e a oportunidade de conceder a autorização </w:t>
      </w:r>
      <w:r w:rsidR="00676CEF">
        <w:t xml:space="preserve">ou reconhecimento </w:t>
      </w:r>
      <w:r w:rsidR="00560F90" w:rsidRPr="00D931BF">
        <w:t>pleitead</w:t>
      </w:r>
      <w:r w:rsidR="00560F90">
        <w:t>os</w:t>
      </w:r>
      <w:r w:rsidRPr="00D931BF">
        <w:t xml:space="preserve">, considerando a situação individual do pretendente, bem como as circunstâncias e a materialidade do caso.  </w:t>
      </w:r>
    </w:p>
    <w:p w14:paraId="190F3F93" w14:textId="77777777" w:rsidR="002469C9" w:rsidRPr="00D931BF" w:rsidRDefault="35053EF1" w:rsidP="007C1AF3">
      <w:pPr>
        <w:pStyle w:val="Seo"/>
      </w:pPr>
      <w:r w:rsidRPr="00D931BF">
        <w:t>Seção II – Consultor de Valores Mobiliários – Pessoa Jurídica</w:t>
      </w:r>
    </w:p>
    <w:p w14:paraId="446DBC21" w14:textId="77777777" w:rsidR="002469C9" w:rsidRPr="00D931BF" w:rsidRDefault="35053EF1" w:rsidP="3D3BB236">
      <w:r w:rsidRPr="00D931BF">
        <w:t>Art. 4º  Para fins de obtenção e manutenção de autorização ou, conforme o caso, do reconhecimento pela CVM, o consultor de valores mobiliários, pessoa jurídica, deve atender os seguintes requisitos:</w:t>
      </w:r>
    </w:p>
    <w:p w14:paraId="2B2BDA85" w14:textId="034F88B8" w:rsidR="002469C9" w:rsidRPr="00D931BF" w:rsidRDefault="35053EF1" w:rsidP="3D3BB236">
      <w:r w:rsidRPr="00D931BF">
        <w:t xml:space="preserve">I – ter em seu objeto social o exercício de consultoria de valores mobiliários e estar regularmente constituído e registrado no Cadastro Nacional de Pessoas Jurídicas - CNPJ; </w:t>
      </w:r>
    </w:p>
    <w:p w14:paraId="0D291D34" w14:textId="67B4B5F1" w:rsidR="002469C9" w:rsidRPr="00D931BF" w:rsidRDefault="35053EF1" w:rsidP="3D3BB236">
      <w:r w:rsidRPr="00D931BF">
        <w:t>II –</w:t>
      </w:r>
      <w:r w:rsidR="009D5D68">
        <w:t xml:space="preserve"> </w:t>
      </w:r>
      <w:r w:rsidRPr="00D931BF">
        <w:t xml:space="preserve">atribuir a responsabilidade pela atividade de consultoria de valores mobiliários a um diretor estatutário, o qual deve estar </w:t>
      </w:r>
      <w:r w:rsidR="00123D40">
        <w:t>autorizado pela</w:t>
      </w:r>
      <w:r w:rsidRPr="00D931BF">
        <w:t xml:space="preserve"> CVM, no caso de consultores domiciliados no Brasil, como consultor de valores mobiliários pessoa natural;</w:t>
      </w:r>
    </w:p>
    <w:p w14:paraId="24B5AC4F" w14:textId="4A78121D" w:rsidR="002469C9" w:rsidRPr="00D931BF" w:rsidRDefault="35053EF1" w:rsidP="3D3BB236">
      <w:r w:rsidRPr="00D931BF">
        <w:t>I</w:t>
      </w:r>
      <w:r w:rsidR="0978ADDE" w:rsidRPr="00D931BF">
        <w:t>II</w:t>
      </w:r>
      <w:r w:rsidRPr="00D931BF">
        <w:t xml:space="preserve"> – atribuir a responsabilidade pela implementação e cumprimento de regras, procedimentos e controles internos e das normas estabelecidas por esta </w:t>
      </w:r>
      <w:r w:rsidR="1427B1DF" w:rsidRPr="00D931BF">
        <w:t>Resolução</w:t>
      </w:r>
      <w:r w:rsidRPr="00D931BF">
        <w:t xml:space="preserve"> a um diretor estatutário;</w:t>
      </w:r>
    </w:p>
    <w:p w14:paraId="6194D5ED" w14:textId="09989D93" w:rsidR="002469C9" w:rsidRPr="00D931BF" w:rsidRDefault="14098F46" w:rsidP="3D3BB236">
      <w:r w:rsidRPr="00D931BF">
        <w:t>I</w:t>
      </w:r>
      <w:r w:rsidR="35053EF1" w:rsidRPr="00D931BF">
        <w:t xml:space="preserve">V – seus sócios controladores diretos ou indiretos devem atender aos requisitos previstos pelos incisos </w:t>
      </w:r>
      <w:r w:rsidR="781C4096" w:rsidRPr="00D931BF">
        <w:t>III</w:t>
      </w:r>
      <w:r w:rsidR="35053EF1" w:rsidRPr="00D931BF">
        <w:t xml:space="preserve"> a VII do art. 3º; </w:t>
      </w:r>
    </w:p>
    <w:p w14:paraId="17A0A157" w14:textId="3EE1D7CF" w:rsidR="002469C9" w:rsidRPr="00D931BF" w:rsidRDefault="35053EF1" w:rsidP="3D3BB236">
      <w:r w:rsidRPr="00D931BF">
        <w:t>V – constituir e manter recursos humanos e computacionais adequados ao porte e à área de atuação da pessoa jurídica; e</w:t>
      </w:r>
    </w:p>
    <w:p w14:paraId="0975BDAA" w14:textId="273B9434" w:rsidR="002469C9" w:rsidRPr="00D931BF" w:rsidRDefault="35053EF1" w:rsidP="3D3BB236">
      <w:r w:rsidRPr="00D931BF">
        <w:t xml:space="preserve">VI – preencher o formulário do Anexo </w:t>
      </w:r>
      <w:r w:rsidR="00D931BF">
        <w:t>C</w:t>
      </w:r>
      <w:r w:rsidRPr="00D931BF">
        <w:t xml:space="preserve"> de modo a comprovar a sua aptidão para o exercício da atividade.</w:t>
      </w:r>
    </w:p>
    <w:p w14:paraId="0173F843" w14:textId="77777777" w:rsidR="002469C9" w:rsidRPr="00D931BF" w:rsidRDefault="35053EF1" w:rsidP="3D3BB236">
      <w:r w:rsidRPr="00D931BF">
        <w:t xml:space="preserve">§ 1º  É vedada a utilização, na denominação da pessoa jurídica de que trata o </w:t>
      </w:r>
      <w:r w:rsidRPr="00D931BF">
        <w:rPr>
          <w:b/>
          <w:bCs/>
        </w:rPr>
        <w:t>caput</w:t>
      </w:r>
      <w:r w:rsidRPr="00D931BF">
        <w:t>, de siglas e de palavras ou expressões que induzam o investidor a erro.</w:t>
      </w:r>
    </w:p>
    <w:p w14:paraId="1EC4AC07" w14:textId="39396ACE" w:rsidR="002469C9" w:rsidRPr="00D931BF" w:rsidRDefault="35053EF1" w:rsidP="3D3BB236">
      <w:r w:rsidRPr="00D931BF">
        <w:t>§ 2º  As atribuições de responsabilidade previstas nos incisos II e I</w:t>
      </w:r>
      <w:r w:rsidR="14098F46" w:rsidRPr="00D931BF">
        <w:t>II</w:t>
      </w:r>
      <w:r w:rsidRPr="00D931BF">
        <w:t xml:space="preserve"> do </w:t>
      </w:r>
      <w:r w:rsidRPr="00D931BF">
        <w:rPr>
          <w:b/>
          <w:bCs/>
        </w:rPr>
        <w:t>caput</w:t>
      </w:r>
      <w:r w:rsidRPr="00D931BF">
        <w:t xml:space="preserve"> devem ser consignadas no contrato, no estatuto social da pessoa jurídica ou em ata de reunião do seu conselho de administração.</w:t>
      </w:r>
    </w:p>
    <w:p w14:paraId="2DFE036C" w14:textId="77777777" w:rsidR="002469C9" w:rsidRPr="00D931BF" w:rsidRDefault="35053EF1" w:rsidP="3D3BB236">
      <w:r w:rsidRPr="00D931BF">
        <w:lastRenderedPageBreak/>
        <w:t>§ 3º  Na hipótese de impedimento de qualquer dos diretores responsáveis pela consultoria de valores mobiliários por prazo superior a 30 (trinta) dias, o substituto deve assumir a referida responsabilidade, devendo a CVM ser comunicada, por escrito, no prazo de 7 (sete) dias úteis a contar da sua ocorrência.</w:t>
      </w:r>
    </w:p>
    <w:p w14:paraId="2434DA9D" w14:textId="5CF7044E" w:rsidR="002469C9" w:rsidRPr="00D931BF" w:rsidRDefault="35053EF1" w:rsidP="3D3BB236">
      <w:r w:rsidRPr="00D931BF">
        <w:t>§ 4º  As funções a que se referem os incisos II e I</w:t>
      </w:r>
      <w:r w:rsidR="14098F46" w:rsidRPr="00D931BF">
        <w:t>II</w:t>
      </w:r>
      <w:r w:rsidRPr="00D931BF">
        <w:t xml:space="preserve"> do </w:t>
      </w:r>
      <w:r w:rsidRPr="00D931BF">
        <w:rPr>
          <w:b/>
          <w:bCs/>
        </w:rPr>
        <w:t>caput</w:t>
      </w:r>
      <w:r w:rsidRPr="00D931BF">
        <w:t xml:space="preserve"> não podem ser desempenhadas pelo mesmo diretor estatutário.</w:t>
      </w:r>
    </w:p>
    <w:p w14:paraId="721CDAD3" w14:textId="77777777" w:rsidR="002469C9" w:rsidRPr="00D931BF" w:rsidRDefault="35053EF1" w:rsidP="3D3BB236">
      <w:r w:rsidRPr="00D931BF">
        <w:t>§ 5º  O diretor responsável pela consultoria de valores mobiliários não pode ser responsável por nenhuma outra atividade no mercado de valores mobiliários, na instituição ou fora dela.</w:t>
      </w:r>
    </w:p>
    <w:p w14:paraId="25873246" w14:textId="71CF99F4" w:rsidR="002469C9" w:rsidRPr="00D931BF" w:rsidRDefault="35053EF1" w:rsidP="3D3BB236">
      <w:r w:rsidRPr="00D931BF">
        <w:t>§ 6º  Sem prejuízo do disposto no § 5º deste artigo, os diretores responsáveis de que tratam os incisos II e I</w:t>
      </w:r>
      <w:r w:rsidR="14098F46" w:rsidRPr="00D931BF">
        <w:t>II</w:t>
      </w:r>
      <w:r w:rsidRPr="00D931BF">
        <w:t xml:space="preserve"> do </w:t>
      </w:r>
      <w:r w:rsidRPr="00D931BF">
        <w:rPr>
          <w:b/>
          <w:bCs/>
        </w:rPr>
        <w:t>caput</w:t>
      </w:r>
      <w:r w:rsidRPr="00D931BF">
        <w:t xml:space="preserve"> podem ser responsáveis pela mesma atividade em sociedades controladoras, controladas, coligadas ou sob controle comum.</w:t>
      </w:r>
    </w:p>
    <w:p w14:paraId="7A955363" w14:textId="1CA856A2" w:rsidR="002469C9" w:rsidRPr="00D931BF" w:rsidRDefault="35053EF1" w:rsidP="3D3BB236">
      <w:r w:rsidRPr="00D931BF">
        <w:t>§ 7º  Os diretores responsáveis de que tratam os incisos II e I</w:t>
      </w:r>
      <w:r w:rsidR="14098F46" w:rsidRPr="00D931BF">
        <w:t>II</w:t>
      </w:r>
      <w:r w:rsidRPr="00D931BF">
        <w:t xml:space="preserve"> do </w:t>
      </w:r>
      <w:r w:rsidRPr="00D931BF">
        <w:rPr>
          <w:b/>
          <w:bCs/>
        </w:rPr>
        <w:t>caput</w:t>
      </w:r>
      <w:r w:rsidRPr="00D931BF">
        <w:t xml:space="preserve"> e o consultor de valores mobiliários pessoa natural de que trata o art. 3º não podem obter ou manter registro como agente autônomo de investimento.</w:t>
      </w:r>
    </w:p>
    <w:p w14:paraId="7FF2125E" w14:textId="01103B41" w:rsidR="002469C9" w:rsidRPr="00D931BF" w:rsidRDefault="35053EF1" w:rsidP="3D3BB236">
      <w:r w:rsidRPr="00D931BF">
        <w:t xml:space="preserve">§ 8º  Os recursos computacionais previstos no inciso V do </w:t>
      </w:r>
      <w:r w:rsidRPr="00D931BF">
        <w:rPr>
          <w:b/>
          <w:bCs/>
        </w:rPr>
        <w:t>caput</w:t>
      </w:r>
      <w:r w:rsidRPr="00D931BF">
        <w:t xml:space="preserve"> devem:</w:t>
      </w:r>
    </w:p>
    <w:p w14:paraId="13C60C10" w14:textId="77777777" w:rsidR="002469C9" w:rsidRPr="00D931BF" w:rsidRDefault="35053EF1" w:rsidP="3D3BB236">
      <w:r w:rsidRPr="00D931BF">
        <w:t>I – ser protegidos contra adulterações; e</w:t>
      </w:r>
    </w:p>
    <w:p w14:paraId="606E74FD" w14:textId="77777777" w:rsidR="002469C9" w:rsidRPr="00D931BF" w:rsidRDefault="35053EF1" w:rsidP="3D3BB236">
      <w:r w:rsidRPr="00D931BF">
        <w:t>II – manter registros que permitam a realização de auditorias e inspeções.</w:t>
      </w:r>
    </w:p>
    <w:p w14:paraId="59222649" w14:textId="7E8FE354" w:rsidR="002469C9" w:rsidRPr="00D931BF" w:rsidRDefault="35053EF1" w:rsidP="3D3BB236">
      <w:r w:rsidRPr="00D931BF">
        <w:t xml:space="preserve">§ 9º  Ficam excepcionados da necessidade de ter em seu objeto social o exercício de consultoria de valores mobiliários os bancos comerciais, as caixas econômicas e os bancos múltiplos sem carteira de investimento. </w:t>
      </w:r>
    </w:p>
    <w:p w14:paraId="06CF70A4" w14:textId="4D5E542A" w:rsidR="002469C9" w:rsidRPr="00D931BF" w:rsidRDefault="35053EF1" w:rsidP="00E646BE">
      <w:pPr>
        <w:pStyle w:val="Seo"/>
      </w:pPr>
      <w:r w:rsidRPr="00D931BF">
        <w:t xml:space="preserve">Seção III – Pedido de </w:t>
      </w:r>
      <w:r w:rsidR="00F14F24">
        <w:t>Autorização</w:t>
      </w:r>
      <w:r w:rsidRPr="00D931BF">
        <w:t xml:space="preserve"> de Consultor de Valores Mobiliários</w:t>
      </w:r>
    </w:p>
    <w:p w14:paraId="62528966" w14:textId="59AFCCAF" w:rsidR="002469C9" w:rsidRPr="00D931BF" w:rsidRDefault="35053EF1" w:rsidP="3D3BB236">
      <w:r w:rsidRPr="00D931BF">
        <w:t xml:space="preserve">Art. 5°  O pedido de autorização ou de reconhecimento, conforme o caso, para o exercício da atividade de consultor de valores mobiliários deve ser encaminhado à SIN </w:t>
      </w:r>
      <w:r w:rsidR="1F41671A" w:rsidRPr="00D931BF">
        <w:t xml:space="preserve">por meio eletrônico </w:t>
      </w:r>
      <w:r w:rsidRPr="00D931BF">
        <w:t>e ser instruído com os documentos identificados no:</w:t>
      </w:r>
    </w:p>
    <w:p w14:paraId="2E3A86C8" w14:textId="33B14763" w:rsidR="002469C9" w:rsidRPr="00D931BF" w:rsidRDefault="35053EF1" w:rsidP="3D3BB236">
      <w:r w:rsidRPr="00D931BF">
        <w:t xml:space="preserve">I – Anexo </w:t>
      </w:r>
      <w:r w:rsidR="00870BCB">
        <w:t>B</w:t>
      </w:r>
      <w:r w:rsidRPr="00D931BF">
        <w:t xml:space="preserve">, se pessoa natural; ou </w:t>
      </w:r>
    </w:p>
    <w:p w14:paraId="4E5F8975" w14:textId="330C7928" w:rsidR="002469C9" w:rsidRPr="00D931BF" w:rsidRDefault="35053EF1" w:rsidP="3D3BB236">
      <w:r w:rsidRPr="00D931BF">
        <w:t xml:space="preserve">II – Anexo </w:t>
      </w:r>
      <w:r w:rsidR="00870BCB">
        <w:t>C</w:t>
      </w:r>
      <w:r w:rsidRPr="00D931BF">
        <w:t xml:space="preserve">, se pessoa jurídica. </w:t>
      </w:r>
    </w:p>
    <w:p w14:paraId="590AF9FC" w14:textId="77777777" w:rsidR="00D230EC" w:rsidRDefault="35053EF1" w:rsidP="3D3BB236">
      <w:r w:rsidRPr="00D931BF">
        <w:lastRenderedPageBreak/>
        <w:t xml:space="preserve">Art. 6º  </w:t>
      </w:r>
      <w:r w:rsidR="1236C60B" w:rsidRPr="00D931BF">
        <w:t xml:space="preserve">A autorização </w:t>
      </w:r>
      <w:r w:rsidR="7ACA59B2" w:rsidRPr="00870BCB">
        <w:t>para o exercício da atividade de consultor de valores mobiliários</w:t>
      </w:r>
      <w:r w:rsidR="7ACA59B2">
        <w:t xml:space="preserve"> </w:t>
      </w:r>
      <w:r w:rsidR="005B0BAA">
        <w:t xml:space="preserve">é </w:t>
      </w:r>
      <w:r w:rsidR="4C486D9E">
        <w:t>automaticamente concedid</w:t>
      </w:r>
      <w:r w:rsidR="7841B24A">
        <w:t>a</w:t>
      </w:r>
      <w:r w:rsidR="4C486D9E">
        <w:t xml:space="preserve"> em decorrência do envio de documentos e informações </w:t>
      </w:r>
      <w:r w:rsidR="49C7C889">
        <w:t>de que trata o art. 5º.</w:t>
      </w:r>
    </w:p>
    <w:p w14:paraId="33E0A97A" w14:textId="1B6778B8" w:rsidR="0039342D" w:rsidRPr="006C3F6F" w:rsidRDefault="008C7CB6" w:rsidP="3D3BB236">
      <w:r>
        <w:rPr>
          <w:rFonts w:ascii="Calibri" w:hAnsi="Calibri" w:cs="Calibri"/>
          <w:color w:val="000000"/>
          <w:shd w:val="clear" w:color="auto" w:fill="FFFFFF"/>
        </w:rPr>
        <w:t xml:space="preserve">Parágrafo único.  Enquanto não estiver disponível sistema </w:t>
      </w:r>
      <w:r w:rsidR="00F14F24">
        <w:rPr>
          <w:rFonts w:ascii="Calibri" w:hAnsi="Calibri" w:cs="Calibri"/>
          <w:color w:val="000000"/>
          <w:shd w:val="clear" w:color="auto" w:fill="FFFFFF"/>
        </w:rPr>
        <w:t xml:space="preserve">eletrônico </w:t>
      </w:r>
      <w:r>
        <w:rPr>
          <w:rFonts w:ascii="Calibri" w:hAnsi="Calibri" w:cs="Calibri"/>
          <w:color w:val="000000"/>
          <w:shd w:val="clear" w:color="auto" w:fill="FFFFFF"/>
        </w:rPr>
        <w:t xml:space="preserve">de concessão de autorização automática e de recepção de documentos, a autorização automática a que se refere o </w:t>
      </w:r>
      <w:r w:rsidRPr="00D230EC">
        <w:rPr>
          <w:rFonts w:ascii="Calibri" w:hAnsi="Calibri" w:cs="Calibri"/>
          <w:b/>
          <w:bCs/>
          <w:color w:val="000000"/>
          <w:shd w:val="clear" w:color="auto" w:fill="FFFFFF"/>
        </w:rPr>
        <w:t>caput</w:t>
      </w:r>
      <w:r>
        <w:rPr>
          <w:rFonts w:ascii="Calibri" w:hAnsi="Calibri" w:cs="Calibri"/>
          <w:color w:val="000000"/>
          <w:shd w:val="clear" w:color="auto" w:fill="FFFFFF"/>
        </w:rPr>
        <w:t xml:space="preserve"> produzirá efeitos decorridos 5 (cinco) dias úteis do protocolo do pedido na CVM.</w:t>
      </w:r>
    </w:p>
    <w:p w14:paraId="22B62AB1" w14:textId="77777777" w:rsidR="002469C9" w:rsidRPr="006C3F6F" w:rsidRDefault="35053EF1" w:rsidP="00FA73FE">
      <w:pPr>
        <w:pStyle w:val="Seo"/>
      </w:pPr>
      <w:r w:rsidRPr="006C3F6F">
        <w:t>Seção IV – Requisitos para o Reconhecimento</w:t>
      </w:r>
    </w:p>
    <w:p w14:paraId="629B086A" w14:textId="52C085B8" w:rsidR="002469C9" w:rsidRPr="006C3F6F" w:rsidRDefault="35053EF1" w:rsidP="3D3BB236">
      <w:r w:rsidRPr="006C3F6F">
        <w:t xml:space="preserve">Art. </w:t>
      </w:r>
      <w:r w:rsidR="67F93E67" w:rsidRPr="006C3F6F">
        <w:t>7º</w:t>
      </w:r>
      <w:r w:rsidRPr="006C3F6F">
        <w:t xml:space="preserve">  Para fins de obtenção e de manutenção do reconhecimento pela CVM, o consultor de valores mobiliários não domiciliado no Brasil deve atender os seguintes requisitos:</w:t>
      </w:r>
    </w:p>
    <w:p w14:paraId="14CB3133" w14:textId="3ED6C69A" w:rsidR="002469C9" w:rsidRPr="006C3F6F" w:rsidRDefault="35053EF1" w:rsidP="3D3BB236">
      <w:r w:rsidRPr="006C3F6F">
        <w:t>I – estar autorizado e submetido à supervisão por autoridade competente em seu país de domicílio; e</w:t>
      </w:r>
    </w:p>
    <w:p w14:paraId="5EB58C53" w14:textId="77777777" w:rsidR="002469C9" w:rsidRPr="006C3F6F" w:rsidRDefault="35053EF1" w:rsidP="3D3BB236">
      <w:r w:rsidRPr="006C3F6F">
        <w:t xml:space="preserve">II – constituir e manter representante legal no Brasil, com poderes expressos para receber, em seu nome, quaisquer citações, intimações ou notificações. </w:t>
      </w:r>
    </w:p>
    <w:p w14:paraId="0DEE49A3" w14:textId="77777777" w:rsidR="002469C9" w:rsidRPr="006C3F6F" w:rsidRDefault="35053EF1" w:rsidP="3D3BB236">
      <w:r w:rsidRPr="006C3F6F">
        <w:t xml:space="preserve">§ 1º  Para os efeitos do inciso I do </w:t>
      </w:r>
      <w:r w:rsidRPr="006C3F6F">
        <w:rPr>
          <w:b/>
          <w:bCs/>
        </w:rPr>
        <w:t>caput</w:t>
      </w:r>
      <w:r w:rsidRPr="006C3F6F">
        <w:t>, considera-se autoridade competente aquela com a qual a CVM tenha celebrado acordo de cooperação mútua que permita o intercâmbio de informações sobre os seus supervisionados, ou que seja signatária do memorando multilateral de entendimentos da Organização Internacional das Comissões de Valores – OICV/IOSCO.</w:t>
      </w:r>
    </w:p>
    <w:p w14:paraId="4EDBB7E7" w14:textId="4E1EE505" w:rsidR="002469C9" w:rsidRPr="00257C2E" w:rsidRDefault="35053EF1" w:rsidP="3D3BB236">
      <w:r w:rsidRPr="006C3F6F">
        <w:t xml:space="preserve">§ 2º  Aplica-se aos consultores de valores mobiliários não domiciliados no Brasil que </w:t>
      </w:r>
      <w:r w:rsidR="35024DCA" w:rsidRPr="006C3F6F">
        <w:t>solicitem reconhecimento à</w:t>
      </w:r>
      <w:r w:rsidRPr="006C3F6F">
        <w:t xml:space="preserve"> CVM </w:t>
      </w:r>
      <w:r w:rsidR="40AACAC8" w:rsidRPr="006C3F6F">
        <w:t xml:space="preserve">a autorização automática de que trata </w:t>
      </w:r>
      <w:r w:rsidRPr="006C3F6F">
        <w:t>o art. 6º</w:t>
      </w:r>
      <w:r w:rsidR="008C7CB6">
        <w:t>, assim como o disposto em seu parágrafo único</w:t>
      </w:r>
      <w:r w:rsidRPr="0057246D">
        <w:t>.</w:t>
      </w:r>
    </w:p>
    <w:p w14:paraId="255AD585" w14:textId="77777777" w:rsidR="002469C9" w:rsidRPr="00816FE3" w:rsidRDefault="35053EF1" w:rsidP="006348AF">
      <w:pPr>
        <w:pStyle w:val="Captulo"/>
      </w:pPr>
      <w:r w:rsidRPr="00816FE3">
        <w:t>CAPÍTULO III – SUSPENSÃO E CANCELAMENTO DA AUTORIZAÇÃO PARA O EXERCÍCIO DA CONSULTORIA DE VALORES MOBILIÁRIOS</w:t>
      </w:r>
    </w:p>
    <w:p w14:paraId="201B8DC7" w14:textId="440309E9" w:rsidR="002469C9" w:rsidRPr="00816FE3" w:rsidRDefault="35053EF1" w:rsidP="00D35D48">
      <w:pPr>
        <w:pStyle w:val="Seo"/>
      </w:pPr>
      <w:r w:rsidRPr="00816FE3">
        <w:t>Seção I – Suspensão d</w:t>
      </w:r>
      <w:r w:rsidR="00F14F24">
        <w:t>a Autorização</w:t>
      </w:r>
      <w:r w:rsidR="00DF5A36">
        <w:t xml:space="preserve"> ou do Reconhecimento</w:t>
      </w:r>
    </w:p>
    <w:p w14:paraId="0B5FC2DC" w14:textId="64A29346" w:rsidR="002469C9" w:rsidRPr="00816FE3" w:rsidRDefault="35053EF1" w:rsidP="3D3BB236">
      <w:r w:rsidRPr="00816FE3">
        <w:t xml:space="preserve">Art. </w:t>
      </w:r>
      <w:r w:rsidR="67F93E67" w:rsidRPr="00816FE3">
        <w:t>8</w:t>
      </w:r>
      <w:r w:rsidRPr="00816FE3">
        <w:t>º  O consultor de valores mobiliários, pessoa natural, pode pedir a suspensão d</w:t>
      </w:r>
      <w:r w:rsidR="00E9765A">
        <w:t>a sua autorização</w:t>
      </w:r>
      <w:r w:rsidRPr="00816FE3">
        <w:t xml:space="preserve"> </w:t>
      </w:r>
      <w:r w:rsidR="00A867A4">
        <w:t>ou reconhecimento</w:t>
      </w:r>
      <w:r w:rsidR="00DF66A6">
        <w:t>, conforme o caso,</w:t>
      </w:r>
      <w:r w:rsidR="00A867A4">
        <w:t xml:space="preserve"> </w:t>
      </w:r>
      <w:r w:rsidRPr="00816FE3">
        <w:t>por um período de até 36 (trinta e seis) meses.</w:t>
      </w:r>
    </w:p>
    <w:p w14:paraId="269A8E4D" w14:textId="77777777" w:rsidR="002469C9" w:rsidRPr="00816FE3" w:rsidRDefault="35053EF1" w:rsidP="3D3BB236">
      <w:r w:rsidRPr="00816FE3">
        <w:t>§ 1º  Depois de encerrado o prazo de suspensão requerido, o consultor de valores mobiliários automaticamente volta a estar autorizado ou, conforme o caso, ser reconhecido para exercer as atividades de consultoria de valores mobiliários e a estar obrigado a cumprir o previsto na regulação.</w:t>
      </w:r>
    </w:p>
    <w:p w14:paraId="3ED063DA" w14:textId="3FE891B7" w:rsidR="002469C9" w:rsidRPr="00816FE3" w:rsidRDefault="35053EF1" w:rsidP="3D3BB236">
      <w:r w:rsidRPr="00816FE3">
        <w:lastRenderedPageBreak/>
        <w:t>§ 2º  O consultor de valores mobiliários pode solicitar mais de uma suspensão d</w:t>
      </w:r>
      <w:r w:rsidR="00E9765A">
        <w:t>a sua autorização</w:t>
      </w:r>
      <w:r w:rsidR="00715E59">
        <w:t xml:space="preserve"> ou reconhecimento</w:t>
      </w:r>
      <w:r w:rsidRPr="00816FE3">
        <w:t>, desde que o período total das suspensões não ultrapasse o prazo de 36 (trinta e seis) meses.</w:t>
      </w:r>
    </w:p>
    <w:p w14:paraId="71EEFF25" w14:textId="22F6367E" w:rsidR="002469C9" w:rsidRPr="00816FE3" w:rsidRDefault="35053EF1" w:rsidP="3D3BB236">
      <w:r w:rsidRPr="00816FE3">
        <w:t xml:space="preserve">Art. </w:t>
      </w:r>
      <w:r w:rsidR="67F93E67" w:rsidRPr="00816FE3">
        <w:t>9</w:t>
      </w:r>
      <w:r w:rsidRPr="00816FE3">
        <w:t>º  A SIN deve suspender a autorização ou reconhecimento do consultor de valores mobiliários, pessoa natural ou jurídica, caso sejam descumpridas, por período superior a 12 (doze) meses, as obrigações periódicas previstas no art. 1</w:t>
      </w:r>
      <w:r w:rsidR="67F93E67" w:rsidRPr="00816FE3">
        <w:t>5</w:t>
      </w:r>
      <w:r w:rsidRPr="00816FE3">
        <w:t xml:space="preserve"> desta </w:t>
      </w:r>
      <w:r w:rsidR="1427B1DF" w:rsidRPr="00816FE3">
        <w:t>Resolução</w:t>
      </w:r>
      <w:r w:rsidRPr="00816FE3">
        <w:t>.</w:t>
      </w:r>
    </w:p>
    <w:p w14:paraId="606FE5A8" w14:textId="7FB4B0A7" w:rsidR="002469C9" w:rsidRPr="00816FE3" w:rsidRDefault="35053EF1" w:rsidP="3D3BB236">
      <w:r w:rsidRPr="00816FE3">
        <w:t>§ 1º  A SIN deve informar o respectivo consultor de valores mobiliários sobre a suspensão da sua autorização ou reconhecimento por meio de ofício encaminhado ao endereço eletrônico constante de seu formulário cadastral, e por meio de comunicado na página da CVM na rede mundial de computadores.</w:t>
      </w:r>
    </w:p>
    <w:p w14:paraId="40D524F2" w14:textId="45F2C5C4" w:rsidR="002469C9" w:rsidRPr="00816FE3" w:rsidRDefault="35053EF1" w:rsidP="3D3BB236">
      <w:r w:rsidRPr="00816FE3">
        <w:t>§ 2º  O consultor de valores mobiliários que tenha s</w:t>
      </w:r>
      <w:r w:rsidR="00E9765A">
        <w:t>ua autorização</w:t>
      </w:r>
      <w:r w:rsidRPr="00816FE3">
        <w:t xml:space="preserve"> </w:t>
      </w:r>
      <w:r w:rsidR="00BC32DD">
        <w:t xml:space="preserve">ou reconhecimento </w:t>
      </w:r>
      <w:r w:rsidR="00BC32DD" w:rsidRPr="00816FE3">
        <w:t>suspens</w:t>
      </w:r>
      <w:r w:rsidR="00BC32DD">
        <w:t>os</w:t>
      </w:r>
      <w:r w:rsidR="00BC32DD" w:rsidRPr="00816FE3">
        <w:t xml:space="preserve"> </w:t>
      </w:r>
      <w:r w:rsidRPr="00816FE3">
        <w:t>pode solicitar a reversão da suspensão por meio de pedido fundamentado, encaminhado à SIN, instruído com documentos que comprovem o cumprimento das obrigações periódicas em atraso.</w:t>
      </w:r>
    </w:p>
    <w:p w14:paraId="0560641E" w14:textId="462DD776" w:rsidR="002469C9" w:rsidRPr="00816FE3" w:rsidRDefault="35053EF1" w:rsidP="3D3BB236">
      <w:r w:rsidRPr="00816FE3">
        <w:t>§ 3º  A SIN tem 15 (quinze) dias úteis para a análise do pedido de reversão da suspensão, contados</w:t>
      </w:r>
      <w:r w:rsidR="3802B8DC" w:rsidRPr="00816FE3">
        <w:t xml:space="preserve"> </w:t>
      </w:r>
      <w:r w:rsidRPr="00816FE3">
        <w:t>da data do protocolo de todos os documentos necessários à comprovação do cumprimento das obrigações</w:t>
      </w:r>
      <w:r w:rsidR="73EAF76E" w:rsidRPr="00816FE3">
        <w:t xml:space="preserve"> </w:t>
      </w:r>
      <w:r w:rsidRPr="00816FE3">
        <w:t>periódicas em atraso.</w:t>
      </w:r>
    </w:p>
    <w:p w14:paraId="1F12363E" w14:textId="2BFD8673" w:rsidR="002469C9" w:rsidRPr="00E919A1" w:rsidRDefault="35053EF1" w:rsidP="3D3BB236">
      <w:r w:rsidRPr="00816FE3">
        <w:t>§ 4º  O prazo de que trata o § 3º pode ser interrompido, uma única vez, caso a SIN solicite ao</w:t>
      </w:r>
      <w:r w:rsidR="73EAF76E" w:rsidRPr="00816FE3">
        <w:t xml:space="preserve"> </w:t>
      </w:r>
      <w:r w:rsidRPr="00816FE3">
        <w:t>requerente informações ou documentos adicionais, passando a fluir novo prazo a partir do cumprimento</w:t>
      </w:r>
      <w:r w:rsidR="73EAF76E" w:rsidRPr="00816FE3">
        <w:t xml:space="preserve"> </w:t>
      </w:r>
      <w:r w:rsidRPr="00816FE3">
        <w:t>das exigências.</w:t>
      </w:r>
    </w:p>
    <w:p w14:paraId="5AF62EFC" w14:textId="77777777" w:rsidR="002469C9" w:rsidRPr="000E414F" w:rsidRDefault="35053EF1" w:rsidP="3D3BB236">
      <w:r>
        <w:t>§ 5º  O requerente tem 10 (dez) dias úteis prorrogáveis por igual período mediante pedido prévio e fundamentado formulado pelo requerente à SIN para cumprir as exigências formuladas.</w:t>
      </w:r>
    </w:p>
    <w:p w14:paraId="7E4060CC" w14:textId="6CD05EBD" w:rsidR="002469C9" w:rsidRPr="000E414F" w:rsidRDefault="35053EF1" w:rsidP="3D3BB236">
      <w:r w:rsidRPr="000E414F">
        <w:t>§ 6º  A ausência de manifestação da SIN no prazo mencionado no § 3º implica deferimento automático do pedido de reversão da suspensão.</w:t>
      </w:r>
    </w:p>
    <w:p w14:paraId="361BBA3B" w14:textId="660DA391" w:rsidR="002469C9" w:rsidRPr="000E414F" w:rsidRDefault="35053EF1" w:rsidP="3D3BB236">
      <w:r w:rsidRPr="005D2752">
        <w:t xml:space="preserve">§ 7º  A inobservância do prazo mencionado no § 5º implica indeferimento </w:t>
      </w:r>
      <w:r w:rsidRPr="000E414F">
        <w:t>automático do pedido de reversão de suspensão.</w:t>
      </w:r>
    </w:p>
    <w:p w14:paraId="633ED2A5" w14:textId="77777777" w:rsidR="002469C9" w:rsidRPr="000E414F" w:rsidRDefault="35053EF1" w:rsidP="00ED6B48">
      <w:pPr>
        <w:pStyle w:val="Seo"/>
      </w:pPr>
      <w:r w:rsidRPr="000E414F">
        <w:t>Seção II – Cancelamento de Ofício</w:t>
      </w:r>
    </w:p>
    <w:p w14:paraId="254D2AC2" w14:textId="3448F15B" w:rsidR="002469C9" w:rsidRPr="000E414F" w:rsidRDefault="35053EF1" w:rsidP="3D3BB236">
      <w:r w:rsidRPr="000E414F">
        <w:t xml:space="preserve">Art. </w:t>
      </w:r>
      <w:r w:rsidR="0AD39F7E" w:rsidRPr="000E414F">
        <w:t>10.</w:t>
      </w:r>
      <w:r w:rsidRPr="000E414F">
        <w:t xml:space="preserve">  A SIN deve cancelar a autorização ou o reconhecimento do consultor de valores mobiliários nas seguintes hipóteses:</w:t>
      </w:r>
    </w:p>
    <w:p w14:paraId="168486A6" w14:textId="77777777" w:rsidR="002469C9" w:rsidRPr="000E414F" w:rsidRDefault="35053EF1" w:rsidP="3D3BB236">
      <w:r w:rsidRPr="000E414F">
        <w:t>I – falecimento do consultor de valores mobiliários pessoa natural;</w:t>
      </w:r>
    </w:p>
    <w:p w14:paraId="0E69FB9F" w14:textId="77777777" w:rsidR="002469C9" w:rsidRPr="000E414F" w:rsidRDefault="35053EF1" w:rsidP="3D3BB236">
      <w:r w:rsidRPr="000E414F">
        <w:lastRenderedPageBreak/>
        <w:t xml:space="preserve">II – extinção do consultor de valores mobiliários pessoa jurídica; </w:t>
      </w:r>
    </w:p>
    <w:p w14:paraId="66721189" w14:textId="72061897" w:rsidR="002469C9" w:rsidRPr="000E414F" w:rsidRDefault="35053EF1" w:rsidP="3D3BB236">
      <w:r w:rsidRPr="000E414F">
        <w:t>III – se constatada a falsidade dos documentos ou de declarações apresentadas para obter a autorização ou reconhecimento;</w:t>
      </w:r>
    </w:p>
    <w:p w14:paraId="03898A7F" w14:textId="48BC45CC" w:rsidR="002469C9" w:rsidRPr="000E414F" w:rsidRDefault="35053EF1" w:rsidP="3D3BB236">
      <w:r w:rsidRPr="000E414F">
        <w:t xml:space="preserve">IV – se, em razão de fato superveniente devidamente comprovado, ficar evidenciado que a pessoa autorizada ou reconhecida pela CVM não mais atende a qualquer dos requisitos e condições estabelecidos nesta </w:t>
      </w:r>
      <w:r w:rsidR="1427B1DF" w:rsidRPr="000E414F">
        <w:t>Resolução</w:t>
      </w:r>
      <w:r w:rsidRPr="000E414F">
        <w:t xml:space="preserve"> para a concessão da autorização ou do reconhecimento; ou</w:t>
      </w:r>
    </w:p>
    <w:p w14:paraId="1DF47D78" w14:textId="79CE75FA" w:rsidR="002469C9" w:rsidRPr="000E414F" w:rsidRDefault="35053EF1" w:rsidP="3D3BB236">
      <w:r w:rsidRPr="000E414F">
        <w:t xml:space="preserve">V – caso a suspensão da autorização ou do reconhecimento de que trata o art. </w:t>
      </w:r>
      <w:r w:rsidR="73EAF76E" w:rsidRPr="000E414F">
        <w:t>9</w:t>
      </w:r>
      <w:r w:rsidRPr="000E414F">
        <w:t>° não sejam revertidos no período de 12 (doze) meses.</w:t>
      </w:r>
    </w:p>
    <w:p w14:paraId="46904140" w14:textId="49D10850" w:rsidR="002469C9" w:rsidRPr="00E92D08" w:rsidRDefault="35053EF1" w:rsidP="3D3BB236">
      <w:r w:rsidRPr="000E414F">
        <w:t>§ 1º  A SIN deve comunicar previamente o consultor de valores mobiliários sobre a abertura de procedimento de cancelamento de s</w:t>
      </w:r>
      <w:r w:rsidR="00E9765A">
        <w:t>ua autorização</w:t>
      </w:r>
      <w:r w:rsidR="00E0383F">
        <w:t xml:space="preserve"> ou r</w:t>
      </w:r>
      <w:r w:rsidR="005C0AB1">
        <w:t>e</w:t>
      </w:r>
      <w:r w:rsidR="00E0383F">
        <w:t>conhecimento</w:t>
      </w:r>
      <w:r w:rsidRPr="000E414F">
        <w:t xml:space="preserve">, </w:t>
      </w:r>
      <w:r w:rsidR="005C0AB1">
        <w:t xml:space="preserve">conforme o caso, </w:t>
      </w:r>
      <w:r w:rsidRPr="000E414F">
        <w:t xml:space="preserve">nos termos dos incisos III, IV e V do </w:t>
      </w:r>
      <w:r w:rsidRPr="00E92D08">
        <w:rPr>
          <w:b/>
          <w:bCs/>
        </w:rPr>
        <w:t>caput</w:t>
      </w:r>
      <w:r w:rsidRPr="00E92D08">
        <w:t>, concedendo-lhe o prazo de 10 (dez) dias úteis, contado da data de recebimento da comunicação, prorrogáveis por igual período mediante pedido prévio e fundamentado formulado pelo requerente à SIN, para apresentar suas razões de defesa ou regularizar s</w:t>
      </w:r>
      <w:r w:rsidR="00E9765A">
        <w:t>ua autorização</w:t>
      </w:r>
      <w:r w:rsidR="00B7387B">
        <w:t xml:space="preserve"> ou </w:t>
      </w:r>
      <w:r w:rsidR="00F566D4">
        <w:t>reconhecimento</w:t>
      </w:r>
      <w:r w:rsidRPr="00E92D08">
        <w:t>.</w:t>
      </w:r>
    </w:p>
    <w:p w14:paraId="3028B867" w14:textId="1AEE805E" w:rsidR="002469C9" w:rsidRPr="00E92D08" w:rsidRDefault="35053EF1" w:rsidP="3D3BB236">
      <w:r w:rsidRPr="00E92D08">
        <w:t>§ 2º  Da decisão de cancelamento d</w:t>
      </w:r>
      <w:r w:rsidR="00E9765A">
        <w:t>a autorização</w:t>
      </w:r>
      <w:r w:rsidRPr="00E92D08">
        <w:t xml:space="preserve"> </w:t>
      </w:r>
      <w:r w:rsidR="005C0AB1">
        <w:t>ou do reconhecimento</w:t>
      </w:r>
      <w:r w:rsidR="009F58CE">
        <w:t xml:space="preserve"> </w:t>
      </w:r>
      <w:r w:rsidRPr="00E92D08">
        <w:t xml:space="preserve">segundo o disposto nos incisos III, IV e V do </w:t>
      </w:r>
      <w:r w:rsidRPr="00E92D08">
        <w:rPr>
          <w:b/>
          <w:bCs/>
        </w:rPr>
        <w:t>caput</w:t>
      </w:r>
      <w:r w:rsidRPr="00E92D08">
        <w:t xml:space="preserve"> cabe recurso à CVM, com efeito suspensivo, de acordo com as normas vigentes.</w:t>
      </w:r>
    </w:p>
    <w:p w14:paraId="4F59EEC5" w14:textId="77777777" w:rsidR="002469C9" w:rsidRPr="00E92D08" w:rsidRDefault="35053EF1" w:rsidP="00ED6B48">
      <w:pPr>
        <w:pStyle w:val="Seo"/>
      </w:pPr>
      <w:r w:rsidRPr="00E92D08">
        <w:t>Seção III – Cancelamento Voluntário</w:t>
      </w:r>
    </w:p>
    <w:p w14:paraId="26AA0E4D" w14:textId="0090F3FB" w:rsidR="002469C9" w:rsidRPr="00E92D08" w:rsidRDefault="35053EF1" w:rsidP="3D3BB236">
      <w:r w:rsidRPr="00E92D08">
        <w:t>Art. 1</w:t>
      </w:r>
      <w:r w:rsidR="73EAF76E" w:rsidRPr="00E92D08">
        <w:t>1</w:t>
      </w:r>
      <w:r w:rsidRPr="00E92D08">
        <w:t>.  O pedido de cancelamento da autorização ou do reconhecimento para o exercício da atividade de consultoria de valores mobiliários deve ser solicitado à SIN.</w:t>
      </w:r>
    </w:p>
    <w:p w14:paraId="5AE0B82A" w14:textId="77777777" w:rsidR="002469C9" w:rsidRPr="00E92D08" w:rsidRDefault="35053EF1" w:rsidP="3D3BB236">
      <w:r w:rsidRPr="00E92D08">
        <w:t xml:space="preserve">§ 1º  O pedido de que trata o </w:t>
      </w:r>
      <w:r w:rsidRPr="00E92D08">
        <w:rPr>
          <w:b/>
          <w:bCs/>
        </w:rPr>
        <w:t>caput</w:t>
      </w:r>
      <w:r w:rsidRPr="00E92D08">
        <w:t xml:space="preserve"> deve ser instruído com declaração de que, na data do pedido, o requerente não mais exerce a atividade.</w:t>
      </w:r>
    </w:p>
    <w:p w14:paraId="53B16F68" w14:textId="77777777" w:rsidR="002469C9" w:rsidRPr="00686ACA" w:rsidRDefault="35053EF1" w:rsidP="3D3BB236">
      <w:r w:rsidRPr="00E92D08">
        <w:t>§ 2º  A SIN tem 15 (quinze) dias úteis, contados do protocolo, para deferir ou indeferir o pedido de cancelamento.</w:t>
      </w:r>
    </w:p>
    <w:p w14:paraId="3580850D" w14:textId="77777777" w:rsidR="002469C9" w:rsidRPr="00686ACA" w:rsidRDefault="35053EF1" w:rsidP="3D3BB236">
      <w:r w:rsidRPr="005D2752">
        <w:t>§ 3º  O prazo de que trata o § 2º pode ser interrompido uma única vez, caso a SIN solicite ao requerente informações ou documentos adicionais,</w:t>
      </w:r>
      <w:r w:rsidRPr="00686ACA">
        <w:t xml:space="preserve"> passando a fluir novo prazo a partir do cumprimento das exigências. </w:t>
      </w:r>
    </w:p>
    <w:p w14:paraId="41512A12" w14:textId="77777777" w:rsidR="002469C9" w:rsidRPr="00686ACA" w:rsidRDefault="35053EF1" w:rsidP="3D3BB236">
      <w:r w:rsidRPr="00686ACA">
        <w:t>§ 4º  O requerente tem 10 (dez) dias úteis para cumprir as exigências formuladas pela SIN.</w:t>
      </w:r>
    </w:p>
    <w:p w14:paraId="48BB371E" w14:textId="5912372A" w:rsidR="002469C9" w:rsidRPr="00686ACA" w:rsidRDefault="35053EF1" w:rsidP="3D3BB236">
      <w:r w:rsidRPr="00686ACA">
        <w:lastRenderedPageBreak/>
        <w:t>§ 5º  A ausência de manifestação da SIN no prazo mencionado no § 2º implica deferimento automático do pedido de cancelamento.</w:t>
      </w:r>
    </w:p>
    <w:p w14:paraId="5FF401C3" w14:textId="77777777" w:rsidR="002469C9" w:rsidRPr="00686ACA" w:rsidRDefault="35053EF1" w:rsidP="3D3BB236">
      <w:r>
        <w:t>§ 6º  A inobservância do prazo mencionado no § 4º implica indeferimento automático do pedido de cancelamento.</w:t>
      </w:r>
    </w:p>
    <w:p w14:paraId="72A6B54B" w14:textId="77777777" w:rsidR="002469C9" w:rsidRPr="00686ACA" w:rsidRDefault="35053EF1" w:rsidP="00D26B48">
      <w:pPr>
        <w:pStyle w:val="Captulo"/>
      </w:pPr>
      <w:r w:rsidRPr="00686ACA">
        <w:t>CAPÍTULO IV – PRESTAÇÃO DE INFORMAÇÕES</w:t>
      </w:r>
    </w:p>
    <w:p w14:paraId="2E939E21" w14:textId="77777777" w:rsidR="002469C9" w:rsidRPr="00686ACA" w:rsidRDefault="35053EF1" w:rsidP="00D26B48">
      <w:pPr>
        <w:pStyle w:val="Seo"/>
      </w:pPr>
      <w:r w:rsidRPr="00686ACA">
        <w:t>Seção I – Regras Gerais</w:t>
      </w:r>
    </w:p>
    <w:p w14:paraId="0432D09E" w14:textId="1C5EBD58" w:rsidR="002469C9" w:rsidRPr="00686ACA" w:rsidRDefault="35053EF1" w:rsidP="3D3BB236">
      <w:r w:rsidRPr="00686ACA">
        <w:t>Art. 1</w:t>
      </w:r>
      <w:r w:rsidR="73EAF76E" w:rsidRPr="00686ACA">
        <w:t>2</w:t>
      </w:r>
      <w:r w:rsidRPr="00686ACA">
        <w:t>.  As informações divulgadas pelo consultor de valores mobiliários devem ser:</w:t>
      </w:r>
    </w:p>
    <w:p w14:paraId="5A8B3088" w14:textId="77777777" w:rsidR="002469C9" w:rsidRPr="00686ACA" w:rsidRDefault="35053EF1" w:rsidP="3D3BB236">
      <w:r w:rsidRPr="00686ACA">
        <w:t>I – verdadeiras, completas, consistentes e não induzir o investidor a erro; e</w:t>
      </w:r>
    </w:p>
    <w:p w14:paraId="116681BF" w14:textId="77777777" w:rsidR="002469C9" w:rsidRPr="00686ACA" w:rsidRDefault="35053EF1" w:rsidP="3D3BB236">
      <w:r w:rsidRPr="00686ACA">
        <w:t>II – escritas em linguagem simples, clara, objetiva e concisa.</w:t>
      </w:r>
    </w:p>
    <w:p w14:paraId="3450DDB6" w14:textId="77777777" w:rsidR="002469C9" w:rsidRPr="00686ACA" w:rsidRDefault="35053EF1" w:rsidP="3D3BB236">
      <w:r w:rsidRPr="00686ACA">
        <w:t>§ 1º  As informações relativas à prestação de serviço de consultoria de valores mobiliários não podem assegurar ou sugerir a existência de garantia de resultados futuros ou a isenção de risco para o investidor.</w:t>
      </w:r>
    </w:p>
    <w:p w14:paraId="17500D51" w14:textId="108B4FC2" w:rsidR="002469C9" w:rsidRPr="00686ACA" w:rsidRDefault="35053EF1" w:rsidP="3D3BB236">
      <w:r w:rsidRPr="00686ACA">
        <w:t>§ 2º  As comunicações das entidades integrantes do sistema de distribuição não podem induzir os investidores a acreditarem que há, no escopo de suas atividade</w:t>
      </w:r>
      <w:r w:rsidR="1033CCB9" w:rsidRPr="00686ACA">
        <w:t>s</w:t>
      </w:r>
      <w:r w:rsidRPr="00686ACA">
        <w:t xml:space="preserve"> de distribuição, a prestação de serviço de consultoria de valores mobiliários realizada de acordo com esta </w:t>
      </w:r>
      <w:r w:rsidR="1427B1DF" w:rsidRPr="00686ACA">
        <w:t>Resolução</w:t>
      </w:r>
      <w:r w:rsidRPr="00686ACA">
        <w:t>.</w:t>
      </w:r>
    </w:p>
    <w:p w14:paraId="3E8BD5A8" w14:textId="4B7F7D5F" w:rsidR="002469C9" w:rsidRPr="00686ACA" w:rsidRDefault="35053EF1" w:rsidP="3D3BB236">
      <w:r w:rsidRPr="00686ACA">
        <w:t>Art. 1</w:t>
      </w:r>
      <w:r w:rsidR="00EEC17B" w:rsidRPr="00686ACA">
        <w:t>3</w:t>
      </w:r>
      <w:r w:rsidRPr="00686ACA">
        <w:t xml:space="preserve">.  Caso as informações divulgadas apresentem incorreções ou impropriedades que possam induzir o investidor a erro, a SIN pode exigir: </w:t>
      </w:r>
    </w:p>
    <w:p w14:paraId="615D9721" w14:textId="77777777" w:rsidR="002469C9" w:rsidRPr="00686ACA" w:rsidRDefault="35053EF1" w:rsidP="3D3BB236">
      <w:r w:rsidRPr="00686ACA">
        <w:t xml:space="preserve">I – a cessação da divulgação da informação; e </w:t>
      </w:r>
    </w:p>
    <w:p w14:paraId="4A1A94E9" w14:textId="77777777" w:rsidR="002469C9" w:rsidRPr="00686ACA" w:rsidRDefault="35053EF1" w:rsidP="3D3BB236">
      <w:r w:rsidRPr="00686ACA">
        <w:t>II – a veiculação, com igual destaque e por meio do veículo usado para divulgar a informação original, de retificações e esclarecimentos, devendo constar, de forma expressa, que a informação está sendo republicada por determinação da CVM.</w:t>
      </w:r>
    </w:p>
    <w:p w14:paraId="4C07567A" w14:textId="74F992AE" w:rsidR="002469C9" w:rsidRPr="00686ACA" w:rsidRDefault="35053EF1" w:rsidP="3D3BB236">
      <w:r w:rsidRPr="00686ACA">
        <w:t>Art. 1</w:t>
      </w:r>
      <w:r w:rsidR="00EEC17B" w:rsidRPr="00686ACA">
        <w:t>4</w:t>
      </w:r>
      <w:r w:rsidRPr="00686ACA">
        <w:t>.  O consultor de valores mobiliários, pessoa jurídica, deve manter página na rede mundial de computadores com as seguintes informações atualizadas:</w:t>
      </w:r>
    </w:p>
    <w:p w14:paraId="5D32B999" w14:textId="1244C7E3" w:rsidR="002469C9" w:rsidRPr="004D4396" w:rsidRDefault="35053EF1" w:rsidP="3D3BB236">
      <w:r w:rsidRPr="00686ACA">
        <w:t xml:space="preserve">I – formulário de referência, cujo conteúdo deve refletir o Anexo </w:t>
      </w:r>
      <w:r w:rsidR="00974E3F">
        <w:t>E</w:t>
      </w:r>
      <w:r w:rsidRPr="004D4396">
        <w:t>;</w:t>
      </w:r>
    </w:p>
    <w:p w14:paraId="6CA151D1" w14:textId="7C57389B" w:rsidR="002469C9" w:rsidRPr="004D4396" w:rsidRDefault="35053EF1" w:rsidP="3D3BB236">
      <w:r w:rsidRPr="004D4396">
        <w:t>II – código de ética, de modo a concretizar os deveres do consultor previstos no art. 1</w:t>
      </w:r>
      <w:r w:rsidR="00EEC17B" w:rsidRPr="004D4396">
        <w:t>6</w:t>
      </w:r>
      <w:r w:rsidRPr="004D4396">
        <w:t xml:space="preserve"> desta </w:t>
      </w:r>
      <w:r w:rsidR="1427B1DF" w:rsidRPr="004D4396">
        <w:t>Resolução</w:t>
      </w:r>
      <w:r w:rsidRPr="004D4396">
        <w:t>;</w:t>
      </w:r>
    </w:p>
    <w:p w14:paraId="6134A214" w14:textId="39238540" w:rsidR="002469C9" w:rsidRPr="004D4396" w:rsidRDefault="35053EF1" w:rsidP="3D3BB236">
      <w:r w:rsidRPr="004D4396">
        <w:lastRenderedPageBreak/>
        <w:t xml:space="preserve">III – regras, procedimentos e descrição dos controles internos, elaborados para o cumprimento desta </w:t>
      </w:r>
      <w:r w:rsidR="1427B1DF" w:rsidRPr="004D4396">
        <w:t>Resolução</w:t>
      </w:r>
      <w:r w:rsidRPr="004D4396">
        <w:t>;</w:t>
      </w:r>
    </w:p>
    <w:p w14:paraId="57B3706F" w14:textId="77777777" w:rsidR="002469C9" w:rsidRPr="004D4396" w:rsidRDefault="35053EF1" w:rsidP="3D3BB236">
      <w:r w:rsidRPr="004D4396">
        <w:t>IV – política de negociação de valores mobiliários por administradores, empregados, colaboradores e pela própria empresa.</w:t>
      </w:r>
    </w:p>
    <w:p w14:paraId="3CB5628F" w14:textId="47D65DF2" w:rsidR="002469C9" w:rsidRPr="0012269E" w:rsidRDefault="35053EF1" w:rsidP="3D3BB236">
      <w:r w:rsidRPr="004D4396">
        <w:t xml:space="preserve">Parágrafo único. </w:t>
      </w:r>
      <w:r w:rsidR="56B064FC" w:rsidRPr="004D4396">
        <w:t xml:space="preserve"> </w:t>
      </w:r>
      <w:r w:rsidRPr="004D4396">
        <w:t xml:space="preserve">O consultor pessoa natural deve elaborar a política de negociação mencionada no inciso IV do </w:t>
      </w:r>
      <w:r w:rsidRPr="0012269E">
        <w:rPr>
          <w:b/>
          <w:bCs/>
        </w:rPr>
        <w:t>caput</w:t>
      </w:r>
      <w:r w:rsidRPr="0012269E">
        <w:t xml:space="preserve"> e entregar uma cópia para cada um de seus clientes, salvo se possuir página na rede mundial de computadores, hipótese na qual o consultor pode manter tal documento na referida página.</w:t>
      </w:r>
    </w:p>
    <w:p w14:paraId="3B801B80" w14:textId="77777777" w:rsidR="002469C9" w:rsidRPr="0012269E" w:rsidRDefault="35053EF1" w:rsidP="00D303BA">
      <w:pPr>
        <w:pStyle w:val="Seo"/>
      </w:pPr>
      <w:r w:rsidRPr="0012269E">
        <w:t>Seção II – Informações Periódicas</w:t>
      </w:r>
    </w:p>
    <w:p w14:paraId="2603E6B4" w14:textId="22BBB44E" w:rsidR="002469C9" w:rsidRPr="0012269E" w:rsidRDefault="35053EF1" w:rsidP="3D3BB236">
      <w:r w:rsidRPr="0012269E">
        <w:t>Art. 1</w:t>
      </w:r>
      <w:r w:rsidR="00EEC17B" w:rsidRPr="0012269E">
        <w:t>5</w:t>
      </w:r>
      <w:r w:rsidRPr="0012269E">
        <w:t>.  O consultor de valores mobiliários deve enviar à CVM, até o dia 31 de março de cada ano, por meio de sistema eletrônico disponível na página da CVM na rede mundial de computadores, formulário de referência, cujo conteúdo deve refletir:</w:t>
      </w:r>
    </w:p>
    <w:p w14:paraId="339D9E8D" w14:textId="2E85BDF0" w:rsidR="002469C9" w:rsidRPr="00974E3F" w:rsidRDefault="2E49C636" w:rsidP="11B25616">
      <w:r w:rsidRPr="0012269E">
        <w:t xml:space="preserve">I – o Anexo </w:t>
      </w:r>
      <w:r w:rsidR="403EE9F3">
        <w:t>D</w:t>
      </w:r>
      <w:r w:rsidRPr="00974E3F">
        <w:t>, se pessoa natural; ou</w:t>
      </w:r>
    </w:p>
    <w:p w14:paraId="43FFE34D" w14:textId="7D5DBE1F" w:rsidR="002469C9" w:rsidRPr="00974E3F" w:rsidRDefault="2E49C636" w:rsidP="11B25616">
      <w:r w:rsidRPr="00974E3F">
        <w:t xml:space="preserve">II – o Anexo </w:t>
      </w:r>
      <w:r w:rsidR="6695B518">
        <w:t>E</w:t>
      </w:r>
      <w:r w:rsidRPr="00974E3F">
        <w:t>, se pessoa jurídica.</w:t>
      </w:r>
    </w:p>
    <w:p w14:paraId="3C823783" w14:textId="77777777" w:rsidR="002469C9" w:rsidRPr="00974E3F" w:rsidRDefault="35053EF1" w:rsidP="3D3BB236">
      <w:r w:rsidRPr="00974E3F">
        <w:t xml:space="preserve">Parágrafo único.  O consultor de valores mobiliários, pessoa natural, que atue exclusivamente como preposto ou empregado de consultor de valores mobiliários, pessoa jurídica, está dispensado do envio do formulário de referência a que se refere o inciso I. </w:t>
      </w:r>
    </w:p>
    <w:p w14:paraId="753AF4AF" w14:textId="77777777" w:rsidR="002469C9" w:rsidRPr="00974E3F" w:rsidRDefault="35053EF1" w:rsidP="008F6486">
      <w:pPr>
        <w:pStyle w:val="Captulo"/>
      </w:pPr>
      <w:r w:rsidRPr="00974E3F">
        <w:t>CAPÍTULO V – REGRAS DE CONDUTA</w:t>
      </w:r>
    </w:p>
    <w:p w14:paraId="65798DA1" w14:textId="77777777" w:rsidR="002469C9" w:rsidRPr="00974E3F" w:rsidRDefault="35053EF1" w:rsidP="00076D3D">
      <w:pPr>
        <w:pStyle w:val="Seo"/>
      </w:pPr>
      <w:r w:rsidRPr="00974E3F">
        <w:t>Seção I – Regras de Conduta</w:t>
      </w:r>
    </w:p>
    <w:p w14:paraId="12915F27" w14:textId="1053B030" w:rsidR="002469C9" w:rsidRPr="00974E3F" w:rsidRDefault="35053EF1" w:rsidP="3D3BB236">
      <w:r w:rsidRPr="00974E3F">
        <w:t>Art. 1</w:t>
      </w:r>
      <w:r w:rsidR="00EEC17B" w:rsidRPr="00974E3F">
        <w:t>6</w:t>
      </w:r>
      <w:r w:rsidRPr="00974E3F">
        <w:t>.  O consultor de valores mobiliários deve observar as seguintes regras de conduta:</w:t>
      </w:r>
    </w:p>
    <w:p w14:paraId="7DA1CC62" w14:textId="77777777" w:rsidR="002469C9" w:rsidRPr="00974E3F" w:rsidRDefault="35053EF1" w:rsidP="3D3BB236">
      <w:r w:rsidRPr="00974E3F">
        <w:t>I – exercer suas atividades com boa fé, transparência, diligência e lealdade, colocando os interesses de seus clientes acima dos seus;</w:t>
      </w:r>
    </w:p>
    <w:p w14:paraId="31CDD69D" w14:textId="3632ABC9" w:rsidR="002469C9" w:rsidRPr="00974E3F" w:rsidRDefault="35053EF1" w:rsidP="3D3BB236">
      <w:r w:rsidRPr="00974E3F">
        <w:t>II – desempenhar suas atribuições de modo a buscar atender aos objetivos de investimento de seus clientes, levando em consideração a sua situação financeira e o seu perfil, nos termos da regulamentação que dispõe sobre o dever de verificação da adequação dos produtos, serviços e operações ao perfil do cliente;</w:t>
      </w:r>
    </w:p>
    <w:p w14:paraId="40AF1223" w14:textId="77777777" w:rsidR="002469C9" w:rsidRPr="00974E3F" w:rsidRDefault="35053EF1" w:rsidP="3D3BB236">
      <w:r w:rsidRPr="00974E3F">
        <w:t>III – cumprir fielmente o contrato firmado com o cliente, prévia e obrigatoriamente por escrito, o qual deve conter as características dos serviços a serem prestados, dentre as quais se incluem:</w:t>
      </w:r>
    </w:p>
    <w:p w14:paraId="177CD957" w14:textId="77777777" w:rsidR="002469C9" w:rsidRPr="00974E3F" w:rsidRDefault="35053EF1" w:rsidP="3D3BB236">
      <w:r w:rsidRPr="00974E3F">
        <w:lastRenderedPageBreak/>
        <w:t xml:space="preserve">a) descrição detalhada da remuneração cobrada pelos serviços; </w:t>
      </w:r>
    </w:p>
    <w:p w14:paraId="49E99ED8" w14:textId="77777777" w:rsidR="002469C9" w:rsidRPr="00974E3F" w:rsidRDefault="35053EF1" w:rsidP="3D3BB236">
      <w:r w:rsidRPr="00974E3F">
        <w:t>b) informações sobre outras atividades que o próprio consultor exerça e os potenciais conflitos de interesses existentes entre tais atividades e a consultoria de valores mobiliários;</w:t>
      </w:r>
    </w:p>
    <w:p w14:paraId="149B71DE" w14:textId="77777777" w:rsidR="002469C9" w:rsidRPr="00974E3F" w:rsidRDefault="35053EF1" w:rsidP="3D3BB236">
      <w:r w:rsidRPr="00974E3F">
        <w:t>c) informações sobre as atividades exercidas por sociedades controladoras, controladas, coligadas e sob controle comum ao consultor e os potenciais conflitos de interesses existentes entre tais atividades e a consultoria de valores mobiliários;</w:t>
      </w:r>
    </w:p>
    <w:p w14:paraId="0C6995AC" w14:textId="77777777" w:rsidR="002469C9" w:rsidRPr="00974E3F" w:rsidRDefault="35053EF1" w:rsidP="3D3BB236">
      <w:r w:rsidRPr="00974E3F">
        <w:t xml:space="preserve">d) quando aplicável, os riscos inerentes aos diversos tipos de operações com valores mobiliários nos mercados de bolsa, de balcão, nos mercados de liquidação futura, explicitando que a aplicação em derivativos pode resultar em perdas superiores ao investimento realizado, e nas operações de empréstimo de ações; </w:t>
      </w:r>
    </w:p>
    <w:p w14:paraId="0BAC79AC" w14:textId="77777777" w:rsidR="002469C9" w:rsidRPr="00974E3F" w:rsidRDefault="35053EF1" w:rsidP="3D3BB236">
      <w:r w:rsidRPr="00974E3F">
        <w:t>e) o conteúdo e periodicidade das informações a serem prestadas ao cliente;</w:t>
      </w:r>
    </w:p>
    <w:p w14:paraId="741B4DF6" w14:textId="77777777" w:rsidR="002469C9" w:rsidRPr="00974E3F" w:rsidRDefault="35053EF1" w:rsidP="3D3BB236">
      <w:r w:rsidRPr="00974E3F">
        <w:t>f) informação a respeito da abrangência dos serviços prestados, indicando os mercados e tipos de valores mobiliários abrangidos; e</w:t>
      </w:r>
    </w:p>
    <w:p w14:paraId="23E6D85D" w14:textId="77777777" w:rsidR="002469C9" w:rsidRPr="00974E3F" w:rsidRDefault="35053EF1" w:rsidP="3D3BB236">
      <w:r w:rsidRPr="00974E3F">
        <w:t xml:space="preserve">g) procedimento a ser seguido caso um conflito de interesse, mesmo que potencial, surja após a celebração do contrato, incluindo prazo para notificação do cliente; </w:t>
      </w:r>
    </w:p>
    <w:p w14:paraId="2DEA084C" w14:textId="77777777" w:rsidR="002469C9" w:rsidRPr="00974E3F" w:rsidRDefault="35053EF1" w:rsidP="3D3BB236">
      <w:r w:rsidRPr="00974E3F">
        <w:t>IV – evitar práticas que possam ferir a relação fiduciária mantida com seus clientes;</w:t>
      </w:r>
    </w:p>
    <w:p w14:paraId="5718B02A" w14:textId="77777777" w:rsidR="002469C9" w:rsidRPr="00974E3F" w:rsidRDefault="35053EF1" w:rsidP="3D3BB236">
      <w:r w:rsidRPr="00974E3F">
        <w:t>V – prestar o serviço de forma independente e fundamentada;</w:t>
      </w:r>
    </w:p>
    <w:p w14:paraId="38E2E311" w14:textId="77777777" w:rsidR="002469C9" w:rsidRPr="00974E3F" w:rsidRDefault="35053EF1" w:rsidP="3D3BB236">
      <w:r w:rsidRPr="00974E3F">
        <w:t>VI – manter atualizada, em perfeita ordem e à disposição do cliente, toda a documentação que deu suporte para a consultoria prestada ao cliente, inclusive a avaliação de seu perfil;</w:t>
      </w:r>
    </w:p>
    <w:p w14:paraId="42B8464A" w14:textId="759ADDE7" w:rsidR="002469C9" w:rsidRPr="00974E3F" w:rsidRDefault="35053EF1" w:rsidP="3D3BB236">
      <w:r w:rsidRPr="00974E3F">
        <w:t>VII – transferir ao cliente qualquer benefício ou vantagem que possa alcançar em decorrência de sua condição de consultor de valores mobiliários, exceto na hipótese do § 1º do art.1</w:t>
      </w:r>
      <w:r w:rsidR="00EEC17B" w:rsidRPr="00974E3F">
        <w:t>8</w:t>
      </w:r>
      <w:r w:rsidRPr="00974E3F">
        <w:t>;</w:t>
      </w:r>
    </w:p>
    <w:p w14:paraId="25F2123F" w14:textId="77777777" w:rsidR="002469C9" w:rsidRPr="00974E3F" w:rsidRDefault="35053EF1" w:rsidP="3D3BB236">
      <w:r w:rsidRPr="00974E3F">
        <w:t xml:space="preserve">VIII – suprir seus clientes com informações e documentos relativos aos serviços prestados na forma e prazos estabelecidos em suas regras internas; </w:t>
      </w:r>
    </w:p>
    <w:p w14:paraId="2FE2C8E7" w14:textId="77777777" w:rsidR="002469C9" w:rsidRPr="00974E3F" w:rsidRDefault="35053EF1" w:rsidP="3D3BB236">
      <w:r w:rsidRPr="00974E3F">
        <w:t>IX – suprir seus clientes com informações sobre os riscos envolvidos nas operações recomendadas;</w:t>
      </w:r>
    </w:p>
    <w:p w14:paraId="41DB146A" w14:textId="77777777" w:rsidR="002469C9" w:rsidRPr="00974E3F" w:rsidRDefault="35053EF1" w:rsidP="3D3BB236">
      <w:r w:rsidRPr="00974E3F">
        <w:t>X – prestar as informações que lhe forem solicitadas pelo cliente, pertinentes aos fundamentos das recomendações de investimento realizadas;</w:t>
      </w:r>
    </w:p>
    <w:p w14:paraId="14D7C36D" w14:textId="77777777" w:rsidR="002469C9" w:rsidRPr="00974E3F" w:rsidRDefault="35053EF1" w:rsidP="3D3BB236">
      <w:r w:rsidRPr="00974E3F">
        <w:t>XI – informar à CVM sempre que verifique a ocorrência ou indícios de violação da legislação que incumbe à CVM fiscalizar, no prazo máximo de 10 (dez) dias úteis da ocorrência ou identificação; e</w:t>
      </w:r>
    </w:p>
    <w:p w14:paraId="67F25A5A" w14:textId="77777777" w:rsidR="002469C9" w:rsidRPr="00974E3F" w:rsidRDefault="35053EF1" w:rsidP="3D3BB236">
      <w:r w:rsidRPr="00974E3F">
        <w:lastRenderedPageBreak/>
        <w:t>XII – na orientação a clientes quanto à escolha de prestadores de serviços prevista no inciso III do § 1º do art. 1º, zelar pela adequada prestação de serviços e divulgar qualquer tipo de relação comercial que tenha estabelecido com o prestador, sendo vedado o recebimento de remuneração pela indicação de serviços, em observância ao inciso VII deste artigo.</w:t>
      </w:r>
    </w:p>
    <w:p w14:paraId="05DC4032" w14:textId="61A4B281" w:rsidR="002469C9" w:rsidRPr="00974E3F" w:rsidRDefault="35053EF1" w:rsidP="3D3BB236">
      <w:r w:rsidRPr="00974E3F">
        <w:t>Parágrafo único.  É permitida a cobrança de taxa de performance exclusivamente de investidores profissionais, conforme regulamentação específica.</w:t>
      </w:r>
    </w:p>
    <w:p w14:paraId="6D977802" w14:textId="192E1DA2" w:rsidR="002469C9" w:rsidRPr="00974E3F" w:rsidRDefault="35053EF1" w:rsidP="3D3BB236">
      <w:r w:rsidRPr="00974E3F">
        <w:t>Art. 1</w:t>
      </w:r>
      <w:r w:rsidR="00EEC17B" w:rsidRPr="00974E3F">
        <w:t>7</w:t>
      </w:r>
      <w:r w:rsidRPr="00974E3F">
        <w:t xml:space="preserve">.  A prestação de serviço de consultoria de valores mobiliários com a utilização de sistemas automatizados ou algoritmos está sujeita às obrigações e regras previstas na presente </w:t>
      </w:r>
      <w:r w:rsidR="1427B1DF" w:rsidRPr="00974E3F">
        <w:t>Resolução</w:t>
      </w:r>
      <w:r w:rsidRPr="00974E3F">
        <w:t xml:space="preserve"> e não mitiga as responsabilidades do consultor em relação às orientações, recomendações e aconselhamentos realizados.</w:t>
      </w:r>
    </w:p>
    <w:p w14:paraId="4B60036C" w14:textId="77777777" w:rsidR="002469C9" w:rsidRPr="00974E3F" w:rsidRDefault="35053EF1" w:rsidP="3D3BB236">
      <w:r w:rsidRPr="00974E3F">
        <w:t>Parágrafo único.  O código-fonte do sistema automatizado ou o algoritmo deve estar disponível para a inspeção da CVM na sede da empresa em versão não compilada.</w:t>
      </w:r>
    </w:p>
    <w:p w14:paraId="0FDEFDD9" w14:textId="41FF4E5D" w:rsidR="002469C9" w:rsidRPr="00974E3F" w:rsidRDefault="35053EF1" w:rsidP="00C62C3D">
      <w:pPr>
        <w:pStyle w:val="Seo"/>
      </w:pPr>
      <w:r w:rsidRPr="00974E3F">
        <w:t>Seção II –</w:t>
      </w:r>
      <w:r w:rsidR="0F95F1C4" w:rsidRPr="00974E3F">
        <w:t xml:space="preserve"> </w:t>
      </w:r>
      <w:r w:rsidRPr="00974E3F">
        <w:t>Vedações</w:t>
      </w:r>
    </w:p>
    <w:p w14:paraId="0AAB05C3" w14:textId="19338C3F" w:rsidR="002469C9" w:rsidRPr="00974E3F" w:rsidRDefault="35053EF1" w:rsidP="3D3BB236">
      <w:r w:rsidRPr="00974E3F">
        <w:t>Art. 1</w:t>
      </w:r>
      <w:r w:rsidR="00EEC17B" w:rsidRPr="00974E3F">
        <w:t>8</w:t>
      </w:r>
      <w:r w:rsidRPr="00974E3F">
        <w:t>.  É vedado ao consultor de valores mobiliários:</w:t>
      </w:r>
    </w:p>
    <w:p w14:paraId="121F8969" w14:textId="09A2E6D2" w:rsidR="002469C9" w:rsidRPr="00974E3F" w:rsidRDefault="35053EF1" w:rsidP="3D3BB236">
      <w:r w:rsidRPr="00974E3F">
        <w:t>I – atuar na estruturação, originação e distribuição de produtos que sejam objeto de orientação, recomendação e aconselhamento aos seus clientes, salvo se observados os dispositivos sobre segregação de atividades previstos no art. 2</w:t>
      </w:r>
      <w:r w:rsidR="00EEC17B" w:rsidRPr="00974E3F">
        <w:t>1</w:t>
      </w:r>
      <w:r w:rsidRPr="00974E3F">
        <w:t xml:space="preserve"> desta </w:t>
      </w:r>
      <w:r w:rsidR="1427B1DF" w:rsidRPr="00974E3F">
        <w:t>Resolução</w:t>
      </w:r>
      <w:r w:rsidRPr="00974E3F">
        <w:t xml:space="preserve">; </w:t>
      </w:r>
    </w:p>
    <w:p w14:paraId="65B5569F" w14:textId="77777777" w:rsidR="002469C9" w:rsidRPr="00974E3F" w:rsidRDefault="35053EF1" w:rsidP="3D3BB236">
      <w:r w:rsidRPr="00974E3F">
        <w:t xml:space="preserve">II – proceder a qualquer tipo de modificação relevante nas características básicas dos serviços prestados, exceto quando houver autorização, prévia e por escrito, do cliente; </w:t>
      </w:r>
    </w:p>
    <w:p w14:paraId="54728606" w14:textId="77777777" w:rsidR="002469C9" w:rsidRPr="00974E3F" w:rsidRDefault="35053EF1" w:rsidP="3D3BB236">
      <w:r w:rsidRPr="00974E3F">
        <w:t xml:space="preserve">III – garantir níveis de rentabilidade; </w:t>
      </w:r>
    </w:p>
    <w:p w14:paraId="4E65877D" w14:textId="77777777" w:rsidR="002469C9" w:rsidRPr="00974E3F" w:rsidRDefault="35053EF1" w:rsidP="3D3BB236">
      <w:r w:rsidRPr="00974E3F">
        <w:t>IV – omitir informações sobre conflito de interesses e riscos relativos ao objeto da consultoria prestada;</w:t>
      </w:r>
    </w:p>
    <w:p w14:paraId="60FE49B2" w14:textId="77777777" w:rsidR="002469C9" w:rsidRPr="00974E3F" w:rsidRDefault="35053EF1" w:rsidP="3D3BB236">
      <w:r w:rsidRPr="00974E3F">
        <w:t>V – receber qualquer remuneração, benefício ou vantagem, direta ou indiretamente por meio de partes relacionadas, que potencialmente prejudique a independência na prestação de serviço de consultoria de valores mobiliários; e</w:t>
      </w:r>
    </w:p>
    <w:p w14:paraId="348F7BA2" w14:textId="77777777" w:rsidR="002469C9" w:rsidRPr="00974E3F" w:rsidRDefault="35053EF1" w:rsidP="3D3BB236">
      <w:r w:rsidRPr="00974E3F">
        <w:t>VI – atuar como procurador ou representante de seus clientes perante instituições integrantes do sistema de distribuição de valores mobiliários, para fins de implementar e executar as operações que reflitam as recomendações objeto da sua prestação de serviço.</w:t>
      </w:r>
    </w:p>
    <w:p w14:paraId="72E8BED0" w14:textId="3C5211D2" w:rsidR="002469C9" w:rsidRPr="000519A6" w:rsidRDefault="35053EF1" w:rsidP="3D3BB236">
      <w:r w:rsidRPr="00974E3F">
        <w:lastRenderedPageBreak/>
        <w:t xml:space="preserve">§ 1º  A vedação de que trata o inciso V não incide sobre a consultoria prestada a clientes classificados como investidores profissionais, desde que eles assinem termo de ciência, nos termos do Anexo </w:t>
      </w:r>
      <w:r w:rsidR="00A01403">
        <w:t>F</w:t>
      </w:r>
      <w:r w:rsidRPr="000519A6">
        <w:t>.</w:t>
      </w:r>
    </w:p>
    <w:p w14:paraId="56FA0531" w14:textId="2D37AA7C" w:rsidR="002469C9" w:rsidRPr="000519A6" w:rsidRDefault="35053EF1" w:rsidP="3D3BB236">
      <w:r w:rsidRPr="000519A6">
        <w:t>§ 2º  O consultor está autorizado a efetuar recomendação de produtos nos quais ele ou partes relacionadas tenham participado de sua originação, estruturação e distribuição, desde que observados os dispositivos sobre segregação de atividades previstos no art. 2</w:t>
      </w:r>
      <w:r w:rsidR="00EEC17B" w:rsidRPr="000519A6">
        <w:t>1</w:t>
      </w:r>
      <w:r w:rsidRPr="000519A6">
        <w:t xml:space="preserve"> desta </w:t>
      </w:r>
      <w:r w:rsidR="1427B1DF" w:rsidRPr="000519A6">
        <w:t>Resolução</w:t>
      </w:r>
      <w:r w:rsidRPr="000519A6">
        <w:t>, devendo cientificar os seus clientes dessa circunstância.</w:t>
      </w:r>
    </w:p>
    <w:p w14:paraId="0CD132F8" w14:textId="77777777" w:rsidR="002469C9" w:rsidRPr="000519A6" w:rsidRDefault="35053EF1" w:rsidP="006033B6">
      <w:pPr>
        <w:pStyle w:val="Captulo"/>
      </w:pPr>
      <w:r w:rsidRPr="000519A6">
        <w:t>CAPÍTULO VI – REGRAS, PROCEDIMENTOS E CONTROLES INTERNOS</w:t>
      </w:r>
    </w:p>
    <w:p w14:paraId="31F92C11" w14:textId="4B942712" w:rsidR="002469C9" w:rsidRPr="000519A6" w:rsidRDefault="35053EF1" w:rsidP="3D3BB236">
      <w:r w:rsidRPr="000519A6">
        <w:t>Art. 1</w:t>
      </w:r>
      <w:r w:rsidR="00EEC17B" w:rsidRPr="000519A6">
        <w:t>9</w:t>
      </w:r>
      <w:r w:rsidRPr="000519A6">
        <w:t>.  O consultor de valores mobiliários, pessoa jurídica, deve garantir, por meio de regras, procedimentos e controles internos adequados, o permanente atendimento às normas, políticas e regulamentações vigentes, referentes às diversas modalidades de investimento, à própria atividade de consultoria de valores mobiliários e aos padrões ético e profissional.</w:t>
      </w:r>
    </w:p>
    <w:p w14:paraId="3E67AAF2" w14:textId="3EAAA5E6" w:rsidR="002469C9" w:rsidRPr="000519A6" w:rsidRDefault="35053EF1" w:rsidP="3D3BB236">
      <w:r w:rsidRPr="000519A6">
        <w:t xml:space="preserve">§ 1º  As regras, procedimentos e os controles internos mencionados no </w:t>
      </w:r>
      <w:r w:rsidRPr="000519A6">
        <w:rPr>
          <w:b/>
          <w:bCs/>
        </w:rPr>
        <w:t>caput</w:t>
      </w:r>
      <w:r w:rsidRPr="000519A6">
        <w:t xml:space="preserve"> devem ser suficientes e adequados para:</w:t>
      </w:r>
    </w:p>
    <w:p w14:paraId="23302C8E" w14:textId="77777777" w:rsidR="002469C9" w:rsidRPr="000519A6" w:rsidRDefault="35053EF1" w:rsidP="3D3BB236">
      <w:r w:rsidRPr="000519A6">
        <w:t xml:space="preserve">I – assegurar que todos os profissionais que desempenhem funções ligadas à consultoria de valores mobiliários atuem com independência e o devido dever fiduciário para com seus clientes; </w:t>
      </w:r>
    </w:p>
    <w:p w14:paraId="0B5BDFEC" w14:textId="77777777" w:rsidR="002469C9" w:rsidRPr="000519A6" w:rsidRDefault="35053EF1" w:rsidP="3D3BB236">
      <w:r w:rsidRPr="000519A6">
        <w:t>II – impedir que seus interesses comerciais, ou aqueles de seus clientes, influenciem seu trabalho;</w:t>
      </w:r>
    </w:p>
    <w:p w14:paraId="3DC20E32" w14:textId="77777777" w:rsidR="002469C9" w:rsidRPr="000519A6" w:rsidRDefault="35053EF1" w:rsidP="3D3BB236">
      <w:r w:rsidRPr="000519A6">
        <w:t xml:space="preserve">III – identificar, administrar e mitigar eventuais conflitos de interesses que possam afetar a independência das pessoas que desempenhem funções ligadas à consultoria de valores mobiliários; </w:t>
      </w:r>
    </w:p>
    <w:p w14:paraId="28B59F3D" w14:textId="77777777" w:rsidR="002469C9" w:rsidRPr="000519A6" w:rsidRDefault="35053EF1" w:rsidP="3D3BB236">
      <w:r w:rsidRPr="000519A6">
        <w:t>IV – diante de uma situação de conflito de interesses, informar ao cliente o potencial conflito de interesses e as fontes desse conflito, antes de efetuar uma recomendação de investimento;</w:t>
      </w:r>
    </w:p>
    <w:p w14:paraId="5F907EA6" w14:textId="0F9B566E" w:rsidR="002469C9" w:rsidRPr="000519A6" w:rsidRDefault="35053EF1" w:rsidP="3D3BB236">
      <w:r w:rsidRPr="000519A6">
        <w:t>V – segregar as diversas atividades que desempenhem, nos termos do art. 2</w:t>
      </w:r>
      <w:r w:rsidR="00EEC17B" w:rsidRPr="000519A6">
        <w:t>1</w:t>
      </w:r>
      <w:r w:rsidRPr="000519A6">
        <w:t xml:space="preserve"> da presente </w:t>
      </w:r>
      <w:r w:rsidR="1427B1DF" w:rsidRPr="000519A6">
        <w:t>Resolução</w:t>
      </w:r>
      <w:r w:rsidRPr="000519A6">
        <w:t>; e</w:t>
      </w:r>
    </w:p>
    <w:p w14:paraId="4DB2C560" w14:textId="77777777" w:rsidR="002469C9" w:rsidRPr="000519A6" w:rsidRDefault="35053EF1" w:rsidP="3D3BB236">
      <w:r w:rsidRPr="000519A6">
        <w:t>VI – assegurar a existência de testes periódicos de segurança para os sistemas de informações, em especial para os mantidos em meio eletrônico.</w:t>
      </w:r>
    </w:p>
    <w:p w14:paraId="74F9ABB6" w14:textId="658D57AE" w:rsidR="002469C9" w:rsidRPr="000519A6" w:rsidRDefault="35053EF1" w:rsidP="3D3BB236">
      <w:r w:rsidRPr="000519A6">
        <w:t>§ 2º  A remuneração do diretor responsável previsto no inciso I</w:t>
      </w:r>
      <w:r w:rsidR="00EB46D2">
        <w:t>II</w:t>
      </w:r>
      <w:r w:rsidRPr="000519A6">
        <w:t xml:space="preserve"> do art. 4º desta </w:t>
      </w:r>
      <w:r w:rsidR="1427B1DF" w:rsidRPr="000519A6">
        <w:t>Resolução</w:t>
      </w:r>
      <w:r w:rsidRPr="000519A6">
        <w:t xml:space="preserve"> não pode estar associada ao desempenho comercial da consultoria.</w:t>
      </w:r>
    </w:p>
    <w:p w14:paraId="328ECF9F" w14:textId="2D88D54B" w:rsidR="002469C9" w:rsidRPr="000519A6" w:rsidRDefault="35053EF1" w:rsidP="3D3BB236">
      <w:r w:rsidRPr="000519A6">
        <w:lastRenderedPageBreak/>
        <w:t xml:space="preserve">Art. </w:t>
      </w:r>
      <w:r w:rsidR="00EEC17B" w:rsidRPr="000519A6">
        <w:t>20</w:t>
      </w:r>
      <w:r w:rsidRPr="000519A6">
        <w:t>.  Os consultores pessoa</w:t>
      </w:r>
      <w:r w:rsidR="499D418D" w:rsidRPr="000519A6">
        <w:t>s</w:t>
      </w:r>
      <w:r w:rsidRPr="000519A6">
        <w:t xml:space="preserve"> jurídica</w:t>
      </w:r>
      <w:r w:rsidR="018F2F8C" w:rsidRPr="000519A6">
        <w:t>s</w:t>
      </w:r>
      <w:r w:rsidRPr="000519A6">
        <w:t xml:space="preserve"> devem tomar todas as medidas necessárias para que a equipe responsável pela atividade de consultoria de valores mobiliários seja formada por, no mínimo</w:t>
      </w:r>
      <w:r w:rsidR="56B064FC" w:rsidRPr="000519A6">
        <w:t xml:space="preserve">, 80% (oitenta por cento) de consultores certificados ou </w:t>
      </w:r>
      <w:r w:rsidR="00A03D91">
        <w:t>autorizados</w:t>
      </w:r>
      <w:r w:rsidR="56B064FC" w:rsidRPr="000519A6">
        <w:t>.</w:t>
      </w:r>
    </w:p>
    <w:p w14:paraId="5B991EC9" w14:textId="2642FD4C" w:rsidR="002469C9" w:rsidRPr="000519A6" w:rsidRDefault="35053EF1" w:rsidP="005D15C8">
      <w:pPr>
        <w:pStyle w:val="Seo"/>
      </w:pPr>
      <w:r w:rsidRPr="000519A6">
        <w:t>Seção I</w:t>
      </w:r>
      <w:r w:rsidR="5F9AE728" w:rsidRPr="000519A6">
        <w:t xml:space="preserve"> - </w:t>
      </w:r>
      <w:r w:rsidRPr="000519A6">
        <w:t>Segregação de Atividades</w:t>
      </w:r>
    </w:p>
    <w:p w14:paraId="3365AAAE" w14:textId="78CE71AA" w:rsidR="002469C9" w:rsidRPr="000519A6" w:rsidRDefault="35053EF1" w:rsidP="3D3BB236">
      <w:r w:rsidRPr="000519A6">
        <w:t>Art. 2</w:t>
      </w:r>
      <w:r w:rsidR="00EEC17B" w:rsidRPr="000519A6">
        <w:t>1</w:t>
      </w:r>
      <w:r w:rsidRPr="000519A6">
        <w:t>.  O exercício da consultoria de valores mobiliários deve ser segregado das demais atividades exercidas pela pessoa jurídica, devendo ser adotados procedimentos operacionais objetivando:</w:t>
      </w:r>
    </w:p>
    <w:p w14:paraId="7E2B5D99" w14:textId="77777777" w:rsidR="002469C9" w:rsidRPr="000519A6" w:rsidRDefault="35053EF1" w:rsidP="3D3BB236">
      <w:r w:rsidRPr="000519A6">
        <w:t xml:space="preserve">I – garantir a segregação física de instalações entre a área responsável pela consultoria de valores mobiliários e as áreas responsáveis pela gestão, intermediação, distribuição, estruturação e originação de valores mobiliários ou produtos que sejam objeto de orientação, recomendação e aconselhamento pelo consultor de valores mobiliários; </w:t>
      </w:r>
    </w:p>
    <w:p w14:paraId="43EFC532" w14:textId="77777777" w:rsidR="002469C9" w:rsidRPr="000519A6" w:rsidRDefault="35053EF1" w:rsidP="3D3BB236">
      <w:r w:rsidRPr="000519A6">
        <w:t>II – o bom uso de instalações, equipamentos e arquivos comuns a mais de um setor da empresa;</w:t>
      </w:r>
    </w:p>
    <w:p w14:paraId="4E786E6C" w14:textId="77777777" w:rsidR="002469C9" w:rsidRPr="000519A6" w:rsidRDefault="35053EF1" w:rsidP="3D3BB236">
      <w:r w:rsidRPr="000519A6">
        <w:t>III – a preservação de informações confidenciais por todos os seus administradores, colaboradores e funcionários, proibindo a transferência de tais informações a pessoas não habilitadas ou que possam vir a utilizá-las indevidamente; e</w:t>
      </w:r>
    </w:p>
    <w:p w14:paraId="5AD8F788" w14:textId="77777777" w:rsidR="002469C9" w:rsidRPr="000519A6" w:rsidRDefault="35053EF1" w:rsidP="3D3BB236">
      <w:r w:rsidRPr="000519A6">
        <w:t>IV – o acesso restrito a arquivos, bem como à adoção de controles que restrinjam e permitam identificar as pessoas que tenham acesso às informações confidenciais.</w:t>
      </w:r>
    </w:p>
    <w:p w14:paraId="3220CF3B" w14:textId="77777777" w:rsidR="002469C9" w:rsidRPr="000519A6" w:rsidRDefault="35053EF1" w:rsidP="3D3BB236">
      <w:r w:rsidRPr="000519A6">
        <w:t xml:space="preserve">Parágrafo único.  Para o cumprimento do disposto no </w:t>
      </w:r>
      <w:r w:rsidRPr="000519A6">
        <w:rPr>
          <w:b/>
          <w:bCs/>
        </w:rPr>
        <w:t>caput</w:t>
      </w:r>
      <w:r w:rsidRPr="000519A6">
        <w:t xml:space="preserve"> e seus incisos, o consultor de valores mobiliários pessoa jurídica deve manter manuais escritos que detalhem as regras e os procedimentos adotados relativos à:</w:t>
      </w:r>
    </w:p>
    <w:p w14:paraId="2D7E3E01" w14:textId="77777777" w:rsidR="002469C9" w:rsidRPr="000519A6" w:rsidRDefault="35053EF1" w:rsidP="3D3BB236">
      <w:r w:rsidRPr="000519A6">
        <w:t xml:space="preserve">I – segregação das atividades, com o objetivo de demonstrar a total separação entre a área responsável pela atividade de consultoria e as áreas mencionadas no inciso I do </w:t>
      </w:r>
      <w:r w:rsidRPr="000519A6">
        <w:rPr>
          <w:b/>
          <w:bCs/>
        </w:rPr>
        <w:t>caput</w:t>
      </w:r>
      <w:r w:rsidRPr="000519A6">
        <w:t>; e</w:t>
      </w:r>
    </w:p>
    <w:p w14:paraId="06DB36CC" w14:textId="77777777" w:rsidR="002469C9" w:rsidRPr="000519A6" w:rsidRDefault="35053EF1" w:rsidP="3D3BB236">
      <w:r w:rsidRPr="000519A6">
        <w:t>II – confidencialidade, definindo as regras de sigilo e conduta adotadas, com detalhamento das exigências cabíveis, no mínimo, para os seus sócios, administradores, colaboradores e empregados.</w:t>
      </w:r>
    </w:p>
    <w:p w14:paraId="67825544" w14:textId="77777777" w:rsidR="002469C9" w:rsidRPr="000519A6" w:rsidRDefault="35053EF1" w:rsidP="00744B3D">
      <w:pPr>
        <w:pStyle w:val="Captulo"/>
      </w:pPr>
      <w:r w:rsidRPr="000519A6">
        <w:t>CAPÍTULO VII – MANUTENÇÃO DE ARQUIVOS</w:t>
      </w:r>
    </w:p>
    <w:p w14:paraId="4CFA0124" w14:textId="22EB871D" w:rsidR="002469C9" w:rsidRPr="000519A6" w:rsidRDefault="35053EF1" w:rsidP="3D3BB236">
      <w:r w:rsidRPr="000519A6">
        <w:t>Art. 2</w:t>
      </w:r>
      <w:r w:rsidR="00EEC17B" w:rsidRPr="000519A6">
        <w:t>2</w:t>
      </w:r>
      <w:r w:rsidRPr="000519A6">
        <w:t xml:space="preserve">.  As orientações, recomendações e aconselhamentos de que trata o </w:t>
      </w:r>
      <w:r w:rsidRPr="000519A6">
        <w:rPr>
          <w:b/>
          <w:bCs/>
        </w:rPr>
        <w:t>caput</w:t>
      </w:r>
      <w:r w:rsidRPr="000519A6">
        <w:t xml:space="preserve"> do art. 1º devem ser feitos de maneira a possibilitar o seu registro, independentemente da forma de prestação do serviço.</w:t>
      </w:r>
    </w:p>
    <w:p w14:paraId="6AD537F8" w14:textId="77777777" w:rsidR="002469C9" w:rsidRPr="000519A6" w:rsidRDefault="35053EF1" w:rsidP="3D3BB236">
      <w:r w:rsidRPr="000519A6">
        <w:t xml:space="preserve">Parágrafo único.  O registro de que trata o </w:t>
      </w:r>
      <w:r w:rsidRPr="000519A6">
        <w:rPr>
          <w:b/>
          <w:bCs/>
        </w:rPr>
        <w:t>caput</w:t>
      </w:r>
      <w:r w:rsidRPr="000519A6">
        <w:t xml:space="preserve"> deve ser protegido contra adulterações e permitir a realização de auditorias e inspeções.</w:t>
      </w:r>
    </w:p>
    <w:p w14:paraId="3ED0918D" w14:textId="3FD818B4" w:rsidR="002469C9" w:rsidRPr="000519A6" w:rsidRDefault="35053EF1" w:rsidP="3D3BB236">
      <w:r w:rsidRPr="000519A6">
        <w:lastRenderedPageBreak/>
        <w:t>Art. 2</w:t>
      </w:r>
      <w:r w:rsidR="00EEC17B" w:rsidRPr="000519A6">
        <w:t>3</w:t>
      </w:r>
      <w:r w:rsidRPr="000519A6">
        <w:t xml:space="preserve">.  O consultor de valores mobiliários deve manter, pelo prazo mínimo de 5 (cinco) anos, ou por prazo superior por determinação expressa da CVM, todos os documentos e informações exigidos por esta </w:t>
      </w:r>
      <w:r w:rsidR="1427B1DF" w:rsidRPr="000519A6">
        <w:t>Resolução</w:t>
      </w:r>
      <w:r w:rsidRPr="000519A6">
        <w:t xml:space="preserve">, bem como toda a correspondência, interna e externa, todos os papéis de trabalho, cálculos que fundamentaram a cobrança de taxa de performance de seus clientes classificados como investidores profissionais, quando for o caso, relatórios e pareceres relacionados com o exercício de suas atividades e os estudos e análises que fundamentaram as orientações, recomendações ou aconselhamentos de que trata o </w:t>
      </w:r>
      <w:r w:rsidRPr="000519A6">
        <w:rPr>
          <w:b/>
          <w:bCs/>
        </w:rPr>
        <w:t>caput</w:t>
      </w:r>
      <w:r w:rsidRPr="000519A6">
        <w:t xml:space="preserve"> do art. 2</w:t>
      </w:r>
      <w:r w:rsidR="00EEC17B" w:rsidRPr="000519A6">
        <w:t>2</w:t>
      </w:r>
      <w:r w:rsidRPr="000519A6">
        <w:t>.</w:t>
      </w:r>
    </w:p>
    <w:p w14:paraId="1172F85B" w14:textId="3BA7B300" w:rsidR="00E51CC0" w:rsidRDefault="00E51CC0" w:rsidP="00E51CC0">
      <w:r>
        <w:t xml:space="preserve">§ 1º  As imagens digitalizadas são admitidas em substituição aos documentos originais, desde que o processo seja realizado de acordo com a </w:t>
      </w:r>
      <w:r w:rsidR="002B6CD6">
        <w:t>legislação federal</w:t>
      </w:r>
      <w:r>
        <w:t xml:space="preserve"> que dispõe sobre a elaboração e o arquivamento de documentos públicos e privados em meios eletromagnéticos, e com </w:t>
      </w:r>
      <w:r w:rsidR="002B6CD6">
        <w:t>a regulamentação federal</w:t>
      </w:r>
      <w:r>
        <w:t xml:space="preserve"> que estabelece a técnica e os requisitos para a digitalização desses documentos.</w:t>
      </w:r>
    </w:p>
    <w:p w14:paraId="7DC01C3F" w14:textId="02AE7488" w:rsidR="002469C9" w:rsidRPr="00C5514A" w:rsidRDefault="00E51CC0" w:rsidP="00E51CC0">
      <w:r>
        <w:t>§ 2º  O documento de origem pode ser descartado após sua digitalização, exceto se apresentar danos materiais que prejudiquem sua legibilidade.</w:t>
      </w:r>
    </w:p>
    <w:p w14:paraId="3D3CD922" w14:textId="77777777" w:rsidR="002469C9" w:rsidRPr="00C5514A" w:rsidRDefault="35053EF1" w:rsidP="007C0C22">
      <w:pPr>
        <w:pStyle w:val="Captulo"/>
      </w:pPr>
      <w:r w:rsidRPr="00C5514A">
        <w:t>CAPÍTULO VIII – PENALIDADES E MULTA COMINATÓRIA</w:t>
      </w:r>
    </w:p>
    <w:p w14:paraId="00C8A843" w14:textId="159DABFA" w:rsidR="002469C9" w:rsidRPr="00C5514A" w:rsidRDefault="35053EF1" w:rsidP="3D3BB236">
      <w:r w:rsidRPr="00C5514A">
        <w:t>Art. 2</w:t>
      </w:r>
      <w:r w:rsidR="00EEC17B" w:rsidRPr="00C5514A">
        <w:t>4</w:t>
      </w:r>
      <w:r w:rsidRPr="00C5514A">
        <w:t xml:space="preserve">.  Considera-se infração grave, para efeito do disposto no § 3º do art. 11 da Lei nº 6.385, de 1976, a infração às normas contidas nos </w:t>
      </w:r>
      <w:proofErr w:type="spellStart"/>
      <w:r w:rsidRPr="00C5514A">
        <w:t>arts</w:t>
      </w:r>
      <w:proofErr w:type="spellEnd"/>
      <w:r w:rsidRPr="00C5514A">
        <w:t>. 1</w:t>
      </w:r>
      <w:r w:rsidR="00EEC17B" w:rsidRPr="00C5514A">
        <w:t>6</w:t>
      </w:r>
      <w:r w:rsidRPr="00C5514A">
        <w:t>, 1</w:t>
      </w:r>
      <w:r w:rsidR="00EEC17B" w:rsidRPr="00C5514A">
        <w:t>8</w:t>
      </w:r>
      <w:r w:rsidRPr="00C5514A">
        <w:t xml:space="preserve">, </w:t>
      </w:r>
      <w:r w:rsidR="00EEC17B" w:rsidRPr="00C5514A">
        <w:t>20</w:t>
      </w:r>
      <w:r w:rsidRPr="00C5514A">
        <w:t>, 2</w:t>
      </w:r>
      <w:r w:rsidR="00EEC17B" w:rsidRPr="00C5514A">
        <w:t>1</w:t>
      </w:r>
      <w:r w:rsidRPr="00C5514A">
        <w:t>, 2</w:t>
      </w:r>
      <w:r w:rsidR="00EEC17B" w:rsidRPr="00C5514A">
        <w:t xml:space="preserve">2 </w:t>
      </w:r>
      <w:r w:rsidRPr="00C5514A">
        <w:t>e 2</w:t>
      </w:r>
      <w:r w:rsidR="00EEC17B" w:rsidRPr="00C5514A">
        <w:t>3</w:t>
      </w:r>
      <w:r w:rsidRPr="00C5514A">
        <w:t>.</w:t>
      </w:r>
    </w:p>
    <w:p w14:paraId="39BE04D6" w14:textId="624A4948" w:rsidR="002469C9" w:rsidRPr="00C5514A" w:rsidRDefault="35053EF1" w:rsidP="3D3BB236">
      <w:r w:rsidRPr="00C5514A">
        <w:t>Art. 2</w:t>
      </w:r>
      <w:r w:rsidR="00EEC17B" w:rsidRPr="00C5514A">
        <w:t>5</w:t>
      </w:r>
      <w:r w:rsidRPr="00C5514A">
        <w:t xml:space="preserve">.  O consultor de valores mobiliários está sujeito à multa diária prevista na norma específica que trata de multas cominatórias em virtude do não atendimento dos prazos previstos nesta </w:t>
      </w:r>
      <w:r w:rsidR="1427B1DF" w:rsidRPr="00C5514A">
        <w:t>Resolução</w:t>
      </w:r>
      <w:r w:rsidRPr="00C5514A">
        <w:t xml:space="preserve"> para entrega de informações periódicas, sem prejuízo do disposto no art. 11 da Lei nº 6.385, de 1976.</w:t>
      </w:r>
    </w:p>
    <w:p w14:paraId="0BD2914B" w14:textId="56EA3A3A" w:rsidR="002469C9" w:rsidRPr="00C5514A" w:rsidRDefault="35053EF1" w:rsidP="0055155E">
      <w:pPr>
        <w:pStyle w:val="Captulo"/>
      </w:pPr>
      <w:r w:rsidRPr="00C5514A">
        <w:t>CAPÍTULO IX – DISPOSIÇÕES FINAIS</w:t>
      </w:r>
    </w:p>
    <w:p w14:paraId="61DAD3DF" w14:textId="4E570A5F" w:rsidR="002469C9" w:rsidRPr="00C5514A" w:rsidRDefault="35053EF1" w:rsidP="3D3BB236">
      <w:r>
        <w:t>Art. 26.  Fica</w:t>
      </w:r>
      <w:r w:rsidR="5EA018D8">
        <w:t>m</w:t>
      </w:r>
      <w:r>
        <w:t xml:space="preserve"> revogad</w:t>
      </w:r>
      <w:r w:rsidR="30FB2378">
        <w:t>os</w:t>
      </w:r>
      <w:r w:rsidR="2A3F0094">
        <w:t>:</w:t>
      </w:r>
    </w:p>
    <w:p w14:paraId="11ECC208" w14:textId="5C3D0A83" w:rsidR="002469C9" w:rsidRPr="00D516A4" w:rsidRDefault="2A3F0094" w:rsidP="3D3BB236">
      <w:r>
        <w:t xml:space="preserve">I </w:t>
      </w:r>
      <w:r w:rsidR="00551A84">
        <w:t>–</w:t>
      </w:r>
      <w:r w:rsidR="35053EF1" w:rsidRPr="00C5514A">
        <w:t xml:space="preserve"> a</w:t>
      </w:r>
      <w:r w:rsidR="00551A84">
        <w:t xml:space="preserve"> </w:t>
      </w:r>
      <w:r w:rsidR="35053EF1" w:rsidRPr="00C5514A">
        <w:t xml:space="preserve"> Instrução CVM nº </w:t>
      </w:r>
      <w:r w:rsidR="5F9AE728" w:rsidRPr="00C5514A">
        <w:t>592</w:t>
      </w:r>
      <w:r w:rsidR="35053EF1" w:rsidRPr="00C5514A">
        <w:t xml:space="preserve">, </w:t>
      </w:r>
      <w:r w:rsidR="5F9AE728" w:rsidRPr="00C5514A">
        <w:t>de 17 de novembro de 2017</w:t>
      </w:r>
      <w:r w:rsidR="03DE11C6">
        <w:t>;</w:t>
      </w:r>
    </w:p>
    <w:p w14:paraId="25FAB0EB" w14:textId="7B45FE5C" w:rsidR="00583871" w:rsidRDefault="0532EE55" w:rsidP="00D516A4">
      <w:r>
        <w:t>II</w:t>
      </w:r>
      <w:r w:rsidR="2B128407">
        <w:t xml:space="preserve"> – a Instrução CVM nº </w:t>
      </w:r>
      <w:r w:rsidR="126080DC">
        <w:t>619</w:t>
      </w:r>
      <w:r w:rsidR="039A7910">
        <w:t>, de 6 de fevereiro de 2020</w:t>
      </w:r>
      <w:r w:rsidR="00583871">
        <w:t>;</w:t>
      </w:r>
    </w:p>
    <w:p w14:paraId="515053FA" w14:textId="77777777" w:rsidR="00F06561" w:rsidRDefault="00EE2630" w:rsidP="00EE2630">
      <w:r>
        <w:t xml:space="preserve">III </w:t>
      </w:r>
      <w:r w:rsidR="002B6CD6">
        <w:t>–</w:t>
      </w:r>
      <w:r>
        <w:t xml:space="preserve"> o art. 26 da Instrução CVM nº 609, de 25 de junho de 2019</w:t>
      </w:r>
      <w:r w:rsidR="00F06561">
        <w:t>; e</w:t>
      </w:r>
    </w:p>
    <w:p w14:paraId="2FA57CEC" w14:textId="01F5C14F" w:rsidR="00EE2630" w:rsidRPr="00D516A4" w:rsidRDefault="00F06561" w:rsidP="00EE2630">
      <w:r>
        <w:t xml:space="preserve">IV – a Deliberação CVM nº </w:t>
      </w:r>
      <w:r w:rsidR="00D26063">
        <w:t>7</w:t>
      </w:r>
      <w:bookmarkStart w:id="0" w:name="_GoBack"/>
      <w:bookmarkEnd w:id="0"/>
      <w:r>
        <w:t>83, de 17 de novembro de 2017</w:t>
      </w:r>
      <w:r w:rsidR="00EE2630">
        <w:t>.</w:t>
      </w:r>
    </w:p>
    <w:p w14:paraId="1E6CBE9E" w14:textId="2893DA5C" w:rsidR="002469C9" w:rsidRDefault="35053EF1" w:rsidP="3D3BB236">
      <w:r>
        <w:t>Art. 27</w:t>
      </w:r>
      <w:r w:rsidRPr="00D516A4">
        <w:t xml:space="preserve">.  Esta </w:t>
      </w:r>
      <w:r w:rsidR="00FA73FE">
        <w:t>Resolução</w:t>
      </w:r>
      <w:r w:rsidR="00FA73FE" w:rsidRPr="00D516A4">
        <w:t xml:space="preserve"> </w:t>
      </w:r>
      <w:r w:rsidRPr="00D516A4">
        <w:t>entra em vigor</w:t>
      </w:r>
      <w:r w:rsidR="5F9AE728" w:rsidRPr="00D516A4">
        <w:t xml:space="preserve"> em </w:t>
      </w:r>
      <w:r w:rsidR="00690CAF">
        <w:t xml:space="preserve">1º de </w:t>
      </w:r>
      <w:r w:rsidR="00D11446">
        <w:t>abril</w:t>
      </w:r>
      <w:r w:rsidR="00690CAF">
        <w:t xml:space="preserve"> de 2021.</w:t>
      </w:r>
      <w:r w:rsidRPr="00D516A4">
        <w:t xml:space="preserve"> </w:t>
      </w:r>
    </w:p>
    <w:p w14:paraId="60E1F2F3" w14:textId="573246B1" w:rsidR="00D516A4" w:rsidRDefault="00D516A4" w:rsidP="3D3BB236"/>
    <w:p w14:paraId="1E731AC4" w14:textId="6C7B3642" w:rsidR="009652F0" w:rsidRPr="00040C33" w:rsidRDefault="000C0EBE" w:rsidP="000C69EE">
      <w:pPr>
        <w:pStyle w:val="Corpodetexto"/>
        <w:widowControl/>
        <w:spacing w:before="0" w:beforeAutospacing="0" w:after="0" w:afterAutospacing="0" w:line="288" w:lineRule="auto"/>
        <w:jc w:val="center"/>
        <w:rPr>
          <w:rFonts w:ascii="Calibri" w:hAnsi="Calibri"/>
          <w:i/>
          <w:sz w:val="20"/>
        </w:rPr>
      </w:pPr>
      <w:bookmarkStart w:id="1" w:name="_DV_M199"/>
      <w:bookmarkStart w:id="2" w:name="_DV_M200"/>
      <w:bookmarkEnd w:id="1"/>
      <w:bookmarkEnd w:id="2"/>
      <w:r w:rsidRPr="00040C33">
        <w:rPr>
          <w:rFonts w:ascii="Calibri" w:hAnsi="Calibri"/>
          <w:i/>
          <w:color w:val="auto"/>
          <w:sz w:val="20"/>
        </w:rPr>
        <w:lastRenderedPageBreak/>
        <w:t>Assinado eletronicamente por</w:t>
      </w:r>
    </w:p>
    <w:p w14:paraId="40D69B9B" w14:textId="77777777" w:rsidR="009652F0" w:rsidRPr="009652F0" w:rsidRDefault="009652F0" w:rsidP="000C69EE">
      <w:pPr>
        <w:autoSpaceDE w:val="0"/>
        <w:autoSpaceDN w:val="0"/>
        <w:adjustRightInd w:val="0"/>
        <w:spacing w:before="0" w:after="0" w:line="288" w:lineRule="auto"/>
        <w:ind w:firstLine="0"/>
        <w:jc w:val="center"/>
        <w:rPr>
          <w:rFonts w:ascii="Calibri" w:eastAsia="Times New Roman" w:hAnsi="Calibri" w:cs="Calibri"/>
          <w:b/>
          <w:bCs/>
          <w:lang w:eastAsia="pt-BR"/>
        </w:rPr>
      </w:pPr>
      <w:r w:rsidRPr="009652F0">
        <w:rPr>
          <w:rFonts w:ascii="Calibri" w:eastAsia="Times New Roman" w:hAnsi="Calibri" w:cs="Calibri"/>
          <w:b/>
          <w:bCs/>
          <w:lang w:eastAsia="pt-BR"/>
        </w:rPr>
        <w:t>MARCELO BARBOSA</w:t>
      </w:r>
    </w:p>
    <w:p w14:paraId="4F2B5AD6" w14:textId="43F2339A" w:rsidR="00A26BB2" w:rsidRPr="00B97414" w:rsidRDefault="009652F0" w:rsidP="00B97414">
      <w:pPr>
        <w:autoSpaceDE w:val="0"/>
        <w:autoSpaceDN w:val="0"/>
        <w:adjustRightInd w:val="0"/>
        <w:spacing w:before="0" w:after="0" w:line="288" w:lineRule="auto"/>
        <w:ind w:firstLine="0"/>
        <w:jc w:val="center"/>
        <w:rPr>
          <w:rFonts w:ascii="Calibri" w:eastAsia="Times New Roman" w:hAnsi="Calibri" w:cs="Calibri"/>
          <w:lang w:eastAsia="pt-BR"/>
        </w:rPr>
      </w:pPr>
      <w:r w:rsidRPr="009652F0">
        <w:rPr>
          <w:rFonts w:ascii="Calibri" w:eastAsia="Times New Roman" w:hAnsi="Calibri" w:cs="Calibri"/>
          <w:lang w:eastAsia="pt-BR"/>
        </w:rPr>
        <w:t>Presidente</w:t>
      </w:r>
      <w:r w:rsidR="002469C9">
        <w:br w:type="page"/>
      </w:r>
    </w:p>
    <w:p w14:paraId="4C29BD0A" w14:textId="48E68FC3" w:rsidR="0020346F" w:rsidRPr="00AE6792" w:rsidRDefault="0020346F" w:rsidP="0020346F">
      <w:pPr>
        <w:pStyle w:val="Captulo"/>
      </w:pPr>
      <w:r w:rsidRPr="00AE6792">
        <w:lastRenderedPageBreak/>
        <w:t xml:space="preserve">ANEXO </w:t>
      </w:r>
      <w:r>
        <w:t>A</w:t>
      </w:r>
      <w:r w:rsidRPr="00AE6792">
        <w:t xml:space="preserve"> à Resolução CVM nº </w:t>
      </w:r>
      <w:r w:rsidR="005D0CA6">
        <w:t>19</w:t>
      </w:r>
      <w:r w:rsidRPr="00AE6792">
        <w:t xml:space="preserve">, de </w:t>
      </w:r>
      <w:r w:rsidR="00131DFE">
        <w:t>2</w:t>
      </w:r>
      <w:r w:rsidR="005D0CA6">
        <w:t>5</w:t>
      </w:r>
      <w:r w:rsidR="00131DFE" w:rsidRPr="0057246D">
        <w:t xml:space="preserve"> de </w:t>
      </w:r>
      <w:r w:rsidR="00131DFE">
        <w:t>FEVEREIRO</w:t>
      </w:r>
      <w:r w:rsidR="00131DFE" w:rsidRPr="0057246D">
        <w:t xml:space="preserve"> de </w:t>
      </w:r>
      <w:r w:rsidR="00131DFE">
        <w:t>2021</w:t>
      </w:r>
    </w:p>
    <w:p w14:paraId="784617F9" w14:textId="25A8F75A" w:rsidR="0020346F" w:rsidRPr="00AE6792" w:rsidRDefault="0020346F" w:rsidP="0020346F">
      <w:pPr>
        <w:jc w:val="center"/>
        <w:rPr>
          <w:i/>
          <w:iCs/>
        </w:rPr>
      </w:pPr>
      <w:r w:rsidRPr="00AE6792">
        <w:rPr>
          <w:i/>
          <w:iCs/>
        </w:rPr>
        <w:t>Exames de certificação reconhecidos para fins de aplicação do</w:t>
      </w:r>
      <w:r w:rsidR="006F41E8">
        <w:rPr>
          <w:i/>
          <w:iCs/>
        </w:rPr>
        <w:t xml:space="preserve"> inciso II do</w:t>
      </w:r>
      <w:r w:rsidRPr="00AE6792">
        <w:rPr>
          <w:i/>
          <w:iCs/>
        </w:rPr>
        <w:t xml:space="preserve"> art. 3º.</w:t>
      </w:r>
    </w:p>
    <w:p w14:paraId="3412A883" w14:textId="5FB6646E" w:rsidR="0020346F" w:rsidRDefault="0020346F" w:rsidP="0020346F">
      <w:r>
        <w:t xml:space="preserve">Art. 1º  São considerados exames reconhecidos pela CVM para fins do disposto no </w:t>
      </w:r>
      <w:r w:rsidR="00377A9D">
        <w:t xml:space="preserve">inciso II do </w:t>
      </w:r>
      <w:r>
        <w:t>art. 3º:</w:t>
      </w:r>
    </w:p>
    <w:p w14:paraId="4AD78993" w14:textId="515EC166" w:rsidR="0020346F" w:rsidRPr="00AE6792" w:rsidRDefault="0020346F" w:rsidP="0020346F">
      <w:r>
        <w:t xml:space="preserve">I </w:t>
      </w:r>
      <w:r w:rsidR="00FF01DD">
        <w:t>–</w:t>
      </w:r>
      <w:r>
        <w:t xml:space="preserve"> módulo</w:t>
      </w:r>
      <w:r w:rsidRPr="00AE6792">
        <w:t xml:space="preserve"> CGA</w:t>
      </w:r>
      <w:r w:rsidR="00FF01DD">
        <w:t xml:space="preserve"> </w:t>
      </w:r>
      <w:r>
        <w:t>do programa de Certificação de Gestores da ANBIMA organizado pela Associação Brasileira das Entidades dos Mercados Financeiro e de Capitais;</w:t>
      </w:r>
    </w:p>
    <w:p w14:paraId="49C59A07" w14:textId="3B2E40CB" w:rsidR="0020346F" w:rsidRPr="00AE6792" w:rsidRDefault="0020346F" w:rsidP="0020346F">
      <w:r w:rsidRPr="00AE6792">
        <w:t xml:space="preserve">II </w:t>
      </w:r>
      <w:r w:rsidR="00FF01DD">
        <w:t>–</w:t>
      </w:r>
      <w:r w:rsidRPr="00AE6792">
        <w:t xml:space="preserve"> certificação de especialista em investimentos ANBIMA – CEA organizado pela Associação Brasileira das Entidades dos Mercados Financeiro e de Capitais;</w:t>
      </w:r>
    </w:p>
    <w:p w14:paraId="3CB2DF47" w14:textId="7878844F" w:rsidR="0020346F" w:rsidRPr="00AE6792" w:rsidRDefault="0020346F" w:rsidP="0020346F">
      <w:r w:rsidRPr="00AE6792">
        <w:t xml:space="preserve">III </w:t>
      </w:r>
      <w:r w:rsidR="00FF01DD">
        <w:t>–</w:t>
      </w:r>
      <w:r w:rsidRPr="00AE6792">
        <w:t xml:space="preserve"> certificação nacional do profissional de investimento da APIMEC – CNPI, organizado pela Associação dos Analistas e Profissionais de Investimento do Mercado de Capitais;</w:t>
      </w:r>
    </w:p>
    <w:p w14:paraId="352C6D60" w14:textId="4278BF5D" w:rsidR="0020346F" w:rsidRPr="00AE6792" w:rsidRDefault="0020346F" w:rsidP="0020346F">
      <w:r w:rsidRPr="00AE6792">
        <w:t xml:space="preserve">IV </w:t>
      </w:r>
      <w:r w:rsidR="00FF01DD">
        <w:t>–</w:t>
      </w:r>
      <w:r w:rsidRPr="00AE6792">
        <w:t xml:space="preserve"> </w:t>
      </w:r>
      <w:proofErr w:type="spellStart"/>
      <w:r w:rsidRPr="00D230EC">
        <w:rPr>
          <w:b/>
          <w:bCs/>
        </w:rPr>
        <w:t>level</w:t>
      </w:r>
      <w:proofErr w:type="spellEnd"/>
      <w:r w:rsidRPr="00AE6792">
        <w:t xml:space="preserve"> III</w:t>
      </w:r>
      <w:r>
        <w:t xml:space="preserve"> do programa de certificação </w:t>
      </w:r>
      <w:proofErr w:type="spellStart"/>
      <w:r w:rsidRPr="00D230EC">
        <w:rPr>
          <w:b/>
          <w:bCs/>
        </w:rPr>
        <w:t>chartered</w:t>
      </w:r>
      <w:proofErr w:type="spellEnd"/>
      <w:r w:rsidRPr="00D230EC">
        <w:rPr>
          <w:b/>
          <w:bCs/>
        </w:rPr>
        <w:t xml:space="preserve"> financial </w:t>
      </w:r>
      <w:proofErr w:type="spellStart"/>
      <w:r w:rsidRPr="00D230EC">
        <w:rPr>
          <w:b/>
          <w:bCs/>
        </w:rPr>
        <w:t>analyst</w:t>
      </w:r>
      <w:proofErr w:type="spellEnd"/>
      <w:r w:rsidRPr="00AE6792">
        <w:t xml:space="preserve"> – CFA organizado pelo CFA </w:t>
      </w:r>
      <w:proofErr w:type="spellStart"/>
      <w:r w:rsidRPr="00D230EC">
        <w:rPr>
          <w:b/>
          <w:bCs/>
        </w:rPr>
        <w:t>Institute</w:t>
      </w:r>
      <w:proofErr w:type="spellEnd"/>
      <w:r w:rsidRPr="00AE6792">
        <w:t>;</w:t>
      </w:r>
    </w:p>
    <w:p w14:paraId="046CD9C4" w14:textId="2D522595" w:rsidR="0020346F" w:rsidRPr="00AE6792" w:rsidRDefault="0020346F" w:rsidP="0020346F">
      <w:r w:rsidRPr="00AE6792">
        <w:t xml:space="preserve">V </w:t>
      </w:r>
      <w:r w:rsidR="00FF01DD">
        <w:t>–</w:t>
      </w:r>
      <w:r w:rsidRPr="00AE6792">
        <w:t xml:space="preserve"> </w:t>
      </w:r>
      <w:proofErr w:type="spellStart"/>
      <w:r w:rsidRPr="00D230EC">
        <w:rPr>
          <w:b/>
          <w:bCs/>
        </w:rPr>
        <w:t>exam</w:t>
      </w:r>
      <w:proofErr w:type="spellEnd"/>
      <w:r w:rsidRPr="00AE6792">
        <w:t xml:space="preserve"> 1 e </w:t>
      </w:r>
      <w:proofErr w:type="spellStart"/>
      <w:r w:rsidRPr="00D230EC">
        <w:rPr>
          <w:b/>
          <w:bCs/>
        </w:rPr>
        <w:t>exam</w:t>
      </w:r>
      <w:proofErr w:type="spellEnd"/>
      <w:r w:rsidRPr="00AE6792">
        <w:t xml:space="preserve"> 2 do </w:t>
      </w:r>
      <w:r w:rsidRPr="00D230EC">
        <w:rPr>
          <w:b/>
          <w:bCs/>
        </w:rPr>
        <w:t xml:space="preserve">final </w:t>
      </w:r>
      <w:proofErr w:type="spellStart"/>
      <w:r w:rsidRPr="00D230EC">
        <w:rPr>
          <w:b/>
          <w:bCs/>
        </w:rPr>
        <w:t>level</w:t>
      </w:r>
      <w:proofErr w:type="spellEnd"/>
      <w:r w:rsidRPr="00AE6792">
        <w:t xml:space="preserve"> do programa de certificação internacional para profissionais de investimentos organizado por quaisquer dos membros da ACIIA - </w:t>
      </w:r>
      <w:proofErr w:type="spellStart"/>
      <w:r w:rsidRPr="00D230EC">
        <w:rPr>
          <w:b/>
          <w:bCs/>
        </w:rPr>
        <w:t>Association</w:t>
      </w:r>
      <w:proofErr w:type="spellEnd"/>
      <w:r w:rsidRPr="00D230EC">
        <w:rPr>
          <w:b/>
          <w:bCs/>
        </w:rPr>
        <w:t xml:space="preserve"> </w:t>
      </w:r>
      <w:proofErr w:type="spellStart"/>
      <w:r w:rsidRPr="00D230EC">
        <w:rPr>
          <w:b/>
          <w:bCs/>
        </w:rPr>
        <w:t>of</w:t>
      </w:r>
      <w:proofErr w:type="spellEnd"/>
      <w:r w:rsidRPr="00D230EC">
        <w:rPr>
          <w:b/>
          <w:bCs/>
        </w:rPr>
        <w:t xml:space="preserve"> </w:t>
      </w:r>
      <w:proofErr w:type="spellStart"/>
      <w:r w:rsidRPr="00D230EC">
        <w:rPr>
          <w:b/>
          <w:bCs/>
        </w:rPr>
        <w:t>Certified</w:t>
      </w:r>
      <w:proofErr w:type="spellEnd"/>
      <w:r w:rsidRPr="00D230EC">
        <w:rPr>
          <w:b/>
          <w:bCs/>
        </w:rPr>
        <w:t xml:space="preserve"> </w:t>
      </w:r>
      <w:proofErr w:type="spellStart"/>
      <w:r w:rsidRPr="00D230EC">
        <w:rPr>
          <w:b/>
          <w:bCs/>
        </w:rPr>
        <w:t>International</w:t>
      </w:r>
      <w:proofErr w:type="spellEnd"/>
      <w:r w:rsidRPr="00D230EC">
        <w:rPr>
          <w:b/>
          <w:bCs/>
        </w:rPr>
        <w:t xml:space="preserve"> </w:t>
      </w:r>
      <w:proofErr w:type="spellStart"/>
      <w:r w:rsidRPr="00D230EC">
        <w:rPr>
          <w:b/>
          <w:bCs/>
        </w:rPr>
        <w:t>Investment</w:t>
      </w:r>
      <w:proofErr w:type="spellEnd"/>
      <w:r w:rsidRPr="00D230EC">
        <w:rPr>
          <w:b/>
          <w:bCs/>
        </w:rPr>
        <w:t xml:space="preserve"> </w:t>
      </w:r>
      <w:proofErr w:type="spellStart"/>
      <w:r w:rsidRPr="00D230EC">
        <w:rPr>
          <w:b/>
          <w:bCs/>
        </w:rPr>
        <w:t>Analysts</w:t>
      </w:r>
      <w:proofErr w:type="spellEnd"/>
      <w:r w:rsidRPr="00AE6792">
        <w:t>; e</w:t>
      </w:r>
    </w:p>
    <w:p w14:paraId="5EEAD82B" w14:textId="437893F4" w:rsidR="00FF01DD" w:rsidRDefault="0020346F" w:rsidP="0020346F">
      <w:r w:rsidRPr="00AE6792">
        <w:t xml:space="preserve">VI </w:t>
      </w:r>
      <w:r w:rsidR="00FF01DD">
        <w:t>–</w:t>
      </w:r>
      <w:r w:rsidRPr="00AE6792">
        <w:t xml:space="preserve"> </w:t>
      </w:r>
      <w:proofErr w:type="spellStart"/>
      <w:r w:rsidRPr="00D230EC">
        <w:rPr>
          <w:b/>
          <w:bCs/>
        </w:rPr>
        <w:t>certified</w:t>
      </w:r>
      <w:proofErr w:type="spellEnd"/>
      <w:r w:rsidRPr="00D230EC">
        <w:rPr>
          <w:b/>
          <w:bCs/>
        </w:rPr>
        <w:t xml:space="preserve"> financial </w:t>
      </w:r>
      <w:proofErr w:type="spellStart"/>
      <w:r w:rsidRPr="00D230EC">
        <w:rPr>
          <w:b/>
          <w:bCs/>
        </w:rPr>
        <w:t>planner</w:t>
      </w:r>
      <w:proofErr w:type="spellEnd"/>
      <w:r w:rsidRPr="00AE6792">
        <w:t xml:space="preserve"> – CFP organizado pela Planejar – Associação Brasileira de Planejadores Financeiros.</w:t>
      </w:r>
    </w:p>
    <w:p w14:paraId="0AA164FF" w14:textId="77777777" w:rsidR="00FF01DD" w:rsidRDefault="00FF01DD">
      <w:pPr>
        <w:spacing w:before="0" w:after="200" w:line="276" w:lineRule="auto"/>
        <w:ind w:firstLine="0"/>
        <w:jc w:val="left"/>
      </w:pPr>
      <w:r>
        <w:br w:type="page"/>
      </w:r>
    </w:p>
    <w:p w14:paraId="5F6F6415" w14:textId="6763C602" w:rsidR="00F23E36" w:rsidRPr="0057246D" w:rsidRDefault="35053EF1" w:rsidP="008F118E">
      <w:pPr>
        <w:pStyle w:val="Captulo"/>
      </w:pPr>
      <w:r w:rsidRPr="00551A84">
        <w:lastRenderedPageBreak/>
        <w:t xml:space="preserve">ANEXO </w:t>
      </w:r>
      <w:r w:rsidR="003D3386">
        <w:t>B</w:t>
      </w:r>
      <w:r w:rsidR="2B8F0A4A" w:rsidRPr="00551A84">
        <w:t xml:space="preserve"> à Resolução </w:t>
      </w:r>
      <w:r w:rsidR="2B8F0A4A" w:rsidRPr="00D11446">
        <w:t xml:space="preserve">CVM nº </w:t>
      </w:r>
      <w:sdt>
        <w:sdtPr>
          <w:alias w:val="Título"/>
          <w:tag w:val=""/>
          <w:id w:val="-131792092"/>
          <w:placeholder>
            <w:docPart w:val="9CD3A7E8020544DEB31B293CAC0AF38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78A9">
            <w:t>19, de 25 de FEVEREIRO de 2021</w:t>
          </w:r>
        </w:sdtContent>
      </w:sdt>
    </w:p>
    <w:p w14:paraId="76C3A3EF" w14:textId="34832380" w:rsidR="002469C9" w:rsidRPr="003D3386" w:rsidRDefault="6B0AB1F2" w:rsidP="003D3386">
      <w:pPr>
        <w:jc w:val="center"/>
        <w:rPr>
          <w:i/>
          <w:iCs/>
        </w:rPr>
      </w:pPr>
      <w:r w:rsidRPr="003D3386">
        <w:rPr>
          <w:i/>
          <w:iCs/>
        </w:rPr>
        <w:t xml:space="preserve">Documentos do </w:t>
      </w:r>
      <w:r w:rsidR="005E2194">
        <w:rPr>
          <w:i/>
          <w:iCs/>
        </w:rPr>
        <w:t>Pedido de Autorização ou Reconhecimento</w:t>
      </w:r>
      <w:r w:rsidRPr="003D3386">
        <w:rPr>
          <w:i/>
          <w:iCs/>
        </w:rPr>
        <w:t xml:space="preserve"> - Pessoa Natural</w:t>
      </w:r>
    </w:p>
    <w:p w14:paraId="5D69A1FA" w14:textId="77777777" w:rsidR="002469C9" w:rsidRPr="003D3386" w:rsidRDefault="35053EF1" w:rsidP="3D3BB236">
      <w:r>
        <w:t>Art. 1º  O pedido de autorização ou de reconhecimento para o exercício da atividade de consultoria de valores mobiliários, por pessoa natural, deve ser instruído com os seguintes documentos:</w:t>
      </w:r>
    </w:p>
    <w:p w14:paraId="697E9684" w14:textId="77777777" w:rsidR="002469C9" w:rsidRPr="003D3386" w:rsidRDefault="35053EF1" w:rsidP="3D3BB236">
      <w:r w:rsidRPr="003D3386">
        <w:t>I – requerimento assinado pelo interessado;</w:t>
      </w:r>
    </w:p>
    <w:p w14:paraId="057CED57" w14:textId="77777777" w:rsidR="002469C9" w:rsidRPr="003D3386" w:rsidRDefault="35053EF1" w:rsidP="3D3BB236">
      <w:r w:rsidRPr="003D3386">
        <w:t>II – comprovante de aprovação em exame de certificação;</w:t>
      </w:r>
    </w:p>
    <w:p w14:paraId="1FFA32A9" w14:textId="77777777" w:rsidR="002469C9" w:rsidRPr="003D3386" w:rsidRDefault="35053EF1" w:rsidP="3D3BB236">
      <w:r w:rsidRPr="003D3386">
        <w:t xml:space="preserve">III – cópia do diploma de conclusão do curso superior ou equivalente, em instituição reconhecida oficialmente no País ou no exterior; </w:t>
      </w:r>
    </w:p>
    <w:p w14:paraId="3F62B3FC" w14:textId="7D7FA7A9" w:rsidR="002469C9" w:rsidRPr="003D3386" w:rsidRDefault="35053EF1" w:rsidP="3D3BB236">
      <w:r w:rsidRPr="003D3386">
        <w:t xml:space="preserve">IV – informações cadastrais previstas na </w:t>
      </w:r>
      <w:r w:rsidR="002A2745">
        <w:t>regulamentação</w:t>
      </w:r>
      <w:r w:rsidRPr="003D3386">
        <w:t xml:space="preserve"> que trata do cadastro de participantes do mercado de valores mobiliários; </w:t>
      </w:r>
    </w:p>
    <w:p w14:paraId="2C673EAF" w14:textId="77777777" w:rsidR="002469C9" w:rsidRPr="003D3386" w:rsidRDefault="35053EF1" w:rsidP="3D3BB236">
      <w:r w:rsidRPr="003D3386">
        <w:t>V – cópia do cartão de inscrição no Cadastro de Pessoas Físicas - CPF e da carteira de identidade; e</w:t>
      </w:r>
    </w:p>
    <w:p w14:paraId="1D88E296" w14:textId="292D0F0F" w:rsidR="002469C9" w:rsidRPr="002A2745" w:rsidRDefault="35053EF1" w:rsidP="3D3BB236">
      <w:r w:rsidRPr="003D3386">
        <w:t xml:space="preserve">VI – itens 1, 3, 5 e 6 do formulário de referência constante do Anexo </w:t>
      </w:r>
      <w:r w:rsidR="006431F9">
        <w:t>D</w:t>
      </w:r>
      <w:r w:rsidRPr="002A2745">
        <w:t xml:space="preserve"> desta </w:t>
      </w:r>
      <w:r w:rsidR="1427B1DF" w:rsidRPr="002A2745">
        <w:t>Resolução</w:t>
      </w:r>
      <w:r w:rsidRPr="002A2745">
        <w:t xml:space="preserve"> preenchido e atualizado até o último dia útil do mês anterior ao do protocolo do pedido de autorização </w:t>
      </w:r>
      <w:r w:rsidR="00DD1348">
        <w:t xml:space="preserve">ou reconhecimento </w:t>
      </w:r>
      <w:r w:rsidRPr="002A2745">
        <w:t>na CVM.</w:t>
      </w:r>
    </w:p>
    <w:p w14:paraId="0FE90504" w14:textId="423208E1" w:rsidR="002469C9" w:rsidRPr="002A2745" w:rsidRDefault="35053EF1" w:rsidP="3D3BB236">
      <w:r w:rsidRPr="002A2745">
        <w:t>Art. 2º  Caso o requerente queira solicitar a autorização</w:t>
      </w:r>
      <w:r w:rsidR="00DD1348">
        <w:t xml:space="preserve"> ou o reconhecimento</w:t>
      </w:r>
      <w:r w:rsidRPr="002A2745">
        <w:t xml:space="preserve"> para o exercício da atividade de consultoria de valores mobiliários com base no § 1º do art. 3º desta </w:t>
      </w:r>
      <w:r w:rsidR="1427B1DF" w:rsidRPr="002A2745">
        <w:t>Resolução</w:t>
      </w:r>
      <w:r w:rsidRPr="002A2745">
        <w:t>, deve apresentar:</w:t>
      </w:r>
    </w:p>
    <w:p w14:paraId="29AB285E" w14:textId="77777777" w:rsidR="002469C9" w:rsidRPr="002A2745" w:rsidRDefault="35053EF1" w:rsidP="3D3BB236">
      <w:r w:rsidRPr="002A2745">
        <w:t>I – requerimento assinado pelo interessado;</w:t>
      </w:r>
    </w:p>
    <w:p w14:paraId="5D82CC0C" w14:textId="77777777" w:rsidR="002469C9" w:rsidRPr="002A2745" w:rsidRDefault="35053EF1" w:rsidP="3D3BB236">
      <w:r w:rsidRPr="002A2745">
        <w:t>II – currículo contendo dados profissionais que evidenciem a experiência do requerente, devidamente assinado;</w:t>
      </w:r>
    </w:p>
    <w:p w14:paraId="511039E2" w14:textId="77777777" w:rsidR="002469C9" w:rsidRPr="002A2745" w:rsidRDefault="35053EF1" w:rsidP="3D3BB236">
      <w:r w:rsidRPr="002A2745">
        <w:t>III – cópia do certificado de conclusão dos principais cursos mencionados no currículo, se o pedido for feito com base no inciso II do § 1º do art. 3º;</w:t>
      </w:r>
    </w:p>
    <w:p w14:paraId="106D3381" w14:textId="77777777" w:rsidR="002469C9" w:rsidRPr="002A2745" w:rsidRDefault="35053EF1" w:rsidP="3D3BB236">
      <w:r w:rsidRPr="002A2745">
        <w:t>IV – declaração do empregador atual e dos anteriores informando quais eram as atividades desenvolvidas pelo requerente e relacionando os correspondentes períodos nos quais foram exercidas ou, se for o caso, cópia do contrato social de sociedades da qual o requerente seja ou tenha sido sócio;</w:t>
      </w:r>
    </w:p>
    <w:p w14:paraId="478D5712" w14:textId="255008A4" w:rsidR="002469C9" w:rsidRPr="002A2745" w:rsidRDefault="35053EF1" w:rsidP="3D3BB236">
      <w:r w:rsidRPr="002A2745">
        <w:t xml:space="preserve">V – informações cadastrais previstas na </w:t>
      </w:r>
      <w:r w:rsidR="002A2745">
        <w:t>regulamentação</w:t>
      </w:r>
      <w:r w:rsidRPr="002A2745">
        <w:t xml:space="preserve"> que trata do cadastro de participantes do mercado de valores mobiliários; </w:t>
      </w:r>
    </w:p>
    <w:p w14:paraId="306CB283" w14:textId="77777777" w:rsidR="002469C9" w:rsidRPr="002A2745" w:rsidRDefault="35053EF1" w:rsidP="3D3BB236">
      <w:r w:rsidRPr="002A2745">
        <w:lastRenderedPageBreak/>
        <w:t>VI – cópia do cartão de inscrição no Cadastro de Pessoas Físicas - CPF e da carteira de identidade; e</w:t>
      </w:r>
    </w:p>
    <w:p w14:paraId="5A35C6E9" w14:textId="04B9FA04" w:rsidR="002469C9" w:rsidRPr="002A2745" w:rsidRDefault="35053EF1" w:rsidP="3D3BB236">
      <w:r w:rsidRPr="002A2745">
        <w:t xml:space="preserve">VII – itens 1, 3, 5 e 6 do formulário de referência constante do Anexo </w:t>
      </w:r>
      <w:r w:rsidR="006431F9">
        <w:t>D</w:t>
      </w:r>
      <w:r w:rsidRPr="002A2745">
        <w:t xml:space="preserve"> desta </w:t>
      </w:r>
      <w:r w:rsidR="1427B1DF" w:rsidRPr="002A2745">
        <w:t>Resolução</w:t>
      </w:r>
      <w:r w:rsidRPr="002A2745">
        <w:t xml:space="preserve"> preenchido e atualizado até o último dia útil do mês anterior ao do protocolo do pedido de autorização </w:t>
      </w:r>
      <w:r w:rsidR="00C42467">
        <w:t xml:space="preserve">ou reconhecimento </w:t>
      </w:r>
      <w:r w:rsidRPr="002A2745">
        <w:t>na CVM.</w:t>
      </w:r>
    </w:p>
    <w:p w14:paraId="532ED9C5" w14:textId="77777777" w:rsidR="002469C9" w:rsidRPr="002A2745" w:rsidRDefault="35053EF1" w:rsidP="3D3BB236">
      <w:r w:rsidRPr="002A2745">
        <w:t>Parágrafo único.  Caso não seja possível obter as declarações previstas no inciso IV deste artigo, o requerente deve justificar a impossibilidade e encaminhar cópia dos documentos que comprovem a experiência mencionada no currículo.</w:t>
      </w:r>
    </w:p>
    <w:p w14:paraId="476547E3" w14:textId="78F10A79" w:rsidR="00F27293" w:rsidRPr="0057246D" w:rsidRDefault="00F27293" w:rsidP="3D3BB236">
      <w:r w:rsidRPr="002A2745">
        <w:br w:type="page"/>
      </w:r>
    </w:p>
    <w:p w14:paraId="4E3308E6" w14:textId="7FF1190E" w:rsidR="00F23E36" w:rsidRPr="00D11446" w:rsidRDefault="35053EF1" w:rsidP="002A2745">
      <w:pPr>
        <w:pStyle w:val="Captulo"/>
      </w:pPr>
      <w:r w:rsidRPr="002A2745">
        <w:lastRenderedPageBreak/>
        <w:t xml:space="preserve">ANEXO </w:t>
      </w:r>
      <w:r w:rsidR="002A2745">
        <w:t>C</w:t>
      </w:r>
      <w:r w:rsidR="002A2745" w:rsidRPr="002A2745">
        <w:t xml:space="preserve"> </w:t>
      </w:r>
      <w:r w:rsidR="2B8F0A4A" w:rsidRPr="002A2745">
        <w:t xml:space="preserve">à </w:t>
      </w:r>
      <w:r w:rsidR="2B8F0A4A" w:rsidRPr="00D11446">
        <w:t xml:space="preserve">Resolução CVM nº </w:t>
      </w:r>
      <w:sdt>
        <w:sdtPr>
          <w:rPr>
            <w:shd w:val="clear" w:color="auto" w:fill="E6E6E6"/>
          </w:rPr>
          <w:alias w:val="Título"/>
          <w:tag w:val=""/>
          <w:id w:val="665054932"/>
          <w:placeholder>
            <w:docPart w:val="3EB297B11E5043A7A7E473EE4AFEC4C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shd w:val="clear" w:color="auto" w:fill="auto"/>
          </w:rPr>
        </w:sdtEndPr>
        <w:sdtContent>
          <w:r w:rsidR="00D078A9">
            <w:rPr>
              <w:shd w:val="clear" w:color="auto" w:fill="E6E6E6"/>
            </w:rPr>
            <w:t>19, de 25 de FEVEREIRO de 2021</w:t>
          </w:r>
        </w:sdtContent>
      </w:sdt>
    </w:p>
    <w:p w14:paraId="5E64AB8B" w14:textId="052C3C3B" w:rsidR="002469C9" w:rsidRPr="002A2745" w:rsidRDefault="005E2194" w:rsidP="002A2745">
      <w:pPr>
        <w:jc w:val="center"/>
        <w:rPr>
          <w:b/>
          <w:bCs/>
          <w:i/>
          <w:iCs/>
        </w:rPr>
      </w:pPr>
      <w:r w:rsidRPr="003D3386">
        <w:rPr>
          <w:i/>
          <w:iCs/>
        </w:rPr>
        <w:t xml:space="preserve">Documentos do </w:t>
      </w:r>
      <w:r>
        <w:rPr>
          <w:i/>
          <w:iCs/>
        </w:rPr>
        <w:t>Pedido de Autorização ou Reconhecimento</w:t>
      </w:r>
      <w:r w:rsidR="3A5F471A" w:rsidRPr="002A2745">
        <w:rPr>
          <w:i/>
          <w:iCs/>
        </w:rPr>
        <w:t xml:space="preserve"> - Pessoa Jurídica</w:t>
      </w:r>
    </w:p>
    <w:p w14:paraId="4769DD44" w14:textId="77777777" w:rsidR="002469C9" w:rsidRPr="002A2745" w:rsidRDefault="35053EF1" w:rsidP="3D3BB236">
      <w:r>
        <w:t>Art. 1º  O pedido de autorização ou de reconhecimento para o exercício da atividade de consultoria de valores mobiliários, por pessoa jurídica, deve ser instruído com os seguintes documentos:</w:t>
      </w:r>
    </w:p>
    <w:p w14:paraId="32C92ED9" w14:textId="77777777" w:rsidR="002469C9" w:rsidRPr="002A2745" w:rsidRDefault="35053EF1" w:rsidP="3D3BB236">
      <w:r w:rsidRPr="002A2745">
        <w:t>I – requerimento assinado pelo representante legal;</w:t>
      </w:r>
    </w:p>
    <w:p w14:paraId="6B95A94A" w14:textId="77777777" w:rsidR="002469C9" w:rsidRPr="002A2745" w:rsidRDefault="35053EF1" w:rsidP="3D3BB236">
      <w:r w:rsidRPr="002A2745">
        <w:t>II – cópia simples dos atos constitutivos em sua versão vigente e atualizada, devidamente registrada no cartório competente, que deve conter previsão para o exercício da atividade e a indicação do responsável perante a CVM;</w:t>
      </w:r>
    </w:p>
    <w:p w14:paraId="10848C25" w14:textId="392FC442" w:rsidR="002469C9" w:rsidRPr="002A2745" w:rsidRDefault="35053EF1" w:rsidP="3D3BB236">
      <w:r w:rsidRPr="002A2745">
        <w:t xml:space="preserve">III – informações cadastrais previstas na </w:t>
      </w:r>
      <w:r w:rsidR="002A2745">
        <w:t>regulamentação</w:t>
      </w:r>
      <w:r w:rsidRPr="002A2745">
        <w:t xml:space="preserve"> que trata do cadastro de participantes do mercado de valores mobiliários; </w:t>
      </w:r>
    </w:p>
    <w:p w14:paraId="6BF9EBFB" w14:textId="77777777" w:rsidR="002469C9" w:rsidRPr="002A2745" w:rsidRDefault="35053EF1" w:rsidP="3D3BB236">
      <w:r w:rsidRPr="002A2745">
        <w:t>IV – Documento com a indicação do diretor responsável pelo dever de verificação da adequação dos produtos, serviços e operações ao perfil do cliente, conforme regulamentação específica e respectivas informações cadastrais;</w:t>
      </w:r>
    </w:p>
    <w:p w14:paraId="1EDE4FC8" w14:textId="4B2A7358" w:rsidR="002469C9" w:rsidRPr="002A2745" w:rsidRDefault="35053EF1" w:rsidP="3D3BB236">
      <w:r w:rsidRPr="002A2745">
        <w:t xml:space="preserve">V – itens 1, 2, 3, 4, 7, 8, 10 e 12 do formulário de referência constante do Anexo </w:t>
      </w:r>
      <w:r w:rsidR="002B3680">
        <w:t>E</w:t>
      </w:r>
      <w:r w:rsidRPr="002A2745">
        <w:t xml:space="preserve"> desta </w:t>
      </w:r>
      <w:r w:rsidR="1427B1DF" w:rsidRPr="002A2745">
        <w:t>Resolução</w:t>
      </w:r>
      <w:r w:rsidRPr="002A2745">
        <w:t xml:space="preserve"> devidamente preenchido e atualizado até o último dia útil do mês anterior ao do protocolo do pedido de autorização </w:t>
      </w:r>
      <w:r w:rsidR="00F5444C">
        <w:t xml:space="preserve">ou reconhecimento </w:t>
      </w:r>
      <w:r w:rsidRPr="002A2745">
        <w:t>na CVM;</w:t>
      </w:r>
    </w:p>
    <w:p w14:paraId="1D1BEB79" w14:textId="4BFEEF87" w:rsidR="002469C9" w:rsidRPr="002A2745" w:rsidRDefault="35053EF1" w:rsidP="3D3BB236">
      <w:r w:rsidRPr="002A2745">
        <w:t xml:space="preserve">VI – item 11 do formulário de referência constante do Anexo </w:t>
      </w:r>
      <w:r w:rsidR="002B3680">
        <w:t>E</w:t>
      </w:r>
      <w:r w:rsidRPr="002A2745">
        <w:t xml:space="preserve"> desta </w:t>
      </w:r>
      <w:r w:rsidR="1427B1DF" w:rsidRPr="002A2745">
        <w:t>Resolução</w:t>
      </w:r>
      <w:r w:rsidRPr="002A2745">
        <w:t xml:space="preserve"> devidamente preenchido e atualizado até o último dia útil do mês anterior ao do protocolo do pedido de autorização na CVM, caso o requerente já possua os dados solicitados; e</w:t>
      </w:r>
    </w:p>
    <w:p w14:paraId="63DCA77F" w14:textId="528FDA84" w:rsidR="00B31392" w:rsidRDefault="35053EF1" w:rsidP="00B31392">
      <w:pPr>
        <w:spacing w:before="0" w:after="200" w:line="276" w:lineRule="auto"/>
      </w:pPr>
      <w:r w:rsidRPr="002A2745">
        <w:t xml:space="preserve">VII – itens 6.1, 6.2 e 9.1 do formulário de referência constante do Anexo </w:t>
      </w:r>
      <w:r w:rsidR="00816427">
        <w:t>E</w:t>
      </w:r>
      <w:r w:rsidRPr="002A2745">
        <w:t xml:space="preserve"> desta </w:t>
      </w:r>
      <w:r w:rsidR="1427B1DF" w:rsidRPr="002A2745">
        <w:t>Resolução</w:t>
      </w:r>
      <w:r w:rsidRPr="002A2745">
        <w:t xml:space="preserve"> devidamente preenchido e atualizado até o último dia útil do mês anterior ao do protocolo do pedido de autorização </w:t>
      </w:r>
      <w:r w:rsidR="00F5444C">
        <w:t xml:space="preserve">ou reconhecimento </w:t>
      </w:r>
      <w:r w:rsidRPr="002A2745">
        <w:t>na CVM, com as informações referentes às pretensões do requerente sobre tais tópicos.</w:t>
      </w:r>
    </w:p>
    <w:p w14:paraId="541CE596" w14:textId="04344235" w:rsidR="00FF6717" w:rsidRPr="00B31392" w:rsidRDefault="00FF6717" w:rsidP="00B31392">
      <w:pPr>
        <w:spacing w:before="0" w:after="200" w:line="276" w:lineRule="auto"/>
        <w:jc w:val="left"/>
        <w:rPr>
          <w:shd w:val="clear" w:color="auto" w:fill="E6E6E6"/>
        </w:rPr>
      </w:pPr>
      <w:r>
        <w:rPr>
          <w:color w:val="2B579A"/>
          <w:shd w:val="clear" w:color="auto" w:fill="E6E6E6"/>
        </w:rPr>
        <w:br w:type="page"/>
      </w:r>
    </w:p>
    <w:p w14:paraId="4801093F" w14:textId="0BE2F91B" w:rsidR="00F23E36" w:rsidRPr="009900BE" w:rsidRDefault="002469C9" w:rsidP="002A2745">
      <w:pPr>
        <w:pStyle w:val="Captulo"/>
      </w:pPr>
      <w:r w:rsidRPr="00330687">
        <w:lastRenderedPageBreak/>
        <w:t xml:space="preserve">ANEXO </w:t>
      </w:r>
      <w:r w:rsidR="004714FF" w:rsidRPr="00330687">
        <w:t>D</w:t>
      </w:r>
      <w:r w:rsidR="00F23E36" w:rsidRPr="00330687">
        <w:t xml:space="preserve"> à Resolução CVM nº</w:t>
      </w:r>
      <w:r w:rsidR="00F23E36" w:rsidRPr="00B64D72">
        <w:t xml:space="preserve"> </w:t>
      </w:r>
      <w:sdt>
        <w:sdtPr>
          <w:alias w:val="Título"/>
          <w:tag w:val=""/>
          <w:id w:val="-510758955"/>
          <w:placeholder>
            <w:docPart w:val="0E5CFD21FF064E04879EF356E57A573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78A9">
            <w:t>19, de 25 de FEVEREIRO de 2021</w:t>
          </w:r>
        </w:sdtContent>
      </w:sdt>
    </w:p>
    <w:p w14:paraId="3AC29446" w14:textId="77777777" w:rsidR="002469C9" w:rsidRPr="00D230EC" w:rsidRDefault="002469C9" w:rsidP="00A35BAB">
      <w:pPr>
        <w:jc w:val="center"/>
        <w:rPr>
          <w:i/>
          <w:iCs/>
        </w:rPr>
      </w:pPr>
      <w:r w:rsidRPr="00A35BAB">
        <w:rPr>
          <w:i/>
          <w:iCs/>
        </w:rPr>
        <w:t>Conteúdo do Formulário de Referência – Pessoa Natural</w:t>
      </w:r>
    </w:p>
    <w:p w14:paraId="5F792B1E" w14:textId="33938BE8" w:rsidR="00ED1FB4" w:rsidRPr="00D230EC" w:rsidRDefault="002469C9" w:rsidP="00F27293">
      <w:pPr>
        <w:jc w:val="center"/>
      </w:pPr>
      <w:r w:rsidRPr="00D230EC">
        <w:t>(informações prestadas com base nas posições de 31 de dezembro)</w:t>
      </w:r>
    </w:p>
    <w:tbl>
      <w:tblPr>
        <w:tblW w:w="497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6"/>
      </w:tblGrid>
      <w:tr w:rsidR="006700F0" w:rsidRPr="00D230EC" w14:paraId="59305BB4" w14:textId="77777777" w:rsidTr="006700F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F082" w14:textId="77777777" w:rsidR="006700F0" w:rsidRPr="00D230EC" w:rsidRDefault="006700F0" w:rsidP="00AF268F">
            <w:pPr>
              <w:jc w:val="center"/>
              <w:rPr>
                <w:b/>
                <w:bCs/>
                <w:i/>
                <w:iCs/>
              </w:rPr>
            </w:pPr>
            <w:r w:rsidRPr="00121ACD">
              <w:t>CONSULTOR DE VALORES MOBILIÁRIOS – PESSOA NATURAL</w:t>
            </w:r>
          </w:p>
        </w:tc>
      </w:tr>
      <w:tr w:rsidR="00D12922" w:rsidRPr="00691057" w14:paraId="62742144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5330" w14:textId="77777777" w:rsidR="00D12922" w:rsidRPr="00691057" w:rsidRDefault="00D12922" w:rsidP="00F14F24">
            <w:pPr>
              <w:ind w:left="573" w:hanging="6"/>
            </w:pPr>
            <w:r w:rsidRPr="00691057">
              <w:t>1. Identificação das pessoas responsáveis pelo conteúdo do formulário</w:t>
            </w:r>
          </w:p>
        </w:tc>
      </w:tr>
      <w:tr w:rsidR="00D12922" w:rsidRPr="0057246D" w14:paraId="09B78C71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1CD3" w14:textId="77777777" w:rsidR="00D12922" w:rsidRPr="0057246D" w:rsidRDefault="00D12922" w:rsidP="00F14F24">
            <w:r w:rsidRPr="00691057">
              <w:t xml:space="preserve">1.1 Declaração da pessoa natural, atestando que: </w:t>
            </w:r>
          </w:p>
        </w:tc>
      </w:tr>
      <w:tr w:rsidR="00D12922" w:rsidRPr="0057246D" w14:paraId="752CF2E6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90F5" w14:textId="77777777" w:rsidR="00D12922" w:rsidRPr="0057246D" w:rsidRDefault="00D12922" w:rsidP="00F14F24">
            <w:pPr>
              <w:ind w:firstLine="918"/>
            </w:pPr>
            <w:r w:rsidRPr="00691057">
              <w:t>a. reviu o formulário de referência</w:t>
            </w:r>
          </w:p>
        </w:tc>
      </w:tr>
      <w:tr w:rsidR="00D12922" w:rsidRPr="0057246D" w14:paraId="41823E31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50F9" w14:textId="77777777" w:rsidR="00D12922" w:rsidRPr="0057246D" w:rsidRDefault="00D12922" w:rsidP="00F14F24">
            <w:pPr>
              <w:ind w:firstLine="918"/>
            </w:pPr>
            <w:r w:rsidRPr="00691057">
              <w:t>b. o conjunto de informações nele contido é um retrato verdadeiro, preciso e completo de seus negócios</w:t>
            </w:r>
          </w:p>
        </w:tc>
      </w:tr>
      <w:tr w:rsidR="00D12922" w:rsidRPr="0057246D" w14:paraId="4B1FF0DC" w14:textId="77777777" w:rsidTr="00F14F2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C08F" w14:textId="77777777" w:rsidR="00D12922" w:rsidRPr="0057246D" w:rsidRDefault="00D12922" w:rsidP="00F14F24">
            <w:pPr>
              <w:ind w:left="573" w:hanging="6"/>
            </w:pPr>
            <w:r w:rsidRPr="00691057">
              <w:t>2. Escopo das atividades</w:t>
            </w:r>
          </w:p>
        </w:tc>
      </w:tr>
      <w:tr w:rsidR="00D12922" w:rsidRPr="0057246D" w14:paraId="694639EE" w14:textId="77777777" w:rsidTr="00F14F2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09A1" w14:textId="77777777" w:rsidR="00D12922" w:rsidRPr="0057246D" w:rsidRDefault="00D12922" w:rsidP="00F14F24">
            <w:r w:rsidRPr="00691057">
              <w:t>2.1 Descrever detalhadamente as atividades de consultoria de valores mobiliários desenvolvidas, indicando, no mínimo:</w:t>
            </w:r>
          </w:p>
        </w:tc>
      </w:tr>
      <w:tr w:rsidR="00D12922" w:rsidRPr="0057246D" w14:paraId="3A9B81B3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5480" w14:textId="77777777" w:rsidR="00D12922" w:rsidRPr="0057246D" w:rsidRDefault="00D12922" w:rsidP="00F14F24">
            <w:pPr>
              <w:ind w:firstLine="918"/>
            </w:pPr>
            <w:r w:rsidRPr="00691057">
              <w:t xml:space="preserve">a. tipos e características dos serviços prestados </w:t>
            </w:r>
          </w:p>
        </w:tc>
      </w:tr>
      <w:tr w:rsidR="00D12922" w:rsidRPr="0057246D" w14:paraId="6D6C3BB5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89A3" w14:textId="77777777" w:rsidR="00D12922" w:rsidRPr="0057246D" w:rsidRDefault="00D12922" w:rsidP="00F14F24">
            <w:pPr>
              <w:ind w:firstLine="1201"/>
            </w:pPr>
            <w:r w:rsidRPr="00691057">
              <w:t>i. modalidades de prestação de serviços de que trata o § 1º do art. 1º praticadas</w:t>
            </w:r>
          </w:p>
        </w:tc>
      </w:tr>
      <w:tr w:rsidR="00D12922" w:rsidRPr="0057246D" w14:paraId="3FF44C46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7494" w14:textId="77777777" w:rsidR="00D12922" w:rsidRPr="0057246D" w:rsidRDefault="00D12922" w:rsidP="00F14F24">
            <w:pPr>
              <w:ind w:firstLine="1201"/>
            </w:pPr>
            <w:proofErr w:type="spellStart"/>
            <w:r w:rsidRPr="00691057">
              <w:t>ii</w:t>
            </w:r>
            <w:proofErr w:type="spellEnd"/>
            <w:r w:rsidRPr="00691057">
              <w:t>. outras modalidades de serviços prestados aos clientes além das previstas no § 1º do art. 1º, ainda que constem do § 3º do art. 1º, se for o caso</w:t>
            </w:r>
          </w:p>
        </w:tc>
      </w:tr>
      <w:tr w:rsidR="00D12922" w:rsidRPr="0057246D" w14:paraId="305070C6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F2AC" w14:textId="77777777" w:rsidR="00D12922" w:rsidRPr="0057246D" w:rsidRDefault="00D12922" w:rsidP="00F14F24">
            <w:pPr>
              <w:ind w:firstLine="918"/>
            </w:pPr>
            <w:r w:rsidRPr="00691057">
              <w:t>b. títulos e valores mobiliários objeto de consultoria</w:t>
            </w:r>
          </w:p>
        </w:tc>
      </w:tr>
      <w:tr w:rsidR="00D12922" w:rsidRPr="0057246D" w14:paraId="2A526254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2FED" w14:textId="77777777" w:rsidR="00D12922" w:rsidRPr="0057246D" w:rsidRDefault="00D12922" w:rsidP="00F14F24">
            <w:pPr>
              <w:ind w:firstLine="918"/>
            </w:pPr>
            <w:r w:rsidRPr="00691057">
              <w:t xml:space="preserve">c. características do processo de “conheça seu cliente” e de </w:t>
            </w:r>
            <w:proofErr w:type="spellStart"/>
            <w:r w:rsidRPr="00691057">
              <w:t>suitability</w:t>
            </w:r>
            <w:proofErr w:type="spellEnd"/>
            <w:r w:rsidRPr="00691057">
              <w:t xml:space="preserve"> praticados </w:t>
            </w:r>
          </w:p>
        </w:tc>
      </w:tr>
      <w:tr w:rsidR="00D12922" w:rsidRPr="0057246D" w14:paraId="615DC0A1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F214" w14:textId="77777777" w:rsidR="00D12922" w:rsidRPr="0057246D" w:rsidRDefault="00D12922" w:rsidP="00F14F24">
            <w:r w:rsidRPr="00691057">
              <w:t>2.2 Descrever o perfil dos clientes, fornecendo as seguintes informações:</w:t>
            </w:r>
          </w:p>
        </w:tc>
      </w:tr>
      <w:tr w:rsidR="00D12922" w:rsidRPr="0057246D" w14:paraId="628F05AE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D8BF" w14:textId="77777777" w:rsidR="00D12922" w:rsidRPr="0057246D" w:rsidRDefault="00D12922" w:rsidP="00F14F24">
            <w:pPr>
              <w:ind w:firstLine="918"/>
            </w:pPr>
            <w:r w:rsidRPr="00691057">
              <w:t>a. número de clientes (total e dividido entre investidores profissionais, qualificados e não qualificados conforme regulamentação específica)</w:t>
            </w:r>
          </w:p>
        </w:tc>
      </w:tr>
      <w:tr w:rsidR="00D12922" w:rsidRPr="0057246D" w14:paraId="7584B190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CC70" w14:textId="77777777" w:rsidR="00D12922" w:rsidRPr="0057246D" w:rsidRDefault="00D12922" w:rsidP="00F14F24">
            <w:pPr>
              <w:ind w:firstLine="918"/>
            </w:pPr>
            <w:r w:rsidRPr="00691057">
              <w:lastRenderedPageBreak/>
              <w:t>b. número de clientes, dividido por:</w:t>
            </w:r>
          </w:p>
        </w:tc>
      </w:tr>
      <w:tr w:rsidR="00D12922" w:rsidRPr="0057246D" w14:paraId="5FDB40DC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C916" w14:textId="77777777" w:rsidR="00D12922" w:rsidRPr="0057246D" w:rsidRDefault="00D12922" w:rsidP="00F14F24">
            <w:pPr>
              <w:ind w:firstLine="1201"/>
            </w:pPr>
            <w:r w:rsidRPr="00691057">
              <w:t>i. pessoas naturais</w:t>
            </w:r>
          </w:p>
        </w:tc>
      </w:tr>
      <w:tr w:rsidR="00D12922" w:rsidRPr="0057246D" w14:paraId="2A53EAD7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191A" w14:textId="77777777" w:rsidR="00D12922" w:rsidRPr="0057246D" w:rsidRDefault="00D12922" w:rsidP="00F14F24">
            <w:pPr>
              <w:ind w:firstLine="1201"/>
            </w:pPr>
            <w:proofErr w:type="spellStart"/>
            <w:r w:rsidRPr="00691057">
              <w:t>ii</w:t>
            </w:r>
            <w:proofErr w:type="spellEnd"/>
            <w:r w:rsidRPr="00691057">
              <w:t>. pessoas jurídicas (não financeiras ou institucionais)</w:t>
            </w:r>
          </w:p>
        </w:tc>
      </w:tr>
      <w:tr w:rsidR="00D12922" w:rsidRPr="0057246D" w14:paraId="6DA1A047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FF43" w14:textId="77777777" w:rsidR="00D12922" w:rsidRPr="0057246D" w:rsidRDefault="00D12922" w:rsidP="00F14F24">
            <w:pPr>
              <w:ind w:firstLine="1201"/>
            </w:pPr>
            <w:proofErr w:type="spellStart"/>
            <w:r w:rsidRPr="00691057">
              <w:t>iii</w:t>
            </w:r>
            <w:proofErr w:type="spellEnd"/>
            <w:r w:rsidRPr="00691057">
              <w:t>. instituições financeiras</w:t>
            </w:r>
          </w:p>
        </w:tc>
      </w:tr>
      <w:tr w:rsidR="00D12922" w:rsidRPr="0057246D" w14:paraId="39F0F72E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B635" w14:textId="77777777" w:rsidR="00D12922" w:rsidRPr="0057246D" w:rsidRDefault="00D12922" w:rsidP="00F14F24">
            <w:pPr>
              <w:ind w:firstLine="1201"/>
            </w:pPr>
            <w:proofErr w:type="spellStart"/>
            <w:r w:rsidRPr="00691057">
              <w:t>iv</w:t>
            </w:r>
            <w:proofErr w:type="spellEnd"/>
            <w:r w:rsidRPr="00691057">
              <w:t>. entidades abertas de previdência complementar</w:t>
            </w:r>
          </w:p>
        </w:tc>
      </w:tr>
      <w:tr w:rsidR="00D12922" w:rsidRPr="0057246D" w14:paraId="0CB2EC09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7726" w14:textId="77777777" w:rsidR="00D12922" w:rsidRPr="0057246D" w:rsidRDefault="00D12922" w:rsidP="00F14F24">
            <w:pPr>
              <w:ind w:firstLine="1201"/>
            </w:pPr>
            <w:r w:rsidRPr="00691057">
              <w:t>v. entidades fechadas de previdência complementar</w:t>
            </w:r>
          </w:p>
        </w:tc>
      </w:tr>
      <w:tr w:rsidR="00D12922" w:rsidRPr="0057246D" w14:paraId="2C3B7C9C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D93B" w14:textId="77777777" w:rsidR="00D12922" w:rsidRPr="0057246D" w:rsidRDefault="00D12922" w:rsidP="00F14F24">
            <w:pPr>
              <w:ind w:firstLine="1201"/>
            </w:pPr>
            <w:r w:rsidRPr="00691057">
              <w:t>vi. regimes próprios de previdência social</w:t>
            </w:r>
          </w:p>
        </w:tc>
      </w:tr>
      <w:tr w:rsidR="00D12922" w:rsidRPr="0057246D" w14:paraId="7D714BF0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2DCA" w14:textId="77777777" w:rsidR="00D12922" w:rsidRPr="0057246D" w:rsidRDefault="00D12922" w:rsidP="00F14F24">
            <w:pPr>
              <w:ind w:firstLine="1201"/>
            </w:pPr>
            <w:proofErr w:type="spellStart"/>
            <w:r w:rsidRPr="00691057">
              <w:t>vii</w:t>
            </w:r>
            <w:proofErr w:type="spellEnd"/>
            <w:r w:rsidRPr="00691057">
              <w:t>. seguradoras</w:t>
            </w:r>
          </w:p>
        </w:tc>
      </w:tr>
      <w:tr w:rsidR="00D12922" w:rsidRPr="0057246D" w14:paraId="54A69CDC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20CF" w14:textId="77777777" w:rsidR="00D12922" w:rsidRPr="0057246D" w:rsidRDefault="00D12922" w:rsidP="00F14F24">
            <w:pPr>
              <w:ind w:firstLine="1201"/>
            </w:pPr>
            <w:proofErr w:type="spellStart"/>
            <w:r w:rsidRPr="00691057">
              <w:t>viii</w:t>
            </w:r>
            <w:proofErr w:type="spellEnd"/>
            <w:r w:rsidRPr="00691057">
              <w:t>. sociedades de capitalização e de arrendamento mercantil</w:t>
            </w:r>
          </w:p>
        </w:tc>
      </w:tr>
      <w:tr w:rsidR="00D12922" w:rsidRPr="0057246D" w14:paraId="244A2E15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80E9" w14:textId="77777777" w:rsidR="00D12922" w:rsidRPr="0057246D" w:rsidRDefault="00D12922" w:rsidP="00F14F24">
            <w:pPr>
              <w:ind w:firstLine="1201"/>
            </w:pPr>
            <w:proofErr w:type="spellStart"/>
            <w:r w:rsidRPr="00691057">
              <w:t>ix</w:t>
            </w:r>
            <w:proofErr w:type="spellEnd"/>
            <w:r w:rsidRPr="00691057">
              <w:t>. clubes de investimento</w:t>
            </w:r>
          </w:p>
        </w:tc>
      </w:tr>
      <w:tr w:rsidR="00D12922" w:rsidRPr="0057246D" w14:paraId="60FA30EC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A163" w14:textId="77777777" w:rsidR="00D12922" w:rsidRPr="0057246D" w:rsidRDefault="00D12922" w:rsidP="00F14F24">
            <w:pPr>
              <w:ind w:firstLine="1201"/>
            </w:pPr>
            <w:r w:rsidRPr="00691057">
              <w:t>x. fundos de investimento</w:t>
            </w:r>
          </w:p>
        </w:tc>
      </w:tr>
      <w:tr w:rsidR="00D12922" w:rsidRPr="0057246D" w14:paraId="5228909A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C564" w14:textId="77777777" w:rsidR="00D12922" w:rsidRPr="0057246D" w:rsidRDefault="00D12922" w:rsidP="00F14F24">
            <w:pPr>
              <w:ind w:firstLine="1201"/>
            </w:pPr>
            <w:r w:rsidRPr="00691057">
              <w:t>xi. investidores não residentes</w:t>
            </w:r>
          </w:p>
        </w:tc>
      </w:tr>
      <w:tr w:rsidR="00D12922" w:rsidRPr="0057246D" w14:paraId="31E80A2C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46C6" w14:textId="77777777" w:rsidR="00D12922" w:rsidRPr="0057246D" w:rsidRDefault="00D12922" w:rsidP="00F14F24">
            <w:pPr>
              <w:ind w:firstLine="1201"/>
            </w:pPr>
            <w:proofErr w:type="spellStart"/>
            <w:r w:rsidRPr="00691057">
              <w:t>xii</w:t>
            </w:r>
            <w:proofErr w:type="spellEnd"/>
            <w:r w:rsidRPr="00691057">
              <w:t>. outros (especificar)</w:t>
            </w:r>
          </w:p>
        </w:tc>
      </w:tr>
      <w:tr w:rsidR="00D12922" w:rsidRPr="00691057" w14:paraId="4929D099" w14:textId="77777777" w:rsidTr="00F14F2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17B9" w14:textId="77777777" w:rsidR="00D12922" w:rsidRPr="00691057" w:rsidRDefault="00D12922" w:rsidP="00F14F24">
            <w:r w:rsidRPr="00691057">
              <w:t>2.3 Outras informações que julgue relevantes</w:t>
            </w:r>
          </w:p>
        </w:tc>
      </w:tr>
      <w:tr w:rsidR="00D12922" w:rsidRPr="00691057" w14:paraId="495AC144" w14:textId="77777777" w:rsidTr="00F14F2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66DB" w14:textId="77777777" w:rsidR="00D12922" w:rsidRPr="00691057" w:rsidRDefault="00D12922" w:rsidP="00F14F24">
            <w:pPr>
              <w:ind w:left="573" w:hanging="6"/>
            </w:pPr>
            <w:r w:rsidRPr="00691057">
              <w:t>3. Conhecimento e experiência</w:t>
            </w:r>
          </w:p>
        </w:tc>
      </w:tr>
      <w:tr w:rsidR="00D12922" w:rsidRPr="0057246D" w14:paraId="74EBDA7A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2226" w14:textId="24A6DAD0" w:rsidR="00D12922" w:rsidRPr="0057246D" w:rsidRDefault="00D12922" w:rsidP="00F14F24">
            <w:pPr>
              <w:tabs>
                <w:tab w:val="num" w:pos="0"/>
              </w:tabs>
            </w:pPr>
            <w:r w:rsidRPr="00691057">
              <w:t xml:space="preserve">3.1 </w:t>
            </w:r>
            <w:r w:rsidR="005E2194">
              <w:t>Apresentar</w:t>
            </w:r>
            <w:r w:rsidRPr="00691057">
              <w:t xml:space="preserve"> currículo contendo as seguintes informações:</w:t>
            </w:r>
          </w:p>
        </w:tc>
      </w:tr>
      <w:tr w:rsidR="00D12922" w:rsidRPr="0057246D" w14:paraId="2BB60ACB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6FE3" w14:textId="77777777" w:rsidR="00D12922" w:rsidRPr="0057246D" w:rsidRDefault="00D12922" w:rsidP="00F14F24">
            <w:pPr>
              <w:ind w:firstLine="918"/>
            </w:pPr>
            <w:r w:rsidRPr="00691057">
              <w:t>a. cursos concluídos;</w:t>
            </w:r>
          </w:p>
        </w:tc>
      </w:tr>
      <w:tr w:rsidR="00D12922" w:rsidRPr="0057246D" w14:paraId="10193D52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D17C" w14:textId="77777777" w:rsidR="00D12922" w:rsidRPr="0057246D" w:rsidRDefault="00D12922" w:rsidP="00F14F24">
            <w:pPr>
              <w:ind w:firstLine="918"/>
            </w:pPr>
            <w:r w:rsidRPr="00691057">
              <w:t>b. aprovação em exames de certificação profissional</w:t>
            </w:r>
          </w:p>
        </w:tc>
      </w:tr>
      <w:tr w:rsidR="00D12922" w:rsidRPr="0057246D" w14:paraId="6FB89CB7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19E8" w14:textId="77777777" w:rsidR="00D12922" w:rsidRPr="0057246D" w:rsidRDefault="00D12922" w:rsidP="00F14F24">
            <w:pPr>
              <w:ind w:firstLine="918"/>
            </w:pPr>
            <w:r w:rsidRPr="00691057">
              <w:t>c. principais experiências profissionais durante os últimos 5 (cinco) anos, indicando:</w:t>
            </w:r>
          </w:p>
        </w:tc>
      </w:tr>
      <w:tr w:rsidR="00D12922" w:rsidRPr="0057246D" w14:paraId="5CFA65FB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049B" w14:textId="77777777" w:rsidR="00D12922" w:rsidRPr="0057246D" w:rsidRDefault="00D12922" w:rsidP="00F14F24">
            <w:pPr>
              <w:ind w:firstLine="1201"/>
            </w:pPr>
            <w:r w:rsidRPr="00691057">
              <w:lastRenderedPageBreak/>
              <w:t>i. nome da empresa</w:t>
            </w:r>
          </w:p>
        </w:tc>
      </w:tr>
      <w:tr w:rsidR="00D12922" w:rsidRPr="0057246D" w14:paraId="31FAE292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2674" w14:textId="77777777" w:rsidR="00D12922" w:rsidRPr="0057246D" w:rsidRDefault="00D12922" w:rsidP="00F14F24">
            <w:pPr>
              <w:ind w:firstLine="1201"/>
            </w:pPr>
            <w:proofErr w:type="spellStart"/>
            <w:r w:rsidRPr="00691057">
              <w:t>ii</w:t>
            </w:r>
            <w:proofErr w:type="spellEnd"/>
            <w:r w:rsidRPr="00691057">
              <w:t>. cargo e funções inerentes ao cargo</w:t>
            </w:r>
          </w:p>
        </w:tc>
      </w:tr>
      <w:tr w:rsidR="00D12922" w:rsidRPr="0057246D" w14:paraId="2EE51F76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B7E3" w14:textId="77777777" w:rsidR="00D12922" w:rsidRPr="0057246D" w:rsidRDefault="00D12922" w:rsidP="00F14F24">
            <w:pPr>
              <w:ind w:firstLine="1201"/>
            </w:pPr>
            <w:proofErr w:type="spellStart"/>
            <w:r w:rsidRPr="00691057">
              <w:t>iii</w:t>
            </w:r>
            <w:proofErr w:type="spellEnd"/>
            <w:r w:rsidRPr="00691057">
              <w:t>. atividade principal da empresa na qual tais experiências ocorreram</w:t>
            </w:r>
          </w:p>
        </w:tc>
      </w:tr>
      <w:tr w:rsidR="00D12922" w:rsidRPr="0057246D" w14:paraId="15B0F907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BADA" w14:textId="77777777" w:rsidR="00D12922" w:rsidRPr="0057246D" w:rsidRDefault="00D12922" w:rsidP="00F14F24">
            <w:pPr>
              <w:tabs>
                <w:tab w:val="num" w:pos="0"/>
              </w:tabs>
            </w:pPr>
            <w:r w:rsidRPr="00691057">
              <w:t>3.2 Fornecer outras informações que julgue relevantes</w:t>
            </w:r>
          </w:p>
        </w:tc>
      </w:tr>
      <w:tr w:rsidR="00D12922" w:rsidRPr="00691057" w14:paraId="736F9EBA" w14:textId="77777777" w:rsidTr="00F14F2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49BD" w14:textId="77777777" w:rsidR="00D12922" w:rsidRPr="00691057" w:rsidRDefault="00D12922" w:rsidP="00F14F24">
            <w:pPr>
              <w:ind w:left="573" w:hanging="6"/>
            </w:pPr>
            <w:r w:rsidRPr="00691057">
              <w:t>4. Remuneração</w:t>
            </w:r>
          </w:p>
        </w:tc>
      </w:tr>
      <w:tr w:rsidR="00D12922" w:rsidRPr="0057246D" w14:paraId="752D3CD8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3D9C" w14:textId="77777777" w:rsidR="00D12922" w:rsidRPr="0057246D" w:rsidRDefault="00D12922" w:rsidP="00F14F24">
            <w:pPr>
              <w:tabs>
                <w:tab w:val="num" w:pos="0"/>
              </w:tabs>
            </w:pPr>
            <w:r w:rsidRPr="00691057">
              <w:t>4.1 Em relação a cada serviço prestado, conforme descrito no item 2.1, indicar as principais formas de remuneração que pratica.</w:t>
            </w:r>
          </w:p>
        </w:tc>
      </w:tr>
      <w:tr w:rsidR="00D12922" w:rsidRPr="0057246D" w14:paraId="60BEF64C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2CFE" w14:textId="77777777" w:rsidR="00D12922" w:rsidRPr="0057246D" w:rsidRDefault="00D12922" w:rsidP="00F14F24">
            <w:pPr>
              <w:tabs>
                <w:tab w:val="num" w:pos="0"/>
              </w:tabs>
            </w:pPr>
            <w:r w:rsidRPr="00691057">
              <w:t>4.2 Indicar, exclusivamente em termos percentuais sobre a receita total aferida nos 36 (trinta e seis) meses anteriores à data base deste formulário, a receita proveniente dos clientes, durante o mesmo período, em decorrência de:</w:t>
            </w:r>
          </w:p>
        </w:tc>
      </w:tr>
      <w:tr w:rsidR="00D12922" w:rsidRPr="0057246D" w14:paraId="07A6FB08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9C46" w14:textId="77777777" w:rsidR="00D12922" w:rsidRPr="0057246D" w:rsidRDefault="00D12922" w:rsidP="00F14F24">
            <w:pPr>
              <w:ind w:firstLine="918"/>
            </w:pPr>
            <w:r w:rsidRPr="00691057">
              <w:t>a. taxas com bases fixas</w:t>
            </w:r>
          </w:p>
        </w:tc>
      </w:tr>
      <w:tr w:rsidR="00D12922" w:rsidRPr="0057246D" w14:paraId="0C998F15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0DF7" w14:textId="77777777" w:rsidR="00D12922" w:rsidRPr="0057246D" w:rsidRDefault="00D12922" w:rsidP="00F14F24">
            <w:pPr>
              <w:ind w:firstLine="918"/>
            </w:pPr>
            <w:r w:rsidRPr="00691057">
              <w:t>b. taxas de performance</w:t>
            </w:r>
          </w:p>
        </w:tc>
      </w:tr>
      <w:tr w:rsidR="00D12922" w:rsidRPr="0057246D" w14:paraId="3C023271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BDA4" w14:textId="049521E3" w:rsidR="00D12922" w:rsidRPr="0057246D" w:rsidRDefault="00D12922" w:rsidP="00F14F24">
            <w:pPr>
              <w:ind w:firstLine="918"/>
            </w:pPr>
            <w:r w:rsidRPr="00691057">
              <w:t>c. no caso de clientes profissionais, nos termos da regulamentação específica, remunerações, tais como rebates e outras formas de remuneração que não sejam diretamente recebidas de seus clientes de consultoria que estejam relacionadas com previsão existente no § 1º do art. 18</w:t>
            </w:r>
          </w:p>
        </w:tc>
      </w:tr>
      <w:tr w:rsidR="00D12922" w:rsidRPr="0057246D" w14:paraId="69BBB8DD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E840" w14:textId="77777777" w:rsidR="00D12922" w:rsidRPr="0057246D" w:rsidRDefault="00D12922" w:rsidP="00F14F24">
            <w:pPr>
              <w:ind w:firstLine="918"/>
            </w:pPr>
            <w:r w:rsidRPr="00691057">
              <w:t>d. honorários por hora</w:t>
            </w:r>
          </w:p>
        </w:tc>
      </w:tr>
      <w:tr w:rsidR="00D12922" w:rsidRPr="0057246D" w14:paraId="32349D43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D96A" w14:textId="77777777" w:rsidR="00D12922" w:rsidRPr="0057246D" w:rsidRDefault="00D12922" w:rsidP="00F14F24">
            <w:pPr>
              <w:ind w:firstLine="918"/>
            </w:pPr>
            <w:r w:rsidRPr="00691057">
              <w:t>e. outras formas de remuneração</w:t>
            </w:r>
          </w:p>
        </w:tc>
      </w:tr>
      <w:tr w:rsidR="00D12922" w:rsidRPr="0057246D" w14:paraId="3C8C255E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E071" w14:textId="77777777" w:rsidR="00D12922" w:rsidRPr="0057246D" w:rsidRDefault="00D12922" w:rsidP="00F14F24">
            <w:pPr>
              <w:tabs>
                <w:tab w:val="num" w:pos="0"/>
              </w:tabs>
            </w:pPr>
            <w:r w:rsidRPr="00691057">
              <w:t>4.3 No caso do recebimento de taxas de performance, explicar a metodologia de cálculo e apuração, vinculação a um índice de referência, periodicidade de apuração e pagamento.</w:t>
            </w:r>
          </w:p>
        </w:tc>
      </w:tr>
      <w:tr w:rsidR="00D12922" w:rsidRPr="0057246D" w14:paraId="113F8B08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6A94" w14:textId="77777777" w:rsidR="00D12922" w:rsidRPr="0057246D" w:rsidRDefault="00D12922" w:rsidP="00F14F24">
            <w:pPr>
              <w:tabs>
                <w:tab w:val="num" w:pos="0"/>
              </w:tabs>
            </w:pPr>
            <w:r w:rsidRPr="00691057">
              <w:t>4.4 Fornecer outras informações que julgue relevantes</w:t>
            </w:r>
          </w:p>
        </w:tc>
      </w:tr>
      <w:tr w:rsidR="00D12922" w:rsidRPr="00691057" w14:paraId="2A2DE27F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6E86" w14:textId="77777777" w:rsidR="00D12922" w:rsidRPr="00691057" w:rsidRDefault="00D12922" w:rsidP="00F14F24">
            <w:pPr>
              <w:ind w:left="573" w:hanging="6"/>
            </w:pPr>
            <w:r w:rsidRPr="00691057">
              <w:t>5. Contingências</w:t>
            </w:r>
          </w:p>
        </w:tc>
      </w:tr>
      <w:tr w:rsidR="00D12922" w:rsidRPr="00691057" w14:paraId="4C60FF40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F77B" w14:textId="77777777" w:rsidR="00D12922" w:rsidRPr="00691057" w:rsidRDefault="00D12922" w:rsidP="00F14F24">
            <w:pPr>
              <w:tabs>
                <w:tab w:val="num" w:pos="0"/>
              </w:tabs>
            </w:pPr>
            <w:r w:rsidRPr="00691057">
              <w:lastRenderedPageBreak/>
              <w:t xml:space="preserve">5.1 Descrever os processos judiciais, procedimentos administrativos ou arbitrais, que não estejam sob sigilo, em que figure no polo passivo, e sejam relevantes para seu patrimônio pessoal, ou que possam afetar seus negócios ou sua reputação profissional, indicando: </w:t>
            </w:r>
          </w:p>
        </w:tc>
      </w:tr>
      <w:tr w:rsidR="00D12922" w:rsidRPr="0057246D" w14:paraId="1EE6AB52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24B9" w14:textId="77777777" w:rsidR="00D12922" w:rsidRPr="0057246D" w:rsidRDefault="00D12922" w:rsidP="00F14F24">
            <w:pPr>
              <w:ind w:firstLine="918"/>
            </w:pPr>
            <w:r w:rsidRPr="00691057">
              <w:t>a. principais fatos</w:t>
            </w:r>
          </w:p>
        </w:tc>
      </w:tr>
      <w:tr w:rsidR="00D12922" w:rsidRPr="0057246D" w14:paraId="4DE32510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21AA" w14:textId="77777777" w:rsidR="00D12922" w:rsidRPr="0057246D" w:rsidRDefault="00D12922" w:rsidP="00F14F24">
            <w:pPr>
              <w:ind w:firstLine="918"/>
            </w:pPr>
            <w:r w:rsidRPr="00691057">
              <w:t>b. valores, bens ou direitos envolvidos</w:t>
            </w:r>
          </w:p>
        </w:tc>
      </w:tr>
      <w:tr w:rsidR="00D12922" w:rsidRPr="00691057" w14:paraId="29287787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BA65" w14:textId="77777777" w:rsidR="00D12922" w:rsidRPr="00691057" w:rsidRDefault="00D12922" w:rsidP="00F14F24">
            <w:pPr>
              <w:tabs>
                <w:tab w:val="num" w:pos="0"/>
              </w:tabs>
            </w:pPr>
            <w:r w:rsidRPr="00691057">
              <w:t>5.2 Descrever outras contingências relevantes não abrangidas pelo item anterior</w:t>
            </w:r>
          </w:p>
        </w:tc>
      </w:tr>
      <w:tr w:rsidR="00D12922" w:rsidRPr="00691057" w14:paraId="58EDE138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50C9" w14:textId="77777777" w:rsidR="00D12922" w:rsidRPr="00691057" w:rsidRDefault="00D12922" w:rsidP="00F14F24">
            <w:pPr>
              <w:tabs>
                <w:tab w:val="num" w:pos="0"/>
              </w:tabs>
            </w:pPr>
            <w:r w:rsidRPr="00691057">
              <w:t>5.3 Descrever condenações judiciais, administrativas ou arbitrais, prolatadas nos últimos 5 (cinco) anos em processos que não estejam sob sigilo, em que tenha figurado no polo passivo, e tenham sido relevantes para seu patrimônio pessoal, ou que tenham afetado seus negócios ou sua reputação profissional, indicando:</w:t>
            </w:r>
          </w:p>
        </w:tc>
      </w:tr>
      <w:tr w:rsidR="00D12922" w:rsidRPr="00691057" w14:paraId="6DE71D72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1602" w14:textId="77777777" w:rsidR="00D12922" w:rsidRPr="00691057" w:rsidRDefault="00D12922" w:rsidP="00F14F24">
            <w:pPr>
              <w:ind w:firstLine="918"/>
            </w:pPr>
            <w:r w:rsidRPr="00691057">
              <w:t>a. principais fatos</w:t>
            </w:r>
          </w:p>
        </w:tc>
      </w:tr>
      <w:tr w:rsidR="00D12922" w:rsidRPr="00691057" w14:paraId="775D042E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8CA2" w14:textId="77777777" w:rsidR="00D12922" w:rsidRPr="00691057" w:rsidRDefault="00D12922" w:rsidP="00F14F24">
            <w:pPr>
              <w:ind w:firstLine="918"/>
            </w:pPr>
            <w:r w:rsidRPr="00691057">
              <w:t>b. valores, bens ou direitos envolvidos</w:t>
            </w:r>
          </w:p>
        </w:tc>
      </w:tr>
      <w:tr w:rsidR="00D12922" w:rsidRPr="00691057" w14:paraId="44F5FE10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570A" w14:textId="77777777" w:rsidR="00D12922" w:rsidRPr="00691057" w:rsidRDefault="00D12922" w:rsidP="00F14F24">
            <w:pPr>
              <w:ind w:left="573" w:hanging="6"/>
            </w:pPr>
            <w:r w:rsidRPr="00691057">
              <w:t>6. Declarações adicionais do consultor, informando sobre:</w:t>
            </w:r>
          </w:p>
        </w:tc>
      </w:tr>
      <w:tr w:rsidR="00D12922" w:rsidRPr="0057246D" w14:paraId="76EAC6E1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8714" w14:textId="77777777" w:rsidR="00D12922" w:rsidRPr="0057246D" w:rsidRDefault="00D12922" w:rsidP="00F14F24">
            <w:pPr>
              <w:tabs>
                <w:tab w:val="num" w:pos="0"/>
              </w:tabs>
            </w:pPr>
            <w:r w:rsidRPr="00691057">
              <w:t>6.1 acusações decorrentes de processos administrativos, bem como punições sofridas, nos últimos  5 (cinco) anos, em decorrência de atividade sujeita ao controle e fiscalização da CVM, Banco Central do Brasil, Superintendência de Seguros Privados – SUSEP ou da Superintendência Nacional de Previdência Complementar – PREVIC, incluindo que não está inabilitado ou suspenso para o exercício de cargo em instituições financeiras e demais entidades autorizadas a funcionar pelos citados órgãos ou por entidades equivalentes em seu país de domicílio</w:t>
            </w:r>
          </w:p>
        </w:tc>
      </w:tr>
      <w:tr w:rsidR="00D12922" w:rsidRPr="00691057" w14:paraId="568943B7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A3EB" w14:textId="77777777" w:rsidR="00D12922" w:rsidRPr="00691057" w:rsidRDefault="00D12922" w:rsidP="00F14F24">
            <w:pPr>
              <w:tabs>
                <w:tab w:val="num" w:pos="0"/>
              </w:tabs>
            </w:pPr>
            <w:r w:rsidRPr="00691057">
              <w:t>6.2 condenações por crime falimentar, prevaricação, suborno, concussão, peculato, “lavagem” de dinheiro ou ocultação de bens, direitos e valores, contra a economia popular, a ordem econômica, as relações de consumo, a fé pública ou a propriedade pública, o sistema financeiro nacional, ou a pena criminal que vede, ainda que temporariamente, o acesso a cargos públicos, por decisão transitada em julgado, ressalvada a hipótese de reabilitação</w:t>
            </w:r>
          </w:p>
        </w:tc>
      </w:tr>
      <w:tr w:rsidR="00D12922" w:rsidRPr="0057246D" w14:paraId="37B74BD5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990C" w14:textId="77777777" w:rsidR="00D12922" w:rsidRPr="0057246D" w:rsidRDefault="00D12922" w:rsidP="00F14F24">
            <w:pPr>
              <w:tabs>
                <w:tab w:val="num" w:pos="0"/>
              </w:tabs>
            </w:pPr>
            <w:r w:rsidRPr="00691057">
              <w:lastRenderedPageBreak/>
              <w:t>6.3 impedimentos de administrar seus bens ou deles dispor em razão de decisão judicial e administrativa</w:t>
            </w:r>
          </w:p>
        </w:tc>
      </w:tr>
      <w:tr w:rsidR="00D12922" w:rsidRPr="0057246D" w14:paraId="26866284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0891" w14:textId="77777777" w:rsidR="00D12922" w:rsidRPr="0057246D" w:rsidRDefault="00D12922" w:rsidP="00F14F24">
            <w:pPr>
              <w:tabs>
                <w:tab w:val="num" w:pos="0"/>
              </w:tabs>
            </w:pPr>
            <w:r w:rsidRPr="00691057">
              <w:t>6.4 inclusão em relação de comitentes inadimplentes de entidade administradora de mercado organizado</w:t>
            </w:r>
          </w:p>
        </w:tc>
      </w:tr>
    </w:tbl>
    <w:p w14:paraId="35A0EC6E" w14:textId="77777777" w:rsidR="006700F0" w:rsidRPr="0057246D" w:rsidRDefault="006700F0" w:rsidP="006700F0">
      <w:r w:rsidRPr="0057246D">
        <w:rPr>
          <w:color w:val="2B579A"/>
          <w:shd w:val="clear" w:color="auto" w:fill="E6E6E6"/>
        </w:rPr>
        <w:br w:type="page"/>
      </w:r>
    </w:p>
    <w:p w14:paraId="4277A501" w14:textId="4B892546" w:rsidR="00F23E36" w:rsidRPr="00461695" w:rsidRDefault="00F23E36" w:rsidP="00F42D46">
      <w:pPr>
        <w:pStyle w:val="Captulo"/>
      </w:pPr>
      <w:r w:rsidRPr="00BD0C2B">
        <w:lastRenderedPageBreak/>
        <w:t xml:space="preserve">ANEXO </w:t>
      </w:r>
      <w:r w:rsidR="0590EA1F" w:rsidRPr="00BD0C2B">
        <w:t>E</w:t>
      </w:r>
      <w:r w:rsidRPr="00BD0C2B">
        <w:t xml:space="preserve"> à Resolução </w:t>
      </w:r>
      <w:r w:rsidRPr="00D11446">
        <w:t xml:space="preserve">CVM nº </w:t>
      </w:r>
      <w:sdt>
        <w:sdtPr>
          <w:alias w:val="Título"/>
          <w:tag w:val=""/>
          <w:id w:val="-1638172194"/>
          <w:placeholder>
            <w:docPart w:val="4462FA80F5D446F69A7EC7E04C64DBF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78A9">
            <w:t>19, de 25 de FEVEREIRO de 2021</w:t>
          </w:r>
        </w:sdtContent>
      </w:sdt>
    </w:p>
    <w:p w14:paraId="4D15167F" w14:textId="77777777" w:rsidR="006700F0" w:rsidRPr="00B37E72" w:rsidRDefault="006700F0" w:rsidP="002E7D92">
      <w:pPr>
        <w:jc w:val="center"/>
        <w:rPr>
          <w:i/>
          <w:iCs/>
        </w:rPr>
      </w:pPr>
      <w:r w:rsidRPr="002E7D92">
        <w:rPr>
          <w:i/>
          <w:iCs/>
        </w:rPr>
        <w:t>Conteúdo do Formulário de Referência – Pessoa Jurídica</w:t>
      </w:r>
    </w:p>
    <w:p w14:paraId="34942D7D" w14:textId="77777777" w:rsidR="006700F0" w:rsidRPr="0057246D" w:rsidRDefault="006700F0" w:rsidP="00DE7D6E">
      <w:pPr>
        <w:jc w:val="center"/>
      </w:pPr>
      <w:r w:rsidRPr="00461695">
        <w:t xml:space="preserve">(informações prestadas com </w:t>
      </w:r>
      <w:r w:rsidRPr="002E7D92">
        <w:t>base nas posições de 31 de dezembro)</w:t>
      </w:r>
    </w:p>
    <w:tbl>
      <w:tblPr>
        <w:tblW w:w="497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4"/>
      </w:tblGrid>
      <w:tr w:rsidR="006700F0" w:rsidRPr="0057246D" w14:paraId="13F7ED69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9A86" w14:textId="77777777" w:rsidR="006700F0" w:rsidRPr="00EA6E62" w:rsidRDefault="006700F0" w:rsidP="00D230EC">
            <w:pPr>
              <w:jc w:val="center"/>
            </w:pPr>
            <w:r w:rsidRPr="00EA6E62">
              <w:t>CONSULTOR DE VALORES MOBILIÁRIOS – PESSOA JURÍDICA</w:t>
            </w:r>
          </w:p>
        </w:tc>
      </w:tr>
      <w:tr w:rsidR="00FB683A" w:rsidRPr="0057246D" w14:paraId="37C02B7F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89BF" w14:textId="1E9405E8" w:rsidR="00FB683A" w:rsidRPr="0057246D" w:rsidRDefault="00FB683A" w:rsidP="00FB683A">
            <w:pPr>
              <w:ind w:left="567" w:firstLine="0"/>
              <w:rPr>
                <w:b/>
                <w:bCs/>
              </w:rPr>
            </w:pPr>
            <w:r w:rsidRPr="00691057">
              <w:t>1. Identificação das pessoas responsáveis pelo conteúdo do formulário</w:t>
            </w:r>
          </w:p>
        </w:tc>
      </w:tr>
      <w:tr w:rsidR="00FB683A" w:rsidRPr="0057246D" w14:paraId="6838D1BF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6912" w14:textId="1033DB86" w:rsidR="00FB683A" w:rsidRPr="0057246D" w:rsidRDefault="00FB683A" w:rsidP="00FB683A">
            <w:pPr>
              <w:tabs>
                <w:tab w:val="num" w:pos="0"/>
              </w:tabs>
            </w:pPr>
            <w:r w:rsidRPr="00691057">
              <w:t xml:space="preserve">1.1 Declaração do diretor responsável pela atividade de consultoria de valores mobiliários e do diretor responsável e pela implementação e cumprimento de regras e procedimentos internos e das normas estabelecidas por esta Resolução, atestando que: </w:t>
            </w:r>
          </w:p>
        </w:tc>
      </w:tr>
      <w:tr w:rsidR="00FB683A" w:rsidRPr="0057246D" w14:paraId="587E1FCD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700A" w14:textId="3D8103A1" w:rsidR="00FB683A" w:rsidRPr="0057246D" w:rsidRDefault="00FB683A" w:rsidP="00FB683A">
            <w:pPr>
              <w:ind w:firstLine="918"/>
            </w:pPr>
            <w:r w:rsidRPr="00691057">
              <w:t>a. reviram o formulário de atividades</w:t>
            </w:r>
          </w:p>
        </w:tc>
      </w:tr>
      <w:tr w:rsidR="00FB683A" w:rsidRPr="0057246D" w14:paraId="2A06954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D216" w14:textId="3BD30D6E" w:rsidR="00FB683A" w:rsidRPr="0057246D" w:rsidRDefault="00FB683A" w:rsidP="00FB683A">
            <w:pPr>
              <w:ind w:firstLine="918"/>
            </w:pPr>
            <w:r w:rsidRPr="00691057">
              <w:t>b. o conjunto de informações nele contido é um retrato verdadeiro, preciso e completo da estrutura, dos negócios, das políticas e das práticas adotadas pela empresa</w:t>
            </w:r>
          </w:p>
        </w:tc>
      </w:tr>
      <w:tr w:rsidR="00FB683A" w:rsidRPr="0057246D" w14:paraId="0FE74D51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4F76" w14:textId="491EFE68" w:rsidR="00FB683A" w:rsidRPr="0057246D" w:rsidRDefault="00FB683A" w:rsidP="00FB683A">
            <w:pPr>
              <w:ind w:left="567" w:firstLine="0"/>
              <w:rPr>
                <w:b/>
                <w:bCs/>
              </w:rPr>
            </w:pPr>
            <w:r w:rsidRPr="00691057">
              <w:t>2. Histórico da empresa</w:t>
            </w:r>
          </w:p>
        </w:tc>
      </w:tr>
      <w:tr w:rsidR="00FB683A" w:rsidRPr="0057246D" w14:paraId="5925434B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E209" w14:textId="7A865E27" w:rsidR="00FB683A" w:rsidRPr="0057246D" w:rsidRDefault="00FB683A" w:rsidP="00FB683A">
            <w:r w:rsidRPr="00691057">
              <w:t>2.1 Breve histórico sobre a constituição da empresa</w:t>
            </w:r>
          </w:p>
        </w:tc>
      </w:tr>
      <w:tr w:rsidR="00FB683A" w:rsidRPr="0057246D" w14:paraId="03E7942F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6DCA" w14:textId="46900CC2" w:rsidR="00FB683A" w:rsidRPr="0057246D" w:rsidRDefault="00FB683A" w:rsidP="00FB683A">
            <w:r w:rsidRPr="00691057">
              <w:t>2.2 Descrever as mudanças relevantes pelas quais tenha passado a empresa nos últimos 5 (cinco) anos, incluindo:</w:t>
            </w:r>
          </w:p>
        </w:tc>
      </w:tr>
      <w:tr w:rsidR="00FB683A" w:rsidRPr="0057246D" w14:paraId="57005138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9295" w14:textId="65F8011B" w:rsidR="00FB683A" w:rsidRPr="0057246D" w:rsidRDefault="00FB683A" w:rsidP="00FB683A">
            <w:pPr>
              <w:ind w:firstLine="918"/>
              <w:rPr>
                <w:b/>
                <w:bCs/>
              </w:rPr>
            </w:pPr>
            <w:r w:rsidRPr="00691057">
              <w:t>a. os principais eventos societários, tais como incorporações, fusões, cisões, alienações e aquisições de controle societário</w:t>
            </w:r>
          </w:p>
        </w:tc>
      </w:tr>
      <w:tr w:rsidR="00FB683A" w:rsidRPr="0057246D" w14:paraId="130BFBC0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AB2F" w14:textId="5B9136E5" w:rsidR="00FB683A" w:rsidRPr="0057246D" w:rsidRDefault="00FB683A" w:rsidP="00FB683A">
            <w:pPr>
              <w:ind w:firstLine="918"/>
            </w:pPr>
            <w:r w:rsidRPr="00691057">
              <w:t>b. escopo das atividades</w:t>
            </w:r>
          </w:p>
        </w:tc>
      </w:tr>
      <w:tr w:rsidR="00FB683A" w:rsidRPr="0057246D" w14:paraId="32C24B85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A7C7" w14:textId="623729C3" w:rsidR="00FB683A" w:rsidRPr="0057246D" w:rsidRDefault="00FB683A" w:rsidP="00FB683A">
            <w:pPr>
              <w:ind w:firstLine="918"/>
            </w:pPr>
            <w:r w:rsidRPr="00691057">
              <w:t>c. recursos humanos e computacionais</w:t>
            </w:r>
          </w:p>
        </w:tc>
      </w:tr>
      <w:tr w:rsidR="00FB683A" w:rsidRPr="0057246D" w14:paraId="127AF385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F911" w14:textId="28EB7AA4" w:rsidR="00FB683A" w:rsidRPr="0057246D" w:rsidRDefault="00FB683A" w:rsidP="00FB683A">
            <w:pPr>
              <w:ind w:firstLine="918"/>
            </w:pPr>
            <w:r w:rsidRPr="00691057">
              <w:t xml:space="preserve">d. regras, procedimentos e controles internos </w:t>
            </w:r>
          </w:p>
        </w:tc>
      </w:tr>
      <w:tr w:rsidR="00FB683A" w:rsidRPr="0057246D" w14:paraId="63E9B942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EFD7" w14:textId="0068FC24" w:rsidR="00FB683A" w:rsidRPr="0057246D" w:rsidRDefault="00FB683A" w:rsidP="00FB683A">
            <w:pPr>
              <w:ind w:left="567" w:firstLine="0"/>
              <w:rPr>
                <w:b/>
                <w:bCs/>
              </w:rPr>
            </w:pPr>
            <w:r w:rsidRPr="00691057">
              <w:lastRenderedPageBreak/>
              <w:t>3. Recursos humanos</w:t>
            </w:r>
            <w:r w:rsidRPr="00691057">
              <w:footnoteReference w:id="2"/>
            </w:r>
            <w:r w:rsidRPr="00691057">
              <w:t xml:space="preserve"> </w:t>
            </w:r>
          </w:p>
        </w:tc>
      </w:tr>
      <w:tr w:rsidR="00FB683A" w:rsidRPr="0057246D" w14:paraId="5EB2D2A0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14FC" w14:textId="53D655A0" w:rsidR="00FB683A" w:rsidRPr="0057246D" w:rsidRDefault="00FB683A" w:rsidP="00FB683A">
            <w:r w:rsidRPr="00691057">
              <w:t xml:space="preserve">3.1 Descrever os recursos humanos da empresa, fornecendo as seguintes informações: </w:t>
            </w:r>
          </w:p>
        </w:tc>
      </w:tr>
      <w:tr w:rsidR="00FB683A" w:rsidRPr="0057246D" w14:paraId="7C5B1E24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1E1E" w14:textId="6CC8588D" w:rsidR="00FB683A" w:rsidRPr="0057246D" w:rsidRDefault="00FB683A" w:rsidP="00FB683A">
            <w:pPr>
              <w:ind w:firstLine="918"/>
            </w:pPr>
            <w:r w:rsidRPr="00691057">
              <w:t>a. número de sócios</w:t>
            </w:r>
          </w:p>
        </w:tc>
      </w:tr>
      <w:tr w:rsidR="00FB683A" w:rsidRPr="0057246D" w14:paraId="752769E7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4297" w14:textId="7FF95000" w:rsidR="00FB683A" w:rsidRPr="0057246D" w:rsidRDefault="00FB683A" w:rsidP="00FB683A">
            <w:pPr>
              <w:ind w:firstLine="918"/>
            </w:pPr>
            <w:r w:rsidRPr="00691057">
              <w:t>b. número de empregados</w:t>
            </w:r>
          </w:p>
        </w:tc>
      </w:tr>
      <w:tr w:rsidR="00FB683A" w:rsidRPr="0057246D" w14:paraId="76290686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B4F6" w14:textId="14BAADF4" w:rsidR="00FB683A" w:rsidRPr="0057246D" w:rsidRDefault="00FB683A" w:rsidP="00FB683A">
            <w:pPr>
              <w:ind w:firstLine="918"/>
            </w:pPr>
            <w:r w:rsidRPr="00691057">
              <w:t>c. número de terceirizados</w:t>
            </w:r>
          </w:p>
        </w:tc>
      </w:tr>
      <w:tr w:rsidR="00FB683A" w:rsidRPr="0057246D" w14:paraId="66D1E0D0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359F" w14:textId="771D7C48" w:rsidR="00FB683A" w:rsidRPr="0057246D" w:rsidRDefault="00FB683A" w:rsidP="00FB683A">
            <w:pPr>
              <w:ind w:firstLine="918"/>
            </w:pPr>
            <w:r w:rsidRPr="00691057">
              <w:t>d. lista das pessoas naturais que são registradas na CVM como consultor de valores mobiliários e atuam exclusivamente como prepostos, empregados ou sócios da empresa</w:t>
            </w:r>
          </w:p>
        </w:tc>
      </w:tr>
      <w:tr w:rsidR="00FB683A" w:rsidRPr="0057246D" w14:paraId="521A79E8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736A" w14:textId="4AD4A8ED" w:rsidR="00FB683A" w:rsidRPr="0057246D" w:rsidRDefault="00FB683A" w:rsidP="00FB683A">
            <w:pPr>
              <w:ind w:left="567" w:firstLine="0"/>
              <w:rPr>
                <w:b/>
                <w:bCs/>
              </w:rPr>
            </w:pPr>
            <w:r w:rsidRPr="00691057">
              <w:t>4. Auditores</w:t>
            </w:r>
          </w:p>
        </w:tc>
      </w:tr>
      <w:tr w:rsidR="00FB683A" w:rsidRPr="0057246D" w14:paraId="555D448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8F4C" w14:textId="45C974BE" w:rsidR="00FB683A" w:rsidRPr="0057246D" w:rsidRDefault="00FB683A" w:rsidP="00FB683A">
            <w:r w:rsidRPr="00691057">
              <w:t>4.1 Em relação aos auditores independentes, indicar, se houver:</w:t>
            </w:r>
          </w:p>
        </w:tc>
      </w:tr>
      <w:tr w:rsidR="00FB683A" w:rsidRPr="0057246D" w14:paraId="7F4858D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DAC9" w14:textId="2E15A37C" w:rsidR="00FB683A" w:rsidRPr="0057246D" w:rsidRDefault="00FB683A" w:rsidP="00FB683A">
            <w:pPr>
              <w:ind w:firstLine="918"/>
            </w:pPr>
            <w:r w:rsidRPr="00691057">
              <w:t>a. nome empresarial</w:t>
            </w:r>
          </w:p>
        </w:tc>
      </w:tr>
      <w:tr w:rsidR="00FB683A" w:rsidRPr="0057246D" w14:paraId="502B786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FC44" w14:textId="61289657" w:rsidR="00FB683A" w:rsidRPr="0057246D" w:rsidRDefault="00FB683A" w:rsidP="00FB683A">
            <w:pPr>
              <w:ind w:firstLine="918"/>
            </w:pPr>
            <w:r w:rsidRPr="00691057">
              <w:t xml:space="preserve">b. data de contratação dos serviços </w:t>
            </w:r>
          </w:p>
        </w:tc>
      </w:tr>
      <w:tr w:rsidR="00FB683A" w:rsidRPr="0057246D" w14:paraId="545516F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9829" w14:textId="75F57705" w:rsidR="00FB683A" w:rsidRPr="0057246D" w:rsidRDefault="00FB683A" w:rsidP="00FB683A">
            <w:pPr>
              <w:ind w:firstLine="918"/>
            </w:pPr>
            <w:r w:rsidRPr="00691057">
              <w:t>c. descrição dos serviços contratados</w:t>
            </w:r>
          </w:p>
        </w:tc>
      </w:tr>
      <w:tr w:rsidR="00FB683A" w:rsidRPr="0057246D" w14:paraId="53C9F0D7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D2CD" w14:textId="19F0B741" w:rsidR="00FB683A" w:rsidRPr="0057246D" w:rsidRDefault="00FB683A" w:rsidP="00FB683A">
            <w:pPr>
              <w:ind w:left="567" w:firstLine="0"/>
            </w:pPr>
            <w:r w:rsidRPr="00691057">
              <w:t>5. Resiliência financeira</w:t>
            </w:r>
          </w:p>
        </w:tc>
      </w:tr>
      <w:tr w:rsidR="00FB683A" w:rsidRPr="0057246D" w14:paraId="1E06EDBB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574E" w14:textId="67990330" w:rsidR="00FB683A" w:rsidRPr="0057246D" w:rsidRDefault="00FB683A" w:rsidP="00FB683A">
            <w:r w:rsidRPr="00691057">
              <w:t>5.1 Com base nas demonstrações financeiras, ateste se a receita em decorrência da atividade de consultoria de valores mobiliários é suficiente para cobrir os custos e os investimentos da empresa com tal atividade</w:t>
            </w:r>
          </w:p>
        </w:tc>
      </w:tr>
      <w:tr w:rsidR="00FB683A" w:rsidRPr="0057246D" w14:paraId="09EBDF1E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E0B9" w14:textId="768CAD43" w:rsidR="00FB683A" w:rsidRPr="0057246D" w:rsidRDefault="00FB683A" w:rsidP="00FB683A">
            <w:pPr>
              <w:ind w:left="567" w:firstLine="0"/>
            </w:pPr>
            <w:r w:rsidRPr="00691057">
              <w:t>6. Escopo das atividades</w:t>
            </w:r>
          </w:p>
        </w:tc>
      </w:tr>
      <w:tr w:rsidR="00FB683A" w:rsidRPr="0057246D" w14:paraId="4F503661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476F" w14:textId="621A9261" w:rsidR="00FB683A" w:rsidRPr="0057246D" w:rsidRDefault="00FB683A" w:rsidP="00FB683A">
            <w:r w:rsidRPr="00691057">
              <w:t>6.1 Descrever detalhadamente as atividades desenvolvidas pela empresa, indicando, no mínimo:</w:t>
            </w:r>
          </w:p>
        </w:tc>
      </w:tr>
      <w:tr w:rsidR="00FB683A" w:rsidRPr="0057246D" w14:paraId="4D1FC75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04E6" w14:textId="1833003E" w:rsidR="00FB683A" w:rsidRPr="0057246D" w:rsidRDefault="00FB683A" w:rsidP="00FB683A">
            <w:pPr>
              <w:ind w:firstLine="918"/>
            </w:pPr>
            <w:r w:rsidRPr="00691057">
              <w:lastRenderedPageBreak/>
              <w:t xml:space="preserve">a. tipos e características dos serviços prestados </w:t>
            </w:r>
          </w:p>
        </w:tc>
      </w:tr>
      <w:tr w:rsidR="00FB683A" w:rsidRPr="0057246D" w14:paraId="4B03DB55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4200" w14:textId="5C647C32" w:rsidR="00FB683A" w:rsidRPr="0057246D" w:rsidRDefault="00FB683A" w:rsidP="00FB683A">
            <w:pPr>
              <w:ind w:firstLine="918"/>
            </w:pPr>
            <w:r w:rsidRPr="00691057">
              <w:t>b. tipos de valores mobiliários objeto de consultoria</w:t>
            </w:r>
          </w:p>
        </w:tc>
      </w:tr>
      <w:tr w:rsidR="00FB683A" w:rsidRPr="0057246D" w14:paraId="6325F8BF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23D8" w14:textId="39421A60" w:rsidR="00FB683A" w:rsidRPr="0057246D" w:rsidRDefault="00FB683A" w:rsidP="00FB683A">
            <w:pPr>
              <w:ind w:firstLine="918"/>
            </w:pPr>
            <w:r w:rsidRPr="00691057">
              <w:t xml:space="preserve">c. características do processo de “conheça seu cliente” e </w:t>
            </w:r>
            <w:proofErr w:type="spellStart"/>
            <w:r w:rsidRPr="002E58FA">
              <w:rPr>
                <w:b/>
                <w:bCs/>
              </w:rPr>
              <w:t>suitability</w:t>
            </w:r>
            <w:proofErr w:type="spellEnd"/>
            <w:r w:rsidRPr="00691057">
              <w:t xml:space="preserve"> praticados</w:t>
            </w:r>
          </w:p>
        </w:tc>
      </w:tr>
      <w:tr w:rsidR="00FB683A" w:rsidRPr="0057246D" w14:paraId="0DE6C30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AB27" w14:textId="258C457C" w:rsidR="00FB683A" w:rsidRPr="0057246D" w:rsidRDefault="00FB683A" w:rsidP="00FB683A">
            <w:r w:rsidRPr="00691057">
              <w:t>6.2 Descrever resumidamente as atividades desenvolvidas pela empresa que não sejam de consultoria de valores mobiliários, destacando:</w:t>
            </w:r>
          </w:p>
        </w:tc>
      </w:tr>
      <w:tr w:rsidR="00FB683A" w:rsidRPr="0057246D" w14:paraId="156BC7E5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8395" w14:textId="2174A201" w:rsidR="00FB683A" w:rsidRPr="0057246D" w:rsidRDefault="00FB683A" w:rsidP="00FB683A">
            <w:pPr>
              <w:ind w:firstLine="918"/>
            </w:pPr>
            <w:r w:rsidRPr="00691057">
              <w:t>a. os potenciais conflitos de interesses existentes entre tais atividades; e</w:t>
            </w:r>
          </w:p>
        </w:tc>
      </w:tr>
      <w:tr w:rsidR="00FB683A" w:rsidRPr="0057246D" w14:paraId="519F6D54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4AB8" w14:textId="1A9912F6" w:rsidR="00FB683A" w:rsidRPr="0057246D" w:rsidRDefault="00FB683A" w:rsidP="00FB683A">
            <w:pPr>
              <w:ind w:firstLine="918"/>
            </w:pPr>
            <w:r w:rsidRPr="00691057">
              <w:t>b. informações sobre as atividades exercidas por sociedades controladoras, controladas, coligadas e sob controle comum ao consultor e os potenciais conflitos de interesses existentes entre tais atividades.</w:t>
            </w:r>
          </w:p>
        </w:tc>
      </w:tr>
      <w:tr w:rsidR="00FB683A" w:rsidRPr="0057246D" w14:paraId="5710B48E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0C59" w14:textId="2DB677B9" w:rsidR="00FB683A" w:rsidRPr="0057246D" w:rsidRDefault="00FB683A" w:rsidP="00FB683A">
            <w:r w:rsidRPr="00691057">
              <w:t>6.3 Descrever o perfil dos clientes da empresa, fornecendo as seguintes informações:</w:t>
            </w:r>
          </w:p>
        </w:tc>
      </w:tr>
      <w:tr w:rsidR="00FB683A" w:rsidRPr="0057246D" w14:paraId="0869CA3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A01A" w14:textId="60580411" w:rsidR="00FB683A" w:rsidRPr="0057246D" w:rsidRDefault="00FB683A" w:rsidP="00FB683A">
            <w:pPr>
              <w:ind w:firstLine="918"/>
            </w:pPr>
            <w:r w:rsidRPr="00691057">
              <w:t>a. número de clientes (total e dividido entre investidores profissionais, qualificados e não qualificados, conforme regulamentação específica)</w:t>
            </w:r>
          </w:p>
        </w:tc>
      </w:tr>
      <w:tr w:rsidR="00FB683A" w:rsidRPr="0057246D" w14:paraId="13FA86EB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0988" w14:textId="569EC8B1" w:rsidR="00FB683A" w:rsidRPr="0057246D" w:rsidRDefault="00FB683A" w:rsidP="00FB683A">
            <w:pPr>
              <w:ind w:firstLine="918"/>
            </w:pPr>
            <w:r w:rsidRPr="00691057">
              <w:t>b. número de clientes, dividido por:</w:t>
            </w:r>
          </w:p>
        </w:tc>
      </w:tr>
      <w:tr w:rsidR="00FB683A" w:rsidRPr="0057246D" w14:paraId="36AD919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970D" w14:textId="450A1DB7" w:rsidR="00FB683A" w:rsidRPr="0057246D" w:rsidRDefault="00FB683A" w:rsidP="00FB683A">
            <w:pPr>
              <w:ind w:firstLine="1201"/>
            </w:pPr>
            <w:r w:rsidRPr="00691057">
              <w:t>i. pessoas naturais</w:t>
            </w:r>
          </w:p>
        </w:tc>
      </w:tr>
      <w:tr w:rsidR="00FB683A" w:rsidRPr="0057246D" w14:paraId="16BB3AFA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D6E1" w14:textId="433605ED" w:rsidR="00FB683A" w:rsidRPr="0057246D" w:rsidRDefault="00FB683A" w:rsidP="00FB683A">
            <w:pPr>
              <w:ind w:firstLine="1201"/>
            </w:pPr>
            <w:proofErr w:type="spellStart"/>
            <w:r w:rsidRPr="00691057">
              <w:t>ii</w:t>
            </w:r>
            <w:proofErr w:type="spellEnd"/>
            <w:r w:rsidRPr="00691057">
              <w:t>. pessoas jurídicas (não financeiras ou institucionais)</w:t>
            </w:r>
          </w:p>
        </w:tc>
      </w:tr>
      <w:tr w:rsidR="00FB683A" w:rsidRPr="0057246D" w14:paraId="466E8C25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3601" w14:textId="0B160596" w:rsidR="00FB683A" w:rsidRPr="0057246D" w:rsidRDefault="00FB683A" w:rsidP="00FB683A">
            <w:pPr>
              <w:ind w:firstLine="1201"/>
            </w:pPr>
            <w:proofErr w:type="spellStart"/>
            <w:r w:rsidRPr="00691057">
              <w:t>iii</w:t>
            </w:r>
            <w:proofErr w:type="spellEnd"/>
            <w:r w:rsidRPr="00691057">
              <w:t>. instituições financeiras</w:t>
            </w:r>
          </w:p>
        </w:tc>
      </w:tr>
      <w:tr w:rsidR="00FB683A" w:rsidRPr="0057246D" w14:paraId="09FD780E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41BC" w14:textId="63EF5BBE" w:rsidR="00FB683A" w:rsidRPr="0057246D" w:rsidRDefault="00FB683A" w:rsidP="00FB683A">
            <w:pPr>
              <w:ind w:firstLine="1201"/>
            </w:pPr>
            <w:proofErr w:type="spellStart"/>
            <w:r w:rsidRPr="00691057">
              <w:t>iv</w:t>
            </w:r>
            <w:proofErr w:type="spellEnd"/>
            <w:r w:rsidRPr="00691057">
              <w:t>. entidades abertas de previdência complementar</w:t>
            </w:r>
          </w:p>
        </w:tc>
      </w:tr>
      <w:tr w:rsidR="00FB683A" w:rsidRPr="0057246D" w14:paraId="255FA33A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71BF" w14:textId="2FD0120F" w:rsidR="00FB683A" w:rsidRPr="0057246D" w:rsidRDefault="00FB683A" w:rsidP="00FB683A">
            <w:pPr>
              <w:ind w:firstLine="1201"/>
            </w:pPr>
            <w:r w:rsidRPr="00691057">
              <w:t>v. entidades fechadas de previdência complementar</w:t>
            </w:r>
          </w:p>
        </w:tc>
      </w:tr>
      <w:tr w:rsidR="00FB683A" w:rsidRPr="0057246D" w14:paraId="2FA5D61A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9EB1" w14:textId="40ECB6D5" w:rsidR="00FB683A" w:rsidRPr="0057246D" w:rsidRDefault="00FB683A" w:rsidP="00FB683A">
            <w:pPr>
              <w:ind w:firstLine="1201"/>
            </w:pPr>
            <w:r w:rsidRPr="00691057">
              <w:t>vi. regimes próprios de previdência social</w:t>
            </w:r>
          </w:p>
        </w:tc>
      </w:tr>
      <w:tr w:rsidR="00FB683A" w:rsidRPr="0057246D" w14:paraId="6BB7CDD9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6935" w14:textId="27ACD78D" w:rsidR="00FB683A" w:rsidRPr="0057246D" w:rsidRDefault="00FB683A" w:rsidP="00FB683A">
            <w:pPr>
              <w:ind w:firstLine="1201"/>
            </w:pPr>
            <w:proofErr w:type="spellStart"/>
            <w:r w:rsidRPr="00691057">
              <w:t>vii</w:t>
            </w:r>
            <w:proofErr w:type="spellEnd"/>
            <w:r w:rsidRPr="00691057">
              <w:t>. seguradoras</w:t>
            </w:r>
          </w:p>
        </w:tc>
      </w:tr>
      <w:tr w:rsidR="00FB683A" w:rsidRPr="0057246D" w14:paraId="73B6BFC2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F57F" w14:textId="273F6D5B" w:rsidR="00FB683A" w:rsidRPr="0057246D" w:rsidRDefault="00FB683A" w:rsidP="00FB683A">
            <w:pPr>
              <w:ind w:firstLine="1201"/>
            </w:pPr>
            <w:proofErr w:type="spellStart"/>
            <w:r w:rsidRPr="00691057">
              <w:t>viii</w:t>
            </w:r>
            <w:proofErr w:type="spellEnd"/>
            <w:r w:rsidRPr="00691057">
              <w:t>. sociedades de capitalização e de arrendamento mercantil</w:t>
            </w:r>
          </w:p>
        </w:tc>
      </w:tr>
      <w:tr w:rsidR="00FB683A" w:rsidRPr="0057246D" w14:paraId="7B3EEC8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5F46" w14:textId="5600D251" w:rsidR="00FB683A" w:rsidRPr="0057246D" w:rsidRDefault="00FB683A" w:rsidP="00FB683A">
            <w:pPr>
              <w:ind w:firstLine="1201"/>
            </w:pPr>
            <w:proofErr w:type="spellStart"/>
            <w:r w:rsidRPr="00691057">
              <w:lastRenderedPageBreak/>
              <w:t>ix</w:t>
            </w:r>
            <w:proofErr w:type="spellEnd"/>
            <w:r w:rsidRPr="00691057">
              <w:t>. clubes de investimento</w:t>
            </w:r>
          </w:p>
        </w:tc>
      </w:tr>
      <w:tr w:rsidR="00FB683A" w:rsidRPr="0057246D" w14:paraId="4EEACB85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BB2F" w14:textId="7A113A3B" w:rsidR="00FB683A" w:rsidRPr="0057246D" w:rsidRDefault="00FB683A" w:rsidP="00FB683A">
            <w:pPr>
              <w:ind w:firstLine="1201"/>
            </w:pPr>
            <w:r w:rsidRPr="00691057">
              <w:t>x. fundos de investimento</w:t>
            </w:r>
          </w:p>
        </w:tc>
      </w:tr>
      <w:tr w:rsidR="00FB683A" w:rsidRPr="0057246D" w14:paraId="19705DD9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982B" w14:textId="05E0DDC2" w:rsidR="00FB683A" w:rsidRPr="0057246D" w:rsidRDefault="00FB683A" w:rsidP="00FB683A">
            <w:pPr>
              <w:ind w:firstLine="1201"/>
            </w:pPr>
            <w:r w:rsidRPr="00691057">
              <w:t>xi. investidores não residentes</w:t>
            </w:r>
          </w:p>
        </w:tc>
      </w:tr>
      <w:tr w:rsidR="00FB683A" w:rsidRPr="0057246D" w14:paraId="05303D6A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1877" w14:textId="3066AE67" w:rsidR="00FB683A" w:rsidRPr="0057246D" w:rsidRDefault="00FB683A" w:rsidP="00FB683A">
            <w:pPr>
              <w:ind w:firstLine="1201"/>
            </w:pPr>
            <w:proofErr w:type="spellStart"/>
            <w:r w:rsidRPr="00691057">
              <w:t>xii</w:t>
            </w:r>
            <w:proofErr w:type="spellEnd"/>
            <w:r w:rsidRPr="00691057">
              <w:t>. outros (especificar)</w:t>
            </w:r>
          </w:p>
        </w:tc>
      </w:tr>
      <w:tr w:rsidR="00FB683A" w:rsidRPr="0057246D" w14:paraId="646DC8CC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B71E" w14:textId="45FEE2F7" w:rsidR="00FB683A" w:rsidRPr="0057246D" w:rsidRDefault="00FB683A" w:rsidP="00FB683A">
            <w:r w:rsidRPr="00691057">
              <w:t>6.4 Fornecer outras informações que a empresa julgue relevantes</w:t>
            </w:r>
          </w:p>
        </w:tc>
      </w:tr>
      <w:tr w:rsidR="00FB683A" w:rsidRPr="0057246D" w14:paraId="0C3CF13C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1E36" w14:textId="250CD66F" w:rsidR="00FB683A" w:rsidRPr="0057246D" w:rsidRDefault="00FB683A" w:rsidP="00FB683A">
            <w:pPr>
              <w:ind w:left="567" w:firstLine="0"/>
              <w:rPr>
                <w:b/>
                <w:bCs/>
              </w:rPr>
            </w:pPr>
            <w:r w:rsidRPr="00691057">
              <w:t>7. Grupo econômico</w:t>
            </w:r>
          </w:p>
        </w:tc>
      </w:tr>
      <w:tr w:rsidR="00FB683A" w:rsidRPr="0057246D" w14:paraId="14946321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48B1" w14:textId="0E4385F4" w:rsidR="00FB683A" w:rsidRPr="0057246D" w:rsidRDefault="00FB683A" w:rsidP="00FB683A">
            <w:r w:rsidRPr="00691057">
              <w:t>7.1 Descrever o grupo econômico em que se insere a empresa, indicando:</w:t>
            </w:r>
          </w:p>
        </w:tc>
      </w:tr>
      <w:tr w:rsidR="00FB683A" w:rsidRPr="0057246D" w14:paraId="21F1AF2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9EA4" w14:textId="13E46A55" w:rsidR="00FB683A" w:rsidRPr="0057246D" w:rsidRDefault="00FB683A" w:rsidP="00FB683A">
            <w:pPr>
              <w:ind w:firstLine="918"/>
            </w:pPr>
            <w:r w:rsidRPr="00691057">
              <w:t>a. controladores diretos e indiretos</w:t>
            </w:r>
          </w:p>
        </w:tc>
      </w:tr>
      <w:tr w:rsidR="00FB683A" w:rsidRPr="0057246D" w14:paraId="5C7E57CE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4023" w14:textId="1069208B" w:rsidR="00FB683A" w:rsidRPr="0057246D" w:rsidRDefault="00FB683A" w:rsidP="00FB683A">
            <w:pPr>
              <w:ind w:firstLine="918"/>
            </w:pPr>
            <w:r w:rsidRPr="00691057">
              <w:t>b. controladas e coligadas</w:t>
            </w:r>
          </w:p>
        </w:tc>
      </w:tr>
      <w:tr w:rsidR="00FB683A" w:rsidRPr="0057246D" w14:paraId="459AC77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528C" w14:textId="5268AC8A" w:rsidR="00FB683A" w:rsidRPr="0057246D" w:rsidRDefault="00FB683A" w:rsidP="00FB683A">
            <w:pPr>
              <w:ind w:firstLine="918"/>
            </w:pPr>
            <w:r w:rsidRPr="00691057">
              <w:t xml:space="preserve">c. participações da empresa em sociedades do grupo </w:t>
            </w:r>
          </w:p>
        </w:tc>
      </w:tr>
      <w:tr w:rsidR="00FB683A" w:rsidRPr="0057246D" w14:paraId="5F9632CE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C46B" w14:textId="3F1C7E90" w:rsidR="00FB683A" w:rsidRPr="0057246D" w:rsidRDefault="00FB683A" w:rsidP="00FB683A">
            <w:pPr>
              <w:ind w:firstLine="918"/>
            </w:pPr>
            <w:r w:rsidRPr="00691057">
              <w:t xml:space="preserve">d. participações de sociedades do grupo na empresa </w:t>
            </w:r>
          </w:p>
        </w:tc>
      </w:tr>
      <w:tr w:rsidR="00FB683A" w:rsidRPr="0057246D" w14:paraId="3A5FDCC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054B" w14:textId="286DAEF3" w:rsidR="00FB683A" w:rsidRPr="0057246D" w:rsidRDefault="00FB683A" w:rsidP="00FB683A">
            <w:pPr>
              <w:ind w:firstLine="918"/>
            </w:pPr>
            <w:r w:rsidRPr="00691057">
              <w:t>e. sociedades sob controle comum</w:t>
            </w:r>
          </w:p>
        </w:tc>
      </w:tr>
      <w:tr w:rsidR="00FB683A" w:rsidRPr="0057246D" w14:paraId="045B8EA9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5932" w14:textId="52B18474" w:rsidR="00FB683A" w:rsidRPr="0057246D" w:rsidRDefault="00FB683A" w:rsidP="00FB683A">
            <w:pPr>
              <w:rPr>
                <w:b/>
                <w:bCs/>
              </w:rPr>
            </w:pPr>
            <w:r w:rsidRPr="00691057">
              <w:t>7.2 Caso a empresa deseje, inserir organograma do grupo econômico em que se insere a empresa, desde que compatível com as informações apresentadas no item 7.1.</w:t>
            </w:r>
          </w:p>
        </w:tc>
      </w:tr>
      <w:tr w:rsidR="00FB683A" w:rsidRPr="0057246D" w14:paraId="13E299F2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A569" w14:textId="6A87F90F" w:rsidR="00FB683A" w:rsidRPr="0057246D" w:rsidRDefault="00FB683A" w:rsidP="00FB683A">
            <w:pPr>
              <w:ind w:left="567" w:firstLine="0"/>
              <w:rPr>
                <w:b/>
                <w:bCs/>
              </w:rPr>
            </w:pPr>
            <w:r w:rsidRPr="00691057">
              <w:t>8. Estrutura operacional e administrativa</w:t>
            </w:r>
          </w:p>
        </w:tc>
      </w:tr>
      <w:tr w:rsidR="00FB683A" w:rsidRPr="0057246D" w14:paraId="4DF33B12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827F" w14:textId="7FD55107" w:rsidR="00FB683A" w:rsidRPr="0057246D" w:rsidRDefault="00FB683A" w:rsidP="00FB683A">
            <w:pPr>
              <w:rPr>
                <w:b/>
                <w:bCs/>
              </w:rPr>
            </w:pPr>
            <w:r w:rsidRPr="00691057">
              <w:t>8.1 Descrever a estrutura administrativa da empresa, conforme estabelecido no seu contrato ou estatuto social e regimento interno, identificando:</w:t>
            </w:r>
          </w:p>
        </w:tc>
      </w:tr>
      <w:tr w:rsidR="00FB683A" w:rsidRPr="0057246D" w14:paraId="0B0E7E88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01FA" w14:textId="505DDA3C" w:rsidR="00FB683A" w:rsidRPr="0057246D" w:rsidRDefault="00FB683A" w:rsidP="00FB683A">
            <w:pPr>
              <w:ind w:firstLine="918"/>
            </w:pPr>
            <w:r w:rsidRPr="00691057">
              <w:t>a. atribuições de cada órgão, comitê e departamento técnico</w:t>
            </w:r>
          </w:p>
        </w:tc>
      </w:tr>
      <w:tr w:rsidR="00FB683A" w:rsidRPr="0057246D" w14:paraId="45A57E5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EF6A" w14:textId="3B4710E0" w:rsidR="00FB683A" w:rsidRPr="0057246D" w:rsidRDefault="00FB683A" w:rsidP="00FB683A">
            <w:pPr>
              <w:ind w:firstLine="918"/>
            </w:pPr>
            <w:r w:rsidRPr="00691057">
              <w:t>b. em relação aos comitês, sua composição, frequência com que são realizadas suas reuniões e a forma como são registradas suas decisões</w:t>
            </w:r>
          </w:p>
        </w:tc>
      </w:tr>
      <w:tr w:rsidR="00FB683A" w:rsidRPr="0057246D" w14:paraId="279DE993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985C" w14:textId="5191D197" w:rsidR="00FB683A" w:rsidRPr="0057246D" w:rsidRDefault="00FB683A" w:rsidP="00FB683A">
            <w:pPr>
              <w:ind w:firstLine="918"/>
            </w:pPr>
            <w:r w:rsidRPr="00691057">
              <w:lastRenderedPageBreak/>
              <w:t>c. em relação aos membros da diretoria, suas atribuições e poderes individuais</w:t>
            </w:r>
          </w:p>
        </w:tc>
      </w:tr>
      <w:tr w:rsidR="00FB683A" w:rsidRPr="0057246D" w14:paraId="2831EC5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7275" w14:textId="5DBD0027" w:rsidR="00FB683A" w:rsidRPr="0057246D" w:rsidRDefault="00FB683A" w:rsidP="00FB683A">
            <w:pPr>
              <w:rPr>
                <w:b/>
                <w:bCs/>
              </w:rPr>
            </w:pPr>
            <w:r w:rsidRPr="00691057">
              <w:t>8.2 Caso a empresa deseje, inserir organograma da estrutura administrativa da empresa, desde que compatível com as informações apresentadas no item 8.1.</w:t>
            </w:r>
          </w:p>
        </w:tc>
      </w:tr>
      <w:tr w:rsidR="00FB683A" w:rsidRPr="0057246D" w14:paraId="45EB550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8692" w14:textId="5BBC9079" w:rsidR="00FB683A" w:rsidRPr="0057246D" w:rsidRDefault="00FB683A" w:rsidP="00FB683A">
            <w:r w:rsidRPr="00691057">
              <w:t>8.3 Em relação a cada um dos diretores responsáveis de que tratam os incisos II e III do art. 4º, indicar, em forma de tabela:</w:t>
            </w:r>
          </w:p>
        </w:tc>
      </w:tr>
      <w:tr w:rsidR="00FB683A" w:rsidRPr="0057246D" w14:paraId="06136583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93AE" w14:textId="3CB53B27" w:rsidR="00FB683A" w:rsidRPr="0057246D" w:rsidRDefault="00FB683A" w:rsidP="00FB683A">
            <w:pPr>
              <w:ind w:firstLine="918"/>
            </w:pPr>
            <w:r w:rsidRPr="00691057">
              <w:t xml:space="preserve">a. nome </w:t>
            </w:r>
          </w:p>
        </w:tc>
      </w:tr>
      <w:tr w:rsidR="00FB683A" w:rsidRPr="0057246D" w14:paraId="34D8849B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0A43" w14:textId="311E726B" w:rsidR="00FB683A" w:rsidRPr="0057246D" w:rsidRDefault="00FB683A" w:rsidP="00FB683A">
            <w:pPr>
              <w:ind w:firstLine="918"/>
            </w:pPr>
            <w:r w:rsidRPr="00691057">
              <w:t>b. idade</w:t>
            </w:r>
          </w:p>
        </w:tc>
      </w:tr>
      <w:tr w:rsidR="00FB683A" w:rsidRPr="0057246D" w14:paraId="25712D4A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0719" w14:textId="57E4AC8C" w:rsidR="00FB683A" w:rsidRPr="0057246D" w:rsidRDefault="00FB683A" w:rsidP="00FB683A">
            <w:pPr>
              <w:ind w:firstLine="918"/>
            </w:pPr>
            <w:r w:rsidRPr="00691057">
              <w:t>c. profissão</w:t>
            </w:r>
          </w:p>
        </w:tc>
      </w:tr>
      <w:tr w:rsidR="00FB683A" w:rsidRPr="0057246D" w14:paraId="04A4B182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363F" w14:textId="254E3641" w:rsidR="00FB683A" w:rsidRPr="0057246D" w:rsidRDefault="00FB683A" w:rsidP="00FB683A">
            <w:pPr>
              <w:ind w:firstLine="918"/>
            </w:pPr>
            <w:r w:rsidRPr="00691057">
              <w:t>d. CPF ou número do passaporte</w:t>
            </w:r>
          </w:p>
        </w:tc>
      </w:tr>
      <w:tr w:rsidR="00FB683A" w:rsidRPr="0057246D" w14:paraId="072FD67E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788F" w14:textId="1AE1A468" w:rsidR="00FB683A" w:rsidRPr="0057246D" w:rsidRDefault="00FB683A" w:rsidP="00FB683A">
            <w:pPr>
              <w:ind w:firstLine="918"/>
            </w:pPr>
            <w:r w:rsidRPr="00691057">
              <w:t>e. cargo ocupado</w:t>
            </w:r>
          </w:p>
        </w:tc>
      </w:tr>
      <w:tr w:rsidR="00FB683A" w:rsidRPr="0057246D" w14:paraId="447438D8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4E14" w14:textId="376D9C40" w:rsidR="00FB683A" w:rsidRPr="0057246D" w:rsidRDefault="00FB683A" w:rsidP="00FB683A">
            <w:pPr>
              <w:ind w:firstLine="918"/>
            </w:pPr>
            <w:r w:rsidRPr="00691057">
              <w:t>f. data da posse</w:t>
            </w:r>
          </w:p>
        </w:tc>
      </w:tr>
      <w:tr w:rsidR="00FB683A" w:rsidRPr="0057246D" w14:paraId="07BB3DDD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9FAB" w14:textId="18DA73D4" w:rsidR="00FB683A" w:rsidRPr="0057246D" w:rsidRDefault="00FB683A" w:rsidP="00FB683A">
            <w:pPr>
              <w:ind w:firstLine="918"/>
            </w:pPr>
            <w:r w:rsidRPr="00691057">
              <w:t>g. prazo do mandato</w:t>
            </w:r>
          </w:p>
        </w:tc>
      </w:tr>
      <w:tr w:rsidR="00FB683A" w:rsidRPr="0057246D" w14:paraId="18AFFEB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F97D" w14:textId="2CBEDF39" w:rsidR="00FB683A" w:rsidRPr="0057246D" w:rsidRDefault="00FB683A" w:rsidP="00FB683A">
            <w:pPr>
              <w:ind w:firstLine="918"/>
            </w:pPr>
            <w:r w:rsidRPr="00691057">
              <w:t>h. outros cargos ou funções exercidos na empresa</w:t>
            </w:r>
          </w:p>
        </w:tc>
      </w:tr>
      <w:tr w:rsidR="00FB683A" w:rsidRPr="0057246D" w14:paraId="3F0225F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5ED7" w14:textId="0BE05BCD" w:rsidR="00FB683A" w:rsidRPr="0057246D" w:rsidRDefault="00FB683A" w:rsidP="00FB683A">
            <w:pPr>
              <w:rPr>
                <w:b/>
                <w:bCs/>
              </w:rPr>
            </w:pPr>
            <w:r w:rsidRPr="00691057">
              <w:t>8.4 Em relação ao diretor responsável pela consultoria de valores mobiliários fornecer:</w:t>
            </w:r>
          </w:p>
        </w:tc>
      </w:tr>
      <w:tr w:rsidR="00FB683A" w:rsidRPr="0057246D" w14:paraId="076ADE2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2FA0" w14:textId="4A404AA5" w:rsidR="00FB683A" w:rsidRPr="0057246D" w:rsidRDefault="00FB683A" w:rsidP="00FB683A">
            <w:pPr>
              <w:ind w:firstLine="918"/>
              <w:rPr>
                <w:b/>
                <w:bCs/>
              </w:rPr>
            </w:pPr>
            <w:r w:rsidRPr="00691057">
              <w:t>a. currículo, contendo as seguintes informações:</w:t>
            </w:r>
          </w:p>
        </w:tc>
      </w:tr>
      <w:tr w:rsidR="00FB683A" w:rsidRPr="0057246D" w14:paraId="661C70B5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32AA" w14:textId="02CE01B5" w:rsidR="00FB683A" w:rsidRPr="0057246D" w:rsidRDefault="00FB683A" w:rsidP="00FB683A">
            <w:pPr>
              <w:ind w:firstLine="1201"/>
            </w:pPr>
            <w:r w:rsidRPr="00691057">
              <w:t>i. cursos concluídos;</w:t>
            </w:r>
          </w:p>
        </w:tc>
      </w:tr>
      <w:tr w:rsidR="00FB683A" w:rsidRPr="0057246D" w14:paraId="25C4F9D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BE7F" w14:textId="68E5956E" w:rsidR="00FB683A" w:rsidRPr="0057246D" w:rsidRDefault="00FB683A" w:rsidP="00FB683A">
            <w:pPr>
              <w:ind w:firstLine="1201"/>
            </w:pPr>
            <w:proofErr w:type="spellStart"/>
            <w:r w:rsidRPr="00691057">
              <w:t>ii</w:t>
            </w:r>
            <w:proofErr w:type="spellEnd"/>
            <w:r w:rsidRPr="00691057">
              <w:t>. aprovação em exame de certificação profissional</w:t>
            </w:r>
          </w:p>
        </w:tc>
      </w:tr>
      <w:tr w:rsidR="00FB683A" w:rsidRPr="0057246D" w14:paraId="57B19403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54CA" w14:textId="565B20A4" w:rsidR="00FB683A" w:rsidRPr="0057246D" w:rsidRDefault="00FB683A" w:rsidP="00FB683A">
            <w:pPr>
              <w:ind w:firstLine="1201"/>
            </w:pPr>
            <w:proofErr w:type="spellStart"/>
            <w:r w:rsidRPr="00691057">
              <w:t>iii</w:t>
            </w:r>
            <w:proofErr w:type="spellEnd"/>
            <w:r w:rsidRPr="00691057">
              <w:t>. principais experiências profissionais durante os últimos 5 anos, indicando:</w:t>
            </w:r>
          </w:p>
        </w:tc>
      </w:tr>
      <w:tr w:rsidR="00FB683A" w:rsidRPr="0057246D" w14:paraId="487FD1D3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0DA2" w14:textId="7E6AE15C" w:rsidR="00FB683A" w:rsidRPr="0057246D" w:rsidRDefault="00FB683A" w:rsidP="00FB683A">
            <w:pPr>
              <w:pStyle w:val="PargrafodaLista"/>
              <w:numPr>
                <w:ilvl w:val="0"/>
                <w:numId w:val="32"/>
              </w:numPr>
            </w:pPr>
            <w:r w:rsidRPr="00691057">
              <w:t>nome da empresa</w:t>
            </w:r>
          </w:p>
        </w:tc>
      </w:tr>
      <w:tr w:rsidR="00FB683A" w:rsidRPr="0057246D" w14:paraId="4B1BB754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5A8D" w14:textId="7883B0F9" w:rsidR="00FB683A" w:rsidRPr="0057246D" w:rsidRDefault="00FB683A" w:rsidP="00FB683A">
            <w:pPr>
              <w:pStyle w:val="PargrafodaLista"/>
              <w:numPr>
                <w:ilvl w:val="0"/>
                <w:numId w:val="32"/>
              </w:numPr>
            </w:pPr>
            <w:r w:rsidRPr="00691057">
              <w:t>cargo e funções inerentes ao cargo</w:t>
            </w:r>
          </w:p>
        </w:tc>
      </w:tr>
      <w:tr w:rsidR="00FB683A" w:rsidRPr="0057246D" w14:paraId="2FF2E975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DEC5" w14:textId="1D9C79F8" w:rsidR="00FB683A" w:rsidRPr="0057246D" w:rsidRDefault="00FB683A" w:rsidP="00FB683A">
            <w:pPr>
              <w:pStyle w:val="PargrafodaLista"/>
              <w:numPr>
                <w:ilvl w:val="0"/>
                <w:numId w:val="32"/>
              </w:numPr>
            </w:pPr>
            <w:r w:rsidRPr="00691057">
              <w:lastRenderedPageBreak/>
              <w:t>atividade principal da empresa na qual tais experiências ocorreram</w:t>
            </w:r>
          </w:p>
        </w:tc>
      </w:tr>
      <w:tr w:rsidR="00FB683A" w:rsidRPr="0057246D" w14:paraId="4AA155D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08B2" w14:textId="6F497C31" w:rsidR="00FB683A" w:rsidRPr="0057246D" w:rsidRDefault="00FB683A" w:rsidP="00FB683A">
            <w:pPr>
              <w:pStyle w:val="PargrafodaLista"/>
              <w:numPr>
                <w:ilvl w:val="0"/>
                <w:numId w:val="32"/>
              </w:numPr>
            </w:pPr>
            <w:r w:rsidRPr="00691057">
              <w:t>datas de entrada e saída do cargo</w:t>
            </w:r>
          </w:p>
        </w:tc>
      </w:tr>
      <w:tr w:rsidR="00FB683A" w:rsidRPr="0057246D" w14:paraId="24C7423A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F726" w14:textId="1935A957" w:rsidR="00FB683A" w:rsidRPr="0057246D" w:rsidRDefault="00FB683A" w:rsidP="00FB683A">
            <w:pPr>
              <w:rPr>
                <w:b/>
                <w:bCs/>
              </w:rPr>
            </w:pPr>
            <w:r w:rsidRPr="00691057">
              <w:t>8.5 Em relação ao diretor responsável pela implementação e cumprimento de regras, procedimentos e controles internos e das normas estabelecidas por esta Resolução fornecer:</w:t>
            </w:r>
          </w:p>
        </w:tc>
      </w:tr>
      <w:tr w:rsidR="00FB683A" w:rsidRPr="0057246D" w14:paraId="59536DE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613F" w14:textId="47F3738E" w:rsidR="00FB683A" w:rsidRPr="0057246D" w:rsidRDefault="00FB683A" w:rsidP="00FB683A">
            <w:pPr>
              <w:ind w:firstLine="918"/>
            </w:pPr>
            <w:r w:rsidRPr="00691057">
              <w:t>a. currículo, contendo as seguintes informações:</w:t>
            </w:r>
          </w:p>
        </w:tc>
      </w:tr>
      <w:tr w:rsidR="00FB683A" w:rsidRPr="0057246D" w14:paraId="6C7FBBA2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08DB" w14:textId="10135CA6" w:rsidR="00FB683A" w:rsidRPr="0057246D" w:rsidRDefault="00FB683A" w:rsidP="00FB683A">
            <w:pPr>
              <w:ind w:firstLine="1201"/>
            </w:pPr>
            <w:r w:rsidRPr="00691057">
              <w:t>i. cursos concluídos;</w:t>
            </w:r>
          </w:p>
        </w:tc>
      </w:tr>
      <w:tr w:rsidR="00FB683A" w:rsidRPr="0057246D" w14:paraId="7E9FB551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1C46" w14:textId="1CBF0AEE" w:rsidR="00FB683A" w:rsidRPr="0057246D" w:rsidRDefault="00FB683A" w:rsidP="00FB683A">
            <w:pPr>
              <w:ind w:firstLine="1201"/>
            </w:pPr>
            <w:proofErr w:type="spellStart"/>
            <w:r w:rsidRPr="00691057">
              <w:t>ii</w:t>
            </w:r>
            <w:proofErr w:type="spellEnd"/>
            <w:r w:rsidRPr="00691057">
              <w:t>. aprovação em exame de certificação profissional (opcional)</w:t>
            </w:r>
          </w:p>
        </w:tc>
      </w:tr>
      <w:tr w:rsidR="00FB683A" w:rsidRPr="0057246D" w14:paraId="0E36BDF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E96C" w14:textId="3E52D071" w:rsidR="00FB683A" w:rsidRPr="0057246D" w:rsidRDefault="00FB683A" w:rsidP="00FB683A">
            <w:pPr>
              <w:ind w:firstLine="1201"/>
            </w:pPr>
            <w:proofErr w:type="spellStart"/>
            <w:r w:rsidRPr="00691057">
              <w:t>iii</w:t>
            </w:r>
            <w:proofErr w:type="spellEnd"/>
            <w:r w:rsidRPr="00691057">
              <w:t>. principais experiências profissionais durante os últimos 5 (cinco) anos, indicando:</w:t>
            </w:r>
          </w:p>
        </w:tc>
      </w:tr>
      <w:tr w:rsidR="00FB683A" w:rsidRPr="0057246D" w14:paraId="6EC3F19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4528" w14:textId="24822647" w:rsidR="00FB683A" w:rsidRPr="0057246D" w:rsidRDefault="00FB683A" w:rsidP="00FB683A">
            <w:pPr>
              <w:pStyle w:val="PargrafodaLista"/>
              <w:numPr>
                <w:ilvl w:val="0"/>
                <w:numId w:val="33"/>
              </w:numPr>
            </w:pPr>
            <w:r w:rsidRPr="00691057">
              <w:t>nome da empresa</w:t>
            </w:r>
          </w:p>
        </w:tc>
      </w:tr>
      <w:tr w:rsidR="00FB683A" w:rsidRPr="0057246D" w14:paraId="4C146B7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E4F5" w14:textId="04B68E5D" w:rsidR="00FB683A" w:rsidRPr="0057246D" w:rsidRDefault="00FB683A" w:rsidP="00FB683A">
            <w:pPr>
              <w:pStyle w:val="PargrafodaLista"/>
              <w:numPr>
                <w:ilvl w:val="0"/>
                <w:numId w:val="33"/>
              </w:numPr>
            </w:pPr>
            <w:r w:rsidRPr="00691057">
              <w:t>cargo e funções inerentes ao cargo</w:t>
            </w:r>
          </w:p>
        </w:tc>
      </w:tr>
      <w:tr w:rsidR="00FB683A" w:rsidRPr="0057246D" w14:paraId="7DAA78B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78D6" w14:textId="51756FCA" w:rsidR="00FB683A" w:rsidRPr="0057246D" w:rsidRDefault="00FB683A" w:rsidP="00FB683A">
            <w:pPr>
              <w:pStyle w:val="PargrafodaLista"/>
              <w:numPr>
                <w:ilvl w:val="0"/>
                <w:numId w:val="33"/>
              </w:numPr>
            </w:pPr>
            <w:r w:rsidRPr="00691057">
              <w:t>atividade principal da empresa na qual tais experiências ocorreram</w:t>
            </w:r>
          </w:p>
        </w:tc>
      </w:tr>
      <w:tr w:rsidR="00FB683A" w:rsidRPr="0057246D" w14:paraId="0323E3CB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EF8E" w14:textId="5CB121A6" w:rsidR="00FB683A" w:rsidRPr="0057246D" w:rsidRDefault="00FB683A" w:rsidP="00FB683A">
            <w:pPr>
              <w:pStyle w:val="PargrafodaLista"/>
              <w:numPr>
                <w:ilvl w:val="0"/>
                <w:numId w:val="33"/>
              </w:numPr>
            </w:pPr>
            <w:r w:rsidRPr="00691057">
              <w:t>datas de entrada e saída do cargo</w:t>
            </w:r>
          </w:p>
        </w:tc>
      </w:tr>
      <w:tr w:rsidR="00FB683A" w:rsidRPr="0057246D" w14:paraId="35C71BBB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A7FC" w14:textId="3F95F84D" w:rsidR="00FB683A" w:rsidRPr="0057246D" w:rsidRDefault="00FB683A" w:rsidP="00FB683A">
            <w:pPr>
              <w:rPr>
                <w:b/>
                <w:bCs/>
              </w:rPr>
            </w:pPr>
            <w:r w:rsidRPr="00691057">
              <w:t>8.6 Fornecer informações sobre a estrutura mantida para a atividade de consultoria de valores mobiliários, incluindo:</w:t>
            </w:r>
          </w:p>
        </w:tc>
      </w:tr>
      <w:tr w:rsidR="00FB683A" w:rsidRPr="0057246D" w14:paraId="681E6B1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B3B8" w14:textId="3C0DC934" w:rsidR="00FB683A" w:rsidRPr="0057246D" w:rsidRDefault="00FB683A" w:rsidP="00FB683A">
            <w:pPr>
              <w:ind w:firstLine="918"/>
            </w:pPr>
            <w:r w:rsidRPr="00691057">
              <w:t>a. quantidade de profissionais</w:t>
            </w:r>
          </w:p>
        </w:tc>
      </w:tr>
      <w:tr w:rsidR="00FB683A" w:rsidRPr="0057246D" w14:paraId="421502DA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411E" w14:textId="1750514D" w:rsidR="00FB683A" w:rsidRPr="0057246D" w:rsidRDefault="00FB683A" w:rsidP="00FB683A">
            <w:pPr>
              <w:ind w:firstLine="918"/>
            </w:pPr>
            <w:r w:rsidRPr="00691057">
              <w:t xml:space="preserve">b. percentual dos profissionais certificados ou </w:t>
            </w:r>
            <w:r w:rsidR="00A03D91">
              <w:t>autorizados</w:t>
            </w:r>
            <w:r w:rsidRPr="00691057">
              <w:t xml:space="preserve"> como consultores </w:t>
            </w:r>
            <w:r w:rsidR="0024510C">
              <w:t>pela</w:t>
            </w:r>
            <w:r w:rsidRPr="00691057">
              <w:t xml:space="preserve"> CVM</w:t>
            </w:r>
          </w:p>
        </w:tc>
      </w:tr>
      <w:tr w:rsidR="00FB683A" w:rsidRPr="0057246D" w14:paraId="1CE129E1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2EDA" w14:textId="17E629AD" w:rsidR="00FB683A" w:rsidRPr="0057246D" w:rsidRDefault="00FB683A" w:rsidP="00FB683A">
            <w:pPr>
              <w:ind w:firstLine="918"/>
            </w:pPr>
            <w:r w:rsidRPr="00691057">
              <w:t>c. natureza das atividades desenvolvidas pelos seus integrantes</w:t>
            </w:r>
          </w:p>
        </w:tc>
      </w:tr>
      <w:tr w:rsidR="00FB683A" w:rsidRPr="0057246D" w14:paraId="5EFBD2FA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5790" w14:textId="79FC5CE9" w:rsidR="00FB683A" w:rsidRPr="0057246D" w:rsidRDefault="00FB683A" w:rsidP="00FB683A">
            <w:pPr>
              <w:ind w:firstLine="918"/>
            </w:pPr>
            <w:r w:rsidRPr="00691057">
              <w:t>d. os sistemas de informação, as rotinas e os procedimentos envolvidos</w:t>
            </w:r>
          </w:p>
        </w:tc>
      </w:tr>
      <w:tr w:rsidR="00FB683A" w:rsidRPr="0057246D" w14:paraId="22B5788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AC57" w14:textId="4FBE3E7B" w:rsidR="00FB683A" w:rsidRPr="0057246D" w:rsidRDefault="00FB683A" w:rsidP="00FB683A">
            <w:r w:rsidRPr="00691057">
              <w:t>8.7 Fornecer informações sobre a estrutura mantida para a verificação do permanente atendimento às normas legais e regulamentares aplicáveis à atividade e para a fiscalização dos serviços prestados pelos terceiros contratados, incluindo:</w:t>
            </w:r>
          </w:p>
        </w:tc>
      </w:tr>
      <w:tr w:rsidR="00FB683A" w:rsidRPr="0057246D" w14:paraId="3BEBF87F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5EEA" w14:textId="6C2D5E08" w:rsidR="00FB683A" w:rsidRPr="0057246D" w:rsidRDefault="00FB683A" w:rsidP="00FB683A">
            <w:pPr>
              <w:ind w:firstLine="918"/>
            </w:pPr>
            <w:r w:rsidRPr="00691057">
              <w:lastRenderedPageBreak/>
              <w:t>a. quantidade de profissionais</w:t>
            </w:r>
          </w:p>
        </w:tc>
      </w:tr>
      <w:tr w:rsidR="00FB683A" w:rsidRPr="0057246D" w14:paraId="7A208DC9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F088" w14:textId="1746E196" w:rsidR="00FB683A" w:rsidRPr="0057246D" w:rsidRDefault="00FB683A" w:rsidP="00FB683A">
            <w:pPr>
              <w:ind w:firstLine="918"/>
            </w:pPr>
            <w:r w:rsidRPr="00691057">
              <w:t>b. natureza das atividades desenvolvidas pelos seus integrantes</w:t>
            </w:r>
          </w:p>
        </w:tc>
      </w:tr>
      <w:tr w:rsidR="00FB683A" w:rsidRPr="0057246D" w14:paraId="7C43F402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45F0" w14:textId="286B2947" w:rsidR="00FB683A" w:rsidRPr="0057246D" w:rsidRDefault="00FB683A" w:rsidP="00FB683A">
            <w:pPr>
              <w:ind w:firstLine="918"/>
            </w:pPr>
            <w:r w:rsidRPr="00691057">
              <w:t>c. os sistemas de informação, as rotinas e os procedimentos envolvidos</w:t>
            </w:r>
          </w:p>
        </w:tc>
      </w:tr>
      <w:tr w:rsidR="00FB683A" w:rsidRPr="0057246D" w14:paraId="2D3C7548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D92D" w14:textId="5D0BB065" w:rsidR="00FB683A" w:rsidRPr="0057246D" w:rsidRDefault="00FB683A" w:rsidP="00FB683A">
            <w:pPr>
              <w:ind w:firstLine="918"/>
            </w:pPr>
            <w:r w:rsidRPr="00691057">
              <w:t>d. a forma como a empresa garante a independência do trabalho executado pelo setor</w:t>
            </w:r>
          </w:p>
        </w:tc>
      </w:tr>
      <w:tr w:rsidR="00FB683A" w:rsidRPr="0057246D" w14:paraId="636763C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0E25" w14:textId="1F6E59ED" w:rsidR="00FB683A" w:rsidRPr="0057246D" w:rsidRDefault="00FB683A" w:rsidP="00FB683A">
            <w:r w:rsidRPr="00691057">
              <w:t>8.8 Outras informações que a empresa julgue relevantes</w:t>
            </w:r>
          </w:p>
        </w:tc>
      </w:tr>
      <w:tr w:rsidR="00FB683A" w:rsidRPr="0057246D" w14:paraId="68729EBC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B371" w14:textId="34FADD98" w:rsidR="00FB683A" w:rsidRPr="0057246D" w:rsidRDefault="00FB683A" w:rsidP="00FB683A">
            <w:pPr>
              <w:ind w:left="567" w:firstLine="0"/>
              <w:rPr>
                <w:b/>
                <w:bCs/>
              </w:rPr>
            </w:pPr>
            <w:r w:rsidRPr="00691057">
              <w:t>9. Remuneração da empresa</w:t>
            </w:r>
          </w:p>
        </w:tc>
      </w:tr>
      <w:tr w:rsidR="00FB683A" w:rsidRPr="0057246D" w14:paraId="1621C29E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8457" w14:textId="717A3975" w:rsidR="00FB683A" w:rsidRPr="0057246D" w:rsidRDefault="00FB683A" w:rsidP="00FB683A">
            <w:r w:rsidRPr="00691057">
              <w:t>9.1 Em relação a cada tipo de serviço prestado, conforme descrito no item 6.1.a, indicar as principais formas de remuneração que pratica.</w:t>
            </w:r>
          </w:p>
        </w:tc>
      </w:tr>
      <w:tr w:rsidR="00FB683A" w:rsidRPr="0057246D" w14:paraId="6A0CE1C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E60A" w14:textId="552E2BF5" w:rsidR="00FB683A" w:rsidRPr="0057246D" w:rsidRDefault="00FB683A" w:rsidP="00FB683A">
            <w:r w:rsidRPr="00691057">
              <w:t>9.2 Indicar, exclusivamente em termos percentuais sobre a receita total auferida nos 36 (trinta e seis) meses anteriores à data base deste formulário, a receita proveniente, durante o mesmo período, dos clientes em decorrência de:</w:t>
            </w:r>
          </w:p>
        </w:tc>
      </w:tr>
      <w:tr w:rsidR="00FB683A" w:rsidRPr="0057246D" w14:paraId="743A302F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6876" w14:textId="6450BA58" w:rsidR="00FB683A" w:rsidRPr="0057246D" w:rsidRDefault="00FB683A" w:rsidP="00FB683A">
            <w:pPr>
              <w:ind w:firstLine="918"/>
            </w:pPr>
            <w:r w:rsidRPr="00691057">
              <w:t>a. taxas com bases fixas</w:t>
            </w:r>
          </w:p>
        </w:tc>
      </w:tr>
      <w:tr w:rsidR="00FB683A" w:rsidRPr="0057246D" w14:paraId="71DF077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798D" w14:textId="7799389B" w:rsidR="00FB683A" w:rsidRPr="0057246D" w:rsidRDefault="00FB683A" w:rsidP="00FB683A">
            <w:pPr>
              <w:ind w:firstLine="918"/>
            </w:pPr>
            <w:r w:rsidRPr="00691057">
              <w:t>b. taxas de performance</w:t>
            </w:r>
          </w:p>
        </w:tc>
      </w:tr>
      <w:tr w:rsidR="00FB683A" w:rsidRPr="0057246D" w14:paraId="26DEC745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3F36" w14:textId="6BCF2396" w:rsidR="00FB683A" w:rsidRPr="0057246D" w:rsidRDefault="00FB683A" w:rsidP="00FB683A">
            <w:pPr>
              <w:ind w:firstLine="918"/>
            </w:pPr>
            <w:r w:rsidRPr="00691057">
              <w:t xml:space="preserve">c. no caso de clientes profissionais, nos termos da regulamentação específica, remunerações, tais como rebates e outras formas de remuneração que não sejam diretamente recebidas de seus clientes de consultoria e que estejam relacionadas com previsão existente no § 1º do art. 18 </w:t>
            </w:r>
          </w:p>
        </w:tc>
      </w:tr>
      <w:tr w:rsidR="00FB683A" w:rsidRPr="0057246D" w14:paraId="5985F0FB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74F0" w14:textId="3C751AC9" w:rsidR="00FB683A" w:rsidRPr="0057246D" w:rsidRDefault="00FB683A" w:rsidP="00FB683A">
            <w:pPr>
              <w:ind w:firstLine="918"/>
            </w:pPr>
            <w:r w:rsidRPr="00691057">
              <w:t>d. honorários por hora</w:t>
            </w:r>
          </w:p>
        </w:tc>
      </w:tr>
      <w:tr w:rsidR="00FB683A" w:rsidRPr="0057246D" w14:paraId="3646C44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A634" w14:textId="2E5E18D8" w:rsidR="00FB683A" w:rsidRPr="0057246D" w:rsidRDefault="00FB683A" w:rsidP="00FB683A">
            <w:pPr>
              <w:ind w:firstLine="918"/>
            </w:pPr>
            <w:r w:rsidRPr="00691057">
              <w:t>e. outras formas de remuneração</w:t>
            </w:r>
          </w:p>
        </w:tc>
      </w:tr>
      <w:tr w:rsidR="00FB683A" w:rsidRPr="0057246D" w14:paraId="02B9D37E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91CA" w14:textId="75107F2A" w:rsidR="00FB683A" w:rsidRPr="0057246D" w:rsidRDefault="00FB683A" w:rsidP="00FB683A">
            <w:r w:rsidRPr="00691057">
              <w:t>9.3 No caso do recebimento de taxas de performance, explicar a metodologia de cálculo e apuração, vinculação a um índice de referência, periodicidade de apuração e pagamento</w:t>
            </w:r>
          </w:p>
        </w:tc>
      </w:tr>
      <w:tr w:rsidR="00FB683A" w:rsidRPr="0057246D" w14:paraId="69B11A0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4BD6" w14:textId="283B6822" w:rsidR="00FB683A" w:rsidRPr="0057246D" w:rsidRDefault="00FB683A" w:rsidP="00FB683A">
            <w:r w:rsidRPr="00691057">
              <w:t>9.4 Fornecer outras informações que a empresa julgue relevantes</w:t>
            </w:r>
          </w:p>
        </w:tc>
      </w:tr>
      <w:tr w:rsidR="00FB683A" w:rsidRPr="0057246D" w14:paraId="1D330B53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3B62" w14:textId="1FFE1482" w:rsidR="00FB683A" w:rsidRPr="0057246D" w:rsidRDefault="00FB683A" w:rsidP="00FB683A">
            <w:pPr>
              <w:ind w:left="567" w:firstLine="0"/>
              <w:rPr>
                <w:b/>
                <w:bCs/>
              </w:rPr>
            </w:pPr>
            <w:r w:rsidRPr="00691057">
              <w:lastRenderedPageBreak/>
              <w:t>10. Regras, procedimentos e controles internos</w:t>
            </w:r>
          </w:p>
        </w:tc>
      </w:tr>
      <w:tr w:rsidR="00FB683A" w:rsidRPr="0057246D" w14:paraId="02E4470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3822" w14:textId="55BFE7EE" w:rsidR="00FB683A" w:rsidRPr="0057246D" w:rsidRDefault="00FB683A" w:rsidP="00FB683A">
            <w:r w:rsidRPr="00691057">
              <w:t xml:space="preserve">10.1 Descrever as regras para o tratamento de </w:t>
            </w:r>
            <w:r w:rsidRPr="00950D9D">
              <w:rPr>
                <w:b/>
                <w:bCs/>
              </w:rPr>
              <w:t xml:space="preserve">soft </w:t>
            </w:r>
            <w:proofErr w:type="spellStart"/>
            <w:r w:rsidRPr="00950D9D">
              <w:rPr>
                <w:b/>
                <w:bCs/>
              </w:rPr>
              <w:t>dollar</w:t>
            </w:r>
            <w:proofErr w:type="spellEnd"/>
            <w:r w:rsidRPr="00691057">
              <w:t>, tais como recebimento de presentes, cursos, viagens etc.</w:t>
            </w:r>
          </w:p>
        </w:tc>
      </w:tr>
      <w:tr w:rsidR="00FB683A" w:rsidRPr="0057246D" w14:paraId="5DDA9AF1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50E8" w14:textId="2B49EE80" w:rsidR="00FB683A" w:rsidRPr="0057246D" w:rsidRDefault="00FB683A" w:rsidP="00FB683A">
            <w:r w:rsidRPr="00691057">
              <w:t xml:space="preserve">10.2 Endereço da página do consultor na rede mundial de computadores na qual podem ser encontrados os documentos exigidos pelo art. 14 desta Resolução </w:t>
            </w:r>
          </w:p>
        </w:tc>
      </w:tr>
      <w:tr w:rsidR="00FB683A" w:rsidRPr="0057246D" w14:paraId="3A3D5E7D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E509" w14:textId="580DFF8A" w:rsidR="00FB683A" w:rsidRPr="0057246D" w:rsidRDefault="00FB683A" w:rsidP="00FB683A">
            <w:pPr>
              <w:ind w:left="567" w:firstLine="0"/>
            </w:pPr>
            <w:r w:rsidRPr="00691057">
              <w:t>11. Contingências</w:t>
            </w:r>
          </w:p>
        </w:tc>
      </w:tr>
      <w:tr w:rsidR="00FB683A" w:rsidRPr="0057246D" w14:paraId="5133CD0F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C18B" w14:textId="2A625BDB" w:rsidR="00FB683A" w:rsidRPr="0057246D" w:rsidRDefault="00FB683A" w:rsidP="00FB683A">
            <w:r w:rsidRPr="00691057">
              <w:t>11.1 Descrever os processos judiciais, procedimentos administrativos ou arbitrais, que não estejam sob sigilo, em que a empresa figure no polo passivo, que sejam relevantes para os negócios da empresa, indicando:</w:t>
            </w:r>
          </w:p>
        </w:tc>
      </w:tr>
      <w:tr w:rsidR="00FB683A" w:rsidRPr="0057246D" w14:paraId="201B34E3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90F0" w14:textId="0664A772" w:rsidR="00FB683A" w:rsidRPr="0057246D" w:rsidRDefault="00FB683A" w:rsidP="00FB683A">
            <w:pPr>
              <w:ind w:firstLine="918"/>
            </w:pPr>
            <w:r w:rsidRPr="00691057">
              <w:t>a. principais fatos</w:t>
            </w:r>
          </w:p>
        </w:tc>
      </w:tr>
      <w:tr w:rsidR="00FB683A" w:rsidRPr="0057246D" w14:paraId="00A0436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98F1" w14:textId="4C9E5389" w:rsidR="00FB683A" w:rsidRPr="0057246D" w:rsidRDefault="00FB683A" w:rsidP="00FB683A">
            <w:pPr>
              <w:ind w:firstLine="918"/>
            </w:pPr>
            <w:r w:rsidRPr="00691057">
              <w:t>b. valores, bens ou direitos envolvidos</w:t>
            </w:r>
          </w:p>
        </w:tc>
      </w:tr>
      <w:tr w:rsidR="00FB683A" w:rsidRPr="0057246D" w14:paraId="69A30732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5E79" w14:textId="6506C5E9" w:rsidR="00FB683A" w:rsidRPr="0057246D" w:rsidRDefault="00FB683A" w:rsidP="00FB683A">
            <w:r w:rsidRPr="00691057">
              <w:t>11.2 Descrever os processos judiciais, procedimentos administrativos ou arbitrais, que não estejam sob sigilo, em que o diretor responsável pela consultoria de valores mobiliários figure no polo passivo e que afetem sua reputação profissional, indicando:</w:t>
            </w:r>
          </w:p>
        </w:tc>
      </w:tr>
      <w:tr w:rsidR="00FB683A" w:rsidRPr="0057246D" w14:paraId="0026170D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FA32" w14:textId="5F6A46AF" w:rsidR="00FB683A" w:rsidRPr="0057246D" w:rsidRDefault="00FB683A" w:rsidP="00FB683A">
            <w:pPr>
              <w:ind w:firstLine="918"/>
            </w:pPr>
            <w:r w:rsidRPr="00691057">
              <w:t>a. principais fatos</w:t>
            </w:r>
          </w:p>
        </w:tc>
      </w:tr>
      <w:tr w:rsidR="00FB683A" w:rsidRPr="0057246D" w14:paraId="00F69E54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FAC1" w14:textId="5FFD48A4" w:rsidR="00FB683A" w:rsidRPr="0057246D" w:rsidRDefault="00FB683A" w:rsidP="00FB683A">
            <w:pPr>
              <w:ind w:firstLine="918"/>
            </w:pPr>
            <w:r w:rsidRPr="00691057">
              <w:t>b. valores, bens ou direitos envolvidos</w:t>
            </w:r>
          </w:p>
        </w:tc>
      </w:tr>
      <w:tr w:rsidR="00FB683A" w:rsidRPr="0057246D" w14:paraId="68360F54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A0B6" w14:textId="1F13400E" w:rsidR="00FB683A" w:rsidRPr="0057246D" w:rsidRDefault="00FB683A" w:rsidP="00FB683A">
            <w:r w:rsidRPr="00691057">
              <w:t>11.3 Descrever outras contingências relevantes não abrangidas pelos itens anteriores</w:t>
            </w:r>
          </w:p>
        </w:tc>
      </w:tr>
      <w:tr w:rsidR="00FB683A" w:rsidRPr="0057246D" w14:paraId="27A66E62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EB1B" w14:textId="0174DBF7" w:rsidR="00FB683A" w:rsidRPr="0057246D" w:rsidRDefault="00FB683A" w:rsidP="00FB683A">
            <w:r w:rsidRPr="00691057">
              <w:t>11.4 Descrever condenações judiciais, administrativas ou arbitrais, transitadas em julgado, prolatadas nos últimos 5 (cinco) anos em processos que não estejam sob sigilo, em que a empresa tenha figurado no polo passivo, indicando:</w:t>
            </w:r>
          </w:p>
        </w:tc>
      </w:tr>
      <w:tr w:rsidR="00FB683A" w:rsidRPr="0057246D" w14:paraId="1D1D665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7DF1" w14:textId="2F131607" w:rsidR="00FB683A" w:rsidRPr="0057246D" w:rsidRDefault="00FB683A" w:rsidP="00FB683A">
            <w:pPr>
              <w:ind w:firstLine="918"/>
            </w:pPr>
            <w:r w:rsidRPr="00691057">
              <w:t>a. principais fatos</w:t>
            </w:r>
          </w:p>
        </w:tc>
      </w:tr>
      <w:tr w:rsidR="00FB683A" w:rsidRPr="0057246D" w14:paraId="4865BCC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C3C9" w14:textId="7635D8E4" w:rsidR="00FB683A" w:rsidRPr="0057246D" w:rsidRDefault="00FB683A" w:rsidP="00FB683A">
            <w:pPr>
              <w:ind w:firstLine="918"/>
            </w:pPr>
            <w:r w:rsidRPr="00691057">
              <w:t>b. valores, bens ou direitos envolvidos</w:t>
            </w:r>
          </w:p>
        </w:tc>
      </w:tr>
      <w:tr w:rsidR="00FB683A" w:rsidRPr="0057246D" w14:paraId="613AB27D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FD93" w14:textId="344B7BEA" w:rsidR="00FB683A" w:rsidRPr="0057246D" w:rsidRDefault="00FB683A" w:rsidP="00FB683A">
            <w:pPr>
              <w:rPr>
                <w:bCs/>
              </w:rPr>
            </w:pPr>
            <w:r w:rsidRPr="00691057">
              <w:lastRenderedPageBreak/>
              <w:t>11.5 Descrever condenações judiciais, administrativas ou arbitrais, transitadas em julgado, prolatadas nos últimos 5 (cinco) anos em processos que não estejam sob sigilo, em que o diretor responsável pela consultoria de valores mobiliários tenha figurado no polo passivo e tenha afetado seus negócios ou sua reputação profissional, indicando:</w:t>
            </w:r>
          </w:p>
        </w:tc>
      </w:tr>
      <w:tr w:rsidR="00FB683A" w:rsidRPr="0057246D" w14:paraId="215E1538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4732" w14:textId="22DA743E" w:rsidR="00FB683A" w:rsidRPr="0057246D" w:rsidRDefault="00FB683A" w:rsidP="00FB683A">
            <w:pPr>
              <w:ind w:firstLine="918"/>
            </w:pPr>
            <w:r w:rsidRPr="00691057">
              <w:t>a. principais fatos</w:t>
            </w:r>
          </w:p>
        </w:tc>
      </w:tr>
      <w:tr w:rsidR="00FB683A" w:rsidRPr="0057246D" w14:paraId="68B8A9C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C6D5" w14:textId="6BA714F7" w:rsidR="00FB683A" w:rsidRPr="0057246D" w:rsidRDefault="00FB683A" w:rsidP="00FB683A">
            <w:pPr>
              <w:ind w:firstLine="918"/>
            </w:pPr>
            <w:r w:rsidRPr="00691057">
              <w:t>b. valores, bens ou direitos envolvidos</w:t>
            </w:r>
          </w:p>
        </w:tc>
      </w:tr>
      <w:tr w:rsidR="00FB683A" w:rsidRPr="0057246D" w14:paraId="73497D9E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0D50" w14:textId="32286B5F" w:rsidR="00FB683A" w:rsidRPr="0057246D" w:rsidRDefault="00FB683A" w:rsidP="00FB683A">
            <w:pPr>
              <w:rPr>
                <w:bCs/>
              </w:rPr>
            </w:pPr>
            <w:r w:rsidRPr="00691057">
              <w:t>12. Declarações adicionais do diretor responsável pela consultoria de valores mobiliários, informando sobre:</w:t>
            </w:r>
          </w:p>
        </w:tc>
      </w:tr>
      <w:tr w:rsidR="00FB683A" w:rsidRPr="0057246D" w14:paraId="194C6CD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492E" w14:textId="05CDFC6F" w:rsidR="00FB683A" w:rsidRPr="0057246D" w:rsidRDefault="00FB683A" w:rsidP="00FB683A">
            <w:r w:rsidRPr="00691057">
              <w:t>12.1 acusações decorrentes de processos administrativos, bem como punições sofridas, nos últimos  5 (cinco) anos, em decorrência de atividade sujeita ao controle e fiscalização da CVM, Banco Central do Brasil, Superintendência de Seguros Privados – SUSEP ou da Superintendência Nacional de Previdência Complementar – PREVIC, incluindo que não está inabilitado ou suspenso para o exercício de cargo em instituições financeiras e demais entidades autorizadas a funcionar pelos citados órgãos ou por entidades equivalentes em seu país de domicílio</w:t>
            </w:r>
          </w:p>
        </w:tc>
      </w:tr>
      <w:tr w:rsidR="00FB683A" w:rsidRPr="0057246D" w14:paraId="015B5915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22CA" w14:textId="7449B1E0" w:rsidR="00FB683A" w:rsidRPr="0057246D" w:rsidRDefault="00FB683A" w:rsidP="00FB683A">
            <w:r w:rsidRPr="00691057">
              <w:t>12.2 condenações por crime falimentar, prevaricação, suborno, concussão, peculato, “lavagem” de dinheiro ou ocultação de bens, direitos e valores, contra a economia popular, a ordem econômica, as relações de consumo, a fé pública ou a propriedade pública, o sistema financeiro nacional, ou a pena criminal que vede, ainda que temporariamente, o acesso a cargos públicos, por decisão transitada em julgado, ressalvada a hipótese de reabilitação</w:t>
            </w:r>
          </w:p>
        </w:tc>
      </w:tr>
      <w:tr w:rsidR="00FB683A" w:rsidRPr="0057246D" w14:paraId="31AD5C89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28DD" w14:textId="288FCBED" w:rsidR="00FB683A" w:rsidRPr="0057246D" w:rsidRDefault="00FB683A" w:rsidP="00FB683A">
            <w:r w:rsidRPr="00691057">
              <w:t>12.3 impedimentos de administrar seus bens ou deles dispor em razão de decisão judicial e administrativa</w:t>
            </w:r>
          </w:p>
        </w:tc>
      </w:tr>
      <w:tr w:rsidR="00FB683A" w:rsidRPr="0057246D" w14:paraId="0B98881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C63A" w14:textId="1E1FAE57" w:rsidR="00FB683A" w:rsidRPr="0057246D" w:rsidRDefault="00FB683A" w:rsidP="00FB683A">
            <w:r w:rsidRPr="00691057">
              <w:t>12.4 inclusão em relação de comitentes inadimplentes de entidade administradora de mercado organizado</w:t>
            </w:r>
          </w:p>
        </w:tc>
      </w:tr>
    </w:tbl>
    <w:p w14:paraId="75A96A16" w14:textId="77777777" w:rsidR="006700F0" w:rsidRPr="0057246D" w:rsidRDefault="006700F0" w:rsidP="006700F0">
      <w:pPr>
        <w:rPr>
          <w:bCs/>
        </w:rPr>
      </w:pPr>
    </w:p>
    <w:p w14:paraId="7F57D3BC" w14:textId="77777777" w:rsidR="006700F0" w:rsidRPr="0057246D" w:rsidRDefault="006700F0" w:rsidP="006700F0">
      <w:r w:rsidRPr="0057246D">
        <w:rPr>
          <w:color w:val="2B579A"/>
          <w:shd w:val="clear" w:color="auto" w:fill="E6E6E6"/>
        </w:rPr>
        <w:br w:type="page"/>
      </w:r>
    </w:p>
    <w:p w14:paraId="3E8B75A6" w14:textId="380727CE" w:rsidR="00F23E36" w:rsidRPr="00461695" w:rsidRDefault="00F23E36" w:rsidP="00F23E36">
      <w:pPr>
        <w:pStyle w:val="TtulodaResoluo"/>
      </w:pPr>
      <w:r w:rsidRPr="00237DB3">
        <w:lastRenderedPageBreak/>
        <w:t xml:space="preserve">ANEXO </w:t>
      </w:r>
      <w:r w:rsidR="47FF0A56" w:rsidRPr="00237DB3">
        <w:t>F</w:t>
      </w:r>
      <w:r w:rsidRPr="00237DB3">
        <w:t xml:space="preserve"> à Resolução CVM nº </w:t>
      </w:r>
      <w:sdt>
        <w:sdtPr>
          <w:alias w:val="Título"/>
          <w:tag w:val=""/>
          <w:id w:val="1080566678"/>
          <w:placeholder>
            <w:docPart w:val="6786D1F48EF747AA8FB3AEEA8D87319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78A9">
            <w:t>19, de 25 de FEVEREIRO de 2021</w:t>
          </w:r>
        </w:sdtContent>
      </w:sdt>
    </w:p>
    <w:p w14:paraId="6762DC57" w14:textId="28948D8F" w:rsidR="006700F0" w:rsidRPr="00BF2DA1" w:rsidRDefault="00AD2C2F" w:rsidP="00C41234">
      <w:pPr>
        <w:jc w:val="center"/>
        <w:rPr>
          <w:b/>
          <w:bCs/>
          <w:i/>
          <w:iCs/>
        </w:rPr>
      </w:pPr>
      <w:r w:rsidRPr="00BF2DA1">
        <w:rPr>
          <w:i/>
          <w:iCs/>
        </w:rPr>
        <w:t>Termo de Ciência de Potencial Conflito de Interesses</w:t>
      </w:r>
    </w:p>
    <w:p w14:paraId="564ABEEB" w14:textId="77777777" w:rsidR="006700F0" w:rsidRPr="0057246D" w:rsidRDefault="006700F0" w:rsidP="006700F0">
      <w:r w:rsidRPr="00461695">
        <w:t xml:space="preserve">Ao assinar este termo, estou </w:t>
      </w:r>
      <w:r w:rsidRPr="00543955">
        <w:t>confirmando que tenho ciência de que:</w:t>
      </w:r>
    </w:p>
    <w:p w14:paraId="0C8B0FF2" w14:textId="77777777" w:rsidR="006700F0" w:rsidRPr="0057246D" w:rsidRDefault="006700F0" w:rsidP="006700F0">
      <w:r w:rsidRPr="00543955">
        <w:t>I – o consultor de valores mobiliários, ou partes a ele relacionadas, podem receber remuneração decorrente da alocação de recursos em títulos, valores mobiliários e veículos de investimento objeto desta consultoria; e</w:t>
      </w:r>
    </w:p>
    <w:p w14:paraId="4DEF70D5" w14:textId="77777777" w:rsidR="006700F0" w:rsidRPr="0057246D" w:rsidRDefault="006700F0" w:rsidP="006700F0">
      <w:r w:rsidRPr="00543955">
        <w:t xml:space="preserve">II – o recebimento da remuneração acima mencionada pode afetar a independência da atividade de consultoria em decorrência do potencial conflito de interesses. </w:t>
      </w:r>
    </w:p>
    <w:p w14:paraId="289E7BFD" w14:textId="77777777" w:rsidR="006700F0" w:rsidRPr="0057246D" w:rsidRDefault="006700F0" w:rsidP="006700F0">
      <w:r w:rsidRPr="00543955">
        <w:t>[data e local]</w:t>
      </w:r>
    </w:p>
    <w:p w14:paraId="2D239FF2" w14:textId="77777777" w:rsidR="006700F0" w:rsidRPr="0057246D" w:rsidRDefault="006700F0" w:rsidP="006700F0">
      <w:r w:rsidRPr="00543955">
        <w:t>___________________</w:t>
      </w:r>
    </w:p>
    <w:p w14:paraId="4ABBC76D" w14:textId="77777777" w:rsidR="006700F0" w:rsidRPr="0057246D" w:rsidRDefault="006700F0" w:rsidP="006700F0">
      <w:r w:rsidRPr="00543955">
        <w:t>[nome e CPF ou CNPJ]</w:t>
      </w:r>
    </w:p>
    <w:sectPr w:rsidR="006700F0" w:rsidRPr="0057246D" w:rsidSect="00E255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05C52" w14:textId="77777777" w:rsidR="003968A6" w:rsidRDefault="003968A6" w:rsidP="00ED1FB4">
      <w:r>
        <w:separator/>
      </w:r>
    </w:p>
  </w:endnote>
  <w:endnote w:type="continuationSeparator" w:id="0">
    <w:p w14:paraId="203BF0A8" w14:textId="77777777" w:rsidR="003968A6" w:rsidRDefault="003968A6" w:rsidP="00ED1FB4">
      <w:r>
        <w:continuationSeparator/>
      </w:r>
    </w:p>
  </w:endnote>
  <w:endnote w:type="continuationNotice" w:id="1">
    <w:p w14:paraId="388A0412" w14:textId="77777777" w:rsidR="003968A6" w:rsidRDefault="003968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3EABC" w14:textId="77777777" w:rsidR="00040C33" w:rsidRDefault="00040C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F33E" w14:textId="77777777" w:rsidR="00040C33" w:rsidRDefault="00040C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C099" w14:textId="77777777" w:rsidR="00040C33" w:rsidRDefault="00040C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85558" w14:textId="77777777" w:rsidR="003968A6" w:rsidRDefault="003968A6" w:rsidP="00ED1FB4">
      <w:r>
        <w:separator/>
      </w:r>
    </w:p>
  </w:footnote>
  <w:footnote w:type="continuationSeparator" w:id="0">
    <w:p w14:paraId="6545BCFE" w14:textId="77777777" w:rsidR="003968A6" w:rsidRDefault="003968A6" w:rsidP="00ED1FB4">
      <w:r>
        <w:continuationSeparator/>
      </w:r>
    </w:p>
  </w:footnote>
  <w:footnote w:type="continuationNotice" w:id="1">
    <w:p w14:paraId="504B9786" w14:textId="77777777" w:rsidR="003968A6" w:rsidRDefault="003968A6">
      <w:pPr>
        <w:spacing w:before="0" w:after="0" w:line="240" w:lineRule="auto"/>
      </w:pPr>
    </w:p>
  </w:footnote>
  <w:footnote w:id="2">
    <w:p w14:paraId="569DA3F4" w14:textId="77777777" w:rsidR="004B48C3" w:rsidRDefault="004B48C3" w:rsidP="006700F0">
      <w:pPr>
        <w:pStyle w:val="Textodenotaderodap"/>
      </w:pPr>
      <w:r>
        <w:rPr>
          <w:rStyle w:val="Refdenotaderodap"/>
        </w:rPr>
        <w:footnoteRef/>
      </w:r>
      <w:r>
        <w:t xml:space="preserve"> A empresa deve informar apenas dados relativos à área envolvida na consultoria de valores mobiliários, caso exerça outras atividades.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0702C" w14:textId="77777777" w:rsidR="00040C33" w:rsidRDefault="00040C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A1C4F" w14:textId="77777777" w:rsidR="004B48C3" w:rsidRPr="00ED1FB4" w:rsidRDefault="004B48C3" w:rsidP="004D68A2">
    <w:pPr>
      <w:pStyle w:val="Rodap"/>
    </w:pPr>
    <w:r>
      <w:drawing>
        <wp:inline distT="0" distB="0" distL="0" distR="0" wp14:anchorId="73D5B37E" wp14:editId="746CF4BB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9CC2C3" w14:textId="77777777" w:rsidR="004B48C3" w:rsidRPr="004D68A2" w:rsidRDefault="004B48C3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4CE8984B" w14:textId="77777777" w:rsidR="004B48C3" w:rsidRPr="00ED1FB4" w:rsidRDefault="004B48C3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1227584E" w14:textId="77777777" w:rsidR="004B48C3" w:rsidRPr="004D68A2" w:rsidRDefault="004B48C3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0A7360C3" w14:textId="77777777" w:rsidR="004B48C3" w:rsidRPr="00ED1FB4" w:rsidRDefault="004B48C3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0753C3B4" w14:textId="77777777" w:rsidR="004B48C3" w:rsidRDefault="003968A6" w:rsidP="00E25581">
    <w:pPr>
      <w:pStyle w:val="Rodap"/>
      <w:spacing w:after="240"/>
    </w:pPr>
    <w:hyperlink r:id="rId2" w:history="1">
      <w:r w:rsidR="004B48C3" w:rsidRPr="00ED1FB4">
        <w:rPr>
          <w:rStyle w:val="Hyperlink"/>
        </w:rPr>
        <w:t>www.cvm.gov.br</w:t>
      </w:r>
    </w:hyperlink>
  </w:p>
  <w:p w14:paraId="33877FF9" w14:textId="7439E306" w:rsidR="004B48C3" w:rsidRPr="009B69B0" w:rsidRDefault="004B48C3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</w:t>
    </w:r>
    <w:r w:rsidRPr="004B48C3">
      <w:rPr>
        <w:caps/>
      </w:rPr>
      <w:t xml:space="preserve">Nº </w:t>
    </w:r>
    <w:sdt>
      <w:sdtPr>
        <w:rPr>
          <w:caps/>
        </w:rPr>
        <w:alias w:val="Título"/>
        <w:tag w:val=""/>
        <w:id w:val="1007090907"/>
        <w:placeholder>
          <w:docPart w:val="BA3D9001F3D24C22B912FAEC428FFF1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078A9">
          <w:rPr>
            <w:caps/>
          </w:rPr>
          <w:t>19, de 25 de FEVEREIRO de 2021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A79DE" w14:textId="77777777" w:rsidR="004B48C3" w:rsidRPr="00ED1FB4" w:rsidRDefault="004B48C3" w:rsidP="009B69B0">
    <w:pPr>
      <w:pStyle w:val="Rodap"/>
    </w:pPr>
    <w:r>
      <w:drawing>
        <wp:inline distT="0" distB="0" distL="0" distR="0" wp14:anchorId="747423B4" wp14:editId="0E9338D5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51F478" w14:textId="77777777" w:rsidR="004B48C3" w:rsidRPr="004D68A2" w:rsidRDefault="004B48C3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1A1C69A0" w14:textId="77777777" w:rsidR="004B48C3" w:rsidRPr="00ED1FB4" w:rsidRDefault="004B48C3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4F0CE449" w14:textId="77777777" w:rsidR="004B48C3" w:rsidRPr="004D68A2" w:rsidRDefault="004B48C3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3C9E9119" w14:textId="77777777" w:rsidR="004B48C3" w:rsidRPr="00ED1FB4" w:rsidRDefault="004B48C3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2A3137FC" w14:textId="0FA3B0B1" w:rsidR="004B48C3" w:rsidRDefault="003968A6" w:rsidP="009B69B0">
    <w:pPr>
      <w:pStyle w:val="Rodap"/>
      <w:spacing w:after="240"/>
    </w:pPr>
    <w:hyperlink r:id="rId2" w:history="1">
      <w:r w:rsidR="004B48C3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multi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89"/>
    <w:multiLevelType w:val="hybridMultilevel"/>
    <w:tmpl w:val="C9880384"/>
    <w:lvl w:ilvl="0" w:tplc="151AE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2676F6">
      <w:numFmt w:val="decimal"/>
      <w:lvlText w:val=""/>
      <w:lvlJc w:val="left"/>
    </w:lvl>
    <w:lvl w:ilvl="2" w:tplc="27F6928C">
      <w:numFmt w:val="decimal"/>
      <w:lvlText w:val=""/>
      <w:lvlJc w:val="left"/>
    </w:lvl>
    <w:lvl w:ilvl="3" w:tplc="76BA4894">
      <w:numFmt w:val="decimal"/>
      <w:lvlText w:val=""/>
      <w:lvlJc w:val="left"/>
    </w:lvl>
    <w:lvl w:ilvl="4" w:tplc="AF6EB3F8">
      <w:numFmt w:val="decimal"/>
      <w:lvlText w:val=""/>
      <w:lvlJc w:val="left"/>
    </w:lvl>
    <w:lvl w:ilvl="5" w:tplc="A1AAA526">
      <w:numFmt w:val="decimal"/>
      <w:lvlText w:val=""/>
      <w:lvlJc w:val="left"/>
    </w:lvl>
    <w:lvl w:ilvl="6" w:tplc="0D4C7BB4">
      <w:numFmt w:val="decimal"/>
      <w:lvlText w:val=""/>
      <w:lvlJc w:val="left"/>
    </w:lvl>
    <w:lvl w:ilvl="7" w:tplc="2E5CDD50">
      <w:numFmt w:val="decimal"/>
      <w:lvlText w:val=""/>
      <w:lvlJc w:val="left"/>
    </w:lvl>
    <w:lvl w:ilvl="8" w:tplc="EEAA890C">
      <w:numFmt w:val="decimal"/>
      <w:lvlText w:val=""/>
      <w:lvlJc w:val="left"/>
    </w:lvl>
  </w:abstractNum>
  <w:abstractNum w:abstractNumId="3" w15:restartNumberingAfterBreak="0">
    <w:nsid w:val="01B40F23"/>
    <w:multiLevelType w:val="multilevel"/>
    <w:tmpl w:val="5194E9D6"/>
    <w:lvl w:ilvl="0">
      <w:start w:val="10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1B51C8B"/>
    <w:multiLevelType w:val="multilevel"/>
    <w:tmpl w:val="F9CED6AC"/>
    <w:lvl w:ilvl="0">
      <w:start w:val="9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250614B"/>
    <w:multiLevelType w:val="multilevel"/>
    <w:tmpl w:val="D4823ED0"/>
    <w:lvl w:ilvl="0">
      <w:start w:val="8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4375CEC"/>
    <w:multiLevelType w:val="hybridMultilevel"/>
    <w:tmpl w:val="4112A836"/>
    <w:lvl w:ilvl="0" w:tplc="B8481B34">
      <w:start w:val="1"/>
      <w:numFmt w:val="lowerLetter"/>
      <w:lvlText w:val="%1."/>
      <w:lvlJc w:val="left"/>
      <w:pPr>
        <w:ind w:left="92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9412F"/>
    <w:multiLevelType w:val="hybridMultilevel"/>
    <w:tmpl w:val="E6C6F988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E562071"/>
    <w:multiLevelType w:val="multilevel"/>
    <w:tmpl w:val="CD748498"/>
    <w:lvl w:ilvl="0">
      <w:start w:val="5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259151F"/>
    <w:multiLevelType w:val="hybridMultilevel"/>
    <w:tmpl w:val="CA8A94C6"/>
    <w:lvl w:ilvl="0" w:tplc="0416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0" w15:restartNumberingAfterBreak="0">
    <w:nsid w:val="17746D0E"/>
    <w:multiLevelType w:val="multilevel"/>
    <w:tmpl w:val="61D6CDB8"/>
    <w:lvl w:ilvl="0">
      <w:start w:val="6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C2A3440"/>
    <w:multiLevelType w:val="multilevel"/>
    <w:tmpl w:val="93EC2F5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effect w:val="none"/>
      </w:rPr>
    </w:lvl>
    <w:lvl w:ilvl="2">
      <w:start w:val="1"/>
      <w:numFmt w:val="lowerLetter"/>
      <w:lvlText w:val="%3."/>
      <w:lvlJc w:val="left"/>
      <w:pPr>
        <w:tabs>
          <w:tab w:val="num" w:pos="1287"/>
        </w:tabs>
        <w:ind w:left="1287" w:hanging="720"/>
      </w:pPr>
    </w:lvl>
    <w:lvl w:ilvl="3">
      <w:start w:val="1"/>
      <w:numFmt w:val="lowerRoman"/>
      <w:lvlText w:val="%4)"/>
      <w:lvlJc w:val="left"/>
      <w:pPr>
        <w:tabs>
          <w:tab w:val="num" w:pos="720"/>
        </w:tabs>
        <w:ind w:left="720" w:hanging="720"/>
      </w:pPr>
    </w:lvl>
    <w:lvl w:ilvl="4">
      <w:start w:val="1"/>
      <w:numFmt w:val="upperRoman"/>
      <w:lvlText w:val="%5I - 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EB71243"/>
    <w:multiLevelType w:val="multilevel"/>
    <w:tmpl w:val="877AB94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effect w:val="none"/>
      </w:rPr>
    </w:lvl>
    <w:lvl w:ilvl="2">
      <w:start w:val="1"/>
      <w:numFmt w:val="lowerLetter"/>
      <w:lvlText w:val="%3."/>
      <w:lvlJc w:val="left"/>
      <w:pPr>
        <w:tabs>
          <w:tab w:val="num" w:pos="1287"/>
        </w:tabs>
        <w:ind w:left="1287" w:hanging="720"/>
      </w:pPr>
    </w:lvl>
    <w:lvl w:ilvl="3">
      <w:start w:val="1"/>
      <w:numFmt w:val="lowerRoman"/>
      <w:lvlText w:val="%4)"/>
      <w:lvlJc w:val="left"/>
      <w:pPr>
        <w:tabs>
          <w:tab w:val="num" w:pos="720"/>
        </w:tabs>
        <w:ind w:left="720" w:hanging="720"/>
      </w:pPr>
    </w:lvl>
    <w:lvl w:ilvl="4">
      <w:start w:val="1"/>
      <w:numFmt w:val="upperRoman"/>
      <w:lvlText w:val="%5I - 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F2E69B1"/>
    <w:multiLevelType w:val="hybridMultilevel"/>
    <w:tmpl w:val="D71CC9D2"/>
    <w:lvl w:ilvl="0" w:tplc="1D3AAB54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A0D11"/>
    <w:multiLevelType w:val="hybridMultilevel"/>
    <w:tmpl w:val="DCF0A380"/>
    <w:lvl w:ilvl="0" w:tplc="0416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2753475D"/>
    <w:multiLevelType w:val="multilevel"/>
    <w:tmpl w:val="7598EE46"/>
    <w:lvl w:ilvl="0">
      <w:start w:val="1"/>
      <w:numFmt w:val="decimal"/>
      <w:lvlText w:val="%1."/>
      <w:lvlJc w:val="left"/>
      <w:pPr>
        <w:ind w:left="567" w:hanging="567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9A23C4F"/>
    <w:multiLevelType w:val="hybridMultilevel"/>
    <w:tmpl w:val="CB86513E"/>
    <w:lvl w:ilvl="0" w:tplc="8F9269E8">
      <w:start w:val="1"/>
      <w:numFmt w:val="lowerLetter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B6682"/>
    <w:multiLevelType w:val="multilevel"/>
    <w:tmpl w:val="8826AD9C"/>
    <w:lvl w:ilvl="0">
      <w:start w:val="9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624CF1"/>
    <w:multiLevelType w:val="hybridMultilevel"/>
    <w:tmpl w:val="02BC5350"/>
    <w:lvl w:ilvl="0" w:tplc="3DF8DB08">
      <w:start w:val="1"/>
      <w:numFmt w:val="lowerLetter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849F5"/>
    <w:multiLevelType w:val="hybridMultilevel"/>
    <w:tmpl w:val="22C2C748"/>
    <w:lvl w:ilvl="0" w:tplc="079E9DC2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A6B1D"/>
    <w:multiLevelType w:val="multilevel"/>
    <w:tmpl w:val="B106E0BC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FE3B23"/>
    <w:multiLevelType w:val="multilevel"/>
    <w:tmpl w:val="1204617C"/>
    <w:lvl w:ilvl="0">
      <w:start w:val="8"/>
      <w:numFmt w:val="decimal"/>
      <w:lvlText w:val="%1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24" w15:restartNumberingAfterBreak="0">
    <w:nsid w:val="5F2A22CA"/>
    <w:multiLevelType w:val="multilevel"/>
    <w:tmpl w:val="63869BB0"/>
    <w:lvl w:ilvl="0">
      <w:start w:val="8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0514516"/>
    <w:multiLevelType w:val="multilevel"/>
    <w:tmpl w:val="56206B0E"/>
    <w:lvl w:ilvl="0">
      <w:start w:val="9"/>
      <w:numFmt w:val="decimal"/>
      <w:lvlText w:val="%1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2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05D2617"/>
    <w:multiLevelType w:val="hybridMultilevel"/>
    <w:tmpl w:val="9902728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4184565"/>
    <w:multiLevelType w:val="hybridMultilevel"/>
    <w:tmpl w:val="57584324"/>
    <w:lvl w:ilvl="0" w:tplc="22E61CB6">
      <w:start w:val="1"/>
      <w:numFmt w:val="lowerLetter"/>
      <w:lvlText w:val="%1."/>
      <w:lvlJc w:val="left"/>
      <w:pPr>
        <w:ind w:left="92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2A4DFC"/>
    <w:multiLevelType w:val="multilevel"/>
    <w:tmpl w:val="6642735E"/>
    <w:lvl w:ilvl="0">
      <w:start w:val="9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4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22E2E1B"/>
    <w:multiLevelType w:val="multilevel"/>
    <w:tmpl w:val="65C6E69C"/>
    <w:lvl w:ilvl="0">
      <w:start w:val="1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FCF6B73"/>
    <w:multiLevelType w:val="hybridMultilevel"/>
    <w:tmpl w:val="AEF0CD4A"/>
    <w:lvl w:ilvl="0" w:tplc="141CD6C6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4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9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</w:num>
  <w:num w:numId="27">
    <w:abstractNumId w:val="20"/>
  </w:num>
  <w:num w:numId="28">
    <w:abstractNumId w:val="13"/>
  </w:num>
  <w:num w:numId="29">
    <w:abstractNumId w:val="19"/>
  </w:num>
  <w:num w:numId="30">
    <w:abstractNumId w:val="22"/>
  </w:num>
  <w:num w:numId="31">
    <w:abstractNumId w:val="30"/>
  </w:num>
  <w:num w:numId="32">
    <w:abstractNumId w:val="2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F5"/>
    <w:rsid w:val="0000231F"/>
    <w:rsid w:val="00002CAD"/>
    <w:rsid w:val="00003029"/>
    <w:rsid w:val="00011BD6"/>
    <w:rsid w:val="0001455F"/>
    <w:rsid w:val="00040C33"/>
    <w:rsid w:val="000437C1"/>
    <w:rsid w:val="00044793"/>
    <w:rsid w:val="000519A6"/>
    <w:rsid w:val="00055F6A"/>
    <w:rsid w:val="000612A5"/>
    <w:rsid w:val="00070858"/>
    <w:rsid w:val="00076778"/>
    <w:rsid w:val="00076D3D"/>
    <w:rsid w:val="00082BE8"/>
    <w:rsid w:val="00085361"/>
    <w:rsid w:val="00090172"/>
    <w:rsid w:val="000A530E"/>
    <w:rsid w:val="000B0F67"/>
    <w:rsid w:val="000B21EB"/>
    <w:rsid w:val="000C0EBE"/>
    <w:rsid w:val="000C69EE"/>
    <w:rsid w:val="000E414F"/>
    <w:rsid w:val="000F2683"/>
    <w:rsid w:val="000F4E4A"/>
    <w:rsid w:val="00102277"/>
    <w:rsid w:val="001055DF"/>
    <w:rsid w:val="00116D2D"/>
    <w:rsid w:val="00121ACD"/>
    <w:rsid w:val="0012269E"/>
    <w:rsid w:val="00123D40"/>
    <w:rsid w:val="00127B8F"/>
    <w:rsid w:val="00131DFE"/>
    <w:rsid w:val="00132FC0"/>
    <w:rsid w:val="00143FD8"/>
    <w:rsid w:val="00144132"/>
    <w:rsid w:val="00144E08"/>
    <w:rsid w:val="001663BB"/>
    <w:rsid w:val="00170AC5"/>
    <w:rsid w:val="001807D0"/>
    <w:rsid w:val="001866BB"/>
    <w:rsid w:val="001A2D03"/>
    <w:rsid w:val="001B4E75"/>
    <w:rsid w:val="001B657C"/>
    <w:rsid w:val="001E0083"/>
    <w:rsid w:val="001E0E39"/>
    <w:rsid w:val="001E7112"/>
    <w:rsid w:val="0020346F"/>
    <w:rsid w:val="0020351A"/>
    <w:rsid w:val="00205637"/>
    <w:rsid w:val="00222178"/>
    <w:rsid w:val="0022398E"/>
    <w:rsid w:val="00227B39"/>
    <w:rsid w:val="00237773"/>
    <w:rsid w:val="00237DB3"/>
    <w:rsid w:val="002430CB"/>
    <w:rsid w:val="0024510C"/>
    <w:rsid w:val="0024614E"/>
    <w:rsid w:val="002469C9"/>
    <w:rsid w:val="00257408"/>
    <w:rsid w:val="00257C2E"/>
    <w:rsid w:val="0026389D"/>
    <w:rsid w:val="002745C7"/>
    <w:rsid w:val="00282B34"/>
    <w:rsid w:val="002A0EFD"/>
    <w:rsid w:val="002A182D"/>
    <w:rsid w:val="002A2073"/>
    <w:rsid w:val="002A2745"/>
    <w:rsid w:val="002B3680"/>
    <w:rsid w:val="002B5951"/>
    <w:rsid w:val="002B6CD6"/>
    <w:rsid w:val="002E58FA"/>
    <w:rsid w:val="002E5BAF"/>
    <w:rsid w:val="002E7D92"/>
    <w:rsid w:val="002F1D96"/>
    <w:rsid w:val="002F2BFE"/>
    <w:rsid w:val="00311997"/>
    <w:rsid w:val="00315927"/>
    <w:rsid w:val="0032486E"/>
    <w:rsid w:val="0032545D"/>
    <w:rsid w:val="00330446"/>
    <w:rsid w:val="00330687"/>
    <w:rsid w:val="003320F1"/>
    <w:rsid w:val="00344D90"/>
    <w:rsid w:val="0037661C"/>
    <w:rsid w:val="00377422"/>
    <w:rsid w:val="00377A9D"/>
    <w:rsid w:val="00384B65"/>
    <w:rsid w:val="0039342D"/>
    <w:rsid w:val="003968A6"/>
    <w:rsid w:val="003A235C"/>
    <w:rsid w:val="003C4D72"/>
    <w:rsid w:val="003C56B9"/>
    <w:rsid w:val="003D0AB6"/>
    <w:rsid w:val="003D3386"/>
    <w:rsid w:val="003E133B"/>
    <w:rsid w:val="003F57F5"/>
    <w:rsid w:val="004020A3"/>
    <w:rsid w:val="0041797C"/>
    <w:rsid w:val="0042062A"/>
    <w:rsid w:val="0042481A"/>
    <w:rsid w:val="00425BAE"/>
    <w:rsid w:val="00446A8A"/>
    <w:rsid w:val="00461695"/>
    <w:rsid w:val="0046292D"/>
    <w:rsid w:val="004637F3"/>
    <w:rsid w:val="004714FF"/>
    <w:rsid w:val="0049415F"/>
    <w:rsid w:val="004B43A2"/>
    <w:rsid w:val="004B48C3"/>
    <w:rsid w:val="004C55E5"/>
    <w:rsid w:val="004D4396"/>
    <w:rsid w:val="004D68A2"/>
    <w:rsid w:val="004E023D"/>
    <w:rsid w:val="004F2FDA"/>
    <w:rsid w:val="00506D51"/>
    <w:rsid w:val="00507ACC"/>
    <w:rsid w:val="00543955"/>
    <w:rsid w:val="00547A76"/>
    <w:rsid w:val="0055155E"/>
    <w:rsid w:val="00551A84"/>
    <w:rsid w:val="00560F90"/>
    <w:rsid w:val="0057246D"/>
    <w:rsid w:val="00583871"/>
    <w:rsid w:val="00583DED"/>
    <w:rsid w:val="005A0ED3"/>
    <w:rsid w:val="005B0BAA"/>
    <w:rsid w:val="005B1E3F"/>
    <w:rsid w:val="005B1F95"/>
    <w:rsid w:val="005B3810"/>
    <w:rsid w:val="005C0AB1"/>
    <w:rsid w:val="005C12BE"/>
    <w:rsid w:val="005C6D95"/>
    <w:rsid w:val="005D0CA6"/>
    <w:rsid w:val="005D15C8"/>
    <w:rsid w:val="005D2752"/>
    <w:rsid w:val="005D2C60"/>
    <w:rsid w:val="005E01F1"/>
    <w:rsid w:val="005E11C1"/>
    <w:rsid w:val="005E2194"/>
    <w:rsid w:val="005F5AFD"/>
    <w:rsid w:val="006033B6"/>
    <w:rsid w:val="00615B3F"/>
    <w:rsid w:val="00621BDB"/>
    <w:rsid w:val="006270DF"/>
    <w:rsid w:val="006348AF"/>
    <w:rsid w:val="00634C51"/>
    <w:rsid w:val="00635212"/>
    <w:rsid w:val="00636644"/>
    <w:rsid w:val="006431F9"/>
    <w:rsid w:val="006464B6"/>
    <w:rsid w:val="00647B02"/>
    <w:rsid w:val="0065401B"/>
    <w:rsid w:val="0065602B"/>
    <w:rsid w:val="006573E9"/>
    <w:rsid w:val="00657B55"/>
    <w:rsid w:val="006700F0"/>
    <w:rsid w:val="00674E14"/>
    <w:rsid w:val="00676CEF"/>
    <w:rsid w:val="00682D01"/>
    <w:rsid w:val="00686ACA"/>
    <w:rsid w:val="00690CAF"/>
    <w:rsid w:val="00696857"/>
    <w:rsid w:val="006A0E9B"/>
    <w:rsid w:val="006A3C6D"/>
    <w:rsid w:val="006A3FEF"/>
    <w:rsid w:val="006A4693"/>
    <w:rsid w:val="006B7349"/>
    <w:rsid w:val="006C3F6F"/>
    <w:rsid w:val="006C7ABB"/>
    <w:rsid w:val="006D22F8"/>
    <w:rsid w:val="006E1563"/>
    <w:rsid w:val="006E1797"/>
    <w:rsid w:val="006E2484"/>
    <w:rsid w:val="006F41E8"/>
    <w:rsid w:val="006F5920"/>
    <w:rsid w:val="007043EF"/>
    <w:rsid w:val="007115F1"/>
    <w:rsid w:val="00715E59"/>
    <w:rsid w:val="00722599"/>
    <w:rsid w:val="00724DEF"/>
    <w:rsid w:val="00727062"/>
    <w:rsid w:val="00744B3D"/>
    <w:rsid w:val="00744D67"/>
    <w:rsid w:val="007554D2"/>
    <w:rsid w:val="00790815"/>
    <w:rsid w:val="007A7219"/>
    <w:rsid w:val="007B333D"/>
    <w:rsid w:val="007C0C22"/>
    <w:rsid w:val="007C1AF3"/>
    <w:rsid w:val="007D0C6E"/>
    <w:rsid w:val="007D18FA"/>
    <w:rsid w:val="007D5B00"/>
    <w:rsid w:val="007F20BB"/>
    <w:rsid w:val="007F5D61"/>
    <w:rsid w:val="007F62C9"/>
    <w:rsid w:val="0081067E"/>
    <w:rsid w:val="00814816"/>
    <w:rsid w:val="00816427"/>
    <w:rsid w:val="00816FE3"/>
    <w:rsid w:val="0082075A"/>
    <w:rsid w:val="008347D3"/>
    <w:rsid w:val="00834B41"/>
    <w:rsid w:val="00841BBF"/>
    <w:rsid w:val="008551C5"/>
    <w:rsid w:val="008577AD"/>
    <w:rsid w:val="00864C2C"/>
    <w:rsid w:val="00870BCB"/>
    <w:rsid w:val="00894689"/>
    <w:rsid w:val="008B1164"/>
    <w:rsid w:val="008C547B"/>
    <w:rsid w:val="008C7CB6"/>
    <w:rsid w:val="008D4FC5"/>
    <w:rsid w:val="008F118E"/>
    <w:rsid w:val="008F6486"/>
    <w:rsid w:val="008F7A64"/>
    <w:rsid w:val="009010FE"/>
    <w:rsid w:val="00901C4C"/>
    <w:rsid w:val="00903E54"/>
    <w:rsid w:val="0091415E"/>
    <w:rsid w:val="009157B6"/>
    <w:rsid w:val="00916A1E"/>
    <w:rsid w:val="009235C7"/>
    <w:rsid w:val="00934818"/>
    <w:rsid w:val="009422DA"/>
    <w:rsid w:val="00950D9D"/>
    <w:rsid w:val="00954AAF"/>
    <w:rsid w:val="00956E3B"/>
    <w:rsid w:val="009652F0"/>
    <w:rsid w:val="00970B5A"/>
    <w:rsid w:val="00974E3F"/>
    <w:rsid w:val="009768AB"/>
    <w:rsid w:val="009900BE"/>
    <w:rsid w:val="00990B1B"/>
    <w:rsid w:val="009B69B0"/>
    <w:rsid w:val="009B7769"/>
    <w:rsid w:val="009B7C2A"/>
    <w:rsid w:val="009D2814"/>
    <w:rsid w:val="009D5D68"/>
    <w:rsid w:val="009E3C00"/>
    <w:rsid w:val="009E3EC0"/>
    <w:rsid w:val="009E621A"/>
    <w:rsid w:val="009F48B3"/>
    <w:rsid w:val="009F58CE"/>
    <w:rsid w:val="00A01403"/>
    <w:rsid w:val="00A03D91"/>
    <w:rsid w:val="00A119EE"/>
    <w:rsid w:val="00A163AC"/>
    <w:rsid w:val="00A21F80"/>
    <w:rsid w:val="00A26BB2"/>
    <w:rsid w:val="00A35BAB"/>
    <w:rsid w:val="00A545B5"/>
    <w:rsid w:val="00A57C03"/>
    <w:rsid w:val="00A60EDE"/>
    <w:rsid w:val="00A66F6C"/>
    <w:rsid w:val="00A806FD"/>
    <w:rsid w:val="00A81570"/>
    <w:rsid w:val="00A81D81"/>
    <w:rsid w:val="00A867A4"/>
    <w:rsid w:val="00A96B7E"/>
    <w:rsid w:val="00AA5DEB"/>
    <w:rsid w:val="00AB4072"/>
    <w:rsid w:val="00AC1BDB"/>
    <w:rsid w:val="00AC71C8"/>
    <w:rsid w:val="00AC7E32"/>
    <w:rsid w:val="00AD1C76"/>
    <w:rsid w:val="00AD2C2F"/>
    <w:rsid w:val="00AE237B"/>
    <w:rsid w:val="00AF1C15"/>
    <w:rsid w:val="00AF268F"/>
    <w:rsid w:val="00B12FCE"/>
    <w:rsid w:val="00B14678"/>
    <w:rsid w:val="00B255BF"/>
    <w:rsid w:val="00B30E23"/>
    <w:rsid w:val="00B31392"/>
    <w:rsid w:val="00B35CFD"/>
    <w:rsid w:val="00B37E72"/>
    <w:rsid w:val="00B45212"/>
    <w:rsid w:val="00B64D72"/>
    <w:rsid w:val="00B7387B"/>
    <w:rsid w:val="00B73DA2"/>
    <w:rsid w:val="00B84884"/>
    <w:rsid w:val="00B93D5E"/>
    <w:rsid w:val="00B97414"/>
    <w:rsid w:val="00BB189D"/>
    <w:rsid w:val="00BC32DD"/>
    <w:rsid w:val="00BC4930"/>
    <w:rsid w:val="00BC6747"/>
    <w:rsid w:val="00BD0C2B"/>
    <w:rsid w:val="00BF2DA1"/>
    <w:rsid w:val="00C10598"/>
    <w:rsid w:val="00C1506B"/>
    <w:rsid w:val="00C1691E"/>
    <w:rsid w:val="00C17FD6"/>
    <w:rsid w:val="00C20555"/>
    <w:rsid w:val="00C207C0"/>
    <w:rsid w:val="00C21DE7"/>
    <w:rsid w:val="00C22EA4"/>
    <w:rsid w:val="00C3231A"/>
    <w:rsid w:val="00C36A94"/>
    <w:rsid w:val="00C41234"/>
    <w:rsid w:val="00C42467"/>
    <w:rsid w:val="00C42A0F"/>
    <w:rsid w:val="00C5514A"/>
    <w:rsid w:val="00C62C3D"/>
    <w:rsid w:val="00C75731"/>
    <w:rsid w:val="00C82C89"/>
    <w:rsid w:val="00C9059C"/>
    <w:rsid w:val="00CA0022"/>
    <w:rsid w:val="00CC6B71"/>
    <w:rsid w:val="00CD522D"/>
    <w:rsid w:val="00CE50E0"/>
    <w:rsid w:val="00D013CB"/>
    <w:rsid w:val="00D0360D"/>
    <w:rsid w:val="00D0507D"/>
    <w:rsid w:val="00D078A9"/>
    <w:rsid w:val="00D11446"/>
    <w:rsid w:val="00D12922"/>
    <w:rsid w:val="00D20151"/>
    <w:rsid w:val="00D20901"/>
    <w:rsid w:val="00D21117"/>
    <w:rsid w:val="00D230EC"/>
    <w:rsid w:val="00D26063"/>
    <w:rsid w:val="00D26B48"/>
    <w:rsid w:val="00D303BA"/>
    <w:rsid w:val="00D35D48"/>
    <w:rsid w:val="00D516A4"/>
    <w:rsid w:val="00D5456E"/>
    <w:rsid w:val="00D90C29"/>
    <w:rsid w:val="00D931BF"/>
    <w:rsid w:val="00DA713B"/>
    <w:rsid w:val="00DB6344"/>
    <w:rsid w:val="00DC112A"/>
    <w:rsid w:val="00DC2B9D"/>
    <w:rsid w:val="00DD1348"/>
    <w:rsid w:val="00DD6ADC"/>
    <w:rsid w:val="00DE50ED"/>
    <w:rsid w:val="00DE7D6E"/>
    <w:rsid w:val="00DF5A36"/>
    <w:rsid w:val="00DF66A6"/>
    <w:rsid w:val="00E0383F"/>
    <w:rsid w:val="00E06ADB"/>
    <w:rsid w:val="00E07945"/>
    <w:rsid w:val="00E136DD"/>
    <w:rsid w:val="00E25581"/>
    <w:rsid w:val="00E41F22"/>
    <w:rsid w:val="00E4A3F4"/>
    <w:rsid w:val="00E505EA"/>
    <w:rsid w:val="00E51CC0"/>
    <w:rsid w:val="00E55966"/>
    <w:rsid w:val="00E6152F"/>
    <w:rsid w:val="00E6378E"/>
    <w:rsid w:val="00E646BE"/>
    <w:rsid w:val="00E6490B"/>
    <w:rsid w:val="00E71B23"/>
    <w:rsid w:val="00E73316"/>
    <w:rsid w:val="00E74542"/>
    <w:rsid w:val="00E919A1"/>
    <w:rsid w:val="00E92D08"/>
    <w:rsid w:val="00E9765A"/>
    <w:rsid w:val="00EA436F"/>
    <w:rsid w:val="00EA6E62"/>
    <w:rsid w:val="00EB46D2"/>
    <w:rsid w:val="00ED1FB4"/>
    <w:rsid w:val="00ED2B8F"/>
    <w:rsid w:val="00ED6B48"/>
    <w:rsid w:val="00ED6DE5"/>
    <w:rsid w:val="00EE2630"/>
    <w:rsid w:val="00EEC17B"/>
    <w:rsid w:val="00EF0797"/>
    <w:rsid w:val="00EF176B"/>
    <w:rsid w:val="00F06561"/>
    <w:rsid w:val="00F14F24"/>
    <w:rsid w:val="00F23E36"/>
    <w:rsid w:val="00F27293"/>
    <w:rsid w:val="00F42D46"/>
    <w:rsid w:val="00F51631"/>
    <w:rsid w:val="00F5444C"/>
    <w:rsid w:val="00F55E7F"/>
    <w:rsid w:val="00F566D4"/>
    <w:rsid w:val="00F60369"/>
    <w:rsid w:val="00F70846"/>
    <w:rsid w:val="00F8098A"/>
    <w:rsid w:val="00F92868"/>
    <w:rsid w:val="00FA29E1"/>
    <w:rsid w:val="00FA73FE"/>
    <w:rsid w:val="00FB06F0"/>
    <w:rsid w:val="00FB25BB"/>
    <w:rsid w:val="00FB34A1"/>
    <w:rsid w:val="00FB683A"/>
    <w:rsid w:val="00FC115D"/>
    <w:rsid w:val="00FD192B"/>
    <w:rsid w:val="00FF01DD"/>
    <w:rsid w:val="00FF1E6B"/>
    <w:rsid w:val="00FF6717"/>
    <w:rsid w:val="00FF7F78"/>
    <w:rsid w:val="012C9E79"/>
    <w:rsid w:val="018F2F8C"/>
    <w:rsid w:val="024C5F58"/>
    <w:rsid w:val="02C346EC"/>
    <w:rsid w:val="0344F32F"/>
    <w:rsid w:val="036DCD4D"/>
    <w:rsid w:val="039A7910"/>
    <w:rsid w:val="03DE11C6"/>
    <w:rsid w:val="040457C4"/>
    <w:rsid w:val="0532EE55"/>
    <w:rsid w:val="0590EA1F"/>
    <w:rsid w:val="065E9B2D"/>
    <w:rsid w:val="068C7451"/>
    <w:rsid w:val="07379774"/>
    <w:rsid w:val="07E1436D"/>
    <w:rsid w:val="084BC208"/>
    <w:rsid w:val="087ACD97"/>
    <w:rsid w:val="0978ADDE"/>
    <w:rsid w:val="0A36DEA0"/>
    <w:rsid w:val="0A5298DD"/>
    <w:rsid w:val="0AC74D0A"/>
    <w:rsid w:val="0AD39F7E"/>
    <w:rsid w:val="0BCF0AD3"/>
    <w:rsid w:val="0BF89ACC"/>
    <w:rsid w:val="0D073057"/>
    <w:rsid w:val="0D283838"/>
    <w:rsid w:val="0ED1B6A2"/>
    <w:rsid w:val="0F95F1C4"/>
    <w:rsid w:val="1033CCB9"/>
    <w:rsid w:val="105F0E9D"/>
    <w:rsid w:val="10D0CFD0"/>
    <w:rsid w:val="11B25616"/>
    <w:rsid w:val="1236C60B"/>
    <w:rsid w:val="126080DC"/>
    <w:rsid w:val="131572D0"/>
    <w:rsid w:val="1348497C"/>
    <w:rsid w:val="1359CBBE"/>
    <w:rsid w:val="13F043D1"/>
    <w:rsid w:val="14098F46"/>
    <w:rsid w:val="1427B1DF"/>
    <w:rsid w:val="146A81F2"/>
    <w:rsid w:val="15B9DCED"/>
    <w:rsid w:val="161D5E57"/>
    <w:rsid w:val="16A5ADD0"/>
    <w:rsid w:val="1803F957"/>
    <w:rsid w:val="183EF5DC"/>
    <w:rsid w:val="18DE8BE1"/>
    <w:rsid w:val="19449FC4"/>
    <w:rsid w:val="198F3729"/>
    <w:rsid w:val="19E30819"/>
    <w:rsid w:val="1B6CA9CE"/>
    <w:rsid w:val="1DA92D36"/>
    <w:rsid w:val="1DE1C4AD"/>
    <w:rsid w:val="1E7B49E2"/>
    <w:rsid w:val="1EBB1F59"/>
    <w:rsid w:val="1ED89D2C"/>
    <w:rsid w:val="1F058AED"/>
    <w:rsid w:val="1F41671A"/>
    <w:rsid w:val="1FB3E148"/>
    <w:rsid w:val="20D9AABB"/>
    <w:rsid w:val="217D8F43"/>
    <w:rsid w:val="217DC631"/>
    <w:rsid w:val="224071D5"/>
    <w:rsid w:val="22487801"/>
    <w:rsid w:val="236C37C7"/>
    <w:rsid w:val="238841E9"/>
    <w:rsid w:val="2390156E"/>
    <w:rsid w:val="24869D9F"/>
    <w:rsid w:val="24A5D408"/>
    <w:rsid w:val="263E7786"/>
    <w:rsid w:val="275C09A5"/>
    <w:rsid w:val="2846A117"/>
    <w:rsid w:val="2854D692"/>
    <w:rsid w:val="29927949"/>
    <w:rsid w:val="2A32F893"/>
    <w:rsid w:val="2A3F0094"/>
    <w:rsid w:val="2A7D1516"/>
    <w:rsid w:val="2B128407"/>
    <w:rsid w:val="2B1C5D71"/>
    <w:rsid w:val="2B8F0A4A"/>
    <w:rsid w:val="2C332246"/>
    <w:rsid w:val="2C472FC1"/>
    <w:rsid w:val="2C5D802A"/>
    <w:rsid w:val="2E49C636"/>
    <w:rsid w:val="2E656630"/>
    <w:rsid w:val="2E820992"/>
    <w:rsid w:val="2ED4201C"/>
    <w:rsid w:val="30016DA8"/>
    <w:rsid w:val="30FB2378"/>
    <w:rsid w:val="3194AF2C"/>
    <w:rsid w:val="322E4F3E"/>
    <w:rsid w:val="32EF6434"/>
    <w:rsid w:val="35024DCA"/>
    <w:rsid w:val="35053EF1"/>
    <w:rsid w:val="36EFB837"/>
    <w:rsid w:val="3708E39E"/>
    <w:rsid w:val="3797C8AF"/>
    <w:rsid w:val="3802B8DC"/>
    <w:rsid w:val="3889559F"/>
    <w:rsid w:val="39205C57"/>
    <w:rsid w:val="39E97D5D"/>
    <w:rsid w:val="3A5219C9"/>
    <w:rsid w:val="3A5F471A"/>
    <w:rsid w:val="3AF26FE1"/>
    <w:rsid w:val="3D23E0A6"/>
    <w:rsid w:val="3D3BB236"/>
    <w:rsid w:val="3D74803F"/>
    <w:rsid w:val="3DE97CAC"/>
    <w:rsid w:val="3E2DE14F"/>
    <w:rsid w:val="3F6EAFDC"/>
    <w:rsid w:val="3FE88DD3"/>
    <w:rsid w:val="403EE9F3"/>
    <w:rsid w:val="40A61320"/>
    <w:rsid w:val="40AACAC8"/>
    <w:rsid w:val="411B225D"/>
    <w:rsid w:val="4130B105"/>
    <w:rsid w:val="42FA8FBF"/>
    <w:rsid w:val="43747098"/>
    <w:rsid w:val="4393222A"/>
    <w:rsid w:val="4405A637"/>
    <w:rsid w:val="46DED067"/>
    <w:rsid w:val="47948C6A"/>
    <w:rsid w:val="47960E75"/>
    <w:rsid w:val="47FF0A56"/>
    <w:rsid w:val="494DB37A"/>
    <w:rsid w:val="499D418D"/>
    <w:rsid w:val="49C7C889"/>
    <w:rsid w:val="4B372C19"/>
    <w:rsid w:val="4B69DC12"/>
    <w:rsid w:val="4C486D9E"/>
    <w:rsid w:val="4C4CD836"/>
    <w:rsid w:val="4E3902B6"/>
    <w:rsid w:val="4E781B27"/>
    <w:rsid w:val="4E7DD03C"/>
    <w:rsid w:val="4EFA2213"/>
    <w:rsid w:val="5013EB88"/>
    <w:rsid w:val="5014C3A0"/>
    <w:rsid w:val="505F3D76"/>
    <w:rsid w:val="50DD77AA"/>
    <w:rsid w:val="512E977E"/>
    <w:rsid w:val="51C13755"/>
    <w:rsid w:val="52450DF6"/>
    <w:rsid w:val="52644565"/>
    <w:rsid w:val="5334FF93"/>
    <w:rsid w:val="53E2CE39"/>
    <w:rsid w:val="54E75CAB"/>
    <w:rsid w:val="56612E38"/>
    <w:rsid w:val="5691EAA8"/>
    <w:rsid w:val="56AD077D"/>
    <w:rsid w:val="56B064FC"/>
    <w:rsid w:val="56FB4D25"/>
    <w:rsid w:val="57B28687"/>
    <w:rsid w:val="57B4FD31"/>
    <w:rsid w:val="595751AD"/>
    <w:rsid w:val="5CE91FD7"/>
    <w:rsid w:val="5CFF8326"/>
    <w:rsid w:val="5E68386F"/>
    <w:rsid w:val="5EA018D8"/>
    <w:rsid w:val="5F3B71BD"/>
    <w:rsid w:val="5F9AE728"/>
    <w:rsid w:val="6035E21D"/>
    <w:rsid w:val="62AB9496"/>
    <w:rsid w:val="65D81B0B"/>
    <w:rsid w:val="65FBC63D"/>
    <w:rsid w:val="6695B518"/>
    <w:rsid w:val="6790D6A7"/>
    <w:rsid w:val="67F93E67"/>
    <w:rsid w:val="684210A1"/>
    <w:rsid w:val="69181393"/>
    <w:rsid w:val="6A62336E"/>
    <w:rsid w:val="6B0AB1F2"/>
    <w:rsid w:val="6B126AF2"/>
    <w:rsid w:val="6C112DC3"/>
    <w:rsid w:val="6E7621C0"/>
    <w:rsid w:val="6FF7BBF9"/>
    <w:rsid w:val="706C599D"/>
    <w:rsid w:val="70D9ECEC"/>
    <w:rsid w:val="711ACDB2"/>
    <w:rsid w:val="71238486"/>
    <w:rsid w:val="72BB2D2C"/>
    <w:rsid w:val="73EAF76E"/>
    <w:rsid w:val="7405CC82"/>
    <w:rsid w:val="743FE8C6"/>
    <w:rsid w:val="75BFB89A"/>
    <w:rsid w:val="76EF588F"/>
    <w:rsid w:val="7711CCC5"/>
    <w:rsid w:val="781C4096"/>
    <w:rsid w:val="7841B24A"/>
    <w:rsid w:val="78A9C272"/>
    <w:rsid w:val="796FFB8D"/>
    <w:rsid w:val="7ACA59B2"/>
    <w:rsid w:val="7B3C61D1"/>
    <w:rsid w:val="7BD5FB4F"/>
    <w:rsid w:val="7C5F826A"/>
    <w:rsid w:val="7D5EC55C"/>
    <w:rsid w:val="7F36C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7A622"/>
  <w15:docId w15:val="{A64D03BD-2612-4726-887F-3FE493D1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76778"/>
    <w:pPr>
      <w:keepNext/>
      <w:spacing w:before="240" w:after="240" w:line="36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311997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7677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theme="minorHAnsi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06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062A"/>
    <w:rPr>
      <w:rFonts w:cstheme="minorHAnsi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unhideWhenUsed/>
    <w:rsid w:val="008C547B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011BD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Times New Roman" w:cs="Arial Unicode MS"/>
      <w:color w:val="00000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1BD6"/>
    <w:rPr>
      <w:rFonts w:ascii="Arial Unicode MS" w:eastAsia="Arial Unicode MS" w:hAnsi="Times New Roman" w:cs="Arial Unicode M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E1B0B6779B43DAA300845CCFA12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2BCB4-99B1-41AE-AE4A-8A070061623B}"/>
      </w:docPartPr>
      <w:docPartBody>
        <w:p w:rsidR="003B1347" w:rsidRDefault="00222178">
          <w:pPr>
            <w:pStyle w:val="8BE1B0B6779B43DAA300845CCFA12C9C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BA3D9001F3D24C22B912FAEC428FFF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CFB4D-0560-4A23-87E8-A350618B6617}"/>
      </w:docPartPr>
      <w:docPartBody>
        <w:p w:rsidR="003B1347" w:rsidRDefault="00222178">
          <w:pPr>
            <w:pStyle w:val="BA3D9001F3D24C22B912FAEC428FFF18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0E5CFD21FF064E04879EF356E57A5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9068E9-73BF-42E3-9E0E-2153026EFBD4}"/>
      </w:docPartPr>
      <w:docPartBody>
        <w:p w:rsidR="00C1506B" w:rsidRDefault="00C1506B" w:rsidP="00C1506B">
          <w:pPr>
            <w:pStyle w:val="0E5CFD21FF064E04879EF356E57A5734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3EB297B11E5043A7A7E473EE4AFEC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E50AA-F7CF-4A7E-BC0D-1C4465AE2A06}"/>
      </w:docPartPr>
      <w:docPartBody>
        <w:p w:rsidR="00C1506B" w:rsidRDefault="00C1506B" w:rsidP="00C1506B">
          <w:pPr>
            <w:pStyle w:val="3EB297B11E5043A7A7E473EE4AFEC4C3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9CD3A7E8020544DEB31B293CAC0AF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9D14F-3F7D-4C72-A32F-B69BDFA5C036}"/>
      </w:docPartPr>
      <w:docPartBody>
        <w:p w:rsidR="00C1506B" w:rsidRDefault="00C1506B" w:rsidP="00C1506B">
          <w:pPr>
            <w:pStyle w:val="9CD3A7E8020544DEB31B293CAC0AF38E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4462FA80F5D446F69A7EC7E04C64D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50110-0125-4BA3-BB48-E03DC674786A}"/>
      </w:docPartPr>
      <w:docPartBody>
        <w:p w:rsidR="00C1506B" w:rsidRDefault="00C1506B" w:rsidP="00C1506B">
          <w:pPr>
            <w:pStyle w:val="4462FA80F5D446F69A7EC7E04C64DBFE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6786D1F48EF747AA8FB3AEEA8D873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208DA-1D54-4D74-B7C1-1AC9D271C58C}"/>
      </w:docPartPr>
      <w:docPartBody>
        <w:p w:rsidR="00C1506B" w:rsidRDefault="00C1506B" w:rsidP="00C1506B">
          <w:pPr>
            <w:pStyle w:val="6786D1F48EF747AA8FB3AEEA8D873196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78"/>
    <w:rsid w:val="000F39F9"/>
    <w:rsid w:val="00184058"/>
    <w:rsid w:val="001B02D8"/>
    <w:rsid w:val="001D65DC"/>
    <w:rsid w:val="0021043B"/>
    <w:rsid w:val="00222178"/>
    <w:rsid w:val="002F08C4"/>
    <w:rsid w:val="00317D32"/>
    <w:rsid w:val="003B1347"/>
    <w:rsid w:val="006320E3"/>
    <w:rsid w:val="006B3F24"/>
    <w:rsid w:val="00785C87"/>
    <w:rsid w:val="00802992"/>
    <w:rsid w:val="00927D44"/>
    <w:rsid w:val="00BE3B0B"/>
    <w:rsid w:val="00C13E0D"/>
    <w:rsid w:val="00C1506B"/>
    <w:rsid w:val="00DA4BF2"/>
    <w:rsid w:val="00DF5B0F"/>
    <w:rsid w:val="00FB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506B"/>
    <w:rPr>
      <w:color w:val="808080"/>
    </w:rPr>
  </w:style>
  <w:style w:type="paragraph" w:customStyle="1" w:styleId="8BE1B0B6779B43DAA300845CCFA12C9C">
    <w:name w:val="8BE1B0B6779B43DAA300845CCFA12C9C"/>
  </w:style>
  <w:style w:type="paragraph" w:customStyle="1" w:styleId="BA3D9001F3D24C22B912FAEC428FFF18">
    <w:name w:val="BA3D9001F3D24C22B912FAEC428FFF18"/>
  </w:style>
  <w:style w:type="paragraph" w:customStyle="1" w:styleId="0E5CFD21FF064E04879EF356E57A5734">
    <w:name w:val="0E5CFD21FF064E04879EF356E57A5734"/>
    <w:rsid w:val="00C1506B"/>
  </w:style>
  <w:style w:type="paragraph" w:customStyle="1" w:styleId="3EB297B11E5043A7A7E473EE4AFEC4C3">
    <w:name w:val="3EB297B11E5043A7A7E473EE4AFEC4C3"/>
    <w:rsid w:val="00C1506B"/>
  </w:style>
  <w:style w:type="paragraph" w:customStyle="1" w:styleId="9CD3A7E8020544DEB31B293CAC0AF38E">
    <w:name w:val="9CD3A7E8020544DEB31B293CAC0AF38E"/>
    <w:rsid w:val="00C1506B"/>
  </w:style>
  <w:style w:type="paragraph" w:customStyle="1" w:styleId="4462FA80F5D446F69A7EC7E04C64DBFE">
    <w:name w:val="4462FA80F5D446F69A7EC7E04C64DBFE"/>
    <w:rsid w:val="00C1506B"/>
  </w:style>
  <w:style w:type="paragraph" w:customStyle="1" w:styleId="6786D1F48EF747AA8FB3AEEA8D873196">
    <w:name w:val="6786D1F48EF747AA8FB3AEEA8D873196"/>
    <w:rsid w:val="00C15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2" ma:contentTypeDescription="Create a new document." ma:contentTypeScope="" ma:versionID="6b119cb327409343ff13ec0a65bc682f">
  <xsd:schema xmlns:xsd="http://www.w3.org/2001/XMLSchema" xmlns:xs="http://www.w3.org/2001/XMLSchema" xmlns:p="http://schemas.microsoft.com/office/2006/metadata/properties" xmlns:ns2="15cb24ba-756a-4ce4-ac9a-5f0544b55546" targetNamespace="http://schemas.microsoft.com/office/2006/metadata/properties" ma:root="true" ma:fieldsID="0240e6ae9d14c37301d02ee9c222dfa1" ns2:_="">
    <xsd:import namespace="15cb24ba-756a-4ce4-ac9a-5f0544b55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40BC-9FFF-4A1C-9177-395ACD11EA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3C6EF-732E-45B3-B77E-2B0876F40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06D05-E493-443D-A5F3-7AF391820F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14A2F1-A754-B645-83FE-F93B5989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36</Pages>
  <Words>8643</Words>
  <Characters>46675</Characters>
  <Application>Microsoft Office Word</Application>
  <DocSecurity>0</DocSecurity>
  <Lines>388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[n], de 24 de FEVEREIRO de 2021</vt:lpstr>
    </vt:vector>
  </TitlesOfParts>
  <Company/>
  <LinksUpToDate>false</LinksUpToDate>
  <CharactersWithSpaces>55208</CharactersWithSpaces>
  <SharedDoc>false</SharedDoc>
  <HLinks>
    <vt:vector size="36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  <vt:variant>
        <vt:i4>4259877</vt:i4>
      </vt:variant>
      <vt:variant>
        <vt:i4>9</vt:i4>
      </vt:variant>
      <vt:variant>
        <vt:i4>0</vt:i4>
      </vt:variant>
      <vt:variant>
        <vt:i4>5</vt:i4>
      </vt:variant>
      <vt:variant>
        <vt:lpwstr>mailto:maes@cvm.gov.br</vt:lpwstr>
      </vt:variant>
      <vt:variant>
        <vt:lpwstr/>
      </vt:variant>
      <vt:variant>
        <vt:i4>4259877</vt:i4>
      </vt:variant>
      <vt:variant>
        <vt:i4>6</vt:i4>
      </vt:variant>
      <vt:variant>
        <vt:i4>0</vt:i4>
      </vt:variant>
      <vt:variant>
        <vt:i4>5</vt:i4>
      </vt:variant>
      <vt:variant>
        <vt:lpwstr>mailto:maes@cvm.gov.br</vt:lpwstr>
      </vt:variant>
      <vt:variant>
        <vt:lpwstr/>
      </vt:variant>
      <vt:variant>
        <vt:i4>4259877</vt:i4>
      </vt:variant>
      <vt:variant>
        <vt:i4>3</vt:i4>
      </vt:variant>
      <vt:variant>
        <vt:i4>0</vt:i4>
      </vt:variant>
      <vt:variant>
        <vt:i4>5</vt:i4>
      </vt:variant>
      <vt:variant>
        <vt:lpwstr>mailto:maes@cvm.gov.br</vt:lpwstr>
      </vt:variant>
      <vt:variant>
        <vt:lpwstr/>
      </vt:variant>
      <vt:variant>
        <vt:i4>4259877</vt:i4>
      </vt:variant>
      <vt:variant>
        <vt:i4>0</vt:i4>
      </vt:variant>
      <vt:variant>
        <vt:i4>0</vt:i4>
      </vt:variant>
      <vt:variant>
        <vt:i4>5</vt:i4>
      </vt:variant>
      <vt:variant>
        <vt:lpwstr>mailto:maes@cvm.gov.br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19, de 25 de FEVEREIRO de 2021</dc:title>
  <dc:subject/>
  <dc:creator>rgold</dc:creator>
  <cp:keywords/>
  <cp:lastModifiedBy>Renata Leitão</cp:lastModifiedBy>
  <cp:revision>5</cp:revision>
  <cp:lastPrinted>2021-02-23T23:34:00Z</cp:lastPrinted>
  <dcterms:created xsi:type="dcterms:W3CDTF">2021-02-25T10:16:00Z</dcterms:created>
  <dcterms:modified xsi:type="dcterms:W3CDTF">2021-03-31T17:41:00Z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