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656B" w14:textId="1BC9DC60" w:rsidR="00841BBF" w:rsidRPr="00C1691E" w:rsidRDefault="005C7152" w:rsidP="005C7152">
      <w:pPr>
        <w:pStyle w:val="TtulodaResoluo"/>
        <w:tabs>
          <w:tab w:val="center" w:pos="5386"/>
          <w:tab w:val="left" w:pos="8625"/>
        </w:tabs>
        <w:jc w:val="left"/>
      </w:pPr>
      <w:bookmarkStart w:id="0" w:name="_GoBack"/>
      <w:bookmarkEnd w:id="0"/>
      <w:r>
        <w:tab/>
      </w:r>
      <w:r w:rsidR="00841BBF" w:rsidRPr="00C1691E">
        <w:t xml:space="preserve">Resolução CVM nº </w:t>
      </w:r>
      <w:sdt>
        <w:sdtPr>
          <w:alias w:val="Título"/>
          <w:tag w:val=""/>
          <w:id w:val="253094646"/>
          <w:placeholder>
            <w:docPart w:val="41A9E9A211ECB84E8CB7CF5BFB6492C9"/>
          </w:placeholder>
          <w:dataBinding w:prefixMappings="xmlns:ns0='http://purl.org/dc/elements/1.1/' xmlns:ns1='http://schemas.openxmlformats.org/package/2006/metadata/core-properties' " w:xpath="/ns1:coreProperties[1]/ns0:title[1]" w:storeItemID="{6C3C8BC8-F283-45AE-878A-BAB7291924A1}"/>
          <w:text/>
        </w:sdtPr>
        <w:sdtEndPr/>
        <w:sdtContent>
          <w:r w:rsidR="00BF3577">
            <w:t xml:space="preserve">20, </w:t>
          </w:r>
          <w:r w:rsidR="00E2620A">
            <w:t xml:space="preserve">DE </w:t>
          </w:r>
          <w:r w:rsidR="00BF3577">
            <w:t>2</w:t>
          </w:r>
          <w:r w:rsidR="00EA3977">
            <w:t>5</w:t>
          </w:r>
          <w:r w:rsidR="00BF3577">
            <w:t xml:space="preserve"> de fevereiro de 2021</w:t>
          </w:r>
        </w:sdtContent>
      </w:sdt>
      <w:r>
        <w:t xml:space="preserve"> COM AS ALTERAÇÕES INTRODUZIDAS PELA RESOLUÇão CVM Nº 179/23.</w:t>
      </w:r>
    </w:p>
    <w:p w14:paraId="3E7B8686" w14:textId="4185FC71" w:rsidR="00841BBF" w:rsidRPr="00C82C89" w:rsidRDefault="000E5ACF" w:rsidP="00C82C89">
      <w:pPr>
        <w:pStyle w:val="Ementa"/>
      </w:pPr>
      <w:r>
        <w:t>Dispõe sobre a atividade de analista de valores mobiliários</w:t>
      </w:r>
      <w:r w:rsidR="007577C6">
        <w:t xml:space="preserve"> e revoga a </w:t>
      </w:r>
      <w:r w:rsidR="00844E41">
        <w:t>Deliberação CVM nº 633</w:t>
      </w:r>
      <w:r w:rsidR="00E748B6">
        <w:t xml:space="preserve">, de </w:t>
      </w:r>
      <w:r w:rsidR="00C02162">
        <w:t xml:space="preserve">6 de julho de </w:t>
      </w:r>
      <w:r w:rsidR="009D568D">
        <w:t>2010</w:t>
      </w:r>
      <w:r w:rsidR="002C5A9D">
        <w:t>,</w:t>
      </w:r>
      <w:r w:rsidR="009D568D">
        <w:t xml:space="preserve"> e a </w:t>
      </w:r>
      <w:r w:rsidR="007577C6">
        <w:t xml:space="preserve">Instrução CVM nº </w:t>
      </w:r>
      <w:r w:rsidR="00153B3B">
        <w:t>598</w:t>
      </w:r>
      <w:r w:rsidR="007577C6">
        <w:t xml:space="preserve">, de 3 de </w:t>
      </w:r>
      <w:r w:rsidR="00FF0E86">
        <w:t>maio de 2018</w:t>
      </w:r>
      <w:r w:rsidRPr="00E620FD">
        <w:rPr>
          <w:iCs/>
          <w:snapToGrid w:val="0"/>
        </w:rPr>
        <w:t>.</w:t>
      </w:r>
    </w:p>
    <w:p w14:paraId="23E4958D" w14:textId="14E02427" w:rsidR="006E1797" w:rsidRDefault="000E5ACF" w:rsidP="00ED1FB4">
      <w:r>
        <w:rPr>
          <w:color w:val="0D0D0D"/>
          <w:spacing w:val="2"/>
        </w:rPr>
        <w:t>O</w:t>
      </w:r>
      <w:r w:rsidRPr="006B2454">
        <w:rPr>
          <w:color w:val="0D0D0D"/>
          <w:spacing w:val="2"/>
        </w:rPr>
        <w:t xml:space="preserve"> </w:t>
      </w:r>
      <w:r w:rsidRPr="006B2454">
        <w:rPr>
          <w:b/>
          <w:bCs/>
          <w:color w:val="0D0D0D"/>
          <w:spacing w:val="2"/>
        </w:rPr>
        <w:t>PRESIDENTE DA COMISSÃO DE VALORES MOBILIÁRIOS - CVM</w:t>
      </w:r>
      <w:r w:rsidRPr="006B2454">
        <w:rPr>
          <w:color w:val="0D0D0D"/>
          <w:spacing w:val="2"/>
        </w:rPr>
        <w:t xml:space="preserve"> torna público que o Colegiado, em reunião realizada em </w:t>
      </w:r>
      <w:r w:rsidR="00B35D8D">
        <w:t>23</w:t>
      </w:r>
      <w:r w:rsidRPr="006B2454">
        <w:rPr>
          <w:b/>
          <w:bCs/>
          <w:color w:val="0D0D0D"/>
          <w:spacing w:val="2"/>
        </w:rPr>
        <w:t xml:space="preserve"> </w:t>
      </w:r>
      <w:r w:rsidRPr="006B2454">
        <w:rPr>
          <w:bCs/>
          <w:color w:val="0D0D0D"/>
          <w:spacing w:val="2"/>
        </w:rPr>
        <w:t xml:space="preserve">de </w:t>
      </w:r>
      <w:r w:rsidR="00B35D8D">
        <w:t>fevereiro</w:t>
      </w:r>
      <w:r w:rsidRPr="006B2454">
        <w:rPr>
          <w:b/>
          <w:bCs/>
          <w:color w:val="0D0D0D"/>
          <w:spacing w:val="2"/>
        </w:rPr>
        <w:t xml:space="preserve"> </w:t>
      </w:r>
      <w:r w:rsidRPr="006B2454">
        <w:rPr>
          <w:bCs/>
          <w:color w:val="0D0D0D"/>
          <w:spacing w:val="2"/>
        </w:rPr>
        <w:t xml:space="preserve">de </w:t>
      </w:r>
      <w:r>
        <w:rPr>
          <w:bCs/>
          <w:color w:val="0D0D0D"/>
          <w:spacing w:val="2"/>
        </w:rPr>
        <w:t>20</w:t>
      </w:r>
      <w:r w:rsidR="00B35D8D">
        <w:rPr>
          <w:bCs/>
          <w:color w:val="0D0D0D"/>
          <w:spacing w:val="2"/>
        </w:rPr>
        <w:t>21</w:t>
      </w:r>
      <w:r w:rsidRPr="006B2454">
        <w:rPr>
          <w:bCs/>
          <w:color w:val="0D0D0D"/>
          <w:spacing w:val="2"/>
        </w:rPr>
        <w:t>,</w:t>
      </w:r>
      <w:r w:rsidRPr="006B2454">
        <w:rPr>
          <w:color w:val="0D0D0D"/>
          <w:spacing w:val="2"/>
        </w:rPr>
        <w:t xml:space="preserve"> </w:t>
      </w:r>
      <w:r w:rsidRPr="006C76E7">
        <w:t>tendo em vista o disposto nos art</w:t>
      </w:r>
      <w:r>
        <w:t>s</w:t>
      </w:r>
      <w:r w:rsidRPr="006C76E7">
        <w:t>. 1</w:t>
      </w:r>
      <w:r>
        <w:t>º</w:t>
      </w:r>
      <w:r w:rsidRPr="006C76E7">
        <w:t>, inciso VIII; 8</w:t>
      </w:r>
      <w:r>
        <w:t>º</w:t>
      </w:r>
      <w:r w:rsidRPr="006C76E7">
        <w:t xml:space="preserve">, incisos I e III; </w:t>
      </w:r>
      <w:r>
        <w:t xml:space="preserve">15, § 1º; </w:t>
      </w:r>
      <w:r w:rsidRPr="006C76E7">
        <w:t xml:space="preserve">18, inciso I, alínea </w:t>
      </w:r>
      <w:r>
        <w:t>“</w:t>
      </w:r>
      <w:r w:rsidRPr="006C76E7">
        <w:t>b</w:t>
      </w:r>
      <w:r>
        <w:t>”;</w:t>
      </w:r>
      <w:r w:rsidRPr="006C76E7">
        <w:t xml:space="preserve"> e 27 da Lei nº</w:t>
      </w:r>
      <w:r w:rsidRPr="006C76E7">
        <w:rPr>
          <w:vertAlign w:val="superscript"/>
        </w:rPr>
        <w:t xml:space="preserve"> </w:t>
      </w:r>
      <w:r w:rsidRPr="006C76E7">
        <w:t>6.385, de 7 de dezembro de 1976</w:t>
      </w:r>
      <w:r w:rsidR="00894689">
        <w:t xml:space="preserve">, </w:t>
      </w:r>
      <w:r w:rsidR="000D6E76" w:rsidRPr="00416172">
        <w:rPr>
          <w:b/>
          <w:bCs/>
        </w:rPr>
        <w:t>APROVOU</w:t>
      </w:r>
      <w:r w:rsidR="00894689">
        <w:t xml:space="preserve"> a seguinte Resolução:</w:t>
      </w:r>
    </w:p>
    <w:p w14:paraId="4BF019A3" w14:textId="43AF8851" w:rsidR="009A2D89" w:rsidRDefault="009A2D89" w:rsidP="009A2D89">
      <w:pPr>
        <w:pStyle w:val="Captulo"/>
        <w:rPr>
          <w:rFonts w:ascii="Times New Roman" w:hAnsi="Times New Roman" w:cs="Times New Roman"/>
        </w:rPr>
      </w:pPr>
      <w:r w:rsidRPr="009A2D89">
        <w:t xml:space="preserve">CAPÍTULO I – </w:t>
      </w:r>
      <w:r w:rsidR="00001E10">
        <w:t>ÂMBITO E FINALIDADE</w:t>
      </w:r>
    </w:p>
    <w:p w14:paraId="0BDC9714" w14:textId="77777777" w:rsidR="009A2D89" w:rsidRDefault="009A2D89" w:rsidP="004637B6">
      <w:r w:rsidRPr="000E2773">
        <w:t xml:space="preserve">Art. 1º  Analista de valores mobiliários é a pessoa natural </w:t>
      </w:r>
      <w:r>
        <w:t xml:space="preserve">ou jurídica </w:t>
      </w:r>
      <w:r w:rsidRPr="000E2773">
        <w:t>que, em caráter profissional, elabora relatórios de análise destinados à publicação, divulgação ou distribuição a terceiros, ainda que restrita a clientes.</w:t>
      </w:r>
    </w:p>
    <w:p w14:paraId="1710B98E" w14:textId="34F248BA" w:rsidR="009A2D89" w:rsidRPr="000E2773" w:rsidRDefault="009A2D89" w:rsidP="004637B6">
      <w:pPr>
        <w:rPr>
          <w:color w:val="0D0D0D"/>
          <w:spacing w:val="2"/>
        </w:rPr>
      </w:pPr>
      <w:r w:rsidRPr="000E2773">
        <w:rPr>
          <w:color w:val="0D0D0D"/>
          <w:spacing w:val="2"/>
        </w:rPr>
        <w:t xml:space="preserve">§ 1º  Para os fins da presente </w:t>
      </w:r>
      <w:r w:rsidR="00006A07">
        <w:rPr>
          <w:color w:val="0D0D0D"/>
          <w:spacing w:val="2"/>
        </w:rPr>
        <w:t>Resolução</w:t>
      </w:r>
      <w:r w:rsidRPr="000E2773">
        <w:rPr>
          <w:color w:val="0D0D0D"/>
          <w:spacing w:val="2"/>
        </w:rPr>
        <w:t>, a expressão “relatório de análise” significa quaisquer textos, relatórios de acompanhamento, estudos ou análises sobre valores mobiliários específicos ou sobre emissores de valores mobiliários determinados que possam auxiliar ou influenciar investidores no processo de tomada de decisão de investimento.</w:t>
      </w:r>
    </w:p>
    <w:p w14:paraId="7E317E0A" w14:textId="2E614393" w:rsidR="009A2D89" w:rsidRDefault="009A2D89" w:rsidP="004637B6">
      <w:pPr>
        <w:rPr>
          <w:color w:val="0D0D0D"/>
          <w:spacing w:val="2"/>
        </w:rPr>
      </w:pPr>
      <w:r w:rsidRPr="000E2773">
        <w:rPr>
          <w:color w:val="0D0D0D"/>
          <w:spacing w:val="2"/>
        </w:rPr>
        <w:t>§ 2º  Exposições públicas, apresentações,</w:t>
      </w:r>
      <w:r>
        <w:rPr>
          <w:color w:val="0D0D0D"/>
          <w:spacing w:val="2"/>
        </w:rPr>
        <w:t xml:space="preserve"> vídeos,</w:t>
      </w:r>
      <w:r w:rsidRPr="000E2773">
        <w:rPr>
          <w:color w:val="0D0D0D"/>
          <w:spacing w:val="2"/>
        </w:rPr>
        <w:t xml:space="preserve"> reuniões, conferências telefônicas e quaisquer outras manifestações não escritas, cujo conteúdo seja típico de relatório de análise, são equiparadas a relatórios de análise, para os fins do disposto nesta </w:t>
      </w:r>
      <w:r w:rsidR="00006A07">
        <w:rPr>
          <w:color w:val="0D0D0D"/>
          <w:spacing w:val="2"/>
        </w:rPr>
        <w:t>Resolução</w:t>
      </w:r>
      <w:r w:rsidRPr="000E2773">
        <w:rPr>
          <w:color w:val="0D0D0D"/>
          <w:spacing w:val="2"/>
        </w:rPr>
        <w:t>.</w:t>
      </w:r>
    </w:p>
    <w:p w14:paraId="38076AA9" w14:textId="2DEEE229" w:rsidR="009A2D89" w:rsidRDefault="009A2D89" w:rsidP="004637B6">
      <w:pPr>
        <w:rPr>
          <w:color w:val="0D0D0D"/>
          <w:spacing w:val="2"/>
        </w:rPr>
      </w:pPr>
      <w:r w:rsidRPr="000E2773">
        <w:rPr>
          <w:color w:val="0D0D0D"/>
          <w:spacing w:val="2"/>
        </w:rPr>
        <w:t xml:space="preserve">§ 3º  A presente </w:t>
      </w:r>
      <w:r w:rsidR="00006A07">
        <w:rPr>
          <w:color w:val="0D0D0D"/>
          <w:spacing w:val="2"/>
        </w:rPr>
        <w:t>Resolução</w:t>
      </w:r>
      <w:r w:rsidRPr="000E2773">
        <w:rPr>
          <w:color w:val="0D0D0D"/>
          <w:spacing w:val="2"/>
        </w:rPr>
        <w:t xml:space="preserve"> não se aplica a pessoas naturais ou jurídicas que desenvolvam atividades de classificação de risco</w:t>
      </w:r>
      <w:r w:rsidR="17EA9367" w:rsidRPr="000E2773">
        <w:rPr>
          <w:color w:val="0D0D0D"/>
          <w:spacing w:val="2"/>
        </w:rPr>
        <w:t xml:space="preserve"> de crédito</w:t>
      </w:r>
      <w:r w:rsidRPr="000E2773">
        <w:rPr>
          <w:color w:val="0D0D0D"/>
          <w:spacing w:val="2"/>
        </w:rPr>
        <w:t>.</w:t>
      </w:r>
    </w:p>
    <w:p w14:paraId="2FBF0215" w14:textId="3589ECF5" w:rsidR="009A2D89" w:rsidRDefault="009A2D89" w:rsidP="009A2D89">
      <w:pPr>
        <w:rPr>
          <w:color w:val="0D0D0D"/>
          <w:spacing w:val="2"/>
        </w:rPr>
      </w:pPr>
      <w:r>
        <w:rPr>
          <w:snapToGrid w:val="0"/>
          <w:color w:val="0D0D0D"/>
          <w:spacing w:val="2"/>
        </w:rPr>
        <w:t xml:space="preserve">Art. 2º  A atividade de análise de valores mobiliários é privativa de analistas de valores mobiliários credenciados em entidade autorizada pela CVM, nos termos do art. 4º. </w:t>
      </w:r>
    </w:p>
    <w:p w14:paraId="4D4F7861" w14:textId="77777777" w:rsidR="009A2D89" w:rsidRDefault="009A2D89" w:rsidP="009A2D89">
      <w:pPr>
        <w:pStyle w:val="Captulo"/>
        <w:rPr>
          <w:rFonts w:eastAsia="Arial Unicode MS"/>
        </w:rPr>
      </w:pPr>
      <w:r w:rsidRPr="00C01F66">
        <w:t>CAPÍTULO</w:t>
      </w:r>
      <w:r>
        <w:t xml:space="preserve"> </w:t>
      </w:r>
      <w:r w:rsidRPr="00C01F66">
        <w:t xml:space="preserve">II </w:t>
      </w:r>
      <w:r>
        <w:t>–</w:t>
      </w:r>
      <w:r w:rsidRPr="00C01F66">
        <w:t xml:space="preserve"> </w:t>
      </w:r>
      <w:r>
        <w:t xml:space="preserve">CREDENCIAMENTO PARA A ATIVIDADE DE ANALISTA DE VALORES MOBILIÁRIOS </w:t>
      </w:r>
    </w:p>
    <w:p w14:paraId="6DC00845" w14:textId="77777777" w:rsidR="009A2D89" w:rsidRPr="00C07E67" w:rsidRDefault="009A2D89" w:rsidP="009A2D89">
      <w:pPr>
        <w:pStyle w:val="Seo"/>
      </w:pPr>
      <w:r w:rsidRPr="00C07E67">
        <w:t xml:space="preserve">Seção I – </w:t>
      </w:r>
      <w:r>
        <w:t>Obrigatoriedade de Credenciamento</w:t>
      </w:r>
    </w:p>
    <w:p w14:paraId="4F52F80B" w14:textId="77777777" w:rsidR="009A2D89" w:rsidRDefault="009A2D89" w:rsidP="009A2D89">
      <w:r w:rsidRPr="006C76E7">
        <w:t xml:space="preserve">Art. </w:t>
      </w:r>
      <w:r>
        <w:t>3</w:t>
      </w:r>
      <w:r w:rsidRPr="006C76E7">
        <w:t>º  É obrigatório o credenciamento:</w:t>
      </w:r>
    </w:p>
    <w:p w14:paraId="2703845D" w14:textId="77777777" w:rsidR="009A2D89" w:rsidRDefault="009A2D89" w:rsidP="009A2D89">
      <w:r w:rsidRPr="006C76E7">
        <w:lastRenderedPageBreak/>
        <w:t>I – dos analistas</w:t>
      </w:r>
      <w:r>
        <w:t xml:space="preserve"> de valores mobiliários, pessoa natural, que exerçam a atividade de forma</w:t>
      </w:r>
      <w:r w:rsidRPr="006C76E7">
        <w:t xml:space="preserve"> autônom</w:t>
      </w:r>
      <w:r>
        <w:t>a</w:t>
      </w:r>
      <w:r w:rsidRPr="006C76E7">
        <w:t xml:space="preserve">; </w:t>
      </w:r>
    </w:p>
    <w:p w14:paraId="2384F974" w14:textId="77777777" w:rsidR="009A2D89" w:rsidRDefault="009A2D89" w:rsidP="009A2D89">
      <w:r w:rsidRPr="002D2C54">
        <w:t>II – das instituições integrantes do sistema de distribuição que exerçam a atividade de analista de valores mobiliários;</w:t>
      </w:r>
      <w:r>
        <w:t xml:space="preserve"> e</w:t>
      </w:r>
    </w:p>
    <w:p w14:paraId="4757A86D" w14:textId="77777777" w:rsidR="009A2D89" w:rsidRPr="002D2C54" w:rsidRDefault="009A2D89" w:rsidP="009A2D89">
      <w:r>
        <w:t>III – de qualquer</w:t>
      </w:r>
      <w:r w:rsidRPr="002D2C54">
        <w:t xml:space="preserve"> </w:t>
      </w:r>
      <w:r>
        <w:t xml:space="preserve">outra </w:t>
      </w:r>
      <w:r w:rsidRPr="002D2C54">
        <w:t>pessoa jurídica que exerça a atividade de analista de valores mobiliários.</w:t>
      </w:r>
    </w:p>
    <w:p w14:paraId="5C30997F" w14:textId="77777777" w:rsidR="009A2D89" w:rsidRPr="00C07E67" w:rsidRDefault="009A2D89" w:rsidP="004637B6">
      <w:pPr>
        <w:pStyle w:val="Seo"/>
      </w:pPr>
      <w:r w:rsidRPr="00C07E67">
        <w:t xml:space="preserve">Seção </w:t>
      </w:r>
      <w:r>
        <w:t>I</w:t>
      </w:r>
      <w:r w:rsidRPr="00C07E67">
        <w:t>I – Entidades Credenciadoras</w:t>
      </w:r>
    </w:p>
    <w:p w14:paraId="1DBCCA4D" w14:textId="77777777" w:rsidR="009A2D89" w:rsidRDefault="009A2D89" w:rsidP="004637B6">
      <w:r>
        <w:t>Art. 4</w:t>
      </w:r>
      <w:r w:rsidRPr="006C76E7">
        <w:t>º  O credenciamento de analistas de valores mobiliários é feito por entidades autorizadas pela CVM.</w:t>
      </w:r>
    </w:p>
    <w:p w14:paraId="7F9E2AAF" w14:textId="5FDC843B" w:rsidR="009A2D89" w:rsidRDefault="009A2D89" w:rsidP="004637B6">
      <w:r w:rsidRPr="006C76E7">
        <w:t>Parágrafo único.  S</w:t>
      </w:r>
      <w:r w:rsidR="005111F5">
        <w:t>ão</w:t>
      </w:r>
      <w:r w:rsidRPr="006C76E7">
        <w:t xml:space="preserve"> autorizadas pela CVM a promover o credenciamento de que trata o </w:t>
      </w:r>
      <w:r w:rsidRPr="006C76E7">
        <w:rPr>
          <w:b/>
          <w:bCs/>
        </w:rPr>
        <w:t>caput</w:t>
      </w:r>
      <w:r w:rsidRPr="006C76E7">
        <w:t xml:space="preserve"> entidades autorreguladoras que comprovem ter:</w:t>
      </w:r>
    </w:p>
    <w:p w14:paraId="16E96BE0" w14:textId="5D1E61F9" w:rsidR="009A2D89" w:rsidRDefault="009A2D89" w:rsidP="004637B6">
      <w:r w:rsidRPr="006C76E7">
        <w:t xml:space="preserve">I – estrutura adequada e capacidade técnica para o cumprimento das obrigações previstas na presente </w:t>
      </w:r>
      <w:r w:rsidR="00006A07">
        <w:t>Resolução</w:t>
      </w:r>
      <w:r w:rsidRPr="006C76E7">
        <w:t>; e</w:t>
      </w:r>
    </w:p>
    <w:p w14:paraId="7E2D4150" w14:textId="77777777" w:rsidR="009A2D89" w:rsidRDefault="009A2D89" w:rsidP="004637B6">
      <w:r w:rsidRPr="006C76E7">
        <w:t>II – estrutura de autorregulação</w:t>
      </w:r>
      <w:r>
        <w:t xml:space="preserve"> que conte com capacidade técnica e independência</w:t>
      </w:r>
      <w:r w:rsidRPr="006C76E7">
        <w:t xml:space="preserve">. </w:t>
      </w:r>
    </w:p>
    <w:p w14:paraId="2329A9D9" w14:textId="77777777" w:rsidR="009A2D89" w:rsidRDefault="009A2D89" w:rsidP="004637B6">
      <w:r w:rsidRPr="006C76E7">
        <w:t xml:space="preserve">Art. </w:t>
      </w:r>
      <w:r>
        <w:t>5</w:t>
      </w:r>
      <w:r w:rsidRPr="006C76E7">
        <w:t>º  As entidades credenciadoras devem</w:t>
      </w:r>
      <w:r>
        <w:t xml:space="preserve">: </w:t>
      </w:r>
    </w:p>
    <w:p w14:paraId="27647973" w14:textId="77777777" w:rsidR="009A2D89" w:rsidRDefault="009A2D89" w:rsidP="004637B6">
      <w:r w:rsidRPr="006C76E7">
        <w:t>I – adotar código de conduta profissional</w:t>
      </w:r>
      <w:r>
        <w:t xml:space="preserve"> elaborado de acordo com o art. 8º</w:t>
      </w:r>
      <w:r w:rsidRPr="006C76E7">
        <w:t>;</w:t>
      </w:r>
    </w:p>
    <w:p w14:paraId="4951FBA8" w14:textId="77777777" w:rsidR="009A2D89" w:rsidRDefault="009A2D89" w:rsidP="004637B6">
      <w:r>
        <w:t xml:space="preserve">II – fiscalizar, em relação aos </w:t>
      </w:r>
      <w:r w:rsidRPr="006C76E7">
        <w:t xml:space="preserve">analistas </w:t>
      </w:r>
      <w:r>
        <w:t xml:space="preserve">de valores mobiliários </w:t>
      </w:r>
      <w:r w:rsidRPr="006C76E7">
        <w:t>por ela</w:t>
      </w:r>
      <w:r>
        <w:t>s</w:t>
      </w:r>
      <w:r w:rsidRPr="006C76E7">
        <w:t xml:space="preserve"> credenciados</w:t>
      </w:r>
      <w:r>
        <w:t>:</w:t>
      </w:r>
    </w:p>
    <w:p w14:paraId="778CF4D4" w14:textId="2A0E5A10" w:rsidR="009A2D89" w:rsidRDefault="004637B6" w:rsidP="004637B6">
      <w:r>
        <w:t xml:space="preserve">a) </w:t>
      </w:r>
      <w:r w:rsidR="009A2D89" w:rsidRPr="006C76E7">
        <w:t>o cumprimento d</w:t>
      </w:r>
      <w:r w:rsidR="009A2D89">
        <w:t>e seu</w:t>
      </w:r>
      <w:r w:rsidR="009A2D89" w:rsidRPr="006C76E7">
        <w:t xml:space="preserve"> códi</w:t>
      </w:r>
      <w:r w:rsidR="009A2D89">
        <w:t>go de conduta profissional</w:t>
      </w:r>
      <w:r w:rsidR="009A2D89" w:rsidRPr="006C76E7">
        <w:t>;</w:t>
      </w:r>
      <w:r w:rsidR="009A2D89">
        <w:t xml:space="preserve"> e</w:t>
      </w:r>
    </w:p>
    <w:p w14:paraId="1AA56CD0" w14:textId="578BE5B6" w:rsidR="009A2D89" w:rsidRDefault="004637B6" w:rsidP="004637B6">
      <w:r>
        <w:t xml:space="preserve">b) </w:t>
      </w:r>
      <w:r w:rsidR="009A2D89">
        <w:t xml:space="preserve">o cumprimento dos dispositivos desta </w:t>
      </w:r>
      <w:r w:rsidR="00006A07">
        <w:t>Resolução</w:t>
      </w:r>
      <w:r w:rsidR="009A2D89">
        <w:t>;</w:t>
      </w:r>
      <w:r w:rsidR="009A2D89" w:rsidRPr="006C76E7">
        <w:t xml:space="preserve"> </w:t>
      </w:r>
    </w:p>
    <w:p w14:paraId="202E83DB" w14:textId="77777777" w:rsidR="009A2D89" w:rsidRDefault="009A2D89" w:rsidP="004637B6">
      <w:r w:rsidRPr="006C76E7">
        <w:t xml:space="preserve">III – punir infrações ao </w:t>
      </w:r>
      <w:r>
        <w:t xml:space="preserve">seu </w:t>
      </w:r>
      <w:r w:rsidRPr="006C76E7">
        <w:t xml:space="preserve">código de conduta profissional cometidas pelos analistas </w:t>
      </w:r>
      <w:r>
        <w:t xml:space="preserve">de valores mobiliários </w:t>
      </w:r>
      <w:r w:rsidRPr="006C76E7">
        <w:t>por ela</w:t>
      </w:r>
      <w:r>
        <w:t>s</w:t>
      </w:r>
      <w:r w:rsidRPr="006C76E7">
        <w:t xml:space="preserve"> credenciados;</w:t>
      </w:r>
    </w:p>
    <w:p w14:paraId="169C7F68" w14:textId="37F7CD96" w:rsidR="009A2D89" w:rsidRDefault="009A2D89" w:rsidP="40FB964B">
      <w:r>
        <w:t xml:space="preserve">IV – aferir, por meio de exames de </w:t>
      </w:r>
      <w:r w:rsidR="52217189">
        <w:t xml:space="preserve">qualificação técnica, conforme elencados no Anexo A </w:t>
      </w:r>
      <w:r w:rsidR="420CE156">
        <w:t>à</w:t>
      </w:r>
      <w:r w:rsidR="52217189">
        <w:t xml:space="preserve"> esta Resolução, e de </w:t>
      </w:r>
      <w:r>
        <w:t>ética se os candidatos estão aptos a exercer a atividade de analista de valores mobiliários pessoa natural;</w:t>
      </w:r>
    </w:p>
    <w:p w14:paraId="3559D4AE" w14:textId="77777777" w:rsidR="009A2D89" w:rsidRDefault="009A2D89" w:rsidP="004637B6">
      <w:r>
        <w:t>V – aferir, no caso de pessoa jurídica, a estrutura e os requisitos para o exercício da atividade</w:t>
      </w:r>
      <w:r w:rsidRPr="006C76E7">
        <w:t xml:space="preserve">; </w:t>
      </w:r>
    </w:p>
    <w:p w14:paraId="1FFF1650" w14:textId="77777777" w:rsidR="009A2D89" w:rsidRDefault="009A2D89" w:rsidP="004637B6">
      <w:r w:rsidRPr="006C76E7">
        <w:t>V</w:t>
      </w:r>
      <w:r>
        <w:t>I</w:t>
      </w:r>
      <w:r w:rsidRPr="006C76E7">
        <w:t xml:space="preserve"> – instituir programa de educação continuada; </w:t>
      </w:r>
    </w:p>
    <w:p w14:paraId="7A273125" w14:textId="50267791" w:rsidR="009A2D89" w:rsidRDefault="009A2D89" w:rsidP="004637B6">
      <w:r w:rsidRPr="006C76E7">
        <w:t>VI</w:t>
      </w:r>
      <w:r>
        <w:t>I</w:t>
      </w:r>
      <w:r w:rsidRPr="006C76E7">
        <w:t xml:space="preserve"> – manter em arquivo todos os documentos que comprovem o atendimento das exigências contidas nesta </w:t>
      </w:r>
      <w:r w:rsidR="00006A07">
        <w:t>Resolução</w:t>
      </w:r>
      <w:r w:rsidRPr="0014215D">
        <w:t xml:space="preserve"> por 5 (cinco) anos;</w:t>
      </w:r>
    </w:p>
    <w:p w14:paraId="1928BBAC" w14:textId="77777777" w:rsidR="009A2D89" w:rsidRDefault="009A2D89" w:rsidP="004637B6">
      <w:pPr>
        <w:rPr>
          <w:spacing w:val="-2"/>
        </w:rPr>
      </w:pPr>
      <w:r w:rsidRPr="006C76E7">
        <w:rPr>
          <w:spacing w:val="-2"/>
        </w:rPr>
        <w:lastRenderedPageBreak/>
        <w:t>VII</w:t>
      </w:r>
      <w:r>
        <w:rPr>
          <w:spacing w:val="-2"/>
        </w:rPr>
        <w:t>I</w:t>
      </w:r>
      <w:r w:rsidRPr="006C76E7">
        <w:rPr>
          <w:spacing w:val="-2"/>
        </w:rPr>
        <w:t xml:space="preserve"> – manter atualizado cadastro de todos os analistas </w:t>
      </w:r>
      <w:r>
        <w:rPr>
          <w:spacing w:val="-2"/>
        </w:rPr>
        <w:t xml:space="preserve">de valores mobiliários </w:t>
      </w:r>
      <w:r w:rsidRPr="006C76E7">
        <w:rPr>
          <w:spacing w:val="-2"/>
        </w:rPr>
        <w:t>por ela</w:t>
      </w:r>
      <w:r>
        <w:rPr>
          <w:spacing w:val="-2"/>
        </w:rPr>
        <w:t>s</w:t>
      </w:r>
      <w:r w:rsidRPr="006C76E7">
        <w:rPr>
          <w:spacing w:val="-2"/>
        </w:rPr>
        <w:t xml:space="preserve"> credenciados; e</w:t>
      </w:r>
    </w:p>
    <w:p w14:paraId="0919B54A" w14:textId="77777777" w:rsidR="009A2D89" w:rsidRDefault="009A2D89" w:rsidP="004637B6">
      <w:r>
        <w:t>IX</w:t>
      </w:r>
      <w:r w:rsidRPr="006C76E7">
        <w:t xml:space="preserve"> – divulgar em sua página na rede mundial de computadores lista dos analistas </w:t>
      </w:r>
      <w:r>
        <w:t xml:space="preserve">de valores mobiliários </w:t>
      </w:r>
      <w:r w:rsidRPr="006C76E7">
        <w:t>credenciados.</w:t>
      </w:r>
    </w:p>
    <w:p w14:paraId="25433D54" w14:textId="0C8AE5DF" w:rsidR="009A2D89" w:rsidRDefault="00CB78DD" w:rsidP="004637B6">
      <w:r>
        <w:t>§ 1º</w:t>
      </w:r>
      <w:r w:rsidR="009A2D89" w:rsidRPr="006C76E7">
        <w:t xml:space="preserve">  A CVM aprovará previamente: </w:t>
      </w:r>
    </w:p>
    <w:p w14:paraId="20EBFF54" w14:textId="77777777" w:rsidR="009A2D89" w:rsidRDefault="009A2D89" w:rsidP="004637B6">
      <w:r w:rsidRPr="006C76E7">
        <w:t>I – o código de conduta profissional mencionado no inciso I</w:t>
      </w:r>
      <w:r>
        <w:t xml:space="preserve"> do </w:t>
      </w:r>
      <w:r w:rsidRPr="00BF324A">
        <w:rPr>
          <w:b/>
        </w:rPr>
        <w:t>caput</w:t>
      </w:r>
      <w:r w:rsidRPr="006C76E7">
        <w:t>, bem como eventuais alterações;</w:t>
      </w:r>
    </w:p>
    <w:p w14:paraId="0F1C0085" w14:textId="77777777" w:rsidR="009A2D89" w:rsidRDefault="009A2D89" w:rsidP="004637B6">
      <w:r w:rsidRPr="006C76E7">
        <w:t>II – o conteúdo programático dos exames aplicados pela entidade credenci</w:t>
      </w:r>
      <w:r>
        <w:t>adora nos termos do inciso IV; e</w:t>
      </w:r>
    </w:p>
    <w:p w14:paraId="56B11CE0" w14:textId="139CAF7A" w:rsidR="009A2D89" w:rsidRDefault="009A2D89" w:rsidP="004637B6">
      <w:r w:rsidRPr="006C76E7">
        <w:t>III – o programa de educação continuada</w:t>
      </w:r>
      <w:r>
        <w:t>.</w:t>
      </w:r>
    </w:p>
    <w:p w14:paraId="222BEBBD" w14:textId="54A1D93B" w:rsidR="002D6149" w:rsidRDefault="005A127A" w:rsidP="002D6149">
      <w:r>
        <w:t xml:space="preserve">§ 2º  </w:t>
      </w:r>
      <w:r w:rsidR="00550BC8">
        <w:t xml:space="preserve">Com relação ao disposto no inciso VII </w:t>
      </w:r>
      <w:r w:rsidR="1363F7B0">
        <w:t xml:space="preserve">do </w:t>
      </w:r>
      <w:r w:rsidR="1363F7B0" w:rsidRPr="008E670D">
        <w:rPr>
          <w:b/>
          <w:bCs/>
        </w:rPr>
        <w:t>caput</w:t>
      </w:r>
      <w:r w:rsidR="00550BC8">
        <w:t>, a</w:t>
      </w:r>
      <w:r w:rsidR="002D6149">
        <w:t>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4DAE1E4E" w14:textId="67D334BB" w:rsidR="005A127A" w:rsidRDefault="002D6149" w:rsidP="002D6149">
      <w:r>
        <w:t xml:space="preserve">§ </w:t>
      </w:r>
      <w:r w:rsidR="006B1790">
        <w:t>3</w:t>
      </w:r>
      <w:r>
        <w:t>º  O documento de origem pode ser descartado após sua digitalização, exceto se apresentar danos materiais que prejudiquem sua legibilidade.</w:t>
      </w:r>
    </w:p>
    <w:p w14:paraId="15BA08B7" w14:textId="77777777" w:rsidR="009A2D89" w:rsidRDefault="009A2D89" w:rsidP="004637B6">
      <w:r>
        <w:t>Art. 6</w:t>
      </w:r>
      <w:r w:rsidRPr="006C76E7">
        <w:t xml:space="preserve">º  </w:t>
      </w:r>
      <w:r>
        <w:t>As</w:t>
      </w:r>
      <w:r w:rsidRPr="006C76E7">
        <w:t xml:space="preserve"> entidade</w:t>
      </w:r>
      <w:r>
        <w:t>s</w:t>
      </w:r>
      <w:r w:rsidRPr="006C76E7">
        <w:t xml:space="preserve"> credenciadora</w:t>
      </w:r>
      <w:r>
        <w:t>s</w:t>
      </w:r>
      <w:r w:rsidRPr="006C76E7">
        <w:t xml:space="preserve"> </w:t>
      </w:r>
      <w:r>
        <w:t xml:space="preserve">devem fornecer </w:t>
      </w:r>
      <w:r w:rsidRPr="006C76E7">
        <w:t xml:space="preserve">certidões </w:t>
      </w:r>
      <w:r>
        <w:t xml:space="preserve">sobre </w:t>
      </w:r>
      <w:r w:rsidRPr="006C76E7">
        <w:t>analistas</w:t>
      </w:r>
      <w:r>
        <w:t xml:space="preserve"> de valores mobiliários por elas credenciados</w:t>
      </w:r>
      <w:r w:rsidRPr="006C76E7">
        <w:t xml:space="preserve">, </w:t>
      </w:r>
      <w:r>
        <w:t xml:space="preserve">bem como sobre analistas pessoa natural ou jurídica </w:t>
      </w:r>
      <w:r w:rsidRPr="006C76E7">
        <w:t xml:space="preserve">que estejam passando por processo de </w:t>
      </w:r>
      <w:r>
        <w:t>credenciamento</w:t>
      </w:r>
      <w:r w:rsidRPr="006C76E7">
        <w:t>, indicando a regularidade cadastral e eventuais punições aplicadas nos últimos 5 (cinco) anos.</w:t>
      </w:r>
    </w:p>
    <w:p w14:paraId="4E81DAB7" w14:textId="77777777" w:rsidR="009A2D89" w:rsidRDefault="009A2D89" w:rsidP="004637B6">
      <w:r w:rsidRPr="006C76E7">
        <w:t xml:space="preserve">Art. </w:t>
      </w:r>
      <w:r>
        <w:t>7º</w:t>
      </w:r>
      <w:r w:rsidRPr="006C76E7">
        <w:t xml:space="preserve">  A entidade credenciadora deve enviar à CVM: </w:t>
      </w:r>
    </w:p>
    <w:p w14:paraId="1C7D4286" w14:textId="77777777" w:rsidR="009A2D89" w:rsidRDefault="009A2D89" w:rsidP="004637B6">
      <w:r w:rsidRPr="006C76E7">
        <w:t>I – imediatamente após o conhecimento, informação sobre indícios de ocorrência de infração grave às normas da CVM;</w:t>
      </w:r>
    </w:p>
    <w:p w14:paraId="6942AFC3" w14:textId="77777777" w:rsidR="009A2D89" w:rsidRDefault="009A2D89" w:rsidP="004637B6">
      <w:r w:rsidRPr="006C76E7">
        <w:t xml:space="preserve">II – até o </w:t>
      </w:r>
      <w:r>
        <w:t>último</w:t>
      </w:r>
      <w:r w:rsidRPr="006C76E7">
        <w:t xml:space="preserve"> dia do mês </w:t>
      </w:r>
      <w:r>
        <w:t>subsequente ao final de cada se</w:t>
      </w:r>
      <w:r w:rsidRPr="006C76E7">
        <w:t>mestre</w:t>
      </w:r>
      <w:r>
        <w:t xml:space="preserve"> ou sempre que a CVM requisitar</w:t>
      </w:r>
      <w:r w:rsidRPr="006C76E7">
        <w:t>:</w:t>
      </w:r>
    </w:p>
    <w:p w14:paraId="2D27CDAA" w14:textId="77777777" w:rsidR="009A2D89" w:rsidRDefault="009A2D89" w:rsidP="004637B6">
      <w:pPr>
        <w:rPr>
          <w:spacing w:val="-2"/>
        </w:rPr>
      </w:pPr>
      <w:r w:rsidRPr="003E079F">
        <w:rPr>
          <w:spacing w:val="-2"/>
        </w:rPr>
        <w:t>a)</w:t>
      </w:r>
      <w:r>
        <w:rPr>
          <w:spacing w:val="-2"/>
        </w:rPr>
        <w:t xml:space="preserve"> </w:t>
      </w:r>
      <w:r w:rsidRPr="003E079F">
        <w:rPr>
          <w:spacing w:val="-2"/>
        </w:rPr>
        <w:t xml:space="preserve">relatório sobre a </w:t>
      </w:r>
      <w:r>
        <w:rPr>
          <w:spacing w:val="-2"/>
        </w:rPr>
        <w:t xml:space="preserve">supervisão e a </w:t>
      </w:r>
      <w:r w:rsidRPr="003E079F">
        <w:rPr>
          <w:spacing w:val="-2"/>
        </w:rPr>
        <w:t xml:space="preserve">observância das normas legais e regulamentares, mencionando os esforços empreendidos para averiguar a regularidade da conduta, o nome e qualificação dos envolvidos, sendo eles credenciados ou não, bem como outras providências adotadas; e </w:t>
      </w:r>
    </w:p>
    <w:p w14:paraId="6F90D70E" w14:textId="77777777" w:rsidR="009A2D89" w:rsidRDefault="009A2D89" w:rsidP="004637B6">
      <w:r w:rsidRPr="006C76E7">
        <w:lastRenderedPageBreak/>
        <w:t>b)</w:t>
      </w:r>
      <w:r w:rsidRPr="006C76E7" w:rsidDel="00BF324A">
        <w:t xml:space="preserve"> </w:t>
      </w:r>
      <w:r w:rsidRPr="006C76E7">
        <w:t xml:space="preserve">relatório sobre a </w:t>
      </w:r>
      <w:r>
        <w:t xml:space="preserve">supervisão e a </w:t>
      </w:r>
      <w:r w:rsidRPr="006C76E7">
        <w:t>observância das normas d</w:t>
      </w:r>
      <w:r>
        <w:t>e seu</w:t>
      </w:r>
      <w:r w:rsidRPr="006C76E7">
        <w:t xml:space="preserve"> código de conduta profissional, mencionando os analistas </w:t>
      </w:r>
      <w:r>
        <w:t>de valores mobiliários</w:t>
      </w:r>
      <w:r w:rsidRPr="006C76E7">
        <w:t xml:space="preserve"> investigados, o escopo do trabalho realizado, as irregularidades identificadas, as punições aplicadas e outras providências adotadas</w:t>
      </w:r>
      <w:r>
        <w:t>;</w:t>
      </w:r>
    </w:p>
    <w:p w14:paraId="1E3C46F1" w14:textId="77777777" w:rsidR="009A2D89" w:rsidRDefault="009A2D89" w:rsidP="004637B6">
      <w:r w:rsidRPr="006C76E7">
        <w:t>III – até o dia 31 de janeiro de cada ano</w:t>
      </w:r>
      <w:r w:rsidRPr="006C76E7" w:rsidDel="00BF324A">
        <w:t xml:space="preserve"> </w:t>
      </w:r>
      <w:r w:rsidRPr="006C76E7">
        <w:rPr>
          <w:bCs/>
        </w:rPr>
        <w:t>relatório contendo a proposta de atuação para o exercício subsequente</w:t>
      </w:r>
      <w:r>
        <w:rPr>
          <w:bCs/>
        </w:rPr>
        <w:t>; e</w:t>
      </w:r>
    </w:p>
    <w:p w14:paraId="345D43DC" w14:textId="77777777" w:rsidR="009A2D89" w:rsidRPr="009336A5" w:rsidRDefault="009A2D89" w:rsidP="004637B6">
      <w:pPr>
        <w:rPr>
          <w:bCs/>
        </w:rPr>
      </w:pPr>
      <w:r w:rsidRPr="009336A5">
        <w:t xml:space="preserve">IV – sempre que solicitado, documentos e informações mencionados no art. 5º, incisos VII e VIII. </w:t>
      </w:r>
    </w:p>
    <w:p w14:paraId="3A3E0CC4" w14:textId="77777777" w:rsidR="009A2D89" w:rsidRPr="009336A5" w:rsidRDefault="009A2D89" w:rsidP="004637B6">
      <w:r w:rsidRPr="009336A5">
        <w:t>Parágrafo único.  O relatório de que trata o inciso III pode ser encaminhado à CVM como parte do relatório de que trata o inciso II, alínea “a” referente ao segundo semestre de cada ano.</w:t>
      </w:r>
    </w:p>
    <w:p w14:paraId="3A43A61E" w14:textId="63CEF4BC" w:rsidR="009A2D89" w:rsidRPr="00C07E67" w:rsidRDefault="009A2D89" w:rsidP="004637B6">
      <w:pPr>
        <w:pStyle w:val="Seo"/>
      </w:pPr>
      <w:r w:rsidRPr="00C07E67">
        <w:t xml:space="preserve">Seção III – Código de </w:t>
      </w:r>
      <w:r w:rsidR="000952BD">
        <w:t>C</w:t>
      </w:r>
      <w:r w:rsidRPr="00C07E67">
        <w:t xml:space="preserve">onduta </w:t>
      </w:r>
      <w:r w:rsidR="000952BD">
        <w:t>P</w:t>
      </w:r>
      <w:r w:rsidRPr="00C07E67">
        <w:t>rofissional</w:t>
      </w:r>
    </w:p>
    <w:p w14:paraId="0F22E779" w14:textId="77777777" w:rsidR="009A2D89" w:rsidRDefault="009A2D89" w:rsidP="004637B6">
      <w:r>
        <w:t>Art. 8</w:t>
      </w:r>
      <w:r w:rsidRPr="006C76E7">
        <w:t>º  O código de conduta profissional deve dispor, no mínimo, sobre:</w:t>
      </w:r>
    </w:p>
    <w:p w14:paraId="08AD7654" w14:textId="77777777" w:rsidR="009A2D89" w:rsidRDefault="009A2D89" w:rsidP="004637B6">
      <w:r w:rsidRPr="006C76E7">
        <w:t>I – potenciais situações de conflito de interesses no exercício da atividade de analista</w:t>
      </w:r>
      <w:r>
        <w:t xml:space="preserve"> de valores mobiliários</w:t>
      </w:r>
      <w:r w:rsidRPr="006C76E7">
        <w:t>;</w:t>
      </w:r>
    </w:p>
    <w:p w14:paraId="1E15121F" w14:textId="77777777" w:rsidR="009A2D89" w:rsidRDefault="009A2D89" w:rsidP="004637B6">
      <w:r w:rsidRPr="006C76E7">
        <w:t>II – compromisso de busca por informações idôneas e fidedignas para serem utilizadas em análises, recomendações e apresentações feitas pelo analista</w:t>
      </w:r>
      <w:r>
        <w:t xml:space="preserve"> de valores mobiliários</w:t>
      </w:r>
      <w:r w:rsidRPr="006C76E7">
        <w:t>;</w:t>
      </w:r>
    </w:p>
    <w:p w14:paraId="1FFEF6F4" w14:textId="77777777" w:rsidR="009A2D89" w:rsidRDefault="009A2D89" w:rsidP="004637B6">
      <w:r w:rsidRPr="006C76E7">
        <w:t>III – dever de independência do analista</w:t>
      </w:r>
      <w:r>
        <w:t xml:space="preserve"> de valores mobiliários</w:t>
      </w:r>
      <w:r w:rsidRPr="006C76E7">
        <w:t>, inclusive em relação à pessoa ou instituição a que estiver vinculado, quando for o caso;</w:t>
      </w:r>
    </w:p>
    <w:p w14:paraId="34CE8D1D" w14:textId="38856C4B" w:rsidR="009A2D89" w:rsidRDefault="009A2D89" w:rsidP="004637B6">
      <w:r w:rsidRPr="006C76E7">
        <w:t xml:space="preserve">IV – dever de cumprir com a presente </w:t>
      </w:r>
      <w:r w:rsidR="00006A07">
        <w:t>Resolução</w:t>
      </w:r>
      <w:r w:rsidRPr="006C76E7">
        <w:t xml:space="preserve"> e demais normas emitidas pela CVM</w:t>
      </w:r>
      <w:r>
        <w:t xml:space="preserve"> que tratem da atividade de analista de valores mobiliários</w:t>
      </w:r>
      <w:r w:rsidRPr="006C76E7">
        <w:t>;</w:t>
      </w:r>
    </w:p>
    <w:p w14:paraId="237DF576" w14:textId="77777777" w:rsidR="009A2D89" w:rsidRDefault="009A2D89" w:rsidP="004637B6">
      <w:r w:rsidRPr="006C76E7">
        <w:t>V – punições cabíveis quando houver infrações ao código de conduta profissional</w:t>
      </w:r>
      <w:r>
        <w:t>; e</w:t>
      </w:r>
    </w:p>
    <w:p w14:paraId="20926054" w14:textId="77777777" w:rsidR="009A2D89" w:rsidRDefault="009A2D89" w:rsidP="004637B6">
      <w:r>
        <w:t>VI – disciplinar as formas de comunicação, publicidade e a linguagem utilizada pelos analistas de valores mobiliários na sua interlocução com seus clientes e o público em geral, nos termos do art. 14.</w:t>
      </w:r>
    </w:p>
    <w:p w14:paraId="7C94D270" w14:textId="0E13B136" w:rsidR="009A2D89" w:rsidRPr="00C07E67" w:rsidRDefault="009A2D89" w:rsidP="00064A56">
      <w:pPr>
        <w:pStyle w:val="Seo"/>
      </w:pPr>
      <w:r>
        <w:t xml:space="preserve">Seção IV – Credenciamento do </w:t>
      </w:r>
      <w:r w:rsidR="000952BD">
        <w:t>A</w:t>
      </w:r>
      <w:r>
        <w:t xml:space="preserve">nalista de </w:t>
      </w:r>
      <w:r w:rsidR="000952BD">
        <w:t>V</w:t>
      </w:r>
      <w:r>
        <w:t xml:space="preserve">alores </w:t>
      </w:r>
      <w:r w:rsidR="000952BD">
        <w:t>M</w:t>
      </w:r>
      <w:r>
        <w:t xml:space="preserve">obiliários </w:t>
      </w:r>
      <w:r w:rsidR="000952BD">
        <w:t>P</w:t>
      </w:r>
      <w:r>
        <w:t xml:space="preserve">essoa </w:t>
      </w:r>
      <w:r w:rsidR="000952BD">
        <w:t>N</w:t>
      </w:r>
      <w:r>
        <w:t>atural</w:t>
      </w:r>
    </w:p>
    <w:p w14:paraId="3AFBAFF6" w14:textId="77777777" w:rsidR="009A2D89" w:rsidRDefault="009A2D89" w:rsidP="00064A56">
      <w:r>
        <w:t>Art. 9º</w:t>
      </w:r>
      <w:r w:rsidRPr="006C76E7">
        <w:t xml:space="preserve">  Para conceder </w:t>
      </w:r>
      <w:r>
        <w:t xml:space="preserve">e manter </w:t>
      </w:r>
      <w:r w:rsidRPr="006C76E7">
        <w:t>o credenc</w:t>
      </w:r>
      <w:r>
        <w:t>iamento a que se refere o art. 4</w:t>
      </w:r>
      <w:r w:rsidRPr="006C76E7">
        <w:t xml:space="preserve">º, a entidade credenciadora deve exigir do </w:t>
      </w:r>
      <w:r>
        <w:t xml:space="preserve">analista de valores mobiliários pessoa natural </w:t>
      </w:r>
      <w:r w:rsidRPr="006C76E7">
        <w:t>o preenchimento dos seguintes requisitos mínimos:</w:t>
      </w:r>
    </w:p>
    <w:p w14:paraId="0B82C2EF" w14:textId="77777777" w:rsidR="009A2D89" w:rsidRDefault="009A2D89" w:rsidP="00064A56">
      <w:r w:rsidRPr="006C76E7">
        <w:t>I – graduação em curso de nível superior;</w:t>
      </w:r>
    </w:p>
    <w:p w14:paraId="7FB06797" w14:textId="77777777" w:rsidR="009A2D89" w:rsidRDefault="009A2D89" w:rsidP="00064A56">
      <w:r w:rsidRPr="006C76E7">
        <w:t xml:space="preserve">II – aprovação em exames de qualificação técnica </w:t>
      </w:r>
      <w:r>
        <w:t>definidos</w:t>
      </w:r>
      <w:r w:rsidRPr="006C76E7">
        <w:t xml:space="preserve"> pela CVM;</w:t>
      </w:r>
    </w:p>
    <w:p w14:paraId="170AF1DB" w14:textId="77777777" w:rsidR="009A2D89" w:rsidRDefault="009A2D89" w:rsidP="00064A56">
      <w:r w:rsidRPr="006C76E7">
        <w:lastRenderedPageBreak/>
        <w:t xml:space="preserve">III – adesão incondicional a </w:t>
      </w:r>
      <w:r>
        <w:t xml:space="preserve">seu </w:t>
      </w:r>
      <w:r w:rsidRPr="006C76E7">
        <w:t>código de conduta profissional</w:t>
      </w:r>
      <w:r>
        <w:t xml:space="preserve">; </w:t>
      </w:r>
    </w:p>
    <w:p w14:paraId="3710527C" w14:textId="77777777" w:rsidR="009A2D89" w:rsidRPr="005F50B0" w:rsidRDefault="009A2D89" w:rsidP="00064A56">
      <w:pPr>
        <w:rPr>
          <w:rFonts w:eastAsia="Times New Roman"/>
          <w:color w:val="0D0D0D"/>
        </w:rPr>
      </w:pPr>
      <w:r>
        <w:rPr>
          <w:rFonts w:eastAsia="Times New Roman"/>
          <w:color w:val="0D0D0D"/>
        </w:rPr>
        <w:t>I</w:t>
      </w:r>
      <w:r w:rsidRPr="005F50B0">
        <w:rPr>
          <w:rFonts w:eastAsia="Times New Roman"/>
          <w:color w:val="0D0D0D"/>
        </w:rPr>
        <w:t>V – ter reputação ilibada;</w:t>
      </w:r>
    </w:p>
    <w:p w14:paraId="15FA91A2" w14:textId="77777777" w:rsidR="009A2D89" w:rsidRDefault="009A2D89" w:rsidP="00064A56">
      <w:pPr>
        <w:rPr>
          <w:rFonts w:eastAsia="Times New Roman"/>
          <w:color w:val="0D0D0D"/>
        </w:rPr>
      </w:pPr>
      <w:r w:rsidRPr="005F50B0">
        <w:rPr>
          <w:rFonts w:eastAsia="Times New Roman"/>
          <w:color w:val="0D0D0D"/>
        </w:rPr>
        <w:t>V – não estar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r>
        <w:rPr>
          <w:rFonts w:eastAsia="Times New Roman"/>
          <w:color w:val="0D0D0D"/>
        </w:rPr>
        <w:t xml:space="preserve"> e</w:t>
      </w:r>
    </w:p>
    <w:p w14:paraId="61C93A8F" w14:textId="77777777" w:rsidR="009A2D89" w:rsidRDefault="009A2D89" w:rsidP="00064A56">
      <w:pPr>
        <w:rPr>
          <w:rFonts w:eastAsia="Times New Roman"/>
          <w:color w:val="0D0D0D"/>
        </w:rPr>
      </w:pPr>
      <w:r w:rsidRPr="005F50B0">
        <w:rPr>
          <w:rFonts w:eastAsia="Times New Roman"/>
          <w:color w:val="0D0D0D"/>
        </w:rPr>
        <w:t>VI – não haver sido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r>
        <w:rPr>
          <w:rFonts w:eastAsia="Times New Roman"/>
          <w:color w:val="0D0D0D"/>
        </w:rPr>
        <w:t>.</w:t>
      </w:r>
    </w:p>
    <w:p w14:paraId="2A9D44AF" w14:textId="63208DA2" w:rsidR="009A2D89" w:rsidRDefault="009A2D89" w:rsidP="00064A56">
      <w:pPr>
        <w:rPr>
          <w:strike/>
        </w:rPr>
      </w:pPr>
      <w:r w:rsidRPr="005C7152">
        <w:rPr>
          <w:strike/>
        </w:rPr>
        <w:t>Art. 10.</w:t>
      </w:r>
      <w:r w:rsidR="002E7A08" w:rsidRPr="005C7152">
        <w:rPr>
          <w:strike/>
        </w:rPr>
        <w:t xml:space="preserve"> </w:t>
      </w:r>
      <w:r w:rsidRPr="005C7152">
        <w:rPr>
          <w:strike/>
        </w:rPr>
        <w:t xml:space="preserve"> O analista de valores mobiliários pessoa natural e as pessoas responsáveis pelas atividades de que tratam os incisos IV e V do art. 11 não podem obter ou manter registro como agente autônomo de investimento.</w:t>
      </w:r>
    </w:p>
    <w:p w14:paraId="30ED1654" w14:textId="1F3696B7" w:rsidR="005C7152" w:rsidRDefault="005C7152" w:rsidP="00064A56">
      <w:r>
        <w:t>Art. 10.  O analista de valores mobiliários pessoa natural e as pessoas responsáveis pelas atividades de que tratam os incisos IV e V do art. 11 não podem obter ou manter registro como assessor de investimento.</w:t>
      </w:r>
    </w:p>
    <w:p w14:paraId="44AC626C" w14:textId="64099474" w:rsidR="005C7152" w:rsidRPr="005C7152" w:rsidRDefault="005C7152" w:rsidP="00F40745">
      <w:pPr>
        <w:pStyle w:val="PargrafodaLista"/>
        <w:numPr>
          <w:ilvl w:val="0"/>
          <w:numId w:val="2"/>
        </w:numPr>
        <w:tabs>
          <w:tab w:val="left" w:pos="993"/>
        </w:tabs>
        <w:spacing w:line="312" w:lineRule="auto"/>
        <w:ind w:left="709" w:hanging="142"/>
        <w:contextualSpacing/>
        <w:jc w:val="both"/>
        <w:rPr>
          <w:rFonts w:cs="Calibri"/>
          <w:b/>
          <w:i/>
          <w:sz w:val="24"/>
          <w:szCs w:val="24"/>
        </w:rPr>
      </w:pPr>
      <w:r w:rsidRPr="005C7152">
        <w:rPr>
          <w:rFonts w:cs="Calibri"/>
          <w:b/>
          <w:bCs/>
          <w:i/>
          <w:iCs/>
          <w:sz w:val="24"/>
          <w:szCs w:val="24"/>
        </w:rPr>
        <w:t>Art. 10</w:t>
      </w:r>
      <w:r w:rsidRPr="005C7152">
        <w:rPr>
          <w:rFonts w:cs="Calibri"/>
          <w:b/>
          <w:i/>
          <w:sz w:val="24"/>
          <w:szCs w:val="24"/>
        </w:rPr>
        <w:t xml:space="preserve"> com redação dada pela Resolução CVM nº 1</w:t>
      </w:r>
      <w:r>
        <w:rPr>
          <w:rFonts w:cs="Calibri"/>
          <w:b/>
          <w:i/>
          <w:sz w:val="24"/>
          <w:szCs w:val="24"/>
        </w:rPr>
        <w:t>79</w:t>
      </w:r>
      <w:r w:rsidRPr="005C7152">
        <w:rPr>
          <w:rFonts w:cs="Calibri"/>
          <w:b/>
          <w:i/>
          <w:sz w:val="24"/>
          <w:szCs w:val="24"/>
        </w:rPr>
        <w:t>, de 1</w:t>
      </w:r>
      <w:r>
        <w:rPr>
          <w:rFonts w:cs="Calibri"/>
          <w:b/>
          <w:i/>
          <w:sz w:val="24"/>
          <w:szCs w:val="24"/>
        </w:rPr>
        <w:t>4</w:t>
      </w:r>
      <w:r w:rsidRPr="005C7152">
        <w:rPr>
          <w:rFonts w:cs="Calibri"/>
          <w:b/>
          <w:i/>
          <w:sz w:val="24"/>
          <w:szCs w:val="24"/>
        </w:rPr>
        <w:t xml:space="preserve"> de </w:t>
      </w:r>
      <w:r>
        <w:rPr>
          <w:rFonts w:cs="Calibri"/>
          <w:b/>
          <w:i/>
          <w:sz w:val="24"/>
          <w:szCs w:val="24"/>
        </w:rPr>
        <w:t>fevereiro</w:t>
      </w:r>
      <w:r w:rsidRPr="005C7152">
        <w:rPr>
          <w:rFonts w:cs="Calibri"/>
          <w:b/>
          <w:i/>
          <w:sz w:val="24"/>
          <w:szCs w:val="24"/>
        </w:rPr>
        <w:t xml:space="preserve"> de 202</w:t>
      </w:r>
      <w:r>
        <w:rPr>
          <w:rFonts w:cs="Calibri"/>
          <w:b/>
          <w:i/>
          <w:sz w:val="24"/>
          <w:szCs w:val="24"/>
        </w:rPr>
        <w:t>3</w:t>
      </w:r>
      <w:r w:rsidRPr="005C7152">
        <w:rPr>
          <w:rFonts w:cs="Calibri"/>
          <w:b/>
          <w:i/>
          <w:sz w:val="24"/>
          <w:szCs w:val="24"/>
        </w:rPr>
        <w:t>.</w:t>
      </w:r>
    </w:p>
    <w:p w14:paraId="110B87FA" w14:textId="6664F361" w:rsidR="009A2D89" w:rsidRPr="00C07E67" w:rsidRDefault="009A2D89" w:rsidP="00064A56">
      <w:pPr>
        <w:pStyle w:val="Seo"/>
      </w:pPr>
      <w:r>
        <w:t xml:space="preserve">Seção V – Credenciamento do </w:t>
      </w:r>
      <w:r w:rsidR="000952BD">
        <w:t>A</w:t>
      </w:r>
      <w:r>
        <w:t xml:space="preserve">nalista de </w:t>
      </w:r>
      <w:r w:rsidR="000952BD">
        <w:t>V</w:t>
      </w:r>
      <w:r>
        <w:t xml:space="preserve">alores </w:t>
      </w:r>
      <w:r w:rsidR="000952BD">
        <w:t>M</w:t>
      </w:r>
      <w:r>
        <w:t xml:space="preserve">obiliários </w:t>
      </w:r>
      <w:r w:rsidR="000952BD">
        <w:t>P</w:t>
      </w:r>
      <w:r>
        <w:t xml:space="preserve">essoa </w:t>
      </w:r>
      <w:r w:rsidR="000952BD">
        <w:t>J</w:t>
      </w:r>
      <w:r>
        <w:t>urídica</w:t>
      </w:r>
    </w:p>
    <w:p w14:paraId="0DFA62A1" w14:textId="77777777" w:rsidR="009A2D89" w:rsidRDefault="009A2D89" w:rsidP="00064A56">
      <w:pPr>
        <w:rPr>
          <w:color w:val="FF0000"/>
        </w:rPr>
      </w:pPr>
      <w:r w:rsidRPr="00C07E67">
        <w:t>Art. 1</w:t>
      </w:r>
      <w:r>
        <w:t>1.</w:t>
      </w:r>
      <w:r w:rsidRPr="00C07E67">
        <w:t xml:space="preserve"> </w:t>
      </w:r>
      <w:r w:rsidRPr="00B6398A">
        <w:rPr>
          <w:color w:val="FF0000"/>
        </w:rPr>
        <w:t xml:space="preserve"> </w:t>
      </w:r>
      <w:r w:rsidRPr="006C76E7">
        <w:t xml:space="preserve">Para conceder </w:t>
      </w:r>
      <w:r>
        <w:t xml:space="preserve">e manter </w:t>
      </w:r>
      <w:r w:rsidRPr="006C76E7">
        <w:t xml:space="preserve">o credenciamento a que se refere o art. </w:t>
      </w:r>
      <w:r>
        <w:t>4</w:t>
      </w:r>
      <w:r w:rsidRPr="006C76E7">
        <w:t xml:space="preserve">º, a entidade credenciadora deve exigir </w:t>
      </w:r>
      <w:r>
        <w:t xml:space="preserve">do analista de valores mobiliários pessoa jurídica </w:t>
      </w:r>
      <w:r w:rsidRPr="006C76E7">
        <w:t>os seguintes requisitos mínimos</w:t>
      </w:r>
      <w:r>
        <w:t xml:space="preserve">: </w:t>
      </w:r>
    </w:p>
    <w:p w14:paraId="5EE15BE8" w14:textId="77777777" w:rsidR="009A2D89" w:rsidRPr="009150E8" w:rsidRDefault="009A2D89" w:rsidP="00064A56">
      <w:pPr>
        <w:rPr>
          <w:color w:val="0D0D0D"/>
        </w:rPr>
      </w:pPr>
      <w:r w:rsidRPr="009150E8">
        <w:rPr>
          <w:color w:val="0D0D0D"/>
        </w:rPr>
        <w:t>I – ter sede no Brasil;</w:t>
      </w:r>
    </w:p>
    <w:p w14:paraId="537DD293" w14:textId="77777777" w:rsidR="009A2D89" w:rsidRDefault="009A2D89" w:rsidP="00064A56">
      <w:pPr>
        <w:rPr>
          <w:color w:val="0D0D0D"/>
        </w:rPr>
      </w:pPr>
      <w:r w:rsidRPr="009150E8">
        <w:rPr>
          <w:color w:val="0D0D0D"/>
        </w:rPr>
        <w:t xml:space="preserve">II – ter em seu objeto social </w:t>
      </w:r>
      <w:r>
        <w:rPr>
          <w:color w:val="0D0D0D"/>
        </w:rPr>
        <w:t>a</w:t>
      </w:r>
      <w:r w:rsidRPr="009150E8">
        <w:rPr>
          <w:color w:val="0D0D0D"/>
        </w:rPr>
        <w:t xml:space="preserve"> </w:t>
      </w:r>
      <w:r>
        <w:rPr>
          <w:color w:val="0D0D0D"/>
        </w:rPr>
        <w:t xml:space="preserve">atividade </w:t>
      </w:r>
      <w:r w:rsidRPr="009150E8">
        <w:rPr>
          <w:color w:val="0D0D0D"/>
        </w:rPr>
        <w:t xml:space="preserve">de </w:t>
      </w:r>
      <w:r>
        <w:rPr>
          <w:color w:val="0D0D0D"/>
        </w:rPr>
        <w:t>análise de valores mobiliários, exceto para as pessoas jurídicas mencionadas no art. 3º, inciso II;</w:t>
      </w:r>
    </w:p>
    <w:p w14:paraId="4773F33C" w14:textId="77777777" w:rsidR="009A2D89" w:rsidRDefault="009A2D89" w:rsidP="00064A56">
      <w:pPr>
        <w:rPr>
          <w:color w:val="0D0D0D"/>
        </w:rPr>
      </w:pPr>
      <w:r>
        <w:rPr>
          <w:color w:val="0D0D0D"/>
        </w:rPr>
        <w:t xml:space="preserve">III – </w:t>
      </w:r>
      <w:r w:rsidRPr="009150E8">
        <w:rPr>
          <w:color w:val="0D0D0D"/>
        </w:rPr>
        <w:t>estar</w:t>
      </w:r>
      <w:r>
        <w:rPr>
          <w:color w:val="0D0D0D"/>
        </w:rPr>
        <w:t xml:space="preserve"> </w:t>
      </w:r>
      <w:r w:rsidRPr="009150E8">
        <w:rPr>
          <w:color w:val="0D0D0D"/>
        </w:rPr>
        <w:t>regularmente constituído e registrado no Cadastro Nacional de Pessoas Jurídicas - CNPJ;</w:t>
      </w:r>
    </w:p>
    <w:p w14:paraId="30415278" w14:textId="77777777" w:rsidR="009A2D89" w:rsidRDefault="009A2D89" w:rsidP="00064A56">
      <w:pPr>
        <w:rPr>
          <w:color w:val="0D0D0D"/>
        </w:rPr>
      </w:pPr>
      <w:r w:rsidRPr="009150E8">
        <w:rPr>
          <w:color w:val="0D0D0D"/>
        </w:rPr>
        <w:t>I</w:t>
      </w:r>
      <w:r>
        <w:rPr>
          <w:color w:val="0D0D0D"/>
        </w:rPr>
        <w:t>V</w:t>
      </w:r>
      <w:r w:rsidRPr="009150E8">
        <w:rPr>
          <w:color w:val="0D0D0D"/>
        </w:rPr>
        <w:t xml:space="preserve"> – atribuir a responsabilidade pela </w:t>
      </w:r>
      <w:r>
        <w:rPr>
          <w:color w:val="0D0D0D"/>
        </w:rPr>
        <w:t xml:space="preserve">atividade de análise de valores mobiliários </w:t>
      </w:r>
      <w:r w:rsidRPr="009150E8">
        <w:rPr>
          <w:color w:val="0D0D0D"/>
        </w:rPr>
        <w:t xml:space="preserve">a um </w:t>
      </w:r>
      <w:r>
        <w:rPr>
          <w:color w:val="0D0D0D"/>
        </w:rPr>
        <w:t>analista de valores mobiliários pessoa natural credenciado por entidade autorizada pela CVM nos termos do art. 4º;</w:t>
      </w:r>
      <w:r w:rsidRPr="009524DD">
        <w:rPr>
          <w:rStyle w:val="Refdenotaderodap"/>
          <w:color w:val="0D0D0D"/>
        </w:rPr>
        <w:t xml:space="preserve"> </w:t>
      </w:r>
    </w:p>
    <w:p w14:paraId="4F8C477E" w14:textId="7C7BBBDE" w:rsidR="009A2D89" w:rsidRDefault="009A2D89" w:rsidP="00064A56">
      <w:r>
        <w:lastRenderedPageBreak/>
        <w:t>V</w:t>
      </w:r>
      <w:r w:rsidRPr="009D698D">
        <w:t xml:space="preserve"> – </w:t>
      </w:r>
      <w:r w:rsidRPr="00224477">
        <w:rPr>
          <w:color w:val="0D0D0D"/>
        </w:rPr>
        <w:t>atribuir</w:t>
      </w:r>
      <w:r w:rsidRPr="009D698D">
        <w:t xml:space="preserve"> a responsabilidade pela implementação e cumprimento </w:t>
      </w:r>
      <w:r>
        <w:t xml:space="preserve">de </w:t>
      </w:r>
      <w:r w:rsidRPr="001C4F98">
        <w:t>regras</w:t>
      </w:r>
      <w:r>
        <w:t>,</w:t>
      </w:r>
      <w:r w:rsidRPr="001C4F98">
        <w:t xml:space="preserve"> procedimentos</w:t>
      </w:r>
      <w:r>
        <w:t xml:space="preserve"> e controles internos </w:t>
      </w:r>
      <w:r w:rsidRPr="009D698D">
        <w:t xml:space="preserve">e das normas estabelecidas por esta </w:t>
      </w:r>
      <w:r w:rsidR="00006A07">
        <w:t>Resolução</w:t>
      </w:r>
      <w:r w:rsidRPr="009D698D">
        <w:t xml:space="preserve"> a um diretor estatutário;</w:t>
      </w:r>
      <w:r>
        <w:rPr>
          <w:rStyle w:val="Refdecomentrio"/>
          <w:rFonts w:eastAsia="Arial Unicode MS"/>
        </w:rPr>
        <w:t xml:space="preserve"> </w:t>
      </w:r>
    </w:p>
    <w:p w14:paraId="2B8B94BB" w14:textId="77777777" w:rsidR="009A2D89" w:rsidRDefault="009A2D89" w:rsidP="00064A56">
      <w:pPr>
        <w:rPr>
          <w:color w:val="0D0D0D"/>
        </w:rPr>
      </w:pPr>
      <w:r>
        <w:rPr>
          <w:color w:val="0D0D0D"/>
        </w:rPr>
        <w:t>VI</w:t>
      </w:r>
      <w:r w:rsidRPr="009150E8">
        <w:rPr>
          <w:color w:val="0D0D0D"/>
        </w:rPr>
        <w:t xml:space="preserve"> – seus sócios controladores diretos ou indiretos devem atender aos requisitos previstos </w:t>
      </w:r>
      <w:r>
        <w:rPr>
          <w:color w:val="0D0D0D"/>
        </w:rPr>
        <w:t>no</w:t>
      </w:r>
      <w:r w:rsidRPr="009150E8">
        <w:rPr>
          <w:color w:val="0D0D0D"/>
        </w:rPr>
        <w:t xml:space="preserve">s incisos </w:t>
      </w:r>
      <w:r>
        <w:rPr>
          <w:color w:val="0D0D0D"/>
        </w:rPr>
        <w:t xml:space="preserve">V e VI </w:t>
      </w:r>
      <w:r w:rsidRPr="009150E8">
        <w:rPr>
          <w:color w:val="0D0D0D"/>
        </w:rPr>
        <w:t xml:space="preserve">do art. </w:t>
      </w:r>
      <w:r>
        <w:rPr>
          <w:color w:val="0D0D0D"/>
        </w:rPr>
        <w:t>9º</w:t>
      </w:r>
      <w:r w:rsidRPr="009150E8">
        <w:rPr>
          <w:color w:val="0D0D0D"/>
        </w:rPr>
        <w:t xml:space="preserve">; </w:t>
      </w:r>
      <w:r>
        <w:rPr>
          <w:color w:val="0D0D0D"/>
        </w:rPr>
        <w:t>e</w:t>
      </w:r>
    </w:p>
    <w:p w14:paraId="334C10DA" w14:textId="77777777" w:rsidR="009A2D89" w:rsidRDefault="009A2D89" w:rsidP="00064A56">
      <w:pPr>
        <w:rPr>
          <w:color w:val="0D0D0D"/>
        </w:rPr>
      </w:pPr>
      <w:r w:rsidRPr="009150E8">
        <w:rPr>
          <w:color w:val="0D0D0D"/>
        </w:rPr>
        <w:t>V</w:t>
      </w:r>
      <w:r>
        <w:rPr>
          <w:color w:val="0D0D0D"/>
        </w:rPr>
        <w:t>II</w:t>
      </w:r>
      <w:r w:rsidRPr="009150E8">
        <w:rPr>
          <w:color w:val="0D0D0D"/>
        </w:rPr>
        <w:t xml:space="preserve"> – constituir e manter recursos humanos e computacionais adequados ao porte e à área de atuação da pessoa jurídica</w:t>
      </w:r>
      <w:r>
        <w:rPr>
          <w:color w:val="0D0D0D"/>
        </w:rPr>
        <w:t>.</w:t>
      </w:r>
    </w:p>
    <w:p w14:paraId="1A23345A" w14:textId="77777777" w:rsidR="009A2D89" w:rsidRDefault="009A2D89" w:rsidP="00064A56">
      <w:pPr>
        <w:rPr>
          <w:color w:val="0D0D0D"/>
        </w:rPr>
      </w:pPr>
      <w:r w:rsidRPr="009150E8">
        <w:rPr>
          <w:color w:val="0D0D0D"/>
        </w:rPr>
        <w:t xml:space="preserve">§ </w:t>
      </w:r>
      <w:r>
        <w:rPr>
          <w:color w:val="0D0D0D"/>
        </w:rPr>
        <w:t>1</w:t>
      </w:r>
      <w:r w:rsidRPr="009150E8">
        <w:rPr>
          <w:color w:val="0D0D0D"/>
        </w:rPr>
        <w:t>º  A atribuiç</w:t>
      </w:r>
      <w:r>
        <w:rPr>
          <w:color w:val="0D0D0D"/>
        </w:rPr>
        <w:t>ão</w:t>
      </w:r>
      <w:r w:rsidRPr="009150E8">
        <w:rPr>
          <w:color w:val="0D0D0D"/>
        </w:rPr>
        <w:t xml:space="preserve"> </w:t>
      </w:r>
      <w:r w:rsidRPr="00BA7566">
        <w:t>de</w:t>
      </w:r>
      <w:r w:rsidRPr="009150E8">
        <w:rPr>
          <w:color w:val="0D0D0D"/>
        </w:rPr>
        <w:t xml:space="preserve"> responsabilidade pela </w:t>
      </w:r>
      <w:r>
        <w:rPr>
          <w:color w:val="0D0D0D"/>
        </w:rPr>
        <w:t xml:space="preserve">atividade de análise de valores mobiliários </w:t>
      </w:r>
      <w:r w:rsidRPr="009150E8">
        <w:rPr>
          <w:color w:val="0D0D0D"/>
        </w:rPr>
        <w:t>deve ser consignada</w:t>
      </w:r>
      <w:r>
        <w:rPr>
          <w:color w:val="0D0D0D"/>
        </w:rPr>
        <w:t>, no caso das entidades mencionadas no art. 3º, inciso III,</w:t>
      </w:r>
      <w:r w:rsidRPr="009150E8">
        <w:rPr>
          <w:color w:val="0D0D0D"/>
        </w:rPr>
        <w:t xml:space="preserve"> no contrato</w:t>
      </w:r>
      <w:r>
        <w:rPr>
          <w:color w:val="0D0D0D"/>
        </w:rPr>
        <w:t xml:space="preserve"> social,</w:t>
      </w:r>
      <w:r w:rsidRPr="009150E8">
        <w:rPr>
          <w:color w:val="0D0D0D"/>
        </w:rPr>
        <w:t xml:space="preserve"> no estatuto social da pessoa jurídica ou </w:t>
      </w:r>
      <w:r>
        <w:rPr>
          <w:color w:val="0D0D0D"/>
        </w:rPr>
        <w:t>na forma que o estatuto indicar.</w:t>
      </w:r>
    </w:p>
    <w:p w14:paraId="25938F99" w14:textId="77777777" w:rsidR="009A2D89" w:rsidRDefault="009A2D89" w:rsidP="00064A56">
      <w:r>
        <w:t xml:space="preserve">§ 2º  </w:t>
      </w:r>
      <w:r w:rsidRPr="009D698D">
        <w:t>Na hipótese de impedimento d</w:t>
      </w:r>
      <w:r>
        <w:t>o</w:t>
      </w:r>
      <w:r w:rsidRPr="009D698D">
        <w:t xml:space="preserve"> </w:t>
      </w:r>
      <w:r>
        <w:t>responsável pela</w:t>
      </w:r>
      <w:r w:rsidRPr="009D698D">
        <w:t xml:space="preserve"> </w:t>
      </w:r>
      <w:r>
        <w:t xml:space="preserve">atividade de análise de </w:t>
      </w:r>
      <w:r w:rsidRPr="009D698D">
        <w:t>valores</w:t>
      </w:r>
      <w:r>
        <w:t xml:space="preserve"> mobiliários</w:t>
      </w:r>
      <w:r w:rsidRPr="009D698D">
        <w:t xml:space="preserve"> </w:t>
      </w:r>
      <w:r>
        <w:t xml:space="preserve">de que trata o inciso IV do </w:t>
      </w:r>
      <w:r w:rsidRPr="00FC2B4D">
        <w:rPr>
          <w:b/>
        </w:rPr>
        <w:t>caput</w:t>
      </w:r>
      <w:r>
        <w:t xml:space="preserve"> </w:t>
      </w:r>
      <w:r w:rsidRPr="009D698D">
        <w:t xml:space="preserve">por prazo superior a 30 (trinta) dias, o substituto deve assumir a referida responsabilidade, devendo a </w:t>
      </w:r>
      <w:r>
        <w:t>entidade credenciadora</w:t>
      </w:r>
      <w:r w:rsidRPr="009D698D">
        <w:t xml:space="preserve"> ser comunicada, por escrito, no prazo de 1 (um) dia útil a contar da sua ocorrência.</w:t>
      </w:r>
    </w:p>
    <w:p w14:paraId="66C74D6A" w14:textId="77777777" w:rsidR="009A2D89" w:rsidRDefault="009A2D89" w:rsidP="00064A56">
      <w:r w:rsidRPr="007B4B18">
        <w:t xml:space="preserve">§ </w:t>
      </w:r>
      <w:r>
        <w:t>3</w:t>
      </w:r>
      <w:r w:rsidRPr="007B4B18">
        <w:t xml:space="preserve">º  As funções a que se referem os incisos </w:t>
      </w:r>
      <w:r>
        <w:t xml:space="preserve">IV e V </w:t>
      </w:r>
      <w:r w:rsidRPr="007B4B18">
        <w:t xml:space="preserve">do </w:t>
      </w:r>
      <w:r w:rsidRPr="00FC2B4D">
        <w:rPr>
          <w:b/>
        </w:rPr>
        <w:t>caput</w:t>
      </w:r>
      <w:r>
        <w:t xml:space="preserve"> </w:t>
      </w:r>
      <w:r w:rsidRPr="007B4B18">
        <w:t xml:space="preserve">não podem ser desempenhadas </w:t>
      </w:r>
      <w:r>
        <w:t>por uma mesma pessoa</w:t>
      </w:r>
      <w:r w:rsidRPr="007B4B18">
        <w:t>.</w:t>
      </w:r>
    </w:p>
    <w:p w14:paraId="07950625" w14:textId="77777777" w:rsidR="009A2D89" w:rsidRDefault="009A2D89" w:rsidP="00064A56">
      <w:r>
        <w:t xml:space="preserve">§ 4º  A pessoa </w:t>
      </w:r>
      <w:r w:rsidRPr="009D698D">
        <w:t>re</w:t>
      </w:r>
      <w:r>
        <w:t xml:space="preserve">sponsável </w:t>
      </w:r>
      <w:r w:rsidRPr="009150E8">
        <w:rPr>
          <w:color w:val="0D0D0D"/>
        </w:rPr>
        <w:t xml:space="preserve">pela </w:t>
      </w:r>
      <w:r>
        <w:rPr>
          <w:color w:val="0D0D0D"/>
        </w:rPr>
        <w:t xml:space="preserve">atividade de análise de valores mobiliários </w:t>
      </w:r>
      <w:r>
        <w:t xml:space="preserve">de que trata o inciso IV do </w:t>
      </w:r>
      <w:r w:rsidRPr="00FC2B4D">
        <w:rPr>
          <w:b/>
        </w:rPr>
        <w:t>caput</w:t>
      </w:r>
      <w:r>
        <w:t xml:space="preserve"> </w:t>
      </w:r>
      <w:r w:rsidRPr="009D698D">
        <w:t xml:space="preserve">não pode ser </w:t>
      </w:r>
      <w:r>
        <w:t>r</w:t>
      </w:r>
      <w:r w:rsidRPr="009D698D">
        <w:t>esponsáve</w:t>
      </w:r>
      <w:r>
        <w:t>l</w:t>
      </w:r>
      <w:r w:rsidRPr="009D698D">
        <w:t xml:space="preserve"> por </w:t>
      </w:r>
      <w:r>
        <w:t>qualquer</w:t>
      </w:r>
      <w:r w:rsidRPr="009D698D">
        <w:t xml:space="preserve"> outra atividade </w:t>
      </w:r>
      <w:r w:rsidRPr="007005EE">
        <w:t>no mercado de valores mobiliários</w:t>
      </w:r>
      <w:r>
        <w:t>,</w:t>
      </w:r>
      <w:r w:rsidRPr="009D698D">
        <w:t xml:space="preserve"> na instituição ou fora dela.</w:t>
      </w:r>
    </w:p>
    <w:p w14:paraId="1C0C472C" w14:textId="77777777" w:rsidR="009A2D89" w:rsidRDefault="009A2D89" w:rsidP="00064A56">
      <w:r>
        <w:t xml:space="preserve">§ 5º  É atribuição da pessoa responsável </w:t>
      </w:r>
      <w:r w:rsidRPr="009150E8">
        <w:rPr>
          <w:color w:val="0D0D0D"/>
        </w:rPr>
        <w:t xml:space="preserve">pela </w:t>
      </w:r>
      <w:r>
        <w:rPr>
          <w:color w:val="0D0D0D"/>
        </w:rPr>
        <w:t xml:space="preserve">atividade de análise de valores mobiliários </w:t>
      </w:r>
      <w:r>
        <w:t>de que trata o inciso IV a definição e a supervisão das diretrizes e das metodologias adotadas nas análises e respectivos relatórios, assim como a verificação da sua consistência e conformidade com as premissas da instituição.</w:t>
      </w:r>
      <w:r w:rsidRPr="00D01E8F">
        <w:t xml:space="preserve"> </w:t>
      </w:r>
    </w:p>
    <w:p w14:paraId="5E5432E6" w14:textId="77777777" w:rsidR="009A2D89" w:rsidRPr="00F36FC2" w:rsidRDefault="009A2D89" w:rsidP="00064A56">
      <w:r>
        <w:t xml:space="preserve">§ 6º  Sem prejuízo do disposto no § 4º deste artigo, as pessoas de que tratam os incisos VI e V do </w:t>
      </w:r>
      <w:r>
        <w:rPr>
          <w:b/>
          <w:bCs/>
        </w:rPr>
        <w:t>caput</w:t>
      </w:r>
      <w:r>
        <w:t xml:space="preserve"> podem ser responsáveis pela mesma atividade em sociedades controladoras, controladas, coligadas ou sob controle comum.</w:t>
      </w:r>
    </w:p>
    <w:p w14:paraId="0A2F0E28" w14:textId="77777777" w:rsidR="009A2D89" w:rsidRDefault="009A2D89" w:rsidP="00064A56">
      <w:pPr>
        <w:pStyle w:val="Captulo"/>
      </w:pPr>
      <w:r>
        <w:t>CAPÍTULO III – REGRAS DE CONDUTA</w:t>
      </w:r>
    </w:p>
    <w:p w14:paraId="67ADEDD3" w14:textId="77777777" w:rsidR="009A2D89" w:rsidRPr="000B0DDC" w:rsidRDefault="009A2D89" w:rsidP="00064A56">
      <w:pPr>
        <w:pStyle w:val="Seo"/>
      </w:pPr>
      <w:r>
        <w:t>Seção I – Regras de Conduta</w:t>
      </w:r>
    </w:p>
    <w:p w14:paraId="39F23A2A" w14:textId="77777777" w:rsidR="009A2D89" w:rsidRDefault="009A2D89" w:rsidP="00064A56">
      <w:r w:rsidRPr="006C76E7">
        <w:t xml:space="preserve">Art. </w:t>
      </w:r>
      <w:r>
        <w:t>12.</w:t>
      </w:r>
      <w:r w:rsidRPr="006C76E7">
        <w:t xml:space="preserve">  O analista de valores mobiliários deve agir com probidade, boa fé e ética profissional.</w:t>
      </w:r>
    </w:p>
    <w:p w14:paraId="639E3F14" w14:textId="556CB618" w:rsidR="009A2D89" w:rsidRDefault="009A2D89" w:rsidP="00064A56">
      <w:r>
        <w:lastRenderedPageBreak/>
        <w:t>Parágrafo único.</w:t>
      </w:r>
      <w:r w:rsidR="00927C20">
        <w:t xml:space="preserve"> </w:t>
      </w:r>
      <w:r>
        <w:t xml:space="preserve"> Os relatórios de análise devem ser elaborados pelo analista, empregando todo o cuidado e diligência esperado de um profissional na sua posição.</w:t>
      </w:r>
    </w:p>
    <w:p w14:paraId="59718AF5" w14:textId="77777777" w:rsidR="009A2D89" w:rsidRDefault="009A2D89" w:rsidP="00064A56">
      <w:r w:rsidRPr="006C76E7">
        <w:t xml:space="preserve">Art. </w:t>
      </w:r>
      <w:r>
        <w:t>13.</w:t>
      </w:r>
      <w:r w:rsidRPr="006C76E7">
        <w:t xml:space="preserve">  É vedado ao analista de valores mobiliários</w:t>
      </w:r>
      <w:r>
        <w:t>, pessoa natural e jurídica, bem como aos demais profissionais</w:t>
      </w:r>
      <w:r w:rsidRPr="00D53C8A">
        <w:t xml:space="preserve"> que </w:t>
      </w:r>
      <w:r>
        <w:t>efetivamente participem da formulação dos relatórios de análise</w:t>
      </w:r>
      <w:r w:rsidRPr="006C76E7">
        <w:t>:</w:t>
      </w:r>
    </w:p>
    <w:p w14:paraId="5E3EEFFB" w14:textId="77777777" w:rsidR="009A2D89" w:rsidRDefault="009A2D89" w:rsidP="00064A56">
      <w:r w:rsidRPr="006C76E7">
        <w:t xml:space="preserve">I – emitir relatórios de análise com a finalidade de obter, para si ou para outrem, vantagem indevida; </w:t>
      </w:r>
    </w:p>
    <w:p w14:paraId="40BB9BEC" w14:textId="77777777" w:rsidR="009A2D89" w:rsidRDefault="009A2D89" w:rsidP="00064A56">
      <w:r w:rsidRPr="006C76E7">
        <w:t>II – omitir informação sobre conflito de interesse</w:t>
      </w:r>
      <w:r>
        <w:t>s</w:t>
      </w:r>
      <w:r w:rsidRPr="000C5E77">
        <w:t xml:space="preserve"> </w:t>
      </w:r>
      <w:r>
        <w:t>nas informações e comunicações de que trata o art. 14, nos relatórios de análise e em qualquer meio em relação ao qual o analista se manifeste sobre o relatório de análise</w:t>
      </w:r>
      <w:r w:rsidRPr="006C76E7">
        <w:t xml:space="preserve">; </w:t>
      </w:r>
    </w:p>
    <w:p w14:paraId="1BDD5A7A" w14:textId="77777777" w:rsidR="009A2D89" w:rsidRPr="00D33C42" w:rsidRDefault="009A2D89" w:rsidP="00064A56">
      <w:r w:rsidRPr="00D33C42">
        <w:t xml:space="preserve">III – negociar, direta ou indiretamente, em nome próprio ou de terceiros, valores mobiliários objeto dos relatórios de análise que elabore ou derivativos lastreados em tais valores mobiliários por um período de 30 (trinta) dias anteriores e 5 (cinco) dias posteriores à divulgação do relatório de análise sobre tal valor mobiliário ou seu emissor; </w:t>
      </w:r>
    </w:p>
    <w:p w14:paraId="0181B60F" w14:textId="77777777" w:rsidR="009A2D89" w:rsidRDefault="009A2D89" w:rsidP="00064A56">
      <w:pPr>
        <w:rPr>
          <w:color w:val="000000"/>
        </w:rPr>
      </w:pPr>
      <w:r w:rsidRPr="00D33C42">
        <w:rPr>
          <w:color w:val="000000"/>
        </w:rPr>
        <w:t>IV – negociar, direta ou indiretamente, em nome próprio ou de terceiros, valores mobiliários objeto dos relatórios de análise que elabore ou derivativos lastreados em tais valores mobiliários em sentido contrário ao das recomendações ou conclusões expressas nos relatórios de análise que elaborou por:</w:t>
      </w:r>
    </w:p>
    <w:p w14:paraId="66104B21" w14:textId="77777777" w:rsidR="009A2D89" w:rsidRPr="00D33C42" w:rsidRDefault="009A2D89" w:rsidP="00064A56">
      <w:pPr>
        <w:rPr>
          <w:color w:val="000000"/>
        </w:rPr>
      </w:pPr>
      <w:r w:rsidRPr="00D33C42">
        <w:rPr>
          <w:color w:val="000000"/>
        </w:rPr>
        <w:t>a)</w:t>
      </w:r>
      <w:r>
        <w:rPr>
          <w:color w:val="000000"/>
        </w:rPr>
        <w:t xml:space="preserve"> </w:t>
      </w:r>
      <w:r w:rsidRPr="00D33C42">
        <w:rPr>
          <w:color w:val="000000"/>
        </w:rPr>
        <w:t xml:space="preserve">6 (seis) meses contados da divulgação de tal relatório; ou </w:t>
      </w:r>
    </w:p>
    <w:p w14:paraId="34D80E37" w14:textId="77777777" w:rsidR="009A2D89" w:rsidRDefault="009A2D89" w:rsidP="00064A56">
      <w:pPr>
        <w:rPr>
          <w:color w:val="000000"/>
        </w:rPr>
      </w:pPr>
      <w:r w:rsidRPr="00D33C42">
        <w:rPr>
          <w:color w:val="000000"/>
        </w:rPr>
        <w:t>b)</w:t>
      </w:r>
      <w:r>
        <w:rPr>
          <w:color w:val="000000"/>
        </w:rPr>
        <w:t xml:space="preserve"> </w:t>
      </w:r>
      <w:r w:rsidRPr="00D33C42">
        <w:rPr>
          <w:color w:val="000000"/>
        </w:rPr>
        <w:t>até a divulgação de novo relatório sobre o mesmo emissor ou valor mobiliário</w:t>
      </w:r>
      <w:r>
        <w:rPr>
          <w:color w:val="000000"/>
        </w:rPr>
        <w:t>, caso ocorra antes do prazo referido na alínea “a”</w:t>
      </w:r>
      <w:r w:rsidRPr="00D33C42">
        <w:rPr>
          <w:color w:val="000000"/>
        </w:rPr>
        <w:t>;</w:t>
      </w:r>
    </w:p>
    <w:p w14:paraId="011F722B" w14:textId="77777777" w:rsidR="009A2D89" w:rsidRPr="00D33C42" w:rsidRDefault="009A2D89" w:rsidP="00064A56">
      <w:pPr>
        <w:rPr>
          <w:color w:val="000000"/>
        </w:rPr>
      </w:pPr>
      <w:r w:rsidRPr="00D33C42">
        <w:rPr>
          <w:color w:val="000000"/>
        </w:rPr>
        <w:t>V – participar</w:t>
      </w:r>
      <w:r>
        <w:rPr>
          <w:color w:val="000000"/>
        </w:rPr>
        <w:t>,</w:t>
      </w:r>
      <w:r w:rsidRPr="00D33C42">
        <w:rPr>
          <w:color w:val="000000"/>
        </w:rPr>
        <w:t xml:space="preserve"> direta ou indiretamente, em qualquer atividade relacionada </w:t>
      </w:r>
      <w:r>
        <w:rPr>
          <w:color w:val="000000"/>
        </w:rPr>
        <w:t>a</w:t>
      </w:r>
      <w:r w:rsidRPr="00D33C42">
        <w:rPr>
          <w:color w:val="000000"/>
        </w:rPr>
        <w:t xml:space="preserve"> oferta pública de distribuição de valores mobiliários, incluindo:</w:t>
      </w:r>
    </w:p>
    <w:p w14:paraId="707FD6B1" w14:textId="77777777" w:rsidR="009A2D89" w:rsidRPr="00D33C42" w:rsidRDefault="009A2D89" w:rsidP="00064A56">
      <w:pPr>
        <w:rPr>
          <w:color w:val="000000"/>
        </w:rPr>
      </w:pPr>
      <w:r>
        <w:rPr>
          <w:color w:val="000000"/>
        </w:rPr>
        <w:t xml:space="preserve">a) </w:t>
      </w:r>
      <w:r w:rsidRPr="00D33C42">
        <w:rPr>
          <w:color w:val="000000"/>
        </w:rPr>
        <w:t>esforços de venda de produto ou serviço no âmbito do mercado de valores mobiliários; e</w:t>
      </w:r>
    </w:p>
    <w:p w14:paraId="32826FC1" w14:textId="77777777" w:rsidR="009A2D89" w:rsidRDefault="009A2D89" w:rsidP="00064A56">
      <w:pPr>
        <w:rPr>
          <w:color w:val="000000"/>
        </w:rPr>
      </w:pPr>
      <w:r>
        <w:rPr>
          <w:color w:val="000000"/>
        </w:rPr>
        <w:t xml:space="preserve">b) </w:t>
      </w:r>
      <w:r w:rsidRPr="00D33C42">
        <w:rPr>
          <w:color w:val="000000"/>
        </w:rPr>
        <w:t>esforços para angariação de novos clientes ou trabalhos</w:t>
      </w:r>
      <w:r>
        <w:rPr>
          <w:color w:val="000000"/>
        </w:rPr>
        <w:t>;</w:t>
      </w:r>
    </w:p>
    <w:p w14:paraId="71C45CA3" w14:textId="77777777" w:rsidR="009A2D89" w:rsidRPr="00D33C42" w:rsidRDefault="009A2D89" w:rsidP="00064A56">
      <w:pPr>
        <w:rPr>
          <w:color w:val="000000"/>
        </w:rPr>
      </w:pPr>
      <w:r>
        <w:rPr>
          <w:color w:val="000000"/>
        </w:rPr>
        <w:t>VI – participar da estruturação de ativos financeiros e valores mobiliários;</w:t>
      </w:r>
    </w:p>
    <w:p w14:paraId="7488B4CA" w14:textId="77777777" w:rsidR="009A2D89" w:rsidRPr="00D33C42" w:rsidRDefault="009A2D89" w:rsidP="00064A56">
      <w:pPr>
        <w:rPr>
          <w:color w:val="000000"/>
        </w:rPr>
      </w:pPr>
      <w:r w:rsidRPr="00D33C42">
        <w:rPr>
          <w:color w:val="000000"/>
        </w:rPr>
        <w:t>VI</w:t>
      </w:r>
      <w:r>
        <w:rPr>
          <w:color w:val="000000"/>
        </w:rPr>
        <w:t>I</w:t>
      </w:r>
      <w:r w:rsidRPr="00D33C42">
        <w:rPr>
          <w:color w:val="000000"/>
        </w:rPr>
        <w:t xml:space="preserve"> – participar, direta ou indiretamente, de qualquer atividade ligada à consultoria financeira em operações de fusões e aquisições; e</w:t>
      </w:r>
    </w:p>
    <w:p w14:paraId="1B41F49F" w14:textId="77777777" w:rsidR="009A2D89" w:rsidRDefault="009A2D89" w:rsidP="00064A56">
      <w:pPr>
        <w:rPr>
          <w:color w:val="000000"/>
        </w:rPr>
      </w:pPr>
      <w:r w:rsidRPr="00D33C42">
        <w:rPr>
          <w:color w:val="000000"/>
        </w:rPr>
        <w:t>VII</w:t>
      </w:r>
      <w:r>
        <w:rPr>
          <w:color w:val="000000"/>
        </w:rPr>
        <w:t>I</w:t>
      </w:r>
      <w:r w:rsidRPr="00D33C42">
        <w:rPr>
          <w:color w:val="000000"/>
        </w:rPr>
        <w:t xml:space="preserve"> – divulgar o </w:t>
      </w:r>
      <w:r w:rsidRPr="00D33C42">
        <w:rPr>
          <w:bCs/>
          <w:color w:val="000000"/>
        </w:rPr>
        <w:t xml:space="preserve">relatório de análise ou seu conteúdo, ainda que parcialmente, para pessoa que não faz parte da equipe de análise, em especial, o emissor objeto da análise ou cujos valores mobiliários sejam objeto da análise, antes de sua </w:t>
      </w:r>
      <w:r w:rsidRPr="00D33C42">
        <w:rPr>
          <w:color w:val="000000"/>
        </w:rPr>
        <w:t>publicação, divulgação ou distribuição por meio dos canais adequados.</w:t>
      </w:r>
      <w:r w:rsidRPr="00DF110D">
        <w:rPr>
          <w:color w:val="000000"/>
        </w:rPr>
        <w:t xml:space="preserve"> </w:t>
      </w:r>
    </w:p>
    <w:p w14:paraId="0B3707F6" w14:textId="77777777" w:rsidR="009A2D89" w:rsidRDefault="009A2D89" w:rsidP="00064A56">
      <w:r>
        <w:lastRenderedPageBreak/>
        <w:t xml:space="preserve">§ 1º </w:t>
      </w:r>
      <w:r w:rsidRPr="006C76E7">
        <w:t xml:space="preserve"> O disposto nos incisos III e IV do </w:t>
      </w:r>
      <w:r w:rsidRPr="006C76E7">
        <w:rPr>
          <w:b/>
        </w:rPr>
        <w:t xml:space="preserve">caput </w:t>
      </w:r>
      <w:r w:rsidRPr="006C76E7">
        <w:t>não se aplica às negociações</w:t>
      </w:r>
      <w:r>
        <w:t xml:space="preserve"> </w:t>
      </w:r>
      <w:r w:rsidRPr="006C76E7">
        <w:t>com</w:t>
      </w:r>
      <w:r>
        <w:t xml:space="preserve"> </w:t>
      </w:r>
      <w:r w:rsidRPr="006C76E7">
        <w:t xml:space="preserve">cotas de fundos de investimento, </w:t>
      </w:r>
      <w:r>
        <w:t>exceto se</w:t>
      </w:r>
      <w:r w:rsidRPr="006C76E7">
        <w:t>:</w:t>
      </w:r>
    </w:p>
    <w:p w14:paraId="7D477226" w14:textId="77777777" w:rsidR="009A2D89" w:rsidRDefault="009A2D89" w:rsidP="00064A56">
      <w:r>
        <w:t>I –</w:t>
      </w:r>
      <w:r w:rsidRPr="006C76E7">
        <w:t xml:space="preserve"> </w:t>
      </w:r>
      <w:r>
        <w:t xml:space="preserve">o analista de valores mobiliários puder </w:t>
      </w:r>
      <w:r w:rsidRPr="006C76E7">
        <w:t xml:space="preserve">influenciar, direta ou indiretamente, a administração ou gestão do fundo; </w:t>
      </w:r>
      <w:r>
        <w:t>ou</w:t>
      </w:r>
    </w:p>
    <w:p w14:paraId="60417929" w14:textId="77777777" w:rsidR="009A2D89" w:rsidRDefault="009A2D89" w:rsidP="00064A56">
      <w:r>
        <w:t>II –</w:t>
      </w:r>
      <w:r w:rsidRPr="006C76E7">
        <w:t xml:space="preserve"> o</w:t>
      </w:r>
      <w:r>
        <w:t xml:space="preserve"> </w:t>
      </w:r>
      <w:r w:rsidRPr="006C76E7">
        <w:t xml:space="preserve">fundo </w:t>
      </w:r>
      <w:r>
        <w:t xml:space="preserve">concentre seus </w:t>
      </w:r>
      <w:r w:rsidRPr="006C76E7">
        <w:t>investimento</w:t>
      </w:r>
      <w:r>
        <w:t>s em setores ou empresas</w:t>
      </w:r>
      <w:r w:rsidRPr="006C76E7">
        <w:t xml:space="preserve"> cobertos pelos relatórios produzidos pelo analista</w:t>
      </w:r>
      <w:r>
        <w:t xml:space="preserve"> de valores mobiliários.</w:t>
      </w:r>
    </w:p>
    <w:p w14:paraId="7651C481" w14:textId="6DAD6B7F" w:rsidR="009A2D89" w:rsidRDefault="009A2D89" w:rsidP="00064A56">
      <w:pPr>
        <w:rPr>
          <w:color w:val="000000"/>
        </w:rPr>
      </w:pPr>
      <w:r w:rsidRPr="000B0DDC">
        <w:rPr>
          <w:bCs/>
          <w:color w:val="000000"/>
        </w:rPr>
        <w:t xml:space="preserve">§ </w:t>
      </w:r>
      <w:r w:rsidRPr="000B0DDC">
        <w:rPr>
          <w:rFonts w:eastAsia="Arial Unicode MS"/>
          <w:color w:val="000000"/>
        </w:rPr>
        <w:t xml:space="preserve">2º </w:t>
      </w:r>
      <w:r w:rsidRPr="00D33C42">
        <w:rPr>
          <w:rFonts w:eastAsia="Arial Unicode MS"/>
          <w:color w:val="000000"/>
        </w:rPr>
        <w:t xml:space="preserve"> </w:t>
      </w:r>
      <w:r w:rsidRPr="00D33C42">
        <w:rPr>
          <w:color w:val="000000"/>
        </w:rPr>
        <w:t xml:space="preserve">O disposto no inciso V </w:t>
      </w:r>
      <w:r>
        <w:rPr>
          <w:color w:val="000000"/>
        </w:rPr>
        <w:t xml:space="preserve">do </w:t>
      </w:r>
      <w:r w:rsidRPr="0021036A">
        <w:rPr>
          <w:b/>
          <w:color w:val="000000"/>
        </w:rPr>
        <w:t>caput</w:t>
      </w:r>
      <w:r>
        <w:rPr>
          <w:color w:val="000000"/>
        </w:rPr>
        <w:t xml:space="preserve"> </w:t>
      </w:r>
      <w:r w:rsidRPr="00D33C42">
        <w:rPr>
          <w:color w:val="000000"/>
        </w:rPr>
        <w:t>não se aplica a atividades do analista</w:t>
      </w:r>
      <w:r>
        <w:rPr>
          <w:color w:val="000000"/>
        </w:rPr>
        <w:t xml:space="preserve"> </w:t>
      </w:r>
      <w:r>
        <w:t>de valores mobiliários</w:t>
      </w:r>
      <w:r>
        <w:rPr>
          <w:color w:val="000000"/>
        </w:rPr>
        <w:t xml:space="preserve"> que tenham por objetivo a </w:t>
      </w:r>
      <w:r w:rsidRPr="0094525B">
        <w:rPr>
          <w:color w:val="000000"/>
        </w:rPr>
        <w:t>educação dos investidores</w:t>
      </w:r>
      <w:r w:rsidRPr="00D33C42">
        <w:rPr>
          <w:color w:val="000000"/>
        </w:rPr>
        <w:t>, desde que:</w:t>
      </w:r>
    </w:p>
    <w:p w14:paraId="4278812B" w14:textId="77777777" w:rsidR="009A2D89" w:rsidRDefault="009A2D89" w:rsidP="00064A56">
      <w:pPr>
        <w:rPr>
          <w:color w:val="000000"/>
        </w:rPr>
      </w:pPr>
      <w:r>
        <w:rPr>
          <w:color w:val="000000"/>
        </w:rPr>
        <w:t>I –</w:t>
      </w:r>
      <w:r w:rsidRPr="00D33C42">
        <w:rPr>
          <w:color w:val="000000"/>
        </w:rPr>
        <w:t xml:space="preserve"> </w:t>
      </w:r>
      <w:r>
        <w:rPr>
          <w:color w:val="000000"/>
        </w:rPr>
        <w:t xml:space="preserve">o analista </w:t>
      </w:r>
      <w:r>
        <w:t>de valores mobiliários</w:t>
      </w:r>
      <w:r w:rsidRPr="00D33C42">
        <w:rPr>
          <w:color w:val="000000"/>
        </w:rPr>
        <w:t xml:space="preserve"> utilize relatórios </w:t>
      </w:r>
      <w:r>
        <w:rPr>
          <w:color w:val="000000"/>
        </w:rPr>
        <w:t>de análise</w:t>
      </w:r>
      <w:r w:rsidRPr="00D33C42">
        <w:rPr>
          <w:color w:val="000000"/>
        </w:rPr>
        <w:t xml:space="preserve"> sem a indicação de</w:t>
      </w:r>
      <w:r>
        <w:rPr>
          <w:color w:val="000000"/>
        </w:rPr>
        <w:t xml:space="preserve"> recomendação</w:t>
      </w:r>
      <w:r w:rsidRPr="00D33C42">
        <w:rPr>
          <w:color w:val="000000"/>
        </w:rPr>
        <w:t>;</w:t>
      </w:r>
    </w:p>
    <w:p w14:paraId="32C44392" w14:textId="77777777" w:rsidR="009A2D89" w:rsidRDefault="009A2D89" w:rsidP="00064A56">
      <w:pPr>
        <w:rPr>
          <w:color w:val="000000"/>
        </w:rPr>
      </w:pPr>
      <w:r>
        <w:rPr>
          <w:color w:val="000000"/>
        </w:rPr>
        <w:t>II –</w:t>
      </w:r>
      <w:r w:rsidRPr="00D33C42">
        <w:rPr>
          <w:color w:val="000000"/>
        </w:rPr>
        <w:t xml:space="preserve"> </w:t>
      </w:r>
      <w:r>
        <w:rPr>
          <w:color w:val="000000"/>
        </w:rPr>
        <w:t xml:space="preserve">o analista </w:t>
      </w:r>
      <w:r>
        <w:t>de valores mobiliários</w:t>
      </w:r>
      <w:r>
        <w:rPr>
          <w:color w:val="000000"/>
        </w:rPr>
        <w:t xml:space="preserve"> não se comunique com os investidores na presença de qualquer pessoa ligada à área de </w:t>
      </w:r>
      <w:r w:rsidRPr="00637B05">
        <w:rPr>
          <w:color w:val="000000"/>
        </w:rPr>
        <w:t>distribuição</w:t>
      </w:r>
      <w:r>
        <w:rPr>
          <w:color w:val="000000"/>
        </w:rPr>
        <w:t xml:space="preserve"> </w:t>
      </w:r>
      <w:r w:rsidRPr="00D33C42">
        <w:rPr>
          <w:color w:val="000000"/>
        </w:rPr>
        <w:t>de produto ou serviço</w:t>
      </w:r>
      <w:r>
        <w:rPr>
          <w:color w:val="000000"/>
        </w:rPr>
        <w:t xml:space="preserve"> ou ao emissor</w:t>
      </w:r>
      <w:r w:rsidRPr="00D33C42">
        <w:rPr>
          <w:color w:val="000000"/>
        </w:rPr>
        <w:t>;</w:t>
      </w:r>
      <w:r>
        <w:rPr>
          <w:color w:val="000000"/>
        </w:rPr>
        <w:t xml:space="preserve"> </w:t>
      </w:r>
      <w:r w:rsidRPr="00D33C42">
        <w:rPr>
          <w:color w:val="000000"/>
        </w:rPr>
        <w:t>e</w:t>
      </w:r>
    </w:p>
    <w:p w14:paraId="59BEBB87" w14:textId="77777777" w:rsidR="009A2D89" w:rsidRPr="00F96404" w:rsidRDefault="009A2D89" w:rsidP="00064A56">
      <w:pPr>
        <w:rPr>
          <w:color w:val="000000"/>
        </w:rPr>
      </w:pPr>
      <w:r>
        <w:rPr>
          <w:color w:val="000000"/>
        </w:rPr>
        <w:t xml:space="preserve">III – </w:t>
      </w:r>
      <w:r w:rsidRPr="00402C6F">
        <w:t>a</w:t>
      </w:r>
      <w:r>
        <w:t xml:space="preserve"> </w:t>
      </w:r>
      <w:r w:rsidRPr="00402C6F">
        <w:t xml:space="preserve">pessoa jurídica a que o analista </w:t>
      </w:r>
      <w:r>
        <w:t>de valores mobiliários</w:t>
      </w:r>
      <w:r w:rsidRPr="00402C6F">
        <w:t xml:space="preserve"> esteja vinculado tenha registros, por escrito, dos investidores que participaram da atividade de educação do investidor</w:t>
      </w:r>
      <w:r>
        <w:t>.</w:t>
      </w:r>
    </w:p>
    <w:p w14:paraId="29EF72CD" w14:textId="77777777" w:rsidR="009A2D89" w:rsidRDefault="009A2D89" w:rsidP="00064A56">
      <w:pPr>
        <w:rPr>
          <w:color w:val="000000"/>
        </w:rPr>
      </w:pPr>
      <w:r w:rsidRPr="000B0DDC">
        <w:rPr>
          <w:bCs/>
          <w:color w:val="000000"/>
        </w:rPr>
        <w:t>§</w:t>
      </w:r>
      <w:r w:rsidRPr="00D33C42">
        <w:rPr>
          <w:b/>
          <w:bCs/>
          <w:color w:val="000000"/>
        </w:rPr>
        <w:t xml:space="preserve"> </w:t>
      </w:r>
      <w:r>
        <w:rPr>
          <w:rFonts w:eastAsia="Arial Unicode MS"/>
          <w:color w:val="000000"/>
        </w:rPr>
        <w:t xml:space="preserve">3º  </w:t>
      </w:r>
      <w:r w:rsidRPr="00D33C42">
        <w:rPr>
          <w:color w:val="000000"/>
        </w:rPr>
        <w:t>O disposto no inciso VII</w:t>
      </w:r>
      <w:r>
        <w:rPr>
          <w:color w:val="000000"/>
        </w:rPr>
        <w:t>I</w:t>
      </w:r>
      <w:r w:rsidRPr="00D33C42">
        <w:rPr>
          <w:color w:val="000000"/>
        </w:rPr>
        <w:t xml:space="preserve"> do </w:t>
      </w:r>
      <w:r w:rsidRPr="00082E03">
        <w:rPr>
          <w:b/>
          <w:color w:val="000000"/>
        </w:rPr>
        <w:t>caput</w:t>
      </w:r>
      <w:r w:rsidRPr="00D33C42">
        <w:rPr>
          <w:color w:val="000000"/>
        </w:rPr>
        <w:t xml:space="preserve"> não se aplica</w:t>
      </w:r>
      <w:r>
        <w:rPr>
          <w:color w:val="000000"/>
        </w:rPr>
        <w:t>:</w:t>
      </w:r>
    </w:p>
    <w:p w14:paraId="33A3BC28" w14:textId="77777777" w:rsidR="009A2D89" w:rsidRDefault="009A2D89" w:rsidP="00064A56">
      <w:pPr>
        <w:rPr>
          <w:color w:val="000000"/>
        </w:rPr>
      </w:pPr>
      <w:r>
        <w:rPr>
          <w:color w:val="000000"/>
        </w:rPr>
        <w:t xml:space="preserve">I </w:t>
      </w:r>
      <w:r w:rsidRPr="00D33C42">
        <w:rPr>
          <w:color w:val="000000"/>
        </w:rPr>
        <w:t>–</w:t>
      </w:r>
      <w:r>
        <w:rPr>
          <w:color w:val="000000"/>
        </w:rPr>
        <w:t xml:space="preserve"> a</w:t>
      </w:r>
      <w:r w:rsidRPr="00D33C42">
        <w:rPr>
          <w:color w:val="000000"/>
        </w:rPr>
        <w:t>os casos em que as partes factuais do rel</w:t>
      </w:r>
      <w:r>
        <w:rPr>
          <w:color w:val="000000"/>
        </w:rPr>
        <w:t xml:space="preserve">atório tenham sido divulgadas a </w:t>
      </w:r>
      <w:r w:rsidRPr="00D33C42">
        <w:rPr>
          <w:color w:val="000000"/>
        </w:rPr>
        <w:t>terceiros com o objetivo de verificar a veracidade das informações ali contidas; e</w:t>
      </w:r>
    </w:p>
    <w:p w14:paraId="6F5836EE" w14:textId="5B42A3DB" w:rsidR="009A2D89" w:rsidRDefault="009A2D89" w:rsidP="00064A56">
      <w:pPr>
        <w:rPr>
          <w:color w:val="000000"/>
        </w:rPr>
      </w:pPr>
      <w:r w:rsidRPr="00D33C42">
        <w:rPr>
          <w:color w:val="000000"/>
        </w:rPr>
        <w:t xml:space="preserve"> </w:t>
      </w:r>
      <w:r>
        <w:rPr>
          <w:color w:val="000000"/>
        </w:rPr>
        <w:t xml:space="preserve">II </w:t>
      </w:r>
      <w:r w:rsidRPr="00D33C42">
        <w:rPr>
          <w:color w:val="000000"/>
        </w:rPr>
        <w:t>–</w:t>
      </w:r>
      <w:r>
        <w:rPr>
          <w:color w:val="000000"/>
        </w:rPr>
        <w:t xml:space="preserve"> </w:t>
      </w:r>
      <w:r w:rsidRPr="00D33C42">
        <w:rPr>
          <w:color w:val="000000"/>
        </w:rPr>
        <w:t xml:space="preserve">à revisão por assessores jurídicos </w:t>
      </w:r>
      <w:r>
        <w:rPr>
          <w:color w:val="000000"/>
        </w:rPr>
        <w:t>e pela</w:t>
      </w:r>
      <w:r w:rsidRPr="00D33C42">
        <w:rPr>
          <w:color w:val="000000"/>
        </w:rPr>
        <w:t xml:space="preserve"> </w:t>
      </w:r>
      <w:r>
        <w:rPr>
          <w:color w:val="000000"/>
        </w:rPr>
        <w:t>área de controles internos.</w:t>
      </w:r>
    </w:p>
    <w:p w14:paraId="09226B1A" w14:textId="77777777" w:rsidR="009A2D89" w:rsidRDefault="009A2D89" w:rsidP="00064A56">
      <w:pPr>
        <w:rPr>
          <w:color w:val="000000"/>
        </w:rPr>
      </w:pPr>
      <w:r w:rsidRPr="007103AD">
        <w:rPr>
          <w:color w:val="000000"/>
        </w:rPr>
        <w:t xml:space="preserve">§ 4º </w:t>
      </w:r>
      <w:r>
        <w:rPr>
          <w:color w:val="000000"/>
        </w:rPr>
        <w:t xml:space="preserve"> O disposto nos incisos III, IV,</w:t>
      </w:r>
      <w:r w:rsidRPr="007103AD">
        <w:rPr>
          <w:color w:val="000000"/>
        </w:rPr>
        <w:t xml:space="preserve"> V</w:t>
      </w:r>
      <w:r>
        <w:rPr>
          <w:color w:val="000000"/>
        </w:rPr>
        <w:t xml:space="preserve">, VI e VII do </w:t>
      </w:r>
      <w:r w:rsidRPr="007103AD">
        <w:rPr>
          <w:b/>
          <w:color w:val="000000"/>
        </w:rPr>
        <w:t>caput</w:t>
      </w:r>
      <w:r>
        <w:rPr>
          <w:color w:val="000000"/>
        </w:rPr>
        <w:t xml:space="preserve"> não se aplica às</w:t>
      </w:r>
      <w:r w:rsidRPr="007103AD">
        <w:rPr>
          <w:color w:val="000000"/>
        </w:rPr>
        <w:t xml:space="preserve"> operações</w:t>
      </w:r>
      <w:r>
        <w:rPr>
          <w:color w:val="000000"/>
        </w:rPr>
        <w:t xml:space="preserve"> e atividades</w:t>
      </w:r>
      <w:r w:rsidRPr="007103AD">
        <w:rPr>
          <w:color w:val="000000"/>
        </w:rPr>
        <w:t xml:space="preserve"> realizadas por outros departamentos</w:t>
      </w:r>
      <w:r>
        <w:rPr>
          <w:color w:val="000000"/>
        </w:rPr>
        <w:t xml:space="preserve"> da pessoa jurídica, desde</w:t>
      </w:r>
      <w:r w:rsidRPr="007103AD">
        <w:rPr>
          <w:color w:val="000000"/>
        </w:rPr>
        <w:t xml:space="preserve"> que </w:t>
      </w:r>
      <w:r>
        <w:rPr>
          <w:color w:val="000000"/>
        </w:rPr>
        <w:t xml:space="preserve">seja </w:t>
      </w:r>
      <w:r w:rsidRPr="007103AD">
        <w:rPr>
          <w:color w:val="000000"/>
        </w:rPr>
        <w:t>assegu</w:t>
      </w:r>
      <w:r>
        <w:rPr>
          <w:color w:val="000000"/>
        </w:rPr>
        <w:t>rada a</w:t>
      </w:r>
      <w:r w:rsidRPr="007103AD">
        <w:rPr>
          <w:color w:val="000000"/>
        </w:rPr>
        <w:t xml:space="preserve"> segregação</w:t>
      </w:r>
      <w:r>
        <w:rPr>
          <w:color w:val="000000"/>
        </w:rPr>
        <w:t xml:space="preserve"> das atividades</w:t>
      </w:r>
      <w:r w:rsidRPr="007103AD">
        <w:rPr>
          <w:color w:val="000000"/>
        </w:rPr>
        <w:t xml:space="preserve"> em relação ao departamento de análise.</w:t>
      </w:r>
    </w:p>
    <w:p w14:paraId="4EC421D0" w14:textId="77777777" w:rsidR="009A2D89" w:rsidRPr="00337B8E" w:rsidRDefault="009A2D89" w:rsidP="00064A56">
      <w:pPr>
        <w:pStyle w:val="Seo"/>
      </w:pPr>
      <w:r>
        <w:t>Seção II – Formas de Comunicação</w:t>
      </w:r>
    </w:p>
    <w:p w14:paraId="48AE3E82" w14:textId="77777777" w:rsidR="009A2D89" w:rsidRPr="001C4F98" w:rsidRDefault="009A2D89" w:rsidP="00064A56">
      <w:r w:rsidRPr="001C4F98">
        <w:t>Art. 1</w:t>
      </w:r>
      <w:r>
        <w:t>4</w:t>
      </w:r>
      <w:r w:rsidRPr="001C4F98">
        <w:t xml:space="preserve">.  As informações </w:t>
      </w:r>
      <w:r>
        <w:t>ou comunicações de cunho institucional e publicitário relativas à prestação do serviço de</w:t>
      </w:r>
      <w:r w:rsidRPr="001C4F98">
        <w:t xml:space="preserve"> </w:t>
      </w:r>
      <w:r>
        <w:t xml:space="preserve">analista de valores mobiliários </w:t>
      </w:r>
      <w:r w:rsidRPr="001C4F98">
        <w:t>devem:</w:t>
      </w:r>
    </w:p>
    <w:p w14:paraId="3A6DFC6D" w14:textId="77777777" w:rsidR="009A2D89" w:rsidRPr="001C4F98" w:rsidRDefault="009A2D89" w:rsidP="00064A56">
      <w:r w:rsidRPr="001C4F98">
        <w:t>I – ser verdadeiras, consistentes e não induzir o investidor a erro; e</w:t>
      </w:r>
    </w:p>
    <w:p w14:paraId="5D5594AF" w14:textId="77777777" w:rsidR="009A2D89" w:rsidRPr="001C4F98" w:rsidRDefault="009A2D89" w:rsidP="00064A56">
      <w:r w:rsidRPr="001C4F98">
        <w:t xml:space="preserve">II – </w:t>
      </w:r>
      <w:r>
        <w:t>utilizar linguagem serena e moderada</w:t>
      </w:r>
      <w:r w:rsidRPr="001C4F98">
        <w:t>.</w:t>
      </w:r>
    </w:p>
    <w:p w14:paraId="277070DD" w14:textId="35DCF3DC" w:rsidR="009A2D89" w:rsidRDefault="009A2D89" w:rsidP="00064A56">
      <w:r>
        <w:lastRenderedPageBreak/>
        <w:t>§ 1º</w:t>
      </w:r>
      <w:r w:rsidR="008E449B">
        <w:t xml:space="preserve"> </w:t>
      </w:r>
      <w:r w:rsidRPr="001C4F98">
        <w:t xml:space="preserve"> As informações</w:t>
      </w:r>
      <w:r w:rsidRPr="000F68D1">
        <w:t xml:space="preserve"> </w:t>
      </w:r>
      <w:r>
        <w:t xml:space="preserve">ou comunicações de que trata o </w:t>
      </w:r>
      <w:r>
        <w:rPr>
          <w:b/>
        </w:rPr>
        <w:t>caput</w:t>
      </w:r>
      <w:r w:rsidRPr="001C4F98">
        <w:t xml:space="preserve"> não podem </w:t>
      </w:r>
      <w:r>
        <w:t xml:space="preserve">conter promessa de rentabilidade futura ou </w:t>
      </w:r>
      <w:r w:rsidRPr="001C4F98">
        <w:t xml:space="preserve">assegurar ou sugerir a existência de garantia de resultados futuros ou </w:t>
      </w:r>
      <w:r>
        <w:t xml:space="preserve">a </w:t>
      </w:r>
      <w:r w:rsidRPr="001C4F98">
        <w:t>isenção de risco para o investidor.</w:t>
      </w:r>
    </w:p>
    <w:p w14:paraId="54032E09" w14:textId="77777777" w:rsidR="009A2D89" w:rsidRDefault="009A2D89" w:rsidP="00064A56">
      <w:r>
        <w:t>§ 2º  As normas deste artigo alcançam as divulgações realizadas por meio de</w:t>
      </w:r>
      <w:r w:rsidRPr="00CD1C77">
        <w:t xml:space="preserve"> </w:t>
      </w:r>
      <w:r w:rsidRPr="00755928">
        <w:t>jornais</w:t>
      </w:r>
      <w:r>
        <w:t>,</w:t>
      </w:r>
      <w:r w:rsidRPr="00755928">
        <w:t xml:space="preserve"> revistas,</w:t>
      </w:r>
      <w:r>
        <w:t xml:space="preserve"> rede mundial de computadores</w:t>
      </w:r>
      <w:r w:rsidRPr="00755928">
        <w:t xml:space="preserve">, </w:t>
      </w:r>
      <w:r w:rsidRPr="009A21C6">
        <w:t>programas</w:t>
      </w:r>
      <w:r>
        <w:t>,</w:t>
      </w:r>
      <w:r w:rsidRPr="009A21C6">
        <w:t xml:space="preserve"> aplicativos, </w:t>
      </w:r>
      <w:r>
        <w:t>mensagens eletrônicas</w:t>
      </w:r>
      <w:r w:rsidRPr="00755928">
        <w:t xml:space="preserve"> ou qua</w:t>
      </w:r>
      <w:r>
        <w:t>l</w:t>
      </w:r>
      <w:r w:rsidRPr="00755928">
        <w:t>quer out</w:t>
      </w:r>
      <w:r>
        <w:t xml:space="preserve">ro meio de comunicação assemelhado. </w:t>
      </w:r>
    </w:p>
    <w:p w14:paraId="2B40D45B" w14:textId="77777777" w:rsidR="009A2D89" w:rsidRPr="001C4F98" w:rsidRDefault="009A2D89" w:rsidP="00064A56">
      <w:r w:rsidRPr="001C4F98">
        <w:t>Art. 1</w:t>
      </w:r>
      <w:r>
        <w:t>5</w:t>
      </w:r>
      <w:r w:rsidRPr="001C4F98">
        <w:t xml:space="preserve">.  Caso as informações </w:t>
      </w:r>
      <w:r>
        <w:t xml:space="preserve">ou comunicações a que se refere o art. 14 </w:t>
      </w:r>
      <w:r w:rsidRPr="001C4F98">
        <w:t>apresentem incorreções ou impropriedades que possam induzir o inv</w:t>
      </w:r>
      <w:r>
        <w:t>estidor a erro</w:t>
      </w:r>
      <w:r w:rsidRPr="001C4F98">
        <w:t xml:space="preserve">, a </w:t>
      </w:r>
      <w:r>
        <w:t>CVM</w:t>
      </w:r>
      <w:r w:rsidRPr="001C4F98">
        <w:t xml:space="preserve"> </w:t>
      </w:r>
      <w:r>
        <w:t xml:space="preserve">ou a entidade credenciadora </w:t>
      </w:r>
      <w:r w:rsidRPr="001C4F98">
        <w:t>pode</w:t>
      </w:r>
      <w:r>
        <w:t>m</w:t>
      </w:r>
      <w:r w:rsidRPr="001C4F98">
        <w:t xml:space="preserve"> exigir: </w:t>
      </w:r>
    </w:p>
    <w:p w14:paraId="5E08C719" w14:textId="77777777" w:rsidR="009A2D89" w:rsidRPr="001C4F98" w:rsidRDefault="009A2D89" w:rsidP="00064A56">
      <w:r w:rsidRPr="001C4F98">
        <w:t xml:space="preserve">I – a cessação da divulgação da informação; e </w:t>
      </w:r>
    </w:p>
    <w:p w14:paraId="3436F120" w14:textId="77777777" w:rsidR="009A2D89" w:rsidRPr="001C4F98" w:rsidRDefault="009A2D89" w:rsidP="00064A56">
      <w:r w:rsidRPr="001C4F98">
        <w:t>II – a veiculação, com igual destaque e por meio do veículo usado para divulgar a informação original, de retificações e esclarecimentos, devendo constar, de forma expressa, que a informação está sendo republicada por determinação da CVM</w:t>
      </w:r>
      <w:r>
        <w:t xml:space="preserve"> ou da entidade credenciadora, conforme o caso, e, de forma destacada,</w:t>
      </w:r>
      <w:r w:rsidRPr="00AF59E0">
        <w:t xml:space="preserve"> </w:t>
      </w:r>
      <w:r>
        <w:t>qual é a informação que está sendo retificada ou esclarecida</w:t>
      </w:r>
      <w:r w:rsidRPr="001C4F98">
        <w:t>.</w:t>
      </w:r>
    </w:p>
    <w:p w14:paraId="6B8922BF" w14:textId="77777777" w:rsidR="009A2D89" w:rsidRPr="002E4FDC" w:rsidRDefault="009A2D89" w:rsidP="00064A56">
      <w:pPr>
        <w:pStyle w:val="Captulo"/>
      </w:pPr>
      <w:r w:rsidRPr="002E4FDC">
        <w:t>CAPÍTULO IV – REGRAS, PROCEDIMENTOS E CONTROLES INTERNOS</w:t>
      </w:r>
    </w:p>
    <w:p w14:paraId="308DF405" w14:textId="77777777" w:rsidR="009A2D89" w:rsidRDefault="009A2D89" w:rsidP="00064A56">
      <w:pPr>
        <w:rPr>
          <w:rFonts w:eastAsia="Arial Unicode MS"/>
        </w:rPr>
      </w:pPr>
      <w:r w:rsidRPr="006C76E7">
        <w:t>Art. 1</w:t>
      </w:r>
      <w:r>
        <w:t>6</w:t>
      </w:r>
      <w:r w:rsidRPr="006C76E7">
        <w:t xml:space="preserve">.  </w:t>
      </w:r>
      <w:r>
        <w:t>O</w:t>
      </w:r>
      <w:r w:rsidRPr="006C76E7">
        <w:t xml:space="preserve"> </w:t>
      </w:r>
      <w:r>
        <w:t>analista de valores mobiliários pessoa jurídica deve</w:t>
      </w:r>
      <w:r w:rsidRPr="006C76E7">
        <w:rPr>
          <w:rFonts w:eastAsia="Arial Unicode MS"/>
        </w:rPr>
        <w:t xml:space="preserve">: </w:t>
      </w:r>
    </w:p>
    <w:p w14:paraId="696B69F9" w14:textId="77777777" w:rsidR="009A2D89" w:rsidRDefault="009A2D89" w:rsidP="00064A56">
      <w:pPr>
        <w:rPr>
          <w:rFonts w:eastAsia="Arial Unicode MS"/>
        </w:rPr>
      </w:pPr>
      <w:r w:rsidRPr="006C76E7">
        <w:rPr>
          <w:rFonts w:eastAsia="Arial Unicode MS"/>
        </w:rPr>
        <w:t>I – desenvolver e implementar regras, procedimentos e controles internos adequados para:</w:t>
      </w:r>
    </w:p>
    <w:p w14:paraId="5A05AA26" w14:textId="727D18A2" w:rsidR="009A2D89" w:rsidRDefault="009A2D89" w:rsidP="00064A56">
      <w:r>
        <w:t xml:space="preserve">a) </w:t>
      </w:r>
      <w:r w:rsidRPr="006C76E7">
        <w:t xml:space="preserve">garantir o cumprimento do disposto nesta </w:t>
      </w:r>
      <w:r w:rsidR="00006A07">
        <w:t>Resolução</w:t>
      </w:r>
      <w:r>
        <w:t>;</w:t>
      </w:r>
    </w:p>
    <w:p w14:paraId="643C2754" w14:textId="77777777" w:rsidR="009A2D89" w:rsidRDefault="009A2D89" w:rsidP="00064A56">
      <w:r>
        <w:rPr>
          <w:rFonts w:eastAsia="Arial Unicode MS"/>
        </w:rPr>
        <w:t xml:space="preserve">b) </w:t>
      </w:r>
      <w:r w:rsidRPr="006C76E7">
        <w:t>desempenh</w:t>
      </w:r>
      <w:r>
        <w:t>ar</w:t>
      </w:r>
      <w:r w:rsidRPr="006C76E7">
        <w:t xml:space="preserve"> suas funções com independência; </w:t>
      </w:r>
    </w:p>
    <w:p w14:paraId="70651390" w14:textId="77777777" w:rsidR="009A2D89" w:rsidRDefault="009A2D89" w:rsidP="00064A56">
      <w:pPr>
        <w:rPr>
          <w:rFonts w:eastAsia="Arial Unicode MS"/>
        </w:rPr>
      </w:pPr>
      <w:r>
        <w:rPr>
          <w:bCs/>
          <w:iCs/>
        </w:rPr>
        <w:t xml:space="preserve">c) </w:t>
      </w:r>
      <w:r w:rsidRPr="006C76E7">
        <w:rPr>
          <w:bCs/>
          <w:iCs/>
        </w:rPr>
        <w:t xml:space="preserve">impedir que seus interesses comerciais, ou aqueles de seus clientes, influenciem o </w:t>
      </w:r>
      <w:r>
        <w:rPr>
          <w:bCs/>
          <w:iCs/>
        </w:rPr>
        <w:t>resultado</w:t>
      </w:r>
      <w:r w:rsidRPr="006C76E7">
        <w:rPr>
          <w:bCs/>
          <w:iCs/>
        </w:rPr>
        <w:t xml:space="preserve"> </w:t>
      </w:r>
      <w:r>
        <w:rPr>
          <w:bCs/>
          <w:iCs/>
        </w:rPr>
        <w:t>de suas análises</w:t>
      </w:r>
      <w:r w:rsidRPr="006C76E7">
        <w:rPr>
          <w:bCs/>
          <w:iCs/>
        </w:rPr>
        <w:t>;</w:t>
      </w:r>
      <w:r>
        <w:rPr>
          <w:bCs/>
          <w:iCs/>
        </w:rPr>
        <w:t xml:space="preserve"> e</w:t>
      </w:r>
    </w:p>
    <w:p w14:paraId="218765AC" w14:textId="77777777" w:rsidR="009A2D89" w:rsidRDefault="009A2D89" w:rsidP="00064A56">
      <w:pPr>
        <w:rPr>
          <w:rFonts w:eastAsia="Arial Unicode MS"/>
        </w:rPr>
      </w:pPr>
      <w:r>
        <w:rPr>
          <w:rFonts w:eastAsia="Arial Unicode MS"/>
        </w:rPr>
        <w:t xml:space="preserve">d) </w:t>
      </w:r>
      <w:r w:rsidRPr="006C76E7">
        <w:rPr>
          <w:rFonts w:eastAsia="Arial Unicode MS"/>
        </w:rPr>
        <w:t>identificar, administrar e eliminar eventuais conflitos de interesses que possam afetar a imparcialidade d</w:t>
      </w:r>
      <w:r>
        <w:rPr>
          <w:rFonts w:eastAsia="Arial Unicode MS"/>
        </w:rPr>
        <w:t>os</w:t>
      </w:r>
      <w:r w:rsidRPr="006C76E7">
        <w:rPr>
          <w:rFonts w:eastAsia="Arial Unicode MS"/>
        </w:rPr>
        <w:t xml:space="preserve"> seus relatórios de análise</w:t>
      </w:r>
      <w:r>
        <w:rPr>
          <w:rFonts w:eastAsia="Arial Unicode MS"/>
        </w:rPr>
        <w:t>;</w:t>
      </w:r>
    </w:p>
    <w:p w14:paraId="5359E185" w14:textId="77777777" w:rsidR="009A2D89" w:rsidRDefault="009A2D89" w:rsidP="00064A56">
      <w:pPr>
        <w:rPr>
          <w:rFonts w:eastAsia="Arial Unicode MS"/>
        </w:rPr>
      </w:pPr>
      <w:r>
        <w:rPr>
          <w:rFonts w:eastAsia="Arial Unicode MS"/>
        </w:rPr>
        <w:t>II</w:t>
      </w:r>
      <w:r w:rsidRPr="006C76E7">
        <w:rPr>
          <w:rFonts w:eastAsia="Arial Unicode MS"/>
        </w:rPr>
        <w:t xml:space="preserve"> – divulgar o conjunto de regras decorrentes do inciso I, bem como suas atualizações, em sua página na rede mundial de computadores;</w:t>
      </w:r>
    </w:p>
    <w:p w14:paraId="7FE9DABC" w14:textId="77777777" w:rsidR="009A2D89" w:rsidRDefault="009A2D89" w:rsidP="00064A56">
      <w:pPr>
        <w:rPr>
          <w:rFonts w:eastAsia="Arial Unicode MS"/>
        </w:rPr>
      </w:pPr>
      <w:r>
        <w:rPr>
          <w:rFonts w:eastAsia="Arial Unicode MS"/>
        </w:rPr>
        <w:t>III</w:t>
      </w:r>
      <w:r w:rsidRPr="006C76E7">
        <w:rPr>
          <w:rFonts w:eastAsia="Arial Unicode MS"/>
        </w:rPr>
        <w:t xml:space="preserve"> – comunicar à CVM</w:t>
      </w:r>
      <w:r>
        <w:rPr>
          <w:rFonts w:eastAsia="Arial Unicode MS"/>
        </w:rPr>
        <w:t xml:space="preserve"> e à entidade credenciadora</w:t>
      </w:r>
      <w:r w:rsidRPr="006C76E7">
        <w:rPr>
          <w:rFonts w:eastAsia="Arial Unicode MS"/>
        </w:rPr>
        <w:t xml:space="preserve">, </w:t>
      </w:r>
      <w:r>
        <w:rPr>
          <w:rFonts w:eastAsia="Arial Unicode MS"/>
        </w:rPr>
        <w:t>no prazo de até 5 (cinco) dias úteis</w:t>
      </w:r>
      <w:r w:rsidRPr="006C76E7">
        <w:rPr>
          <w:rFonts w:eastAsia="Arial Unicode MS"/>
        </w:rPr>
        <w:t xml:space="preserve">, condutas </w:t>
      </w:r>
      <w:r w:rsidRPr="000950A2">
        <w:t>dos analistas a ele vinculados</w:t>
      </w:r>
      <w:r w:rsidRPr="006C76E7">
        <w:rPr>
          <w:rFonts w:eastAsia="Arial Unicode MS"/>
        </w:rPr>
        <w:t xml:space="preserve"> que possam configurar indício </w:t>
      </w:r>
      <w:r>
        <w:rPr>
          <w:rFonts w:eastAsia="Arial Unicode MS"/>
        </w:rPr>
        <w:t>de</w:t>
      </w:r>
      <w:r w:rsidRPr="006C76E7">
        <w:rPr>
          <w:rFonts w:eastAsia="Arial Unicode MS"/>
        </w:rPr>
        <w:t xml:space="preserve"> infração às normas emitidas pela CVM; </w:t>
      </w:r>
    </w:p>
    <w:p w14:paraId="4DF7BF98" w14:textId="77777777" w:rsidR="009A2D89" w:rsidRDefault="009A2D89" w:rsidP="00064A56">
      <w:pPr>
        <w:rPr>
          <w:rFonts w:eastAsia="Arial Unicode MS"/>
        </w:rPr>
      </w:pPr>
      <w:r>
        <w:rPr>
          <w:rFonts w:eastAsia="Arial Unicode MS"/>
        </w:rPr>
        <w:lastRenderedPageBreak/>
        <w:t>I</w:t>
      </w:r>
      <w:r w:rsidRPr="006C76E7">
        <w:rPr>
          <w:rFonts w:eastAsia="Arial Unicode MS"/>
        </w:rPr>
        <w:t xml:space="preserve">V – </w:t>
      </w:r>
      <w:r>
        <w:rPr>
          <w:bCs/>
        </w:rPr>
        <w:t>quando exercer outras atividades que podem ensejar potenciais conflitos de interesses,</w:t>
      </w:r>
      <w:r w:rsidRPr="006C76E7">
        <w:rPr>
          <w:bCs/>
        </w:rPr>
        <w:t xml:space="preserve"> segregar fisicamente as instalações onde a equipe de análise desenvolve suas atividades; </w:t>
      </w:r>
    </w:p>
    <w:p w14:paraId="62B9163F" w14:textId="2236E7F2" w:rsidR="009A2D89" w:rsidRDefault="009A2D89" w:rsidP="00064A56">
      <w:pPr>
        <w:rPr>
          <w:rFonts w:eastAsia="Arial Unicode MS"/>
        </w:rPr>
      </w:pPr>
      <w:r>
        <w:rPr>
          <w:rFonts w:eastAsia="Arial Unicode MS"/>
        </w:rPr>
        <w:t>V</w:t>
      </w:r>
      <w:r w:rsidRPr="006C76E7">
        <w:rPr>
          <w:rFonts w:eastAsia="Arial Unicode MS"/>
        </w:rPr>
        <w:t xml:space="preserve"> – dar às entidades credenciadoras acesso às suas instalações, arquivos e documentos relativos às regras, procedimentos e controles internos relacionados ao cumprimento desta </w:t>
      </w:r>
      <w:r w:rsidR="00006A07">
        <w:rPr>
          <w:rFonts w:eastAsia="Arial Unicode MS"/>
        </w:rPr>
        <w:t>Resolução</w:t>
      </w:r>
      <w:r w:rsidRPr="006C76E7">
        <w:rPr>
          <w:rFonts w:eastAsia="Arial Unicode MS"/>
        </w:rPr>
        <w:t>, para que elas possam exercer as funções fiscalizadoras que lhe</w:t>
      </w:r>
      <w:r>
        <w:rPr>
          <w:rFonts w:eastAsia="Arial Unicode MS"/>
        </w:rPr>
        <w:t>s</w:t>
      </w:r>
      <w:r w:rsidRPr="006C76E7">
        <w:rPr>
          <w:rFonts w:eastAsia="Arial Unicode MS"/>
        </w:rPr>
        <w:t xml:space="preserve"> são atrib</w:t>
      </w:r>
      <w:r>
        <w:rPr>
          <w:rFonts w:eastAsia="Arial Unicode MS"/>
        </w:rPr>
        <w:t xml:space="preserve">uídas por esta </w:t>
      </w:r>
      <w:r w:rsidR="00006A07">
        <w:rPr>
          <w:rFonts w:eastAsia="Arial Unicode MS"/>
        </w:rPr>
        <w:t>Resolução</w:t>
      </w:r>
      <w:r>
        <w:rPr>
          <w:rFonts w:eastAsia="Arial Unicode MS"/>
        </w:rPr>
        <w:t>;</w:t>
      </w:r>
    </w:p>
    <w:p w14:paraId="57740F36" w14:textId="77777777" w:rsidR="009A2D89" w:rsidRPr="00803F58" w:rsidRDefault="009A2D89" w:rsidP="00064A56">
      <w:pPr>
        <w:rPr>
          <w:bCs/>
        </w:rPr>
      </w:pPr>
      <w:r w:rsidRPr="00803F58">
        <w:rPr>
          <w:bCs/>
        </w:rPr>
        <w:t xml:space="preserve">VI – possuir </w:t>
      </w:r>
      <w:r w:rsidRPr="00803F58" w:rsidDel="00F23EBB">
        <w:rPr>
          <w:bCs/>
        </w:rPr>
        <w:t xml:space="preserve">estrutura organizacional </w:t>
      </w:r>
      <w:r w:rsidRPr="00803F58">
        <w:rPr>
          <w:bCs/>
        </w:rPr>
        <w:t>que assegure a</w:t>
      </w:r>
      <w:r w:rsidRPr="00803F58" w:rsidDel="00F23EBB">
        <w:rPr>
          <w:bCs/>
        </w:rPr>
        <w:t xml:space="preserve"> imparcialidade da opinião emitida </w:t>
      </w:r>
      <w:r w:rsidRPr="00803F58">
        <w:rPr>
          <w:bCs/>
        </w:rPr>
        <w:t>nos relatórios de análise;</w:t>
      </w:r>
      <w:r w:rsidRPr="00803F58" w:rsidDel="00F23EBB">
        <w:rPr>
          <w:bCs/>
        </w:rPr>
        <w:t xml:space="preserve"> </w:t>
      </w:r>
      <w:r w:rsidRPr="00803F58">
        <w:rPr>
          <w:bCs/>
        </w:rPr>
        <w:t>e</w:t>
      </w:r>
    </w:p>
    <w:p w14:paraId="1825A901" w14:textId="77777777" w:rsidR="009A2D89" w:rsidRPr="005743AE" w:rsidRDefault="009A2D89" w:rsidP="00064A56">
      <w:pPr>
        <w:rPr>
          <w:b/>
          <w:bCs/>
        </w:rPr>
      </w:pPr>
      <w:r w:rsidRPr="00803F58">
        <w:rPr>
          <w:bCs/>
        </w:rPr>
        <w:t>VII – estruturar a remuneração do seu corpo funcional de modo a preservar a sua imparcialidade.</w:t>
      </w:r>
    </w:p>
    <w:p w14:paraId="355E21FF" w14:textId="77777777" w:rsidR="009A2D89" w:rsidRDefault="009A2D89" w:rsidP="00064A56">
      <w:r>
        <w:rPr>
          <w:rFonts w:eastAsia="Arial Unicode MS"/>
        </w:rPr>
        <w:t>Parágrafo único</w:t>
      </w:r>
      <w:r w:rsidRPr="005743AE">
        <w:rPr>
          <w:rFonts w:eastAsia="Arial Unicode MS"/>
        </w:rPr>
        <w:t>.  As regras, procedimentos</w:t>
      </w:r>
      <w:r w:rsidRPr="006C76E7">
        <w:t xml:space="preserve"> e controles internos </w:t>
      </w:r>
      <w:r w:rsidRPr="006C76E7">
        <w:rPr>
          <w:rFonts w:eastAsia="Arial Unicode MS"/>
        </w:rPr>
        <w:t>decorrentes do</w:t>
      </w:r>
      <w:r w:rsidRPr="006C76E7">
        <w:t xml:space="preserve"> </w:t>
      </w:r>
      <w:r w:rsidRPr="006C76E7">
        <w:rPr>
          <w:rFonts w:eastAsia="Arial Unicode MS"/>
        </w:rPr>
        <w:t>inciso I</w:t>
      </w:r>
      <w:r>
        <w:rPr>
          <w:rFonts w:eastAsia="Arial Unicode MS"/>
        </w:rPr>
        <w:t xml:space="preserve"> do </w:t>
      </w:r>
      <w:r w:rsidRPr="005743AE">
        <w:rPr>
          <w:rFonts w:eastAsia="Arial Unicode MS"/>
          <w:b/>
        </w:rPr>
        <w:t>caput</w:t>
      </w:r>
      <w:r w:rsidRPr="006C76E7">
        <w:t xml:space="preserve"> devem prever, ao menos, o que segue: </w:t>
      </w:r>
    </w:p>
    <w:p w14:paraId="15175595" w14:textId="77777777" w:rsidR="009A2D89" w:rsidRDefault="009A2D89" w:rsidP="00064A56">
      <w:r w:rsidRPr="006C76E7">
        <w:t>I – formas de identificação das situações de conflito de interesse</w:t>
      </w:r>
      <w:r>
        <w:t>s</w:t>
      </w:r>
      <w:r w:rsidRPr="006C76E7">
        <w:t>;</w:t>
      </w:r>
    </w:p>
    <w:p w14:paraId="5EC94AAB" w14:textId="77777777" w:rsidR="009A2D89" w:rsidRDefault="009A2D89" w:rsidP="00064A56">
      <w:r w:rsidRPr="006C76E7">
        <w:t>II – formas de administração das situações de conflito de interesses; e</w:t>
      </w:r>
    </w:p>
    <w:p w14:paraId="6D446D39" w14:textId="77777777" w:rsidR="009A2D89" w:rsidRDefault="009A2D89" w:rsidP="00064A56">
      <w:pPr>
        <w:rPr>
          <w:rFonts w:eastAsia="Arial Unicode MS"/>
        </w:rPr>
      </w:pPr>
      <w:r w:rsidRPr="006C76E7">
        <w:t xml:space="preserve">III – tipo e forma de contato que o analista </w:t>
      </w:r>
      <w:r>
        <w:t>de valores mobiliários</w:t>
      </w:r>
      <w:r w:rsidRPr="006C76E7">
        <w:t xml:space="preserve"> pode ter com os emissores objeto de suas análises.</w:t>
      </w:r>
    </w:p>
    <w:p w14:paraId="46D3F1D7" w14:textId="071DCEAD" w:rsidR="009A2D89" w:rsidRPr="00803F58" w:rsidRDefault="009A2D89" w:rsidP="00803F58">
      <w:r>
        <w:t>Art. 17.  Os analistas de valores mobiliários pessoa</w:t>
      </w:r>
      <w:r w:rsidR="13E3BFA5">
        <w:t>s</w:t>
      </w:r>
      <w:r>
        <w:t xml:space="preserve"> jurídica</w:t>
      </w:r>
      <w:r w:rsidR="0C3B32AE">
        <w:t>s</w:t>
      </w:r>
      <w:r>
        <w:t xml:space="preserve"> devem tomar todas as medidas necessárias para que suas equipes de análise sejam formadas por, no mínimo 80% (oitenta por cento) de analistas de valores mobiliários credenciados em entidade autorizada pela CVM nos termos do art. 4º.</w:t>
      </w:r>
    </w:p>
    <w:p w14:paraId="0EBF0359" w14:textId="400D6AE3" w:rsidR="009A2D89" w:rsidRPr="00803F58" w:rsidRDefault="009A2D89" w:rsidP="00803F58">
      <w:pPr>
        <w:rPr>
          <w:rFonts w:cs="Times New Roman"/>
        </w:rPr>
      </w:pPr>
      <w:r w:rsidRPr="00803F58">
        <w:rPr>
          <w:rFonts w:cs="Times New Roman"/>
        </w:rPr>
        <w:t>§ 1º  Os analistas de valores mobiliários pessoa</w:t>
      </w:r>
      <w:r w:rsidR="00001E10">
        <w:rPr>
          <w:rFonts w:cs="Times New Roman"/>
        </w:rPr>
        <w:t>s</w:t>
      </w:r>
      <w:r w:rsidRPr="00803F58">
        <w:rPr>
          <w:rFonts w:cs="Times New Roman"/>
        </w:rPr>
        <w:t xml:space="preserve"> jurídica</w:t>
      </w:r>
      <w:r w:rsidR="00001E10">
        <w:rPr>
          <w:rFonts w:cs="Times New Roman"/>
        </w:rPr>
        <w:t>s</w:t>
      </w:r>
      <w:r w:rsidRPr="00803F58">
        <w:rPr>
          <w:rFonts w:cs="Times New Roman"/>
        </w:rPr>
        <w:t xml:space="preserve"> devem comunicar à entidade credenciadora o desenquadramento em relação ao disposto no </w:t>
      </w:r>
      <w:r w:rsidRPr="00803F58">
        <w:rPr>
          <w:rFonts w:cs="Times New Roman"/>
          <w:b/>
          <w:bCs/>
        </w:rPr>
        <w:t>caput</w:t>
      </w:r>
      <w:r w:rsidRPr="00803F58">
        <w:rPr>
          <w:rFonts w:cs="Times New Roman"/>
        </w:rPr>
        <w:t xml:space="preserve"> em até 15 (quinze) dias da data do início do desenquadramento, com as devidas justificativas.</w:t>
      </w:r>
    </w:p>
    <w:p w14:paraId="29A59A2A" w14:textId="77777777" w:rsidR="009A2D89" w:rsidRDefault="009A2D89" w:rsidP="00064A56">
      <w:r w:rsidRPr="0014215D">
        <w:t xml:space="preserve">§ 2º  </w:t>
      </w:r>
      <w:r>
        <w:t>Os analistas de valores mobiliários pessoa jurídica</w:t>
      </w:r>
      <w:r w:rsidRPr="0014215D">
        <w:t xml:space="preserve"> têm </w:t>
      </w:r>
      <w:r>
        <w:t>90</w:t>
      </w:r>
      <w:r w:rsidRPr="0014215D">
        <w:t xml:space="preserve"> (</w:t>
      </w:r>
      <w:r>
        <w:t>noventa</w:t>
      </w:r>
      <w:r w:rsidRPr="0014215D">
        <w:t>)</w:t>
      </w:r>
      <w:r w:rsidRPr="006C76E7">
        <w:t xml:space="preserve"> dias, contados do início do desenquadramento, para recompor o percentual de analistas </w:t>
      </w:r>
      <w:r>
        <w:t>de valores mobiliários</w:t>
      </w:r>
      <w:r w:rsidRPr="006C76E7">
        <w:t xml:space="preserve"> credenciados exigido por este artigo.</w:t>
      </w:r>
    </w:p>
    <w:p w14:paraId="1F4A24A9" w14:textId="77777777" w:rsidR="009A2D89" w:rsidRDefault="009A2D89" w:rsidP="00064A56">
      <w:r w:rsidRPr="006C76E7">
        <w:t xml:space="preserve">§ 3º  O reenquadramento ao percentual de analistas </w:t>
      </w:r>
      <w:r>
        <w:t>de valores mobiliários</w:t>
      </w:r>
      <w:r w:rsidRPr="006C76E7">
        <w:t xml:space="preserve"> credenciados exigido por este artigo deve ser comunicado à </w:t>
      </w:r>
      <w:r>
        <w:t xml:space="preserve">entidade credenciadora </w:t>
      </w:r>
      <w:r w:rsidRPr="006C76E7">
        <w:t>em até 15 (quinze) dias de sua ocorrência.</w:t>
      </w:r>
    </w:p>
    <w:p w14:paraId="48225DDF" w14:textId="77777777" w:rsidR="009A2D89" w:rsidRPr="00E321C4" w:rsidRDefault="009A2D89" w:rsidP="00064A56">
      <w:r w:rsidRPr="00FC2B4D">
        <w:t xml:space="preserve">Art. </w:t>
      </w:r>
      <w:r>
        <w:t>18.</w:t>
      </w:r>
      <w:r w:rsidRPr="00FC2B4D">
        <w:t xml:space="preserve"> </w:t>
      </w:r>
      <w:r>
        <w:t xml:space="preserve"> </w:t>
      </w:r>
      <w:r w:rsidRPr="00FC2B4D">
        <w:t>Os analistas de valores mobiliários que prest</w:t>
      </w:r>
      <w:r>
        <w:t>e</w:t>
      </w:r>
      <w:r w:rsidRPr="00FC2B4D">
        <w:t xml:space="preserve">m serviço </w:t>
      </w:r>
      <w:r>
        <w:t xml:space="preserve">de análise </w:t>
      </w:r>
      <w:r w:rsidRPr="00FC2B4D">
        <w:t xml:space="preserve">para </w:t>
      </w:r>
      <w:r>
        <w:t>administradores de carteiras de valores mobiliários</w:t>
      </w:r>
      <w:r w:rsidRPr="00FC2B4D">
        <w:t xml:space="preserve"> devem:</w:t>
      </w:r>
    </w:p>
    <w:p w14:paraId="3DDAB451" w14:textId="77777777" w:rsidR="009A2D89" w:rsidRDefault="009A2D89" w:rsidP="00064A56">
      <w:r w:rsidRPr="00FC2B4D">
        <w:lastRenderedPageBreak/>
        <w:t>I – anualmente</w:t>
      </w:r>
      <w:r>
        <w:t>,</w:t>
      </w:r>
      <w:r w:rsidRPr="00FC2B4D">
        <w:t xml:space="preserve"> até o dia </w:t>
      </w:r>
      <w:r>
        <w:t>31 de março</w:t>
      </w:r>
      <w:r w:rsidRPr="00FC2B4D">
        <w:t xml:space="preserve">, </w:t>
      </w:r>
      <w:r>
        <w:t>enviar</w:t>
      </w:r>
      <w:r w:rsidRPr="00FC2B4D">
        <w:t xml:space="preserve"> à </w:t>
      </w:r>
      <w:r>
        <w:t>entidade credenciadora</w:t>
      </w:r>
      <w:r w:rsidRPr="00FC2B4D">
        <w:t xml:space="preserve"> a relação de todos os gestores para os quais prestam o serviço de que trata o </w:t>
      </w:r>
      <w:r w:rsidRPr="00FC2B4D">
        <w:rPr>
          <w:b/>
        </w:rPr>
        <w:t>caput</w:t>
      </w:r>
      <w:r>
        <w:t>; e</w:t>
      </w:r>
    </w:p>
    <w:p w14:paraId="7A99934A" w14:textId="77777777" w:rsidR="009A2D89" w:rsidRDefault="009A2D89" w:rsidP="00064A56">
      <w:r w:rsidRPr="00F26405">
        <w:t>I</w:t>
      </w:r>
      <w:r>
        <w:t>I</w:t>
      </w:r>
      <w:r w:rsidRPr="00F26405">
        <w:t xml:space="preserve"> </w:t>
      </w:r>
      <w:r>
        <w:t>–</w:t>
      </w:r>
      <w:r w:rsidRPr="00F26405">
        <w:t xml:space="preserve"> em</w:t>
      </w:r>
      <w:r>
        <w:t xml:space="preserve"> </w:t>
      </w:r>
      <w:r w:rsidRPr="00F26405">
        <w:t xml:space="preserve">caso de interrupção na prestação de tais serviços, avisar à </w:t>
      </w:r>
      <w:r>
        <w:t xml:space="preserve">entidade credenciadora </w:t>
      </w:r>
      <w:r w:rsidRPr="00F26405">
        <w:t>em até 30 (trinta) dias</w:t>
      </w:r>
      <w:r>
        <w:t>.</w:t>
      </w:r>
    </w:p>
    <w:p w14:paraId="54A402C7" w14:textId="77777777" w:rsidR="009A2D89" w:rsidRPr="006F5C1D" w:rsidRDefault="009A2D89" w:rsidP="00803F58">
      <w:pPr>
        <w:pStyle w:val="Captulo"/>
      </w:pPr>
      <w:r>
        <w:t xml:space="preserve">CAPÍTULO </w:t>
      </w:r>
      <w:r w:rsidRPr="006F5C1D">
        <w:t>V – RELATÓRIO DE ANÁLISE</w:t>
      </w:r>
    </w:p>
    <w:p w14:paraId="5714FB20" w14:textId="77777777" w:rsidR="009A2D89" w:rsidRDefault="009A2D89" w:rsidP="00803F58">
      <w:r w:rsidRPr="006C76E7">
        <w:t xml:space="preserve">Art. </w:t>
      </w:r>
      <w:r>
        <w:t>19</w:t>
      </w:r>
      <w:r w:rsidRPr="006C76E7">
        <w:t>.  Os relatórios de análise devem ser escritos em linguagem clara e objetiva, diferenciando dados factuais de interpretações, projeções, estimativas e opiniões.</w:t>
      </w:r>
    </w:p>
    <w:p w14:paraId="340F4566" w14:textId="77777777" w:rsidR="009A2D89" w:rsidRDefault="009A2D89" w:rsidP="00803F58">
      <w:r w:rsidRPr="006C76E7">
        <w:t>§ 1º  Sempre que possível e adequado, dados factuais devem vir acompanhados de indicação de suas fontes.</w:t>
      </w:r>
    </w:p>
    <w:p w14:paraId="417034BA" w14:textId="77777777" w:rsidR="009A2D89" w:rsidRDefault="009A2D89" w:rsidP="00803F58">
      <w:r w:rsidRPr="006C76E7">
        <w:t>§ 2º  As projeções e estimativas devem vir acompanhadas das premissas relevantes e metodologia adotadas.</w:t>
      </w:r>
    </w:p>
    <w:p w14:paraId="07EBD60B" w14:textId="77777777" w:rsidR="009A2D89" w:rsidRDefault="009A2D89" w:rsidP="00803F58">
      <w:r>
        <w:t>Art. 20</w:t>
      </w:r>
      <w:r w:rsidRPr="006C76E7">
        <w:t>.  Os relatórios de análise devem ser assinados por, ao menos, um analista de valores mobiliário</w:t>
      </w:r>
      <w:r>
        <w:t>s credenciado</w:t>
      </w:r>
      <w:r w:rsidRPr="006C76E7">
        <w:t>.</w:t>
      </w:r>
    </w:p>
    <w:p w14:paraId="11AE37DF" w14:textId="77777777" w:rsidR="009A2D89" w:rsidRDefault="009A2D89" w:rsidP="00803F58">
      <w:r w:rsidRPr="006C76E7">
        <w:t xml:space="preserve">Art. </w:t>
      </w:r>
      <w:r>
        <w:t>21</w:t>
      </w:r>
      <w:r w:rsidRPr="006C76E7">
        <w:t>.  O analista</w:t>
      </w:r>
      <w:r>
        <w:t xml:space="preserve"> de valores mobiliários pessoa natural</w:t>
      </w:r>
      <w:r w:rsidRPr="006C76E7">
        <w:t xml:space="preserve"> </w:t>
      </w:r>
      <w:r>
        <w:t xml:space="preserve">signatário do relatório nos termos do art. 20 </w:t>
      </w:r>
      <w:r w:rsidRPr="006C76E7">
        <w:t>deve incluir em todos os seus relatórios de análise, de forma clara e com o devido destaque, declarações:</w:t>
      </w:r>
    </w:p>
    <w:p w14:paraId="5D371C64" w14:textId="77777777" w:rsidR="009A2D89" w:rsidRDefault="009A2D89" w:rsidP="00803F58">
      <w:r w:rsidRPr="006C76E7">
        <w:t xml:space="preserve">I – atestando que as recomendações do relatório de análise refletem única e exclusivamente as suas opiniões pessoais e que foram elaboradas de forma independente, inclusive em relação à pessoa </w:t>
      </w:r>
      <w:r>
        <w:t>jurídica</w:t>
      </w:r>
      <w:r w:rsidRPr="006C76E7">
        <w:t xml:space="preserve"> à qual esteja vinculado, se for o caso; e </w:t>
      </w:r>
    </w:p>
    <w:p w14:paraId="5B662BF6" w14:textId="77777777" w:rsidR="009A2D89" w:rsidRDefault="009A2D89" w:rsidP="00803F58">
      <w:pPr>
        <w:rPr>
          <w:spacing w:val="-2"/>
        </w:rPr>
      </w:pPr>
      <w:r w:rsidRPr="003E079F">
        <w:rPr>
          <w:spacing w:val="-2"/>
        </w:rPr>
        <w:t xml:space="preserve">II – informando o investidor caso </w:t>
      </w:r>
      <w:r>
        <w:rPr>
          <w:spacing w:val="-2"/>
        </w:rPr>
        <w:t>ele</w:t>
      </w:r>
      <w:r w:rsidRPr="003E079F">
        <w:rPr>
          <w:spacing w:val="-2"/>
        </w:rPr>
        <w:t xml:space="preserve"> ou quaisquer dos analistas </w:t>
      </w:r>
      <w:r>
        <w:t>de valores mobiliários</w:t>
      </w:r>
      <w:r w:rsidRPr="003E079F">
        <w:rPr>
          <w:spacing w:val="-2"/>
        </w:rPr>
        <w:t xml:space="preserve"> envolvidos na elaboração do relatório de análise estejam em situação que possa afetar a imparcialidade do relatório ou que configure ou possa configurar conflito de interesses, incluindo, mas não se limitando aos casos em que:</w:t>
      </w:r>
    </w:p>
    <w:p w14:paraId="26AED99D" w14:textId="77777777" w:rsidR="009A2D89" w:rsidRDefault="009A2D89" w:rsidP="00803F58">
      <w:r w:rsidRPr="006C76E7">
        <w:t>a)</w:t>
      </w:r>
      <w:r w:rsidRPr="006C76E7" w:rsidDel="0065605D">
        <w:t xml:space="preserve"> </w:t>
      </w:r>
      <w:r>
        <w:t xml:space="preserve">ele ou quaisquer </w:t>
      </w:r>
      <w:r w:rsidRPr="006C76E7">
        <w:t xml:space="preserve">dos analistas </w:t>
      </w:r>
      <w:r>
        <w:t>de valores mobiliários</w:t>
      </w:r>
      <w:r w:rsidRPr="006C76E7">
        <w:t xml:space="preserve"> envolvidos na elaboração do relatório tenha</w:t>
      </w:r>
      <w:r>
        <w:t>m</w:t>
      </w:r>
      <w:r w:rsidRPr="006C76E7">
        <w:t xml:space="preserve"> vínculo com pessoa natural que trabalhe para o emissor objeto do relatório de análise, esclarecendo a natureza do vínculo;</w:t>
      </w:r>
    </w:p>
    <w:p w14:paraId="36515005" w14:textId="77777777" w:rsidR="009A2D89" w:rsidRDefault="009A2D89" w:rsidP="00803F58">
      <w:r w:rsidRPr="006C76E7">
        <w:t>b)</w:t>
      </w:r>
      <w:r w:rsidRPr="006C76E7" w:rsidDel="0065605D">
        <w:t xml:space="preserve"> </w:t>
      </w:r>
      <w:r>
        <w:t xml:space="preserve">ele ou quaisquer </w:t>
      </w:r>
      <w:r w:rsidRPr="006C76E7">
        <w:t xml:space="preserve">dos analistas </w:t>
      </w:r>
      <w:r>
        <w:t>de valores mobiliários</w:t>
      </w:r>
      <w:r w:rsidRPr="006C76E7">
        <w:t xml:space="preserve"> envolvidos na elaboração, seu</w:t>
      </w:r>
      <w:r>
        <w:t>s</w:t>
      </w:r>
      <w:r w:rsidRPr="006C76E7">
        <w:t xml:space="preserve"> cônjuge</w:t>
      </w:r>
      <w:r>
        <w:t>s</w:t>
      </w:r>
      <w:r w:rsidRPr="006C76E7">
        <w:t xml:space="preserve"> ou companheiro</w:t>
      </w:r>
      <w:r>
        <w:t>s</w:t>
      </w:r>
      <w:r w:rsidRPr="006C76E7">
        <w:t>, seja</w:t>
      </w:r>
      <w:r>
        <w:t>m</w:t>
      </w:r>
      <w:r w:rsidRPr="006C76E7">
        <w:t xml:space="preserve"> direta ou indiretamente, em nome próprio ou de terceiros, titular</w:t>
      </w:r>
      <w:r>
        <w:t>es</w:t>
      </w:r>
      <w:r w:rsidRPr="006C76E7">
        <w:t xml:space="preserve"> de valores mobiliários objeto do relatório de análise;</w:t>
      </w:r>
    </w:p>
    <w:p w14:paraId="4EE5C409" w14:textId="77777777" w:rsidR="009A2D89" w:rsidRDefault="009A2D89" w:rsidP="00803F58">
      <w:r w:rsidRPr="006C76E7">
        <w:lastRenderedPageBreak/>
        <w:t>c)</w:t>
      </w:r>
      <w:r w:rsidRPr="006C76E7" w:rsidDel="0065605D">
        <w:t xml:space="preserve"> </w:t>
      </w:r>
      <w:r>
        <w:t xml:space="preserve">ele ou quaisquer </w:t>
      </w:r>
      <w:r w:rsidRPr="006C76E7">
        <w:t xml:space="preserve">dos analistas </w:t>
      </w:r>
      <w:r>
        <w:t>de valores mobiliários</w:t>
      </w:r>
      <w:r w:rsidRPr="006C76E7">
        <w:t xml:space="preserve"> envolvidos na elaboração, seu</w:t>
      </w:r>
      <w:r>
        <w:t>s</w:t>
      </w:r>
      <w:r w:rsidRPr="006C76E7">
        <w:t xml:space="preserve"> cônjuge</w:t>
      </w:r>
      <w:r>
        <w:t>s</w:t>
      </w:r>
      <w:r w:rsidRPr="006C76E7">
        <w:t xml:space="preserve"> ou companheiro</w:t>
      </w:r>
      <w:r>
        <w:t>s</w:t>
      </w:r>
      <w:r w:rsidRPr="006C76E7">
        <w:t>, esteja</w:t>
      </w:r>
      <w:r>
        <w:t>m</w:t>
      </w:r>
      <w:r w:rsidRPr="006C76E7">
        <w:t xml:space="preserve"> direta ou indiretamente envolvido</w:t>
      </w:r>
      <w:r>
        <w:t>s</w:t>
      </w:r>
      <w:r w:rsidRPr="006C76E7">
        <w:t xml:space="preserve"> na aquisição, alienação ou intermediação dos valores mobiliários objeto do relatório de análise;</w:t>
      </w:r>
    </w:p>
    <w:p w14:paraId="5A007930" w14:textId="77777777" w:rsidR="009A2D89" w:rsidRDefault="009A2D89" w:rsidP="00803F58">
      <w:r w:rsidRPr="006C76E7">
        <w:t>d)</w:t>
      </w:r>
      <w:r w:rsidRPr="006C76E7" w:rsidDel="0065605D">
        <w:t xml:space="preserve"> </w:t>
      </w:r>
      <w:r>
        <w:t xml:space="preserve">ele ou quaisquer </w:t>
      </w:r>
      <w:r w:rsidRPr="006C76E7">
        <w:t xml:space="preserve">dos analistas </w:t>
      </w:r>
      <w:r>
        <w:t>de valores mobiliários</w:t>
      </w:r>
      <w:r w:rsidRPr="006C76E7">
        <w:t xml:space="preserve"> envolvidos na elaboração, seu</w:t>
      </w:r>
      <w:r>
        <w:t>s</w:t>
      </w:r>
      <w:r w:rsidRPr="006C76E7">
        <w:t xml:space="preserve"> cônjuge</w:t>
      </w:r>
      <w:r>
        <w:t>s</w:t>
      </w:r>
      <w:r w:rsidRPr="006C76E7">
        <w:t xml:space="preserve"> ou companheiro</w:t>
      </w:r>
      <w:r>
        <w:t>s</w:t>
      </w:r>
      <w:r w:rsidRPr="006C76E7">
        <w:t>, tenha</w:t>
      </w:r>
      <w:r>
        <w:t>m</w:t>
      </w:r>
      <w:r w:rsidRPr="006C76E7">
        <w:t xml:space="preserve"> direta ou indiretamente, qualquer interesse financeiro em relação ao emissor objeto do relatório de análise, exceto pelo</w:t>
      </w:r>
      <w:r>
        <w:t xml:space="preserve"> disposto no</w:t>
      </w:r>
      <w:r w:rsidRPr="006C76E7">
        <w:t xml:space="preserve"> </w:t>
      </w:r>
      <w:r>
        <w:t>§ 1º</w:t>
      </w:r>
      <w:r w:rsidRPr="006C76E7">
        <w:t xml:space="preserve"> do art. </w:t>
      </w:r>
      <w:r>
        <w:t>13;</w:t>
      </w:r>
      <w:r w:rsidRPr="006C76E7">
        <w:t xml:space="preserve"> e</w:t>
      </w:r>
    </w:p>
    <w:p w14:paraId="390E0EED" w14:textId="77777777" w:rsidR="009A2D89" w:rsidRDefault="009A2D89" w:rsidP="00803F58">
      <w:r w:rsidRPr="006C76E7">
        <w:t>e)</w:t>
      </w:r>
      <w:r w:rsidRPr="006C76E7" w:rsidDel="0065605D">
        <w:t xml:space="preserve"> </w:t>
      </w:r>
      <w:r w:rsidRPr="006C76E7">
        <w:t xml:space="preserve">a </w:t>
      </w:r>
      <w:r>
        <w:t xml:space="preserve">sua </w:t>
      </w:r>
      <w:r w:rsidRPr="006C76E7">
        <w:t xml:space="preserve">remuneração </w:t>
      </w:r>
      <w:r>
        <w:t xml:space="preserve">ou a de quaisquer dos </w:t>
      </w:r>
      <w:r w:rsidRPr="006C76E7">
        <w:t>analista</w:t>
      </w:r>
      <w:r>
        <w:t>s</w:t>
      </w:r>
      <w:r w:rsidRPr="006C76E7">
        <w:t xml:space="preserve"> de valores mobiliários seja, direta ou indiretamente, influenciada pelas receitas provenientes dos negócios e operações financeiras realizadas pela pessoa a que esteja vinculado. </w:t>
      </w:r>
    </w:p>
    <w:p w14:paraId="47CD1169" w14:textId="77777777" w:rsidR="009A2D89" w:rsidRDefault="009A2D89" w:rsidP="00803F58">
      <w:r w:rsidRPr="006C76E7">
        <w:t xml:space="preserve">§ 1º  O analista </w:t>
      </w:r>
      <w:r>
        <w:t>de valores mobiliários</w:t>
      </w:r>
      <w:r w:rsidRPr="006C76E7">
        <w:t xml:space="preserve"> deve </w:t>
      </w:r>
      <w:r>
        <w:t xml:space="preserve">informar o conteúdo das </w:t>
      </w:r>
      <w:r w:rsidRPr="006C76E7">
        <w:t>declarações previstas no inciso II</w:t>
      </w:r>
      <w:r>
        <w:t xml:space="preserve">, caso se verifique uma das situações ali dispostas, </w:t>
      </w:r>
      <w:r w:rsidRPr="006C76E7">
        <w:t>em exposições públicas, apresentações,</w:t>
      </w:r>
      <w:r>
        <w:t xml:space="preserve"> vídeos,</w:t>
      </w:r>
      <w:r w:rsidRPr="006C76E7">
        <w:t xml:space="preserve"> reuniões</w:t>
      </w:r>
      <w:r>
        <w:t>,</w:t>
      </w:r>
      <w:r w:rsidRPr="006C76E7">
        <w:t xml:space="preserve"> conferências telefônicas </w:t>
      </w:r>
      <w:r w:rsidRPr="001B33D8">
        <w:t xml:space="preserve">e quaisquer outras manifestações não escritas </w:t>
      </w:r>
      <w:r w:rsidRPr="006C76E7">
        <w:t>das quais participe para divulgação ou discussão do relatório de análise que tenha elaborado ou cujo conteúdo seja típico de relatório de análise.</w:t>
      </w:r>
    </w:p>
    <w:p w14:paraId="28DFFC99" w14:textId="77777777" w:rsidR="009A2D89" w:rsidRDefault="009A2D89" w:rsidP="00803F58">
      <w:r w:rsidRPr="006C76E7">
        <w:t xml:space="preserve">§ 2º  </w:t>
      </w:r>
      <w:r>
        <w:t xml:space="preserve">O disposto no </w:t>
      </w:r>
      <w:r w:rsidRPr="006C76E7">
        <w:t xml:space="preserve">§ 1º </w:t>
      </w:r>
      <w:r>
        <w:t>não se aplica a:</w:t>
      </w:r>
    </w:p>
    <w:p w14:paraId="3CCC07B9" w14:textId="77777777" w:rsidR="009A2D89" w:rsidRDefault="009A2D89" w:rsidP="00803F58">
      <w:r>
        <w:t xml:space="preserve">I </w:t>
      </w:r>
      <w:r w:rsidRPr="006C76E7">
        <w:t>–</w:t>
      </w:r>
      <w:r>
        <w:t xml:space="preserve"> reuniões com um único cliente ou investidor; ou</w:t>
      </w:r>
    </w:p>
    <w:p w14:paraId="119C2AD5" w14:textId="77777777" w:rsidR="009A2D89" w:rsidRDefault="009A2D89" w:rsidP="00803F58">
      <w:r>
        <w:t xml:space="preserve">II </w:t>
      </w:r>
      <w:r w:rsidRPr="006C76E7">
        <w:t>–</w:t>
      </w:r>
      <w:r>
        <w:t xml:space="preserve"> telefonemas dos quais participem o analista de valores mobiliários, de um lado, e um único cliente ou investidor, de outro.</w:t>
      </w:r>
    </w:p>
    <w:p w14:paraId="0FB7F4C0" w14:textId="77777777" w:rsidR="009A2D89" w:rsidRDefault="009A2D89" w:rsidP="00803F58">
      <w:r>
        <w:t>Art. 22</w:t>
      </w:r>
      <w:r w:rsidRPr="006C76E7">
        <w:t xml:space="preserve">.  </w:t>
      </w:r>
      <w:r w:rsidRPr="00432888">
        <w:t>Os analistas de valo</w:t>
      </w:r>
      <w:r>
        <w:t xml:space="preserve">res mobiliários pessoa jurídica </w:t>
      </w:r>
      <w:r w:rsidRPr="006C76E7">
        <w:t xml:space="preserve">são responsáveis por declarar, sempre que aplicável, de forma clara e com o devido destaque, em todos os relatórios de análise que publicarem, divulgarem ou distribuírem, situações que possam afetar a imparcialidade do relatório de análise ou que configurem ou possam configurar conflito de interesses. </w:t>
      </w:r>
    </w:p>
    <w:p w14:paraId="536FCE96" w14:textId="77777777" w:rsidR="009A2D89" w:rsidRDefault="009A2D89" w:rsidP="00803F58">
      <w:r w:rsidRPr="006C76E7">
        <w:t xml:space="preserve">§ 1º  São exemplos de conflito de interesses, para os fins deste artigo, situações em que </w:t>
      </w:r>
      <w:r>
        <w:t>o</w:t>
      </w:r>
      <w:r w:rsidRPr="00432888">
        <w:t>s analistas de valores mobiliários pessoa jurídica</w:t>
      </w:r>
      <w:r>
        <w:t>,</w:t>
      </w:r>
      <w:r w:rsidRPr="006C76E7">
        <w:t xml:space="preserve"> suas controladas, seus controladores ou sociedades sob controle comum:</w:t>
      </w:r>
    </w:p>
    <w:p w14:paraId="774B3945" w14:textId="77777777" w:rsidR="009A2D89" w:rsidRDefault="009A2D89" w:rsidP="00803F58">
      <w:r w:rsidRPr="006C76E7">
        <w:t>I – tenham participações societárias relevantes no emissor objeto do relatório de análise ou em que o emissor objeto do relatório de análise, suas controladas, seus controladores ou sociedades sob controle comum tenham participações relevantes n</w:t>
      </w:r>
      <w:r>
        <w:t>o</w:t>
      </w:r>
      <w:r w:rsidRPr="006C76E7">
        <w:t>s</w:t>
      </w:r>
      <w:r>
        <w:t xml:space="preserve"> analistas de valores mobiliários pessoa jurídica</w:t>
      </w:r>
      <w:r w:rsidRPr="00B151F2">
        <w:t xml:space="preserve">, </w:t>
      </w:r>
      <w:r w:rsidRPr="006C76E7">
        <w:t>suas controladas, seus controladores ou sociedades sob controle comum;</w:t>
      </w:r>
    </w:p>
    <w:p w14:paraId="21A0F2C3" w14:textId="77777777" w:rsidR="009A2D89" w:rsidRDefault="009A2D89" w:rsidP="00803F58">
      <w:r w:rsidRPr="006C76E7">
        <w:lastRenderedPageBreak/>
        <w:t>II – tenham interesses financeiros e comerciais relevantes em relação ao emissor ou aos valores mobiliários objeto do relatório de análise;</w:t>
      </w:r>
    </w:p>
    <w:p w14:paraId="7F689949" w14:textId="77777777" w:rsidR="009A2D89" w:rsidRDefault="009A2D89" w:rsidP="00803F58">
      <w:r w:rsidRPr="006C76E7">
        <w:t>I</w:t>
      </w:r>
      <w:r>
        <w:t>II</w:t>
      </w:r>
      <w:r w:rsidRPr="006C76E7">
        <w:t xml:space="preserve"> – estejam envolvidas na aquisição, alienação ou intermediação dos valores mobiliários objeto do relatório de análise; e</w:t>
      </w:r>
    </w:p>
    <w:p w14:paraId="6964BDD1" w14:textId="77777777" w:rsidR="009A2D89" w:rsidRDefault="009A2D89" w:rsidP="00803F58">
      <w:r>
        <w:t>I</w:t>
      </w:r>
      <w:r w:rsidRPr="006C76E7">
        <w:t>V – recebam remuneração por</w:t>
      </w:r>
      <w:r>
        <w:t xml:space="preserve"> outros</w:t>
      </w:r>
      <w:r w:rsidRPr="006C76E7">
        <w:t xml:space="preserve"> serviços prestados para o emissor objeto do relatório de análise ou pessoas a ele ligadas.</w:t>
      </w:r>
    </w:p>
    <w:p w14:paraId="2EAE8D0B" w14:textId="77777777" w:rsidR="009A2D89" w:rsidRDefault="009A2D89" w:rsidP="00803F58">
      <w:r w:rsidRPr="006C76E7">
        <w:t xml:space="preserve">§ </w:t>
      </w:r>
      <w:r>
        <w:t>2</w:t>
      </w:r>
      <w:r w:rsidRPr="006C76E7">
        <w:t>º  O analista</w:t>
      </w:r>
      <w:r>
        <w:t xml:space="preserve"> de valores mobiliários pessoa natural atuando em nome de analista de valores mobiliários pessoa jurídica </w:t>
      </w:r>
      <w:r w:rsidRPr="006C76E7">
        <w:t xml:space="preserve">deve </w:t>
      </w:r>
      <w:r>
        <w:t xml:space="preserve">informar o conteúdo das </w:t>
      </w:r>
      <w:r w:rsidRPr="006C76E7">
        <w:t xml:space="preserve">declarações previstas </w:t>
      </w:r>
      <w:r>
        <w:t xml:space="preserve">no </w:t>
      </w:r>
      <w:r w:rsidRPr="00582568">
        <w:rPr>
          <w:b/>
        </w:rPr>
        <w:t>caput</w:t>
      </w:r>
      <w:r w:rsidRPr="006C76E7">
        <w:t xml:space="preserve"> em exposições públicas, apresentações,</w:t>
      </w:r>
      <w:r>
        <w:t xml:space="preserve"> vídeos,</w:t>
      </w:r>
      <w:r w:rsidRPr="006C76E7">
        <w:t xml:space="preserve"> reuniões</w:t>
      </w:r>
      <w:r>
        <w:t>,</w:t>
      </w:r>
      <w:r w:rsidRPr="006C76E7">
        <w:t xml:space="preserve"> conferências telefônicas </w:t>
      </w:r>
      <w:r w:rsidRPr="00F2273D">
        <w:t xml:space="preserve">e quaisquer outras manifestações não escritas </w:t>
      </w:r>
      <w:r w:rsidRPr="006C76E7">
        <w:t>das quais participe para divulgação ou discussão do relatório de análise que tenha elaborado ou cujo conteúdo seja típico de relatório de análise.</w:t>
      </w:r>
    </w:p>
    <w:p w14:paraId="4DE101E1" w14:textId="77777777" w:rsidR="009A2D89" w:rsidRDefault="009A2D89" w:rsidP="00803F58">
      <w:r w:rsidRPr="006C76E7">
        <w:t xml:space="preserve">§ </w:t>
      </w:r>
      <w:r>
        <w:t>3</w:t>
      </w:r>
      <w:r w:rsidRPr="006C76E7">
        <w:t xml:space="preserve">º  </w:t>
      </w:r>
      <w:r>
        <w:t xml:space="preserve">O disposto no </w:t>
      </w:r>
      <w:r w:rsidRPr="006C76E7">
        <w:t xml:space="preserve">§ </w:t>
      </w:r>
      <w:r>
        <w:t>2</w:t>
      </w:r>
      <w:r w:rsidRPr="006C76E7">
        <w:t xml:space="preserve">º </w:t>
      </w:r>
      <w:r>
        <w:t>não se aplica a:</w:t>
      </w:r>
    </w:p>
    <w:p w14:paraId="690B5DA4" w14:textId="77777777" w:rsidR="009A2D89" w:rsidRDefault="009A2D89" w:rsidP="00803F58">
      <w:r>
        <w:t xml:space="preserve">I </w:t>
      </w:r>
      <w:r w:rsidRPr="006C76E7">
        <w:t>–</w:t>
      </w:r>
      <w:r>
        <w:t xml:space="preserve"> reuniões com um único cliente ou investidor; ou</w:t>
      </w:r>
    </w:p>
    <w:p w14:paraId="47C029CD" w14:textId="77777777" w:rsidR="009A2D89" w:rsidRDefault="009A2D89" w:rsidP="00803F58">
      <w:r>
        <w:t xml:space="preserve">II </w:t>
      </w:r>
      <w:r w:rsidRPr="006C76E7">
        <w:t>–</w:t>
      </w:r>
      <w:r>
        <w:t xml:space="preserve"> telefonemas dos quais participem o analista de valores mobiliários, de um lado, e um único cliente ou investidor, de outro.</w:t>
      </w:r>
    </w:p>
    <w:p w14:paraId="3B429ACE" w14:textId="77777777" w:rsidR="009A2D89" w:rsidRDefault="009A2D89" w:rsidP="00803F58">
      <w:r w:rsidRPr="006C76E7">
        <w:t xml:space="preserve">Art. </w:t>
      </w:r>
      <w:r>
        <w:t>23</w:t>
      </w:r>
      <w:r w:rsidRPr="006C76E7">
        <w:t xml:space="preserve">.  </w:t>
      </w:r>
      <w:r>
        <w:t xml:space="preserve">Os analistas de valores mobiliários </w:t>
      </w:r>
      <w:r w:rsidRPr="006C76E7">
        <w:t>são responsáveis por</w:t>
      </w:r>
      <w:r>
        <w:t>:</w:t>
      </w:r>
    </w:p>
    <w:p w14:paraId="114CB567" w14:textId="77777777" w:rsidR="009A2D89" w:rsidRDefault="009A2D89" w:rsidP="00803F58">
      <w:r>
        <w:t xml:space="preserve">I </w:t>
      </w:r>
      <w:r w:rsidRPr="006C76E7">
        <w:t>–</w:t>
      </w:r>
      <w:r>
        <w:t xml:space="preserve"> enviar </w:t>
      </w:r>
      <w:r w:rsidRPr="006C76E7">
        <w:t>os relatórios de análise</w:t>
      </w:r>
      <w:r>
        <w:t xml:space="preserve"> à entidade credenciadora</w:t>
      </w:r>
      <w:r w:rsidRPr="006C76E7">
        <w:t xml:space="preserve">, </w:t>
      </w:r>
      <w:r>
        <w:t>em 3 (três) dias úteis da data em que tais relatórios forem distribuídos</w:t>
      </w:r>
      <w:r w:rsidRPr="006C76E7">
        <w:t>; e</w:t>
      </w:r>
    </w:p>
    <w:p w14:paraId="61DEAA6A" w14:textId="269E6680" w:rsidR="009A2D89" w:rsidRDefault="009A2D89" w:rsidP="00803F58">
      <w:r>
        <w:t>II – manter os relatórios de análise arquivados por 5 (cinco) anos, a contar da data em que tais relatórios forem distribuídos</w:t>
      </w:r>
      <w:r w:rsidR="00342F04">
        <w:t xml:space="preserve">, </w:t>
      </w:r>
      <w:r w:rsidR="03175E02">
        <w:t xml:space="preserve">sem prejuízo </w:t>
      </w:r>
      <w:r w:rsidR="32C2B628">
        <w:t>d</w:t>
      </w:r>
      <w:r w:rsidR="00342F04">
        <w:t>o disposto nos §§ 2º e 3º do art. 5º</w:t>
      </w:r>
      <w:r>
        <w:t>.</w:t>
      </w:r>
    </w:p>
    <w:p w14:paraId="4E067D1E" w14:textId="77777777" w:rsidR="009A2D89" w:rsidRDefault="009A2D89" w:rsidP="00803F58">
      <w:r>
        <w:t>Parágrafo único.  Os analistas de valores mobiliários pessoa natural que atuem exclusivamente vinculados às pessoas jurídicas estão dispensados da obrigação de que trata este artigo, cabendo tal obrigação, nesses casos, às referidas pessoas jurídicas.</w:t>
      </w:r>
    </w:p>
    <w:p w14:paraId="561AA7FC" w14:textId="77777777" w:rsidR="009A2D89" w:rsidRDefault="009A2D89" w:rsidP="00803F58">
      <w:r w:rsidRPr="006C76E7">
        <w:t xml:space="preserve">Art. </w:t>
      </w:r>
      <w:r>
        <w:t>24</w:t>
      </w:r>
      <w:r w:rsidRPr="006C76E7">
        <w:t xml:space="preserve">.  A pessoa que distribuir, no Brasil, relatórios de análise sobre emissores de valores mobiliários negociados no Brasil ou em relação aos quais haja esforço de venda no Brasil, elaborados por analistas </w:t>
      </w:r>
      <w:r>
        <w:t xml:space="preserve">de valores mobiliários </w:t>
      </w:r>
      <w:r w:rsidRPr="006C76E7">
        <w:t xml:space="preserve">residentes e domiciliados em outras jurisdições, é responsável por obter as declarações previstas no art. </w:t>
      </w:r>
      <w:r>
        <w:t>21</w:t>
      </w:r>
      <w:r w:rsidRPr="006C76E7">
        <w:t xml:space="preserve"> e fazer as declarações previstas no art. </w:t>
      </w:r>
      <w:r>
        <w:t>22</w:t>
      </w:r>
      <w:r w:rsidRPr="006C76E7">
        <w:t>.</w:t>
      </w:r>
    </w:p>
    <w:p w14:paraId="60A31408" w14:textId="77777777" w:rsidR="009A2D89" w:rsidRDefault="009A2D89" w:rsidP="00803F58">
      <w:r w:rsidRPr="006C76E7">
        <w:lastRenderedPageBreak/>
        <w:t xml:space="preserve">Parágrafo único.  Os relatórios de análise mencionados no </w:t>
      </w:r>
      <w:r w:rsidRPr="006C76E7">
        <w:rPr>
          <w:b/>
          <w:bCs/>
        </w:rPr>
        <w:t xml:space="preserve">caput </w:t>
      </w:r>
      <w:r w:rsidRPr="006C76E7">
        <w:t>estão dispensados da ex</w:t>
      </w:r>
      <w:r>
        <w:t>igência contida no art. 20.</w:t>
      </w:r>
    </w:p>
    <w:p w14:paraId="3A8956A4" w14:textId="77777777" w:rsidR="009A2D89" w:rsidRPr="007C3219" w:rsidRDefault="009A2D89" w:rsidP="00317690">
      <w:pPr>
        <w:pStyle w:val="Captulo"/>
      </w:pPr>
      <w:r w:rsidRPr="007C3219">
        <w:t>CAPÍTULO V</w:t>
      </w:r>
      <w:r>
        <w:t>I</w:t>
      </w:r>
      <w:r w:rsidRPr="007C3219">
        <w:t xml:space="preserve"> – PENALIDADES </w:t>
      </w:r>
    </w:p>
    <w:p w14:paraId="08D18995" w14:textId="77777777" w:rsidR="009A2D89" w:rsidRDefault="009A2D89" w:rsidP="00317690">
      <w:r w:rsidRPr="006C76E7">
        <w:t xml:space="preserve">Art. </w:t>
      </w:r>
      <w:r>
        <w:t>25</w:t>
      </w:r>
      <w:r w:rsidRPr="006C76E7">
        <w:t xml:space="preserve">.  Constitui infração grave, para efeito do disposto no art. 11, § </w:t>
      </w:r>
      <w:r>
        <w:rPr>
          <w:rFonts w:eastAsia="Times New Roman"/>
        </w:rPr>
        <w:t>3</w:t>
      </w:r>
      <w:r w:rsidRPr="006C76E7">
        <w:rPr>
          <w:rFonts w:eastAsia="Times New Roman"/>
        </w:rPr>
        <w:t>º</w:t>
      </w:r>
      <w:r w:rsidRPr="006C76E7">
        <w:t xml:space="preserve">, da Lei </w:t>
      </w:r>
      <w:r w:rsidRPr="006C76E7">
        <w:rPr>
          <w:rFonts w:eastAsia="Times New Roman"/>
        </w:rPr>
        <w:t>nº</w:t>
      </w:r>
      <w:r w:rsidRPr="006C76E7">
        <w:t xml:space="preserve"> 6.385, de 1976:</w:t>
      </w:r>
    </w:p>
    <w:p w14:paraId="0157538D" w14:textId="77777777" w:rsidR="009A2D89" w:rsidRDefault="009A2D89" w:rsidP="00317690">
      <w:r>
        <w:t xml:space="preserve">I – a inobservância das regras de conduta e das regras, procedimentos e controles internos </w:t>
      </w:r>
      <w:r w:rsidRPr="006C76E7">
        <w:t>estabelecidas no</w:t>
      </w:r>
      <w:r>
        <w:t>s</w:t>
      </w:r>
      <w:r w:rsidRPr="006C76E7">
        <w:t xml:space="preserve"> </w:t>
      </w:r>
      <w:r>
        <w:t>arts. 12 a 17</w:t>
      </w:r>
      <w:r w:rsidRPr="006C76E7">
        <w:t>;</w:t>
      </w:r>
      <w:r>
        <w:t xml:space="preserve"> e</w:t>
      </w:r>
    </w:p>
    <w:p w14:paraId="6ED7D2AA" w14:textId="77777777" w:rsidR="009A2D89" w:rsidRDefault="009A2D89" w:rsidP="00317690">
      <w:r w:rsidRPr="006C76E7">
        <w:t xml:space="preserve">II – a inobservância dos deveres </w:t>
      </w:r>
      <w:r>
        <w:t xml:space="preserve">das entidades credenciadoras </w:t>
      </w:r>
      <w:r w:rsidRPr="006C76E7">
        <w:t xml:space="preserve">estabelecidos nos arts. </w:t>
      </w:r>
      <w:r>
        <w:t>5</w:t>
      </w:r>
      <w:r w:rsidRPr="006C76E7">
        <w:t>º</w:t>
      </w:r>
      <w:r>
        <w:t xml:space="preserve"> a</w:t>
      </w:r>
      <w:r w:rsidRPr="006C76E7">
        <w:t xml:space="preserve"> </w:t>
      </w:r>
      <w:r>
        <w:t>7º</w:t>
      </w:r>
      <w:r w:rsidRPr="006C76E7">
        <w:t>; e</w:t>
      </w:r>
    </w:p>
    <w:p w14:paraId="3656BBFB" w14:textId="77777777" w:rsidR="009A2D89" w:rsidRDefault="009A2D89" w:rsidP="00317690">
      <w:r w:rsidRPr="006C76E7">
        <w:t>III – omitir ou prestar informações falsas para efeitos do cumprimento d</w:t>
      </w:r>
      <w:r>
        <w:t>as declarações constantes d</w:t>
      </w:r>
      <w:r w:rsidRPr="006C76E7">
        <w:t xml:space="preserve">os arts. </w:t>
      </w:r>
      <w:r>
        <w:t>21</w:t>
      </w:r>
      <w:r w:rsidRPr="006C76E7">
        <w:t xml:space="preserve"> e </w:t>
      </w:r>
      <w:r>
        <w:t>22</w:t>
      </w:r>
      <w:r w:rsidRPr="006C76E7">
        <w:t>.</w:t>
      </w:r>
    </w:p>
    <w:p w14:paraId="2F603AEF" w14:textId="25CF1358" w:rsidR="009A2D89" w:rsidRPr="007C3219" w:rsidRDefault="009A2D89" w:rsidP="00317690">
      <w:pPr>
        <w:pStyle w:val="Captulo"/>
      </w:pPr>
      <w:r w:rsidRPr="007C3219">
        <w:t>CAPÍTULO VI</w:t>
      </w:r>
      <w:r>
        <w:t>I</w:t>
      </w:r>
      <w:r w:rsidRPr="007C3219">
        <w:t xml:space="preserve"> - DISPOSIÇÕES FINAIS</w:t>
      </w:r>
    </w:p>
    <w:p w14:paraId="13D85EFC" w14:textId="407C9D13" w:rsidR="00E276A6" w:rsidRPr="00D47353" w:rsidRDefault="00E276A6" w:rsidP="00D47353">
      <w:pPr>
        <w:rPr>
          <w:rFonts w:ascii="Segoe UI" w:hAnsi="Segoe UI"/>
          <w:sz w:val="18"/>
          <w:szCs w:val="18"/>
        </w:rPr>
      </w:pPr>
      <w:r w:rsidRPr="00D47353">
        <w:rPr>
          <w:rStyle w:val="normaltextrun"/>
          <w:rFonts w:cs="Segoe UI"/>
        </w:rPr>
        <w:t xml:space="preserve">Art. </w:t>
      </w:r>
      <w:r w:rsidR="00ED1898" w:rsidRPr="00D47353">
        <w:rPr>
          <w:rStyle w:val="normaltextrun"/>
          <w:rFonts w:cs="Segoe UI"/>
        </w:rPr>
        <w:t>2</w:t>
      </w:r>
      <w:r w:rsidR="0D67B4CA" w:rsidRPr="00D47353">
        <w:rPr>
          <w:rStyle w:val="normaltextrun"/>
          <w:rFonts w:cs="Segoe UI"/>
        </w:rPr>
        <w:t>6</w:t>
      </w:r>
      <w:r w:rsidR="00ED1898" w:rsidRPr="00D47353">
        <w:rPr>
          <w:rStyle w:val="normaltextrun"/>
          <w:rFonts w:cs="Segoe UI"/>
        </w:rPr>
        <w:t xml:space="preserve">.  </w:t>
      </w:r>
      <w:r w:rsidR="5DFDB8D7" w:rsidRPr="00D47353">
        <w:rPr>
          <w:rStyle w:val="normaltextrun"/>
          <w:rFonts w:cs="Segoe UI"/>
        </w:rPr>
        <w:t>F</w:t>
      </w:r>
      <w:r w:rsidRPr="00D47353">
        <w:rPr>
          <w:rStyle w:val="normaltextrun"/>
          <w:rFonts w:cs="Segoe UI"/>
        </w:rPr>
        <w:t>ica</w:t>
      </w:r>
      <w:r w:rsidR="6E60B699" w:rsidRPr="00D47353">
        <w:rPr>
          <w:rStyle w:val="normaltextrun"/>
          <w:rFonts w:cs="Segoe UI"/>
        </w:rPr>
        <w:t>m</w:t>
      </w:r>
      <w:r w:rsidRPr="00D47353">
        <w:rPr>
          <w:rStyle w:val="normaltextrun"/>
          <w:rFonts w:cs="Segoe UI"/>
        </w:rPr>
        <w:t xml:space="preserve"> revogada</w:t>
      </w:r>
      <w:r w:rsidR="27C37AF7" w:rsidRPr="00D47353">
        <w:rPr>
          <w:rStyle w:val="normaltextrun"/>
          <w:rFonts w:cs="Segoe UI"/>
        </w:rPr>
        <w:t>s:</w:t>
      </w:r>
    </w:p>
    <w:p w14:paraId="30B45F98" w14:textId="1D24B76A" w:rsidR="00E276A6" w:rsidRPr="00D47353" w:rsidRDefault="27C37AF7" w:rsidP="00D47353">
      <w:pPr>
        <w:rPr>
          <w:rFonts w:ascii="Segoe UI" w:hAnsi="Segoe UI"/>
          <w:sz w:val="18"/>
          <w:szCs w:val="18"/>
        </w:rPr>
      </w:pPr>
      <w:r w:rsidRPr="00D47353">
        <w:rPr>
          <w:rStyle w:val="normaltextrun"/>
          <w:rFonts w:cs="Segoe UI"/>
        </w:rPr>
        <w:t xml:space="preserve">I </w:t>
      </w:r>
      <w:r w:rsidR="005B5046">
        <w:rPr>
          <w:rStyle w:val="normaltextrun"/>
          <w:rFonts w:cs="Segoe UI"/>
        </w:rPr>
        <w:t>–</w:t>
      </w:r>
      <w:r w:rsidR="00E276A6" w:rsidRPr="00D47353">
        <w:rPr>
          <w:rStyle w:val="normaltextrun"/>
          <w:rFonts w:cs="Segoe UI"/>
        </w:rPr>
        <w:t xml:space="preserve"> </w:t>
      </w:r>
      <w:r w:rsidR="00535696" w:rsidRPr="00D47353">
        <w:rPr>
          <w:rStyle w:val="normaltextrun"/>
          <w:rFonts w:cs="Segoe UI"/>
        </w:rPr>
        <w:t>a</w:t>
      </w:r>
      <w:r w:rsidR="005B5046">
        <w:rPr>
          <w:rStyle w:val="normaltextrun"/>
          <w:rFonts w:cs="Segoe UI"/>
        </w:rPr>
        <w:t xml:space="preserve"> </w:t>
      </w:r>
      <w:r w:rsidR="00E276A6" w:rsidRPr="00D47353">
        <w:rPr>
          <w:rStyle w:val="normaltextrun"/>
          <w:rFonts w:cs="Segoe UI"/>
        </w:rPr>
        <w:t>Instruç</w:t>
      </w:r>
      <w:r w:rsidR="00535696" w:rsidRPr="00D47353">
        <w:rPr>
          <w:rStyle w:val="normaltextrun"/>
          <w:rFonts w:cs="Segoe UI"/>
        </w:rPr>
        <w:t>ão CVM n</w:t>
      </w:r>
      <w:r w:rsidR="00535696" w:rsidRPr="00D47353">
        <w:rPr>
          <w:rFonts w:eastAsia="Times New Roman"/>
        </w:rPr>
        <w:t>º 598, de</w:t>
      </w:r>
      <w:r w:rsidR="00535696" w:rsidRPr="00D47353">
        <w:rPr>
          <w:rStyle w:val="normaltextrun"/>
          <w:rFonts w:cs="Segoe UI"/>
        </w:rPr>
        <w:t xml:space="preserve"> 3 de maio de 2018</w:t>
      </w:r>
      <w:r w:rsidR="7ACFF80D" w:rsidRPr="00D47353">
        <w:rPr>
          <w:rStyle w:val="normaltextrun"/>
          <w:rFonts w:cs="Segoe UI"/>
        </w:rPr>
        <w:t>;</w:t>
      </w:r>
      <w:r w:rsidR="2CEE80C1" w:rsidRPr="00D47353">
        <w:rPr>
          <w:rStyle w:val="normaltextrun"/>
          <w:rFonts w:cs="Segoe UI"/>
        </w:rPr>
        <w:t xml:space="preserve"> e</w:t>
      </w:r>
    </w:p>
    <w:p w14:paraId="2647D873" w14:textId="00C6A485" w:rsidR="00E276A6" w:rsidRPr="00D47353" w:rsidRDefault="7E4001F2" w:rsidP="00D47353">
      <w:pPr>
        <w:rPr>
          <w:rFonts w:ascii="Segoe UI" w:hAnsi="Segoe UI"/>
          <w:sz w:val="18"/>
          <w:szCs w:val="18"/>
        </w:rPr>
      </w:pPr>
      <w:r w:rsidRPr="00D47353">
        <w:rPr>
          <w:rStyle w:val="eop"/>
          <w:rFonts w:ascii="Calibri" w:hAnsi="Calibri" w:cs="Segoe UI"/>
        </w:rPr>
        <w:t>II – a Deliberação CVM nº 6</w:t>
      </w:r>
      <w:r w:rsidR="1A76BB7F" w:rsidRPr="00D47353">
        <w:rPr>
          <w:rStyle w:val="eop"/>
          <w:rFonts w:ascii="Calibri" w:hAnsi="Calibri" w:cs="Segoe UI"/>
        </w:rPr>
        <w:t>3</w:t>
      </w:r>
      <w:r w:rsidRPr="00D47353">
        <w:rPr>
          <w:rStyle w:val="eop"/>
          <w:rFonts w:ascii="Calibri" w:hAnsi="Calibri" w:cs="Segoe UI"/>
        </w:rPr>
        <w:t>3, de 6 de julho de 2010.</w:t>
      </w:r>
      <w:r w:rsidR="00E276A6" w:rsidRPr="00D47353">
        <w:rPr>
          <w:rStyle w:val="eop"/>
          <w:rFonts w:ascii="Calibri" w:hAnsi="Calibri" w:cs="Segoe UI"/>
        </w:rPr>
        <w:t> </w:t>
      </w:r>
    </w:p>
    <w:p w14:paraId="558DF3F8" w14:textId="764CE106" w:rsidR="00E276A6" w:rsidRDefault="679EB6FA" w:rsidP="00D47353">
      <w:r w:rsidRPr="00D47353">
        <w:t xml:space="preserve">Art. 27.  Esta Resolução entra em vigor em </w:t>
      </w:r>
      <w:r w:rsidR="00351E89">
        <w:t xml:space="preserve">1º de </w:t>
      </w:r>
      <w:r w:rsidR="005B5046">
        <w:t>abril</w:t>
      </w:r>
      <w:r w:rsidR="00351E89">
        <w:t xml:space="preserve"> de 2021.</w:t>
      </w:r>
    </w:p>
    <w:p w14:paraId="2AFCEFFF" w14:textId="3771D1E8" w:rsidR="00E276A6" w:rsidRDefault="00E276A6" w:rsidP="00E276A6">
      <w:pPr>
        <w:rPr>
          <w:rFonts w:ascii="Segoe UI" w:hAnsi="Segoe UI" w:cs="Segoe UI"/>
          <w:sz w:val="18"/>
          <w:szCs w:val="18"/>
        </w:rPr>
      </w:pPr>
      <w:r w:rsidRPr="6E2AAF37">
        <w:rPr>
          <w:rStyle w:val="eop"/>
          <w:rFonts w:ascii="Calibri" w:hAnsi="Calibri" w:cs="Segoe UI"/>
        </w:rPr>
        <w:t> </w:t>
      </w:r>
    </w:p>
    <w:p w14:paraId="779CD450" w14:textId="13C24848" w:rsidR="009A2D89" w:rsidRPr="00317690" w:rsidRDefault="00742F3F" w:rsidP="009A2D89">
      <w:pPr>
        <w:pStyle w:val="Ttulo2"/>
        <w:spacing w:before="0" w:after="0" w:line="312" w:lineRule="auto"/>
        <w:ind w:firstLine="0"/>
        <w:jc w:val="center"/>
        <w:rPr>
          <w:rFonts w:asciiTheme="minorHAnsi" w:hAnsiTheme="minorHAnsi"/>
          <w:b w:val="0"/>
          <w:bCs w:val="0"/>
          <w:i/>
          <w:szCs w:val="24"/>
        </w:rPr>
      </w:pPr>
      <w:r>
        <w:rPr>
          <w:rFonts w:asciiTheme="minorHAnsi" w:hAnsiTheme="minorHAnsi"/>
          <w:b w:val="0"/>
          <w:bCs w:val="0"/>
          <w:i/>
          <w:szCs w:val="24"/>
        </w:rPr>
        <w:t>A</w:t>
      </w:r>
      <w:r w:rsidR="009A2D89" w:rsidRPr="00317690">
        <w:rPr>
          <w:rFonts w:asciiTheme="minorHAnsi" w:hAnsiTheme="minorHAnsi"/>
          <w:b w:val="0"/>
          <w:bCs w:val="0"/>
          <w:i/>
          <w:szCs w:val="24"/>
        </w:rPr>
        <w:t xml:space="preserve">ssinado </w:t>
      </w:r>
      <w:r w:rsidR="009D4032">
        <w:rPr>
          <w:rFonts w:asciiTheme="minorHAnsi" w:hAnsiTheme="minorHAnsi"/>
          <w:b w:val="0"/>
          <w:bCs w:val="0"/>
          <w:i/>
          <w:szCs w:val="24"/>
        </w:rPr>
        <w:t xml:space="preserve">eletronicamente </w:t>
      </w:r>
      <w:r w:rsidR="009A2D89" w:rsidRPr="00317690">
        <w:rPr>
          <w:rFonts w:asciiTheme="minorHAnsi" w:hAnsiTheme="minorHAnsi"/>
          <w:b w:val="0"/>
          <w:bCs w:val="0"/>
          <w:i/>
          <w:szCs w:val="24"/>
        </w:rPr>
        <w:t>por</w:t>
      </w:r>
    </w:p>
    <w:p w14:paraId="568A00AA" w14:textId="77777777" w:rsidR="009A2D89" w:rsidRPr="00317690" w:rsidRDefault="009A2D89" w:rsidP="009A2D89">
      <w:pPr>
        <w:pStyle w:val="Ttulo2"/>
        <w:spacing w:before="0" w:after="0" w:line="312" w:lineRule="auto"/>
        <w:ind w:firstLine="0"/>
        <w:jc w:val="center"/>
        <w:rPr>
          <w:rFonts w:asciiTheme="minorHAnsi" w:hAnsiTheme="minorHAnsi"/>
          <w:smallCaps/>
          <w:szCs w:val="24"/>
        </w:rPr>
      </w:pPr>
      <w:r w:rsidRPr="00317690">
        <w:rPr>
          <w:rFonts w:asciiTheme="minorHAnsi" w:hAnsiTheme="minorHAnsi"/>
          <w:bCs w:val="0"/>
          <w:szCs w:val="24"/>
        </w:rPr>
        <w:t>Marcelo Barbosa</w:t>
      </w:r>
    </w:p>
    <w:p w14:paraId="0748607D" w14:textId="77777777" w:rsidR="009A2D89" w:rsidRPr="00317690" w:rsidRDefault="009A2D89" w:rsidP="009A2D89">
      <w:pPr>
        <w:pStyle w:val="Corpodetexto"/>
        <w:spacing w:before="0" w:beforeAutospacing="0" w:after="0" w:afterAutospacing="0" w:line="312" w:lineRule="auto"/>
        <w:jc w:val="center"/>
        <w:rPr>
          <w:rFonts w:asciiTheme="minorHAnsi" w:hAnsiTheme="minorHAnsi"/>
        </w:rPr>
      </w:pPr>
      <w:r w:rsidRPr="00317690">
        <w:rPr>
          <w:rFonts w:asciiTheme="minorHAnsi" w:hAnsiTheme="minorHAnsi"/>
        </w:rPr>
        <w:t>Presidente</w:t>
      </w:r>
    </w:p>
    <w:p w14:paraId="384CDC1D" w14:textId="77777777" w:rsidR="009A2D89" w:rsidRDefault="009A2D89" w:rsidP="00ED1FB4"/>
    <w:p w14:paraId="196F166D" w14:textId="77777777" w:rsidR="00E25581" w:rsidRDefault="00E25581">
      <w:pPr>
        <w:spacing w:before="0" w:after="200" w:line="276" w:lineRule="auto"/>
        <w:ind w:firstLine="0"/>
        <w:jc w:val="left"/>
      </w:pPr>
      <w:r>
        <w:br w:type="page"/>
      </w:r>
    </w:p>
    <w:p w14:paraId="55BC1C21" w14:textId="4D389E39" w:rsidR="00ED1FB4" w:rsidRDefault="00E25581" w:rsidP="00C1691E">
      <w:pPr>
        <w:pStyle w:val="TtulodaResoluo"/>
      </w:pPr>
      <w:r>
        <w:lastRenderedPageBreak/>
        <w:t xml:space="preserve">Anexo </w:t>
      </w:r>
      <w:r w:rsidR="67C9A464">
        <w:t>A</w:t>
      </w:r>
      <w:r>
        <w:t xml:space="preserve"> à Resolução </w:t>
      </w:r>
      <w:r w:rsidR="009B69B0">
        <w:t xml:space="preserve">CVM nº </w:t>
      </w:r>
      <w:sdt>
        <w:sdtPr>
          <w:alias w:val="Título"/>
          <w:tag w:val=""/>
          <w:id w:val="-1844390304"/>
          <w:placeholder>
            <w:docPart w:val="91CB07EFFAAEB94AB75E117073F4342D"/>
          </w:placeholder>
          <w:dataBinding w:prefixMappings="xmlns:ns0='http://purl.org/dc/elements/1.1/' xmlns:ns1='http://schemas.openxmlformats.org/package/2006/metadata/core-properties' " w:xpath="/ns1:coreProperties[1]/ns0:title[1]" w:storeItemID="{6C3C8BC8-F283-45AE-878A-BAB7291924A1}"/>
          <w:text/>
        </w:sdtPr>
        <w:sdtEndPr/>
        <w:sdtContent>
          <w:r w:rsidR="00E2620A">
            <w:t>20, DE 25 de fevereiro de 2021</w:t>
          </w:r>
        </w:sdtContent>
      </w:sdt>
    </w:p>
    <w:p w14:paraId="3A9C8BD6" w14:textId="5545AC68" w:rsidR="00ED1FB4" w:rsidRPr="009B1658" w:rsidRDefault="5B40361C">
      <w:pPr>
        <w:rPr>
          <w:rStyle w:val="normaltextrun"/>
          <w:rFonts w:cs="Segoe UI"/>
        </w:rPr>
      </w:pPr>
      <w:r w:rsidRPr="009B1658">
        <w:rPr>
          <w:rStyle w:val="normaltextrun"/>
          <w:rFonts w:cs="Segoe UI"/>
          <w:i/>
          <w:iCs/>
        </w:rPr>
        <w:t>E</w:t>
      </w:r>
      <w:r w:rsidR="566C8CC2" w:rsidRPr="009B1658">
        <w:rPr>
          <w:rStyle w:val="normaltextrun"/>
          <w:rFonts w:cs="Segoe UI"/>
          <w:i/>
          <w:iCs/>
        </w:rPr>
        <w:t>xames para a comprovação de qualificação técnica no processo de credenciamento de analistas de valores mobiliários.</w:t>
      </w:r>
    </w:p>
    <w:p w14:paraId="1AB41404" w14:textId="637F119D" w:rsidR="00ED1FB4" w:rsidRPr="00D47353" w:rsidRDefault="566C8CC2" w:rsidP="00D47353">
      <w:pPr>
        <w:rPr>
          <w:rStyle w:val="normaltextrun"/>
          <w:rFonts w:cs="Segoe UI"/>
        </w:rPr>
      </w:pPr>
      <w:r w:rsidRPr="00D47353">
        <w:rPr>
          <w:rStyle w:val="normaltextrun"/>
          <w:rFonts w:cs="Segoe UI"/>
        </w:rPr>
        <w:t>Art. 1º  As entidades credenciadoras de analista de valores mobiliários devem aceitar os seguintes exames na aferição da qualificação técnica dos candidatos a analistas:</w:t>
      </w:r>
    </w:p>
    <w:p w14:paraId="4E3BCDD7" w14:textId="51F30B73" w:rsidR="00ED1FB4" w:rsidRPr="00D47353" w:rsidRDefault="566C8CC2" w:rsidP="00D47353">
      <w:pPr>
        <w:rPr>
          <w:rStyle w:val="normaltextrun"/>
          <w:rFonts w:cs="Segoe UI"/>
        </w:rPr>
      </w:pPr>
      <w:r w:rsidRPr="00D47353">
        <w:rPr>
          <w:rStyle w:val="normaltextrun"/>
          <w:rFonts w:cs="Segoe UI"/>
        </w:rPr>
        <w:t xml:space="preserve"> I – </w:t>
      </w:r>
      <w:r w:rsidRPr="00D47353">
        <w:rPr>
          <w:rStyle w:val="normaltextrun"/>
          <w:rFonts w:cs="Segoe UI"/>
          <w:b/>
        </w:rPr>
        <w:t>Exam 1</w:t>
      </w:r>
      <w:r w:rsidRPr="00D47353">
        <w:rPr>
          <w:rStyle w:val="normaltextrun"/>
          <w:rFonts w:cs="Segoe UI"/>
        </w:rPr>
        <w:t xml:space="preserve"> do </w:t>
      </w:r>
      <w:r w:rsidRPr="00D47353">
        <w:rPr>
          <w:rStyle w:val="normaltextrun"/>
          <w:rFonts w:cs="Segoe UI"/>
          <w:b/>
        </w:rPr>
        <w:t>Foundation Level</w:t>
      </w:r>
      <w:r w:rsidRPr="00D47353">
        <w:rPr>
          <w:rStyle w:val="normaltextrun"/>
          <w:rFonts w:cs="Segoe UI"/>
        </w:rPr>
        <w:t xml:space="preserve"> do programa de certificação internacional para profissionais de investimentos organizado por quaisquer dos membros da </w:t>
      </w:r>
      <w:r w:rsidRPr="00D47353">
        <w:rPr>
          <w:rStyle w:val="normaltextrun"/>
          <w:rFonts w:cs="Segoe UI"/>
          <w:b/>
          <w:bCs/>
        </w:rPr>
        <w:t>ACIIA</w:t>
      </w:r>
      <w:r w:rsidRPr="00D47353">
        <w:rPr>
          <w:rStyle w:val="normaltextrun"/>
          <w:rFonts w:cs="Segoe UI"/>
        </w:rPr>
        <w:t xml:space="preserve"> - </w:t>
      </w:r>
      <w:r w:rsidRPr="00D47353">
        <w:rPr>
          <w:rStyle w:val="normaltextrun"/>
          <w:rFonts w:cs="Segoe UI"/>
          <w:b/>
        </w:rPr>
        <w:t>Association of Certified International Investment Analysts</w:t>
      </w:r>
      <w:r w:rsidRPr="00D47353">
        <w:rPr>
          <w:rStyle w:val="normaltextrun"/>
          <w:rFonts w:cs="Segoe UI"/>
        </w:rPr>
        <w:t xml:space="preserve">; </w:t>
      </w:r>
    </w:p>
    <w:p w14:paraId="696D7FFD" w14:textId="6D416F6F" w:rsidR="00ED1FB4" w:rsidRPr="00D47353" w:rsidRDefault="566C8CC2" w:rsidP="00D47353">
      <w:pPr>
        <w:rPr>
          <w:rStyle w:val="normaltextrun"/>
          <w:rFonts w:cs="Segoe UI"/>
        </w:rPr>
      </w:pPr>
      <w:r w:rsidRPr="00D47353">
        <w:rPr>
          <w:rStyle w:val="normaltextrun"/>
          <w:rFonts w:cs="Segoe UI"/>
        </w:rPr>
        <w:t xml:space="preserve"> II – </w:t>
      </w:r>
      <w:r w:rsidRPr="00D47353">
        <w:rPr>
          <w:rStyle w:val="normaltextrun"/>
          <w:rFonts w:cs="Segoe UI"/>
          <w:b/>
        </w:rPr>
        <w:t>Levels</w:t>
      </w:r>
      <w:r w:rsidRPr="00D47353">
        <w:rPr>
          <w:rStyle w:val="normaltextrun"/>
          <w:rFonts w:cs="Segoe UI"/>
          <w:b/>
          <w:bCs/>
        </w:rPr>
        <w:t xml:space="preserve"> </w:t>
      </w:r>
      <w:r w:rsidRPr="00D47353">
        <w:rPr>
          <w:rStyle w:val="normaltextrun"/>
          <w:rFonts w:cs="Segoe UI"/>
          <w:b/>
        </w:rPr>
        <w:t>I</w:t>
      </w:r>
      <w:r w:rsidRPr="00D47353">
        <w:rPr>
          <w:rStyle w:val="normaltextrun"/>
          <w:rFonts w:cs="Segoe UI"/>
          <w:b/>
          <w:bCs/>
        </w:rPr>
        <w:t xml:space="preserve"> e </w:t>
      </w:r>
      <w:r w:rsidRPr="00D47353">
        <w:rPr>
          <w:rStyle w:val="normaltextrun"/>
          <w:rFonts w:cs="Segoe UI"/>
          <w:b/>
        </w:rPr>
        <w:t>II</w:t>
      </w:r>
      <w:r w:rsidRPr="00D47353">
        <w:rPr>
          <w:rStyle w:val="normaltextrun"/>
          <w:rFonts w:cs="Segoe UI"/>
        </w:rPr>
        <w:t xml:space="preserve"> do programa de certificação </w:t>
      </w:r>
      <w:r w:rsidRPr="00D47353">
        <w:rPr>
          <w:rStyle w:val="normaltextrun"/>
          <w:rFonts w:cs="Segoe UI"/>
          <w:b/>
        </w:rPr>
        <w:t>Chartered Financial Analyst</w:t>
      </w:r>
      <w:r w:rsidRPr="00D47353">
        <w:rPr>
          <w:rStyle w:val="normaltextrun"/>
          <w:rFonts w:cs="Segoe UI"/>
        </w:rPr>
        <w:t xml:space="preserve"> – </w:t>
      </w:r>
      <w:r w:rsidRPr="00D47353">
        <w:rPr>
          <w:rStyle w:val="normaltextrun"/>
          <w:rFonts w:cs="Segoe UI"/>
          <w:b/>
          <w:bCs/>
        </w:rPr>
        <w:t xml:space="preserve">CFA </w:t>
      </w:r>
      <w:r w:rsidRPr="00D47353">
        <w:rPr>
          <w:rStyle w:val="normaltextrun"/>
          <w:rFonts w:cs="Segoe UI"/>
          <w:bCs/>
        </w:rPr>
        <w:t>organizado pelo</w:t>
      </w:r>
      <w:r w:rsidRPr="00D47353">
        <w:rPr>
          <w:rStyle w:val="normaltextrun"/>
          <w:rFonts w:cs="Segoe UI"/>
          <w:b/>
          <w:bCs/>
        </w:rPr>
        <w:t xml:space="preserve"> CFA</w:t>
      </w:r>
      <w:r w:rsidRPr="00D47353">
        <w:rPr>
          <w:rStyle w:val="normaltextrun"/>
          <w:rFonts w:cs="Segoe UI"/>
        </w:rPr>
        <w:t xml:space="preserve"> </w:t>
      </w:r>
      <w:r w:rsidRPr="00D47353">
        <w:rPr>
          <w:rStyle w:val="normaltextrun"/>
          <w:rFonts w:cs="Segoe UI"/>
          <w:b/>
        </w:rPr>
        <w:t>Institute</w:t>
      </w:r>
      <w:r w:rsidRPr="00D47353">
        <w:rPr>
          <w:rStyle w:val="normaltextrun"/>
          <w:rFonts w:cs="Segoe UI"/>
        </w:rPr>
        <w:t>; e</w:t>
      </w:r>
    </w:p>
    <w:p w14:paraId="5418951F" w14:textId="740B0BC6" w:rsidR="00ED1FB4" w:rsidRPr="00D47353" w:rsidRDefault="566C8CC2" w:rsidP="00D47353">
      <w:pPr>
        <w:rPr>
          <w:rStyle w:val="normaltextrun"/>
          <w:rFonts w:cs="Segoe UI"/>
        </w:rPr>
      </w:pPr>
      <w:r w:rsidRPr="00D47353">
        <w:rPr>
          <w:rStyle w:val="normaltextrun"/>
          <w:rFonts w:cs="Segoe UI"/>
        </w:rPr>
        <w:t xml:space="preserve"> III – </w:t>
      </w:r>
      <w:r w:rsidRPr="00D47353">
        <w:rPr>
          <w:rStyle w:val="normaltextrun"/>
          <w:rFonts w:cs="Segoe UI"/>
          <w:b/>
        </w:rPr>
        <w:t>Series 86</w:t>
      </w:r>
      <w:r w:rsidRPr="00D47353">
        <w:rPr>
          <w:rStyle w:val="normaltextrun"/>
          <w:rFonts w:cs="Segoe UI"/>
        </w:rPr>
        <w:t xml:space="preserve"> do programa de qualificação de analistas organizado pela </w:t>
      </w:r>
      <w:r w:rsidRPr="00D47353">
        <w:rPr>
          <w:rStyle w:val="normaltextrun"/>
          <w:rFonts w:cs="Segoe UI"/>
          <w:b/>
        </w:rPr>
        <w:t>Financial Industry Regulatory Authority</w:t>
      </w:r>
      <w:r w:rsidR="00D47353">
        <w:rPr>
          <w:rStyle w:val="normaltextrun"/>
          <w:rFonts w:cs="Segoe UI"/>
          <w:b/>
        </w:rPr>
        <w:t xml:space="preserve"> </w:t>
      </w:r>
      <w:r w:rsidR="00D47353" w:rsidRPr="00D47353">
        <w:rPr>
          <w:rStyle w:val="normaltextrun"/>
          <w:rFonts w:cs="Segoe UI"/>
        </w:rPr>
        <w:t>-</w:t>
      </w:r>
      <w:r w:rsidR="00D47353" w:rsidRPr="00D47353">
        <w:rPr>
          <w:rStyle w:val="normaltextrun"/>
          <w:rFonts w:cs="Segoe UI"/>
          <w:b/>
        </w:rPr>
        <w:t xml:space="preserve"> FINRA</w:t>
      </w:r>
      <w:r w:rsidRPr="00D47353">
        <w:rPr>
          <w:rStyle w:val="normaltextrun"/>
          <w:rFonts w:cs="Segoe UI"/>
        </w:rPr>
        <w:t>.</w:t>
      </w:r>
    </w:p>
    <w:p w14:paraId="27A4B5E6" w14:textId="38E3C0A8" w:rsidR="00ED1FB4" w:rsidRPr="00D47353" w:rsidRDefault="566C8CC2" w:rsidP="00D47353">
      <w:pPr>
        <w:rPr>
          <w:rStyle w:val="normaltextrun"/>
          <w:rFonts w:cs="Segoe UI"/>
        </w:rPr>
      </w:pPr>
      <w:r w:rsidRPr="006243B7">
        <w:rPr>
          <w:rStyle w:val="normaltextrun"/>
          <w:rFonts w:cs="Segoe UI"/>
        </w:rPr>
        <w:t xml:space="preserve"> Parágrafo único.  Além da aprovação em qualquer dos exames mencionados nos incisos I a III, as entidades credenciadoras devem exigir a aprovação dos candidatos em exames que avaliem o conhecimento do mercado </w:t>
      </w:r>
      <w:r w:rsidR="19E88DF7" w:rsidRPr="006243B7">
        <w:rPr>
          <w:rStyle w:val="normaltextrun"/>
          <w:rFonts w:cs="Segoe UI"/>
        </w:rPr>
        <w:t xml:space="preserve">de valores mobiliários </w:t>
      </w:r>
      <w:r w:rsidRPr="006243B7">
        <w:rPr>
          <w:rStyle w:val="normaltextrun"/>
          <w:rFonts w:cs="Segoe UI"/>
        </w:rPr>
        <w:t>e da legislação nacional</w:t>
      </w:r>
      <w:r w:rsidR="011E7BB6" w:rsidRPr="02776818">
        <w:rPr>
          <w:rStyle w:val="normaltextrun"/>
          <w:rFonts w:cs="Segoe UI"/>
        </w:rPr>
        <w:t xml:space="preserve"> acerca deste</w:t>
      </w:r>
      <w:r w:rsidRPr="02776818">
        <w:rPr>
          <w:rStyle w:val="normaltextrun"/>
          <w:rFonts w:cs="Segoe UI"/>
        </w:rPr>
        <w:t>.</w:t>
      </w:r>
    </w:p>
    <w:p w14:paraId="29265D12" w14:textId="022F2FD5" w:rsidR="00ED1FB4" w:rsidRPr="00D47353" w:rsidRDefault="00ED1FB4">
      <w:pPr>
        <w:rPr>
          <w:rStyle w:val="normaltextrun"/>
          <w:rFonts w:cs="Segoe UI"/>
          <w:color w:val="D13438"/>
          <w:u w:val="single"/>
        </w:rPr>
      </w:pPr>
    </w:p>
    <w:sectPr w:rsidR="00ED1FB4" w:rsidRPr="00D47353" w:rsidSect="00E25581">
      <w:headerReference w:type="even" r:id="rId11"/>
      <w:headerReference w:type="default" r:id="rId12"/>
      <w:footerReference w:type="even" r:id="rId13"/>
      <w:footerReference w:type="default" r:id="rId14"/>
      <w:headerReference w:type="first" r:id="rId15"/>
      <w:footerReference w:type="first" r:id="rId16"/>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B2207" w14:textId="77777777" w:rsidR="00CD55C0" w:rsidRDefault="00CD55C0" w:rsidP="00ED1FB4">
      <w:r>
        <w:separator/>
      </w:r>
    </w:p>
  </w:endnote>
  <w:endnote w:type="continuationSeparator" w:id="0">
    <w:p w14:paraId="389C3FC7" w14:textId="77777777" w:rsidR="00CD55C0" w:rsidRDefault="00CD55C0" w:rsidP="00ED1FB4">
      <w:r>
        <w:continuationSeparator/>
      </w:r>
    </w:p>
  </w:endnote>
  <w:endnote w:type="continuationNotice" w:id="1">
    <w:p w14:paraId="1E3F3208" w14:textId="77777777" w:rsidR="00CD55C0" w:rsidRDefault="00CD55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2DF3" w14:textId="77777777" w:rsidR="00BF3577" w:rsidRDefault="00BF357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E955" w14:textId="77777777" w:rsidR="00BF3577" w:rsidRDefault="00BF357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06A2" w14:textId="77777777" w:rsidR="00BF3577" w:rsidRDefault="00BF357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D6D80" w14:textId="77777777" w:rsidR="00CD55C0" w:rsidRDefault="00CD55C0" w:rsidP="00ED1FB4">
      <w:r>
        <w:separator/>
      </w:r>
    </w:p>
  </w:footnote>
  <w:footnote w:type="continuationSeparator" w:id="0">
    <w:p w14:paraId="2DC8E77D" w14:textId="77777777" w:rsidR="00CD55C0" w:rsidRDefault="00CD55C0" w:rsidP="00ED1FB4">
      <w:r>
        <w:continuationSeparator/>
      </w:r>
    </w:p>
  </w:footnote>
  <w:footnote w:type="continuationNotice" w:id="1">
    <w:p w14:paraId="3FD138A5" w14:textId="77777777" w:rsidR="00CD55C0" w:rsidRDefault="00CD55C0">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7CEB" w14:textId="77777777" w:rsidR="00BF3577" w:rsidRDefault="00BF3577">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22DC" w14:textId="77777777" w:rsidR="00E276A6" w:rsidRPr="00ED1FB4" w:rsidRDefault="042C3901" w:rsidP="004D68A2">
    <w:pPr>
      <w:pStyle w:val="Rodap"/>
    </w:pPr>
    <w:r>
      <w:drawing>
        <wp:inline distT="0" distB="0" distL="0" distR="0" wp14:anchorId="33EB9345" wp14:editId="56B96487">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7C821CC6" w14:textId="77777777" w:rsidR="00E276A6" w:rsidRPr="004D68A2" w:rsidRDefault="00E276A6" w:rsidP="004D68A2">
    <w:pPr>
      <w:pStyle w:val="Rodap"/>
      <w:rPr>
        <w:b/>
        <w:sz w:val="24"/>
        <w:szCs w:val="24"/>
      </w:rPr>
    </w:pPr>
    <w:r w:rsidRPr="004D68A2">
      <w:rPr>
        <w:b/>
        <w:sz w:val="24"/>
        <w:szCs w:val="24"/>
      </w:rPr>
      <w:t>COMISSÃO DE VALORES MOBILIÁRIOS</w:t>
    </w:r>
  </w:p>
  <w:p w14:paraId="2696C361" w14:textId="77777777" w:rsidR="00E276A6" w:rsidRPr="00ED1FB4" w:rsidRDefault="00E276A6" w:rsidP="004D68A2">
    <w:pPr>
      <w:pStyle w:val="Rodap"/>
    </w:pPr>
    <w:r w:rsidRPr="00ED1FB4">
      <w:t>Rua Sete de Setembro, 111/2-5º e 23-34º Andares, Centro, Rio de Janeiro/RJ – CEP: 20050-901 – Brasil - Tel.: (21) 3554-8686</w:t>
    </w:r>
  </w:p>
  <w:p w14:paraId="00D22600" w14:textId="77777777" w:rsidR="00E276A6" w:rsidRPr="004D68A2" w:rsidRDefault="00E276A6" w:rsidP="004D68A2">
    <w:pPr>
      <w:pStyle w:val="Rodap"/>
    </w:pPr>
    <w:r w:rsidRPr="004D68A2">
      <w:t>Rua Cincinato Braga, 340/2º, 3º e 4º Andares, Bela Vista, São Paulo/ SP – CEP: 01333-010 – Brasil - Tel.: (11) 2146-2000</w:t>
    </w:r>
  </w:p>
  <w:p w14:paraId="19088599" w14:textId="77777777" w:rsidR="00E276A6" w:rsidRPr="00ED1FB4" w:rsidRDefault="00E276A6" w:rsidP="004D68A2">
    <w:pPr>
      <w:pStyle w:val="Rodap"/>
    </w:pPr>
    <w:r w:rsidRPr="00ED1FB4">
      <w:t>SCN Q.02 – Bl. A – Ed. Corporate Financial Center, S.404/4º Andar, Brasília/DF – CEP: 70712-900 – Brasil -Tel.: (61) 3327-2030/2031</w:t>
    </w:r>
  </w:p>
  <w:p w14:paraId="76FA0FE1" w14:textId="77777777" w:rsidR="00E276A6" w:rsidRDefault="00CD55C0" w:rsidP="00E25581">
    <w:pPr>
      <w:pStyle w:val="Rodap"/>
      <w:spacing w:after="240"/>
    </w:pPr>
    <w:hyperlink r:id="rId2" w:history="1">
      <w:r w:rsidR="00E276A6" w:rsidRPr="00ED1FB4">
        <w:rPr>
          <w:rStyle w:val="Hyperlink"/>
        </w:rPr>
        <w:t>www.cvm.gov.br</w:t>
      </w:r>
    </w:hyperlink>
  </w:p>
  <w:p w14:paraId="72401326" w14:textId="6ECDAF0C" w:rsidR="00E276A6" w:rsidRPr="009B69B0" w:rsidRDefault="00E276A6" w:rsidP="00E25581">
    <w:pPr>
      <w:pStyle w:val="Rodap"/>
      <w:spacing w:after="240"/>
      <w:jc w:val="both"/>
      <w:rPr>
        <w:caps/>
      </w:rPr>
    </w:pPr>
    <w:r w:rsidRPr="009B69B0">
      <w:rPr>
        <w:caps/>
      </w:rPr>
      <w:t xml:space="preserve">RESOLUÇÃO CVM Nº </w:t>
    </w:r>
    <w:sdt>
      <w:sdtPr>
        <w:rPr>
          <w:caps/>
        </w:rPr>
        <w:alias w:val="Título"/>
        <w:tag w:val=""/>
        <w:id w:val="1007090907"/>
        <w:placeholder>
          <w:docPart w:val="91CB07EFFAAEB94AB75E117073F4342D"/>
        </w:placeholder>
        <w:dataBinding w:prefixMappings="xmlns:ns0='http://purl.org/dc/elements/1.1/' xmlns:ns1='http://schemas.openxmlformats.org/package/2006/metadata/core-properties' " w:xpath="/ns1:coreProperties[1]/ns0:title[1]" w:storeItemID="{6C3C8BC8-F283-45AE-878A-BAB7291924A1}"/>
        <w:text/>
      </w:sdtPr>
      <w:sdtEndPr/>
      <w:sdtContent>
        <w:r w:rsidR="00E2620A">
          <w:rPr>
            <w:caps/>
          </w:rPr>
          <w:t>20, DE 25 de fevereiro de 2021</w: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4CD2" w14:textId="77777777" w:rsidR="00E276A6" w:rsidRPr="00ED1FB4" w:rsidRDefault="042C3901" w:rsidP="009B69B0">
    <w:pPr>
      <w:pStyle w:val="Rodap"/>
    </w:pPr>
    <w:r>
      <w:drawing>
        <wp:inline distT="0" distB="0" distL="0" distR="0" wp14:anchorId="40870D76" wp14:editId="3AAF1676">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439DF6BF" w14:textId="77777777" w:rsidR="00E276A6" w:rsidRPr="004D68A2" w:rsidRDefault="00E276A6" w:rsidP="009B69B0">
    <w:pPr>
      <w:pStyle w:val="Rodap"/>
      <w:rPr>
        <w:b/>
        <w:sz w:val="24"/>
        <w:szCs w:val="24"/>
      </w:rPr>
    </w:pPr>
    <w:r w:rsidRPr="004D68A2">
      <w:rPr>
        <w:b/>
        <w:sz w:val="24"/>
        <w:szCs w:val="24"/>
      </w:rPr>
      <w:t>COMISSÃO DE VALORES MOBILIÁRIOS</w:t>
    </w:r>
  </w:p>
  <w:p w14:paraId="1E0FCACA" w14:textId="77777777" w:rsidR="00E276A6" w:rsidRPr="00ED1FB4" w:rsidRDefault="00E276A6" w:rsidP="009B69B0">
    <w:pPr>
      <w:pStyle w:val="Rodap"/>
    </w:pPr>
    <w:r w:rsidRPr="00ED1FB4">
      <w:t>Rua Sete de Setembro, 111/2-5º e 23-34º Andares, Centro, Rio de Janeiro/RJ – CEP: 20050-901 – Brasil - Tel.: (21) 3554-8686</w:t>
    </w:r>
  </w:p>
  <w:p w14:paraId="5EE37335" w14:textId="77777777" w:rsidR="00E276A6" w:rsidRPr="004D68A2" w:rsidRDefault="00E276A6" w:rsidP="009B69B0">
    <w:pPr>
      <w:pStyle w:val="Rodap"/>
    </w:pPr>
    <w:r w:rsidRPr="004D68A2">
      <w:t>Rua Cincinato Braga, 340/2º, 3º e 4º Andares, Bela Vista, São Paulo/ SP – CEP: 01333-010 – Brasil - Tel.: (11) 2146-2000</w:t>
    </w:r>
  </w:p>
  <w:p w14:paraId="56C7B190" w14:textId="77777777" w:rsidR="00E276A6" w:rsidRPr="00ED1FB4" w:rsidRDefault="00E276A6" w:rsidP="009B69B0">
    <w:pPr>
      <w:pStyle w:val="Rodap"/>
    </w:pPr>
    <w:r w:rsidRPr="00ED1FB4">
      <w:t>SCN Q.02 – Bl. A – Ed. Corporate Financial Center, S.404/4º Andar, Brasília/DF – CEP: 70712-900 – Brasil -Tel.: (61) 3327-2030/2031</w:t>
    </w:r>
  </w:p>
  <w:p w14:paraId="45F3BE13" w14:textId="77777777" w:rsidR="00E276A6" w:rsidRDefault="00CD55C0" w:rsidP="009B69B0">
    <w:pPr>
      <w:pStyle w:val="Rodap"/>
      <w:spacing w:after="240"/>
    </w:pPr>
    <w:hyperlink r:id="rId2" w:history="1">
      <w:r w:rsidR="00E276A6"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78"/>
    <w:rsid w:val="00001E10"/>
    <w:rsid w:val="00006A07"/>
    <w:rsid w:val="00011957"/>
    <w:rsid w:val="00021DF6"/>
    <w:rsid w:val="000252A6"/>
    <w:rsid w:val="00056B16"/>
    <w:rsid w:val="00064A56"/>
    <w:rsid w:val="00072C33"/>
    <w:rsid w:val="000948B4"/>
    <w:rsid w:val="000952BD"/>
    <w:rsid w:val="000D6E76"/>
    <w:rsid w:val="000D7853"/>
    <w:rsid w:val="000E5ACF"/>
    <w:rsid w:val="000F357D"/>
    <w:rsid w:val="00115C0B"/>
    <w:rsid w:val="00153B3B"/>
    <w:rsid w:val="00175023"/>
    <w:rsid w:val="0017527C"/>
    <w:rsid w:val="001A40D8"/>
    <w:rsid w:val="001A7DA4"/>
    <w:rsid w:val="001C3B4E"/>
    <w:rsid w:val="001D6FF2"/>
    <w:rsid w:val="001E0083"/>
    <w:rsid w:val="001F0122"/>
    <w:rsid w:val="00224B90"/>
    <w:rsid w:val="0024614E"/>
    <w:rsid w:val="002752E4"/>
    <w:rsid w:val="002A654F"/>
    <w:rsid w:val="002C5A9D"/>
    <w:rsid w:val="002D6149"/>
    <w:rsid w:val="002E7A08"/>
    <w:rsid w:val="002F1D96"/>
    <w:rsid w:val="002F35A9"/>
    <w:rsid w:val="00317690"/>
    <w:rsid w:val="00342F04"/>
    <w:rsid w:val="00351E89"/>
    <w:rsid w:val="00410064"/>
    <w:rsid w:val="00416172"/>
    <w:rsid w:val="0041797C"/>
    <w:rsid w:val="004637B6"/>
    <w:rsid w:val="004C55E5"/>
    <w:rsid w:val="004D2517"/>
    <w:rsid w:val="004D68A2"/>
    <w:rsid w:val="004E50CD"/>
    <w:rsid w:val="005111F5"/>
    <w:rsid w:val="005164BC"/>
    <w:rsid w:val="00531B06"/>
    <w:rsid w:val="00535696"/>
    <w:rsid w:val="00550BC8"/>
    <w:rsid w:val="00596486"/>
    <w:rsid w:val="005A127A"/>
    <w:rsid w:val="005B5046"/>
    <w:rsid w:val="005B59CD"/>
    <w:rsid w:val="005C7152"/>
    <w:rsid w:val="005C76A3"/>
    <w:rsid w:val="005D2C60"/>
    <w:rsid w:val="005E01C3"/>
    <w:rsid w:val="006243B7"/>
    <w:rsid w:val="0065401B"/>
    <w:rsid w:val="00657B55"/>
    <w:rsid w:val="006B1790"/>
    <w:rsid w:val="006E1563"/>
    <w:rsid w:val="006E1797"/>
    <w:rsid w:val="006E2484"/>
    <w:rsid w:val="006E433E"/>
    <w:rsid w:val="00727062"/>
    <w:rsid w:val="00742F3F"/>
    <w:rsid w:val="007577C6"/>
    <w:rsid w:val="00765679"/>
    <w:rsid w:val="00787F66"/>
    <w:rsid w:val="007C42CB"/>
    <w:rsid w:val="00803F58"/>
    <w:rsid w:val="0081067E"/>
    <w:rsid w:val="00841BBF"/>
    <w:rsid w:val="00844E41"/>
    <w:rsid w:val="0085257E"/>
    <w:rsid w:val="00887F97"/>
    <w:rsid w:val="00894689"/>
    <w:rsid w:val="008B1164"/>
    <w:rsid w:val="008D475D"/>
    <w:rsid w:val="008E449B"/>
    <w:rsid w:val="008E670D"/>
    <w:rsid w:val="008F75B5"/>
    <w:rsid w:val="009010FE"/>
    <w:rsid w:val="00927C20"/>
    <w:rsid w:val="00945D55"/>
    <w:rsid w:val="00956E3B"/>
    <w:rsid w:val="00967ECC"/>
    <w:rsid w:val="009768AB"/>
    <w:rsid w:val="009A18B5"/>
    <w:rsid w:val="009A2D89"/>
    <w:rsid w:val="009A463F"/>
    <w:rsid w:val="009B1658"/>
    <w:rsid w:val="009B69B0"/>
    <w:rsid w:val="009C4BA1"/>
    <w:rsid w:val="009D4032"/>
    <w:rsid w:val="009D568D"/>
    <w:rsid w:val="009E621A"/>
    <w:rsid w:val="00A1180F"/>
    <w:rsid w:val="00A60EDE"/>
    <w:rsid w:val="00A8564B"/>
    <w:rsid w:val="00A93CBC"/>
    <w:rsid w:val="00AC6705"/>
    <w:rsid w:val="00AF5ED1"/>
    <w:rsid w:val="00B133D1"/>
    <w:rsid w:val="00B35CFD"/>
    <w:rsid w:val="00B35D8D"/>
    <w:rsid w:val="00B443A0"/>
    <w:rsid w:val="00B70AE8"/>
    <w:rsid w:val="00B721F5"/>
    <w:rsid w:val="00B85A7B"/>
    <w:rsid w:val="00BC2999"/>
    <w:rsid w:val="00BC6747"/>
    <w:rsid w:val="00BF3577"/>
    <w:rsid w:val="00C02162"/>
    <w:rsid w:val="00C1691E"/>
    <w:rsid w:val="00C256D6"/>
    <w:rsid w:val="00C3231A"/>
    <w:rsid w:val="00C50A28"/>
    <w:rsid w:val="00C82C89"/>
    <w:rsid w:val="00CB54D7"/>
    <w:rsid w:val="00CB78DD"/>
    <w:rsid w:val="00CC6B71"/>
    <w:rsid w:val="00CD55C0"/>
    <w:rsid w:val="00CE79B4"/>
    <w:rsid w:val="00D142F9"/>
    <w:rsid w:val="00D21117"/>
    <w:rsid w:val="00D40823"/>
    <w:rsid w:val="00D47353"/>
    <w:rsid w:val="00D529AC"/>
    <w:rsid w:val="00D72C14"/>
    <w:rsid w:val="00D91331"/>
    <w:rsid w:val="00DA6746"/>
    <w:rsid w:val="00DE0610"/>
    <w:rsid w:val="00E02985"/>
    <w:rsid w:val="00E136DD"/>
    <w:rsid w:val="00E25581"/>
    <w:rsid w:val="00E2620A"/>
    <w:rsid w:val="00E276A6"/>
    <w:rsid w:val="00E748B6"/>
    <w:rsid w:val="00E83E96"/>
    <w:rsid w:val="00EA0678"/>
    <w:rsid w:val="00EA3977"/>
    <w:rsid w:val="00EB3E5D"/>
    <w:rsid w:val="00EC7B9F"/>
    <w:rsid w:val="00ED1761"/>
    <w:rsid w:val="00ED1898"/>
    <w:rsid w:val="00ED1FB4"/>
    <w:rsid w:val="00F253F7"/>
    <w:rsid w:val="00F3426C"/>
    <w:rsid w:val="00F40745"/>
    <w:rsid w:val="00F876EF"/>
    <w:rsid w:val="00F92A97"/>
    <w:rsid w:val="00FC7D34"/>
    <w:rsid w:val="00FE1931"/>
    <w:rsid w:val="00FF0E86"/>
    <w:rsid w:val="011E7BB6"/>
    <w:rsid w:val="02776818"/>
    <w:rsid w:val="03175E02"/>
    <w:rsid w:val="042C3901"/>
    <w:rsid w:val="0C3B32AE"/>
    <w:rsid w:val="0D67B4CA"/>
    <w:rsid w:val="0FC638BE"/>
    <w:rsid w:val="11605981"/>
    <w:rsid w:val="1363F7B0"/>
    <w:rsid w:val="13E3BFA5"/>
    <w:rsid w:val="175162F0"/>
    <w:rsid w:val="17EA9367"/>
    <w:rsid w:val="19E88DF7"/>
    <w:rsid w:val="1A76BB7F"/>
    <w:rsid w:val="1AEE136A"/>
    <w:rsid w:val="233639DB"/>
    <w:rsid w:val="26550A90"/>
    <w:rsid w:val="277AE048"/>
    <w:rsid w:val="27C37AF7"/>
    <w:rsid w:val="2A395173"/>
    <w:rsid w:val="2BCF9C1A"/>
    <w:rsid w:val="2CEE80C1"/>
    <w:rsid w:val="2DCEA8E2"/>
    <w:rsid w:val="2F7A8625"/>
    <w:rsid w:val="31F05CA1"/>
    <w:rsid w:val="32C2B628"/>
    <w:rsid w:val="3349F59D"/>
    <w:rsid w:val="3556EDF7"/>
    <w:rsid w:val="384675C8"/>
    <w:rsid w:val="3849834D"/>
    <w:rsid w:val="3E27988C"/>
    <w:rsid w:val="40FB964B"/>
    <w:rsid w:val="41D4509A"/>
    <w:rsid w:val="420CE156"/>
    <w:rsid w:val="42203D43"/>
    <w:rsid w:val="4442D359"/>
    <w:rsid w:val="4A68F009"/>
    <w:rsid w:val="4BADF72C"/>
    <w:rsid w:val="4CB2F1E8"/>
    <w:rsid w:val="4FCA1A54"/>
    <w:rsid w:val="4FE17A3D"/>
    <w:rsid w:val="518982E4"/>
    <w:rsid w:val="52217189"/>
    <w:rsid w:val="522E41B1"/>
    <w:rsid w:val="52EF1F6F"/>
    <w:rsid w:val="53DE9B57"/>
    <w:rsid w:val="54471F08"/>
    <w:rsid w:val="566C8CC2"/>
    <w:rsid w:val="5B40361C"/>
    <w:rsid w:val="5BE50AA2"/>
    <w:rsid w:val="5C11B949"/>
    <w:rsid w:val="5CF2BC43"/>
    <w:rsid w:val="5DFDB8D7"/>
    <w:rsid w:val="61263F54"/>
    <w:rsid w:val="61FB1587"/>
    <w:rsid w:val="64FFE633"/>
    <w:rsid w:val="65F1E7E6"/>
    <w:rsid w:val="679EB6FA"/>
    <w:rsid w:val="67C9A464"/>
    <w:rsid w:val="692931DD"/>
    <w:rsid w:val="6A791AE3"/>
    <w:rsid w:val="6B423242"/>
    <w:rsid w:val="6D9D415E"/>
    <w:rsid w:val="6D9EE62C"/>
    <w:rsid w:val="6E2AAF37"/>
    <w:rsid w:val="6E60B699"/>
    <w:rsid w:val="6EC68F9F"/>
    <w:rsid w:val="6F88314D"/>
    <w:rsid w:val="709B5208"/>
    <w:rsid w:val="70F96568"/>
    <w:rsid w:val="7333C21A"/>
    <w:rsid w:val="74C8D4E0"/>
    <w:rsid w:val="75AAEC71"/>
    <w:rsid w:val="767CAB48"/>
    <w:rsid w:val="774A6125"/>
    <w:rsid w:val="77B7CB87"/>
    <w:rsid w:val="77FF7983"/>
    <w:rsid w:val="78646304"/>
    <w:rsid w:val="7ACFF80D"/>
    <w:rsid w:val="7BBDDFFA"/>
    <w:rsid w:val="7E09AB4F"/>
    <w:rsid w:val="7E4001F2"/>
    <w:rsid w:val="7EF580B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8CBF6"/>
  <w15:docId w15:val="{66529A48-5DA5-429E-B213-CCC5F86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9A2D89"/>
    <w:pPr>
      <w:keepNext/>
      <w:spacing w:before="240" w:after="240" w:line="360" w:lineRule="auto"/>
      <w:ind w:firstLine="708"/>
      <w:outlineLvl w:val="1"/>
    </w:pPr>
    <w:rPr>
      <w:rFonts w:ascii="Times New Roman" w:eastAsia="Arial Unicode MS" w:hAnsi="Times New Roman" w:cs="Times New Roman"/>
      <w:b/>
      <w:bCs/>
      <w:szCs w:val="20"/>
      <w:lang w:eastAsia="pt-BR"/>
    </w:rPr>
  </w:style>
  <w:style w:type="paragraph" w:styleId="Ttulo3">
    <w:name w:val="heading 3"/>
    <w:basedOn w:val="Normal"/>
    <w:next w:val="Normal"/>
    <w:link w:val="Ttulo3Char"/>
    <w:rsid w:val="009A2D89"/>
    <w:pPr>
      <w:keepNext/>
      <w:spacing w:before="240" w:after="240" w:line="360" w:lineRule="auto"/>
      <w:ind w:firstLine="0"/>
      <w:jc w:val="center"/>
      <w:outlineLvl w:val="2"/>
    </w:pPr>
    <w:rPr>
      <w:rFonts w:ascii="Times New Roman" w:eastAsia="Times New Roman" w:hAnsi="Times New Roman" w:cs="Times New Roman"/>
      <w:b/>
      <w:bCs/>
      <w:lang w:val="x-none" w:eastAsia="x-none"/>
    </w:rPr>
  </w:style>
  <w:style w:type="paragraph" w:styleId="Ttulo5">
    <w:name w:val="heading 5"/>
    <w:basedOn w:val="Normal"/>
    <w:next w:val="Normal"/>
    <w:link w:val="Ttulo5Char"/>
    <w:uiPriority w:val="9"/>
    <w:semiHidden/>
    <w:unhideWhenUsed/>
    <w:qFormat/>
    <w:rsid w:val="009A2D89"/>
    <w:pPr>
      <w:keepNext/>
      <w:keepLines/>
      <w:spacing w:before="200" w:after="0" w:line="240" w:lineRule="auto"/>
      <w:ind w:firstLine="0"/>
      <w:jc w:val="left"/>
      <w:outlineLvl w:val="4"/>
    </w:pPr>
    <w:rPr>
      <w:rFonts w:ascii="Cambria" w:eastAsia="Times New Roman" w:hAnsi="Cambria" w:cs="Times New Roman"/>
      <w:color w:val="243F60"/>
      <w:lang w:eastAsia="pt-BR"/>
    </w:rPr>
  </w:style>
  <w:style w:type="paragraph" w:styleId="Ttulo7">
    <w:name w:val="heading 7"/>
    <w:basedOn w:val="Normal"/>
    <w:next w:val="Normal"/>
    <w:link w:val="Ttulo7Char"/>
    <w:rsid w:val="009A2D89"/>
    <w:pPr>
      <w:spacing w:before="240" w:after="60" w:line="240" w:lineRule="auto"/>
      <w:ind w:firstLine="0"/>
      <w:jc w:val="left"/>
      <w:outlineLvl w:val="6"/>
    </w:pPr>
    <w:rPr>
      <w:rFonts w:ascii="Calibri" w:eastAsia="Times New Roman" w:hAnsi="Calibri"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A2D89"/>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9A2D89"/>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rsid w:val="009A2D89"/>
    <w:rPr>
      <w:rFonts w:ascii="Calibri" w:eastAsia="Times New Roman" w:hAnsi="Calibri" w:cs="Times New Roman"/>
      <w:sz w:val="24"/>
      <w:szCs w:val="24"/>
      <w:lang w:val="x-none" w:eastAsia="x-none"/>
    </w:rPr>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character" w:customStyle="1" w:styleId="Ttulo5Char">
    <w:name w:val="Título 5 Char"/>
    <w:basedOn w:val="Fontepargpadro"/>
    <w:link w:val="Ttulo5"/>
    <w:uiPriority w:val="9"/>
    <w:semiHidden/>
    <w:rsid w:val="009A2D89"/>
    <w:rPr>
      <w:rFonts w:ascii="Cambria" w:eastAsia="Times New Roman" w:hAnsi="Cambria" w:cs="Times New Roman"/>
      <w:color w:val="243F60"/>
      <w:sz w:val="24"/>
      <w:szCs w:val="24"/>
      <w:lang w:eastAsia="pt-BR"/>
    </w:rPr>
  </w:style>
  <w:style w:type="paragraph" w:styleId="NormalWeb">
    <w:name w:val="Normal (Web)"/>
    <w:basedOn w:val="Normal"/>
    <w:uiPriority w:val="99"/>
    <w:rsid w:val="009A2D89"/>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Recuodecorpodetexto2">
    <w:name w:val="Body Text Indent 2"/>
    <w:basedOn w:val="Normal"/>
    <w:link w:val="Recuodecorpodetexto2Char"/>
    <w:rsid w:val="009A2D89"/>
    <w:pPr>
      <w:spacing w:before="0" w:after="0" w:line="240" w:lineRule="auto"/>
      <w:ind w:left="855" w:firstLine="0"/>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rsid w:val="009A2D8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A2D89"/>
    <w:pPr>
      <w:spacing w:before="100" w:beforeAutospacing="1" w:after="100" w:afterAutospacing="1" w:line="240" w:lineRule="auto"/>
      <w:ind w:firstLine="0"/>
      <w:jc w:val="left"/>
    </w:pPr>
    <w:rPr>
      <w:rFonts w:ascii="Arial Unicode MS" w:eastAsia="Arial Unicode MS" w:hAnsi="Arial Unicode MS" w:cs="Times New Roman"/>
      <w:color w:val="000000"/>
      <w:lang w:val="x-none" w:eastAsia="x-none"/>
    </w:rPr>
  </w:style>
  <w:style w:type="character" w:customStyle="1" w:styleId="CorpodetextoChar">
    <w:name w:val="Corpo de texto Char"/>
    <w:basedOn w:val="Fontepargpadro"/>
    <w:link w:val="Corpodetexto"/>
    <w:rsid w:val="009A2D89"/>
    <w:rPr>
      <w:rFonts w:ascii="Arial Unicode MS" w:eastAsia="Arial Unicode MS" w:hAnsi="Arial Unicode MS" w:cs="Times New Roman"/>
      <w:color w:val="000000"/>
      <w:sz w:val="24"/>
      <w:szCs w:val="24"/>
      <w:lang w:val="x-none" w:eastAsia="x-none"/>
    </w:rPr>
  </w:style>
  <w:style w:type="paragraph" w:styleId="Recuodecorpodetexto">
    <w:name w:val="Body Text Indent"/>
    <w:basedOn w:val="Normal"/>
    <w:link w:val="RecuodecorpodetextoChar"/>
    <w:rsid w:val="009A2D89"/>
    <w:pPr>
      <w:spacing w:before="240"/>
      <w:ind w:firstLine="708"/>
    </w:pPr>
    <w:rPr>
      <w:rFonts w:ascii="Times New Roman" w:eastAsia="Times New Roman" w:hAnsi="Times New Roman" w:cs="Times New Roman"/>
      <w:color w:val="000000"/>
      <w:lang w:eastAsia="pt-BR"/>
    </w:rPr>
  </w:style>
  <w:style w:type="character" w:customStyle="1" w:styleId="RecuodecorpodetextoChar">
    <w:name w:val="Recuo de corpo de texto Char"/>
    <w:basedOn w:val="Fontepargpadro"/>
    <w:link w:val="Recuodecorpodetexto"/>
    <w:rsid w:val="009A2D89"/>
    <w:rPr>
      <w:rFonts w:ascii="Times New Roman" w:eastAsia="Times New Roman" w:hAnsi="Times New Roman" w:cs="Times New Roman"/>
      <w:color w:val="000000"/>
      <w:sz w:val="24"/>
      <w:szCs w:val="24"/>
      <w:lang w:eastAsia="pt-BR"/>
    </w:rPr>
  </w:style>
  <w:style w:type="paragraph" w:customStyle="1" w:styleId="SDM">
    <w:name w:val="SDM"/>
    <w:basedOn w:val="Normal"/>
    <w:uiPriority w:val="99"/>
    <w:rsid w:val="009A2D89"/>
    <w:pPr>
      <w:spacing w:before="0" w:after="0" w:line="240" w:lineRule="auto"/>
      <w:ind w:firstLine="0"/>
    </w:pPr>
    <w:rPr>
      <w:rFonts w:ascii="Times New Roman" w:eastAsia="Times New Roman" w:hAnsi="Times New Roman" w:cs="Times New Roman"/>
      <w:bCs/>
      <w:lang w:eastAsia="pt-BR"/>
    </w:rPr>
  </w:style>
  <w:style w:type="character" w:styleId="Nmerodepgina">
    <w:name w:val="page number"/>
    <w:basedOn w:val="Fontepargpadro"/>
    <w:rsid w:val="009A2D89"/>
  </w:style>
  <w:style w:type="paragraph" w:styleId="Corpodetexto2">
    <w:name w:val="Body Text 2"/>
    <w:basedOn w:val="Normal"/>
    <w:link w:val="Corpodetexto2Char"/>
    <w:rsid w:val="009A2D89"/>
    <w:pPr>
      <w:spacing w:before="0" w:line="480" w:lineRule="auto"/>
      <w:ind w:firstLine="0"/>
      <w:jc w:val="left"/>
    </w:pPr>
    <w:rPr>
      <w:rFonts w:ascii="Times New Roman" w:eastAsia="Times New Roman" w:hAnsi="Times New Roman" w:cs="Times New Roman"/>
      <w:lang w:eastAsia="pt-BR"/>
    </w:rPr>
  </w:style>
  <w:style w:type="character" w:customStyle="1" w:styleId="Corpodetexto2Char">
    <w:name w:val="Corpo de texto 2 Char"/>
    <w:basedOn w:val="Fontepargpadro"/>
    <w:link w:val="Corpodetexto2"/>
    <w:rsid w:val="009A2D89"/>
    <w:rPr>
      <w:rFonts w:ascii="Times New Roman" w:eastAsia="Times New Roman" w:hAnsi="Times New Roman" w:cs="Times New Roman"/>
      <w:sz w:val="24"/>
      <w:szCs w:val="24"/>
      <w:lang w:eastAsia="pt-BR"/>
    </w:rPr>
  </w:style>
  <w:style w:type="paragraph" w:customStyle="1" w:styleId="DefinitionList">
    <w:name w:val="Definition List"/>
    <w:basedOn w:val="Normal"/>
    <w:next w:val="Normal"/>
    <w:rsid w:val="009A2D89"/>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3">
    <w:name w:val="Body Text 3"/>
    <w:basedOn w:val="Normal"/>
    <w:link w:val="Corpodetexto3Char"/>
    <w:uiPriority w:val="99"/>
    <w:rsid w:val="009A2D89"/>
    <w:pPr>
      <w:spacing w:before="0" w:line="240" w:lineRule="auto"/>
      <w:ind w:firstLine="0"/>
      <w:jc w:val="left"/>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A2D89"/>
    <w:rPr>
      <w:rFonts w:ascii="Times New Roman" w:eastAsia="Times New Roman" w:hAnsi="Times New Roman" w:cs="Times New Roman"/>
      <w:sz w:val="16"/>
      <w:szCs w:val="16"/>
      <w:lang w:val="x-none" w:eastAsia="x-none"/>
    </w:rPr>
  </w:style>
  <w:style w:type="paragraph" w:customStyle="1" w:styleId="DefinitionTerm">
    <w:name w:val="Definition Term"/>
    <w:basedOn w:val="Normal"/>
    <w:next w:val="DefinitionList"/>
    <w:uiPriority w:val="99"/>
    <w:rsid w:val="009A2D89"/>
    <w:pPr>
      <w:spacing w:before="0" w:after="0" w:line="240" w:lineRule="auto"/>
      <w:ind w:firstLine="0"/>
      <w:jc w:val="left"/>
    </w:pPr>
    <w:rPr>
      <w:rFonts w:ascii="Times New Roman" w:eastAsia="Times New Roman" w:hAnsi="Times New Roman" w:cs="Times New Roman"/>
      <w:snapToGrid w:val="0"/>
      <w:szCs w:val="20"/>
      <w:lang w:eastAsia="pt-BR"/>
    </w:rPr>
  </w:style>
  <w:style w:type="paragraph" w:customStyle="1" w:styleId="Default">
    <w:name w:val="Default"/>
    <w:rsid w:val="009A2D89"/>
    <w:pPr>
      <w:autoSpaceDE w:val="0"/>
      <w:autoSpaceDN w:val="0"/>
      <w:adjustRightInd w:val="0"/>
      <w:spacing w:after="0" w:line="240" w:lineRule="auto"/>
    </w:pPr>
    <w:rPr>
      <w:rFonts w:ascii="EUAlbertina" w:eastAsia="Times New Roman" w:hAnsi="EUAlbertina" w:cs="EUAlbertina"/>
      <w:color w:val="000000"/>
      <w:sz w:val="24"/>
      <w:szCs w:val="24"/>
      <w:lang w:eastAsia="pt-BR"/>
    </w:rPr>
  </w:style>
  <w:style w:type="paragraph" w:styleId="PargrafodaLista">
    <w:name w:val="List Paragraph"/>
    <w:basedOn w:val="Normal"/>
    <w:uiPriority w:val="34"/>
    <w:qFormat/>
    <w:rsid w:val="009A2D89"/>
    <w:pPr>
      <w:spacing w:before="0" w:after="0" w:line="240" w:lineRule="auto"/>
      <w:ind w:left="720" w:firstLine="0"/>
      <w:jc w:val="left"/>
    </w:pPr>
    <w:rPr>
      <w:rFonts w:ascii="Calibri" w:hAnsi="Calibri" w:cs="Times New Roman"/>
      <w:sz w:val="22"/>
      <w:szCs w:val="22"/>
      <w:lang w:eastAsia="pt-BR"/>
    </w:rPr>
  </w:style>
  <w:style w:type="character" w:styleId="Refdecomentrio">
    <w:name w:val="annotation reference"/>
    <w:uiPriority w:val="99"/>
    <w:semiHidden/>
    <w:unhideWhenUsed/>
    <w:rsid w:val="009A2D89"/>
    <w:rPr>
      <w:sz w:val="16"/>
      <w:szCs w:val="16"/>
    </w:rPr>
  </w:style>
  <w:style w:type="character" w:customStyle="1" w:styleId="TextodecomentrioChar">
    <w:name w:val="Texto de comentário Char"/>
    <w:basedOn w:val="Fontepargpadro"/>
    <w:link w:val="Textodecomentrio"/>
    <w:uiPriority w:val="99"/>
    <w:semiHidden/>
    <w:rsid w:val="009A2D89"/>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9A2D89"/>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9A2D89"/>
    <w:rPr>
      <w:rFonts w:ascii="Times New Roman" w:eastAsia="Times New Roman" w:hAnsi="Times New Roman" w:cs="Times New Roman"/>
      <w:b/>
      <w:bCs/>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9A2D89"/>
    <w:rPr>
      <w:b/>
      <w:bCs/>
      <w:lang w:val="x-none" w:eastAsia="x-none"/>
    </w:rPr>
  </w:style>
  <w:style w:type="paragraph" w:customStyle="1" w:styleId="SDMTtulo2">
    <w:name w:val="SDM Título 2"/>
    <w:basedOn w:val="Normal"/>
    <w:rsid w:val="009A2D89"/>
    <w:pPr>
      <w:keepNext/>
      <w:spacing w:before="0" w:after="0" w:line="240" w:lineRule="auto"/>
      <w:ind w:firstLine="0"/>
    </w:pPr>
    <w:rPr>
      <w:rFonts w:ascii="Times New Roman" w:eastAsia="Times New Roman" w:hAnsi="Times New Roman" w:cs="Times New Roman"/>
      <w:b/>
      <w:bCs/>
      <w:lang w:eastAsia="pt-BR"/>
    </w:rPr>
  </w:style>
  <w:style w:type="paragraph" w:customStyle="1" w:styleId="NormalWeb0">
    <w:name w:val="Normal(Web)"/>
    <w:basedOn w:val="Normal"/>
    <w:next w:val="Normal"/>
    <w:uiPriority w:val="99"/>
    <w:rsid w:val="009A2D89"/>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styleId="Ttulo">
    <w:name w:val="Title"/>
    <w:basedOn w:val="Normal"/>
    <w:link w:val="TtuloChar"/>
    <w:uiPriority w:val="10"/>
    <w:rsid w:val="009A2D89"/>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A2D89"/>
    <w:rPr>
      <w:rFonts w:ascii="Times New Roman" w:eastAsia="Times New Roman" w:hAnsi="Times New Roman" w:cs="Times New Roman"/>
      <w:b/>
      <w:bCs/>
      <w:sz w:val="24"/>
      <w:szCs w:val="24"/>
      <w:lang w:eastAsia="pt-BR"/>
    </w:rPr>
  </w:style>
  <w:style w:type="character" w:customStyle="1" w:styleId="apple-converted-space">
    <w:name w:val="apple-converted-space"/>
    <w:basedOn w:val="Fontepargpadro"/>
    <w:rsid w:val="009A2D89"/>
  </w:style>
  <w:style w:type="paragraph" w:customStyle="1" w:styleId="paragraph">
    <w:name w:val="paragraph"/>
    <w:basedOn w:val="Normal"/>
    <w:rsid w:val="00E276A6"/>
    <w:pPr>
      <w:spacing w:before="100" w:beforeAutospacing="1" w:after="100" w:afterAutospacing="1" w:line="240" w:lineRule="auto"/>
      <w:ind w:firstLine="0"/>
      <w:jc w:val="left"/>
    </w:pPr>
    <w:rPr>
      <w:rFonts w:ascii="Times" w:hAnsi="Times" w:cstheme="minorBidi"/>
      <w:sz w:val="20"/>
      <w:szCs w:val="20"/>
    </w:rPr>
  </w:style>
  <w:style w:type="character" w:customStyle="1" w:styleId="normaltextrun">
    <w:name w:val="normaltextrun"/>
    <w:basedOn w:val="Fontepargpadro"/>
    <w:rsid w:val="00E276A6"/>
  </w:style>
  <w:style w:type="character" w:customStyle="1" w:styleId="eop">
    <w:name w:val="eop"/>
    <w:basedOn w:val="Fontepargpadro"/>
    <w:rsid w:val="00E2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4691">
      <w:bodyDiv w:val="1"/>
      <w:marLeft w:val="0"/>
      <w:marRight w:val="0"/>
      <w:marTop w:val="0"/>
      <w:marBottom w:val="0"/>
      <w:divBdr>
        <w:top w:val="none" w:sz="0" w:space="0" w:color="auto"/>
        <w:left w:val="none" w:sz="0" w:space="0" w:color="auto"/>
        <w:bottom w:val="none" w:sz="0" w:space="0" w:color="auto"/>
        <w:right w:val="none" w:sz="0" w:space="0" w:color="auto"/>
      </w:divBdr>
      <w:divsChild>
        <w:div w:id="934246667">
          <w:marLeft w:val="0"/>
          <w:marRight w:val="0"/>
          <w:marTop w:val="0"/>
          <w:marBottom w:val="0"/>
          <w:divBdr>
            <w:top w:val="none" w:sz="0" w:space="0" w:color="auto"/>
            <w:left w:val="none" w:sz="0" w:space="0" w:color="auto"/>
            <w:bottom w:val="none" w:sz="0" w:space="0" w:color="auto"/>
            <w:right w:val="none" w:sz="0" w:space="0" w:color="auto"/>
          </w:divBdr>
        </w:div>
        <w:div w:id="1284650166">
          <w:marLeft w:val="0"/>
          <w:marRight w:val="0"/>
          <w:marTop w:val="0"/>
          <w:marBottom w:val="0"/>
          <w:divBdr>
            <w:top w:val="none" w:sz="0" w:space="0" w:color="auto"/>
            <w:left w:val="none" w:sz="0" w:space="0" w:color="auto"/>
            <w:bottom w:val="none" w:sz="0" w:space="0" w:color="auto"/>
            <w:right w:val="none" w:sz="0" w:space="0" w:color="auto"/>
          </w:divBdr>
        </w:div>
        <w:div w:id="131256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A9E9A211ECB84E8CB7CF5BFB6492C9"/>
        <w:category>
          <w:name w:val="General"/>
          <w:gallery w:val="placeholder"/>
        </w:category>
        <w:types>
          <w:type w:val="bbPlcHdr"/>
        </w:types>
        <w:behaviors>
          <w:behavior w:val="content"/>
        </w:behaviors>
        <w:guid w:val="{01D4CB0C-080F-6845-8B1C-22A218241090}"/>
      </w:docPartPr>
      <w:docPartBody>
        <w:p w:rsidR="009C4BA1" w:rsidRDefault="009C4BA1">
          <w:pPr>
            <w:pStyle w:val="41A9E9A211ECB84E8CB7CF5BFB6492C9"/>
          </w:pPr>
          <w:r w:rsidRPr="005311FB">
            <w:rPr>
              <w:rStyle w:val="TextodoEspaoReservado"/>
            </w:rPr>
            <w:t>[Título]</w:t>
          </w:r>
        </w:p>
      </w:docPartBody>
    </w:docPart>
    <w:docPart>
      <w:docPartPr>
        <w:name w:val="91CB07EFFAAEB94AB75E117073F4342D"/>
        <w:category>
          <w:name w:val="General"/>
          <w:gallery w:val="placeholder"/>
        </w:category>
        <w:types>
          <w:type w:val="bbPlcHdr"/>
        </w:types>
        <w:behaviors>
          <w:behavior w:val="content"/>
        </w:behaviors>
        <w:guid w:val="{31FCAE85-FF1A-AC4C-AB7A-0D56FAB7A440}"/>
      </w:docPartPr>
      <w:docPartBody>
        <w:p w:rsidR="009C4BA1" w:rsidRDefault="009C4BA1">
          <w:pPr>
            <w:pStyle w:val="91CB07EFFAAEB94AB75E117073F4342D"/>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A1"/>
    <w:rsid w:val="002B4F92"/>
    <w:rsid w:val="00311F5F"/>
    <w:rsid w:val="0038032F"/>
    <w:rsid w:val="00400FA5"/>
    <w:rsid w:val="0042020A"/>
    <w:rsid w:val="004A2BB5"/>
    <w:rsid w:val="00587CA8"/>
    <w:rsid w:val="006E39C1"/>
    <w:rsid w:val="008E2D37"/>
    <w:rsid w:val="009C4BA1"/>
    <w:rsid w:val="00A93402"/>
    <w:rsid w:val="00FF17F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1A9E9A211ECB84E8CB7CF5BFB6492C9">
    <w:name w:val="41A9E9A211ECB84E8CB7CF5BFB6492C9"/>
  </w:style>
  <w:style w:type="paragraph" w:customStyle="1" w:styleId="91CB07EFFAAEB94AB75E117073F4342D">
    <w:name w:val="91CB07EFFAAEB94AB75E117073F43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2" ma:contentTypeDescription="Create a new document." ma:contentTypeScope="" ma:versionID="6b119cb327409343ff13ec0a65bc682f">
  <xsd:schema xmlns:xsd="http://www.w3.org/2001/XMLSchema" xmlns:xs="http://www.w3.org/2001/XMLSchema" xmlns:p="http://schemas.microsoft.com/office/2006/metadata/properties" xmlns:ns2="15cb24ba-756a-4ce4-ac9a-5f0544b55546" targetNamespace="http://schemas.microsoft.com/office/2006/metadata/properties" ma:root="true" ma:fieldsID="0240e6ae9d14c37301d02ee9c222dfa1" ns2:_="">
    <xsd:import namespace="15cb24ba-756a-4ce4-ac9a-5f0544b55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6518-9141-4BC4-BF92-99C51CD04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27842-E988-47E5-9DBD-81C4AB6CA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543D7-8EF3-48E2-AE4B-4090C2FD0C05}">
  <ds:schemaRefs>
    <ds:schemaRef ds:uri="http://schemas.microsoft.com/sharepoint/v3/contenttype/forms"/>
  </ds:schemaRefs>
</ds:datastoreItem>
</file>

<file path=customXml/itemProps4.xml><?xml version="1.0" encoding="utf-8"?>
<ds:datastoreItem xmlns:ds="http://schemas.openxmlformats.org/officeDocument/2006/customXml" ds:itemID="{84A05452-F73D-4964-89E7-EA755F20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4479</Words>
  <Characters>24188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20, DE 25 de fevereiro de 2021</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DE 25 de fevereiro de 2021</dc:title>
  <dc:subject/>
  <dc:creator>CVM</dc:creator>
  <cp:keywords/>
  <cp:lastModifiedBy>Renata Dos Santos Leitão</cp:lastModifiedBy>
  <cp:revision>4</cp:revision>
  <dcterms:created xsi:type="dcterms:W3CDTF">2023-05-30T20:43:00Z</dcterms:created>
  <dcterms:modified xsi:type="dcterms:W3CDTF">2023-06-02T19:12:00Z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