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5B9D" w14:textId="31C49F67" w:rsidR="00841BBF" w:rsidRPr="00C1691E" w:rsidRDefault="00841BBF" w:rsidP="0AFCFE7C">
      <w:pPr>
        <w:pStyle w:val="TtulodaResoluo"/>
      </w:pPr>
      <w:r w:rsidRPr="0061174D">
        <w:t xml:space="preserve">Resolução CVM nº </w:t>
      </w:r>
      <w:sdt>
        <w:sdtPr>
          <w:alias w:val="Título"/>
          <w:tag w:val=""/>
          <w:id w:val="253094646"/>
          <w:placeholder>
            <w:docPart w:val="4F7CDC9D4ABB404788975076E2A799DE"/>
          </w:placeholder>
          <w:dataBinding w:prefixMappings="xmlns:ns0='http://purl.org/dc/elements/1.1/' xmlns:ns1='http://schemas.openxmlformats.org/package/2006/metadata/core-properties' " w:xpath="/ns1:coreProperties[1]/ns0:title[1]" w:storeItemID="{6C3C8BC8-F283-45AE-878A-BAB7291924A1}"/>
          <w:text/>
        </w:sdtPr>
        <w:sdtEndPr/>
        <w:sdtContent>
          <w:r w:rsidR="0061174D" w:rsidRPr="0061174D">
            <w:t>71</w:t>
          </w:r>
          <w:r w:rsidR="0088046F" w:rsidRPr="0061174D">
            <w:t xml:space="preserve">, de </w:t>
          </w:r>
          <w:r w:rsidR="0061174D" w:rsidRPr="0061174D">
            <w:t>22</w:t>
          </w:r>
          <w:r w:rsidR="0088046F" w:rsidRPr="0061174D">
            <w:t xml:space="preserve"> de </w:t>
          </w:r>
          <w:r w:rsidR="0061174D" w:rsidRPr="0061174D">
            <w:t xml:space="preserve">março </w:t>
          </w:r>
          <w:r w:rsidR="0088046F" w:rsidRPr="0061174D">
            <w:t>de 202</w:t>
          </w:r>
          <w:r w:rsidR="00AF43E6" w:rsidRPr="0061174D">
            <w:t>2</w:t>
          </w:r>
        </w:sdtContent>
      </w:sdt>
    </w:p>
    <w:p w14:paraId="7F287B8F" w14:textId="727C3248" w:rsidR="00841BBF" w:rsidRPr="00C82C89" w:rsidRDefault="003B4BC1" w:rsidP="0AFCFE7C">
      <w:pPr>
        <w:pStyle w:val="Ementa"/>
      </w:pPr>
      <w:r>
        <w:t>Aprova a Consolidação do</w:t>
      </w:r>
      <w:r w:rsidR="006354B4" w:rsidRPr="006354B4">
        <w:t xml:space="preserve"> Pronunciamento Técnico CPC </w:t>
      </w:r>
      <w:r w:rsidR="0096738F">
        <w:t>1</w:t>
      </w:r>
      <w:r w:rsidR="00E4538B">
        <w:t xml:space="preserve">5(R1) </w:t>
      </w:r>
      <w:r w:rsidR="006354B4" w:rsidRPr="006354B4">
        <w:t>do Comitê de Pronunciamentos Contábeis</w:t>
      </w:r>
      <w:r w:rsidR="00E4538B">
        <w:t xml:space="preserve"> – CPC</w:t>
      </w:r>
      <w:r w:rsidR="0096738F">
        <w:t xml:space="preserve">, que trata de </w:t>
      </w:r>
      <w:r w:rsidR="0067207E">
        <w:t>c</w:t>
      </w:r>
      <w:r w:rsidR="0096738F">
        <w:t xml:space="preserve">ombinação de </w:t>
      </w:r>
      <w:r w:rsidR="0067207E">
        <w:t>n</w:t>
      </w:r>
      <w:r w:rsidR="0096738F">
        <w:t>egócios.</w:t>
      </w:r>
    </w:p>
    <w:p w14:paraId="4F1921DF" w14:textId="0988F1F4" w:rsidR="006E1797" w:rsidRDefault="52D26694" w:rsidP="52D26694">
      <w:r>
        <w:t xml:space="preserve">O </w:t>
      </w:r>
      <w:r w:rsidRPr="0088046F">
        <w:rPr>
          <w:b/>
          <w:bCs/>
        </w:rPr>
        <w:t>PRESIDENTE DA COMISSÃO DE VALORES MOBILIÁRIOS – CVM</w:t>
      </w:r>
      <w:r>
        <w:t xml:space="preserve"> torna público que o Colegiado, em reunião realizada em</w:t>
      </w:r>
      <w:r w:rsidR="00AF43E6">
        <w:t xml:space="preserve"> 1</w:t>
      </w:r>
      <w:r w:rsidR="00AF43E6" w:rsidRPr="0074428B">
        <w:t>º</w:t>
      </w:r>
      <w:r>
        <w:t xml:space="preserve"> </w:t>
      </w:r>
      <w:r w:rsidR="5BCF2215">
        <w:t xml:space="preserve">de </w:t>
      </w:r>
      <w:r w:rsidR="00AF43E6">
        <w:t xml:space="preserve">dezembro </w:t>
      </w:r>
      <w:r w:rsidR="5BCF2215">
        <w:t xml:space="preserve">de </w:t>
      </w:r>
      <w:r w:rsidR="1D34AD4F">
        <w:t>2021</w:t>
      </w:r>
      <w:r>
        <w:t>,</w:t>
      </w:r>
      <w:r w:rsidR="00F0408F" w:rsidRPr="00F0408F">
        <w:t xml:space="preserve"> com fundamento nos §§ 3º e 5º do art. 177 da Lei no 6.404, de 15 de dezembro de 1976, combinados com os incisos II e IV do § 1o do art. 22 da Lei no 6.385, de 7 de dezembro de 1976,</w:t>
      </w:r>
      <w:r w:rsidR="0074428B">
        <w:t xml:space="preserve"> </w:t>
      </w:r>
      <w:r w:rsidR="0074428B" w:rsidRPr="0074428B">
        <w:t>bem como nos arts. 5º e 14 do Decreto nº 10.139, de 28 de novembro de 2019</w:t>
      </w:r>
      <w:r w:rsidR="0074428B">
        <w:t>,</w:t>
      </w:r>
      <w:r>
        <w:t xml:space="preserve"> </w:t>
      </w:r>
      <w:r w:rsidRPr="423D2983">
        <w:rPr>
          <w:b/>
          <w:bCs/>
        </w:rPr>
        <w:t>APROVOU</w:t>
      </w:r>
      <w:r>
        <w:t xml:space="preserve"> a seguinte Resolução:</w:t>
      </w:r>
    </w:p>
    <w:p w14:paraId="21850A5A" w14:textId="67F09FCA" w:rsidR="00ED1FB4" w:rsidRDefault="7210E900" w:rsidP="00F0408F">
      <w:pPr>
        <w:spacing w:before="360"/>
      </w:pPr>
      <w:r>
        <w:t xml:space="preserve">Art. 1º  </w:t>
      </w:r>
      <w:r w:rsidR="00410B6F">
        <w:t>T</w:t>
      </w:r>
      <w:r w:rsidR="00F0408F" w:rsidRPr="00F0408F">
        <w:t xml:space="preserve">orna obrigatório para as companhias abertas o Pronunciamento Técnico CPC </w:t>
      </w:r>
      <w:r w:rsidR="0096738F">
        <w:t>1</w:t>
      </w:r>
      <w:r w:rsidR="00E4538B">
        <w:t>5(R1)</w:t>
      </w:r>
      <w:r w:rsidR="003B4BC1">
        <w:t>, que trata de combinação de negócios,</w:t>
      </w:r>
      <w:r w:rsidR="00F0408F" w:rsidRPr="00F0408F">
        <w:t xml:space="preserve"> emitido pelo Comitê de Pronunciamentos Contábeis - CPC,</w:t>
      </w:r>
      <w:r w:rsidR="005649C3">
        <w:t xml:space="preserve"> </w:t>
      </w:r>
      <w:r w:rsidR="003B4BC1">
        <w:t>conforme consolidado no A</w:t>
      </w:r>
      <w:r w:rsidR="00F0408F" w:rsidRPr="00F0408F">
        <w:t>nexo</w:t>
      </w:r>
      <w:r w:rsidR="003B4BC1">
        <w:t xml:space="preserve"> “A”</w:t>
      </w:r>
      <w:r w:rsidR="00F0408F" w:rsidRPr="00F0408F">
        <w:t xml:space="preserve"> à presente </w:t>
      </w:r>
      <w:r w:rsidR="00F0408F">
        <w:t>Resolu</w:t>
      </w:r>
      <w:r w:rsidR="00F0408F" w:rsidRPr="00F0408F">
        <w:t>ção</w:t>
      </w:r>
      <w:r w:rsidR="0096738F">
        <w:t>.</w:t>
      </w:r>
    </w:p>
    <w:p w14:paraId="4FBE9FE5" w14:textId="097B17DF"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2º </w:t>
      </w:r>
      <w:r w:rsidRPr="423D2983">
        <w:rPr>
          <w:rFonts w:ascii="Calibri" w:hAnsi="Calibri" w:cs="Calibri"/>
          <w:color w:val="000000" w:themeColor="text1"/>
        </w:rPr>
        <w:t xml:space="preserve"> Fica revogada </w:t>
      </w:r>
      <w:r w:rsidR="002E64EB">
        <w:rPr>
          <w:rFonts w:ascii="Calibri" w:hAnsi="Calibri" w:cs="Calibri"/>
          <w:color w:val="000000" w:themeColor="text1"/>
        </w:rPr>
        <w:t>a</w:t>
      </w:r>
      <w:r w:rsidRPr="423D2983">
        <w:rPr>
          <w:rFonts w:ascii="Calibri" w:hAnsi="Calibri" w:cs="Calibri"/>
          <w:color w:val="000000" w:themeColor="text1"/>
        </w:rPr>
        <w:t xml:space="preserve"> </w:t>
      </w:r>
      <w:r w:rsidR="002E64EB">
        <w:rPr>
          <w:rFonts w:ascii="Calibri" w:hAnsi="Calibri" w:cs="Calibri"/>
          <w:color w:val="000000" w:themeColor="text1"/>
        </w:rPr>
        <w:t>Deliberação</w:t>
      </w:r>
      <w:r w:rsidR="003B4BC1">
        <w:rPr>
          <w:rFonts w:ascii="Calibri" w:hAnsi="Calibri" w:cs="Calibri"/>
          <w:color w:val="000000" w:themeColor="text1"/>
        </w:rPr>
        <w:t xml:space="preserve"> CVM n</w:t>
      </w:r>
      <w:r w:rsidR="003B4BC1" w:rsidRPr="00C52025">
        <w:rPr>
          <w:rFonts w:ascii="Calibri" w:hAnsi="Calibri" w:cs="Calibri"/>
          <w:color w:val="000000" w:themeColor="text1"/>
        </w:rPr>
        <w:t>º</w:t>
      </w:r>
      <w:r w:rsidR="003B4BC1">
        <w:rPr>
          <w:rFonts w:ascii="Calibri" w:hAnsi="Calibri" w:cs="Calibri"/>
          <w:color w:val="000000" w:themeColor="text1"/>
        </w:rPr>
        <w:t xml:space="preserve"> </w:t>
      </w:r>
      <w:r w:rsidR="00E4538B">
        <w:rPr>
          <w:rFonts w:ascii="Calibri" w:hAnsi="Calibri" w:cs="Calibri"/>
          <w:color w:val="000000" w:themeColor="text1"/>
        </w:rPr>
        <w:t>6</w:t>
      </w:r>
      <w:r w:rsidR="0096738F">
        <w:rPr>
          <w:rFonts w:ascii="Calibri" w:hAnsi="Calibri" w:cs="Calibri"/>
          <w:color w:val="000000" w:themeColor="text1"/>
        </w:rPr>
        <w:t>65</w:t>
      </w:r>
      <w:r w:rsidRPr="423D2983">
        <w:rPr>
          <w:rFonts w:ascii="Calibri" w:hAnsi="Calibri" w:cs="Calibri"/>
          <w:color w:val="000000" w:themeColor="text1"/>
        </w:rPr>
        <w:t xml:space="preserve">, de </w:t>
      </w:r>
      <w:r w:rsidR="00E4538B">
        <w:rPr>
          <w:rFonts w:ascii="Calibri" w:hAnsi="Calibri" w:cs="Calibri"/>
          <w:color w:val="000000" w:themeColor="text1"/>
        </w:rPr>
        <w:t>0</w:t>
      </w:r>
      <w:r w:rsidR="0096738F">
        <w:rPr>
          <w:rFonts w:ascii="Calibri" w:hAnsi="Calibri" w:cs="Calibri"/>
          <w:color w:val="000000" w:themeColor="text1"/>
        </w:rPr>
        <w:t>4</w:t>
      </w:r>
      <w:r w:rsidRPr="423D2983">
        <w:rPr>
          <w:rFonts w:ascii="Calibri" w:hAnsi="Calibri" w:cs="Calibri"/>
          <w:color w:val="000000" w:themeColor="text1"/>
        </w:rPr>
        <w:t xml:space="preserve"> de </w:t>
      </w:r>
      <w:r w:rsidR="0096738F">
        <w:rPr>
          <w:rFonts w:ascii="Calibri" w:hAnsi="Calibri" w:cs="Calibri"/>
          <w:color w:val="000000" w:themeColor="text1"/>
        </w:rPr>
        <w:t>agosto</w:t>
      </w:r>
      <w:r w:rsidRPr="423D2983">
        <w:rPr>
          <w:rFonts w:ascii="Calibri" w:hAnsi="Calibri" w:cs="Calibri"/>
          <w:color w:val="000000" w:themeColor="text1"/>
        </w:rPr>
        <w:t xml:space="preserve"> de </w:t>
      </w:r>
      <w:r w:rsidR="00E4538B">
        <w:rPr>
          <w:rFonts w:ascii="Calibri" w:hAnsi="Calibri" w:cs="Calibri"/>
          <w:color w:val="000000" w:themeColor="text1"/>
        </w:rPr>
        <w:t>201</w:t>
      </w:r>
      <w:r w:rsidR="0096738F">
        <w:rPr>
          <w:rFonts w:ascii="Calibri" w:hAnsi="Calibri" w:cs="Calibri"/>
          <w:color w:val="000000" w:themeColor="text1"/>
        </w:rPr>
        <w:t>1</w:t>
      </w:r>
      <w:r w:rsidR="003B4BC1">
        <w:rPr>
          <w:rFonts w:ascii="Calibri" w:hAnsi="Calibri" w:cs="Calibri"/>
          <w:color w:val="000000" w:themeColor="text1"/>
        </w:rPr>
        <w:t>, a partir da vigência desta Resolução</w:t>
      </w:r>
      <w:r w:rsidR="002E64EB">
        <w:rPr>
          <w:rFonts w:ascii="Calibri" w:hAnsi="Calibri" w:cs="Calibri"/>
          <w:color w:val="000000" w:themeColor="text1"/>
        </w:rPr>
        <w:t>.</w:t>
      </w:r>
    </w:p>
    <w:p w14:paraId="63B88F43" w14:textId="59A271D3" w:rsidR="4E865B3C" w:rsidRDefault="4E865B3C" w:rsidP="423D2983">
      <w:pPr>
        <w:rPr>
          <w:rFonts w:ascii="Calibri" w:hAnsi="Calibri" w:cs="Calibri"/>
          <w:color w:val="000000" w:themeColor="text1"/>
        </w:rPr>
      </w:pPr>
      <w:r w:rsidRPr="423D2983">
        <w:rPr>
          <w:rFonts w:ascii="Calibri" w:hAnsi="Calibri" w:cs="Calibri"/>
          <w:color w:val="000000" w:themeColor="text1"/>
        </w:rPr>
        <w:t xml:space="preserve">Art. </w:t>
      </w:r>
      <w:r w:rsidR="002E64EB">
        <w:t xml:space="preserve">3º </w:t>
      </w:r>
      <w:r w:rsidR="002E64EB" w:rsidRPr="423D2983">
        <w:rPr>
          <w:rFonts w:ascii="Calibri" w:hAnsi="Calibri" w:cs="Calibri"/>
          <w:color w:val="000000" w:themeColor="text1"/>
        </w:rPr>
        <w:t xml:space="preserve"> </w:t>
      </w:r>
      <w:r w:rsidRPr="423D2983">
        <w:rPr>
          <w:rFonts w:ascii="Calibri" w:hAnsi="Calibri" w:cs="Calibri"/>
          <w:color w:val="000000" w:themeColor="text1"/>
        </w:rPr>
        <w:t xml:space="preserve">Esta Resolução entra em vigor em </w:t>
      </w:r>
      <w:r w:rsidR="00847128" w:rsidRPr="00C52025">
        <w:rPr>
          <w:rFonts w:ascii="Calibri" w:hAnsi="Calibri" w:cs="Calibri"/>
          <w:color w:val="000000" w:themeColor="text1"/>
        </w:rPr>
        <w:t>1º</w:t>
      </w:r>
      <w:r w:rsidRPr="00C52025">
        <w:rPr>
          <w:rFonts w:ascii="Calibri" w:hAnsi="Calibri" w:cs="Calibri"/>
          <w:color w:val="000000" w:themeColor="text1"/>
        </w:rPr>
        <w:t xml:space="preserve"> de </w:t>
      </w:r>
      <w:r w:rsidR="0034373C">
        <w:rPr>
          <w:rFonts w:ascii="Calibri" w:hAnsi="Calibri" w:cs="Calibri"/>
          <w:color w:val="000000" w:themeColor="text1"/>
        </w:rPr>
        <w:t>ju</w:t>
      </w:r>
      <w:r w:rsidR="003B4BC1">
        <w:rPr>
          <w:rFonts w:ascii="Calibri" w:hAnsi="Calibri" w:cs="Calibri"/>
          <w:color w:val="000000" w:themeColor="text1"/>
        </w:rPr>
        <w:t>lho de 2022</w:t>
      </w:r>
      <w:r w:rsidR="00C52025">
        <w:rPr>
          <w:rFonts w:ascii="Calibri" w:hAnsi="Calibri" w:cs="Calibri"/>
          <w:color w:val="000000" w:themeColor="text1"/>
        </w:rPr>
        <w:t>.</w:t>
      </w:r>
    </w:p>
    <w:p w14:paraId="1EC3FC8C" w14:textId="2DD80059" w:rsidR="4B5E3D5E" w:rsidRDefault="4B5E3D5E" w:rsidP="00410B6F">
      <w:pPr>
        <w:spacing w:before="0" w:after="0" w:line="240" w:lineRule="auto"/>
        <w:rPr>
          <w:rFonts w:ascii="Calibri" w:hAnsi="Calibri" w:cs="Calibri"/>
        </w:rPr>
      </w:pPr>
    </w:p>
    <w:p w14:paraId="7832D4AC" w14:textId="427EF939" w:rsidR="52D26694" w:rsidRDefault="52D26694" w:rsidP="00410B6F">
      <w:pPr>
        <w:spacing w:before="0" w:after="0" w:line="240" w:lineRule="auto"/>
        <w:jc w:val="center"/>
        <w:rPr>
          <w:rFonts w:ascii="Times New Roman" w:eastAsia="Times New Roman" w:hAnsi="Times New Roman" w:cs="Times New Roman"/>
          <w:color w:val="000000" w:themeColor="text1"/>
        </w:rPr>
      </w:pPr>
    </w:p>
    <w:p w14:paraId="4EA47FEF" w14:textId="2E8887CE" w:rsidR="52D26694" w:rsidRPr="00410B6F" w:rsidRDefault="00A75C28" w:rsidP="00410B6F">
      <w:pPr>
        <w:spacing w:before="0" w:after="0" w:line="240" w:lineRule="auto"/>
        <w:jc w:val="center"/>
        <w:rPr>
          <w:rFonts w:eastAsia="Times New Roman"/>
          <w:color w:val="000000" w:themeColor="text1"/>
        </w:rPr>
      </w:pPr>
      <w:r w:rsidRPr="00410B6F">
        <w:rPr>
          <w:rFonts w:eastAsia="Times New Roman"/>
          <w:i/>
          <w:iCs/>
          <w:color w:val="000000" w:themeColor="text1"/>
        </w:rPr>
        <w:t>A</w:t>
      </w:r>
      <w:r w:rsidR="52D26694" w:rsidRPr="00410B6F">
        <w:rPr>
          <w:rFonts w:eastAsia="Times New Roman"/>
          <w:i/>
          <w:iCs/>
          <w:color w:val="000000" w:themeColor="text1"/>
        </w:rPr>
        <w:t xml:space="preserve">ssinado </w:t>
      </w:r>
      <w:r w:rsidRPr="00410B6F">
        <w:rPr>
          <w:rFonts w:eastAsia="Times New Roman"/>
          <w:i/>
          <w:iCs/>
          <w:color w:val="000000" w:themeColor="text1"/>
        </w:rPr>
        <w:t xml:space="preserve">eletronicamente </w:t>
      </w:r>
      <w:r w:rsidR="52D26694" w:rsidRPr="00410B6F">
        <w:rPr>
          <w:rFonts w:eastAsia="Times New Roman"/>
          <w:i/>
          <w:iCs/>
          <w:color w:val="000000" w:themeColor="text1"/>
        </w:rPr>
        <w:t>por</w:t>
      </w:r>
    </w:p>
    <w:p w14:paraId="715B2306" w14:textId="400E6C1B" w:rsidR="52D26694" w:rsidRPr="00410B6F" w:rsidRDefault="007447C4" w:rsidP="00410B6F">
      <w:pPr>
        <w:spacing w:before="0" w:after="0" w:line="240" w:lineRule="auto"/>
        <w:jc w:val="center"/>
        <w:rPr>
          <w:rFonts w:eastAsia="Times New Roman"/>
          <w:b/>
          <w:color w:val="000000" w:themeColor="text1"/>
        </w:rPr>
      </w:pPr>
      <w:r w:rsidRPr="00410B6F">
        <w:rPr>
          <w:rFonts w:eastAsia="Times New Roman"/>
          <w:b/>
          <w:color w:val="000000" w:themeColor="text1"/>
        </w:rPr>
        <w:t>MARCELO BARBOSA</w:t>
      </w:r>
    </w:p>
    <w:p w14:paraId="7F355BEE" w14:textId="5192E9A5" w:rsidR="52D26694" w:rsidRPr="00410B6F" w:rsidRDefault="52D26694" w:rsidP="00410B6F">
      <w:pPr>
        <w:spacing w:before="0" w:after="0" w:line="240" w:lineRule="auto"/>
        <w:jc w:val="center"/>
        <w:rPr>
          <w:rFonts w:eastAsia="Times New Roman"/>
          <w:color w:val="000000" w:themeColor="text1"/>
        </w:rPr>
      </w:pPr>
      <w:r w:rsidRPr="00410B6F">
        <w:rPr>
          <w:rFonts w:eastAsia="Times New Roman"/>
          <w:b/>
          <w:bCs/>
          <w:color w:val="000000" w:themeColor="text1"/>
        </w:rPr>
        <w:t>Presidente</w:t>
      </w:r>
    </w:p>
    <w:p w14:paraId="4E2CB646" w14:textId="39D5DF47" w:rsidR="52D26694" w:rsidRPr="00410B6F" w:rsidRDefault="52D26694" w:rsidP="00410B6F">
      <w:pPr>
        <w:spacing w:before="0" w:after="0" w:line="240" w:lineRule="auto"/>
        <w:rPr>
          <w:rFonts w:ascii="Times New Roman" w:eastAsia="Times New Roman" w:hAnsi="Times New Roman" w:cs="Times New Roman"/>
          <w:color w:val="000000" w:themeColor="text1"/>
        </w:rPr>
      </w:pPr>
    </w:p>
    <w:p w14:paraId="1BB7C41C" w14:textId="77777777" w:rsidR="00E25581" w:rsidRDefault="00E25581">
      <w:pPr>
        <w:spacing w:before="0" w:after="200" w:line="276" w:lineRule="auto"/>
        <w:ind w:firstLine="0"/>
        <w:jc w:val="left"/>
      </w:pPr>
      <w:r>
        <w:br w:type="page"/>
      </w:r>
    </w:p>
    <w:p w14:paraId="7CC30865" w14:textId="61261409" w:rsidR="00DF2196" w:rsidRDefault="003B4BC1" w:rsidP="00DF2196">
      <w:pPr>
        <w:spacing w:before="0" w:line="240" w:lineRule="auto"/>
        <w:ind w:firstLine="0"/>
        <w:jc w:val="center"/>
        <w:outlineLvl w:val="0"/>
        <w:rPr>
          <w:rFonts w:ascii="Arial" w:eastAsia="Times New Roman" w:hAnsi="Arial" w:cs="Arial"/>
          <w:b/>
          <w:sz w:val="22"/>
          <w:szCs w:val="22"/>
          <w:lang w:eastAsia="pt-BR"/>
        </w:rPr>
      </w:pPr>
      <w:r>
        <w:rPr>
          <w:rFonts w:ascii="Arial" w:eastAsia="Times New Roman" w:hAnsi="Arial" w:cs="Arial"/>
          <w:b/>
          <w:sz w:val="22"/>
          <w:szCs w:val="22"/>
          <w:lang w:eastAsia="pt-BR"/>
        </w:rPr>
        <w:lastRenderedPageBreak/>
        <w:t>AN</w:t>
      </w:r>
      <w:bookmarkStart w:id="0" w:name="_GoBack"/>
      <w:bookmarkEnd w:id="0"/>
      <w:r>
        <w:rPr>
          <w:rFonts w:ascii="Arial" w:eastAsia="Times New Roman" w:hAnsi="Arial" w:cs="Arial"/>
          <w:b/>
          <w:sz w:val="22"/>
          <w:szCs w:val="22"/>
          <w:lang w:eastAsia="pt-BR"/>
        </w:rPr>
        <w:t>EXO “A”</w:t>
      </w:r>
    </w:p>
    <w:p w14:paraId="37B84252" w14:textId="77777777" w:rsidR="0096738F" w:rsidRPr="0096738F" w:rsidRDefault="0096738F" w:rsidP="0096738F">
      <w:pPr>
        <w:spacing w:before="0" w:line="240" w:lineRule="auto"/>
        <w:ind w:firstLine="0"/>
        <w:jc w:val="center"/>
        <w:outlineLvl w:val="0"/>
        <w:rPr>
          <w:rFonts w:ascii="Arial" w:eastAsia="Times New Roman" w:hAnsi="Arial" w:cs="Arial"/>
          <w:b/>
          <w:sz w:val="22"/>
          <w:szCs w:val="22"/>
          <w:lang w:eastAsia="pt-BR"/>
        </w:rPr>
      </w:pPr>
      <w:r w:rsidRPr="0096738F">
        <w:rPr>
          <w:rFonts w:ascii="Arial" w:eastAsia="Times New Roman" w:hAnsi="Arial" w:cs="Arial"/>
          <w:b/>
          <w:sz w:val="22"/>
          <w:szCs w:val="22"/>
          <w:lang w:eastAsia="pt-BR"/>
        </w:rPr>
        <w:t>COMITÊ DE PRONUNCIAMENTOS CONTÁBEIS</w:t>
      </w:r>
    </w:p>
    <w:p w14:paraId="345D20FB" w14:textId="77777777" w:rsidR="0096738F" w:rsidRPr="0096738F" w:rsidRDefault="0096738F" w:rsidP="0096738F">
      <w:pPr>
        <w:spacing w:before="0" w:line="240" w:lineRule="auto"/>
        <w:ind w:firstLine="0"/>
        <w:jc w:val="center"/>
        <w:outlineLvl w:val="0"/>
        <w:rPr>
          <w:rFonts w:ascii="Arial" w:eastAsia="Times New Roman" w:hAnsi="Arial" w:cs="Arial"/>
          <w:b/>
          <w:sz w:val="22"/>
          <w:szCs w:val="22"/>
          <w:lang w:eastAsia="pt-BR"/>
        </w:rPr>
      </w:pPr>
      <w:r w:rsidRPr="0096738F">
        <w:rPr>
          <w:rFonts w:ascii="Arial" w:eastAsia="Times New Roman" w:hAnsi="Arial" w:cs="Arial"/>
          <w:b/>
          <w:sz w:val="22"/>
          <w:szCs w:val="22"/>
          <w:lang w:eastAsia="pt-BR"/>
        </w:rPr>
        <w:t>PRONUNCIAMENTO TÉCNICO CPC 15 (R1)</w:t>
      </w:r>
    </w:p>
    <w:p w14:paraId="36C57E9F" w14:textId="77777777" w:rsidR="0096738F" w:rsidRPr="0096738F" w:rsidRDefault="0096738F" w:rsidP="0096738F">
      <w:pPr>
        <w:spacing w:before="0" w:line="240" w:lineRule="auto"/>
        <w:ind w:firstLine="0"/>
        <w:jc w:val="center"/>
        <w:outlineLvl w:val="0"/>
        <w:rPr>
          <w:rFonts w:ascii="Arial" w:eastAsia="Times New Roman" w:hAnsi="Arial" w:cs="Arial"/>
          <w:b/>
          <w:sz w:val="22"/>
          <w:szCs w:val="22"/>
          <w:lang w:eastAsia="pt-BR"/>
        </w:rPr>
      </w:pPr>
      <w:r w:rsidRPr="0096738F">
        <w:rPr>
          <w:rFonts w:ascii="Arial" w:eastAsia="Times New Roman" w:hAnsi="Arial" w:cs="Arial"/>
          <w:b/>
          <w:sz w:val="22"/>
          <w:szCs w:val="22"/>
          <w:lang w:eastAsia="pt-BR"/>
        </w:rPr>
        <w:t>COMBINAÇÃO DE NEGÓCIOS</w:t>
      </w:r>
    </w:p>
    <w:p w14:paraId="38E1BC23" w14:textId="77777777" w:rsidR="0096738F" w:rsidRPr="0096738F" w:rsidRDefault="0096738F" w:rsidP="0096738F">
      <w:pPr>
        <w:spacing w:before="0" w:line="240" w:lineRule="auto"/>
        <w:ind w:firstLine="0"/>
        <w:jc w:val="center"/>
        <w:outlineLvl w:val="0"/>
        <w:rPr>
          <w:rFonts w:ascii="Arial" w:eastAsia="Times New Roman" w:hAnsi="Arial" w:cs="Arial"/>
          <w:b/>
          <w:color w:val="FF0000"/>
          <w:sz w:val="22"/>
          <w:szCs w:val="22"/>
          <w:lang w:eastAsia="pt-BR"/>
        </w:rPr>
      </w:pPr>
      <w:r w:rsidRPr="0096738F">
        <w:rPr>
          <w:rFonts w:ascii="Arial" w:eastAsia="Times New Roman" w:hAnsi="Arial" w:cs="Arial"/>
          <w:b/>
          <w:sz w:val="22"/>
          <w:szCs w:val="22"/>
          <w:lang w:eastAsia="pt-BR"/>
        </w:rPr>
        <w:t>Correlação às Normas Internacionais de Contabilidade – IFRS 3 (IASB – BV 2011)</w:t>
      </w:r>
    </w:p>
    <w:p w14:paraId="349B3547"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275"/>
      </w:tblGrid>
      <w:tr w:rsidR="0096738F" w:rsidRPr="0096738F" w14:paraId="46D25FC0" w14:textId="77777777" w:rsidTr="00DF2196">
        <w:tc>
          <w:tcPr>
            <w:tcW w:w="8472" w:type="dxa"/>
          </w:tcPr>
          <w:p w14:paraId="4157B125"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Sumário</w:t>
            </w:r>
          </w:p>
        </w:tc>
        <w:tc>
          <w:tcPr>
            <w:tcW w:w="1275" w:type="dxa"/>
          </w:tcPr>
          <w:p w14:paraId="5C33B5CD"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Item</w:t>
            </w:r>
          </w:p>
        </w:tc>
      </w:tr>
      <w:tr w:rsidR="0096738F" w:rsidRPr="0096738F" w14:paraId="17CB5DD3" w14:textId="77777777" w:rsidTr="00DF2196">
        <w:tc>
          <w:tcPr>
            <w:tcW w:w="8472" w:type="dxa"/>
          </w:tcPr>
          <w:p w14:paraId="0FB02045"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OBJETIVO</w:t>
            </w:r>
          </w:p>
        </w:tc>
        <w:tc>
          <w:tcPr>
            <w:tcW w:w="1275" w:type="dxa"/>
          </w:tcPr>
          <w:p w14:paraId="72D2B089"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1</w:t>
            </w:r>
          </w:p>
        </w:tc>
      </w:tr>
      <w:tr w:rsidR="0096738F" w:rsidRPr="0096738F" w14:paraId="2E9F98A1" w14:textId="77777777" w:rsidTr="00DF2196">
        <w:tc>
          <w:tcPr>
            <w:tcW w:w="8472" w:type="dxa"/>
          </w:tcPr>
          <w:p w14:paraId="6FDB2A69"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ALCANCE</w:t>
            </w:r>
          </w:p>
        </w:tc>
        <w:tc>
          <w:tcPr>
            <w:tcW w:w="1275" w:type="dxa"/>
          </w:tcPr>
          <w:p w14:paraId="45F6F847"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2</w:t>
            </w:r>
          </w:p>
        </w:tc>
      </w:tr>
      <w:tr w:rsidR="0096738F" w:rsidRPr="0096738F" w14:paraId="5CA43FE0" w14:textId="77777777" w:rsidTr="00DF2196">
        <w:tc>
          <w:tcPr>
            <w:tcW w:w="8472" w:type="dxa"/>
          </w:tcPr>
          <w:p w14:paraId="3BAF345A"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IDENTIFICAÇÃO DE COMBINAÇÃO DE NEGÓCIOS</w:t>
            </w:r>
          </w:p>
        </w:tc>
        <w:tc>
          <w:tcPr>
            <w:tcW w:w="1275" w:type="dxa"/>
          </w:tcPr>
          <w:p w14:paraId="4B782EB2"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3</w:t>
            </w:r>
          </w:p>
        </w:tc>
      </w:tr>
      <w:tr w:rsidR="0096738F" w:rsidRPr="0096738F" w14:paraId="73644B3E" w14:textId="77777777" w:rsidTr="00DF2196">
        <w:tc>
          <w:tcPr>
            <w:tcW w:w="8472" w:type="dxa"/>
          </w:tcPr>
          <w:p w14:paraId="24334CB8"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MÉTODO DE AQUISIÇÃO</w:t>
            </w:r>
          </w:p>
        </w:tc>
        <w:tc>
          <w:tcPr>
            <w:tcW w:w="1275" w:type="dxa"/>
          </w:tcPr>
          <w:p w14:paraId="5F12E83D"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4 – 53</w:t>
            </w:r>
          </w:p>
        </w:tc>
      </w:tr>
      <w:tr w:rsidR="0096738F" w:rsidRPr="0096738F" w14:paraId="06B087CC" w14:textId="77777777" w:rsidTr="00DF2196">
        <w:tc>
          <w:tcPr>
            <w:tcW w:w="8472" w:type="dxa"/>
          </w:tcPr>
          <w:p w14:paraId="69A7769E"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Identificação do adquirente</w:t>
            </w:r>
          </w:p>
        </w:tc>
        <w:tc>
          <w:tcPr>
            <w:tcW w:w="1275" w:type="dxa"/>
          </w:tcPr>
          <w:p w14:paraId="587E7738"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6 – 7</w:t>
            </w:r>
          </w:p>
        </w:tc>
      </w:tr>
      <w:tr w:rsidR="0096738F" w:rsidRPr="0096738F" w14:paraId="6F2A690E" w14:textId="77777777" w:rsidTr="00DF2196">
        <w:tc>
          <w:tcPr>
            <w:tcW w:w="8472" w:type="dxa"/>
          </w:tcPr>
          <w:p w14:paraId="3D565887"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Determinação da data de aquisição</w:t>
            </w:r>
          </w:p>
        </w:tc>
        <w:tc>
          <w:tcPr>
            <w:tcW w:w="1275" w:type="dxa"/>
          </w:tcPr>
          <w:p w14:paraId="348F0E75"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8 – 9</w:t>
            </w:r>
          </w:p>
        </w:tc>
      </w:tr>
      <w:tr w:rsidR="0096738F" w:rsidRPr="0096738F" w14:paraId="5FC42BB2" w14:textId="77777777" w:rsidTr="00DF2196">
        <w:tc>
          <w:tcPr>
            <w:tcW w:w="8472" w:type="dxa"/>
          </w:tcPr>
          <w:p w14:paraId="490D3406"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Reconhecimento e mensuração de ativo identificável adquirido, de passivo assumido e de participação de não controlador na adquirida</w:t>
            </w:r>
          </w:p>
        </w:tc>
        <w:tc>
          <w:tcPr>
            <w:tcW w:w="1275" w:type="dxa"/>
          </w:tcPr>
          <w:p w14:paraId="1A91A06D"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10 – 31</w:t>
            </w:r>
          </w:p>
        </w:tc>
      </w:tr>
      <w:tr w:rsidR="0096738F" w:rsidRPr="0096738F" w14:paraId="2730D812" w14:textId="77777777" w:rsidTr="00DF2196">
        <w:tc>
          <w:tcPr>
            <w:tcW w:w="8472" w:type="dxa"/>
          </w:tcPr>
          <w:p w14:paraId="03CD2B0D"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Reconhecimento</w:t>
            </w:r>
          </w:p>
        </w:tc>
        <w:tc>
          <w:tcPr>
            <w:tcW w:w="1275" w:type="dxa"/>
          </w:tcPr>
          <w:p w14:paraId="70F94DF6"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10 – 17</w:t>
            </w:r>
          </w:p>
        </w:tc>
      </w:tr>
      <w:tr w:rsidR="0096738F" w:rsidRPr="0096738F" w14:paraId="24562A66" w14:textId="77777777" w:rsidTr="00DF2196">
        <w:tc>
          <w:tcPr>
            <w:tcW w:w="8472" w:type="dxa"/>
          </w:tcPr>
          <w:p w14:paraId="17DDEE34"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Condições de reconhecimento</w:t>
            </w:r>
          </w:p>
        </w:tc>
        <w:tc>
          <w:tcPr>
            <w:tcW w:w="1275" w:type="dxa"/>
          </w:tcPr>
          <w:p w14:paraId="3807F531"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11 – 14</w:t>
            </w:r>
          </w:p>
        </w:tc>
      </w:tr>
      <w:tr w:rsidR="0096738F" w:rsidRPr="0096738F" w14:paraId="65CDE27F" w14:textId="77777777" w:rsidTr="00DF2196">
        <w:tc>
          <w:tcPr>
            <w:tcW w:w="8472" w:type="dxa"/>
          </w:tcPr>
          <w:p w14:paraId="18A55D7B"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Classificação ou designação de ativo identificável adquirido e passivo assumido em combinação de negócios</w:t>
            </w:r>
          </w:p>
        </w:tc>
        <w:tc>
          <w:tcPr>
            <w:tcW w:w="1275" w:type="dxa"/>
          </w:tcPr>
          <w:p w14:paraId="1AFFE3AB"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15 – 17</w:t>
            </w:r>
          </w:p>
        </w:tc>
      </w:tr>
      <w:tr w:rsidR="0096738F" w:rsidRPr="0096738F" w14:paraId="5DACA945" w14:textId="77777777" w:rsidTr="00DF2196">
        <w:tc>
          <w:tcPr>
            <w:tcW w:w="8472" w:type="dxa"/>
          </w:tcPr>
          <w:p w14:paraId="26771800"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Mensuração</w:t>
            </w:r>
          </w:p>
        </w:tc>
        <w:tc>
          <w:tcPr>
            <w:tcW w:w="1275" w:type="dxa"/>
          </w:tcPr>
          <w:p w14:paraId="41E08720"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18 – 20</w:t>
            </w:r>
          </w:p>
        </w:tc>
      </w:tr>
      <w:tr w:rsidR="0096738F" w:rsidRPr="0096738F" w14:paraId="5DE09275" w14:textId="77777777" w:rsidTr="00DF2196">
        <w:tc>
          <w:tcPr>
            <w:tcW w:w="8472" w:type="dxa"/>
          </w:tcPr>
          <w:p w14:paraId="43E6A351"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 ou na mensuração</w:t>
            </w:r>
          </w:p>
        </w:tc>
        <w:tc>
          <w:tcPr>
            <w:tcW w:w="1275" w:type="dxa"/>
          </w:tcPr>
          <w:p w14:paraId="02143FCF"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21 – 31</w:t>
            </w:r>
          </w:p>
        </w:tc>
      </w:tr>
      <w:tr w:rsidR="0096738F" w:rsidRPr="0096738F" w14:paraId="7E8E5D55" w14:textId="77777777" w:rsidTr="00DF2196">
        <w:tc>
          <w:tcPr>
            <w:tcW w:w="8472" w:type="dxa"/>
          </w:tcPr>
          <w:p w14:paraId="0B5F7D6F"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w:t>
            </w:r>
          </w:p>
        </w:tc>
        <w:tc>
          <w:tcPr>
            <w:tcW w:w="1275" w:type="dxa"/>
          </w:tcPr>
          <w:p w14:paraId="695BB728"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22 – 23</w:t>
            </w:r>
          </w:p>
        </w:tc>
      </w:tr>
      <w:tr w:rsidR="0096738F" w:rsidRPr="0096738F" w14:paraId="620C9F4B" w14:textId="77777777" w:rsidTr="00DF2196">
        <w:tc>
          <w:tcPr>
            <w:tcW w:w="8472" w:type="dxa"/>
          </w:tcPr>
          <w:p w14:paraId="369F83FC"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Passivo contingente</w:t>
            </w:r>
          </w:p>
        </w:tc>
        <w:tc>
          <w:tcPr>
            <w:tcW w:w="1275" w:type="dxa"/>
          </w:tcPr>
          <w:p w14:paraId="20972900"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22 – 23</w:t>
            </w:r>
          </w:p>
        </w:tc>
      </w:tr>
      <w:tr w:rsidR="0096738F" w:rsidRPr="0096738F" w14:paraId="283A0870" w14:textId="77777777" w:rsidTr="00DF2196">
        <w:tc>
          <w:tcPr>
            <w:tcW w:w="8472" w:type="dxa"/>
          </w:tcPr>
          <w:p w14:paraId="1947E63A"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 e na mensuração</w:t>
            </w:r>
          </w:p>
        </w:tc>
        <w:tc>
          <w:tcPr>
            <w:tcW w:w="1275" w:type="dxa"/>
          </w:tcPr>
          <w:p w14:paraId="7657FAB6"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24 – 28</w:t>
            </w:r>
          </w:p>
        </w:tc>
      </w:tr>
      <w:tr w:rsidR="0096738F" w:rsidRPr="0096738F" w14:paraId="18F9C41C" w14:textId="77777777" w:rsidTr="00DF2196">
        <w:tc>
          <w:tcPr>
            <w:tcW w:w="8472" w:type="dxa"/>
          </w:tcPr>
          <w:p w14:paraId="55626EF4"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Tributos sobre o lucro</w:t>
            </w:r>
          </w:p>
        </w:tc>
        <w:tc>
          <w:tcPr>
            <w:tcW w:w="1275" w:type="dxa"/>
          </w:tcPr>
          <w:p w14:paraId="3C475E4F"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24 – 25</w:t>
            </w:r>
          </w:p>
        </w:tc>
      </w:tr>
      <w:tr w:rsidR="0096738F" w:rsidRPr="0096738F" w14:paraId="23132A6B" w14:textId="77777777" w:rsidTr="00DF2196">
        <w:tc>
          <w:tcPr>
            <w:tcW w:w="8472" w:type="dxa"/>
          </w:tcPr>
          <w:p w14:paraId="40E51D9E"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Benefícios a empregados</w:t>
            </w:r>
          </w:p>
        </w:tc>
        <w:tc>
          <w:tcPr>
            <w:tcW w:w="1275" w:type="dxa"/>
          </w:tcPr>
          <w:p w14:paraId="30AE2020"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26</w:t>
            </w:r>
          </w:p>
        </w:tc>
      </w:tr>
      <w:tr w:rsidR="0096738F" w:rsidRPr="0096738F" w14:paraId="424A75BA" w14:textId="77777777" w:rsidTr="00DF2196">
        <w:tc>
          <w:tcPr>
            <w:tcW w:w="8472" w:type="dxa"/>
          </w:tcPr>
          <w:p w14:paraId="314F0697"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Ativos de indenização</w:t>
            </w:r>
          </w:p>
        </w:tc>
        <w:tc>
          <w:tcPr>
            <w:tcW w:w="1275" w:type="dxa"/>
          </w:tcPr>
          <w:p w14:paraId="3FBC9FC7"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27 – 28</w:t>
            </w:r>
          </w:p>
        </w:tc>
      </w:tr>
      <w:tr w:rsidR="0096738F" w:rsidRPr="0096738F" w14:paraId="1BB5891C" w14:textId="77777777" w:rsidTr="00DF2196">
        <w:tc>
          <w:tcPr>
            <w:tcW w:w="8472" w:type="dxa"/>
          </w:tcPr>
          <w:p w14:paraId="3D9331A5"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na mensuração</w:t>
            </w:r>
          </w:p>
        </w:tc>
        <w:tc>
          <w:tcPr>
            <w:tcW w:w="1275" w:type="dxa"/>
          </w:tcPr>
          <w:p w14:paraId="52E44EF2"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29 – 31</w:t>
            </w:r>
          </w:p>
        </w:tc>
      </w:tr>
      <w:tr w:rsidR="0096738F" w:rsidRPr="0096738F" w14:paraId="432F9029" w14:textId="77777777" w:rsidTr="00DF2196">
        <w:tc>
          <w:tcPr>
            <w:tcW w:w="8472" w:type="dxa"/>
          </w:tcPr>
          <w:p w14:paraId="1E59BFEE"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Direito readquirido</w:t>
            </w:r>
          </w:p>
        </w:tc>
        <w:tc>
          <w:tcPr>
            <w:tcW w:w="1275" w:type="dxa"/>
          </w:tcPr>
          <w:p w14:paraId="7424CF3F"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29</w:t>
            </w:r>
          </w:p>
        </w:tc>
      </w:tr>
      <w:tr w:rsidR="0096738F" w:rsidRPr="0096738F" w14:paraId="323D7C01" w14:textId="77777777" w:rsidTr="00DF2196">
        <w:tc>
          <w:tcPr>
            <w:tcW w:w="8472" w:type="dxa"/>
          </w:tcPr>
          <w:p w14:paraId="12BA3A82"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Transações com pagamento baseado em ações</w:t>
            </w:r>
          </w:p>
        </w:tc>
        <w:tc>
          <w:tcPr>
            <w:tcW w:w="1275" w:type="dxa"/>
          </w:tcPr>
          <w:p w14:paraId="0D6336E4"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30</w:t>
            </w:r>
          </w:p>
        </w:tc>
      </w:tr>
      <w:tr w:rsidR="0096738F" w:rsidRPr="0096738F" w14:paraId="69965863" w14:textId="77777777" w:rsidTr="00DF2196">
        <w:tc>
          <w:tcPr>
            <w:tcW w:w="8472" w:type="dxa"/>
          </w:tcPr>
          <w:p w14:paraId="7BCB0E86"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Ativo mantido para venda</w:t>
            </w:r>
          </w:p>
        </w:tc>
        <w:tc>
          <w:tcPr>
            <w:tcW w:w="1275" w:type="dxa"/>
          </w:tcPr>
          <w:p w14:paraId="37F9148E"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31</w:t>
            </w:r>
          </w:p>
        </w:tc>
      </w:tr>
      <w:tr w:rsidR="0096738F" w:rsidRPr="0096738F" w14:paraId="5C52DB72" w14:textId="77777777" w:rsidTr="00DF2196">
        <w:tc>
          <w:tcPr>
            <w:tcW w:w="8472" w:type="dxa"/>
          </w:tcPr>
          <w:p w14:paraId="47C9AEC6"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 xml:space="preserve">Reconhecimento e mensuração do ágio por expectativa de rentabilidade </w:t>
            </w:r>
            <w:r w:rsidRPr="0096738F">
              <w:rPr>
                <w:rFonts w:ascii="Arial" w:eastAsia="Times New Roman" w:hAnsi="Arial" w:cs="Arial"/>
                <w:b/>
                <w:sz w:val="22"/>
                <w:szCs w:val="22"/>
                <w:lang w:eastAsia="pt-BR"/>
              </w:rPr>
              <w:lastRenderedPageBreak/>
              <w:t>futura (</w:t>
            </w:r>
            <w:r w:rsidRPr="0096738F">
              <w:rPr>
                <w:rFonts w:ascii="Arial" w:eastAsia="Times New Roman" w:hAnsi="Arial" w:cs="Arial"/>
                <w:b/>
                <w:i/>
                <w:sz w:val="22"/>
                <w:szCs w:val="22"/>
                <w:lang w:eastAsia="pt-BR"/>
              </w:rPr>
              <w:t>goodwill</w:t>
            </w:r>
            <w:r w:rsidRPr="0096738F">
              <w:rPr>
                <w:rFonts w:ascii="Arial" w:eastAsia="Times New Roman" w:hAnsi="Arial" w:cs="Arial"/>
                <w:b/>
                <w:sz w:val="22"/>
                <w:szCs w:val="22"/>
                <w:lang w:eastAsia="pt-BR"/>
              </w:rPr>
              <w:t>) ou do ganho proveniente de compra vantajosa</w:t>
            </w:r>
          </w:p>
        </w:tc>
        <w:tc>
          <w:tcPr>
            <w:tcW w:w="1275" w:type="dxa"/>
          </w:tcPr>
          <w:p w14:paraId="1F42AF7C"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lastRenderedPageBreak/>
              <w:t>32 – 40</w:t>
            </w:r>
          </w:p>
        </w:tc>
      </w:tr>
      <w:tr w:rsidR="0096738F" w:rsidRPr="0096738F" w14:paraId="1371E505" w14:textId="77777777" w:rsidTr="00DF2196">
        <w:tc>
          <w:tcPr>
            <w:tcW w:w="8472" w:type="dxa"/>
          </w:tcPr>
          <w:p w14:paraId="71B9957A"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Compra vantajosa</w:t>
            </w:r>
          </w:p>
        </w:tc>
        <w:tc>
          <w:tcPr>
            <w:tcW w:w="1275" w:type="dxa"/>
          </w:tcPr>
          <w:p w14:paraId="77A86D31"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34 – 36</w:t>
            </w:r>
          </w:p>
        </w:tc>
      </w:tr>
      <w:tr w:rsidR="0096738F" w:rsidRPr="0096738F" w14:paraId="4A170211" w14:textId="77777777" w:rsidTr="00DF2196">
        <w:tc>
          <w:tcPr>
            <w:tcW w:w="8472" w:type="dxa"/>
          </w:tcPr>
          <w:p w14:paraId="136B99CE"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Contraprestação transferida em troca do controle da adquirida</w:t>
            </w:r>
          </w:p>
        </w:tc>
        <w:tc>
          <w:tcPr>
            <w:tcW w:w="1275" w:type="dxa"/>
          </w:tcPr>
          <w:p w14:paraId="21F83507"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37 – 40</w:t>
            </w:r>
          </w:p>
        </w:tc>
      </w:tr>
      <w:tr w:rsidR="0096738F" w:rsidRPr="0096738F" w14:paraId="02B78B9E" w14:textId="77777777" w:rsidTr="00DF2196">
        <w:tc>
          <w:tcPr>
            <w:tcW w:w="8472" w:type="dxa"/>
          </w:tcPr>
          <w:p w14:paraId="6FB72CAD"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Contraprestação contingente</w:t>
            </w:r>
          </w:p>
        </w:tc>
        <w:tc>
          <w:tcPr>
            <w:tcW w:w="1275" w:type="dxa"/>
          </w:tcPr>
          <w:p w14:paraId="6139D544"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39 – 40</w:t>
            </w:r>
          </w:p>
        </w:tc>
      </w:tr>
      <w:tr w:rsidR="0096738F" w:rsidRPr="0096738F" w14:paraId="5AEE1B1A" w14:textId="77777777" w:rsidTr="00DF2196">
        <w:tc>
          <w:tcPr>
            <w:tcW w:w="8472" w:type="dxa"/>
          </w:tcPr>
          <w:p w14:paraId="5673CDD1"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Orientações adicionais para aplicação do método de aquisição a tipos específicos de combinação de negócios</w:t>
            </w:r>
          </w:p>
        </w:tc>
        <w:tc>
          <w:tcPr>
            <w:tcW w:w="1275" w:type="dxa"/>
          </w:tcPr>
          <w:p w14:paraId="33ABA538"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41 – 44</w:t>
            </w:r>
          </w:p>
        </w:tc>
      </w:tr>
      <w:tr w:rsidR="0096738F" w:rsidRPr="0096738F" w14:paraId="5589E940" w14:textId="77777777" w:rsidTr="00DF2196">
        <w:tc>
          <w:tcPr>
            <w:tcW w:w="8472" w:type="dxa"/>
          </w:tcPr>
          <w:p w14:paraId="7B929267"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Combinação de negócios realizada em estágios</w:t>
            </w:r>
          </w:p>
        </w:tc>
        <w:tc>
          <w:tcPr>
            <w:tcW w:w="1275" w:type="dxa"/>
          </w:tcPr>
          <w:p w14:paraId="41077114"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41 – 42</w:t>
            </w:r>
          </w:p>
        </w:tc>
      </w:tr>
      <w:tr w:rsidR="0096738F" w:rsidRPr="0096738F" w14:paraId="3469FAA5" w14:textId="77777777" w:rsidTr="00DF2196">
        <w:tc>
          <w:tcPr>
            <w:tcW w:w="8472" w:type="dxa"/>
          </w:tcPr>
          <w:p w14:paraId="26C6260D" w14:textId="77777777" w:rsidR="0096738F" w:rsidRPr="0096738F" w:rsidRDefault="0096738F" w:rsidP="0096738F">
            <w:pPr>
              <w:spacing w:before="60" w:after="6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Combinação de negócios realizada sem a transferência de contraprestação</w:t>
            </w:r>
          </w:p>
        </w:tc>
        <w:tc>
          <w:tcPr>
            <w:tcW w:w="1275" w:type="dxa"/>
          </w:tcPr>
          <w:p w14:paraId="1AAE867C"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43 – 44</w:t>
            </w:r>
          </w:p>
        </w:tc>
      </w:tr>
      <w:tr w:rsidR="0096738F" w:rsidRPr="0096738F" w14:paraId="52AEF75E" w14:textId="77777777" w:rsidTr="00DF2196">
        <w:tc>
          <w:tcPr>
            <w:tcW w:w="8472" w:type="dxa"/>
          </w:tcPr>
          <w:p w14:paraId="60C15D3D"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Período de mensuração</w:t>
            </w:r>
          </w:p>
        </w:tc>
        <w:tc>
          <w:tcPr>
            <w:tcW w:w="1275" w:type="dxa"/>
          </w:tcPr>
          <w:p w14:paraId="7522CA11"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 xml:space="preserve">45 – 50 </w:t>
            </w:r>
          </w:p>
        </w:tc>
      </w:tr>
      <w:tr w:rsidR="0096738F" w:rsidRPr="0096738F" w14:paraId="1DD2ADB8" w14:textId="77777777" w:rsidTr="00DF2196">
        <w:tc>
          <w:tcPr>
            <w:tcW w:w="8472" w:type="dxa"/>
          </w:tcPr>
          <w:p w14:paraId="1D54C178"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Determinação do que é parte da operação da combinação de negócios</w:t>
            </w:r>
          </w:p>
        </w:tc>
        <w:tc>
          <w:tcPr>
            <w:tcW w:w="1275" w:type="dxa"/>
          </w:tcPr>
          <w:p w14:paraId="578ED6C8"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51 – 53</w:t>
            </w:r>
          </w:p>
        </w:tc>
      </w:tr>
      <w:tr w:rsidR="0096738F" w:rsidRPr="0096738F" w14:paraId="7F1C7528" w14:textId="77777777" w:rsidTr="00DF2196">
        <w:tc>
          <w:tcPr>
            <w:tcW w:w="8472" w:type="dxa"/>
          </w:tcPr>
          <w:p w14:paraId="365F375F" w14:textId="77777777" w:rsidR="0096738F" w:rsidRPr="0096738F" w:rsidRDefault="0096738F" w:rsidP="0096738F">
            <w:pPr>
              <w:spacing w:before="60" w:after="60" w:line="240" w:lineRule="auto"/>
              <w:ind w:left="284"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Custos relacionados à aquisição</w:t>
            </w:r>
          </w:p>
        </w:tc>
        <w:tc>
          <w:tcPr>
            <w:tcW w:w="1275" w:type="dxa"/>
          </w:tcPr>
          <w:p w14:paraId="7DDC14F2"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53</w:t>
            </w:r>
          </w:p>
        </w:tc>
      </w:tr>
      <w:tr w:rsidR="0096738F" w:rsidRPr="0096738F" w14:paraId="4EF1C48A" w14:textId="77777777" w:rsidTr="00DF2196">
        <w:tc>
          <w:tcPr>
            <w:tcW w:w="8472" w:type="dxa"/>
          </w:tcPr>
          <w:p w14:paraId="01C77972"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MENSURAÇÃO E CONTABILIZAÇÃO SUBSEQUENTES</w:t>
            </w:r>
          </w:p>
        </w:tc>
        <w:tc>
          <w:tcPr>
            <w:tcW w:w="1275" w:type="dxa"/>
          </w:tcPr>
          <w:p w14:paraId="5C8AABE8"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 xml:space="preserve">54 – 58 </w:t>
            </w:r>
          </w:p>
        </w:tc>
      </w:tr>
      <w:tr w:rsidR="0096738F" w:rsidRPr="0096738F" w14:paraId="162725B7" w14:textId="77777777" w:rsidTr="00DF2196">
        <w:tc>
          <w:tcPr>
            <w:tcW w:w="8472" w:type="dxa"/>
          </w:tcPr>
          <w:p w14:paraId="2C0DCA23"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Direito readquirido</w:t>
            </w:r>
          </w:p>
        </w:tc>
        <w:tc>
          <w:tcPr>
            <w:tcW w:w="1275" w:type="dxa"/>
          </w:tcPr>
          <w:p w14:paraId="281058B0"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55</w:t>
            </w:r>
          </w:p>
        </w:tc>
      </w:tr>
      <w:tr w:rsidR="0096738F" w:rsidRPr="0096738F" w14:paraId="2BDB3BD8" w14:textId="77777777" w:rsidTr="00DF2196">
        <w:tc>
          <w:tcPr>
            <w:tcW w:w="8472" w:type="dxa"/>
          </w:tcPr>
          <w:p w14:paraId="76DEA5C9"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Passivo contingente</w:t>
            </w:r>
          </w:p>
        </w:tc>
        <w:tc>
          <w:tcPr>
            <w:tcW w:w="1275" w:type="dxa"/>
          </w:tcPr>
          <w:p w14:paraId="568AF4B9"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56</w:t>
            </w:r>
          </w:p>
        </w:tc>
      </w:tr>
      <w:tr w:rsidR="0096738F" w:rsidRPr="0096738F" w14:paraId="366EBBD0" w14:textId="77777777" w:rsidTr="00DF2196">
        <w:tc>
          <w:tcPr>
            <w:tcW w:w="8472" w:type="dxa"/>
          </w:tcPr>
          <w:p w14:paraId="149390C2"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Ativo de indenização</w:t>
            </w:r>
          </w:p>
        </w:tc>
        <w:tc>
          <w:tcPr>
            <w:tcW w:w="1275" w:type="dxa"/>
          </w:tcPr>
          <w:p w14:paraId="7C251A4B"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57</w:t>
            </w:r>
          </w:p>
        </w:tc>
      </w:tr>
      <w:tr w:rsidR="0096738F" w:rsidRPr="0096738F" w14:paraId="7F61324D" w14:textId="77777777" w:rsidTr="00DF2196">
        <w:tc>
          <w:tcPr>
            <w:tcW w:w="8472" w:type="dxa"/>
          </w:tcPr>
          <w:p w14:paraId="5127EB1C"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Contraprestação contingente</w:t>
            </w:r>
          </w:p>
        </w:tc>
        <w:tc>
          <w:tcPr>
            <w:tcW w:w="1275" w:type="dxa"/>
          </w:tcPr>
          <w:p w14:paraId="03737521"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58</w:t>
            </w:r>
          </w:p>
        </w:tc>
      </w:tr>
      <w:tr w:rsidR="0096738F" w:rsidRPr="0096738F" w14:paraId="0A4E73F7" w14:textId="77777777" w:rsidTr="00DF2196">
        <w:tc>
          <w:tcPr>
            <w:tcW w:w="8472" w:type="dxa"/>
          </w:tcPr>
          <w:p w14:paraId="4ED3A078"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DIVULGAÇÃO</w:t>
            </w:r>
          </w:p>
        </w:tc>
        <w:tc>
          <w:tcPr>
            <w:tcW w:w="1275" w:type="dxa"/>
          </w:tcPr>
          <w:p w14:paraId="27BFF609"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59 – 63</w:t>
            </w:r>
          </w:p>
        </w:tc>
      </w:tr>
      <w:tr w:rsidR="0096738F" w:rsidRPr="0096738F" w14:paraId="52321245" w14:textId="77777777" w:rsidTr="00DF2196">
        <w:tc>
          <w:tcPr>
            <w:tcW w:w="8472" w:type="dxa"/>
          </w:tcPr>
          <w:p w14:paraId="7EC38326"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VIGÊNCIA E TRANSIÇÃO</w:t>
            </w:r>
          </w:p>
        </w:tc>
        <w:tc>
          <w:tcPr>
            <w:tcW w:w="1275" w:type="dxa"/>
          </w:tcPr>
          <w:p w14:paraId="2D8B4064"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64 – 67</w:t>
            </w:r>
          </w:p>
        </w:tc>
      </w:tr>
      <w:tr w:rsidR="0096738F" w:rsidRPr="0096738F" w14:paraId="3069F7E6" w14:textId="77777777" w:rsidTr="00DF2196">
        <w:tc>
          <w:tcPr>
            <w:tcW w:w="8472" w:type="dxa"/>
          </w:tcPr>
          <w:p w14:paraId="65F3C804"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Vigência</w:t>
            </w:r>
          </w:p>
        </w:tc>
        <w:tc>
          <w:tcPr>
            <w:tcW w:w="1275" w:type="dxa"/>
          </w:tcPr>
          <w:p w14:paraId="544D3152"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64 – 64C</w:t>
            </w:r>
          </w:p>
        </w:tc>
      </w:tr>
      <w:tr w:rsidR="0096738F" w:rsidRPr="0096738F" w14:paraId="2CDA1A90" w14:textId="77777777" w:rsidTr="00DF2196">
        <w:tc>
          <w:tcPr>
            <w:tcW w:w="8472" w:type="dxa"/>
          </w:tcPr>
          <w:p w14:paraId="6C57F59D"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Transição</w:t>
            </w:r>
          </w:p>
        </w:tc>
        <w:tc>
          <w:tcPr>
            <w:tcW w:w="1275" w:type="dxa"/>
          </w:tcPr>
          <w:p w14:paraId="057677AF"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65 – 67</w:t>
            </w:r>
          </w:p>
        </w:tc>
      </w:tr>
      <w:tr w:rsidR="0096738F" w:rsidRPr="0096738F" w14:paraId="72C8C75A" w14:textId="77777777" w:rsidTr="00DF2196">
        <w:tc>
          <w:tcPr>
            <w:tcW w:w="8472" w:type="dxa"/>
          </w:tcPr>
          <w:p w14:paraId="4639E3AC" w14:textId="77777777" w:rsidR="0096738F" w:rsidRPr="0096738F" w:rsidRDefault="0096738F" w:rsidP="0096738F">
            <w:pPr>
              <w:spacing w:before="60" w:after="60" w:line="240" w:lineRule="auto"/>
              <w:ind w:left="284" w:firstLine="0"/>
              <w:rPr>
                <w:rFonts w:ascii="Arial" w:eastAsia="Times New Roman" w:hAnsi="Arial" w:cs="Arial"/>
                <w:b/>
                <w:sz w:val="22"/>
                <w:szCs w:val="22"/>
                <w:lang w:eastAsia="pt-BR"/>
              </w:rPr>
            </w:pPr>
            <w:r w:rsidRPr="0096738F">
              <w:rPr>
                <w:rFonts w:ascii="Arial" w:eastAsia="Times New Roman" w:hAnsi="Arial" w:cs="Arial"/>
                <w:sz w:val="22"/>
                <w:szCs w:val="22"/>
                <w:lang w:eastAsia="pt-BR"/>
              </w:rPr>
              <w:t>Tributos sobre o lucro</w:t>
            </w:r>
          </w:p>
        </w:tc>
        <w:tc>
          <w:tcPr>
            <w:tcW w:w="1275" w:type="dxa"/>
          </w:tcPr>
          <w:p w14:paraId="35E023C3" w14:textId="77777777" w:rsidR="0096738F" w:rsidRPr="0096738F" w:rsidRDefault="0096738F" w:rsidP="0096738F">
            <w:pPr>
              <w:spacing w:before="60" w:after="60" w:line="240" w:lineRule="auto"/>
              <w:ind w:firstLine="0"/>
              <w:jc w:val="center"/>
              <w:rPr>
                <w:rFonts w:ascii="Arial" w:eastAsia="Times New Roman" w:hAnsi="Arial" w:cs="Arial"/>
                <w:sz w:val="22"/>
                <w:szCs w:val="22"/>
                <w:lang w:eastAsia="pt-BR"/>
              </w:rPr>
            </w:pPr>
            <w:r w:rsidRPr="0096738F">
              <w:rPr>
                <w:rFonts w:ascii="Arial" w:eastAsia="Times New Roman" w:hAnsi="Arial" w:cs="Arial"/>
                <w:sz w:val="22"/>
                <w:szCs w:val="22"/>
                <w:lang w:eastAsia="pt-BR"/>
              </w:rPr>
              <w:t>67</w:t>
            </w:r>
          </w:p>
        </w:tc>
      </w:tr>
      <w:tr w:rsidR="0096738F" w:rsidRPr="0096738F" w14:paraId="6DD84595" w14:textId="77777777" w:rsidTr="00DF2196">
        <w:tc>
          <w:tcPr>
            <w:tcW w:w="8472" w:type="dxa"/>
          </w:tcPr>
          <w:p w14:paraId="1B94CDE5" w14:textId="77777777" w:rsidR="0096738F" w:rsidRPr="0096738F" w:rsidRDefault="0096738F" w:rsidP="0096738F">
            <w:pPr>
              <w:spacing w:before="60" w:after="6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DISPOSIÇÃO TRANSITÓRIA</w:t>
            </w:r>
          </w:p>
        </w:tc>
        <w:tc>
          <w:tcPr>
            <w:tcW w:w="1275" w:type="dxa"/>
          </w:tcPr>
          <w:p w14:paraId="36AB89F5" w14:textId="77777777" w:rsidR="0096738F" w:rsidRPr="0096738F" w:rsidRDefault="0096738F" w:rsidP="0096738F">
            <w:pPr>
              <w:spacing w:before="60" w:after="60" w:line="240" w:lineRule="auto"/>
              <w:ind w:firstLine="0"/>
              <w:jc w:val="center"/>
              <w:rPr>
                <w:rFonts w:ascii="Arial" w:eastAsia="Times New Roman" w:hAnsi="Arial" w:cs="Arial"/>
                <w:b/>
                <w:sz w:val="22"/>
                <w:szCs w:val="22"/>
                <w:lang w:eastAsia="pt-BR"/>
              </w:rPr>
            </w:pPr>
            <w:r w:rsidRPr="0096738F">
              <w:rPr>
                <w:rFonts w:ascii="Arial" w:eastAsia="Times New Roman" w:hAnsi="Arial" w:cs="Arial"/>
                <w:b/>
                <w:sz w:val="22"/>
                <w:szCs w:val="22"/>
                <w:lang w:eastAsia="pt-BR"/>
              </w:rPr>
              <w:t>68</w:t>
            </w:r>
          </w:p>
        </w:tc>
      </w:tr>
      <w:tr w:rsidR="0096738F" w:rsidRPr="0096738F" w14:paraId="1688A945" w14:textId="77777777" w:rsidTr="00DF2196">
        <w:tc>
          <w:tcPr>
            <w:tcW w:w="9747" w:type="dxa"/>
            <w:gridSpan w:val="2"/>
          </w:tcPr>
          <w:p w14:paraId="1CF24D35" w14:textId="77777777" w:rsidR="0096738F" w:rsidRPr="0096738F" w:rsidRDefault="0096738F" w:rsidP="0096738F">
            <w:pPr>
              <w:spacing w:before="60" w:after="60" w:line="240" w:lineRule="auto"/>
              <w:ind w:firstLine="0"/>
              <w:jc w:val="left"/>
              <w:rPr>
                <w:rFonts w:ascii="Arial" w:eastAsia="Times New Roman" w:hAnsi="Arial" w:cs="Arial"/>
                <w:b/>
                <w:sz w:val="22"/>
                <w:szCs w:val="22"/>
                <w:lang w:eastAsia="pt-BR"/>
              </w:rPr>
            </w:pPr>
            <w:r w:rsidRPr="0096738F">
              <w:rPr>
                <w:rFonts w:ascii="Arial" w:eastAsia="Times New Roman" w:hAnsi="Arial" w:cs="Arial"/>
                <w:b/>
                <w:sz w:val="22"/>
                <w:szCs w:val="22"/>
                <w:lang w:eastAsia="pt-BR"/>
              </w:rPr>
              <w:t>APÊNDICE A – Glossário de termos utilizados no Pronunciamento</w:t>
            </w:r>
          </w:p>
        </w:tc>
      </w:tr>
      <w:tr w:rsidR="0096738F" w:rsidRPr="0096738F" w14:paraId="0F6C26DD" w14:textId="77777777" w:rsidTr="00DF2196">
        <w:tc>
          <w:tcPr>
            <w:tcW w:w="9747" w:type="dxa"/>
            <w:gridSpan w:val="2"/>
          </w:tcPr>
          <w:p w14:paraId="13D28CB1" w14:textId="77777777" w:rsidR="0096738F" w:rsidRPr="0096738F" w:rsidRDefault="0096738F" w:rsidP="0096738F">
            <w:pPr>
              <w:spacing w:before="60" w:after="60" w:line="240" w:lineRule="auto"/>
              <w:ind w:firstLine="0"/>
              <w:jc w:val="left"/>
              <w:rPr>
                <w:rFonts w:ascii="Arial" w:eastAsia="Times New Roman" w:hAnsi="Arial" w:cs="Arial"/>
                <w:b/>
                <w:sz w:val="22"/>
                <w:szCs w:val="22"/>
                <w:lang w:eastAsia="pt-BR"/>
              </w:rPr>
            </w:pPr>
            <w:r w:rsidRPr="0096738F">
              <w:rPr>
                <w:rFonts w:ascii="Arial" w:eastAsia="Times New Roman" w:hAnsi="Arial" w:cs="Arial"/>
                <w:b/>
                <w:sz w:val="22"/>
                <w:szCs w:val="22"/>
                <w:lang w:eastAsia="pt-BR"/>
              </w:rPr>
              <w:t>APÊNDICE B – Guia de aplicação do Pronunciamento</w:t>
            </w:r>
          </w:p>
        </w:tc>
      </w:tr>
      <w:tr w:rsidR="0096738F" w:rsidRPr="0096738F" w14:paraId="16F4E032" w14:textId="77777777" w:rsidTr="00DF2196">
        <w:tc>
          <w:tcPr>
            <w:tcW w:w="9747" w:type="dxa"/>
            <w:gridSpan w:val="2"/>
          </w:tcPr>
          <w:p w14:paraId="431BA77B" w14:textId="77777777" w:rsidR="0096738F" w:rsidRPr="0096738F" w:rsidRDefault="0096738F" w:rsidP="0096738F">
            <w:pPr>
              <w:spacing w:before="60" w:after="60" w:line="240" w:lineRule="auto"/>
              <w:ind w:firstLine="0"/>
              <w:jc w:val="left"/>
              <w:rPr>
                <w:rFonts w:ascii="Arial" w:eastAsia="Times New Roman" w:hAnsi="Arial" w:cs="Arial"/>
                <w:b/>
                <w:sz w:val="22"/>
                <w:szCs w:val="22"/>
                <w:lang w:eastAsia="pt-BR"/>
              </w:rPr>
            </w:pPr>
            <w:r w:rsidRPr="0096738F">
              <w:rPr>
                <w:rFonts w:ascii="Arial" w:eastAsia="Times New Roman" w:hAnsi="Arial" w:cs="Arial"/>
                <w:b/>
                <w:sz w:val="22"/>
                <w:szCs w:val="22"/>
                <w:lang w:eastAsia="pt-BR"/>
              </w:rPr>
              <w:t>APÊNDICE C – Exemplos ilustrativos</w:t>
            </w:r>
          </w:p>
        </w:tc>
      </w:tr>
    </w:tbl>
    <w:p w14:paraId="4B498EB8"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01F0FBE6"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Objetivo</w:t>
      </w:r>
    </w:p>
    <w:p w14:paraId="14FC6233"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3150087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w:t>
      </w:r>
      <w:r w:rsidRPr="0096738F">
        <w:rPr>
          <w:rFonts w:ascii="Arial" w:eastAsia="Times New Roman" w:hAnsi="Arial" w:cs="Arial"/>
          <w:sz w:val="22"/>
          <w:szCs w:val="22"/>
          <w:lang w:eastAsia="pt-BR"/>
        </w:rPr>
        <w:tab/>
        <w:t>O objetivo deste Pronunciamento é aprimorar a relevância, a confiabilidade e a comparabilidade das informações que a entidade fornece em suas demonstrações contábeis acerca de combinação de negócios e sobre seus efeitos. Para esse fim, este Pronunciamento estabelece princípios e exigências da forma como o adquirente:</w:t>
      </w:r>
    </w:p>
    <w:p w14:paraId="6662523D" w14:textId="77777777" w:rsidR="0096738F" w:rsidRPr="0096738F" w:rsidRDefault="0096738F" w:rsidP="0096738F">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96738F">
        <w:rPr>
          <w:rFonts w:ascii="Arial" w:eastAsia="Times New Roman" w:hAnsi="Arial" w:cs="Arial"/>
          <w:bCs/>
          <w:iCs/>
          <w:color w:val="000000"/>
          <w:sz w:val="22"/>
          <w:szCs w:val="22"/>
          <w:lang w:eastAsia="pt-BR"/>
        </w:rPr>
        <w:t>reconhece e mensura, em suas demonstrações contábeis, os ativos identificáveis adquiridos, os passivos assumidos e as participações societárias de não controladores na adquirida;</w:t>
      </w:r>
    </w:p>
    <w:p w14:paraId="64F9DC27" w14:textId="77777777" w:rsidR="0096738F" w:rsidRPr="0096738F" w:rsidRDefault="0096738F" w:rsidP="0096738F">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96738F">
        <w:rPr>
          <w:rFonts w:ascii="Arial" w:eastAsia="Times New Roman" w:hAnsi="Arial" w:cs="Arial"/>
          <w:bCs/>
          <w:iCs/>
          <w:color w:val="000000"/>
          <w:sz w:val="22"/>
          <w:szCs w:val="22"/>
          <w:lang w:eastAsia="pt-BR"/>
        </w:rPr>
        <w:t>reconhece e mensura o ágio por expectativa de rentabilidade futura (</w:t>
      </w:r>
      <w:r w:rsidRPr="0096738F">
        <w:rPr>
          <w:rFonts w:ascii="Arial" w:eastAsia="Times New Roman" w:hAnsi="Arial" w:cs="Arial"/>
          <w:bCs/>
          <w:i/>
          <w:iCs/>
          <w:color w:val="000000"/>
          <w:sz w:val="22"/>
          <w:szCs w:val="22"/>
          <w:lang w:eastAsia="pt-BR"/>
        </w:rPr>
        <w:t>goodwill</w:t>
      </w:r>
      <w:r w:rsidRPr="0096738F">
        <w:rPr>
          <w:rFonts w:ascii="Arial" w:eastAsia="Times New Roman" w:hAnsi="Arial" w:cs="Arial"/>
          <w:bCs/>
          <w:iCs/>
          <w:color w:val="000000"/>
          <w:sz w:val="22"/>
          <w:szCs w:val="22"/>
          <w:lang w:eastAsia="pt-BR"/>
        </w:rPr>
        <w:t xml:space="preserve"> adquirido) </w:t>
      </w:r>
      <w:r w:rsidRPr="0096738F">
        <w:rPr>
          <w:rFonts w:ascii="Arial" w:eastAsia="Times New Roman" w:hAnsi="Arial" w:cs="Arial"/>
          <w:bCs/>
          <w:iCs/>
          <w:color w:val="000000"/>
          <w:sz w:val="22"/>
          <w:szCs w:val="22"/>
          <w:lang w:eastAsia="pt-BR"/>
        </w:rPr>
        <w:lastRenderedPageBreak/>
        <w:t xml:space="preserve">advindo da combinação de negócios ou o ganho proveniente de compra vantajosa; e </w:t>
      </w:r>
    </w:p>
    <w:p w14:paraId="607FB6E2" w14:textId="77777777" w:rsidR="0096738F" w:rsidRPr="0096738F" w:rsidRDefault="0096738F" w:rsidP="0096738F">
      <w:pPr>
        <w:widowControl w:val="0"/>
        <w:numPr>
          <w:ilvl w:val="0"/>
          <w:numId w:val="4"/>
        </w:numPr>
        <w:spacing w:before="0" w:after="0" w:line="240" w:lineRule="auto"/>
        <w:ind w:left="993" w:hanging="426"/>
        <w:rPr>
          <w:rFonts w:ascii="Arial" w:eastAsia="Times New Roman" w:hAnsi="Arial" w:cs="Arial"/>
          <w:bCs/>
          <w:iCs/>
          <w:color w:val="000000"/>
          <w:sz w:val="22"/>
          <w:szCs w:val="22"/>
          <w:lang w:eastAsia="pt-BR"/>
        </w:rPr>
      </w:pPr>
      <w:r w:rsidRPr="0096738F">
        <w:rPr>
          <w:rFonts w:ascii="Arial" w:eastAsia="Times New Roman" w:hAnsi="Arial" w:cs="Arial"/>
          <w:bCs/>
          <w:iCs/>
          <w:color w:val="000000"/>
          <w:sz w:val="22"/>
          <w:szCs w:val="22"/>
          <w:lang w:eastAsia="pt-BR"/>
        </w:rPr>
        <w:t>determina quais as informações que devem ser divulgadas para possibilitar que os usuários das demonstrações contábeis avaliem a natureza e os efeitos financeiros da combinação de negócios.</w:t>
      </w:r>
    </w:p>
    <w:p w14:paraId="1E97D977" w14:textId="77777777" w:rsidR="0096738F" w:rsidRPr="0096738F" w:rsidRDefault="0096738F" w:rsidP="0096738F">
      <w:pPr>
        <w:widowControl w:val="0"/>
        <w:spacing w:before="0" w:after="0" w:line="240" w:lineRule="auto"/>
        <w:ind w:left="710" w:firstLine="0"/>
        <w:rPr>
          <w:rFonts w:ascii="Arial" w:eastAsia="Times New Roman" w:hAnsi="Arial" w:cs="Arial"/>
          <w:bCs/>
          <w:iCs/>
          <w:color w:val="000000"/>
          <w:sz w:val="22"/>
          <w:szCs w:val="22"/>
          <w:lang w:eastAsia="pt-BR"/>
        </w:rPr>
      </w:pPr>
    </w:p>
    <w:p w14:paraId="427E6A25"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Alcance</w:t>
      </w:r>
    </w:p>
    <w:p w14:paraId="06BAE4F6"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4AEE6AD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w:t>
      </w:r>
      <w:r w:rsidRPr="0096738F">
        <w:rPr>
          <w:rFonts w:ascii="Arial" w:eastAsia="Times New Roman" w:hAnsi="Arial" w:cs="Arial"/>
          <w:sz w:val="22"/>
          <w:szCs w:val="22"/>
          <w:lang w:eastAsia="pt-BR"/>
        </w:rPr>
        <w:tab/>
        <w:t>Este Pronunciamento é aplicável às operações ou a outros eventos que atendam à definição de combinação de negócios. Este Pronunciamento não se aplica:</w:t>
      </w:r>
    </w:p>
    <w:p w14:paraId="378579CC" w14:textId="044867D2" w:rsidR="0096738F" w:rsidRPr="0096738F" w:rsidRDefault="00760FB6" w:rsidP="0096738F">
      <w:pPr>
        <w:widowControl w:val="0"/>
        <w:numPr>
          <w:ilvl w:val="0"/>
          <w:numId w:val="5"/>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 xml:space="preserve">na contabilização da formação de </w:t>
      </w:r>
      <w:r w:rsidRPr="0096738F">
        <w:rPr>
          <w:rFonts w:ascii="Arial" w:eastAsia="Times New Roman" w:hAnsi="Arial" w:cs="Arial"/>
          <w:color w:val="0D0D0D"/>
          <w:sz w:val="22"/>
          <w:szCs w:val="22"/>
          <w:lang w:val="pt-PT" w:eastAsia="pt-BR"/>
        </w:rPr>
        <w:t>negócios em conjunto em suas demonstrações contábeis</w:t>
      </w:r>
      <w:r w:rsidR="0096738F" w:rsidRPr="0096738F">
        <w:rPr>
          <w:rFonts w:ascii="Arial" w:eastAsia="Times New Roman" w:hAnsi="Arial" w:cs="Arial"/>
          <w:strike/>
          <w:sz w:val="22"/>
          <w:szCs w:val="22"/>
          <w:lang w:val="pt-PT" w:eastAsia="pt-BR"/>
        </w:rPr>
        <w:t xml:space="preserve">); </w:t>
      </w:r>
    </w:p>
    <w:p w14:paraId="517F040A" w14:textId="77777777" w:rsidR="0096738F" w:rsidRPr="0096738F" w:rsidRDefault="0096738F" w:rsidP="0096738F">
      <w:pPr>
        <w:widowControl w:val="0"/>
        <w:numPr>
          <w:ilvl w:val="0"/>
          <w:numId w:val="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na aquisição de ativo ou grupo de ativos que não constitua negócio nos termos deste Pronunciamento. Nesse caso, o adquirente deve identificar e reconhecer os ativos identificáveis adquiridos individualmente (incluindo aqueles que atendam à definição de ativo intangível e o critério para seu reconhecimento de acordo com o Pronunciamento Técnico CPC 04 – Ativo Intangível) e os passivos assumidos. O custo do grupo deve ser alocado </w:t>
      </w:r>
      <w:r w:rsidRPr="0096738F">
        <w:rPr>
          <w:rFonts w:ascii="Arial" w:eastAsia="Times New Roman" w:hAnsi="Arial" w:cs="Arial"/>
          <w:bCs/>
          <w:iCs/>
          <w:sz w:val="22"/>
          <w:szCs w:val="22"/>
          <w:lang w:val="pt-PT" w:eastAsia="pt-BR"/>
        </w:rPr>
        <w:t xml:space="preserve">individualmente </w:t>
      </w:r>
      <w:r w:rsidRPr="0096738F">
        <w:rPr>
          <w:rFonts w:ascii="Arial" w:eastAsia="Times New Roman" w:hAnsi="Arial" w:cs="Arial"/>
          <w:sz w:val="22"/>
          <w:szCs w:val="22"/>
          <w:lang w:val="pt-PT" w:eastAsia="pt-BR"/>
        </w:rPr>
        <w:t xml:space="preserve">aos ativos </w:t>
      </w:r>
      <w:r w:rsidRPr="0096738F">
        <w:rPr>
          <w:rFonts w:ascii="Arial" w:eastAsia="Times New Roman" w:hAnsi="Arial" w:cs="Arial"/>
          <w:bCs/>
          <w:iCs/>
          <w:sz w:val="22"/>
          <w:szCs w:val="22"/>
          <w:lang w:val="pt-PT" w:eastAsia="pt-BR"/>
        </w:rPr>
        <w:t xml:space="preserve">identificáveis </w:t>
      </w:r>
      <w:r w:rsidRPr="0096738F">
        <w:rPr>
          <w:rFonts w:ascii="Arial" w:eastAsia="Times New Roman" w:hAnsi="Arial" w:cs="Arial"/>
          <w:sz w:val="22"/>
          <w:szCs w:val="22"/>
          <w:lang w:val="pt-PT" w:eastAsia="pt-BR"/>
        </w:rPr>
        <w:t>e</w:t>
      </w:r>
      <w:r w:rsidRPr="0096738F">
        <w:rPr>
          <w:rFonts w:ascii="Arial" w:eastAsia="Times New Roman" w:hAnsi="Arial" w:cs="Arial"/>
          <w:bCs/>
          <w:iCs/>
          <w:sz w:val="22"/>
          <w:szCs w:val="22"/>
          <w:lang w:val="pt-PT" w:eastAsia="pt-BR"/>
        </w:rPr>
        <w:t xml:space="preserve"> aos</w:t>
      </w:r>
      <w:r w:rsidRPr="0096738F">
        <w:rPr>
          <w:rFonts w:ascii="Arial" w:eastAsia="Times New Roman" w:hAnsi="Arial" w:cs="Arial"/>
          <w:sz w:val="22"/>
          <w:szCs w:val="22"/>
          <w:lang w:val="pt-PT" w:eastAsia="pt-BR"/>
        </w:rPr>
        <w:t xml:space="preserve"> passivos que o compõem com base em seus respectivos valores justos na data da compra. Operações e eventos desse tipo não geram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p w14:paraId="10CAD890" w14:textId="77777777" w:rsidR="0096738F" w:rsidRPr="0096738F" w:rsidRDefault="0096738F" w:rsidP="0096738F">
      <w:pPr>
        <w:widowControl w:val="0"/>
        <w:numPr>
          <w:ilvl w:val="0"/>
          <w:numId w:val="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combinação de entidades ou negócios sob controle comum (os itens B1 a B4 contêm orientações adicionais).</w:t>
      </w:r>
    </w:p>
    <w:p w14:paraId="50E2D97D" w14:textId="77777777" w:rsidR="0096738F" w:rsidRPr="0096738F" w:rsidRDefault="0096738F" w:rsidP="0096738F">
      <w:pPr>
        <w:autoSpaceDE w:val="0"/>
        <w:autoSpaceDN w:val="0"/>
        <w:adjustRightInd w:val="0"/>
        <w:spacing w:before="0" w:after="0" w:line="240" w:lineRule="auto"/>
        <w:ind w:left="1070" w:firstLine="0"/>
        <w:rPr>
          <w:rFonts w:ascii="Arial" w:eastAsia="Times New Roman" w:hAnsi="Arial" w:cs="Arial"/>
          <w:color w:val="800080"/>
          <w:sz w:val="22"/>
          <w:szCs w:val="22"/>
          <w:lang w:eastAsia="ko-KR"/>
        </w:rPr>
      </w:pPr>
    </w:p>
    <w:p w14:paraId="29BE6DB3" w14:textId="7D35685A" w:rsidR="0096738F" w:rsidRPr="0096738F" w:rsidRDefault="0096738F" w:rsidP="0096738F">
      <w:pPr>
        <w:autoSpaceDE w:val="0"/>
        <w:autoSpaceDN w:val="0"/>
        <w:adjustRightInd w:val="0"/>
        <w:spacing w:before="0" w:after="0" w:line="240" w:lineRule="auto"/>
        <w:ind w:left="567" w:hanging="567"/>
        <w:rPr>
          <w:rFonts w:ascii="Arial" w:eastAsia="Times New Roman" w:hAnsi="Arial" w:cs="Arial"/>
          <w:sz w:val="22"/>
          <w:szCs w:val="22"/>
          <w:lang w:eastAsia="ko-KR"/>
        </w:rPr>
      </w:pPr>
      <w:r w:rsidRPr="0096738F">
        <w:rPr>
          <w:rFonts w:ascii="Arial" w:eastAsia="Times New Roman" w:hAnsi="Arial" w:cs="Arial"/>
          <w:vanish/>
          <w:color w:val="800080"/>
          <w:sz w:val="22"/>
          <w:szCs w:val="22"/>
          <w:vertAlign w:val="subscript"/>
          <w:lang w:eastAsia="ko-KR"/>
        </w:rPr>
        <w:t>{0&gt;</w:t>
      </w:r>
      <w:r w:rsidRPr="0096738F">
        <w:rPr>
          <w:rFonts w:ascii="Arial" w:eastAsia="Times New Roman" w:hAnsi="Arial" w:cs="Arial"/>
          <w:noProof/>
          <w:vanish/>
          <w:color w:val="0000FF"/>
          <w:sz w:val="22"/>
          <w:szCs w:val="22"/>
          <w:lang w:eastAsia="ko-KR"/>
        </w:rPr>
        <w:t>2A</w:t>
      </w:r>
      <w:r w:rsidRPr="0096738F">
        <w:rPr>
          <w:rFonts w:ascii="Arial" w:eastAsia="Times New Roman" w:hAnsi="Arial" w:cs="Arial"/>
          <w:vanish/>
          <w:color w:val="800080"/>
          <w:sz w:val="22"/>
          <w:szCs w:val="22"/>
          <w:vertAlign w:val="subscript"/>
          <w:lang w:eastAsia="ko-KR"/>
        </w:rPr>
        <w:t>&lt;}100{&gt;</w:t>
      </w:r>
      <w:r w:rsidRPr="0096738F">
        <w:rPr>
          <w:rFonts w:ascii="Arial" w:eastAsia="Times New Roman" w:hAnsi="Arial" w:cs="Arial"/>
          <w:sz w:val="22"/>
          <w:szCs w:val="22"/>
          <w:lang w:eastAsia="ko-KR"/>
        </w:rPr>
        <w:t>2A.</w:t>
      </w:r>
      <w:r w:rsidRPr="0096738F">
        <w:rPr>
          <w:rFonts w:ascii="Arial" w:eastAsia="Times New Roman" w:hAnsi="Arial" w:cs="Arial"/>
          <w:vanish/>
          <w:color w:val="800080"/>
          <w:sz w:val="22"/>
          <w:szCs w:val="22"/>
          <w:vertAlign w:val="subscript"/>
          <w:lang w:eastAsia="ko-KR"/>
        </w:rPr>
        <w:t>&lt;0}</w:t>
      </w:r>
      <w:r w:rsidRPr="0096738F">
        <w:rPr>
          <w:rFonts w:ascii="Arial" w:eastAsia="Times New Roman" w:hAnsi="Arial" w:cs="Arial"/>
          <w:sz w:val="22"/>
          <w:szCs w:val="22"/>
          <w:lang w:eastAsia="ko-KR"/>
        </w:rPr>
        <w:tab/>
      </w:r>
      <w:r w:rsidRPr="0096738F">
        <w:rPr>
          <w:rFonts w:ascii="Arial" w:eastAsia="Times New Roman" w:hAnsi="Arial" w:cs="Arial"/>
          <w:vanish/>
          <w:color w:val="800080"/>
          <w:sz w:val="22"/>
          <w:szCs w:val="22"/>
          <w:vertAlign w:val="subscript"/>
          <w:lang w:eastAsia="ko-KR"/>
        </w:rPr>
        <w:t>{0&gt;</w:t>
      </w:r>
      <w:r w:rsidRPr="0096738F">
        <w:rPr>
          <w:rFonts w:ascii="Arial" w:eastAsia="Times New Roman" w:hAnsi="Arial" w:cs="Arial"/>
          <w:noProof/>
          <w:vanish/>
          <w:color w:val="0000FF"/>
          <w:sz w:val="22"/>
          <w:szCs w:val="22"/>
          <w:lang w:eastAsia="ko-KR"/>
        </w:rPr>
        <w:t xml:space="preserve">The requirements of this Standard do not apply to the acquisition by an investment entity, as defined in IFRS 10 </w:t>
      </w:r>
      <w:r w:rsidRPr="0096738F">
        <w:rPr>
          <w:rFonts w:ascii="Arial" w:eastAsia="Times New Roman" w:hAnsi="Arial" w:cs="Arial"/>
          <w:i/>
          <w:noProof/>
          <w:vanish/>
          <w:color w:val="0000FF"/>
          <w:sz w:val="22"/>
          <w:szCs w:val="22"/>
          <w:lang w:eastAsia="ko-KR"/>
        </w:rPr>
        <w:t xml:space="preserve">Consolidated Financial Statements, </w:t>
      </w:r>
      <w:r w:rsidRPr="0096738F">
        <w:rPr>
          <w:rFonts w:ascii="Arial" w:eastAsia="Times New Roman" w:hAnsi="Arial" w:cs="Arial"/>
          <w:noProof/>
          <w:vanish/>
          <w:color w:val="0000FF"/>
          <w:sz w:val="22"/>
          <w:szCs w:val="22"/>
          <w:lang w:eastAsia="ko-KR"/>
        </w:rPr>
        <w:t>of an investment in a subsidiary that is required to be measured at fair value through profit or loss.</w:t>
      </w:r>
      <w:r w:rsidRPr="0096738F">
        <w:rPr>
          <w:rFonts w:ascii="Arial" w:eastAsia="Times New Roman" w:hAnsi="Arial" w:cs="Arial"/>
          <w:vanish/>
          <w:color w:val="800080"/>
          <w:sz w:val="22"/>
          <w:szCs w:val="22"/>
          <w:vertAlign w:val="subscript"/>
          <w:lang w:eastAsia="ko-KR"/>
        </w:rPr>
        <w:t>&lt;}0{&gt;</w:t>
      </w:r>
      <w:r w:rsidRPr="0096738F">
        <w:rPr>
          <w:rFonts w:ascii="Arial" w:eastAsia="Times New Roman" w:hAnsi="Arial" w:cs="Arial"/>
          <w:sz w:val="22"/>
          <w:szCs w:val="22"/>
          <w:lang w:eastAsia="ko-KR"/>
        </w:rPr>
        <w:t>Os requisitos deste Pronunciamento não se aplicam à aquisição por entidade de investimento, conforme definido no Pronunciamento Técnico CPC 36 – Demonstrações Consolidadas, de investimento em controlada que deva ser mensurado ao valor justo por meio do resultado.</w:t>
      </w:r>
      <w:r w:rsidR="00760FB6">
        <w:rPr>
          <w:rFonts w:ascii="Arial" w:eastAsia="Times New Roman" w:hAnsi="Arial" w:cs="Arial"/>
          <w:sz w:val="22"/>
          <w:szCs w:val="22"/>
          <w:lang w:eastAsia="ko-KR"/>
        </w:rPr>
        <w:t xml:space="preserve"> </w:t>
      </w:r>
      <w:r w:rsidRPr="0096738F">
        <w:rPr>
          <w:rFonts w:ascii="Arial" w:eastAsia="Times New Roman" w:hAnsi="Arial" w:cs="Arial"/>
          <w:vanish/>
          <w:color w:val="800080"/>
          <w:sz w:val="22"/>
          <w:szCs w:val="22"/>
          <w:vertAlign w:val="subscript"/>
          <w:lang w:eastAsia="ko-KR"/>
        </w:rPr>
        <w:t>&lt;0}&lt;0}</w:t>
      </w:r>
    </w:p>
    <w:p w14:paraId="098324FA" w14:textId="77777777" w:rsidR="0096738F" w:rsidRPr="0096738F" w:rsidRDefault="0096738F" w:rsidP="0096738F">
      <w:pPr>
        <w:autoSpaceDE w:val="0"/>
        <w:autoSpaceDN w:val="0"/>
        <w:adjustRightInd w:val="0"/>
        <w:spacing w:before="0" w:after="0" w:line="240" w:lineRule="auto"/>
        <w:ind w:left="1070" w:firstLine="0"/>
        <w:rPr>
          <w:rFonts w:ascii="Arial" w:eastAsia="Batang" w:hAnsi="Arial" w:cs="Arial"/>
          <w:b/>
          <w:sz w:val="22"/>
          <w:szCs w:val="22"/>
          <w:lang w:eastAsia="ko-KR"/>
        </w:rPr>
      </w:pPr>
      <w:r w:rsidRPr="0096738F">
        <w:rPr>
          <w:rFonts w:ascii="Arial" w:eastAsia="Times New Roman" w:hAnsi="Arial" w:cs="Arial"/>
          <w:vanish/>
          <w:color w:val="800080"/>
          <w:sz w:val="22"/>
          <w:szCs w:val="22"/>
          <w:lang w:eastAsia="ko-KR"/>
        </w:rPr>
        <w:t>{0&gt;</w:t>
      </w:r>
      <w:r w:rsidRPr="0096738F">
        <w:rPr>
          <w:rFonts w:ascii="Arial" w:eastAsia="Times New Roman" w:hAnsi="Arial" w:cs="Arial"/>
          <w:noProof/>
          <w:vanish/>
          <w:color w:val="0000FF"/>
          <w:sz w:val="22"/>
          <w:szCs w:val="22"/>
          <w:lang w:eastAsia="ko-KR"/>
        </w:rPr>
        <w:t>2A</w:t>
      </w:r>
      <w:r w:rsidRPr="0096738F">
        <w:rPr>
          <w:rFonts w:ascii="Arial" w:eastAsia="Times New Roman" w:hAnsi="Arial" w:cs="Arial"/>
          <w:vanish/>
          <w:color w:val="800080"/>
          <w:sz w:val="22"/>
          <w:szCs w:val="22"/>
          <w:lang w:eastAsia="ko-KR"/>
        </w:rPr>
        <w:t>&lt;}100{&gt;</w:t>
      </w:r>
    </w:p>
    <w:p w14:paraId="072E401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Identificação de combinação de negócios</w:t>
      </w:r>
    </w:p>
    <w:p w14:paraId="145DB82E"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6B9EF9A" w14:textId="36EC44E9"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w:t>
      </w:r>
      <w:r w:rsidRPr="0096738F">
        <w:rPr>
          <w:rFonts w:ascii="Arial" w:eastAsia="Times New Roman" w:hAnsi="Arial" w:cs="Arial"/>
          <w:sz w:val="22"/>
          <w:szCs w:val="22"/>
          <w:lang w:val="pt-PT" w:eastAsia="pt-BR"/>
        </w:rPr>
        <w:tab/>
        <w:t xml:space="preserve">A entidade deve determinar se uma operação, ou outro evento, é uma combinação de negócios pela aplicação da definição utilizada neste Pronunciamento, a qual exige que os ativos adquiridos e os passivos assumidos constituam um negócio. Se os ativos adquiridos não constituem um negócio, a entidade deve contabilizar a operação ou o evento como aquisição de ativos. Os itens B5 a B12D fornecem orientações sobre a identificação da combinação de negócios e a definição de negócio. </w:t>
      </w:r>
    </w:p>
    <w:p w14:paraId="6629B71E"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6962E15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Método de aquisição</w:t>
      </w:r>
    </w:p>
    <w:p w14:paraId="116CF3CC"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BD19D5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w:t>
      </w:r>
      <w:r w:rsidRPr="0096738F">
        <w:rPr>
          <w:rFonts w:ascii="Arial" w:eastAsia="Times New Roman" w:hAnsi="Arial" w:cs="Arial"/>
          <w:sz w:val="22"/>
          <w:szCs w:val="22"/>
          <w:lang w:eastAsia="pt-BR"/>
        </w:rPr>
        <w:tab/>
        <w:t>A entidade deve contabilizar cada combinação de negócios pela aplicação do método de aquisição.</w:t>
      </w:r>
    </w:p>
    <w:p w14:paraId="538F0B32"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31AD542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w:t>
      </w:r>
      <w:r w:rsidRPr="0096738F">
        <w:rPr>
          <w:rFonts w:ascii="Arial" w:eastAsia="Times New Roman" w:hAnsi="Arial" w:cs="Arial"/>
          <w:sz w:val="22"/>
          <w:szCs w:val="22"/>
          <w:lang w:eastAsia="pt-BR"/>
        </w:rPr>
        <w:tab/>
        <w:t>A aplicação do método de aquisição exige:</w:t>
      </w:r>
    </w:p>
    <w:p w14:paraId="618257F3" w14:textId="77777777" w:rsidR="0096738F" w:rsidRPr="0096738F" w:rsidRDefault="0096738F" w:rsidP="0096738F">
      <w:pPr>
        <w:widowControl w:val="0"/>
        <w:numPr>
          <w:ilvl w:val="0"/>
          <w:numId w:val="6"/>
        </w:numPr>
        <w:tabs>
          <w:tab w:val="num" w:pos="993"/>
        </w:tabs>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identificação do adquirente;</w:t>
      </w:r>
    </w:p>
    <w:p w14:paraId="6074E1D0" w14:textId="77777777" w:rsidR="0096738F" w:rsidRPr="0096738F" w:rsidRDefault="0096738F" w:rsidP="0096738F">
      <w:pPr>
        <w:widowControl w:val="0"/>
        <w:numPr>
          <w:ilvl w:val="0"/>
          <w:numId w:val="6"/>
        </w:numPr>
        <w:tabs>
          <w:tab w:val="num" w:pos="340"/>
          <w:tab w:val="num" w:pos="993"/>
        </w:tabs>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determinação da data de aquisição;</w:t>
      </w:r>
    </w:p>
    <w:p w14:paraId="7F07CEE9" w14:textId="77777777" w:rsidR="0096738F" w:rsidRPr="0096738F" w:rsidRDefault="0096738F" w:rsidP="0096738F">
      <w:pPr>
        <w:widowControl w:val="0"/>
        <w:numPr>
          <w:ilvl w:val="0"/>
          <w:numId w:val="6"/>
        </w:numPr>
        <w:tabs>
          <w:tab w:val="num" w:pos="340"/>
          <w:tab w:val="num" w:pos="993"/>
        </w:tabs>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reconhecimento e mensuração dos ativos identificáveis adquiridos, dos passivos assumidos e das participações societárias de não controladores na adquirida; e</w:t>
      </w:r>
    </w:p>
    <w:p w14:paraId="6999C57D" w14:textId="77777777" w:rsidR="0096738F" w:rsidRPr="0096738F" w:rsidRDefault="0096738F" w:rsidP="0096738F">
      <w:pPr>
        <w:widowControl w:val="0"/>
        <w:numPr>
          <w:ilvl w:val="0"/>
          <w:numId w:val="6"/>
        </w:numPr>
        <w:tabs>
          <w:tab w:val="num" w:pos="340"/>
          <w:tab w:val="num" w:pos="993"/>
        </w:tabs>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reconhecimento e mensuração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ou do ganho proveniente de compra vantajosa.</w:t>
      </w:r>
    </w:p>
    <w:p w14:paraId="4B3A4E8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16E4B15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lastRenderedPageBreak/>
        <w:t>Identificação do adquirente</w:t>
      </w:r>
    </w:p>
    <w:p w14:paraId="5E745E4D"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315287F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w:t>
      </w:r>
      <w:r w:rsidRPr="0096738F">
        <w:rPr>
          <w:rFonts w:ascii="Arial" w:eastAsia="Times New Roman" w:hAnsi="Arial" w:cs="Arial"/>
          <w:sz w:val="22"/>
          <w:szCs w:val="22"/>
          <w:lang w:eastAsia="pt-BR"/>
        </w:rPr>
        <w:tab/>
        <w:t>Para cada combinação de negócios, uma das entidades envolvidas na combinação deve ser identificada como o adquirente.</w:t>
      </w:r>
    </w:p>
    <w:p w14:paraId="4635E578"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CB0F9E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7.</w:t>
      </w:r>
      <w:r w:rsidRPr="0096738F">
        <w:rPr>
          <w:rFonts w:ascii="Arial" w:eastAsia="Times New Roman" w:hAnsi="Arial" w:cs="Arial"/>
          <w:sz w:val="22"/>
          <w:szCs w:val="22"/>
          <w:lang w:eastAsia="pt-BR"/>
        </w:rPr>
        <w:tab/>
        <w:t>As orientações do Pronunciamento Técnico CPC 36 - Demonstrações Consolidadas devem ser utilizadas para identificar o adquirente, que é a entidade que obtém o controle da adquirida. Quando ocorrer uma combinação de negócios e essas orientações do Pronunciamento Técnico CPC 36 não indicarem claramente qual das entidades da combinação é o adquirente, os fatores indicados nos itens B14 a B18 devem ser considerados nessa determinação.</w:t>
      </w:r>
    </w:p>
    <w:p w14:paraId="4C709798"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674794A"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Determinação da data de aquisição</w:t>
      </w:r>
    </w:p>
    <w:p w14:paraId="0D5DC1E9"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60E4B9B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8.</w:t>
      </w:r>
      <w:r w:rsidRPr="0096738F">
        <w:rPr>
          <w:rFonts w:ascii="Arial" w:eastAsia="Times New Roman" w:hAnsi="Arial" w:cs="Arial"/>
          <w:sz w:val="22"/>
          <w:szCs w:val="22"/>
          <w:lang w:eastAsia="pt-BR"/>
        </w:rPr>
        <w:tab/>
        <w:t>O adquirente deve identificar a data de aquisição, que é a data em que o controle da adquirida é obtido.</w:t>
      </w:r>
    </w:p>
    <w:p w14:paraId="41B4C86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F787F4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9.</w:t>
      </w:r>
      <w:r w:rsidRPr="0096738F">
        <w:rPr>
          <w:rFonts w:ascii="Arial" w:eastAsia="Times New Roman" w:hAnsi="Arial" w:cs="Arial"/>
          <w:sz w:val="22"/>
          <w:szCs w:val="22"/>
          <w:lang w:eastAsia="pt-BR"/>
        </w:rPr>
        <w:tab/>
        <w:t>A data em que o adquirente obtém o controle da adquirida geralmente é a data em que o adquirente legalmente transfere a contraprestação pelo controle da adquirida, adquire os ativos e assume os passivos da adquirida – a data de fechamento do negócio. Contudo, o adquirente pode obter o controle em data anterior ou posterior à data de fechamento. Por exemplo, a data de aquisição antecede a data de fechamento se o contrato escrito determinar que o adquirente venha a obter o controle da adquirida em data anterior à data de fechamento. O adquirente deve considerar todos os fatos e as circunstâncias pertinentes na identificação da data de aquisição.</w:t>
      </w:r>
    </w:p>
    <w:p w14:paraId="5CB8275A"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FCA8FF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 xml:space="preserve">Reconhecimento e mensuração de ativo identificável adquirido, de passivo assumido e de participação de não controlador na adquirida </w:t>
      </w:r>
    </w:p>
    <w:p w14:paraId="3902FD7B"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2C33B57"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Reconhecimento</w:t>
      </w:r>
    </w:p>
    <w:p w14:paraId="56C8426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BA88CC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10.  </w:t>
      </w:r>
      <w:r w:rsidRPr="0096738F">
        <w:rPr>
          <w:rFonts w:ascii="Arial" w:eastAsia="Times New Roman" w:hAnsi="Arial" w:cs="Arial"/>
          <w:sz w:val="22"/>
          <w:szCs w:val="22"/>
          <w:lang w:eastAsia="pt-BR"/>
        </w:rPr>
        <w:tab/>
        <w:t>A partir da data de aquisição, o adquirente deve reconhecer,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os ativos identificáveis adquiridos, os passivos assumidos e quaisquer participações de não controladores na adquirida. O reconhecimento de ativos identificáveis adquiridos e de passivos assumidos está sujeito às condições especificadas nos itens 11 e 12.</w:t>
      </w:r>
    </w:p>
    <w:p w14:paraId="6C2CEDC7"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12AADC70" w14:textId="77777777" w:rsidR="0096738F" w:rsidRPr="0096738F" w:rsidRDefault="0096738F" w:rsidP="0096738F">
      <w:pPr>
        <w:spacing w:before="0" w:after="0" w:line="240" w:lineRule="auto"/>
        <w:ind w:left="567"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Condições de reconhecimento</w:t>
      </w:r>
    </w:p>
    <w:p w14:paraId="3FD772F4"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0C4E319F" w14:textId="4905295D"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11. </w:t>
      </w:r>
      <w:r w:rsidRPr="0096738F">
        <w:rPr>
          <w:rFonts w:ascii="Arial" w:eastAsia="Times New Roman" w:hAnsi="Arial" w:cs="Arial"/>
          <w:sz w:val="22"/>
          <w:szCs w:val="22"/>
          <w:lang w:val="pt-PT" w:eastAsia="pt-BR"/>
        </w:rPr>
        <w:tab/>
      </w:r>
      <w:r w:rsidR="00282461" w:rsidRPr="00282461">
        <w:rPr>
          <w:rFonts w:ascii="Arial" w:hAnsi="Arial" w:cs="Arial"/>
          <w:sz w:val="22"/>
          <w:szCs w:val="22"/>
        </w:rPr>
        <w:t>Para se qualificarem para reconhecimento, como parte da aplicação do método de aquisição, os ativos identificáveis adquiridos e os passivos assumidos devem atender, na data da aquisição, às definições de ativo e de passivo dispostas no CPC 00 – Estrutura Conceitual para Relatório Financeiro. Por exemplo, os custos que o adquirente espera, porém não está obrigado a incorrer no futuro, para efetivar um plano para encerrar uma atividade da adquirida, ou os custos para realocar ou desligar empregados da adquirida não constituem passivo na data da aquisição. Portanto, o adquirente não deve reconhecer tais custos como parte da aplicação do método de aquisição. Em vez disso, o adquirente deve reconhecer tais custos em suas demonstrações contábeis pós-combinação, de acordo com o disposto em outros pronunciamentos, interpretações e orientações do CPC.</w:t>
      </w:r>
      <w:r w:rsidR="00282461" w:rsidRPr="00282461">
        <w:rPr>
          <w:rFonts w:ascii="Arial" w:hAnsi="Arial" w:cs="Arial"/>
          <w:color w:val="0070C0"/>
          <w:sz w:val="18"/>
          <w:szCs w:val="18"/>
        </w:rPr>
        <w:t xml:space="preserve"> </w:t>
      </w:r>
      <w:r w:rsidRPr="0096738F">
        <w:rPr>
          <w:rFonts w:ascii="Arial" w:eastAsia="Times New Roman" w:hAnsi="Arial" w:cs="Arial"/>
          <w:sz w:val="22"/>
          <w:szCs w:val="22"/>
          <w:lang w:val="pt-PT" w:eastAsia="pt-BR"/>
        </w:rPr>
        <w:t xml:space="preserve"> </w:t>
      </w:r>
    </w:p>
    <w:p w14:paraId="2ED2642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857DE6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12.</w:t>
      </w:r>
      <w:r w:rsidRPr="0096738F">
        <w:rPr>
          <w:rFonts w:ascii="Arial" w:eastAsia="Times New Roman" w:hAnsi="Arial" w:cs="Arial"/>
          <w:sz w:val="22"/>
          <w:szCs w:val="22"/>
          <w:lang w:eastAsia="pt-BR"/>
        </w:rPr>
        <w:tab/>
        <w:t>Adicionalmente, para fins de reconhecimento, como parte da aplicação do método de aquisição, os ativos identificáveis adquiridos e os passivos assumidos devem fazer parte do que o adquirente e a adquirida (ou seus ex-proprietários) trocam na operação de combinação de negócios, em vez de serem resultado de operações separadas. O adquirente deve aplicar as orientações dos itens 51 a 53 para determinar quais ativos adquiridos e passivos assumidos fazem parte da operação de troca para obtenção do controle da adquirida, bem como quais resultam de operações separadas, se houver, e que devem ser contabilizados de acordo com suas naturezas e com os Pronunciamentos, Interpretações e Orientações do CPC aplicáveis.</w:t>
      </w:r>
    </w:p>
    <w:p w14:paraId="3DFC6A9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791F3C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13.</w:t>
      </w:r>
      <w:r w:rsidRPr="0096738F">
        <w:rPr>
          <w:rFonts w:ascii="Arial" w:eastAsia="Times New Roman" w:hAnsi="Arial" w:cs="Arial"/>
          <w:sz w:val="22"/>
          <w:szCs w:val="22"/>
          <w:lang w:eastAsia="pt-BR"/>
        </w:rPr>
        <w:tab/>
        <w:t>A aplicação do princípio e as condições de reconhecimento pelo adquirente podem resultar no reconhecimento de alguns ativos e passivos que não tenham sido anteriormente reconhecidos como tais nas demonstrações contábeis da adquirida. Por exemplo, o adquirente deve reconhecer os ativos intangíveis identificáveis adquiridos, como uma marca ou uma patente ou um relacionamento com clientes, os quais não foram reconhecidos como ativos nas demonstrações contábeis da adquirida por terem sido desenvolvidos internamente e os respectivos custos terem sido registrados como despesa.</w:t>
      </w:r>
    </w:p>
    <w:p w14:paraId="5541F9B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5AB1D1C" w14:textId="0BF8506B" w:rsidR="0096738F" w:rsidRPr="003F27F2" w:rsidRDefault="0096738F" w:rsidP="003F27F2">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14.</w:t>
      </w:r>
      <w:r w:rsidRPr="0096738F">
        <w:rPr>
          <w:rFonts w:ascii="Arial" w:eastAsia="Times New Roman" w:hAnsi="Arial" w:cs="Arial"/>
          <w:sz w:val="22"/>
          <w:szCs w:val="22"/>
          <w:lang w:val="pt-PT" w:eastAsia="pt-BR"/>
        </w:rPr>
        <w:tab/>
      </w:r>
      <w:r w:rsidR="003F27F2" w:rsidRPr="003F27F2">
        <w:rPr>
          <w:rFonts w:ascii="Arial" w:hAnsi="Arial" w:cs="Arial"/>
          <w:sz w:val="22"/>
          <w:szCs w:val="22"/>
        </w:rPr>
        <w:t>Os itens B31 a B40 fornecem orientações para o reconhecimento de ativos intangíveis. Os itens 21A a 28B especificam os tipos de ativos identificáveis e os passivos assumidos, os quais incluem itens para os quais este pronunciamento prevê limitadas exceções ao princípio e às condições de reconhecimento</w:t>
      </w:r>
      <w:r w:rsidR="003F27F2" w:rsidRPr="003F27F2">
        <w:rPr>
          <w:rFonts w:ascii="Arial" w:hAnsi="Arial" w:cs="Arial"/>
          <w:color w:val="0070C0"/>
          <w:sz w:val="22"/>
          <w:szCs w:val="22"/>
        </w:rPr>
        <w:t>.</w:t>
      </w:r>
    </w:p>
    <w:p w14:paraId="308883EE" w14:textId="77777777" w:rsidR="0096738F" w:rsidRPr="0096738F" w:rsidRDefault="0096738F" w:rsidP="003F27F2">
      <w:pPr>
        <w:spacing w:before="0" w:after="0" w:line="240" w:lineRule="auto"/>
        <w:rPr>
          <w:rFonts w:ascii="Arial" w:eastAsia="Times New Roman" w:hAnsi="Arial" w:cs="Arial"/>
          <w:sz w:val="22"/>
          <w:szCs w:val="22"/>
          <w:lang w:eastAsia="pt-BR"/>
        </w:rPr>
      </w:pPr>
    </w:p>
    <w:p w14:paraId="003A034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Classificação ou designação de ativo identificável adquirido e passivo assumido em combinação de negócios</w:t>
      </w:r>
    </w:p>
    <w:p w14:paraId="4C9B7428"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02C40E6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15. </w:t>
      </w:r>
      <w:r w:rsidRPr="0096738F">
        <w:rPr>
          <w:rFonts w:ascii="Arial" w:eastAsia="Times New Roman" w:hAnsi="Arial" w:cs="Arial"/>
          <w:sz w:val="22"/>
          <w:szCs w:val="22"/>
          <w:lang w:eastAsia="pt-BR"/>
        </w:rPr>
        <w:tab/>
        <w:t>Na data da aquisição, o adquirente deve classificar ou designar os ativos identificáveis adquiridos e os passivos assumidos da forma necessária para aplicar subsequentemente outros Pronunciamentos, Interpretações e Orientações do CPC. O adquirente deve fazer essas classificações ou designações com base nos termos contratuais, nas condições econômicas, nas políticas contábeis ou operacionais e em outras condições pertinentes que existiam na data da aquisição.</w:t>
      </w:r>
    </w:p>
    <w:p w14:paraId="366A696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B5A6D49" w14:textId="77777777" w:rsidR="0096738F" w:rsidRPr="0096738F" w:rsidRDefault="0096738F" w:rsidP="0096738F">
      <w:pPr>
        <w:widowControl w:val="0"/>
        <w:tabs>
          <w:tab w:val="left" w:pos="6804"/>
        </w:tabs>
        <w:spacing w:before="0" w:after="0" w:line="240" w:lineRule="auto"/>
        <w:ind w:left="567" w:right="5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16.</w:t>
      </w:r>
      <w:r w:rsidRPr="0096738F">
        <w:rPr>
          <w:rFonts w:ascii="Arial" w:eastAsia="Times New Roman" w:hAnsi="Arial" w:cs="Arial"/>
          <w:sz w:val="22"/>
          <w:szCs w:val="22"/>
          <w:lang w:eastAsia="pt-BR"/>
        </w:rPr>
        <w:tab/>
        <w:t>Em algumas situações, os pronunciamentos, as interpretações e as orientações do CPC podem exigir tratamentos contábeis diferenciados, dependendo da forma como a entidade classifica ou faz a designação de determinado ativo ou passivo. Exemplos de classificação ou designação que o adquirente deve fazer com base nas condições pertinentes, existentes à data da aquisição, incluem, porém não se limitam a:</w:t>
      </w:r>
    </w:p>
    <w:p w14:paraId="471F6455" w14:textId="03469EA2" w:rsidR="0096738F" w:rsidRPr="0096738F" w:rsidRDefault="00760FB6" w:rsidP="0096738F">
      <w:pPr>
        <w:widowControl w:val="0"/>
        <w:numPr>
          <w:ilvl w:val="0"/>
          <w:numId w:val="7"/>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eastAsia="pt-BR"/>
        </w:rPr>
        <w:t>classificar ativos e passivos financeiros específicos como mensurados ao valor justo por meio do resultado, ou ao custo amortizado, ou como ativo financeiro mensurado ao valor justo por meio de outros resultados abrangentes, em conformidade com o disposto no CPC 48 – Instrumentos Financeiros</w:t>
      </w:r>
      <w:r w:rsidR="0096738F" w:rsidRPr="0096738F">
        <w:rPr>
          <w:rFonts w:ascii="Arial" w:eastAsia="Times New Roman" w:hAnsi="Arial" w:cs="Arial"/>
          <w:strike/>
          <w:sz w:val="22"/>
          <w:szCs w:val="22"/>
          <w:lang w:val="pt-PT" w:eastAsia="pt-BR"/>
        </w:rPr>
        <w:t>;</w:t>
      </w:r>
    </w:p>
    <w:p w14:paraId="610BDCAF" w14:textId="229870EF" w:rsidR="0096738F" w:rsidRPr="0096738F" w:rsidRDefault="00760FB6" w:rsidP="0096738F">
      <w:pPr>
        <w:widowControl w:val="0"/>
        <w:numPr>
          <w:ilvl w:val="0"/>
          <w:numId w:val="7"/>
        </w:numPr>
        <w:tabs>
          <w:tab w:val="num" w:pos="340"/>
        </w:tabs>
        <w:spacing w:before="0" w:after="0" w:line="240" w:lineRule="auto"/>
        <w:ind w:left="992" w:hanging="425"/>
        <w:rPr>
          <w:rFonts w:ascii="Arial" w:eastAsia="Times New Roman" w:hAnsi="Arial" w:cs="Arial"/>
          <w:strike/>
          <w:sz w:val="22"/>
          <w:szCs w:val="22"/>
          <w:lang w:val="pt-PT" w:eastAsia="pt-BR"/>
        </w:rPr>
      </w:pPr>
      <w:r w:rsidRPr="0096738F">
        <w:rPr>
          <w:rFonts w:ascii="Arial" w:eastAsia="Times New Roman" w:hAnsi="Arial" w:cs="Arial"/>
          <w:sz w:val="22"/>
          <w:szCs w:val="22"/>
          <w:lang w:eastAsia="pt-BR"/>
        </w:rPr>
        <w:t>designar um instrumento derivativo como instrumento de proteção (hedge), de acordo com o CPC 48; e</w:t>
      </w:r>
      <w:r w:rsidR="0096738F" w:rsidRPr="0096738F">
        <w:rPr>
          <w:rFonts w:ascii="Arial" w:eastAsia="Times New Roman" w:hAnsi="Arial" w:cs="Arial"/>
          <w:strike/>
          <w:sz w:val="22"/>
          <w:szCs w:val="22"/>
          <w:lang w:val="pt-PT" w:eastAsia="pt-BR"/>
        </w:rPr>
        <w:t xml:space="preserve"> </w:t>
      </w:r>
    </w:p>
    <w:p w14:paraId="6199609A" w14:textId="6347F088" w:rsidR="0096738F" w:rsidRPr="0096738F" w:rsidRDefault="00760FB6" w:rsidP="0096738F">
      <w:pPr>
        <w:widowControl w:val="0"/>
        <w:numPr>
          <w:ilvl w:val="0"/>
          <w:numId w:val="7"/>
        </w:numPr>
        <w:tabs>
          <w:tab w:val="num" w:pos="340"/>
        </w:tabs>
        <w:spacing w:before="0" w:after="0" w:line="240" w:lineRule="auto"/>
        <w:ind w:left="992" w:hanging="425"/>
        <w:rPr>
          <w:rFonts w:ascii="Arial" w:eastAsia="Times New Roman" w:hAnsi="Arial" w:cs="Arial"/>
          <w:strike/>
          <w:sz w:val="22"/>
          <w:szCs w:val="22"/>
          <w:lang w:val="pt-PT" w:eastAsia="pt-BR"/>
        </w:rPr>
      </w:pPr>
      <w:r w:rsidRPr="0096738F">
        <w:rPr>
          <w:rFonts w:ascii="Arial" w:eastAsia="Times New Roman" w:hAnsi="Arial" w:cs="Arial"/>
          <w:sz w:val="22"/>
          <w:szCs w:val="22"/>
          <w:lang w:eastAsia="pt-BR"/>
        </w:rPr>
        <w:t>determinar se o derivativo embutido deveria ser separado do contrato principal, de acordo com o CPC 48 (que é uma questão de “classificação”, conforme esse pronunciamento utiliza tal termo)</w:t>
      </w:r>
      <w:r>
        <w:rPr>
          <w:rFonts w:ascii="Arial" w:eastAsia="Times New Roman" w:hAnsi="Arial" w:cs="Arial"/>
          <w:sz w:val="22"/>
          <w:szCs w:val="22"/>
          <w:lang w:eastAsia="pt-BR"/>
        </w:rPr>
        <w:t>.</w:t>
      </w:r>
    </w:p>
    <w:p w14:paraId="541BE6F6" w14:textId="1BD74946" w:rsidR="0096738F" w:rsidRPr="0096738F" w:rsidRDefault="0096738F" w:rsidP="0096738F">
      <w:pPr>
        <w:widowControl w:val="0"/>
        <w:spacing w:before="0" w:after="0" w:line="240" w:lineRule="auto"/>
        <w:ind w:left="993" w:hanging="426"/>
        <w:rPr>
          <w:rFonts w:ascii="Arial" w:eastAsia="Times New Roman" w:hAnsi="Arial" w:cs="Arial"/>
          <w:color w:val="0070C0"/>
          <w:sz w:val="22"/>
          <w:szCs w:val="22"/>
          <w:lang w:eastAsia="pt-BR"/>
        </w:rPr>
      </w:pPr>
    </w:p>
    <w:p w14:paraId="4D783E3D" w14:textId="77777777" w:rsidR="0096738F" w:rsidRPr="0096738F" w:rsidRDefault="0096738F" w:rsidP="0096738F">
      <w:pPr>
        <w:widowControl w:val="0"/>
        <w:spacing w:before="0" w:after="0" w:line="240" w:lineRule="auto"/>
        <w:ind w:left="710" w:firstLine="0"/>
        <w:rPr>
          <w:rFonts w:ascii="Arial" w:eastAsia="Times New Roman" w:hAnsi="Arial" w:cs="Arial"/>
          <w:sz w:val="22"/>
          <w:szCs w:val="22"/>
          <w:lang w:eastAsia="pt-BR"/>
        </w:rPr>
      </w:pPr>
    </w:p>
    <w:p w14:paraId="18F87FF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17.</w:t>
      </w:r>
      <w:r w:rsidRPr="0096738F">
        <w:rPr>
          <w:rFonts w:ascii="Arial" w:eastAsia="Times New Roman" w:hAnsi="Arial" w:cs="Arial"/>
          <w:sz w:val="22"/>
          <w:szCs w:val="22"/>
          <w:lang w:eastAsia="pt-BR"/>
        </w:rPr>
        <w:tab/>
        <w:t>Este pronunciamento prevê duas exceções ao princípio do item 15:</w:t>
      </w:r>
    </w:p>
    <w:p w14:paraId="10518CA9" w14:textId="3270C574" w:rsidR="0096738F" w:rsidRPr="0096738F" w:rsidRDefault="00760FB6" w:rsidP="0096738F">
      <w:pPr>
        <w:widowControl w:val="0"/>
        <w:numPr>
          <w:ilvl w:val="0"/>
          <w:numId w:val="8"/>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 xml:space="preserve">classificação de contrato de arrendamento em que a adquirida é o arrendador como arrendamento operacional ou financeiro, conforme descrito no CPC 06 – Arrendamentos; e </w:t>
      </w:r>
    </w:p>
    <w:p w14:paraId="1A66A4C6" w14:textId="77777777" w:rsidR="0096738F" w:rsidRPr="0096738F" w:rsidRDefault="0096738F" w:rsidP="0096738F">
      <w:pPr>
        <w:widowControl w:val="0"/>
        <w:numPr>
          <w:ilvl w:val="0"/>
          <w:numId w:val="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classificação de um contrato como contrato de seguro, conforme o Pronunciamento Técnico CPC 11 – Contratos de Seguro.</w:t>
      </w:r>
    </w:p>
    <w:p w14:paraId="6ECC0C0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O adquirente deve classificar tais contratos com base em suas cláusulas contratuais e em outros fatores na data de início do contrato (ou, na data da alteração contratual, que pode ser a mesma que a data da aquisição, caso suas cláusulas tenham sido modificadas de forma a alterar sua classificação).</w:t>
      </w:r>
    </w:p>
    <w:p w14:paraId="24F763E8"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1C087A2"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Mensuração</w:t>
      </w:r>
    </w:p>
    <w:p w14:paraId="12202F37"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7C010E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18. </w:t>
      </w:r>
      <w:r w:rsidRPr="0096738F">
        <w:rPr>
          <w:rFonts w:ascii="Arial" w:eastAsia="Times New Roman" w:hAnsi="Arial" w:cs="Arial"/>
          <w:sz w:val="22"/>
          <w:szCs w:val="22"/>
          <w:lang w:eastAsia="pt-BR"/>
        </w:rPr>
        <w:tab/>
        <w:t>O adquirente deve mensurar os ativos identificáveis adquiridos e os passivos assumidos pelos respectivos valores justos da data da aquisição.</w:t>
      </w:r>
    </w:p>
    <w:p w14:paraId="1E54F8B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CD6179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19.</w:t>
      </w:r>
      <w:r w:rsidRPr="0096738F">
        <w:rPr>
          <w:rFonts w:ascii="Arial" w:eastAsia="Times New Roman" w:hAnsi="Arial" w:cs="Arial"/>
          <w:sz w:val="22"/>
          <w:szCs w:val="22"/>
          <w:lang w:eastAsia="pt-BR"/>
        </w:rPr>
        <w:tab/>
        <w:t>Em cada combinação de negócios, o adquirente deve mensurar, na data da aquisição, os componentes da participação de não controladores na adquirida que representem nessa data efetivamente instrumentos patrimoniais e confiram a seus detentores uma participação proporcional nos ativos líquidos da adquirida em caso de sua liquidação, por um dos seguintes critérios:</w:t>
      </w:r>
    </w:p>
    <w:p w14:paraId="7C53BB8B" w14:textId="77777777" w:rsidR="0096738F" w:rsidRPr="0096738F" w:rsidRDefault="0096738F" w:rsidP="0096738F">
      <w:pPr>
        <w:widowControl w:val="0"/>
        <w:numPr>
          <w:ilvl w:val="0"/>
          <w:numId w:val="9"/>
        </w:numPr>
        <w:spacing w:before="0" w:after="0" w:line="240" w:lineRule="auto"/>
        <w:ind w:left="993" w:hanging="426"/>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pelo valor justo, ou </w:t>
      </w:r>
    </w:p>
    <w:p w14:paraId="334EAC79" w14:textId="77777777" w:rsidR="0096738F" w:rsidRPr="0096738F" w:rsidRDefault="0096738F" w:rsidP="0096738F">
      <w:pPr>
        <w:widowControl w:val="0"/>
        <w:numPr>
          <w:ilvl w:val="0"/>
          <w:numId w:val="9"/>
        </w:numPr>
        <w:spacing w:before="0" w:after="0" w:line="240" w:lineRule="auto"/>
        <w:ind w:left="993" w:hanging="426"/>
        <w:rPr>
          <w:rFonts w:ascii="Arial" w:eastAsia="Times New Roman" w:hAnsi="Arial" w:cs="Arial"/>
          <w:sz w:val="22"/>
          <w:szCs w:val="22"/>
          <w:lang w:eastAsia="pt-BR"/>
        </w:rPr>
      </w:pPr>
      <w:r w:rsidRPr="0096738F">
        <w:rPr>
          <w:rFonts w:ascii="Arial" w:eastAsia="Times New Roman" w:hAnsi="Arial" w:cs="Arial"/>
          <w:sz w:val="22"/>
          <w:szCs w:val="22"/>
          <w:lang w:eastAsia="pt-BR"/>
        </w:rPr>
        <w:t>pela participação proporcional atual conferida pelos instrumentos patrimoniais nos montantes reconhecidos dos ativos líquidos identificáveis da adquirida.</w:t>
      </w:r>
    </w:p>
    <w:p w14:paraId="6C3B63D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Todos os demais componentes da participação de não controladores devem ser mensurados ao valor justo na data da aquisição, a menos que outra base de mensuração seja requerida pelos Pronunciamentos, Interpretações e Orientações do CPC.</w:t>
      </w:r>
    </w:p>
    <w:p w14:paraId="3D73012F" w14:textId="77777777" w:rsidR="0096738F" w:rsidRPr="0096738F" w:rsidRDefault="0096738F" w:rsidP="0096738F">
      <w:pPr>
        <w:widowControl w:val="0"/>
        <w:tabs>
          <w:tab w:val="left" w:pos="7890"/>
        </w:tabs>
        <w:spacing w:before="0" w:after="0" w:line="240" w:lineRule="auto"/>
        <w:ind w:left="567" w:hanging="567"/>
        <w:rPr>
          <w:rFonts w:ascii="Arial" w:eastAsia="Times New Roman" w:hAnsi="Arial" w:cs="Arial"/>
          <w:sz w:val="22"/>
          <w:szCs w:val="22"/>
          <w:lang w:eastAsia="pt-BR"/>
        </w:rPr>
      </w:pPr>
    </w:p>
    <w:p w14:paraId="06746819" w14:textId="55A5C344"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20.</w:t>
      </w:r>
      <w:r w:rsidRPr="0096738F">
        <w:rPr>
          <w:rFonts w:ascii="Arial" w:eastAsia="Times New Roman" w:hAnsi="Arial" w:cs="Arial"/>
          <w:sz w:val="22"/>
          <w:szCs w:val="22"/>
          <w:lang w:eastAsia="pt-BR"/>
        </w:rPr>
        <w:tab/>
        <w:t xml:space="preserve">Os itens 24 a 31 especificam os tipos de ativos identificáveis e passivos assumidos que incluem itens para os quais este Pronunciamento Técnico prevê limitadas exceções ao princípio de mensuração. </w:t>
      </w:r>
    </w:p>
    <w:p w14:paraId="3ACA359D"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7A779A27"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 ou na mensuração</w:t>
      </w:r>
    </w:p>
    <w:p w14:paraId="5961CD5E"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18106B17" w14:textId="10913429" w:rsidR="0096738F" w:rsidRDefault="0096738F" w:rsidP="00623F06">
      <w:pPr>
        <w:widowControl w:val="0"/>
        <w:tabs>
          <w:tab w:val="left" w:pos="6804"/>
        </w:tabs>
        <w:spacing w:before="0" w:after="0" w:line="240" w:lineRule="auto"/>
        <w:ind w:left="567" w:hanging="567"/>
        <w:rPr>
          <w:sz w:val="22"/>
          <w:szCs w:val="22"/>
        </w:rPr>
      </w:pPr>
      <w:r w:rsidRPr="0096738F">
        <w:rPr>
          <w:rFonts w:ascii="Arial" w:eastAsia="Times New Roman" w:hAnsi="Arial" w:cs="Arial"/>
          <w:sz w:val="22"/>
          <w:szCs w:val="22"/>
          <w:lang w:eastAsia="pt-BR"/>
        </w:rPr>
        <w:t xml:space="preserve">21. </w:t>
      </w:r>
      <w:r w:rsidRPr="0096738F">
        <w:rPr>
          <w:rFonts w:ascii="Arial" w:eastAsia="Times New Roman" w:hAnsi="Arial" w:cs="Arial"/>
          <w:sz w:val="22"/>
          <w:szCs w:val="22"/>
          <w:lang w:eastAsia="pt-BR"/>
        </w:rPr>
        <w:tab/>
      </w:r>
      <w:r w:rsidR="00623F06" w:rsidRPr="00623F06">
        <w:rPr>
          <w:rFonts w:ascii="Arial" w:hAnsi="Arial" w:cs="Arial"/>
          <w:sz w:val="22"/>
          <w:szCs w:val="22"/>
        </w:rPr>
        <w:t>Este Pronunciamento prevê limitadas exceções aos princípios de reconhecimento e de mensuração. Os itens 21A a 31 determinam os itens específicos para os quais são previstas exceções e também a natureza dessas exceções. O adquirente deve contabilizar esses itens pela aplicação das exigências dispostas nos itens 21A a 31, o que vai resultar em alguns itens sendo:</w:t>
      </w:r>
    </w:p>
    <w:p w14:paraId="2D8AD0FA" w14:textId="77777777" w:rsidR="00623F06" w:rsidRPr="0096738F" w:rsidRDefault="00623F06" w:rsidP="00623F06">
      <w:pPr>
        <w:widowControl w:val="0"/>
        <w:tabs>
          <w:tab w:val="left" w:pos="6804"/>
        </w:tabs>
        <w:spacing w:before="0" w:after="0" w:line="240" w:lineRule="auto"/>
        <w:ind w:left="567" w:hanging="567"/>
        <w:rPr>
          <w:rFonts w:ascii="Arial" w:eastAsia="Times New Roman" w:hAnsi="Arial" w:cs="Arial"/>
          <w:sz w:val="22"/>
          <w:szCs w:val="22"/>
          <w:lang w:eastAsia="pt-BR"/>
        </w:rPr>
      </w:pPr>
    </w:p>
    <w:p w14:paraId="48E8FFF6" w14:textId="77777777" w:rsidR="0096738F" w:rsidRPr="0096738F" w:rsidRDefault="0096738F" w:rsidP="0096738F">
      <w:pPr>
        <w:widowControl w:val="0"/>
        <w:numPr>
          <w:ilvl w:val="0"/>
          <w:numId w:val="1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reconhecidos pela aplicação de condições de reconhecimento adicionais</w:t>
      </w:r>
      <w:r w:rsidRPr="0096738F">
        <w:rPr>
          <w:rFonts w:ascii="Arial" w:eastAsia="Times New Roman" w:hAnsi="Arial" w:cs="Arial"/>
          <w:bCs/>
          <w:iCs/>
          <w:sz w:val="22"/>
          <w:szCs w:val="22"/>
          <w:lang w:val="pt-PT" w:eastAsia="pt-BR"/>
        </w:rPr>
        <w:t xml:space="preserve"> àquelas</w:t>
      </w:r>
      <w:r w:rsidRPr="0096738F">
        <w:rPr>
          <w:rFonts w:ascii="Arial" w:eastAsia="Times New Roman" w:hAnsi="Arial" w:cs="Arial"/>
          <w:sz w:val="22"/>
          <w:szCs w:val="22"/>
          <w:lang w:val="pt-PT" w:eastAsia="pt-BR"/>
        </w:rPr>
        <w:t xml:space="preserve"> previstas nos itens 11 e 12, ou pela aplicação das exigências de outros Pronunciamentos, Interpretações e Orientações</w:t>
      </w:r>
      <w:r w:rsidRPr="0096738F">
        <w:rPr>
          <w:rFonts w:ascii="Arial" w:eastAsia="Times New Roman" w:hAnsi="Arial" w:cs="Arial"/>
          <w:bCs/>
          <w:iCs/>
          <w:sz w:val="22"/>
          <w:szCs w:val="22"/>
          <w:lang w:val="pt-PT" w:eastAsia="pt-BR"/>
        </w:rPr>
        <w:t xml:space="preserve"> do CPC</w:t>
      </w:r>
      <w:r w:rsidRPr="0096738F">
        <w:rPr>
          <w:rFonts w:ascii="Arial" w:eastAsia="Times New Roman" w:hAnsi="Arial" w:cs="Arial"/>
          <w:sz w:val="22"/>
          <w:szCs w:val="22"/>
          <w:lang w:val="pt-PT" w:eastAsia="pt-BR"/>
        </w:rPr>
        <w:t>, com resultados diferentes dos que seriam obtidos mediante aplicação do princípio e</w:t>
      </w:r>
      <w:r w:rsidRPr="0096738F">
        <w:rPr>
          <w:rFonts w:ascii="Arial" w:eastAsia="Times New Roman" w:hAnsi="Arial" w:cs="Arial"/>
          <w:bCs/>
          <w:iCs/>
          <w:sz w:val="22"/>
          <w:szCs w:val="22"/>
          <w:lang w:val="pt-PT" w:eastAsia="pt-BR"/>
        </w:rPr>
        <w:t xml:space="preserve"> das</w:t>
      </w:r>
      <w:r w:rsidRPr="0096738F">
        <w:rPr>
          <w:rFonts w:ascii="Arial" w:eastAsia="Times New Roman" w:hAnsi="Arial" w:cs="Arial"/>
          <w:sz w:val="22"/>
          <w:szCs w:val="22"/>
          <w:lang w:val="pt-PT" w:eastAsia="pt-BR"/>
        </w:rPr>
        <w:t xml:space="preserve"> condições de reconhecimento;</w:t>
      </w:r>
    </w:p>
    <w:p w14:paraId="2DB05975" w14:textId="77777777" w:rsidR="0096738F" w:rsidRPr="0096738F" w:rsidRDefault="0096738F" w:rsidP="0096738F">
      <w:pPr>
        <w:widowControl w:val="0"/>
        <w:numPr>
          <w:ilvl w:val="0"/>
          <w:numId w:val="1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mensurados por montante diferente do seu valor justo na data da aquisição.</w:t>
      </w:r>
    </w:p>
    <w:p w14:paraId="6164B638"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2B57E6CD" w14:textId="3A8D64AB" w:rsidR="00D272FC" w:rsidRPr="00D272FC" w:rsidRDefault="00D272FC" w:rsidP="00D272FC">
      <w:pPr>
        <w:spacing w:before="0" w:after="0"/>
        <w:ind w:left="567" w:hanging="567"/>
        <w:rPr>
          <w:rFonts w:ascii="Arial" w:hAnsi="Arial" w:cs="Arial"/>
          <w:sz w:val="22"/>
          <w:szCs w:val="22"/>
        </w:rPr>
      </w:pPr>
      <w:r w:rsidRPr="00D272FC">
        <w:rPr>
          <w:rFonts w:ascii="Arial" w:hAnsi="Arial" w:cs="Arial"/>
          <w:sz w:val="22"/>
          <w:szCs w:val="22"/>
        </w:rPr>
        <w:lastRenderedPageBreak/>
        <w:t>21A.</w:t>
      </w:r>
      <w:r w:rsidRPr="00D272FC">
        <w:rPr>
          <w:rFonts w:ascii="Arial" w:hAnsi="Arial" w:cs="Arial"/>
          <w:sz w:val="22"/>
          <w:szCs w:val="22"/>
        </w:rPr>
        <w:tab/>
        <w:t xml:space="preserve">O item 21B aplica-se a passivos e passivos contingentes que estejam dentro do alcance do CPC 25 ou da ICPC 19 se fossem incorridos separadamente em vez de assumidos em combinação de negócios. </w:t>
      </w:r>
    </w:p>
    <w:p w14:paraId="663E228F" w14:textId="77777777" w:rsidR="00D272FC" w:rsidRPr="00D272FC" w:rsidRDefault="00D272FC" w:rsidP="00D272FC">
      <w:pPr>
        <w:spacing w:before="0" w:after="0"/>
        <w:ind w:left="567" w:hanging="567"/>
        <w:rPr>
          <w:rFonts w:ascii="Arial" w:hAnsi="Arial" w:cs="Arial"/>
          <w:sz w:val="22"/>
          <w:szCs w:val="22"/>
        </w:rPr>
      </w:pPr>
    </w:p>
    <w:p w14:paraId="78C0AADA" w14:textId="419FE556" w:rsidR="00D272FC" w:rsidRPr="00D272FC" w:rsidRDefault="00D272FC" w:rsidP="00D272FC">
      <w:pPr>
        <w:spacing w:before="0" w:after="0"/>
        <w:ind w:left="567" w:hanging="567"/>
        <w:rPr>
          <w:rFonts w:ascii="Arial" w:hAnsi="Arial" w:cs="Arial"/>
          <w:sz w:val="22"/>
          <w:szCs w:val="22"/>
        </w:rPr>
      </w:pPr>
      <w:r w:rsidRPr="00D272FC">
        <w:rPr>
          <w:rFonts w:ascii="Arial" w:hAnsi="Arial" w:cs="Arial"/>
          <w:sz w:val="22"/>
          <w:szCs w:val="22"/>
        </w:rPr>
        <w:t>21B.</w:t>
      </w:r>
      <w:r w:rsidRPr="00D272FC">
        <w:rPr>
          <w:rFonts w:ascii="Arial" w:hAnsi="Arial" w:cs="Arial"/>
          <w:sz w:val="22"/>
          <w:szCs w:val="22"/>
        </w:rPr>
        <w:tab/>
        <w:t xml:space="preserve">A Estrutura Conceitual para Relatórios Financeiros define passivo como "uma obrigação presente da entidade de transferir um recurso econômico como resultado de eventos passados". Para provisão ou passivo contingente que esteja dentro do alcance do CPC 25, a adquirente deve aplicar os itens de 15 a 22 do CPC 25 para determinar se na data de aquisição existe uma obrigação presente como resultado de eventos passados. Para tributo que esteja dentro do alcance da ICPC 19, o adquirente deve aplicar a ICPC 19 para determinar se o evento que gera a obrigação de pagar a taxa ocorreu até a data de aquisição. </w:t>
      </w:r>
    </w:p>
    <w:p w14:paraId="12676469" w14:textId="77777777" w:rsidR="00D272FC" w:rsidRPr="00D272FC" w:rsidRDefault="00D272FC" w:rsidP="00D272FC">
      <w:pPr>
        <w:spacing w:before="0" w:after="0"/>
        <w:ind w:left="567" w:hanging="567"/>
        <w:rPr>
          <w:rFonts w:ascii="Arial" w:hAnsi="Arial" w:cs="Arial"/>
          <w:sz w:val="22"/>
          <w:szCs w:val="22"/>
        </w:rPr>
      </w:pPr>
    </w:p>
    <w:p w14:paraId="2383C353" w14:textId="66D67C78" w:rsidR="00D272FC" w:rsidRDefault="00D272FC" w:rsidP="00D272FC">
      <w:pPr>
        <w:spacing w:before="0" w:after="0"/>
        <w:ind w:left="567" w:hanging="567"/>
        <w:rPr>
          <w:rFonts w:cs="Arial"/>
          <w:sz w:val="22"/>
          <w:szCs w:val="22"/>
        </w:rPr>
      </w:pPr>
      <w:r w:rsidRPr="00D272FC">
        <w:rPr>
          <w:rFonts w:ascii="Arial" w:hAnsi="Arial" w:cs="Arial"/>
          <w:sz w:val="22"/>
          <w:szCs w:val="22"/>
        </w:rPr>
        <w:t>21C.</w:t>
      </w:r>
      <w:r w:rsidRPr="00D272FC">
        <w:rPr>
          <w:rFonts w:ascii="Arial" w:hAnsi="Arial" w:cs="Arial"/>
          <w:sz w:val="22"/>
          <w:szCs w:val="22"/>
        </w:rPr>
        <w:tab/>
        <w:t>A obrigação presente identificada, de acordo com o item 21B, pode corresponder à definição de passivo contingente estabelecida no item 22(b). Nesse caso, o item 23 aplica-se a esse passivo contingente.</w:t>
      </w:r>
      <w:r w:rsidRPr="00D272FC">
        <w:rPr>
          <w:rFonts w:ascii="Arial" w:hAnsi="Arial" w:cs="Arial"/>
          <w:color w:val="0070C0"/>
          <w:sz w:val="22"/>
          <w:szCs w:val="22"/>
        </w:rPr>
        <w:t xml:space="preserve"> </w:t>
      </w:r>
    </w:p>
    <w:p w14:paraId="6143347E" w14:textId="77777777" w:rsidR="00D272FC" w:rsidRDefault="00D272FC" w:rsidP="0096738F">
      <w:pPr>
        <w:spacing w:before="0" w:after="0" w:line="240" w:lineRule="auto"/>
        <w:ind w:firstLine="0"/>
        <w:rPr>
          <w:rFonts w:ascii="Arial" w:eastAsia="Times New Roman" w:hAnsi="Arial" w:cs="Arial"/>
          <w:sz w:val="22"/>
          <w:szCs w:val="22"/>
          <w:lang w:eastAsia="pt-BR"/>
        </w:rPr>
      </w:pPr>
    </w:p>
    <w:p w14:paraId="6FAF5E94" w14:textId="4DB2ADA5"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w:t>
      </w:r>
    </w:p>
    <w:p w14:paraId="35CC449C"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7870DD6D"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Passivo contingente</w:t>
      </w:r>
    </w:p>
    <w:p w14:paraId="1CEB86C0"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129D39D0" w14:textId="47125197" w:rsidR="0096738F" w:rsidRDefault="0096738F" w:rsidP="003411EA">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22. </w:t>
      </w:r>
      <w:r w:rsidRPr="0096738F">
        <w:rPr>
          <w:rFonts w:ascii="Arial" w:eastAsia="Times New Roman" w:hAnsi="Arial" w:cs="Arial"/>
          <w:sz w:val="22"/>
          <w:szCs w:val="22"/>
          <w:lang w:eastAsia="pt-BR"/>
        </w:rPr>
        <w:tab/>
      </w:r>
      <w:r w:rsidR="003411EA" w:rsidRPr="003411EA">
        <w:rPr>
          <w:rFonts w:ascii="Arial" w:hAnsi="Arial" w:cs="Arial"/>
          <w:sz w:val="22"/>
          <w:szCs w:val="22"/>
        </w:rPr>
        <w:t>O Pronunciamento Técnico CPC 25 define “passivo contingente” como:</w:t>
      </w:r>
    </w:p>
    <w:p w14:paraId="1777C3F5" w14:textId="77777777" w:rsidR="003411EA" w:rsidRPr="0096738F" w:rsidRDefault="003411EA"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4BF8DAC" w14:textId="77777777" w:rsidR="0096738F" w:rsidRPr="0096738F" w:rsidRDefault="0096738F" w:rsidP="0096738F">
      <w:pPr>
        <w:widowControl w:val="0"/>
        <w:numPr>
          <w:ilvl w:val="0"/>
          <w:numId w:val="11"/>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uma possível obrigação que </w:t>
      </w:r>
      <w:r w:rsidRPr="0096738F">
        <w:rPr>
          <w:rFonts w:ascii="Arial" w:eastAsia="Times New Roman" w:hAnsi="Arial" w:cs="Arial"/>
          <w:bCs/>
          <w:iCs/>
          <w:sz w:val="22"/>
          <w:szCs w:val="22"/>
          <w:lang w:val="pt-PT" w:eastAsia="pt-BR"/>
        </w:rPr>
        <w:t>resulta</w:t>
      </w:r>
      <w:r w:rsidRPr="0096738F">
        <w:rPr>
          <w:rFonts w:ascii="Arial" w:eastAsia="Times New Roman" w:hAnsi="Arial" w:cs="Arial"/>
          <w:sz w:val="22"/>
          <w:szCs w:val="22"/>
          <w:lang w:val="pt-PT" w:eastAsia="pt-BR"/>
        </w:rPr>
        <w:t xml:space="preserve"> de eventos passados e cuja existência será confirmada </w:t>
      </w:r>
      <w:r w:rsidRPr="0096738F">
        <w:rPr>
          <w:rFonts w:ascii="Arial" w:eastAsia="Times New Roman" w:hAnsi="Arial" w:cs="Arial"/>
          <w:bCs/>
          <w:iCs/>
          <w:sz w:val="22"/>
          <w:szCs w:val="22"/>
          <w:lang w:val="pt-PT" w:eastAsia="pt-BR"/>
        </w:rPr>
        <w:t>apenas</w:t>
      </w:r>
      <w:r w:rsidRPr="0096738F">
        <w:rPr>
          <w:rFonts w:ascii="Arial" w:eastAsia="Times New Roman" w:hAnsi="Arial" w:cs="Arial"/>
          <w:sz w:val="22"/>
          <w:szCs w:val="22"/>
          <w:lang w:val="pt-PT" w:eastAsia="pt-BR"/>
        </w:rPr>
        <w:t xml:space="preserve"> pela ocorrência ou não de um ou mais eventos futuros incertos não totalmente sob controle da entidade; ou</w:t>
      </w:r>
    </w:p>
    <w:p w14:paraId="33AAC04C" w14:textId="77777777" w:rsidR="0096738F" w:rsidRPr="0096738F" w:rsidRDefault="0096738F" w:rsidP="0096738F">
      <w:pPr>
        <w:widowControl w:val="0"/>
        <w:numPr>
          <w:ilvl w:val="0"/>
          <w:numId w:val="11"/>
        </w:numPr>
        <w:tabs>
          <w:tab w:val="num" w:pos="340"/>
        </w:tabs>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uma obrigação presente que </w:t>
      </w:r>
      <w:r w:rsidRPr="0096738F">
        <w:rPr>
          <w:rFonts w:ascii="Arial" w:eastAsia="Times New Roman" w:hAnsi="Arial" w:cs="Arial"/>
          <w:bCs/>
          <w:iCs/>
          <w:sz w:val="22"/>
          <w:szCs w:val="22"/>
          <w:lang w:val="pt-PT" w:eastAsia="pt-BR"/>
        </w:rPr>
        <w:t>resulta</w:t>
      </w:r>
      <w:r w:rsidRPr="0096738F">
        <w:rPr>
          <w:rFonts w:ascii="Arial" w:eastAsia="Times New Roman" w:hAnsi="Arial" w:cs="Arial"/>
          <w:sz w:val="22"/>
          <w:szCs w:val="22"/>
          <w:lang w:val="pt-PT" w:eastAsia="pt-BR"/>
        </w:rPr>
        <w:t xml:space="preserve"> de eventos passados, </w:t>
      </w:r>
      <w:r w:rsidRPr="0096738F">
        <w:rPr>
          <w:rFonts w:ascii="Arial" w:eastAsia="Times New Roman" w:hAnsi="Arial" w:cs="Arial"/>
          <w:bCs/>
          <w:iCs/>
          <w:sz w:val="22"/>
          <w:szCs w:val="22"/>
          <w:lang w:val="pt-PT" w:eastAsia="pt-BR"/>
        </w:rPr>
        <w:t xml:space="preserve">mas que </w:t>
      </w:r>
      <w:r w:rsidRPr="0096738F">
        <w:rPr>
          <w:rFonts w:ascii="Arial" w:eastAsia="Times New Roman" w:hAnsi="Arial" w:cs="Arial"/>
          <w:sz w:val="22"/>
          <w:szCs w:val="22"/>
          <w:lang w:val="pt-PT" w:eastAsia="pt-BR"/>
        </w:rPr>
        <w:t>não é reconhecida porque:</w:t>
      </w:r>
    </w:p>
    <w:p w14:paraId="38A00205" w14:textId="77777777" w:rsidR="0096738F" w:rsidRPr="0096738F" w:rsidRDefault="0096738F" w:rsidP="0096738F">
      <w:pPr>
        <w:widowControl w:val="0"/>
        <w:numPr>
          <w:ilvl w:val="1"/>
          <w:numId w:val="3"/>
        </w:numPr>
        <w:spacing w:before="0" w:after="0" w:line="240" w:lineRule="auto"/>
        <w:ind w:left="1418" w:hanging="284"/>
        <w:rPr>
          <w:rFonts w:ascii="Arial" w:eastAsia="Times New Roman" w:hAnsi="Arial" w:cs="Arial"/>
          <w:bCs/>
          <w:iCs/>
          <w:color w:val="000000"/>
          <w:sz w:val="22"/>
          <w:szCs w:val="22"/>
          <w:lang w:eastAsia="pt-BR"/>
        </w:rPr>
      </w:pPr>
      <w:r w:rsidRPr="0096738F">
        <w:rPr>
          <w:rFonts w:ascii="Arial" w:eastAsia="Times New Roman" w:hAnsi="Arial" w:cs="Arial"/>
          <w:bCs/>
          <w:iCs/>
          <w:color w:val="000000"/>
          <w:sz w:val="22"/>
          <w:szCs w:val="22"/>
          <w:lang w:eastAsia="pt-BR"/>
        </w:rPr>
        <w:t>não é provável que uma saída de recursos que incorporam benefícios econômicos seja exigida para liquidar a obrigação; ou</w:t>
      </w:r>
    </w:p>
    <w:p w14:paraId="6D7A4E8F" w14:textId="77777777" w:rsidR="0096738F" w:rsidRPr="0096738F" w:rsidRDefault="0096738F" w:rsidP="0096738F">
      <w:pPr>
        <w:widowControl w:val="0"/>
        <w:numPr>
          <w:ilvl w:val="1"/>
          <w:numId w:val="3"/>
        </w:numPr>
        <w:spacing w:before="0" w:after="0" w:line="240" w:lineRule="auto"/>
        <w:ind w:left="1418" w:hanging="284"/>
        <w:rPr>
          <w:rFonts w:ascii="Arial" w:eastAsia="Times New Roman" w:hAnsi="Arial" w:cs="Arial"/>
          <w:bCs/>
          <w:iCs/>
          <w:color w:val="000000"/>
          <w:sz w:val="22"/>
          <w:szCs w:val="22"/>
          <w:lang w:eastAsia="pt-BR"/>
        </w:rPr>
      </w:pPr>
      <w:r w:rsidRPr="0096738F">
        <w:rPr>
          <w:rFonts w:ascii="Arial" w:eastAsia="Times New Roman" w:hAnsi="Arial" w:cs="Arial"/>
          <w:bCs/>
          <w:iCs/>
          <w:color w:val="000000"/>
          <w:sz w:val="22"/>
          <w:szCs w:val="22"/>
          <w:lang w:eastAsia="pt-BR"/>
        </w:rPr>
        <w:t>o montante da obrigação não pode ser mensurado com suficiente confiabilidade.</w:t>
      </w:r>
    </w:p>
    <w:p w14:paraId="0824AE80" w14:textId="77777777" w:rsidR="0096738F" w:rsidRPr="0096738F" w:rsidRDefault="0096738F" w:rsidP="0096738F">
      <w:pPr>
        <w:widowControl w:val="0"/>
        <w:spacing w:before="0" w:after="0" w:line="240" w:lineRule="auto"/>
        <w:ind w:left="710" w:firstLine="0"/>
        <w:rPr>
          <w:rFonts w:ascii="Arial" w:eastAsia="Times New Roman" w:hAnsi="Arial" w:cs="Arial"/>
          <w:sz w:val="22"/>
          <w:szCs w:val="22"/>
          <w:lang w:eastAsia="pt-BR"/>
        </w:rPr>
      </w:pPr>
    </w:p>
    <w:p w14:paraId="3AADFEA2" w14:textId="131DEBDE" w:rsidR="005E6156" w:rsidRPr="005E6156" w:rsidRDefault="005E6156" w:rsidP="005E6156">
      <w:pPr>
        <w:spacing w:before="0" w:after="0"/>
        <w:ind w:left="567" w:hanging="567"/>
        <w:rPr>
          <w:rFonts w:ascii="Arial" w:hAnsi="Arial" w:cs="Arial"/>
          <w:sz w:val="22"/>
          <w:szCs w:val="22"/>
        </w:rPr>
      </w:pPr>
      <w:r w:rsidRPr="005E6156">
        <w:rPr>
          <w:rFonts w:ascii="Arial" w:hAnsi="Arial" w:cs="Arial"/>
          <w:sz w:val="22"/>
          <w:szCs w:val="22"/>
        </w:rPr>
        <w:t>23.</w:t>
      </w:r>
      <w:r w:rsidRPr="005E6156">
        <w:rPr>
          <w:rFonts w:ascii="Arial" w:hAnsi="Arial" w:cs="Arial"/>
          <w:sz w:val="22"/>
          <w:szCs w:val="22"/>
        </w:rPr>
        <w:tab/>
        <w:t xml:space="preserve">O adquirente deve reconhecer, na data da aquisição, um passivo contingente assumido em combinação de negócios se ele for uma obrigação presente que surge de eventos passados e se o seu valor justo puder ser mensurado com confiabilidade. Portanto, de forma contrária aos itens 14(b), 23, 27, 29 e 30 do CPC 25, o adquirente deve reconhecer, na data da aquisição, um passivo contingente assumido em combinação de negócios, mesmo se não for provável que sejam requeridas saídas de recursos (incorporando benefícios econômicos) para liquidar a obrigação. O item 56 orienta a contabilização subsequente de passivos contingentes. </w:t>
      </w:r>
    </w:p>
    <w:p w14:paraId="400E6412" w14:textId="77777777" w:rsidR="005E6156" w:rsidRPr="005E6156" w:rsidRDefault="005E6156" w:rsidP="005E6156">
      <w:pPr>
        <w:spacing w:before="0" w:after="0"/>
        <w:rPr>
          <w:rFonts w:ascii="Arial" w:hAnsi="Arial" w:cs="Arial"/>
          <w:sz w:val="22"/>
          <w:szCs w:val="22"/>
        </w:rPr>
      </w:pPr>
    </w:p>
    <w:p w14:paraId="0321CA81" w14:textId="14F6FFE3" w:rsidR="005E6156" w:rsidRPr="005E6156" w:rsidRDefault="005E6156" w:rsidP="005E6156">
      <w:pPr>
        <w:spacing w:before="0" w:after="0"/>
        <w:ind w:left="567" w:hanging="567"/>
        <w:rPr>
          <w:rFonts w:ascii="Arial" w:hAnsi="Arial" w:cs="Arial"/>
          <w:sz w:val="22"/>
          <w:szCs w:val="22"/>
        </w:rPr>
      </w:pPr>
      <w:r w:rsidRPr="005E6156">
        <w:rPr>
          <w:rFonts w:ascii="Arial" w:hAnsi="Arial" w:cs="Arial"/>
          <w:sz w:val="22"/>
          <w:szCs w:val="22"/>
        </w:rPr>
        <w:lastRenderedPageBreak/>
        <w:t>23A.</w:t>
      </w:r>
      <w:r w:rsidRPr="005E6156">
        <w:rPr>
          <w:rFonts w:ascii="Arial" w:hAnsi="Arial" w:cs="Arial"/>
          <w:sz w:val="22"/>
          <w:szCs w:val="22"/>
        </w:rPr>
        <w:tab/>
        <w:t>O CPC 25 define ativo contingente como “um ativo possível que resulta de eventos passados e cuja existência será confirmada apenas pela ocorrência ou não de um ou mais eventos futuros incertos não totalmente sob controle da entidade”. A adquirente não deve reconhecer um ativo contingente na data de aquisição.</w:t>
      </w:r>
      <w:r w:rsidRPr="005E6156">
        <w:rPr>
          <w:rFonts w:ascii="Arial" w:hAnsi="Arial" w:cs="Arial"/>
          <w:color w:val="0070C0"/>
          <w:sz w:val="22"/>
          <w:szCs w:val="22"/>
        </w:rPr>
        <w:t xml:space="preserve"> </w:t>
      </w:r>
    </w:p>
    <w:p w14:paraId="7E248FD5"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5BAED18B"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no reconhecimento e na mensuração</w:t>
      </w:r>
    </w:p>
    <w:p w14:paraId="5CA9B94E"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7636D02E"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Tributos sobre o lucro</w:t>
      </w:r>
    </w:p>
    <w:p w14:paraId="2FDD75AA"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DF7C57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24. </w:t>
      </w:r>
      <w:r w:rsidRPr="0096738F">
        <w:rPr>
          <w:rFonts w:ascii="Arial" w:eastAsia="Times New Roman" w:hAnsi="Arial" w:cs="Arial"/>
          <w:sz w:val="22"/>
          <w:szCs w:val="22"/>
          <w:lang w:eastAsia="pt-BR"/>
        </w:rPr>
        <w:tab/>
        <w:t>O adquirente deve reconhecer e mensurar ativos e passivos fiscais diferidos, advindos dos ativos adquiridos e dos passivos assumidos em uma combinação de negócios, de acordo com o Pronunciamento Técnico CPC 32 – Tributos sobre o Lucro.</w:t>
      </w:r>
    </w:p>
    <w:p w14:paraId="055F1D6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CF6E01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25.</w:t>
      </w:r>
      <w:r w:rsidRPr="0096738F">
        <w:rPr>
          <w:rFonts w:ascii="Arial" w:eastAsia="Times New Roman" w:hAnsi="Arial" w:cs="Arial"/>
          <w:sz w:val="22"/>
          <w:szCs w:val="22"/>
          <w:lang w:eastAsia="pt-BR"/>
        </w:rPr>
        <w:tab/>
        <w:t>O adquirente deve contabilizar os potenciais efeitos fiscais de diferenças temporárias e de prejuízos fiscais (ou bases negativas de contribuição social sobre o lucro líquido) da adquirida existentes na data da aquisição ou originados da aquisição, de acordo com o Pronunciamento Técnico CPC 32 – Tributos sobre o Lucro.</w:t>
      </w:r>
    </w:p>
    <w:p w14:paraId="15FFA1A2"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0AE87E13"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Benefícios a empregados</w:t>
      </w:r>
    </w:p>
    <w:p w14:paraId="1439578D"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76E07BF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26. </w:t>
      </w:r>
      <w:r w:rsidRPr="0096738F">
        <w:rPr>
          <w:rFonts w:ascii="Arial" w:eastAsia="Times New Roman" w:hAnsi="Arial" w:cs="Arial"/>
          <w:sz w:val="22"/>
          <w:szCs w:val="22"/>
          <w:lang w:eastAsia="pt-BR"/>
        </w:rPr>
        <w:tab/>
        <w:t>O adquirente deve reconhecer e mensurar um passivo (ou ativo, se houver) relacionado aos contratos da adquirida relativos a benefícios a empregados, conforme o Pronunciamento Técnico CPC 33 – Benefícios a Empregados.</w:t>
      </w:r>
    </w:p>
    <w:p w14:paraId="1D01627E"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592C3DA2"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Ativos de indenização</w:t>
      </w:r>
    </w:p>
    <w:p w14:paraId="11456318"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2DF7512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27.</w:t>
      </w:r>
      <w:r w:rsidRPr="0096738F">
        <w:rPr>
          <w:rFonts w:ascii="Arial" w:eastAsia="Times New Roman" w:hAnsi="Arial" w:cs="Arial"/>
          <w:sz w:val="22"/>
          <w:szCs w:val="22"/>
          <w:lang w:eastAsia="pt-BR"/>
        </w:rPr>
        <w:tab/>
        <w:t>Em combinação de negócios, o vendedor pode ser contratualmente obrigado a indenizar o adquirente pelo resultado de uma incerteza ou contingência relativa a todo ou parte de ativo ou passivo específico. Por exemplo, o vendedor pode indenizar o adquirente contra perdas que fiquem acima de um determinado valor ou relativas a um passivo decorrente de contingência específica; em outras palavras, a vendedora garante que a obrigação da adquirente não excede determinado valor. Como resultado, o adquirente obtém um ativo por indenização. O adquirente deve reconhecer um ativo por indenização ao mesmo tempo em que ele reconhece o item objeto da indenização, mensurado nas mesmas bases daquele item a ser indenizado e sujeito à avaliação da necessidade de constituir provisão para valores incobráveis. Portanto, se a indenização é relativa a ativo ou passivo reconhecido na data da aquisição e mensurado ao valor justo nessa data, o adquirente deve reconhecer, na data de aquisição, o ativo de indenização pelo seu valor justo nessa data. Se um ativo de indenização for mensurado a valor justo, os efeitos de incertezas sobre o fluxo de caixa futuro dos valores que se espera receber já integram o valor justo calculado, de forma que uma avaliação separada de valores incobráveis não é necessária (o item B41 fornece orientação aplicada a esse dispositivo).</w:t>
      </w:r>
    </w:p>
    <w:p w14:paraId="03F04EC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50B28C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28.</w:t>
      </w:r>
      <w:r w:rsidRPr="0096738F">
        <w:rPr>
          <w:rFonts w:ascii="Arial" w:eastAsia="Times New Roman" w:hAnsi="Arial" w:cs="Arial"/>
          <w:sz w:val="22"/>
          <w:szCs w:val="22"/>
          <w:lang w:eastAsia="pt-BR"/>
        </w:rPr>
        <w:tab/>
        <w:t xml:space="preserve">Em algumas circunstâncias, a indenização pode estar relacionada a ativo ou passivo abrangidos pela exceção aos princípios de reconhecimento e mensuração. Por exemplo, uma indenização pode decorrer de passivo contingente não reconhecido na data da aquisição por não ter sido possível mensurar o seu valor justo com confiabilidade nessa data. Alternativamente, um ativo de </w:t>
      </w:r>
      <w:r w:rsidRPr="0096738F">
        <w:rPr>
          <w:rFonts w:ascii="Arial" w:eastAsia="Times New Roman" w:hAnsi="Arial" w:cs="Arial"/>
          <w:sz w:val="22"/>
          <w:szCs w:val="22"/>
          <w:lang w:eastAsia="pt-BR"/>
        </w:rPr>
        <w:lastRenderedPageBreak/>
        <w:t>indenização pode decorrer de ativo ou passivo não mensurado ao valor justo na data da aquisição, como por exemplo, os provenientes de benefícios a empregados. Nesses casos, os ativos de indenização devem ser reconhecidos e mensurados com base em premissas consistentes com aquelas utilizadas para mensurar o item objeto da indenização, estando sujeitos à avaliação da administração quanto às perdas potenciais por valores incobráveis e estando também sujeitos a quaisquer limitações contratuais para o montante da indenização. O item 57 fornece orientações sobre a contabilização subsequente de ativo de indenização.</w:t>
      </w:r>
    </w:p>
    <w:p w14:paraId="0828E14C"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2357C327"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Arrendamento em que a adquirida é o arrendatário</w:t>
      </w:r>
    </w:p>
    <w:p w14:paraId="78E67EE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3D9ED4DC" w14:textId="77777777"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28A. O adquirente deve reconhecer o ativo de direito de uso e passivos de arrendamento para arrendamentos identificados de acordo com o CPC 06, no qual a adquirida é o arrendatário. O adquirente não é obrigado a reconhecer o ativo de direito de uso e os passivos de arrendamento para:</w:t>
      </w:r>
    </w:p>
    <w:p w14:paraId="1158C248" w14:textId="77777777" w:rsidR="0096738F" w:rsidRPr="0096738F" w:rsidRDefault="0096738F" w:rsidP="0096738F">
      <w:p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w:t>
      </w:r>
      <w:r w:rsidRPr="0096738F">
        <w:rPr>
          <w:rFonts w:ascii="Arial" w:eastAsia="Times New Roman" w:hAnsi="Arial" w:cs="Arial"/>
          <w:sz w:val="22"/>
          <w:szCs w:val="22"/>
          <w:lang w:val="pt-PT" w:eastAsia="pt-BR"/>
        </w:rPr>
        <w:tab/>
        <w:t>arrendamento para o qual o prazo do arrendamento (conforme definido no CPC 06) termina dentro de 12 meses contados da data de aquisição; ou</w:t>
      </w:r>
    </w:p>
    <w:p w14:paraId="15220D24" w14:textId="4296BED2" w:rsidR="0096738F" w:rsidRPr="0096738F" w:rsidRDefault="0096738F" w:rsidP="0096738F">
      <w:p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(b) </w:t>
      </w:r>
      <w:r w:rsidRPr="0096738F">
        <w:rPr>
          <w:rFonts w:ascii="Arial" w:eastAsia="Times New Roman" w:hAnsi="Arial" w:cs="Arial"/>
          <w:sz w:val="22"/>
          <w:szCs w:val="22"/>
          <w:lang w:val="pt-PT" w:eastAsia="pt-BR"/>
        </w:rPr>
        <w:tab/>
        <w:t xml:space="preserve">arrendamento para o qual o ativo subjacente é de baixo valor (conforme descrito nos itens B3 a B8 do CPC 06). </w:t>
      </w:r>
    </w:p>
    <w:p w14:paraId="565ECE6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0E214BB1" w14:textId="59A0D11E"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28B. O adquirente deve mensurar o passivo de arrendamento ao valor presente do saldo de arrendamento remanescente (conforme definido no CPC 06) como se o contrato de arrendamento adquirido fosse um novo contrato de arrendamento na data de aquisição. O adquirente deve mensurar o ativo de direito de uso ao mesmo valor do passivo de arrendamento, ajustado para refletir os termos favoráveis ou desfavoráveis do arrendamento quando comparado com os termos do mercado. </w:t>
      </w:r>
    </w:p>
    <w:p w14:paraId="2E618BF6"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6F431ADB"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Exceções na mensuração</w:t>
      </w:r>
    </w:p>
    <w:p w14:paraId="7C6A3020"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10C54379"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Direito readquirido</w:t>
      </w:r>
    </w:p>
    <w:p w14:paraId="7ABA3891"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184E929E" w14:textId="07B63963"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29.</w:t>
      </w:r>
      <w:r w:rsidRPr="0096738F">
        <w:rPr>
          <w:rFonts w:ascii="Arial" w:eastAsia="Times New Roman" w:hAnsi="Arial" w:cs="Arial"/>
          <w:sz w:val="22"/>
          <w:szCs w:val="22"/>
          <w:lang w:eastAsia="pt-BR"/>
        </w:rPr>
        <w:tab/>
        <w:t>O adquirente deve mensurar o valor de direito readquirido, reconhecido como ativo intangível, com base no prazo contratual remanescente do contrato que lhe deu origem, independentemente de os participantes do mercado considerarem a potencial renovação do contrato na mensuração do valor justo desse ativo intangível. Os itens B35 e B36 fornecem orientações para aplicação dessa exigência.</w:t>
      </w:r>
    </w:p>
    <w:p w14:paraId="195B8819"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6780F29C"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Transações com pagamento baseado em ações</w:t>
      </w:r>
    </w:p>
    <w:p w14:paraId="58E8281B"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5D57810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30.</w:t>
      </w:r>
      <w:r w:rsidRPr="0096738F">
        <w:rPr>
          <w:rFonts w:ascii="Arial" w:eastAsia="Times New Roman" w:hAnsi="Arial" w:cs="Arial"/>
          <w:sz w:val="22"/>
          <w:szCs w:val="22"/>
          <w:lang w:eastAsia="pt-BR"/>
        </w:rPr>
        <w:tab/>
        <w:t>O adquirente deve mensurar um passivo ou um instrumento patrimonial relacionado a plano de benefício com pagamento baseado em ações da adquirida ou à substituição de plano de benefício com pagamento baseado em ações da adquirida por plano de benefício com pagamento baseado em ações da adquirente de acordo com o método previsto no Pronunciamento Técnico CPC 10 – Pagamento Baseado em Ações na data da aquisição (esse Pronunciamento faz referência ao resultado da aplicação desse método como a “mensuração baseada no mercado” do plano de benefício baseado em ações).</w:t>
      </w:r>
    </w:p>
    <w:p w14:paraId="00FEC97C"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498453E4"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Ativo mantido para venda</w:t>
      </w:r>
    </w:p>
    <w:p w14:paraId="7493345B"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4E4C8D4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31.</w:t>
      </w:r>
      <w:r w:rsidRPr="0096738F">
        <w:rPr>
          <w:rFonts w:ascii="Arial" w:eastAsia="Times New Roman" w:hAnsi="Arial" w:cs="Arial"/>
          <w:sz w:val="22"/>
          <w:szCs w:val="22"/>
          <w:lang w:eastAsia="pt-BR"/>
        </w:rPr>
        <w:tab/>
        <w:t>O adquirente deve mensurar um ativo não circulante da adquirida (ou um grupo destinado à venda) que estiver classificado como mantido para venda na data da aquisição de acordo com o Pronunciamento Técnico CPC 31 - Ativo Não Circulante Mantido para Venda e Operação Descontinuada, pelo seu valor justo menos as despesas de venda, conforme previsto nos itens 15 a 18 do citado Pronunciamento Técnico.</w:t>
      </w:r>
    </w:p>
    <w:p w14:paraId="69D3DCBD"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FC82E9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Reconhecimento e mensuração do ágio por expectativa de rentabilidade futura (</w:t>
      </w:r>
      <w:r w:rsidRPr="0096738F">
        <w:rPr>
          <w:rFonts w:ascii="Arial" w:eastAsia="Times New Roman" w:hAnsi="Arial" w:cs="Arial"/>
          <w:b/>
          <w:i/>
          <w:sz w:val="22"/>
          <w:szCs w:val="22"/>
          <w:lang w:eastAsia="pt-BR"/>
        </w:rPr>
        <w:t>goodwill</w:t>
      </w:r>
      <w:r w:rsidRPr="0096738F">
        <w:rPr>
          <w:rFonts w:ascii="Arial" w:eastAsia="Times New Roman" w:hAnsi="Arial" w:cs="Arial"/>
          <w:b/>
          <w:sz w:val="22"/>
          <w:szCs w:val="22"/>
          <w:lang w:eastAsia="pt-BR"/>
        </w:rPr>
        <w:t>) ou do ganho proveniente de compra vantajosa</w:t>
      </w:r>
    </w:p>
    <w:p w14:paraId="3DB0B205"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EAA4F3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32.</w:t>
      </w:r>
      <w:r w:rsidRPr="0096738F">
        <w:rPr>
          <w:rFonts w:ascii="Arial" w:eastAsia="Times New Roman" w:hAnsi="Arial" w:cs="Arial"/>
          <w:sz w:val="22"/>
          <w:szCs w:val="22"/>
          <w:lang w:eastAsia="pt-BR"/>
        </w:rPr>
        <w:tab/>
        <w:t>O adquirente deve reconhecer 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na data da aquisição, mensurado pelo montante que (a) exceder (b) abaixo:</w:t>
      </w:r>
    </w:p>
    <w:p w14:paraId="26AD01CA" w14:textId="77777777" w:rsidR="0096738F" w:rsidRPr="0096738F" w:rsidRDefault="0096738F" w:rsidP="0096738F">
      <w:pPr>
        <w:widowControl w:val="0"/>
        <w:numPr>
          <w:ilvl w:val="0"/>
          <w:numId w:val="1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soma:</w:t>
      </w:r>
    </w:p>
    <w:p w14:paraId="562A66F1" w14:textId="77777777" w:rsidR="0096738F" w:rsidRPr="0096738F" w:rsidRDefault="0096738F" w:rsidP="0096738F">
      <w:pPr>
        <w:widowControl w:val="0"/>
        <w:numPr>
          <w:ilvl w:val="0"/>
          <w:numId w:val="13"/>
        </w:numPr>
        <w:tabs>
          <w:tab w:val="num" w:pos="1418"/>
        </w:tabs>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da contraprestação transferida em troca do controle da adquirida, mensurada de acordo com este Pronunciamento, para a qual geralmente se exige o valor justo na data da aquisição (</w:t>
      </w:r>
      <w:r w:rsidRPr="0096738F">
        <w:rPr>
          <w:rFonts w:ascii="Arial" w:eastAsia="Times New Roman" w:hAnsi="Arial" w:cs="Arial"/>
          <w:bCs/>
          <w:iCs/>
          <w:sz w:val="22"/>
          <w:szCs w:val="22"/>
          <w:lang w:val="pt-PT" w:eastAsia="pt-BR"/>
        </w:rPr>
        <w:t>ver</w:t>
      </w:r>
      <w:r w:rsidRPr="0096738F">
        <w:rPr>
          <w:rFonts w:ascii="Arial" w:eastAsia="Times New Roman" w:hAnsi="Arial" w:cs="Arial"/>
          <w:sz w:val="22"/>
          <w:szCs w:val="22"/>
          <w:lang w:val="pt-PT" w:eastAsia="pt-BR"/>
        </w:rPr>
        <w:t xml:space="preserve"> item 37);</w:t>
      </w:r>
    </w:p>
    <w:p w14:paraId="33BC0D1C" w14:textId="77777777" w:rsidR="0096738F" w:rsidRPr="0096738F" w:rsidRDefault="0096738F" w:rsidP="0096738F">
      <w:pPr>
        <w:widowControl w:val="0"/>
        <w:numPr>
          <w:ilvl w:val="0"/>
          <w:numId w:val="13"/>
        </w:numPr>
        <w:tabs>
          <w:tab w:val="num" w:pos="1418"/>
          <w:tab w:val="num" w:pos="1701"/>
        </w:tabs>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do </w:t>
      </w:r>
      <w:r w:rsidRPr="0096738F">
        <w:rPr>
          <w:rFonts w:ascii="Arial" w:eastAsia="Times New Roman" w:hAnsi="Arial" w:cs="Arial"/>
          <w:bCs/>
          <w:iCs/>
          <w:sz w:val="22"/>
          <w:szCs w:val="22"/>
          <w:lang w:val="pt-PT" w:eastAsia="pt-BR"/>
        </w:rPr>
        <w:t>montante de quaisquer</w:t>
      </w:r>
      <w:r w:rsidRPr="0096738F">
        <w:rPr>
          <w:rFonts w:ascii="Arial" w:eastAsia="Times New Roman" w:hAnsi="Arial" w:cs="Arial"/>
          <w:sz w:val="22"/>
          <w:szCs w:val="22"/>
          <w:lang w:val="pt-PT" w:eastAsia="pt-BR"/>
        </w:rPr>
        <w:t xml:space="preserve"> participações de não controladores na adquirida, mensuradas de acordo com este Pronunciamento; e </w:t>
      </w:r>
    </w:p>
    <w:p w14:paraId="504FB1AE" w14:textId="77777777" w:rsidR="0096738F" w:rsidRPr="0096738F" w:rsidRDefault="0096738F" w:rsidP="0096738F">
      <w:pPr>
        <w:widowControl w:val="0"/>
        <w:numPr>
          <w:ilvl w:val="0"/>
          <w:numId w:val="13"/>
        </w:numPr>
        <w:tabs>
          <w:tab w:val="num" w:pos="1418"/>
          <w:tab w:val="num" w:pos="1701"/>
        </w:tabs>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no caso de combinação de negócios realizada em estágios (</w:t>
      </w:r>
      <w:r w:rsidRPr="0096738F">
        <w:rPr>
          <w:rFonts w:ascii="Arial" w:eastAsia="Times New Roman" w:hAnsi="Arial" w:cs="Arial"/>
          <w:bCs/>
          <w:iCs/>
          <w:sz w:val="22"/>
          <w:szCs w:val="22"/>
          <w:lang w:val="pt-PT" w:eastAsia="pt-BR"/>
        </w:rPr>
        <w:t>ver</w:t>
      </w:r>
      <w:r w:rsidRPr="0096738F">
        <w:rPr>
          <w:rFonts w:ascii="Arial" w:eastAsia="Times New Roman" w:hAnsi="Arial" w:cs="Arial"/>
          <w:sz w:val="22"/>
          <w:szCs w:val="22"/>
          <w:lang w:val="pt-PT" w:eastAsia="pt-BR"/>
        </w:rPr>
        <w:t xml:space="preserve"> itens 41 e 42), o valor justo, na data da aquisição, da participação do adquirente na adquirida imediatamente antes da combinação;</w:t>
      </w:r>
    </w:p>
    <w:p w14:paraId="1C603721" w14:textId="77777777" w:rsidR="0096738F" w:rsidRPr="0096738F" w:rsidRDefault="0096738F" w:rsidP="0096738F">
      <w:pPr>
        <w:widowControl w:val="0"/>
        <w:numPr>
          <w:ilvl w:val="0"/>
          <w:numId w:val="1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líquido, na data da aquisição, dos ativos identificáveis adquiridos e dos passivos assumidos, mensurados de acordo com este Pronunciamento.</w:t>
      </w:r>
    </w:p>
    <w:p w14:paraId="322FBB70" w14:textId="77777777" w:rsidR="0096738F" w:rsidRPr="0096738F" w:rsidRDefault="0096738F" w:rsidP="0096738F">
      <w:pPr>
        <w:widowControl w:val="0"/>
        <w:spacing w:before="0" w:after="0" w:line="240" w:lineRule="auto"/>
        <w:ind w:left="710" w:firstLine="0"/>
        <w:rPr>
          <w:rFonts w:ascii="Arial" w:eastAsia="Times New Roman" w:hAnsi="Arial" w:cs="Arial"/>
          <w:sz w:val="22"/>
          <w:szCs w:val="22"/>
          <w:lang w:val="pt-PT" w:eastAsia="pt-BR"/>
        </w:rPr>
      </w:pPr>
    </w:p>
    <w:p w14:paraId="7FDE1EFE" w14:textId="7C163970"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33.</w:t>
      </w:r>
      <w:r w:rsidRPr="0096738F">
        <w:rPr>
          <w:rFonts w:ascii="Arial" w:eastAsia="Times New Roman" w:hAnsi="Arial" w:cs="Arial"/>
          <w:sz w:val="22"/>
          <w:szCs w:val="22"/>
          <w:lang w:eastAsia="pt-BR"/>
        </w:rPr>
        <w:tab/>
        <w:t xml:space="preserve">Em combinação de negócios em que o adquirente e a adquirida (ou seus ex-proprietários) trocam somente participações societárias, o valor justo, na data da aquisição, da participação na adquirida pode ser mensurado com maior confiabilidade que o valor justo da participação societária no adquirente. Se for esse o caso, o adquirente deve determinar o valor do ágio por expectativa de rentabilidade futura (goodwill) utilizando o valor justo, na data da aquisição, da participação societária na adquirida em vez do valor justo da participação societária transferida. Para determinar o valor do ágio por expectativa de rentabilidade futura (goodwill) em combinação de negócios onde nenhuma contraprestação é efetuada para obter o controle da adquirida, o adquirente deve utilizar o valor justo, na data da aquisição, da participação do adquirente na adquirida, no lugar do valor justo, na data da aquisição, da contraprestação transferida – item 32(a)(i). Os itens B46 a B49 fornecem orientações para aplicação dessa exigência. </w:t>
      </w:r>
    </w:p>
    <w:p w14:paraId="0757ED90"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3416762"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Compra vantajosa</w:t>
      </w:r>
    </w:p>
    <w:p w14:paraId="0F27EBA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98913D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34. </w:t>
      </w:r>
      <w:r w:rsidRPr="0096738F">
        <w:rPr>
          <w:rFonts w:ascii="Arial" w:eastAsia="Times New Roman" w:hAnsi="Arial" w:cs="Arial"/>
          <w:sz w:val="22"/>
          <w:szCs w:val="22"/>
          <w:lang w:eastAsia="pt-BR"/>
        </w:rPr>
        <w:tab/>
        <w:t>Ocasionalmente, um adquirente pode realizar uma compra vantajosa, assim entendida como sendo uma combinação de negócios cujo valor determinado pelo item 32(b) é maior que a soma dos valores especificados no item 32(a). Caso esse excesso de valor permaneça após a aplicação das exigências contidas no item 36, o adquirente deve reconhecer o ganho resultante, na demonstração de resultado do exercício, na data da aquisição. O ganho deve ser atribuído ao adquirente.</w:t>
      </w:r>
    </w:p>
    <w:p w14:paraId="6ACB816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C2FA21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35. </w:t>
      </w:r>
      <w:r w:rsidRPr="0096738F">
        <w:rPr>
          <w:rFonts w:ascii="Arial" w:eastAsia="Times New Roman" w:hAnsi="Arial" w:cs="Arial"/>
          <w:sz w:val="22"/>
          <w:szCs w:val="22"/>
          <w:lang w:eastAsia="pt-BR"/>
        </w:rPr>
        <w:tab/>
        <w:t xml:space="preserve">Uma compra vantajosa pode acontecer, por exemplo, em combinação de negócios que resulte de uma venda forçada, na qual o vendedor é compelido a agir dessa forma. Contudo, as exceções de </w:t>
      </w:r>
      <w:r w:rsidRPr="0096738F">
        <w:rPr>
          <w:rFonts w:ascii="Arial" w:eastAsia="Times New Roman" w:hAnsi="Arial" w:cs="Arial"/>
          <w:sz w:val="22"/>
          <w:szCs w:val="22"/>
          <w:lang w:eastAsia="pt-BR"/>
        </w:rPr>
        <w:lastRenderedPageBreak/>
        <w:t>reconhecimento e mensuração para determinados itens, como disposto nos itens 22 a 31, também podem resultar no reconhecimento de ganho (ou mudar o valor do ganho reconhecido) em compra vantajosa.</w:t>
      </w:r>
    </w:p>
    <w:p w14:paraId="6A69E7D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BF0896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36. </w:t>
      </w:r>
      <w:r w:rsidRPr="0096738F">
        <w:rPr>
          <w:rFonts w:ascii="Arial" w:eastAsia="Times New Roman" w:hAnsi="Arial" w:cs="Arial"/>
          <w:sz w:val="22"/>
          <w:szCs w:val="22"/>
          <w:lang w:eastAsia="pt-BR"/>
        </w:rPr>
        <w:tab/>
        <w:t xml:space="preserve">Antes de reconhecer o ganho decorrente de compra vantajosa, o adquirente deve promover uma revisão para se certificar de que todos os ativos adquiridos e todos os passivos assumidos foram corretamente identificados e, portanto, reconhecer quaisquer ativos ou passivos adicionais identificados na revisão. O adquirente também deve rever os procedimentos utilizados para mensurar os valores a serem reconhecidos na data da aquisição, como exigido por este Pronunciamento, para todos os itens abaixo: </w:t>
      </w:r>
    </w:p>
    <w:p w14:paraId="55D54F19" w14:textId="77777777" w:rsidR="0096738F" w:rsidRPr="0096738F" w:rsidRDefault="0096738F" w:rsidP="0096738F">
      <w:pPr>
        <w:widowControl w:val="0"/>
        <w:numPr>
          <w:ilvl w:val="0"/>
          <w:numId w:val="1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identificáveis adquiridos e passivos assumidos;</w:t>
      </w:r>
    </w:p>
    <w:p w14:paraId="734861F2" w14:textId="77777777" w:rsidR="0096738F" w:rsidRPr="0096738F" w:rsidRDefault="0096738F" w:rsidP="0096738F">
      <w:pPr>
        <w:widowControl w:val="0"/>
        <w:numPr>
          <w:ilvl w:val="0"/>
          <w:numId w:val="1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participação de não controladores na adquirida, se houver; </w:t>
      </w:r>
    </w:p>
    <w:p w14:paraId="3AE28863" w14:textId="77777777" w:rsidR="0096738F" w:rsidRPr="0096738F" w:rsidRDefault="0096738F" w:rsidP="0096738F">
      <w:pPr>
        <w:widowControl w:val="0"/>
        <w:numPr>
          <w:ilvl w:val="0"/>
          <w:numId w:val="1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no caso de combinação </w:t>
      </w:r>
      <w:r w:rsidRPr="0096738F">
        <w:rPr>
          <w:rFonts w:ascii="Arial" w:eastAsia="Times New Roman" w:hAnsi="Arial" w:cs="Arial"/>
          <w:bCs/>
          <w:iCs/>
          <w:sz w:val="22"/>
          <w:szCs w:val="22"/>
          <w:lang w:val="pt-PT" w:eastAsia="pt-BR"/>
        </w:rPr>
        <w:t xml:space="preserve">de negócios </w:t>
      </w:r>
      <w:r w:rsidRPr="0096738F">
        <w:rPr>
          <w:rFonts w:ascii="Arial" w:eastAsia="Times New Roman" w:hAnsi="Arial" w:cs="Arial"/>
          <w:sz w:val="22"/>
          <w:szCs w:val="22"/>
          <w:lang w:val="pt-PT" w:eastAsia="pt-BR"/>
        </w:rPr>
        <w:t>realizada em estágios, qualquer participação societária anterior do adquirente na adquirida; e</w:t>
      </w:r>
    </w:p>
    <w:p w14:paraId="1F970107" w14:textId="77777777" w:rsidR="0096738F" w:rsidRPr="0096738F" w:rsidRDefault="0096738F" w:rsidP="0096738F">
      <w:pPr>
        <w:widowControl w:val="0"/>
        <w:numPr>
          <w:ilvl w:val="0"/>
          <w:numId w:val="1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contraprestação transferida para obtenção do controle da adquirida. </w:t>
      </w:r>
    </w:p>
    <w:p w14:paraId="7F0F32D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O objetivo da revisão é assegurar que as mensurações reflitam adequadamente a consideração de todas as informações disponíveis na data da aquisição.</w:t>
      </w:r>
    </w:p>
    <w:p w14:paraId="051D94DC"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5AE4650E"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Contraprestação transferida em troca do controle da adquirida</w:t>
      </w:r>
    </w:p>
    <w:p w14:paraId="0705BF94"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02933D0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37.</w:t>
      </w:r>
      <w:r w:rsidRPr="0096738F">
        <w:rPr>
          <w:rFonts w:ascii="Arial" w:eastAsia="Times New Roman" w:hAnsi="Arial" w:cs="Arial"/>
          <w:sz w:val="22"/>
          <w:szCs w:val="22"/>
          <w:lang w:eastAsia="pt-BR"/>
        </w:rPr>
        <w:tab/>
        <w:t>A contraprestação transferida em troca do controle da adquirida em combinação de negócios deve ser mensurada pelo seu valor justo, o qual deve ser calculado pela soma dos valores justos na data da aquisição: a) dos ativos transferidos pelo adquirente; b) dos passivos incorridos pelo adquirente junto aos ex-proprietários da adquirida; e c) das participações societárias emitidas pelo adquirente. (Contudo, qualquer parcela de plano de benefício com pagamento baseado em ações do adquirente trocada por plano de benefício com pagamento baseado em ações da adquirida em poder dos seus empregados e incluída no cômputo da contraprestação transferida na combinação de negócios deve ser mensurada de acordo com o item 30 e não pelo seu valor justo). Exemplos de formas potenciais de contraprestação transferida incluem caixa, outros ativos, um negócio ou uma controlada do adquirente, uma contraprestação contingente, ações ordinárias, ações preferenciais, quotas de capital, opções, opções</w:t>
      </w:r>
      <w:r w:rsidRPr="0096738F">
        <w:rPr>
          <w:rFonts w:ascii="Arial" w:eastAsia="Times New Roman" w:hAnsi="Arial" w:cs="Arial"/>
          <w:i/>
          <w:sz w:val="22"/>
          <w:szCs w:val="22"/>
          <w:lang w:eastAsia="pt-BR"/>
        </w:rPr>
        <w:t xml:space="preserve"> </w:t>
      </w:r>
      <w:r w:rsidRPr="0096738F">
        <w:rPr>
          <w:rFonts w:ascii="Arial" w:eastAsia="Times New Roman" w:hAnsi="Arial" w:cs="Arial"/>
          <w:sz w:val="22"/>
          <w:szCs w:val="22"/>
          <w:lang w:eastAsia="pt-BR"/>
        </w:rPr>
        <w:t>não</w:t>
      </w:r>
      <w:r w:rsidRPr="0096738F">
        <w:rPr>
          <w:rFonts w:ascii="Arial" w:eastAsia="Times New Roman" w:hAnsi="Arial" w:cs="Arial"/>
          <w:i/>
          <w:sz w:val="22"/>
          <w:szCs w:val="22"/>
          <w:lang w:eastAsia="pt-BR"/>
        </w:rPr>
        <w:t xml:space="preserve"> </w:t>
      </w:r>
      <w:r w:rsidRPr="0096738F">
        <w:rPr>
          <w:rFonts w:ascii="Arial" w:eastAsia="Times New Roman" w:hAnsi="Arial" w:cs="Arial"/>
          <w:sz w:val="22"/>
          <w:szCs w:val="22"/>
          <w:lang w:eastAsia="pt-BR"/>
        </w:rPr>
        <w:t xml:space="preserve">padronizadas - </w:t>
      </w:r>
      <w:r w:rsidRPr="0096738F">
        <w:rPr>
          <w:rFonts w:ascii="Arial" w:eastAsia="Times New Roman" w:hAnsi="Arial" w:cs="Arial"/>
          <w:i/>
          <w:sz w:val="22"/>
          <w:szCs w:val="22"/>
          <w:lang w:eastAsia="pt-BR"/>
        </w:rPr>
        <w:t>warrants</w:t>
      </w:r>
      <w:r w:rsidRPr="0096738F">
        <w:rPr>
          <w:rFonts w:ascii="Arial" w:eastAsia="Times New Roman" w:hAnsi="Arial" w:cs="Arial"/>
          <w:sz w:val="22"/>
          <w:szCs w:val="22"/>
          <w:lang w:eastAsia="pt-BR"/>
        </w:rPr>
        <w:t>, bônus de subscrição e participações em entidades de mútuo (associações, cooperativas etc.).</w:t>
      </w:r>
    </w:p>
    <w:p w14:paraId="6599DC9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AB1320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38.</w:t>
      </w:r>
      <w:r w:rsidRPr="0096738F">
        <w:rPr>
          <w:rFonts w:ascii="Arial" w:eastAsia="Times New Roman" w:hAnsi="Arial" w:cs="Arial"/>
          <w:sz w:val="22"/>
          <w:szCs w:val="22"/>
          <w:lang w:eastAsia="pt-BR"/>
        </w:rPr>
        <w:tab/>
        <w:t>A contraprestação transferida pode incluir itens do ativo ou passivo do adquirente cujos valores contábeis sejam diferentes de seus valores justos na data da aquisição (por exemplo, ativo não monetário ou um negócio do adquirente). Nesse caso, o adquirente deve remensurar, na data da aquisição, os ativos ou os passivos transferidos pelos respectivos valores justos e reconhecer o ganho ou a perda resultante, se houver, na demonstração do resultado. Contudo, quando os ativos e os passivos transferidos permanecem dentro da entidade combinada após a combinação de negócios (por exemplo, porque ativos ou passivos são transferidos para a adquirida e não para seus ex-proprietários), o adquirente permanece no controle dos mesmos. Nessa situação, o adquirente deve mensurar tais ativos e passivos pelos seus respectivos valores contábeis imediatamente antes da data da aquisição. Não se deve reconhecer ganho ou perda sobre ativos ou passivos que o adquirente já controlava antes e continua a controlar após a combinação de negócios.</w:t>
      </w:r>
    </w:p>
    <w:p w14:paraId="5ADA0459"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78E5AC2F"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Contraprestação contingente</w:t>
      </w:r>
    </w:p>
    <w:p w14:paraId="1E0B8FD2" w14:textId="77777777" w:rsidR="0096738F" w:rsidRPr="0096738F" w:rsidRDefault="0096738F" w:rsidP="0096738F">
      <w:pPr>
        <w:spacing w:before="0" w:after="0" w:line="240" w:lineRule="auto"/>
        <w:ind w:left="709" w:firstLine="0"/>
        <w:rPr>
          <w:rFonts w:ascii="Arial" w:eastAsia="Times New Roman" w:hAnsi="Arial" w:cs="Arial"/>
          <w:sz w:val="22"/>
          <w:szCs w:val="22"/>
          <w:lang w:eastAsia="pt-BR"/>
        </w:rPr>
      </w:pPr>
    </w:p>
    <w:p w14:paraId="3C9931C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39.</w:t>
      </w:r>
      <w:r w:rsidRPr="0096738F">
        <w:rPr>
          <w:rFonts w:ascii="Arial" w:eastAsia="Times New Roman" w:hAnsi="Arial" w:cs="Arial"/>
          <w:sz w:val="22"/>
          <w:szCs w:val="22"/>
          <w:lang w:eastAsia="pt-BR"/>
        </w:rPr>
        <w:tab/>
        <w:t>A contraprestação que o adquirente transfere em troca do controle sobre a adquirida deve incluir qualquer ativo ou passivo resultante de acordo com uma contraprestação contingente (ver item 37). O adquirente deve reconhecer a contraprestação contingente pelo seu valor justo na data da aquisição como parte da contraprestação transferida em troca do controle da adquirida.</w:t>
      </w:r>
    </w:p>
    <w:p w14:paraId="5C183606"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62CCF870" w14:textId="19C20236" w:rsidR="0096738F" w:rsidRPr="0096738F" w:rsidRDefault="0096738F" w:rsidP="0096738F">
      <w:pPr>
        <w:widowControl w:val="0"/>
        <w:tabs>
          <w:tab w:val="left" w:pos="6804"/>
        </w:tabs>
        <w:spacing w:before="0" w:after="0" w:line="240" w:lineRule="auto"/>
        <w:ind w:left="567" w:right="2" w:hanging="567"/>
        <w:rPr>
          <w:rFonts w:ascii="Arial" w:eastAsia="Times New Roman" w:hAnsi="Arial" w:cs="Arial"/>
          <w:color w:val="0070C0"/>
          <w:sz w:val="18"/>
          <w:szCs w:val="18"/>
          <w:lang w:eastAsia="pt-BR"/>
        </w:rPr>
      </w:pPr>
      <w:r w:rsidRPr="0096738F">
        <w:rPr>
          <w:rFonts w:ascii="Arial" w:eastAsia="Times New Roman" w:hAnsi="Arial" w:cs="Arial"/>
          <w:sz w:val="22"/>
          <w:szCs w:val="22"/>
          <w:lang w:eastAsia="pt-BR"/>
        </w:rPr>
        <w:t>40.</w:t>
      </w:r>
      <w:r w:rsidRPr="0096738F">
        <w:rPr>
          <w:rFonts w:ascii="Arial" w:eastAsia="Times New Roman" w:hAnsi="Arial" w:cs="Arial"/>
          <w:sz w:val="22"/>
          <w:szCs w:val="22"/>
          <w:lang w:eastAsia="pt-BR"/>
        </w:rPr>
        <w:tab/>
        <w:t xml:space="preserve">O adquirente deve classificar a obrigação de pagar uma contraprestação contingente </w:t>
      </w:r>
      <w:r w:rsidRPr="0096738F">
        <w:rPr>
          <w:rFonts w:ascii="Arial" w:eastAsia="Times New Roman" w:hAnsi="Arial" w:cs="Arial"/>
          <w:color w:val="222222"/>
          <w:sz w:val="22"/>
          <w:szCs w:val="22"/>
          <w:lang w:val="pt-PT" w:eastAsia="pt-BR"/>
        </w:rPr>
        <w:t>que satisfaça a definição de instrumento financeiro</w:t>
      </w:r>
      <w:r w:rsidRPr="0096738F">
        <w:rPr>
          <w:rFonts w:ascii="Arial" w:eastAsia="Times New Roman" w:hAnsi="Arial" w:cs="Arial"/>
          <w:sz w:val="22"/>
          <w:szCs w:val="22"/>
          <w:lang w:eastAsia="pt-BR"/>
        </w:rPr>
        <w:t xml:space="preserve"> como passivo </w:t>
      </w:r>
      <w:r w:rsidRPr="0096738F">
        <w:rPr>
          <w:rFonts w:ascii="Arial" w:eastAsia="Times New Roman" w:hAnsi="Arial" w:cs="Arial"/>
          <w:color w:val="222222"/>
          <w:sz w:val="22"/>
          <w:szCs w:val="22"/>
          <w:lang w:val="pt-PT" w:eastAsia="pt-BR"/>
        </w:rPr>
        <w:t>financeiro</w:t>
      </w:r>
      <w:r w:rsidRPr="0096738F">
        <w:rPr>
          <w:rFonts w:ascii="Arial" w:eastAsia="Times New Roman" w:hAnsi="Arial" w:cs="Arial"/>
          <w:sz w:val="22"/>
          <w:szCs w:val="22"/>
          <w:lang w:eastAsia="pt-BR"/>
        </w:rPr>
        <w:t xml:space="preserve"> ou como componente do patrimônio líquido, com base nas definições de instrumento patrimonial e passivo financeiro, constantes do item 11 do Pronunciamento Técnico CPC 39 – Instrumentos Financeiros: Apresentação. O adquirente deve classificar uma contraprestação contingente como ativo quando o acordo conferir ao adquirente o direito de reaver parte da contraprestação já transferida, se certas condições específicas forem satisfeitas. O item 58 fornece orientações sobre a contabilização subsequente de contraprestações contingentes.</w:t>
      </w:r>
      <w:r w:rsidRPr="0096738F">
        <w:rPr>
          <w:rFonts w:ascii="Arial" w:eastAsia="Times New Roman" w:hAnsi="Arial" w:cs="Arial"/>
          <w:color w:val="0070C0"/>
          <w:sz w:val="22"/>
          <w:szCs w:val="22"/>
          <w:lang w:val="pt-PT" w:eastAsia="pt-BR"/>
        </w:rPr>
        <w:t xml:space="preserve"> </w:t>
      </w:r>
    </w:p>
    <w:p w14:paraId="6C63C2C4"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A33D07D"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Orientações adicionais para aplicação do método de aquisição a tipos específicos de combinação de negócios</w:t>
      </w:r>
    </w:p>
    <w:p w14:paraId="40D22BD8"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b/>
          <w:sz w:val="22"/>
          <w:szCs w:val="22"/>
          <w:lang w:eastAsia="pt-BR"/>
        </w:rPr>
      </w:pPr>
    </w:p>
    <w:p w14:paraId="59E8CE8A"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Combinação de negócios realizada em estágios</w:t>
      </w:r>
    </w:p>
    <w:p w14:paraId="53487280"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b/>
          <w:sz w:val="22"/>
          <w:szCs w:val="22"/>
          <w:lang w:eastAsia="pt-BR"/>
        </w:rPr>
      </w:pPr>
    </w:p>
    <w:p w14:paraId="1D5D87B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41.</w:t>
      </w:r>
      <w:r w:rsidRPr="0096738F">
        <w:rPr>
          <w:rFonts w:ascii="Arial" w:eastAsia="Times New Roman" w:hAnsi="Arial" w:cs="Arial"/>
          <w:sz w:val="22"/>
          <w:szCs w:val="22"/>
          <w:lang w:eastAsia="pt-BR"/>
        </w:rPr>
        <w:tab/>
        <w:t>O adquirente pode obter o controle de uma adquirida na qual ele mantinha uma participação de capital imediatamente antes da data da aquisição. Por exemplo, em 31 de dezembro de 20X1, a entidade “A” possui 35% de participação no capital (votante e total) da entidade “B”, sem controlá-la. Nessa data, a entidade “A” compra mais 40% de participação de capital (votante e total) na entidade “B”, obtendo o controle sobre ela. Este Pronunciamento denomina essa operação como combinação de negócios realizada em estágios, algumas vezes refere-se também como sendo uma aquisição passo a passo (</w:t>
      </w:r>
      <w:r w:rsidRPr="0096738F">
        <w:rPr>
          <w:rFonts w:ascii="Arial" w:eastAsia="Times New Roman" w:hAnsi="Arial" w:cs="Arial"/>
          <w:i/>
          <w:sz w:val="22"/>
          <w:szCs w:val="22"/>
          <w:lang w:eastAsia="pt-BR"/>
        </w:rPr>
        <w:t>step acquisition</w:t>
      </w:r>
      <w:r w:rsidRPr="0096738F">
        <w:rPr>
          <w:rFonts w:ascii="Arial" w:eastAsia="Times New Roman" w:hAnsi="Arial" w:cs="Arial"/>
          <w:sz w:val="22"/>
          <w:szCs w:val="22"/>
          <w:lang w:eastAsia="pt-BR"/>
        </w:rPr>
        <w:t>).</w:t>
      </w:r>
    </w:p>
    <w:p w14:paraId="282B806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20F6CE4" w14:textId="27388DDC" w:rsidR="0096738F" w:rsidRPr="0096738F" w:rsidRDefault="0096738F" w:rsidP="0096738F">
      <w:pPr>
        <w:spacing w:before="0" w:after="0" w:line="240" w:lineRule="auto"/>
        <w:ind w:left="567" w:hanging="567"/>
        <w:rPr>
          <w:rFonts w:ascii="Arial" w:eastAsia="Times New Roman" w:hAnsi="Arial" w:cs="Arial"/>
          <w:color w:val="0070C0"/>
          <w:sz w:val="22"/>
          <w:szCs w:val="22"/>
          <w:lang w:eastAsia="pt-BR"/>
        </w:rPr>
      </w:pPr>
      <w:r w:rsidRPr="0096738F">
        <w:rPr>
          <w:rFonts w:ascii="Arial" w:eastAsia="Times New Roman" w:hAnsi="Arial" w:cs="Arial"/>
          <w:sz w:val="22"/>
          <w:szCs w:val="22"/>
          <w:lang w:eastAsia="pt-BR"/>
        </w:rPr>
        <w:t>42.</w:t>
      </w:r>
      <w:r w:rsidRPr="0096738F">
        <w:rPr>
          <w:rFonts w:ascii="Arial" w:eastAsia="Times New Roman" w:hAnsi="Arial" w:cs="Arial"/>
          <w:sz w:val="22"/>
          <w:szCs w:val="22"/>
          <w:lang w:eastAsia="pt-BR"/>
        </w:rPr>
        <w:tab/>
        <w:t xml:space="preserve">Em combinação de negócios realizada em estágios, o adquirente deve mensurar novamente sua participação anterior na adquirida pelo valor justo na data da aquisição e deve reconhecer no resultado do período o ganho ou a perda resultante, se houver, ou em outros resultantes abrangentes, conforme apropriado. Em períodos contábeis anteriores, o adquirente pode ter reconhecido ajustes no valor contábil de sua participação anterior na adquirida, cuja contrapartida tenha sido contabilizada como outros resultados abrangentes (em ajustes de avaliação patrimonial), em seu patrimônio líquido. Nesse caso, o valor contabilizado pelo adquirente, em outros resultados abrangentes, deve ser reconhecido nas mesmas bases que seriam exigidas, caso o adquirente tivesse alienado sua participação anterior na adquirida (ou seja, deve ser reclassificado para a demonstração do resultado do período). </w:t>
      </w:r>
    </w:p>
    <w:p w14:paraId="14D12FE3"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826CEC3" w14:textId="593FACBE" w:rsidR="0096738F" w:rsidRPr="0096738F" w:rsidRDefault="0096738F" w:rsidP="0096738F">
      <w:pPr>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sz w:val="22"/>
          <w:szCs w:val="22"/>
          <w:lang w:val="pt-PT" w:eastAsia="pt-BR"/>
        </w:rPr>
        <w:t xml:space="preserve">42A. Quando a parte em negócio em conjunto (conforme definido no CPC 19) obtém o controle de negócio que é operação conjunta (conforme definido no CPC 19) e teve direitos sobre os ativos e obrigações dos passivos relacionados a essa operação conjunta imediatamente anterior à data de aquisição, a transação é uma combinação de negócios alcançada em estágios. O adquirente deve, portanto, aplicar os requisitos para combinação de negócios realizada em estágios, incluindo a remensuração de sua participação anterior na operação conjunta na forma descrita no item 42. Ao fazê-lo, o adquirente deve remensurar toda a sua participação anterior na operação conjunta. </w:t>
      </w:r>
    </w:p>
    <w:p w14:paraId="43D6EAA1"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26F3E986"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Combinação de negócios realizada sem a transferência de contraprestação</w:t>
      </w:r>
    </w:p>
    <w:p w14:paraId="765274A5"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b/>
          <w:sz w:val="22"/>
          <w:szCs w:val="22"/>
          <w:lang w:eastAsia="pt-BR"/>
        </w:rPr>
      </w:pPr>
    </w:p>
    <w:p w14:paraId="5451DC4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43.</w:t>
      </w:r>
      <w:r w:rsidRPr="0096738F">
        <w:rPr>
          <w:rFonts w:ascii="Arial" w:eastAsia="Times New Roman" w:hAnsi="Arial" w:cs="Arial"/>
          <w:sz w:val="22"/>
          <w:szCs w:val="22"/>
          <w:lang w:eastAsia="pt-BR"/>
        </w:rPr>
        <w:tab/>
        <w:t>O adquirente pode obter o controle de uma adquirida sem efetuar a transferência de contraprestação. O método de aquisição para contabilizar uma combinação de negócios também se aplica a esse tipo de combinação. Tais circunstâncias incluem:</w:t>
      </w:r>
    </w:p>
    <w:p w14:paraId="637C267F" w14:textId="77777777" w:rsidR="0096738F" w:rsidRPr="0096738F" w:rsidRDefault="0096738F" w:rsidP="0096738F">
      <w:pPr>
        <w:widowControl w:val="0"/>
        <w:numPr>
          <w:ilvl w:val="0"/>
          <w:numId w:val="1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adquirida recompra um número tal de suas próprias ações de forma que determinado investidor (o adquirente) acaba obtendo o controle sobre ela</w:t>
      </w:r>
      <w:r w:rsidRPr="0096738F">
        <w:rPr>
          <w:rFonts w:ascii="Arial" w:eastAsia="Times New Roman" w:hAnsi="Arial" w:cs="Arial"/>
          <w:bCs/>
          <w:iCs/>
          <w:sz w:val="22"/>
          <w:szCs w:val="22"/>
          <w:lang w:val="pt-PT" w:eastAsia="pt-BR"/>
        </w:rPr>
        <w:t>;</w:t>
      </w:r>
    </w:p>
    <w:p w14:paraId="2CDDB167" w14:textId="77777777" w:rsidR="0096738F" w:rsidRPr="0096738F" w:rsidRDefault="0096738F" w:rsidP="0096738F">
      <w:pPr>
        <w:widowControl w:val="0"/>
        <w:numPr>
          <w:ilvl w:val="0"/>
          <w:numId w:val="1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direito de veto de não controladores que antes </w:t>
      </w:r>
      <w:r w:rsidRPr="0096738F">
        <w:rPr>
          <w:rFonts w:ascii="Arial" w:eastAsia="Times New Roman" w:hAnsi="Arial" w:cs="Arial"/>
          <w:bCs/>
          <w:iCs/>
          <w:sz w:val="22"/>
          <w:szCs w:val="22"/>
          <w:lang w:val="pt-PT" w:eastAsia="pt-BR"/>
        </w:rPr>
        <w:t>impedia</w:t>
      </w:r>
      <w:r w:rsidRPr="0096738F">
        <w:rPr>
          <w:rFonts w:ascii="Arial" w:eastAsia="Times New Roman" w:hAnsi="Arial" w:cs="Arial"/>
          <w:sz w:val="22"/>
          <w:szCs w:val="22"/>
          <w:lang w:val="pt-PT" w:eastAsia="pt-BR"/>
        </w:rPr>
        <w:t xml:space="preserve"> o adquirente de controlar a adquirida </w:t>
      </w:r>
      <w:r w:rsidRPr="0096738F">
        <w:rPr>
          <w:rFonts w:ascii="Arial" w:eastAsia="Times New Roman" w:hAnsi="Arial" w:cs="Arial"/>
          <w:bCs/>
          <w:iCs/>
          <w:sz w:val="22"/>
          <w:szCs w:val="22"/>
          <w:lang w:val="pt-PT" w:eastAsia="pt-BR"/>
        </w:rPr>
        <w:t>perde</w:t>
      </w:r>
      <w:r w:rsidRPr="0096738F">
        <w:rPr>
          <w:rFonts w:ascii="Arial" w:eastAsia="Times New Roman" w:hAnsi="Arial" w:cs="Arial"/>
          <w:sz w:val="22"/>
          <w:szCs w:val="22"/>
          <w:lang w:val="pt-PT" w:eastAsia="pt-BR"/>
        </w:rPr>
        <w:t xml:space="preserve"> efeito;</w:t>
      </w:r>
    </w:p>
    <w:p w14:paraId="4FEB7909" w14:textId="77777777" w:rsidR="0096738F" w:rsidRPr="0096738F" w:rsidRDefault="0096738F" w:rsidP="0096738F">
      <w:pPr>
        <w:widowControl w:val="0"/>
        <w:numPr>
          <w:ilvl w:val="0"/>
          <w:numId w:val="1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adquirente e adquirida combinam seus negócios por meio de acordos puramente contratuais. O adquirente não efetua nenhuma contraprestação em troca do controle da adquirida e também não detém </w:t>
      </w:r>
      <w:r w:rsidRPr="0096738F">
        <w:rPr>
          <w:rFonts w:ascii="Arial" w:eastAsia="Times New Roman" w:hAnsi="Arial" w:cs="Arial"/>
          <w:bCs/>
          <w:iCs/>
          <w:sz w:val="22"/>
          <w:szCs w:val="22"/>
          <w:lang w:val="pt-PT" w:eastAsia="pt-BR"/>
        </w:rPr>
        <w:t>qualquer</w:t>
      </w:r>
      <w:r w:rsidRPr="0096738F">
        <w:rPr>
          <w:rFonts w:ascii="Arial" w:eastAsia="Times New Roman" w:hAnsi="Arial" w:cs="Arial"/>
          <w:sz w:val="22"/>
          <w:szCs w:val="22"/>
          <w:lang w:val="pt-PT" w:eastAsia="pt-BR"/>
        </w:rPr>
        <w:t xml:space="preserve"> participação societária na adquirida, nem </w:t>
      </w:r>
      <w:r w:rsidRPr="0096738F">
        <w:rPr>
          <w:rFonts w:ascii="Arial" w:eastAsia="Times New Roman" w:hAnsi="Arial" w:cs="Arial"/>
          <w:bCs/>
          <w:iCs/>
          <w:sz w:val="22"/>
          <w:szCs w:val="22"/>
          <w:lang w:val="pt-PT" w:eastAsia="pt-BR"/>
        </w:rPr>
        <w:t xml:space="preserve">na data de aquisição tampouco </w:t>
      </w:r>
      <w:r w:rsidRPr="0096738F">
        <w:rPr>
          <w:rFonts w:ascii="Arial" w:eastAsia="Times New Roman" w:hAnsi="Arial" w:cs="Arial"/>
          <w:sz w:val="22"/>
          <w:szCs w:val="22"/>
          <w:lang w:val="pt-PT" w:eastAsia="pt-BR"/>
        </w:rPr>
        <w:t>antes</w:t>
      </w:r>
      <w:r w:rsidRPr="0096738F">
        <w:rPr>
          <w:rFonts w:ascii="Arial" w:eastAsia="Times New Roman" w:hAnsi="Arial" w:cs="Arial"/>
          <w:bCs/>
          <w:iCs/>
          <w:sz w:val="22"/>
          <w:szCs w:val="22"/>
          <w:lang w:val="pt-PT" w:eastAsia="pt-BR"/>
        </w:rPr>
        <w:t xml:space="preserve"> dela.</w:t>
      </w:r>
      <w:r w:rsidRPr="0096738F">
        <w:rPr>
          <w:rFonts w:ascii="Arial" w:eastAsia="Times New Roman" w:hAnsi="Arial" w:cs="Arial"/>
          <w:sz w:val="22"/>
          <w:szCs w:val="22"/>
          <w:lang w:val="pt-PT" w:eastAsia="pt-BR"/>
        </w:rPr>
        <w:t xml:space="preserve"> Exemplos de combinação de negócios alcançada por contrato independente incluem, quando permitidas legalmente, juntar dois negócios por meio de acordo </w:t>
      </w:r>
      <w:r w:rsidRPr="0096738F">
        <w:rPr>
          <w:rFonts w:ascii="Arial" w:eastAsia="Times New Roman" w:hAnsi="Arial" w:cs="Arial"/>
          <w:bCs/>
          <w:iCs/>
          <w:sz w:val="22"/>
          <w:szCs w:val="22"/>
          <w:lang w:val="pt-PT" w:eastAsia="pt-BR"/>
        </w:rPr>
        <w:t>contratual (</w:t>
      </w:r>
      <w:r w:rsidRPr="0096738F">
        <w:rPr>
          <w:rFonts w:ascii="Arial" w:eastAsia="Times New Roman" w:hAnsi="Arial" w:cs="Arial"/>
          <w:bCs/>
          <w:i/>
          <w:iCs/>
          <w:sz w:val="22"/>
          <w:szCs w:val="22"/>
          <w:lang w:val="pt-PT" w:eastAsia="pt-BR"/>
        </w:rPr>
        <w:t>stapling arrangements</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ou da formação de corporação </w:t>
      </w:r>
      <w:r w:rsidRPr="0096738F">
        <w:rPr>
          <w:rFonts w:ascii="Arial" w:eastAsia="Times New Roman" w:hAnsi="Arial" w:cs="Arial"/>
          <w:bCs/>
          <w:iCs/>
          <w:sz w:val="22"/>
          <w:szCs w:val="22"/>
          <w:lang w:val="pt-PT" w:eastAsia="pt-BR"/>
        </w:rPr>
        <w:t xml:space="preserve">duplamente </w:t>
      </w:r>
      <w:r w:rsidRPr="0096738F">
        <w:rPr>
          <w:rFonts w:ascii="Arial" w:eastAsia="Times New Roman" w:hAnsi="Arial" w:cs="Arial"/>
          <w:sz w:val="22"/>
          <w:szCs w:val="22"/>
          <w:lang w:val="pt-PT" w:eastAsia="pt-BR"/>
        </w:rPr>
        <w:t>listada (</w:t>
      </w:r>
      <w:r w:rsidRPr="0096738F">
        <w:rPr>
          <w:rFonts w:ascii="Arial" w:eastAsia="Times New Roman" w:hAnsi="Arial" w:cs="Arial"/>
          <w:i/>
          <w:sz w:val="22"/>
          <w:szCs w:val="22"/>
          <w:lang w:val="pt-PT" w:eastAsia="pt-BR"/>
        </w:rPr>
        <w:t xml:space="preserve">dual listed </w:t>
      </w:r>
      <w:r w:rsidRPr="0096738F">
        <w:rPr>
          <w:rFonts w:ascii="Arial" w:eastAsia="Times New Roman" w:hAnsi="Arial" w:cs="Arial"/>
          <w:bCs/>
          <w:i/>
          <w:iCs/>
          <w:sz w:val="22"/>
          <w:szCs w:val="22"/>
          <w:lang w:val="pt-PT" w:eastAsia="pt-BR"/>
        </w:rPr>
        <w:t>corporation</w:t>
      </w:r>
      <w:r w:rsidRPr="0096738F">
        <w:rPr>
          <w:rFonts w:ascii="Arial" w:eastAsia="Times New Roman" w:hAnsi="Arial" w:cs="Arial"/>
          <w:b/>
          <w:i/>
          <w:iCs/>
          <w:color w:val="000000"/>
          <w:sz w:val="22"/>
          <w:szCs w:val="22"/>
          <w:vertAlign w:val="superscript"/>
          <w:lang w:val="pt-PT" w:eastAsia="pt-BR"/>
        </w:rPr>
        <w:footnoteReference w:id="1"/>
      </w:r>
      <w:r w:rsidRPr="0096738F">
        <w:rPr>
          <w:rFonts w:ascii="Arial" w:eastAsia="Times New Roman" w:hAnsi="Arial" w:cs="Arial"/>
          <w:bCs/>
          <w:iCs/>
          <w:sz w:val="22"/>
          <w:szCs w:val="22"/>
          <w:lang w:val="pt-PT" w:eastAsia="pt-BR"/>
        </w:rPr>
        <w:t>)</w:t>
      </w:r>
      <w:r w:rsidRPr="0096738F">
        <w:rPr>
          <w:rFonts w:ascii="Arial" w:eastAsia="Times New Roman" w:hAnsi="Arial" w:cs="Arial"/>
          <w:b/>
          <w:iCs/>
          <w:color w:val="000000"/>
          <w:sz w:val="22"/>
          <w:szCs w:val="22"/>
          <w:vertAlign w:val="superscript"/>
          <w:lang w:val="pt-PT" w:eastAsia="pt-BR"/>
        </w:rPr>
        <w:footnoteReference w:id="2"/>
      </w:r>
      <w:r w:rsidRPr="0096738F">
        <w:rPr>
          <w:rFonts w:ascii="Arial" w:eastAsia="Times New Roman" w:hAnsi="Arial" w:cs="Arial"/>
          <w:bCs/>
          <w:iCs/>
          <w:sz w:val="22"/>
          <w:szCs w:val="22"/>
          <w:lang w:val="pt-PT" w:eastAsia="pt-BR"/>
        </w:rPr>
        <w:t>.</w:t>
      </w:r>
    </w:p>
    <w:p w14:paraId="69B4EF5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44.</w:t>
      </w:r>
      <w:r w:rsidRPr="0096738F">
        <w:rPr>
          <w:rFonts w:ascii="Arial" w:eastAsia="Times New Roman" w:hAnsi="Arial" w:cs="Arial"/>
          <w:sz w:val="22"/>
          <w:szCs w:val="22"/>
          <w:lang w:eastAsia="pt-BR"/>
        </w:rPr>
        <w:tab/>
        <w:t>Em combinação alcançada por meio de acordo puramente contratual, o adquirente deve atribuir aos proprietários da adquirida o valor dos ativos líquidos da adquirida reconhecidos conforme este Pronunciamento. Em outras palavras, a participação societária na adquirida mantida por outras partes que não o adquirente constitui a participação de não controladores na adquirida, a ser apresentada nas demonstrações contábeis do adquirente pós-combinação, mesmo que 100% da participação de capital na adquirida sejam tratados como participação de não controladores.</w:t>
      </w:r>
    </w:p>
    <w:p w14:paraId="5D4E8BCF"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b/>
          <w:sz w:val="22"/>
          <w:szCs w:val="22"/>
          <w:lang w:eastAsia="pt-BR"/>
        </w:rPr>
      </w:pPr>
    </w:p>
    <w:p w14:paraId="29566EAD"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Período de mensuração</w:t>
      </w:r>
    </w:p>
    <w:p w14:paraId="73E09A97"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b/>
          <w:sz w:val="22"/>
          <w:szCs w:val="22"/>
          <w:lang w:eastAsia="pt-BR"/>
        </w:rPr>
      </w:pPr>
    </w:p>
    <w:p w14:paraId="0A97987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45.</w:t>
      </w:r>
      <w:r w:rsidRPr="0096738F">
        <w:rPr>
          <w:rFonts w:ascii="Arial" w:eastAsia="Times New Roman" w:hAnsi="Arial" w:cs="Arial"/>
          <w:sz w:val="22"/>
          <w:szCs w:val="22"/>
          <w:lang w:eastAsia="pt-BR"/>
        </w:rPr>
        <w:tab/>
        <w:t xml:space="preserve">Quando a contabilização inicial de uma combinação de negócios estiver incompleta ao término do </w:t>
      </w:r>
      <w:r w:rsidRPr="0096738F">
        <w:rPr>
          <w:rFonts w:ascii="Arial" w:eastAsia="Times New Roman" w:hAnsi="Arial" w:cs="Arial"/>
          <w:sz w:val="22"/>
          <w:szCs w:val="22"/>
          <w:lang w:eastAsia="pt-BR"/>
        </w:rPr>
        <w:lastRenderedPageBreak/>
        <w:t>período de reporte em que a combinação ocorrer, o adquirente deve, em suas demonstrações contábeis, reportar os valores provisórios para os itens cuja contabilização estiver incompleta. Durante o período de mensuração, o adquirente deve ajustar retrospectivamente os valores provisórios reconhecidos na data da aquisição para refletir qualquer nova informação obtida relativa a fatos e circunstâncias existentes na data da aquisição, a qual, se conhecida naquela data, teria afetado a mensuração dos valores reconhecidos. Durante o período de mensuração, o adquirente também deve reconhecer adicionalmente ativos ou passivos, quando nova informação for obtida acerca de fatos e circunstâncias existentes na data da aquisição, a qual, se conhecida naquela data, teria resultado no reconhecimento desses ativos e passivos naquela data. O período de mensuração termina assim que o adquirente obtiver as informações que buscava sobre fatos e circunstâncias existentes na data da aquisição, ou quando ele concluir que mais informações não podem ser obtidas. Contudo, o período de mensuração não pode exceder a um ano da data da aquisição.</w:t>
      </w:r>
    </w:p>
    <w:p w14:paraId="74C06EE2"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56ABEA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46.</w:t>
      </w:r>
      <w:r w:rsidRPr="0096738F">
        <w:rPr>
          <w:rFonts w:ascii="Arial" w:eastAsia="Times New Roman" w:hAnsi="Arial" w:cs="Arial"/>
          <w:sz w:val="22"/>
          <w:szCs w:val="22"/>
          <w:lang w:eastAsia="pt-BR"/>
        </w:rPr>
        <w:tab/>
        <w:t>O período de mensuração é o período que se segue à data da aquisição, durante o qual o adquirente pode ajustar os valores provisórios reconhecidos para uma combinação de negócios. O período de mensuração fornece um tempo razoável para que o adquirente obtenha as informações necessárias para identificar e mensurar, na data da aquisição, e de acordo com este Pronunciamento, os seguintes itens:</w:t>
      </w:r>
    </w:p>
    <w:p w14:paraId="3B20CB89" w14:textId="77777777" w:rsidR="0096738F" w:rsidRPr="0096738F" w:rsidRDefault="0096738F" w:rsidP="0096738F">
      <w:pPr>
        <w:widowControl w:val="0"/>
        <w:numPr>
          <w:ilvl w:val="0"/>
          <w:numId w:val="1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ativos identificáveis adquiridos, os passivos assumidos e qualquer participação de não controladores</w:t>
      </w:r>
      <w:r w:rsidRPr="0096738F">
        <w:rPr>
          <w:rFonts w:ascii="Arial" w:eastAsia="Times New Roman" w:hAnsi="Arial" w:cs="Arial"/>
          <w:bCs/>
          <w:iCs/>
          <w:sz w:val="22"/>
          <w:szCs w:val="22"/>
          <w:lang w:val="pt-PT" w:eastAsia="pt-BR"/>
        </w:rPr>
        <w:t xml:space="preserve"> na adquirida;</w:t>
      </w:r>
    </w:p>
    <w:p w14:paraId="742D0974" w14:textId="77777777" w:rsidR="0096738F" w:rsidRPr="0096738F" w:rsidRDefault="0096738F" w:rsidP="0096738F">
      <w:pPr>
        <w:widowControl w:val="0"/>
        <w:numPr>
          <w:ilvl w:val="0"/>
          <w:numId w:val="1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contraprestação </w:t>
      </w:r>
      <w:r w:rsidRPr="0096738F">
        <w:rPr>
          <w:rFonts w:ascii="Arial" w:eastAsia="Times New Roman" w:hAnsi="Arial" w:cs="Arial"/>
          <w:bCs/>
          <w:iCs/>
          <w:sz w:val="22"/>
          <w:szCs w:val="22"/>
          <w:lang w:val="pt-PT" w:eastAsia="pt-BR"/>
        </w:rPr>
        <w:t xml:space="preserve">transferida </w:t>
      </w:r>
      <w:r w:rsidRPr="0096738F">
        <w:rPr>
          <w:rFonts w:ascii="Arial" w:eastAsia="Times New Roman" w:hAnsi="Arial" w:cs="Arial"/>
          <w:sz w:val="22"/>
          <w:szCs w:val="22"/>
          <w:lang w:val="pt-PT" w:eastAsia="pt-BR"/>
        </w:rPr>
        <w:t xml:space="preserve">pelo controle da adquirida (ou outro montante utilizado na mensuração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 xml:space="preserve">rentabilidade futura –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p w14:paraId="7ED09A4D" w14:textId="77777777" w:rsidR="0096738F" w:rsidRPr="0096738F" w:rsidRDefault="0096738F" w:rsidP="0096738F">
      <w:pPr>
        <w:widowControl w:val="0"/>
        <w:numPr>
          <w:ilvl w:val="0"/>
          <w:numId w:val="1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no caso de combinação </w:t>
      </w:r>
      <w:r w:rsidRPr="0096738F">
        <w:rPr>
          <w:rFonts w:ascii="Arial" w:eastAsia="Times New Roman" w:hAnsi="Arial" w:cs="Arial"/>
          <w:bCs/>
          <w:iCs/>
          <w:sz w:val="22"/>
          <w:szCs w:val="22"/>
          <w:lang w:val="pt-PT" w:eastAsia="pt-BR"/>
        </w:rPr>
        <w:t xml:space="preserve">de negócios </w:t>
      </w:r>
      <w:r w:rsidRPr="0096738F">
        <w:rPr>
          <w:rFonts w:ascii="Arial" w:eastAsia="Times New Roman" w:hAnsi="Arial" w:cs="Arial"/>
          <w:sz w:val="22"/>
          <w:szCs w:val="22"/>
          <w:lang w:val="pt-PT" w:eastAsia="pt-BR"/>
        </w:rPr>
        <w:t xml:space="preserve">realizada em estágios, a participação </w:t>
      </w:r>
      <w:r w:rsidRPr="0096738F">
        <w:rPr>
          <w:rFonts w:ascii="Arial" w:eastAsia="Times New Roman" w:hAnsi="Arial" w:cs="Arial"/>
          <w:bCs/>
          <w:iCs/>
          <w:sz w:val="22"/>
          <w:szCs w:val="22"/>
          <w:lang w:val="pt-PT" w:eastAsia="pt-BR"/>
        </w:rPr>
        <w:t>detida pelo</w:t>
      </w:r>
      <w:r w:rsidRPr="0096738F">
        <w:rPr>
          <w:rFonts w:ascii="Arial" w:eastAsia="Times New Roman" w:hAnsi="Arial" w:cs="Arial"/>
          <w:sz w:val="22"/>
          <w:szCs w:val="22"/>
          <w:lang w:val="pt-PT" w:eastAsia="pt-BR"/>
        </w:rPr>
        <w:t xml:space="preserve"> adquirente na adquirida imediatamente antes da combinação; e</w:t>
      </w:r>
    </w:p>
    <w:p w14:paraId="23BC8338" w14:textId="77777777" w:rsidR="0096738F" w:rsidRPr="0096738F" w:rsidRDefault="0096738F" w:rsidP="0096738F">
      <w:pPr>
        <w:widowControl w:val="0"/>
        <w:numPr>
          <w:ilvl w:val="0"/>
          <w:numId w:val="1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ou o ganho por compra vantajosa.</w:t>
      </w:r>
    </w:p>
    <w:p w14:paraId="1202CFF1" w14:textId="77777777" w:rsidR="0096738F" w:rsidRPr="0096738F" w:rsidRDefault="0096738F" w:rsidP="0096738F">
      <w:pPr>
        <w:widowControl w:val="0"/>
        <w:spacing w:before="0" w:after="0" w:line="240" w:lineRule="auto"/>
        <w:ind w:left="710" w:firstLine="0"/>
        <w:rPr>
          <w:rFonts w:ascii="Arial" w:eastAsia="Times New Roman" w:hAnsi="Arial" w:cs="Arial"/>
          <w:sz w:val="22"/>
          <w:szCs w:val="22"/>
          <w:lang w:eastAsia="pt-BR"/>
        </w:rPr>
      </w:pPr>
    </w:p>
    <w:p w14:paraId="69A72F52" w14:textId="57CD6DFB"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47.</w:t>
      </w:r>
      <w:r w:rsidRPr="0096738F">
        <w:rPr>
          <w:rFonts w:ascii="Arial" w:eastAsia="Times New Roman" w:hAnsi="Arial" w:cs="Arial"/>
          <w:sz w:val="22"/>
          <w:szCs w:val="22"/>
          <w:lang w:eastAsia="pt-BR"/>
        </w:rPr>
        <w:tab/>
        <w:t xml:space="preserve">O adquirente deve considerar todos os fatores pertinentes para determinar se a informação obtida após a data de aquisição teria resultado em ajuste nos valores provisórios reconhecidos ou se essa informação é proveniente de eventos que ocorreram após a data da aquisição. Fatores pertinentes incluem a data em que a informação adicional é obtida, bem como se o adquirente consegue identificar uma razão para a alteração dos valores provisórios. É mais provável que uma informação obtida logo após a data da aquisição represente circunstâncias existentes na data de aquisição do que uma informação obtida vários meses depois. Por exemplo, a menos que um evento interveniente que altere o valor justo possa ser identificado, a venda de ativo para terceiros logo após a data da aquisição por um valor significativamente diferente do valor justo mensurado provisoriamente para esse ativo constitui um evento indicativo de que o valor provisório reconhecido provavelmente estava errado. </w:t>
      </w:r>
    </w:p>
    <w:p w14:paraId="27858A1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48.</w:t>
      </w:r>
      <w:r w:rsidRPr="0096738F">
        <w:rPr>
          <w:rFonts w:ascii="Arial" w:eastAsia="Times New Roman" w:hAnsi="Arial" w:cs="Arial"/>
          <w:sz w:val="22"/>
          <w:szCs w:val="22"/>
          <w:lang w:eastAsia="pt-BR"/>
        </w:rPr>
        <w:tab/>
        <w:t>O adquirente deve reconhecer aumento (ou redução) nos valores provisórios reconhecidos para um ativo identificável (ou passivo assumido) por meio de aumento (ou redução) no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Contudo, por vezes, uma nova informação obtida durante o período de mensuração pode resultar em ajuste nos valores provisórios de mais de um ativo ou de um passivo. Por exemplo, o adquirente pode ter assumido um passivo em função do pagamento de perdas e danos relativos a um acidente em uma das instalações fabris da adquirida, o qual é total ou parcialmente coberto pela apólice de seguro da adquirida. Se o adquirente obtém nova informação durante o período de mensuração sobre o valor justo desse passivo na data da aquisição, o ajuste no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eastAsia="pt-BR"/>
        </w:rPr>
        <w:lastRenderedPageBreak/>
        <w:t>resultante da mudança no valor provisório do respectivo passivo será compensado (no todo ou em parte) pelo correspondente ajuste no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resultante da mudança no valor provisório reconhecido inicialmente para a indenização a ser recebida da seguradora.</w:t>
      </w:r>
    </w:p>
    <w:p w14:paraId="490E7F06"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4C2BE2A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49.</w:t>
      </w:r>
      <w:r w:rsidRPr="0096738F">
        <w:rPr>
          <w:rFonts w:ascii="Arial" w:eastAsia="Times New Roman" w:hAnsi="Arial" w:cs="Arial"/>
          <w:sz w:val="22"/>
          <w:szCs w:val="22"/>
          <w:lang w:eastAsia="pt-BR"/>
        </w:rPr>
        <w:tab/>
        <w:t>Durante o período de mensuração, o adquirente deve reconhecer os ajustes nos valores provisórios como se a contabilização da combinação de negócios tivesse sido completada na data da aquisição. Portanto, o adquirente deve revisar e ajustar a informação comparativa para períodos anteriores ao apresentado em suas demonstrações contábeis, sempre que necessário, incluindo mudança na depreciação, na amortização ou em qualquer outro efeito reconhecido na demonstração de resultado, ao completar a contabilização inicial.</w:t>
      </w:r>
    </w:p>
    <w:p w14:paraId="4AA2A922"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5D3F6B5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50.</w:t>
      </w:r>
      <w:r w:rsidRPr="0096738F">
        <w:rPr>
          <w:rFonts w:ascii="Arial" w:eastAsia="Times New Roman" w:hAnsi="Arial" w:cs="Arial"/>
          <w:sz w:val="22"/>
          <w:szCs w:val="22"/>
          <w:lang w:eastAsia="pt-BR"/>
        </w:rPr>
        <w:tab/>
        <w:t>Após o encerramento do período de mensuração, o adquirente deve revisar os registros contábeis da combinação de negócios somente para corrigir erros, em conformidade com o disposto no Pronunciamento Técnico CPC 23 - Políticas Contábeis, Mudança de Estimativa e Retificação de Erro.</w:t>
      </w:r>
    </w:p>
    <w:p w14:paraId="650601A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27B73F0"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Determinação do que é parte da operação da combinação de negócios</w:t>
      </w:r>
    </w:p>
    <w:p w14:paraId="451B7E1A"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AC182F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51.</w:t>
      </w:r>
      <w:r w:rsidRPr="0096738F">
        <w:rPr>
          <w:rFonts w:ascii="Arial" w:eastAsia="Times New Roman" w:hAnsi="Arial" w:cs="Arial"/>
          <w:sz w:val="22"/>
          <w:szCs w:val="22"/>
          <w:lang w:eastAsia="pt-BR"/>
        </w:rPr>
        <w:tab/>
        <w:t>Adquirente e adquirida podem ter relacionamento ou acordo contratual prévio antes do início das negociações para a combinação de negócios, ou ainda podem fazer acordos, durante as negociações, que são distintos da combinação de negócios. Em qualquer dessas situações, o adquirente deve identificar todos os valores que não fazem parte do que adquirente e adquirida (ou seus ex-proprietários) trocaram para efetivar a combinação de negócios, ou seja, valores que não fazem parte da troca para obtenção do controle da adquirida. O adquirente deve reconhecer como parte da aplicação do método de aquisição somente a contraprestação transferida pelo controle da adquirida e os ativos adquiridos e os passivos assumidos na obtenção do controle da adquirida. As operações separadas devem ser contabilizadas de acordo com os Pronunciamentos, Interpretações e Orientações do CPC pertinentes.</w:t>
      </w:r>
    </w:p>
    <w:p w14:paraId="7CC9F73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B1D459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52.</w:t>
      </w:r>
      <w:r w:rsidRPr="0096738F">
        <w:rPr>
          <w:rFonts w:ascii="Arial" w:eastAsia="Times New Roman" w:hAnsi="Arial" w:cs="Arial"/>
          <w:sz w:val="22"/>
          <w:szCs w:val="22"/>
          <w:lang w:eastAsia="pt-BR"/>
        </w:rPr>
        <w:tab/>
        <w:t>Uma operação realizada pelo adquirente ou em seu nome, ou ainda uma operação realizada primordialmente em benefício do adquirente ou da entidade combinada, e não em benefício da adquirida (ou de seus ex-proprietários) antes da combinação, provavelmente é uma operação separada. Os itens abaixo são exemplos de operações separadas que não devem ser incluídas na aplicação do método de aquisição:</w:t>
      </w:r>
    </w:p>
    <w:p w14:paraId="5D0327E3" w14:textId="77777777" w:rsidR="0096738F" w:rsidRPr="0096738F" w:rsidRDefault="0096738F" w:rsidP="0096738F">
      <w:pPr>
        <w:widowControl w:val="0"/>
        <w:numPr>
          <w:ilvl w:val="0"/>
          <w:numId w:val="1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uma operação realizada em essência para liquidar uma relação preexistente entre o adquirente e a adquirida;</w:t>
      </w:r>
    </w:p>
    <w:p w14:paraId="5D1E29AC" w14:textId="77777777" w:rsidR="0096738F" w:rsidRPr="0096738F" w:rsidRDefault="0096738F" w:rsidP="0096738F">
      <w:pPr>
        <w:widowControl w:val="0"/>
        <w:numPr>
          <w:ilvl w:val="0"/>
          <w:numId w:val="1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uma operação realizada em essência para remunerar os empregados ou ex-proprietários da adquirida por serviços futuros; e</w:t>
      </w:r>
    </w:p>
    <w:p w14:paraId="69318F23" w14:textId="77777777" w:rsidR="0096738F" w:rsidRPr="0096738F" w:rsidRDefault="0096738F" w:rsidP="0096738F">
      <w:pPr>
        <w:widowControl w:val="0"/>
        <w:numPr>
          <w:ilvl w:val="0"/>
          <w:numId w:val="1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uma operação realizada em essência para reembolsar a adquirida ou seus ex-proprietários por custos do adquirente relativos à aquisição.</w:t>
      </w:r>
    </w:p>
    <w:p w14:paraId="2D4D21E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Os itens B50 a B62 fornecem orientações relacionadas a essas exigências.</w:t>
      </w:r>
    </w:p>
    <w:p w14:paraId="0319B1B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0BC3B8CA" w14:textId="77777777" w:rsidR="0096738F" w:rsidRPr="0096738F" w:rsidRDefault="0096738F" w:rsidP="0096738F">
      <w:pPr>
        <w:spacing w:before="0" w:after="0" w:line="240" w:lineRule="auto"/>
        <w:ind w:left="709" w:hanging="142"/>
        <w:rPr>
          <w:rFonts w:ascii="Arial" w:eastAsia="Times New Roman" w:hAnsi="Arial" w:cs="Arial"/>
          <w:sz w:val="22"/>
          <w:szCs w:val="22"/>
          <w:lang w:eastAsia="pt-BR"/>
        </w:rPr>
      </w:pPr>
      <w:r w:rsidRPr="0096738F">
        <w:rPr>
          <w:rFonts w:ascii="Arial" w:eastAsia="Times New Roman" w:hAnsi="Arial" w:cs="Arial"/>
          <w:sz w:val="22"/>
          <w:szCs w:val="22"/>
          <w:lang w:eastAsia="pt-BR"/>
        </w:rPr>
        <w:t>Custos relacionados à aquisição</w:t>
      </w:r>
    </w:p>
    <w:p w14:paraId="6E94C1CC"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1571221" w14:textId="131EC5EA" w:rsidR="0096738F" w:rsidRPr="0096738F" w:rsidRDefault="0096738F" w:rsidP="0096738F">
      <w:pPr>
        <w:spacing w:before="0" w:after="0" w:line="240" w:lineRule="auto"/>
        <w:ind w:left="567" w:hanging="567"/>
        <w:rPr>
          <w:rFonts w:ascii="Arial" w:eastAsia="Times New Roman" w:hAnsi="Arial" w:cs="Arial"/>
          <w:color w:val="0070C0"/>
          <w:sz w:val="22"/>
          <w:szCs w:val="22"/>
          <w:lang w:eastAsia="pt-BR"/>
        </w:rPr>
      </w:pPr>
      <w:r w:rsidRPr="0096738F">
        <w:rPr>
          <w:rFonts w:ascii="Arial" w:eastAsia="Times New Roman" w:hAnsi="Arial" w:cs="Arial"/>
          <w:sz w:val="22"/>
          <w:szCs w:val="22"/>
          <w:lang w:eastAsia="pt-BR"/>
        </w:rPr>
        <w:t>53.</w:t>
      </w:r>
      <w:r w:rsidRPr="0096738F">
        <w:rPr>
          <w:rFonts w:ascii="Arial" w:eastAsia="Times New Roman" w:hAnsi="Arial" w:cs="Arial"/>
          <w:sz w:val="22"/>
          <w:szCs w:val="22"/>
          <w:lang w:eastAsia="pt-BR"/>
        </w:rPr>
        <w:tab/>
        <w:t xml:space="preserve">Os custos diretamente relacionados à aquisição são custos que o adquirente incorre para efetivar a combinação de negócios. Esses custos incluem honorários de profissionais e consultores, tais </w:t>
      </w:r>
      <w:r w:rsidRPr="0096738F">
        <w:rPr>
          <w:rFonts w:ascii="Arial" w:eastAsia="Times New Roman" w:hAnsi="Arial" w:cs="Arial"/>
          <w:sz w:val="22"/>
          <w:szCs w:val="22"/>
          <w:lang w:eastAsia="pt-BR"/>
        </w:rPr>
        <w:lastRenderedPageBreak/>
        <w:t xml:space="preserve">como advogados, contadores, peritos, avaliadores; custos administrativos gerais, inclusive custos decorrentes da manutenção de departamento de aquisições; e custos de registro e emissão de títulos de dívida e de títulos patrimoniais. O adquirente deve contabilizar os custos diretamente relacionados à aquisição como despesa no período em que forem incorridos e os serviços forem recebidos, com apenas uma exceção. Os custos decorrentes da emissão de títulos de dívida e de títulos patrimoniais devem ser reconhecidos de acordo com o CPC 08 – Custos de Transação e Prêmios na Emissão de Títulos e Valores Mobiliários, o CPC 48 – Instrumentos Financeiros e o CPC 39 – Instrumentos Financeiros: Apresentação. </w:t>
      </w:r>
    </w:p>
    <w:p w14:paraId="145F4D70"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272A862C"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Mensuração e contabilização subsequentes</w:t>
      </w:r>
    </w:p>
    <w:p w14:paraId="256A2093"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3707207" w14:textId="1E9B6C44"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54. </w:t>
      </w:r>
      <w:r w:rsidRPr="0096738F">
        <w:rPr>
          <w:rFonts w:ascii="Arial" w:eastAsia="Times New Roman" w:hAnsi="Arial" w:cs="Arial"/>
          <w:sz w:val="22"/>
          <w:szCs w:val="22"/>
          <w:lang w:eastAsia="pt-BR"/>
        </w:rPr>
        <w:tab/>
        <w:t>Em geral, o adquirente deve mensurar e contabilizar, subsequentemente, os ativos adquiridos, os passivos assumidos ou incorridos e os instrumentos patrimoniais emitidos em combinação de negócios conforme outros Pronunciamentos, Interpretações e Orientações do CPC pertinentes, dependendo de suas respectivas naturezas. Contudo, este Pronunciamento fornece orientações sobre mensuração e contabilização subsequentes para os seguintes ativos adquiridos, passivos assumidos ou incorridos e instrumentos patrimoniais emitidos em uma combinação de negócios:</w:t>
      </w:r>
    </w:p>
    <w:p w14:paraId="3BD37373" w14:textId="77777777" w:rsidR="0096738F" w:rsidRPr="0096738F" w:rsidRDefault="0096738F" w:rsidP="0096738F">
      <w:pPr>
        <w:widowControl w:val="0"/>
        <w:numPr>
          <w:ilvl w:val="0"/>
          <w:numId w:val="1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direitos readquiridos;</w:t>
      </w:r>
    </w:p>
    <w:p w14:paraId="3A00D4D3" w14:textId="77777777" w:rsidR="0096738F" w:rsidRPr="0096738F" w:rsidRDefault="0096738F" w:rsidP="0096738F">
      <w:pPr>
        <w:widowControl w:val="0"/>
        <w:numPr>
          <w:ilvl w:val="0"/>
          <w:numId w:val="1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contingentes reconhecidos na data da aquisição;</w:t>
      </w:r>
    </w:p>
    <w:p w14:paraId="4CF17885" w14:textId="77777777" w:rsidR="0096738F" w:rsidRPr="0096738F" w:rsidRDefault="0096738F" w:rsidP="0096738F">
      <w:pPr>
        <w:widowControl w:val="0"/>
        <w:numPr>
          <w:ilvl w:val="0"/>
          <w:numId w:val="1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de indenização; e</w:t>
      </w:r>
    </w:p>
    <w:p w14:paraId="66A9664C" w14:textId="77777777" w:rsidR="0096738F" w:rsidRPr="0096738F" w:rsidRDefault="0096738F" w:rsidP="0096738F">
      <w:pPr>
        <w:widowControl w:val="0"/>
        <w:numPr>
          <w:ilvl w:val="0"/>
          <w:numId w:val="1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contraprestações contingentes.</w:t>
      </w:r>
    </w:p>
    <w:p w14:paraId="0BC6659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O item B63 fornece orientação para aplicação dessas exigências.</w:t>
      </w:r>
    </w:p>
    <w:p w14:paraId="55347F50"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A050D02"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Direito readquirido</w:t>
      </w:r>
    </w:p>
    <w:p w14:paraId="0ED0E39D"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7EB8C85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55.</w:t>
      </w:r>
      <w:r w:rsidRPr="0096738F">
        <w:rPr>
          <w:rFonts w:ascii="Arial" w:eastAsia="Times New Roman" w:hAnsi="Arial" w:cs="Arial"/>
          <w:sz w:val="22"/>
          <w:szCs w:val="22"/>
          <w:lang w:eastAsia="pt-BR"/>
        </w:rPr>
        <w:tab/>
        <w:t xml:space="preserve">O direito readquirido reconhecido como ativo intangível deve ser amortizado pelo prazo remanescente do contrato pelo qual o direito tiver sido outorgado. O adquirente que, subsequentemente, vender o direito readquirido para terceiro deve incluir o valor contábil líquido do ativo intangível na determinação do ganho ou da perda decorrente da alienação do mesmo. </w:t>
      </w:r>
    </w:p>
    <w:p w14:paraId="11EB78D2"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1186CC76"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Passivo contingente</w:t>
      </w:r>
    </w:p>
    <w:p w14:paraId="7B5E78D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24FF114" w14:textId="77777777" w:rsidR="0096738F" w:rsidRPr="0096738F" w:rsidRDefault="0096738F" w:rsidP="0096738F">
      <w:pPr>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56.</w:t>
      </w:r>
      <w:r w:rsidRPr="0096738F">
        <w:rPr>
          <w:rFonts w:ascii="Arial" w:eastAsia="Times New Roman" w:hAnsi="Arial" w:cs="Arial"/>
          <w:sz w:val="22"/>
          <w:szCs w:val="22"/>
          <w:lang w:eastAsia="pt-BR"/>
        </w:rPr>
        <w:tab/>
        <w:t>Após o reconhecimento inicial e até que o passivo seja liquidado, cancelado ou extinto, o adquirente deve mensurar qualquer passivo contingente reconhecido em combinação de negócios pelo maior valor entre:</w:t>
      </w:r>
    </w:p>
    <w:p w14:paraId="7FE08605" w14:textId="77777777" w:rsidR="0096738F" w:rsidRPr="0096738F" w:rsidRDefault="0096738F" w:rsidP="0096738F">
      <w:pPr>
        <w:widowControl w:val="0"/>
        <w:numPr>
          <w:ilvl w:val="0"/>
          <w:numId w:val="1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montante pelo qual esse passivo seria reconhecido pelo disposto no Pronunciamento Técnico CPC 25 – Provisões, Passivos Contingentes e Ativos Contingentes; e</w:t>
      </w:r>
    </w:p>
    <w:p w14:paraId="63827476" w14:textId="11967A45" w:rsidR="0096738F" w:rsidRPr="0096738F" w:rsidRDefault="00A74085" w:rsidP="0096738F">
      <w:pPr>
        <w:widowControl w:val="0"/>
        <w:numPr>
          <w:ilvl w:val="0"/>
          <w:numId w:val="19"/>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bCs/>
          <w:sz w:val="22"/>
          <w:szCs w:val="22"/>
          <w:lang w:val="pt-PT" w:eastAsia="pt-BR"/>
        </w:rPr>
        <w:t>o montante pelo qual o passivo foi inicialmente reconhecido, deduzido, quando cabível, da</w:t>
      </w:r>
      <w:r w:rsidR="005156FD">
        <w:rPr>
          <w:rFonts w:ascii="Arial" w:eastAsia="Times New Roman" w:hAnsi="Arial" w:cs="Arial"/>
          <w:bCs/>
          <w:sz w:val="22"/>
          <w:szCs w:val="22"/>
          <w:lang w:val="pt-PT" w:eastAsia="pt-BR"/>
        </w:rPr>
        <w:t xml:space="preserve"> </w:t>
      </w:r>
      <w:r w:rsidRPr="0096738F">
        <w:rPr>
          <w:rFonts w:ascii="Arial" w:eastAsia="Times New Roman" w:hAnsi="Arial" w:cs="Arial"/>
          <w:bCs/>
          <w:sz w:val="22"/>
          <w:szCs w:val="22"/>
          <w:lang w:val="pt-PT" w:eastAsia="pt-BR"/>
        </w:rPr>
        <w:t>receita reconhecida conforme os princípios do CPC 47 – Receita de Contrato com Cliente</w:t>
      </w:r>
      <w:r>
        <w:rPr>
          <w:rFonts w:ascii="Arial" w:eastAsia="Times New Roman" w:hAnsi="Arial" w:cs="Arial"/>
          <w:bCs/>
          <w:sz w:val="22"/>
          <w:szCs w:val="22"/>
          <w:lang w:val="pt-PT" w:eastAsia="pt-BR"/>
        </w:rPr>
        <w:t>.</w:t>
      </w:r>
    </w:p>
    <w:p w14:paraId="21B5A507" w14:textId="1A868ACA" w:rsidR="0096738F" w:rsidRPr="0096738F" w:rsidRDefault="0096738F" w:rsidP="0096738F">
      <w:pPr>
        <w:spacing w:before="0" w:after="0" w:line="240" w:lineRule="auto"/>
        <w:ind w:left="567" w:firstLine="0"/>
        <w:rPr>
          <w:rFonts w:ascii="Arial" w:eastAsia="Times New Roman" w:hAnsi="Arial" w:cs="Arial"/>
          <w:color w:val="0070C0"/>
          <w:sz w:val="18"/>
          <w:szCs w:val="18"/>
          <w:lang w:eastAsia="pt-BR"/>
        </w:rPr>
      </w:pPr>
      <w:r w:rsidRPr="0096738F">
        <w:rPr>
          <w:rFonts w:ascii="Arial" w:eastAsia="Times New Roman" w:hAnsi="Arial" w:cs="Arial"/>
          <w:sz w:val="22"/>
          <w:szCs w:val="22"/>
          <w:lang w:eastAsia="pt-BR"/>
        </w:rPr>
        <w:t xml:space="preserve">Essa exigência não se aplica aos contratos contabilizados de acordo com o CPC 48. </w:t>
      </w:r>
    </w:p>
    <w:p w14:paraId="5088CDCA" w14:textId="77777777" w:rsidR="0096738F" w:rsidRPr="0096738F" w:rsidRDefault="0096738F" w:rsidP="0096738F">
      <w:pPr>
        <w:spacing w:before="0" w:after="0" w:line="240" w:lineRule="auto"/>
        <w:ind w:firstLine="0"/>
        <w:rPr>
          <w:rFonts w:ascii="Arial" w:eastAsia="Times New Roman" w:hAnsi="Arial" w:cs="Arial"/>
          <w:sz w:val="22"/>
          <w:szCs w:val="22"/>
          <w:lang w:eastAsia="pt-BR"/>
        </w:rPr>
      </w:pPr>
    </w:p>
    <w:p w14:paraId="2B4BACD4"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Ativo de indenização</w:t>
      </w:r>
    </w:p>
    <w:p w14:paraId="113210D1"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48BBE68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57. </w:t>
      </w:r>
      <w:r w:rsidRPr="0096738F">
        <w:rPr>
          <w:rFonts w:ascii="Arial" w:eastAsia="Times New Roman" w:hAnsi="Arial" w:cs="Arial"/>
          <w:sz w:val="22"/>
          <w:szCs w:val="22"/>
          <w:lang w:eastAsia="pt-BR"/>
        </w:rPr>
        <w:tab/>
        <w:t xml:space="preserve">Ao final de cada exercício social subsequente, o adquirente deve mensurar qualquer ativo de indenização reconhecido na data da aquisição nas mesmas bases do ativo ou do passivo indenizável, sujeito a qualquer limite contratual sobre o seu valor e, para o caso de um ativo por indenização não mensurado subsequentemente pelo valor justo, sujeito à avaliação da </w:t>
      </w:r>
      <w:r w:rsidRPr="0096738F">
        <w:rPr>
          <w:rFonts w:ascii="Arial" w:eastAsia="Times New Roman" w:hAnsi="Arial" w:cs="Arial"/>
          <w:sz w:val="22"/>
          <w:szCs w:val="22"/>
          <w:lang w:eastAsia="pt-BR"/>
        </w:rPr>
        <w:lastRenderedPageBreak/>
        <w:t>administração acerca de seu valor recuperável. O adquirente deve baixar o ativo por indenização somente se o ativo for realizado, pelo recebimento ou pela venda, ou pela perda do direito à indenização.</w:t>
      </w:r>
    </w:p>
    <w:p w14:paraId="6B88E47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DB1DEB4"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Contraprestação contingente</w:t>
      </w:r>
    </w:p>
    <w:p w14:paraId="2BB99D32"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7703B696" w14:textId="5AC3C11E"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58.</w:t>
      </w:r>
      <w:r w:rsidRPr="0096738F">
        <w:rPr>
          <w:rFonts w:ascii="Arial" w:eastAsia="Times New Roman" w:hAnsi="Arial" w:cs="Arial"/>
          <w:sz w:val="22"/>
          <w:szCs w:val="22"/>
          <w:lang w:eastAsia="pt-BR"/>
        </w:rPr>
        <w:tab/>
        <w:t xml:space="preserve">Algumas alterações no valor justo da contraprestação contingente, que o adquirente venha a reconhecer após a data da aquisição, podem ser resultantes de informações adicionais que o adquirente obtém após a data da aquisição sobre fatos e circunstâncias já existentes nessa data. Essas alterações são ajustes do período de mensuração, conforme disposto nos itens 45 a 49. Todavia, alterações decorrentes de eventos ocorridos após a data de aquisição, tais como o cumprimento de meta de lucros; o alcance do preço por ação especificado; ou ainda o alcance de determinado estágio de projeto de pesquisa e desenvolvimento não são ajustes do período de mensuração. O adquirente deve contabilizar as alterações no valor justo da contraprestação contingente, que não constituam ajustes do período de mensuração, da seguinte forma: </w:t>
      </w:r>
    </w:p>
    <w:p w14:paraId="64807CF8" w14:textId="77777777" w:rsidR="0096738F" w:rsidRPr="0096738F" w:rsidRDefault="0096738F" w:rsidP="0096738F">
      <w:pPr>
        <w:widowControl w:val="0"/>
        <w:numPr>
          <w:ilvl w:val="0"/>
          <w:numId w:val="2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contraprestação contingente classificada como componente do patrimônio líquido não está sujeita a nova mensuração e sua liquidação subsequente deve ser contabilizada dentro do patrimônio líquido;</w:t>
      </w:r>
    </w:p>
    <w:p w14:paraId="30472643" w14:textId="1F2A8E2C" w:rsidR="0096738F" w:rsidRPr="0096738F" w:rsidRDefault="00EA109B" w:rsidP="0096738F">
      <w:pPr>
        <w:widowControl w:val="0"/>
        <w:numPr>
          <w:ilvl w:val="0"/>
          <w:numId w:val="20"/>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outra contraprestação contingente, que</w:t>
      </w:r>
      <w:r>
        <w:rPr>
          <w:rFonts w:ascii="Arial" w:eastAsia="Times New Roman" w:hAnsi="Arial" w:cs="Arial"/>
          <w:sz w:val="22"/>
          <w:szCs w:val="22"/>
          <w:lang w:val="pt-PT" w:eastAsia="pt-BR"/>
        </w:rPr>
        <w:t>:</w:t>
      </w:r>
    </w:p>
    <w:p w14:paraId="3493AEF5" w14:textId="635C0D7A" w:rsidR="0096738F" w:rsidRPr="0096738F" w:rsidRDefault="00EA109B" w:rsidP="0096738F">
      <w:pPr>
        <w:widowControl w:val="0"/>
        <w:numPr>
          <w:ilvl w:val="0"/>
          <w:numId w:val="21"/>
        </w:numPr>
        <w:spacing w:before="0" w:after="0" w:line="240" w:lineRule="auto"/>
        <w:ind w:left="1418" w:hanging="284"/>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estiver dentro do alcance do CPC 48, deve ser mensurada ao valor justo em cada data de balanço e alterações no valor justo devem ser reconhecidas no resultado do período, de acordo com o citado pronunciamento</w:t>
      </w:r>
      <w:r>
        <w:rPr>
          <w:rFonts w:ascii="Arial" w:eastAsia="Times New Roman" w:hAnsi="Arial" w:cs="Arial"/>
          <w:sz w:val="22"/>
          <w:szCs w:val="22"/>
          <w:lang w:val="pt-PT" w:eastAsia="pt-BR"/>
        </w:rPr>
        <w:t>;</w:t>
      </w:r>
    </w:p>
    <w:p w14:paraId="20ABC5F2" w14:textId="3AFBE118" w:rsidR="0096738F" w:rsidRPr="0096738F" w:rsidRDefault="00EA109B" w:rsidP="0096738F">
      <w:pPr>
        <w:widowControl w:val="0"/>
        <w:numPr>
          <w:ilvl w:val="0"/>
          <w:numId w:val="21"/>
        </w:numPr>
        <w:spacing w:before="0" w:after="0" w:line="240" w:lineRule="auto"/>
        <w:ind w:left="1418" w:hanging="284"/>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não estiver dentro do alcance do CPC 48, deve ser mensurada pelo valor justo em cada data de balanço e alterações no valor justo devem ser reconhecidas no resultado do período</w:t>
      </w:r>
      <w:r>
        <w:rPr>
          <w:rFonts w:ascii="Arial" w:eastAsia="Times New Roman" w:hAnsi="Arial" w:cs="Arial"/>
          <w:sz w:val="22"/>
          <w:szCs w:val="22"/>
          <w:lang w:val="pt-PT" w:eastAsia="pt-BR"/>
        </w:rPr>
        <w:t>.</w:t>
      </w:r>
    </w:p>
    <w:p w14:paraId="1AB441B1" w14:textId="4ADE97F9"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p w14:paraId="1048E16B"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Divulgação</w:t>
      </w:r>
    </w:p>
    <w:p w14:paraId="56FC8F9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21DD69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59.</w:t>
      </w:r>
      <w:r w:rsidRPr="0096738F">
        <w:rPr>
          <w:rFonts w:ascii="Arial" w:eastAsia="Times New Roman" w:hAnsi="Arial" w:cs="Arial"/>
          <w:sz w:val="22"/>
          <w:szCs w:val="22"/>
          <w:lang w:eastAsia="pt-BR"/>
        </w:rPr>
        <w:tab/>
        <w:t>O adquirente deve divulgar informações que permitam aos usuários das demonstrações contábeis avaliarem a natureza e os efeitos financeiros de combinação de negócios que ocorra:</w:t>
      </w:r>
    </w:p>
    <w:p w14:paraId="3DBE6248" w14:textId="77777777" w:rsidR="0096738F" w:rsidRPr="0096738F" w:rsidRDefault="0096738F" w:rsidP="0096738F">
      <w:pPr>
        <w:widowControl w:val="0"/>
        <w:numPr>
          <w:ilvl w:val="0"/>
          <w:numId w:val="2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durante o período de reporte corrente; ou</w:t>
      </w:r>
    </w:p>
    <w:p w14:paraId="4BCD2E8F" w14:textId="77777777" w:rsidR="0096738F" w:rsidRPr="0096738F" w:rsidRDefault="0096738F" w:rsidP="0096738F">
      <w:pPr>
        <w:widowControl w:val="0"/>
        <w:numPr>
          <w:ilvl w:val="0"/>
          <w:numId w:val="2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após o final do período de reporte, mas antes de autorizada a emissão das demonstrações contábeis.</w:t>
      </w:r>
    </w:p>
    <w:p w14:paraId="19800BF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6057479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60. </w:t>
      </w:r>
      <w:r w:rsidRPr="0096738F">
        <w:rPr>
          <w:rFonts w:ascii="Arial" w:eastAsia="Times New Roman" w:hAnsi="Arial" w:cs="Arial"/>
          <w:sz w:val="22"/>
          <w:szCs w:val="22"/>
          <w:lang w:eastAsia="pt-BR"/>
        </w:rPr>
        <w:tab/>
        <w:t>Para cumprir os objetivos do item 59, o adquirente deve divulgar as informações especificadas nos itens B64 a B66.</w:t>
      </w:r>
    </w:p>
    <w:p w14:paraId="68C836D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61. </w:t>
      </w:r>
      <w:r w:rsidRPr="0096738F">
        <w:rPr>
          <w:rFonts w:ascii="Arial" w:eastAsia="Times New Roman" w:hAnsi="Arial" w:cs="Arial"/>
          <w:sz w:val="22"/>
          <w:szCs w:val="22"/>
          <w:lang w:eastAsia="pt-BR"/>
        </w:rPr>
        <w:tab/>
        <w:t>O adquirente deve divulgar as informações que permitam aos usuários das demonstrações contábeis avaliar os efeitos financeiros dos ajustes reconhecidos no período de reporte corrente pertinentes às combinações de negócios que ocorreram no período corrente ou em períodos anteriores.</w:t>
      </w:r>
    </w:p>
    <w:p w14:paraId="63EDC7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405A65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62. </w:t>
      </w:r>
      <w:r w:rsidRPr="0096738F">
        <w:rPr>
          <w:rFonts w:ascii="Arial" w:eastAsia="Times New Roman" w:hAnsi="Arial" w:cs="Arial"/>
          <w:sz w:val="22"/>
          <w:szCs w:val="22"/>
          <w:lang w:eastAsia="pt-BR"/>
        </w:rPr>
        <w:tab/>
        <w:t>Para cumprir os objetivos do item 61, o adquirente deve divulgar as informações especificadas no item B67.</w:t>
      </w:r>
    </w:p>
    <w:p w14:paraId="57CACE2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A53FF7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63.</w:t>
      </w:r>
      <w:r w:rsidRPr="0096738F">
        <w:rPr>
          <w:rFonts w:ascii="Arial" w:eastAsia="Times New Roman" w:hAnsi="Arial" w:cs="Arial"/>
          <w:sz w:val="22"/>
          <w:szCs w:val="22"/>
          <w:lang w:eastAsia="pt-BR"/>
        </w:rPr>
        <w:tab/>
        <w:t xml:space="preserve">Se as divulgações exigidas por este e outros Pronunciamentos, Interpretações e Orientações do CPC não forem suficientes para cumprir os objetivos estabelecidos nos itens 59 e 61, o adquirente deve divulgar toda e qualquer informação adicional necessária para que esses objetivos sejam </w:t>
      </w:r>
      <w:r w:rsidRPr="0096738F">
        <w:rPr>
          <w:rFonts w:ascii="Arial" w:eastAsia="Times New Roman" w:hAnsi="Arial" w:cs="Arial"/>
          <w:sz w:val="22"/>
          <w:szCs w:val="22"/>
          <w:lang w:eastAsia="pt-BR"/>
        </w:rPr>
        <w:lastRenderedPageBreak/>
        <w:t>cumpridos.</w:t>
      </w:r>
    </w:p>
    <w:p w14:paraId="237B7841"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2C1262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Vigência e transição</w:t>
      </w:r>
    </w:p>
    <w:p w14:paraId="56E1D6D9"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0FC2883"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Vigência</w:t>
      </w:r>
    </w:p>
    <w:p w14:paraId="54AAEFB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CBB66A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64.</w:t>
      </w:r>
      <w:r w:rsidRPr="0096738F">
        <w:rPr>
          <w:rFonts w:ascii="Arial" w:eastAsia="Times New Roman" w:hAnsi="Arial" w:cs="Arial"/>
          <w:sz w:val="22"/>
          <w:szCs w:val="22"/>
          <w:lang w:eastAsia="pt-BR"/>
        </w:rPr>
        <w:tab/>
        <w:t>Este Pronunciamento deve ser aplicado prospectivamente para as combinações de negócios a partir da data indicada pelo órgão regulador que aprová-lo.</w:t>
      </w:r>
    </w:p>
    <w:p w14:paraId="7C5DAAF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075D76C" w14:textId="4556778A"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64A.</w:t>
      </w:r>
      <w:r w:rsidRPr="0096738F">
        <w:rPr>
          <w:rFonts w:ascii="Arial" w:eastAsia="Times New Roman" w:hAnsi="Arial" w:cs="Arial"/>
          <w:sz w:val="22"/>
          <w:szCs w:val="22"/>
          <w:lang w:eastAsia="pt-BR"/>
        </w:rPr>
        <w:tab/>
        <w:t>(Eliminado)</w:t>
      </w:r>
    </w:p>
    <w:p w14:paraId="33D61B8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7EB0D51" w14:textId="45CC2471"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64B.</w:t>
      </w:r>
      <w:r w:rsidRPr="0096738F">
        <w:rPr>
          <w:rFonts w:ascii="Arial" w:eastAsia="Times New Roman" w:hAnsi="Arial" w:cs="Arial"/>
          <w:sz w:val="22"/>
          <w:szCs w:val="22"/>
          <w:lang w:eastAsia="pt-BR"/>
        </w:rPr>
        <w:tab/>
        <w:t xml:space="preserve">A revisão procedida no Pronunciamento Técnico CPC 15 alterou </w:t>
      </w:r>
      <w:r w:rsidR="00DF7E12" w:rsidRPr="0096738F">
        <w:rPr>
          <w:rFonts w:ascii="Arial" w:eastAsia="Times New Roman" w:hAnsi="Arial" w:cs="Arial"/>
          <w:sz w:val="22"/>
          <w:szCs w:val="22"/>
          <w:lang w:eastAsia="pt-BR"/>
        </w:rPr>
        <w:t>os itens</w:t>
      </w:r>
      <w:r w:rsidRPr="0096738F">
        <w:rPr>
          <w:rFonts w:ascii="Arial" w:eastAsia="Times New Roman" w:hAnsi="Arial" w:cs="Arial"/>
          <w:sz w:val="22"/>
          <w:szCs w:val="22"/>
          <w:lang w:eastAsia="pt-BR"/>
        </w:rPr>
        <w:t xml:space="preserve"> 19, 30 e B56, além de ter incluído os itens B62A e B62B. A aplicação desses itens alterados deve ser feita de modo prospectivo. Se permitida aplicação antecipada, tal fato deve ser devidamente evidenciado em nota explicativa anexa às demonstrações contábeis.</w:t>
      </w:r>
    </w:p>
    <w:p w14:paraId="4F6ABF4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D3810DB" w14:textId="020E664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64C.</w:t>
      </w:r>
      <w:r w:rsidRPr="0096738F">
        <w:rPr>
          <w:rFonts w:ascii="Arial" w:eastAsia="Times New Roman" w:hAnsi="Arial" w:cs="Arial"/>
          <w:sz w:val="22"/>
          <w:szCs w:val="22"/>
          <w:lang w:eastAsia="pt-BR"/>
        </w:rPr>
        <w:tab/>
        <w:t>A revisão procedida no Pronunciamento Técnico CPC 15 também incluiu os itens 65A a 65E. Se permitida aplicação antecipada, tal fato deve ser devidamente evidenciado em nota explicativa anexa às demonstrações contábeis. Esses itens devem ser aplicados a saldos de contraprestações contingentes advindas de combinações de negócios cujas datas de aquisição sejam anteriores à data em que a entidade primeiramente aplica este Pronunciamento</w:t>
      </w:r>
      <w:r w:rsidR="00BE4093">
        <w:rPr>
          <w:rFonts w:ascii="Arial" w:eastAsia="Times New Roman" w:hAnsi="Arial" w:cs="Arial"/>
          <w:sz w:val="22"/>
          <w:szCs w:val="22"/>
          <w:lang w:eastAsia="pt-BR"/>
        </w:rPr>
        <w:t xml:space="preserve"> </w:t>
      </w:r>
      <w:r w:rsidRPr="0096738F">
        <w:rPr>
          <w:rFonts w:ascii="Arial" w:eastAsia="Times New Roman" w:hAnsi="Arial" w:cs="Arial"/>
          <w:sz w:val="22"/>
          <w:szCs w:val="22"/>
          <w:lang w:eastAsia="pt-BR"/>
        </w:rPr>
        <w:t>(antes de sua revisão R1).</w:t>
      </w:r>
    </w:p>
    <w:p w14:paraId="7AEB7F24"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7798343" w14:textId="226C78E1" w:rsidR="0096738F" w:rsidRDefault="0096738F" w:rsidP="0096738F">
      <w:pPr>
        <w:autoSpaceDE w:val="0"/>
        <w:autoSpaceDN w:val="0"/>
        <w:adjustRightInd w:val="0"/>
        <w:spacing w:before="0" w:after="0" w:line="240" w:lineRule="auto"/>
        <w:ind w:left="709" w:hanging="709"/>
        <w:rPr>
          <w:rFonts w:ascii="Arial" w:eastAsia="Times New Roman" w:hAnsi="Arial" w:cs="Arial"/>
          <w:sz w:val="22"/>
          <w:szCs w:val="22"/>
          <w:lang w:eastAsia="pt-BR"/>
        </w:rPr>
      </w:pPr>
      <w:r w:rsidRPr="0096738F">
        <w:rPr>
          <w:rFonts w:ascii="Arial" w:eastAsia="Times New Roman" w:hAnsi="Arial" w:cs="Arial"/>
          <w:sz w:val="22"/>
          <w:szCs w:val="22"/>
          <w:lang w:eastAsia="pt-BR"/>
        </w:rPr>
        <w:t>64D a 64F. (Eliminados)</w:t>
      </w:r>
    </w:p>
    <w:p w14:paraId="36661F2A" w14:textId="529D3156" w:rsidR="00DF7E12" w:rsidRDefault="00DF7E12" w:rsidP="0096738F">
      <w:pPr>
        <w:autoSpaceDE w:val="0"/>
        <w:autoSpaceDN w:val="0"/>
        <w:adjustRightInd w:val="0"/>
        <w:spacing w:before="0" w:after="0" w:line="240" w:lineRule="auto"/>
        <w:ind w:left="709" w:hanging="709"/>
        <w:rPr>
          <w:rFonts w:ascii="Arial" w:eastAsia="Times New Roman" w:hAnsi="Arial" w:cs="Arial"/>
          <w:sz w:val="22"/>
          <w:szCs w:val="22"/>
          <w:lang w:eastAsia="pt-BR"/>
        </w:rPr>
      </w:pPr>
    </w:p>
    <w:p w14:paraId="737A9564" w14:textId="4CA8D87C" w:rsidR="00DF7E12" w:rsidRPr="0096738F" w:rsidRDefault="00DF7E12" w:rsidP="00DF7E12">
      <w:pPr>
        <w:autoSpaceDE w:val="0"/>
        <w:autoSpaceDN w:val="0"/>
        <w:adjustRightInd w:val="0"/>
        <w:spacing w:before="0" w:after="0" w:line="240" w:lineRule="auto"/>
        <w:ind w:left="709" w:hanging="709"/>
        <w:rPr>
          <w:rFonts w:ascii="Arial" w:eastAsia="Times New Roman" w:hAnsi="Arial" w:cs="Arial"/>
          <w:sz w:val="22"/>
          <w:szCs w:val="22"/>
          <w:lang w:eastAsia="pt-BR"/>
        </w:rPr>
      </w:pPr>
      <w:r w:rsidRPr="00235BAD">
        <w:rPr>
          <w:rFonts w:ascii="Arial" w:hAnsi="Arial" w:cs="Arial"/>
          <w:sz w:val="22"/>
          <w:szCs w:val="22"/>
        </w:rPr>
        <w:t>64Q.</w:t>
      </w:r>
      <w:r w:rsidRPr="00235BAD">
        <w:rPr>
          <w:rFonts w:ascii="Arial" w:hAnsi="Arial" w:cs="Arial"/>
          <w:sz w:val="22"/>
          <w:szCs w:val="22"/>
        </w:rPr>
        <w:tab/>
        <w:t>A Revisão CPC 19, aprovada pelo CPC em 1º de outubro de 2021, alterou os itens 11, 14, 21, 22 e 23 e adicionou os itens 21A, 21B, 21C e 23A. A vigência desta Revisão deve ser estabelecida pelos órgãos reguladores que a aprovarem, sendo que, para o pleno atendimento às normas internacionais de contabilidade, a entidade deve aplicar estas alterações para períodos anuais com início em, ou após, 1º de janeiro de 2022.</w:t>
      </w:r>
    </w:p>
    <w:p w14:paraId="4BAD6C7E"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727FEBB"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Transição</w:t>
      </w:r>
    </w:p>
    <w:p w14:paraId="3464276C"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01492BC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w:t>
      </w:r>
      <w:r w:rsidRPr="0096738F">
        <w:rPr>
          <w:rFonts w:ascii="Arial" w:eastAsia="Times New Roman" w:hAnsi="Arial" w:cs="Arial"/>
          <w:sz w:val="22"/>
          <w:szCs w:val="22"/>
          <w:lang w:eastAsia="pt-BR"/>
        </w:rPr>
        <w:tab/>
        <w:t>Os ativos e os passivos que surgirem de combinações de negócios, cujas datas de aquisição sejam anteriores à aplicação deste Pronunciamento, não devem ser ajustados por conta de sua aplicação.</w:t>
      </w:r>
    </w:p>
    <w:p w14:paraId="6F207CE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C658CEE" w14:textId="43D498E1"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65A.</w:t>
      </w:r>
      <w:r w:rsidRPr="0096738F">
        <w:rPr>
          <w:rFonts w:ascii="Arial" w:eastAsia="Times New Roman" w:hAnsi="Arial" w:cs="Arial"/>
          <w:sz w:val="22"/>
          <w:szCs w:val="22"/>
          <w:lang w:eastAsia="pt-BR"/>
        </w:rPr>
        <w:tab/>
        <w:t>Saldos de contraprestações contingentes advindas de combinações de negócios cujas datas de aquisição sejam anteriores à data em que a entidade primeiramente aplica este Pronunciamento</w:t>
      </w:r>
      <w:r w:rsidR="00BE4093">
        <w:rPr>
          <w:rFonts w:ascii="Arial" w:eastAsia="Times New Roman" w:hAnsi="Arial" w:cs="Arial"/>
          <w:sz w:val="22"/>
          <w:szCs w:val="22"/>
          <w:lang w:eastAsia="pt-BR"/>
        </w:rPr>
        <w:t xml:space="preserve"> </w:t>
      </w:r>
      <w:r w:rsidRPr="0096738F">
        <w:rPr>
          <w:rFonts w:ascii="Arial" w:eastAsia="Times New Roman" w:hAnsi="Arial" w:cs="Arial"/>
          <w:sz w:val="22"/>
          <w:szCs w:val="22"/>
          <w:lang w:eastAsia="pt-BR"/>
        </w:rPr>
        <w:t>(antes de sua revisão R1) não devem ser ajustados logo na sua primeira aplicação (já na versão revisada R1). Os itens 65B a 65E devem ser aplicados nas contabilizações subsequentes de referidos saldos. Os itens 65B a 65E não devem ser aplicados na contabilização dos saldos de contraprestações contingentes advindas de combinações de negócios cujas datas de aquisição ocorram na data ou após a data em que a entidade primeiramente aplica este Pronunciamento</w:t>
      </w:r>
      <w:r w:rsidR="00CB4C81">
        <w:rPr>
          <w:rFonts w:ascii="Arial" w:eastAsia="Times New Roman" w:hAnsi="Arial" w:cs="Arial"/>
          <w:sz w:val="22"/>
          <w:szCs w:val="22"/>
          <w:lang w:eastAsia="pt-BR"/>
        </w:rPr>
        <w:t xml:space="preserve"> </w:t>
      </w:r>
      <w:r w:rsidRPr="0096738F">
        <w:rPr>
          <w:rFonts w:ascii="Arial" w:eastAsia="Times New Roman" w:hAnsi="Arial" w:cs="Arial"/>
          <w:sz w:val="22"/>
          <w:szCs w:val="22"/>
          <w:lang w:eastAsia="pt-BR"/>
        </w:rPr>
        <w:t>(antes de sua revisão R1). Os itens 65B a 65E tratam exclusivamente de combinações de negócios cujas datas de aquisição sejam anteriores à aplicação deste Pronunciamento (antes de sua revisão R1).</w:t>
      </w:r>
    </w:p>
    <w:p w14:paraId="6EDC5D0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6E8C15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65B.</w:t>
      </w:r>
      <w:r w:rsidRPr="0096738F">
        <w:rPr>
          <w:rFonts w:ascii="Arial" w:eastAsia="Times New Roman" w:hAnsi="Arial" w:cs="Arial"/>
          <w:sz w:val="22"/>
          <w:szCs w:val="22"/>
          <w:lang w:eastAsia="pt-BR"/>
        </w:rPr>
        <w:tab/>
        <w:t>Se um acordo de combinação de negócios prevê um ajuste no custo da transação, sendo contingente a eventos futuros, o adquirente deve incluir o montante do ajuste no custo da transação de combinação de negócios na data de aquisição, caso seja provável de o ajuste ocorrer e caso ele possa ser mensurado com confiabilidade.</w:t>
      </w:r>
    </w:p>
    <w:p w14:paraId="7A4DCF4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6163BE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65C.</w:t>
      </w:r>
      <w:r w:rsidRPr="0096738F">
        <w:rPr>
          <w:rFonts w:ascii="Arial" w:eastAsia="Times New Roman" w:hAnsi="Arial" w:cs="Arial"/>
          <w:sz w:val="22"/>
          <w:szCs w:val="22"/>
          <w:lang w:eastAsia="pt-BR"/>
        </w:rPr>
        <w:tab/>
        <w:t>Um acordo de combinação de negócios pode permitir que sejam procedidos ajustes no custo da transação que sejam contingentes a um ou mais eventos futuros. O ajuste pode, por exemplo, ser contingente a um nível específico de lucros a ser mantido ou a ser alcançado em períodos futuros, ou ao preço de mercado de instrumentos emitidos que precisa ser mantido. É usualmente possível estimar o montante desse ajuste no momento da contabilização inicial da combinação de negócios sem colocar em dúvida a confiabilidade da informação, mesmo que alguma incerteza exista. Se eventos futuros não vierem a ocorrer ou a estimativa precisar ser revisada, o custo da combinação de negócios precisará ser consequentemente ajustado.</w:t>
      </w:r>
    </w:p>
    <w:p w14:paraId="6E05B84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C7A888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65D.</w:t>
      </w:r>
      <w:r w:rsidRPr="0096738F">
        <w:rPr>
          <w:rFonts w:ascii="Arial" w:eastAsia="Times New Roman" w:hAnsi="Arial" w:cs="Arial"/>
          <w:sz w:val="22"/>
          <w:szCs w:val="22"/>
          <w:lang w:eastAsia="pt-BR"/>
        </w:rPr>
        <w:tab/>
        <w:t>Entretanto, quando um acordo de combinação de negócios previr esse ajuste, ele não será incluído no custo da combinação de negócios no momento da sua contabilização inicial caso não seja provável de o ajuste ocorrer ou caso ele não possa ser mensurado com confiabilidade. Se tal ajuste se tornar provável subsequentemente e puder ser mensurado com confiabilidade, a contraprestação adicional deverá ser tratada como ajuste no custo da transação de combinação de negócios.</w:t>
      </w:r>
    </w:p>
    <w:p w14:paraId="33D57BA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FF5042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65E.</w:t>
      </w:r>
      <w:r w:rsidRPr="0096738F">
        <w:rPr>
          <w:rFonts w:ascii="Arial" w:eastAsia="Times New Roman" w:hAnsi="Arial" w:cs="Arial"/>
          <w:sz w:val="22"/>
          <w:szCs w:val="22"/>
          <w:lang w:eastAsia="pt-BR"/>
        </w:rPr>
        <w:tab/>
        <w:t>Em algumas situações, o adquirente pode ser requerido a fazer pagamentos subsequentes ao vendedor como compensação pela redução no valor de ativos dados, instrumentos patrimoniais emitidos ou passivos assumidos ou incorridos pelo adquirente em troca do controle da adquirida. Esse é o caso, por exemplo, quando o adquirente garante o preço de mercado de um instrumento patrimonial ou de um instrumento de dívida como parte do custo da combinação de negócios e é exigido a fazer emissões adicionais de instrumentos patrimoniais ou de instrumentos de dívida para recompor o custo originalmente determinado. Nesses casos, nenhum acréscimo no custo da combinação de negócios deve ser reconhecido. No caso de instrumentos patrimoniais, o valor justo do pagamento adicional deve ser compensado com igual redução no valor atribuído aos instrumentos inicialmente emitidos. No caso de instrumentos de dívida, o pagamento adicional deve ser considerado redução no prêmio ou acréscimo no deságio observado na emissão inicial.</w:t>
      </w:r>
    </w:p>
    <w:p w14:paraId="15ACB0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CF9D75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66.</w:t>
      </w:r>
      <w:r w:rsidRPr="0096738F">
        <w:rPr>
          <w:rFonts w:ascii="Arial" w:eastAsia="Times New Roman" w:hAnsi="Arial" w:cs="Arial"/>
          <w:sz w:val="22"/>
          <w:szCs w:val="22"/>
          <w:lang w:eastAsia="pt-BR"/>
        </w:rPr>
        <w:tab/>
        <w:t>A entidade, como a entidade de mútuo, que não tiver aplicado este Pronunciamento e tiver contabilizado uma ou mais combinações de negócios pelo método de aquisição deve aplicar as disposições transitórias previstas nos itens B68 e B69.</w:t>
      </w:r>
    </w:p>
    <w:p w14:paraId="37C5DFFF"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D2EFB8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Tributos sobre o Lucro</w:t>
      </w:r>
    </w:p>
    <w:p w14:paraId="4E732A60"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332D8CA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67.</w:t>
      </w:r>
      <w:r w:rsidRPr="0096738F">
        <w:rPr>
          <w:rFonts w:ascii="Arial" w:eastAsia="Times New Roman" w:hAnsi="Arial" w:cs="Arial"/>
          <w:sz w:val="22"/>
          <w:szCs w:val="22"/>
          <w:lang w:eastAsia="pt-BR"/>
        </w:rPr>
        <w:tab/>
        <w:t xml:space="preserve">Para combinações de negócios cuja data de aquisição seja anterior à data de início de vigência deste Pronunciamento, o adquirente deve cumprir prospectivamente as exigências que constam do item 68 do Pronunciamento Técnico CPC 32 – Tributos sobre o Lucro. Isso significa que o adquirente não deve ajustar a contabilização de combinações de negócios anteriores por conta de alterações anteriormente reconhecidas nos ativos fiscais diferidos registrados. Contudo, a partir da data em que este Pronunciamento for aplicado, o adquirente deve reconhecer como ajuste no resultado do período (ou se o Pronunciamento Técnico CPC 32 exigir, fora do resultado do </w:t>
      </w:r>
      <w:r w:rsidRPr="0096738F">
        <w:rPr>
          <w:rFonts w:ascii="Arial" w:eastAsia="Times New Roman" w:hAnsi="Arial" w:cs="Arial"/>
          <w:sz w:val="22"/>
          <w:szCs w:val="22"/>
          <w:lang w:eastAsia="pt-BR"/>
        </w:rPr>
        <w:lastRenderedPageBreak/>
        <w:t>período) as alterações nos ativos fiscais diferidos registrados.</w:t>
      </w:r>
    </w:p>
    <w:p w14:paraId="7579AC18"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57CC1538"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Disposição transitória</w:t>
      </w:r>
    </w:p>
    <w:p w14:paraId="4B56F2F7" w14:textId="77777777" w:rsidR="0096738F" w:rsidRPr="0096738F" w:rsidRDefault="0096738F" w:rsidP="0096738F">
      <w:pPr>
        <w:spacing w:before="0" w:after="0" w:line="240" w:lineRule="auto"/>
        <w:ind w:firstLine="0"/>
        <w:rPr>
          <w:rFonts w:ascii="Arial" w:eastAsia="Times New Roman" w:hAnsi="Arial" w:cs="Arial"/>
          <w:b/>
          <w:sz w:val="22"/>
          <w:szCs w:val="22"/>
          <w:lang w:eastAsia="pt-BR"/>
        </w:rPr>
      </w:pPr>
    </w:p>
    <w:p w14:paraId="61B3BD9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68.</w:t>
      </w:r>
      <w:r w:rsidRPr="0096738F">
        <w:rPr>
          <w:rFonts w:ascii="Arial" w:eastAsia="Times New Roman" w:hAnsi="Arial" w:cs="Arial"/>
          <w:sz w:val="22"/>
          <w:szCs w:val="22"/>
          <w:lang w:eastAsia="pt-BR"/>
        </w:rPr>
        <w:tab/>
        <w:t>Este Pronunciamento substitui o Pronunciamento Técnico CPC 15, aprovado pelo Comitê de Pronunciamento Contábeis na Reunião Extraordinária realizada em 26 de junho de 2009.</w:t>
      </w:r>
    </w:p>
    <w:p w14:paraId="477DAEE9"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3BAC050D"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514A867C"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5BA6598C" w14:textId="77777777" w:rsidR="00CB4C81" w:rsidRDefault="00CB4C81"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Pr>
          <w:rFonts w:ascii="Arial" w:eastAsia="Times New Roman" w:hAnsi="Arial" w:cs="Arial"/>
          <w:b/>
          <w:bCs/>
          <w:iCs/>
          <w:sz w:val="22"/>
          <w:szCs w:val="22"/>
          <w:lang w:val="pt-PT" w:eastAsia="pt-BR"/>
        </w:rPr>
        <w:br w:type="page"/>
      </w:r>
    </w:p>
    <w:p w14:paraId="331616D1" w14:textId="03973A5B"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lastRenderedPageBreak/>
        <w:t xml:space="preserve">Apêndice A </w:t>
      </w:r>
      <w:r w:rsidRPr="0096738F">
        <w:rPr>
          <w:rFonts w:ascii="Arial" w:eastAsia="Times New Roman" w:hAnsi="Arial" w:cs="Arial"/>
          <w:b/>
          <w:bCs/>
          <w:iCs/>
          <w:sz w:val="22"/>
          <w:szCs w:val="22"/>
          <w:lang w:val="pt-PT" w:eastAsia="pt-BR"/>
        </w:rPr>
        <w:sym w:font="Symbol" w:char="F02D"/>
      </w:r>
      <w:r w:rsidRPr="0096738F">
        <w:rPr>
          <w:rFonts w:ascii="Arial" w:eastAsia="Times New Roman" w:hAnsi="Arial" w:cs="Arial"/>
          <w:b/>
          <w:bCs/>
          <w:iCs/>
          <w:sz w:val="22"/>
          <w:szCs w:val="22"/>
          <w:lang w:val="pt-PT" w:eastAsia="pt-BR"/>
        </w:rPr>
        <w:t xml:space="preserve"> Glossário de termos utilizados no Pronunciamento</w:t>
      </w:r>
    </w:p>
    <w:p w14:paraId="71762C9C"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5D9A50F6"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Este apêndice é parte integrante deste Pronunciamento.</w:t>
      </w:r>
    </w:p>
    <w:p w14:paraId="77FD1421"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42FA3BBC"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Adquirida</w:t>
      </w:r>
      <w:r w:rsidRPr="0096738F">
        <w:rPr>
          <w:rFonts w:ascii="Arial" w:eastAsia="Times New Roman" w:hAnsi="Arial" w:cs="Arial"/>
          <w:sz w:val="22"/>
          <w:szCs w:val="22"/>
          <w:lang w:val="pt-PT" w:eastAsia="pt-BR"/>
        </w:rPr>
        <w:t xml:space="preserve"> é o negócio ou negócios cujo controle é obtido pelo adquirente por meio de combinação de negócios.</w:t>
      </w:r>
    </w:p>
    <w:p w14:paraId="14D27DFB"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p>
    <w:p w14:paraId="6A37C220"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Adquirente</w:t>
      </w:r>
      <w:r w:rsidRPr="0096738F">
        <w:rPr>
          <w:rFonts w:ascii="Arial" w:eastAsia="Times New Roman" w:hAnsi="Arial" w:cs="Arial"/>
          <w:sz w:val="22"/>
          <w:szCs w:val="22"/>
          <w:lang w:val="pt-PT" w:eastAsia="pt-BR"/>
        </w:rPr>
        <w:t xml:space="preserve"> é a entidade que obtém o controle da adquirida.</w:t>
      </w:r>
    </w:p>
    <w:p w14:paraId="781F2B73"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5ED2D535"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Data da aquisição</w:t>
      </w:r>
      <w:r w:rsidRPr="0096738F">
        <w:rPr>
          <w:rFonts w:ascii="Arial" w:eastAsia="Times New Roman" w:hAnsi="Arial" w:cs="Arial"/>
          <w:sz w:val="22"/>
          <w:szCs w:val="22"/>
          <w:lang w:val="pt-PT" w:eastAsia="pt-BR"/>
        </w:rPr>
        <w:t xml:space="preserve"> é a data em que o adquirente obtém efetivamente o controle da adquirida.</w:t>
      </w:r>
    </w:p>
    <w:p w14:paraId="594A4AF6"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4DABEB9C" w14:textId="27CB6768" w:rsidR="0096738F" w:rsidRPr="0096738F" w:rsidRDefault="0096738F" w:rsidP="0096738F">
      <w:pPr>
        <w:widowControl w:val="0"/>
        <w:tabs>
          <w:tab w:val="left" w:pos="0"/>
        </w:tabs>
        <w:spacing w:before="0" w:after="0" w:line="240" w:lineRule="auto"/>
        <w:ind w:firstLine="0"/>
        <w:rPr>
          <w:rFonts w:ascii="Arial" w:eastAsia="Times New Roman" w:hAnsi="Arial" w:cs="Arial"/>
          <w:sz w:val="20"/>
          <w:lang w:val="pt-PT" w:eastAsia="pt-BR"/>
        </w:rPr>
      </w:pPr>
      <w:r w:rsidRPr="0096738F">
        <w:rPr>
          <w:rFonts w:ascii="Arial" w:eastAsia="Times New Roman" w:hAnsi="Arial" w:cs="Arial"/>
          <w:i/>
          <w:sz w:val="22"/>
          <w:szCs w:val="22"/>
          <w:lang w:val="pt-PT" w:eastAsia="pt-BR"/>
        </w:rPr>
        <w:t>Negócio</w:t>
      </w:r>
      <w:r w:rsidRPr="0096738F">
        <w:rPr>
          <w:rFonts w:ascii="Arial" w:eastAsia="Times New Roman" w:hAnsi="Arial" w:cs="Arial"/>
          <w:sz w:val="22"/>
          <w:szCs w:val="22"/>
          <w:lang w:val="pt-PT" w:eastAsia="pt-BR"/>
        </w:rPr>
        <w:t xml:space="preserve"> é um conjunto integrado de atividades e ativos capaz de ser conduzido e gerenciado com o objetivo de fornecer bens ou serviços a clientes, gerando receita de investimento (como dividendos ou juros) ou gerando outras receitas de atividades ordinárias.</w:t>
      </w:r>
      <w:r w:rsidRPr="0096738F">
        <w:rPr>
          <w:rFonts w:ascii="Arial" w:eastAsia="Times New Roman" w:hAnsi="Arial" w:cs="Arial"/>
          <w:sz w:val="20"/>
          <w:lang w:val="pt-PT" w:eastAsia="pt-BR"/>
        </w:rPr>
        <w:t xml:space="preserve"> </w:t>
      </w:r>
    </w:p>
    <w:p w14:paraId="577A9251"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144C14AE"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Combinação de negócios</w:t>
      </w:r>
      <w:r w:rsidRPr="0096738F">
        <w:rPr>
          <w:rFonts w:ascii="Arial" w:eastAsia="Times New Roman" w:hAnsi="Arial" w:cs="Arial"/>
          <w:sz w:val="22"/>
          <w:szCs w:val="22"/>
          <w:lang w:val="pt-PT" w:eastAsia="pt-BR"/>
        </w:rPr>
        <w:t xml:space="preserve"> é uma operação ou outro evento por meio do qual um adquirente obtém o controle de um ou mais negócios, independentemente da forma jurídica da operação. Neste Pronunciamento, o termo abrange também as fusões que se dão entre partes independentes (inclusive as conhecidas por </w:t>
      </w:r>
      <w:r w:rsidRPr="0096738F">
        <w:rPr>
          <w:rFonts w:ascii="Arial" w:eastAsia="Times New Roman" w:hAnsi="Arial" w:cs="Arial"/>
          <w:i/>
          <w:sz w:val="22"/>
          <w:szCs w:val="22"/>
          <w:lang w:val="pt-PT" w:eastAsia="pt-BR"/>
        </w:rPr>
        <w:t>true mergers</w:t>
      </w:r>
      <w:r w:rsidRPr="0096738F">
        <w:rPr>
          <w:rFonts w:ascii="Arial" w:eastAsia="Times New Roman" w:hAnsi="Arial" w:cs="Arial"/>
          <w:sz w:val="22"/>
          <w:szCs w:val="22"/>
          <w:lang w:val="pt-PT" w:eastAsia="pt-BR"/>
        </w:rPr>
        <w:t xml:space="preserve"> ou </w:t>
      </w:r>
      <w:r w:rsidRPr="0096738F">
        <w:rPr>
          <w:rFonts w:ascii="Arial" w:eastAsia="Times New Roman" w:hAnsi="Arial" w:cs="Arial"/>
          <w:i/>
          <w:sz w:val="22"/>
          <w:szCs w:val="22"/>
          <w:lang w:val="pt-PT" w:eastAsia="pt-BR"/>
        </w:rPr>
        <w:t>merger of equals</w:t>
      </w:r>
      <w:r w:rsidRPr="0096738F">
        <w:rPr>
          <w:rFonts w:ascii="Arial" w:eastAsia="Times New Roman" w:hAnsi="Arial" w:cs="Arial"/>
          <w:sz w:val="22"/>
          <w:szCs w:val="22"/>
          <w:lang w:val="pt-PT" w:eastAsia="pt-BR"/>
        </w:rPr>
        <w:t>).</w:t>
      </w:r>
    </w:p>
    <w:p w14:paraId="45C2163A"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41DB7FB2"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Contraprestação contingente</w:t>
      </w:r>
      <w:r w:rsidRPr="0096738F">
        <w:rPr>
          <w:rFonts w:ascii="Arial" w:eastAsia="Times New Roman" w:hAnsi="Arial" w:cs="Arial"/>
          <w:sz w:val="22"/>
          <w:szCs w:val="22"/>
          <w:lang w:val="pt-PT" w:eastAsia="pt-BR"/>
        </w:rPr>
        <w:t xml:space="preserve"> são obrigações contratuais, assumidas pelo adquirente na operação de combinação de negócios, de transferir ativos adicionais ou participações societárias adicionais aos ex-proprietários da adquirida, caso certos eventos futuros ocorram ou determinadas condições sejam satisfeitas. Contudo, uma contraprestação contingente também pode dar ao adquirente o direito de reaver parte da contraprestação previamente transferida ou paga, caso determinadas condições sejam satisfeitas.</w:t>
      </w:r>
    </w:p>
    <w:p w14:paraId="1CBE943A"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72FD5988"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Participação societária</w:t>
      </w:r>
      <w:r w:rsidRPr="0096738F">
        <w:rPr>
          <w:rFonts w:ascii="Arial" w:eastAsia="Times New Roman" w:hAnsi="Arial" w:cs="Arial"/>
          <w:sz w:val="22"/>
          <w:szCs w:val="22"/>
          <w:lang w:val="pt-PT" w:eastAsia="pt-BR"/>
        </w:rPr>
        <w:t>, para os propósitos deste Pronunciamento, essa expressão é utilizada de forma ampla, tanto no sentido da participação de um investidor no capital de suas investidas, quanto da participação em entidades de mútuo (associações, cooperativas, etc.).</w:t>
      </w:r>
    </w:p>
    <w:p w14:paraId="7C60AB37"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1E485797" w14:textId="455F6B96" w:rsidR="0096738F" w:rsidRPr="0096738F" w:rsidRDefault="0096738F" w:rsidP="0096738F">
      <w:pPr>
        <w:autoSpaceDE w:val="0"/>
        <w:autoSpaceDN w:val="0"/>
        <w:adjustRightInd w:val="0"/>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i/>
          <w:noProof/>
          <w:sz w:val="22"/>
          <w:szCs w:val="22"/>
          <w:lang w:eastAsia="pt-BR"/>
        </w:rPr>
        <w:t>Valor justo</w:t>
      </w:r>
      <w:r w:rsidRPr="0096738F">
        <w:rPr>
          <w:rFonts w:ascii="Arial" w:eastAsia="Times New Roman" w:hAnsi="Arial" w:cs="Arial"/>
          <w:b/>
          <w:noProof/>
          <w:sz w:val="22"/>
          <w:szCs w:val="22"/>
          <w:lang w:eastAsia="pt-BR"/>
        </w:rPr>
        <w:t xml:space="preserve"> </w:t>
      </w:r>
      <w:r w:rsidRPr="0096738F">
        <w:rPr>
          <w:rFonts w:ascii="Arial" w:eastAsia="Times New Roman" w:hAnsi="Arial" w:cs="Arial"/>
          <w:sz w:val="22"/>
          <w:szCs w:val="22"/>
          <w:lang w:eastAsia="pt-BR"/>
        </w:rPr>
        <w:t xml:space="preserve">é preço que seria recebido pela venda de um ativo ou que seria pago pela transferência de um passivo em uma transação não forçada entre participantes do mercado na data de mensuração (ver Pronunciamento Técnico CPC 46). </w:t>
      </w:r>
    </w:p>
    <w:p w14:paraId="58550210" w14:textId="77777777" w:rsidR="0096738F" w:rsidRPr="0096738F" w:rsidRDefault="0096738F" w:rsidP="0096738F">
      <w:pPr>
        <w:autoSpaceDE w:val="0"/>
        <w:autoSpaceDN w:val="0"/>
        <w:adjustRightInd w:val="0"/>
        <w:spacing w:before="0" w:after="0" w:line="240" w:lineRule="auto"/>
        <w:ind w:left="567" w:firstLine="0"/>
        <w:rPr>
          <w:rFonts w:ascii="Arial" w:eastAsia="Times New Roman" w:hAnsi="Arial" w:cs="Arial"/>
          <w:sz w:val="22"/>
          <w:szCs w:val="22"/>
          <w:lang w:eastAsia="pt-BR"/>
        </w:rPr>
      </w:pPr>
    </w:p>
    <w:p w14:paraId="503D0138"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Ágio por expectativa de rentabilidade futura (goodwill)</w:t>
      </w:r>
      <w:r w:rsidRPr="0096738F">
        <w:rPr>
          <w:rFonts w:ascii="Arial" w:eastAsia="Times New Roman" w:hAnsi="Arial" w:cs="Arial"/>
          <w:sz w:val="22"/>
          <w:szCs w:val="22"/>
          <w:lang w:val="pt-PT" w:eastAsia="pt-BR"/>
        </w:rPr>
        <w:t xml:space="preserve"> é um ativo que representa benefícios econômicos futuros resultantes de outros ativos adquiridos em uma combinação de negócios, os quais não são individualmente identificados e separadamente reconhecidos.</w:t>
      </w:r>
    </w:p>
    <w:p w14:paraId="4F64A047"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6265A2F3"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Identificável</w:t>
      </w:r>
      <w:r w:rsidRPr="0096738F">
        <w:rPr>
          <w:rFonts w:ascii="Arial" w:eastAsia="Times New Roman" w:hAnsi="Arial" w:cs="Arial"/>
          <w:sz w:val="22"/>
          <w:szCs w:val="22"/>
          <w:lang w:val="pt-PT" w:eastAsia="pt-BR"/>
        </w:rPr>
        <w:t>: um ativo é identificável quando ele: (a) for separável, ou seja, capaz de ser separado ou dividido da entidade e vendido, transferido, licenciado, alugado ou trocado, individualmente ou em conjunto com outros ativos e passivos ou contrato relacionado, independentemente da intenção da entidade em fazê-lo; ou (b) surge de um contrato ou de outro direito legal, independentemente de esse direito ser transferível ou separável da entidade e de outros direitos e obrigações.</w:t>
      </w:r>
    </w:p>
    <w:p w14:paraId="70293857"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7863494E"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Ativo intangível</w:t>
      </w:r>
      <w:r w:rsidRPr="0096738F">
        <w:rPr>
          <w:rFonts w:ascii="Arial" w:eastAsia="Times New Roman" w:hAnsi="Arial" w:cs="Arial"/>
          <w:sz w:val="22"/>
          <w:szCs w:val="22"/>
          <w:lang w:val="pt-PT" w:eastAsia="pt-BR"/>
        </w:rPr>
        <w:t xml:space="preserve"> é um ativo não monetário identificável sem substância física.</w:t>
      </w:r>
    </w:p>
    <w:p w14:paraId="6391E93A"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Entidade de mútuo</w:t>
      </w:r>
      <w:r w:rsidRPr="0096738F">
        <w:rPr>
          <w:rFonts w:ascii="Arial" w:eastAsia="Times New Roman" w:hAnsi="Arial" w:cs="Arial"/>
          <w:sz w:val="22"/>
          <w:szCs w:val="22"/>
          <w:lang w:val="pt-PT" w:eastAsia="pt-BR"/>
        </w:rPr>
        <w:t xml:space="preserve"> é uma entidade, exceto aquela cuja propriedade integral é de um investidor, que </w:t>
      </w:r>
      <w:r w:rsidRPr="0096738F">
        <w:rPr>
          <w:rFonts w:ascii="Arial" w:eastAsia="Times New Roman" w:hAnsi="Arial" w:cs="Arial"/>
          <w:sz w:val="22"/>
          <w:szCs w:val="22"/>
          <w:lang w:val="pt-PT" w:eastAsia="pt-BR"/>
        </w:rPr>
        <w:lastRenderedPageBreak/>
        <w:t>gera distribuição de resultados, custos baixos ou outros benefícios econômicos diretamente para seus proprietários, membros ou participantes (tal como uma entidade de seguros mútuos, associação ou uma cooperativa).</w:t>
      </w:r>
    </w:p>
    <w:p w14:paraId="6FAD4A35"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6604C1EC"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Participação de não controladores</w:t>
      </w:r>
      <w:r w:rsidRPr="0096738F">
        <w:rPr>
          <w:rFonts w:ascii="Arial" w:eastAsia="Times New Roman" w:hAnsi="Arial" w:cs="Arial"/>
          <w:sz w:val="22"/>
          <w:szCs w:val="22"/>
          <w:lang w:val="pt-PT" w:eastAsia="pt-BR"/>
        </w:rPr>
        <w:t xml:space="preserve"> é a parte do patrimônio líquido de controlada não atribuível direta ou indiretamente à controladora (anteriormente denominados “minoritários”).</w:t>
      </w:r>
    </w:p>
    <w:p w14:paraId="5F905F83"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sz w:val="22"/>
          <w:szCs w:val="22"/>
          <w:lang w:val="pt-PT" w:eastAsia="pt-BR"/>
        </w:rPr>
      </w:pPr>
    </w:p>
    <w:p w14:paraId="40AD0A31"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Proprietário</w:t>
      </w:r>
      <w:r w:rsidRPr="0096738F">
        <w:rPr>
          <w:rFonts w:ascii="Arial" w:eastAsia="Times New Roman" w:hAnsi="Arial" w:cs="Arial"/>
          <w:sz w:val="22"/>
          <w:szCs w:val="22"/>
          <w:lang w:val="pt-PT" w:eastAsia="pt-BR"/>
        </w:rPr>
        <w:t>, para os propósitos deste Pronunciamento, esse termo é utilizado, de forma ampla, tanto para incluir os detentores de participação societária em uma sociedade, quanto os proprietários, membros ou participantes de entidade de mútuo (associação, cooperativa, etc.).</w:t>
      </w:r>
    </w:p>
    <w:p w14:paraId="496CDF54"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70C07813"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22CB5396"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6D525D82"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p>
    <w:p w14:paraId="3A86C21B" w14:textId="77777777" w:rsidR="00CB4C81" w:rsidRDefault="00CB4C81"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Pr>
          <w:rFonts w:ascii="Arial" w:eastAsia="Times New Roman" w:hAnsi="Arial" w:cs="Arial"/>
          <w:b/>
          <w:bCs/>
          <w:iCs/>
          <w:sz w:val="22"/>
          <w:szCs w:val="22"/>
          <w:lang w:val="pt-PT" w:eastAsia="pt-BR"/>
        </w:rPr>
        <w:br w:type="page"/>
      </w:r>
    </w:p>
    <w:p w14:paraId="0BDA3107" w14:textId="7373BF82"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lastRenderedPageBreak/>
        <w:t xml:space="preserve">Apêndice B </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b/>
          <w:bCs/>
          <w:iCs/>
          <w:sz w:val="22"/>
          <w:szCs w:val="22"/>
          <w:lang w:val="pt-PT" w:eastAsia="pt-BR"/>
        </w:rPr>
        <w:t>Guia de aplicação do Pronunciamento</w:t>
      </w:r>
    </w:p>
    <w:p w14:paraId="4C978321"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p>
    <w:p w14:paraId="6B8E5B8F" w14:textId="77777777" w:rsidR="0096738F" w:rsidRPr="0096738F" w:rsidRDefault="0096738F" w:rsidP="0096738F">
      <w:pPr>
        <w:widowControl w:val="0"/>
        <w:tabs>
          <w:tab w:val="left" w:pos="0"/>
        </w:tabs>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Este apêndice é parte integrante deste Pronunciamento.</w:t>
      </w:r>
    </w:p>
    <w:p w14:paraId="4F5B5D3B"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p>
    <w:p w14:paraId="51FF45F1"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Combinação de negócios de entidades sob controle comum – aplicação do item 2(c)</w:t>
      </w:r>
    </w:p>
    <w:p w14:paraId="492B18E0"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1566198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w:t>
      </w:r>
      <w:r w:rsidRPr="0096738F">
        <w:rPr>
          <w:rFonts w:ascii="Arial" w:eastAsia="Times New Roman" w:hAnsi="Arial" w:cs="Arial"/>
          <w:sz w:val="22"/>
          <w:szCs w:val="22"/>
          <w:lang w:eastAsia="pt-BR"/>
        </w:rPr>
        <w:tab/>
        <w:t>Este Pronunciamento não se aplica a combinação de negócios de entidades ou negócios sob controle comum. A combinação de negócios envolvendo entidades ou negócios sob controle comum é uma combinação de negócios em que todas as entidades ou negócios da combinação são controlados pela mesma parte ou partes, antes e depois da combinação de negócios, e esse controle não é transitório.</w:t>
      </w:r>
    </w:p>
    <w:p w14:paraId="08EEF757"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5293722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w:t>
      </w:r>
      <w:r w:rsidRPr="0096738F">
        <w:rPr>
          <w:rFonts w:ascii="Arial" w:eastAsia="Times New Roman" w:hAnsi="Arial" w:cs="Arial"/>
          <w:sz w:val="22"/>
          <w:szCs w:val="22"/>
          <w:lang w:eastAsia="pt-BR"/>
        </w:rPr>
        <w:tab/>
        <w:t>Um grupo de indivíduos deve ser considerado como controlador de uma entidade quando, pelo resultado de acordo contratual, eles coletivamente têm o poder para governar suas políticas financeiras e operacionais de forma a obter os benefícios de suas atividades. Portanto, uma combinação de negócios está fora do alcance deste Pronunciamento quando o mesmo grupo de indivíduos tem, pelo resultado de acordo contratual, o poder coletivo final para governar as políticas financeiras e operacionais de cada uma das entidades da combinação de forma a obter os benefícios de suas atividades, e esse poder coletivo final não é transitório.</w:t>
      </w:r>
    </w:p>
    <w:p w14:paraId="7D8F7984"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0435A90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w:t>
      </w:r>
      <w:r w:rsidRPr="0096738F">
        <w:rPr>
          <w:rFonts w:ascii="Arial" w:eastAsia="Times New Roman" w:hAnsi="Arial" w:cs="Arial"/>
          <w:sz w:val="22"/>
          <w:szCs w:val="22"/>
          <w:lang w:eastAsia="pt-BR"/>
        </w:rPr>
        <w:tab/>
        <w:t>A entidade pode ser controlada por um indivíduo ou grupo de indivíduos agindo em conjunto sob acordo contratual e esse indivíduo ou grupo de indivíduos pode não estar obrigado às exigências de divulgação de demonstrações contábeis nos padrões do CPC. Portanto, nesse caso, não é necessário que as entidades da combinação sejam incluídas no mesmo conjunto de demonstrações contábeis consolidadas para uma combinação de negócios ser considerada como envolvendo entidades sob controle comum.</w:t>
      </w:r>
    </w:p>
    <w:p w14:paraId="19A13C2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8D146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w:t>
      </w:r>
      <w:r w:rsidRPr="0096738F">
        <w:rPr>
          <w:rFonts w:ascii="Arial" w:eastAsia="Times New Roman" w:hAnsi="Arial" w:cs="Arial"/>
          <w:sz w:val="22"/>
          <w:szCs w:val="22"/>
          <w:lang w:eastAsia="pt-BR"/>
        </w:rPr>
        <w:tab/>
        <w:t>A extensão da participação de não controladores em cada entidade da combinação, antes ou depois da combinação de negócios, não é relevante para determinar se a combinação envolve entidades sob controle comum. Da mesma forma, não é relevante para determinar se uma combinação envolve entidades sob controle comum o fato de uma das entidades da combinação ser uma controlada e ter sido excluída das demonstrações contábeis consolidadas.</w:t>
      </w:r>
    </w:p>
    <w:p w14:paraId="1455BA9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37E52680"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Identificação de combinação de negócios – aplicação do item 3</w:t>
      </w:r>
    </w:p>
    <w:p w14:paraId="6D02D3F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0899D6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w:t>
      </w:r>
      <w:r w:rsidRPr="0096738F">
        <w:rPr>
          <w:rFonts w:ascii="Arial" w:eastAsia="Times New Roman" w:hAnsi="Arial" w:cs="Arial"/>
          <w:sz w:val="22"/>
          <w:szCs w:val="22"/>
          <w:lang w:eastAsia="pt-BR"/>
        </w:rPr>
        <w:tab/>
        <w:t>Este Pronunciamento define uma combinação de negócios como a operação ou outro evento em que o adquirente obtém o controle de um ou mais negócios. O adquirente pode obter o controle da adquirida de diversas formas, como por exemplo:</w:t>
      </w:r>
    </w:p>
    <w:p w14:paraId="5A68D5D4" w14:textId="77777777" w:rsidR="0096738F" w:rsidRPr="0096738F" w:rsidRDefault="0096738F" w:rsidP="0096738F">
      <w:pPr>
        <w:widowControl w:val="0"/>
        <w:numPr>
          <w:ilvl w:val="0"/>
          <w:numId w:val="2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pela transferência de caixa, equivalentes de caixa ou outros ativos (incluindo ativos líquidos que se constituam em um negócio);</w:t>
      </w:r>
    </w:p>
    <w:p w14:paraId="02E01C8E" w14:textId="77777777" w:rsidR="0096738F" w:rsidRPr="0096738F" w:rsidRDefault="0096738F" w:rsidP="0096738F">
      <w:pPr>
        <w:widowControl w:val="0"/>
        <w:numPr>
          <w:ilvl w:val="0"/>
          <w:numId w:val="2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pela assunção de passivos;</w:t>
      </w:r>
    </w:p>
    <w:p w14:paraId="6AB434B2" w14:textId="77777777" w:rsidR="0096738F" w:rsidRPr="0096738F" w:rsidRDefault="0096738F" w:rsidP="0096738F">
      <w:pPr>
        <w:widowControl w:val="0"/>
        <w:numPr>
          <w:ilvl w:val="0"/>
          <w:numId w:val="2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pela emissão de instrumentos de participação societária;</w:t>
      </w:r>
    </w:p>
    <w:p w14:paraId="1E568AF4" w14:textId="77777777" w:rsidR="0096738F" w:rsidRPr="0096738F" w:rsidRDefault="0096738F" w:rsidP="0096738F">
      <w:pPr>
        <w:widowControl w:val="0"/>
        <w:numPr>
          <w:ilvl w:val="0"/>
          <w:numId w:val="2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por mais de um dos tipos de contraprestação acima; ou</w:t>
      </w:r>
    </w:p>
    <w:p w14:paraId="791D6789" w14:textId="77777777" w:rsidR="0096738F" w:rsidRPr="0096738F" w:rsidRDefault="0096738F" w:rsidP="0096738F">
      <w:pPr>
        <w:widowControl w:val="0"/>
        <w:numPr>
          <w:ilvl w:val="0"/>
          <w:numId w:val="2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sem a transferência de nenhuma contraprestação, inclusive por meio de acordos puramente contratuais (ver item 43).</w:t>
      </w:r>
    </w:p>
    <w:p w14:paraId="7819FC1C" w14:textId="77777777" w:rsidR="0096738F" w:rsidRPr="0096738F" w:rsidRDefault="0096738F" w:rsidP="0096738F">
      <w:pPr>
        <w:widowControl w:val="0"/>
        <w:spacing w:before="0" w:after="0" w:line="240" w:lineRule="auto"/>
        <w:ind w:left="710" w:firstLine="0"/>
        <w:rPr>
          <w:rFonts w:ascii="Arial" w:eastAsia="Times New Roman" w:hAnsi="Arial" w:cs="Arial"/>
          <w:sz w:val="22"/>
          <w:szCs w:val="22"/>
          <w:lang w:val="pt-PT" w:eastAsia="pt-BR"/>
        </w:rPr>
      </w:pPr>
    </w:p>
    <w:p w14:paraId="17E9BC6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w:t>
      </w:r>
      <w:r w:rsidRPr="0096738F">
        <w:rPr>
          <w:rFonts w:ascii="Arial" w:eastAsia="Times New Roman" w:hAnsi="Arial" w:cs="Arial"/>
          <w:sz w:val="22"/>
          <w:szCs w:val="22"/>
          <w:lang w:eastAsia="pt-BR"/>
        </w:rPr>
        <w:tab/>
        <w:t xml:space="preserve">Uma combinação de negócios, por razões legais, fiscais ou outras, pode ser estruturada de </w:t>
      </w:r>
      <w:r w:rsidRPr="0096738F">
        <w:rPr>
          <w:rFonts w:ascii="Arial" w:eastAsia="Times New Roman" w:hAnsi="Arial" w:cs="Arial"/>
          <w:sz w:val="22"/>
          <w:szCs w:val="22"/>
          <w:lang w:eastAsia="pt-BR"/>
        </w:rPr>
        <w:lastRenderedPageBreak/>
        <w:t>diversas formas, as quais incluem, mas não se limitam a:</w:t>
      </w:r>
    </w:p>
    <w:p w14:paraId="7CEE7DFB" w14:textId="77777777" w:rsidR="0096738F" w:rsidRPr="0096738F" w:rsidRDefault="0096738F" w:rsidP="0096738F">
      <w:pPr>
        <w:widowControl w:val="0"/>
        <w:numPr>
          <w:ilvl w:val="0"/>
          <w:numId w:val="2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um ou mais negócios tornam-se controladas de um adquirente ou ocorre uma fusão entre o adquirente e os ativos líquidos de um ou mais negócios;</w:t>
      </w:r>
    </w:p>
    <w:p w14:paraId="646404F6" w14:textId="77777777" w:rsidR="0096738F" w:rsidRPr="0096738F" w:rsidRDefault="0096738F" w:rsidP="0096738F">
      <w:pPr>
        <w:widowControl w:val="0"/>
        <w:numPr>
          <w:ilvl w:val="0"/>
          <w:numId w:val="2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uma entidade da combinação transfere seus ativos líquidos ou seus proprietários transferem suas respectivas participações societárias para </w:t>
      </w:r>
      <w:r w:rsidRPr="0096738F">
        <w:rPr>
          <w:rFonts w:ascii="Arial" w:eastAsia="Times New Roman" w:hAnsi="Arial" w:cs="Arial"/>
          <w:bCs/>
          <w:iCs/>
          <w:sz w:val="22"/>
          <w:szCs w:val="22"/>
          <w:lang w:val="pt-PT" w:eastAsia="pt-BR"/>
        </w:rPr>
        <w:t>outras</w:t>
      </w:r>
      <w:r w:rsidRPr="0096738F">
        <w:rPr>
          <w:rFonts w:ascii="Arial" w:eastAsia="Times New Roman" w:hAnsi="Arial" w:cs="Arial"/>
          <w:sz w:val="22"/>
          <w:szCs w:val="22"/>
          <w:lang w:val="pt-PT" w:eastAsia="pt-BR"/>
        </w:rPr>
        <w:t xml:space="preserve"> entidades da combinação (ou para os proprietários dessas entidades);</w:t>
      </w:r>
    </w:p>
    <w:p w14:paraId="6C1F3817" w14:textId="77777777" w:rsidR="0096738F" w:rsidRPr="0096738F" w:rsidRDefault="0096738F" w:rsidP="0096738F">
      <w:pPr>
        <w:widowControl w:val="0"/>
        <w:numPr>
          <w:ilvl w:val="0"/>
          <w:numId w:val="2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todas as entidades da combinação transferem seus ativos líquidos ou seus proprietários transferem suas respectivas participações societárias para a constituição de nova entidade</w:t>
      </w:r>
      <w:r w:rsidRPr="0096738F">
        <w:rPr>
          <w:rFonts w:ascii="Arial" w:eastAsia="Times New Roman" w:hAnsi="Arial" w:cs="Arial"/>
          <w:bCs/>
          <w:iCs/>
          <w:sz w:val="22"/>
          <w:szCs w:val="22"/>
          <w:lang w:val="pt-PT" w:eastAsia="pt-BR"/>
        </w:rPr>
        <w:t xml:space="preserve"> (combinação por vezes qualificada na literatura como sendo uma transação </w:t>
      </w:r>
      <w:r w:rsidRPr="0096738F">
        <w:rPr>
          <w:rFonts w:ascii="Arial" w:eastAsia="Times New Roman" w:hAnsi="Arial" w:cs="Arial"/>
          <w:bCs/>
          <w:i/>
          <w:iCs/>
          <w:sz w:val="22"/>
          <w:szCs w:val="22"/>
          <w:lang w:val="pt-PT" w:eastAsia="pt-BR"/>
        </w:rPr>
        <w:t>roll-up</w:t>
      </w:r>
      <w:r w:rsidRPr="0096738F">
        <w:rPr>
          <w:rFonts w:ascii="Arial" w:eastAsia="Times New Roman" w:hAnsi="Arial" w:cs="Arial"/>
          <w:bCs/>
          <w:iCs/>
          <w:sz w:val="22"/>
          <w:szCs w:val="22"/>
          <w:lang w:val="pt-PT" w:eastAsia="pt-BR"/>
        </w:rPr>
        <w:t xml:space="preserve"> ou uma transação </w:t>
      </w:r>
      <w:r w:rsidRPr="0096738F">
        <w:rPr>
          <w:rFonts w:ascii="Arial" w:eastAsia="Times New Roman" w:hAnsi="Arial" w:cs="Arial"/>
          <w:bCs/>
          <w:i/>
          <w:iCs/>
          <w:sz w:val="22"/>
          <w:szCs w:val="22"/>
          <w:lang w:val="pt-PT" w:eastAsia="pt-BR"/>
        </w:rPr>
        <w:t>put-together</w:t>
      </w:r>
      <w:r w:rsidRPr="0096738F">
        <w:rPr>
          <w:rFonts w:ascii="Arial" w:eastAsia="Times New Roman" w:hAnsi="Arial" w:cs="Arial"/>
          <w:bCs/>
          <w:iCs/>
          <w:sz w:val="22"/>
          <w:szCs w:val="22"/>
          <w:lang w:val="pt-PT" w:eastAsia="pt-BR"/>
        </w:rPr>
        <w:t>); ou</w:t>
      </w:r>
      <w:r w:rsidRPr="0096738F">
        <w:rPr>
          <w:rFonts w:ascii="Arial" w:eastAsia="Times New Roman" w:hAnsi="Arial" w:cs="Arial"/>
          <w:sz w:val="22"/>
          <w:szCs w:val="22"/>
          <w:lang w:val="pt-PT" w:eastAsia="pt-BR"/>
        </w:rPr>
        <w:t xml:space="preserve"> </w:t>
      </w:r>
    </w:p>
    <w:p w14:paraId="04B7CBB0" w14:textId="77777777" w:rsidR="0096738F" w:rsidRPr="0096738F" w:rsidRDefault="0096738F" w:rsidP="0096738F">
      <w:pPr>
        <w:widowControl w:val="0"/>
        <w:numPr>
          <w:ilvl w:val="0"/>
          <w:numId w:val="2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um grupo de ex-proprietários de uma das entidades da combinação obtém o controle da entidade combinada.</w:t>
      </w:r>
    </w:p>
    <w:p w14:paraId="1A0DBFD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1C851E41"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Definição de negócio – aplicação do item 3</w:t>
      </w:r>
    </w:p>
    <w:p w14:paraId="39E66F3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9B09EF4" w14:textId="77777777"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0"/>
          <w:lang w:val="pt-PT" w:eastAsia="pt-BR"/>
        </w:rPr>
        <w:t>B7.</w:t>
      </w:r>
      <w:r w:rsidRPr="0096738F">
        <w:rPr>
          <w:rFonts w:ascii="Arial" w:eastAsia="Times New Roman" w:hAnsi="Arial" w:cs="Arial"/>
          <w:sz w:val="20"/>
          <w:lang w:val="pt-PT" w:eastAsia="pt-BR"/>
        </w:rPr>
        <w:tab/>
      </w:r>
      <w:r w:rsidRPr="0096738F">
        <w:rPr>
          <w:rFonts w:ascii="Arial" w:eastAsia="Times New Roman" w:hAnsi="Arial" w:cs="Arial"/>
          <w:sz w:val="22"/>
          <w:szCs w:val="22"/>
          <w:lang w:val="pt-PT" w:eastAsia="pt-BR"/>
        </w:rPr>
        <w:t xml:space="preserve">Um negócio consiste de </w:t>
      </w:r>
      <w:r w:rsidRPr="0096738F">
        <w:rPr>
          <w:rFonts w:ascii="Arial" w:eastAsia="Times New Roman" w:hAnsi="Arial" w:cs="Arial"/>
          <w:i/>
          <w:sz w:val="22"/>
          <w:szCs w:val="22"/>
          <w:lang w:val="pt-PT" w:eastAsia="pt-BR"/>
        </w:rPr>
        <w:t xml:space="preserve">inputs – </w:t>
      </w:r>
      <w:r w:rsidRPr="0096738F">
        <w:rPr>
          <w:rFonts w:ascii="Arial" w:eastAsia="Times New Roman" w:hAnsi="Arial" w:cs="Arial"/>
          <w:sz w:val="22"/>
          <w:szCs w:val="22"/>
          <w:lang w:val="pt-PT" w:eastAsia="pt-BR"/>
        </w:rPr>
        <w:t xml:space="preserve">entrada de recursos </w:t>
      </w:r>
      <w:r w:rsidRPr="0096738F">
        <w:rPr>
          <w:rFonts w:ascii="Arial" w:eastAsia="Times New Roman" w:hAnsi="Arial" w:cs="Arial"/>
          <w:i/>
          <w:sz w:val="22"/>
          <w:szCs w:val="22"/>
          <w:lang w:val="pt-PT" w:eastAsia="pt-BR"/>
        </w:rPr>
        <w:t>–</w:t>
      </w:r>
      <w:r w:rsidRPr="0096738F">
        <w:rPr>
          <w:rFonts w:ascii="Arial" w:eastAsia="Times New Roman" w:hAnsi="Arial" w:cs="Arial"/>
          <w:sz w:val="22"/>
          <w:szCs w:val="22"/>
          <w:lang w:val="pt-PT" w:eastAsia="pt-BR"/>
        </w:rPr>
        <w:t xml:space="preserve"> e processos (os processos são aplicados aos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os quais têm a capacidade de contribuir para gerar </w:t>
      </w:r>
      <w:r w:rsidRPr="0096738F">
        <w:rPr>
          <w:rFonts w:ascii="Arial" w:eastAsia="Times New Roman" w:hAnsi="Arial" w:cs="Arial"/>
          <w:i/>
          <w:sz w:val="22"/>
          <w:szCs w:val="22"/>
          <w:lang w:val="pt-PT" w:eastAsia="pt-BR"/>
        </w:rPr>
        <w:t xml:space="preserve">outputs – </w:t>
      </w:r>
      <w:r w:rsidRPr="0096738F">
        <w:rPr>
          <w:rFonts w:ascii="Arial" w:eastAsia="Times New Roman" w:hAnsi="Arial" w:cs="Arial"/>
          <w:sz w:val="22"/>
          <w:szCs w:val="22"/>
          <w:lang w:val="pt-PT" w:eastAsia="pt-BR"/>
        </w:rPr>
        <w:t>saída de recursos. Os três elementos de um negócio são definidos a seguir (consulte os itens B8 a B12D para obter orientação sobre os elementos de negócio):</w:t>
      </w:r>
    </w:p>
    <w:p w14:paraId="47CED6B3" w14:textId="77777777" w:rsidR="0096738F" w:rsidRPr="0096738F" w:rsidRDefault="0096738F" w:rsidP="0096738F">
      <w:pPr>
        <w:widowControl w:val="0"/>
        <w:numPr>
          <w:ilvl w:val="0"/>
          <w:numId w:val="6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Cs/>
          <w:i/>
          <w:iCs/>
          <w:sz w:val="22"/>
          <w:szCs w:val="22"/>
          <w:lang w:val="pt-PT" w:eastAsia="pt-BR"/>
        </w:rPr>
        <w:t>input</w:t>
      </w:r>
      <w:r w:rsidRPr="0096738F">
        <w:rPr>
          <w:rFonts w:ascii="Arial" w:eastAsia="Times New Roman" w:hAnsi="Arial" w:cs="Arial"/>
          <w:sz w:val="22"/>
          <w:szCs w:val="22"/>
          <w:lang w:val="pt-PT" w:eastAsia="pt-BR"/>
        </w:rPr>
        <w:t xml:space="preserve">: qualquer recurso econômico que gera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ou tem a capacidade de contribuir para gerar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quando um ou mais processos são aplicados sobre </w:t>
      </w:r>
      <w:r w:rsidRPr="0096738F">
        <w:rPr>
          <w:rFonts w:ascii="Arial" w:eastAsia="Times New Roman" w:hAnsi="Arial" w:cs="Arial"/>
          <w:bCs/>
          <w:iCs/>
          <w:sz w:val="22"/>
          <w:szCs w:val="22"/>
          <w:lang w:val="pt-PT" w:eastAsia="pt-BR"/>
        </w:rPr>
        <w:t>ele.</w:t>
      </w:r>
      <w:r w:rsidRPr="0096738F">
        <w:rPr>
          <w:rFonts w:ascii="Arial" w:eastAsia="Times New Roman" w:hAnsi="Arial" w:cs="Arial"/>
          <w:sz w:val="22"/>
          <w:szCs w:val="22"/>
          <w:lang w:val="pt-PT" w:eastAsia="pt-BR"/>
        </w:rPr>
        <w:t xml:space="preserve"> Exemplos incluem ativos não circulantes (incluindo ativos intangíveis ou direitos ao uso de ativos não </w:t>
      </w:r>
      <w:r w:rsidRPr="0096738F">
        <w:rPr>
          <w:rFonts w:ascii="Arial" w:eastAsia="Times New Roman" w:hAnsi="Arial" w:cs="Arial"/>
          <w:bCs/>
          <w:iCs/>
          <w:sz w:val="22"/>
          <w:szCs w:val="22"/>
          <w:lang w:val="pt-PT" w:eastAsia="pt-BR"/>
        </w:rPr>
        <w:t>circulantes</w:t>
      </w:r>
      <w:r w:rsidRPr="0096738F">
        <w:rPr>
          <w:rFonts w:ascii="Arial" w:eastAsia="Times New Roman" w:hAnsi="Arial" w:cs="Arial"/>
          <w:sz w:val="22"/>
          <w:szCs w:val="22"/>
          <w:lang w:val="pt-PT" w:eastAsia="pt-BR"/>
        </w:rPr>
        <w:t xml:space="preserve">), propriedade intelectual, a </w:t>
      </w:r>
      <w:r w:rsidRPr="0096738F">
        <w:rPr>
          <w:rFonts w:ascii="Arial" w:eastAsia="Times New Roman" w:hAnsi="Arial" w:cs="Arial"/>
          <w:bCs/>
          <w:iCs/>
          <w:sz w:val="22"/>
          <w:szCs w:val="22"/>
          <w:lang w:val="pt-PT" w:eastAsia="pt-BR"/>
        </w:rPr>
        <w:t>habilidade</w:t>
      </w:r>
      <w:r w:rsidRPr="0096738F">
        <w:rPr>
          <w:rFonts w:ascii="Arial" w:eastAsia="Times New Roman" w:hAnsi="Arial" w:cs="Arial"/>
          <w:sz w:val="22"/>
          <w:szCs w:val="22"/>
          <w:lang w:val="pt-PT" w:eastAsia="pt-BR"/>
        </w:rPr>
        <w:t xml:space="preserve"> de obter acesso aos materiais</w:t>
      </w:r>
      <w:r w:rsidRPr="0096738F">
        <w:rPr>
          <w:rFonts w:ascii="Arial" w:eastAsia="Times New Roman" w:hAnsi="Arial" w:cs="Arial"/>
          <w:bCs/>
          <w:iCs/>
          <w:sz w:val="22"/>
          <w:szCs w:val="22"/>
          <w:lang w:val="pt-PT" w:eastAsia="pt-BR"/>
        </w:rPr>
        <w:t xml:space="preserve"> necessários ou</w:t>
      </w:r>
      <w:r w:rsidRPr="0096738F">
        <w:rPr>
          <w:rFonts w:ascii="Arial" w:eastAsia="Times New Roman" w:hAnsi="Arial" w:cs="Arial"/>
          <w:sz w:val="22"/>
          <w:szCs w:val="22"/>
          <w:lang w:val="pt-PT" w:eastAsia="pt-BR"/>
        </w:rPr>
        <w:t xml:space="preserve"> direitos e empregados;</w:t>
      </w:r>
    </w:p>
    <w:p w14:paraId="650F659F" w14:textId="77777777" w:rsidR="0096738F" w:rsidRPr="0096738F" w:rsidRDefault="0096738F" w:rsidP="0096738F">
      <w:pPr>
        <w:widowControl w:val="0"/>
        <w:numPr>
          <w:ilvl w:val="0"/>
          <w:numId w:val="65"/>
        </w:numPr>
        <w:spacing w:before="0" w:after="0" w:line="240" w:lineRule="auto"/>
        <w:ind w:left="993" w:hanging="426"/>
        <w:rPr>
          <w:rFonts w:ascii="Arial" w:eastAsia="Times New Roman" w:hAnsi="Arial" w:cs="Arial"/>
          <w:sz w:val="22"/>
          <w:szCs w:val="22"/>
          <w:lang w:eastAsia="pt-BR"/>
        </w:rPr>
      </w:pPr>
      <w:r w:rsidRPr="0096738F">
        <w:rPr>
          <w:rFonts w:ascii="Arial" w:eastAsia="Times New Roman" w:hAnsi="Arial" w:cs="Arial"/>
          <w:i/>
          <w:sz w:val="22"/>
          <w:szCs w:val="22"/>
          <w:lang w:val="pt-PT" w:eastAsia="pt-BR"/>
        </w:rPr>
        <w:t>processos:</w:t>
      </w:r>
      <w:r w:rsidRPr="0096738F">
        <w:rPr>
          <w:rFonts w:ascii="Arial" w:eastAsia="Times New Roman" w:hAnsi="Arial" w:cs="Arial"/>
          <w:sz w:val="22"/>
          <w:szCs w:val="22"/>
          <w:lang w:val="pt-PT" w:eastAsia="pt-BR"/>
        </w:rPr>
        <w:t xml:space="preserve"> qualquer sistema, padrão, protocolo, convenção ou regra que, quando aplicado </w:t>
      </w:r>
      <w:r w:rsidRPr="0096738F">
        <w:rPr>
          <w:rFonts w:ascii="Arial" w:eastAsia="Times New Roman" w:hAnsi="Arial" w:cs="Arial"/>
          <w:bCs/>
          <w:iCs/>
          <w:sz w:val="22"/>
          <w:szCs w:val="22"/>
          <w:lang w:val="pt-PT" w:eastAsia="pt-BR"/>
        </w:rPr>
        <w:t xml:space="preserve">a um </w:t>
      </w:r>
      <w:r w:rsidRPr="0096738F">
        <w:rPr>
          <w:rFonts w:ascii="Arial" w:eastAsia="Times New Roman" w:hAnsi="Arial" w:cs="Arial"/>
          <w:bCs/>
          <w:i/>
          <w:iCs/>
          <w:sz w:val="22"/>
          <w:szCs w:val="22"/>
          <w:lang w:val="pt-PT" w:eastAsia="pt-BR"/>
        </w:rPr>
        <w:t>input</w:t>
      </w:r>
      <w:r w:rsidRPr="0096738F">
        <w:rPr>
          <w:rFonts w:ascii="Arial" w:eastAsia="Times New Roman" w:hAnsi="Arial" w:cs="Arial"/>
          <w:bCs/>
          <w:iCs/>
          <w:sz w:val="22"/>
          <w:szCs w:val="22"/>
          <w:lang w:val="pt-PT" w:eastAsia="pt-BR"/>
        </w:rPr>
        <w:t xml:space="preserve"> ou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w:t>
      </w:r>
      <w:r w:rsidRPr="0096738F">
        <w:rPr>
          <w:rFonts w:ascii="Arial" w:eastAsia="Times New Roman" w:hAnsi="Arial" w:cs="Arial"/>
          <w:bCs/>
          <w:iCs/>
          <w:sz w:val="22"/>
          <w:szCs w:val="22"/>
          <w:lang w:val="pt-PT" w:eastAsia="pt-BR"/>
        </w:rPr>
        <w:t>gera</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ou </w:t>
      </w:r>
      <w:r w:rsidRPr="0096738F">
        <w:rPr>
          <w:rFonts w:ascii="Arial" w:eastAsia="Times New Roman" w:hAnsi="Arial" w:cs="Arial"/>
          <w:bCs/>
          <w:iCs/>
          <w:sz w:val="22"/>
          <w:szCs w:val="22"/>
          <w:lang w:val="pt-PT" w:eastAsia="pt-BR"/>
        </w:rPr>
        <w:t>tem</w:t>
      </w:r>
      <w:r w:rsidRPr="0096738F">
        <w:rPr>
          <w:rFonts w:ascii="Arial" w:eastAsia="Times New Roman" w:hAnsi="Arial" w:cs="Arial"/>
          <w:sz w:val="22"/>
          <w:szCs w:val="22"/>
          <w:lang w:val="pt-PT" w:eastAsia="pt-BR"/>
        </w:rPr>
        <w:t xml:space="preserve"> a capacidade de contribuir para gerar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Exemplos incluem processos de gestão estratégica, processos operacionais e processos de gestão de recursos. Esses processos normalmente são documentados, porém a capacidade intelectual da força de trabalho organizada, que detém a experiência e </w:t>
      </w:r>
      <w:r w:rsidRPr="0096738F">
        <w:rPr>
          <w:rFonts w:ascii="Arial" w:eastAsia="Times New Roman" w:hAnsi="Arial" w:cs="Arial"/>
          <w:bCs/>
          <w:iCs/>
          <w:sz w:val="22"/>
          <w:szCs w:val="22"/>
          <w:lang w:val="pt-PT" w:eastAsia="pt-BR"/>
        </w:rPr>
        <w:t>as habilidades necessárias</w:t>
      </w:r>
      <w:r w:rsidRPr="0096738F">
        <w:rPr>
          <w:rFonts w:ascii="Arial" w:eastAsia="Times New Roman" w:hAnsi="Arial" w:cs="Arial"/>
          <w:sz w:val="22"/>
          <w:szCs w:val="22"/>
          <w:lang w:val="pt-PT" w:eastAsia="pt-BR"/>
        </w:rPr>
        <w:t xml:space="preserve"> para seguir regras e convenções, pode gerar os processos necessários e ser capaz de aplicá-los aos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para gerar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(faturamento, contabilidade, folha de pagamento e outros sistemas administrativos normalmente não são processos usados para criar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w:t>
      </w:r>
    </w:p>
    <w:p w14:paraId="1ABA6160" w14:textId="61E34C53" w:rsidR="0096738F" w:rsidRPr="0096738F" w:rsidRDefault="0096738F" w:rsidP="0096738F">
      <w:pPr>
        <w:widowControl w:val="0"/>
        <w:numPr>
          <w:ilvl w:val="0"/>
          <w:numId w:val="65"/>
        </w:numPr>
        <w:spacing w:before="0" w:after="0" w:line="240" w:lineRule="auto"/>
        <w:ind w:left="993" w:hanging="426"/>
        <w:rPr>
          <w:rFonts w:ascii="Arial" w:eastAsia="Arial" w:hAnsi="Arial" w:cs="Times New Roman"/>
          <w:bCs/>
          <w:color w:val="231F20"/>
          <w:sz w:val="22"/>
          <w:szCs w:val="22"/>
          <w:lang w:val="pt-PT" w:eastAsia="pt-BR" w:bidi="en-US"/>
        </w:rPr>
      </w:pPr>
      <w:r w:rsidRPr="0096738F">
        <w:rPr>
          <w:rFonts w:ascii="Arial" w:eastAsia="Times New Roman" w:hAnsi="Arial" w:cs="Times New Roman"/>
          <w:bCs/>
          <w:i/>
          <w:iCs/>
          <w:sz w:val="22"/>
          <w:szCs w:val="22"/>
          <w:lang w:val="pt-PT" w:eastAsia="pt-BR"/>
        </w:rPr>
        <w:t>output</w:t>
      </w:r>
      <w:r w:rsidRPr="0096738F">
        <w:rPr>
          <w:rFonts w:ascii="Arial" w:eastAsia="Times New Roman" w:hAnsi="Arial" w:cs="Times New Roman"/>
          <w:bCs/>
          <w:iCs/>
          <w:sz w:val="22"/>
          <w:szCs w:val="22"/>
          <w:lang w:val="pt-PT" w:eastAsia="pt-BR"/>
        </w:rPr>
        <w:t xml:space="preserve">: </w:t>
      </w:r>
      <w:r w:rsidRPr="0096738F">
        <w:rPr>
          <w:rFonts w:ascii="Arial" w:eastAsia="Arial" w:hAnsi="Arial" w:cs="Times New Roman"/>
          <w:bCs/>
          <w:color w:val="231F20"/>
          <w:sz w:val="22"/>
          <w:szCs w:val="22"/>
          <w:lang w:val="pt-PT" w:eastAsia="pt-BR" w:bidi="en-US"/>
        </w:rPr>
        <w:t xml:space="preserve">o resultado de </w:t>
      </w:r>
      <w:r w:rsidRPr="0096738F">
        <w:rPr>
          <w:rFonts w:ascii="Arial" w:eastAsia="Arial" w:hAnsi="Arial" w:cs="Times New Roman"/>
          <w:bCs/>
          <w:i/>
          <w:color w:val="231F20"/>
          <w:sz w:val="22"/>
          <w:szCs w:val="22"/>
          <w:lang w:val="pt-PT" w:eastAsia="pt-BR" w:bidi="en-US"/>
        </w:rPr>
        <w:t>inputs</w:t>
      </w:r>
      <w:r w:rsidRPr="0096738F">
        <w:rPr>
          <w:rFonts w:ascii="Arial" w:eastAsia="Arial" w:hAnsi="Arial" w:cs="Times New Roman"/>
          <w:bCs/>
          <w:color w:val="231F20"/>
          <w:sz w:val="22"/>
          <w:szCs w:val="22"/>
          <w:lang w:val="pt-PT" w:eastAsia="pt-BR" w:bidi="en-US"/>
        </w:rPr>
        <w:t xml:space="preserve"> e processos aplicados aos </w:t>
      </w:r>
      <w:r w:rsidRPr="0096738F">
        <w:rPr>
          <w:rFonts w:ascii="Arial" w:eastAsia="Arial" w:hAnsi="Arial" w:cs="Times New Roman"/>
          <w:bCs/>
          <w:i/>
          <w:color w:val="231F20"/>
          <w:sz w:val="22"/>
          <w:szCs w:val="22"/>
          <w:lang w:val="pt-PT" w:eastAsia="pt-BR" w:bidi="en-US"/>
        </w:rPr>
        <w:t>inputs</w:t>
      </w:r>
      <w:r w:rsidRPr="0096738F">
        <w:rPr>
          <w:rFonts w:ascii="Arial" w:eastAsia="Arial" w:hAnsi="Arial" w:cs="Times New Roman"/>
          <w:bCs/>
          <w:color w:val="231F20"/>
          <w:sz w:val="22"/>
          <w:szCs w:val="22"/>
          <w:lang w:val="pt-PT" w:eastAsia="pt-BR" w:bidi="en-US"/>
        </w:rPr>
        <w:t xml:space="preserve"> que fornecem bens ou serviços a clientes, geram receita de investimento (como dividendos ou juros) ou geram outras receitas de atividades ordinárias. </w:t>
      </w:r>
    </w:p>
    <w:p w14:paraId="7B3666D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113D3BD" w14:textId="77777777" w:rsidR="0096738F" w:rsidRPr="0096738F" w:rsidRDefault="0096738F" w:rsidP="0096738F">
      <w:pPr>
        <w:widowControl w:val="0"/>
        <w:autoSpaceDE w:val="0"/>
        <w:autoSpaceDN w:val="0"/>
        <w:spacing w:before="0" w:after="0" w:line="240" w:lineRule="auto"/>
        <w:ind w:firstLine="0"/>
        <w:rPr>
          <w:rFonts w:ascii="Arial" w:eastAsia="Bookman Old Style" w:hAnsi="Arial" w:cs="Arial"/>
          <w:sz w:val="22"/>
          <w:szCs w:val="22"/>
          <w:lang w:val="pt-PT" w:eastAsia="pt-BR" w:bidi="en-US"/>
        </w:rPr>
      </w:pPr>
      <w:r w:rsidRPr="0096738F">
        <w:rPr>
          <w:rFonts w:ascii="Arial" w:eastAsia="Bookman Old Style" w:hAnsi="Arial" w:cs="Arial"/>
          <w:b/>
          <w:sz w:val="22"/>
          <w:szCs w:val="22"/>
          <w:lang w:val="pt-PT" w:eastAsia="pt-BR" w:bidi="en-US"/>
        </w:rPr>
        <w:t>Teste opcional para identificar concentração de valor justo</w:t>
      </w:r>
    </w:p>
    <w:p w14:paraId="20AEFC43" w14:textId="77777777" w:rsidR="0096738F" w:rsidRPr="0096738F" w:rsidRDefault="0096738F" w:rsidP="0096738F">
      <w:pPr>
        <w:widowControl w:val="0"/>
        <w:autoSpaceDE w:val="0"/>
        <w:autoSpaceDN w:val="0"/>
        <w:spacing w:before="0" w:after="0" w:line="240" w:lineRule="auto"/>
        <w:ind w:firstLine="0"/>
        <w:rPr>
          <w:rFonts w:ascii="Arial" w:eastAsia="Bookman Old Style" w:hAnsi="Arial" w:cs="Arial"/>
          <w:sz w:val="22"/>
          <w:szCs w:val="22"/>
          <w:lang w:val="pt-PT" w:eastAsia="pt-BR" w:bidi="en-US"/>
        </w:rPr>
      </w:pPr>
    </w:p>
    <w:p w14:paraId="741060E4" w14:textId="77777777" w:rsidR="0096738F" w:rsidRPr="0096738F" w:rsidRDefault="0096738F" w:rsidP="0096738F">
      <w:pPr>
        <w:widowControl w:val="0"/>
        <w:autoSpaceDE w:val="0"/>
        <w:autoSpaceDN w:val="0"/>
        <w:spacing w:before="0" w:after="0" w:line="240" w:lineRule="auto"/>
        <w:ind w:left="567" w:hanging="567"/>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B7A.</w:t>
      </w:r>
      <w:r w:rsidRPr="0096738F">
        <w:rPr>
          <w:rFonts w:ascii="Arial" w:eastAsia="Bookman Old Style" w:hAnsi="Arial" w:cs="Arial"/>
          <w:sz w:val="22"/>
          <w:szCs w:val="22"/>
          <w:lang w:val="pt-PT" w:eastAsia="pt-BR" w:bidi="en-US"/>
        </w:rPr>
        <w:tab/>
        <w:t>O item B7B estabelece um teste opcional (teste de concentração) para permitir avaliação simplificada sobre se o conjunto de atividades e ativos adquiridos não é um negócio. A entidade pode optar por aplicar ou não aplicar o teste. A entidade pode fazer tal escolha separadamente para cada transação ou outro evento. O teste de concentração tem as seguintes consequências:</w:t>
      </w:r>
    </w:p>
    <w:p w14:paraId="336200C4"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(a) </w:t>
      </w:r>
      <w:r w:rsidRPr="0096738F">
        <w:rPr>
          <w:rFonts w:ascii="Arial" w:eastAsia="Bookman Old Style" w:hAnsi="Arial" w:cs="Arial"/>
          <w:sz w:val="22"/>
          <w:szCs w:val="22"/>
          <w:lang w:val="pt-PT" w:eastAsia="pt-BR" w:bidi="en-US"/>
        </w:rPr>
        <w:tab/>
        <w:t>se o teste de concentração for atendido, o conjunto de atividades e ativos é determinado como não sendo um negócio e nenhuma avaliação adicional é necessária;</w:t>
      </w:r>
    </w:p>
    <w:p w14:paraId="51C43572" w14:textId="5311A4F5"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0"/>
          <w:lang w:val="pt-PT" w:eastAsia="pt-BR" w:bidi="en-US"/>
        </w:rPr>
      </w:pPr>
      <w:r w:rsidRPr="0096738F">
        <w:rPr>
          <w:rFonts w:ascii="Arial" w:eastAsia="Bookman Old Style" w:hAnsi="Arial" w:cs="Arial"/>
          <w:sz w:val="22"/>
          <w:szCs w:val="22"/>
          <w:lang w:val="pt-PT" w:eastAsia="pt-BR" w:bidi="en-US"/>
        </w:rPr>
        <w:t xml:space="preserve">(b) </w:t>
      </w:r>
      <w:r w:rsidRPr="0096738F">
        <w:rPr>
          <w:rFonts w:ascii="Arial" w:eastAsia="Bookman Old Style" w:hAnsi="Arial" w:cs="Arial"/>
          <w:sz w:val="22"/>
          <w:szCs w:val="22"/>
          <w:lang w:val="pt-PT" w:eastAsia="pt-BR" w:bidi="en-US"/>
        </w:rPr>
        <w:tab/>
        <w:t>se o teste de concentração não for atendido, ou se a entidade optar por não aplicar o teste, a entidade deve então realizar a avaliação prevista nos itens de B8 a B12D.</w:t>
      </w:r>
      <w:r w:rsidRPr="0096738F">
        <w:rPr>
          <w:rFonts w:ascii="Arial" w:eastAsia="Bookman Old Style" w:hAnsi="Arial" w:cs="Arial"/>
          <w:sz w:val="20"/>
          <w:lang w:val="pt-PT" w:eastAsia="pt-BR" w:bidi="en-US"/>
        </w:rPr>
        <w:t xml:space="preserve"> </w:t>
      </w:r>
    </w:p>
    <w:p w14:paraId="6F4332DF" w14:textId="77777777" w:rsidR="0096738F" w:rsidRPr="0096738F" w:rsidRDefault="0096738F" w:rsidP="0096738F">
      <w:pPr>
        <w:spacing w:before="0" w:after="0" w:line="240" w:lineRule="auto"/>
        <w:ind w:right="-1" w:firstLine="0"/>
        <w:rPr>
          <w:rFonts w:ascii="Arial" w:eastAsia="Times New Roman" w:hAnsi="Arial" w:cs="Arial"/>
          <w:sz w:val="20"/>
          <w:lang w:val="pt-PT" w:eastAsia="pt-BR"/>
        </w:rPr>
      </w:pPr>
    </w:p>
    <w:p w14:paraId="00039AC3" w14:textId="77777777" w:rsidR="0096738F" w:rsidRPr="0096738F" w:rsidRDefault="0096738F" w:rsidP="0096738F">
      <w:pPr>
        <w:widowControl w:val="0"/>
        <w:autoSpaceDE w:val="0"/>
        <w:autoSpaceDN w:val="0"/>
        <w:spacing w:before="0" w:after="0" w:line="240" w:lineRule="auto"/>
        <w:ind w:left="567" w:hanging="567"/>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B7B. </w:t>
      </w:r>
      <w:r w:rsidRPr="0096738F">
        <w:rPr>
          <w:rFonts w:ascii="Arial" w:eastAsia="Bookman Old Style" w:hAnsi="Arial" w:cs="Arial"/>
          <w:color w:val="231F20"/>
          <w:sz w:val="22"/>
          <w:szCs w:val="22"/>
          <w:lang w:val="pt-PT" w:eastAsia="pt-BR" w:bidi="en-US"/>
        </w:rPr>
        <w:tab/>
        <w:t>O teste de concentração é atendido se, substancialmente, todo o valor justo dos ativos brutos adquiridos estiver concentrado em um único ativo identificável ou grupo de ativos identificáveis​​ similares. Para o teste de concentração:</w:t>
      </w:r>
    </w:p>
    <w:p w14:paraId="2554E729"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(a) </w:t>
      </w:r>
      <w:r w:rsidRPr="0096738F">
        <w:rPr>
          <w:rFonts w:ascii="Arial" w:eastAsia="Bookman Old Style" w:hAnsi="Arial" w:cs="Arial"/>
          <w:color w:val="231F20"/>
          <w:sz w:val="22"/>
          <w:szCs w:val="22"/>
          <w:lang w:val="pt-PT" w:eastAsia="pt-BR" w:bidi="en-US"/>
        </w:rPr>
        <w:tab/>
        <w:t>os ativos brutos adquiridos devem excluir caixa e equivalentes de caixa, ativos fiscais diferidos e ágio resultante dos efeitos de passivos fiscais diferidos;</w:t>
      </w:r>
    </w:p>
    <w:p w14:paraId="4534CBD7"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(b) </w:t>
      </w:r>
      <w:r w:rsidRPr="0096738F">
        <w:rPr>
          <w:rFonts w:ascii="Arial" w:eastAsia="Bookman Old Style" w:hAnsi="Arial" w:cs="Arial"/>
          <w:color w:val="231F20"/>
          <w:sz w:val="22"/>
          <w:szCs w:val="22"/>
          <w:lang w:val="pt-PT" w:eastAsia="pt-BR" w:bidi="en-US"/>
        </w:rPr>
        <w:tab/>
        <w:t>o valor justo dos ativos brutos adquiridos deve incluir qualquer contraprestação transferida (acrescido do valor justo de qualquer participação de não controladores  e do valor justo de qualquer participação anteriormente detida) em excesso do valor justo dos ativos líquidos identificáveis ​​adquiridos. O valor justo dos ativos brutos adquiridos pode normalmente ser determinado como o total obtido pela soma do valor justo da contraprestação transferida (acrescido do valor justo de qualquer participação de não controladores e do valor justo de qualquer participação anteriormente detida) ao valor justo de passivos assumidos (exceto passivos de impostos diferidos), excluindo os itens identificados na alínea (a). No entanto, se o valor justo dos ativos brutos adquiridos for maior que o total, cálculo mais preciso pode, às vezes, ser necessário;</w:t>
      </w:r>
    </w:p>
    <w:p w14:paraId="157CC466"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(c) </w:t>
      </w:r>
      <w:r w:rsidRPr="0096738F">
        <w:rPr>
          <w:rFonts w:ascii="Arial" w:eastAsia="Bookman Old Style" w:hAnsi="Arial" w:cs="Arial"/>
          <w:color w:val="231F20"/>
          <w:sz w:val="22"/>
          <w:szCs w:val="22"/>
          <w:lang w:val="pt-PT" w:eastAsia="pt-BR" w:bidi="en-US"/>
        </w:rPr>
        <w:tab/>
        <w:t>um único ativo identificável deve incluir qualquer ativo ou grupo de ativos que seriam reconhecidos e mensurados como um único ativo identificável na combinação de negócios;</w:t>
      </w:r>
    </w:p>
    <w:p w14:paraId="6E872B35"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(d) </w:t>
      </w:r>
      <w:r w:rsidRPr="0096738F">
        <w:rPr>
          <w:rFonts w:ascii="Arial" w:eastAsia="Bookman Old Style" w:hAnsi="Arial" w:cs="Arial"/>
          <w:color w:val="231F20"/>
          <w:sz w:val="22"/>
          <w:szCs w:val="22"/>
          <w:lang w:val="pt-PT" w:eastAsia="pt-BR" w:bidi="en-US"/>
        </w:rPr>
        <w:tab/>
        <w:t>se o ativo tangível for anexado e não puder ser fisicamente removido e usado separadamente de outro ativo tangível (ou de ativo subjacente sujeito a arrendamento, conforme definido no CPC 06 – Arrendamentos), sem incorrer em custos significativos ou significativa diminuição na utilidade ou valor justo dos referidos ativos (por exemplo, terrenos e edifícios), esses ativos devem ser considerados um único ativo identificável;</w:t>
      </w:r>
    </w:p>
    <w:p w14:paraId="52918C42"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(e) </w:t>
      </w:r>
      <w:r w:rsidRPr="0096738F">
        <w:rPr>
          <w:rFonts w:ascii="Arial" w:eastAsia="Bookman Old Style" w:hAnsi="Arial" w:cs="Arial"/>
          <w:color w:val="231F20"/>
          <w:sz w:val="22"/>
          <w:szCs w:val="22"/>
          <w:lang w:val="pt-PT" w:eastAsia="pt-BR" w:bidi="en-US"/>
        </w:rPr>
        <w:tab/>
        <w:t xml:space="preserve">ao avaliar se os ativos são semelhantes, a entidade deve considerar a natureza de cada ativo individual identificável e os riscos associados à gestão e à criação de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xml:space="preserve"> pelos ativos (isto é, às características de risco);</w:t>
      </w:r>
    </w:p>
    <w:p w14:paraId="34BEB17E"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(f) </w:t>
      </w:r>
      <w:r w:rsidRPr="0096738F">
        <w:rPr>
          <w:rFonts w:ascii="Arial" w:eastAsia="Bookman Old Style" w:hAnsi="Arial" w:cs="Arial"/>
          <w:color w:val="231F20"/>
          <w:sz w:val="22"/>
          <w:szCs w:val="22"/>
          <w:lang w:val="pt-PT" w:eastAsia="pt-BR" w:bidi="en-US"/>
        </w:rPr>
        <w:tab/>
        <w:t>os seguintes itens não devem ser considerados ativos similares:</w:t>
      </w:r>
    </w:p>
    <w:p w14:paraId="12AC0FBC"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(i) </w:t>
      </w:r>
      <w:r w:rsidRPr="0096738F">
        <w:rPr>
          <w:rFonts w:ascii="Arial" w:eastAsia="Bookman Old Style" w:hAnsi="Arial" w:cs="Arial"/>
          <w:color w:val="231F20"/>
          <w:sz w:val="22"/>
          <w:szCs w:val="22"/>
          <w:lang w:val="pt-PT" w:eastAsia="pt-BR" w:bidi="en-US"/>
        </w:rPr>
        <w:tab/>
        <w:t>ativo tangível e ativo intangível;</w:t>
      </w:r>
    </w:p>
    <w:p w14:paraId="6DE4546B"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(ii) </w:t>
      </w:r>
      <w:r w:rsidRPr="0096738F">
        <w:rPr>
          <w:rFonts w:ascii="Arial" w:eastAsia="Bookman Old Style" w:hAnsi="Arial" w:cs="Arial"/>
          <w:color w:val="231F20"/>
          <w:sz w:val="22"/>
          <w:szCs w:val="22"/>
          <w:lang w:val="pt-PT" w:eastAsia="pt-BR" w:bidi="en-US"/>
        </w:rPr>
        <w:tab/>
        <w:t>ativos tangíveis em diferentes classes (por exemplo, estoque, equipamentos de fabricação e automóveis), a menos que sejam considerados um único ativo identificável de acordo com o critério da alínea (d);</w:t>
      </w:r>
    </w:p>
    <w:p w14:paraId="6B8784C1"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(iii) ativos intangíveis identificáveis ​​em diferentes classes (por exemplo, nomes de marcas, licenças e ativos intangíveis em desenvolvimento);</w:t>
      </w:r>
    </w:p>
    <w:p w14:paraId="48FCD1EE"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(iv) </w:t>
      </w:r>
      <w:r w:rsidRPr="0096738F">
        <w:rPr>
          <w:rFonts w:ascii="Arial" w:eastAsia="Bookman Old Style" w:hAnsi="Arial" w:cs="Arial"/>
          <w:color w:val="231F20"/>
          <w:sz w:val="22"/>
          <w:szCs w:val="22"/>
          <w:lang w:val="pt-PT" w:eastAsia="pt-BR" w:bidi="en-US"/>
        </w:rPr>
        <w:tab/>
        <w:t>ativo financeiro e ativo não financeiro;</w:t>
      </w:r>
    </w:p>
    <w:p w14:paraId="260E6E01"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(v) ativos financeiros em diferentes classes (por exemplo, contas a receber e investimentos em instrumentos patrimoniais); e</w:t>
      </w:r>
    </w:p>
    <w:p w14:paraId="129EEE57" w14:textId="41DB7170"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0"/>
          <w:lang w:val="pt-PT" w:eastAsia="pt-BR" w:bidi="en-US"/>
        </w:rPr>
      </w:pPr>
      <w:r w:rsidRPr="0096738F">
        <w:rPr>
          <w:rFonts w:ascii="Arial" w:eastAsia="Bookman Old Style" w:hAnsi="Arial" w:cs="Arial"/>
          <w:color w:val="231F20"/>
          <w:sz w:val="22"/>
          <w:szCs w:val="22"/>
          <w:lang w:val="pt-PT" w:eastAsia="pt-BR" w:bidi="en-US"/>
        </w:rPr>
        <w:t>(vi) ativos identificáveis ​​que estão dentro da mesma classe de ativo, mas possuem características de risco significativamente diferentes.</w:t>
      </w:r>
      <w:r w:rsidRPr="0096738F">
        <w:rPr>
          <w:rFonts w:ascii="Arial" w:eastAsia="Bookman Old Style" w:hAnsi="Arial" w:cs="Arial"/>
          <w:color w:val="231F20"/>
          <w:sz w:val="20"/>
          <w:lang w:val="pt-PT" w:eastAsia="pt-BR" w:bidi="en-US"/>
        </w:rPr>
        <w:t xml:space="preserve"> </w:t>
      </w:r>
    </w:p>
    <w:p w14:paraId="762A2824" w14:textId="77777777" w:rsidR="0096738F" w:rsidRPr="0096738F" w:rsidRDefault="0096738F" w:rsidP="0096738F">
      <w:pPr>
        <w:spacing w:before="0" w:after="0" w:line="240" w:lineRule="auto"/>
        <w:ind w:right="-1" w:firstLine="0"/>
        <w:rPr>
          <w:rFonts w:ascii="Arial" w:eastAsia="Times New Roman" w:hAnsi="Arial" w:cs="Arial"/>
          <w:sz w:val="20"/>
          <w:lang w:val="pt-PT" w:eastAsia="pt-BR"/>
        </w:rPr>
      </w:pPr>
    </w:p>
    <w:p w14:paraId="4A52D12F" w14:textId="2CE01BEC" w:rsidR="0096738F" w:rsidRPr="0096738F" w:rsidRDefault="0096738F" w:rsidP="0096738F">
      <w:pPr>
        <w:spacing w:before="0" w:after="0" w:line="240" w:lineRule="auto"/>
        <w:ind w:left="567" w:right="-1" w:hanging="567"/>
        <w:rPr>
          <w:rFonts w:ascii="Arial" w:eastAsia="Times New Roman" w:hAnsi="Arial" w:cs="Arial"/>
          <w:sz w:val="20"/>
          <w:lang w:val="pt-PT" w:eastAsia="pt-BR"/>
        </w:rPr>
      </w:pPr>
      <w:r w:rsidRPr="0096738F">
        <w:rPr>
          <w:rFonts w:ascii="Arial" w:eastAsia="Bookman Old Style" w:hAnsi="Arial" w:cs="Arial"/>
          <w:sz w:val="22"/>
          <w:szCs w:val="22"/>
          <w:lang w:val="pt-PT" w:eastAsia="pt-BR" w:bidi="en-US"/>
        </w:rPr>
        <w:t xml:space="preserve">B7C. </w:t>
      </w:r>
      <w:r w:rsidRPr="0096738F">
        <w:rPr>
          <w:rFonts w:ascii="Arial" w:eastAsia="Bookman Old Style" w:hAnsi="Arial" w:cs="Arial"/>
          <w:sz w:val="22"/>
          <w:szCs w:val="22"/>
          <w:lang w:val="pt-PT" w:eastAsia="pt-BR" w:bidi="en-US"/>
        </w:rPr>
        <w:tab/>
        <w:t>Os requisitos do item B7B não modificam a orientação sobre ativos similares no CPC 04 – Ativo Intangível, nem modificam o significado do termo "classe" no CPC 27 – Ativo Imobilizado, no CPC 04 e no CPC 40 – Instrumentos Financeiros: Evidenciação.</w:t>
      </w:r>
      <w:r w:rsidRPr="0096738F">
        <w:rPr>
          <w:rFonts w:ascii="Arial" w:eastAsia="Bookman Old Style" w:hAnsi="Arial" w:cs="Arial"/>
          <w:sz w:val="20"/>
          <w:lang w:val="pt-PT" w:eastAsia="pt-BR" w:bidi="en-US"/>
        </w:rPr>
        <w:t xml:space="preserve"> </w:t>
      </w:r>
    </w:p>
    <w:p w14:paraId="662FC55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02E4831C"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Elementos de negócio</w:t>
      </w:r>
    </w:p>
    <w:p w14:paraId="13867EC0"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p>
    <w:p w14:paraId="29B93A5C" w14:textId="61DCF3D2"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0"/>
          <w:lang w:val="pt-PT" w:eastAsia="pt-BR"/>
        </w:rPr>
      </w:pPr>
      <w:r w:rsidRPr="0096738F">
        <w:rPr>
          <w:rFonts w:ascii="Arial" w:eastAsia="Times New Roman" w:hAnsi="Arial" w:cs="Arial"/>
          <w:sz w:val="22"/>
          <w:szCs w:val="22"/>
          <w:lang w:val="pt-PT" w:eastAsia="pt-BR"/>
        </w:rPr>
        <w:t>B8.</w:t>
      </w:r>
      <w:r w:rsidRPr="0096738F">
        <w:rPr>
          <w:rFonts w:ascii="Arial" w:eastAsia="Times New Roman" w:hAnsi="Arial" w:cs="Arial"/>
          <w:sz w:val="22"/>
          <w:szCs w:val="22"/>
          <w:lang w:val="pt-PT" w:eastAsia="pt-BR"/>
        </w:rPr>
        <w:tab/>
        <w:t xml:space="preserve">Embora um negócio geralmente tenha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não são necessários para que o conjunto integrado de atividades e ativos se qualifique como negócio. Para ser capaz de ser conduzido e </w:t>
      </w:r>
      <w:r w:rsidRPr="0096738F">
        <w:rPr>
          <w:rFonts w:ascii="Arial" w:eastAsia="Times New Roman" w:hAnsi="Arial" w:cs="Arial"/>
          <w:sz w:val="22"/>
          <w:szCs w:val="22"/>
          <w:lang w:val="pt-PT" w:eastAsia="pt-BR"/>
        </w:rPr>
        <w:lastRenderedPageBreak/>
        <w:t xml:space="preserve">gerenciado para o objetivo identificado na definição de negócio, o conjunto integrado de atividades e ativos precisa ter dois elementos essenciais – 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e os processos a serem aplicados sobre 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O negócio não precisa incluir todos 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e os processos que o vendedor utilizava na operacionalização daquele negócio. Entretanto, para ser considerado um negócio, o conjunto integrado de atividades e ativos deve incluir, no mínimo, o </w:t>
      </w:r>
      <w:r w:rsidRPr="0096738F">
        <w:rPr>
          <w:rFonts w:ascii="Arial" w:eastAsia="Times New Roman" w:hAnsi="Arial" w:cs="Arial"/>
          <w:i/>
          <w:sz w:val="22"/>
          <w:szCs w:val="22"/>
          <w:lang w:val="pt-PT" w:eastAsia="pt-BR"/>
        </w:rPr>
        <w:t>input</w:t>
      </w:r>
      <w:r w:rsidRPr="0096738F">
        <w:rPr>
          <w:rFonts w:ascii="Arial" w:eastAsia="Times New Roman" w:hAnsi="Arial" w:cs="Arial"/>
          <w:sz w:val="22"/>
          <w:szCs w:val="22"/>
          <w:lang w:val="pt-PT" w:eastAsia="pt-BR"/>
        </w:rPr>
        <w:t xml:space="preserve"> e o processo substantivo que juntos contribuam, significativamente, para a capacidade de gerar </w:t>
      </w:r>
      <w:r w:rsidRPr="0096738F">
        <w:rPr>
          <w:rFonts w:ascii="Arial" w:eastAsia="Times New Roman" w:hAnsi="Arial" w:cs="Arial"/>
          <w:i/>
          <w:sz w:val="22"/>
          <w:szCs w:val="22"/>
          <w:lang w:val="pt-PT" w:eastAsia="pt-BR"/>
        </w:rPr>
        <w:t>output</w:t>
      </w:r>
      <w:r w:rsidRPr="0096738F">
        <w:rPr>
          <w:rFonts w:ascii="Arial" w:eastAsia="Times New Roman" w:hAnsi="Arial" w:cs="Arial"/>
          <w:sz w:val="22"/>
          <w:szCs w:val="22"/>
          <w:lang w:val="pt-PT" w:eastAsia="pt-BR"/>
        </w:rPr>
        <w:t>. Os itens de B12 a B12D especificam como avaliar se o processo é substantivo.</w:t>
      </w:r>
      <w:r w:rsidRPr="0096738F">
        <w:rPr>
          <w:rFonts w:ascii="Arial" w:eastAsia="Times New Roman" w:hAnsi="Arial" w:cs="Arial"/>
          <w:sz w:val="20"/>
          <w:lang w:val="pt-PT" w:eastAsia="pt-BR"/>
        </w:rPr>
        <w:t xml:space="preserve"> </w:t>
      </w:r>
    </w:p>
    <w:p w14:paraId="4200A52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DCC98D1" w14:textId="3D5E67F6" w:rsidR="0096738F" w:rsidRPr="0096738F" w:rsidRDefault="0096738F" w:rsidP="0096738F">
      <w:pPr>
        <w:widowControl w:val="0"/>
        <w:tabs>
          <w:tab w:val="left" w:pos="6804"/>
        </w:tabs>
        <w:spacing w:before="0" w:after="0" w:line="240" w:lineRule="auto"/>
        <w:ind w:left="567" w:hanging="567"/>
        <w:rPr>
          <w:rFonts w:ascii="Arial" w:eastAsia="Bookman Old Style" w:hAnsi="Arial" w:cs="Arial"/>
          <w:sz w:val="20"/>
          <w:u w:val="single"/>
          <w:lang w:val="pt-PT" w:eastAsia="pt-BR" w:bidi="en-US"/>
        </w:rPr>
      </w:pPr>
      <w:r w:rsidRPr="0096738F">
        <w:rPr>
          <w:rFonts w:ascii="Arial" w:eastAsia="Bookman Old Style" w:hAnsi="Arial" w:cs="Arial"/>
          <w:sz w:val="22"/>
          <w:szCs w:val="22"/>
          <w:lang w:val="pt-PT" w:eastAsia="pt-BR" w:bidi="en-US"/>
        </w:rPr>
        <w:t xml:space="preserve">B8A. </w:t>
      </w:r>
      <w:r w:rsidRPr="0096738F">
        <w:rPr>
          <w:rFonts w:ascii="Arial" w:eastAsia="Bookman Old Style" w:hAnsi="Arial" w:cs="Arial"/>
          <w:sz w:val="22"/>
          <w:szCs w:val="22"/>
          <w:lang w:val="pt-PT" w:eastAsia="pt-BR" w:bidi="en-US"/>
        </w:rPr>
        <w:tab/>
        <w:t xml:space="preserve">Se o conjunto de atividades e ativos adquiridos tiver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a continuação da receita não indica, por si só, que tanto o </w:t>
      </w:r>
      <w:r w:rsidRPr="0096738F">
        <w:rPr>
          <w:rFonts w:ascii="Arial" w:eastAsia="Bookman Old Style" w:hAnsi="Arial" w:cs="Arial"/>
          <w:i/>
          <w:sz w:val="22"/>
          <w:szCs w:val="22"/>
          <w:lang w:val="pt-PT" w:eastAsia="pt-BR" w:bidi="en-US"/>
        </w:rPr>
        <w:t>input</w:t>
      </w:r>
      <w:r w:rsidRPr="0096738F">
        <w:rPr>
          <w:rFonts w:ascii="Arial" w:eastAsia="Bookman Old Style" w:hAnsi="Arial" w:cs="Arial"/>
          <w:sz w:val="22"/>
          <w:szCs w:val="22"/>
          <w:lang w:val="pt-PT" w:eastAsia="pt-BR" w:bidi="en-US"/>
        </w:rPr>
        <w:t xml:space="preserve"> quanto o processo substantivo foram adquiridos. </w:t>
      </w:r>
    </w:p>
    <w:p w14:paraId="1D0F66F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5C8C725" w14:textId="48CDCC55"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B9.</w:t>
      </w:r>
      <w:r w:rsidRPr="0096738F">
        <w:rPr>
          <w:rFonts w:ascii="Arial" w:eastAsia="Times New Roman" w:hAnsi="Arial" w:cs="Arial"/>
          <w:sz w:val="22"/>
          <w:szCs w:val="22"/>
          <w:lang w:val="pt-PT" w:eastAsia="pt-BR"/>
        </w:rPr>
        <w:tab/>
        <w:t xml:space="preserve">A natureza dos elementos do negócio varia conforme o tipo de indústria, segmento e estrutura das operações da entidade (atividades), incluindo o estágio de desenvolvimento da entidade. Negócios estabelecidos frequentemente têm diferentes tipos de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processos e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enquanto que novos negócios, com frequência, têm poucos </w:t>
      </w:r>
      <w:r w:rsidRPr="0096738F">
        <w:rPr>
          <w:rFonts w:ascii="Arial" w:eastAsia="Times New Roman" w:hAnsi="Arial" w:cs="Arial"/>
          <w:i/>
          <w:sz w:val="22"/>
          <w:szCs w:val="22"/>
          <w:lang w:val="pt-PT" w:eastAsia="pt-BR"/>
        </w:rPr>
        <w:t>inputs</w:t>
      </w:r>
      <w:r w:rsidRPr="0096738F">
        <w:rPr>
          <w:rFonts w:ascii="Arial" w:eastAsia="Times New Roman" w:hAnsi="Arial" w:cs="Arial"/>
          <w:sz w:val="22"/>
          <w:szCs w:val="22"/>
          <w:lang w:val="pt-PT" w:eastAsia="pt-BR"/>
        </w:rPr>
        <w:t xml:space="preserve"> e processos e, às vezes, somente um único </w:t>
      </w:r>
      <w:r w:rsidRPr="0096738F">
        <w:rPr>
          <w:rFonts w:ascii="Arial" w:eastAsia="Times New Roman" w:hAnsi="Arial" w:cs="Arial"/>
          <w:i/>
          <w:sz w:val="22"/>
          <w:szCs w:val="22"/>
          <w:lang w:val="pt-PT" w:eastAsia="pt-BR"/>
        </w:rPr>
        <w:t>output</w:t>
      </w:r>
      <w:r w:rsidRPr="0096738F">
        <w:rPr>
          <w:rFonts w:ascii="Arial" w:eastAsia="Times New Roman" w:hAnsi="Arial" w:cs="Arial"/>
          <w:sz w:val="22"/>
          <w:szCs w:val="22"/>
          <w:lang w:val="pt-PT" w:eastAsia="pt-BR"/>
        </w:rPr>
        <w:t xml:space="preserve"> (produto). Quase todos os negócios também têm passivos, mas não é necessário que um negócio contenha passivos. Além disso, o conjunto de atividades e ativos adquiridos que não seja um negócio pode ter passivos. </w:t>
      </w:r>
    </w:p>
    <w:p w14:paraId="628CCA9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1A6357E" w14:textId="026DB49A" w:rsidR="0096738F" w:rsidRPr="0096738F" w:rsidRDefault="0096738F" w:rsidP="00AC6B94">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B10. </w:t>
      </w:r>
      <w:r w:rsidRPr="0096738F">
        <w:rPr>
          <w:rFonts w:ascii="Arial" w:eastAsia="Times New Roman" w:hAnsi="Arial" w:cs="Arial"/>
          <w:sz w:val="22"/>
          <w:szCs w:val="22"/>
          <w:lang w:eastAsia="pt-BR"/>
        </w:rPr>
        <w:tab/>
      </w:r>
      <w:r w:rsidR="00AC6B94" w:rsidRPr="00AC6B94">
        <w:rPr>
          <w:rFonts w:ascii="Arial" w:eastAsia="Times New Roman" w:hAnsi="Arial" w:cs="Arial"/>
          <w:sz w:val="22"/>
          <w:szCs w:val="22"/>
          <w:lang w:eastAsia="pt-BR"/>
        </w:rPr>
        <w:t>(Eliminado)</w:t>
      </w:r>
    </w:p>
    <w:p w14:paraId="705EF35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5A974B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B11.</w:t>
      </w:r>
      <w:r w:rsidRPr="0096738F">
        <w:rPr>
          <w:rFonts w:ascii="Arial" w:eastAsia="Times New Roman" w:hAnsi="Arial" w:cs="Arial"/>
          <w:sz w:val="22"/>
          <w:szCs w:val="22"/>
          <w:lang w:eastAsia="pt-BR"/>
        </w:rPr>
        <w:tab/>
        <w:t>A determinação de dado conjunto de atividades e ativos como um negócio deve ser baseada na capacidade de esse conjunto ser conduzido e gerenciado como um negócio por um participante do mercado. Dessa forma, ao se avaliar se o conjunto é um negócio, não é relevante se o vendedor operou o conjunto como um negócio ou se o adquirente pretende operar o conjunto como um negócio.</w:t>
      </w:r>
    </w:p>
    <w:p w14:paraId="50F082D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B95565C"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Avaliar se o processo adquirido é substantivo</w:t>
      </w:r>
    </w:p>
    <w:p w14:paraId="1B1EDF2A"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p>
    <w:p w14:paraId="0A641CA3" w14:textId="5B7A46D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0"/>
          <w:u w:val="single"/>
          <w:lang w:val="pt-PT" w:eastAsia="pt-BR"/>
        </w:rPr>
      </w:pPr>
      <w:r w:rsidRPr="0096738F">
        <w:rPr>
          <w:rFonts w:ascii="Arial" w:eastAsia="Times New Roman" w:hAnsi="Arial" w:cs="Arial"/>
          <w:sz w:val="22"/>
          <w:szCs w:val="22"/>
          <w:lang w:val="pt-PT" w:eastAsia="pt-BR"/>
        </w:rPr>
        <w:t>B12.</w:t>
      </w:r>
      <w:r w:rsidRPr="0096738F">
        <w:rPr>
          <w:rFonts w:ascii="Arial" w:eastAsia="Times New Roman" w:hAnsi="Arial" w:cs="Arial"/>
          <w:sz w:val="22"/>
          <w:szCs w:val="22"/>
          <w:lang w:val="pt-PT" w:eastAsia="pt-BR"/>
        </w:rPr>
        <w:tab/>
        <w:t xml:space="preserve">Os itens de B12A a B12D explicam como avaliar se o processo adquirido é substantivo; se o conjunto de atividades e ativos adquiridos não possui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(item B12B); e se possui </w:t>
      </w:r>
      <w:r w:rsidRPr="0096738F">
        <w:rPr>
          <w:rFonts w:ascii="Arial" w:eastAsia="Times New Roman" w:hAnsi="Arial" w:cs="Arial"/>
          <w:i/>
          <w:sz w:val="22"/>
          <w:szCs w:val="22"/>
          <w:lang w:val="pt-PT" w:eastAsia="pt-BR"/>
        </w:rPr>
        <w:t>outputs</w:t>
      </w:r>
      <w:r w:rsidRPr="0096738F">
        <w:rPr>
          <w:rFonts w:ascii="Arial" w:eastAsia="Times New Roman" w:hAnsi="Arial" w:cs="Arial"/>
          <w:sz w:val="22"/>
          <w:szCs w:val="22"/>
          <w:lang w:val="pt-PT" w:eastAsia="pt-BR"/>
        </w:rPr>
        <w:t xml:space="preserve"> (item B12C). </w:t>
      </w:r>
    </w:p>
    <w:p w14:paraId="3DAB4C8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FA4343B" w14:textId="366D929E" w:rsidR="0096738F" w:rsidRPr="0096738F" w:rsidRDefault="0096738F" w:rsidP="0096738F">
      <w:pPr>
        <w:spacing w:before="0" w:after="0" w:line="240" w:lineRule="auto"/>
        <w:ind w:left="567" w:right="-1" w:hanging="567"/>
        <w:rPr>
          <w:rFonts w:ascii="Arial" w:eastAsia="Times New Roman" w:hAnsi="Arial" w:cs="Arial"/>
          <w:sz w:val="22"/>
          <w:szCs w:val="22"/>
          <w:lang w:val="pt-PT" w:eastAsia="pt-BR"/>
        </w:rPr>
      </w:pPr>
      <w:r w:rsidRPr="0096738F">
        <w:rPr>
          <w:rFonts w:ascii="Arial" w:eastAsia="Bookman Old Style" w:hAnsi="Arial" w:cs="Arial"/>
          <w:sz w:val="22"/>
          <w:szCs w:val="22"/>
          <w:lang w:val="pt-PT" w:eastAsia="pt-BR" w:bidi="en-US"/>
        </w:rPr>
        <w:t xml:space="preserve">B12A. Um exemplo de conjunto de atividades e ativos adquiridos que não possui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na data de aquisição é uma entidade em estágio inicial que não começou a gerar receita. Além disso, se o conjunto de atividades e ativos adquiridos estava gerando receita na data de aquisição, considera-se que possui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nessa data, mesmo que subsequentemente deixe de gerar receita de clientes externos, por exemplo, porque será integrado pela entidade adquirente. </w:t>
      </w:r>
    </w:p>
    <w:p w14:paraId="09749D12"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p>
    <w:p w14:paraId="59BA62BA" w14:textId="77777777" w:rsidR="0096738F" w:rsidRPr="0096738F" w:rsidRDefault="0096738F" w:rsidP="0096738F">
      <w:pPr>
        <w:widowControl w:val="0"/>
        <w:autoSpaceDE w:val="0"/>
        <w:autoSpaceDN w:val="0"/>
        <w:spacing w:before="0" w:after="0" w:line="240" w:lineRule="auto"/>
        <w:ind w:left="567" w:hanging="567"/>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B12B. Se o conjunto de atividades e ativos não tiver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xml:space="preserve"> na data de aquisição, o processo adquirido (ou grupo de processos) só deve ser considerado substantivo se:</w:t>
      </w:r>
    </w:p>
    <w:p w14:paraId="5E6A5355"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(a) </w:t>
      </w:r>
      <w:r w:rsidRPr="0096738F">
        <w:rPr>
          <w:rFonts w:ascii="Arial" w:eastAsia="Bookman Old Style" w:hAnsi="Arial" w:cs="Arial"/>
          <w:color w:val="231F20"/>
          <w:sz w:val="22"/>
          <w:szCs w:val="22"/>
          <w:lang w:val="pt-PT" w:eastAsia="pt-BR" w:bidi="en-US"/>
        </w:rPr>
        <w:tab/>
        <w:t xml:space="preserve">for essencial para a capacidade de desenvolver ou converter o </w:t>
      </w:r>
      <w:r w:rsidRPr="0096738F">
        <w:rPr>
          <w:rFonts w:ascii="Arial" w:eastAsia="Bookman Old Style" w:hAnsi="Arial" w:cs="Arial"/>
          <w:i/>
          <w:color w:val="231F20"/>
          <w:sz w:val="22"/>
          <w:szCs w:val="22"/>
          <w:lang w:val="pt-PT" w:eastAsia="pt-BR" w:bidi="en-US"/>
        </w:rPr>
        <w:t>input</w:t>
      </w:r>
      <w:r w:rsidRPr="0096738F">
        <w:rPr>
          <w:rFonts w:ascii="Arial" w:eastAsia="Bookman Old Style" w:hAnsi="Arial" w:cs="Arial"/>
          <w:color w:val="231F20"/>
          <w:sz w:val="22"/>
          <w:szCs w:val="22"/>
          <w:lang w:val="pt-PT" w:eastAsia="pt-BR" w:bidi="en-US"/>
        </w:rPr>
        <w:t xml:space="preserve"> ou </w:t>
      </w:r>
      <w:r w:rsidRPr="0096738F">
        <w:rPr>
          <w:rFonts w:ascii="Arial" w:eastAsia="Bookman Old Style" w:hAnsi="Arial" w:cs="Arial"/>
          <w:i/>
          <w:color w:val="231F20"/>
          <w:sz w:val="22"/>
          <w:szCs w:val="22"/>
          <w:lang w:val="pt-PT" w:eastAsia="pt-BR" w:bidi="en-US"/>
        </w:rPr>
        <w:t>inputs</w:t>
      </w:r>
      <w:r w:rsidRPr="0096738F">
        <w:rPr>
          <w:rFonts w:ascii="Arial" w:eastAsia="Bookman Old Style" w:hAnsi="Arial" w:cs="Arial"/>
          <w:color w:val="231F20"/>
          <w:sz w:val="22"/>
          <w:szCs w:val="22"/>
          <w:lang w:val="pt-PT" w:eastAsia="pt-BR" w:bidi="en-US"/>
        </w:rPr>
        <w:t xml:space="preserve"> adquiridos em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e</w:t>
      </w:r>
    </w:p>
    <w:p w14:paraId="300BD4F2"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(b) os </w:t>
      </w:r>
      <w:r w:rsidRPr="0096738F">
        <w:rPr>
          <w:rFonts w:ascii="Arial" w:eastAsia="Bookman Old Style" w:hAnsi="Arial" w:cs="Arial"/>
          <w:i/>
          <w:color w:val="231F20"/>
          <w:sz w:val="22"/>
          <w:szCs w:val="22"/>
          <w:lang w:val="pt-PT" w:eastAsia="pt-BR" w:bidi="en-US"/>
        </w:rPr>
        <w:t>inputs</w:t>
      </w:r>
      <w:r w:rsidRPr="0096738F">
        <w:rPr>
          <w:rFonts w:ascii="Arial" w:eastAsia="Bookman Old Style" w:hAnsi="Arial" w:cs="Arial"/>
          <w:color w:val="231F20"/>
          <w:sz w:val="22"/>
          <w:szCs w:val="22"/>
          <w:lang w:val="pt-PT" w:eastAsia="pt-BR" w:bidi="en-US"/>
        </w:rPr>
        <w:t xml:space="preserve"> adquiridos incluírem tanto a força de trabalho organizada que possui a habilidade necessária, conhecimento ou experiência para executar esse processo (ou grupo de processos) e outros </w:t>
      </w:r>
      <w:r w:rsidRPr="0096738F">
        <w:rPr>
          <w:rFonts w:ascii="Arial" w:eastAsia="Bookman Old Style" w:hAnsi="Arial" w:cs="Arial"/>
          <w:i/>
          <w:color w:val="231F20"/>
          <w:sz w:val="22"/>
          <w:szCs w:val="22"/>
          <w:lang w:val="pt-PT" w:eastAsia="pt-BR" w:bidi="en-US"/>
        </w:rPr>
        <w:t>inputs</w:t>
      </w:r>
      <w:r w:rsidRPr="0096738F">
        <w:rPr>
          <w:rFonts w:ascii="Arial" w:eastAsia="Bookman Old Style" w:hAnsi="Arial" w:cs="Arial"/>
          <w:color w:val="231F20"/>
          <w:sz w:val="22"/>
          <w:szCs w:val="22"/>
          <w:lang w:val="pt-PT" w:eastAsia="pt-BR" w:bidi="en-US"/>
        </w:rPr>
        <w:t xml:space="preserve"> que a força de trabalho organizada poderia desenvolver ou converter em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xml:space="preserve">. Esses outros </w:t>
      </w:r>
      <w:r w:rsidRPr="0096738F">
        <w:rPr>
          <w:rFonts w:ascii="Arial" w:eastAsia="Bookman Old Style" w:hAnsi="Arial" w:cs="Arial"/>
          <w:i/>
          <w:color w:val="231F20"/>
          <w:sz w:val="22"/>
          <w:szCs w:val="22"/>
          <w:lang w:val="pt-PT" w:eastAsia="pt-BR" w:bidi="en-US"/>
        </w:rPr>
        <w:t>inputs</w:t>
      </w:r>
      <w:r w:rsidRPr="0096738F">
        <w:rPr>
          <w:rFonts w:ascii="Arial" w:eastAsia="Bookman Old Style" w:hAnsi="Arial" w:cs="Arial"/>
          <w:color w:val="231F20"/>
          <w:sz w:val="22"/>
          <w:szCs w:val="22"/>
          <w:lang w:val="pt-PT" w:eastAsia="pt-BR" w:bidi="en-US"/>
        </w:rPr>
        <w:t xml:space="preserve"> podem incluir:</w:t>
      </w:r>
    </w:p>
    <w:p w14:paraId="50F5256D"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lastRenderedPageBreak/>
        <w:t xml:space="preserve">(i) </w:t>
      </w:r>
      <w:r w:rsidRPr="0096738F">
        <w:rPr>
          <w:rFonts w:ascii="Arial" w:eastAsia="Bookman Old Style" w:hAnsi="Arial" w:cs="Arial"/>
          <w:color w:val="231F20"/>
          <w:sz w:val="22"/>
          <w:szCs w:val="22"/>
          <w:lang w:val="pt-PT" w:eastAsia="pt-BR" w:bidi="en-US"/>
        </w:rPr>
        <w:tab/>
        <w:t>propriedade intelectual que poderia ser usada para desenvolver o bem ou serviço;</w:t>
      </w:r>
    </w:p>
    <w:p w14:paraId="67A99472"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(ii) </w:t>
      </w:r>
      <w:r w:rsidRPr="0096738F">
        <w:rPr>
          <w:rFonts w:ascii="Arial" w:eastAsia="Bookman Old Style" w:hAnsi="Arial" w:cs="Arial"/>
          <w:color w:val="231F20"/>
          <w:sz w:val="22"/>
          <w:szCs w:val="22"/>
          <w:lang w:val="pt-PT" w:eastAsia="pt-BR" w:bidi="en-US"/>
        </w:rPr>
        <w:tab/>
        <w:t xml:space="preserve">outros recursos econômicos que poderiam ser desenvolvidos para gerar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ou</w:t>
      </w:r>
    </w:p>
    <w:p w14:paraId="6FB0CF0D"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(iii) direitos para obter acesso a materiais ou direitos necessários que permitam a geração de </w:t>
      </w:r>
      <w:r w:rsidRPr="0096738F">
        <w:rPr>
          <w:rFonts w:ascii="Arial" w:eastAsia="Bookman Old Style" w:hAnsi="Arial" w:cs="Arial"/>
          <w:i/>
          <w:color w:val="231F20"/>
          <w:sz w:val="22"/>
          <w:szCs w:val="22"/>
          <w:lang w:val="pt-PT" w:eastAsia="pt-BR" w:bidi="en-US"/>
        </w:rPr>
        <w:t>outputs</w:t>
      </w:r>
      <w:r w:rsidRPr="0096738F">
        <w:rPr>
          <w:rFonts w:ascii="Arial" w:eastAsia="Bookman Old Style" w:hAnsi="Arial" w:cs="Arial"/>
          <w:color w:val="231F20"/>
          <w:sz w:val="22"/>
          <w:szCs w:val="22"/>
          <w:lang w:val="pt-PT" w:eastAsia="pt-BR" w:bidi="en-US"/>
        </w:rPr>
        <w:t xml:space="preserve"> futuros.</w:t>
      </w:r>
    </w:p>
    <w:p w14:paraId="6D04064E" w14:textId="544399BD" w:rsidR="0096738F" w:rsidRPr="0096738F" w:rsidRDefault="0096738F" w:rsidP="0096738F">
      <w:pPr>
        <w:widowControl w:val="0"/>
        <w:autoSpaceDE w:val="0"/>
        <w:autoSpaceDN w:val="0"/>
        <w:spacing w:before="0" w:after="0" w:line="240" w:lineRule="auto"/>
        <w:ind w:left="567" w:firstLine="0"/>
        <w:rPr>
          <w:rFonts w:ascii="Arial" w:eastAsia="Bookman Old Style" w:hAnsi="Arial" w:cs="Arial"/>
          <w:color w:val="231F20"/>
          <w:sz w:val="22"/>
          <w:szCs w:val="22"/>
          <w:lang w:val="pt-PT" w:eastAsia="pt-BR" w:bidi="en-US"/>
        </w:rPr>
      </w:pPr>
      <w:r w:rsidRPr="0096738F">
        <w:rPr>
          <w:rFonts w:ascii="Arial" w:eastAsia="Bookman Old Style" w:hAnsi="Arial" w:cs="Arial"/>
          <w:color w:val="231F20"/>
          <w:sz w:val="22"/>
          <w:szCs w:val="22"/>
          <w:lang w:val="pt-PT" w:eastAsia="pt-BR" w:bidi="en-US"/>
        </w:rPr>
        <w:t xml:space="preserve">Exemplos de </w:t>
      </w:r>
      <w:r w:rsidRPr="0096738F">
        <w:rPr>
          <w:rFonts w:ascii="Arial" w:eastAsia="Bookman Old Style" w:hAnsi="Arial" w:cs="Arial"/>
          <w:i/>
          <w:color w:val="231F20"/>
          <w:sz w:val="22"/>
          <w:szCs w:val="22"/>
          <w:lang w:val="pt-PT" w:eastAsia="pt-BR" w:bidi="en-US"/>
        </w:rPr>
        <w:t>inputs</w:t>
      </w:r>
      <w:r w:rsidRPr="0096738F">
        <w:rPr>
          <w:rFonts w:ascii="Arial" w:eastAsia="Bookman Old Style" w:hAnsi="Arial" w:cs="Arial"/>
          <w:color w:val="231F20"/>
          <w:sz w:val="22"/>
          <w:szCs w:val="22"/>
          <w:lang w:val="pt-PT" w:eastAsia="pt-BR" w:bidi="en-US"/>
        </w:rPr>
        <w:t xml:space="preserve"> mencionados nos incisos de (i) a (iii) da alínea (b) incluem tecnologia, projetos de pesquisa e desenvolvimento em andamento, bens imóveis e interesses minerais. </w:t>
      </w:r>
    </w:p>
    <w:p w14:paraId="4E72BD6B"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p>
    <w:p w14:paraId="22D99F0B" w14:textId="77777777" w:rsidR="0096738F" w:rsidRPr="0096738F" w:rsidRDefault="0096738F" w:rsidP="0096738F">
      <w:pPr>
        <w:widowControl w:val="0"/>
        <w:autoSpaceDE w:val="0"/>
        <w:autoSpaceDN w:val="0"/>
        <w:spacing w:before="0" w:after="0" w:line="240" w:lineRule="auto"/>
        <w:ind w:left="567" w:hanging="567"/>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B12C. Se o conjunto de atividades e ativos tiver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na data de aquisição, o processo adquirido (ou grupo de processos) deve ser considerado substantivo, se, quando aplicado a </w:t>
      </w:r>
      <w:r w:rsidRPr="0096738F">
        <w:rPr>
          <w:rFonts w:ascii="Arial" w:eastAsia="Bookman Old Style" w:hAnsi="Arial" w:cs="Arial"/>
          <w:i/>
          <w:sz w:val="22"/>
          <w:szCs w:val="22"/>
          <w:lang w:val="pt-PT" w:eastAsia="pt-BR" w:bidi="en-US"/>
        </w:rPr>
        <w:t>input</w:t>
      </w:r>
      <w:r w:rsidRPr="0096738F">
        <w:rPr>
          <w:rFonts w:ascii="Arial" w:eastAsia="Bookman Old Style" w:hAnsi="Arial" w:cs="Arial"/>
          <w:sz w:val="22"/>
          <w:szCs w:val="22"/>
          <w:lang w:val="pt-PT" w:eastAsia="pt-BR" w:bidi="en-US"/>
        </w:rPr>
        <w:t xml:space="preserve"> ou </w:t>
      </w:r>
      <w:r w:rsidRPr="0096738F">
        <w:rPr>
          <w:rFonts w:ascii="Arial" w:eastAsia="Bookman Old Style" w:hAnsi="Arial" w:cs="Arial"/>
          <w:i/>
          <w:sz w:val="22"/>
          <w:szCs w:val="22"/>
          <w:lang w:val="pt-PT" w:eastAsia="pt-BR" w:bidi="en-US"/>
        </w:rPr>
        <w:t>inputs</w:t>
      </w:r>
      <w:r w:rsidRPr="0096738F">
        <w:rPr>
          <w:rFonts w:ascii="Arial" w:eastAsia="Bookman Old Style" w:hAnsi="Arial" w:cs="Arial"/>
          <w:sz w:val="22"/>
          <w:szCs w:val="22"/>
          <w:lang w:val="pt-PT" w:eastAsia="pt-BR" w:bidi="en-US"/>
        </w:rPr>
        <w:t xml:space="preserve"> adquiridos, ele:</w:t>
      </w:r>
    </w:p>
    <w:p w14:paraId="11B7356D"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(a) </w:t>
      </w:r>
      <w:r w:rsidRPr="0096738F">
        <w:rPr>
          <w:rFonts w:ascii="Arial" w:eastAsia="Bookman Old Style" w:hAnsi="Arial" w:cs="Arial"/>
          <w:sz w:val="22"/>
          <w:szCs w:val="22"/>
          <w:lang w:val="pt-PT" w:eastAsia="pt-BR" w:bidi="en-US"/>
        </w:rPr>
        <w:tab/>
        <w:t xml:space="preserve">for fundamental para a capacidade de continuar a produzir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e os </w:t>
      </w:r>
      <w:r w:rsidRPr="0096738F">
        <w:rPr>
          <w:rFonts w:ascii="Arial" w:eastAsia="Bookman Old Style" w:hAnsi="Arial" w:cs="Arial"/>
          <w:i/>
          <w:sz w:val="22"/>
          <w:szCs w:val="22"/>
          <w:lang w:val="pt-PT" w:eastAsia="pt-BR" w:bidi="en-US"/>
        </w:rPr>
        <w:t>inputs</w:t>
      </w:r>
      <w:r w:rsidRPr="0096738F">
        <w:rPr>
          <w:rFonts w:ascii="Arial" w:eastAsia="Bookman Old Style" w:hAnsi="Arial" w:cs="Arial"/>
          <w:sz w:val="22"/>
          <w:szCs w:val="22"/>
          <w:lang w:val="pt-PT" w:eastAsia="pt-BR" w:bidi="en-US"/>
        </w:rPr>
        <w:t xml:space="preserve"> adquiridos incluírem a força de trabalho organizada com as habilidades necessárias, conhecimento ou experiência para executar esse processo (ou grupo de processos); ou</w:t>
      </w:r>
    </w:p>
    <w:p w14:paraId="3C895490"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(b) </w:t>
      </w:r>
      <w:r w:rsidRPr="0096738F">
        <w:rPr>
          <w:rFonts w:ascii="Arial" w:eastAsia="Bookman Old Style" w:hAnsi="Arial" w:cs="Arial"/>
          <w:sz w:val="22"/>
          <w:szCs w:val="22"/>
          <w:lang w:val="pt-PT" w:eastAsia="pt-BR" w:bidi="en-US"/>
        </w:rPr>
        <w:tab/>
        <w:t xml:space="preserve">contribui significativamente para a capacidade de continuar produzindo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e:</w:t>
      </w:r>
    </w:p>
    <w:p w14:paraId="7B7DFA77" w14:textId="77777777"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(i) </w:t>
      </w:r>
      <w:r w:rsidRPr="0096738F">
        <w:rPr>
          <w:rFonts w:ascii="Arial" w:eastAsia="Bookman Old Style" w:hAnsi="Arial" w:cs="Arial"/>
          <w:sz w:val="22"/>
          <w:szCs w:val="22"/>
          <w:lang w:val="pt-PT" w:eastAsia="pt-BR" w:bidi="en-US"/>
        </w:rPr>
        <w:tab/>
        <w:t>é considerado único ou escasso; ou</w:t>
      </w:r>
    </w:p>
    <w:p w14:paraId="2AFEA57C" w14:textId="003A27A0" w:rsidR="0096738F" w:rsidRPr="0096738F" w:rsidRDefault="0096738F" w:rsidP="0096738F">
      <w:pPr>
        <w:widowControl w:val="0"/>
        <w:autoSpaceDE w:val="0"/>
        <w:autoSpaceDN w:val="0"/>
        <w:spacing w:before="0" w:after="0" w:line="240" w:lineRule="auto"/>
        <w:ind w:left="1418" w:hanging="425"/>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(ii) </w:t>
      </w:r>
      <w:r w:rsidRPr="0096738F">
        <w:rPr>
          <w:rFonts w:ascii="Arial" w:eastAsia="Bookman Old Style" w:hAnsi="Arial" w:cs="Arial"/>
          <w:sz w:val="22"/>
          <w:szCs w:val="22"/>
          <w:lang w:val="pt-PT" w:eastAsia="pt-BR" w:bidi="en-US"/>
        </w:rPr>
        <w:tab/>
        <w:t xml:space="preserve">não pode ser substituído sem custo, esforço ou atraso significativos na capacidade de continuar produzindo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w:t>
      </w:r>
    </w:p>
    <w:p w14:paraId="061F6270" w14:textId="77777777" w:rsidR="0096738F" w:rsidRPr="0096738F" w:rsidRDefault="0096738F" w:rsidP="0096738F">
      <w:pPr>
        <w:spacing w:before="0" w:after="0" w:line="240" w:lineRule="auto"/>
        <w:ind w:right="-1" w:firstLine="0"/>
        <w:rPr>
          <w:rFonts w:ascii="Arial" w:eastAsia="Times New Roman" w:hAnsi="Arial" w:cs="Arial"/>
          <w:sz w:val="22"/>
          <w:szCs w:val="22"/>
          <w:lang w:val="pt-PT" w:eastAsia="pt-BR"/>
        </w:rPr>
      </w:pPr>
    </w:p>
    <w:p w14:paraId="7D1014BC" w14:textId="77777777" w:rsidR="0096738F" w:rsidRPr="0096738F" w:rsidRDefault="0096738F" w:rsidP="0096738F">
      <w:pPr>
        <w:widowControl w:val="0"/>
        <w:autoSpaceDE w:val="0"/>
        <w:autoSpaceDN w:val="0"/>
        <w:spacing w:before="0" w:after="0" w:line="240" w:lineRule="auto"/>
        <w:ind w:left="567" w:hanging="567"/>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B12D. A seguinte discussão dá suporte a ambos os itens B12B e B12C:</w:t>
      </w:r>
    </w:p>
    <w:p w14:paraId="6CF87D62"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(a) </w:t>
      </w:r>
      <w:r w:rsidRPr="0096738F">
        <w:rPr>
          <w:rFonts w:ascii="Arial" w:eastAsia="Bookman Old Style" w:hAnsi="Arial" w:cs="Arial"/>
          <w:sz w:val="22"/>
          <w:szCs w:val="22"/>
          <w:lang w:val="pt-PT" w:eastAsia="pt-BR" w:bidi="en-US"/>
        </w:rPr>
        <w:tab/>
        <w:t xml:space="preserve">contrato adquirido é um </w:t>
      </w:r>
      <w:r w:rsidRPr="0096738F">
        <w:rPr>
          <w:rFonts w:ascii="Arial" w:eastAsia="Bookman Old Style" w:hAnsi="Arial" w:cs="Arial"/>
          <w:i/>
          <w:sz w:val="22"/>
          <w:szCs w:val="22"/>
          <w:lang w:val="pt-PT" w:eastAsia="pt-BR" w:bidi="en-US"/>
        </w:rPr>
        <w:t>input</w:t>
      </w:r>
      <w:r w:rsidRPr="0096738F">
        <w:rPr>
          <w:rFonts w:ascii="Arial" w:eastAsia="Bookman Old Style" w:hAnsi="Arial" w:cs="Arial"/>
          <w:sz w:val="22"/>
          <w:szCs w:val="22"/>
          <w:lang w:val="pt-PT" w:eastAsia="pt-BR" w:bidi="en-US"/>
        </w:rPr>
        <w:t xml:space="preserve"> e não um processo substantivo. No entanto, o contrato adquirido, por exemplo, contrato de gerenciamento de propriedade terceirizada ou gerenciamento de ativos terceirizados, pode dar acesso à força de trabalho organizada. A entidade deve avaliar se a força de trabalho organizada acessada por meio de tal contrato realiza processo substantivo que a entidade controla e, portanto, adquiriu. Os fatores a serem considerados ao fazer essa avaliação incluem a duração do contrato e seus termos de renovação;</w:t>
      </w:r>
    </w:p>
    <w:p w14:paraId="13EF1A01" w14:textId="77777777" w:rsidR="0096738F" w:rsidRPr="0096738F" w:rsidRDefault="0096738F" w:rsidP="0096738F">
      <w:pPr>
        <w:widowControl w:val="0"/>
        <w:autoSpaceDE w:val="0"/>
        <w:autoSpaceDN w:val="0"/>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(b) </w:t>
      </w:r>
      <w:r w:rsidRPr="0096738F">
        <w:rPr>
          <w:rFonts w:ascii="Arial" w:eastAsia="Bookman Old Style" w:hAnsi="Arial" w:cs="Arial"/>
          <w:sz w:val="22"/>
          <w:szCs w:val="22"/>
          <w:lang w:val="pt-PT" w:eastAsia="pt-BR" w:bidi="en-US"/>
        </w:rPr>
        <w:tab/>
        <w:t xml:space="preserve">dificuldades em substituir a força de trabalho organizada adquirida podem indicar que a força de trabalho organizada adquirida realiza processo que é crítico para a capacidade de criar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w:t>
      </w:r>
    </w:p>
    <w:p w14:paraId="56C56683" w14:textId="43475C3C" w:rsidR="0096738F" w:rsidRPr="0096738F" w:rsidRDefault="0096738F" w:rsidP="0096738F">
      <w:pPr>
        <w:widowControl w:val="0"/>
        <w:tabs>
          <w:tab w:val="left" w:pos="6804"/>
        </w:tabs>
        <w:spacing w:before="0" w:after="0" w:line="240" w:lineRule="auto"/>
        <w:ind w:left="993" w:hanging="426"/>
        <w:rPr>
          <w:rFonts w:ascii="Arial" w:eastAsia="Bookman Old Style" w:hAnsi="Arial" w:cs="Arial"/>
          <w:sz w:val="22"/>
          <w:szCs w:val="22"/>
          <w:lang w:val="pt-PT" w:eastAsia="pt-BR" w:bidi="en-US"/>
        </w:rPr>
      </w:pPr>
      <w:r w:rsidRPr="0096738F">
        <w:rPr>
          <w:rFonts w:ascii="Arial" w:eastAsia="Bookman Old Style" w:hAnsi="Arial" w:cs="Arial"/>
          <w:sz w:val="22"/>
          <w:szCs w:val="22"/>
          <w:lang w:val="pt-PT" w:eastAsia="pt-BR" w:bidi="en-US"/>
        </w:rPr>
        <w:t xml:space="preserve">(c) </w:t>
      </w:r>
      <w:r w:rsidRPr="0096738F">
        <w:rPr>
          <w:rFonts w:ascii="Arial" w:eastAsia="Bookman Old Style" w:hAnsi="Arial" w:cs="Arial"/>
          <w:sz w:val="22"/>
          <w:szCs w:val="22"/>
          <w:lang w:val="pt-PT" w:eastAsia="pt-BR" w:bidi="en-US"/>
        </w:rPr>
        <w:tab/>
        <w:t xml:space="preserve">processo (ou grupo de processos) não é crítico se, por exemplo, for secundário ou menor no contexto de todos os processos necessários para criar </w:t>
      </w:r>
      <w:r w:rsidRPr="0096738F">
        <w:rPr>
          <w:rFonts w:ascii="Arial" w:eastAsia="Bookman Old Style" w:hAnsi="Arial" w:cs="Arial"/>
          <w:i/>
          <w:sz w:val="22"/>
          <w:szCs w:val="22"/>
          <w:lang w:val="pt-PT" w:eastAsia="pt-BR" w:bidi="en-US"/>
        </w:rPr>
        <w:t>outputs</w:t>
      </w:r>
      <w:r w:rsidRPr="0096738F">
        <w:rPr>
          <w:rFonts w:ascii="Arial" w:eastAsia="Bookman Old Style" w:hAnsi="Arial" w:cs="Arial"/>
          <w:sz w:val="22"/>
          <w:szCs w:val="22"/>
          <w:lang w:val="pt-PT" w:eastAsia="pt-BR" w:bidi="en-US"/>
        </w:rPr>
        <w:t xml:space="preserve">. </w:t>
      </w:r>
    </w:p>
    <w:p w14:paraId="6DFA9AB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20F14C2"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Identificação do adquirente – aplicação dos itens 6 e 7</w:t>
      </w:r>
    </w:p>
    <w:p w14:paraId="579C370F" w14:textId="77777777" w:rsidR="0096738F" w:rsidRPr="0096738F" w:rsidRDefault="0096738F" w:rsidP="0096738F">
      <w:pPr>
        <w:spacing w:before="0" w:after="0" w:line="240" w:lineRule="auto"/>
        <w:ind w:firstLine="0"/>
        <w:rPr>
          <w:rFonts w:ascii="Arial" w:eastAsia="Times New Roman" w:hAnsi="Arial" w:cs="Arial"/>
          <w:sz w:val="22"/>
          <w:szCs w:val="22"/>
          <w:u w:val="single"/>
          <w:lang w:val="pt-PT" w:eastAsia="pt-BR"/>
        </w:rPr>
      </w:pPr>
    </w:p>
    <w:p w14:paraId="1EF9197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B13.</w:t>
      </w:r>
      <w:r w:rsidRPr="0096738F">
        <w:rPr>
          <w:rFonts w:ascii="Arial" w:eastAsia="Times New Roman" w:hAnsi="Arial" w:cs="Arial"/>
          <w:sz w:val="22"/>
          <w:szCs w:val="22"/>
          <w:lang w:eastAsia="pt-BR"/>
        </w:rPr>
        <w:tab/>
        <w:t>As orientações do Pronunciamento Técnico CPC 36 – Demonstrações Consolidadas devem ser utilizadas para identificar o adquirente – a entidade que obtém o controle da adquirida. Quando ocorrer uma combinação de negócios e essas orientações não indicarem claramente qual das entidades da combinação é o adquirente, devem ser considerados os fatores indicados nos itens B14 a B18 para essa determinação.</w:t>
      </w:r>
    </w:p>
    <w:p w14:paraId="555283A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90A76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B14. </w:t>
      </w:r>
      <w:r w:rsidRPr="0096738F">
        <w:rPr>
          <w:rFonts w:ascii="Arial" w:eastAsia="Times New Roman" w:hAnsi="Arial" w:cs="Arial"/>
          <w:sz w:val="22"/>
          <w:szCs w:val="22"/>
          <w:lang w:eastAsia="pt-BR"/>
        </w:rPr>
        <w:tab/>
        <w:t>Em combinação de negócios efetivada fundamentalmente pela transferência de caixa ou outros ativos ou pela assunção de passivos, o adquirente normalmente é a entidade que transfere caixa ou outros ativos ou incorre em passivos.</w:t>
      </w:r>
    </w:p>
    <w:p w14:paraId="1D740F0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871B19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B15.</w:t>
      </w:r>
      <w:r w:rsidRPr="0096738F">
        <w:rPr>
          <w:rFonts w:ascii="Arial" w:eastAsia="Times New Roman" w:hAnsi="Arial" w:cs="Arial"/>
          <w:sz w:val="22"/>
          <w:szCs w:val="22"/>
          <w:lang w:eastAsia="pt-BR"/>
        </w:rPr>
        <w:tab/>
        <w:t xml:space="preserve">Em combinação de negócios efetivada fundamentalmente pela troca de participações societárias, o adquirente normalmente é a entidade que emite instrumentos de participação societária. Contudo, em algumas combinações de negócios, comumente denominadas de “aquisição </w:t>
      </w:r>
      <w:r w:rsidRPr="0096738F">
        <w:rPr>
          <w:rFonts w:ascii="Arial" w:eastAsia="Times New Roman" w:hAnsi="Arial" w:cs="Arial"/>
          <w:sz w:val="22"/>
          <w:szCs w:val="22"/>
          <w:lang w:eastAsia="pt-BR"/>
        </w:rPr>
        <w:lastRenderedPageBreak/>
        <w:t>reversa”</w:t>
      </w:r>
      <w:r w:rsidRPr="0096738F">
        <w:rPr>
          <w:rFonts w:ascii="Arial" w:eastAsia="Times New Roman" w:hAnsi="Arial" w:cs="Arial"/>
          <w:b/>
          <w:bCs/>
          <w:color w:val="000000"/>
          <w:sz w:val="22"/>
          <w:szCs w:val="22"/>
          <w:vertAlign w:val="superscript"/>
          <w:lang w:eastAsia="pt-BR"/>
        </w:rPr>
        <w:footnoteReference w:id="3"/>
      </w:r>
      <w:r w:rsidRPr="0096738F">
        <w:rPr>
          <w:rFonts w:ascii="Arial" w:eastAsia="Times New Roman" w:hAnsi="Arial" w:cs="Arial"/>
          <w:sz w:val="22"/>
          <w:szCs w:val="22"/>
          <w:lang w:eastAsia="pt-BR"/>
        </w:rPr>
        <w:t>, a entidade emissora é a adquirida. Os itens B19 a B27 fornecem orientações para a contabilização de aquisições reversas. Outros fatos e circunstâncias pertinentes devem ser considerados na identificação do adquirente em combinação de negócios efetivada pela troca de participações societárias, os quais incluem:</w:t>
      </w:r>
    </w:p>
    <w:p w14:paraId="0CB61E0F" w14:textId="77777777" w:rsidR="0096738F" w:rsidRPr="0096738F" w:rsidRDefault="0096738F" w:rsidP="0096738F">
      <w:pPr>
        <w:widowControl w:val="0"/>
        <w:numPr>
          <w:ilvl w:val="0"/>
          <w:numId w:val="2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direito de voto relativo na entidade combinada após a combinação. Normalmente, o adquirente é a entidade da combinação cujo grupo de proprietários retém ou recebe a maior parte dos direitos de voto na entidade combinada. Na determinação de qual grupo de proprietários retém ou recebe a maior parte dos direitos de voto, deve-se considerar a existência de </w:t>
      </w:r>
      <w:r w:rsidRPr="0096738F">
        <w:rPr>
          <w:rFonts w:ascii="Arial" w:eastAsia="Times New Roman" w:hAnsi="Arial" w:cs="Arial"/>
          <w:bCs/>
          <w:iCs/>
          <w:sz w:val="22"/>
          <w:szCs w:val="22"/>
          <w:lang w:val="pt-PT" w:eastAsia="pt-BR"/>
        </w:rPr>
        <w:t>qualquer</w:t>
      </w:r>
      <w:r w:rsidRPr="0096738F">
        <w:rPr>
          <w:rFonts w:ascii="Arial" w:eastAsia="Times New Roman" w:hAnsi="Arial" w:cs="Arial"/>
          <w:sz w:val="22"/>
          <w:szCs w:val="22"/>
          <w:lang w:val="pt-PT" w:eastAsia="pt-BR"/>
        </w:rPr>
        <w:t xml:space="preserve"> acordo de votos especial ou atípico, bem como opções,</w:t>
      </w:r>
      <w:r w:rsidRPr="0096738F">
        <w:rPr>
          <w:rFonts w:ascii="Arial" w:eastAsia="Times New Roman" w:hAnsi="Arial" w:cs="Arial"/>
          <w:bCs/>
          <w:iCs/>
          <w:sz w:val="22"/>
          <w:szCs w:val="22"/>
          <w:lang w:val="pt-PT" w:eastAsia="pt-BR"/>
        </w:rPr>
        <w:t xml:space="preserve"> opções não padronizadas -</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warrants</w:t>
      </w:r>
      <w:r w:rsidRPr="0096738F">
        <w:rPr>
          <w:rFonts w:ascii="Arial" w:eastAsia="Times New Roman" w:hAnsi="Arial" w:cs="Arial"/>
          <w:sz w:val="22"/>
          <w:szCs w:val="22"/>
          <w:lang w:val="pt-PT" w:eastAsia="pt-BR"/>
        </w:rPr>
        <w:t xml:space="preserve"> ou títulos conversíveis;</w:t>
      </w:r>
    </w:p>
    <w:p w14:paraId="41ABEE21" w14:textId="77777777" w:rsidR="0096738F" w:rsidRPr="0096738F" w:rsidRDefault="0096738F" w:rsidP="0096738F">
      <w:pPr>
        <w:widowControl w:val="0"/>
        <w:numPr>
          <w:ilvl w:val="0"/>
          <w:numId w:val="2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existência de grande participação minoritária de capital votante na entidade combinada, quando nenhum outro proprietário ou grupo organizado de proprietários tiver participação significativa no poder de voto. Normalmente, o adquirente é a entidade da combinação cujo único proprietário ou grupo organizado de proprietários é detentor da maior parte do direito de voto minoritário na entidade combinada;</w:t>
      </w:r>
    </w:p>
    <w:p w14:paraId="7BDB492B" w14:textId="77777777" w:rsidR="0096738F" w:rsidRPr="0096738F" w:rsidRDefault="0096738F" w:rsidP="0096738F">
      <w:pPr>
        <w:widowControl w:val="0"/>
        <w:numPr>
          <w:ilvl w:val="0"/>
          <w:numId w:val="2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composição do conselho de administração (ou órgão equivalente) da entidade combinada. Normalmente, o adquirente é a entidade da combinação cujos proprietários têm a capacidade ou poder para eleger ou destituir a maioria dos membros do conselho de administração (ou órgão equivalente) da entidade combinada;</w:t>
      </w:r>
    </w:p>
    <w:p w14:paraId="2692E704" w14:textId="77777777" w:rsidR="0096738F" w:rsidRPr="0096738F" w:rsidRDefault="0096738F" w:rsidP="0096738F">
      <w:pPr>
        <w:widowControl w:val="0"/>
        <w:numPr>
          <w:ilvl w:val="0"/>
          <w:numId w:val="2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composição da alta administração (diretoria ou equivalente) da entidade combinada. Normalmente, o adquirente é a entidade da combinação cuja alta administração (anterior à combinação) comanda a gestão da entidade combinada;</w:t>
      </w:r>
    </w:p>
    <w:p w14:paraId="6CB5499C" w14:textId="77777777" w:rsidR="0096738F" w:rsidRPr="0096738F" w:rsidRDefault="0096738F" w:rsidP="0096738F">
      <w:pPr>
        <w:widowControl w:val="0"/>
        <w:numPr>
          <w:ilvl w:val="0"/>
          <w:numId w:val="2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termos da troca de instrumentos de participação societária. Normalmente, o adquirente é a entidade da combinação que paga um prêmio sobre o valor justo pré-combinação das ações (participação de capital) das demais entidades da combinação.</w:t>
      </w:r>
    </w:p>
    <w:p w14:paraId="01D5D89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3E3CB1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B16.</w:t>
      </w:r>
      <w:r w:rsidRPr="0096738F">
        <w:rPr>
          <w:rFonts w:ascii="Arial" w:eastAsia="Times New Roman" w:hAnsi="Arial" w:cs="Arial"/>
          <w:sz w:val="22"/>
          <w:szCs w:val="22"/>
          <w:lang w:eastAsia="pt-BR"/>
        </w:rPr>
        <w:tab/>
        <w:t>O adquirente é, normalmente, a entidade da combinação cujo tamanho relativo (mensurado, por exemplo, em ativos, receitas ou lucros) é significativamente maior em relação às demais entidades da combinação.</w:t>
      </w:r>
    </w:p>
    <w:p w14:paraId="54F2F2D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75B2FD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B17.</w:t>
      </w:r>
      <w:r w:rsidRPr="0096738F">
        <w:rPr>
          <w:rFonts w:ascii="Arial" w:eastAsia="Times New Roman" w:hAnsi="Arial" w:cs="Arial"/>
          <w:sz w:val="22"/>
          <w:szCs w:val="22"/>
          <w:lang w:eastAsia="pt-BR"/>
        </w:rPr>
        <w:tab/>
        <w:t>Em combinação de negócios envolvendo mais do que duas entidades, na determinação do adquirente, deve-se considerar, entre outras coisas, qual das entidades da combinação iniciou a combinação e o tamanho relativo das entidades da combinação.</w:t>
      </w:r>
    </w:p>
    <w:p w14:paraId="5047EEF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2A6CCE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B18.</w:t>
      </w:r>
      <w:r w:rsidRPr="0096738F">
        <w:rPr>
          <w:rFonts w:ascii="Arial" w:eastAsia="Times New Roman" w:hAnsi="Arial" w:cs="Arial"/>
          <w:sz w:val="22"/>
          <w:szCs w:val="22"/>
          <w:lang w:eastAsia="pt-BR"/>
        </w:rPr>
        <w:tab/>
        <w:t>Em uma combinação de negócios, a nova entidade formada não é necessariamente o adquirente. Quando a nova entidade é formada e ela é quem emite instrumentos de participação societária para efetivar a combinação de negócios, uma das entidades da combinação de negócios que existia antes da combinação deve ser identificada como adquirente, aplicando-se as orientações constantes nos itens B13 a B17. De forma contrária, uma nova entidade pode ser o adquirente quando ela transferir dinheiro ou outros ativos (ou incorrer em passivos) como contraprestação pela obtenção do controle da adquirida.</w:t>
      </w:r>
    </w:p>
    <w:p w14:paraId="0410621D"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Cs/>
          <w:iCs/>
          <w:sz w:val="22"/>
          <w:szCs w:val="22"/>
          <w:lang w:val="pt-PT" w:eastAsia="pt-BR"/>
        </w:rPr>
      </w:pPr>
    </w:p>
    <w:p w14:paraId="0390A710"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Aquisição reversa</w:t>
      </w:r>
    </w:p>
    <w:p w14:paraId="5F65D0F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00DE6B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B19.</w:t>
      </w:r>
      <w:r w:rsidRPr="0096738F">
        <w:rPr>
          <w:rFonts w:ascii="Arial" w:eastAsia="Times New Roman" w:hAnsi="Arial" w:cs="Arial"/>
          <w:sz w:val="22"/>
          <w:szCs w:val="22"/>
          <w:lang w:eastAsia="pt-BR"/>
        </w:rPr>
        <w:tab/>
        <w:t>A aquisição reversa ocorre quando a entidade que emite os títulos (adquirente legal) é identificada como a adquirida para fins contábeis, conforme orientações constantes nos itens B13 a B18. A entidade cuja participação societária tiver sido adquirida (adquirida legal), deve ser considerada, para fins contábeis, como a adquirente para que a operação seja considerada uma aquisição reversa. Por exemplo, às vezes, a aquisição reversa ocorre quando a entidade fechada (sem ações listadas no mercado) quer tornar-se uma empresa listada, mas sem fazer o processo de abertura de seu capital, ou seja, sem obter o registro de companhia aberta. Para esse fim, a entidade fechada promove um acordo contratual com uma companhia aberta (a combinação propriamente) por meio do qual a entidade fechada – passa a ser uma investida da companhia aberta e os ex-sócios da entidade fechada recebem participações no capital da companhia aberta</w:t>
      </w:r>
      <w:r w:rsidRPr="0096738F">
        <w:rPr>
          <w:rFonts w:ascii="Arial" w:eastAsia="Times New Roman" w:hAnsi="Arial" w:cs="Arial"/>
          <w:b/>
          <w:bCs/>
          <w:color w:val="000000"/>
          <w:sz w:val="22"/>
          <w:szCs w:val="22"/>
          <w:vertAlign w:val="superscript"/>
          <w:lang w:eastAsia="pt-BR"/>
        </w:rPr>
        <w:footnoteReference w:id="4"/>
      </w:r>
      <w:r w:rsidRPr="0096738F">
        <w:rPr>
          <w:rFonts w:ascii="Arial" w:eastAsia="Times New Roman" w:hAnsi="Arial" w:cs="Arial"/>
          <w:sz w:val="22"/>
          <w:szCs w:val="22"/>
          <w:lang w:eastAsia="pt-BR"/>
        </w:rPr>
        <w:t xml:space="preserve">. Nesse exemplo, a companhia aberta é o adquirente legal porque ela emitiu instrumentos de participação societária e a entidade fechada é a adquirida legal porque seus instrumentos de capital foram adquiridos. Contudo, pela aplicação das orientações contidas nos itens B13 a B18, o resultado da identificação do adquirente revela que: </w:t>
      </w:r>
    </w:p>
    <w:p w14:paraId="10583480" w14:textId="77777777" w:rsidR="0096738F" w:rsidRPr="0096738F" w:rsidRDefault="0096738F" w:rsidP="0096738F">
      <w:pPr>
        <w:widowControl w:val="0"/>
        <w:numPr>
          <w:ilvl w:val="0"/>
          <w:numId w:val="2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w:t>
      </w:r>
      <w:r w:rsidRPr="0096738F">
        <w:rPr>
          <w:rFonts w:ascii="Arial" w:eastAsia="Times New Roman" w:hAnsi="Arial" w:cs="Arial"/>
          <w:bCs/>
          <w:iCs/>
          <w:sz w:val="22"/>
          <w:szCs w:val="22"/>
          <w:lang w:val="pt-PT" w:eastAsia="pt-BR"/>
        </w:rPr>
        <w:t>companhia</w:t>
      </w:r>
      <w:r w:rsidRPr="0096738F">
        <w:rPr>
          <w:rFonts w:ascii="Arial" w:eastAsia="Times New Roman" w:hAnsi="Arial" w:cs="Arial"/>
          <w:sz w:val="22"/>
          <w:szCs w:val="22"/>
          <w:lang w:val="pt-PT" w:eastAsia="pt-BR"/>
        </w:rPr>
        <w:t xml:space="preserve"> aberta é a adquirida para fins contábeis (adquirida contábil); e</w:t>
      </w:r>
    </w:p>
    <w:p w14:paraId="22E2D351" w14:textId="77777777" w:rsidR="0096738F" w:rsidRPr="0096738F" w:rsidRDefault="0096738F" w:rsidP="0096738F">
      <w:pPr>
        <w:widowControl w:val="0"/>
        <w:numPr>
          <w:ilvl w:val="0"/>
          <w:numId w:val="2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entidade fechada é o adquirente para fins contábeis (adquirente contábil).</w:t>
      </w:r>
    </w:p>
    <w:p w14:paraId="72D1827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val="pt-PT" w:eastAsia="pt-BR"/>
        </w:rPr>
        <w:tab/>
      </w:r>
      <w:r w:rsidRPr="0096738F">
        <w:rPr>
          <w:rFonts w:ascii="Arial" w:eastAsia="Times New Roman" w:hAnsi="Arial" w:cs="Arial"/>
          <w:sz w:val="22"/>
          <w:szCs w:val="22"/>
          <w:lang w:eastAsia="pt-BR"/>
        </w:rPr>
        <w:t>Na operação, a adquirida contábil deve atender à definição de um negócio para ser contabilizada como aquisição reversa, bem como são aplicáveis todos os princípios de reconhecimento e mensuração previstos neste Pronunciamento, incluindo as exigências para reconhecimento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w:t>
      </w:r>
    </w:p>
    <w:p w14:paraId="6A8730B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5F642DA6"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Mensuração da contraprestação transferida</w:t>
      </w:r>
    </w:p>
    <w:p w14:paraId="213825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1FDC4B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B20.</w:t>
      </w:r>
      <w:r w:rsidRPr="0096738F">
        <w:rPr>
          <w:rFonts w:ascii="Arial" w:eastAsia="Times New Roman" w:hAnsi="Arial" w:cs="Arial"/>
          <w:sz w:val="22"/>
          <w:szCs w:val="22"/>
          <w:lang w:eastAsia="pt-BR"/>
        </w:rPr>
        <w:tab/>
        <w:t>Em uma aquisição reversa, o adquirente contábil normalmente não transfere ações nem outra forma de contraprestação para a adquirida contábil. Em vez disso, a adquirida contábil é quem emite instrumentos de participação societária (ações, por exemplo) e os entrega aos proprietários do adquirente contábil. Consequentemente, o valor justo, na data da aquisição, da contraprestação transferida pelo adquirente contábil pela sua participação na adquirida deve ser baseado no número de instrumentos de participação societária (quantidade de ações, por exemplo) que a controlada legal teria de emitir para conferir aos proprietários da controladora legal o mesmo percentual de participação societária na entidade combinada que resulta da aquisição reversa</w:t>
      </w:r>
      <w:r w:rsidRPr="0096738F">
        <w:rPr>
          <w:rFonts w:ascii="Arial" w:eastAsia="Times New Roman" w:hAnsi="Arial" w:cs="Arial"/>
          <w:b/>
          <w:bCs/>
          <w:color w:val="000000"/>
          <w:sz w:val="22"/>
          <w:szCs w:val="22"/>
          <w:vertAlign w:val="superscript"/>
          <w:lang w:eastAsia="pt-BR"/>
        </w:rPr>
        <w:footnoteReference w:id="5"/>
      </w:r>
      <w:r w:rsidRPr="0096738F">
        <w:rPr>
          <w:rFonts w:ascii="Arial" w:eastAsia="Times New Roman" w:hAnsi="Arial" w:cs="Arial"/>
          <w:sz w:val="22"/>
          <w:szCs w:val="22"/>
          <w:lang w:eastAsia="pt-BR"/>
        </w:rPr>
        <w:t>. O valor justo calculado dessa forma pode ser usado como o valor justo da contraprestação transferida em troca do controle da adquirida contábil.</w:t>
      </w:r>
    </w:p>
    <w:p w14:paraId="7F6F695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7029A498"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Elaboração e apresentação das demonstrações contábeis consolidadas</w:t>
      </w:r>
    </w:p>
    <w:p w14:paraId="089C589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0FED4E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B21.</w:t>
      </w:r>
      <w:r w:rsidRPr="0096738F">
        <w:rPr>
          <w:rFonts w:ascii="Arial" w:eastAsia="Times New Roman" w:hAnsi="Arial" w:cs="Arial"/>
          <w:sz w:val="22"/>
          <w:szCs w:val="22"/>
          <w:lang w:eastAsia="pt-BR"/>
        </w:rPr>
        <w:tab/>
        <w:t xml:space="preserve">As demonstrações contábeis consolidadas elaboradas após uma aquisição reversa são emitidas </w:t>
      </w:r>
      <w:r w:rsidRPr="0096738F">
        <w:rPr>
          <w:rFonts w:ascii="Arial" w:eastAsia="Times New Roman" w:hAnsi="Arial" w:cs="Arial"/>
          <w:sz w:val="22"/>
          <w:szCs w:val="22"/>
          <w:lang w:eastAsia="pt-BR"/>
        </w:rPr>
        <w:lastRenderedPageBreak/>
        <w:t>em nome da controladora legal (adquirida contábil), porém descritas em notas explicativas como sendo uma continuação das demonstrações contábeis da controlada legal (adquirente contábil), com um ajuste – deve-se ajustar retroativamente o capital legal do adquirente contábil para refletir o capital legal da adquirida contábil. Esse ajuste é exigido para se fazer refletir o capital da controladora legal (adquirida contábil). A informação comparativa apresentada nas demonstrações contábeis consolidadas também deve ser ajustada retroativamente para refletir o capital legal da controladora legal (adquirida contábil).</w:t>
      </w:r>
    </w:p>
    <w:p w14:paraId="7B3A38B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39DE6E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B22.</w:t>
      </w:r>
      <w:r w:rsidRPr="0096738F">
        <w:rPr>
          <w:rFonts w:ascii="Arial" w:eastAsia="Times New Roman" w:hAnsi="Arial" w:cs="Arial"/>
          <w:sz w:val="22"/>
          <w:szCs w:val="22"/>
          <w:lang w:eastAsia="pt-BR"/>
        </w:rPr>
        <w:tab/>
        <w:t>Devido às demonstrações contábeis consolidadas representarem a continuação das demonstrações contábeis da controlada legal, exceto por sua estrutura de capital, as demonstrações contábeis consolidadas refletem:</w:t>
      </w:r>
    </w:p>
    <w:p w14:paraId="5BAFBE20" w14:textId="77777777" w:rsidR="0096738F" w:rsidRPr="0096738F" w:rsidRDefault="0096738F" w:rsidP="0096738F">
      <w:pPr>
        <w:widowControl w:val="0"/>
        <w:numPr>
          <w:ilvl w:val="0"/>
          <w:numId w:val="2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ativos e os passivos da controlada legal (adquirente contábil), reconhecidos e mensurados pelos seus valores contábeis pré-combinação;</w:t>
      </w:r>
    </w:p>
    <w:p w14:paraId="001DB0CA" w14:textId="77777777" w:rsidR="0096738F" w:rsidRPr="0096738F" w:rsidRDefault="0096738F" w:rsidP="0096738F">
      <w:pPr>
        <w:widowControl w:val="0"/>
        <w:numPr>
          <w:ilvl w:val="0"/>
          <w:numId w:val="2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ativos e os passivos da controladora legal (adquirida contábil), reconhecidos e mensurados de acordo com o disposto neste Pronunciamento;</w:t>
      </w:r>
    </w:p>
    <w:p w14:paraId="0E13DCB9" w14:textId="77777777" w:rsidR="0096738F" w:rsidRPr="0096738F" w:rsidRDefault="0096738F" w:rsidP="0096738F">
      <w:pPr>
        <w:widowControl w:val="0"/>
        <w:numPr>
          <w:ilvl w:val="0"/>
          <w:numId w:val="2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lucros retidos e outros saldos contábeis do patrimônio líquido da controlada legal (adquirente contábil) antes da combinação de negócios;</w:t>
      </w:r>
    </w:p>
    <w:p w14:paraId="2B07668C" w14:textId="49CBB2FD" w:rsidR="0096738F" w:rsidRPr="0096738F" w:rsidRDefault="00BA60BC" w:rsidP="0096738F">
      <w:pPr>
        <w:widowControl w:val="0"/>
        <w:numPr>
          <w:ilvl w:val="0"/>
          <w:numId w:val="29"/>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val="pt-PT" w:eastAsia="pt-BR"/>
        </w:rPr>
        <w:t xml:space="preserve">o </w:t>
      </w:r>
      <w:r w:rsidRPr="0096738F">
        <w:rPr>
          <w:rFonts w:ascii="Arial" w:eastAsia="Times New Roman" w:hAnsi="Arial" w:cs="Arial"/>
          <w:bCs/>
          <w:iCs/>
          <w:sz w:val="22"/>
          <w:szCs w:val="22"/>
          <w:lang w:val="pt-PT" w:eastAsia="pt-BR"/>
        </w:rPr>
        <w:t>montante</w:t>
      </w:r>
      <w:r w:rsidRPr="0096738F">
        <w:rPr>
          <w:rFonts w:ascii="Arial" w:eastAsia="Times New Roman" w:hAnsi="Arial" w:cs="Arial"/>
          <w:sz w:val="22"/>
          <w:szCs w:val="22"/>
          <w:lang w:val="pt-PT" w:eastAsia="pt-BR"/>
        </w:rPr>
        <w:t xml:space="preserve"> reconhecido </w:t>
      </w:r>
      <w:r w:rsidRPr="0096738F">
        <w:rPr>
          <w:rFonts w:ascii="Arial" w:eastAsia="Times New Roman" w:hAnsi="Arial" w:cs="Arial"/>
          <w:bCs/>
          <w:iCs/>
          <w:sz w:val="22"/>
          <w:szCs w:val="22"/>
          <w:lang w:val="pt-PT" w:eastAsia="pt-BR"/>
        </w:rPr>
        <w:t>como</w:t>
      </w:r>
      <w:r w:rsidRPr="0096738F">
        <w:rPr>
          <w:rFonts w:ascii="Arial" w:eastAsia="Times New Roman" w:hAnsi="Arial" w:cs="Arial"/>
          <w:sz w:val="22"/>
          <w:szCs w:val="22"/>
          <w:lang w:val="pt-PT" w:eastAsia="pt-BR"/>
        </w:rPr>
        <w:t xml:space="preserve"> capital </w:t>
      </w:r>
      <w:r w:rsidRPr="0096738F">
        <w:rPr>
          <w:rFonts w:ascii="Arial" w:eastAsia="Times New Roman" w:hAnsi="Arial" w:cs="Arial"/>
          <w:bCs/>
          <w:iCs/>
          <w:sz w:val="22"/>
          <w:szCs w:val="22"/>
          <w:lang w:val="pt-PT" w:eastAsia="pt-BR"/>
        </w:rPr>
        <w:t>emitido</w:t>
      </w:r>
      <w:r w:rsidRPr="0096738F">
        <w:rPr>
          <w:rFonts w:ascii="Arial" w:eastAsia="Times New Roman" w:hAnsi="Arial" w:cs="Arial"/>
          <w:sz w:val="22"/>
          <w:szCs w:val="22"/>
          <w:lang w:val="pt-PT" w:eastAsia="pt-BR"/>
        </w:rPr>
        <w:t xml:space="preserve"> nas demonstrações contábeis consolidadas, determinado pela </w:t>
      </w:r>
      <w:r w:rsidRPr="0096738F">
        <w:rPr>
          <w:rFonts w:ascii="Arial" w:eastAsia="Times New Roman" w:hAnsi="Arial" w:cs="Arial"/>
          <w:bCs/>
          <w:iCs/>
          <w:sz w:val="22"/>
          <w:szCs w:val="22"/>
          <w:lang w:val="pt-PT" w:eastAsia="pt-BR"/>
        </w:rPr>
        <w:t>adição</w:t>
      </w:r>
      <w:r w:rsidRPr="0096738F">
        <w:rPr>
          <w:rFonts w:ascii="Arial" w:eastAsia="Times New Roman" w:hAnsi="Arial" w:cs="Arial"/>
          <w:sz w:val="22"/>
          <w:szCs w:val="22"/>
          <w:lang w:val="pt-PT" w:eastAsia="pt-BR"/>
        </w:rPr>
        <w:t xml:space="preserve"> do capital </w:t>
      </w:r>
      <w:r w:rsidRPr="0096738F">
        <w:rPr>
          <w:rFonts w:ascii="Arial" w:eastAsia="Times New Roman" w:hAnsi="Arial" w:cs="Arial"/>
          <w:bCs/>
          <w:iCs/>
          <w:sz w:val="22"/>
          <w:szCs w:val="22"/>
          <w:lang w:val="pt-PT" w:eastAsia="pt-BR"/>
        </w:rPr>
        <w:t>emitido</w:t>
      </w:r>
      <w:r w:rsidRPr="0096738F">
        <w:rPr>
          <w:rFonts w:ascii="Arial" w:eastAsia="Times New Roman" w:hAnsi="Arial" w:cs="Arial"/>
          <w:sz w:val="22"/>
          <w:szCs w:val="22"/>
          <w:lang w:val="pt-PT" w:eastAsia="pt-BR"/>
        </w:rPr>
        <w:t xml:space="preserve"> da </w:t>
      </w:r>
      <w:r w:rsidRPr="0096738F">
        <w:rPr>
          <w:rFonts w:ascii="Arial" w:eastAsia="Times New Roman" w:hAnsi="Arial" w:cs="Arial"/>
          <w:bCs/>
          <w:iCs/>
          <w:sz w:val="22"/>
          <w:szCs w:val="22"/>
          <w:lang w:val="pt-PT" w:eastAsia="pt-BR"/>
        </w:rPr>
        <w:t>controlada</w:t>
      </w:r>
      <w:r w:rsidRPr="0096738F">
        <w:rPr>
          <w:rFonts w:ascii="Arial" w:eastAsia="Times New Roman" w:hAnsi="Arial" w:cs="Arial"/>
          <w:sz w:val="22"/>
          <w:szCs w:val="22"/>
          <w:lang w:val="pt-PT" w:eastAsia="pt-BR"/>
        </w:rPr>
        <w:t xml:space="preserve"> legal (adquirente contábil</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imediatamente antes da combinação de negócios, com o valor justo da </w:t>
      </w:r>
      <w:r w:rsidRPr="0096738F">
        <w:rPr>
          <w:rFonts w:ascii="Arial" w:eastAsia="Times New Roman" w:hAnsi="Arial" w:cs="Arial"/>
          <w:bCs/>
          <w:iCs/>
          <w:sz w:val="22"/>
          <w:szCs w:val="22"/>
          <w:lang w:val="pt-PT" w:eastAsia="pt-BR"/>
        </w:rPr>
        <w:t>controladora</w:t>
      </w:r>
      <w:r w:rsidRPr="0096738F">
        <w:rPr>
          <w:rFonts w:ascii="Arial" w:eastAsia="Times New Roman" w:hAnsi="Arial" w:cs="Arial"/>
          <w:sz w:val="22"/>
          <w:szCs w:val="22"/>
          <w:lang w:val="pt-PT" w:eastAsia="pt-BR"/>
        </w:rPr>
        <w:t xml:space="preserve"> legal (adquirida contábil). Contudo, a estrutura do capital (ou seja, o número e tipos de ações emitidas) deve refletir a estrutura de capital da controladora legal (adquirida contábil), incluindo as ações que a controladora legal emitiu para efetivar a combinação. Consequentemente, a estrutura de capital da controlada legal (adquirente contábil) é restabelecida utilizando a relação de troca </w:t>
      </w:r>
      <w:r w:rsidRPr="0096738F">
        <w:rPr>
          <w:rFonts w:ascii="Arial" w:eastAsia="Times New Roman" w:hAnsi="Arial" w:cs="Arial"/>
          <w:bCs/>
          <w:iCs/>
          <w:sz w:val="22"/>
          <w:szCs w:val="22"/>
          <w:lang w:val="pt-PT" w:eastAsia="pt-BR"/>
        </w:rPr>
        <w:t xml:space="preserve">(relação de substituição de ações) </w:t>
      </w:r>
      <w:r w:rsidRPr="0096738F">
        <w:rPr>
          <w:rFonts w:ascii="Arial" w:eastAsia="Times New Roman" w:hAnsi="Arial" w:cs="Arial"/>
          <w:sz w:val="22"/>
          <w:szCs w:val="22"/>
          <w:lang w:val="pt-PT" w:eastAsia="pt-BR"/>
        </w:rPr>
        <w:t>estabelecida no acordo de aquisição, para refletir o número de ações da controladora legal (adquirida contábil) emitidas na aquisição reversa</w:t>
      </w:r>
      <w:r>
        <w:rPr>
          <w:rFonts w:ascii="Arial" w:eastAsia="Times New Roman" w:hAnsi="Arial" w:cs="Arial"/>
          <w:sz w:val="22"/>
          <w:szCs w:val="22"/>
          <w:lang w:val="pt-PT" w:eastAsia="pt-BR"/>
        </w:rPr>
        <w:t>;</w:t>
      </w:r>
    </w:p>
    <w:p w14:paraId="53AD1645" w14:textId="77777777" w:rsidR="0096738F" w:rsidRPr="0096738F" w:rsidRDefault="0096738F" w:rsidP="0096738F">
      <w:pPr>
        <w:widowControl w:val="0"/>
        <w:numPr>
          <w:ilvl w:val="0"/>
          <w:numId w:val="2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parte proporcional de não controladores da controlada legal (adquirente contábil) sobre os valores contábeis </w:t>
      </w:r>
      <w:r w:rsidRPr="0096738F">
        <w:rPr>
          <w:rFonts w:ascii="Arial" w:eastAsia="Times New Roman" w:hAnsi="Arial" w:cs="Arial"/>
          <w:bCs/>
          <w:iCs/>
          <w:sz w:val="22"/>
          <w:szCs w:val="22"/>
          <w:lang w:val="pt-PT" w:eastAsia="pt-BR"/>
        </w:rPr>
        <w:t xml:space="preserve">pré-combinação </w:t>
      </w:r>
      <w:r w:rsidRPr="0096738F">
        <w:rPr>
          <w:rFonts w:ascii="Arial" w:eastAsia="Times New Roman" w:hAnsi="Arial" w:cs="Arial"/>
          <w:sz w:val="22"/>
          <w:szCs w:val="22"/>
          <w:lang w:val="pt-PT" w:eastAsia="pt-BR"/>
        </w:rPr>
        <w:t>de lucros retidos e outros componentes do patrimônio líquido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em conformidade com o disposto nos itens B23 e B24.</w:t>
      </w:r>
    </w:p>
    <w:p w14:paraId="323C2D09"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p>
    <w:p w14:paraId="49986F30"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Participação de não controladores</w:t>
      </w:r>
    </w:p>
    <w:p w14:paraId="77EE51C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CC3911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B23.</w:t>
      </w:r>
      <w:r w:rsidRPr="0096738F">
        <w:rPr>
          <w:rFonts w:ascii="Arial" w:eastAsia="Times New Roman" w:hAnsi="Arial" w:cs="Arial"/>
          <w:sz w:val="22"/>
          <w:szCs w:val="22"/>
          <w:lang w:eastAsia="pt-BR"/>
        </w:rPr>
        <w:tab/>
        <w:t>Em uma aquisição reversa, alguns dos proprietários da adquirida legal (adquirente contábil) podem não trocar suas participações societárias por participações societárias na controladora legal (adquirida contábil). Esses proprietários devem ser considerados como participação de não controladores nas demonstrações contábeis consolidadas após a aquisição reversa. Isso porque os proprietários da adquirida legal que não trocaram suas participações societárias por participações societárias no adquirente legal têm somente participação nos resultados e nos ativos líquidos da adquirida legal, e não nos resultados e nos ativos líquidos da entidade combinada. De forma contrária, embora o adquirente legal seja a adquirida para fins contábeis, os proprietários do adquirente legal têm participação nos resultados e nos ativos líquidos da entidade combinada.</w:t>
      </w:r>
    </w:p>
    <w:p w14:paraId="45A0E9F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93C18F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B24.</w:t>
      </w:r>
      <w:r w:rsidRPr="0096738F">
        <w:rPr>
          <w:rFonts w:ascii="Arial" w:eastAsia="Times New Roman" w:hAnsi="Arial" w:cs="Arial"/>
          <w:sz w:val="22"/>
          <w:szCs w:val="22"/>
          <w:lang w:eastAsia="pt-BR"/>
        </w:rPr>
        <w:tab/>
        <w:t xml:space="preserve">Os ativos e os passivos da adquirida legal devem ser mensurados e reconhecidos nas demonstrações contábeis consolidadas pelos seus respectivos valores contábeis pré-combinação – ver item B22(a). Portanto, em uma aquisição reversa, a participação de não controladores deve </w:t>
      </w:r>
      <w:r w:rsidRPr="0096738F">
        <w:rPr>
          <w:rFonts w:ascii="Arial" w:eastAsia="Times New Roman" w:hAnsi="Arial" w:cs="Arial"/>
          <w:sz w:val="22"/>
          <w:szCs w:val="22"/>
          <w:lang w:eastAsia="pt-BR"/>
        </w:rPr>
        <w:lastRenderedPageBreak/>
        <w:t>refletir a parte proporcional destes nos valores contábeis pré-combinação dos ativos líquidos da adquirida legal, ainda que a participação de não controladores em outras aquisições tenha sido mensurada pelo valor justo na data da aquisição.</w:t>
      </w:r>
    </w:p>
    <w:p w14:paraId="2197C2EF"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561E0B90"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Resultado por ação</w:t>
      </w:r>
    </w:p>
    <w:p w14:paraId="59AE6AC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34246F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B25.</w:t>
      </w:r>
      <w:r w:rsidRPr="0096738F">
        <w:rPr>
          <w:rFonts w:ascii="Arial" w:eastAsia="Times New Roman" w:hAnsi="Arial" w:cs="Arial"/>
          <w:sz w:val="22"/>
          <w:szCs w:val="22"/>
          <w:lang w:eastAsia="pt-BR"/>
        </w:rPr>
        <w:tab/>
        <w:t xml:space="preserve">Conforme disposto no item B22(d), a estrutura de capital nas demonstrações contábeis consolidadas subsequente à aquisição reversa deve refletir a estrutura de capital do adquirente legal (adquirida contábil), incluindo as participações societárias emitidas pelo adquirente legal para efetivar a combinação de negócios. </w:t>
      </w:r>
    </w:p>
    <w:p w14:paraId="70A9CEFE"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3D76CEE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B26.</w:t>
      </w:r>
      <w:r w:rsidRPr="0096738F">
        <w:rPr>
          <w:rFonts w:ascii="Arial" w:eastAsia="Times New Roman" w:hAnsi="Arial" w:cs="Arial"/>
          <w:sz w:val="22"/>
          <w:szCs w:val="22"/>
          <w:lang w:eastAsia="pt-BR"/>
        </w:rPr>
        <w:tab/>
        <w:t>No cálculo da média ponderada do número de ações em circulação (o denominador no cálculo do lucro por ação) durante o período em que a aquisição reversa ocorreu, deve ser considerado o que segue:</w:t>
      </w:r>
    </w:p>
    <w:p w14:paraId="11EB30BC" w14:textId="77777777" w:rsidR="0096738F" w:rsidRPr="0096738F" w:rsidRDefault="0096738F" w:rsidP="0096738F">
      <w:pPr>
        <w:widowControl w:val="0"/>
        <w:numPr>
          <w:ilvl w:val="0"/>
          <w:numId w:val="3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número de ações em circulação desde o início </w:t>
      </w:r>
      <w:r w:rsidRPr="0096738F">
        <w:rPr>
          <w:rFonts w:ascii="Arial" w:eastAsia="Times New Roman" w:hAnsi="Arial" w:cs="Arial"/>
          <w:bCs/>
          <w:iCs/>
          <w:sz w:val="22"/>
          <w:szCs w:val="22"/>
          <w:lang w:val="pt-PT" w:eastAsia="pt-BR"/>
        </w:rPr>
        <w:t>desse</w:t>
      </w:r>
      <w:r w:rsidRPr="0096738F">
        <w:rPr>
          <w:rFonts w:ascii="Arial" w:eastAsia="Times New Roman" w:hAnsi="Arial" w:cs="Arial"/>
          <w:sz w:val="22"/>
          <w:szCs w:val="22"/>
          <w:lang w:val="pt-PT" w:eastAsia="pt-BR"/>
        </w:rPr>
        <w:t xml:space="preserve"> período até a data de aquisição deve ser computado com base no número médio ponderado das ações da adquirida legal (adquirente contábil) em circulação durante o período, multiplicado pela relação de troca estabelecida no acordo de aquisição</w:t>
      </w:r>
      <w:r w:rsidRPr="0096738F">
        <w:rPr>
          <w:rFonts w:ascii="Arial" w:eastAsia="Times New Roman" w:hAnsi="Arial" w:cs="Arial"/>
          <w:bCs/>
          <w:iCs/>
          <w:sz w:val="22"/>
          <w:szCs w:val="22"/>
          <w:lang w:val="pt-PT" w:eastAsia="pt-BR"/>
        </w:rPr>
        <w:t xml:space="preserve"> (protocolo de incorporação de ações);</w:t>
      </w:r>
      <w:r w:rsidRPr="0096738F">
        <w:rPr>
          <w:rFonts w:ascii="Arial" w:eastAsia="Times New Roman" w:hAnsi="Arial" w:cs="Arial"/>
          <w:sz w:val="22"/>
          <w:szCs w:val="22"/>
          <w:lang w:val="pt-PT" w:eastAsia="pt-BR"/>
        </w:rPr>
        <w:t xml:space="preserve"> e</w:t>
      </w:r>
    </w:p>
    <w:p w14:paraId="06B9491C" w14:textId="77777777" w:rsidR="0096738F" w:rsidRPr="0096738F" w:rsidRDefault="0096738F" w:rsidP="0096738F">
      <w:pPr>
        <w:widowControl w:val="0"/>
        <w:numPr>
          <w:ilvl w:val="0"/>
          <w:numId w:val="3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número de ações em circulação, a partir da data da aquisição até o final </w:t>
      </w:r>
      <w:r w:rsidRPr="0096738F">
        <w:rPr>
          <w:rFonts w:ascii="Arial" w:eastAsia="Times New Roman" w:hAnsi="Arial" w:cs="Arial"/>
          <w:bCs/>
          <w:iCs/>
          <w:sz w:val="22"/>
          <w:szCs w:val="22"/>
          <w:lang w:val="pt-PT" w:eastAsia="pt-BR"/>
        </w:rPr>
        <w:t>desse</w:t>
      </w:r>
      <w:r w:rsidRPr="0096738F">
        <w:rPr>
          <w:rFonts w:ascii="Arial" w:eastAsia="Times New Roman" w:hAnsi="Arial" w:cs="Arial"/>
          <w:sz w:val="22"/>
          <w:szCs w:val="22"/>
          <w:lang w:val="pt-PT" w:eastAsia="pt-BR"/>
        </w:rPr>
        <w:t xml:space="preserve"> período, deve ser o número atual de ações do adquirente legal (adquirida contábil) em circulação durante </w:t>
      </w:r>
      <w:r w:rsidRPr="0096738F">
        <w:rPr>
          <w:rFonts w:ascii="Arial" w:eastAsia="Times New Roman" w:hAnsi="Arial" w:cs="Arial"/>
          <w:bCs/>
          <w:iCs/>
          <w:sz w:val="22"/>
          <w:szCs w:val="22"/>
          <w:lang w:val="pt-PT" w:eastAsia="pt-BR"/>
        </w:rPr>
        <w:t>esse</w:t>
      </w:r>
      <w:r w:rsidRPr="0096738F">
        <w:rPr>
          <w:rFonts w:ascii="Arial" w:eastAsia="Times New Roman" w:hAnsi="Arial" w:cs="Arial"/>
          <w:sz w:val="22"/>
          <w:szCs w:val="22"/>
          <w:lang w:val="pt-PT" w:eastAsia="pt-BR"/>
        </w:rPr>
        <w:t xml:space="preserve"> período.</w:t>
      </w:r>
    </w:p>
    <w:p w14:paraId="0D365C1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79788D1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B27.</w:t>
      </w:r>
      <w:r w:rsidRPr="0096738F">
        <w:rPr>
          <w:rFonts w:ascii="Arial" w:eastAsia="Times New Roman" w:hAnsi="Arial" w:cs="Arial"/>
          <w:sz w:val="22"/>
          <w:szCs w:val="22"/>
          <w:lang w:eastAsia="pt-BR"/>
        </w:rPr>
        <w:tab/>
        <w:t>O resultado por ação básico para cada período comparativo antes da data da aquisição apresentado nas demonstrações contábeis consolidadas seguintes à aquisição reversa deve ser calculado pela divisão de (a) por (b):</w:t>
      </w:r>
    </w:p>
    <w:p w14:paraId="20C8986C" w14:textId="77777777" w:rsidR="0096738F" w:rsidRPr="0096738F" w:rsidRDefault="0096738F" w:rsidP="0096738F">
      <w:pPr>
        <w:widowControl w:val="0"/>
        <w:numPr>
          <w:ilvl w:val="0"/>
          <w:numId w:val="31"/>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resultado do período da adquirida legal atribuível aos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(por tipo de ação) em cada um dos períodos comparativos;</w:t>
      </w:r>
    </w:p>
    <w:p w14:paraId="4A8C3995" w14:textId="77777777" w:rsidR="0096738F" w:rsidRPr="0096738F" w:rsidRDefault="0096738F" w:rsidP="0096738F">
      <w:pPr>
        <w:widowControl w:val="0"/>
        <w:numPr>
          <w:ilvl w:val="0"/>
          <w:numId w:val="31"/>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número médio ponderado histórico das ações (por tipo de ação) da adquirida legal em circulação, multiplicado pela relação de troca estabelecida no acordo de aquisição</w:t>
      </w:r>
      <w:r w:rsidRPr="0096738F">
        <w:rPr>
          <w:rFonts w:ascii="Arial" w:eastAsia="Times New Roman" w:hAnsi="Arial" w:cs="Arial"/>
          <w:bCs/>
          <w:iCs/>
          <w:sz w:val="22"/>
          <w:szCs w:val="22"/>
          <w:lang w:val="pt-PT" w:eastAsia="pt-BR"/>
        </w:rPr>
        <w:t xml:space="preserve"> (protocolo de incorporação de ações).</w:t>
      </w:r>
    </w:p>
    <w:p w14:paraId="0089D48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42AA4EBA"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 xml:space="preserve">Reconhecimento de </w:t>
      </w:r>
      <w:r w:rsidRPr="0096738F">
        <w:rPr>
          <w:rFonts w:ascii="Arial" w:eastAsia="Times New Roman" w:hAnsi="Arial" w:cs="Arial"/>
          <w:b/>
          <w:sz w:val="22"/>
          <w:szCs w:val="22"/>
          <w:lang w:val="pt-PT" w:eastAsia="pt-BR"/>
        </w:rPr>
        <w:t>ativos adquiridos</w:t>
      </w:r>
      <w:r w:rsidRPr="0096738F">
        <w:rPr>
          <w:rFonts w:ascii="Arial" w:eastAsia="Times New Roman" w:hAnsi="Arial" w:cs="Arial"/>
          <w:b/>
          <w:bCs/>
          <w:iCs/>
          <w:sz w:val="22"/>
          <w:szCs w:val="22"/>
          <w:lang w:val="pt-PT" w:eastAsia="pt-BR"/>
        </w:rPr>
        <w:t xml:space="preserve"> e </w:t>
      </w:r>
      <w:r w:rsidRPr="0096738F">
        <w:rPr>
          <w:rFonts w:ascii="Arial" w:eastAsia="Times New Roman" w:hAnsi="Arial" w:cs="Arial"/>
          <w:b/>
          <w:sz w:val="22"/>
          <w:szCs w:val="22"/>
          <w:lang w:val="pt-PT" w:eastAsia="pt-BR"/>
        </w:rPr>
        <w:t>passivos assumidos específicos</w:t>
      </w:r>
      <w:r w:rsidRPr="0096738F">
        <w:rPr>
          <w:rFonts w:ascii="Arial" w:eastAsia="Times New Roman" w:hAnsi="Arial" w:cs="Arial"/>
          <w:b/>
          <w:bCs/>
          <w:iCs/>
          <w:sz w:val="22"/>
          <w:szCs w:val="22"/>
          <w:lang w:val="pt-PT" w:eastAsia="pt-BR"/>
        </w:rPr>
        <w:t xml:space="preserve"> – aplicação dos itens 10 a 13</w:t>
      </w:r>
    </w:p>
    <w:p w14:paraId="1A9B04B3"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p>
    <w:p w14:paraId="2F3E0CEE" w14:textId="539843E2"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B28</w:t>
      </w:r>
      <w:r w:rsidR="00A27676">
        <w:rPr>
          <w:rFonts w:ascii="Arial" w:eastAsia="Times New Roman" w:hAnsi="Arial" w:cs="Arial"/>
          <w:sz w:val="22"/>
          <w:szCs w:val="22"/>
          <w:lang w:eastAsia="pt-BR"/>
        </w:rPr>
        <w:t xml:space="preserve"> a B30</w:t>
      </w:r>
      <w:r w:rsidRPr="0096738F">
        <w:rPr>
          <w:rFonts w:ascii="Arial" w:eastAsia="Times New Roman" w:hAnsi="Arial" w:cs="Arial"/>
          <w:sz w:val="22"/>
          <w:szCs w:val="22"/>
          <w:lang w:eastAsia="pt-BR"/>
        </w:rPr>
        <w:t>.</w:t>
      </w:r>
      <w:r w:rsidR="00A27676">
        <w:rPr>
          <w:rFonts w:ascii="Arial" w:eastAsia="Times New Roman" w:hAnsi="Arial" w:cs="Arial"/>
          <w:sz w:val="22"/>
          <w:szCs w:val="22"/>
          <w:lang w:eastAsia="pt-BR"/>
        </w:rPr>
        <w:t xml:space="preserve"> (Eliminados)</w:t>
      </w:r>
    </w:p>
    <w:p w14:paraId="7A82C3A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E0211C5"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Ativo intangível</w:t>
      </w:r>
    </w:p>
    <w:p w14:paraId="1070988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A98EE8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B31.</w:t>
      </w:r>
      <w:r w:rsidRPr="0096738F">
        <w:rPr>
          <w:rFonts w:ascii="Arial" w:eastAsia="Times New Roman" w:hAnsi="Arial" w:cs="Arial"/>
          <w:sz w:val="22"/>
          <w:szCs w:val="22"/>
          <w:lang w:eastAsia="pt-BR"/>
        </w:rPr>
        <w:tab/>
        <w:t>O adquirente deve reconhecer,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os ativos intangíveis identificáveis em uma combinação de negócios. Um ativo intangível é identificável se ele atender ao critério de separação ou ao critério legal-contratual.</w:t>
      </w:r>
    </w:p>
    <w:p w14:paraId="680294D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613FA7B" w14:textId="77777777"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B32.</w:t>
      </w:r>
      <w:r w:rsidRPr="0096738F">
        <w:rPr>
          <w:rFonts w:ascii="Arial" w:eastAsia="Times New Roman" w:hAnsi="Arial" w:cs="Arial"/>
          <w:sz w:val="22"/>
          <w:szCs w:val="22"/>
          <w:lang w:val="pt-PT" w:eastAsia="pt-BR"/>
        </w:rPr>
        <w:tab/>
        <w:t>O ativo intangível que atende ao critério legal-contratual é identificável mesmo se ele não puder ser transferido ou separado da adquirida ou de outros direitos e obrigações. Por exemplo:</w:t>
      </w:r>
    </w:p>
    <w:p w14:paraId="077D1163" w14:textId="5E0801D9" w:rsidR="0096738F" w:rsidRPr="0096738F" w:rsidRDefault="00A27676" w:rsidP="0096738F">
      <w:pPr>
        <w:widowControl w:val="0"/>
        <w:numPr>
          <w:ilvl w:val="0"/>
          <w:numId w:val="32"/>
        </w:numPr>
        <w:spacing w:before="0" w:after="0" w:line="240" w:lineRule="auto"/>
        <w:ind w:left="993" w:hanging="426"/>
        <w:rPr>
          <w:rFonts w:ascii="Arial" w:eastAsia="Times New Roman" w:hAnsi="Arial" w:cs="Arial"/>
          <w:sz w:val="22"/>
          <w:szCs w:val="22"/>
          <w:lang w:val="pt-PT" w:eastAsia="pt-BR"/>
        </w:rPr>
      </w:pPr>
      <w:r>
        <w:rPr>
          <w:rFonts w:ascii="Arial" w:eastAsia="Times New Roman" w:hAnsi="Arial" w:cs="Arial"/>
          <w:sz w:val="22"/>
          <w:szCs w:val="22"/>
          <w:lang w:val="pt-PT" w:eastAsia="pt-BR"/>
        </w:rPr>
        <w:t>(eliminada);</w:t>
      </w:r>
    </w:p>
    <w:p w14:paraId="6410A821" w14:textId="77777777" w:rsidR="0096738F" w:rsidRPr="0096738F" w:rsidRDefault="0096738F" w:rsidP="0096738F">
      <w:pPr>
        <w:widowControl w:val="0"/>
        <w:numPr>
          <w:ilvl w:val="0"/>
          <w:numId w:val="3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adquirida possui e opera uma </w:t>
      </w:r>
      <w:r w:rsidRPr="0096738F">
        <w:rPr>
          <w:rFonts w:ascii="Arial" w:eastAsia="Times New Roman" w:hAnsi="Arial" w:cs="Arial"/>
          <w:bCs/>
          <w:iCs/>
          <w:sz w:val="22"/>
          <w:szCs w:val="22"/>
          <w:lang w:val="pt-PT" w:eastAsia="pt-BR"/>
        </w:rPr>
        <w:t>usina</w:t>
      </w:r>
      <w:r w:rsidRPr="0096738F">
        <w:rPr>
          <w:rFonts w:ascii="Arial" w:eastAsia="Times New Roman" w:hAnsi="Arial" w:cs="Arial"/>
          <w:sz w:val="22"/>
          <w:szCs w:val="22"/>
          <w:lang w:val="pt-PT" w:eastAsia="pt-BR"/>
        </w:rPr>
        <w:t xml:space="preserve"> geradora de energia nuclear. A licença para operar essa </w:t>
      </w:r>
      <w:r w:rsidRPr="0096738F">
        <w:rPr>
          <w:rFonts w:ascii="Arial" w:eastAsia="Times New Roman" w:hAnsi="Arial" w:cs="Arial"/>
          <w:bCs/>
          <w:iCs/>
          <w:sz w:val="22"/>
          <w:szCs w:val="22"/>
          <w:lang w:val="pt-PT" w:eastAsia="pt-BR"/>
        </w:rPr>
        <w:t>usina</w:t>
      </w:r>
      <w:r w:rsidRPr="0096738F">
        <w:rPr>
          <w:rFonts w:ascii="Arial" w:eastAsia="Times New Roman" w:hAnsi="Arial" w:cs="Arial"/>
          <w:sz w:val="22"/>
          <w:szCs w:val="22"/>
          <w:lang w:val="pt-PT" w:eastAsia="pt-BR"/>
        </w:rPr>
        <w:t xml:space="preserve"> é um ativo intangível que atende ao critério contratual-legal para seu </w:t>
      </w:r>
      <w:r w:rsidRPr="0096738F">
        <w:rPr>
          <w:rFonts w:ascii="Arial" w:eastAsia="Times New Roman" w:hAnsi="Arial" w:cs="Arial"/>
          <w:sz w:val="22"/>
          <w:szCs w:val="22"/>
          <w:lang w:val="pt-PT" w:eastAsia="pt-BR"/>
        </w:rPr>
        <w:lastRenderedPageBreak/>
        <w:t xml:space="preserve">reconhecimento separado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mesmo que o adquirente não possa vender ou transferir essa licença separadamente da </w:t>
      </w:r>
      <w:r w:rsidRPr="0096738F">
        <w:rPr>
          <w:rFonts w:ascii="Arial" w:eastAsia="Times New Roman" w:hAnsi="Arial" w:cs="Arial"/>
          <w:bCs/>
          <w:iCs/>
          <w:sz w:val="22"/>
          <w:szCs w:val="22"/>
          <w:lang w:val="pt-PT" w:eastAsia="pt-BR"/>
        </w:rPr>
        <w:t>usina geradora</w:t>
      </w:r>
      <w:r w:rsidRPr="0096738F">
        <w:rPr>
          <w:rFonts w:ascii="Arial" w:eastAsia="Times New Roman" w:hAnsi="Arial" w:cs="Arial"/>
          <w:sz w:val="22"/>
          <w:szCs w:val="22"/>
          <w:lang w:val="pt-PT" w:eastAsia="pt-BR"/>
        </w:rPr>
        <w:t xml:space="preserve"> de energia </w:t>
      </w:r>
      <w:r w:rsidRPr="0096738F">
        <w:rPr>
          <w:rFonts w:ascii="Arial" w:eastAsia="Times New Roman" w:hAnsi="Arial" w:cs="Arial"/>
          <w:bCs/>
          <w:iCs/>
          <w:sz w:val="22"/>
          <w:szCs w:val="22"/>
          <w:lang w:val="pt-PT" w:eastAsia="pt-BR"/>
        </w:rPr>
        <w:t xml:space="preserve">nuclear </w:t>
      </w:r>
      <w:r w:rsidRPr="0096738F">
        <w:rPr>
          <w:rFonts w:ascii="Arial" w:eastAsia="Times New Roman" w:hAnsi="Arial" w:cs="Arial"/>
          <w:sz w:val="22"/>
          <w:szCs w:val="22"/>
          <w:lang w:val="pt-PT" w:eastAsia="pt-BR"/>
        </w:rPr>
        <w:t xml:space="preserve">adquirida. O adquirente pode reconhecer o valor justo da licença de operação e o valor justo da </w:t>
      </w:r>
      <w:r w:rsidRPr="0096738F">
        <w:rPr>
          <w:rFonts w:ascii="Arial" w:eastAsia="Times New Roman" w:hAnsi="Arial" w:cs="Arial"/>
          <w:bCs/>
          <w:iCs/>
          <w:sz w:val="22"/>
          <w:szCs w:val="22"/>
          <w:lang w:val="pt-PT" w:eastAsia="pt-BR"/>
        </w:rPr>
        <w:t>usina geradora</w:t>
      </w:r>
      <w:r w:rsidRPr="0096738F">
        <w:rPr>
          <w:rFonts w:ascii="Arial" w:eastAsia="Times New Roman" w:hAnsi="Arial" w:cs="Arial"/>
          <w:sz w:val="22"/>
          <w:szCs w:val="22"/>
          <w:lang w:val="pt-PT" w:eastAsia="pt-BR"/>
        </w:rPr>
        <w:t xml:space="preserve"> de energia</w:t>
      </w:r>
      <w:r w:rsidRPr="0096738F">
        <w:rPr>
          <w:rFonts w:ascii="Arial" w:eastAsia="Times New Roman" w:hAnsi="Arial" w:cs="Arial"/>
          <w:bCs/>
          <w:iCs/>
          <w:sz w:val="22"/>
          <w:szCs w:val="22"/>
          <w:lang w:val="pt-PT" w:eastAsia="pt-BR"/>
        </w:rPr>
        <w:t xml:space="preserve"> nuclear</w:t>
      </w:r>
      <w:r w:rsidRPr="0096738F">
        <w:rPr>
          <w:rFonts w:ascii="Arial" w:eastAsia="Times New Roman" w:hAnsi="Arial" w:cs="Arial"/>
          <w:sz w:val="22"/>
          <w:szCs w:val="22"/>
          <w:lang w:val="pt-PT" w:eastAsia="pt-BR"/>
        </w:rPr>
        <w:t xml:space="preserve"> como único ativo para fins de demonstrações contábeis, caso a vida útil econômica de ambos os ativos </w:t>
      </w:r>
      <w:r w:rsidRPr="0096738F">
        <w:rPr>
          <w:rFonts w:ascii="Arial" w:eastAsia="Times New Roman" w:hAnsi="Arial" w:cs="Arial"/>
          <w:bCs/>
          <w:iCs/>
          <w:sz w:val="22"/>
          <w:szCs w:val="22"/>
          <w:lang w:val="pt-PT" w:eastAsia="pt-BR"/>
        </w:rPr>
        <w:t>seja similar;</w:t>
      </w:r>
    </w:p>
    <w:p w14:paraId="6E0ED76C" w14:textId="77777777" w:rsidR="0096738F" w:rsidRPr="0096738F" w:rsidRDefault="0096738F" w:rsidP="0096738F">
      <w:pPr>
        <w:widowControl w:val="0"/>
        <w:numPr>
          <w:ilvl w:val="0"/>
          <w:numId w:val="32"/>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adquirida possui a patente de determinada tecnologia que foi licenciada para terceiros exclusivamente para uso fora do mercado doméstico. Em contrapartida, a adquirida recebe percentagem específica das receitas </w:t>
      </w:r>
      <w:r w:rsidRPr="0096738F">
        <w:rPr>
          <w:rFonts w:ascii="Arial" w:eastAsia="Times New Roman" w:hAnsi="Arial" w:cs="Arial"/>
          <w:bCs/>
          <w:iCs/>
          <w:sz w:val="22"/>
          <w:szCs w:val="22"/>
          <w:lang w:val="pt-PT" w:eastAsia="pt-BR"/>
        </w:rPr>
        <w:t>futuras a serem auferidas por</w:t>
      </w:r>
      <w:r w:rsidRPr="0096738F">
        <w:rPr>
          <w:rFonts w:ascii="Arial" w:eastAsia="Times New Roman" w:hAnsi="Arial" w:cs="Arial"/>
          <w:sz w:val="22"/>
          <w:szCs w:val="22"/>
          <w:lang w:val="pt-PT" w:eastAsia="pt-BR"/>
        </w:rPr>
        <w:t xml:space="preserve"> terceiros. Nesse caso, a patente e a licença atendem ao critério contratual-legal para o reconhecimento como ativo, separadamente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mesmo </w:t>
      </w:r>
      <w:r w:rsidRPr="0096738F">
        <w:rPr>
          <w:rFonts w:ascii="Arial" w:eastAsia="Times New Roman" w:hAnsi="Arial" w:cs="Arial"/>
          <w:bCs/>
          <w:iCs/>
          <w:sz w:val="22"/>
          <w:szCs w:val="22"/>
          <w:lang w:val="pt-PT" w:eastAsia="pt-BR"/>
        </w:rPr>
        <w:t xml:space="preserve">que </w:t>
      </w:r>
      <w:r w:rsidRPr="0096738F">
        <w:rPr>
          <w:rFonts w:ascii="Arial" w:eastAsia="Times New Roman" w:hAnsi="Arial" w:cs="Arial"/>
          <w:sz w:val="22"/>
          <w:szCs w:val="22"/>
          <w:lang w:val="pt-PT" w:eastAsia="pt-BR"/>
        </w:rPr>
        <w:t xml:space="preserve">não </w:t>
      </w:r>
      <w:r w:rsidRPr="0096738F">
        <w:rPr>
          <w:rFonts w:ascii="Arial" w:eastAsia="Times New Roman" w:hAnsi="Arial" w:cs="Arial"/>
          <w:bCs/>
          <w:iCs/>
          <w:sz w:val="22"/>
          <w:szCs w:val="22"/>
          <w:lang w:val="pt-PT" w:eastAsia="pt-BR"/>
        </w:rPr>
        <w:t>seja</w:t>
      </w:r>
      <w:r w:rsidRPr="0096738F">
        <w:rPr>
          <w:rFonts w:ascii="Arial" w:eastAsia="Times New Roman" w:hAnsi="Arial" w:cs="Arial"/>
          <w:sz w:val="22"/>
          <w:szCs w:val="22"/>
          <w:lang w:val="pt-PT" w:eastAsia="pt-BR"/>
        </w:rPr>
        <w:t xml:space="preserve"> possível vender ou trocar a patente separadamente da licença.</w:t>
      </w:r>
    </w:p>
    <w:p w14:paraId="4A6B377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E3C3D3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B33.</w:t>
      </w:r>
      <w:r w:rsidRPr="0096738F">
        <w:rPr>
          <w:rFonts w:ascii="Arial" w:eastAsia="Times New Roman" w:hAnsi="Arial" w:cs="Arial"/>
          <w:sz w:val="22"/>
          <w:szCs w:val="22"/>
          <w:lang w:eastAsia="pt-BR"/>
        </w:rPr>
        <w:tab/>
        <w:t>O critério de separação implica que um ativo intangível adquirido seja capaz de ser separado ou dividido da adquirida e vendido, transferido, licenciado, alugado ou trocado individualmente ou em conjunto com um contrato relacionado com um ativo ou com um passivo identificável. Um ativo intangível em que o adquirente é capaz de vender, licenciar ou trocar por outro recurso de valor, atende ao critério da separação, mesmo que o adquirente não pretenda vender, licenciar ou trocar esse ativo. Um ativo intangível adquirido atende ao critério de separação quando existirem evidências de operações de troca para esse tipo de ativo ou similar, mesmo que essas operações não sejam frequentes e independentemente de o adquirente estar ou não envolvido nessas operações. Por exemplo, carteiras de clientes ou listas de assinantes são frequentemente licenciadas e, portanto, atendem ao critério da separação. Mesmo que a adquirida acredite que sua carteira de clientes tem características diferentes das demais carteiras de clientes, o fato de a carteira de clientes ser frequentemente licenciada geralmente significa que a carteira de clientes adquirida na combinação atende ao critério de separação. Contudo, uma carteira de clientes adquirida em uma combinação de negócios não atende ao critério de separação se os termos e condições de confidencialidade ou de outros acordos restringem ou proíbem a entidade de vender, arrendar ou trocar informações sobre esses clientes.</w:t>
      </w:r>
    </w:p>
    <w:p w14:paraId="3805C83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0DEC04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B34.</w:t>
      </w:r>
      <w:r w:rsidRPr="0096738F">
        <w:rPr>
          <w:rFonts w:ascii="Arial" w:eastAsia="Times New Roman" w:hAnsi="Arial" w:cs="Arial"/>
          <w:sz w:val="22"/>
          <w:szCs w:val="22"/>
          <w:lang w:eastAsia="pt-BR"/>
        </w:rPr>
        <w:tab/>
        <w:t>Um ativo intangível que não é individualmente separável da adquirida ou das demais entidades combinadas ainda pode atender ao critério de separação quando ele for separável em conjunto com um contrato relacionado, ativo ou passivo identificável. Por exemplo:</w:t>
      </w:r>
    </w:p>
    <w:p w14:paraId="0C82EC30" w14:textId="77777777" w:rsidR="0096738F" w:rsidRPr="0096738F" w:rsidRDefault="0096738F" w:rsidP="0096738F">
      <w:pPr>
        <w:widowControl w:val="0"/>
        <w:numPr>
          <w:ilvl w:val="0"/>
          <w:numId w:val="33"/>
        </w:numPr>
        <w:spacing w:before="0" w:after="0" w:line="240" w:lineRule="auto"/>
        <w:ind w:left="992" w:hanging="425"/>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em operações de troca observáveis, participantes do mercado trocam depósitos passivos e o ativo intangível decorrente do relacionamento com os depositantes. Portanto, o adquirente deve reconhecer o ativo intangível relativo ao relacionamento com os depositantes separadamente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p w14:paraId="15ABAE1B" w14:textId="77777777" w:rsidR="0096738F" w:rsidRPr="0096738F" w:rsidRDefault="0096738F" w:rsidP="0096738F">
      <w:pPr>
        <w:widowControl w:val="0"/>
        <w:numPr>
          <w:ilvl w:val="0"/>
          <w:numId w:val="33"/>
        </w:numPr>
        <w:spacing w:before="0" w:after="0" w:line="240" w:lineRule="auto"/>
        <w:ind w:left="992" w:hanging="425"/>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adquirida possui marca registrada e especialização técnica documentada </w:t>
      </w:r>
      <w:r w:rsidRPr="0096738F">
        <w:rPr>
          <w:rFonts w:ascii="Arial" w:eastAsia="Times New Roman" w:hAnsi="Arial" w:cs="Arial"/>
          <w:bCs/>
          <w:iCs/>
          <w:sz w:val="22"/>
          <w:szCs w:val="22"/>
          <w:lang w:val="pt-PT" w:eastAsia="pt-BR"/>
        </w:rPr>
        <w:t>porém</w:t>
      </w:r>
      <w:r w:rsidRPr="0096738F">
        <w:rPr>
          <w:rFonts w:ascii="Arial" w:eastAsia="Times New Roman" w:hAnsi="Arial" w:cs="Arial"/>
          <w:sz w:val="22"/>
          <w:szCs w:val="22"/>
          <w:lang w:val="pt-PT" w:eastAsia="pt-BR"/>
        </w:rPr>
        <w:t xml:space="preserve"> não patenteada, </w:t>
      </w:r>
      <w:r w:rsidRPr="0096738F">
        <w:rPr>
          <w:rFonts w:ascii="Arial" w:eastAsia="Times New Roman" w:hAnsi="Arial" w:cs="Arial"/>
          <w:bCs/>
          <w:iCs/>
          <w:sz w:val="22"/>
          <w:szCs w:val="22"/>
          <w:lang w:val="pt-PT" w:eastAsia="pt-BR"/>
        </w:rPr>
        <w:t>utilizada</w:t>
      </w:r>
      <w:r w:rsidRPr="0096738F">
        <w:rPr>
          <w:rFonts w:ascii="Arial" w:eastAsia="Times New Roman" w:hAnsi="Arial" w:cs="Arial"/>
          <w:sz w:val="22"/>
          <w:szCs w:val="22"/>
          <w:lang w:val="pt-PT" w:eastAsia="pt-BR"/>
        </w:rPr>
        <w:t xml:space="preserve"> na fabricação de produtos </w:t>
      </w:r>
      <w:r w:rsidRPr="0096738F">
        <w:rPr>
          <w:rFonts w:ascii="Arial" w:eastAsia="Times New Roman" w:hAnsi="Arial" w:cs="Arial"/>
          <w:bCs/>
          <w:iCs/>
          <w:sz w:val="22"/>
          <w:szCs w:val="22"/>
          <w:lang w:val="pt-PT" w:eastAsia="pt-BR"/>
        </w:rPr>
        <w:t>associados à marca registrada.</w:t>
      </w:r>
      <w:r w:rsidRPr="0096738F">
        <w:rPr>
          <w:rFonts w:ascii="Arial" w:eastAsia="Times New Roman" w:hAnsi="Arial" w:cs="Arial"/>
          <w:sz w:val="22"/>
          <w:szCs w:val="22"/>
          <w:lang w:val="pt-PT" w:eastAsia="pt-BR"/>
        </w:rPr>
        <w:t xml:space="preserve"> Para transferir a titularidade da marca registrada, seu proprietário precisa também transferir tudo o mais que for necessário para que o novo proprietário </w:t>
      </w:r>
      <w:r w:rsidRPr="0096738F">
        <w:rPr>
          <w:rFonts w:ascii="Arial" w:eastAsia="Times New Roman" w:hAnsi="Arial" w:cs="Arial"/>
          <w:bCs/>
          <w:iCs/>
          <w:sz w:val="22"/>
          <w:szCs w:val="22"/>
          <w:lang w:val="pt-PT" w:eastAsia="pt-BR"/>
        </w:rPr>
        <w:t xml:space="preserve">seja capaz de </w:t>
      </w:r>
      <w:r w:rsidRPr="0096738F">
        <w:rPr>
          <w:rFonts w:ascii="Arial" w:eastAsia="Times New Roman" w:hAnsi="Arial" w:cs="Arial"/>
          <w:sz w:val="22"/>
          <w:szCs w:val="22"/>
          <w:lang w:val="pt-PT" w:eastAsia="pt-BR"/>
        </w:rPr>
        <w:t>fabricar o mesmo produto</w:t>
      </w:r>
      <w:r w:rsidRPr="0096738F">
        <w:rPr>
          <w:rFonts w:ascii="Arial" w:eastAsia="Times New Roman" w:hAnsi="Arial" w:cs="Arial"/>
          <w:bCs/>
          <w:iCs/>
          <w:sz w:val="22"/>
          <w:szCs w:val="22"/>
          <w:lang w:val="pt-PT" w:eastAsia="pt-BR"/>
        </w:rPr>
        <w:t xml:space="preserve"> ou prestar o mesmo serviço sem qualquer distinção daquele fabricado ou prestado pelo antigo proprietário. Em decorrência de a</w:t>
      </w:r>
      <w:r w:rsidRPr="0096738F">
        <w:rPr>
          <w:rFonts w:ascii="Arial" w:eastAsia="Times New Roman" w:hAnsi="Arial" w:cs="Arial"/>
          <w:sz w:val="22"/>
          <w:szCs w:val="22"/>
          <w:lang w:val="pt-PT" w:eastAsia="pt-BR"/>
        </w:rPr>
        <w:t xml:space="preserve"> especialização técnica não patenteada </w:t>
      </w:r>
      <w:r w:rsidRPr="0096738F">
        <w:rPr>
          <w:rFonts w:ascii="Arial" w:eastAsia="Times New Roman" w:hAnsi="Arial" w:cs="Arial"/>
          <w:bCs/>
          <w:iCs/>
          <w:sz w:val="22"/>
          <w:szCs w:val="22"/>
          <w:lang w:val="pt-PT" w:eastAsia="pt-BR"/>
        </w:rPr>
        <w:t xml:space="preserve">ter que ser separada </w:t>
      </w:r>
      <w:r w:rsidRPr="0096738F">
        <w:rPr>
          <w:rFonts w:ascii="Arial" w:eastAsia="Times New Roman" w:hAnsi="Arial" w:cs="Arial"/>
          <w:sz w:val="22"/>
          <w:szCs w:val="22"/>
          <w:lang w:val="pt-PT" w:eastAsia="pt-BR"/>
        </w:rPr>
        <w:t>da adquirida</w:t>
      </w:r>
      <w:r w:rsidRPr="0096738F">
        <w:rPr>
          <w:rFonts w:ascii="Arial" w:eastAsia="Times New Roman" w:hAnsi="Arial" w:cs="Arial"/>
          <w:bCs/>
          <w:iCs/>
          <w:sz w:val="22"/>
          <w:szCs w:val="22"/>
          <w:lang w:val="pt-PT" w:eastAsia="pt-BR"/>
        </w:rPr>
        <w:t xml:space="preserve">, ou da entidade combinada, e ter que ser vendida, caso a </w:t>
      </w:r>
      <w:r w:rsidRPr="0096738F">
        <w:rPr>
          <w:rFonts w:ascii="Arial" w:eastAsia="Times New Roman" w:hAnsi="Arial" w:cs="Arial"/>
          <w:sz w:val="22"/>
          <w:szCs w:val="22"/>
          <w:lang w:val="pt-PT" w:eastAsia="pt-BR"/>
        </w:rPr>
        <w:t>marca registrada</w:t>
      </w:r>
      <w:r w:rsidRPr="0096738F">
        <w:rPr>
          <w:rFonts w:ascii="Arial" w:eastAsia="Times New Roman" w:hAnsi="Arial" w:cs="Arial"/>
          <w:bCs/>
          <w:iCs/>
          <w:sz w:val="22"/>
          <w:szCs w:val="22"/>
          <w:lang w:val="pt-PT" w:eastAsia="pt-BR"/>
        </w:rPr>
        <w:t xml:space="preserve"> relacionada seja vendida, ela</w:t>
      </w:r>
      <w:r w:rsidRPr="0096738F">
        <w:rPr>
          <w:rFonts w:ascii="Arial" w:eastAsia="Times New Roman" w:hAnsi="Arial" w:cs="Arial"/>
          <w:sz w:val="22"/>
          <w:szCs w:val="22"/>
          <w:lang w:val="pt-PT" w:eastAsia="pt-BR"/>
        </w:rPr>
        <w:t xml:space="preserve"> atende ao critério de separação.</w:t>
      </w:r>
    </w:p>
    <w:p w14:paraId="7642EBEA"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p>
    <w:p w14:paraId="0061735C"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Direito readquirido</w:t>
      </w:r>
    </w:p>
    <w:p w14:paraId="359353E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007C48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lastRenderedPageBreak/>
        <w:t>B35.</w:t>
      </w:r>
      <w:r w:rsidRPr="0096738F">
        <w:rPr>
          <w:rFonts w:ascii="Arial" w:eastAsia="Times New Roman" w:hAnsi="Arial" w:cs="Arial"/>
          <w:sz w:val="22"/>
          <w:szCs w:val="22"/>
          <w:lang w:eastAsia="pt-BR"/>
        </w:rPr>
        <w:tab/>
        <w:t>Como parte de uma combinação de negócios, o adquirente pode readquirir direitos de uso que haviam sido anteriormente outorgados à adquirida sobre um ou mais ativos do adquirente, reconhecidos ou não. Exemplos de tais direitos incluem direito de uso da marca do adquirente por meio de contrato de franquia ou direito de uso de tecnologia do adquirente por meio de licença. O direito readquirido é um ativo intangível identificável que o adquirente reconhece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 item 29 orienta sobre a mensuração de direito readquirido e o item 55 orienta sobre a contabilização subsequente de direito readquirido.</w:t>
      </w:r>
    </w:p>
    <w:p w14:paraId="750C3D7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19E31B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B36.</w:t>
      </w:r>
      <w:r w:rsidRPr="0096738F">
        <w:rPr>
          <w:rFonts w:ascii="Arial" w:eastAsia="Times New Roman" w:hAnsi="Arial" w:cs="Arial"/>
          <w:sz w:val="22"/>
          <w:szCs w:val="22"/>
          <w:lang w:eastAsia="pt-BR"/>
        </w:rPr>
        <w:tab/>
        <w:t>Se os termos e as condições de um contrato que dão origem a um direito readquirido forem favoráveis ou desfavoráveis em relação às condições correntes do mercado para itens iguais ou similares, o adquirente deve reconhecer ganho ou perda pela liquidação do direito anteriormente outorgado. O item B52 orienta sobre a mensuração desses ganhos ou perdas de liquidação.</w:t>
      </w:r>
    </w:p>
    <w:p w14:paraId="5CE69B63"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
          <w:iCs/>
          <w:sz w:val="22"/>
          <w:szCs w:val="22"/>
          <w:lang w:val="pt-PT" w:eastAsia="pt-BR"/>
        </w:rPr>
      </w:pPr>
    </w:p>
    <w:p w14:paraId="15E417AF" w14:textId="77777777" w:rsidR="0096738F" w:rsidRPr="0096738F" w:rsidRDefault="0096738F" w:rsidP="0096738F">
      <w:pPr>
        <w:widowControl w:val="0"/>
        <w:tabs>
          <w:tab w:val="left" w:pos="0"/>
        </w:tabs>
        <w:spacing w:before="0" w:after="0" w:line="240" w:lineRule="auto"/>
        <w:ind w:firstLine="0"/>
        <w:jc w:val="left"/>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Força de trabalho e outros itens não identificáveis</w:t>
      </w:r>
    </w:p>
    <w:p w14:paraId="6A6D4B9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DF9065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B37.</w:t>
      </w:r>
      <w:r w:rsidRPr="0096738F">
        <w:rPr>
          <w:rFonts w:ascii="Arial" w:eastAsia="Times New Roman" w:hAnsi="Arial" w:cs="Arial"/>
          <w:sz w:val="22"/>
          <w:szCs w:val="22"/>
          <w:lang w:eastAsia="pt-BR"/>
        </w:rPr>
        <w:tab/>
        <w:t>O adquirente deve incorporar ao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 valor de um ativo intangível adquirido que não seja identificável na data da aquisição. Por exemplo, o adquirente pode atribuir valor à existência de força de trabalho organizada, a qual é um conjunto de empregados que permite que o adquirente continue a operar o negócio a partir da data da aquisição. Um conjunto de empregados não representa o capital intelectual de uma força de trabalho especializada - o conhecimento e a experiência (frequentemente especializados) que os empregados da adquirida trazem para seus trabalhos. Em razão de a força de trabalho organizada não se constituir em um ativo identificável para ser reconhecido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qualquer valor que lhe seja atribuído deve integrar 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w:t>
      </w:r>
    </w:p>
    <w:p w14:paraId="557428F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453856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B38.</w:t>
      </w:r>
      <w:r w:rsidRPr="0096738F">
        <w:rPr>
          <w:rFonts w:ascii="Arial" w:eastAsia="Times New Roman" w:hAnsi="Arial" w:cs="Arial"/>
          <w:sz w:val="22"/>
          <w:szCs w:val="22"/>
          <w:lang w:eastAsia="pt-BR"/>
        </w:rPr>
        <w:tab/>
        <w:t>O adquirente também incorpora ao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qualquer valor atribuído a itens que não se qualificam como ativos na data da aquisição. Por exemplo, o adquirente pode atribuir valor a potenciais contratos que a adquirida esteja negociando com novos clientes em perspectiva na data da aquisição. Em decorrência de os potenciais contratos não se constituírem em ativo na data da aquisição, o adquirente não deve reconhecer os potenciais contratos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 adquirente também não deve reclassificar subsequentemente o valor desses potenciais contratos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por conta de eventos que ocorrerem após a data da aquisição. Contudo, o adquirente deve avaliar os fatos e as circunstâncias relativos a eventos que ocorrerem imediatamente após a aquisição para determinar se existia ativo intangível passível de reconhecimento em separado na data da aquisição.</w:t>
      </w:r>
    </w:p>
    <w:p w14:paraId="7330E6A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60D7DA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B39.</w:t>
      </w:r>
      <w:r w:rsidRPr="0096738F">
        <w:rPr>
          <w:rFonts w:ascii="Arial" w:eastAsia="Times New Roman" w:hAnsi="Arial" w:cs="Arial"/>
          <w:sz w:val="22"/>
          <w:szCs w:val="22"/>
          <w:lang w:eastAsia="pt-BR"/>
        </w:rPr>
        <w:tab/>
        <w:t>Após o reconhecimento inicial, o adquirente deve contabilizar os ativos intangíveis adquiridos em uma combinação de negócios em conformidade com o Pronunciamento Técnico CPC 04 – Ativo Intangível. Contudo, conforme previsto no item 3 do CPC 04, a contabilização de alguns ativos intangíveis adquiridos após o reconhecimento inicial é estabelecida por outros Pronunciamentos Técnicos, Interpretações e Orientações do CPC.</w:t>
      </w:r>
    </w:p>
    <w:p w14:paraId="3E99E8D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8381593" w14:textId="41D8117A"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 xml:space="preserve">B40. </w:t>
      </w:r>
      <w:r w:rsidRPr="0096738F">
        <w:rPr>
          <w:rFonts w:ascii="Arial" w:eastAsia="Times New Roman" w:hAnsi="Arial" w:cs="Arial"/>
          <w:sz w:val="22"/>
          <w:szCs w:val="22"/>
          <w:lang w:eastAsia="pt-BR"/>
        </w:rPr>
        <w:tab/>
        <w:t xml:space="preserve">O critério de identificação determina se um ativo intangível deve ser reconhecido separadamente do ágio por expectativa de rentabilidade futura (goodwill). Contudo, o critério não fornece </w:t>
      </w:r>
      <w:r w:rsidRPr="0096738F">
        <w:rPr>
          <w:rFonts w:ascii="Arial" w:eastAsia="Times New Roman" w:hAnsi="Arial" w:cs="Arial"/>
          <w:sz w:val="22"/>
          <w:szCs w:val="22"/>
          <w:lang w:eastAsia="pt-BR"/>
        </w:rPr>
        <w:lastRenderedPageBreak/>
        <w:t xml:space="preserve">orientações acerca da mensuração do valor justo de ativo intangível, nem tampouco restringe as premissas usadas na mensuração desse valor justo. Por exemplo, o adquirente deve considerar premissas que participantes do mercado usariam na precificação do ativo intangível, tais como expectativas de futuras renovações contratuais, na mensuração do valor justo. Não é requerido que sejam renováveis para que atendam ao critério de identificação. (Contudo, o disposto no item 29 estabelece uma exceção ao princípio de mensuração, para o caso de direitos readquiridos reconhecidos em uma combinação de negócios). Os itens 36 e 37 do Pronunciamento Técnico CPC 04 – Ativo Intangível fornecem orientações para determinar se um ativo intangível deve ser combinado em uma única unidade de registro contábil em conjunto com outros ativos intangíveis ou tangíveis. </w:t>
      </w:r>
    </w:p>
    <w:p w14:paraId="0AA05DD4"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453C550C"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Mensuração do valor justo de determinado ativo identificável e da participação de não controladores na adquirida – aplicação dos itens 18 e 19</w:t>
      </w:r>
    </w:p>
    <w:p w14:paraId="36978EB1"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p>
    <w:p w14:paraId="6F49F444"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sz w:val="22"/>
          <w:szCs w:val="22"/>
          <w:lang w:val="pt-PT" w:eastAsia="pt-BR"/>
        </w:rPr>
        <w:t>Ativos com fluxos de caixa incertos (ajuste</w:t>
      </w:r>
      <w:r w:rsidRPr="0096738F">
        <w:rPr>
          <w:rFonts w:ascii="Arial" w:eastAsia="Times New Roman" w:hAnsi="Arial" w:cs="Arial"/>
          <w:b/>
          <w:bCs/>
          <w:iCs/>
          <w:sz w:val="22"/>
          <w:szCs w:val="22"/>
          <w:lang w:val="pt-PT" w:eastAsia="pt-BR"/>
        </w:rPr>
        <w:t xml:space="preserve"> para </w:t>
      </w:r>
      <w:r w:rsidRPr="0096738F">
        <w:rPr>
          <w:rFonts w:ascii="Arial" w:eastAsia="Times New Roman" w:hAnsi="Arial" w:cs="Arial"/>
          <w:b/>
          <w:sz w:val="22"/>
          <w:szCs w:val="22"/>
          <w:lang w:val="pt-PT" w:eastAsia="pt-BR"/>
        </w:rPr>
        <w:t>perdas</w:t>
      </w:r>
      <w:r w:rsidRPr="0096738F">
        <w:rPr>
          <w:rFonts w:ascii="Arial" w:eastAsia="Times New Roman" w:hAnsi="Arial" w:cs="Arial"/>
          <w:b/>
          <w:bCs/>
          <w:iCs/>
          <w:sz w:val="22"/>
          <w:szCs w:val="22"/>
          <w:lang w:val="pt-PT" w:eastAsia="pt-BR"/>
        </w:rPr>
        <w:t>)</w:t>
      </w:r>
    </w:p>
    <w:p w14:paraId="032CB7F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CD036C2" w14:textId="01975CBA"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B41.</w:t>
      </w:r>
      <w:r w:rsidRPr="0096738F">
        <w:rPr>
          <w:rFonts w:ascii="Arial" w:eastAsia="Times New Roman" w:hAnsi="Arial" w:cs="Arial"/>
          <w:sz w:val="22"/>
          <w:szCs w:val="22"/>
          <w:lang w:val="pt-PT" w:eastAsia="pt-BR"/>
        </w:rPr>
        <w:tab/>
        <w:t xml:space="preserve">O adquirente não deve reconhecer a avaliação separada de ajustes para perdas, na data da aquisição, para ativos adquiridos em combinação de negócios que são mensurados ao valor justo na data da aquisição, em decorrência de os efeitos das incertezas acerca dos fluxos de caixa futuros já estarem incluídos no valor justo mensurado. Por exemplo, em razão de este pronunciamento exigir que o adquirente mensure os recebíveis adquiridos, incluindo os empréstimos, ao seu valor justo na data da aquisição de combinação de negócios, o adquirente não deve reconhecer a avaliação separada de ajustes para perdas para fluxos de caixa contratuais, que sejam considerados incobráveis naquela data, nem a provisão para perdas de crédito esperadas. </w:t>
      </w:r>
    </w:p>
    <w:p w14:paraId="1AD1842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72C861B3"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 xml:space="preserve">Ativo objeto de arrendamento operacional </w:t>
      </w:r>
      <w:r w:rsidRPr="0096738F">
        <w:rPr>
          <w:rFonts w:ascii="Arial" w:eastAsia="Times New Roman" w:hAnsi="Arial" w:cs="Arial"/>
          <w:b/>
          <w:sz w:val="22"/>
          <w:szCs w:val="22"/>
          <w:lang w:val="pt-PT" w:eastAsia="pt-BR"/>
        </w:rPr>
        <w:t xml:space="preserve">em que a </w:t>
      </w:r>
      <w:r w:rsidRPr="0096738F">
        <w:rPr>
          <w:rFonts w:ascii="Arial" w:eastAsia="Times New Roman" w:hAnsi="Arial" w:cs="Arial"/>
          <w:b/>
          <w:bCs/>
          <w:iCs/>
          <w:sz w:val="22"/>
          <w:szCs w:val="22"/>
          <w:lang w:val="pt-PT" w:eastAsia="pt-BR"/>
        </w:rPr>
        <w:t xml:space="preserve">adquirida </w:t>
      </w:r>
      <w:r w:rsidRPr="0096738F">
        <w:rPr>
          <w:rFonts w:ascii="Arial" w:eastAsia="Times New Roman" w:hAnsi="Arial" w:cs="Arial"/>
          <w:b/>
          <w:sz w:val="22"/>
          <w:szCs w:val="22"/>
          <w:lang w:val="pt-PT" w:eastAsia="pt-BR"/>
        </w:rPr>
        <w:t>é a</w:t>
      </w:r>
      <w:r w:rsidRPr="0096738F">
        <w:rPr>
          <w:rFonts w:ascii="Arial" w:eastAsia="Times New Roman" w:hAnsi="Arial" w:cs="Arial"/>
          <w:b/>
          <w:bCs/>
          <w:iCs/>
          <w:sz w:val="22"/>
          <w:szCs w:val="22"/>
          <w:lang w:val="pt-PT" w:eastAsia="pt-BR"/>
        </w:rPr>
        <w:t xml:space="preserve"> entidade arrendadora</w:t>
      </w:r>
    </w:p>
    <w:p w14:paraId="0C59087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47F798E" w14:textId="3ADB66D8" w:rsidR="0096738F" w:rsidRPr="0096738F" w:rsidRDefault="0096738F" w:rsidP="0096738F">
      <w:pPr>
        <w:spacing w:before="0" w:after="0" w:line="240" w:lineRule="auto"/>
        <w:ind w:left="567" w:hanging="567"/>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B42.</w:t>
      </w:r>
      <w:r w:rsidRPr="0096738F">
        <w:rPr>
          <w:rFonts w:ascii="Arial" w:eastAsia="Times New Roman" w:hAnsi="Arial" w:cs="Arial"/>
          <w:sz w:val="22"/>
          <w:szCs w:val="22"/>
          <w:lang w:val="pt-PT" w:eastAsia="pt-BR"/>
        </w:rPr>
        <w:tab/>
        <w:t xml:space="preserve">Na mensuração do valor justo, na data da aquisição, de ativo tal como edifício ou patente que sejam objeto de arrendamento operacional, em que a adquirida é o arrendador, o adquirente deve considerar os termos e as condições do contrato de arrendamento. O adquirente não deve reconhecer o ativo ou passivo separadamente, se as condições do arrendamento operacional forem favoráveis ou desfavoráveis em relação às condições de mercado. </w:t>
      </w:r>
    </w:p>
    <w:p w14:paraId="09671DB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53EAF8B9"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sz w:val="22"/>
          <w:szCs w:val="22"/>
          <w:lang w:val="pt-PT" w:eastAsia="pt-BR"/>
        </w:rPr>
        <w:t>Ativos</w:t>
      </w:r>
      <w:r w:rsidRPr="0096738F">
        <w:rPr>
          <w:rFonts w:ascii="Arial" w:eastAsia="Times New Roman" w:hAnsi="Arial" w:cs="Arial"/>
          <w:b/>
          <w:bCs/>
          <w:iCs/>
          <w:sz w:val="22"/>
          <w:szCs w:val="22"/>
          <w:lang w:val="pt-PT" w:eastAsia="pt-BR"/>
        </w:rPr>
        <w:t xml:space="preserve"> que o adquirente não pretende utilizar ou pretende fazê-lo de </w:t>
      </w:r>
      <w:r w:rsidRPr="0096738F">
        <w:rPr>
          <w:rFonts w:ascii="Arial" w:eastAsia="Times New Roman" w:hAnsi="Arial" w:cs="Arial"/>
          <w:b/>
          <w:sz w:val="22"/>
          <w:szCs w:val="22"/>
          <w:lang w:val="pt-PT" w:eastAsia="pt-BR"/>
        </w:rPr>
        <w:t>modo</w:t>
      </w:r>
      <w:r w:rsidRPr="0096738F">
        <w:rPr>
          <w:rFonts w:ascii="Arial" w:eastAsia="Times New Roman" w:hAnsi="Arial" w:cs="Arial"/>
          <w:b/>
          <w:bCs/>
          <w:iCs/>
          <w:sz w:val="22"/>
          <w:szCs w:val="22"/>
          <w:lang w:val="pt-PT" w:eastAsia="pt-BR"/>
        </w:rPr>
        <w:t xml:space="preserve"> diferente </w:t>
      </w:r>
      <w:r w:rsidRPr="0096738F">
        <w:rPr>
          <w:rFonts w:ascii="Arial" w:eastAsia="Times New Roman" w:hAnsi="Arial" w:cs="Arial"/>
          <w:b/>
          <w:sz w:val="22"/>
          <w:szCs w:val="22"/>
          <w:lang w:val="pt-PT" w:eastAsia="pt-BR"/>
        </w:rPr>
        <w:t>do que outros participantes</w:t>
      </w:r>
      <w:r w:rsidRPr="0096738F">
        <w:rPr>
          <w:rFonts w:ascii="Arial" w:eastAsia="Times New Roman" w:hAnsi="Arial" w:cs="Arial"/>
          <w:b/>
          <w:bCs/>
          <w:iCs/>
          <w:sz w:val="22"/>
          <w:szCs w:val="22"/>
          <w:lang w:val="pt-PT" w:eastAsia="pt-BR"/>
        </w:rPr>
        <w:t xml:space="preserve"> do mercado</w:t>
      </w:r>
      <w:r w:rsidRPr="0096738F">
        <w:rPr>
          <w:rFonts w:ascii="Arial" w:eastAsia="Times New Roman" w:hAnsi="Arial" w:cs="Arial"/>
          <w:b/>
          <w:sz w:val="22"/>
          <w:szCs w:val="22"/>
          <w:lang w:val="pt-PT" w:eastAsia="pt-BR"/>
        </w:rPr>
        <w:t xml:space="preserve"> utilizariam</w:t>
      </w:r>
    </w:p>
    <w:p w14:paraId="7854C0D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01BFDB6" w14:textId="0C5DC300"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B43.</w:t>
      </w:r>
      <w:r w:rsidRPr="0096738F">
        <w:rPr>
          <w:rFonts w:ascii="Arial" w:eastAsia="Times New Roman" w:hAnsi="Arial" w:cs="Arial"/>
          <w:sz w:val="22"/>
          <w:szCs w:val="22"/>
          <w:lang w:eastAsia="pt-BR"/>
        </w:rPr>
        <w:tab/>
        <w:t xml:space="preserve">Para proteger sua posição competitiva, ou por outras razões, o adquirente pode pretender não utilizar ativamente um ativo não financeiro adquirido ou pode pretender não utilizá-lo de acordo com o seu melhor uso. Por exemplo, este pode ser o caso para um ativo intangível de pesquisa e desenvolvimento adquirido que a adquirente planeje utilizar defensivamente impedindo que outros o utilizem. Não obstante, a adquirente deve mensurar o valor justo do ativo não financeiro presumindo o seu melhor uso por participantes do mercado de acordo com a premissa de avaliação apropriada, tanto inicialmente quanto ao mensurar o valor justo menos os custos de alienação para testes subsequentes de redução ao valor recuperável. </w:t>
      </w:r>
    </w:p>
    <w:p w14:paraId="6CE101C3"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p>
    <w:p w14:paraId="0F0D7D18"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Participação de não controladores na adquirida</w:t>
      </w:r>
    </w:p>
    <w:p w14:paraId="1384C0E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80AB536" w14:textId="05710EB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B44.</w:t>
      </w:r>
      <w:r w:rsidRPr="0096738F">
        <w:rPr>
          <w:rFonts w:ascii="Arial" w:eastAsia="Times New Roman" w:hAnsi="Arial" w:cs="Arial"/>
          <w:sz w:val="22"/>
          <w:szCs w:val="22"/>
          <w:lang w:eastAsia="pt-BR"/>
        </w:rPr>
        <w:tab/>
        <w:t xml:space="preserve">Uma das formas permitidas por este Pronunciamento Técnico para o adquirente mensurar a participação de não controladores na adquirida é o valor justo dessa participação na data da aquisição. Algumas vezes, o adquirente é capaz de mensurar, na data da aquisição, as ações mantidas pelos não controladores (ou seja, aquelas não detidas pela adquirente) pelo seu valor justo com base em preço cotado em mercado ativo. Contudo, em outras situações, o preço cotado em mercado ativo para essas ações pode não estar disponível. Dessa forma, o adquirente deve mensurar o valor justo da participação de não controladores usando outras técnicas de avaliação. </w:t>
      </w:r>
    </w:p>
    <w:p w14:paraId="6DD6981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trike/>
          <w:sz w:val="22"/>
          <w:szCs w:val="22"/>
          <w:lang w:eastAsia="pt-BR"/>
        </w:rPr>
      </w:pPr>
    </w:p>
    <w:p w14:paraId="3A0E7925" w14:textId="12D19F9E"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B45.</w:t>
      </w:r>
      <w:r w:rsidRPr="0096738F">
        <w:rPr>
          <w:rFonts w:ascii="Arial" w:eastAsia="Times New Roman" w:hAnsi="Arial" w:cs="Arial"/>
          <w:sz w:val="22"/>
          <w:szCs w:val="22"/>
          <w:lang w:eastAsia="pt-BR"/>
        </w:rPr>
        <w:tab/>
        <w:t xml:space="preserve">O valor justo por ação da participação do controlador na adquirida pode ser diferente do valor justo por ação da participação de não controladores. A principal diferença, provavelmente, decorre do prêmio de controle incluído no valor justo por ação da participação do adquirente na adquirida ou, de outra forma, do desconto pela ausência de prêmio de controle (por vezes referido como desconto de participação de não controladores) no valor justo por ação da participação de não controladores </w:t>
      </w:r>
      <w:r w:rsidRPr="0096738F">
        <w:rPr>
          <w:rFonts w:ascii="Arial" w:eastAsia="Times New Roman" w:hAnsi="Arial" w:cs="Arial"/>
          <w:sz w:val="22"/>
          <w:szCs w:val="22"/>
          <w:lang w:val="pt-PT" w:eastAsia="pt-BR"/>
        </w:rPr>
        <w:t>se</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os participantes do mercado</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levassem em conta</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esse prêmio</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ou desconto</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ao precificar</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a</w:t>
      </w:r>
      <w:r w:rsidRPr="0096738F">
        <w:rPr>
          <w:rFonts w:ascii="Arial" w:eastAsia="Times New Roman" w:hAnsi="Arial" w:cs="Arial"/>
          <w:sz w:val="22"/>
          <w:szCs w:val="22"/>
          <w:lang w:eastAsia="pt-BR"/>
        </w:rPr>
        <w:t xml:space="preserve"> </w:t>
      </w:r>
      <w:r w:rsidRPr="0096738F">
        <w:rPr>
          <w:rFonts w:ascii="Arial" w:eastAsia="Times New Roman" w:hAnsi="Arial" w:cs="Arial"/>
          <w:sz w:val="22"/>
          <w:szCs w:val="22"/>
          <w:lang w:val="pt-PT" w:eastAsia="pt-BR"/>
        </w:rPr>
        <w:t>participação de não controladores</w:t>
      </w:r>
      <w:r w:rsidRPr="0096738F">
        <w:rPr>
          <w:rFonts w:ascii="Arial" w:eastAsia="Times New Roman" w:hAnsi="Arial" w:cs="Arial"/>
          <w:sz w:val="22"/>
          <w:szCs w:val="22"/>
          <w:lang w:eastAsia="pt-BR"/>
        </w:rPr>
        <w:t xml:space="preserve">. </w:t>
      </w:r>
    </w:p>
    <w:p w14:paraId="584A5D93"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
          <w:iCs/>
          <w:sz w:val="22"/>
          <w:szCs w:val="22"/>
          <w:lang w:eastAsia="pt-BR"/>
        </w:rPr>
      </w:pPr>
    </w:p>
    <w:p w14:paraId="37F4C823"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 xml:space="preserve">Mensuração do ágio por </w:t>
      </w:r>
      <w:r w:rsidRPr="0096738F">
        <w:rPr>
          <w:rFonts w:ascii="Arial" w:eastAsia="Times New Roman" w:hAnsi="Arial" w:cs="Arial"/>
          <w:b/>
          <w:sz w:val="22"/>
          <w:szCs w:val="22"/>
          <w:lang w:val="pt-PT" w:eastAsia="pt-BR"/>
        </w:rPr>
        <w:t xml:space="preserve">expectativa de </w:t>
      </w:r>
      <w:r w:rsidRPr="0096738F">
        <w:rPr>
          <w:rFonts w:ascii="Arial" w:eastAsia="Times New Roman" w:hAnsi="Arial" w:cs="Arial"/>
          <w:b/>
          <w:bCs/>
          <w:iCs/>
          <w:sz w:val="22"/>
          <w:szCs w:val="22"/>
          <w:lang w:val="pt-PT" w:eastAsia="pt-BR"/>
        </w:rPr>
        <w:t>rentabilidade futura (</w:t>
      </w:r>
      <w:r w:rsidRPr="0096738F">
        <w:rPr>
          <w:rFonts w:ascii="Arial" w:eastAsia="Times New Roman" w:hAnsi="Arial" w:cs="Arial"/>
          <w:b/>
          <w:bCs/>
          <w:i/>
          <w:iCs/>
          <w:sz w:val="22"/>
          <w:szCs w:val="22"/>
          <w:lang w:val="pt-PT" w:eastAsia="pt-BR"/>
        </w:rPr>
        <w:t>goodwill</w:t>
      </w:r>
      <w:r w:rsidRPr="0096738F">
        <w:rPr>
          <w:rFonts w:ascii="Arial" w:eastAsia="Times New Roman" w:hAnsi="Arial" w:cs="Arial"/>
          <w:b/>
          <w:bCs/>
          <w:iCs/>
          <w:sz w:val="22"/>
          <w:szCs w:val="22"/>
          <w:lang w:val="pt-PT" w:eastAsia="pt-BR"/>
        </w:rPr>
        <w:t xml:space="preserve">) ou </w:t>
      </w:r>
      <w:r w:rsidRPr="0096738F">
        <w:rPr>
          <w:rFonts w:ascii="Arial" w:eastAsia="Times New Roman" w:hAnsi="Arial" w:cs="Arial"/>
          <w:b/>
          <w:sz w:val="22"/>
          <w:szCs w:val="22"/>
          <w:lang w:val="pt-PT" w:eastAsia="pt-BR"/>
        </w:rPr>
        <w:t>do</w:t>
      </w:r>
      <w:r w:rsidRPr="0096738F">
        <w:rPr>
          <w:rFonts w:ascii="Arial" w:eastAsia="Times New Roman" w:hAnsi="Arial" w:cs="Arial"/>
          <w:b/>
          <w:bCs/>
          <w:iCs/>
          <w:sz w:val="22"/>
          <w:szCs w:val="22"/>
          <w:lang w:val="pt-PT" w:eastAsia="pt-BR"/>
        </w:rPr>
        <w:t xml:space="preserve"> ganho por compra vantajosa</w:t>
      </w:r>
    </w:p>
    <w:p w14:paraId="44AECA98"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p>
    <w:p w14:paraId="009F07EF"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Mensuração do valor justo na data da aquisição da participação do adquirente na adquirida por meio de técnicas de avaliação – aplicação do item 33</w:t>
      </w:r>
    </w:p>
    <w:p w14:paraId="6FFFFFB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E523204" w14:textId="0994DA53" w:rsidR="0096738F" w:rsidRPr="0096738F" w:rsidRDefault="0096738F" w:rsidP="0096738F">
      <w:pPr>
        <w:widowControl w:val="0"/>
        <w:tabs>
          <w:tab w:val="left" w:pos="6804"/>
        </w:tabs>
        <w:spacing w:before="0" w:after="0" w:line="240" w:lineRule="auto"/>
        <w:ind w:left="567" w:hanging="567"/>
        <w:rPr>
          <w:rFonts w:ascii="Arial" w:eastAsia="Times New Roman" w:hAnsi="Arial" w:cs="Arial"/>
          <w:color w:val="0070C0"/>
          <w:sz w:val="22"/>
          <w:szCs w:val="22"/>
          <w:lang w:val="pt-PT" w:eastAsia="pt-BR"/>
        </w:rPr>
      </w:pPr>
      <w:r w:rsidRPr="0096738F">
        <w:rPr>
          <w:rFonts w:ascii="Arial" w:eastAsia="Times New Roman" w:hAnsi="Arial" w:cs="Arial"/>
          <w:sz w:val="22"/>
          <w:szCs w:val="22"/>
          <w:lang w:eastAsia="pt-BR"/>
        </w:rPr>
        <w:t>B46.</w:t>
      </w:r>
      <w:r w:rsidRPr="0096738F">
        <w:rPr>
          <w:rFonts w:ascii="Arial" w:eastAsia="Times New Roman" w:hAnsi="Arial" w:cs="Arial"/>
          <w:sz w:val="22"/>
          <w:szCs w:val="22"/>
          <w:lang w:eastAsia="pt-BR"/>
        </w:rPr>
        <w:tab/>
        <w:t>Nas combinações de negócios realizadas sem a transferência de contraprestação para obtenção do controle da adquirida, para calcular o ágio por expectativa de rentabilidade futura (goodwill), ou o ganho por compra vantajosa, o adquirente deve utilizar o valor justo de sua participação na adquirida no lugar do valor justo da contraprestação transferida (ver itens 32 a 34).</w:t>
      </w:r>
      <w:r w:rsidRPr="0096738F">
        <w:rPr>
          <w:rFonts w:ascii="Arial" w:eastAsia="Times New Roman" w:hAnsi="Arial" w:cs="Arial"/>
          <w:color w:val="0070C0"/>
          <w:sz w:val="22"/>
          <w:szCs w:val="22"/>
          <w:lang w:val="pt-PT" w:eastAsia="pt-BR"/>
        </w:rPr>
        <w:t xml:space="preserve"> </w:t>
      </w:r>
    </w:p>
    <w:p w14:paraId="52557DF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trike/>
          <w:sz w:val="22"/>
          <w:szCs w:val="22"/>
          <w:lang w:eastAsia="pt-BR"/>
        </w:rPr>
      </w:pPr>
    </w:p>
    <w:p w14:paraId="34CE8DFA"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Considerações específicas na aplicação do método de aquisição em combinação de entidades de mútuo – aplicação do item 33</w:t>
      </w:r>
    </w:p>
    <w:p w14:paraId="7329857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AF1F15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B47.</w:t>
      </w:r>
      <w:r w:rsidRPr="0096738F">
        <w:rPr>
          <w:rFonts w:ascii="Arial" w:eastAsia="Times New Roman" w:hAnsi="Arial" w:cs="Arial"/>
          <w:sz w:val="22"/>
          <w:szCs w:val="22"/>
          <w:lang w:eastAsia="pt-BR"/>
        </w:rPr>
        <w:tab/>
        <w:t>Quando duas entidades de mútuo são combinadas, o valor justo da participação societária na adquirida (</w:t>
      </w:r>
      <w:r w:rsidRPr="0096738F">
        <w:rPr>
          <w:rFonts w:ascii="Arial" w:eastAsia="Times New Roman" w:hAnsi="Arial" w:cs="Arial"/>
          <w:i/>
          <w:sz w:val="22"/>
          <w:szCs w:val="22"/>
          <w:lang w:eastAsia="pt-BR"/>
        </w:rPr>
        <w:t>equity interest</w:t>
      </w:r>
      <w:r w:rsidRPr="0096738F">
        <w:rPr>
          <w:rFonts w:ascii="Arial" w:eastAsia="Times New Roman" w:hAnsi="Arial" w:cs="Arial"/>
          <w:sz w:val="22"/>
          <w:szCs w:val="22"/>
          <w:lang w:eastAsia="pt-BR"/>
        </w:rPr>
        <w:t>), ou da participação como membro na adquirida (</w:t>
      </w:r>
      <w:r w:rsidRPr="0096738F">
        <w:rPr>
          <w:rFonts w:ascii="Arial" w:eastAsia="Times New Roman" w:hAnsi="Arial" w:cs="Arial"/>
          <w:i/>
          <w:sz w:val="22"/>
          <w:szCs w:val="22"/>
          <w:lang w:eastAsia="pt-BR"/>
        </w:rPr>
        <w:t>member interest</w:t>
      </w:r>
      <w:r w:rsidRPr="0096738F">
        <w:rPr>
          <w:rFonts w:ascii="Arial" w:eastAsia="Times New Roman" w:hAnsi="Arial" w:cs="Arial"/>
          <w:sz w:val="22"/>
          <w:szCs w:val="22"/>
          <w:lang w:eastAsia="pt-BR"/>
        </w:rPr>
        <w:t>), ou simplesmente o valor justo na adquirida, pode ser mensurável de forma mais confiável do que o valor justo dos títulos representativos da participação como membro, transferidos pelo adquirente, em troca do controle da adquirida. Nessa situação, o item 33 exige que o adquirente determine 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utilizando o valor justo, na data da aquisição, da participação societária na adquirida que foi obtida, no lugar do valor justo da participação societária do adquirente que foi transferida como contraprestação (em troca do controle da adquirida). Adicionalmente, em uma combinação envolvendo entidades de mútuo, o adquirente deve reconhecer em suas demonstrações contábeis os ativos líquidos da adquirida em contrapartida do capital ou de outro componente do patrimônio líquido, exceto em lucros acumulados. Esse procedimento é consistente com o modo como os demais tipos de entidades aplicam o método de aquisição.</w:t>
      </w:r>
    </w:p>
    <w:p w14:paraId="4EC33DD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328284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B48.</w:t>
      </w:r>
      <w:r w:rsidRPr="0096738F">
        <w:rPr>
          <w:rFonts w:ascii="Arial" w:eastAsia="Times New Roman" w:hAnsi="Arial" w:cs="Arial"/>
          <w:sz w:val="22"/>
          <w:szCs w:val="22"/>
          <w:lang w:eastAsia="pt-BR"/>
        </w:rPr>
        <w:tab/>
        <w:t xml:space="preserve">Embora similares a outros negócios, as entidades de mútuo têm características distintas, principalmente porque seus membros são, ao mesmo tempo, clientes e proprietários. Os membros </w:t>
      </w:r>
      <w:r w:rsidRPr="0096738F">
        <w:rPr>
          <w:rFonts w:ascii="Arial" w:eastAsia="Times New Roman" w:hAnsi="Arial" w:cs="Arial"/>
          <w:sz w:val="22"/>
          <w:szCs w:val="22"/>
          <w:lang w:eastAsia="pt-BR"/>
        </w:rPr>
        <w:lastRenderedPageBreak/>
        <w:t>das entidades de mútuo geralmente esperam receber benefícios provenientes de seus direitos como membro, frequentemente na forma de preços reduzidos de produtos e serviços ou de dividendos. A parte dos dividendos alocada a cada membro, na maioria dos casos, baseia-se no montante de negócios que o membro realizou com a entidade de mútuo durante o ano.</w:t>
      </w:r>
    </w:p>
    <w:p w14:paraId="269E67C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8B25164" w14:textId="7EB2E34B" w:rsidR="0096738F" w:rsidRPr="0096738F" w:rsidRDefault="0096738F" w:rsidP="0096738F">
      <w:pPr>
        <w:widowControl w:val="0"/>
        <w:tabs>
          <w:tab w:val="left" w:pos="6804"/>
        </w:tabs>
        <w:spacing w:before="0" w:after="0" w:line="240" w:lineRule="auto"/>
        <w:ind w:left="567" w:hanging="567"/>
        <w:rPr>
          <w:rFonts w:ascii="Arial" w:eastAsia="Times New Roman" w:hAnsi="Arial" w:cs="Arial"/>
          <w:strike/>
          <w:sz w:val="22"/>
          <w:szCs w:val="22"/>
          <w:lang w:eastAsia="pt-BR"/>
        </w:rPr>
      </w:pPr>
      <w:r w:rsidRPr="0096738F">
        <w:rPr>
          <w:rFonts w:ascii="Arial" w:eastAsia="Times New Roman" w:hAnsi="Arial" w:cs="Arial"/>
          <w:sz w:val="22"/>
          <w:szCs w:val="22"/>
          <w:lang w:eastAsia="pt-BR"/>
        </w:rPr>
        <w:t>B49.</w:t>
      </w:r>
      <w:r w:rsidRPr="0096738F">
        <w:rPr>
          <w:rFonts w:ascii="Arial" w:eastAsia="Times New Roman" w:hAnsi="Arial" w:cs="Arial"/>
          <w:sz w:val="22"/>
          <w:szCs w:val="22"/>
          <w:lang w:eastAsia="pt-BR"/>
        </w:rPr>
        <w:tab/>
        <w:t xml:space="preserve">A mensuração do valor justo de entidade de mútuo deve incluir as premissas que participantes do mercado assumiriam sobre os benefícios futuros como membros, assim como qualquer outra premissa pertinente que os participantes do mercado assumiriam acerca da entidade de mútuo. Por exemplo, a técnica de valor presente pode ser utilizada para mensurar o valor justo de entidade de mútuo. Os fluxos de caixa utilizados no modelo devem ser baseados nos fluxos de caixa esperados da entidade de mútuo, os quais provavelmente irão refletir reduções devido aos benefícios dos membros, tais como preços reduzidos por produtos e serviços. </w:t>
      </w:r>
    </w:p>
    <w:p w14:paraId="5BE92B7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B36432A"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Determinação do que é parte da operação de combinação de negócios – aplicação dos itens 51 e 52</w:t>
      </w:r>
    </w:p>
    <w:p w14:paraId="0BBB533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C73235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B50.</w:t>
      </w:r>
      <w:r w:rsidRPr="0096738F">
        <w:rPr>
          <w:rFonts w:ascii="Arial" w:eastAsia="Times New Roman" w:hAnsi="Arial" w:cs="Arial"/>
          <w:sz w:val="22"/>
          <w:szCs w:val="22"/>
          <w:lang w:eastAsia="pt-BR"/>
        </w:rPr>
        <w:tab/>
        <w:t>O adquirente deve considerar os fatores listados a seguir, os quais não são mutuamente nem exclusivos, tampouco individualmente conclusivos, para determinar se uma operação é parte da operação de troca entre adquirente e adquirida (ou seus ex-proprietários) para obtenção do controle da adquirida, ou se é uma operação separada da combinação de negócios:</w:t>
      </w:r>
    </w:p>
    <w:p w14:paraId="58209933" w14:textId="77777777" w:rsidR="0096738F" w:rsidRPr="0096738F" w:rsidRDefault="0096738F" w:rsidP="0096738F">
      <w:pPr>
        <w:widowControl w:val="0"/>
        <w:numPr>
          <w:ilvl w:val="0"/>
          <w:numId w:val="4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Razões que motivaram a operação</w:t>
      </w:r>
      <w:r w:rsidRPr="0096738F">
        <w:rPr>
          <w:rFonts w:ascii="Arial" w:eastAsia="Times New Roman" w:hAnsi="Arial" w:cs="Arial"/>
          <w:sz w:val="22"/>
          <w:szCs w:val="22"/>
          <w:lang w:val="pt-PT" w:eastAsia="pt-BR"/>
        </w:rPr>
        <w:t xml:space="preserve">: entender as razões pelas quais as partes envolvidas na combinação (adquirente e adquirida, bem como seus ex-proprietários, conselheiros, diretores, administradores e seus representantes) firmaram determinada operação ou acordo pode permitir perceber se </w:t>
      </w:r>
      <w:r w:rsidRPr="0096738F">
        <w:rPr>
          <w:rFonts w:ascii="Arial" w:eastAsia="Times New Roman" w:hAnsi="Arial" w:cs="Arial"/>
          <w:bCs/>
          <w:iCs/>
          <w:sz w:val="22"/>
          <w:szCs w:val="22"/>
          <w:lang w:val="pt-PT" w:eastAsia="pt-BR"/>
        </w:rPr>
        <w:t>essa</w:t>
      </w:r>
      <w:r w:rsidRPr="0096738F">
        <w:rPr>
          <w:rFonts w:ascii="Arial" w:eastAsia="Times New Roman" w:hAnsi="Arial" w:cs="Arial"/>
          <w:sz w:val="22"/>
          <w:szCs w:val="22"/>
          <w:lang w:val="pt-PT" w:eastAsia="pt-BR"/>
        </w:rPr>
        <w:t xml:space="preserve"> operação</w:t>
      </w:r>
      <w:r w:rsidRPr="0096738F">
        <w:rPr>
          <w:rFonts w:ascii="Arial" w:eastAsia="Times New Roman" w:hAnsi="Arial" w:cs="Arial"/>
          <w:bCs/>
          <w:iCs/>
          <w:sz w:val="22"/>
          <w:szCs w:val="22"/>
          <w:lang w:val="pt-PT" w:eastAsia="pt-BR"/>
        </w:rPr>
        <w:t xml:space="preserve"> ou esse acordo</w:t>
      </w:r>
      <w:r w:rsidRPr="0096738F">
        <w:rPr>
          <w:rFonts w:ascii="Arial" w:eastAsia="Times New Roman" w:hAnsi="Arial" w:cs="Arial"/>
          <w:sz w:val="22"/>
          <w:szCs w:val="22"/>
          <w:lang w:val="pt-PT" w:eastAsia="pt-BR"/>
        </w:rPr>
        <w:t xml:space="preserve"> faz parte da contraprestação transferida para obtenção do controle da adquirida e dos ativos adquiridos ou passivos assumidos. Por exemplo, se uma operação é acordada fundamentalmente para benefício do adquirente ou da entidade combinada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em vez </w:t>
      </w:r>
      <w:r w:rsidRPr="0096738F">
        <w:rPr>
          <w:rFonts w:ascii="Arial" w:eastAsia="Times New Roman" w:hAnsi="Arial" w:cs="Arial"/>
          <w:bCs/>
          <w:iCs/>
          <w:sz w:val="22"/>
          <w:szCs w:val="22"/>
          <w:lang w:val="pt-PT" w:eastAsia="pt-BR"/>
        </w:rPr>
        <w:t xml:space="preserve">de fundamentalmente para benefício </w:t>
      </w:r>
      <w:r w:rsidRPr="0096738F">
        <w:rPr>
          <w:rFonts w:ascii="Arial" w:eastAsia="Times New Roman" w:hAnsi="Arial" w:cs="Arial"/>
          <w:sz w:val="22"/>
          <w:szCs w:val="22"/>
          <w:lang w:val="pt-PT" w:eastAsia="pt-BR"/>
        </w:rPr>
        <w:t>da adquirida ou de seus ex-proprietários</w:t>
      </w:r>
      <w:r w:rsidRPr="0096738F">
        <w:rPr>
          <w:rFonts w:ascii="Arial" w:eastAsia="Times New Roman" w:hAnsi="Arial" w:cs="Arial"/>
          <w:bCs/>
          <w:iCs/>
          <w:sz w:val="22"/>
          <w:szCs w:val="22"/>
          <w:lang w:val="pt-PT" w:eastAsia="pt-BR"/>
        </w:rPr>
        <w:t xml:space="preserve"> antes da combinação, </w:t>
      </w:r>
      <w:r w:rsidRPr="0096738F">
        <w:rPr>
          <w:rFonts w:ascii="Arial" w:eastAsia="Times New Roman" w:hAnsi="Arial" w:cs="Arial"/>
          <w:sz w:val="22"/>
          <w:szCs w:val="22"/>
          <w:lang w:val="pt-PT" w:eastAsia="pt-BR"/>
        </w:rPr>
        <w:t xml:space="preserve">é </w:t>
      </w:r>
      <w:r w:rsidRPr="0096738F">
        <w:rPr>
          <w:rFonts w:ascii="Arial" w:eastAsia="Times New Roman" w:hAnsi="Arial" w:cs="Arial"/>
          <w:bCs/>
          <w:iCs/>
          <w:sz w:val="22"/>
          <w:szCs w:val="22"/>
          <w:lang w:val="pt-PT" w:eastAsia="pt-BR"/>
        </w:rPr>
        <w:t xml:space="preserve">menos </w:t>
      </w:r>
      <w:r w:rsidRPr="0096738F">
        <w:rPr>
          <w:rFonts w:ascii="Arial" w:eastAsia="Times New Roman" w:hAnsi="Arial" w:cs="Arial"/>
          <w:sz w:val="22"/>
          <w:szCs w:val="22"/>
          <w:lang w:val="pt-PT" w:eastAsia="pt-BR"/>
        </w:rPr>
        <w:t xml:space="preserve">provável que </w:t>
      </w:r>
      <w:r w:rsidRPr="0096738F">
        <w:rPr>
          <w:rFonts w:ascii="Arial" w:eastAsia="Times New Roman" w:hAnsi="Arial" w:cs="Arial"/>
          <w:bCs/>
          <w:iCs/>
          <w:sz w:val="22"/>
          <w:szCs w:val="22"/>
          <w:lang w:val="pt-PT" w:eastAsia="pt-BR"/>
        </w:rPr>
        <w:t>essa parcela do</w:t>
      </w:r>
      <w:r w:rsidRPr="0096738F">
        <w:rPr>
          <w:rFonts w:ascii="Arial" w:eastAsia="Times New Roman" w:hAnsi="Arial" w:cs="Arial"/>
          <w:sz w:val="22"/>
          <w:szCs w:val="22"/>
          <w:lang w:val="pt-PT" w:eastAsia="pt-BR"/>
        </w:rPr>
        <w:t xml:space="preserve"> montante pago (incluindo algum ativo ou passivo relacionado) faça parte da troca pela obtenção do controle da adquirida. Consequentemente, o adquirente deve contabilizar tal </w:t>
      </w:r>
      <w:r w:rsidRPr="0096738F">
        <w:rPr>
          <w:rFonts w:ascii="Arial" w:eastAsia="Times New Roman" w:hAnsi="Arial" w:cs="Arial"/>
          <w:bCs/>
          <w:iCs/>
          <w:sz w:val="22"/>
          <w:szCs w:val="22"/>
          <w:lang w:val="pt-PT" w:eastAsia="pt-BR"/>
        </w:rPr>
        <w:t>parcela</w:t>
      </w:r>
      <w:r w:rsidRPr="0096738F">
        <w:rPr>
          <w:rFonts w:ascii="Arial" w:eastAsia="Times New Roman" w:hAnsi="Arial" w:cs="Arial"/>
          <w:sz w:val="22"/>
          <w:szCs w:val="22"/>
          <w:lang w:val="pt-PT" w:eastAsia="pt-BR"/>
        </w:rPr>
        <w:t xml:space="preserve"> separadamente da combinação de negócios.</w:t>
      </w:r>
    </w:p>
    <w:p w14:paraId="75A22160" w14:textId="77777777" w:rsidR="0096738F" w:rsidRPr="0096738F" w:rsidRDefault="0096738F" w:rsidP="0096738F">
      <w:pPr>
        <w:widowControl w:val="0"/>
        <w:numPr>
          <w:ilvl w:val="0"/>
          <w:numId w:val="4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Quem iniciou a operação</w:t>
      </w:r>
      <w:r w:rsidRPr="0096738F">
        <w:rPr>
          <w:rFonts w:ascii="Arial" w:eastAsia="Times New Roman" w:hAnsi="Arial" w:cs="Arial"/>
          <w:sz w:val="22"/>
          <w:szCs w:val="22"/>
          <w:lang w:val="pt-PT" w:eastAsia="pt-BR"/>
        </w:rPr>
        <w:t xml:space="preserve">: entender quem iniciou a operação também pode permitir determinar se ela integra a operação de troca entre as partes para a obtenção do controle da adquirida. Por exemplo, uma operação (ou outro evento) iniciada pelo adquirente pode ter sido realizada visando gerar benefícios econômicos futuros para o adquirente ou </w:t>
      </w:r>
      <w:r w:rsidRPr="0096738F">
        <w:rPr>
          <w:rFonts w:ascii="Arial" w:eastAsia="Times New Roman" w:hAnsi="Arial" w:cs="Arial"/>
          <w:bCs/>
          <w:iCs/>
          <w:sz w:val="22"/>
          <w:szCs w:val="22"/>
          <w:lang w:val="pt-PT" w:eastAsia="pt-BR"/>
        </w:rPr>
        <w:t xml:space="preserve">para a </w:t>
      </w:r>
      <w:r w:rsidRPr="0096738F">
        <w:rPr>
          <w:rFonts w:ascii="Arial" w:eastAsia="Times New Roman" w:hAnsi="Arial" w:cs="Arial"/>
          <w:sz w:val="22"/>
          <w:szCs w:val="22"/>
          <w:lang w:val="pt-PT" w:eastAsia="pt-BR"/>
        </w:rPr>
        <w:t>entidade combinada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com pouco ou nenhum benefício para a adquirida ou seus ex-proprietários</w:t>
      </w:r>
      <w:r w:rsidRPr="0096738F">
        <w:rPr>
          <w:rFonts w:ascii="Arial" w:eastAsia="Times New Roman" w:hAnsi="Arial" w:cs="Arial"/>
          <w:bCs/>
          <w:iCs/>
          <w:sz w:val="22"/>
          <w:szCs w:val="22"/>
          <w:lang w:val="pt-PT" w:eastAsia="pt-BR"/>
        </w:rPr>
        <w:t xml:space="preserve"> antes da combinação.</w:t>
      </w:r>
      <w:r w:rsidRPr="0096738F">
        <w:rPr>
          <w:rFonts w:ascii="Arial" w:eastAsia="Times New Roman" w:hAnsi="Arial" w:cs="Arial"/>
          <w:sz w:val="22"/>
          <w:szCs w:val="22"/>
          <w:lang w:val="pt-PT" w:eastAsia="pt-BR"/>
        </w:rPr>
        <w:t xml:space="preserve"> Por outro lado, é menos provável que uma operação ou um acordo iniciado pela adquirida ou seus ex-proprietários seja em benefício do adquirente ou da entidade combinada e, portanto, é mais provável que seja parte da operação de combinação de negócios.</w:t>
      </w:r>
    </w:p>
    <w:p w14:paraId="67E756A2" w14:textId="77777777" w:rsidR="0096738F" w:rsidRPr="0096738F" w:rsidRDefault="0096738F" w:rsidP="0096738F">
      <w:pPr>
        <w:widowControl w:val="0"/>
        <w:numPr>
          <w:ilvl w:val="0"/>
          <w:numId w:val="4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Momento da operação</w:t>
      </w:r>
      <w:r w:rsidRPr="0096738F">
        <w:rPr>
          <w:rFonts w:ascii="Arial" w:eastAsia="Times New Roman" w:hAnsi="Arial" w:cs="Arial"/>
          <w:sz w:val="22"/>
          <w:szCs w:val="22"/>
          <w:lang w:val="pt-PT" w:eastAsia="pt-BR"/>
        </w:rPr>
        <w:t xml:space="preserve">: o momento em que a operação ocorre também pode permitir determinar se ela integra a operação de troca entre as partes para a obtenção do controle da adquirida. Por exemplo, uma operação entre o adquirente e a adquirida durante as negociações </w:t>
      </w:r>
      <w:r w:rsidRPr="0096738F">
        <w:rPr>
          <w:rFonts w:ascii="Arial" w:eastAsia="Times New Roman" w:hAnsi="Arial" w:cs="Arial"/>
          <w:bCs/>
          <w:iCs/>
          <w:sz w:val="22"/>
          <w:szCs w:val="22"/>
          <w:lang w:val="pt-PT" w:eastAsia="pt-BR"/>
        </w:rPr>
        <w:t xml:space="preserve">dos termos </w:t>
      </w:r>
      <w:r w:rsidRPr="0096738F">
        <w:rPr>
          <w:rFonts w:ascii="Arial" w:eastAsia="Times New Roman" w:hAnsi="Arial" w:cs="Arial"/>
          <w:sz w:val="22"/>
          <w:szCs w:val="22"/>
          <w:lang w:val="pt-PT" w:eastAsia="pt-BR"/>
        </w:rPr>
        <w:t>da combinação de negócios pode ter sido contemplada</w:t>
      </w:r>
      <w:r w:rsidRPr="0096738F">
        <w:rPr>
          <w:rFonts w:ascii="Arial" w:eastAsia="Times New Roman" w:hAnsi="Arial" w:cs="Arial"/>
          <w:bCs/>
          <w:iCs/>
          <w:sz w:val="22"/>
          <w:szCs w:val="22"/>
          <w:lang w:val="pt-PT" w:eastAsia="pt-BR"/>
        </w:rPr>
        <w:t>, antes da</w:t>
      </w:r>
      <w:r w:rsidRPr="0096738F">
        <w:rPr>
          <w:rFonts w:ascii="Arial" w:eastAsia="Times New Roman" w:hAnsi="Arial" w:cs="Arial"/>
          <w:sz w:val="22"/>
          <w:szCs w:val="22"/>
          <w:lang w:val="pt-PT" w:eastAsia="pt-BR"/>
        </w:rPr>
        <w:t xml:space="preserve"> combinação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para gerar benefícios econômicos futuros para o adquirente ou </w:t>
      </w:r>
      <w:r w:rsidRPr="0096738F">
        <w:rPr>
          <w:rFonts w:ascii="Arial" w:eastAsia="Times New Roman" w:hAnsi="Arial" w:cs="Arial"/>
          <w:bCs/>
          <w:iCs/>
          <w:sz w:val="22"/>
          <w:szCs w:val="22"/>
          <w:lang w:val="pt-PT" w:eastAsia="pt-BR"/>
        </w:rPr>
        <w:t xml:space="preserve">para a </w:t>
      </w:r>
      <w:r w:rsidRPr="0096738F">
        <w:rPr>
          <w:rFonts w:ascii="Arial" w:eastAsia="Times New Roman" w:hAnsi="Arial" w:cs="Arial"/>
          <w:sz w:val="22"/>
          <w:szCs w:val="22"/>
          <w:lang w:val="pt-PT" w:eastAsia="pt-BR"/>
        </w:rPr>
        <w:t>entidade combinada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Sendo assim, a adquirida ou seus ex-proprietários antes da combinação provavelmente </w:t>
      </w:r>
      <w:r w:rsidRPr="0096738F">
        <w:rPr>
          <w:rFonts w:ascii="Arial" w:eastAsia="Times New Roman" w:hAnsi="Arial" w:cs="Arial"/>
          <w:bCs/>
          <w:iCs/>
          <w:sz w:val="22"/>
          <w:szCs w:val="22"/>
          <w:lang w:val="pt-PT" w:eastAsia="pt-BR"/>
        </w:rPr>
        <w:t>receberão</w:t>
      </w:r>
      <w:r w:rsidRPr="0096738F">
        <w:rPr>
          <w:rFonts w:ascii="Arial" w:eastAsia="Times New Roman" w:hAnsi="Arial" w:cs="Arial"/>
          <w:sz w:val="22"/>
          <w:szCs w:val="22"/>
          <w:lang w:val="pt-PT" w:eastAsia="pt-BR"/>
        </w:rPr>
        <w:t xml:space="preserve"> um pequeno ou nenhum benefício dessa operação, exceto pelos </w:t>
      </w:r>
      <w:r w:rsidRPr="0096738F">
        <w:rPr>
          <w:rFonts w:ascii="Arial" w:eastAsia="Times New Roman" w:hAnsi="Arial" w:cs="Arial"/>
          <w:sz w:val="22"/>
          <w:szCs w:val="22"/>
          <w:lang w:val="pt-PT" w:eastAsia="pt-BR"/>
        </w:rPr>
        <w:lastRenderedPageBreak/>
        <w:t xml:space="preserve">benefícios que </w:t>
      </w:r>
      <w:r w:rsidRPr="0096738F">
        <w:rPr>
          <w:rFonts w:ascii="Arial" w:eastAsia="Times New Roman" w:hAnsi="Arial" w:cs="Arial"/>
          <w:bCs/>
          <w:iCs/>
          <w:sz w:val="22"/>
          <w:szCs w:val="22"/>
          <w:lang w:val="pt-PT" w:eastAsia="pt-BR"/>
        </w:rPr>
        <w:t>receberão</w:t>
      </w:r>
      <w:r w:rsidRPr="0096738F">
        <w:rPr>
          <w:rFonts w:ascii="Arial" w:eastAsia="Times New Roman" w:hAnsi="Arial" w:cs="Arial"/>
          <w:sz w:val="22"/>
          <w:szCs w:val="22"/>
          <w:lang w:val="pt-PT" w:eastAsia="pt-BR"/>
        </w:rPr>
        <w:t xml:space="preserve"> enquanto parte da entidade combinada.</w:t>
      </w:r>
    </w:p>
    <w:p w14:paraId="30F3814F" w14:textId="77777777" w:rsidR="0096738F" w:rsidRPr="0096738F" w:rsidRDefault="0096738F" w:rsidP="0096738F">
      <w:pPr>
        <w:widowControl w:val="0"/>
        <w:spacing w:before="0" w:after="0" w:line="240" w:lineRule="auto"/>
        <w:ind w:firstLine="0"/>
        <w:rPr>
          <w:rFonts w:ascii="Arial" w:eastAsia="Times New Roman" w:hAnsi="Arial" w:cs="Arial"/>
          <w:b/>
          <w:sz w:val="22"/>
          <w:szCs w:val="22"/>
          <w:lang w:val="pt-PT" w:eastAsia="pt-BR"/>
        </w:rPr>
      </w:pPr>
    </w:p>
    <w:p w14:paraId="08B4823A"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Liquidação efetiva de relação preexistente entre o adquirente e a adquirida em combinação de negócios – aplicação do item 52(a)</w:t>
      </w:r>
    </w:p>
    <w:p w14:paraId="38841AB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B51.</w:t>
      </w:r>
      <w:r w:rsidRPr="0096738F">
        <w:rPr>
          <w:rFonts w:ascii="Arial" w:eastAsia="Times New Roman" w:hAnsi="Arial" w:cs="Arial"/>
          <w:sz w:val="22"/>
          <w:szCs w:val="22"/>
          <w:lang w:eastAsia="pt-BR"/>
        </w:rPr>
        <w:tab/>
        <w:t>Adquirente e adquirida podem ter relacionamento que já existia antes de considerarem a combinação de negócios, denominado neste Pronunciamento como “relacionamento preexistente”. Relacionamento preexistente entre adquirente e adquirida pode ser contratual (vendedor e cliente ou licenciador e licenciado, por exemplo) ou não contratual (autor de uma ação judicial e réu, por exemplo).</w:t>
      </w:r>
    </w:p>
    <w:p w14:paraId="3F0280A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E0F59A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B52.</w:t>
      </w:r>
      <w:r w:rsidRPr="0096738F">
        <w:rPr>
          <w:rFonts w:ascii="Arial" w:eastAsia="Times New Roman" w:hAnsi="Arial" w:cs="Arial"/>
          <w:sz w:val="22"/>
          <w:szCs w:val="22"/>
          <w:lang w:eastAsia="pt-BR"/>
        </w:rPr>
        <w:tab/>
        <w:t>Quando de fato a combinação de negócios vier a liquidar relacionamento preexistente, o adquirente deve reconhecer o ganho ou a perda mensurado como segue:</w:t>
      </w:r>
    </w:p>
    <w:p w14:paraId="0DEEDEE5" w14:textId="77777777" w:rsidR="0096738F" w:rsidRPr="0096738F" w:rsidRDefault="0096738F" w:rsidP="0096738F">
      <w:pPr>
        <w:widowControl w:val="0"/>
        <w:numPr>
          <w:ilvl w:val="0"/>
          <w:numId w:val="41"/>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ao valor justo, quando de</w:t>
      </w:r>
      <w:r w:rsidRPr="0096738F">
        <w:rPr>
          <w:rFonts w:ascii="Arial" w:eastAsia="Times New Roman" w:hAnsi="Arial" w:cs="Arial"/>
          <w:bCs/>
          <w:iCs/>
          <w:sz w:val="22"/>
          <w:szCs w:val="22"/>
          <w:lang w:val="pt-PT" w:eastAsia="pt-BR"/>
        </w:rPr>
        <w:t xml:space="preserve"> um</w:t>
      </w:r>
      <w:r w:rsidRPr="0096738F">
        <w:rPr>
          <w:rFonts w:ascii="Arial" w:eastAsia="Times New Roman" w:hAnsi="Arial" w:cs="Arial"/>
          <w:sz w:val="22"/>
          <w:szCs w:val="22"/>
          <w:lang w:val="pt-PT" w:eastAsia="pt-BR"/>
        </w:rPr>
        <w:t xml:space="preserve"> relacionamento preexistente não contratual (tal como uma ação judicial);</w:t>
      </w:r>
    </w:p>
    <w:p w14:paraId="1FE9A367" w14:textId="77777777" w:rsidR="0096738F" w:rsidRPr="0096738F" w:rsidRDefault="0096738F" w:rsidP="0096738F">
      <w:pPr>
        <w:widowControl w:val="0"/>
        <w:numPr>
          <w:ilvl w:val="0"/>
          <w:numId w:val="41"/>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pelo menor valor entre (i) e (ii) abaixo, quando de </w:t>
      </w:r>
      <w:r w:rsidRPr="0096738F">
        <w:rPr>
          <w:rFonts w:ascii="Arial" w:eastAsia="Times New Roman" w:hAnsi="Arial" w:cs="Arial"/>
          <w:bCs/>
          <w:iCs/>
          <w:sz w:val="22"/>
          <w:szCs w:val="22"/>
          <w:lang w:val="pt-PT" w:eastAsia="pt-BR"/>
        </w:rPr>
        <w:t xml:space="preserve">um </w:t>
      </w:r>
      <w:r w:rsidRPr="0096738F">
        <w:rPr>
          <w:rFonts w:ascii="Arial" w:eastAsia="Times New Roman" w:hAnsi="Arial" w:cs="Arial"/>
          <w:sz w:val="22"/>
          <w:szCs w:val="22"/>
          <w:lang w:val="pt-PT" w:eastAsia="pt-BR"/>
        </w:rPr>
        <w:t>relacionamento preexistente contratual:</w:t>
      </w:r>
    </w:p>
    <w:p w14:paraId="612E6056" w14:textId="77777777" w:rsidR="0096738F" w:rsidRPr="0096738F" w:rsidRDefault="0096738F" w:rsidP="0096738F">
      <w:pPr>
        <w:widowControl w:val="0"/>
        <w:numPr>
          <w:ilvl w:val="0"/>
          <w:numId w:val="42"/>
        </w:numPr>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montante pelo qual o contrato é favorável ou desfavorável, </w:t>
      </w:r>
      <w:r w:rsidRPr="0096738F">
        <w:rPr>
          <w:rFonts w:ascii="Arial" w:eastAsia="Times New Roman" w:hAnsi="Arial" w:cs="Arial"/>
          <w:bCs/>
          <w:iCs/>
          <w:sz w:val="22"/>
          <w:szCs w:val="22"/>
          <w:lang w:val="pt-PT" w:eastAsia="pt-BR"/>
        </w:rPr>
        <w:t>da</w:t>
      </w:r>
      <w:r w:rsidRPr="0096738F">
        <w:rPr>
          <w:rFonts w:ascii="Arial" w:eastAsia="Times New Roman" w:hAnsi="Arial" w:cs="Arial"/>
          <w:sz w:val="22"/>
          <w:szCs w:val="22"/>
          <w:lang w:val="pt-PT" w:eastAsia="pt-BR"/>
        </w:rPr>
        <w:t xml:space="preserve"> perspectiva do adquirente, quando comparado com operações correntes no mercado para </w:t>
      </w:r>
      <w:r w:rsidRPr="0096738F">
        <w:rPr>
          <w:rFonts w:ascii="Arial" w:eastAsia="Times New Roman" w:hAnsi="Arial" w:cs="Arial"/>
          <w:bCs/>
          <w:iCs/>
          <w:sz w:val="22"/>
          <w:szCs w:val="22"/>
          <w:lang w:val="pt-PT" w:eastAsia="pt-BR"/>
        </w:rPr>
        <w:t xml:space="preserve">um mesmo item ou para </w:t>
      </w:r>
      <w:r w:rsidRPr="0096738F">
        <w:rPr>
          <w:rFonts w:ascii="Arial" w:eastAsia="Times New Roman" w:hAnsi="Arial" w:cs="Arial"/>
          <w:sz w:val="22"/>
          <w:szCs w:val="22"/>
          <w:lang w:val="pt-PT" w:eastAsia="pt-BR"/>
        </w:rPr>
        <w:t xml:space="preserve">itens similares. </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Contrato desfavorável é aquele que é desfavorável em termos das condições atuais do mercado</w:t>
      </w:r>
      <w:r w:rsidRPr="0096738F">
        <w:rPr>
          <w:rFonts w:ascii="Arial" w:eastAsia="Times New Roman" w:hAnsi="Arial" w:cs="Arial"/>
          <w:bCs/>
          <w:iCs/>
          <w:sz w:val="22"/>
          <w:szCs w:val="22"/>
          <w:lang w:val="pt-PT" w:eastAsia="pt-BR"/>
        </w:rPr>
        <w:t>. Não é</w:t>
      </w:r>
      <w:r w:rsidRPr="0096738F">
        <w:rPr>
          <w:rFonts w:ascii="Arial" w:eastAsia="Times New Roman" w:hAnsi="Arial" w:cs="Arial"/>
          <w:sz w:val="22"/>
          <w:szCs w:val="22"/>
          <w:lang w:val="pt-PT" w:eastAsia="pt-BR"/>
        </w:rPr>
        <w:t xml:space="preserve"> necessariamente um contrato oneroso em que os custos inevitáveis inerentes às obrigações previstas em contrato excedem os benefícios econômicos que se espera obter em função dele);</w:t>
      </w:r>
    </w:p>
    <w:p w14:paraId="4B32ACBE" w14:textId="77777777" w:rsidR="0096738F" w:rsidRPr="0096738F" w:rsidRDefault="0096738F" w:rsidP="0096738F">
      <w:pPr>
        <w:widowControl w:val="0"/>
        <w:numPr>
          <w:ilvl w:val="0"/>
          <w:numId w:val="42"/>
        </w:numPr>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montante de </w:t>
      </w:r>
      <w:r w:rsidRPr="0096738F">
        <w:rPr>
          <w:rFonts w:ascii="Arial" w:eastAsia="Times New Roman" w:hAnsi="Arial" w:cs="Arial"/>
          <w:bCs/>
          <w:iCs/>
          <w:sz w:val="22"/>
          <w:szCs w:val="22"/>
          <w:lang w:val="pt-PT" w:eastAsia="pt-BR"/>
        </w:rPr>
        <w:t>qualquer</w:t>
      </w:r>
      <w:r w:rsidRPr="0096738F">
        <w:rPr>
          <w:rFonts w:ascii="Arial" w:eastAsia="Times New Roman" w:hAnsi="Arial" w:cs="Arial"/>
          <w:sz w:val="22"/>
          <w:szCs w:val="22"/>
          <w:lang w:val="pt-PT" w:eastAsia="pt-BR"/>
        </w:rPr>
        <w:t xml:space="preserve"> provisão para liquidação (multa rescisória, por exemplo) estabelecida no contrato e que esteja disponível à contraparte para quem o contrato é desfavorável.</w:t>
      </w:r>
    </w:p>
    <w:p w14:paraId="7219C54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Quando (ii) for menor que (i), a diferença deve ser incluída como parte da contabilização da combinação de negócios.</w:t>
      </w:r>
    </w:p>
    <w:p w14:paraId="61B1D68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O valor do ganho ou da perda reconhecido pode depender, em parte, do adquirente ter previamente reconhecido um ativo ou um passivo relacionado e, portanto, o ganho ou a perda informado pode ser diferente do valor calculado conforme exigências acima.</w:t>
      </w:r>
    </w:p>
    <w:p w14:paraId="7E7F2F8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04F93B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B53.</w:t>
      </w:r>
      <w:r w:rsidRPr="0096738F">
        <w:rPr>
          <w:rFonts w:ascii="Arial" w:eastAsia="Times New Roman" w:hAnsi="Arial" w:cs="Arial"/>
          <w:sz w:val="22"/>
          <w:szCs w:val="22"/>
          <w:lang w:eastAsia="pt-BR"/>
        </w:rPr>
        <w:tab/>
        <w:t>Relacionamento preexistente pode ser um contrato que o adquirente reconhece como um direito readquirido. Se o contrato inclui condições que são favoráveis ou desfavoráveis em relação aos preços de operações correntes de mercado para um mesmo item ou para itens similares, o adquirente deve reconhecer, separadamente da combinação de negócios, o ganho ou a perda pela efetiva liquidação do contrato, mensurado de acordo com o disposto no item B52.</w:t>
      </w:r>
    </w:p>
    <w:p w14:paraId="37E240D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7DDDAFCC"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 xml:space="preserve">Acordo para pagamento contingente </w:t>
      </w:r>
      <w:r w:rsidRPr="0096738F">
        <w:rPr>
          <w:rFonts w:ascii="Arial" w:eastAsia="Times New Roman" w:hAnsi="Arial" w:cs="Arial"/>
          <w:b/>
          <w:sz w:val="22"/>
          <w:szCs w:val="22"/>
          <w:lang w:val="pt-PT" w:eastAsia="pt-BR"/>
        </w:rPr>
        <w:t>a empregados ou a sócios vendedores</w:t>
      </w:r>
      <w:r w:rsidRPr="0096738F">
        <w:rPr>
          <w:rFonts w:ascii="Arial" w:eastAsia="Times New Roman" w:hAnsi="Arial" w:cs="Arial"/>
          <w:b/>
          <w:bCs/>
          <w:iCs/>
          <w:sz w:val="22"/>
          <w:szCs w:val="22"/>
          <w:lang w:val="pt-PT" w:eastAsia="pt-BR"/>
        </w:rPr>
        <w:t xml:space="preserve"> – aplicação do item 52(b)</w:t>
      </w:r>
    </w:p>
    <w:p w14:paraId="3CAE1A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E3972A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B54.</w:t>
      </w:r>
      <w:r w:rsidRPr="0096738F">
        <w:rPr>
          <w:rFonts w:ascii="Arial" w:eastAsia="Times New Roman" w:hAnsi="Arial" w:cs="Arial"/>
          <w:sz w:val="22"/>
          <w:szCs w:val="22"/>
          <w:lang w:eastAsia="pt-BR"/>
        </w:rPr>
        <w:tab/>
        <w:t>Os acordos para pagamentos contingentes a empregados ou a sócios vendedores constituem contraprestação contingente da combinação de negócios ou constituem operações separadas, conforme a natureza desses acordos. Para determinar a natureza do acordo, é preciso entender as razões pelas quais o contrato de aquisição prevê tais pagamentos contingentes, bem como qual das partes iniciou o acordo e quando as partes firmaram o acordo para pagamento contingente.</w:t>
      </w:r>
    </w:p>
    <w:p w14:paraId="7CEFAE4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1FDDCB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B55.</w:t>
      </w:r>
      <w:r w:rsidRPr="0096738F">
        <w:rPr>
          <w:rFonts w:ascii="Arial" w:eastAsia="Times New Roman" w:hAnsi="Arial" w:cs="Arial"/>
          <w:sz w:val="22"/>
          <w:szCs w:val="22"/>
          <w:lang w:eastAsia="pt-BR"/>
        </w:rPr>
        <w:tab/>
        <w:t xml:space="preserve">Quando não estiver claro se os pagamentos previstos no acordo para empregados ou sócios </w:t>
      </w:r>
      <w:r w:rsidRPr="0096738F">
        <w:rPr>
          <w:rFonts w:ascii="Arial" w:eastAsia="Times New Roman" w:hAnsi="Arial" w:cs="Arial"/>
          <w:sz w:val="22"/>
          <w:szCs w:val="22"/>
          <w:lang w:eastAsia="pt-BR"/>
        </w:rPr>
        <w:lastRenderedPageBreak/>
        <w:t>vendedores fazem parte da operação de troca para obtenção do controle da adquirida ou se constituem operações separadas da combinação, o adquirente deve considerar as seguintes indicações:</w:t>
      </w:r>
    </w:p>
    <w:p w14:paraId="530858BA"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 xml:space="preserve">Condição </w:t>
      </w:r>
      <w:r w:rsidRPr="0096738F">
        <w:rPr>
          <w:rFonts w:ascii="Arial" w:eastAsia="Times New Roman" w:hAnsi="Arial" w:cs="Arial"/>
          <w:b/>
          <w:bCs/>
          <w:iCs/>
          <w:sz w:val="22"/>
          <w:szCs w:val="22"/>
          <w:lang w:val="pt-PT" w:eastAsia="pt-BR"/>
        </w:rPr>
        <w:t>para</w:t>
      </w:r>
      <w:r w:rsidRPr="0096738F">
        <w:rPr>
          <w:rFonts w:ascii="Arial" w:eastAsia="Times New Roman" w:hAnsi="Arial" w:cs="Arial"/>
          <w:b/>
          <w:sz w:val="22"/>
          <w:szCs w:val="22"/>
          <w:lang w:val="pt-PT" w:eastAsia="pt-BR"/>
        </w:rPr>
        <w:t xml:space="preserve"> permanência como empregado</w:t>
      </w:r>
      <w:r w:rsidRPr="0096738F">
        <w:rPr>
          <w:rFonts w:ascii="Arial" w:eastAsia="Times New Roman" w:hAnsi="Arial" w:cs="Arial"/>
          <w:sz w:val="22"/>
          <w:szCs w:val="22"/>
          <w:lang w:val="pt-PT" w:eastAsia="pt-BR"/>
        </w:rPr>
        <w:t xml:space="preserve">: as condições para a permanência, como empregado, dos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w:t>
      </w:r>
      <w:r w:rsidRPr="0096738F">
        <w:rPr>
          <w:rFonts w:ascii="Arial" w:eastAsia="Times New Roman" w:hAnsi="Arial" w:cs="Arial"/>
          <w:bCs/>
          <w:iCs/>
          <w:sz w:val="22"/>
          <w:szCs w:val="22"/>
          <w:lang w:val="pt-PT" w:eastAsia="pt-BR"/>
        </w:rPr>
        <w:t>que</w:t>
      </w:r>
      <w:r w:rsidRPr="0096738F">
        <w:rPr>
          <w:rFonts w:ascii="Arial" w:eastAsia="Times New Roman" w:hAnsi="Arial" w:cs="Arial"/>
          <w:sz w:val="22"/>
          <w:szCs w:val="22"/>
          <w:lang w:val="pt-PT" w:eastAsia="pt-BR"/>
        </w:rPr>
        <w:t xml:space="preserve"> se </w:t>
      </w:r>
      <w:r w:rsidRPr="0096738F">
        <w:rPr>
          <w:rFonts w:ascii="Arial" w:eastAsia="Times New Roman" w:hAnsi="Arial" w:cs="Arial"/>
          <w:bCs/>
          <w:iCs/>
          <w:sz w:val="22"/>
          <w:szCs w:val="22"/>
          <w:lang w:val="pt-PT" w:eastAsia="pt-BR"/>
        </w:rPr>
        <w:t>tornam</w:t>
      </w:r>
      <w:r w:rsidRPr="0096738F">
        <w:rPr>
          <w:rFonts w:ascii="Arial" w:eastAsia="Times New Roman" w:hAnsi="Arial" w:cs="Arial"/>
          <w:sz w:val="22"/>
          <w:szCs w:val="22"/>
          <w:lang w:val="pt-PT" w:eastAsia="pt-BR"/>
        </w:rPr>
        <w:t xml:space="preserve"> empregados-chave na entidade combinada podem constituir um indicador da essência de acordo de contraprestação contingente. As condições pertinentes à permanência de empregado podem estar incluídas em acordo trabalhista, </w:t>
      </w:r>
      <w:r w:rsidRPr="0096738F">
        <w:rPr>
          <w:rFonts w:ascii="Arial" w:eastAsia="Times New Roman" w:hAnsi="Arial" w:cs="Arial"/>
          <w:bCs/>
          <w:iCs/>
          <w:sz w:val="22"/>
          <w:szCs w:val="22"/>
          <w:lang w:val="pt-PT" w:eastAsia="pt-BR"/>
        </w:rPr>
        <w:t xml:space="preserve">em </w:t>
      </w:r>
      <w:r w:rsidRPr="0096738F">
        <w:rPr>
          <w:rFonts w:ascii="Arial" w:eastAsia="Times New Roman" w:hAnsi="Arial" w:cs="Arial"/>
          <w:sz w:val="22"/>
          <w:szCs w:val="22"/>
          <w:lang w:val="pt-PT" w:eastAsia="pt-BR"/>
        </w:rPr>
        <w:t xml:space="preserve">contrato </w:t>
      </w:r>
      <w:r w:rsidRPr="0096738F">
        <w:rPr>
          <w:rFonts w:ascii="Arial" w:eastAsia="Times New Roman" w:hAnsi="Arial" w:cs="Arial"/>
          <w:bCs/>
          <w:iCs/>
          <w:sz w:val="22"/>
          <w:szCs w:val="22"/>
          <w:lang w:val="pt-PT" w:eastAsia="pt-BR"/>
        </w:rPr>
        <w:t>de</w:t>
      </w:r>
      <w:r w:rsidRPr="0096738F">
        <w:rPr>
          <w:rFonts w:ascii="Arial" w:eastAsia="Times New Roman" w:hAnsi="Arial" w:cs="Arial"/>
          <w:sz w:val="22"/>
          <w:szCs w:val="22"/>
          <w:lang w:val="pt-PT" w:eastAsia="pt-BR"/>
        </w:rPr>
        <w:t xml:space="preserve"> aquisição ou ainda em algum outro documento. A contraprestação contingente em que os pagamentos são automaticamente extintos quando os empregados são desligados constitui remuneração para serviços pós-combinação. Os acordos em que os pagamentos contingentes não são afetados pelo desligamento do empregado podem indicar que o pagamento contingente constitui contraprestação adicional da operação de troca para obtenção do controle da adquirida, </w:t>
      </w:r>
      <w:r w:rsidRPr="0096738F">
        <w:rPr>
          <w:rFonts w:ascii="Arial" w:eastAsia="Times New Roman" w:hAnsi="Arial" w:cs="Arial"/>
          <w:bCs/>
          <w:iCs/>
          <w:sz w:val="22"/>
          <w:szCs w:val="22"/>
          <w:lang w:val="pt-PT" w:eastAsia="pt-BR"/>
        </w:rPr>
        <w:t>ao invés</w:t>
      </w:r>
      <w:r w:rsidRPr="0096738F">
        <w:rPr>
          <w:rFonts w:ascii="Arial" w:eastAsia="Times New Roman" w:hAnsi="Arial" w:cs="Arial"/>
          <w:sz w:val="22"/>
          <w:szCs w:val="22"/>
          <w:lang w:val="pt-PT" w:eastAsia="pt-BR"/>
        </w:rPr>
        <w:t xml:space="preserve"> de remuneração por serviços prestados.</w:t>
      </w:r>
    </w:p>
    <w:p w14:paraId="0240BD07"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Prazo de permanência como empregado</w:t>
      </w:r>
      <w:r w:rsidRPr="0096738F">
        <w:rPr>
          <w:rFonts w:ascii="Arial" w:eastAsia="Times New Roman" w:hAnsi="Arial" w:cs="Arial"/>
          <w:sz w:val="22"/>
          <w:szCs w:val="22"/>
          <w:lang w:val="pt-PT" w:eastAsia="pt-BR"/>
        </w:rPr>
        <w:t>: quando o período exigido de permanência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como empregado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coincidir com (ou exceder a) o período do pagamento contingente, esse fato pode indicar que o pagamento contingente, em essência, é uma remuneração por serviços prestados.</w:t>
      </w:r>
    </w:p>
    <w:p w14:paraId="08A066C6"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Nível de remuneração</w:t>
      </w:r>
      <w:r w:rsidRPr="0096738F">
        <w:rPr>
          <w:rFonts w:ascii="Arial" w:eastAsia="Times New Roman" w:hAnsi="Arial" w:cs="Arial"/>
          <w:sz w:val="22"/>
          <w:szCs w:val="22"/>
          <w:lang w:val="pt-PT" w:eastAsia="pt-BR"/>
        </w:rPr>
        <w:t>: nos casos em que a remuneração dos empregados, exceto pelos pagamentos contingentes, estiver estabelecida em nível razoável</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comparativamente à de outros empregados da entidade combinada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pode indicar que os pagamentos contingentes são contraprestações adicionais em vez de remuneração por serviços prestados.</w:t>
      </w:r>
    </w:p>
    <w:p w14:paraId="0C937A60"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Pagamento incremental</w:t>
      </w:r>
      <w:r w:rsidRPr="0096738F">
        <w:rPr>
          <w:rFonts w:ascii="Arial" w:eastAsia="Times New Roman" w:hAnsi="Arial" w:cs="Arial"/>
          <w:b/>
          <w:bCs/>
          <w:iCs/>
          <w:sz w:val="22"/>
          <w:szCs w:val="22"/>
          <w:lang w:val="pt-PT" w:eastAsia="pt-BR"/>
        </w:rPr>
        <w:t xml:space="preserve"> a empregados</w:t>
      </w:r>
      <w:r w:rsidRPr="0096738F">
        <w:rPr>
          <w:rFonts w:ascii="Arial" w:eastAsia="Times New Roman" w:hAnsi="Arial" w:cs="Arial"/>
          <w:sz w:val="22"/>
          <w:szCs w:val="22"/>
          <w:lang w:val="pt-PT" w:eastAsia="pt-BR"/>
        </w:rPr>
        <w:t xml:space="preserve">: o fato de o valor por ação dos pagamentos contingentes dos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que não permanecerão como empregados </w:t>
      </w:r>
      <w:r w:rsidRPr="0096738F">
        <w:rPr>
          <w:rFonts w:ascii="Arial" w:eastAsia="Times New Roman" w:hAnsi="Arial" w:cs="Arial"/>
          <w:bCs/>
          <w:iCs/>
          <w:sz w:val="22"/>
          <w:szCs w:val="22"/>
          <w:lang w:val="pt-PT" w:eastAsia="pt-BR"/>
        </w:rPr>
        <w:t xml:space="preserve">da entidade combinada, </w:t>
      </w:r>
      <w:r w:rsidRPr="0096738F">
        <w:rPr>
          <w:rFonts w:ascii="Arial" w:eastAsia="Times New Roman" w:hAnsi="Arial" w:cs="Arial"/>
          <w:sz w:val="22"/>
          <w:szCs w:val="22"/>
          <w:lang w:val="pt-PT" w:eastAsia="pt-BR"/>
        </w:rPr>
        <w:t xml:space="preserve">ser menor que o dos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que permanecerão como empregados da entidade combinada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pode indicar que o valor incremental dos pagamentos contingentes dos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que permanecerão como empregados constitui remuneração por serviços prestados.</w:t>
      </w:r>
    </w:p>
    <w:p w14:paraId="10CA6114"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Número de ações</w:t>
      </w:r>
      <w:r w:rsidRPr="0096738F">
        <w:rPr>
          <w:rFonts w:ascii="Arial" w:eastAsia="Times New Roman" w:hAnsi="Arial" w:cs="Arial"/>
          <w:b/>
          <w:bCs/>
          <w:iCs/>
          <w:sz w:val="22"/>
          <w:szCs w:val="22"/>
          <w:lang w:val="pt-PT" w:eastAsia="pt-BR"/>
        </w:rPr>
        <w:t xml:space="preserve"> possuídas</w:t>
      </w:r>
      <w:r w:rsidRPr="0096738F">
        <w:rPr>
          <w:rFonts w:ascii="Arial" w:eastAsia="Times New Roman" w:hAnsi="Arial" w:cs="Arial"/>
          <w:sz w:val="22"/>
          <w:szCs w:val="22"/>
          <w:lang w:val="pt-PT" w:eastAsia="pt-BR"/>
        </w:rPr>
        <w:t xml:space="preserve">: o número </w:t>
      </w:r>
      <w:r w:rsidRPr="0096738F">
        <w:rPr>
          <w:rFonts w:ascii="Arial" w:eastAsia="Times New Roman" w:hAnsi="Arial" w:cs="Arial"/>
          <w:bCs/>
          <w:iCs/>
          <w:sz w:val="22"/>
          <w:szCs w:val="22"/>
          <w:lang w:val="pt-PT" w:eastAsia="pt-BR"/>
        </w:rPr>
        <w:t xml:space="preserve">relativo </w:t>
      </w:r>
      <w:r w:rsidRPr="0096738F">
        <w:rPr>
          <w:rFonts w:ascii="Arial" w:eastAsia="Times New Roman" w:hAnsi="Arial" w:cs="Arial"/>
          <w:sz w:val="22"/>
          <w:szCs w:val="22"/>
          <w:lang w:val="pt-PT" w:eastAsia="pt-BR"/>
        </w:rPr>
        <w:t xml:space="preserve">de ações em poder dos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que permanecerão como empregados</w:t>
      </w:r>
      <w:r w:rsidRPr="0096738F">
        <w:rPr>
          <w:rFonts w:ascii="Arial" w:eastAsia="Times New Roman" w:hAnsi="Arial" w:cs="Arial"/>
          <w:bCs/>
          <w:iCs/>
          <w:sz w:val="22"/>
          <w:szCs w:val="22"/>
          <w:lang w:val="pt-PT" w:eastAsia="pt-BR"/>
        </w:rPr>
        <w:t>-chave</w:t>
      </w:r>
      <w:r w:rsidRPr="0096738F">
        <w:rPr>
          <w:rFonts w:ascii="Arial" w:eastAsia="Times New Roman" w:hAnsi="Arial" w:cs="Arial"/>
          <w:sz w:val="22"/>
          <w:szCs w:val="22"/>
          <w:lang w:val="pt-PT" w:eastAsia="pt-BR"/>
        </w:rPr>
        <w:t xml:space="preserve"> na entidade combinada pode ser um indicador da essência de acordo de contraprestação contingente. Por exemplo, o fato de 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que possuíam substancialmente todas as ações </w:t>
      </w:r>
      <w:r w:rsidRPr="0096738F">
        <w:rPr>
          <w:rFonts w:ascii="Arial" w:eastAsia="Times New Roman" w:hAnsi="Arial" w:cs="Arial"/>
          <w:bCs/>
          <w:iCs/>
          <w:sz w:val="22"/>
          <w:szCs w:val="22"/>
          <w:lang w:val="pt-PT" w:eastAsia="pt-BR"/>
        </w:rPr>
        <w:t xml:space="preserve">ou quotas </w:t>
      </w:r>
      <w:r w:rsidRPr="0096738F">
        <w:rPr>
          <w:rFonts w:ascii="Arial" w:eastAsia="Times New Roman" w:hAnsi="Arial" w:cs="Arial"/>
          <w:sz w:val="22"/>
          <w:szCs w:val="22"/>
          <w:lang w:val="pt-PT" w:eastAsia="pt-BR"/>
        </w:rPr>
        <w:t xml:space="preserve">da adquirida permanecerem como </w:t>
      </w:r>
      <w:r w:rsidRPr="0096738F">
        <w:rPr>
          <w:rFonts w:ascii="Arial" w:eastAsia="Times New Roman" w:hAnsi="Arial" w:cs="Arial"/>
          <w:bCs/>
          <w:iCs/>
          <w:sz w:val="22"/>
          <w:szCs w:val="22"/>
          <w:lang w:val="pt-PT" w:eastAsia="pt-BR"/>
        </w:rPr>
        <w:t xml:space="preserve">empregados-chave </w:t>
      </w:r>
      <w:r w:rsidRPr="0096738F">
        <w:rPr>
          <w:rFonts w:ascii="Arial" w:eastAsia="Times New Roman" w:hAnsi="Arial" w:cs="Arial"/>
          <w:sz w:val="22"/>
          <w:szCs w:val="22"/>
          <w:lang w:val="pt-PT" w:eastAsia="pt-BR"/>
        </w:rPr>
        <w:t xml:space="preserve">na entidade combinada pode indicar que o acordo é, em essência, um acordo de participação nos lucros firmado para remunerar esses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por serviços pós-combinação (e, portanto, uma operação separada). Alternativamente, se 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que permanecerão como </w:t>
      </w:r>
      <w:r w:rsidRPr="0096738F">
        <w:rPr>
          <w:rFonts w:ascii="Arial" w:eastAsia="Times New Roman" w:hAnsi="Arial" w:cs="Arial"/>
          <w:bCs/>
          <w:iCs/>
          <w:sz w:val="22"/>
          <w:szCs w:val="22"/>
          <w:lang w:val="pt-PT" w:eastAsia="pt-BR"/>
        </w:rPr>
        <w:t>empregados-chave</w:t>
      </w:r>
      <w:r w:rsidRPr="0096738F">
        <w:rPr>
          <w:rFonts w:ascii="Arial" w:eastAsia="Times New Roman" w:hAnsi="Arial" w:cs="Arial"/>
          <w:sz w:val="22"/>
          <w:szCs w:val="22"/>
          <w:lang w:val="pt-PT" w:eastAsia="pt-BR"/>
        </w:rPr>
        <w:t xml:space="preserve"> possuíam somente pequeno número de ações da adquirida, mas o valor por ação da contraprestação contingente de todos 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for o mesmo, tal fato pode indicar que os pagamentos contingentes são contraprestações adicionais. </w:t>
      </w:r>
      <w:r w:rsidRPr="0096738F">
        <w:rPr>
          <w:rFonts w:ascii="Arial" w:eastAsia="Times New Roman" w:hAnsi="Arial" w:cs="Arial"/>
          <w:bCs/>
          <w:iCs/>
          <w:sz w:val="22"/>
          <w:szCs w:val="22"/>
          <w:lang w:val="pt-PT" w:eastAsia="pt-BR"/>
        </w:rPr>
        <w:t>A</w:t>
      </w:r>
      <w:r w:rsidRPr="0096738F">
        <w:rPr>
          <w:rFonts w:ascii="Arial" w:eastAsia="Times New Roman" w:hAnsi="Arial" w:cs="Arial"/>
          <w:sz w:val="22"/>
          <w:szCs w:val="22"/>
          <w:lang w:val="pt-PT" w:eastAsia="pt-BR"/>
        </w:rPr>
        <w:t xml:space="preserve"> participação de propriedade pré-aquisição mantida </w:t>
      </w:r>
      <w:r w:rsidRPr="0096738F">
        <w:rPr>
          <w:rFonts w:ascii="Arial" w:eastAsia="Times New Roman" w:hAnsi="Arial" w:cs="Arial"/>
          <w:bCs/>
          <w:iCs/>
          <w:sz w:val="22"/>
          <w:szCs w:val="22"/>
          <w:lang w:val="pt-PT" w:eastAsia="pt-BR"/>
        </w:rPr>
        <w:t>por</w:t>
      </w:r>
      <w:r w:rsidRPr="0096738F">
        <w:rPr>
          <w:rFonts w:ascii="Arial" w:eastAsia="Times New Roman" w:hAnsi="Arial" w:cs="Arial"/>
          <w:sz w:val="22"/>
          <w:szCs w:val="22"/>
          <w:lang w:val="pt-PT" w:eastAsia="pt-BR"/>
        </w:rPr>
        <w:t xml:space="preserve"> partes relacionadas </w:t>
      </w:r>
      <w:r w:rsidRPr="0096738F">
        <w:rPr>
          <w:rFonts w:ascii="Arial" w:eastAsia="Times New Roman" w:hAnsi="Arial" w:cs="Arial"/>
          <w:bCs/>
          <w:iCs/>
          <w:sz w:val="22"/>
          <w:szCs w:val="22"/>
          <w:lang w:val="pt-PT" w:eastAsia="pt-BR"/>
        </w:rPr>
        <w:t>aos sócios</w:t>
      </w:r>
      <w:r w:rsidRPr="0096738F">
        <w:rPr>
          <w:rFonts w:ascii="Arial" w:eastAsia="Times New Roman" w:hAnsi="Arial" w:cs="Arial"/>
          <w:sz w:val="22"/>
          <w:szCs w:val="22"/>
          <w:lang w:val="pt-PT" w:eastAsia="pt-BR"/>
        </w:rPr>
        <w:t xml:space="preserve"> vendedores que permanecerão como </w:t>
      </w:r>
      <w:r w:rsidRPr="0096738F">
        <w:rPr>
          <w:rFonts w:ascii="Arial" w:eastAsia="Times New Roman" w:hAnsi="Arial" w:cs="Arial"/>
          <w:bCs/>
          <w:iCs/>
          <w:sz w:val="22"/>
          <w:szCs w:val="22"/>
          <w:lang w:val="pt-PT" w:eastAsia="pt-BR"/>
        </w:rPr>
        <w:t>empregados-chave na entidade combinada, tais</w:t>
      </w:r>
      <w:r w:rsidRPr="0096738F">
        <w:rPr>
          <w:rFonts w:ascii="Arial" w:eastAsia="Times New Roman" w:hAnsi="Arial" w:cs="Arial"/>
          <w:sz w:val="22"/>
          <w:szCs w:val="22"/>
          <w:lang w:val="pt-PT" w:eastAsia="pt-BR"/>
        </w:rPr>
        <w:t xml:space="preserve"> como membros da família</w:t>
      </w:r>
      <w:r w:rsidRPr="0096738F">
        <w:rPr>
          <w:rFonts w:ascii="Arial" w:eastAsia="Times New Roman" w:hAnsi="Arial" w:cs="Arial"/>
          <w:bCs/>
          <w:iCs/>
          <w:sz w:val="22"/>
          <w:szCs w:val="22"/>
          <w:lang w:val="pt-PT" w:eastAsia="pt-BR"/>
        </w:rPr>
        <w:t>, também deve ser considerada</w:t>
      </w:r>
      <w:r w:rsidRPr="0096738F">
        <w:rPr>
          <w:rFonts w:ascii="Arial" w:eastAsia="Times New Roman" w:hAnsi="Arial" w:cs="Arial"/>
          <w:sz w:val="22"/>
          <w:szCs w:val="22"/>
          <w:lang w:val="pt-PT" w:eastAsia="pt-BR"/>
        </w:rPr>
        <w:t>.</w:t>
      </w:r>
    </w:p>
    <w:p w14:paraId="3EFAE6EE"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Conexão com a avaliação</w:t>
      </w:r>
      <w:r w:rsidRPr="0096738F">
        <w:rPr>
          <w:rFonts w:ascii="Arial" w:eastAsia="Times New Roman" w:hAnsi="Arial" w:cs="Arial"/>
          <w:sz w:val="22"/>
          <w:szCs w:val="22"/>
          <w:lang w:val="pt-PT" w:eastAsia="pt-BR"/>
        </w:rPr>
        <w:t xml:space="preserve">: o fato de a contraprestação inicialmente transferida na data da aquisição estar baseada no mais baixo valor da faixa de valores estabelecida na avaliação da adquirida e da </w:t>
      </w:r>
      <w:r w:rsidRPr="0096738F">
        <w:rPr>
          <w:rFonts w:ascii="Arial" w:eastAsia="Times New Roman" w:hAnsi="Arial" w:cs="Arial"/>
          <w:bCs/>
          <w:iCs/>
          <w:sz w:val="22"/>
          <w:szCs w:val="22"/>
          <w:lang w:val="pt-PT" w:eastAsia="pt-BR"/>
        </w:rPr>
        <w:t>fórmula</w:t>
      </w:r>
      <w:r w:rsidRPr="0096738F">
        <w:rPr>
          <w:rFonts w:ascii="Arial" w:eastAsia="Times New Roman" w:hAnsi="Arial" w:cs="Arial"/>
          <w:sz w:val="22"/>
          <w:szCs w:val="22"/>
          <w:lang w:val="pt-PT" w:eastAsia="pt-BR"/>
        </w:rPr>
        <w:t xml:space="preserve"> do pagamento contingente estar relacionada </w:t>
      </w:r>
      <w:r w:rsidRPr="0096738F">
        <w:rPr>
          <w:rFonts w:ascii="Arial" w:eastAsia="Times New Roman" w:hAnsi="Arial" w:cs="Arial"/>
          <w:bCs/>
          <w:iCs/>
          <w:sz w:val="22"/>
          <w:szCs w:val="22"/>
          <w:lang w:val="pt-PT" w:eastAsia="pt-BR"/>
        </w:rPr>
        <w:t>a essa</w:t>
      </w:r>
      <w:r w:rsidRPr="0096738F">
        <w:rPr>
          <w:rFonts w:ascii="Arial" w:eastAsia="Times New Roman" w:hAnsi="Arial" w:cs="Arial"/>
          <w:sz w:val="22"/>
          <w:szCs w:val="22"/>
          <w:lang w:val="pt-PT" w:eastAsia="pt-BR"/>
        </w:rPr>
        <w:t xml:space="preserve"> abordagem de avaliação sugere que os pagamentos contingentes são compensações adicionais. Alternativamente, o fato de a </w:t>
      </w:r>
      <w:r w:rsidRPr="0096738F">
        <w:rPr>
          <w:rFonts w:ascii="Arial" w:eastAsia="Times New Roman" w:hAnsi="Arial" w:cs="Arial"/>
          <w:bCs/>
          <w:iCs/>
          <w:sz w:val="22"/>
          <w:szCs w:val="22"/>
          <w:lang w:val="pt-PT" w:eastAsia="pt-BR"/>
        </w:rPr>
        <w:t>fórmula</w:t>
      </w:r>
      <w:r w:rsidRPr="0096738F">
        <w:rPr>
          <w:rFonts w:ascii="Arial" w:eastAsia="Times New Roman" w:hAnsi="Arial" w:cs="Arial"/>
          <w:sz w:val="22"/>
          <w:szCs w:val="22"/>
          <w:lang w:val="pt-PT" w:eastAsia="pt-BR"/>
        </w:rPr>
        <w:t xml:space="preserve"> do pagamento contingente ser consistente com acordos anteriores de participação nos lucros sugere que a essência do acordo é produzir </w:t>
      </w:r>
      <w:r w:rsidRPr="0096738F">
        <w:rPr>
          <w:rFonts w:ascii="Arial" w:eastAsia="Times New Roman" w:hAnsi="Arial" w:cs="Arial"/>
          <w:sz w:val="22"/>
          <w:szCs w:val="22"/>
          <w:lang w:val="pt-PT" w:eastAsia="pt-BR"/>
        </w:rPr>
        <w:lastRenderedPageBreak/>
        <w:t>remuneração por serviços prestados.</w:t>
      </w:r>
    </w:p>
    <w:p w14:paraId="3A7A00EB"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bCs/>
          <w:iCs/>
          <w:sz w:val="22"/>
          <w:szCs w:val="22"/>
          <w:lang w:val="pt-PT" w:eastAsia="pt-BR"/>
        </w:rPr>
        <w:t>Fórmula</w:t>
      </w:r>
      <w:r w:rsidRPr="0096738F">
        <w:rPr>
          <w:rFonts w:ascii="Arial" w:eastAsia="Times New Roman" w:hAnsi="Arial" w:cs="Arial"/>
          <w:b/>
          <w:sz w:val="22"/>
          <w:szCs w:val="22"/>
          <w:lang w:val="pt-PT" w:eastAsia="pt-BR"/>
        </w:rPr>
        <w:t xml:space="preserve"> para determinação da contraprestação</w:t>
      </w:r>
      <w:r w:rsidRPr="0096738F">
        <w:rPr>
          <w:rFonts w:ascii="Arial" w:eastAsia="Times New Roman" w:hAnsi="Arial" w:cs="Arial"/>
          <w:sz w:val="22"/>
          <w:szCs w:val="22"/>
          <w:lang w:val="pt-PT" w:eastAsia="pt-BR"/>
        </w:rPr>
        <w:t xml:space="preserve">: a </w:t>
      </w:r>
      <w:r w:rsidRPr="0096738F">
        <w:rPr>
          <w:rFonts w:ascii="Arial" w:eastAsia="Times New Roman" w:hAnsi="Arial" w:cs="Arial"/>
          <w:bCs/>
          <w:iCs/>
          <w:sz w:val="22"/>
          <w:szCs w:val="22"/>
          <w:lang w:val="pt-PT" w:eastAsia="pt-BR"/>
        </w:rPr>
        <w:t>fórmula</w:t>
      </w:r>
      <w:r w:rsidRPr="0096738F">
        <w:rPr>
          <w:rFonts w:ascii="Arial" w:eastAsia="Times New Roman" w:hAnsi="Arial" w:cs="Arial"/>
          <w:sz w:val="22"/>
          <w:szCs w:val="22"/>
          <w:lang w:val="pt-PT" w:eastAsia="pt-BR"/>
        </w:rPr>
        <w:t xml:space="preserve"> de cálculo utilizada para determinar o pagamento contingente pode ser útil na avaliação da essência do acordo. Por exemplo, o fato de o pagamento contingente ser determinado com base em múltiplos de algum indicador de lucro (ou de geração de caixa), pode sugerir que a obrigação é uma contraprestação contingente na combinação de negócios e a </w:t>
      </w:r>
      <w:r w:rsidRPr="0096738F">
        <w:rPr>
          <w:rFonts w:ascii="Arial" w:eastAsia="Times New Roman" w:hAnsi="Arial" w:cs="Arial"/>
          <w:bCs/>
          <w:iCs/>
          <w:sz w:val="22"/>
          <w:szCs w:val="22"/>
          <w:lang w:val="pt-PT" w:eastAsia="pt-BR"/>
        </w:rPr>
        <w:t>fórmula</w:t>
      </w:r>
      <w:r w:rsidRPr="0096738F">
        <w:rPr>
          <w:rFonts w:ascii="Arial" w:eastAsia="Times New Roman" w:hAnsi="Arial" w:cs="Arial"/>
          <w:sz w:val="22"/>
          <w:szCs w:val="22"/>
          <w:lang w:val="pt-PT" w:eastAsia="pt-BR"/>
        </w:rPr>
        <w:t xml:space="preserve"> constitui </w:t>
      </w:r>
      <w:r w:rsidRPr="0096738F">
        <w:rPr>
          <w:rFonts w:ascii="Arial" w:eastAsia="Times New Roman" w:hAnsi="Arial" w:cs="Arial"/>
          <w:bCs/>
          <w:iCs/>
          <w:sz w:val="22"/>
          <w:szCs w:val="22"/>
          <w:lang w:val="pt-PT" w:eastAsia="pt-BR"/>
        </w:rPr>
        <w:t>um meio</w:t>
      </w:r>
      <w:r w:rsidRPr="0096738F">
        <w:rPr>
          <w:rFonts w:ascii="Arial" w:eastAsia="Times New Roman" w:hAnsi="Arial" w:cs="Arial"/>
          <w:sz w:val="22"/>
          <w:szCs w:val="22"/>
          <w:lang w:val="pt-PT" w:eastAsia="pt-BR"/>
        </w:rPr>
        <w:t xml:space="preserve"> de estabelecer ou verificar o valor justo da adquirida. De forma contrária, um pagamento contingente que é um percentual específico de lucros pode sugerir que a obrigação com empregados é um acordo de participação nos lucros para remunerar os empregados por serviços prestados.</w:t>
      </w:r>
    </w:p>
    <w:p w14:paraId="758203A5" w14:textId="77777777" w:rsidR="0096738F" w:rsidRPr="0096738F" w:rsidRDefault="0096738F" w:rsidP="0096738F">
      <w:pPr>
        <w:widowControl w:val="0"/>
        <w:numPr>
          <w:ilvl w:val="0"/>
          <w:numId w:val="43"/>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Outros acordos e questões</w:t>
      </w:r>
      <w:r w:rsidRPr="0096738F">
        <w:rPr>
          <w:rFonts w:ascii="Arial" w:eastAsia="Times New Roman" w:hAnsi="Arial" w:cs="Arial"/>
          <w:sz w:val="22"/>
          <w:szCs w:val="22"/>
          <w:lang w:val="pt-PT" w:eastAsia="pt-BR"/>
        </w:rPr>
        <w:t xml:space="preserve">: as condições de outros acordos com os </w:t>
      </w:r>
      <w:r w:rsidRPr="0096738F">
        <w:rPr>
          <w:rFonts w:ascii="Arial" w:eastAsia="Times New Roman" w:hAnsi="Arial" w:cs="Arial"/>
          <w:bCs/>
          <w:iCs/>
          <w:sz w:val="22"/>
          <w:szCs w:val="22"/>
          <w:lang w:val="pt-PT" w:eastAsia="pt-BR"/>
        </w:rPr>
        <w:t>sócios</w:t>
      </w:r>
      <w:r w:rsidRPr="0096738F">
        <w:rPr>
          <w:rFonts w:ascii="Arial" w:eastAsia="Times New Roman" w:hAnsi="Arial" w:cs="Arial"/>
          <w:sz w:val="22"/>
          <w:szCs w:val="22"/>
          <w:lang w:val="pt-PT" w:eastAsia="pt-BR"/>
        </w:rPr>
        <w:t xml:space="preserve"> vendedores (tais como acordos de não competição, contratos </w:t>
      </w:r>
      <w:r w:rsidRPr="0096738F">
        <w:rPr>
          <w:rFonts w:ascii="Arial" w:eastAsia="Times New Roman" w:hAnsi="Arial" w:cs="Arial"/>
          <w:bCs/>
          <w:iCs/>
          <w:sz w:val="22"/>
          <w:szCs w:val="22"/>
          <w:lang w:val="pt-PT" w:eastAsia="pt-BR"/>
        </w:rPr>
        <w:t>a executar</w:t>
      </w:r>
      <w:r w:rsidRPr="0096738F">
        <w:rPr>
          <w:rFonts w:ascii="Arial" w:eastAsia="Times New Roman" w:hAnsi="Arial" w:cs="Arial"/>
          <w:sz w:val="22"/>
          <w:szCs w:val="22"/>
          <w:lang w:val="pt-PT" w:eastAsia="pt-BR"/>
        </w:rPr>
        <w:t xml:space="preserve">, contratos consultivos e acordos de arrendamento de propriedade), bem como o tratamento </w:t>
      </w:r>
      <w:r w:rsidRPr="0096738F">
        <w:rPr>
          <w:rFonts w:ascii="Arial" w:eastAsia="Times New Roman" w:hAnsi="Arial" w:cs="Arial"/>
          <w:bCs/>
          <w:iCs/>
          <w:sz w:val="22"/>
          <w:szCs w:val="22"/>
          <w:lang w:val="pt-PT" w:eastAsia="pt-BR"/>
        </w:rPr>
        <w:t>dos tributos</w:t>
      </w:r>
      <w:r w:rsidRPr="0096738F">
        <w:rPr>
          <w:rFonts w:ascii="Arial" w:eastAsia="Times New Roman" w:hAnsi="Arial" w:cs="Arial"/>
          <w:sz w:val="22"/>
          <w:szCs w:val="22"/>
          <w:lang w:val="pt-PT" w:eastAsia="pt-BR"/>
        </w:rPr>
        <w:t xml:space="preserve"> sobre o lucro desses pagamentos contingentes podem indicar que tais pagamentos contingentes não se constituem em contraprestações para obtenção do controle da adquirida. Por exemplo, em conexão com a aquisição, o adquirente pode firmar acordo de arrendamento de propriedade com importante </w:t>
      </w:r>
      <w:r w:rsidRPr="0096738F">
        <w:rPr>
          <w:rFonts w:ascii="Arial" w:eastAsia="Times New Roman" w:hAnsi="Arial" w:cs="Arial"/>
          <w:bCs/>
          <w:iCs/>
          <w:sz w:val="22"/>
          <w:szCs w:val="22"/>
          <w:lang w:val="pt-PT" w:eastAsia="pt-BR"/>
        </w:rPr>
        <w:t>sócio</w:t>
      </w:r>
      <w:r w:rsidRPr="0096738F">
        <w:rPr>
          <w:rFonts w:ascii="Arial" w:eastAsia="Times New Roman" w:hAnsi="Arial" w:cs="Arial"/>
          <w:sz w:val="22"/>
          <w:szCs w:val="22"/>
          <w:lang w:val="pt-PT" w:eastAsia="pt-BR"/>
        </w:rPr>
        <w:t xml:space="preserve"> vendedor. Se os pagamentos do arrendamento especificados no contrato forem significativamente abaixo do mercado, parte ou todos os pagamentos contingentes ao arrendador (ou seja, o </w:t>
      </w:r>
      <w:r w:rsidRPr="0096738F">
        <w:rPr>
          <w:rFonts w:ascii="Arial" w:eastAsia="Times New Roman" w:hAnsi="Arial" w:cs="Arial"/>
          <w:bCs/>
          <w:iCs/>
          <w:sz w:val="22"/>
          <w:szCs w:val="22"/>
          <w:lang w:val="pt-PT" w:eastAsia="pt-BR"/>
        </w:rPr>
        <w:t>sócio</w:t>
      </w:r>
      <w:r w:rsidRPr="0096738F">
        <w:rPr>
          <w:rFonts w:ascii="Arial" w:eastAsia="Times New Roman" w:hAnsi="Arial" w:cs="Arial"/>
          <w:sz w:val="22"/>
          <w:szCs w:val="22"/>
          <w:lang w:val="pt-PT" w:eastAsia="pt-BR"/>
        </w:rPr>
        <w:t xml:space="preserve"> vendedor) exigidos por acordo separado para pagamentos contingentes podem ser, em essência, pagamentos pelo uso da propriedade arrendada que o adquirente deve reconhecer separadamente em suas demonstrações contábeis pós-combinação. De forma contrária, se o contrato de arrendamento </w:t>
      </w:r>
      <w:r w:rsidRPr="0096738F">
        <w:rPr>
          <w:rFonts w:ascii="Arial" w:eastAsia="Times New Roman" w:hAnsi="Arial" w:cs="Arial"/>
          <w:bCs/>
          <w:iCs/>
          <w:sz w:val="22"/>
          <w:szCs w:val="22"/>
          <w:lang w:val="pt-PT" w:eastAsia="pt-BR"/>
        </w:rPr>
        <w:t>especificar</w:t>
      </w:r>
      <w:r w:rsidRPr="0096738F">
        <w:rPr>
          <w:rFonts w:ascii="Arial" w:eastAsia="Times New Roman" w:hAnsi="Arial" w:cs="Arial"/>
          <w:sz w:val="22"/>
          <w:szCs w:val="22"/>
          <w:lang w:val="pt-PT" w:eastAsia="pt-BR"/>
        </w:rPr>
        <w:t xml:space="preserve"> contraprestações que são consistentes com as condições de mercado para a propriedade arrendada, o acordo para pagamentos contingentes com o </w:t>
      </w:r>
      <w:r w:rsidRPr="0096738F">
        <w:rPr>
          <w:rFonts w:ascii="Arial" w:eastAsia="Times New Roman" w:hAnsi="Arial" w:cs="Arial"/>
          <w:bCs/>
          <w:iCs/>
          <w:sz w:val="22"/>
          <w:szCs w:val="22"/>
          <w:lang w:val="pt-PT" w:eastAsia="pt-BR"/>
        </w:rPr>
        <w:t>sócio</w:t>
      </w:r>
      <w:r w:rsidRPr="0096738F">
        <w:rPr>
          <w:rFonts w:ascii="Arial" w:eastAsia="Times New Roman" w:hAnsi="Arial" w:cs="Arial"/>
          <w:sz w:val="22"/>
          <w:szCs w:val="22"/>
          <w:lang w:val="pt-PT" w:eastAsia="pt-BR"/>
        </w:rPr>
        <w:t xml:space="preserve"> vendedor pode ser uma contraprestação contingente da combinação de negócios.</w:t>
      </w:r>
    </w:p>
    <w:p w14:paraId="17D2CDB3"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p>
    <w:p w14:paraId="0D2A1024"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Plano</w:t>
      </w:r>
      <w:r w:rsidRPr="0096738F">
        <w:rPr>
          <w:rFonts w:ascii="Arial" w:eastAsia="Times New Roman" w:hAnsi="Arial" w:cs="Arial"/>
          <w:b/>
          <w:sz w:val="22"/>
          <w:szCs w:val="22"/>
          <w:lang w:val="pt-PT" w:eastAsia="pt-BR"/>
        </w:rPr>
        <w:t xml:space="preserve"> de benefícios</w:t>
      </w:r>
      <w:r w:rsidRPr="0096738F">
        <w:rPr>
          <w:rFonts w:ascii="Arial" w:eastAsia="Times New Roman" w:hAnsi="Arial" w:cs="Arial"/>
          <w:b/>
          <w:bCs/>
          <w:iCs/>
          <w:sz w:val="22"/>
          <w:szCs w:val="22"/>
          <w:lang w:val="pt-PT" w:eastAsia="pt-BR"/>
        </w:rPr>
        <w:t xml:space="preserve"> com pagamento baseado em ações do adquirente em troca do plano em poder dos empregados da adquirida – aplicação do item 52(b)</w:t>
      </w:r>
    </w:p>
    <w:p w14:paraId="21B9ECD4"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p>
    <w:p w14:paraId="74BF39E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B56.</w:t>
      </w:r>
      <w:r w:rsidRPr="0096738F">
        <w:rPr>
          <w:rFonts w:ascii="Arial" w:eastAsia="Times New Roman" w:hAnsi="Arial" w:cs="Arial"/>
          <w:sz w:val="22"/>
          <w:szCs w:val="22"/>
          <w:lang w:eastAsia="pt-BR"/>
        </w:rPr>
        <w:tab/>
        <w:t>O adquirente pode entregar planos de benefícios com pagamentos baseados em suas ações (referenciados como planos de substituição) em troca de planos de benefícios em poder dos empregados da adquirida. As trocas de opções de ações ou outros de planos de benefícios com pagamentos baseados em ações relacionados à combinação de negócios devem ser contabilizadas como modificações de pagamentos baseados em ações em conformidade com o disposto no Pronunciamento Técnico CPC 10 – Pagamento Baseado em Ações. Caso o adquirente substitua os planos da adquirida, parte ou toda a mensuração baseada no mercado (como resultado da aplicação do procedimento previsto no Pronunciamento Técnico CPC 10) dos planos de substituição do adquirente deve ser incluída na mensuração da contraprestação transferida para efetivar a combinação de negócios. Os itens B57 a B62 fornecem a orientação acerca de como alocar a mensuração baseada no mercado.</w:t>
      </w:r>
      <w:r w:rsidRPr="0096738F">
        <w:rPr>
          <w:rFonts w:ascii="Arial" w:eastAsia="Times New Roman" w:hAnsi="Arial" w:cs="Arial"/>
          <w:sz w:val="22"/>
          <w:szCs w:val="22"/>
          <w:lang w:val="pt-PT" w:eastAsia="pt-BR"/>
        </w:rPr>
        <w:t xml:space="preserve"> </w:t>
      </w:r>
      <w:r w:rsidRPr="0096738F">
        <w:rPr>
          <w:rFonts w:ascii="Arial" w:eastAsia="Times New Roman" w:hAnsi="Arial" w:cs="Arial"/>
          <w:sz w:val="22"/>
          <w:szCs w:val="22"/>
          <w:lang w:eastAsia="pt-BR"/>
        </w:rPr>
        <w:t xml:space="preserve">Entretanto, em algumas situações, em que os planos de benefícios da adquirida poderiam expirar como consequência da combinação de negócios, e nos casos em que o adquirente substituir tais planos, mesmo não estando obrigado a fazê-lo, toda a mensuração baseada no mercado (pelo resultado da aplicação dos procedimentos previstos no Pronunciamento Técnico CPC 10) dos planos de substituição (pagamentos baseados em ações do adquirente entregues em troca dos pagamentos baseados em ações da adquirida) deve ser reconhecida como despesa de remuneração nas demonstrações contábeis pós-combinação, em consonância com o Pronunciamento Técnico CPC 10. Isso </w:t>
      </w:r>
      <w:r w:rsidRPr="0096738F">
        <w:rPr>
          <w:rFonts w:ascii="Arial" w:eastAsia="Times New Roman" w:hAnsi="Arial" w:cs="Arial"/>
          <w:sz w:val="22"/>
          <w:szCs w:val="22"/>
          <w:lang w:eastAsia="pt-BR"/>
        </w:rPr>
        <w:lastRenderedPageBreak/>
        <w:t>significa dizer que nenhuma parte do valor da mensuração baseada no mercado daqueles planos deve ser incluída na mensuração da contraprestação transferida na combinação de negócios. O adquirente está obrigado a substituir os planos da adquirida quando esta ou seus empregados tiverem a capacidade de forçar essa substituição. Por exemplo, para fins de aplicação dessa exigência, o adquirente está obrigado a substituir os planos da adquirida, caso a substituição seja exigida:</w:t>
      </w:r>
    </w:p>
    <w:p w14:paraId="671C8E22" w14:textId="77777777" w:rsidR="0096738F" w:rsidRPr="0096738F" w:rsidRDefault="0096738F" w:rsidP="0096738F">
      <w:pPr>
        <w:widowControl w:val="0"/>
        <w:numPr>
          <w:ilvl w:val="0"/>
          <w:numId w:val="4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pelos termos do contrato de aquisição;</w:t>
      </w:r>
    </w:p>
    <w:p w14:paraId="4D859215" w14:textId="77777777" w:rsidR="0096738F" w:rsidRPr="0096738F" w:rsidRDefault="0096738F" w:rsidP="0096738F">
      <w:pPr>
        <w:widowControl w:val="0"/>
        <w:numPr>
          <w:ilvl w:val="0"/>
          <w:numId w:val="4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pelos termos dos planos de benefícios </w:t>
      </w:r>
      <w:r w:rsidRPr="0096738F">
        <w:rPr>
          <w:rFonts w:ascii="Arial" w:eastAsia="Times New Roman" w:hAnsi="Arial" w:cs="Arial"/>
          <w:bCs/>
          <w:iCs/>
          <w:sz w:val="22"/>
          <w:szCs w:val="22"/>
          <w:lang w:val="pt-PT" w:eastAsia="pt-BR"/>
        </w:rPr>
        <w:t xml:space="preserve">com pagamento baseado em ações </w:t>
      </w:r>
      <w:r w:rsidRPr="0096738F">
        <w:rPr>
          <w:rFonts w:ascii="Arial" w:eastAsia="Times New Roman" w:hAnsi="Arial" w:cs="Arial"/>
          <w:sz w:val="22"/>
          <w:szCs w:val="22"/>
          <w:lang w:val="pt-PT" w:eastAsia="pt-BR"/>
        </w:rPr>
        <w:t>da adquirida; ou</w:t>
      </w:r>
    </w:p>
    <w:p w14:paraId="18420068" w14:textId="77777777" w:rsidR="0096738F" w:rsidRPr="0096738F" w:rsidRDefault="0096738F" w:rsidP="0096738F">
      <w:pPr>
        <w:widowControl w:val="0"/>
        <w:numPr>
          <w:ilvl w:val="0"/>
          <w:numId w:val="44"/>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por força de leis ou </w:t>
      </w:r>
      <w:r w:rsidRPr="0096738F">
        <w:rPr>
          <w:rFonts w:ascii="Arial" w:eastAsia="Times New Roman" w:hAnsi="Arial" w:cs="Arial"/>
          <w:bCs/>
          <w:iCs/>
          <w:sz w:val="22"/>
          <w:szCs w:val="22"/>
          <w:lang w:val="pt-PT" w:eastAsia="pt-BR"/>
        </w:rPr>
        <w:t>regulação</w:t>
      </w:r>
      <w:r w:rsidRPr="0096738F">
        <w:rPr>
          <w:rFonts w:ascii="Arial" w:eastAsia="Times New Roman" w:hAnsi="Arial" w:cs="Arial"/>
          <w:sz w:val="22"/>
          <w:szCs w:val="22"/>
          <w:lang w:val="pt-PT" w:eastAsia="pt-BR"/>
        </w:rPr>
        <w:t xml:space="preserve"> aplicáveis.</w:t>
      </w:r>
    </w:p>
    <w:p w14:paraId="371641E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BEB875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B57.</w:t>
      </w:r>
      <w:r w:rsidRPr="0096738F">
        <w:rPr>
          <w:rFonts w:ascii="Arial" w:eastAsia="Times New Roman" w:hAnsi="Arial" w:cs="Arial"/>
          <w:sz w:val="22"/>
          <w:szCs w:val="22"/>
          <w:lang w:eastAsia="pt-BR"/>
        </w:rPr>
        <w:tab/>
        <w:t>Para determinar a parte dos planos de substituição que integra a contraprestação transferida para obtenção do controle da adquirida e a parte que constitui remuneração por serviços pós-combinação, o adquirente deve mensurar, na data da aquisição, os planos da substituição outorgados pelo adquirente e os planos outorgados pela adquirida de acordo com o disposto no Pronunciamento Técnico CPC 10 – Pagamento Baseado em Ações. A parte da mensuração baseada no mercado dos planos da substituição que integra a contraprestação transferida (em troca do controle da adquirida) equivale à parte do plano de benefícios com pagamento baseado em ações da adquirida que é atribuível aos serviços pré-combinação.</w:t>
      </w:r>
    </w:p>
    <w:p w14:paraId="45B3426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907861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B58.</w:t>
      </w:r>
      <w:r w:rsidRPr="0096738F">
        <w:rPr>
          <w:rFonts w:ascii="Arial" w:eastAsia="Times New Roman" w:hAnsi="Arial" w:cs="Arial"/>
          <w:sz w:val="22"/>
          <w:szCs w:val="22"/>
          <w:lang w:eastAsia="pt-BR"/>
        </w:rPr>
        <w:tab/>
        <w:t>A parte dos planos de substituição atribuível aos serviços pré-combinação é a mensuração baseada no mercado dos planos da adquirida multiplicada pela razão entre a parcela completada do período de aquisição de direito (</w:t>
      </w:r>
      <w:r w:rsidRPr="0096738F">
        <w:rPr>
          <w:rFonts w:ascii="Arial" w:eastAsia="Times New Roman" w:hAnsi="Arial" w:cs="Arial"/>
          <w:i/>
          <w:sz w:val="22"/>
          <w:szCs w:val="22"/>
          <w:lang w:eastAsia="pt-BR"/>
        </w:rPr>
        <w:t>vesting period</w:t>
      </w:r>
      <w:r w:rsidRPr="0096738F">
        <w:rPr>
          <w:rFonts w:ascii="Arial" w:eastAsia="Times New Roman" w:hAnsi="Arial" w:cs="Arial"/>
          <w:sz w:val="22"/>
          <w:szCs w:val="22"/>
          <w:lang w:eastAsia="pt-BR"/>
        </w:rPr>
        <w:t>) e o maior dos seguintes períodos: o período de aquisição de direito total (</w:t>
      </w:r>
      <w:r w:rsidRPr="0096738F">
        <w:rPr>
          <w:rFonts w:ascii="Arial" w:eastAsia="Times New Roman" w:hAnsi="Arial" w:cs="Arial"/>
          <w:i/>
          <w:sz w:val="22"/>
          <w:szCs w:val="22"/>
          <w:lang w:eastAsia="pt-BR"/>
        </w:rPr>
        <w:t>total vesting period</w:t>
      </w:r>
      <w:r w:rsidRPr="0096738F">
        <w:rPr>
          <w:rFonts w:ascii="Arial" w:eastAsia="Times New Roman" w:hAnsi="Arial" w:cs="Arial"/>
          <w:sz w:val="22"/>
          <w:szCs w:val="22"/>
          <w:lang w:eastAsia="pt-BR"/>
        </w:rPr>
        <w:t>) ou o período original de aquisição de direito dos planos da adquirida (</w:t>
      </w:r>
      <w:r w:rsidRPr="0096738F">
        <w:rPr>
          <w:rFonts w:ascii="Arial" w:eastAsia="Times New Roman" w:hAnsi="Arial" w:cs="Arial"/>
          <w:i/>
          <w:sz w:val="22"/>
          <w:szCs w:val="22"/>
          <w:lang w:eastAsia="pt-BR"/>
        </w:rPr>
        <w:t>original vesting period</w:t>
      </w:r>
      <w:r w:rsidRPr="0096738F">
        <w:rPr>
          <w:rFonts w:ascii="Arial" w:eastAsia="Times New Roman" w:hAnsi="Arial" w:cs="Arial"/>
          <w:sz w:val="22"/>
          <w:szCs w:val="22"/>
          <w:lang w:eastAsia="pt-BR"/>
        </w:rPr>
        <w:t>). O período de aquisição de direito é o período ao longo do qual todas as condições de aquisição devem ser atendidas. As condições de aquisição de direito estão definidas no Pronunciamento Técnico CPC 10 – Pagamento Baseado em Ações.</w:t>
      </w:r>
    </w:p>
    <w:p w14:paraId="00B0194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EC70C2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B59.</w:t>
      </w:r>
      <w:r w:rsidRPr="0096738F">
        <w:rPr>
          <w:rFonts w:ascii="Arial" w:eastAsia="Times New Roman" w:hAnsi="Arial" w:cs="Arial"/>
          <w:sz w:val="22"/>
          <w:szCs w:val="22"/>
          <w:lang w:eastAsia="pt-BR"/>
        </w:rPr>
        <w:tab/>
        <w:t>A parte dos planos de substituição ainda não adquiridos (</w:t>
      </w:r>
      <w:r w:rsidRPr="0096738F">
        <w:rPr>
          <w:rFonts w:ascii="Arial" w:eastAsia="Times New Roman" w:hAnsi="Arial" w:cs="Arial"/>
          <w:i/>
          <w:sz w:val="22"/>
          <w:szCs w:val="22"/>
          <w:lang w:eastAsia="pt-BR"/>
        </w:rPr>
        <w:t>non-vested</w:t>
      </w:r>
      <w:r w:rsidRPr="0096738F">
        <w:rPr>
          <w:rFonts w:ascii="Arial" w:eastAsia="Times New Roman" w:hAnsi="Arial" w:cs="Arial"/>
          <w:sz w:val="22"/>
          <w:szCs w:val="22"/>
          <w:lang w:eastAsia="pt-BR"/>
        </w:rPr>
        <w:t>), atribuível aos serviços pós-combinação, é igual ao total da mensuração baseada no mercado dos planos de substituição deduzido do valor atribuído aos serviços pré-combinação e deve ser reconhecida como despesa de remuneração nas demonstrações contábeis pós-combinação. Consequentemente, o adquirente deve atribuir aos serviços pós-combinação qualquer excesso de valor da mensuração baseada no mercado dos planos de substituição sobre o valor da mensuração baseada no mercado dos planos da adquirida e reconhecer o valor excedente como despesa de remuneração nas demonstrações contábeis pós-combinação. O adquirente deve atribuir parte dos planos de substituição aos serviços pós-combinação caso sejam exigidos serviços pós-combinação pelo adquirente, independentemente de os empregados prestarem todos os serviços exigidos para aquisição de direito (</w:t>
      </w:r>
      <w:r w:rsidRPr="0096738F">
        <w:rPr>
          <w:rFonts w:ascii="Arial" w:eastAsia="Times New Roman" w:hAnsi="Arial" w:cs="Arial"/>
          <w:i/>
          <w:sz w:val="22"/>
          <w:szCs w:val="22"/>
          <w:lang w:eastAsia="pt-BR"/>
        </w:rPr>
        <w:t>vesting conditions</w:t>
      </w:r>
      <w:r w:rsidRPr="0096738F">
        <w:rPr>
          <w:rFonts w:ascii="Arial" w:eastAsia="Times New Roman" w:hAnsi="Arial" w:cs="Arial"/>
          <w:sz w:val="22"/>
          <w:szCs w:val="22"/>
          <w:lang w:eastAsia="pt-BR"/>
        </w:rPr>
        <w:t>) dos planos da adquirida antes da data da aquisição.</w:t>
      </w:r>
    </w:p>
    <w:p w14:paraId="352A90C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D003E4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B60.</w:t>
      </w:r>
      <w:r w:rsidRPr="0096738F">
        <w:rPr>
          <w:rFonts w:ascii="Arial" w:eastAsia="Times New Roman" w:hAnsi="Arial" w:cs="Arial"/>
          <w:sz w:val="22"/>
          <w:szCs w:val="22"/>
          <w:lang w:eastAsia="pt-BR"/>
        </w:rPr>
        <w:tab/>
        <w:t>A parte dos planos de substituição ainda não adquiridos (</w:t>
      </w:r>
      <w:r w:rsidRPr="0096738F">
        <w:rPr>
          <w:rFonts w:ascii="Arial" w:eastAsia="Times New Roman" w:hAnsi="Arial" w:cs="Arial"/>
          <w:i/>
          <w:sz w:val="22"/>
          <w:szCs w:val="22"/>
          <w:lang w:eastAsia="pt-BR"/>
        </w:rPr>
        <w:t>non-vested</w:t>
      </w:r>
      <w:r w:rsidRPr="0096738F">
        <w:rPr>
          <w:rFonts w:ascii="Arial" w:eastAsia="Times New Roman" w:hAnsi="Arial" w:cs="Arial"/>
          <w:sz w:val="22"/>
          <w:szCs w:val="22"/>
          <w:lang w:eastAsia="pt-BR"/>
        </w:rPr>
        <w:t>), atribuível aos serviços pré e pós-combinação, deve refletir a melhor estimativa disponível do número (quantidade) de planos de substituição que se espera que tenham condição de aquisição de direito atendida (</w:t>
      </w:r>
      <w:r w:rsidRPr="0096738F">
        <w:rPr>
          <w:rFonts w:ascii="Arial" w:eastAsia="Times New Roman" w:hAnsi="Arial" w:cs="Arial"/>
          <w:i/>
          <w:sz w:val="22"/>
          <w:szCs w:val="22"/>
          <w:lang w:eastAsia="pt-BR"/>
        </w:rPr>
        <w:t>expected to vest</w:t>
      </w:r>
      <w:r w:rsidRPr="0096738F">
        <w:rPr>
          <w:rFonts w:ascii="Arial" w:eastAsia="Times New Roman" w:hAnsi="Arial" w:cs="Arial"/>
          <w:sz w:val="22"/>
          <w:szCs w:val="22"/>
          <w:lang w:eastAsia="pt-BR"/>
        </w:rPr>
        <w:t xml:space="preserve">). Por exemplo, caso a mensuração baseada no mercado da parte dos planos de substituição atribuídos aos serviços pré-combinação seja $ 100 e o adquirente espere que somente 95% dos planos de benefícios atendam à condição de aquisição de direito, o montante incluído na contraprestação transferida na combinação de negócios deve ser $ 95. As mudanças no número estimado de planos de substituição para os quais se espera ver atendida a condição de aquisição </w:t>
      </w:r>
      <w:r w:rsidRPr="0096738F">
        <w:rPr>
          <w:rFonts w:ascii="Arial" w:eastAsia="Times New Roman" w:hAnsi="Arial" w:cs="Arial"/>
          <w:sz w:val="22"/>
          <w:szCs w:val="22"/>
          <w:lang w:eastAsia="pt-BR"/>
        </w:rPr>
        <w:lastRenderedPageBreak/>
        <w:t>de direito devem estar refletidas na despesa de remuneração dos períodos em que ocorrerem tais mudanças (ou em que o direito decair) e não como ajustes da contraprestação transferida na combinação de negócios. Da mesma forma, os efeitos de outros eventos que ocorrerem após a data de aquisição do controle, tais como modificações ou o resultado final dos planos com condições de desempenho, devem ser contabilizados nos períodos em que ocorrerem tais eventos, na determinação da despesa de remuneração de acordo com o disposto no Pronunciamento Técnico CPC 10 – Pagamento Baseado em Ações.</w:t>
      </w:r>
    </w:p>
    <w:p w14:paraId="302176A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B61.</w:t>
      </w:r>
      <w:r w:rsidRPr="0096738F">
        <w:rPr>
          <w:rFonts w:ascii="Arial" w:eastAsia="Times New Roman" w:hAnsi="Arial" w:cs="Arial"/>
          <w:sz w:val="22"/>
          <w:szCs w:val="22"/>
          <w:lang w:eastAsia="pt-BR"/>
        </w:rPr>
        <w:tab/>
        <w:t>As mesmas exigências para determinar que parte dos planos de substituição é atribuível aos serviços pré e pós-combinação devem ser aplicadas, independentemente dos planos de substituição serem classificados como passivo ou como componente do patrimônio líquido, de acordo com o disposto no Pronunciamento Técnico CPC 10 – Pagamento Baseado em Ações. Após a data de aquisição, todas as mudanças na mensuração baseada no mercado dos planos classificados como passivo e os efeitos fiscais decorrentes (tributos sobre o lucro) devem ser reconhecidos nas demonstrações contábeis pós-combinação do adquirente, nos períodos em que tais mudanças ocorrerem.</w:t>
      </w:r>
    </w:p>
    <w:p w14:paraId="0ED0D67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CC0036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B62.</w:t>
      </w:r>
      <w:r w:rsidRPr="0096738F">
        <w:rPr>
          <w:rFonts w:ascii="Arial" w:eastAsia="Times New Roman" w:hAnsi="Arial" w:cs="Arial"/>
          <w:sz w:val="22"/>
          <w:szCs w:val="22"/>
          <w:lang w:eastAsia="pt-BR"/>
        </w:rPr>
        <w:tab/>
        <w:t>Os efeitos fiscais (tributo sobre o lucro) dos planos de substituição de pagamento baseado em ações devem ser reconhecidos de acordo com o disposto no Pronunciamento Técnico CPC 32 – Tributos sobre o Lucro.</w:t>
      </w:r>
    </w:p>
    <w:p w14:paraId="6D50138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340B402C"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iCs/>
          <w:sz w:val="22"/>
          <w:szCs w:val="22"/>
          <w:lang w:eastAsia="pt-BR"/>
        </w:rPr>
      </w:pPr>
      <w:r w:rsidRPr="0096738F">
        <w:rPr>
          <w:rFonts w:ascii="Arial" w:eastAsia="Times New Roman" w:hAnsi="Arial" w:cs="Arial"/>
          <w:b/>
          <w:iCs/>
          <w:sz w:val="22"/>
          <w:szCs w:val="22"/>
          <w:lang w:eastAsia="pt-BR"/>
        </w:rPr>
        <w:t>Transações de pagamento baseado em ações da adquirida, liquidadas em instrumentos patrimoniais</w:t>
      </w:r>
    </w:p>
    <w:p w14:paraId="2EA9AF2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EB041FB"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B62A.</w:t>
      </w:r>
      <w:r w:rsidRPr="0096738F">
        <w:rPr>
          <w:rFonts w:ascii="Arial" w:eastAsia="Times New Roman" w:hAnsi="Arial" w:cs="Arial"/>
          <w:sz w:val="22"/>
          <w:szCs w:val="22"/>
          <w:lang w:eastAsia="pt-BR"/>
        </w:rPr>
        <w:tab/>
        <w:t>A adquirida pode ter transações de pagamento baseado em ações em circulação que a adquirente não deseja substituir por suas transações de pagamento baseado em ações. Se as condições de aquisição de direito forem atendidas, referidas transações de pagamento baseado em ações da adquirida devem integrar a participação de não controladores na adquirida e devem ser mensuradas pelo seu valor baseado no mercado. Se as condições de aquisição de direito não forem atendidas, referidas transações devem ser mensuradas pelo seu valor baseado no mercado, considerando a data de aquisição como sendo a data da outorga do plano, em consonância com os itens 19 e 30.</w:t>
      </w:r>
    </w:p>
    <w:p w14:paraId="0AE00E7B"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5098456C"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B62B.</w:t>
      </w:r>
      <w:r w:rsidRPr="0096738F">
        <w:rPr>
          <w:rFonts w:ascii="Arial" w:eastAsia="Times New Roman" w:hAnsi="Arial" w:cs="Arial"/>
          <w:sz w:val="22"/>
          <w:szCs w:val="22"/>
          <w:lang w:eastAsia="pt-BR"/>
        </w:rPr>
        <w:tab/>
        <w:t>A mensuração baseada no mercado de transações de pagamento baseado em ações, para as quais as condições de aquisição de direito não forem atendidas, deve ser alocada à participação de não controladores tendo por base a razão entre a parcela completada do período de aquisição de direito (</w:t>
      </w:r>
      <w:r w:rsidRPr="0096738F">
        <w:rPr>
          <w:rFonts w:ascii="Arial" w:eastAsia="Times New Roman" w:hAnsi="Arial" w:cs="Arial"/>
          <w:i/>
          <w:sz w:val="22"/>
          <w:szCs w:val="22"/>
          <w:lang w:eastAsia="pt-BR"/>
        </w:rPr>
        <w:t>vesting period</w:t>
      </w:r>
      <w:r w:rsidRPr="0096738F">
        <w:rPr>
          <w:rFonts w:ascii="Arial" w:eastAsia="Times New Roman" w:hAnsi="Arial" w:cs="Arial"/>
          <w:sz w:val="22"/>
          <w:szCs w:val="22"/>
          <w:lang w:eastAsia="pt-BR"/>
        </w:rPr>
        <w:t>) e o maior dos seguintes períodos: o período de aquisição de direito total (</w:t>
      </w:r>
      <w:r w:rsidRPr="0096738F">
        <w:rPr>
          <w:rFonts w:ascii="Arial" w:eastAsia="Times New Roman" w:hAnsi="Arial" w:cs="Arial"/>
          <w:i/>
          <w:sz w:val="22"/>
          <w:szCs w:val="22"/>
          <w:lang w:eastAsia="pt-BR"/>
        </w:rPr>
        <w:t>total vesting period</w:t>
      </w:r>
      <w:r w:rsidRPr="0096738F">
        <w:rPr>
          <w:rFonts w:ascii="Arial" w:eastAsia="Times New Roman" w:hAnsi="Arial" w:cs="Arial"/>
          <w:sz w:val="22"/>
          <w:szCs w:val="22"/>
          <w:lang w:eastAsia="pt-BR"/>
        </w:rPr>
        <w:t>) ou o período original de aquisição de direito das transações de pagamento baseado em ações (</w:t>
      </w:r>
      <w:r w:rsidRPr="0096738F">
        <w:rPr>
          <w:rFonts w:ascii="Arial" w:eastAsia="Times New Roman" w:hAnsi="Arial" w:cs="Arial"/>
          <w:i/>
          <w:sz w:val="22"/>
          <w:szCs w:val="22"/>
          <w:lang w:eastAsia="pt-BR"/>
        </w:rPr>
        <w:t>original vesting period</w:t>
      </w:r>
      <w:r w:rsidRPr="0096738F">
        <w:rPr>
          <w:rFonts w:ascii="Arial" w:eastAsia="Times New Roman" w:hAnsi="Arial" w:cs="Arial"/>
          <w:sz w:val="22"/>
          <w:szCs w:val="22"/>
          <w:lang w:eastAsia="pt-BR"/>
        </w:rPr>
        <w:t>). O saldo remanescente deve ser alocado aos serviços pós-combinação.</w:t>
      </w:r>
    </w:p>
    <w:p w14:paraId="7CAC17A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11520B6"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Outros Pronunciamentos</w:t>
      </w:r>
      <w:r w:rsidRPr="0096738F">
        <w:rPr>
          <w:rFonts w:ascii="Arial" w:eastAsia="Times New Roman" w:hAnsi="Arial" w:cs="Arial"/>
          <w:b/>
          <w:sz w:val="22"/>
          <w:szCs w:val="22"/>
          <w:lang w:val="pt-PT" w:eastAsia="pt-BR"/>
        </w:rPr>
        <w:t xml:space="preserve">, Interpretações e Orientações do CPC </w:t>
      </w:r>
      <w:r w:rsidRPr="0096738F">
        <w:rPr>
          <w:rFonts w:ascii="Arial" w:eastAsia="Times New Roman" w:hAnsi="Arial" w:cs="Arial"/>
          <w:b/>
          <w:bCs/>
          <w:iCs/>
          <w:sz w:val="22"/>
          <w:szCs w:val="22"/>
          <w:lang w:val="pt-PT" w:eastAsia="pt-BR"/>
        </w:rPr>
        <w:t>que orientam sobre mensuração e contabilização subsequentes – aplicação do item 54</w:t>
      </w:r>
    </w:p>
    <w:p w14:paraId="5294D07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20D4F4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B63.</w:t>
      </w:r>
      <w:r w:rsidRPr="0096738F">
        <w:rPr>
          <w:rFonts w:ascii="Arial" w:eastAsia="Times New Roman" w:hAnsi="Arial" w:cs="Arial"/>
          <w:sz w:val="22"/>
          <w:szCs w:val="22"/>
          <w:lang w:eastAsia="pt-BR"/>
        </w:rPr>
        <w:tab/>
        <w:t>Outros Pronunciamentos, Interpretações e Orientações do CPC fornecem orientações sobre mensuração e contabilização subsequentes para ativos adquiridos e passivos assumidos ou incorridos em combinação de negócios, como por exemplo:</w:t>
      </w:r>
    </w:p>
    <w:p w14:paraId="43A8050E" w14:textId="77777777" w:rsidR="0096738F" w:rsidRPr="0096738F" w:rsidRDefault="0096738F" w:rsidP="0096738F">
      <w:pPr>
        <w:widowControl w:val="0"/>
        <w:numPr>
          <w:ilvl w:val="0"/>
          <w:numId w:val="4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Pronunciamento Técnico CPC 04 – Ativo Intangível </w:t>
      </w:r>
      <w:r w:rsidRPr="0096738F">
        <w:rPr>
          <w:rFonts w:ascii="Arial" w:eastAsia="Times New Roman" w:hAnsi="Arial" w:cs="Arial"/>
          <w:bCs/>
          <w:iCs/>
          <w:sz w:val="22"/>
          <w:szCs w:val="22"/>
          <w:lang w:val="pt-PT" w:eastAsia="pt-BR"/>
        </w:rPr>
        <w:t>orienta</w:t>
      </w:r>
      <w:r w:rsidRPr="0096738F">
        <w:rPr>
          <w:rFonts w:ascii="Arial" w:eastAsia="Times New Roman" w:hAnsi="Arial" w:cs="Arial"/>
          <w:sz w:val="22"/>
          <w:szCs w:val="22"/>
          <w:lang w:val="pt-PT" w:eastAsia="pt-BR"/>
        </w:rPr>
        <w:t xml:space="preserve"> como contabilizar ativos </w:t>
      </w:r>
      <w:r w:rsidRPr="0096738F">
        <w:rPr>
          <w:rFonts w:ascii="Arial" w:eastAsia="Times New Roman" w:hAnsi="Arial" w:cs="Arial"/>
          <w:sz w:val="22"/>
          <w:szCs w:val="22"/>
          <w:lang w:val="pt-PT" w:eastAsia="pt-BR"/>
        </w:rPr>
        <w:lastRenderedPageBreak/>
        <w:t xml:space="preserve">intangíveis identificados adquiridos em </w:t>
      </w:r>
      <w:r w:rsidRPr="0096738F">
        <w:rPr>
          <w:rFonts w:ascii="Arial" w:eastAsia="Times New Roman" w:hAnsi="Arial" w:cs="Arial"/>
          <w:bCs/>
          <w:iCs/>
          <w:sz w:val="22"/>
          <w:szCs w:val="22"/>
          <w:lang w:val="pt-PT" w:eastAsia="pt-BR"/>
        </w:rPr>
        <w:t xml:space="preserve">uma </w:t>
      </w:r>
      <w:r w:rsidRPr="0096738F">
        <w:rPr>
          <w:rFonts w:ascii="Arial" w:eastAsia="Times New Roman" w:hAnsi="Arial" w:cs="Arial"/>
          <w:sz w:val="22"/>
          <w:szCs w:val="22"/>
          <w:lang w:val="pt-PT" w:eastAsia="pt-BR"/>
        </w:rPr>
        <w:t>combinação de negócios. O adquirente deve mensurar o ágio por</w:t>
      </w:r>
      <w:r w:rsidRPr="0096738F">
        <w:rPr>
          <w:rFonts w:ascii="Arial" w:eastAsia="Times New Roman" w:hAnsi="Arial" w:cs="Arial"/>
          <w:bCs/>
          <w:iCs/>
          <w:sz w:val="22"/>
          <w:szCs w:val="22"/>
          <w:lang w:val="pt-PT" w:eastAsia="pt-BR"/>
        </w:rPr>
        <w:t xml:space="preserve"> expectativa de</w:t>
      </w:r>
      <w:r w:rsidRPr="0096738F">
        <w:rPr>
          <w:rFonts w:ascii="Arial" w:eastAsia="Times New Roman" w:hAnsi="Arial" w:cs="Arial"/>
          <w:sz w:val="22"/>
          <w:szCs w:val="22"/>
          <w:lang w:val="pt-PT" w:eastAsia="pt-BR"/>
        </w:rPr>
        <w:t xml:space="preserv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pelo valor reconhecido na data da aquisição menos a perda acumulada por redução ao valor recuperável. O Pronunciamento Técnico CPC 01 – Redução ao Valor Recuperável de Ativos estabelece como contabilizar as perdas por redução ao valor recuperável de ativos.</w:t>
      </w:r>
    </w:p>
    <w:p w14:paraId="1FD6B9E3" w14:textId="77777777" w:rsidR="0096738F" w:rsidRPr="0096738F" w:rsidRDefault="0096738F" w:rsidP="0096738F">
      <w:pPr>
        <w:widowControl w:val="0"/>
        <w:numPr>
          <w:ilvl w:val="0"/>
          <w:numId w:val="4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Pronunciamento Técnico CPC 11 – Contratos de Seguro fornece orientação sobre a contabilização subsequente de contrato de seguro adquirido em</w:t>
      </w:r>
      <w:r w:rsidRPr="0096738F">
        <w:rPr>
          <w:rFonts w:ascii="Arial" w:eastAsia="Times New Roman" w:hAnsi="Arial" w:cs="Arial"/>
          <w:bCs/>
          <w:iCs/>
          <w:sz w:val="22"/>
          <w:szCs w:val="22"/>
          <w:lang w:val="pt-PT" w:eastAsia="pt-BR"/>
        </w:rPr>
        <w:t xml:space="preserve"> uma</w:t>
      </w:r>
      <w:r w:rsidRPr="0096738F">
        <w:rPr>
          <w:rFonts w:ascii="Arial" w:eastAsia="Times New Roman" w:hAnsi="Arial" w:cs="Arial"/>
          <w:sz w:val="22"/>
          <w:szCs w:val="22"/>
          <w:lang w:val="pt-PT" w:eastAsia="pt-BR"/>
        </w:rPr>
        <w:t xml:space="preserve"> combinação de negócios.</w:t>
      </w:r>
    </w:p>
    <w:p w14:paraId="0BA5FE1A" w14:textId="77777777" w:rsidR="0096738F" w:rsidRPr="0096738F" w:rsidRDefault="0096738F" w:rsidP="0096738F">
      <w:pPr>
        <w:widowControl w:val="0"/>
        <w:numPr>
          <w:ilvl w:val="0"/>
          <w:numId w:val="4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Pronunciamento Técnico CPC 32 – Tributos sobre o Lucro determina a contabilização subsequente </w:t>
      </w:r>
      <w:r w:rsidRPr="0096738F">
        <w:rPr>
          <w:rFonts w:ascii="Arial" w:eastAsia="Times New Roman" w:hAnsi="Arial" w:cs="Arial"/>
          <w:bCs/>
          <w:iCs/>
          <w:sz w:val="22"/>
          <w:szCs w:val="22"/>
          <w:lang w:val="pt-PT" w:eastAsia="pt-BR"/>
        </w:rPr>
        <w:t>de ativos fiscais diferidos (incluindo ativos fiscais diferidos não reconhecidos) e passivos fiscais diferidos adquiridos em uma</w:t>
      </w:r>
      <w:r w:rsidRPr="0096738F">
        <w:rPr>
          <w:rFonts w:ascii="Arial" w:eastAsia="Times New Roman" w:hAnsi="Arial" w:cs="Arial"/>
          <w:sz w:val="22"/>
          <w:szCs w:val="22"/>
          <w:lang w:val="pt-PT" w:eastAsia="pt-BR"/>
        </w:rPr>
        <w:t xml:space="preserve"> combinação de negócios.</w:t>
      </w:r>
    </w:p>
    <w:p w14:paraId="7A11ED9B" w14:textId="77777777" w:rsidR="0096738F" w:rsidRPr="0096738F" w:rsidRDefault="0096738F" w:rsidP="0096738F">
      <w:pPr>
        <w:widowControl w:val="0"/>
        <w:numPr>
          <w:ilvl w:val="0"/>
          <w:numId w:val="4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Pronunciamento Técnico CPC 10 – Pagamento Baseado em Ações fornece orientação para a mensuração e a contabilização</w:t>
      </w:r>
      <w:r w:rsidRPr="0096738F">
        <w:rPr>
          <w:rFonts w:ascii="Arial" w:eastAsia="Times New Roman" w:hAnsi="Arial" w:cs="Arial"/>
          <w:bCs/>
          <w:iCs/>
          <w:sz w:val="22"/>
          <w:szCs w:val="22"/>
          <w:lang w:val="pt-PT" w:eastAsia="pt-BR"/>
        </w:rPr>
        <w:t xml:space="preserve"> subsequente</w:t>
      </w:r>
      <w:r w:rsidRPr="0096738F">
        <w:rPr>
          <w:rFonts w:ascii="Arial" w:eastAsia="Times New Roman" w:hAnsi="Arial" w:cs="Arial"/>
          <w:sz w:val="22"/>
          <w:szCs w:val="22"/>
          <w:lang w:val="pt-PT" w:eastAsia="pt-BR"/>
        </w:rPr>
        <w:t xml:space="preserve"> da parte dos planos de substituição por pagamentos baseados em ações emitidos pelo adquirente e atribuídos aos serviços futuros do empregado.</w:t>
      </w:r>
    </w:p>
    <w:p w14:paraId="1CD53C10" w14:textId="77777777" w:rsidR="0096738F" w:rsidRPr="0096738F" w:rsidRDefault="0096738F" w:rsidP="0096738F">
      <w:pPr>
        <w:widowControl w:val="0"/>
        <w:numPr>
          <w:ilvl w:val="0"/>
          <w:numId w:val="4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Pronunciamento Técnico CPC 36 – Demonstrações Consolidadas fornece orientação para contabilizar as mudanças na participação da controladora em suas controladas após a obtenção do controle.</w:t>
      </w:r>
    </w:p>
    <w:p w14:paraId="3B6DE2E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val="pt-PT" w:eastAsia="pt-BR"/>
        </w:rPr>
      </w:pPr>
    </w:p>
    <w:p w14:paraId="01A61DB2"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Divulgação – aplicação dos itens 59 e 61</w:t>
      </w:r>
    </w:p>
    <w:p w14:paraId="5CCDF97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4E87F8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B64.</w:t>
      </w:r>
      <w:r w:rsidRPr="0096738F">
        <w:rPr>
          <w:rFonts w:ascii="Arial" w:eastAsia="Times New Roman" w:hAnsi="Arial" w:cs="Arial"/>
          <w:sz w:val="22"/>
          <w:szCs w:val="22"/>
          <w:lang w:eastAsia="pt-BR"/>
        </w:rPr>
        <w:tab/>
        <w:t>Para cumprir os objetivos do item 59, o adquirente deve divulgar as informações a seguir para cada combinação de negócios que ocorrer ao longo do período de reporte:</w:t>
      </w:r>
    </w:p>
    <w:p w14:paraId="467265C5"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nome e descrição da adquirida;</w:t>
      </w:r>
    </w:p>
    <w:p w14:paraId="2DB701B9"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data da aquisição;</w:t>
      </w:r>
    </w:p>
    <w:p w14:paraId="60C9D0CD"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percentual do capital votante adquirido, bem como o percentual da participação total adquirida;</w:t>
      </w:r>
    </w:p>
    <w:p w14:paraId="395C23F6"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principais motivos da combinação de negócios e descrição de como o controle da adquirida foi obtido pelo adquirente;</w:t>
      </w:r>
    </w:p>
    <w:p w14:paraId="1EDC65E4"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descrição qualitativa dos fatores que compõem 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reconhecido, tais como sinergias esperadas pela combinação das operações da adquirida com as do adquirente, ativos intangíveis que não se qualificam para reconhecimento em separado ou outros fatores;</w:t>
      </w:r>
    </w:p>
    <w:p w14:paraId="083DA749"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valor justo, na data da aquisição, da contraprestação total transferida, bem como o valor justo, na data da aquisição, dos tipos mais relevantes de contraprestação, tais como:</w:t>
      </w:r>
    </w:p>
    <w:p w14:paraId="40474BA0" w14:textId="77777777" w:rsidR="0096738F" w:rsidRPr="0096738F" w:rsidRDefault="0096738F" w:rsidP="0096738F">
      <w:pPr>
        <w:widowControl w:val="0"/>
        <w:numPr>
          <w:ilvl w:val="0"/>
          <w:numId w:val="46"/>
        </w:numPr>
        <w:tabs>
          <w:tab w:val="num" w:pos="1418"/>
        </w:tabs>
        <w:spacing w:before="0" w:after="0" w:line="240" w:lineRule="auto"/>
        <w:ind w:left="1418" w:hanging="284"/>
        <w:rPr>
          <w:rFonts w:ascii="Arial" w:eastAsia="Times New Roman" w:hAnsi="Arial" w:cs="Arial"/>
          <w:sz w:val="22"/>
          <w:szCs w:val="22"/>
          <w:lang w:val="pt-PT" w:eastAsia="pt-BR"/>
        </w:rPr>
      </w:pPr>
      <w:r w:rsidRPr="0096738F">
        <w:rPr>
          <w:rFonts w:ascii="Arial" w:eastAsia="Times New Roman" w:hAnsi="Arial" w:cs="Arial"/>
          <w:bCs/>
          <w:iCs/>
          <w:sz w:val="22"/>
          <w:szCs w:val="22"/>
          <w:lang w:val="pt-PT" w:eastAsia="pt-BR"/>
        </w:rPr>
        <w:t>caixa</w:t>
      </w:r>
      <w:r w:rsidRPr="0096738F">
        <w:rPr>
          <w:rFonts w:ascii="Arial" w:eastAsia="Times New Roman" w:hAnsi="Arial" w:cs="Arial"/>
          <w:sz w:val="22"/>
          <w:szCs w:val="22"/>
          <w:lang w:val="pt-PT" w:eastAsia="pt-BR"/>
        </w:rPr>
        <w:t>;</w:t>
      </w:r>
    </w:p>
    <w:p w14:paraId="0A2D0422" w14:textId="77777777" w:rsidR="0096738F" w:rsidRPr="0096738F" w:rsidRDefault="0096738F" w:rsidP="0096738F">
      <w:pPr>
        <w:widowControl w:val="0"/>
        <w:numPr>
          <w:ilvl w:val="0"/>
          <w:numId w:val="46"/>
        </w:numPr>
        <w:tabs>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outros ativos tangíveis ou intangíveis, inclusive um negócio ou uma controlada do adquirente;</w:t>
      </w:r>
    </w:p>
    <w:p w14:paraId="7C043901" w14:textId="77777777" w:rsidR="0096738F" w:rsidRPr="0096738F" w:rsidRDefault="0096738F" w:rsidP="0096738F">
      <w:pPr>
        <w:widowControl w:val="0"/>
        <w:numPr>
          <w:ilvl w:val="0"/>
          <w:numId w:val="46"/>
        </w:numPr>
        <w:tabs>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passivos incorridos, como, por exemplo, passivo por contraprestação contingente; e</w:t>
      </w:r>
    </w:p>
    <w:p w14:paraId="490BE575" w14:textId="77777777" w:rsidR="0096738F" w:rsidRPr="0096738F" w:rsidRDefault="0096738F" w:rsidP="0096738F">
      <w:pPr>
        <w:widowControl w:val="0"/>
        <w:numPr>
          <w:ilvl w:val="0"/>
          <w:numId w:val="46"/>
        </w:numPr>
        <w:tabs>
          <w:tab w:val="num" w:pos="1418"/>
        </w:tabs>
        <w:spacing w:before="0" w:after="0" w:line="240" w:lineRule="auto"/>
        <w:ind w:left="1418" w:hanging="284"/>
        <w:rPr>
          <w:rFonts w:ascii="Arial" w:eastAsia="Times New Roman" w:hAnsi="Arial" w:cs="Arial"/>
          <w:bCs/>
          <w:iCs/>
          <w:strike/>
          <w:sz w:val="22"/>
          <w:szCs w:val="22"/>
          <w:lang w:val="pt-PT" w:eastAsia="pt-BR"/>
        </w:rPr>
      </w:pPr>
      <w:r w:rsidRPr="0096738F">
        <w:rPr>
          <w:rFonts w:ascii="Arial" w:eastAsia="Times New Roman" w:hAnsi="Arial" w:cs="Arial"/>
          <w:bCs/>
          <w:iCs/>
          <w:strike/>
          <w:sz w:val="22"/>
          <w:szCs w:val="22"/>
          <w:lang w:val="pt-PT" w:eastAsia="pt-BR"/>
        </w:rPr>
        <w:t>participações societárias do adquirente, inclusive o número de ações ou instrumentos emitidos ou que se pode emitir, e o método adotado na determinação do valor justo dessas ações ou instrumentos;</w:t>
      </w:r>
    </w:p>
    <w:p w14:paraId="686E8A59" w14:textId="15B48EEC" w:rsidR="0096738F" w:rsidRPr="0096738F" w:rsidRDefault="0096738F" w:rsidP="0096738F">
      <w:pPr>
        <w:widowControl w:val="0"/>
        <w:numPr>
          <w:ilvl w:val="0"/>
          <w:numId w:val="62"/>
        </w:numPr>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 xml:space="preserve">participações societárias do adquirente, inclusive o número de ações ou instrumentos emitidos ou que se pode emitir, e o método adotado na mensuração do valor justo dessas ações ou instrumentos; </w:t>
      </w:r>
    </w:p>
    <w:p w14:paraId="73BE7828"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para os acordos para contraprestação contingente e para os ativos de indenização:</w:t>
      </w:r>
    </w:p>
    <w:p w14:paraId="6D149216" w14:textId="77777777" w:rsidR="0096738F" w:rsidRPr="0096738F" w:rsidRDefault="0096738F" w:rsidP="0096738F">
      <w:pPr>
        <w:widowControl w:val="0"/>
        <w:numPr>
          <w:ilvl w:val="0"/>
          <w:numId w:val="47"/>
        </w:numPr>
        <w:tabs>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lastRenderedPageBreak/>
        <w:t>valor reconhecido na data da aquisição;</w:t>
      </w:r>
    </w:p>
    <w:p w14:paraId="49354410" w14:textId="77777777" w:rsidR="0096738F" w:rsidRPr="0096738F" w:rsidRDefault="0096738F" w:rsidP="0096738F">
      <w:pPr>
        <w:widowControl w:val="0"/>
        <w:numPr>
          <w:ilvl w:val="0"/>
          <w:numId w:val="47"/>
        </w:numPr>
        <w:tabs>
          <w:tab w:val="num" w:pos="1134"/>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descrição do acordo e das bases para determinação do valor do pagamento; e</w:t>
      </w:r>
    </w:p>
    <w:p w14:paraId="1B80ED36" w14:textId="77777777" w:rsidR="0096738F" w:rsidRPr="0096738F" w:rsidRDefault="0096738F" w:rsidP="0096738F">
      <w:pPr>
        <w:widowControl w:val="0"/>
        <w:numPr>
          <w:ilvl w:val="0"/>
          <w:numId w:val="47"/>
        </w:numPr>
        <w:tabs>
          <w:tab w:val="num" w:pos="1134"/>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estimativa da faixa de valores dos resultados (não descontados) ou, caso a faixa de valores não possa ser estimada, a indicação desse fato e as razões pelas quais não foi possível estimá-la. Quando não houver um valor máximo determinado para o pagamento (ou seja, não há limite de valor estabelecido), tal fato deve ser divulgado pelo adquirente;</w:t>
      </w:r>
    </w:p>
    <w:p w14:paraId="3C18EA76"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para os recebíveis adquiridos:</w:t>
      </w:r>
    </w:p>
    <w:p w14:paraId="22E79366" w14:textId="77777777" w:rsidR="0096738F" w:rsidRPr="0096738F" w:rsidRDefault="0096738F" w:rsidP="0096738F">
      <w:pPr>
        <w:widowControl w:val="0"/>
        <w:numPr>
          <w:ilvl w:val="0"/>
          <w:numId w:val="48"/>
        </w:numPr>
        <w:tabs>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valor justo dos recebíveis;</w:t>
      </w:r>
    </w:p>
    <w:p w14:paraId="290E846D" w14:textId="77777777" w:rsidR="0096738F" w:rsidRPr="0096738F" w:rsidRDefault="0096738F" w:rsidP="0096738F">
      <w:pPr>
        <w:widowControl w:val="0"/>
        <w:numPr>
          <w:ilvl w:val="0"/>
          <w:numId w:val="48"/>
        </w:numPr>
        <w:tabs>
          <w:tab w:val="num" w:pos="1134"/>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valor contratual bruto dos recebíveis; e</w:t>
      </w:r>
    </w:p>
    <w:p w14:paraId="2CFB114E" w14:textId="77777777" w:rsidR="0096738F" w:rsidRPr="0096738F" w:rsidRDefault="0096738F" w:rsidP="0096738F">
      <w:pPr>
        <w:widowControl w:val="0"/>
        <w:numPr>
          <w:ilvl w:val="0"/>
          <w:numId w:val="48"/>
        </w:numPr>
        <w:tabs>
          <w:tab w:val="num" w:pos="1134"/>
          <w:tab w:val="num" w:pos="1418"/>
        </w:tabs>
        <w:spacing w:before="0" w:after="0" w:line="240" w:lineRule="auto"/>
        <w:ind w:left="1418" w:hanging="284"/>
        <w:rPr>
          <w:rFonts w:ascii="Arial" w:eastAsia="Times New Roman" w:hAnsi="Arial" w:cs="Arial"/>
          <w:bCs/>
          <w:iCs/>
          <w:sz w:val="22"/>
          <w:szCs w:val="22"/>
          <w:lang w:val="pt-PT" w:eastAsia="pt-BR"/>
        </w:rPr>
      </w:pPr>
      <w:r w:rsidRPr="0096738F">
        <w:rPr>
          <w:rFonts w:ascii="Arial" w:eastAsia="Times New Roman" w:hAnsi="Arial" w:cs="Arial"/>
          <w:bCs/>
          <w:iCs/>
          <w:sz w:val="22"/>
          <w:szCs w:val="22"/>
          <w:lang w:val="pt-PT" w:eastAsia="pt-BR"/>
        </w:rPr>
        <w:t>a melhor estimativa, na data da aquisição, dos fluxos de caixa contratuais para os quais se tem a expectativa de perdas por não realização.</w:t>
      </w:r>
    </w:p>
    <w:p w14:paraId="36D3B0A8" w14:textId="77777777" w:rsidR="0096738F" w:rsidRPr="0096738F" w:rsidRDefault="0096738F" w:rsidP="0096738F">
      <w:pPr>
        <w:widowControl w:val="0"/>
        <w:spacing w:before="0" w:after="0" w:line="240" w:lineRule="auto"/>
        <w:ind w:left="56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As divulgações devem ser </w:t>
      </w:r>
      <w:r w:rsidRPr="0096738F">
        <w:rPr>
          <w:rFonts w:ascii="Arial" w:eastAsia="Times New Roman" w:hAnsi="Arial" w:cs="Arial"/>
          <w:bCs/>
          <w:iCs/>
          <w:sz w:val="22"/>
          <w:szCs w:val="22"/>
          <w:lang w:val="pt-PT" w:eastAsia="pt-BR"/>
        </w:rPr>
        <w:t>procedidas</w:t>
      </w:r>
      <w:r w:rsidRPr="0096738F">
        <w:rPr>
          <w:rFonts w:ascii="Arial" w:eastAsia="Times New Roman" w:hAnsi="Arial" w:cs="Arial"/>
          <w:sz w:val="22"/>
          <w:szCs w:val="22"/>
          <w:lang w:val="pt-PT" w:eastAsia="pt-BR"/>
        </w:rPr>
        <w:t xml:space="preserve"> para as principais classes de recebíveis</w:t>
      </w:r>
      <w:r w:rsidRPr="0096738F">
        <w:rPr>
          <w:rFonts w:ascii="Arial" w:eastAsia="Times New Roman" w:hAnsi="Arial" w:cs="Arial"/>
          <w:bCs/>
          <w:iCs/>
          <w:sz w:val="22"/>
          <w:szCs w:val="22"/>
          <w:lang w:val="pt-PT" w:eastAsia="pt-BR"/>
        </w:rPr>
        <w:t xml:space="preserve">, tais </w:t>
      </w:r>
      <w:r w:rsidRPr="0096738F">
        <w:rPr>
          <w:rFonts w:ascii="Arial" w:eastAsia="Times New Roman" w:hAnsi="Arial" w:cs="Arial"/>
          <w:sz w:val="22"/>
          <w:szCs w:val="22"/>
          <w:lang w:val="pt-PT" w:eastAsia="pt-BR"/>
        </w:rPr>
        <w:t xml:space="preserve">como </w:t>
      </w:r>
      <w:r w:rsidRPr="0096738F">
        <w:rPr>
          <w:rFonts w:ascii="Arial" w:eastAsia="Times New Roman" w:hAnsi="Arial" w:cs="Arial"/>
          <w:bCs/>
          <w:iCs/>
          <w:sz w:val="22"/>
          <w:szCs w:val="22"/>
          <w:lang w:val="pt-PT" w:eastAsia="pt-BR"/>
        </w:rPr>
        <w:t>empréstimos, arrendamentos financeiros diretos e quaisquer</w:t>
      </w:r>
      <w:r w:rsidRPr="0096738F">
        <w:rPr>
          <w:rFonts w:ascii="Arial" w:eastAsia="Times New Roman" w:hAnsi="Arial" w:cs="Arial"/>
          <w:sz w:val="22"/>
          <w:szCs w:val="22"/>
          <w:lang w:val="pt-PT" w:eastAsia="pt-BR"/>
        </w:rPr>
        <w:t xml:space="preserve"> outras</w:t>
      </w:r>
      <w:r w:rsidRPr="0096738F">
        <w:rPr>
          <w:rFonts w:ascii="Arial" w:eastAsia="Times New Roman" w:hAnsi="Arial" w:cs="Arial"/>
          <w:bCs/>
          <w:iCs/>
          <w:sz w:val="22"/>
          <w:szCs w:val="22"/>
          <w:lang w:val="pt-PT" w:eastAsia="pt-BR"/>
        </w:rPr>
        <w:t xml:space="preserve"> classes de recebíveis.</w:t>
      </w:r>
    </w:p>
    <w:p w14:paraId="722CF645"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Cs/>
          <w:iCs/>
          <w:sz w:val="22"/>
          <w:szCs w:val="22"/>
          <w:lang w:val="pt-PT" w:eastAsia="pt-BR"/>
        </w:rPr>
        <w:t>montantes reconhecidos</w:t>
      </w:r>
      <w:r w:rsidRPr="0096738F">
        <w:rPr>
          <w:rFonts w:ascii="Arial" w:eastAsia="Times New Roman" w:hAnsi="Arial" w:cs="Arial"/>
          <w:sz w:val="22"/>
          <w:szCs w:val="22"/>
          <w:lang w:val="pt-PT" w:eastAsia="pt-BR"/>
        </w:rPr>
        <w:t xml:space="preserve">, na data da aquisição, </w:t>
      </w:r>
      <w:r w:rsidRPr="0096738F">
        <w:rPr>
          <w:rFonts w:ascii="Arial" w:eastAsia="Times New Roman" w:hAnsi="Arial" w:cs="Arial"/>
          <w:bCs/>
          <w:iCs/>
          <w:sz w:val="22"/>
          <w:szCs w:val="22"/>
          <w:lang w:val="pt-PT" w:eastAsia="pt-BR"/>
        </w:rPr>
        <w:t xml:space="preserve">para cada uma </w:t>
      </w:r>
      <w:r w:rsidRPr="0096738F">
        <w:rPr>
          <w:rFonts w:ascii="Arial" w:eastAsia="Times New Roman" w:hAnsi="Arial" w:cs="Arial"/>
          <w:sz w:val="22"/>
          <w:szCs w:val="22"/>
          <w:lang w:val="pt-PT" w:eastAsia="pt-BR"/>
        </w:rPr>
        <w:t>das principais classes de ativos adquiridos e passivos assumidos</w:t>
      </w:r>
      <w:r w:rsidRPr="0096738F">
        <w:rPr>
          <w:rFonts w:ascii="Arial" w:eastAsia="Times New Roman" w:hAnsi="Arial" w:cs="Arial"/>
          <w:bCs/>
          <w:iCs/>
          <w:sz w:val="22"/>
          <w:szCs w:val="22"/>
          <w:lang w:val="pt-PT" w:eastAsia="pt-BR"/>
        </w:rPr>
        <w:t>;</w:t>
      </w:r>
    </w:p>
    <w:p w14:paraId="41F09BB8" w14:textId="68A612EB" w:rsidR="0096738F" w:rsidRPr="0096738F" w:rsidRDefault="00DD5953" w:rsidP="0096738F">
      <w:pPr>
        <w:widowControl w:val="0"/>
        <w:numPr>
          <w:ilvl w:val="0"/>
          <w:numId w:val="45"/>
        </w:numPr>
        <w:spacing w:before="0" w:after="0" w:line="240" w:lineRule="auto"/>
        <w:ind w:left="993" w:hanging="426"/>
        <w:rPr>
          <w:rFonts w:ascii="Arial" w:eastAsia="Times New Roman" w:hAnsi="Arial" w:cs="Arial"/>
          <w:strike/>
          <w:sz w:val="22"/>
          <w:szCs w:val="22"/>
          <w:lang w:val="pt-PT" w:eastAsia="pt-BR"/>
        </w:rPr>
      </w:pPr>
      <w:r w:rsidRPr="0096738F">
        <w:rPr>
          <w:rFonts w:ascii="Arial" w:eastAsia="Times New Roman" w:hAnsi="Arial" w:cs="Arial"/>
          <w:sz w:val="22"/>
          <w:szCs w:val="22"/>
          <w:lang w:eastAsia="pt-BR"/>
        </w:rPr>
        <w:t>para cada passivo contingente reconhecido de acordo com o item 23, a informação exigida pelo item 85 do Pronunciamento Técnico CPC 25 - Provisões, Passivos Contingentes e Ativos Contingentes. Quando um passivo contingente não tiver sido reconhecido porque não foi possível mensurar o seu valor justo com confiabilidade, o adquirente deve divulgar</w:t>
      </w:r>
      <w:r>
        <w:rPr>
          <w:rFonts w:ascii="Arial" w:eastAsia="Times New Roman" w:hAnsi="Arial" w:cs="Arial"/>
          <w:sz w:val="22"/>
          <w:szCs w:val="22"/>
          <w:lang w:eastAsia="pt-BR"/>
        </w:rPr>
        <w:t>:</w:t>
      </w:r>
    </w:p>
    <w:p w14:paraId="055C8414" w14:textId="77777777" w:rsidR="0096738F" w:rsidRPr="0096738F" w:rsidRDefault="0096738F" w:rsidP="0096738F">
      <w:pPr>
        <w:widowControl w:val="0"/>
        <w:numPr>
          <w:ilvl w:val="0"/>
          <w:numId w:val="34"/>
        </w:numPr>
        <w:spacing w:before="0" w:after="0" w:line="240" w:lineRule="auto"/>
        <w:ind w:left="1418" w:hanging="141"/>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informação exigida pelo item 86 do Pronunciamento Técnico CPC 25 - Provisões, Passivos Contingentes e Ativos Contingentes; e</w:t>
      </w:r>
    </w:p>
    <w:p w14:paraId="4943AC96" w14:textId="77777777" w:rsidR="0096738F" w:rsidRPr="0096738F" w:rsidRDefault="0096738F" w:rsidP="0096738F">
      <w:pPr>
        <w:widowControl w:val="0"/>
        <w:numPr>
          <w:ilvl w:val="0"/>
          <w:numId w:val="34"/>
        </w:numPr>
        <w:spacing w:before="0" w:after="0" w:line="240" w:lineRule="auto"/>
        <w:ind w:left="1418" w:hanging="141"/>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as razões pelas quais o passivo não pôde ser mensurado com confiabilidade</w:t>
      </w:r>
      <w:r w:rsidRPr="0096738F">
        <w:rPr>
          <w:rFonts w:ascii="Arial" w:eastAsia="Times New Roman" w:hAnsi="Arial" w:cs="Arial"/>
          <w:bCs/>
          <w:iCs/>
          <w:sz w:val="22"/>
          <w:szCs w:val="22"/>
          <w:lang w:val="pt-PT" w:eastAsia="pt-BR"/>
        </w:rPr>
        <w:t>.</w:t>
      </w:r>
    </w:p>
    <w:p w14:paraId="4440CE9C"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total do ágio por</w:t>
      </w:r>
      <w:r w:rsidRPr="0096738F">
        <w:rPr>
          <w:rFonts w:ascii="Arial" w:eastAsia="Times New Roman" w:hAnsi="Arial" w:cs="Arial"/>
          <w:bCs/>
          <w:iCs/>
          <w:sz w:val="22"/>
          <w:szCs w:val="22"/>
          <w:lang w:val="pt-PT" w:eastAsia="pt-BR"/>
        </w:rPr>
        <w:t xml:space="preserve"> expectativa de</w:t>
      </w:r>
      <w:r w:rsidRPr="0096738F">
        <w:rPr>
          <w:rFonts w:ascii="Arial" w:eastAsia="Times New Roman" w:hAnsi="Arial" w:cs="Arial"/>
          <w:sz w:val="22"/>
          <w:szCs w:val="22"/>
          <w:lang w:val="pt-PT" w:eastAsia="pt-BR"/>
        </w:rPr>
        <w:t xml:space="preserv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que se espera que seja dedutível para fins fiscais;</w:t>
      </w:r>
    </w:p>
    <w:p w14:paraId="05430187"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para as operações reconhecidas separadamente da aquisição de ativos e da assunção de passivos na combinação de negócio, de acordo com o item 51:</w:t>
      </w:r>
    </w:p>
    <w:p w14:paraId="769E5D20" w14:textId="77777777" w:rsidR="0096738F" w:rsidRPr="0096738F" w:rsidRDefault="0096738F" w:rsidP="0096738F">
      <w:pPr>
        <w:widowControl w:val="0"/>
        <w:numPr>
          <w:ilvl w:val="0"/>
          <w:numId w:val="35"/>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descrição de cada operação;</w:t>
      </w:r>
    </w:p>
    <w:p w14:paraId="34678099" w14:textId="77777777" w:rsidR="0096738F" w:rsidRPr="0096738F" w:rsidRDefault="0096738F" w:rsidP="0096738F">
      <w:pPr>
        <w:widowControl w:val="0"/>
        <w:numPr>
          <w:ilvl w:val="0"/>
          <w:numId w:val="35"/>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forma como o adquirente contabilizou cada operação;</w:t>
      </w:r>
    </w:p>
    <w:p w14:paraId="01BD3DAF" w14:textId="77777777" w:rsidR="0096738F" w:rsidRPr="0096738F" w:rsidRDefault="0096738F" w:rsidP="0096738F">
      <w:pPr>
        <w:widowControl w:val="0"/>
        <w:numPr>
          <w:ilvl w:val="0"/>
          <w:numId w:val="35"/>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reconhecido para cada operação e a linha do item das demonstrações contábeis em que estiver reconhecido (para cada operação); e</w:t>
      </w:r>
    </w:p>
    <w:p w14:paraId="53F41CB8" w14:textId="77777777" w:rsidR="0096738F" w:rsidRPr="0096738F" w:rsidRDefault="0096738F" w:rsidP="0096738F">
      <w:pPr>
        <w:widowControl w:val="0"/>
        <w:numPr>
          <w:ilvl w:val="0"/>
          <w:numId w:val="35"/>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método utilizado para determinar o valor dessa liquidação, caso a operação seja uma liquidação efetiva de relacionamento preexistente;</w:t>
      </w:r>
    </w:p>
    <w:p w14:paraId="56FE96E3"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 a divulgação das operações reconhecidas separadamente</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exigida pela </w:t>
      </w:r>
      <w:r w:rsidRPr="0096738F">
        <w:rPr>
          <w:rFonts w:ascii="Arial" w:eastAsia="Times New Roman" w:hAnsi="Arial" w:cs="Arial"/>
          <w:bCs/>
          <w:iCs/>
          <w:sz w:val="22"/>
          <w:szCs w:val="22"/>
          <w:lang w:val="pt-PT" w:eastAsia="pt-BR"/>
        </w:rPr>
        <w:t>alínea</w:t>
      </w:r>
      <w:r w:rsidRPr="0096738F">
        <w:rPr>
          <w:rFonts w:ascii="Arial" w:eastAsia="Times New Roman" w:hAnsi="Arial" w:cs="Arial"/>
          <w:sz w:val="22"/>
          <w:szCs w:val="22"/>
          <w:lang w:val="pt-PT" w:eastAsia="pt-BR"/>
        </w:rPr>
        <w:t xml:space="preserve"> (l</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deve incluir o valor dos custos de </w:t>
      </w:r>
      <w:r w:rsidRPr="0096738F">
        <w:rPr>
          <w:rFonts w:ascii="Arial" w:eastAsia="Times New Roman" w:hAnsi="Arial" w:cs="Arial"/>
          <w:bCs/>
          <w:iCs/>
          <w:sz w:val="22"/>
          <w:szCs w:val="22"/>
          <w:lang w:val="pt-PT" w:eastAsia="pt-BR"/>
        </w:rPr>
        <w:t>aquisição relacionados</w:t>
      </w:r>
      <w:r w:rsidRPr="0096738F">
        <w:rPr>
          <w:rFonts w:ascii="Arial" w:eastAsia="Times New Roman" w:hAnsi="Arial" w:cs="Arial"/>
          <w:sz w:val="22"/>
          <w:szCs w:val="22"/>
          <w:lang w:val="pt-PT" w:eastAsia="pt-BR"/>
        </w:rPr>
        <w:t xml:space="preserve"> e, separadamente, o valor da parte desses custos que </w:t>
      </w:r>
      <w:r w:rsidRPr="0096738F">
        <w:rPr>
          <w:rFonts w:ascii="Arial" w:eastAsia="Times New Roman" w:hAnsi="Arial" w:cs="Arial"/>
          <w:bCs/>
          <w:iCs/>
          <w:sz w:val="22"/>
          <w:szCs w:val="22"/>
          <w:lang w:val="pt-PT" w:eastAsia="pt-BR"/>
        </w:rPr>
        <w:t>foi reconhecida</w:t>
      </w:r>
      <w:r w:rsidRPr="0096738F">
        <w:rPr>
          <w:rFonts w:ascii="Arial" w:eastAsia="Times New Roman" w:hAnsi="Arial" w:cs="Arial"/>
          <w:sz w:val="22"/>
          <w:szCs w:val="22"/>
          <w:lang w:val="pt-PT" w:eastAsia="pt-BR"/>
        </w:rPr>
        <w:t xml:space="preserve"> como despesa, bem como a linha do item (ou </w:t>
      </w:r>
      <w:r w:rsidRPr="0096738F">
        <w:rPr>
          <w:rFonts w:ascii="Arial" w:eastAsia="Times New Roman" w:hAnsi="Arial" w:cs="Arial"/>
          <w:bCs/>
          <w:iCs/>
          <w:sz w:val="22"/>
          <w:szCs w:val="22"/>
          <w:lang w:val="pt-PT" w:eastAsia="pt-BR"/>
        </w:rPr>
        <w:t xml:space="preserve">dos </w:t>
      </w:r>
      <w:r w:rsidRPr="0096738F">
        <w:rPr>
          <w:rFonts w:ascii="Arial" w:eastAsia="Times New Roman" w:hAnsi="Arial" w:cs="Arial"/>
          <w:sz w:val="22"/>
          <w:szCs w:val="22"/>
          <w:lang w:val="pt-PT" w:eastAsia="pt-BR"/>
        </w:rPr>
        <w:t xml:space="preserve">itens) da demonstração do resultado em que tais despesas </w:t>
      </w:r>
      <w:r w:rsidRPr="0096738F">
        <w:rPr>
          <w:rFonts w:ascii="Arial" w:eastAsia="Times New Roman" w:hAnsi="Arial" w:cs="Arial"/>
          <w:bCs/>
          <w:iCs/>
          <w:sz w:val="22"/>
          <w:szCs w:val="22"/>
          <w:lang w:val="pt-PT" w:eastAsia="pt-BR"/>
        </w:rPr>
        <w:t>foram reconhecidas.</w:t>
      </w:r>
      <w:r w:rsidRPr="0096738F">
        <w:rPr>
          <w:rFonts w:ascii="Arial" w:eastAsia="Times New Roman" w:hAnsi="Arial" w:cs="Arial"/>
          <w:sz w:val="22"/>
          <w:szCs w:val="22"/>
          <w:lang w:val="pt-PT" w:eastAsia="pt-BR"/>
        </w:rPr>
        <w:t xml:space="preserve"> Devem ser divulgados, também, o valor </w:t>
      </w:r>
      <w:r w:rsidRPr="0096738F">
        <w:rPr>
          <w:rFonts w:ascii="Arial" w:eastAsia="Times New Roman" w:hAnsi="Arial" w:cs="Arial"/>
          <w:bCs/>
          <w:iCs/>
          <w:sz w:val="22"/>
          <w:szCs w:val="22"/>
          <w:lang w:val="pt-PT" w:eastAsia="pt-BR"/>
        </w:rPr>
        <w:t xml:space="preserve">de quaisquer </w:t>
      </w:r>
      <w:r w:rsidRPr="0096738F">
        <w:rPr>
          <w:rFonts w:ascii="Arial" w:eastAsia="Times New Roman" w:hAnsi="Arial" w:cs="Arial"/>
          <w:sz w:val="22"/>
          <w:szCs w:val="22"/>
          <w:lang w:val="pt-PT" w:eastAsia="pt-BR"/>
        </w:rPr>
        <w:t>custos de emissão de títulos não reconhecidos como despesa e a informação de como foram reconhecidos;</w:t>
      </w:r>
    </w:p>
    <w:p w14:paraId="7FEF5D59"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no caso de compra vantajosa (</w:t>
      </w:r>
      <w:r w:rsidRPr="0096738F">
        <w:rPr>
          <w:rFonts w:ascii="Arial" w:eastAsia="Times New Roman" w:hAnsi="Arial" w:cs="Arial"/>
          <w:bCs/>
          <w:iCs/>
          <w:sz w:val="22"/>
          <w:szCs w:val="22"/>
          <w:lang w:val="pt-PT" w:eastAsia="pt-BR"/>
        </w:rPr>
        <w:t>ver</w:t>
      </w:r>
      <w:r w:rsidRPr="0096738F">
        <w:rPr>
          <w:rFonts w:ascii="Arial" w:eastAsia="Times New Roman" w:hAnsi="Arial" w:cs="Arial"/>
          <w:sz w:val="22"/>
          <w:szCs w:val="22"/>
          <w:lang w:val="pt-PT" w:eastAsia="pt-BR"/>
        </w:rPr>
        <w:t xml:space="preserve"> itens 34 a 36):</w:t>
      </w:r>
    </w:p>
    <w:p w14:paraId="1CDD2C33" w14:textId="77777777" w:rsidR="0096738F" w:rsidRPr="0096738F" w:rsidRDefault="0096738F" w:rsidP="0096738F">
      <w:pPr>
        <w:widowControl w:val="0"/>
        <w:numPr>
          <w:ilvl w:val="0"/>
          <w:numId w:val="36"/>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do ganho reconhecido de acordo com o item 34 e a linha do item da demonstração do resultado em que o ganho foi reconhecido; e</w:t>
      </w:r>
    </w:p>
    <w:p w14:paraId="6BF56695" w14:textId="77777777" w:rsidR="0096738F" w:rsidRPr="0096738F" w:rsidRDefault="0096738F" w:rsidP="0096738F">
      <w:pPr>
        <w:widowControl w:val="0"/>
        <w:numPr>
          <w:ilvl w:val="0"/>
          <w:numId w:val="36"/>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descrição das razões pelas quais a operação resultou em ganho;</w:t>
      </w:r>
    </w:p>
    <w:p w14:paraId="406D5BF6"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para </w:t>
      </w:r>
      <w:r w:rsidRPr="0096738F">
        <w:rPr>
          <w:rFonts w:ascii="Arial" w:eastAsia="Times New Roman" w:hAnsi="Arial" w:cs="Arial"/>
          <w:bCs/>
          <w:iCs/>
          <w:sz w:val="22"/>
          <w:szCs w:val="22"/>
          <w:lang w:val="pt-PT" w:eastAsia="pt-BR"/>
        </w:rPr>
        <w:t>cada combinação</w:t>
      </w:r>
      <w:r w:rsidRPr="0096738F">
        <w:rPr>
          <w:rFonts w:ascii="Arial" w:eastAsia="Times New Roman" w:hAnsi="Arial" w:cs="Arial"/>
          <w:sz w:val="22"/>
          <w:szCs w:val="22"/>
          <w:lang w:val="pt-PT" w:eastAsia="pt-BR"/>
        </w:rPr>
        <w:t xml:space="preserve"> de negócios em que o adquirente, na data da </w:t>
      </w:r>
      <w:r w:rsidRPr="0096738F">
        <w:rPr>
          <w:rFonts w:ascii="Arial" w:eastAsia="Times New Roman" w:hAnsi="Arial" w:cs="Arial"/>
          <w:bCs/>
          <w:iCs/>
          <w:sz w:val="22"/>
          <w:szCs w:val="22"/>
          <w:lang w:val="pt-PT" w:eastAsia="pt-BR"/>
        </w:rPr>
        <w:t>aquisição</w:t>
      </w:r>
      <w:r w:rsidRPr="0096738F">
        <w:rPr>
          <w:rFonts w:ascii="Arial" w:eastAsia="Times New Roman" w:hAnsi="Arial" w:cs="Arial"/>
          <w:sz w:val="22"/>
          <w:szCs w:val="22"/>
          <w:lang w:val="pt-PT" w:eastAsia="pt-BR"/>
        </w:rPr>
        <w:t>, possuir menos do que 100% de participação societária da adquirida:</w:t>
      </w:r>
    </w:p>
    <w:p w14:paraId="3E6DD3B2" w14:textId="77777777" w:rsidR="0096738F" w:rsidRPr="0096738F" w:rsidRDefault="0096738F" w:rsidP="0096738F">
      <w:pPr>
        <w:widowControl w:val="0"/>
        <w:numPr>
          <w:ilvl w:val="0"/>
          <w:numId w:val="37"/>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da participação de não controladores na adquirida, reconhecido na data da aquisição e as bases de mensuração desse valor; e</w:t>
      </w:r>
    </w:p>
    <w:p w14:paraId="165F19A6" w14:textId="3FAA9C85" w:rsidR="0096738F" w:rsidRPr="0096738F" w:rsidRDefault="00DD5953" w:rsidP="0096738F">
      <w:pPr>
        <w:widowControl w:val="0"/>
        <w:numPr>
          <w:ilvl w:val="0"/>
          <w:numId w:val="37"/>
        </w:numPr>
        <w:spacing w:before="0" w:after="0" w:line="240" w:lineRule="auto"/>
        <w:ind w:left="1418" w:hanging="142"/>
        <w:rPr>
          <w:rFonts w:ascii="Arial" w:eastAsia="Times New Roman" w:hAnsi="Arial" w:cs="Arial"/>
          <w:strike/>
          <w:sz w:val="22"/>
          <w:szCs w:val="22"/>
          <w:lang w:val="pt-PT" w:eastAsia="pt-BR"/>
        </w:rPr>
      </w:pPr>
      <w:r w:rsidRPr="0096738F">
        <w:rPr>
          <w:rFonts w:ascii="Arial" w:eastAsia="Times New Roman" w:hAnsi="Arial" w:cs="Arial"/>
          <w:sz w:val="22"/>
          <w:szCs w:val="22"/>
          <w:lang w:eastAsia="pt-BR"/>
        </w:rPr>
        <w:t xml:space="preserve">para </w:t>
      </w:r>
      <w:r w:rsidRPr="0096738F">
        <w:rPr>
          <w:rFonts w:ascii="Arial" w:eastAsia="Times New Roman" w:hAnsi="Arial" w:cs="Arial"/>
          <w:bCs/>
          <w:iCs/>
          <w:sz w:val="22"/>
          <w:szCs w:val="22"/>
          <w:lang w:eastAsia="pt-BR"/>
        </w:rPr>
        <w:t>cada</w:t>
      </w:r>
      <w:r w:rsidRPr="0096738F">
        <w:rPr>
          <w:rFonts w:ascii="Arial" w:eastAsia="Times New Roman" w:hAnsi="Arial" w:cs="Arial"/>
          <w:sz w:val="22"/>
          <w:szCs w:val="22"/>
          <w:lang w:eastAsia="pt-BR"/>
        </w:rPr>
        <w:t xml:space="preserve"> participação de não controladores</w:t>
      </w:r>
      <w:r w:rsidRPr="0096738F">
        <w:rPr>
          <w:rFonts w:ascii="Arial" w:eastAsia="Times New Roman" w:hAnsi="Arial" w:cs="Arial"/>
          <w:bCs/>
          <w:iCs/>
          <w:sz w:val="22"/>
          <w:szCs w:val="22"/>
          <w:lang w:eastAsia="pt-BR"/>
        </w:rPr>
        <w:t xml:space="preserve"> na adquirida</w:t>
      </w:r>
      <w:r w:rsidRPr="0096738F">
        <w:rPr>
          <w:rFonts w:ascii="Arial" w:eastAsia="Times New Roman" w:hAnsi="Arial" w:cs="Arial"/>
          <w:sz w:val="22"/>
          <w:szCs w:val="22"/>
          <w:lang w:eastAsia="pt-BR"/>
        </w:rPr>
        <w:t xml:space="preserve"> mensurada ao valor justo, as </w:t>
      </w:r>
      <w:r w:rsidRPr="0096738F">
        <w:rPr>
          <w:rFonts w:ascii="Arial" w:eastAsia="Times New Roman" w:hAnsi="Arial" w:cs="Arial"/>
          <w:sz w:val="22"/>
          <w:szCs w:val="22"/>
          <w:lang w:eastAsia="pt-BR"/>
        </w:rPr>
        <w:lastRenderedPageBreak/>
        <w:t>técnicas de avaliação e as informações significativas utilizadas na mensuração desse valor justo</w:t>
      </w:r>
      <w:r>
        <w:rPr>
          <w:rFonts w:ascii="Arial" w:eastAsia="Times New Roman" w:hAnsi="Arial" w:cs="Arial"/>
          <w:sz w:val="22"/>
          <w:szCs w:val="22"/>
          <w:lang w:eastAsia="pt-BR"/>
        </w:rPr>
        <w:t>;</w:t>
      </w:r>
    </w:p>
    <w:p w14:paraId="7C82E721"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 xml:space="preserve"> combinação alcançada em estágios:</w:t>
      </w:r>
    </w:p>
    <w:p w14:paraId="44E9E163" w14:textId="77777777" w:rsidR="0096738F" w:rsidRPr="0096738F" w:rsidRDefault="0096738F" w:rsidP="0096738F">
      <w:pPr>
        <w:widowControl w:val="0"/>
        <w:numPr>
          <w:ilvl w:val="0"/>
          <w:numId w:val="38"/>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na data da aquisição, da participação societária na adquirida que o adquirente mantinha imediatamente antes da data da aquisição; e</w:t>
      </w:r>
    </w:p>
    <w:p w14:paraId="5B786B4E" w14:textId="77777777" w:rsidR="0096738F" w:rsidRPr="0096738F" w:rsidRDefault="0096738F" w:rsidP="0096738F">
      <w:pPr>
        <w:widowControl w:val="0"/>
        <w:numPr>
          <w:ilvl w:val="0"/>
          <w:numId w:val="38"/>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valor de </w:t>
      </w:r>
      <w:r w:rsidRPr="0096738F">
        <w:rPr>
          <w:rFonts w:ascii="Arial" w:eastAsia="Times New Roman" w:hAnsi="Arial" w:cs="Arial"/>
          <w:bCs/>
          <w:iCs/>
          <w:sz w:val="22"/>
          <w:szCs w:val="22"/>
          <w:lang w:val="pt-PT" w:eastAsia="pt-BR"/>
        </w:rPr>
        <w:t>qualquer</w:t>
      </w:r>
      <w:r w:rsidRPr="0096738F">
        <w:rPr>
          <w:rFonts w:ascii="Arial" w:eastAsia="Times New Roman" w:hAnsi="Arial" w:cs="Arial"/>
          <w:sz w:val="22"/>
          <w:szCs w:val="22"/>
          <w:lang w:val="pt-PT" w:eastAsia="pt-BR"/>
        </w:rPr>
        <w:t xml:space="preserve"> ganho ou perda </w:t>
      </w:r>
      <w:r w:rsidRPr="0096738F">
        <w:rPr>
          <w:rFonts w:ascii="Arial" w:eastAsia="Times New Roman" w:hAnsi="Arial" w:cs="Arial"/>
          <w:bCs/>
          <w:iCs/>
          <w:sz w:val="22"/>
          <w:szCs w:val="22"/>
          <w:lang w:val="pt-PT" w:eastAsia="pt-BR"/>
        </w:rPr>
        <w:t>reconhecidos</w:t>
      </w:r>
      <w:r w:rsidRPr="0096738F">
        <w:rPr>
          <w:rFonts w:ascii="Arial" w:eastAsia="Times New Roman" w:hAnsi="Arial" w:cs="Arial"/>
          <w:sz w:val="22"/>
          <w:szCs w:val="22"/>
          <w:lang w:val="pt-PT" w:eastAsia="pt-BR"/>
        </w:rPr>
        <w:t xml:space="preserve"> em decorrência da remensuração ao valor justo da participação do adquirente na adquirida antes da combinação de negócios (</w:t>
      </w:r>
      <w:r w:rsidRPr="0096738F">
        <w:rPr>
          <w:rFonts w:ascii="Arial" w:eastAsia="Times New Roman" w:hAnsi="Arial" w:cs="Arial"/>
          <w:bCs/>
          <w:iCs/>
          <w:sz w:val="22"/>
          <w:szCs w:val="22"/>
          <w:lang w:val="pt-PT" w:eastAsia="pt-BR"/>
        </w:rPr>
        <w:t>ver</w:t>
      </w:r>
      <w:r w:rsidRPr="0096738F">
        <w:rPr>
          <w:rFonts w:ascii="Arial" w:eastAsia="Times New Roman" w:hAnsi="Arial" w:cs="Arial"/>
          <w:sz w:val="22"/>
          <w:szCs w:val="22"/>
          <w:lang w:val="pt-PT" w:eastAsia="pt-BR"/>
        </w:rPr>
        <w:t xml:space="preserve"> item 42) e a linha do item na demonstração do resultado em que esse ganho ou perda foi reconhecido;</w:t>
      </w:r>
    </w:p>
    <w:p w14:paraId="35B96F18" w14:textId="77777777" w:rsidR="0096738F" w:rsidRPr="0096738F" w:rsidRDefault="0096738F" w:rsidP="0096738F">
      <w:pPr>
        <w:widowControl w:val="0"/>
        <w:numPr>
          <w:ilvl w:val="0"/>
          <w:numId w:val="4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as seguintes informações:</w:t>
      </w:r>
    </w:p>
    <w:p w14:paraId="25E7CACE" w14:textId="77777777" w:rsidR="0096738F" w:rsidRPr="0096738F" w:rsidRDefault="0096738F" w:rsidP="0096738F">
      <w:pPr>
        <w:widowControl w:val="0"/>
        <w:numPr>
          <w:ilvl w:val="0"/>
          <w:numId w:val="39"/>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os </w:t>
      </w:r>
      <w:r w:rsidRPr="0096738F">
        <w:rPr>
          <w:rFonts w:ascii="Arial" w:eastAsia="Times New Roman" w:hAnsi="Arial" w:cs="Arial"/>
          <w:bCs/>
          <w:iCs/>
          <w:sz w:val="22"/>
          <w:szCs w:val="22"/>
          <w:lang w:val="pt-PT" w:eastAsia="pt-BR"/>
        </w:rPr>
        <w:t>montantes</w:t>
      </w:r>
      <w:r w:rsidRPr="0096738F">
        <w:rPr>
          <w:rFonts w:ascii="Arial" w:eastAsia="Times New Roman" w:hAnsi="Arial" w:cs="Arial"/>
          <w:sz w:val="22"/>
          <w:szCs w:val="22"/>
          <w:lang w:val="pt-PT" w:eastAsia="pt-BR"/>
        </w:rPr>
        <w:t xml:space="preserve"> das receitas e do resultado do período da adquirida a partir da data da aquisição que foram incluídos na demonstração consolidada do resultado do período de reporte; e</w:t>
      </w:r>
    </w:p>
    <w:p w14:paraId="485C0791" w14:textId="77777777" w:rsidR="0096738F" w:rsidRPr="0096738F" w:rsidRDefault="0096738F" w:rsidP="0096738F">
      <w:pPr>
        <w:widowControl w:val="0"/>
        <w:numPr>
          <w:ilvl w:val="0"/>
          <w:numId w:val="39"/>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as receitas e </w:t>
      </w:r>
      <w:r w:rsidRPr="0096738F">
        <w:rPr>
          <w:rFonts w:ascii="Arial" w:eastAsia="Times New Roman" w:hAnsi="Arial" w:cs="Arial"/>
          <w:bCs/>
          <w:iCs/>
          <w:sz w:val="22"/>
          <w:szCs w:val="22"/>
          <w:lang w:val="pt-PT" w:eastAsia="pt-BR"/>
        </w:rPr>
        <w:t>o resultado</w:t>
      </w:r>
      <w:r w:rsidRPr="0096738F">
        <w:rPr>
          <w:rFonts w:ascii="Arial" w:eastAsia="Times New Roman" w:hAnsi="Arial" w:cs="Arial"/>
          <w:sz w:val="22"/>
          <w:szCs w:val="22"/>
          <w:lang w:val="pt-PT" w:eastAsia="pt-BR"/>
        </w:rPr>
        <w:t xml:space="preserve"> do período da entidade combinada para o período de reporte corrente, como se a data da aquisição</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para todas as combinações ocorridas durante o ano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fosse o início do período de reporte anual.</w:t>
      </w:r>
    </w:p>
    <w:p w14:paraId="0D9B318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val="pt-PT" w:eastAsia="pt-BR"/>
        </w:rPr>
        <w:tab/>
        <w:t xml:space="preserve">Para </w:t>
      </w:r>
      <w:r w:rsidRPr="0096738F">
        <w:rPr>
          <w:rFonts w:ascii="Arial" w:eastAsia="Times New Roman" w:hAnsi="Arial" w:cs="Arial"/>
          <w:sz w:val="22"/>
          <w:szCs w:val="22"/>
          <w:lang w:eastAsia="pt-BR"/>
        </w:rPr>
        <w:t>o caso de ser impraticável a divulgação de qualquer das informações exigidas pela alínea (q), o adquirente deve divulgar esse fato e explicar por que sua divulgação é impraticável. Este Pronunciamento utiliza o termo “impraticável” com o mesmo significado utilizado no Pronunciamento Técnico CPC 23 - Políticas Contábeis, Mudança de Estimativa e Retificação de Erro.</w:t>
      </w:r>
    </w:p>
    <w:p w14:paraId="15C6BD9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464054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B65.</w:t>
      </w:r>
      <w:r w:rsidRPr="0096738F">
        <w:rPr>
          <w:rFonts w:ascii="Arial" w:eastAsia="Times New Roman" w:hAnsi="Arial" w:cs="Arial"/>
          <w:sz w:val="22"/>
          <w:szCs w:val="22"/>
          <w:lang w:eastAsia="pt-BR"/>
        </w:rPr>
        <w:tab/>
        <w:t>Para as combinações de negócios realizadas durante o período de reporte que individualmente são imateriais, mas que coletivamente são materiais, o adquirente pode divulgar as informações exigidas nos itens B64(e) a B64(q) de modo agregado.</w:t>
      </w:r>
    </w:p>
    <w:p w14:paraId="0C2B29D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EF10E0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B66.</w:t>
      </w:r>
      <w:r w:rsidRPr="0096738F">
        <w:rPr>
          <w:rFonts w:ascii="Arial" w:eastAsia="Times New Roman" w:hAnsi="Arial" w:cs="Arial"/>
          <w:sz w:val="22"/>
          <w:szCs w:val="22"/>
          <w:lang w:eastAsia="pt-BR"/>
        </w:rPr>
        <w:tab/>
        <w:t>Quando a data da aquisição de uma combinação de negócios for posterior ao final do período de reporte, mas for anterior à data de as demonstrações contábeis estarem autorizadas para publicação, o adquirente deve divulgar as informações requeridas no item B64, a menos que a contabilização inicial da combinação estiver incompleta no momento em que as demonstrações contábeis forem autorizadas para publicação. Nessa situação, o adquirente deve descrever quais divulgações não puderam ser feitas e as respectivas razões para tal.</w:t>
      </w:r>
    </w:p>
    <w:p w14:paraId="30B3CBC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C9C81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B67.</w:t>
      </w:r>
      <w:r w:rsidRPr="0096738F">
        <w:rPr>
          <w:rFonts w:ascii="Arial" w:eastAsia="Times New Roman" w:hAnsi="Arial" w:cs="Arial"/>
          <w:sz w:val="22"/>
          <w:szCs w:val="22"/>
          <w:lang w:eastAsia="pt-BR"/>
        </w:rPr>
        <w:tab/>
        <w:t>Para cumprir os objetivos do item 61, o adquirente deve divulgar as informações a seguir para cada combinação de negócios material, ou de modo agregado para aquelas combinações de negócios individualmente imateriais porém coletivamente materiais:</w:t>
      </w:r>
    </w:p>
    <w:p w14:paraId="1B1B5C86" w14:textId="77777777" w:rsidR="0096738F" w:rsidRPr="0096738F" w:rsidRDefault="0096738F" w:rsidP="0096738F">
      <w:pPr>
        <w:widowControl w:val="0"/>
        <w:numPr>
          <w:ilvl w:val="0"/>
          <w:numId w:val="5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quando a contabilização inicial </w:t>
      </w:r>
      <w:r w:rsidRPr="0096738F">
        <w:rPr>
          <w:rFonts w:ascii="Arial" w:eastAsia="Times New Roman" w:hAnsi="Arial" w:cs="Arial"/>
          <w:bCs/>
          <w:iCs/>
          <w:sz w:val="22"/>
          <w:szCs w:val="22"/>
          <w:lang w:val="pt-PT" w:eastAsia="pt-BR"/>
        </w:rPr>
        <w:t>de uma</w:t>
      </w:r>
      <w:r w:rsidRPr="0096738F">
        <w:rPr>
          <w:rFonts w:ascii="Arial" w:eastAsia="Times New Roman" w:hAnsi="Arial" w:cs="Arial"/>
          <w:sz w:val="22"/>
          <w:szCs w:val="22"/>
          <w:lang w:val="pt-PT" w:eastAsia="pt-BR"/>
        </w:rPr>
        <w:t xml:space="preserve"> combinação de negócios estiver incompleta </w:t>
      </w:r>
      <w:r w:rsidRPr="0096738F">
        <w:rPr>
          <w:rFonts w:ascii="Arial" w:eastAsia="Times New Roman" w:hAnsi="Arial" w:cs="Arial"/>
          <w:bCs/>
          <w:iCs/>
          <w:sz w:val="22"/>
          <w:szCs w:val="22"/>
          <w:lang w:val="pt-PT" w:eastAsia="pt-BR"/>
        </w:rPr>
        <w:t xml:space="preserve">(ver item 45) </w:t>
      </w:r>
      <w:r w:rsidRPr="0096738F">
        <w:rPr>
          <w:rFonts w:ascii="Arial" w:eastAsia="Times New Roman" w:hAnsi="Arial" w:cs="Arial"/>
          <w:sz w:val="22"/>
          <w:szCs w:val="22"/>
          <w:lang w:val="pt-PT" w:eastAsia="pt-BR"/>
        </w:rPr>
        <w:t>e, consequentemente, determinados ativos, passivos, participação de não controladores ou itens da contraprestação transferida</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bem como os respectivos </w:t>
      </w:r>
      <w:r w:rsidRPr="0096738F">
        <w:rPr>
          <w:rFonts w:ascii="Arial" w:eastAsia="Times New Roman" w:hAnsi="Arial" w:cs="Arial"/>
          <w:bCs/>
          <w:iCs/>
          <w:sz w:val="22"/>
          <w:szCs w:val="22"/>
          <w:lang w:val="pt-PT" w:eastAsia="pt-BR"/>
        </w:rPr>
        <w:t>montantes</w:t>
      </w:r>
      <w:r w:rsidRPr="0096738F">
        <w:rPr>
          <w:rFonts w:ascii="Arial" w:eastAsia="Times New Roman" w:hAnsi="Arial" w:cs="Arial"/>
          <w:sz w:val="22"/>
          <w:szCs w:val="22"/>
          <w:lang w:val="pt-PT" w:eastAsia="pt-BR"/>
        </w:rPr>
        <w:t xml:space="preserve"> reconhecidos nas demonstrações contábeis para </w:t>
      </w:r>
      <w:r w:rsidRPr="0096738F">
        <w:rPr>
          <w:rFonts w:ascii="Arial" w:eastAsia="Times New Roman" w:hAnsi="Arial" w:cs="Arial"/>
          <w:bCs/>
          <w:iCs/>
          <w:sz w:val="22"/>
          <w:szCs w:val="22"/>
          <w:lang w:val="pt-PT" w:eastAsia="pt-BR"/>
        </w:rPr>
        <w:t>a</w:t>
      </w:r>
      <w:r w:rsidRPr="0096738F">
        <w:rPr>
          <w:rFonts w:ascii="Arial" w:eastAsia="Times New Roman" w:hAnsi="Arial" w:cs="Arial"/>
          <w:sz w:val="22"/>
          <w:szCs w:val="22"/>
          <w:lang w:val="pt-PT" w:eastAsia="pt-BR"/>
        </w:rPr>
        <w:t xml:space="preserve"> combinação</w:t>
      </w:r>
      <w:r w:rsidRPr="0096738F">
        <w:rPr>
          <w:rFonts w:ascii="Arial" w:eastAsia="Times New Roman" w:hAnsi="Arial" w:cs="Arial"/>
          <w:bCs/>
          <w:iCs/>
          <w:sz w:val="22"/>
          <w:szCs w:val="22"/>
          <w:lang w:val="pt-PT" w:eastAsia="pt-BR"/>
        </w:rPr>
        <w:t>, tiverem sido determinados</w:t>
      </w:r>
      <w:r w:rsidRPr="0096738F">
        <w:rPr>
          <w:rFonts w:ascii="Arial" w:eastAsia="Times New Roman" w:hAnsi="Arial" w:cs="Arial"/>
          <w:sz w:val="22"/>
          <w:szCs w:val="22"/>
          <w:lang w:val="pt-PT" w:eastAsia="pt-BR"/>
        </w:rPr>
        <w:t xml:space="preserve"> apenas provisoriamente, deve</w:t>
      </w:r>
      <w:r w:rsidRPr="0096738F">
        <w:rPr>
          <w:rFonts w:ascii="Arial" w:eastAsia="Times New Roman" w:hAnsi="Arial" w:cs="Arial"/>
          <w:bCs/>
          <w:iCs/>
          <w:sz w:val="22"/>
          <w:szCs w:val="22"/>
          <w:lang w:val="pt-PT" w:eastAsia="pt-BR"/>
        </w:rPr>
        <w:t xml:space="preserve"> ser</w:t>
      </w:r>
      <w:r w:rsidRPr="0096738F">
        <w:rPr>
          <w:rFonts w:ascii="Arial" w:eastAsia="Times New Roman" w:hAnsi="Arial" w:cs="Arial"/>
          <w:sz w:val="22"/>
          <w:szCs w:val="22"/>
          <w:lang w:val="pt-PT" w:eastAsia="pt-BR"/>
        </w:rPr>
        <w:t xml:space="preserve"> divulgado</w:t>
      </w:r>
      <w:r w:rsidRPr="0096738F">
        <w:rPr>
          <w:rFonts w:ascii="Arial" w:eastAsia="Times New Roman" w:hAnsi="Arial" w:cs="Arial"/>
          <w:bCs/>
          <w:iCs/>
          <w:sz w:val="22"/>
          <w:szCs w:val="22"/>
          <w:lang w:val="pt-PT" w:eastAsia="pt-BR"/>
        </w:rPr>
        <w:t xml:space="preserve"> o que segue</w:t>
      </w:r>
      <w:r w:rsidRPr="0096738F">
        <w:rPr>
          <w:rFonts w:ascii="Arial" w:eastAsia="Times New Roman" w:hAnsi="Arial" w:cs="Arial"/>
          <w:sz w:val="22"/>
          <w:szCs w:val="22"/>
          <w:lang w:val="pt-PT" w:eastAsia="pt-BR"/>
        </w:rPr>
        <w:t>:</w:t>
      </w:r>
    </w:p>
    <w:p w14:paraId="03B939DB" w14:textId="77777777" w:rsidR="0096738F" w:rsidRPr="0096738F" w:rsidRDefault="0096738F" w:rsidP="0096738F">
      <w:pPr>
        <w:widowControl w:val="0"/>
        <w:numPr>
          <w:ilvl w:val="0"/>
          <w:numId w:val="51"/>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as razões para o porquê de a contabilização inicial da combinação de negócios estar incompleta;</w:t>
      </w:r>
    </w:p>
    <w:p w14:paraId="73ED2A5F" w14:textId="77777777" w:rsidR="0096738F" w:rsidRPr="0096738F" w:rsidRDefault="0096738F" w:rsidP="0096738F">
      <w:pPr>
        <w:widowControl w:val="0"/>
        <w:numPr>
          <w:ilvl w:val="0"/>
          <w:numId w:val="51"/>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ativos, os passivos, as participações societárias ou os itens da contraprestação transferida para os quais a contabilização inicial está incompleta; e</w:t>
      </w:r>
    </w:p>
    <w:p w14:paraId="6C7F77F8" w14:textId="77777777" w:rsidR="0096738F" w:rsidRPr="0096738F" w:rsidRDefault="0096738F" w:rsidP="0096738F">
      <w:pPr>
        <w:widowControl w:val="0"/>
        <w:numPr>
          <w:ilvl w:val="0"/>
          <w:numId w:val="51"/>
        </w:numPr>
        <w:tabs>
          <w:tab w:val="num" w:pos="1418"/>
        </w:tabs>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natureza e o montante de qualquer ajuste no período de mensuração reconhecido durante o período de reporte, de acordo com o disposto no item 49;</w:t>
      </w:r>
    </w:p>
    <w:p w14:paraId="712A4FDD" w14:textId="77777777" w:rsidR="0096738F" w:rsidRPr="0096738F" w:rsidRDefault="0096738F" w:rsidP="0096738F">
      <w:pPr>
        <w:widowControl w:val="0"/>
        <w:numPr>
          <w:ilvl w:val="0"/>
          <w:numId w:val="5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lastRenderedPageBreak/>
        <w:t xml:space="preserve">para cada período de reporte após a data da aquisição e até que a entidade receba, venda ou, de outra forma, venha a perder o direito sobre ativo proveniente de contraprestação contingente, </w:t>
      </w:r>
      <w:r w:rsidRPr="0096738F">
        <w:rPr>
          <w:rFonts w:ascii="Arial" w:eastAsia="Times New Roman" w:hAnsi="Arial" w:cs="Arial"/>
          <w:bCs/>
          <w:iCs/>
          <w:sz w:val="22"/>
          <w:szCs w:val="22"/>
          <w:lang w:val="pt-PT" w:eastAsia="pt-BR"/>
        </w:rPr>
        <w:t>ou até</w:t>
      </w:r>
      <w:r w:rsidRPr="0096738F">
        <w:rPr>
          <w:rFonts w:ascii="Arial" w:eastAsia="Times New Roman" w:hAnsi="Arial" w:cs="Arial"/>
          <w:sz w:val="22"/>
          <w:szCs w:val="22"/>
          <w:lang w:val="pt-PT" w:eastAsia="pt-BR"/>
        </w:rPr>
        <w:t xml:space="preserve"> que a entidade liquide passivo proveniente de contraprestação contingente</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ou que esse passivo seja cancelado ou expirado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o adquirente deve divulgar:</w:t>
      </w:r>
    </w:p>
    <w:p w14:paraId="7F46CB57" w14:textId="77777777" w:rsidR="0096738F" w:rsidRPr="0096738F" w:rsidRDefault="0096738F" w:rsidP="0096738F">
      <w:pPr>
        <w:widowControl w:val="0"/>
        <w:numPr>
          <w:ilvl w:val="0"/>
          <w:numId w:val="52"/>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quaisquer mudanças nos valores reconhecidos, inclusive quaisquer diferenças que surgirem na sua liquidação;</w:t>
      </w:r>
    </w:p>
    <w:p w14:paraId="59F3C4C3" w14:textId="77777777" w:rsidR="0096738F" w:rsidRPr="0096738F" w:rsidRDefault="0096738F" w:rsidP="0096738F">
      <w:pPr>
        <w:widowControl w:val="0"/>
        <w:numPr>
          <w:ilvl w:val="0"/>
          <w:numId w:val="52"/>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quaisquer mudanças na faixa de valores dos resultados (não descontados) e as razões para tais mudanças; e</w:t>
      </w:r>
    </w:p>
    <w:p w14:paraId="77D045ED" w14:textId="77777777" w:rsidR="0096738F" w:rsidRPr="0096738F" w:rsidRDefault="0096738F" w:rsidP="0096738F">
      <w:pPr>
        <w:widowControl w:val="0"/>
        <w:numPr>
          <w:ilvl w:val="0"/>
          <w:numId w:val="52"/>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as técnicas de avaliação e os principais dados de entrada do modelo utilizado para mensurar a contraprestação contingente;</w:t>
      </w:r>
    </w:p>
    <w:p w14:paraId="0C17942E" w14:textId="77777777" w:rsidR="0096738F" w:rsidRPr="0096738F" w:rsidRDefault="0096738F" w:rsidP="0096738F">
      <w:pPr>
        <w:widowControl w:val="0"/>
        <w:numPr>
          <w:ilvl w:val="0"/>
          <w:numId w:val="5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para os passivos contingentes reconhecidos em</w:t>
      </w:r>
      <w:r w:rsidRPr="0096738F">
        <w:rPr>
          <w:rFonts w:ascii="Arial" w:eastAsia="Times New Roman" w:hAnsi="Arial" w:cs="Arial"/>
          <w:bCs/>
          <w:iCs/>
          <w:sz w:val="22"/>
          <w:szCs w:val="22"/>
          <w:lang w:val="pt-PT" w:eastAsia="pt-BR"/>
        </w:rPr>
        <w:t xml:space="preserve"> uma</w:t>
      </w:r>
      <w:r w:rsidRPr="0096738F">
        <w:rPr>
          <w:rFonts w:ascii="Arial" w:eastAsia="Times New Roman" w:hAnsi="Arial" w:cs="Arial"/>
          <w:sz w:val="22"/>
          <w:szCs w:val="22"/>
          <w:lang w:val="pt-PT" w:eastAsia="pt-BR"/>
        </w:rPr>
        <w:t xml:space="preserve"> combinação de negócios, o adquirente deve divulgar, para cada classe de provisão, as informações exigidas nos itens 84 e 85 do Pronunciamento Técnico CPC 25 – Provisões, Passivos Contingentes e Ativos Contingentes;</w:t>
      </w:r>
    </w:p>
    <w:p w14:paraId="7F9C5E95" w14:textId="77777777" w:rsidR="0096738F" w:rsidRPr="0096738F" w:rsidRDefault="0096738F" w:rsidP="0096738F">
      <w:pPr>
        <w:widowControl w:val="0"/>
        <w:numPr>
          <w:ilvl w:val="0"/>
          <w:numId w:val="5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 conciliação do valor contábil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ao início e ao fim do período de reporte, mostrando separadamente:</w:t>
      </w:r>
    </w:p>
    <w:p w14:paraId="2CE56AF9"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bruto e o valor das perdas acumuladas por redução ao valor recuperável, ambos no início do período de reporte;</w:t>
      </w:r>
    </w:p>
    <w:p w14:paraId="78459B36"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adicional, reconhecido durante o período, exceto 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incluído em grupo destinado à alienação que, na aquisição, atendeu aos critérios para ser classificado como mantido para venda de acordo com o Pronunciamento Técnico CPC 31 – Ativo Não Circulante Mantido para Venda e Operação Descontinuada;</w:t>
      </w:r>
    </w:p>
    <w:p w14:paraId="21604EC5"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ajustes decorrentes do reconhecimento subsequente de ativos fiscais diferidos sobre o lucro durante o período de reporte, de acordo com o disposto no item 67;</w:t>
      </w:r>
    </w:p>
    <w:p w14:paraId="06BAA1A1"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incluído em grupo destinado à alienação que foi classificado como mantido para venda de acordo com o Pronunciamento Técnico CPC 31 – Ativo Não Circulante Mantido para Venda e Operação Descontinuada, bem como 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desreconhecido (baixado) durante o período de reporte que não foi previamente incluído em grupo classificado como mantido para venda;</w:t>
      </w:r>
    </w:p>
    <w:p w14:paraId="40D74A98"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as perdas por redução ao valor recuperável reconhecidas durante o período de reporte, de acordo com o disposto no Pronunciamento Técnico CPC 01 – Redução ao Valor Recuperável de Ativos (o qual exige divulgação adicional de informações sobre o valor recuperável e sobre o teste ao valor recuperável do ágio por expectativa de rentabilidade futura –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p w14:paraId="1E559066"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as diferenças líquidas de taxas de câmbio que ocorreram durante o período de reporte, de acordo com o Pronunciamento Técnico CPC 02 - Efeitos das Mudanças nas Taxas de Câmbio e Conversão de Demonstrações Contábeis;</w:t>
      </w:r>
    </w:p>
    <w:p w14:paraId="5391511A"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qualquer outra mudança no valor contábil que tenha ocorrido durante o período de reporte; e</w:t>
      </w:r>
    </w:p>
    <w:p w14:paraId="08E12731" w14:textId="77777777" w:rsidR="0096738F" w:rsidRPr="0096738F" w:rsidRDefault="0096738F" w:rsidP="0096738F">
      <w:pPr>
        <w:widowControl w:val="0"/>
        <w:numPr>
          <w:ilvl w:val="0"/>
          <w:numId w:val="53"/>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bruto e o valor das perdas acumuladas por redução ao valor recuperável, ambos no final do período de reporte;</w:t>
      </w:r>
    </w:p>
    <w:p w14:paraId="40A946FC" w14:textId="77777777" w:rsidR="0096738F" w:rsidRPr="0096738F" w:rsidRDefault="0096738F" w:rsidP="0096738F">
      <w:pPr>
        <w:widowControl w:val="0"/>
        <w:numPr>
          <w:ilvl w:val="0"/>
          <w:numId w:val="5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e uma explicação de qualquer ganho ou perda reconhecido no período de reporte corrente e que (considerar ambos):</w:t>
      </w:r>
    </w:p>
    <w:p w14:paraId="391516A0" w14:textId="77777777" w:rsidR="0096738F" w:rsidRPr="0096738F" w:rsidRDefault="0096738F" w:rsidP="0096738F">
      <w:pPr>
        <w:widowControl w:val="0"/>
        <w:numPr>
          <w:ilvl w:val="0"/>
          <w:numId w:val="54"/>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sejam relativos aos ativos identificáveis adquiridos ou aos passivos assumidos em uma combinação de negócios realizada no período de reporte corrente ou anterior; e</w:t>
      </w:r>
    </w:p>
    <w:p w14:paraId="7911D33C" w14:textId="77777777" w:rsidR="0096738F" w:rsidRPr="0096738F" w:rsidRDefault="0096738F" w:rsidP="0096738F">
      <w:pPr>
        <w:widowControl w:val="0"/>
        <w:numPr>
          <w:ilvl w:val="0"/>
          <w:numId w:val="54"/>
        </w:numPr>
        <w:spacing w:before="0" w:after="0" w:line="240" w:lineRule="auto"/>
        <w:ind w:left="1418" w:hanging="142"/>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sejam de tal natureza e magnitude ou incidência que tornem sua divulgação relevante </w:t>
      </w:r>
      <w:r w:rsidRPr="0096738F">
        <w:rPr>
          <w:rFonts w:ascii="Arial" w:eastAsia="Times New Roman" w:hAnsi="Arial" w:cs="Arial"/>
          <w:sz w:val="22"/>
          <w:szCs w:val="22"/>
          <w:lang w:val="pt-PT" w:eastAsia="pt-BR"/>
        </w:rPr>
        <w:lastRenderedPageBreak/>
        <w:t>para o entendimento das demonstrações contábeis da entidade combinada.</w:t>
      </w:r>
    </w:p>
    <w:p w14:paraId="3BE1A034"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59CBCB06" w14:textId="77777777" w:rsidR="0096738F" w:rsidRPr="0096738F" w:rsidRDefault="0096738F" w:rsidP="0096738F">
      <w:pPr>
        <w:widowControl w:val="0"/>
        <w:tabs>
          <w:tab w:val="left" w:pos="0"/>
        </w:tabs>
        <w:spacing w:before="0" w:after="0" w:line="240" w:lineRule="auto"/>
        <w:ind w:firstLine="0"/>
        <w:outlineLvl w:val="1"/>
        <w:rPr>
          <w:rFonts w:ascii="Arial" w:eastAsia="Times New Roman" w:hAnsi="Arial" w:cs="Arial"/>
          <w:b/>
          <w:bCs/>
          <w:iCs/>
          <w:sz w:val="22"/>
          <w:szCs w:val="22"/>
          <w:lang w:val="pt-PT" w:eastAsia="pt-BR"/>
        </w:rPr>
      </w:pPr>
      <w:r w:rsidRPr="0096738F">
        <w:rPr>
          <w:rFonts w:ascii="Arial" w:eastAsia="Times New Roman" w:hAnsi="Arial" w:cs="Arial"/>
          <w:b/>
          <w:bCs/>
          <w:iCs/>
          <w:sz w:val="22"/>
          <w:szCs w:val="22"/>
          <w:lang w:val="pt-PT" w:eastAsia="pt-BR"/>
        </w:rPr>
        <w:t>Disposições transitórias para combinação de negócios envolvendo somente entidades de mútuo ou por contrato independente – aplicação do item 66</w:t>
      </w:r>
    </w:p>
    <w:p w14:paraId="7A3880B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u w:val="single"/>
          <w:lang w:eastAsia="pt-BR"/>
        </w:rPr>
      </w:pPr>
    </w:p>
    <w:p w14:paraId="64AFD18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B68.</w:t>
      </w:r>
      <w:r w:rsidRPr="0096738F">
        <w:rPr>
          <w:rFonts w:ascii="Arial" w:eastAsia="Times New Roman" w:hAnsi="Arial" w:cs="Arial"/>
          <w:sz w:val="22"/>
          <w:szCs w:val="22"/>
          <w:lang w:eastAsia="pt-BR"/>
        </w:rPr>
        <w:tab/>
        <w:t>O item 64 estabelece que as exigências deste Pronunciamento devem ser aplicadas prospectivamente às combinações de negócios cujas datas de aquisição ocorram no início ou após o início do primeiro período de reporte anual com início na data de sua aprovação pelo órgão regulador ou com início após essa data. A aplicação antecipada deste Pronunciamento é permitida. Quando a entidade aplicar este Pronunciamento antecipadamente (antes de sua data de vigência), a entidade deve divulgar tal fato e aplicar concomitantemente as exigências do Pronunciamento Técnico CPC 36 - Demonstrações Consolidadas.</w:t>
      </w:r>
    </w:p>
    <w:p w14:paraId="48057C5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580B33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B69.</w:t>
      </w:r>
      <w:r w:rsidRPr="0096738F">
        <w:rPr>
          <w:rFonts w:ascii="Arial" w:eastAsia="Times New Roman" w:hAnsi="Arial" w:cs="Arial"/>
          <w:sz w:val="22"/>
          <w:szCs w:val="22"/>
          <w:lang w:eastAsia="pt-BR"/>
        </w:rPr>
        <w:tab/>
        <w:t>A exigência para aplicação prospectiva deste Pronunciamento para as combinações de negócios envolvendo tão-somente entidades de mútuo e para as combinações de negócios por meio de contrato independente, cuja data de aquisição seja anterior à data de aplicação deste Pronunciamento, produz os seguintes efeitos:</w:t>
      </w:r>
    </w:p>
    <w:p w14:paraId="0568C829" w14:textId="77777777" w:rsidR="0096738F" w:rsidRPr="0096738F" w:rsidRDefault="0096738F" w:rsidP="0096738F">
      <w:pPr>
        <w:widowControl w:val="0"/>
        <w:numPr>
          <w:ilvl w:val="0"/>
          <w:numId w:val="5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Classificação</w:t>
      </w:r>
      <w:r w:rsidRPr="0096738F">
        <w:rPr>
          <w:rFonts w:ascii="Arial" w:eastAsia="Times New Roman" w:hAnsi="Arial" w:cs="Arial"/>
          <w:sz w:val="22"/>
          <w:szCs w:val="22"/>
          <w:lang w:val="pt-PT" w:eastAsia="pt-BR"/>
        </w:rPr>
        <w:t>: a entidade deve continuar a classificar a combinação de negócios anterior de acordo com suas políticas contábeis anteriores para tais combinações.</w:t>
      </w:r>
    </w:p>
    <w:p w14:paraId="1FD38BB0" w14:textId="77777777" w:rsidR="0096738F" w:rsidRPr="0096738F" w:rsidRDefault="0096738F" w:rsidP="0096738F">
      <w:pPr>
        <w:widowControl w:val="0"/>
        <w:numPr>
          <w:ilvl w:val="0"/>
          <w:numId w:val="5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 xml:space="preserve">Ágio por </w:t>
      </w:r>
      <w:r w:rsidRPr="0096738F">
        <w:rPr>
          <w:rFonts w:ascii="Arial" w:eastAsia="Times New Roman" w:hAnsi="Arial" w:cs="Arial"/>
          <w:b/>
          <w:bCs/>
          <w:iCs/>
          <w:sz w:val="22"/>
          <w:szCs w:val="22"/>
          <w:lang w:val="pt-PT" w:eastAsia="pt-BR"/>
        </w:rPr>
        <w:t xml:space="preserve">expectativa de </w:t>
      </w:r>
      <w:r w:rsidRPr="0096738F">
        <w:rPr>
          <w:rFonts w:ascii="Arial" w:eastAsia="Times New Roman" w:hAnsi="Arial" w:cs="Arial"/>
          <w:b/>
          <w:sz w:val="22"/>
          <w:szCs w:val="22"/>
          <w:lang w:val="pt-PT" w:eastAsia="pt-BR"/>
        </w:rPr>
        <w:t>rentabilidade futura (</w:t>
      </w:r>
      <w:r w:rsidRPr="0096738F">
        <w:rPr>
          <w:rFonts w:ascii="Arial" w:eastAsia="Times New Roman" w:hAnsi="Arial" w:cs="Arial"/>
          <w:b/>
          <w:i/>
          <w:sz w:val="22"/>
          <w:szCs w:val="22"/>
          <w:lang w:val="pt-PT" w:eastAsia="pt-BR"/>
        </w:rPr>
        <w:t>goodwill</w:t>
      </w:r>
      <w:r w:rsidRPr="0096738F">
        <w:rPr>
          <w:rFonts w:ascii="Arial" w:eastAsia="Times New Roman" w:hAnsi="Arial" w:cs="Arial"/>
          <w:b/>
          <w:sz w:val="22"/>
          <w:szCs w:val="22"/>
          <w:lang w:val="pt-PT" w:eastAsia="pt-BR"/>
        </w:rPr>
        <w:t>) reconhecido anteriormente:</w:t>
      </w:r>
      <w:r w:rsidRPr="0096738F">
        <w:rPr>
          <w:rFonts w:ascii="Arial" w:eastAsia="Times New Roman" w:hAnsi="Arial" w:cs="Arial"/>
          <w:sz w:val="22"/>
          <w:szCs w:val="22"/>
          <w:lang w:val="pt-PT" w:eastAsia="pt-BR"/>
        </w:rPr>
        <w:t xml:space="preserve"> no início do primeiro período de reporte anual em que este Pronunciamento for aplicado, o valor contábil do ágio por</w:t>
      </w:r>
      <w:r w:rsidRPr="0096738F">
        <w:rPr>
          <w:rFonts w:ascii="Arial" w:eastAsia="Times New Roman" w:hAnsi="Arial" w:cs="Arial"/>
          <w:bCs/>
          <w:iCs/>
          <w:sz w:val="22"/>
          <w:szCs w:val="22"/>
          <w:lang w:val="pt-PT" w:eastAsia="pt-BR"/>
        </w:rPr>
        <w:t xml:space="preserve"> expectativa de</w:t>
      </w:r>
      <w:r w:rsidRPr="0096738F">
        <w:rPr>
          <w:rFonts w:ascii="Arial" w:eastAsia="Times New Roman" w:hAnsi="Arial" w:cs="Arial"/>
          <w:sz w:val="22"/>
          <w:szCs w:val="22"/>
          <w:lang w:val="pt-PT" w:eastAsia="pt-BR"/>
        </w:rPr>
        <w:t xml:space="preserv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decorrente de combinação de negócios anterior deve ser o seu valor contábil naquela data, de acordo com as políticas contábeis anteriores da entidade. Na determinação daquele valor, a entidade deve eliminar o valor contábil de qualquer amortização acumulada </w:t>
      </w:r>
      <w:r w:rsidRPr="0096738F">
        <w:rPr>
          <w:rFonts w:ascii="Arial" w:eastAsia="Times New Roman" w:hAnsi="Arial" w:cs="Arial"/>
          <w:bCs/>
          <w:iCs/>
          <w:sz w:val="22"/>
          <w:szCs w:val="22"/>
          <w:lang w:val="pt-PT" w:eastAsia="pt-BR"/>
        </w:rPr>
        <w:t>e a</w:t>
      </w:r>
      <w:r w:rsidRPr="0096738F">
        <w:rPr>
          <w:rFonts w:ascii="Arial" w:eastAsia="Times New Roman" w:hAnsi="Arial" w:cs="Arial"/>
          <w:sz w:val="22"/>
          <w:szCs w:val="22"/>
          <w:lang w:val="pt-PT" w:eastAsia="pt-BR"/>
        </w:rPr>
        <w:t xml:space="preserve"> correspondente redução no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Nenhum outro ajuste deve ser feito no valor contábil do ágio por</w:t>
      </w:r>
      <w:r w:rsidRPr="0096738F">
        <w:rPr>
          <w:rFonts w:ascii="Arial" w:eastAsia="Times New Roman" w:hAnsi="Arial" w:cs="Arial"/>
          <w:bCs/>
          <w:iCs/>
          <w:sz w:val="22"/>
          <w:szCs w:val="22"/>
          <w:lang w:val="pt-PT" w:eastAsia="pt-BR"/>
        </w:rPr>
        <w:t xml:space="preserve"> expectativa de</w:t>
      </w:r>
      <w:r w:rsidRPr="0096738F">
        <w:rPr>
          <w:rFonts w:ascii="Arial" w:eastAsia="Times New Roman" w:hAnsi="Arial" w:cs="Arial"/>
          <w:sz w:val="22"/>
          <w:szCs w:val="22"/>
          <w:lang w:val="pt-PT" w:eastAsia="pt-BR"/>
        </w:rPr>
        <w:t xml:space="preserv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p w14:paraId="11A29AA9" w14:textId="77777777" w:rsidR="0096738F" w:rsidRPr="0096738F" w:rsidRDefault="0096738F" w:rsidP="0096738F">
      <w:pPr>
        <w:widowControl w:val="0"/>
        <w:numPr>
          <w:ilvl w:val="0"/>
          <w:numId w:val="5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Ágio por</w:t>
      </w:r>
      <w:r w:rsidRPr="0096738F">
        <w:rPr>
          <w:rFonts w:ascii="Arial" w:eastAsia="Times New Roman" w:hAnsi="Arial" w:cs="Arial"/>
          <w:b/>
          <w:bCs/>
          <w:iCs/>
          <w:sz w:val="22"/>
          <w:szCs w:val="22"/>
          <w:lang w:val="pt-PT" w:eastAsia="pt-BR"/>
        </w:rPr>
        <w:t xml:space="preserve"> expectativa de</w:t>
      </w:r>
      <w:r w:rsidRPr="0096738F">
        <w:rPr>
          <w:rFonts w:ascii="Arial" w:eastAsia="Times New Roman" w:hAnsi="Arial" w:cs="Arial"/>
          <w:b/>
          <w:sz w:val="22"/>
          <w:szCs w:val="22"/>
          <w:lang w:val="pt-PT" w:eastAsia="pt-BR"/>
        </w:rPr>
        <w:t xml:space="preserve"> rentabilidade futura (</w:t>
      </w:r>
      <w:r w:rsidRPr="0096738F">
        <w:rPr>
          <w:rFonts w:ascii="Arial" w:eastAsia="Times New Roman" w:hAnsi="Arial" w:cs="Arial"/>
          <w:b/>
          <w:i/>
          <w:sz w:val="22"/>
          <w:szCs w:val="22"/>
          <w:lang w:val="pt-PT" w:eastAsia="pt-BR"/>
        </w:rPr>
        <w:t>goodwill</w:t>
      </w:r>
      <w:r w:rsidRPr="0096738F">
        <w:rPr>
          <w:rFonts w:ascii="Arial" w:eastAsia="Times New Roman" w:hAnsi="Arial" w:cs="Arial"/>
          <w:b/>
          <w:sz w:val="22"/>
          <w:szCs w:val="22"/>
          <w:lang w:val="pt-PT" w:eastAsia="pt-BR"/>
        </w:rPr>
        <w:t>) reconhecido anteriormente como redução do patrimônio líquido</w:t>
      </w:r>
      <w:r w:rsidRPr="0096738F">
        <w:rPr>
          <w:rFonts w:ascii="Arial" w:eastAsia="Times New Roman" w:hAnsi="Arial" w:cs="Arial"/>
          <w:sz w:val="22"/>
          <w:szCs w:val="22"/>
          <w:lang w:val="pt-PT" w:eastAsia="pt-BR"/>
        </w:rPr>
        <w:t xml:space="preserve">: as políticas contábeis anteriores da entidade podem ter resultado no reconhecimento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de combinações de negócios anteriores como redução do patrimônio líquido. </w:t>
      </w:r>
      <w:r w:rsidRPr="0096738F">
        <w:rPr>
          <w:rFonts w:ascii="Arial" w:eastAsia="Times New Roman" w:hAnsi="Arial" w:cs="Arial"/>
          <w:bCs/>
          <w:iCs/>
          <w:sz w:val="22"/>
          <w:szCs w:val="22"/>
          <w:lang w:val="pt-PT" w:eastAsia="pt-BR"/>
        </w:rPr>
        <w:t>Nessa situação</w:t>
      </w:r>
      <w:r w:rsidRPr="0096738F">
        <w:rPr>
          <w:rFonts w:ascii="Arial" w:eastAsia="Times New Roman" w:hAnsi="Arial" w:cs="Arial"/>
          <w:sz w:val="22"/>
          <w:szCs w:val="22"/>
          <w:lang w:val="pt-PT" w:eastAsia="pt-BR"/>
        </w:rPr>
        <w:t xml:space="preserve">, a entidade não deve reconhecer tal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como ativo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no início do seu primeiro período de reporte anual </w:t>
      </w:r>
      <w:r w:rsidRPr="0096738F">
        <w:rPr>
          <w:rFonts w:ascii="Arial" w:eastAsia="Times New Roman" w:hAnsi="Arial" w:cs="Arial"/>
          <w:bCs/>
          <w:iCs/>
          <w:sz w:val="22"/>
          <w:szCs w:val="22"/>
          <w:lang w:val="pt-PT" w:eastAsia="pt-BR"/>
        </w:rPr>
        <w:t>a partir do qual</w:t>
      </w:r>
      <w:r w:rsidRPr="0096738F">
        <w:rPr>
          <w:rFonts w:ascii="Arial" w:eastAsia="Times New Roman" w:hAnsi="Arial" w:cs="Arial"/>
          <w:sz w:val="22"/>
          <w:szCs w:val="22"/>
          <w:lang w:val="pt-PT" w:eastAsia="pt-BR"/>
        </w:rPr>
        <w:t xml:space="preserve"> este Pronunciamento for aplicado. Além disso, a entidade não deve reconhecer no resultado do período qualquer parte daquele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quando da alienação, no todo ou em parte, </w:t>
      </w:r>
      <w:r w:rsidRPr="0096738F">
        <w:rPr>
          <w:rFonts w:ascii="Arial" w:eastAsia="Times New Roman" w:hAnsi="Arial" w:cs="Arial"/>
          <w:bCs/>
          <w:iCs/>
          <w:sz w:val="22"/>
          <w:szCs w:val="22"/>
          <w:lang w:val="pt-PT" w:eastAsia="pt-BR"/>
        </w:rPr>
        <w:t>do negócio ao qual o ágio por expectativa de rentabilidade futura (</w:t>
      </w:r>
      <w:r w:rsidRPr="0096738F">
        <w:rPr>
          <w:rFonts w:ascii="Arial" w:eastAsia="Times New Roman" w:hAnsi="Arial" w:cs="Arial"/>
          <w:bCs/>
          <w:i/>
          <w:iCs/>
          <w:sz w:val="22"/>
          <w:szCs w:val="22"/>
          <w:lang w:val="pt-PT" w:eastAsia="pt-BR"/>
        </w:rPr>
        <w:t>goodwill</w:t>
      </w:r>
      <w:r w:rsidRPr="0096738F">
        <w:rPr>
          <w:rFonts w:ascii="Arial" w:eastAsia="Times New Roman" w:hAnsi="Arial" w:cs="Arial"/>
          <w:bCs/>
          <w:iCs/>
          <w:sz w:val="22"/>
          <w:szCs w:val="22"/>
          <w:lang w:val="pt-PT" w:eastAsia="pt-BR"/>
        </w:rPr>
        <w:t>) está relacionado</w:t>
      </w:r>
      <w:r w:rsidRPr="0096738F">
        <w:rPr>
          <w:rFonts w:ascii="Arial" w:eastAsia="Times New Roman" w:hAnsi="Arial" w:cs="Arial"/>
          <w:sz w:val="22"/>
          <w:szCs w:val="22"/>
          <w:lang w:val="pt-PT" w:eastAsia="pt-BR"/>
        </w:rPr>
        <w:t xml:space="preserve"> ou quando a unidade geradora de caixa em que foi incluído </w:t>
      </w:r>
      <w:r w:rsidRPr="0096738F">
        <w:rPr>
          <w:rFonts w:ascii="Arial" w:eastAsia="Times New Roman" w:hAnsi="Arial" w:cs="Arial"/>
          <w:bCs/>
          <w:iCs/>
          <w:sz w:val="22"/>
          <w:szCs w:val="22"/>
          <w:lang w:val="pt-PT" w:eastAsia="pt-BR"/>
        </w:rPr>
        <w:t>esse ágio por expectativa de rentabilidade futura (</w:t>
      </w:r>
      <w:r w:rsidRPr="0096738F">
        <w:rPr>
          <w:rFonts w:ascii="Arial" w:eastAsia="Times New Roman" w:hAnsi="Arial" w:cs="Arial"/>
          <w:bCs/>
          <w:i/>
          <w:iCs/>
          <w:sz w:val="22"/>
          <w:szCs w:val="22"/>
          <w:lang w:val="pt-PT" w:eastAsia="pt-BR"/>
        </w:rPr>
        <w:t>goodwill</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vier a sofrer perdas por redução ao seu valor recuperável.</w:t>
      </w:r>
    </w:p>
    <w:p w14:paraId="2613EFF5" w14:textId="77777777" w:rsidR="0096738F" w:rsidRPr="0096738F" w:rsidRDefault="0096738F" w:rsidP="0096738F">
      <w:pPr>
        <w:widowControl w:val="0"/>
        <w:numPr>
          <w:ilvl w:val="0"/>
          <w:numId w:val="5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 xml:space="preserve">Contabilização subsequente do ágio por </w:t>
      </w:r>
      <w:r w:rsidRPr="0096738F">
        <w:rPr>
          <w:rFonts w:ascii="Arial" w:eastAsia="Times New Roman" w:hAnsi="Arial" w:cs="Arial"/>
          <w:b/>
          <w:bCs/>
          <w:iCs/>
          <w:sz w:val="22"/>
          <w:szCs w:val="22"/>
          <w:lang w:val="pt-PT" w:eastAsia="pt-BR"/>
        </w:rPr>
        <w:t xml:space="preserve">expectativa de </w:t>
      </w:r>
      <w:r w:rsidRPr="0096738F">
        <w:rPr>
          <w:rFonts w:ascii="Arial" w:eastAsia="Times New Roman" w:hAnsi="Arial" w:cs="Arial"/>
          <w:b/>
          <w:sz w:val="22"/>
          <w:szCs w:val="22"/>
          <w:lang w:val="pt-PT" w:eastAsia="pt-BR"/>
        </w:rPr>
        <w:t>rentabilidade futura (</w:t>
      </w:r>
      <w:r w:rsidRPr="0096738F">
        <w:rPr>
          <w:rFonts w:ascii="Arial" w:eastAsia="Times New Roman" w:hAnsi="Arial" w:cs="Arial"/>
          <w:b/>
          <w:i/>
          <w:sz w:val="22"/>
          <w:szCs w:val="22"/>
          <w:lang w:val="pt-PT" w:eastAsia="pt-BR"/>
        </w:rPr>
        <w:t>goodwill</w:t>
      </w:r>
      <w:r w:rsidRPr="0096738F">
        <w:rPr>
          <w:rFonts w:ascii="Arial" w:eastAsia="Times New Roman" w:hAnsi="Arial" w:cs="Arial"/>
          <w:b/>
          <w:sz w:val="22"/>
          <w:szCs w:val="22"/>
          <w:lang w:val="pt-PT" w:eastAsia="pt-BR"/>
        </w:rPr>
        <w:t>)</w:t>
      </w:r>
      <w:r w:rsidRPr="0096738F">
        <w:rPr>
          <w:rFonts w:ascii="Arial" w:eastAsia="Times New Roman" w:hAnsi="Arial" w:cs="Arial"/>
          <w:sz w:val="22"/>
          <w:szCs w:val="22"/>
          <w:lang w:val="pt-PT" w:eastAsia="pt-BR"/>
        </w:rPr>
        <w:t xml:space="preserve">: a partir do início do primeiro período de reporte anual </w:t>
      </w:r>
      <w:r w:rsidRPr="0096738F">
        <w:rPr>
          <w:rFonts w:ascii="Arial" w:eastAsia="Times New Roman" w:hAnsi="Arial" w:cs="Arial"/>
          <w:bCs/>
          <w:iCs/>
          <w:sz w:val="22"/>
          <w:szCs w:val="22"/>
          <w:lang w:val="pt-PT" w:eastAsia="pt-BR"/>
        </w:rPr>
        <w:t>a partir do qual</w:t>
      </w:r>
      <w:r w:rsidRPr="0096738F">
        <w:rPr>
          <w:rFonts w:ascii="Arial" w:eastAsia="Times New Roman" w:hAnsi="Arial" w:cs="Arial"/>
          <w:sz w:val="22"/>
          <w:szCs w:val="22"/>
          <w:lang w:val="pt-PT" w:eastAsia="pt-BR"/>
        </w:rPr>
        <w:t xml:space="preserve"> este Pronunciamento for aplicado, a entidade deve </w:t>
      </w:r>
      <w:r w:rsidRPr="0096738F">
        <w:rPr>
          <w:rFonts w:ascii="Arial" w:eastAsia="Times New Roman" w:hAnsi="Arial" w:cs="Arial"/>
          <w:bCs/>
          <w:iCs/>
          <w:sz w:val="22"/>
          <w:szCs w:val="22"/>
          <w:lang w:val="pt-PT" w:eastAsia="pt-BR"/>
        </w:rPr>
        <w:t>descontinuar</w:t>
      </w:r>
      <w:r w:rsidRPr="0096738F">
        <w:rPr>
          <w:rFonts w:ascii="Arial" w:eastAsia="Times New Roman" w:hAnsi="Arial" w:cs="Arial"/>
          <w:sz w:val="22"/>
          <w:szCs w:val="22"/>
          <w:lang w:val="pt-PT" w:eastAsia="pt-BR"/>
        </w:rPr>
        <w:t xml:space="preserve"> a amortização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decorrente de </w:t>
      </w:r>
      <w:r w:rsidRPr="0096738F">
        <w:rPr>
          <w:rFonts w:ascii="Arial" w:eastAsia="Times New Roman" w:hAnsi="Arial" w:cs="Arial"/>
          <w:bCs/>
          <w:iCs/>
          <w:sz w:val="22"/>
          <w:szCs w:val="22"/>
          <w:lang w:val="pt-PT" w:eastAsia="pt-BR"/>
        </w:rPr>
        <w:t>combinações</w:t>
      </w:r>
      <w:r w:rsidRPr="0096738F">
        <w:rPr>
          <w:rFonts w:ascii="Arial" w:eastAsia="Times New Roman" w:hAnsi="Arial" w:cs="Arial"/>
          <w:sz w:val="22"/>
          <w:szCs w:val="22"/>
          <w:lang w:val="pt-PT" w:eastAsia="pt-BR"/>
        </w:rPr>
        <w:t xml:space="preserve"> de negócios </w:t>
      </w:r>
      <w:r w:rsidRPr="0096738F">
        <w:rPr>
          <w:rFonts w:ascii="Arial" w:eastAsia="Times New Roman" w:hAnsi="Arial" w:cs="Arial"/>
          <w:bCs/>
          <w:iCs/>
          <w:sz w:val="22"/>
          <w:szCs w:val="22"/>
          <w:lang w:val="pt-PT" w:eastAsia="pt-BR"/>
        </w:rPr>
        <w:t>anteriores,</w:t>
      </w:r>
      <w:r w:rsidRPr="0096738F">
        <w:rPr>
          <w:rFonts w:ascii="Arial" w:eastAsia="Times New Roman" w:hAnsi="Arial" w:cs="Arial"/>
          <w:sz w:val="22"/>
          <w:szCs w:val="22"/>
          <w:lang w:val="pt-PT" w:eastAsia="pt-BR"/>
        </w:rPr>
        <w:t xml:space="preserve"> e deve passar a testar o ágio por</w:t>
      </w:r>
      <w:r w:rsidRPr="0096738F">
        <w:rPr>
          <w:rFonts w:ascii="Arial" w:eastAsia="Times New Roman" w:hAnsi="Arial" w:cs="Arial"/>
          <w:bCs/>
          <w:iCs/>
          <w:sz w:val="22"/>
          <w:szCs w:val="22"/>
          <w:lang w:val="pt-PT" w:eastAsia="pt-BR"/>
        </w:rPr>
        <w:t xml:space="preserve"> expectativa de</w:t>
      </w:r>
      <w:r w:rsidRPr="0096738F">
        <w:rPr>
          <w:rFonts w:ascii="Arial" w:eastAsia="Times New Roman" w:hAnsi="Arial" w:cs="Arial"/>
          <w:sz w:val="22"/>
          <w:szCs w:val="22"/>
          <w:lang w:val="pt-PT" w:eastAsia="pt-BR"/>
        </w:rPr>
        <w:t xml:space="preserv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em relação ao seu valor recuperável de acordo com o Pronunciamento Técnico CPC 01 – Redução ao Valor Recuperável de Ativos.</w:t>
      </w:r>
    </w:p>
    <w:p w14:paraId="65E94412" w14:textId="77777777" w:rsidR="0096738F" w:rsidRPr="0096738F" w:rsidRDefault="0096738F" w:rsidP="0096738F">
      <w:pPr>
        <w:widowControl w:val="0"/>
        <w:numPr>
          <w:ilvl w:val="0"/>
          <w:numId w:val="55"/>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Deságio por expectativa de prejuízo futuro reconhecido anteriormente</w:t>
      </w:r>
      <w:r w:rsidRPr="0096738F">
        <w:rPr>
          <w:rFonts w:ascii="Arial" w:eastAsia="Times New Roman" w:hAnsi="Arial" w:cs="Arial"/>
          <w:b/>
          <w:bCs/>
          <w:iCs/>
          <w:sz w:val="22"/>
          <w:szCs w:val="22"/>
          <w:lang w:val="pt-PT" w:eastAsia="pt-BR"/>
        </w:rPr>
        <w:t xml:space="preserve"> (</w:t>
      </w:r>
      <w:r w:rsidRPr="0096738F">
        <w:rPr>
          <w:rFonts w:ascii="Arial" w:eastAsia="Times New Roman" w:hAnsi="Arial" w:cs="Arial"/>
          <w:b/>
          <w:bCs/>
          <w:i/>
          <w:iCs/>
          <w:sz w:val="22"/>
          <w:szCs w:val="22"/>
          <w:lang w:val="pt-PT" w:eastAsia="pt-BR"/>
        </w:rPr>
        <w:t xml:space="preserve">negative </w:t>
      </w:r>
      <w:r w:rsidRPr="0096738F">
        <w:rPr>
          <w:rFonts w:ascii="Arial" w:eastAsia="Times New Roman" w:hAnsi="Arial" w:cs="Arial"/>
          <w:b/>
          <w:bCs/>
          <w:i/>
          <w:iCs/>
          <w:sz w:val="22"/>
          <w:szCs w:val="22"/>
          <w:lang w:val="pt-PT" w:eastAsia="pt-BR"/>
        </w:rPr>
        <w:lastRenderedPageBreak/>
        <w:t>goodwill</w:t>
      </w:r>
      <w:r w:rsidRPr="0096738F">
        <w:rPr>
          <w:rFonts w:ascii="Arial" w:eastAsia="Times New Roman" w:hAnsi="Arial" w:cs="Arial"/>
          <w:b/>
          <w:bCs/>
          <w:iCs/>
          <w:sz w:val="22"/>
          <w:szCs w:val="22"/>
          <w:lang w:val="pt-PT" w:eastAsia="pt-BR"/>
        </w:rPr>
        <w:t>)</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a entidade, ao contabilizar </w:t>
      </w:r>
      <w:r w:rsidRPr="0096738F">
        <w:rPr>
          <w:rFonts w:ascii="Arial" w:eastAsia="Times New Roman" w:hAnsi="Arial" w:cs="Arial"/>
          <w:bCs/>
          <w:iCs/>
          <w:sz w:val="22"/>
          <w:szCs w:val="22"/>
          <w:lang w:val="pt-PT" w:eastAsia="pt-BR"/>
        </w:rPr>
        <w:t xml:space="preserve">uma </w:t>
      </w:r>
      <w:r w:rsidRPr="0096738F">
        <w:rPr>
          <w:rFonts w:ascii="Arial" w:eastAsia="Times New Roman" w:hAnsi="Arial" w:cs="Arial"/>
          <w:sz w:val="22"/>
          <w:szCs w:val="22"/>
          <w:lang w:val="pt-PT" w:eastAsia="pt-BR"/>
        </w:rPr>
        <w:t>combinação de negócios anteriormente à vigência deste Pronunciamento, pode ter reconhecido um deságio por expectativa de prejuízos futuros (diferença negativa entre o custo da participação adquirida e a parte do adquirente no valor justo dos ativos líquidos da adquirida) ou por compra vantajosa. Se isso ocorreu, a entidade deve baixar o valor contábil desse deságio no início do primeiro período de reporte anual</w:t>
      </w:r>
      <w:r w:rsidRPr="0096738F">
        <w:rPr>
          <w:rFonts w:ascii="Arial" w:eastAsia="Times New Roman" w:hAnsi="Arial" w:cs="Arial"/>
          <w:bCs/>
          <w:iCs/>
          <w:sz w:val="22"/>
          <w:szCs w:val="22"/>
          <w:lang w:val="pt-PT" w:eastAsia="pt-BR"/>
        </w:rPr>
        <w:t>, a partir do qual</w:t>
      </w:r>
      <w:r w:rsidRPr="0096738F">
        <w:rPr>
          <w:rFonts w:ascii="Arial" w:eastAsia="Times New Roman" w:hAnsi="Arial" w:cs="Arial"/>
          <w:sz w:val="22"/>
          <w:szCs w:val="22"/>
          <w:lang w:val="pt-PT" w:eastAsia="pt-BR"/>
        </w:rPr>
        <w:t xml:space="preserve"> este Pronunciamento for aplicado</w:t>
      </w:r>
      <w:r w:rsidRPr="0096738F">
        <w:rPr>
          <w:rFonts w:ascii="Arial" w:eastAsia="Times New Roman" w:hAnsi="Arial" w:cs="Arial"/>
          <w:bCs/>
          <w:iCs/>
          <w:sz w:val="22"/>
          <w:szCs w:val="22"/>
          <w:lang w:val="pt-PT" w:eastAsia="pt-BR"/>
        </w:rPr>
        <w:t>,</w:t>
      </w:r>
      <w:r w:rsidRPr="0096738F">
        <w:rPr>
          <w:rFonts w:ascii="Arial" w:eastAsia="Times New Roman" w:hAnsi="Arial" w:cs="Arial"/>
          <w:sz w:val="22"/>
          <w:szCs w:val="22"/>
          <w:lang w:val="pt-PT" w:eastAsia="pt-BR"/>
        </w:rPr>
        <w:t xml:space="preserve"> e fazer o ajuste correspondente </w:t>
      </w:r>
      <w:r w:rsidRPr="0096738F">
        <w:rPr>
          <w:rFonts w:ascii="Arial" w:eastAsia="Times New Roman" w:hAnsi="Arial" w:cs="Arial"/>
          <w:bCs/>
          <w:iCs/>
          <w:sz w:val="22"/>
          <w:szCs w:val="22"/>
          <w:lang w:val="pt-PT" w:eastAsia="pt-BR"/>
        </w:rPr>
        <w:t>no saldo de abertura da rubrica de</w:t>
      </w:r>
      <w:r w:rsidRPr="0096738F">
        <w:rPr>
          <w:rFonts w:ascii="Arial" w:eastAsia="Times New Roman" w:hAnsi="Arial" w:cs="Arial"/>
          <w:sz w:val="22"/>
          <w:szCs w:val="22"/>
          <w:lang w:val="pt-PT" w:eastAsia="pt-BR"/>
        </w:rPr>
        <w:t xml:space="preserve"> lucros acumulados no balanço patrimonial </w:t>
      </w:r>
      <w:r w:rsidRPr="0096738F">
        <w:rPr>
          <w:rFonts w:ascii="Arial" w:eastAsia="Times New Roman" w:hAnsi="Arial" w:cs="Arial"/>
          <w:bCs/>
          <w:iCs/>
          <w:sz w:val="22"/>
          <w:szCs w:val="22"/>
          <w:lang w:val="pt-PT" w:eastAsia="pt-BR"/>
        </w:rPr>
        <w:t>dessa</w:t>
      </w:r>
      <w:r w:rsidRPr="0096738F">
        <w:rPr>
          <w:rFonts w:ascii="Arial" w:eastAsia="Times New Roman" w:hAnsi="Arial" w:cs="Arial"/>
          <w:sz w:val="22"/>
          <w:szCs w:val="22"/>
          <w:lang w:val="pt-PT" w:eastAsia="pt-BR"/>
        </w:rPr>
        <w:t xml:space="preserve"> data.</w:t>
      </w:r>
    </w:p>
    <w:p w14:paraId="40E55DFA" w14:textId="77777777" w:rsidR="0096738F" w:rsidRPr="0096738F" w:rsidRDefault="0096738F" w:rsidP="0096738F">
      <w:pPr>
        <w:widowControl w:val="0"/>
        <w:spacing w:before="0" w:after="0" w:line="240" w:lineRule="auto"/>
        <w:ind w:firstLine="0"/>
        <w:rPr>
          <w:rFonts w:ascii="Arial" w:eastAsia="Times New Roman" w:hAnsi="Arial" w:cs="Arial"/>
          <w:b/>
          <w:sz w:val="22"/>
          <w:szCs w:val="22"/>
          <w:lang w:val="pt-PT" w:eastAsia="pt-BR"/>
        </w:rPr>
      </w:pPr>
    </w:p>
    <w:p w14:paraId="3A5307D4" w14:textId="77777777" w:rsidR="0096738F" w:rsidRPr="0096738F" w:rsidRDefault="0096738F" w:rsidP="0096738F">
      <w:pPr>
        <w:widowControl w:val="0"/>
        <w:spacing w:before="0" w:after="0" w:line="240" w:lineRule="auto"/>
        <w:ind w:firstLine="0"/>
        <w:rPr>
          <w:rFonts w:ascii="Arial" w:eastAsia="Times New Roman" w:hAnsi="Arial" w:cs="Arial"/>
          <w:b/>
          <w:sz w:val="22"/>
          <w:szCs w:val="22"/>
          <w:lang w:val="pt-PT" w:eastAsia="pt-BR"/>
        </w:rPr>
      </w:pPr>
    </w:p>
    <w:p w14:paraId="1E6018D9" w14:textId="77777777" w:rsidR="0096738F" w:rsidRPr="0096738F" w:rsidRDefault="0096738F" w:rsidP="0096738F">
      <w:pPr>
        <w:widowControl w:val="0"/>
        <w:spacing w:before="0" w:after="0" w:line="240" w:lineRule="auto"/>
        <w:ind w:firstLine="0"/>
        <w:rPr>
          <w:rFonts w:ascii="Arial" w:eastAsia="Times New Roman" w:hAnsi="Arial" w:cs="Arial"/>
          <w:b/>
          <w:sz w:val="22"/>
          <w:szCs w:val="22"/>
          <w:lang w:val="pt-PT" w:eastAsia="pt-BR"/>
        </w:rPr>
      </w:pPr>
    </w:p>
    <w:p w14:paraId="3BB69629" w14:textId="77777777" w:rsidR="00DD5953" w:rsidRDefault="00DD5953" w:rsidP="0096738F">
      <w:pPr>
        <w:widowControl w:val="0"/>
        <w:spacing w:before="0" w:after="0" w:line="240" w:lineRule="auto"/>
        <w:ind w:firstLine="0"/>
        <w:rPr>
          <w:rFonts w:ascii="Arial" w:eastAsia="Times New Roman" w:hAnsi="Arial" w:cs="Arial"/>
          <w:b/>
          <w:sz w:val="22"/>
          <w:szCs w:val="22"/>
          <w:lang w:val="pt-PT" w:eastAsia="pt-BR"/>
        </w:rPr>
      </w:pPr>
      <w:r>
        <w:rPr>
          <w:rFonts w:ascii="Arial" w:eastAsia="Times New Roman" w:hAnsi="Arial" w:cs="Arial"/>
          <w:b/>
          <w:sz w:val="22"/>
          <w:szCs w:val="22"/>
          <w:lang w:val="pt-PT" w:eastAsia="pt-BR"/>
        </w:rPr>
        <w:br w:type="page"/>
      </w:r>
    </w:p>
    <w:p w14:paraId="67A60596" w14:textId="48107DCA" w:rsidR="0096738F" w:rsidRPr="0096738F" w:rsidRDefault="0096738F" w:rsidP="0096738F">
      <w:pPr>
        <w:widowControl w:val="0"/>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lastRenderedPageBreak/>
        <w:t>Apêndice C - Exemplos Ilustrativos</w:t>
      </w:r>
    </w:p>
    <w:p w14:paraId="673133A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59706D9"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i/>
          <w:sz w:val="22"/>
          <w:szCs w:val="22"/>
          <w:lang w:eastAsia="pt-BR"/>
        </w:rPr>
      </w:pPr>
      <w:r w:rsidRPr="0096738F">
        <w:rPr>
          <w:rFonts w:ascii="Arial" w:eastAsia="Times New Roman" w:hAnsi="Arial" w:cs="Arial"/>
          <w:i/>
          <w:sz w:val="22"/>
          <w:szCs w:val="22"/>
          <w:lang w:eastAsia="pt-BR"/>
        </w:rPr>
        <w:t>Estes exemplos acompanham, porém não fazem parte do Pronunciamento Técnico CPC 15 – Combinação de Negócios</w:t>
      </w:r>
    </w:p>
    <w:p w14:paraId="6DEE9EBA"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eastAsia="pt-BR"/>
        </w:rPr>
      </w:pPr>
    </w:p>
    <w:p w14:paraId="764C34FC"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r w:rsidRPr="0096738F">
        <w:rPr>
          <w:rFonts w:ascii="Arial" w:eastAsia="Times New Roman" w:hAnsi="Arial" w:cs="Arial"/>
          <w:b/>
          <w:sz w:val="22"/>
          <w:szCs w:val="22"/>
          <w:lang w:eastAsia="pt-BR"/>
        </w:rPr>
        <w:t>Aquisições</w:t>
      </w:r>
      <w:r w:rsidRPr="0096738F">
        <w:rPr>
          <w:rFonts w:ascii="Arial" w:eastAsia="Times New Roman" w:hAnsi="Arial" w:cs="Arial"/>
          <w:sz w:val="22"/>
          <w:szCs w:val="22"/>
          <w:lang w:eastAsia="pt-BR"/>
        </w:rPr>
        <w:t xml:space="preserve"> </w:t>
      </w:r>
      <w:r w:rsidRPr="0096738F">
        <w:rPr>
          <w:rFonts w:ascii="Arial" w:eastAsia="Times New Roman" w:hAnsi="Arial" w:cs="Arial"/>
          <w:b/>
          <w:sz w:val="22"/>
          <w:szCs w:val="22"/>
          <w:lang w:eastAsia="pt-BR"/>
        </w:rPr>
        <w:t>reversas</w:t>
      </w:r>
      <w:r w:rsidRPr="0096738F">
        <w:rPr>
          <w:rFonts w:ascii="Arial" w:eastAsia="Times New Roman" w:hAnsi="Arial" w:cs="Arial"/>
          <w:sz w:val="22"/>
          <w:szCs w:val="22"/>
          <w:lang w:eastAsia="pt-BR"/>
        </w:rPr>
        <w:t xml:space="preserve"> </w:t>
      </w:r>
      <w:r w:rsidRPr="0096738F">
        <w:rPr>
          <w:rFonts w:ascii="Arial" w:eastAsia="Times New Roman" w:hAnsi="Arial" w:cs="Arial"/>
          <w:b/>
          <w:bCs/>
          <w:color w:val="000000"/>
          <w:sz w:val="22"/>
          <w:szCs w:val="22"/>
          <w:vertAlign w:val="superscript"/>
          <w:lang w:eastAsia="pt-BR"/>
        </w:rPr>
        <w:footnoteReference w:id="6"/>
      </w:r>
    </w:p>
    <w:p w14:paraId="6499ABA5"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eastAsia="pt-BR"/>
        </w:rPr>
      </w:pPr>
    </w:p>
    <w:p w14:paraId="765ABBC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do reconhecimento de uma aquisição reversa, pela aplicação dos itens B19 a B27 do Pronunciamento Técnico CPC 15 - Combinação de Negócios.</w:t>
      </w:r>
    </w:p>
    <w:p w14:paraId="11E264D0"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eastAsia="pt-BR"/>
        </w:rPr>
      </w:pPr>
    </w:p>
    <w:p w14:paraId="354236E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w:t>
      </w:r>
      <w:r w:rsidRPr="0096738F">
        <w:rPr>
          <w:rFonts w:ascii="Arial" w:eastAsia="Times New Roman" w:hAnsi="Arial" w:cs="Arial"/>
          <w:sz w:val="22"/>
          <w:szCs w:val="22"/>
          <w:lang w:eastAsia="pt-BR"/>
        </w:rPr>
        <w:tab/>
        <w:t>Este exemplo ilustra a contabilidade de aquisição reversa pela qual a Entidade B (controlada legal), adquire, em 30 de setembro de 20X6, a Entidade A, a qual emitiu instrumentos patrimoniais e, portanto, é a controladora legal. Os efeitos fiscais foram desconsiderados nesse exemplo.</w:t>
      </w:r>
    </w:p>
    <w:p w14:paraId="4842519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340840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w:t>
      </w:r>
      <w:r w:rsidRPr="0096738F">
        <w:rPr>
          <w:rFonts w:ascii="Arial" w:eastAsia="Times New Roman" w:hAnsi="Arial" w:cs="Arial"/>
          <w:sz w:val="22"/>
          <w:szCs w:val="22"/>
          <w:lang w:eastAsia="pt-BR"/>
        </w:rPr>
        <w:tab/>
        <w:t>A seguir apresenta-se o balanço patrimonial da Entidade A e da Entidade B imediatamente antes da combinação de negócios.</w:t>
      </w:r>
    </w:p>
    <w:p w14:paraId="4D165557"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tbl>
      <w:tblPr>
        <w:tblW w:w="3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1648"/>
        <w:gridCol w:w="1649"/>
      </w:tblGrid>
      <w:tr w:rsidR="0096738F" w:rsidRPr="0096738F" w14:paraId="7FEB59AF" w14:textId="77777777" w:rsidTr="00DF2196">
        <w:trPr>
          <w:jc w:val="center"/>
        </w:trPr>
        <w:tc>
          <w:tcPr>
            <w:tcW w:w="2866" w:type="pct"/>
            <w:vAlign w:val="center"/>
          </w:tcPr>
          <w:p w14:paraId="6CD4BF0C" w14:textId="77777777" w:rsidR="0096738F" w:rsidRPr="0096738F" w:rsidRDefault="0096738F" w:rsidP="0096738F">
            <w:pPr>
              <w:spacing w:before="0" w:after="0" w:line="240" w:lineRule="auto"/>
              <w:ind w:firstLine="0"/>
              <w:jc w:val="center"/>
              <w:rPr>
                <w:rFonts w:ascii="Arial" w:eastAsia="Times New Roman" w:hAnsi="Arial" w:cs="Arial"/>
                <w:b/>
                <w:i/>
                <w:sz w:val="22"/>
                <w:szCs w:val="22"/>
                <w:lang w:val="pt-PT" w:eastAsia="pt-BR"/>
              </w:rPr>
            </w:pPr>
            <w:r w:rsidRPr="0096738F">
              <w:rPr>
                <w:rFonts w:ascii="Arial" w:eastAsia="Times New Roman" w:hAnsi="Arial" w:cs="Arial"/>
                <w:b/>
                <w:i/>
                <w:sz w:val="22"/>
                <w:szCs w:val="22"/>
                <w:lang w:val="pt-PT" w:eastAsia="pt-BR"/>
              </w:rPr>
              <w:t>(valores em $)</w:t>
            </w:r>
          </w:p>
        </w:tc>
        <w:tc>
          <w:tcPr>
            <w:tcW w:w="1066" w:type="pct"/>
            <w:vAlign w:val="center"/>
          </w:tcPr>
          <w:p w14:paraId="38B22466"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Entidade A</w:t>
            </w:r>
          </w:p>
          <w:p w14:paraId="252B2C68"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(controladora legal, adquirida contábil)</w:t>
            </w:r>
          </w:p>
        </w:tc>
        <w:tc>
          <w:tcPr>
            <w:tcW w:w="1067" w:type="pct"/>
            <w:vAlign w:val="center"/>
          </w:tcPr>
          <w:p w14:paraId="045352F9"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Entidade B</w:t>
            </w:r>
          </w:p>
          <w:p w14:paraId="0BA2CEFC"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(controlada legal, adquirente contábil)</w:t>
            </w:r>
          </w:p>
        </w:tc>
      </w:tr>
      <w:tr w:rsidR="0096738F" w:rsidRPr="0096738F" w14:paraId="3DA048DA" w14:textId="77777777" w:rsidTr="00DF2196">
        <w:trPr>
          <w:jc w:val="center"/>
        </w:trPr>
        <w:tc>
          <w:tcPr>
            <w:tcW w:w="2866" w:type="pct"/>
            <w:vAlign w:val="center"/>
          </w:tcPr>
          <w:p w14:paraId="02DC7B0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circulantes</w:t>
            </w:r>
          </w:p>
        </w:tc>
        <w:tc>
          <w:tcPr>
            <w:tcW w:w="1066" w:type="pct"/>
            <w:vAlign w:val="center"/>
          </w:tcPr>
          <w:p w14:paraId="5F675C2E"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500</w:t>
            </w:r>
          </w:p>
        </w:tc>
        <w:tc>
          <w:tcPr>
            <w:tcW w:w="1067" w:type="pct"/>
            <w:vAlign w:val="center"/>
          </w:tcPr>
          <w:p w14:paraId="1B483EDC"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700</w:t>
            </w:r>
          </w:p>
        </w:tc>
      </w:tr>
      <w:tr w:rsidR="0096738F" w:rsidRPr="0096738F" w14:paraId="6E63FF77" w14:textId="77777777" w:rsidTr="00DF2196">
        <w:trPr>
          <w:jc w:val="center"/>
        </w:trPr>
        <w:tc>
          <w:tcPr>
            <w:tcW w:w="2866" w:type="pct"/>
            <w:vAlign w:val="center"/>
          </w:tcPr>
          <w:p w14:paraId="49179F3F"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não circulantes</w:t>
            </w:r>
          </w:p>
        </w:tc>
        <w:tc>
          <w:tcPr>
            <w:tcW w:w="1066" w:type="pct"/>
            <w:vAlign w:val="center"/>
          </w:tcPr>
          <w:p w14:paraId="2A451BBD"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1.300</w:t>
            </w:r>
          </w:p>
        </w:tc>
        <w:tc>
          <w:tcPr>
            <w:tcW w:w="1067" w:type="pct"/>
            <w:vAlign w:val="center"/>
          </w:tcPr>
          <w:p w14:paraId="3845F20F"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3.000</w:t>
            </w:r>
          </w:p>
        </w:tc>
      </w:tr>
      <w:tr w:rsidR="0096738F" w:rsidRPr="0096738F" w14:paraId="17C94630" w14:textId="77777777" w:rsidTr="00DF2196">
        <w:trPr>
          <w:jc w:val="center"/>
        </w:trPr>
        <w:tc>
          <w:tcPr>
            <w:tcW w:w="2866" w:type="pct"/>
            <w:vAlign w:val="center"/>
          </w:tcPr>
          <w:p w14:paraId="0D4C6627"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de ativos</w:t>
            </w:r>
          </w:p>
        </w:tc>
        <w:tc>
          <w:tcPr>
            <w:tcW w:w="1066" w:type="pct"/>
            <w:vAlign w:val="center"/>
          </w:tcPr>
          <w:p w14:paraId="46F7ABA0"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1.800</w:t>
            </w:r>
          </w:p>
        </w:tc>
        <w:tc>
          <w:tcPr>
            <w:tcW w:w="1067" w:type="pct"/>
            <w:vAlign w:val="center"/>
          </w:tcPr>
          <w:p w14:paraId="26800194"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3.700</w:t>
            </w:r>
          </w:p>
        </w:tc>
      </w:tr>
      <w:tr w:rsidR="0096738F" w:rsidRPr="0096738F" w14:paraId="79043E6D" w14:textId="77777777" w:rsidTr="00DF2196">
        <w:trPr>
          <w:jc w:val="center"/>
        </w:trPr>
        <w:tc>
          <w:tcPr>
            <w:tcW w:w="2866" w:type="pct"/>
            <w:vAlign w:val="center"/>
          </w:tcPr>
          <w:p w14:paraId="1F96547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circulantes</w:t>
            </w:r>
          </w:p>
        </w:tc>
        <w:tc>
          <w:tcPr>
            <w:tcW w:w="1066" w:type="pct"/>
            <w:vAlign w:val="center"/>
          </w:tcPr>
          <w:p w14:paraId="653409F6"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pt-PT" w:eastAsia="pt-BR"/>
              </w:rPr>
              <w:t>300</w:t>
            </w:r>
          </w:p>
        </w:tc>
        <w:tc>
          <w:tcPr>
            <w:tcW w:w="1067" w:type="pct"/>
            <w:vAlign w:val="center"/>
          </w:tcPr>
          <w:p w14:paraId="186F184F"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pt-PT" w:eastAsia="pt-BR"/>
              </w:rPr>
              <w:t>600</w:t>
            </w:r>
          </w:p>
        </w:tc>
      </w:tr>
      <w:tr w:rsidR="0096738F" w:rsidRPr="0096738F" w14:paraId="6C245FFC" w14:textId="77777777" w:rsidTr="00DF2196">
        <w:trPr>
          <w:jc w:val="center"/>
        </w:trPr>
        <w:tc>
          <w:tcPr>
            <w:tcW w:w="2866" w:type="pct"/>
            <w:vAlign w:val="center"/>
          </w:tcPr>
          <w:p w14:paraId="32DBD07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Passivos não circulantes </w:t>
            </w:r>
          </w:p>
        </w:tc>
        <w:tc>
          <w:tcPr>
            <w:tcW w:w="1066" w:type="pct"/>
            <w:vAlign w:val="center"/>
          </w:tcPr>
          <w:p w14:paraId="35DA0CAC"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pt-PT" w:eastAsia="pt-BR"/>
              </w:rPr>
              <w:t>400</w:t>
            </w:r>
          </w:p>
        </w:tc>
        <w:tc>
          <w:tcPr>
            <w:tcW w:w="1067" w:type="pct"/>
            <w:vAlign w:val="center"/>
          </w:tcPr>
          <w:p w14:paraId="09250458"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pt-PT" w:eastAsia="pt-BR"/>
              </w:rPr>
              <w:t>1.100</w:t>
            </w:r>
          </w:p>
        </w:tc>
      </w:tr>
      <w:tr w:rsidR="0096738F" w:rsidRPr="0096738F" w14:paraId="540E78D5" w14:textId="77777777" w:rsidTr="00DF2196">
        <w:trPr>
          <w:jc w:val="center"/>
        </w:trPr>
        <w:tc>
          <w:tcPr>
            <w:tcW w:w="2866" w:type="pct"/>
            <w:vAlign w:val="center"/>
          </w:tcPr>
          <w:p w14:paraId="4A83335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Total de passivos </w:t>
            </w:r>
          </w:p>
        </w:tc>
        <w:tc>
          <w:tcPr>
            <w:tcW w:w="1066" w:type="pct"/>
            <w:vAlign w:val="center"/>
          </w:tcPr>
          <w:p w14:paraId="265586EB"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700</w:t>
            </w:r>
          </w:p>
        </w:tc>
        <w:tc>
          <w:tcPr>
            <w:tcW w:w="1067" w:type="pct"/>
            <w:vAlign w:val="center"/>
          </w:tcPr>
          <w:p w14:paraId="3A25B7F1"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1.700</w:t>
            </w:r>
          </w:p>
        </w:tc>
      </w:tr>
      <w:tr w:rsidR="0096738F" w:rsidRPr="0096738F" w14:paraId="28AE4813" w14:textId="77777777" w:rsidTr="00DF2196">
        <w:trPr>
          <w:jc w:val="center"/>
        </w:trPr>
        <w:tc>
          <w:tcPr>
            <w:tcW w:w="2866" w:type="pct"/>
            <w:vAlign w:val="center"/>
          </w:tcPr>
          <w:p w14:paraId="4A3E6CE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Patrimônio líquido</w:t>
            </w:r>
          </w:p>
        </w:tc>
        <w:tc>
          <w:tcPr>
            <w:tcW w:w="1066" w:type="pct"/>
            <w:vAlign w:val="center"/>
          </w:tcPr>
          <w:p w14:paraId="57E3C3FC"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c>
          <w:tcPr>
            <w:tcW w:w="1067" w:type="pct"/>
            <w:vAlign w:val="center"/>
          </w:tcPr>
          <w:p w14:paraId="57E288FD"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r>
      <w:tr w:rsidR="0096738F" w:rsidRPr="0096738F" w14:paraId="0B9E47EF" w14:textId="77777777" w:rsidTr="00DF2196">
        <w:trPr>
          <w:jc w:val="center"/>
        </w:trPr>
        <w:tc>
          <w:tcPr>
            <w:tcW w:w="2866" w:type="pct"/>
            <w:vAlign w:val="center"/>
          </w:tcPr>
          <w:p w14:paraId="410FC589"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Reservas</w:t>
            </w:r>
          </w:p>
        </w:tc>
        <w:tc>
          <w:tcPr>
            <w:tcW w:w="1066" w:type="pct"/>
            <w:vAlign w:val="center"/>
          </w:tcPr>
          <w:p w14:paraId="151A014C"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800</w:t>
            </w:r>
          </w:p>
        </w:tc>
        <w:tc>
          <w:tcPr>
            <w:tcW w:w="1067" w:type="pct"/>
            <w:vAlign w:val="center"/>
          </w:tcPr>
          <w:p w14:paraId="21B082FF"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1.400</w:t>
            </w:r>
          </w:p>
        </w:tc>
      </w:tr>
      <w:tr w:rsidR="0096738F" w:rsidRPr="0096738F" w14:paraId="676997C0" w14:textId="77777777" w:rsidTr="00DF2196">
        <w:trPr>
          <w:jc w:val="center"/>
        </w:trPr>
        <w:tc>
          <w:tcPr>
            <w:tcW w:w="2866" w:type="pct"/>
            <w:vAlign w:val="center"/>
          </w:tcPr>
          <w:p w14:paraId="523A406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Capital emitido</w:t>
            </w:r>
          </w:p>
        </w:tc>
        <w:tc>
          <w:tcPr>
            <w:tcW w:w="1066" w:type="pct"/>
            <w:vAlign w:val="center"/>
          </w:tcPr>
          <w:p w14:paraId="1FC50862"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c>
          <w:tcPr>
            <w:tcW w:w="1067" w:type="pct"/>
            <w:vAlign w:val="center"/>
          </w:tcPr>
          <w:p w14:paraId="64DF5916"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r>
      <w:tr w:rsidR="0096738F" w:rsidRPr="0096738F" w14:paraId="3982062D" w14:textId="77777777" w:rsidTr="00DF2196">
        <w:trPr>
          <w:jc w:val="center"/>
        </w:trPr>
        <w:tc>
          <w:tcPr>
            <w:tcW w:w="2866" w:type="pct"/>
            <w:vAlign w:val="center"/>
          </w:tcPr>
          <w:p w14:paraId="58EF9D2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100 ações ordinárias</w:t>
            </w:r>
          </w:p>
        </w:tc>
        <w:tc>
          <w:tcPr>
            <w:tcW w:w="1066" w:type="pct"/>
            <w:vAlign w:val="center"/>
          </w:tcPr>
          <w:p w14:paraId="7B6BE8E8"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300</w:t>
            </w:r>
          </w:p>
        </w:tc>
        <w:tc>
          <w:tcPr>
            <w:tcW w:w="1067" w:type="pct"/>
            <w:vAlign w:val="center"/>
          </w:tcPr>
          <w:p w14:paraId="75D2F806"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r>
      <w:tr w:rsidR="0096738F" w:rsidRPr="0096738F" w14:paraId="42B2395C" w14:textId="77777777" w:rsidTr="00DF2196">
        <w:trPr>
          <w:jc w:val="center"/>
        </w:trPr>
        <w:tc>
          <w:tcPr>
            <w:tcW w:w="2866" w:type="pct"/>
            <w:vAlign w:val="center"/>
          </w:tcPr>
          <w:p w14:paraId="4C33B9E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60 ações ordinárias</w:t>
            </w:r>
          </w:p>
        </w:tc>
        <w:tc>
          <w:tcPr>
            <w:tcW w:w="1066" w:type="pct"/>
            <w:vAlign w:val="center"/>
          </w:tcPr>
          <w:p w14:paraId="776F8651"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p>
        </w:tc>
        <w:tc>
          <w:tcPr>
            <w:tcW w:w="1067" w:type="pct"/>
            <w:vAlign w:val="center"/>
          </w:tcPr>
          <w:p w14:paraId="0C80C27F"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600</w:t>
            </w:r>
          </w:p>
        </w:tc>
      </w:tr>
      <w:tr w:rsidR="0096738F" w:rsidRPr="0096738F" w14:paraId="4CEE4F53" w14:textId="77777777" w:rsidTr="00DF2196">
        <w:trPr>
          <w:jc w:val="center"/>
        </w:trPr>
        <w:tc>
          <w:tcPr>
            <w:tcW w:w="2866" w:type="pct"/>
            <w:vAlign w:val="center"/>
          </w:tcPr>
          <w:p w14:paraId="4A4F533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Total do patrimônio líquido</w:t>
            </w:r>
          </w:p>
        </w:tc>
        <w:tc>
          <w:tcPr>
            <w:tcW w:w="1066" w:type="pct"/>
            <w:vAlign w:val="center"/>
          </w:tcPr>
          <w:p w14:paraId="60393CAD"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1.100</w:t>
            </w:r>
          </w:p>
        </w:tc>
        <w:tc>
          <w:tcPr>
            <w:tcW w:w="1067" w:type="pct"/>
            <w:vAlign w:val="center"/>
          </w:tcPr>
          <w:p w14:paraId="0ED999CF"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2.000</w:t>
            </w:r>
          </w:p>
        </w:tc>
      </w:tr>
      <w:tr w:rsidR="0096738F" w:rsidRPr="0096738F" w14:paraId="2617B600" w14:textId="77777777" w:rsidTr="00DF2196">
        <w:trPr>
          <w:jc w:val="center"/>
        </w:trPr>
        <w:tc>
          <w:tcPr>
            <w:tcW w:w="2866" w:type="pct"/>
            <w:vAlign w:val="center"/>
          </w:tcPr>
          <w:p w14:paraId="6D65F4AC"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 passivo e patrimônio líquido</w:t>
            </w:r>
          </w:p>
        </w:tc>
        <w:tc>
          <w:tcPr>
            <w:tcW w:w="1066" w:type="pct"/>
            <w:vAlign w:val="center"/>
          </w:tcPr>
          <w:p w14:paraId="7B685C4C"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1.800</w:t>
            </w:r>
          </w:p>
        </w:tc>
        <w:tc>
          <w:tcPr>
            <w:tcW w:w="1067" w:type="pct"/>
            <w:vAlign w:val="center"/>
          </w:tcPr>
          <w:p w14:paraId="6DA9CC83"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3.700</w:t>
            </w:r>
          </w:p>
        </w:tc>
      </w:tr>
    </w:tbl>
    <w:p w14:paraId="76ADF3F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A744B8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w:t>
      </w:r>
      <w:r w:rsidRPr="0096738F">
        <w:rPr>
          <w:rFonts w:ascii="Arial" w:eastAsia="Times New Roman" w:hAnsi="Arial" w:cs="Arial"/>
          <w:sz w:val="22"/>
          <w:szCs w:val="22"/>
          <w:lang w:eastAsia="pt-BR"/>
        </w:rPr>
        <w:tab/>
        <w:t>No exemplo também foram utilizadas as seguintes informações:</w:t>
      </w:r>
    </w:p>
    <w:p w14:paraId="2A815D85" w14:textId="77777777" w:rsidR="0096738F" w:rsidRPr="0096738F" w:rsidRDefault="0096738F" w:rsidP="0096738F">
      <w:pPr>
        <w:widowControl w:val="0"/>
        <w:numPr>
          <w:ilvl w:val="0"/>
          <w:numId w:val="5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30/09/20X6, a entidade A emite 2,5 ações em troca de cada ação ordinária da entidade B. Todos os acionistas da entidade B trocaram suas ações. Portanto, a entidade A emitiu 150 ações ordinárias em troca de todas as 60 ações ordinárias da entidade B;</w:t>
      </w:r>
    </w:p>
    <w:p w14:paraId="3FED7FFF" w14:textId="77777777" w:rsidR="0096738F" w:rsidRPr="0096738F" w:rsidRDefault="0096738F" w:rsidP="0096738F">
      <w:pPr>
        <w:widowControl w:val="0"/>
        <w:numPr>
          <w:ilvl w:val="0"/>
          <w:numId w:val="5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de cada ação ordinária da entidade B em 30/09/20X6 é $ 40. O preço de cotação no mercado das ações ordinárias da entidade A, na mesma data, é $ 16;</w:t>
      </w:r>
    </w:p>
    <w:p w14:paraId="15543AD2" w14:textId="77777777" w:rsidR="0096738F" w:rsidRPr="0096738F" w:rsidRDefault="0096738F" w:rsidP="0096738F">
      <w:pPr>
        <w:widowControl w:val="0"/>
        <w:numPr>
          <w:ilvl w:val="0"/>
          <w:numId w:val="56"/>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lastRenderedPageBreak/>
        <w:t>o valor justo, em 30/09/20X6, dos ativos identificáveis e passivos da entidade A são idênticos aos seus respectivos valores contábeis, exceto pelos ativos não circulantes, cujo valor justo em 30/09/20X6 é $ 1.500.</w:t>
      </w:r>
    </w:p>
    <w:p w14:paraId="5B615451" w14:textId="77777777" w:rsidR="0096738F" w:rsidRPr="0096738F" w:rsidRDefault="0096738F" w:rsidP="0096738F">
      <w:pPr>
        <w:widowControl w:val="0"/>
        <w:spacing w:before="0" w:after="0" w:line="240" w:lineRule="auto"/>
        <w:ind w:left="720" w:firstLine="0"/>
        <w:rPr>
          <w:rFonts w:ascii="Arial" w:eastAsia="Times New Roman" w:hAnsi="Arial" w:cs="Arial"/>
          <w:sz w:val="22"/>
          <w:szCs w:val="22"/>
          <w:lang w:val="pt-PT" w:eastAsia="pt-BR"/>
        </w:rPr>
      </w:pPr>
    </w:p>
    <w:p w14:paraId="3FEC92F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Cálculo do valor justo da contraprestação transferida</w:t>
      </w:r>
    </w:p>
    <w:p w14:paraId="71CE40D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09ADD7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w:t>
      </w:r>
      <w:r w:rsidRPr="0096738F">
        <w:rPr>
          <w:rFonts w:ascii="Arial" w:eastAsia="Times New Roman" w:hAnsi="Arial" w:cs="Arial"/>
          <w:sz w:val="22"/>
          <w:szCs w:val="22"/>
          <w:lang w:eastAsia="pt-BR"/>
        </w:rPr>
        <w:tab/>
        <w:t>Em decorrência da emissão de 150 ações ordinárias pela entidade A (controladora legal e adquirida contábil), os acionistas da entidade B possuem agora 60% das ações emitidas da entidade combinada (ou seja, 150 do total de 250 ações). Os 40% restantes estão em poder dos acionistas da entidade A. Se a combinação de negócios fosse efetivada pela emissão de ações adicionais da entidade B (para trocar pelas ações entidade A), teria sido emitido um total de 40 ações para manter o mesmo percentual de participação na entidade combinada. Assim, os acionistas da entidade B ficariam com 60 de um total de 100 ações da entidade B (60% de participação na entidade combinada). Portanto, o valor justo da contraprestação efetivamente transferida pela entidade B para o grupo obter as 100 ações da entidade A é $ 1.600 (40 ações a $ 40 de valor justo por ação)</w:t>
      </w:r>
      <w:r w:rsidRPr="0096738F">
        <w:rPr>
          <w:rFonts w:ascii="Arial" w:eastAsia="Times New Roman" w:hAnsi="Arial" w:cs="Arial"/>
          <w:b/>
          <w:bCs/>
          <w:color w:val="000000"/>
          <w:sz w:val="22"/>
          <w:szCs w:val="22"/>
          <w:vertAlign w:val="superscript"/>
          <w:lang w:eastAsia="pt-BR"/>
        </w:rPr>
        <w:footnoteReference w:id="7"/>
      </w:r>
      <w:r w:rsidRPr="0096738F">
        <w:rPr>
          <w:rFonts w:ascii="Arial" w:eastAsia="Times New Roman" w:hAnsi="Arial" w:cs="Arial"/>
          <w:sz w:val="22"/>
          <w:szCs w:val="22"/>
          <w:lang w:eastAsia="pt-BR"/>
        </w:rPr>
        <w:t>.</w:t>
      </w:r>
    </w:p>
    <w:p w14:paraId="202ED1D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F359E2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w:t>
      </w:r>
      <w:r w:rsidRPr="0096738F">
        <w:rPr>
          <w:rFonts w:ascii="Arial" w:eastAsia="Times New Roman" w:hAnsi="Arial" w:cs="Arial"/>
          <w:sz w:val="22"/>
          <w:szCs w:val="22"/>
          <w:lang w:eastAsia="pt-BR"/>
        </w:rPr>
        <w:tab/>
        <w:t>O valor justo da contraprestação efetivamente transferida deve ser baseado na medida mais confiável. Nesse exemplo, o preço de cotação no mercado das ações da entidade A constitui uma base mais confiável para mensurar a contraprestação efetivamente transferida em relação ao valor justo estimado das ações da entidade B. Assim, a contraprestação transferida é mensurada usando o preço de mercado das ações da entidade A: 100 ações ao valor justo de $ 16 por ação (totalizando $ 1.600).</w:t>
      </w:r>
    </w:p>
    <w:p w14:paraId="0701A8C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5B45C8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Mensuração do ágio por expectativa de rentabilidade futura (</w:t>
      </w:r>
      <w:r w:rsidRPr="0096738F">
        <w:rPr>
          <w:rFonts w:ascii="Arial" w:eastAsia="Times New Roman" w:hAnsi="Arial" w:cs="Arial"/>
          <w:b/>
          <w:i/>
          <w:sz w:val="22"/>
          <w:szCs w:val="22"/>
          <w:lang w:eastAsia="pt-BR"/>
        </w:rPr>
        <w:t>goodwill</w:t>
      </w:r>
      <w:r w:rsidRPr="0096738F">
        <w:rPr>
          <w:rFonts w:ascii="Arial" w:eastAsia="Times New Roman" w:hAnsi="Arial" w:cs="Arial"/>
          <w:b/>
          <w:sz w:val="22"/>
          <w:szCs w:val="22"/>
          <w:lang w:eastAsia="pt-BR"/>
        </w:rPr>
        <w:t>)</w:t>
      </w:r>
    </w:p>
    <w:p w14:paraId="534F053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9878B6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w:t>
      </w:r>
      <w:r w:rsidRPr="0096738F">
        <w:rPr>
          <w:rFonts w:ascii="Arial" w:eastAsia="Times New Roman" w:hAnsi="Arial" w:cs="Arial"/>
          <w:sz w:val="22"/>
          <w:szCs w:val="22"/>
          <w:lang w:eastAsia="pt-BR"/>
        </w:rPr>
        <w:tab/>
        <w:t>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é mensurado como o excesso de valor justo da contraprestação efetivamente transferida (a participação do grupo na entidade A) sobre o valor justo líquido dos ativos identificáveis e dos passivos da entidade A, como disposto abaixo:</w:t>
      </w:r>
    </w:p>
    <w:p w14:paraId="7FFB133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6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8"/>
        <w:gridCol w:w="1177"/>
        <w:gridCol w:w="1177"/>
      </w:tblGrid>
      <w:tr w:rsidR="0096738F" w:rsidRPr="0096738F" w14:paraId="1251A2DF" w14:textId="77777777" w:rsidTr="00DF2196">
        <w:trPr>
          <w:jc w:val="center"/>
        </w:trPr>
        <w:tc>
          <w:tcPr>
            <w:tcW w:w="3773" w:type="pct"/>
          </w:tcPr>
          <w:p w14:paraId="5E1D9619"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613" w:type="pct"/>
          </w:tcPr>
          <w:p w14:paraId="30142B01"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c>
          <w:tcPr>
            <w:tcW w:w="613" w:type="pct"/>
          </w:tcPr>
          <w:p w14:paraId="10C28AC0"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r>
      <w:tr w:rsidR="0096738F" w:rsidRPr="0096738F" w14:paraId="02BE2EB1" w14:textId="77777777" w:rsidTr="00DF2196">
        <w:trPr>
          <w:jc w:val="center"/>
        </w:trPr>
        <w:tc>
          <w:tcPr>
            <w:tcW w:w="3773" w:type="pct"/>
            <w:vAlign w:val="center"/>
          </w:tcPr>
          <w:p w14:paraId="60E2048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Contraprestação efetivamente transferida</w:t>
            </w:r>
          </w:p>
        </w:tc>
        <w:tc>
          <w:tcPr>
            <w:tcW w:w="613" w:type="pct"/>
            <w:vAlign w:val="center"/>
          </w:tcPr>
          <w:p w14:paraId="59D5704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p>
        </w:tc>
        <w:tc>
          <w:tcPr>
            <w:tcW w:w="613" w:type="pct"/>
            <w:vAlign w:val="center"/>
          </w:tcPr>
          <w:p w14:paraId="6C40886A"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1.600</w:t>
            </w:r>
          </w:p>
        </w:tc>
      </w:tr>
      <w:tr w:rsidR="0096738F" w:rsidRPr="0096738F" w14:paraId="0742ABC8" w14:textId="77777777" w:rsidTr="00DF2196">
        <w:trPr>
          <w:jc w:val="center"/>
        </w:trPr>
        <w:tc>
          <w:tcPr>
            <w:tcW w:w="3773" w:type="pct"/>
            <w:vAlign w:val="center"/>
          </w:tcPr>
          <w:p w14:paraId="5511EA3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Valor justo líquido reconhecido de ativos identificáveis e passivos da entidade A</w:t>
            </w:r>
          </w:p>
        </w:tc>
        <w:tc>
          <w:tcPr>
            <w:tcW w:w="613" w:type="pct"/>
            <w:vAlign w:val="center"/>
          </w:tcPr>
          <w:p w14:paraId="2B53C08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613" w:type="pct"/>
            <w:vAlign w:val="center"/>
          </w:tcPr>
          <w:p w14:paraId="470E3637"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400181B3" w14:textId="77777777" w:rsidTr="00DF2196">
        <w:trPr>
          <w:jc w:val="center"/>
        </w:trPr>
        <w:tc>
          <w:tcPr>
            <w:tcW w:w="3773" w:type="pct"/>
            <w:vAlign w:val="center"/>
          </w:tcPr>
          <w:p w14:paraId="23C4DC4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circulantes</w:t>
            </w:r>
          </w:p>
        </w:tc>
        <w:tc>
          <w:tcPr>
            <w:tcW w:w="613" w:type="pct"/>
            <w:vAlign w:val="center"/>
          </w:tcPr>
          <w:p w14:paraId="5243EB68"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500</w:t>
            </w:r>
          </w:p>
        </w:tc>
        <w:tc>
          <w:tcPr>
            <w:tcW w:w="613" w:type="pct"/>
            <w:vAlign w:val="center"/>
          </w:tcPr>
          <w:p w14:paraId="12AADD89"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2BCA04BD" w14:textId="77777777" w:rsidTr="00DF2196">
        <w:trPr>
          <w:jc w:val="center"/>
        </w:trPr>
        <w:tc>
          <w:tcPr>
            <w:tcW w:w="3773" w:type="pct"/>
            <w:vAlign w:val="center"/>
          </w:tcPr>
          <w:p w14:paraId="14D97AF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não circulantes</w:t>
            </w:r>
          </w:p>
        </w:tc>
        <w:tc>
          <w:tcPr>
            <w:tcW w:w="613" w:type="pct"/>
            <w:vAlign w:val="center"/>
          </w:tcPr>
          <w:p w14:paraId="764ED50E"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1.500</w:t>
            </w:r>
          </w:p>
        </w:tc>
        <w:tc>
          <w:tcPr>
            <w:tcW w:w="613" w:type="pct"/>
            <w:vAlign w:val="center"/>
          </w:tcPr>
          <w:p w14:paraId="495061F0"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62665006" w14:textId="77777777" w:rsidTr="00DF2196">
        <w:trPr>
          <w:jc w:val="center"/>
        </w:trPr>
        <w:tc>
          <w:tcPr>
            <w:tcW w:w="3773" w:type="pct"/>
            <w:vAlign w:val="center"/>
          </w:tcPr>
          <w:p w14:paraId="0024844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circulantes</w:t>
            </w:r>
          </w:p>
        </w:tc>
        <w:tc>
          <w:tcPr>
            <w:tcW w:w="613" w:type="pct"/>
            <w:vAlign w:val="center"/>
          </w:tcPr>
          <w:p w14:paraId="13F270EE"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(300)</w:t>
            </w:r>
          </w:p>
        </w:tc>
        <w:tc>
          <w:tcPr>
            <w:tcW w:w="613" w:type="pct"/>
            <w:vAlign w:val="center"/>
          </w:tcPr>
          <w:p w14:paraId="56E32098"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382F9507" w14:textId="77777777" w:rsidTr="00DF2196">
        <w:trPr>
          <w:jc w:val="center"/>
        </w:trPr>
        <w:tc>
          <w:tcPr>
            <w:tcW w:w="3773" w:type="pct"/>
            <w:vAlign w:val="center"/>
          </w:tcPr>
          <w:p w14:paraId="0A18DC5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não circulantes</w:t>
            </w:r>
          </w:p>
        </w:tc>
        <w:tc>
          <w:tcPr>
            <w:tcW w:w="613" w:type="pct"/>
            <w:vAlign w:val="center"/>
          </w:tcPr>
          <w:p w14:paraId="76C88C47"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(400)</w:t>
            </w:r>
          </w:p>
        </w:tc>
        <w:tc>
          <w:tcPr>
            <w:tcW w:w="613" w:type="pct"/>
            <w:vAlign w:val="center"/>
          </w:tcPr>
          <w:p w14:paraId="06BA67DF"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(1.300)</w:t>
            </w:r>
          </w:p>
        </w:tc>
      </w:tr>
      <w:tr w:rsidR="0096738F" w:rsidRPr="0096738F" w14:paraId="42566793" w14:textId="77777777" w:rsidTr="00DF2196">
        <w:trPr>
          <w:jc w:val="center"/>
        </w:trPr>
        <w:tc>
          <w:tcPr>
            <w:tcW w:w="3773" w:type="pct"/>
            <w:vAlign w:val="center"/>
          </w:tcPr>
          <w:p w14:paraId="1474FE2B"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Ágio por expectativa de rentabilidade futura (</w:t>
            </w:r>
            <w:r w:rsidRPr="0096738F">
              <w:rPr>
                <w:rFonts w:ascii="Arial" w:eastAsia="Times New Roman" w:hAnsi="Arial" w:cs="Arial"/>
                <w:b/>
                <w:i/>
                <w:sz w:val="22"/>
                <w:szCs w:val="22"/>
                <w:lang w:val="pt-PT" w:eastAsia="pt-BR"/>
              </w:rPr>
              <w:t>goodwill</w:t>
            </w:r>
            <w:r w:rsidRPr="0096738F">
              <w:rPr>
                <w:rFonts w:ascii="Arial" w:eastAsia="Times New Roman" w:hAnsi="Arial" w:cs="Arial"/>
                <w:b/>
                <w:sz w:val="22"/>
                <w:szCs w:val="22"/>
                <w:lang w:val="pt-PT" w:eastAsia="pt-BR"/>
              </w:rPr>
              <w:t>)</w:t>
            </w:r>
          </w:p>
        </w:tc>
        <w:tc>
          <w:tcPr>
            <w:tcW w:w="613" w:type="pct"/>
            <w:vAlign w:val="center"/>
          </w:tcPr>
          <w:p w14:paraId="67477C2E"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p>
        </w:tc>
        <w:tc>
          <w:tcPr>
            <w:tcW w:w="613" w:type="pct"/>
            <w:vAlign w:val="center"/>
          </w:tcPr>
          <w:p w14:paraId="3C73D245"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300</w:t>
            </w:r>
          </w:p>
        </w:tc>
      </w:tr>
    </w:tbl>
    <w:p w14:paraId="07D0495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5C999D3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lastRenderedPageBreak/>
        <w:t>Demonstrações contábeis consolidadas em 30/09/20X6</w:t>
      </w:r>
    </w:p>
    <w:p w14:paraId="0C320DD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748F0E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C7.</w:t>
      </w:r>
      <w:r w:rsidRPr="0096738F">
        <w:rPr>
          <w:rFonts w:ascii="Arial" w:eastAsia="Times New Roman" w:hAnsi="Arial" w:cs="Arial"/>
          <w:sz w:val="22"/>
          <w:szCs w:val="22"/>
          <w:lang w:eastAsia="pt-BR"/>
        </w:rPr>
        <w:tab/>
        <w:t>A seguir apresenta-se o balanço patrimonial consolidado imediatamente após a combinação de negócios: (obs.: Para melhor visualizar a evidenciação contábil da essência dessa transação, pode-se utilizar um expediente: se formalmente a transação se processasse mediante a incorporação das ações “A” por “B”, não haveria participação minoritária no balanço consolidado, pois os acionistas de “A” migrariam para “B” e “A” tornar-se-ia subsidiária integral de “B”. No caso da aquisição reversa, os acionistas de “B” migram para “A” e “B” torna-se uma subsidiária integral de “A”. Os acionistas de “B” passam a controlar “A” e os antigos acionistas de “A” tornam-se minoritários de “A”. Tal aspecto poderia desencadear uma discussão controvertida acerca da evidenciação dessa participação de não controladores no consolidado. Mas em verdade, na essência, os antigos acionistas de “A” tornam-se acionistas da nova entidade combinada junto com os acionistas de “B”, a qual é refletida no consolidado. Em síntese, pode-se visualizar a operação como a constituição de uma nova entidade para a qual os acionistas de “A” e de “B” verteram seus respectivos patrimônios).</w:t>
      </w:r>
    </w:p>
    <w:p w14:paraId="444EAFE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37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2"/>
        <w:gridCol w:w="1272"/>
      </w:tblGrid>
      <w:tr w:rsidR="0096738F" w:rsidRPr="0096738F" w14:paraId="632A387D" w14:textId="77777777" w:rsidTr="00DF2196">
        <w:trPr>
          <w:jc w:val="center"/>
        </w:trPr>
        <w:tc>
          <w:tcPr>
            <w:tcW w:w="4191" w:type="pct"/>
          </w:tcPr>
          <w:p w14:paraId="19BFE10E"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809" w:type="pct"/>
          </w:tcPr>
          <w:p w14:paraId="71299446"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r>
      <w:tr w:rsidR="0096738F" w:rsidRPr="0096738F" w14:paraId="55B544EB" w14:textId="77777777" w:rsidTr="00DF2196">
        <w:trPr>
          <w:jc w:val="center"/>
        </w:trPr>
        <w:tc>
          <w:tcPr>
            <w:tcW w:w="4191" w:type="pct"/>
            <w:vAlign w:val="center"/>
          </w:tcPr>
          <w:p w14:paraId="65C60560"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 xml:space="preserve">Ativos circulantes [$ 700 + $ 500] </w:t>
            </w:r>
          </w:p>
        </w:tc>
        <w:tc>
          <w:tcPr>
            <w:tcW w:w="809" w:type="pct"/>
            <w:vAlign w:val="center"/>
          </w:tcPr>
          <w:p w14:paraId="78C91847"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1.200</w:t>
            </w:r>
          </w:p>
        </w:tc>
      </w:tr>
      <w:tr w:rsidR="0096738F" w:rsidRPr="0096738F" w14:paraId="703A2B04" w14:textId="77777777" w:rsidTr="00DF2196">
        <w:trPr>
          <w:trHeight w:val="66"/>
          <w:jc w:val="center"/>
        </w:trPr>
        <w:tc>
          <w:tcPr>
            <w:tcW w:w="4191" w:type="pct"/>
            <w:vAlign w:val="center"/>
          </w:tcPr>
          <w:p w14:paraId="2621BF3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Ativos não circulantes [$ 3.000 + $ 1.500] </w:t>
            </w:r>
          </w:p>
        </w:tc>
        <w:tc>
          <w:tcPr>
            <w:tcW w:w="809" w:type="pct"/>
            <w:vAlign w:val="center"/>
          </w:tcPr>
          <w:p w14:paraId="77B184A2"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4.500</w:t>
            </w:r>
          </w:p>
        </w:tc>
      </w:tr>
      <w:tr w:rsidR="0096738F" w:rsidRPr="0096738F" w14:paraId="067B9140" w14:textId="77777777" w:rsidTr="00DF2196">
        <w:trPr>
          <w:jc w:val="center"/>
        </w:trPr>
        <w:tc>
          <w:tcPr>
            <w:tcW w:w="4191" w:type="pct"/>
            <w:vAlign w:val="center"/>
          </w:tcPr>
          <w:p w14:paraId="0291358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tc>
        <w:tc>
          <w:tcPr>
            <w:tcW w:w="809" w:type="pct"/>
            <w:vAlign w:val="center"/>
          </w:tcPr>
          <w:p w14:paraId="17BE9C36"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300</w:t>
            </w:r>
          </w:p>
        </w:tc>
      </w:tr>
      <w:tr w:rsidR="0096738F" w:rsidRPr="0096738F" w14:paraId="71E3A244" w14:textId="77777777" w:rsidTr="00DF2196">
        <w:trPr>
          <w:jc w:val="center"/>
        </w:trPr>
        <w:tc>
          <w:tcPr>
            <w:tcW w:w="4191" w:type="pct"/>
            <w:vAlign w:val="center"/>
          </w:tcPr>
          <w:p w14:paraId="4D7FEF42"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dos ativos</w:t>
            </w:r>
          </w:p>
        </w:tc>
        <w:tc>
          <w:tcPr>
            <w:tcW w:w="809" w:type="pct"/>
            <w:vAlign w:val="center"/>
          </w:tcPr>
          <w:p w14:paraId="400A9ADB"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6.000</w:t>
            </w:r>
          </w:p>
        </w:tc>
      </w:tr>
      <w:tr w:rsidR="0096738F" w:rsidRPr="0096738F" w14:paraId="3C0C3BA5" w14:textId="77777777" w:rsidTr="00DF2196">
        <w:trPr>
          <w:jc w:val="center"/>
        </w:trPr>
        <w:tc>
          <w:tcPr>
            <w:tcW w:w="4191" w:type="pct"/>
            <w:vAlign w:val="center"/>
          </w:tcPr>
          <w:p w14:paraId="44D4FB52"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circulantes [$ 600 + $ 300]</w:t>
            </w:r>
          </w:p>
        </w:tc>
        <w:tc>
          <w:tcPr>
            <w:tcW w:w="809" w:type="pct"/>
            <w:vAlign w:val="center"/>
          </w:tcPr>
          <w:p w14:paraId="39BA52EE"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900</w:t>
            </w:r>
          </w:p>
        </w:tc>
      </w:tr>
      <w:tr w:rsidR="0096738F" w:rsidRPr="0096738F" w14:paraId="0FD3E89E" w14:textId="77777777" w:rsidTr="00DF2196">
        <w:trPr>
          <w:jc w:val="center"/>
        </w:trPr>
        <w:tc>
          <w:tcPr>
            <w:tcW w:w="4191" w:type="pct"/>
            <w:vAlign w:val="center"/>
          </w:tcPr>
          <w:p w14:paraId="3C58F1D9"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Passivos não circulantes [$ 1.100 + $ 400] </w:t>
            </w:r>
          </w:p>
        </w:tc>
        <w:tc>
          <w:tcPr>
            <w:tcW w:w="809" w:type="pct"/>
            <w:vAlign w:val="center"/>
          </w:tcPr>
          <w:p w14:paraId="3B42E18E"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1.500</w:t>
            </w:r>
          </w:p>
        </w:tc>
      </w:tr>
      <w:tr w:rsidR="0096738F" w:rsidRPr="0096738F" w14:paraId="5B77574E" w14:textId="77777777" w:rsidTr="00DF2196">
        <w:trPr>
          <w:jc w:val="center"/>
        </w:trPr>
        <w:tc>
          <w:tcPr>
            <w:tcW w:w="4191" w:type="pct"/>
            <w:vAlign w:val="center"/>
          </w:tcPr>
          <w:p w14:paraId="4F8FBBAE"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dos passivos</w:t>
            </w:r>
          </w:p>
        </w:tc>
        <w:tc>
          <w:tcPr>
            <w:tcW w:w="809" w:type="pct"/>
            <w:vAlign w:val="center"/>
          </w:tcPr>
          <w:p w14:paraId="581FEA96"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2.400</w:t>
            </w:r>
          </w:p>
        </w:tc>
      </w:tr>
      <w:tr w:rsidR="0096738F" w:rsidRPr="0096738F" w14:paraId="29E365E6" w14:textId="77777777" w:rsidTr="00DF2196">
        <w:trPr>
          <w:jc w:val="center"/>
        </w:trPr>
        <w:tc>
          <w:tcPr>
            <w:tcW w:w="4191" w:type="pct"/>
            <w:vAlign w:val="center"/>
          </w:tcPr>
          <w:p w14:paraId="0C5D2ADF" w14:textId="77777777" w:rsidR="0096738F" w:rsidRPr="0096738F" w:rsidRDefault="0096738F" w:rsidP="0096738F">
            <w:pPr>
              <w:keepNext/>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Patrimônio líquido:</w:t>
            </w:r>
          </w:p>
        </w:tc>
        <w:tc>
          <w:tcPr>
            <w:tcW w:w="809" w:type="pct"/>
            <w:vAlign w:val="center"/>
          </w:tcPr>
          <w:p w14:paraId="6D427730"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551CB272" w14:textId="77777777" w:rsidTr="00DF2196">
        <w:trPr>
          <w:jc w:val="center"/>
        </w:trPr>
        <w:tc>
          <w:tcPr>
            <w:tcW w:w="4191" w:type="pct"/>
            <w:vAlign w:val="center"/>
          </w:tcPr>
          <w:p w14:paraId="13C8ECF8"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Reservas</w:t>
            </w:r>
          </w:p>
        </w:tc>
        <w:tc>
          <w:tcPr>
            <w:tcW w:w="809" w:type="pct"/>
            <w:vAlign w:val="center"/>
          </w:tcPr>
          <w:p w14:paraId="1E37935A"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1.400</w:t>
            </w:r>
          </w:p>
        </w:tc>
      </w:tr>
      <w:tr w:rsidR="0096738F" w:rsidRPr="0096738F" w14:paraId="2F9C9945" w14:textId="77777777" w:rsidTr="00DF2196">
        <w:trPr>
          <w:jc w:val="center"/>
        </w:trPr>
        <w:tc>
          <w:tcPr>
            <w:tcW w:w="4191" w:type="pct"/>
            <w:vAlign w:val="center"/>
          </w:tcPr>
          <w:p w14:paraId="48F69595"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Capital emitido: 250 ações ordinárias [$ 600 + $ 1.600]</w:t>
            </w:r>
          </w:p>
        </w:tc>
        <w:tc>
          <w:tcPr>
            <w:tcW w:w="809" w:type="pct"/>
            <w:vAlign w:val="center"/>
          </w:tcPr>
          <w:p w14:paraId="36D54A9F"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2.200</w:t>
            </w:r>
          </w:p>
        </w:tc>
      </w:tr>
      <w:tr w:rsidR="0096738F" w:rsidRPr="0096738F" w14:paraId="51CEC3C4" w14:textId="77777777" w:rsidTr="00DF2196">
        <w:trPr>
          <w:jc w:val="center"/>
        </w:trPr>
        <w:tc>
          <w:tcPr>
            <w:tcW w:w="4191" w:type="pct"/>
            <w:vAlign w:val="center"/>
          </w:tcPr>
          <w:p w14:paraId="25B0A7F0"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 xml:space="preserve">Total do patrimônio líquido </w:t>
            </w:r>
          </w:p>
        </w:tc>
        <w:tc>
          <w:tcPr>
            <w:tcW w:w="809" w:type="pct"/>
            <w:vAlign w:val="center"/>
          </w:tcPr>
          <w:p w14:paraId="05275AB0"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3.600</w:t>
            </w:r>
          </w:p>
        </w:tc>
      </w:tr>
      <w:tr w:rsidR="0096738F" w:rsidRPr="0096738F" w14:paraId="5F410235" w14:textId="77777777" w:rsidTr="00DF2196">
        <w:trPr>
          <w:jc w:val="center"/>
        </w:trPr>
        <w:tc>
          <w:tcPr>
            <w:tcW w:w="4191" w:type="pct"/>
            <w:vAlign w:val="center"/>
          </w:tcPr>
          <w:p w14:paraId="04390807"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 passivo e patrimônio líquido</w:t>
            </w:r>
          </w:p>
        </w:tc>
        <w:tc>
          <w:tcPr>
            <w:tcW w:w="809" w:type="pct"/>
            <w:vAlign w:val="center"/>
          </w:tcPr>
          <w:p w14:paraId="1AF5B582"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6.000</w:t>
            </w:r>
          </w:p>
        </w:tc>
      </w:tr>
    </w:tbl>
    <w:p w14:paraId="5BFE9E1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204D03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C8.</w:t>
      </w:r>
      <w:r w:rsidRPr="0096738F">
        <w:rPr>
          <w:rFonts w:ascii="Arial" w:eastAsia="Times New Roman" w:hAnsi="Arial" w:cs="Arial"/>
          <w:sz w:val="22"/>
          <w:szCs w:val="22"/>
          <w:lang w:eastAsia="pt-BR"/>
        </w:rPr>
        <w:tab/>
        <w:t>O valor reconhecido como capital realizado (ações emitidas) nas demonstrações contábeis consolidadas ($ 2.200) é determinado pela soma do capital realizado (ações emitidas) da controlada legal imediatamente antes da combinação de negócios ($ 600) e o valor justo da contraprestação efetivamente transferida ($ 1.600). Contudo, a estrutura de capital apresentada nas demonstrações contábeis consolidadas (isto é, o número e o tipo de ações emitidas) deve refletir a estrutura de capital da controladora legal, incluindo as ações por ela emitidas para efetivar a combinação.</w:t>
      </w:r>
    </w:p>
    <w:p w14:paraId="1DB3EC3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1A7938C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Lucro por ação</w:t>
      </w:r>
    </w:p>
    <w:p w14:paraId="37849C8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57616F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C9.</w:t>
      </w:r>
      <w:r w:rsidRPr="0096738F">
        <w:rPr>
          <w:rFonts w:ascii="Arial" w:eastAsia="Times New Roman" w:hAnsi="Arial" w:cs="Arial"/>
          <w:sz w:val="22"/>
          <w:szCs w:val="22"/>
          <w:lang w:eastAsia="pt-BR"/>
        </w:rPr>
        <w:tab/>
        <w:t>Assuma-se que os lucros da entidade B para o período anual encerrado em 31/12/20X5 foram de $ 600 e que os lucros consolidados para o período anual encerrado em 31/12/20X6 foram de $ 800. Assuma-se também que não houve mudança no número de ações ordinárias emitidas pela entidade B durante o período anual encerrado em 31/12/20X5 e desta data até a data da aquisição reversa em 30/09/20X6. O lucro por ação para o período anual encerrado em 31/12/20X6 é calculado então como segue:</w:t>
      </w:r>
    </w:p>
    <w:p w14:paraId="4E5C3B2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8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1"/>
        <w:gridCol w:w="934"/>
      </w:tblGrid>
      <w:tr w:rsidR="0096738F" w:rsidRPr="0096738F" w14:paraId="517EC212" w14:textId="77777777" w:rsidTr="00DF2196">
        <w:trPr>
          <w:jc w:val="center"/>
        </w:trPr>
        <w:tc>
          <w:tcPr>
            <w:tcW w:w="4534" w:type="pct"/>
            <w:vAlign w:val="center"/>
          </w:tcPr>
          <w:p w14:paraId="43571CC4"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lastRenderedPageBreak/>
              <w:t>Número de ações considerado como em circulação para o período entre 01/01/20X6 até a data da aquisição (isto é, o número de ações ordinárias emitidas pela entidade A – controladora legal e adquirida contábil – na aquisição reversa)</w:t>
            </w:r>
          </w:p>
        </w:tc>
        <w:tc>
          <w:tcPr>
            <w:tcW w:w="466" w:type="pct"/>
            <w:vAlign w:val="center"/>
          </w:tcPr>
          <w:p w14:paraId="7FF768DC"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150</w:t>
            </w:r>
          </w:p>
        </w:tc>
      </w:tr>
      <w:tr w:rsidR="0096738F" w:rsidRPr="0096738F" w14:paraId="12268B64" w14:textId="77777777" w:rsidTr="00DF2196">
        <w:trPr>
          <w:trHeight w:val="66"/>
          <w:jc w:val="center"/>
        </w:trPr>
        <w:tc>
          <w:tcPr>
            <w:tcW w:w="4534" w:type="pct"/>
            <w:vAlign w:val="center"/>
          </w:tcPr>
          <w:p w14:paraId="06E81A0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Número de ações em circulação da data de aquisição até 31/12/20X6</w:t>
            </w:r>
          </w:p>
        </w:tc>
        <w:tc>
          <w:tcPr>
            <w:tcW w:w="466" w:type="pct"/>
            <w:vAlign w:val="center"/>
          </w:tcPr>
          <w:p w14:paraId="113AA708"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250</w:t>
            </w:r>
          </w:p>
        </w:tc>
      </w:tr>
      <w:tr w:rsidR="0096738F" w:rsidRPr="0096738F" w14:paraId="366F925E" w14:textId="77777777" w:rsidTr="00DF2196">
        <w:trPr>
          <w:jc w:val="center"/>
        </w:trPr>
        <w:tc>
          <w:tcPr>
            <w:tcW w:w="4534" w:type="pct"/>
            <w:vAlign w:val="center"/>
          </w:tcPr>
          <w:p w14:paraId="6BBE389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Número médio ponderado de ações ordinárias em circulação [(150 × 9/12) + (250 × 3/12)]</w:t>
            </w:r>
          </w:p>
        </w:tc>
        <w:tc>
          <w:tcPr>
            <w:tcW w:w="466" w:type="pct"/>
            <w:vAlign w:val="center"/>
          </w:tcPr>
          <w:p w14:paraId="7B8EF590"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175</w:t>
            </w:r>
          </w:p>
        </w:tc>
      </w:tr>
      <w:tr w:rsidR="0096738F" w:rsidRPr="0096738F" w14:paraId="62B7888D" w14:textId="77777777" w:rsidTr="00DF2196">
        <w:trPr>
          <w:jc w:val="center"/>
        </w:trPr>
        <w:tc>
          <w:tcPr>
            <w:tcW w:w="4534" w:type="pct"/>
            <w:vAlign w:val="center"/>
          </w:tcPr>
          <w:p w14:paraId="714F0021" w14:textId="77777777" w:rsidR="0096738F" w:rsidRPr="0096738F" w:rsidRDefault="0096738F" w:rsidP="0096738F">
            <w:pPr>
              <w:spacing w:before="0" w:after="0" w:line="240" w:lineRule="auto"/>
              <w:ind w:firstLine="0"/>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 xml:space="preserve">Lucro por ação [800/175] </w:t>
            </w:r>
          </w:p>
        </w:tc>
        <w:tc>
          <w:tcPr>
            <w:tcW w:w="466" w:type="pct"/>
            <w:vAlign w:val="center"/>
          </w:tcPr>
          <w:p w14:paraId="7EC4E5F9"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$ 4,57</w:t>
            </w:r>
          </w:p>
        </w:tc>
      </w:tr>
    </w:tbl>
    <w:p w14:paraId="35FE763F"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7E0B0D6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C10.</w:t>
      </w:r>
      <w:r w:rsidRPr="0096738F">
        <w:rPr>
          <w:rFonts w:ascii="Arial" w:eastAsia="Times New Roman" w:hAnsi="Arial" w:cs="Arial"/>
          <w:sz w:val="22"/>
          <w:szCs w:val="22"/>
          <w:lang w:eastAsia="pt-BR"/>
        </w:rPr>
        <w:tab/>
        <w:t>O lucro por ação restabelecido para o período anual encerrado em 31/12/20X5 é de $ 4,00 (calculado pela divisão entre o lucro da entidade B, de $ 600, pelo número de ações ordinárias emitidas pela entidade A na aquisição reversa, 150 ações).</w:t>
      </w:r>
    </w:p>
    <w:p w14:paraId="090D08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5409DEE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Participação dos não controladores</w:t>
      </w:r>
    </w:p>
    <w:p w14:paraId="19B8DD1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406BCC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C11.</w:t>
      </w:r>
      <w:r w:rsidRPr="0096738F">
        <w:rPr>
          <w:rFonts w:ascii="Arial" w:eastAsia="Times New Roman" w:hAnsi="Arial" w:cs="Arial"/>
          <w:sz w:val="22"/>
          <w:szCs w:val="22"/>
          <w:lang w:eastAsia="pt-BR"/>
        </w:rPr>
        <w:tab/>
        <w:t>Assuma-se que os mesmos fatos acima, exceto que somente 56 das 60 ações ordinárias da entidade B é que foram trocadas. Em razão de a entidade A ter emitido 2,5 ações em troca de cada ação ordinária da entidade B, a entidade A emite somente 140 (e não 150) ações. Como resultado, os acionistas da entidade B possuem 58,3% das ações emitidas da entidade combinada (140 de 240 ações). O valor justo da contraprestação transferida em troca do controle da entidade A, a adquirida contábil, é calculado assumindo-se que a combinação fosse efetivada pela entidade B, a qual teria emitindo ações ordinárias adicionais para trocar por ações ordinárias da entidade A com seus respectivos acionistas. Isso porque a entidade B é a adquirente contábil e o item B20 do Pronunciamento Técnico CPC 15 - Combinação de Negócios exige que o adquirente mensure a contraprestação dada em troca do controle da adquirida contábil.</w:t>
      </w:r>
    </w:p>
    <w:p w14:paraId="71842C8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6AE016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C12.</w:t>
      </w:r>
      <w:r w:rsidRPr="0096738F">
        <w:rPr>
          <w:rFonts w:ascii="Arial" w:eastAsia="Times New Roman" w:hAnsi="Arial" w:cs="Arial"/>
          <w:sz w:val="22"/>
          <w:szCs w:val="22"/>
          <w:lang w:eastAsia="pt-BR"/>
        </w:rPr>
        <w:tab/>
        <w:t>No cálculo do número de ações que a entidade B deveria ter emitido, exclui-se a participação dos não controladores. Os acionistas majoritários possuem 56 ações da entidade B. Para que isso represente 58,3% de participação no capital, a entidade B teria de ter emitido adicionalmente 40 ações. Os acionistas majoritários teriam então 56 de um total de 96 ações da entidade B e, portanto, 58,3% da entidade combinada. Como resultado, o valor justo da contraprestação transferida em troca do controle da entidade A, a adquirida contábil, é de $ 1.600 (isto é, 40 ações, cada uma ao valor justo unitário de $ 40). Note-se que esse montante é idêntico ao calculado quando todas as 60 ações ordinárias da entidade B são trocadas. O valor reconhecido para a participação do grupo na entidade A, a adquirida contábil, não muda quando alguns acionistas da entidade B não participarem da troca de ações.</w:t>
      </w:r>
    </w:p>
    <w:p w14:paraId="0C78A0B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ABA4D4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C13.</w:t>
      </w:r>
      <w:r w:rsidRPr="0096738F">
        <w:rPr>
          <w:rFonts w:ascii="Arial" w:eastAsia="Times New Roman" w:hAnsi="Arial" w:cs="Arial"/>
          <w:sz w:val="22"/>
          <w:szCs w:val="22"/>
          <w:lang w:eastAsia="pt-BR"/>
        </w:rPr>
        <w:tab/>
        <w:t>A participação dos não controladores é representada pelas 4 (quatro) das 60 ações da entidade B que não foram trocadas por ações da entidade A. Portanto, a participação dos não controladores é de 6,7% (4/60) e ela reflete a participação proporcional dos acionistas não controladores no valor contábil pré-combinação dos ativos líquidos da entidade B, a controlada legal. Portanto, o balanço patrimonial consolidado deve ser ajustado para mostrar a participação dos não controladores de 6,7% do valor contábil pré-combinação dos ativos líquidos da entidade B (ou seja, $ 134 ou 6,7% de $ 2.000).</w:t>
      </w:r>
    </w:p>
    <w:p w14:paraId="283414A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10945C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C14.</w:t>
      </w:r>
      <w:r w:rsidRPr="0096738F">
        <w:rPr>
          <w:rFonts w:ascii="Arial" w:eastAsia="Times New Roman" w:hAnsi="Arial" w:cs="Arial"/>
          <w:sz w:val="22"/>
          <w:szCs w:val="22"/>
          <w:lang w:eastAsia="pt-BR"/>
        </w:rPr>
        <w:tab/>
        <w:t>O balanço patrimonial consolidado em 30/09/20X6, refletindo a participação dos não controladores, é apresentado a seguir:</w:t>
      </w:r>
    </w:p>
    <w:p w14:paraId="0BC6A77B"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5F13D88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tbl>
      <w:tblPr>
        <w:tblW w:w="3557" w:type="pct"/>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6"/>
        <w:gridCol w:w="1517"/>
      </w:tblGrid>
      <w:tr w:rsidR="0096738F" w:rsidRPr="0096738F" w14:paraId="23F2E439" w14:textId="77777777" w:rsidTr="00DF2196">
        <w:tc>
          <w:tcPr>
            <w:tcW w:w="3977" w:type="pct"/>
          </w:tcPr>
          <w:p w14:paraId="17675BE9"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1023" w:type="pct"/>
          </w:tcPr>
          <w:p w14:paraId="733DC671"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r>
      <w:tr w:rsidR="0096738F" w:rsidRPr="0096738F" w14:paraId="621278BA" w14:textId="77777777" w:rsidTr="00DF2196">
        <w:tc>
          <w:tcPr>
            <w:tcW w:w="3977" w:type="pct"/>
            <w:vAlign w:val="center"/>
          </w:tcPr>
          <w:p w14:paraId="382A2C42"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Ativos circulantes [$ 700 + $ 500] </w:t>
            </w:r>
          </w:p>
        </w:tc>
        <w:tc>
          <w:tcPr>
            <w:tcW w:w="1023" w:type="pct"/>
            <w:vAlign w:val="center"/>
          </w:tcPr>
          <w:p w14:paraId="44F0B9BE"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1.200</w:t>
            </w:r>
          </w:p>
        </w:tc>
      </w:tr>
      <w:tr w:rsidR="0096738F" w:rsidRPr="0096738F" w14:paraId="779E4208" w14:textId="77777777" w:rsidTr="00DF2196">
        <w:trPr>
          <w:trHeight w:val="66"/>
        </w:trPr>
        <w:tc>
          <w:tcPr>
            <w:tcW w:w="3977" w:type="pct"/>
            <w:vAlign w:val="center"/>
          </w:tcPr>
          <w:p w14:paraId="79AE5514"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Ativos não circulantes [$ 3.000 + $ 1.500] </w:t>
            </w:r>
          </w:p>
        </w:tc>
        <w:tc>
          <w:tcPr>
            <w:tcW w:w="1023" w:type="pct"/>
            <w:vAlign w:val="center"/>
          </w:tcPr>
          <w:p w14:paraId="3002D47B"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4.500</w:t>
            </w:r>
          </w:p>
        </w:tc>
      </w:tr>
      <w:tr w:rsidR="0096738F" w:rsidRPr="0096738F" w14:paraId="64C94D92" w14:textId="77777777" w:rsidTr="00DF2196">
        <w:tc>
          <w:tcPr>
            <w:tcW w:w="3977" w:type="pct"/>
            <w:vAlign w:val="center"/>
          </w:tcPr>
          <w:p w14:paraId="0D58147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Ágio por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w:t>
            </w:r>
          </w:p>
        </w:tc>
        <w:tc>
          <w:tcPr>
            <w:tcW w:w="1023" w:type="pct"/>
            <w:vAlign w:val="center"/>
          </w:tcPr>
          <w:p w14:paraId="0715A78C"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300</w:t>
            </w:r>
          </w:p>
        </w:tc>
      </w:tr>
      <w:tr w:rsidR="0096738F" w:rsidRPr="0096738F" w14:paraId="3FFBFA72" w14:textId="77777777" w:rsidTr="00DF2196">
        <w:tc>
          <w:tcPr>
            <w:tcW w:w="3977" w:type="pct"/>
            <w:vAlign w:val="center"/>
          </w:tcPr>
          <w:p w14:paraId="19B1BE39"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 ativo</w:t>
            </w:r>
          </w:p>
        </w:tc>
        <w:tc>
          <w:tcPr>
            <w:tcW w:w="1023" w:type="pct"/>
            <w:vAlign w:val="center"/>
          </w:tcPr>
          <w:p w14:paraId="52DB3E90"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6.000</w:t>
            </w:r>
          </w:p>
        </w:tc>
      </w:tr>
      <w:tr w:rsidR="0096738F" w:rsidRPr="0096738F" w14:paraId="1206C966" w14:textId="77777777" w:rsidTr="00DF2196">
        <w:tc>
          <w:tcPr>
            <w:tcW w:w="3977" w:type="pct"/>
            <w:vAlign w:val="center"/>
          </w:tcPr>
          <w:p w14:paraId="40C3C2F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circulantes [$ 600 + $ 300]</w:t>
            </w:r>
          </w:p>
        </w:tc>
        <w:tc>
          <w:tcPr>
            <w:tcW w:w="1023" w:type="pct"/>
            <w:vAlign w:val="center"/>
          </w:tcPr>
          <w:p w14:paraId="311BC950"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900</w:t>
            </w:r>
          </w:p>
        </w:tc>
      </w:tr>
      <w:tr w:rsidR="0096738F" w:rsidRPr="0096738F" w14:paraId="70DF9D07" w14:textId="77777777" w:rsidTr="00DF2196">
        <w:tc>
          <w:tcPr>
            <w:tcW w:w="3977" w:type="pct"/>
            <w:vAlign w:val="center"/>
          </w:tcPr>
          <w:p w14:paraId="2968FE89"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Passivos não circulantes [$ 1.100 + $ 400] </w:t>
            </w:r>
          </w:p>
        </w:tc>
        <w:tc>
          <w:tcPr>
            <w:tcW w:w="1023" w:type="pct"/>
            <w:vAlign w:val="center"/>
          </w:tcPr>
          <w:p w14:paraId="3BF99540"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1.500</w:t>
            </w:r>
          </w:p>
        </w:tc>
      </w:tr>
      <w:tr w:rsidR="0096738F" w:rsidRPr="0096738F" w14:paraId="1327CBA8" w14:textId="77777777" w:rsidTr="00DF2196">
        <w:tc>
          <w:tcPr>
            <w:tcW w:w="3977" w:type="pct"/>
            <w:vAlign w:val="center"/>
          </w:tcPr>
          <w:p w14:paraId="4D97FB25"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 xml:space="preserve">Total do passivo </w:t>
            </w:r>
          </w:p>
        </w:tc>
        <w:tc>
          <w:tcPr>
            <w:tcW w:w="1023" w:type="pct"/>
            <w:vAlign w:val="center"/>
          </w:tcPr>
          <w:p w14:paraId="5A8A9FF8"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2.400</w:t>
            </w:r>
          </w:p>
        </w:tc>
      </w:tr>
      <w:tr w:rsidR="0096738F" w:rsidRPr="0096738F" w14:paraId="4423930B" w14:textId="77777777" w:rsidTr="00DF2196">
        <w:tc>
          <w:tcPr>
            <w:tcW w:w="3977" w:type="pct"/>
            <w:vAlign w:val="center"/>
          </w:tcPr>
          <w:p w14:paraId="78BCA85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Patrimônio líquido</w:t>
            </w:r>
          </w:p>
        </w:tc>
        <w:tc>
          <w:tcPr>
            <w:tcW w:w="1023" w:type="pct"/>
            <w:vAlign w:val="center"/>
          </w:tcPr>
          <w:p w14:paraId="789340A3"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p>
        </w:tc>
      </w:tr>
      <w:tr w:rsidR="0096738F" w:rsidRPr="0096738F" w14:paraId="62E45934" w14:textId="77777777" w:rsidTr="00DF2196">
        <w:tc>
          <w:tcPr>
            <w:tcW w:w="3977" w:type="pct"/>
            <w:vAlign w:val="center"/>
          </w:tcPr>
          <w:p w14:paraId="23CCE125"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Lucros retidos [$ 1.400 x 93.3%] </w:t>
            </w:r>
          </w:p>
        </w:tc>
        <w:tc>
          <w:tcPr>
            <w:tcW w:w="1023" w:type="pct"/>
            <w:vAlign w:val="center"/>
          </w:tcPr>
          <w:p w14:paraId="05E5FB3F" w14:textId="77777777" w:rsidR="0096738F" w:rsidRPr="0096738F" w:rsidRDefault="0096738F" w:rsidP="0096738F">
            <w:pPr>
              <w:spacing w:before="0" w:after="0" w:line="240" w:lineRule="auto"/>
              <w:ind w:firstLine="0"/>
              <w:jc w:val="right"/>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1.306</w:t>
            </w:r>
          </w:p>
        </w:tc>
      </w:tr>
      <w:tr w:rsidR="0096738F" w:rsidRPr="0096738F" w14:paraId="38AAF44F" w14:textId="77777777" w:rsidTr="00DF2196">
        <w:tc>
          <w:tcPr>
            <w:tcW w:w="3977" w:type="pct"/>
            <w:vAlign w:val="center"/>
          </w:tcPr>
          <w:p w14:paraId="6D3F1E5E"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Capital emitido: 240 ações ordinárias [$ 600 x 93,3% + $ 1.600]</w:t>
            </w:r>
          </w:p>
        </w:tc>
        <w:tc>
          <w:tcPr>
            <w:tcW w:w="1023" w:type="pct"/>
            <w:vAlign w:val="center"/>
          </w:tcPr>
          <w:p w14:paraId="297CED5E"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2.160</w:t>
            </w:r>
          </w:p>
        </w:tc>
      </w:tr>
      <w:tr w:rsidR="0096738F" w:rsidRPr="0096738F" w14:paraId="46CA9894" w14:textId="77777777" w:rsidTr="00DF2196">
        <w:tc>
          <w:tcPr>
            <w:tcW w:w="3977" w:type="pct"/>
            <w:vAlign w:val="center"/>
          </w:tcPr>
          <w:p w14:paraId="116B4747"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Participação dos não controladores [$ 1.400 x 6,7% + $ 600 x 6,7%]</w:t>
            </w:r>
          </w:p>
        </w:tc>
        <w:tc>
          <w:tcPr>
            <w:tcW w:w="1023" w:type="pct"/>
            <w:vAlign w:val="center"/>
          </w:tcPr>
          <w:p w14:paraId="5B9A3AB2" w14:textId="77777777" w:rsidR="0096738F" w:rsidRPr="0096738F" w:rsidRDefault="0096738F" w:rsidP="0096738F">
            <w:pPr>
              <w:spacing w:before="0" w:after="0" w:line="240" w:lineRule="auto"/>
              <w:ind w:firstLine="0"/>
              <w:jc w:val="right"/>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134</w:t>
            </w:r>
          </w:p>
        </w:tc>
      </w:tr>
      <w:tr w:rsidR="0096738F" w:rsidRPr="0096738F" w14:paraId="40E64E53" w14:textId="77777777" w:rsidTr="00DF2196">
        <w:tc>
          <w:tcPr>
            <w:tcW w:w="3977" w:type="pct"/>
            <w:vAlign w:val="center"/>
          </w:tcPr>
          <w:p w14:paraId="654C3E67" w14:textId="77777777" w:rsidR="0096738F" w:rsidRPr="0096738F" w:rsidRDefault="0096738F" w:rsidP="0096738F">
            <w:pPr>
              <w:spacing w:before="0" w:after="0" w:line="240" w:lineRule="auto"/>
              <w:ind w:firstLine="0"/>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 xml:space="preserve">Total do patrimônio líquido </w:t>
            </w:r>
          </w:p>
        </w:tc>
        <w:tc>
          <w:tcPr>
            <w:tcW w:w="1023" w:type="pct"/>
            <w:vAlign w:val="center"/>
          </w:tcPr>
          <w:p w14:paraId="3902F10D"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3.600</w:t>
            </w:r>
          </w:p>
        </w:tc>
      </w:tr>
      <w:tr w:rsidR="0096738F" w:rsidRPr="0096738F" w14:paraId="339E7D00" w14:textId="77777777" w:rsidTr="00DF2196">
        <w:tc>
          <w:tcPr>
            <w:tcW w:w="3977" w:type="pct"/>
            <w:vAlign w:val="center"/>
          </w:tcPr>
          <w:p w14:paraId="5E578E62"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do passivo e do patrimônio líquido</w:t>
            </w:r>
          </w:p>
        </w:tc>
        <w:tc>
          <w:tcPr>
            <w:tcW w:w="1023" w:type="pct"/>
            <w:vAlign w:val="center"/>
          </w:tcPr>
          <w:p w14:paraId="5FFE2356" w14:textId="77777777" w:rsidR="0096738F" w:rsidRPr="0096738F" w:rsidRDefault="0096738F" w:rsidP="0096738F">
            <w:pPr>
              <w:spacing w:before="0" w:after="0" w:line="240" w:lineRule="auto"/>
              <w:ind w:firstLine="0"/>
              <w:jc w:val="right"/>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6.000</w:t>
            </w:r>
          </w:p>
        </w:tc>
      </w:tr>
    </w:tbl>
    <w:p w14:paraId="622E2BE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0576B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C15.</w:t>
      </w:r>
      <w:r w:rsidRPr="0096738F">
        <w:rPr>
          <w:rFonts w:ascii="Arial" w:eastAsia="Times New Roman" w:hAnsi="Arial" w:cs="Arial"/>
          <w:sz w:val="22"/>
          <w:szCs w:val="22"/>
          <w:lang w:eastAsia="pt-BR"/>
        </w:rPr>
        <w:tab/>
        <w:t>A participação dos não controladores no valor de $ 134 tem dois componentes. O primeiro componente é a reclassificação da parte dos não controladores nos lucros retidos da adquirente contábil imediatamente antes da aquisição ($ 1.400 x 6,7% ou $ 93,80). O segundo componente representa a reclassificação da parte dos não controladores no capital da adquirente contábil antes da combinação ($ 600 x 6,7% ou $ 40,20).</w:t>
      </w:r>
    </w:p>
    <w:p w14:paraId="54BE302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F49A3C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identificáveis</w:t>
      </w:r>
    </w:p>
    <w:p w14:paraId="671BF24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362BC0A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10 a 14 e B31 a B40 do Pronunciamento Técnico CPC 15 - Combinação de Negócios</w:t>
      </w:r>
    </w:p>
    <w:p w14:paraId="478B8FF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01F4F9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C16.</w:t>
      </w:r>
      <w:r w:rsidRPr="0096738F">
        <w:rPr>
          <w:rFonts w:ascii="Arial" w:eastAsia="Times New Roman" w:hAnsi="Arial" w:cs="Arial"/>
          <w:sz w:val="22"/>
          <w:szCs w:val="22"/>
          <w:lang w:eastAsia="pt-BR"/>
        </w:rPr>
        <w:tab/>
        <w:t>O que se segue são exemplos de ativos intangíveis identificáveis adquiridos em uma combinação de negócios. Alguns dos exemplos podem ter características de outros ativos que não ativos intangíveis, os quais o adquirente deve contabilizar de acordo com suas respectivas essências. Não se pretendeu incluir todos os possíveis exemplos.</w:t>
      </w:r>
    </w:p>
    <w:p w14:paraId="5C3C878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927362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C17.</w:t>
      </w:r>
      <w:r w:rsidRPr="0096738F">
        <w:rPr>
          <w:rFonts w:ascii="Arial" w:eastAsia="Times New Roman" w:hAnsi="Arial" w:cs="Arial"/>
          <w:sz w:val="22"/>
          <w:szCs w:val="22"/>
          <w:lang w:eastAsia="pt-BR"/>
        </w:rPr>
        <w:tab/>
        <w:t>Ativos intangíveis identificados em bases contratuais são aqueles que surgem de direitos contratuais ou outros direitos legais. Aqueles designados como tendo uma base não contratual, não surgem de direitos contratuais ou outros direitos legais, contudo, são separáveis. Os ativos intangíveis identificáveis como tendo uma base contratual também podem ser separados, porém a separabilidade não é uma condição necessária para que um ativo atenda ao critério contratual-legal.</w:t>
      </w:r>
    </w:p>
    <w:p w14:paraId="1056662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D994E5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relativos ao marketing</w:t>
      </w:r>
    </w:p>
    <w:p w14:paraId="5D5F429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2A8A4C4F" w14:textId="66AB6C52" w:rsid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C18.</w:t>
      </w:r>
      <w:r w:rsidRPr="0096738F">
        <w:rPr>
          <w:rFonts w:ascii="Arial" w:eastAsia="Times New Roman" w:hAnsi="Arial" w:cs="Arial"/>
          <w:sz w:val="22"/>
          <w:szCs w:val="22"/>
          <w:lang w:eastAsia="pt-BR"/>
        </w:rPr>
        <w:tab/>
        <w:t>Ativos intangíveis relacionados ao marketing são usados principalmente no marketing ou promoção dos produtos e serviços. São exemplos de ativos intangíveis relativos ao marketing:</w:t>
      </w:r>
    </w:p>
    <w:p w14:paraId="5967864A" w14:textId="7397B26D" w:rsidR="00DD5953" w:rsidRDefault="00DD5953"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DA4EEDE" w14:textId="77777777" w:rsidR="00DD5953" w:rsidRPr="0096738F" w:rsidRDefault="00DD5953"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69E480C"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37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1"/>
        <w:gridCol w:w="1687"/>
      </w:tblGrid>
      <w:tr w:rsidR="0096738F" w:rsidRPr="0096738F" w14:paraId="3AEBBE21" w14:textId="77777777" w:rsidTr="00DF2196">
        <w:trPr>
          <w:jc w:val="center"/>
        </w:trPr>
        <w:tc>
          <w:tcPr>
            <w:tcW w:w="4075" w:type="pct"/>
          </w:tcPr>
          <w:p w14:paraId="513EA390"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lastRenderedPageBreak/>
              <w:t>Classe</w:t>
            </w:r>
          </w:p>
        </w:tc>
        <w:tc>
          <w:tcPr>
            <w:tcW w:w="925" w:type="pct"/>
          </w:tcPr>
          <w:p w14:paraId="6B15B5C9"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Base</w:t>
            </w:r>
          </w:p>
        </w:tc>
      </w:tr>
      <w:tr w:rsidR="0096738F" w:rsidRPr="0096738F" w14:paraId="624D9874" w14:textId="77777777" w:rsidTr="00DF2196">
        <w:trPr>
          <w:jc w:val="center"/>
        </w:trPr>
        <w:tc>
          <w:tcPr>
            <w:tcW w:w="4075" w:type="pct"/>
            <w:vAlign w:val="center"/>
          </w:tcPr>
          <w:p w14:paraId="00E9D73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Marcas e nomes comerciais (incluindo de serviço e coletivas) e certificação de marcas</w:t>
            </w:r>
          </w:p>
        </w:tc>
        <w:tc>
          <w:tcPr>
            <w:tcW w:w="925" w:type="pct"/>
            <w:vAlign w:val="center"/>
          </w:tcPr>
          <w:p w14:paraId="25F27A6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Contratual</w:t>
            </w:r>
          </w:p>
        </w:tc>
      </w:tr>
      <w:tr w:rsidR="0096738F" w:rsidRPr="0096738F" w14:paraId="59FCC5D0" w14:textId="77777777" w:rsidTr="00DF2196">
        <w:trPr>
          <w:jc w:val="center"/>
        </w:trPr>
        <w:tc>
          <w:tcPr>
            <w:tcW w:w="4075" w:type="pct"/>
            <w:vAlign w:val="center"/>
          </w:tcPr>
          <w:p w14:paraId="55DE8ED7"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Traje comercial (cor, forma ou projeto de embalagem exclusiva)</w:t>
            </w:r>
          </w:p>
        </w:tc>
        <w:tc>
          <w:tcPr>
            <w:tcW w:w="925" w:type="pct"/>
            <w:vAlign w:val="center"/>
          </w:tcPr>
          <w:p w14:paraId="561AB77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Contratual</w:t>
            </w:r>
          </w:p>
        </w:tc>
      </w:tr>
      <w:tr w:rsidR="0096738F" w:rsidRPr="0096738F" w14:paraId="28F7EEA7" w14:textId="77777777" w:rsidTr="00DF2196">
        <w:trPr>
          <w:jc w:val="center"/>
        </w:trPr>
        <w:tc>
          <w:tcPr>
            <w:tcW w:w="4075" w:type="pct"/>
            <w:vAlign w:val="center"/>
          </w:tcPr>
          <w:p w14:paraId="513DB34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Títulos de jornal</w:t>
            </w:r>
          </w:p>
        </w:tc>
        <w:tc>
          <w:tcPr>
            <w:tcW w:w="925" w:type="pct"/>
            <w:vAlign w:val="center"/>
          </w:tcPr>
          <w:p w14:paraId="47126D4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Contratual</w:t>
            </w:r>
          </w:p>
        </w:tc>
      </w:tr>
      <w:tr w:rsidR="0096738F" w:rsidRPr="0096738F" w14:paraId="10A07558" w14:textId="77777777" w:rsidTr="00DF2196">
        <w:trPr>
          <w:jc w:val="center"/>
        </w:trPr>
        <w:tc>
          <w:tcPr>
            <w:tcW w:w="4075" w:type="pct"/>
            <w:vAlign w:val="center"/>
          </w:tcPr>
          <w:p w14:paraId="4A8B41A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Nomes de domínio na internet</w:t>
            </w:r>
          </w:p>
        </w:tc>
        <w:tc>
          <w:tcPr>
            <w:tcW w:w="925" w:type="pct"/>
            <w:vAlign w:val="center"/>
          </w:tcPr>
          <w:p w14:paraId="5B636ED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Contratual</w:t>
            </w:r>
          </w:p>
        </w:tc>
      </w:tr>
      <w:tr w:rsidR="0096738F" w:rsidRPr="0096738F" w14:paraId="6331DB70" w14:textId="77777777" w:rsidTr="00DF2196">
        <w:trPr>
          <w:jc w:val="center"/>
        </w:trPr>
        <w:tc>
          <w:tcPr>
            <w:tcW w:w="4075" w:type="pct"/>
            <w:vAlign w:val="center"/>
          </w:tcPr>
          <w:p w14:paraId="76C263C4"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Acordos de não competição</w:t>
            </w:r>
          </w:p>
        </w:tc>
        <w:tc>
          <w:tcPr>
            <w:tcW w:w="925" w:type="pct"/>
            <w:vAlign w:val="center"/>
          </w:tcPr>
          <w:p w14:paraId="1A7A5C4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Contratual</w:t>
            </w:r>
          </w:p>
        </w:tc>
      </w:tr>
    </w:tbl>
    <w:p w14:paraId="0ABC4FE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75510556"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Marcas e nomes comerciais (incluindo de serviço e coletivas) e certificação de marcas</w:t>
      </w:r>
    </w:p>
    <w:p w14:paraId="4046A09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08B8D8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C19.</w:t>
      </w:r>
      <w:r w:rsidRPr="0096738F">
        <w:rPr>
          <w:rFonts w:ascii="Arial" w:eastAsia="Times New Roman" w:hAnsi="Arial" w:cs="Arial"/>
          <w:sz w:val="22"/>
          <w:szCs w:val="22"/>
          <w:lang w:eastAsia="pt-BR"/>
        </w:rPr>
        <w:tab/>
        <w:t>Marcas comerciais são palavras, nomes, símbolos ou outros dispositivos usados no comércio para indicar a origem de um produto e distingui-lo dos produtos de outras empresas. Uma marca de serviço identifica e distingue a origem de um serviço em vez de um produto. Marcas coletivas identificam os produtos e serviços membros de um grupo. Certificação de marcas são marcas que possuem certificação sobre sua origem geográfica ou outras características de um produto ou serviço.</w:t>
      </w:r>
    </w:p>
    <w:p w14:paraId="34C0871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0BA00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C20.</w:t>
      </w:r>
      <w:r w:rsidRPr="0096738F">
        <w:rPr>
          <w:rFonts w:ascii="Arial" w:eastAsia="Times New Roman" w:hAnsi="Arial" w:cs="Arial"/>
          <w:sz w:val="22"/>
          <w:szCs w:val="22"/>
          <w:lang w:eastAsia="pt-BR"/>
        </w:rPr>
        <w:tab/>
        <w:t>Marcas e nomes comerciais, marcas de serviço, marcas coletivas e certificação de marcas podem estar legalmente protegidas por meio de registro em agências governamentais, uso contínuo no comércio ou por outros meios. Se há proteção legal por meio de registro ou outro meio, uma marca comercial ou outra marca adquirida em uma combinação de negócios é um ativo intangível que atende ao critério contratual-legal. De outra forma, uma marca comercial ou outra marca adquirida em uma combinação de negócios pode ser reconhecida separadamente do ágio por expectativa de rentabilidade futura se o critério de separabilidade for atendido, o que normalmente pode ocorrer.</w:t>
      </w:r>
    </w:p>
    <w:p w14:paraId="2E06ED2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AC3FAD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C21.</w:t>
      </w:r>
      <w:r w:rsidRPr="0096738F">
        <w:rPr>
          <w:rFonts w:ascii="Arial" w:eastAsia="Times New Roman" w:hAnsi="Arial" w:cs="Arial"/>
          <w:sz w:val="22"/>
          <w:szCs w:val="22"/>
          <w:lang w:eastAsia="pt-BR"/>
        </w:rPr>
        <w:tab/>
        <w:t>Marca (</w:t>
      </w:r>
      <w:r w:rsidRPr="0096738F">
        <w:rPr>
          <w:rFonts w:ascii="Arial" w:eastAsia="Times New Roman" w:hAnsi="Arial" w:cs="Arial"/>
          <w:i/>
          <w:sz w:val="22"/>
          <w:szCs w:val="22"/>
          <w:lang w:eastAsia="pt-BR"/>
        </w:rPr>
        <w:t>brand</w:t>
      </w:r>
      <w:r w:rsidRPr="0096738F">
        <w:rPr>
          <w:rFonts w:ascii="Arial" w:eastAsia="Times New Roman" w:hAnsi="Arial" w:cs="Arial"/>
          <w:sz w:val="22"/>
          <w:szCs w:val="22"/>
          <w:lang w:eastAsia="pt-BR"/>
        </w:rPr>
        <w:t>) ou nome (</w:t>
      </w:r>
      <w:r w:rsidRPr="0096738F">
        <w:rPr>
          <w:rFonts w:ascii="Arial" w:eastAsia="Times New Roman" w:hAnsi="Arial" w:cs="Arial"/>
          <w:i/>
          <w:sz w:val="22"/>
          <w:szCs w:val="22"/>
          <w:lang w:eastAsia="pt-BR"/>
        </w:rPr>
        <w:t>brand name</w:t>
      </w:r>
      <w:r w:rsidRPr="0096738F">
        <w:rPr>
          <w:rFonts w:ascii="Arial" w:eastAsia="Times New Roman" w:hAnsi="Arial" w:cs="Arial"/>
          <w:sz w:val="22"/>
          <w:szCs w:val="22"/>
          <w:lang w:eastAsia="pt-BR"/>
        </w:rPr>
        <w:t>) são termos frequentemente usados como sinônimo de marcas comerciais e outras marcas e constituem denominações gerais de marketing que tipicamente se referem a um grupo de ativos complementares tal como uma marca comercial (ou uma marca de serviço) e que dizem respeito a nomes comerciais, fórmulas, receitas e especialidades tecnológicas. O Pronunciamento Técnico CPC 15 - Combinação de Negócios não impede a entidade de reconhecer como um único ativo,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um grupo de ativos intangíveis complementares, normalmente referenciado como uma marca (</w:t>
      </w:r>
      <w:r w:rsidRPr="0096738F">
        <w:rPr>
          <w:rFonts w:ascii="Arial" w:eastAsia="Times New Roman" w:hAnsi="Arial" w:cs="Arial"/>
          <w:i/>
          <w:sz w:val="22"/>
          <w:szCs w:val="22"/>
          <w:lang w:eastAsia="pt-BR"/>
        </w:rPr>
        <w:t>brand</w:t>
      </w:r>
      <w:r w:rsidRPr="0096738F">
        <w:rPr>
          <w:rFonts w:ascii="Arial" w:eastAsia="Times New Roman" w:hAnsi="Arial" w:cs="Arial"/>
          <w:sz w:val="22"/>
          <w:szCs w:val="22"/>
          <w:lang w:eastAsia="pt-BR"/>
        </w:rPr>
        <w:t>), se os ativos que constituem tal grupo têm vidas úteis similares.</w:t>
      </w:r>
    </w:p>
    <w:p w14:paraId="2B7B84A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C9D572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Nomes de domínio na internet</w:t>
      </w:r>
    </w:p>
    <w:p w14:paraId="7B266F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0C8AC24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C22.</w:t>
      </w:r>
      <w:r w:rsidRPr="0096738F">
        <w:rPr>
          <w:rFonts w:ascii="Arial" w:eastAsia="Times New Roman" w:hAnsi="Arial" w:cs="Arial"/>
          <w:sz w:val="22"/>
          <w:szCs w:val="22"/>
          <w:lang w:eastAsia="pt-BR"/>
        </w:rPr>
        <w:tab/>
        <w:t>Nome de domínio na internet é um nome alfanumérico exclusivo que é usado para identificar um endereço de internet específico. O registro de um nome de domínio cria uma associação entre o nome e um determinado computador na internet para o período previsto no registro. Esses registros são renováveis. Um nome de domínio registrado adquirido em uma combinação de negócios atende ao critério contratual-legal.</w:t>
      </w:r>
    </w:p>
    <w:p w14:paraId="424B53D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EDC2E3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relativos a clientes</w:t>
      </w:r>
    </w:p>
    <w:p w14:paraId="3FE6601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400C685" w14:textId="5B6C8A72" w:rsid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C23.</w:t>
      </w:r>
      <w:r w:rsidRPr="0096738F">
        <w:rPr>
          <w:rFonts w:ascii="Arial" w:eastAsia="Times New Roman" w:hAnsi="Arial" w:cs="Arial"/>
          <w:sz w:val="22"/>
          <w:szCs w:val="22"/>
          <w:lang w:eastAsia="pt-BR"/>
        </w:rPr>
        <w:tab/>
        <w:t>São exemplos de ativos intangíveis relativos a clientes:</w:t>
      </w:r>
    </w:p>
    <w:p w14:paraId="6E082269" w14:textId="77777777" w:rsidR="00DD5953" w:rsidRPr="0096738F" w:rsidRDefault="00DD5953"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CCC9B5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39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2362"/>
      </w:tblGrid>
      <w:tr w:rsidR="0096738F" w:rsidRPr="0096738F" w14:paraId="0ABBE1CB" w14:textId="77777777" w:rsidTr="00DF2196">
        <w:trPr>
          <w:jc w:val="center"/>
        </w:trPr>
        <w:tc>
          <w:tcPr>
            <w:tcW w:w="3580" w:type="pct"/>
          </w:tcPr>
          <w:p w14:paraId="406FDC81"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Classe</w:t>
            </w:r>
          </w:p>
        </w:tc>
        <w:tc>
          <w:tcPr>
            <w:tcW w:w="1420" w:type="pct"/>
          </w:tcPr>
          <w:p w14:paraId="1E6B056D"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Base</w:t>
            </w:r>
          </w:p>
        </w:tc>
      </w:tr>
      <w:tr w:rsidR="0096738F" w:rsidRPr="0096738F" w14:paraId="43949ADB" w14:textId="77777777" w:rsidTr="00DF2196">
        <w:trPr>
          <w:jc w:val="center"/>
        </w:trPr>
        <w:tc>
          <w:tcPr>
            <w:tcW w:w="3580" w:type="pct"/>
            <w:vAlign w:val="center"/>
          </w:tcPr>
          <w:p w14:paraId="64D1EF40"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bCs/>
                <w:sz w:val="22"/>
                <w:szCs w:val="22"/>
                <w:lang w:val="en-US" w:eastAsia="pt-BR"/>
              </w:rPr>
              <w:t>Listas</w:t>
            </w:r>
            <w:r w:rsidRPr="0096738F">
              <w:rPr>
                <w:rFonts w:ascii="Arial" w:eastAsia="Times New Roman" w:hAnsi="Arial" w:cs="Arial"/>
                <w:sz w:val="22"/>
                <w:szCs w:val="22"/>
                <w:lang w:val="en-US" w:eastAsia="pt-BR"/>
              </w:rPr>
              <w:t xml:space="preserve"> de clientes</w:t>
            </w:r>
          </w:p>
        </w:tc>
        <w:tc>
          <w:tcPr>
            <w:tcW w:w="1420" w:type="pct"/>
            <w:vAlign w:val="center"/>
          </w:tcPr>
          <w:p w14:paraId="64D4678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Não contratual</w:t>
            </w:r>
          </w:p>
        </w:tc>
      </w:tr>
      <w:tr w:rsidR="0096738F" w:rsidRPr="0096738F" w14:paraId="4E931402" w14:textId="77777777" w:rsidTr="00DF2196">
        <w:trPr>
          <w:jc w:val="center"/>
        </w:trPr>
        <w:tc>
          <w:tcPr>
            <w:tcW w:w="3580" w:type="pct"/>
            <w:vAlign w:val="center"/>
          </w:tcPr>
          <w:p w14:paraId="3705A43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Ordens ou produção aguardando execução (</w:t>
            </w:r>
            <w:r w:rsidRPr="0096738F">
              <w:rPr>
                <w:rFonts w:ascii="Arial" w:eastAsia="Times New Roman" w:hAnsi="Arial" w:cs="Arial"/>
                <w:i/>
                <w:sz w:val="22"/>
                <w:szCs w:val="22"/>
                <w:lang w:val="pt-PT" w:eastAsia="pt-BR"/>
              </w:rPr>
              <w:t>backlog</w:t>
            </w:r>
            <w:r w:rsidRPr="0096738F">
              <w:rPr>
                <w:rFonts w:ascii="Arial" w:eastAsia="Times New Roman" w:hAnsi="Arial" w:cs="Arial"/>
                <w:sz w:val="22"/>
                <w:szCs w:val="22"/>
                <w:lang w:val="pt-PT" w:eastAsia="pt-BR"/>
              </w:rPr>
              <w:t>)</w:t>
            </w:r>
          </w:p>
        </w:tc>
        <w:tc>
          <w:tcPr>
            <w:tcW w:w="1420" w:type="pct"/>
            <w:vAlign w:val="center"/>
          </w:tcPr>
          <w:p w14:paraId="6E79B7F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0AD35D13" w14:textId="77777777" w:rsidTr="00DF2196">
        <w:trPr>
          <w:jc w:val="center"/>
        </w:trPr>
        <w:tc>
          <w:tcPr>
            <w:tcW w:w="3580" w:type="pct"/>
            <w:vAlign w:val="center"/>
          </w:tcPr>
          <w:p w14:paraId="7B73810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Contratos com clientes e respectivos relacionamentos</w:t>
            </w:r>
          </w:p>
        </w:tc>
        <w:tc>
          <w:tcPr>
            <w:tcW w:w="1420" w:type="pct"/>
            <w:vAlign w:val="center"/>
          </w:tcPr>
          <w:p w14:paraId="192A678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07752196" w14:textId="77777777" w:rsidTr="00DF2196">
        <w:trPr>
          <w:jc w:val="center"/>
        </w:trPr>
        <w:tc>
          <w:tcPr>
            <w:tcW w:w="3580" w:type="pct"/>
            <w:vAlign w:val="center"/>
          </w:tcPr>
          <w:p w14:paraId="69A6550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Relacionamento não contratual com clientes</w:t>
            </w:r>
          </w:p>
        </w:tc>
        <w:tc>
          <w:tcPr>
            <w:tcW w:w="1420" w:type="pct"/>
            <w:vAlign w:val="center"/>
          </w:tcPr>
          <w:p w14:paraId="2D17DC8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Não contratual</w:t>
            </w:r>
          </w:p>
        </w:tc>
      </w:tr>
    </w:tbl>
    <w:p w14:paraId="33961D7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20F5D50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Listas de clientes</w:t>
      </w:r>
    </w:p>
    <w:p w14:paraId="11FAED4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26D6DF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C24.</w:t>
      </w:r>
      <w:r w:rsidRPr="0096738F">
        <w:rPr>
          <w:rFonts w:ascii="Arial" w:eastAsia="Times New Roman" w:hAnsi="Arial" w:cs="Arial"/>
          <w:sz w:val="22"/>
          <w:szCs w:val="22"/>
          <w:lang w:eastAsia="pt-BR"/>
        </w:rPr>
        <w:tab/>
        <w:t>Lista de clientes consiste de informações acerca dos clientes, tais como seus nomes e demais informações contratuais. Uma lista de clientes pode ter a forma de uma base de dados que inclui outras informações sobre os clientes, tal como o histórico de pedidos e informações demográficas. Uma lista de clientes normalmente não surge de direitos legais ou contratuais. Contudo, listas de clientes são frequentemente alugadas ou trocadas. Portanto, uma lista de clientes adquirida em uma combinação de negócios normalmente atende ao critério da separabilidade.</w:t>
      </w:r>
    </w:p>
    <w:p w14:paraId="1B1FBCC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B98D17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Pedidos ou ordens de produção aguardando execução (</w:t>
      </w:r>
      <w:r w:rsidRPr="0096738F">
        <w:rPr>
          <w:rFonts w:ascii="Arial" w:eastAsia="Times New Roman" w:hAnsi="Arial" w:cs="Arial"/>
          <w:b/>
          <w:i/>
          <w:sz w:val="22"/>
          <w:szCs w:val="22"/>
          <w:lang w:eastAsia="pt-BR"/>
        </w:rPr>
        <w:t>backlog</w:t>
      </w:r>
      <w:r w:rsidRPr="0096738F">
        <w:rPr>
          <w:rFonts w:ascii="Arial" w:eastAsia="Times New Roman" w:hAnsi="Arial" w:cs="Arial"/>
          <w:b/>
          <w:sz w:val="22"/>
          <w:szCs w:val="22"/>
          <w:lang w:eastAsia="pt-BR"/>
        </w:rPr>
        <w:t>)</w:t>
      </w:r>
    </w:p>
    <w:p w14:paraId="20A79EA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7EA59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C25.</w:t>
      </w:r>
      <w:r w:rsidRPr="0096738F">
        <w:rPr>
          <w:rFonts w:ascii="Arial" w:eastAsia="Times New Roman" w:hAnsi="Arial" w:cs="Arial"/>
          <w:sz w:val="22"/>
          <w:szCs w:val="22"/>
          <w:lang w:eastAsia="pt-BR"/>
        </w:rPr>
        <w:tab/>
        <w:t xml:space="preserve">Pedidos ou ordens de produção em espera, aguardando execução (ou simplesmente </w:t>
      </w:r>
      <w:r w:rsidRPr="0096738F">
        <w:rPr>
          <w:rFonts w:ascii="Arial" w:eastAsia="Times New Roman" w:hAnsi="Arial" w:cs="Arial"/>
          <w:i/>
          <w:sz w:val="22"/>
          <w:szCs w:val="22"/>
          <w:lang w:eastAsia="pt-BR"/>
        </w:rPr>
        <w:t>backlog</w:t>
      </w:r>
      <w:r w:rsidRPr="0096738F">
        <w:rPr>
          <w:rFonts w:ascii="Arial" w:eastAsia="Times New Roman" w:hAnsi="Arial" w:cs="Arial"/>
          <w:sz w:val="22"/>
          <w:szCs w:val="22"/>
          <w:lang w:eastAsia="pt-BR"/>
        </w:rPr>
        <w:t xml:space="preserve"> de pedidos ou de produção), surgem de compromissos assumidos tais como pedidos de compra ou venda. O </w:t>
      </w:r>
      <w:r w:rsidRPr="0096738F">
        <w:rPr>
          <w:rFonts w:ascii="Arial" w:eastAsia="Times New Roman" w:hAnsi="Arial" w:cs="Arial"/>
          <w:i/>
          <w:sz w:val="22"/>
          <w:szCs w:val="22"/>
          <w:lang w:eastAsia="pt-BR"/>
        </w:rPr>
        <w:t>backlog</w:t>
      </w:r>
      <w:r w:rsidRPr="0096738F">
        <w:rPr>
          <w:rFonts w:ascii="Arial" w:eastAsia="Times New Roman" w:hAnsi="Arial" w:cs="Arial"/>
          <w:sz w:val="22"/>
          <w:szCs w:val="22"/>
          <w:lang w:eastAsia="pt-BR"/>
        </w:rPr>
        <w:t xml:space="preserve"> de pedidos ou ordens de produção adquirido em uma combinação de negócios atende ao critério contratual-legal, mesmo que os pedidos de compra ou venda possam ser cancelados.</w:t>
      </w:r>
    </w:p>
    <w:p w14:paraId="6AA376C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1C10CA3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Contratos com clientes e respectivos relacionamentos</w:t>
      </w:r>
    </w:p>
    <w:p w14:paraId="4B29BD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B55C41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C26.</w:t>
      </w:r>
      <w:r w:rsidRPr="0096738F">
        <w:rPr>
          <w:rFonts w:ascii="Arial" w:eastAsia="Times New Roman" w:hAnsi="Arial" w:cs="Arial"/>
          <w:sz w:val="22"/>
          <w:szCs w:val="22"/>
          <w:lang w:eastAsia="pt-BR"/>
        </w:rPr>
        <w:tab/>
        <w:t>Se uma entidade estabelece relacionamentos com seus clientes por meio de contratos, esses relacionamentos surgem, então, de direitos contratuais. Portanto, os contratos com clientes e respectivos relacionamentos adquiridos em uma combinação de negócios atendem ao critério contratual-legal, mesmo se houver condições contratuais de confidencialidade ou outras condições proibindo a venda ou transferência do contrato separadamente da adquirida.</w:t>
      </w:r>
    </w:p>
    <w:p w14:paraId="44505BA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D80EF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C27.</w:t>
      </w:r>
      <w:r w:rsidRPr="0096738F">
        <w:rPr>
          <w:rFonts w:ascii="Arial" w:eastAsia="Times New Roman" w:hAnsi="Arial" w:cs="Arial"/>
          <w:sz w:val="22"/>
          <w:szCs w:val="22"/>
          <w:lang w:eastAsia="pt-BR"/>
        </w:rPr>
        <w:tab/>
        <w:t>Um contrato com cliente e o relacionamento com esse cliente podem representar dois ativos intangíveis distintos. Ambos podem ter vidas úteis diferentes, bem como diferentes padrões em que os benefícios econômicos dos dois ativos são consumidos.</w:t>
      </w:r>
    </w:p>
    <w:p w14:paraId="50C2437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7A3E9A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C28.</w:t>
      </w:r>
      <w:r w:rsidRPr="0096738F">
        <w:rPr>
          <w:rFonts w:ascii="Arial" w:eastAsia="Times New Roman" w:hAnsi="Arial" w:cs="Arial"/>
          <w:sz w:val="22"/>
          <w:szCs w:val="22"/>
          <w:lang w:eastAsia="pt-BR"/>
        </w:rPr>
        <w:tab/>
        <w:t>Um relacionamento com cliente existe entre uma entidade e seus clientes quando: (a) a entidade tem informação sobre o cliente e tem um contrato regular com esse cliente; e (b) o cliente tem a capacidade de fazer contato direto com a entidade. Os relacionamentos com clientes atendem ao critério contratual-legal se uma entidade tem como prática estabelecer contratos com seus clientes, independentemente de existir um contrato na data da aquisição. O relacionamento com cliente pode também surgir por outros meios que não um contrato, tal como por contatos regulares por meio de representantes de venda ou serviço.</w:t>
      </w:r>
    </w:p>
    <w:p w14:paraId="7646897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B13D0F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C29.</w:t>
      </w:r>
      <w:r w:rsidRPr="0096738F">
        <w:rPr>
          <w:rFonts w:ascii="Arial" w:eastAsia="Times New Roman" w:hAnsi="Arial" w:cs="Arial"/>
          <w:sz w:val="22"/>
          <w:szCs w:val="22"/>
          <w:lang w:eastAsia="pt-BR"/>
        </w:rPr>
        <w:tab/>
        <w:t xml:space="preserve">Como mencionado no item C25, um </w:t>
      </w:r>
      <w:r w:rsidRPr="0096738F">
        <w:rPr>
          <w:rFonts w:ascii="Arial" w:eastAsia="Times New Roman" w:hAnsi="Arial" w:cs="Arial"/>
          <w:i/>
          <w:sz w:val="22"/>
          <w:szCs w:val="22"/>
          <w:lang w:eastAsia="pt-BR"/>
        </w:rPr>
        <w:t>backlog</w:t>
      </w:r>
      <w:r w:rsidRPr="0096738F">
        <w:rPr>
          <w:rFonts w:ascii="Arial" w:eastAsia="Times New Roman" w:hAnsi="Arial" w:cs="Arial"/>
          <w:sz w:val="22"/>
          <w:szCs w:val="22"/>
          <w:lang w:eastAsia="pt-BR"/>
        </w:rPr>
        <w:t xml:space="preserve"> de pedidos ou ordens de produção surge de compromissos assumidos tais como pedidos de compra ou venda e, portanto, ele é considerado </w:t>
      </w:r>
      <w:r w:rsidRPr="0096738F">
        <w:rPr>
          <w:rFonts w:ascii="Arial" w:eastAsia="Times New Roman" w:hAnsi="Arial" w:cs="Arial"/>
          <w:sz w:val="22"/>
          <w:szCs w:val="22"/>
          <w:lang w:eastAsia="pt-BR"/>
        </w:rPr>
        <w:lastRenderedPageBreak/>
        <w:t>um direito contratual. Como resultado, se a entidade tem uma relação com seus clientes por meio desses tipos de compromissos, esse relacionamento também surge de direitos contratuais e, portanto, atende ao critério contratual-legal.</w:t>
      </w:r>
    </w:p>
    <w:p w14:paraId="1243E1E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13E3CC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r w:rsidRPr="0096738F">
        <w:rPr>
          <w:rFonts w:ascii="Arial" w:eastAsia="Times New Roman" w:hAnsi="Arial" w:cs="Arial"/>
          <w:i/>
          <w:sz w:val="22"/>
          <w:szCs w:val="22"/>
          <w:lang w:eastAsia="pt-BR"/>
        </w:rPr>
        <w:t>Exemplos</w:t>
      </w:r>
    </w:p>
    <w:p w14:paraId="5BAE5A4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ACB757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C30.</w:t>
      </w:r>
      <w:r w:rsidRPr="0096738F">
        <w:rPr>
          <w:rFonts w:ascii="Arial" w:eastAsia="Times New Roman" w:hAnsi="Arial" w:cs="Arial"/>
          <w:sz w:val="22"/>
          <w:szCs w:val="22"/>
          <w:lang w:eastAsia="pt-BR"/>
        </w:rPr>
        <w:tab/>
        <w:t>Os exemplos a seguir ilustram o reconhecimento de ativos intangíveis por contratos e por relacionamento com clientes adquiridos em uma combinação de negócios:</w:t>
      </w:r>
    </w:p>
    <w:p w14:paraId="7A675915" w14:textId="77777777" w:rsidR="0096738F" w:rsidRPr="0096738F" w:rsidRDefault="0096738F" w:rsidP="0096738F">
      <w:pPr>
        <w:widowControl w:val="0"/>
        <w:numPr>
          <w:ilvl w:val="0"/>
          <w:numId w:val="5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Companhia Adquirente (CA) adquire a Companhia Meta (CM) em uma combinação de negócios em 31/12/20X5. CM tem um acordo de cinco anos de fornecimento de produtos ao Cliente X. Ambas as entidades, CA e CM, acreditam que o cliente irá renovar o acordo no final do contrato vigente. O acordo não é separável.</w:t>
      </w:r>
    </w:p>
    <w:p w14:paraId="69D17390" w14:textId="77777777" w:rsidR="0096738F" w:rsidRPr="0096738F" w:rsidRDefault="0096738F" w:rsidP="0096738F">
      <w:pPr>
        <w:widowControl w:val="0"/>
        <w:spacing w:before="0" w:after="0" w:line="240" w:lineRule="auto"/>
        <w:ind w:left="993"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acordo, podendo ou não ser cancelado, atende ao critério contratual-legal.</w:t>
      </w:r>
      <w:r w:rsidRPr="0096738F">
        <w:rPr>
          <w:rFonts w:ascii="Arial" w:eastAsia="Times New Roman" w:hAnsi="Arial" w:cs="Arial"/>
          <w:bCs/>
          <w:iCs/>
          <w:sz w:val="22"/>
          <w:szCs w:val="22"/>
          <w:lang w:val="pt-PT" w:eastAsia="pt-BR"/>
        </w:rPr>
        <w:t xml:space="preserve"> </w:t>
      </w:r>
      <w:r w:rsidRPr="0096738F">
        <w:rPr>
          <w:rFonts w:ascii="Arial" w:eastAsia="Times New Roman" w:hAnsi="Arial" w:cs="Arial"/>
          <w:sz w:val="22"/>
          <w:szCs w:val="22"/>
          <w:lang w:val="pt-PT" w:eastAsia="pt-BR"/>
        </w:rPr>
        <w:t xml:space="preserve">Adicionalmente, em função de </w:t>
      </w:r>
      <w:r w:rsidRPr="0096738F">
        <w:rPr>
          <w:rFonts w:ascii="Arial" w:eastAsia="Times New Roman" w:hAnsi="Arial" w:cs="Arial"/>
          <w:bCs/>
          <w:iCs/>
          <w:sz w:val="22"/>
          <w:szCs w:val="22"/>
          <w:lang w:val="pt-PT" w:eastAsia="pt-BR"/>
        </w:rPr>
        <w:t xml:space="preserve">a </w:t>
      </w:r>
      <w:r w:rsidRPr="0096738F">
        <w:rPr>
          <w:rFonts w:ascii="Arial" w:eastAsia="Times New Roman" w:hAnsi="Arial" w:cs="Arial"/>
          <w:sz w:val="22"/>
          <w:szCs w:val="22"/>
          <w:lang w:val="pt-PT" w:eastAsia="pt-BR"/>
        </w:rPr>
        <w:t>CM estabelecer um relacionamento com o cliente por meio de um contrato, tanto o acordo quanto todo o relacionamento com o cliente da CM atendem ao critério contratual-legal.</w:t>
      </w:r>
    </w:p>
    <w:p w14:paraId="234B3BBF" w14:textId="77777777" w:rsidR="0096738F" w:rsidRPr="0096738F" w:rsidRDefault="0096738F" w:rsidP="0096738F">
      <w:pPr>
        <w:widowControl w:val="0"/>
        <w:numPr>
          <w:ilvl w:val="0"/>
          <w:numId w:val="5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 adquire CM em uma combinação de negócios em 31/12/20X5. CM fabrica produtos em duas distintas linhas de negócio: produtos esportivos e eletrônicos. O Cliente X compra ambos (produtos esportivos e eletrônicos). CM tem um contrato com o cliente para ser seu fornecedor exclusivo de produtos esportivos, porém não tem um contrato para o fornecimento de eletrônicos. Ambas as entidades, CA e CM, acreditam que entre CM e o Cliente existe somente um de vários tipos de relacionamento.</w:t>
      </w:r>
    </w:p>
    <w:p w14:paraId="183FDF76" w14:textId="77777777" w:rsidR="0096738F" w:rsidRPr="0096738F" w:rsidRDefault="0096738F" w:rsidP="0096738F">
      <w:pPr>
        <w:widowControl w:val="0"/>
        <w:spacing w:before="0" w:after="0" w:line="240" w:lineRule="auto"/>
        <w:ind w:left="993"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contrato para ser fornecedor exclusivo de produtos esportivos, cancelável ou não, atende ao critério contratual-legal. Adicionalmente, em função de</w:t>
      </w:r>
      <w:r w:rsidRPr="0096738F">
        <w:rPr>
          <w:rFonts w:ascii="Arial" w:eastAsia="Times New Roman" w:hAnsi="Arial" w:cs="Arial"/>
          <w:bCs/>
          <w:iCs/>
          <w:sz w:val="22"/>
          <w:szCs w:val="22"/>
          <w:lang w:val="pt-PT" w:eastAsia="pt-BR"/>
        </w:rPr>
        <w:t xml:space="preserve"> a</w:t>
      </w:r>
      <w:r w:rsidRPr="0096738F">
        <w:rPr>
          <w:rFonts w:ascii="Arial" w:eastAsia="Times New Roman" w:hAnsi="Arial" w:cs="Arial"/>
          <w:sz w:val="22"/>
          <w:szCs w:val="22"/>
          <w:lang w:val="pt-PT" w:eastAsia="pt-BR"/>
        </w:rPr>
        <w:t xml:space="preserve"> CM ter estabelecido seu relacionamento com o cliente por meio de um contrato, esse relacionamento atende ao critério contratual-legal. Dado que CM tem somente um relacionamento com o respectivo cliente, o valor justo desse relacionamento incorpora as suposições sobre o relacionamento de CM com o cliente acerca de ambos os negócios (produtos esportivos e eletrônicos). Contudo, se CA determinar que o relacionamento com o cliente para produtos esportivos e eletrônicos é separável um do outro, CA deveria avaliar se o relacionamento com o cliente para eletrônicos atende ao critério de separabilidade para ser identificado como um ativo intangível.</w:t>
      </w:r>
    </w:p>
    <w:p w14:paraId="656C79DF" w14:textId="77777777" w:rsidR="0096738F" w:rsidRPr="0096738F" w:rsidRDefault="0096738F" w:rsidP="0096738F">
      <w:pPr>
        <w:widowControl w:val="0"/>
        <w:numPr>
          <w:ilvl w:val="0"/>
          <w:numId w:val="57"/>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CA adquire CM em uma combinação de negócios em 31/12/20X5. CM faz negócios com seus clientes somente por meio de pedidos de compra e venda. Em 31/12/20X5, CM tem um </w:t>
      </w:r>
      <w:r w:rsidRPr="0096738F">
        <w:rPr>
          <w:rFonts w:ascii="Arial" w:eastAsia="Times New Roman" w:hAnsi="Arial" w:cs="Arial"/>
          <w:i/>
          <w:sz w:val="22"/>
          <w:szCs w:val="22"/>
          <w:lang w:val="pt-PT" w:eastAsia="pt-BR"/>
        </w:rPr>
        <w:t>backlog</w:t>
      </w:r>
      <w:r w:rsidRPr="0096738F">
        <w:rPr>
          <w:rFonts w:ascii="Arial" w:eastAsia="Times New Roman" w:hAnsi="Arial" w:cs="Arial"/>
          <w:sz w:val="22"/>
          <w:szCs w:val="22"/>
          <w:lang w:val="pt-PT" w:eastAsia="pt-BR"/>
        </w:rPr>
        <w:t xml:space="preserve"> de pedidos de compra de clientes envolvendo 60% de seus clientes, os quais são todos clientes recorrentes. Os demais 40% dos clientes de CM também são clientes recorrentes. Contudo, CM não tem pedidos em aberto ou outros </w:t>
      </w:r>
      <w:r w:rsidRPr="0096738F">
        <w:rPr>
          <w:rFonts w:ascii="Arial" w:eastAsia="Times New Roman" w:hAnsi="Arial" w:cs="Arial"/>
          <w:bCs/>
          <w:iCs/>
          <w:sz w:val="22"/>
          <w:szCs w:val="22"/>
          <w:lang w:val="pt-PT" w:eastAsia="pt-BR"/>
        </w:rPr>
        <w:t>contratos</w:t>
      </w:r>
      <w:r w:rsidRPr="0096738F">
        <w:rPr>
          <w:rFonts w:ascii="Arial" w:eastAsia="Times New Roman" w:hAnsi="Arial" w:cs="Arial"/>
          <w:sz w:val="22"/>
          <w:szCs w:val="22"/>
          <w:lang w:val="pt-PT" w:eastAsia="pt-BR"/>
        </w:rPr>
        <w:t xml:space="preserve"> com tais clientes em 31/12/20X5.</w:t>
      </w:r>
    </w:p>
    <w:p w14:paraId="0D8C4F35" w14:textId="77777777" w:rsidR="0096738F" w:rsidRPr="0096738F" w:rsidRDefault="0096738F" w:rsidP="0096738F">
      <w:pPr>
        <w:widowControl w:val="0"/>
        <w:spacing w:before="0" w:after="0" w:line="240" w:lineRule="auto"/>
        <w:ind w:left="993"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pedidos de compra dos 60% dos clientes de CM atendem ao critério contratual-legal, sendo canceláveis ou não. Adicionalmente, uma vez que CM estabelece um relacionamento com esses clientes (60%) por meio de contrato, tanto os pedidos de compra como os relacionamentos com tais clientes atendem ao critério contratual-legal. Em razão d</w:t>
      </w:r>
      <w:r w:rsidRPr="0096738F">
        <w:rPr>
          <w:rFonts w:ascii="Arial" w:eastAsia="Times New Roman" w:hAnsi="Arial" w:cs="Arial"/>
          <w:bCs/>
          <w:iCs/>
          <w:sz w:val="22"/>
          <w:szCs w:val="22"/>
          <w:lang w:val="pt-PT" w:eastAsia="pt-BR"/>
        </w:rPr>
        <w:t>a</w:t>
      </w:r>
      <w:r w:rsidRPr="0096738F">
        <w:rPr>
          <w:rFonts w:ascii="Arial" w:eastAsia="Times New Roman" w:hAnsi="Arial" w:cs="Arial"/>
          <w:sz w:val="22"/>
          <w:szCs w:val="22"/>
          <w:lang w:val="pt-PT" w:eastAsia="pt-BR"/>
        </w:rPr>
        <w:t xml:space="preserve"> CM ter como prática o estabelecimento de contratos com o restante de seus clientes (40%), o relacionamento com esses clientes também tem origem em direitos contratuais e, portanto, atende ao critério contratual-legal, independentemente de CM não ter contratos com tais clientes em 31/12/20X5.</w:t>
      </w:r>
    </w:p>
    <w:p w14:paraId="5AC76D02" w14:textId="77777777" w:rsidR="0096738F" w:rsidRPr="0096738F" w:rsidRDefault="0096738F" w:rsidP="0096738F">
      <w:pPr>
        <w:widowControl w:val="0"/>
        <w:numPr>
          <w:ilvl w:val="0"/>
          <w:numId w:val="57"/>
        </w:numPr>
        <w:spacing w:before="0" w:after="0" w:line="240" w:lineRule="auto"/>
        <w:ind w:left="993" w:hanging="426"/>
        <w:rPr>
          <w:rFonts w:ascii="Arial" w:eastAsia="Times New Roman" w:hAnsi="Arial" w:cs="Arial"/>
          <w:bCs/>
          <w:iCs/>
          <w:sz w:val="22"/>
          <w:szCs w:val="22"/>
          <w:lang w:val="pt-PT" w:eastAsia="pt-BR"/>
        </w:rPr>
      </w:pPr>
      <w:r w:rsidRPr="0096738F">
        <w:rPr>
          <w:rFonts w:ascii="Arial" w:eastAsia="Times New Roman" w:hAnsi="Arial" w:cs="Arial"/>
          <w:sz w:val="22"/>
          <w:szCs w:val="22"/>
          <w:lang w:val="pt-PT" w:eastAsia="pt-BR"/>
        </w:rPr>
        <w:t xml:space="preserve">CA adquire CM, uma seguradora, em uma combinação de negócios em 31/12/20X5. CM tem </w:t>
      </w:r>
      <w:r w:rsidRPr="0096738F">
        <w:rPr>
          <w:rFonts w:ascii="Arial" w:eastAsia="Times New Roman" w:hAnsi="Arial" w:cs="Arial"/>
          <w:sz w:val="22"/>
          <w:szCs w:val="22"/>
          <w:lang w:val="pt-PT" w:eastAsia="pt-BR"/>
        </w:rPr>
        <w:lastRenderedPageBreak/>
        <w:t>um portfólio de um ano de contratos de seguros de automóveis que são canceláveis pelos segurados.</w:t>
      </w:r>
    </w:p>
    <w:p w14:paraId="2FADCDE1" w14:textId="77777777" w:rsidR="0096738F" w:rsidRPr="0096738F" w:rsidRDefault="0096738F" w:rsidP="0096738F">
      <w:pPr>
        <w:widowControl w:val="0"/>
        <w:spacing w:before="0" w:after="0" w:line="240" w:lineRule="auto"/>
        <w:ind w:left="993"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razão de</w:t>
      </w:r>
      <w:r w:rsidRPr="0096738F">
        <w:rPr>
          <w:rFonts w:ascii="Arial" w:eastAsia="Times New Roman" w:hAnsi="Arial" w:cs="Arial"/>
          <w:bCs/>
          <w:iCs/>
          <w:sz w:val="22"/>
          <w:szCs w:val="22"/>
          <w:lang w:val="pt-PT" w:eastAsia="pt-BR"/>
        </w:rPr>
        <w:t xml:space="preserve"> a</w:t>
      </w:r>
      <w:r w:rsidRPr="0096738F">
        <w:rPr>
          <w:rFonts w:ascii="Arial" w:eastAsia="Times New Roman" w:hAnsi="Arial" w:cs="Arial"/>
          <w:sz w:val="22"/>
          <w:szCs w:val="22"/>
          <w:lang w:val="pt-PT" w:eastAsia="pt-BR"/>
        </w:rPr>
        <w:t xml:space="preserve"> CM estabelecer seu relacionamento com os segurados por meio de contratos de seguros, o relacionamento com clientes em relação aos segurados atende ao critério contratual-legal.</w:t>
      </w:r>
      <w:r w:rsidRPr="0096738F">
        <w:rPr>
          <w:rFonts w:ascii="Arial" w:eastAsia="Times New Roman" w:hAnsi="Arial" w:cs="Arial"/>
          <w:bCs/>
          <w:iCs/>
          <w:sz w:val="22"/>
          <w:szCs w:val="22"/>
          <w:lang w:val="pt-PT" w:eastAsia="pt-BR"/>
        </w:rPr>
        <w:t xml:space="preserve"> O Pronunciamento Técnico CPC 01 – Redução ao Valor Recuperável de Ativos e o Pronunciamento Técnico CPC 04 – Ativo Intangível</w:t>
      </w:r>
      <w:r w:rsidRPr="0096738F">
        <w:rPr>
          <w:rFonts w:ascii="Arial" w:eastAsia="Times New Roman" w:hAnsi="Arial" w:cs="Arial"/>
          <w:sz w:val="22"/>
          <w:szCs w:val="22"/>
          <w:lang w:val="pt-PT" w:eastAsia="pt-BR"/>
        </w:rPr>
        <w:t xml:space="preserve"> são aplicáveis ao ativo intangível relativo ao relacionamento com clientes.</w:t>
      </w:r>
    </w:p>
    <w:p w14:paraId="39BFF6A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46603D7"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Relacionamentos não contratuais com clientes</w:t>
      </w:r>
    </w:p>
    <w:p w14:paraId="28AE182A"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p>
    <w:p w14:paraId="39E1BA8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C31.</w:t>
      </w:r>
      <w:r w:rsidRPr="0096738F">
        <w:rPr>
          <w:rFonts w:ascii="Arial" w:eastAsia="Times New Roman" w:hAnsi="Arial" w:cs="Arial"/>
          <w:sz w:val="22"/>
          <w:szCs w:val="22"/>
          <w:lang w:eastAsia="pt-BR"/>
        </w:rPr>
        <w:tab/>
        <w:t>Um relacionamento com cliente adquirido em uma combinação de negócios que não surge de um contrato pode, todavia, ser identificável porque o relacionamento é separável. Transações de troca para esse tipo de ativo, ou para ativos similares, as quais indicam que outras entidades têm vendido ou de outra forma transferido um tipo particular de relacionamento não contratual com clientes constitui evidência de que o relacionamento é separável.</w:t>
      </w:r>
    </w:p>
    <w:p w14:paraId="23BEB56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640EAE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artísticos</w:t>
      </w:r>
    </w:p>
    <w:p w14:paraId="6380A79C"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p>
    <w:p w14:paraId="59AB0A0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C32.</w:t>
      </w:r>
      <w:r w:rsidRPr="0096738F">
        <w:rPr>
          <w:rFonts w:ascii="Arial" w:eastAsia="Times New Roman" w:hAnsi="Arial" w:cs="Arial"/>
          <w:sz w:val="22"/>
          <w:szCs w:val="22"/>
          <w:lang w:eastAsia="pt-BR"/>
        </w:rPr>
        <w:tab/>
        <w:t>São exemplos de ativos intangíveis artísticos:</w:t>
      </w:r>
    </w:p>
    <w:p w14:paraId="11AB854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4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9"/>
        <w:gridCol w:w="1679"/>
      </w:tblGrid>
      <w:tr w:rsidR="0096738F" w:rsidRPr="0096738F" w14:paraId="6D0B186C" w14:textId="77777777" w:rsidTr="00DF2196">
        <w:trPr>
          <w:jc w:val="center"/>
        </w:trPr>
        <w:tc>
          <w:tcPr>
            <w:tcW w:w="4104" w:type="pct"/>
          </w:tcPr>
          <w:p w14:paraId="7C24E87B"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Classe</w:t>
            </w:r>
          </w:p>
        </w:tc>
        <w:tc>
          <w:tcPr>
            <w:tcW w:w="896" w:type="pct"/>
          </w:tcPr>
          <w:p w14:paraId="2EF7A1E8"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Base</w:t>
            </w:r>
          </w:p>
        </w:tc>
      </w:tr>
      <w:tr w:rsidR="0096738F" w:rsidRPr="0096738F" w14:paraId="7C6C73A5" w14:textId="77777777" w:rsidTr="00DF2196">
        <w:trPr>
          <w:jc w:val="center"/>
        </w:trPr>
        <w:tc>
          <w:tcPr>
            <w:tcW w:w="4104" w:type="pct"/>
            <w:vAlign w:val="center"/>
          </w:tcPr>
          <w:p w14:paraId="5DB4CA9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Peças teatrais, óperas e balés</w:t>
            </w:r>
          </w:p>
        </w:tc>
        <w:tc>
          <w:tcPr>
            <w:tcW w:w="896" w:type="pct"/>
            <w:vAlign w:val="center"/>
          </w:tcPr>
          <w:p w14:paraId="7BCCD74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3DF33B1A" w14:textId="77777777" w:rsidTr="00DF2196">
        <w:trPr>
          <w:jc w:val="center"/>
        </w:trPr>
        <w:tc>
          <w:tcPr>
            <w:tcW w:w="4104" w:type="pct"/>
            <w:vAlign w:val="center"/>
          </w:tcPr>
          <w:p w14:paraId="679D76A7"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Livros, revistas, jornais e outras obras literárias</w:t>
            </w:r>
          </w:p>
        </w:tc>
        <w:tc>
          <w:tcPr>
            <w:tcW w:w="896" w:type="pct"/>
            <w:vAlign w:val="center"/>
          </w:tcPr>
          <w:p w14:paraId="1EDDCC4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0FDDF0BB" w14:textId="77777777" w:rsidTr="00DF2196">
        <w:trPr>
          <w:jc w:val="center"/>
        </w:trPr>
        <w:tc>
          <w:tcPr>
            <w:tcW w:w="4104" w:type="pct"/>
            <w:vAlign w:val="center"/>
          </w:tcPr>
          <w:p w14:paraId="372F36D4"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Obras musicais, como composições, canções líricas e canções publicitárias</w:t>
            </w:r>
          </w:p>
        </w:tc>
        <w:tc>
          <w:tcPr>
            <w:tcW w:w="896" w:type="pct"/>
            <w:vAlign w:val="center"/>
          </w:tcPr>
          <w:p w14:paraId="2957297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562F35EB" w14:textId="77777777" w:rsidTr="00DF2196">
        <w:trPr>
          <w:jc w:val="center"/>
        </w:trPr>
        <w:tc>
          <w:tcPr>
            <w:tcW w:w="4104" w:type="pct"/>
            <w:vAlign w:val="center"/>
          </w:tcPr>
          <w:p w14:paraId="5068E224"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bCs/>
                <w:sz w:val="22"/>
                <w:szCs w:val="22"/>
                <w:lang w:val="en-US" w:eastAsia="pt-BR"/>
              </w:rPr>
              <w:t>Quadros, telas</w:t>
            </w:r>
            <w:r w:rsidRPr="0096738F">
              <w:rPr>
                <w:rFonts w:ascii="Arial" w:eastAsia="Times New Roman" w:hAnsi="Arial" w:cs="Arial"/>
                <w:sz w:val="22"/>
                <w:szCs w:val="22"/>
                <w:lang w:val="en-US" w:eastAsia="pt-BR"/>
              </w:rPr>
              <w:t xml:space="preserve"> e fotografias</w:t>
            </w:r>
          </w:p>
        </w:tc>
        <w:tc>
          <w:tcPr>
            <w:tcW w:w="896" w:type="pct"/>
            <w:vAlign w:val="center"/>
          </w:tcPr>
          <w:p w14:paraId="62B85F5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3983CD70" w14:textId="77777777" w:rsidTr="00DF2196">
        <w:trPr>
          <w:jc w:val="center"/>
        </w:trPr>
        <w:tc>
          <w:tcPr>
            <w:tcW w:w="4104" w:type="pct"/>
            <w:vAlign w:val="center"/>
          </w:tcPr>
          <w:p w14:paraId="6C346EF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Material audiovisual e em vídeo, incluindo gravações cinematográficas ou filmes, vídeos musicais e programas de televisão</w:t>
            </w:r>
          </w:p>
        </w:tc>
        <w:tc>
          <w:tcPr>
            <w:tcW w:w="896" w:type="pct"/>
            <w:vAlign w:val="center"/>
          </w:tcPr>
          <w:p w14:paraId="329281A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bl>
    <w:p w14:paraId="106D144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43AF084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C33.</w:t>
      </w:r>
      <w:r w:rsidRPr="0096738F">
        <w:rPr>
          <w:rFonts w:ascii="Arial" w:eastAsia="Times New Roman" w:hAnsi="Arial" w:cs="Arial"/>
          <w:sz w:val="22"/>
          <w:szCs w:val="22"/>
          <w:lang w:eastAsia="pt-BR"/>
        </w:rPr>
        <w:tab/>
        <w:t>Ativos artísticos adquiridos em uma combinação de negócios são identificáveis se eles surgem de direitos contratuais ou legais, tais como aqueles estabelecidos por direitos autorais. O detentor de direitos autorais pode transferi-los por inteiro (por meio de cessão de uso) ou em parte (por meio de uma licença de uso). Um adquirente não tem impedimentos para reconhecer como um único ativo intangível, os direitos autorais e quaisquer direitos relacionados, que forem obtidos por cessão ou licenças de uso, desde eles tenham vidas úteis similares.</w:t>
      </w:r>
    </w:p>
    <w:p w14:paraId="2CDCB57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2A2AD99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baseados em contrato</w:t>
      </w:r>
    </w:p>
    <w:p w14:paraId="48E97E1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40983B1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C34.</w:t>
      </w:r>
      <w:r w:rsidRPr="0096738F">
        <w:rPr>
          <w:rFonts w:ascii="Arial" w:eastAsia="Times New Roman" w:hAnsi="Arial" w:cs="Arial"/>
          <w:sz w:val="22"/>
          <w:szCs w:val="22"/>
          <w:lang w:eastAsia="pt-BR"/>
        </w:rPr>
        <w:tab/>
        <w:t>Ativos intangíveis baseados em contrato representam o valor dos direitos que surgem de acordos contratuais. Contratos com clientes constituem-se em um tipo de ativo intangível baseado em contrato. Se os termos e condições de um contrato dão origem a um passivo (por exemplo, se os termos de um contrato de arrendamento operacional ou um contrato com cliente são desfavoráveis em relação às condições do mercado), o adquirente deve reconhecer esse contrato como um passivo assumido na combinação de negócio. São exemplos de ativos intangíveis baseados em contrato:</w:t>
      </w:r>
    </w:p>
    <w:p w14:paraId="2B1E99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tbl>
      <w:tblPr>
        <w:tblW w:w="47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82"/>
        <w:gridCol w:w="2020"/>
      </w:tblGrid>
      <w:tr w:rsidR="0096738F" w:rsidRPr="0096738F" w14:paraId="4881737B" w14:textId="77777777" w:rsidTr="00DF2196">
        <w:trPr>
          <w:jc w:val="center"/>
        </w:trPr>
        <w:tc>
          <w:tcPr>
            <w:tcW w:w="3980" w:type="pct"/>
          </w:tcPr>
          <w:p w14:paraId="4FF192F0"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Classe</w:t>
            </w:r>
          </w:p>
        </w:tc>
        <w:tc>
          <w:tcPr>
            <w:tcW w:w="1020" w:type="pct"/>
          </w:tcPr>
          <w:p w14:paraId="019EE9F1"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Base</w:t>
            </w:r>
          </w:p>
        </w:tc>
      </w:tr>
      <w:tr w:rsidR="0096738F" w:rsidRPr="0096738F" w14:paraId="1244270F" w14:textId="77777777" w:rsidTr="00DF2196">
        <w:trPr>
          <w:jc w:val="center"/>
        </w:trPr>
        <w:tc>
          <w:tcPr>
            <w:tcW w:w="3980" w:type="pct"/>
            <w:vAlign w:val="center"/>
          </w:tcPr>
          <w:p w14:paraId="2938009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Acordos de </w:t>
            </w:r>
            <w:r w:rsidRPr="0096738F">
              <w:rPr>
                <w:rFonts w:ascii="Arial" w:eastAsia="Times New Roman" w:hAnsi="Arial" w:cs="Arial"/>
                <w:i/>
                <w:sz w:val="22"/>
                <w:szCs w:val="22"/>
                <w:lang w:val="pt-PT" w:eastAsia="pt-BR"/>
              </w:rPr>
              <w:t>royalties</w:t>
            </w:r>
            <w:r w:rsidRPr="0096738F">
              <w:rPr>
                <w:rFonts w:ascii="Arial" w:eastAsia="Times New Roman" w:hAnsi="Arial" w:cs="Arial"/>
                <w:sz w:val="22"/>
                <w:szCs w:val="22"/>
                <w:lang w:val="pt-PT" w:eastAsia="pt-BR"/>
              </w:rPr>
              <w:t>, licenciamentos e acordos de paralisação</w:t>
            </w:r>
          </w:p>
        </w:tc>
        <w:tc>
          <w:tcPr>
            <w:tcW w:w="1020" w:type="pct"/>
            <w:vAlign w:val="center"/>
          </w:tcPr>
          <w:p w14:paraId="647C5E8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735F7122" w14:textId="77777777" w:rsidTr="00DF2196">
        <w:trPr>
          <w:jc w:val="center"/>
        </w:trPr>
        <w:tc>
          <w:tcPr>
            <w:tcW w:w="3980" w:type="pct"/>
            <w:vAlign w:val="center"/>
          </w:tcPr>
          <w:p w14:paraId="5B9B2A2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lastRenderedPageBreak/>
              <w:t xml:space="preserve">Contratos de publicidade, construção, gestão, serviço ou </w:t>
            </w:r>
            <w:r w:rsidRPr="0096738F">
              <w:rPr>
                <w:rFonts w:ascii="Arial" w:eastAsia="Times New Roman" w:hAnsi="Arial" w:cs="Arial"/>
                <w:bCs/>
                <w:sz w:val="22"/>
                <w:szCs w:val="22"/>
                <w:lang w:val="pt-PT" w:eastAsia="pt-BR"/>
              </w:rPr>
              <w:t>fornecimento</w:t>
            </w:r>
          </w:p>
        </w:tc>
        <w:tc>
          <w:tcPr>
            <w:tcW w:w="1020" w:type="pct"/>
            <w:vAlign w:val="center"/>
          </w:tcPr>
          <w:p w14:paraId="6AAC69B0"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33262F09" w14:textId="77777777" w:rsidTr="00DF2196">
        <w:trPr>
          <w:jc w:val="center"/>
        </w:trPr>
        <w:tc>
          <w:tcPr>
            <w:tcW w:w="3980" w:type="pct"/>
            <w:vAlign w:val="center"/>
          </w:tcPr>
          <w:p w14:paraId="2F840A4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Contratos de arrendamento (quer a adquirida seja arrendador ou arrendatário)</w:t>
            </w:r>
          </w:p>
        </w:tc>
        <w:tc>
          <w:tcPr>
            <w:tcW w:w="1020" w:type="pct"/>
            <w:vAlign w:val="center"/>
          </w:tcPr>
          <w:p w14:paraId="778B396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6C918AAB" w14:textId="77777777" w:rsidTr="00DF2196">
        <w:trPr>
          <w:jc w:val="center"/>
        </w:trPr>
        <w:tc>
          <w:tcPr>
            <w:tcW w:w="3980" w:type="pct"/>
            <w:vAlign w:val="center"/>
          </w:tcPr>
          <w:p w14:paraId="5AE7479B"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Permissões para construção</w:t>
            </w:r>
          </w:p>
        </w:tc>
        <w:tc>
          <w:tcPr>
            <w:tcW w:w="1020" w:type="pct"/>
            <w:vAlign w:val="center"/>
          </w:tcPr>
          <w:p w14:paraId="75B2EF4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3642F0D1" w14:textId="77777777" w:rsidTr="00DF2196">
        <w:trPr>
          <w:jc w:val="center"/>
        </w:trPr>
        <w:tc>
          <w:tcPr>
            <w:tcW w:w="3980" w:type="pct"/>
            <w:vAlign w:val="center"/>
          </w:tcPr>
          <w:p w14:paraId="2681BE47"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bCs/>
                <w:sz w:val="22"/>
                <w:szCs w:val="22"/>
                <w:lang w:val="en-US" w:eastAsia="pt-BR"/>
              </w:rPr>
              <w:t xml:space="preserve">Acordos de </w:t>
            </w:r>
            <w:r w:rsidRPr="0096738F">
              <w:rPr>
                <w:rFonts w:ascii="Arial" w:eastAsia="Times New Roman" w:hAnsi="Arial" w:cs="Arial"/>
                <w:sz w:val="22"/>
                <w:szCs w:val="22"/>
                <w:lang w:val="en-US" w:eastAsia="pt-BR"/>
              </w:rPr>
              <w:t>franquias</w:t>
            </w:r>
          </w:p>
        </w:tc>
        <w:tc>
          <w:tcPr>
            <w:tcW w:w="1020" w:type="pct"/>
            <w:vAlign w:val="center"/>
          </w:tcPr>
          <w:p w14:paraId="5A6D82E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36AA8A44" w14:textId="77777777" w:rsidTr="00DF2196">
        <w:trPr>
          <w:jc w:val="center"/>
        </w:trPr>
        <w:tc>
          <w:tcPr>
            <w:tcW w:w="3980" w:type="pct"/>
            <w:vAlign w:val="center"/>
          </w:tcPr>
          <w:p w14:paraId="411D5E2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Direitos de operação ou transmissão (como radiodifusão ou teledifusão)</w:t>
            </w:r>
          </w:p>
        </w:tc>
        <w:tc>
          <w:tcPr>
            <w:tcW w:w="1020" w:type="pct"/>
            <w:vAlign w:val="center"/>
          </w:tcPr>
          <w:p w14:paraId="1EB23BB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64EE3676" w14:textId="77777777" w:rsidTr="00DF2196">
        <w:trPr>
          <w:jc w:val="center"/>
        </w:trPr>
        <w:tc>
          <w:tcPr>
            <w:tcW w:w="3980" w:type="pct"/>
            <w:vAlign w:val="center"/>
          </w:tcPr>
          <w:p w14:paraId="47872CE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Contratos </w:t>
            </w:r>
            <w:r w:rsidRPr="0096738F">
              <w:rPr>
                <w:rFonts w:ascii="Arial" w:eastAsia="Times New Roman" w:hAnsi="Arial" w:cs="Arial"/>
                <w:bCs/>
                <w:sz w:val="22"/>
                <w:szCs w:val="22"/>
                <w:lang w:val="pt-PT" w:eastAsia="pt-BR"/>
              </w:rPr>
              <w:t>de prestação de serviços específicos (</w:t>
            </w:r>
            <w:r w:rsidRPr="0096738F">
              <w:rPr>
                <w:rFonts w:ascii="Arial" w:eastAsia="Times New Roman" w:hAnsi="Arial" w:cs="Arial"/>
                <w:bCs/>
                <w:i/>
                <w:sz w:val="22"/>
                <w:szCs w:val="22"/>
                <w:lang w:val="pt-PT" w:eastAsia="pt-BR"/>
              </w:rPr>
              <w:t>servicing cont</w:t>
            </w:r>
            <w:r w:rsidRPr="0096738F">
              <w:rPr>
                <w:rFonts w:ascii="Arial" w:eastAsia="Times New Roman" w:hAnsi="Arial" w:cs="Arial"/>
                <w:bCs/>
                <w:sz w:val="22"/>
                <w:szCs w:val="22"/>
                <w:lang w:val="pt-PT" w:eastAsia="pt-BR"/>
              </w:rPr>
              <w:t>racts),</w:t>
            </w:r>
            <w:r w:rsidRPr="0096738F">
              <w:rPr>
                <w:rFonts w:ascii="Arial" w:eastAsia="Times New Roman" w:hAnsi="Arial" w:cs="Arial"/>
                <w:sz w:val="22"/>
                <w:szCs w:val="22"/>
                <w:lang w:val="pt-PT" w:eastAsia="pt-BR"/>
              </w:rPr>
              <w:t xml:space="preserve"> tais como </w:t>
            </w:r>
            <w:r w:rsidRPr="0096738F">
              <w:rPr>
                <w:rFonts w:ascii="Arial" w:eastAsia="Times New Roman" w:hAnsi="Arial" w:cs="Arial"/>
                <w:bCs/>
                <w:sz w:val="22"/>
                <w:szCs w:val="22"/>
                <w:lang w:val="pt-PT" w:eastAsia="pt-BR"/>
              </w:rPr>
              <w:t xml:space="preserve">contratos de prestação de serviços em </w:t>
            </w:r>
            <w:r w:rsidRPr="0096738F">
              <w:rPr>
                <w:rFonts w:ascii="Arial" w:eastAsia="Times New Roman" w:hAnsi="Arial" w:cs="Arial"/>
                <w:sz w:val="22"/>
                <w:szCs w:val="22"/>
                <w:lang w:val="pt-PT" w:eastAsia="pt-BR"/>
              </w:rPr>
              <w:t>hipotecas</w:t>
            </w:r>
          </w:p>
        </w:tc>
        <w:tc>
          <w:tcPr>
            <w:tcW w:w="1020" w:type="pct"/>
            <w:vAlign w:val="center"/>
          </w:tcPr>
          <w:p w14:paraId="27D30186"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55AF9438" w14:textId="77777777" w:rsidTr="00DF2196">
        <w:trPr>
          <w:jc w:val="center"/>
        </w:trPr>
        <w:tc>
          <w:tcPr>
            <w:tcW w:w="3980" w:type="pct"/>
            <w:vAlign w:val="center"/>
          </w:tcPr>
          <w:p w14:paraId="21AC4355"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Contratos com empregados</w:t>
            </w:r>
          </w:p>
        </w:tc>
        <w:tc>
          <w:tcPr>
            <w:tcW w:w="1020" w:type="pct"/>
            <w:vAlign w:val="center"/>
          </w:tcPr>
          <w:p w14:paraId="689FCE0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42C68CD5" w14:textId="77777777" w:rsidTr="00DF2196">
        <w:trPr>
          <w:jc w:val="center"/>
        </w:trPr>
        <w:tc>
          <w:tcPr>
            <w:tcW w:w="3980" w:type="pct"/>
            <w:vAlign w:val="center"/>
          </w:tcPr>
          <w:p w14:paraId="4BD61297"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Direitos de exploração de recursos naturais, tais como perfuração de solo e exploração de água, ar, rotas, recursos florestais e recursos minerais</w:t>
            </w:r>
          </w:p>
        </w:tc>
        <w:tc>
          <w:tcPr>
            <w:tcW w:w="1020" w:type="pct"/>
            <w:vAlign w:val="center"/>
          </w:tcPr>
          <w:p w14:paraId="6E941A6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bl>
    <w:p w14:paraId="56159AE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15E53DE2"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Contratos de prestação de serviços específicos, tais como contratos de prestação de serviços em hipotecas</w:t>
      </w:r>
    </w:p>
    <w:p w14:paraId="1683BB0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6AAD0A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C35.</w:t>
      </w:r>
      <w:r w:rsidRPr="0096738F">
        <w:rPr>
          <w:rFonts w:ascii="Arial" w:eastAsia="Times New Roman" w:hAnsi="Arial" w:cs="Arial"/>
          <w:sz w:val="22"/>
          <w:szCs w:val="22"/>
          <w:lang w:eastAsia="pt-BR"/>
        </w:rPr>
        <w:tab/>
        <w:t>Contratos de prestação de serviços envolvendo ativos financeiros (recolher pagamentos, transferir recursos, cobrar, etc.) constituem um tipo de ativo intangível baseado em contrato. Embora a prestação de serviço (</w:t>
      </w:r>
      <w:r w:rsidRPr="0096738F">
        <w:rPr>
          <w:rFonts w:ascii="Arial" w:eastAsia="Times New Roman" w:hAnsi="Arial" w:cs="Arial"/>
          <w:i/>
          <w:sz w:val="22"/>
          <w:szCs w:val="22"/>
          <w:lang w:eastAsia="pt-BR"/>
        </w:rPr>
        <w:t>servicing</w:t>
      </w:r>
      <w:r w:rsidRPr="0096738F">
        <w:rPr>
          <w:rFonts w:ascii="Arial" w:eastAsia="Times New Roman" w:hAnsi="Arial" w:cs="Arial"/>
          <w:sz w:val="22"/>
          <w:szCs w:val="22"/>
          <w:lang w:eastAsia="pt-BR"/>
        </w:rPr>
        <w:t>) seja inerente a todos os ativos financeiros, ela se torna um ativo (ou passivo) distinto por meio de uma das seguintes condições:</w:t>
      </w:r>
    </w:p>
    <w:p w14:paraId="7213CA6B" w14:textId="77777777" w:rsidR="0096738F" w:rsidRPr="0096738F" w:rsidRDefault="0096738F" w:rsidP="0096738F">
      <w:pPr>
        <w:widowControl w:val="0"/>
        <w:numPr>
          <w:ilvl w:val="0"/>
          <w:numId w:val="5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quando puder ser contratualmente </w:t>
      </w:r>
      <w:r w:rsidRPr="0096738F">
        <w:rPr>
          <w:rFonts w:ascii="Arial" w:eastAsia="Times New Roman" w:hAnsi="Arial" w:cs="Arial"/>
          <w:bCs/>
          <w:iCs/>
          <w:sz w:val="22"/>
          <w:szCs w:val="22"/>
          <w:lang w:val="pt-PT" w:eastAsia="pt-BR"/>
        </w:rPr>
        <w:t>separada</w:t>
      </w:r>
      <w:r w:rsidRPr="0096738F">
        <w:rPr>
          <w:rFonts w:ascii="Arial" w:eastAsia="Times New Roman" w:hAnsi="Arial" w:cs="Arial"/>
          <w:sz w:val="22"/>
          <w:szCs w:val="22"/>
          <w:lang w:val="pt-PT" w:eastAsia="pt-BR"/>
        </w:rPr>
        <w:t xml:space="preserve"> do ativo financeiro subjacente por venda ou securitização dos ativos com </w:t>
      </w:r>
      <w:r w:rsidRPr="0096738F">
        <w:rPr>
          <w:rFonts w:ascii="Arial" w:eastAsia="Times New Roman" w:hAnsi="Arial" w:cs="Arial"/>
          <w:bCs/>
          <w:iCs/>
          <w:sz w:val="22"/>
          <w:szCs w:val="22"/>
          <w:lang w:val="pt-PT" w:eastAsia="pt-BR"/>
        </w:rPr>
        <w:t xml:space="preserve">a prestação dos </w:t>
      </w:r>
      <w:r w:rsidRPr="0096738F">
        <w:rPr>
          <w:rFonts w:ascii="Arial" w:eastAsia="Times New Roman" w:hAnsi="Arial" w:cs="Arial"/>
          <w:sz w:val="22"/>
          <w:szCs w:val="22"/>
          <w:lang w:val="pt-PT" w:eastAsia="pt-BR"/>
        </w:rPr>
        <w:t xml:space="preserve">serviços </w:t>
      </w:r>
      <w:r w:rsidRPr="0096738F">
        <w:rPr>
          <w:rFonts w:ascii="Arial" w:eastAsia="Times New Roman" w:hAnsi="Arial" w:cs="Arial"/>
          <w:bCs/>
          <w:iCs/>
          <w:sz w:val="22"/>
          <w:szCs w:val="22"/>
          <w:lang w:val="pt-PT" w:eastAsia="pt-BR"/>
        </w:rPr>
        <w:t>retida;</w:t>
      </w:r>
    </w:p>
    <w:p w14:paraId="7C4961B4" w14:textId="77777777" w:rsidR="0096738F" w:rsidRPr="0096738F" w:rsidRDefault="0096738F" w:rsidP="0096738F">
      <w:pPr>
        <w:widowControl w:val="0"/>
        <w:numPr>
          <w:ilvl w:val="0"/>
          <w:numId w:val="58"/>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por meio da compra separada e assunção </w:t>
      </w:r>
      <w:r w:rsidRPr="0096738F">
        <w:rPr>
          <w:rFonts w:ascii="Arial" w:eastAsia="Times New Roman" w:hAnsi="Arial" w:cs="Arial"/>
          <w:bCs/>
          <w:iCs/>
          <w:sz w:val="22"/>
          <w:szCs w:val="22"/>
          <w:lang w:val="pt-PT" w:eastAsia="pt-BR"/>
        </w:rPr>
        <w:t xml:space="preserve">da prestação </w:t>
      </w:r>
      <w:r w:rsidRPr="0096738F">
        <w:rPr>
          <w:rFonts w:ascii="Arial" w:eastAsia="Times New Roman" w:hAnsi="Arial" w:cs="Arial"/>
          <w:sz w:val="22"/>
          <w:szCs w:val="22"/>
          <w:lang w:val="pt-PT" w:eastAsia="pt-BR"/>
        </w:rPr>
        <w:t>do serviço.</w:t>
      </w:r>
    </w:p>
    <w:p w14:paraId="263639E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957B14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C36.</w:t>
      </w:r>
      <w:r w:rsidRPr="0096738F">
        <w:rPr>
          <w:rFonts w:ascii="Arial" w:eastAsia="Times New Roman" w:hAnsi="Arial" w:cs="Arial"/>
          <w:sz w:val="22"/>
          <w:szCs w:val="22"/>
          <w:lang w:eastAsia="pt-BR"/>
        </w:rPr>
        <w:tab/>
        <w:t>Quando créditos hipotecários, recebíveis de cartão de crédito ou outros ativos financeiros são adquiridos em uma combinação de negócios com a prestação de serviços retida, os direitos inerentes à prestação dos serviços (</w:t>
      </w:r>
      <w:r w:rsidRPr="0096738F">
        <w:rPr>
          <w:rFonts w:ascii="Arial" w:eastAsia="Times New Roman" w:hAnsi="Arial" w:cs="Arial"/>
          <w:i/>
          <w:sz w:val="22"/>
          <w:szCs w:val="22"/>
          <w:lang w:eastAsia="pt-BR"/>
        </w:rPr>
        <w:t>servicing</w:t>
      </w:r>
      <w:r w:rsidRPr="0096738F">
        <w:rPr>
          <w:rFonts w:ascii="Arial" w:eastAsia="Times New Roman" w:hAnsi="Arial" w:cs="Arial"/>
          <w:sz w:val="22"/>
          <w:szCs w:val="22"/>
          <w:lang w:eastAsia="pt-BR"/>
        </w:rPr>
        <w:t xml:space="preserve"> </w:t>
      </w:r>
      <w:r w:rsidRPr="0096738F">
        <w:rPr>
          <w:rFonts w:ascii="Arial" w:eastAsia="Times New Roman" w:hAnsi="Arial" w:cs="Arial"/>
          <w:i/>
          <w:sz w:val="22"/>
          <w:szCs w:val="22"/>
          <w:lang w:eastAsia="pt-BR"/>
        </w:rPr>
        <w:t>rights</w:t>
      </w:r>
      <w:r w:rsidRPr="0096738F">
        <w:rPr>
          <w:rFonts w:ascii="Arial" w:eastAsia="Times New Roman" w:hAnsi="Arial" w:cs="Arial"/>
          <w:sz w:val="22"/>
          <w:szCs w:val="22"/>
          <w:lang w:eastAsia="pt-BR"/>
        </w:rPr>
        <w:t>) não constituem um ativo intangível separável porque o valor justo dos respectivos direitos de serviço está incluso na mensuração do valor justo dos ativos financeiros adquiridos.</w:t>
      </w:r>
    </w:p>
    <w:p w14:paraId="0438B54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E8F3F6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Contratos com empregados</w:t>
      </w:r>
    </w:p>
    <w:p w14:paraId="287F5D3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92876F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C37.</w:t>
      </w:r>
      <w:r w:rsidRPr="0096738F">
        <w:rPr>
          <w:rFonts w:ascii="Arial" w:eastAsia="Times New Roman" w:hAnsi="Arial" w:cs="Arial"/>
          <w:sz w:val="22"/>
          <w:szCs w:val="22"/>
          <w:lang w:eastAsia="pt-BR"/>
        </w:rPr>
        <w:tab/>
        <w:t>Contratos com empregados constituem um tipo de ativo intangível baseado em contrato quando eles são benéficos pela perspectiva do empregador, em função de seus preços serem favoráveis em relação às condições de mercado.</w:t>
      </w:r>
    </w:p>
    <w:p w14:paraId="606926C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D0208A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Direitos de uso</w:t>
      </w:r>
    </w:p>
    <w:p w14:paraId="1212860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6BAD479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C38.</w:t>
      </w:r>
      <w:r w:rsidRPr="0096738F">
        <w:rPr>
          <w:rFonts w:ascii="Arial" w:eastAsia="Times New Roman" w:hAnsi="Arial" w:cs="Arial"/>
          <w:sz w:val="22"/>
          <w:szCs w:val="22"/>
          <w:lang w:eastAsia="pt-BR"/>
        </w:rPr>
        <w:tab/>
        <w:t>Direitos de uso incluem direitos ou autorização para exploração de recursos tais como água, ar, solo, floresta e rota. Alguns direitos de uso são ativos intangíveis baseados em contrato e devem ser contabilizados separadamente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 Outros direitos de uso podem ter características de ativos tangíveis em vez de intangíveis. O adquirente deve contabilizar os direitos de uso com base em sua natureza.</w:t>
      </w:r>
    </w:p>
    <w:p w14:paraId="71A10FE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AECD26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Ativos intangíveis baseados em tecnologia</w:t>
      </w:r>
    </w:p>
    <w:p w14:paraId="7A51D65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3098EEF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C39.</w:t>
      </w:r>
      <w:r w:rsidRPr="0096738F">
        <w:rPr>
          <w:rFonts w:ascii="Arial" w:eastAsia="Times New Roman" w:hAnsi="Arial" w:cs="Arial"/>
          <w:sz w:val="22"/>
          <w:szCs w:val="22"/>
          <w:lang w:eastAsia="pt-BR"/>
        </w:rPr>
        <w:tab/>
        <w:t>São exemplos de ativos intangíveis baseados em tecnologia:</w:t>
      </w:r>
    </w:p>
    <w:p w14:paraId="76157E6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4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5"/>
        <w:gridCol w:w="1858"/>
      </w:tblGrid>
      <w:tr w:rsidR="0096738F" w:rsidRPr="0096738F" w14:paraId="200A15D4" w14:textId="77777777" w:rsidTr="00DF2196">
        <w:trPr>
          <w:jc w:val="center"/>
        </w:trPr>
        <w:tc>
          <w:tcPr>
            <w:tcW w:w="4009" w:type="pct"/>
          </w:tcPr>
          <w:p w14:paraId="319E55F6"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Classe</w:t>
            </w:r>
          </w:p>
        </w:tc>
        <w:tc>
          <w:tcPr>
            <w:tcW w:w="991" w:type="pct"/>
          </w:tcPr>
          <w:p w14:paraId="225488A0"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Base</w:t>
            </w:r>
          </w:p>
        </w:tc>
      </w:tr>
      <w:tr w:rsidR="0096738F" w:rsidRPr="0096738F" w14:paraId="6712E837" w14:textId="77777777" w:rsidTr="00DF2196">
        <w:trPr>
          <w:jc w:val="center"/>
        </w:trPr>
        <w:tc>
          <w:tcPr>
            <w:tcW w:w="4009" w:type="pct"/>
            <w:vAlign w:val="center"/>
          </w:tcPr>
          <w:p w14:paraId="3DF4263B"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lastRenderedPageBreak/>
              <w:t>Tecnologia patenteada</w:t>
            </w:r>
          </w:p>
        </w:tc>
        <w:tc>
          <w:tcPr>
            <w:tcW w:w="991" w:type="pct"/>
            <w:vAlign w:val="center"/>
          </w:tcPr>
          <w:p w14:paraId="5A6B727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609C84BF" w14:textId="77777777" w:rsidTr="00DF2196">
        <w:trPr>
          <w:jc w:val="center"/>
        </w:trPr>
        <w:tc>
          <w:tcPr>
            <w:tcW w:w="4009" w:type="pct"/>
            <w:vAlign w:val="center"/>
          </w:tcPr>
          <w:p w14:paraId="5B636D88"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i/>
                <w:sz w:val="22"/>
                <w:szCs w:val="22"/>
                <w:lang w:val="pt-PT" w:eastAsia="pt-BR"/>
              </w:rPr>
              <w:t>Softwares</w:t>
            </w:r>
            <w:r w:rsidRPr="0096738F">
              <w:rPr>
                <w:rFonts w:ascii="Arial" w:eastAsia="Times New Roman" w:hAnsi="Arial" w:cs="Arial"/>
                <w:sz w:val="22"/>
                <w:szCs w:val="22"/>
                <w:lang w:val="pt-PT" w:eastAsia="pt-BR"/>
              </w:rPr>
              <w:t xml:space="preserve"> para computadores</w:t>
            </w:r>
            <w:r w:rsidRPr="0096738F">
              <w:rPr>
                <w:rFonts w:ascii="Arial" w:eastAsia="Times New Roman" w:hAnsi="Arial" w:cs="Arial"/>
                <w:bCs/>
                <w:sz w:val="22"/>
                <w:szCs w:val="22"/>
                <w:lang w:val="pt-PT" w:eastAsia="pt-BR"/>
              </w:rPr>
              <w:t xml:space="preserve"> e </w:t>
            </w:r>
            <w:r w:rsidRPr="0096738F">
              <w:rPr>
                <w:rFonts w:ascii="Arial" w:eastAsia="Times New Roman" w:hAnsi="Arial" w:cs="Arial"/>
                <w:bCs/>
                <w:i/>
                <w:sz w:val="22"/>
                <w:szCs w:val="22"/>
                <w:lang w:val="pt-PT" w:eastAsia="pt-BR"/>
              </w:rPr>
              <w:t>chips</w:t>
            </w:r>
            <w:r w:rsidRPr="0096738F">
              <w:rPr>
                <w:rFonts w:ascii="Arial" w:eastAsia="Times New Roman" w:hAnsi="Arial" w:cs="Arial"/>
                <w:bCs/>
                <w:sz w:val="22"/>
                <w:szCs w:val="22"/>
                <w:lang w:val="pt-PT" w:eastAsia="pt-BR"/>
              </w:rPr>
              <w:t xml:space="preserve"> de memória somente para leitura (</w:t>
            </w:r>
            <w:r w:rsidRPr="0096738F">
              <w:rPr>
                <w:rFonts w:ascii="Arial" w:eastAsia="Times New Roman" w:hAnsi="Arial" w:cs="Arial"/>
                <w:bCs/>
                <w:i/>
                <w:sz w:val="22"/>
                <w:szCs w:val="22"/>
                <w:lang w:val="pt-PT" w:eastAsia="pt-BR"/>
              </w:rPr>
              <w:t>mask</w:t>
            </w:r>
            <w:r w:rsidRPr="0096738F">
              <w:rPr>
                <w:rFonts w:ascii="Arial" w:eastAsia="Times New Roman" w:hAnsi="Arial" w:cs="Arial"/>
                <w:bCs/>
                <w:sz w:val="22"/>
                <w:szCs w:val="22"/>
                <w:lang w:val="pt-PT" w:eastAsia="pt-BR"/>
              </w:rPr>
              <w:t xml:space="preserve"> </w:t>
            </w:r>
            <w:r w:rsidRPr="0096738F">
              <w:rPr>
                <w:rFonts w:ascii="Arial" w:eastAsia="Times New Roman" w:hAnsi="Arial" w:cs="Arial"/>
                <w:bCs/>
                <w:i/>
                <w:sz w:val="22"/>
                <w:szCs w:val="22"/>
                <w:lang w:val="pt-PT" w:eastAsia="pt-BR"/>
              </w:rPr>
              <w:t>works</w:t>
            </w:r>
            <w:r w:rsidRPr="0096738F">
              <w:rPr>
                <w:rFonts w:ascii="Arial" w:eastAsia="Times New Roman" w:hAnsi="Arial" w:cs="Arial"/>
                <w:bCs/>
                <w:sz w:val="22"/>
                <w:szCs w:val="22"/>
                <w:lang w:val="pt-PT" w:eastAsia="pt-BR"/>
              </w:rPr>
              <w:t>)</w:t>
            </w:r>
          </w:p>
        </w:tc>
        <w:tc>
          <w:tcPr>
            <w:tcW w:w="991" w:type="pct"/>
            <w:vAlign w:val="center"/>
          </w:tcPr>
          <w:p w14:paraId="106DD54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r w:rsidR="0096738F" w:rsidRPr="0096738F" w14:paraId="268FB673" w14:textId="77777777" w:rsidTr="00DF2196">
        <w:trPr>
          <w:jc w:val="center"/>
        </w:trPr>
        <w:tc>
          <w:tcPr>
            <w:tcW w:w="4009" w:type="pct"/>
            <w:vAlign w:val="center"/>
          </w:tcPr>
          <w:p w14:paraId="6F9D7FCE"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Tecnologia não patenteada</w:t>
            </w:r>
          </w:p>
        </w:tc>
        <w:tc>
          <w:tcPr>
            <w:tcW w:w="991" w:type="pct"/>
            <w:vAlign w:val="center"/>
          </w:tcPr>
          <w:p w14:paraId="083CFBA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Não contratual</w:t>
            </w:r>
          </w:p>
        </w:tc>
      </w:tr>
      <w:tr w:rsidR="0096738F" w:rsidRPr="0096738F" w14:paraId="6F661CFA" w14:textId="77777777" w:rsidTr="00DF2196">
        <w:trPr>
          <w:jc w:val="center"/>
        </w:trPr>
        <w:tc>
          <w:tcPr>
            <w:tcW w:w="4009" w:type="pct"/>
            <w:vAlign w:val="center"/>
          </w:tcPr>
          <w:p w14:paraId="72571FC2"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Bases de dados</w:t>
            </w:r>
            <w:r w:rsidRPr="0096738F">
              <w:rPr>
                <w:rFonts w:ascii="Arial" w:eastAsia="Times New Roman" w:hAnsi="Arial" w:cs="Arial"/>
                <w:bCs/>
                <w:sz w:val="22"/>
                <w:szCs w:val="22"/>
                <w:lang w:val="pt-PT" w:eastAsia="pt-BR"/>
              </w:rPr>
              <w:t>, incluindo seus registros históricos (</w:t>
            </w:r>
            <w:r w:rsidRPr="0096738F">
              <w:rPr>
                <w:rFonts w:ascii="Arial" w:eastAsia="Times New Roman" w:hAnsi="Arial" w:cs="Arial"/>
                <w:bCs/>
                <w:i/>
                <w:sz w:val="22"/>
                <w:szCs w:val="22"/>
                <w:lang w:val="pt-PT" w:eastAsia="pt-BR"/>
              </w:rPr>
              <w:t>title</w:t>
            </w:r>
            <w:r w:rsidRPr="0096738F">
              <w:rPr>
                <w:rFonts w:ascii="Arial" w:eastAsia="Times New Roman" w:hAnsi="Arial" w:cs="Arial"/>
                <w:bCs/>
                <w:sz w:val="22"/>
                <w:szCs w:val="22"/>
                <w:lang w:val="pt-PT" w:eastAsia="pt-BR"/>
              </w:rPr>
              <w:t xml:space="preserve"> </w:t>
            </w:r>
            <w:r w:rsidRPr="0096738F">
              <w:rPr>
                <w:rFonts w:ascii="Arial" w:eastAsia="Times New Roman" w:hAnsi="Arial" w:cs="Arial"/>
                <w:bCs/>
                <w:i/>
                <w:sz w:val="22"/>
                <w:szCs w:val="22"/>
                <w:lang w:val="pt-PT" w:eastAsia="pt-BR"/>
              </w:rPr>
              <w:t>plants</w:t>
            </w:r>
            <w:r w:rsidRPr="0096738F">
              <w:rPr>
                <w:rFonts w:ascii="Arial" w:eastAsia="Times New Roman" w:hAnsi="Arial" w:cs="Arial"/>
                <w:bCs/>
                <w:sz w:val="22"/>
                <w:szCs w:val="22"/>
                <w:lang w:val="pt-PT" w:eastAsia="pt-BR"/>
              </w:rPr>
              <w:t>)</w:t>
            </w:r>
          </w:p>
        </w:tc>
        <w:tc>
          <w:tcPr>
            <w:tcW w:w="991" w:type="pct"/>
            <w:vAlign w:val="center"/>
          </w:tcPr>
          <w:p w14:paraId="136A485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Não contratual</w:t>
            </w:r>
          </w:p>
        </w:tc>
      </w:tr>
      <w:tr w:rsidR="0096738F" w:rsidRPr="0096738F" w14:paraId="06D3D447" w14:textId="77777777" w:rsidTr="00DF2196">
        <w:trPr>
          <w:jc w:val="center"/>
        </w:trPr>
        <w:tc>
          <w:tcPr>
            <w:tcW w:w="4009" w:type="pct"/>
            <w:vAlign w:val="center"/>
          </w:tcPr>
          <w:p w14:paraId="3B7287D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Segredos comerciais, tais como fórmulas, processos e receitas secretas</w:t>
            </w:r>
          </w:p>
        </w:tc>
        <w:tc>
          <w:tcPr>
            <w:tcW w:w="991" w:type="pct"/>
            <w:vAlign w:val="center"/>
          </w:tcPr>
          <w:p w14:paraId="33D17DC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Contratual</w:t>
            </w:r>
          </w:p>
        </w:tc>
      </w:tr>
    </w:tbl>
    <w:p w14:paraId="0783611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56316DA6"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eastAsia="pt-BR"/>
        </w:rPr>
      </w:pPr>
      <w:r w:rsidRPr="0096738F">
        <w:rPr>
          <w:rFonts w:ascii="Arial" w:eastAsia="Times New Roman" w:hAnsi="Arial" w:cs="Arial"/>
          <w:b/>
          <w:sz w:val="22"/>
          <w:szCs w:val="22"/>
          <w:lang w:eastAsia="pt-BR"/>
        </w:rPr>
        <w:t xml:space="preserve">Softwares para computadores e </w:t>
      </w:r>
      <w:r w:rsidRPr="0096738F">
        <w:rPr>
          <w:rFonts w:ascii="Arial" w:eastAsia="Times New Roman" w:hAnsi="Arial" w:cs="Arial"/>
          <w:b/>
          <w:i/>
          <w:sz w:val="22"/>
          <w:szCs w:val="22"/>
          <w:lang w:eastAsia="pt-BR"/>
        </w:rPr>
        <w:t>chips</w:t>
      </w:r>
      <w:r w:rsidRPr="0096738F">
        <w:rPr>
          <w:rFonts w:ascii="Arial" w:eastAsia="Times New Roman" w:hAnsi="Arial" w:cs="Arial"/>
          <w:b/>
          <w:sz w:val="22"/>
          <w:szCs w:val="22"/>
          <w:lang w:eastAsia="pt-BR"/>
        </w:rPr>
        <w:t xml:space="preserve"> de memória somente para leitura (</w:t>
      </w:r>
      <w:r w:rsidRPr="0096738F">
        <w:rPr>
          <w:rFonts w:ascii="Arial" w:eastAsia="Times New Roman" w:hAnsi="Arial" w:cs="Arial"/>
          <w:b/>
          <w:i/>
          <w:sz w:val="22"/>
          <w:szCs w:val="22"/>
          <w:lang w:eastAsia="pt-BR"/>
        </w:rPr>
        <w:t>mask works</w:t>
      </w:r>
      <w:r w:rsidRPr="0096738F">
        <w:rPr>
          <w:rFonts w:ascii="Arial" w:eastAsia="Times New Roman" w:hAnsi="Arial" w:cs="Arial"/>
          <w:b/>
          <w:sz w:val="22"/>
          <w:szCs w:val="22"/>
          <w:lang w:eastAsia="pt-BR"/>
        </w:rPr>
        <w:t>)</w:t>
      </w:r>
    </w:p>
    <w:p w14:paraId="41486A8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122B5BC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C40.</w:t>
      </w:r>
      <w:r w:rsidRPr="0096738F">
        <w:rPr>
          <w:rFonts w:ascii="Arial" w:eastAsia="Times New Roman" w:hAnsi="Arial" w:cs="Arial"/>
          <w:sz w:val="22"/>
          <w:szCs w:val="22"/>
          <w:lang w:eastAsia="pt-BR"/>
        </w:rPr>
        <w:tab/>
        <w:t>Softwares de computadores e programas adquiridos em uma combinação de negócios que sejam legalmente protegidos, como por meio de patente ou de direitos autorais, atendem ao critério contratual-legal para sua identificação como um ativo intangível.</w:t>
      </w:r>
    </w:p>
    <w:p w14:paraId="246C33D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60C829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C41.</w:t>
      </w:r>
      <w:r w:rsidRPr="0096738F">
        <w:rPr>
          <w:rFonts w:ascii="Arial" w:eastAsia="Times New Roman" w:hAnsi="Arial" w:cs="Arial"/>
          <w:sz w:val="22"/>
          <w:szCs w:val="22"/>
          <w:lang w:eastAsia="pt-BR"/>
        </w:rPr>
        <w:tab/>
        <w:t>Alguns softwares são permanentemente armazenados em um chip de memória somente para leitura, como uma série de instruções ou um circuito integrado (</w:t>
      </w:r>
      <w:r w:rsidRPr="0096738F">
        <w:rPr>
          <w:rFonts w:ascii="Arial" w:eastAsia="Times New Roman" w:hAnsi="Arial" w:cs="Arial"/>
          <w:i/>
          <w:sz w:val="22"/>
          <w:szCs w:val="22"/>
          <w:lang w:eastAsia="pt-BR"/>
        </w:rPr>
        <w:t>mask</w:t>
      </w:r>
      <w:r w:rsidRPr="0096738F">
        <w:rPr>
          <w:rFonts w:ascii="Arial" w:eastAsia="Times New Roman" w:hAnsi="Arial" w:cs="Arial"/>
          <w:sz w:val="22"/>
          <w:szCs w:val="22"/>
          <w:lang w:eastAsia="pt-BR"/>
        </w:rPr>
        <w:t xml:space="preserve"> </w:t>
      </w:r>
      <w:r w:rsidRPr="0096738F">
        <w:rPr>
          <w:rFonts w:ascii="Arial" w:eastAsia="Times New Roman" w:hAnsi="Arial" w:cs="Arial"/>
          <w:i/>
          <w:sz w:val="22"/>
          <w:szCs w:val="22"/>
          <w:lang w:eastAsia="pt-BR"/>
        </w:rPr>
        <w:t>works</w:t>
      </w:r>
      <w:r w:rsidRPr="0096738F">
        <w:rPr>
          <w:rFonts w:ascii="Arial" w:eastAsia="Times New Roman" w:hAnsi="Arial" w:cs="Arial"/>
          <w:sz w:val="22"/>
          <w:szCs w:val="22"/>
          <w:lang w:eastAsia="pt-BR"/>
        </w:rPr>
        <w:t>). Esse tipo de software pode ter uma proteção legal e, nesse caso, quando adquiridos em uma combinação de negócios eles atendem ao critério contratual-legal para sua identificação como um ativo intangível.</w:t>
      </w:r>
    </w:p>
    <w:p w14:paraId="08FA8E0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F27A51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Bases de dados, incluindo seus registros históricos (</w:t>
      </w:r>
      <w:r w:rsidRPr="0096738F">
        <w:rPr>
          <w:rFonts w:ascii="Arial" w:eastAsia="Times New Roman" w:hAnsi="Arial" w:cs="Arial"/>
          <w:b/>
          <w:i/>
          <w:sz w:val="22"/>
          <w:szCs w:val="22"/>
          <w:lang w:eastAsia="pt-BR"/>
        </w:rPr>
        <w:t>title</w:t>
      </w:r>
      <w:r w:rsidRPr="0096738F">
        <w:rPr>
          <w:rFonts w:ascii="Arial" w:eastAsia="Times New Roman" w:hAnsi="Arial" w:cs="Arial"/>
          <w:b/>
          <w:sz w:val="22"/>
          <w:szCs w:val="22"/>
          <w:lang w:eastAsia="pt-BR"/>
        </w:rPr>
        <w:t xml:space="preserve"> </w:t>
      </w:r>
      <w:r w:rsidRPr="0096738F">
        <w:rPr>
          <w:rFonts w:ascii="Arial" w:eastAsia="Times New Roman" w:hAnsi="Arial" w:cs="Arial"/>
          <w:b/>
          <w:i/>
          <w:sz w:val="22"/>
          <w:szCs w:val="22"/>
          <w:lang w:eastAsia="pt-BR"/>
        </w:rPr>
        <w:t>plants</w:t>
      </w:r>
      <w:r w:rsidRPr="0096738F">
        <w:rPr>
          <w:rFonts w:ascii="Arial" w:eastAsia="Times New Roman" w:hAnsi="Arial" w:cs="Arial"/>
          <w:b/>
          <w:sz w:val="22"/>
          <w:szCs w:val="22"/>
          <w:lang w:eastAsia="pt-BR"/>
        </w:rPr>
        <w:t>)</w:t>
      </w:r>
    </w:p>
    <w:p w14:paraId="7EF4670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1222A7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C42.</w:t>
      </w:r>
      <w:r w:rsidRPr="0096738F">
        <w:rPr>
          <w:rFonts w:ascii="Arial" w:eastAsia="Times New Roman" w:hAnsi="Arial" w:cs="Arial"/>
          <w:sz w:val="22"/>
          <w:szCs w:val="22"/>
          <w:lang w:eastAsia="pt-BR"/>
        </w:rPr>
        <w:tab/>
        <w:t>Bases de dados são coleções de informações, frequentemente armazenadas de forma eletrônica (em arquivos ou discos de computadores). Uma base de dados que inclui trabalhos originais pode estar protegida por direitos autorais. Uma base de dados adquirida em uma combinação de negócios, cujos direitos autorais estão protegidos, atende ao critério contratual-legal. Contudo, uma base de dados tipicamente inclui informação gerada em consequência das operações normais de uma entidade, tal como listas de clientes ou informação especializada (dados científicos ou informação de crédito, por exemplo). Bases de dados cujos direitos autorais não estejam protegidos podem ser, e frequentemente são, trocadas, licenciadas ou alugadas para terceiros (integral ou parcialmente). Portanto, mesmo se os benefícios econômicos futuros de uma base de dados não se originem de direitos legais, ela atende ao critério da separabilidade quando adquirida em uma combinação de negócios.</w:t>
      </w:r>
    </w:p>
    <w:p w14:paraId="16C3579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F051A1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C43.</w:t>
      </w:r>
      <w:r w:rsidRPr="0096738F">
        <w:rPr>
          <w:rFonts w:ascii="Arial" w:eastAsia="Times New Roman" w:hAnsi="Arial" w:cs="Arial"/>
          <w:sz w:val="22"/>
          <w:szCs w:val="22"/>
          <w:lang w:eastAsia="pt-BR"/>
        </w:rPr>
        <w:tab/>
        <w:t>Algumas bases de dados constituem um registro histórico de todos os assuntos que afetam a propriedade de glebas em determinada área geográfica específica (</w:t>
      </w:r>
      <w:r w:rsidRPr="0096738F">
        <w:rPr>
          <w:rFonts w:ascii="Arial" w:eastAsia="Times New Roman" w:hAnsi="Arial" w:cs="Arial"/>
          <w:i/>
          <w:sz w:val="22"/>
          <w:szCs w:val="22"/>
          <w:lang w:eastAsia="pt-BR"/>
        </w:rPr>
        <w:t>title</w:t>
      </w:r>
      <w:r w:rsidRPr="0096738F">
        <w:rPr>
          <w:rFonts w:ascii="Arial" w:eastAsia="Times New Roman" w:hAnsi="Arial" w:cs="Arial"/>
          <w:sz w:val="22"/>
          <w:szCs w:val="22"/>
          <w:lang w:eastAsia="pt-BR"/>
        </w:rPr>
        <w:t xml:space="preserve"> </w:t>
      </w:r>
      <w:r w:rsidRPr="0096738F">
        <w:rPr>
          <w:rFonts w:ascii="Arial" w:eastAsia="Times New Roman" w:hAnsi="Arial" w:cs="Arial"/>
          <w:i/>
          <w:sz w:val="22"/>
          <w:szCs w:val="22"/>
          <w:lang w:eastAsia="pt-BR"/>
        </w:rPr>
        <w:t>plants</w:t>
      </w:r>
      <w:r w:rsidRPr="0096738F">
        <w:rPr>
          <w:rFonts w:ascii="Arial" w:eastAsia="Times New Roman" w:hAnsi="Arial" w:cs="Arial"/>
          <w:sz w:val="22"/>
          <w:szCs w:val="22"/>
          <w:lang w:eastAsia="pt-BR"/>
        </w:rPr>
        <w:t xml:space="preserve">). Tais bases de dados podem ser compradas e vendidas (integral ou parcialmente) em transações de troca ou podem ser licenciadas. Portanto, uma </w:t>
      </w:r>
      <w:r w:rsidRPr="0096738F">
        <w:rPr>
          <w:rFonts w:ascii="Arial" w:eastAsia="Times New Roman" w:hAnsi="Arial" w:cs="Arial"/>
          <w:i/>
          <w:sz w:val="22"/>
          <w:szCs w:val="22"/>
          <w:lang w:eastAsia="pt-BR"/>
        </w:rPr>
        <w:t>title plant</w:t>
      </w:r>
      <w:r w:rsidRPr="0096738F">
        <w:rPr>
          <w:rFonts w:ascii="Arial" w:eastAsia="Times New Roman" w:hAnsi="Arial" w:cs="Arial"/>
          <w:sz w:val="22"/>
          <w:szCs w:val="22"/>
          <w:lang w:eastAsia="pt-BR"/>
        </w:rPr>
        <w:t xml:space="preserve"> atende ao critério da separabilidade quando adquirida em uma combinação de negócios.</w:t>
      </w:r>
    </w:p>
    <w:p w14:paraId="61C6096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5649DE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Segredos comerciais, tais como fórmulas, processos e receitas secretas</w:t>
      </w:r>
    </w:p>
    <w:p w14:paraId="000956D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155665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w:t>
      </w:r>
      <w:r w:rsidRPr="0096738F">
        <w:rPr>
          <w:rFonts w:ascii="Arial" w:eastAsia="Times New Roman" w:hAnsi="Arial" w:cs="Arial"/>
          <w:sz w:val="22"/>
          <w:szCs w:val="22"/>
          <w:lang w:eastAsia="pt-BR"/>
        </w:rPr>
        <w:tab/>
        <w:t xml:space="preserve">Um segredo comercial é “uma informação, incluindo fórmula, padrão, receita, compilação, programa, dispositivo, método, técnica ou processo que (a) gera valor econômico específico, real ou potencial, de um conhecimento ainda não generalizado; e (b) está sujeito a esforços razoáveis, sob certas circunstâncias, para mantê-lo em sigilo”. Se os benefícios econômicos futuros de um segredo comercial adquirido em uma combinação de negócios estão legalmente protegidos, então esse ativo atende ao critério contratual-legal. De outra forma, os segredos comerciais adquiridos em uma combinação de negócios serão identificáveis somente se eles atenderem ao critério da </w:t>
      </w:r>
      <w:r w:rsidRPr="0096738F">
        <w:rPr>
          <w:rFonts w:ascii="Arial" w:eastAsia="Times New Roman" w:hAnsi="Arial" w:cs="Arial"/>
          <w:sz w:val="22"/>
          <w:szCs w:val="22"/>
          <w:lang w:eastAsia="pt-BR"/>
        </w:rPr>
        <w:lastRenderedPageBreak/>
        <w:t>separabilidade, que é provável que seja o caso.</w:t>
      </w:r>
    </w:p>
    <w:p w14:paraId="444441E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9A1B6D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Mensuração da participação de não controladores</w:t>
      </w:r>
    </w:p>
    <w:p w14:paraId="1BF05CE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F28DAFD"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eastAsia="pt-BR"/>
        </w:rPr>
      </w:pPr>
      <w:r w:rsidRPr="0096738F">
        <w:rPr>
          <w:rFonts w:ascii="Arial" w:eastAsia="Times New Roman" w:hAnsi="Arial" w:cs="Arial"/>
          <w:sz w:val="22"/>
          <w:szCs w:val="22"/>
          <w:lang w:eastAsia="pt-BR"/>
        </w:rPr>
        <w:t>Exemplos dos efeitos da aplicação do item 19 do Pronunciamento Técnico CPC 15 – Combinação de Negócios.</w:t>
      </w:r>
    </w:p>
    <w:p w14:paraId="0D660A4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EA53510"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C44A.</w:t>
      </w:r>
      <w:r w:rsidRPr="0096738F">
        <w:rPr>
          <w:rFonts w:ascii="Arial" w:eastAsia="Times New Roman" w:hAnsi="Arial" w:cs="Arial"/>
          <w:sz w:val="22"/>
          <w:szCs w:val="22"/>
          <w:lang w:eastAsia="pt-BR"/>
        </w:rPr>
        <w:tab/>
        <w:t>Os exemplos a seguir ilustram a mensuração de componentes da participação de não controladores, na data da aquisição, em uma combinação de negócios.</w:t>
      </w:r>
    </w:p>
    <w:p w14:paraId="42F17689"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445D49C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Mensuração da participação de não controladores contendo ações preferenciais</w:t>
      </w:r>
    </w:p>
    <w:p w14:paraId="49E503C1"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71CDEB7C"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C44B.</w:t>
      </w:r>
      <w:r w:rsidRPr="0096738F">
        <w:rPr>
          <w:rFonts w:ascii="Arial" w:eastAsia="Times New Roman" w:hAnsi="Arial" w:cs="Arial"/>
          <w:sz w:val="22"/>
          <w:szCs w:val="22"/>
          <w:lang w:eastAsia="pt-BR"/>
        </w:rPr>
        <w:tab/>
        <w:t>A Companhia Meta (CM) emitiu 100 ações preferenciais, as quais foram classificadas como componentes do patrimônio líquido. As ações preferenciais têm valor nominal de $ 1 cada. As ações preferenciais conferem aos seus detentores o direito a dividendo prioritário em relação ao pagamento de qualquer dividendo devido aos detentores das ações ordinárias. Na hipótese de liquidação da CM, os detentores de ações preferenciais fazem jus ao recebimento do montante de $ 1 por ação em prioridade aos detentores das ações ordinárias, não alcançando os ativos disponíveis para distribuição (não fazem jus a estes). Os detentores das ações preferenciais não gozam de qualquer outro direito na liquidação.</w:t>
      </w:r>
    </w:p>
    <w:p w14:paraId="03CFF53A"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5BFF6B3D"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C44C.</w:t>
      </w:r>
      <w:r w:rsidRPr="0096738F">
        <w:rPr>
          <w:rFonts w:ascii="Arial" w:eastAsia="Times New Roman" w:hAnsi="Arial" w:cs="Arial"/>
          <w:sz w:val="22"/>
          <w:szCs w:val="22"/>
          <w:lang w:eastAsia="pt-BR"/>
        </w:rPr>
        <w:tab/>
        <w:t>A Companhia Adquirente (CA) detém todas as ações ordinárias da CM. A aquisição dá a CA o controle de CM. O valor justo, na data da aquisição, das ações preferenciais é $ 120.</w:t>
      </w:r>
    </w:p>
    <w:p w14:paraId="70C1F3B3"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5BAF137C"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C44D.</w:t>
      </w:r>
      <w:r w:rsidRPr="0096738F">
        <w:rPr>
          <w:rFonts w:ascii="Arial" w:eastAsia="Times New Roman" w:hAnsi="Arial" w:cs="Arial"/>
          <w:sz w:val="22"/>
          <w:szCs w:val="22"/>
          <w:lang w:eastAsia="pt-BR"/>
        </w:rPr>
        <w:tab/>
        <w:t>O item 19 do Pronunciamento Técnico CPC 15 determina que, para cada combinação de negócios, o adquirente deve mensurar, na data da aquisição, os componentes da participação de não controladores na adquirida que representam interesses de propriedade e conferem aos seus detentores a participação proporcional nos ativos líquidos da entidade adquirida, no caso de sua liquidação, ao seu valor justo ou ao valor atual da participação dos instrumentos patrimoniais detidos proporcionalmente ao montante reconhecido pela adquirida de ativos líquidos identificáveis. Todos os demais componentes da participação de não controladores devem ser mensurados ao seu valor justo na data da aquisição, a menos que outra base de mensuração seja requerida por outro Pronunciamento, Interpretação ou Orientação do CPC.</w:t>
      </w:r>
    </w:p>
    <w:p w14:paraId="668B66D1"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0CF459EA"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C44E.</w:t>
      </w:r>
      <w:r w:rsidRPr="0096738F">
        <w:rPr>
          <w:rFonts w:ascii="Arial" w:eastAsia="Times New Roman" w:hAnsi="Arial" w:cs="Arial"/>
          <w:sz w:val="22"/>
          <w:szCs w:val="22"/>
          <w:lang w:eastAsia="pt-BR"/>
        </w:rPr>
        <w:tab/>
        <w:t>A participação de não controladores que está relacionada com as ações preferenciais da CM não se qualifica para a alternativa de mensuração do item 19 do Pronunciamento Técnico CPC 15, em decorrência de não conferir aos seus detentores a participação proporcional nos ativos líquidos da entidade adquirida, no caso de sua liquidação. O adquirente deve mensurar as ações preferenciais ao seu valor justo na data da aquisição de $ 120.</w:t>
      </w:r>
    </w:p>
    <w:p w14:paraId="152A0E66"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09770ED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Primeira variação do exemplo</w:t>
      </w:r>
    </w:p>
    <w:p w14:paraId="3781E36A"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0CFE3D04"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C44F.</w:t>
      </w:r>
      <w:r w:rsidRPr="0096738F">
        <w:rPr>
          <w:rFonts w:ascii="Arial" w:eastAsia="Times New Roman" w:hAnsi="Arial" w:cs="Arial"/>
          <w:sz w:val="22"/>
          <w:szCs w:val="22"/>
          <w:lang w:eastAsia="pt-BR"/>
        </w:rPr>
        <w:tab/>
        <w:t xml:space="preserve">Suponha que, no evento da liquidação da CM, as ações preferenciais confiram aos seus detentores o direito ao recebimento proporcional dos ativos disponíveis para distribuição. Os detentores das ações preferenciais gozam de direitos iguais e disputam em igualdade de condições com os detentores das ações ordinárias os ativos disponíveis para distribuição, no caso de uma liquidação. Suponha que o valor justo, na data da aquisição, das ações preferenciais seja </w:t>
      </w:r>
      <w:r w:rsidRPr="0096738F">
        <w:rPr>
          <w:rFonts w:ascii="Arial" w:eastAsia="Times New Roman" w:hAnsi="Arial" w:cs="Arial"/>
          <w:sz w:val="22"/>
          <w:szCs w:val="22"/>
          <w:lang w:eastAsia="pt-BR"/>
        </w:rPr>
        <w:lastRenderedPageBreak/>
        <w:t>agora $ 160 e que a participação proporcional nos montantes reconhecidos pela CM em termos de ativos líquidos identificáveis, atribuível às ações preferenciais, seja $ 140.</w:t>
      </w:r>
    </w:p>
    <w:p w14:paraId="10777E53"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5335EEA6"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C44G.</w:t>
      </w:r>
      <w:r w:rsidRPr="0096738F">
        <w:rPr>
          <w:rFonts w:ascii="Arial" w:eastAsia="Times New Roman" w:hAnsi="Arial" w:cs="Arial"/>
          <w:sz w:val="22"/>
          <w:szCs w:val="22"/>
          <w:lang w:eastAsia="pt-BR"/>
        </w:rPr>
        <w:tab/>
        <w:t>As ações preferenciais qualificam-se para a alternativa de mensuração do item 19 do Pronunciamento Técnico CPC 15. A CA pode escolher entre mensurar as ações preferenciais ao seu valor justo, na data da aquisição, de $ 160 ou ao seu valor proporcional nos ativos líquidos identificáveis reconhecidos pela adquirida de $ 140.</w:t>
      </w:r>
    </w:p>
    <w:p w14:paraId="57112E7F"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49318FF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Segunda variação do exemplo</w:t>
      </w:r>
    </w:p>
    <w:p w14:paraId="0D6C9155"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19102FDD"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C44H.</w:t>
      </w:r>
      <w:r w:rsidRPr="0096738F">
        <w:rPr>
          <w:rFonts w:ascii="Arial" w:eastAsia="Times New Roman" w:hAnsi="Arial" w:cs="Arial"/>
          <w:sz w:val="22"/>
          <w:szCs w:val="22"/>
          <w:lang w:eastAsia="pt-BR"/>
        </w:rPr>
        <w:tab/>
        <w:t>Suponha também que a CM tenha emitido opções de ações como remuneração de seus empregados. As opções de ações são classificadas como item do patrimônio líquido e atendem às condições de aquisição (</w:t>
      </w:r>
      <w:r w:rsidRPr="0096738F">
        <w:rPr>
          <w:rFonts w:ascii="Arial" w:eastAsia="Times New Roman" w:hAnsi="Arial" w:cs="Arial"/>
          <w:i/>
          <w:sz w:val="22"/>
          <w:szCs w:val="22"/>
          <w:lang w:eastAsia="pt-BR"/>
        </w:rPr>
        <w:t>vested</w:t>
      </w:r>
      <w:r w:rsidRPr="0096738F">
        <w:rPr>
          <w:rFonts w:ascii="Arial" w:eastAsia="Times New Roman" w:hAnsi="Arial" w:cs="Arial"/>
          <w:sz w:val="22"/>
          <w:szCs w:val="22"/>
          <w:lang w:eastAsia="pt-BR"/>
        </w:rPr>
        <w:t>) na data da aquisição da combinação de negócios. Elas não representam interesses presentes de propriedade tampouco conferem aos seus detentores a participação proporcional nos ativos líquidos da CM, no caso de sua liquidação. A mensuração com base no valor de mercado das opções de ações, de acordo com o Pronunciamento Técnico CPC 10 – Pagamento Baseado em Ações, na data de aquisição, é $ 200. As opções de ações não expiram na data de aquisição e a CM não irá substituí-las.</w:t>
      </w:r>
    </w:p>
    <w:p w14:paraId="1D08FDCA"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7CFCF35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C44I.</w:t>
      </w:r>
      <w:r w:rsidRPr="0096738F">
        <w:rPr>
          <w:rFonts w:ascii="Arial" w:eastAsia="Times New Roman" w:hAnsi="Arial" w:cs="Arial"/>
          <w:sz w:val="22"/>
          <w:szCs w:val="22"/>
          <w:lang w:eastAsia="pt-BR"/>
        </w:rPr>
        <w:tab/>
        <w:t>O item 19 do Pronunciamento Técnico CPC 15 exige que essas opções de ações sejam mensuradas ao seu valor justo na data da aquisição, a menos que outra base de mensuração seja requerida por outro Pronunciamento, Interpretação ou Orientação do CPC. O item 30 do Pronunciamento Técnico CPC 15 determina que o adquirente deve mensurar um instrumento patrimonial relacionado com transações de pagamento baseado em ações da adquirida em consonância com o método do Pronunciamento Técnico CPC 10 – Pagamento Baseado em Ações.</w:t>
      </w:r>
    </w:p>
    <w:p w14:paraId="0F0F4877" w14:textId="77777777" w:rsidR="0096738F" w:rsidRPr="0096738F" w:rsidRDefault="0096738F" w:rsidP="0096738F">
      <w:pPr>
        <w:widowControl w:val="0"/>
        <w:tabs>
          <w:tab w:val="left" w:pos="567"/>
        </w:tabs>
        <w:spacing w:before="0" w:after="0" w:line="240" w:lineRule="auto"/>
        <w:ind w:left="567" w:hanging="567"/>
        <w:rPr>
          <w:rFonts w:ascii="Arial" w:eastAsia="Times New Roman" w:hAnsi="Arial" w:cs="Arial"/>
          <w:sz w:val="22"/>
          <w:szCs w:val="22"/>
          <w:lang w:eastAsia="pt-BR"/>
        </w:rPr>
      </w:pPr>
    </w:p>
    <w:p w14:paraId="585BAF35" w14:textId="77777777" w:rsidR="0096738F" w:rsidRPr="0096738F" w:rsidRDefault="0096738F" w:rsidP="0096738F">
      <w:pPr>
        <w:widowControl w:val="0"/>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C44J. O adquirente deve mensurar a participação de não controladores que está relacionada com as opções de ações pelo seu valor de mensuração baseado no mercado de $ 200.</w:t>
      </w:r>
    </w:p>
    <w:p w14:paraId="505D640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9D2A62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Ganho por compra vantajosa</w:t>
      </w:r>
    </w:p>
    <w:p w14:paraId="113DD31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BD7921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do reconhecimento e mensuração de um ganho por compra vantajosa pela aplicação dos itens 32 a 36 do Pronunciamento Técnico CPC 15 - Combinação de Negócios.</w:t>
      </w:r>
    </w:p>
    <w:p w14:paraId="680C3E7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8C456D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C45.</w:t>
      </w:r>
      <w:r w:rsidRPr="0096738F">
        <w:rPr>
          <w:rFonts w:ascii="Arial" w:eastAsia="Times New Roman" w:hAnsi="Arial" w:cs="Arial"/>
          <w:sz w:val="22"/>
          <w:szCs w:val="22"/>
          <w:lang w:eastAsia="pt-BR"/>
        </w:rPr>
        <w:tab/>
        <w:t>O exemplo a seguir ilustra a contabilização de uma combinação de negócios em que oganho por compra vantajosa é reconhecido.</w:t>
      </w:r>
    </w:p>
    <w:p w14:paraId="5F4404C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F78AA4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C46.</w:t>
      </w:r>
      <w:r w:rsidRPr="0096738F">
        <w:rPr>
          <w:rFonts w:ascii="Arial" w:eastAsia="Times New Roman" w:hAnsi="Arial" w:cs="Arial"/>
          <w:sz w:val="22"/>
          <w:szCs w:val="22"/>
          <w:lang w:eastAsia="pt-BR"/>
        </w:rPr>
        <w:tab/>
        <w:t>Em 01/01/20X5, a CA adquire 80% de participação de capital na CM, entidade privada, cujo pagamento foi feito em espécie – $ 150. Em razão de os ex-proprietários da CM precisarem vender seus investimentos na CM até uma data específica, eles não têm tempo suficiente para ofertar a CM para outros potenciais compradores. A direção da CA inicialmente mensura, separadamente, os ativos identificáveis adquiridos e os passivos assumidos, na data da aquisição, em conformidade com as exigências do Pronunciamento Técnico CPC 15 - Combinação de Negócios. Os ativos identificáveis são mensurados por $ 250 e os passivos assumidos são mensurados por $ 50. A CA encarrega um consultor independente, o qual determina que o valor justo dos 20% de participação dos não controladores na CM é de $ 42.</w:t>
      </w:r>
    </w:p>
    <w:p w14:paraId="632A1B8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616F9FF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C47.</w:t>
      </w:r>
      <w:r w:rsidRPr="0096738F">
        <w:rPr>
          <w:rFonts w:ascii="Arial" w:eastAsia="Times New Roman" w:hAnsi="Arial" w:cs="Arial"/>
          <w:sz w:val="22"/>
          <w:szCs w:val="22"/>
          <w:lang w:eastAsia="pt-BR"/>
        </w:rPr>
        <w:tab/>
        <w:t>O valor dos ativos líquidos identificáveis da CM ($ 200, calculado como $ 250 – $ 50), excede o valor justo da contraprestação transferida mais o valor justo da participação dos não controladores na CM. Portanto, a CA deve revisar os procedimentos usados para identificar e mensurar os ativos adquiridos e os passivos assumidos, bem como para mensurar o valor justo da participação dos não controladores na CM e da contraprestação transferida em troca do controle da CM. Após essa revisão, a CA conclui que os procedimentos e mensurações estavam adequados. A CA deve mensurar o ganho obtido na aquisição da participação de 80% da seguinte forma:</w:t>
      </w:r>
    </w:p>
    <w:p w14:paraId="1258222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5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99"/>
        <w:gridCol w:w="991"/>
        <w:gridCol w:w="899"/>
      </w:tblGrid>
      <w:tr w:rsidR="0096738F" w:rsidRPr="0096738F" w14:paraId="209EE466" w14:textId="77777777" w:rsidTr="00DF2196">
        <w:trPr>
          <w:jc w:val="center"/>
        </w:trPr>
        <w:tc>
          <w:tcPr>
            <w:tcW w:w="3993" w:type="pct"/>
          </w:tcPr>
          <w:p w14:paraId="5A238CE2"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528" w:type="pct"/>
          </w:tcPr>
          <w:p w14:paraId="20E09BF6"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c>
          <w:tcPr>
            <w:tcW w:w="479" w:type="pct"/>
          </w:tcPr>
          <w:p w14:paraId="63CBE862"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r>
      <w:tr w:rsidR="0096738F" w:rsidRPr="0096738F" w14:paraId="33D69B4F" w14:textId="77777777" w:rsidTr="00DF2196">
        <w:trPr>
          <w:jc w:val="center"/>
        </w:trPr>
        <w:tc>
          <w:tcPr>
            <w:tcW w:w="3993" w:type="pct"/>
            <w:vAlign w:val="center"/>
          </w:tcPr>
          <w:p w14:paraId="0AACED02"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Valor dos ativos líquidos identificáveis adquiridos ($ 250 – $ 50)</w:t>
            </w:r>
          </w:p>
        </w:tc>
        <w:tc>
          <w:tcPr>
            <w:tcW w:w="528" w:type="pct"/>
            <w:vAlign w:val="center"/>
          </w:tcPr>
          <w:p w14:paraId="270D11F0"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479" w:type="pct"/>
            <w:vAlign w:val="center"/>
          </w:tcPr>
          <w:p w14:paraId="3B75DE1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200</w:t>
            </w:r>
          </w:p>
        </w:tc>
      </w:tr>
      <w:tr w:rsidR="0096738F" w:rsidRPr="0096738F" w14:paraId="15D9C522" w14:textId="77777777" w:rsidTr="00DF2196">
        <w:trPr>
          <w:jc w:val="center"/>
        </w:trPr>
        <w:tc>
          <w:tcPr>
            <w:tcW w:w="3993" w:type="pct"/>
            <w:vAlign w:val="center"/>
          </w:tcPr>
          <w:p w14:paraId="4B10F5F2"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Valor justo da contraprestação transferida pela CA em troca de 80%</w:t>
            </w:r>
          </w:p>
          <w:p w14:paraId="64B8335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      de participação na CM, somado ao</w:t>
            </w:r>
          </w:p>
        </w:tc>
        <w:tc>
          <w:tcPr>
            <w:tcW w:w="528" w:type="pct"/>
            <w:vAlign w:val="center"/>
          </w:tcPr>
          <w:p w14:paraId="09972039"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150</w:t>
            </w:r>
          </w:p>
        </w:tc>
        <w:tc>
          <w:tcPr>
            <w:tcW w:w="479" w:type="pct"/>
            <w:vAlign w:val="center"/>
          </w:tcPr>
          <w:p w14:paraId="05BBEF5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r>
      <w:tr w:rsidR="0096738F" w:rsidRPr="0096738F" w14:paraId="59DF0417" w14:textId="77777777" w:rsidTr="00DF2196">
        <w:trPr>
          <w:jc w:val="center"/>
        </w:trPr>
        <w:tc>
          <w:tcPr>
            <w:tcW w:w="3993" w:type="pct"/>
            <w:vAlign w:val="center"/>
          </w:tcPr>
          <w:p w14:paraId="5E6C6BB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      Valor justo da participação dos não controladores na CM</w:t>
            </w:r>
          </w:p>
        </w:tc>
        <w:tc>
          <w:tcPr>
            <w:tcW w:w="528" w:type="pct"/>
            <w:vAlign w:val="center"/>
          </w:tcPr>
          <w:p w14:paraId="006E08F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42</w:t>
            </w:r>
          </w:p>
        </w:tc>
        <w:tc>
          <w:tcPr>
            <w:tcW w:w="479" w:type="pct"/>
            <w:vAlign w:val="center"/>
          </w:tcPr>
          <w:p w14:paraId="185A439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(192)</w:t>
            </w:r>
          </w:p>
        </w:tc>
      </w:tr>
      <w:tr w:rsidR="0096738F" w:rsidRPr="0096738F" w14:paraId="43C784AC" w14:textId="77777777" w:rsidTr="00DF2196">
        <w:trPr>
          <w:jc w:val="center"/>
        </w:trPr>
        <w:tc>
          <w:tcPr>
            <w:tcW w:w="3993" w:type="pct"/>
            <w:vAlign w:val="center"/>
          </w:tcPr>
          <w:p w14:paraId="5BACD9B5"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Ganho na aquisição dos 80% de participação na CM</w:t>
            </w:r>
          </w:p>
        </w:tc>
        <w:tc>
          <w:tcPr>
            <w:tcW w:w="528" w:type="pct"/>
            <w:vAlign w:val="center"/>
          </w:tcPr>
          <w:p w14:paraId="1128D3C4"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p>
        </w:tc>
        <w:tc>
          <w:tcPr>
            <w:tcW w:w="479" w:type="pct"/>
            <w:vAlign w:val="center"/>
          </w:tcPr>
          <w:p w14:paraId="6650C5F7"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8</w:t>
            </w:r>
          </w:p>
        </w:tc>
      </w:tr>
    </w:tbl>
    <w:p w14:paraId="5839A28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61E2D4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C48.</w:t>
      </w:r>
      <w:r w:rsidRPr="0096738F">
        <w:rPr>
          <w:rFonts w:ascii="Arial" w:eastAsia="Times New Roman" w:hAnsi="Arial" w:cs="Arial"/>
          <w:sz w:val="22"/>
          <w:szCs w:val="22"/>
          <w:lang w:eastAsia="pt-BR"/>
        </w:rPr>
        <w:tab/>
        <w:t>A CA deve registrar a aquisição da CM em suas demonstrações contábeis consolidadas como segue:</w:t>
      </w:r>
    </w:p>
    <w:p w14:paraId="3EBAE04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04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69"/>
        <w:gridCol w:w="1081"/>
        <w:gridCol w:w="1081"/>
      </w:tblGrid>
      <w:tr w:rsidR="0096738F" w:rsidRPr="0096738F" w14:paraId="1E7B91B3" w14:textId="77777777" w:rsidTr="00DF2196">
        <w:trPr>
          <w:jc w:val="center"/>
        </w:trPr>
        <w:tc>
          <w:tcPr>
            <w:tcW w:w="3718" w:type="pct"/>
          </w:tcPr>
          <w:p w14:paraId="223A7FC0"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641" w:type="pct"/>
          </w:tcPr>
          <w:p w14:paraId="3943A392"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c>
          <w:tcPr>
            <w:tcW w:w="641" w:type="pct"/>
          </w:tcPr>
          <w:p w14:paraId="72E6E211"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pt-PT" w:eastAsia="pt-BR"/>
              </w:rPr>
              <w:t>$</w:t>
            </w:r>
          </w:p>
        </w:tc>
      </w:tr>
      <w:tr w:rsidR="0096738F" w:rsidRPr="0096738F" w14:paraId="35BC4940" w14:textId="77777777" w:rsidTr="00DF2196">
        <w:trPr>
          <w:jc w:val="center"/>
        </w:trPr>
        <w:tc>
          <w:tcPr>
            <w:tcW w:w="3718" w:type="pct"/>
            <w:vAlign w:val="center"/>
          </w:tcPr>
          <w:p w14:paraId="05914CAF"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Débito: Ativos identificáveis adquiridos</w:t>
            </w:r>
          </w:p>
        </w:tc>
        <w:tc>
          <w:tcPr>
            <w:tcW w:w="641" w:type="pct"/>
            <w:vAlign w:val="center"/>
          </w:tcPr>
          <w:p w14:paraId="3237821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250</w:t>
            </w:r>
          </w:p>
        </w:tc>
        <w:tc>
          <w:tcPr>
            <w:tcW w:w="641" w:type="pct"/>
            <w:vAlign w:val="center"/>
          </w:tcPr>
          <w:p w14:paraId="1686356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p>
        </w:tc>
      </w:tr>
      <w:tr w:rsidR="0096738F" w:rsidRPr="0096738F" w14:paraId="0BD12C3B" w14:textId="77777777" w:rsidTr="00DF2196">
        <w:trPr>
          <w:jc w:val="center"/>
        </w:trPr>
        <w:tc>
          <w:tcPr>
            <w:tcW w:w="3718" w:type="pct"/>
            <w:vAlign w:val="center"/>
          </w:tcPr>
          <w:p w14:paraId="1352EE00" w14:textId="77777777" w:rsidR="0096738F" w:rsidRPr="0096738F" w:rsidRDefault="0096738F" w:rsidP="0096738F">
            <w:pPr>
              <w:spacing w:before="0" w:after="0" w:line="240" w:lineRule="auto"/>
              <w:ind w:left="397"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Crédito: Caixa</w:t>
            </w:r>
          </w:p>
        </w:tc>
        <w:tc>
          <w:tcPr>
            <w:tcW w:w="641" w:type="pct"/>
            <w:vAlign w:val="center"/>
          </w:tcPr>
          <w:p w14:paraId="6F812FF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p>
        </w:tc>
        <w:tc>
          <w:tcPr>
            <w:tcW w:w="641" w:type="pct"/>
            <w:vAlign w:val="center"/>
          </w:tcPr>
          <w:p w14:paraId="4A1B13B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150</w:t>
            </w:r>
          </w:p>
        </w:tc>
      </w:tr>
      <w:tr w:rsidR="0096738F" w:rsidRPr="0096738F" w14:paraId="203639D7" w14:textId="77777777" w:rsidTr="00DF2196">
        <w:trPr>
          <w:jc w:val="center"/>
        </w:trPr>
        <w:tc>
          <w:tcPr>
            <w:tcW w:w="3718" w:type="pct"/>
            <w:vAlign w:val="center"/>
          </w:tcPr>
          <w:p w14:paraId="729A7C7E" w14:textId="77777777" w:rsidR="0096738F" w:rsidRPr="0096738F" w:rsidRDefault="0096738F" w:rsidP="0096738F">
            <w:pPr>
              <w:spacing w:before="0" w:after="0" w:line="240" w:lineRule="auto"/>
              <w:ind w:left="397" w:firstLine="0"/>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Crédito: Passivos assumidos</w:t>
            </w:r>
          </w:p>
        </w:tc>
        <w:tc>
          <w:tcPr>
            <w:tcW w:w="641" w:type="pct"/>
            <w:vAlign w:val="center"/>
          </w:tcPr>
          <w:p w14:paraId="2BA6DC4B"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p>
        </w:tc>
        <w:tc>
          <w:tcPr>
            <w:tcW w:w="641" w:type="pct"/>
            <w:vAlign w:val="center"/>
          </w:tcPr>
          <w:p w14:paraId="3B5E001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50</w:t>
            </w:r>
          </w:p>
        </w:tc>
      </w:tr>
      <w:tr w:rsidR="0096738F" w:rsidRPr="0096738F" w14:paraId="3CA2841E" w14:textId="77777777" w:rsidTr="00DF2196">
        <w:trPr>
          <w:jc w:val="center"/>
        </w:trPr>
        <w:tc>
          <w:tcPr>
            <w:tcW w:w="3718" w:type="pct"/>
            <w:vAlign w:val="center"/>
          </w:tcPr>
          <w:p w14:paraId="5B55AB85"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Crédito: Ganho por compra vantajosa</w:t>
            </w:r>
          </w:p>
        </w:tc>
        <w:tc>
          <w:tcPr>
            <w:tcW w:w="641" w:type="pct"/>
            <w:vAlign w:val="center"/>
          </w:tcPr>
          <w:p w14:paraId="00A1F2EC"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p>
        </w:tc>
        <w:tc>
          <w:tcPr>
            <w:tcW w:w="641" w:type="pct"/>
            <w:vAlign w:val="center"/>
          </w:tcPr>
          <w:p w14:paraId="5FF106E6"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8</w:t>
            </w:r>
          </w:p>
        </w:tc>
      </w:tr>
      <w:tr w:rsidR="0096738F" w:rsidRPr="0096738F" w14:paraId="3390E26D" w14:textId="77777777" w:rsidTr="00DF2196">
        <w:trPr>
          <w:jc w:val="center"/>
        </w:trPr>
        <w:tc>
          <w:tcPr>
            <w:tcW w:w="3718" w:type="pct"/>
            <w:vAlign w:val="center"/>
          </w:tcPr>
          <w:p w14:paraId="41B33AAE" w14:textId="77777777" w:rsidR="0096738F" w:rsidRPr="0096738F" w:rsidRDefault="0096738F" w:rsidP="0096738F">
            <w:pPr>
              <w:spacing w:before="0" w:after="0" w:line="240" w:lineRule="auto"/>
              <w:ind w:left="397"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Crédito: Participação dos não controladores em CM</w:t>
            </w:r>
          </w:p>
        </w:tc>
        <w:tc>
          <w:tcPr>
            <w:tcW w:w="641" w:type="pct"/>
            <w:vAlign w:val="center"/>
          </w:tcPr>
          <w:p w14:paraId="13DEFF8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641" w:type="pct"/>
            <w:vAlign w:val="center"/>
          </w:tcPr>
          <w:p w14:paraId="6CFCA69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42</w:t>
            </w:r>
          </w:p>
        </w:tc>
      </w:tr>
    </w:tbl>
    <w:p w14:paraId="584B402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9E8AF6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C49.</w:t>
      </w:r>
      <w:r w:rsidRPr="0096738F">
        <w:rPr>
          <w:rFonts w:ascii="Arial" w:eastAsia="Times New Roman" w:hAnsi="Arial" w:cs="Arial"/>
          <w:sz w:val="22"/>
          <w:szCs w:val="22"/>
          <w:lang w:eastAsia="pt-BR"/>
        </w:rPr>
        <w:tab/>
        <w:t>Se o adquirente optar por mensurar a participação dos não controladores na CM com base na parte que lhes cabe no valor justo dos ativos líquidos da adquirida, o valor reconhecido para a participação dos não controladores seria $ 40 ($ 200 x 0,20). Nesse caso, o ganho por compra vantajosa teria sido de $ 10 [$ 200 – ($ 150 + $ 40)].</w:t>
      </w:r>
    </w:p>
    <w:p w14:paraId="4E9D9B5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F5E51A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Período de mensuração</w:t>
      </w:r>
    </w:p>
    <w:p w14:paraId="306F016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D94C94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45 a 50 do Pronunciamento Técnico CPC 15 - Combinação de Negócios</w:t>
      </w:r>
    </w:p>
    <w:p w14:paraId="3FFB2108"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sz w:val="22"/>
          <w:szCs w:val="22"/>
          <w:lang w:eastAsia="pt-BR"/>
        </w:rPr>
      </w:pPr>
    </w:p>
    <w:p w14:paraId="202F012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C50.</w:t>
      </w:r>
      <w:r w:rsidRPr="0096738F">
        <w:rPr>
          <w:rFonts w:ascii="Arial" w:eastAsia="Times New Roman" w:hAnsi="Arial" w:cs="Arial"/>
          <w:sz w:val="22"/>
          <w:szCs w:val="22"/>
          <w:lang w:eastAsia="pt-BR"/>
        </w:rPr>
        <w:tab/>
        <w:t>Se a contabilização inicial de uma combinação de negócios não estiver completa quando do encerramento do exercício social em que a combinação ocorreu, o item 45 do Pronunciamento Técnico CPC 15 - Combinação de Negócios exige que o adquirente reconheça em suas demonstrações contábeis os valores provisórios para os itens cuja contabilização não estiver completa. Durante o período de mensuração, o adquirente deve reconhecer os ajustes nos valores provisórios como necessários para refletirem novas informações obtidas acerca de fatos e circunstâncias que existiam na data da aquisição e, se conhecidas nessa data, teriam afetado a mensuração dos valores que foram reconhecidos. O item 49 do Pronunciamento Técnico CPC 15 - Combinação de Negócios exige que o adquirente reconheça tais ajustes como se a contabilização da combinação de negócios tivesse sido completada na data da aquisição. Os ajustes ocorridos no período de mensuração não são, portanto, incluídos no resultado do período.</w:t>
      </w:r>
    </w:p>
    <w:p w14:paraId="464B24E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BD4A56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C51.</w:t>
      </w:r>
      <w:r w:rsidRPr="0096738F">
        <w:rPr>
          <w:rFonts w:ascii="Arial" w:eastAsia="Times New Roman" w:hAnsi="Arial" w:cs="Arial"/>
          <w:sz w:val="22"/>
          <w:szCs w:val="22"/>
          <w:lang w:eastAsia="pt-BR"/>
        </w:rPr>
        <w:tab/>
        <w:t>Assuma que a CA adquire a CM em 30/09/20X7. A CA contratou uma avaliação independente para um item do imobilizado adquirido na combinação, a qual não estava concluída a tempo de a CA aprovar a emissão de suas demonstrações contábeis para o período encerrado em 31/12/20X7. Nas suas demonstrações contábeis anuais de 20X7, a CA reconheceu um valor justo provisório de $ 30.000 para o ativo em questão. Na data da aquisição, o item do imobilizado tinha uma vida útil remanescente de cinco anos. Após cinco meses da data de aquisição, a CA recebeu a avaliação independente, a qual revelou que o valor justo estimado para o ativo na data da aquisição foi de $ 40.000.</w:t>
      </w:r>
    </w:p>
    <w:p w14:paraId="37DA9D0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8C65D3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C52.</w:t>
      </w:r>
      <w:r w:rsidRPr="0096738F">
        <w:rPr>
          <w:rFonts w:ascii="Arial" w:eastAsia="Times New Roman" w:hAnsi="Arial" w:cs="Arial"/>
          <w:sz w:val="22"/>
          <w:szCs w:val="22"/>
          <w:lang w:eastAsia="pt-BR"/>
        </w:rPr>
        <w:tab/>
        <w:t>Em suas demonstrações contábeis para o período encerrado em 31/12/20X8, a CA deve ajustar retrospectivamente as informações comparativas de 20X7 como segue:</w:t>
      </w:r>
    </w:p>
    <w:p w14:paraId="4CF23096" w14:textId="77777777" w:rsidR="0096738F" w:rsidRPr="0096738F" w:rsidRDefault="0096738F" w:rsidP="0096738F">
      <w:pPr>
        <w:widowControl w:val="0"/>
        <w:numPr>
          <w:ilvl w:val="0"/>
          <w:numId w:val="5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contábil do imobilizado em 31/12/20X7 é aumentado em $ 9.500. O valor desse ajuste foi apurado com base no adicional de valor justo de $ 10.000 ($ 30.000 – $ 40.000), deduzido da depreciação adicional que teria sido reconhecida se o valor justo do ativo na data da aquisição tivesse sido reconhecido desde o início pelo valor definitivo ($ 10.000 ÷ 60 meses x 3 meses = $ 500 para três meses de depreciação);</w:t>
      </w:r>
    </w:p>
    <w:p w14:paraId="023EDA24" w14:textId="77777777" w:rsidR="0096738F" w:rsidRPr="0096738F" w:rsidRDefault="0096738F" w:rsidP="0096738F">
      <w:pPr>
        <w:widowControl w:val="0"/>
        <w:numPr>
          <w:ilvl w:val="0"/>
          <w:numId w:val="5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valor contábil do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xml:space="preserve">) na data de 31/12/20X7 é </w:t>
      </w:r>
      <w:r w:rsidRPr="0096738F">
        <w:rPr>
          <w:rFonts w:ascii="Arial" w:eastAsia="Times New Roman" w:hAnsi="Arial" w:cs="Arial"/>
          <w:bCs/>
          <w:iCs/>
          <w:sz w:val="22"/>
          <w:szCs w:val="22"/>
          <w:lang w:val="pt-PT" w:eastAsia="pt-BR"/>
        </w:rPr>
        <w:t>diminuído</w:t>
      </w:r>
      <w:r w:rsidRPr="0096738F">
        <w:rPr>
          <w:rFonts w:ascii="Arial" w:eastAsia="Times New Roman" w:hAnsi="Arial" w:cs="Arial"/>
          <w:sz w:val="22"/>
          <w:szCs w:val="22"/>
          <w:lang w:val="pt-PT" w:eastAsia="pt-BR"/>
        </w:rPr>
        <w:t xml:space="preserve"> em $ 10.000;</w:t>
      </w:r>
    </w:p>
    <w:p w14:paraId="40433CEB" w14:textId="77777777" w:rsidR="0096738F" w:rsidRPr="0096738F" w:rsidRDefault="0096738F" w:rsidP="0096738F">
      <w:pPr>
        <w:widowControl w:val="0"/>
        <w:numPr>
          <w:ilvl w:val="0"/>
          <w:numId w:val="59"/>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despesa de depreciação para 20X7 é aumentada em $ 500.</w:t>
      </w:r>
    </w:p>
    <w:p w14:paraId="6E84D2C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7897BB4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C53.</w:t>
      </w:r>
      <w:r w:rsidRPr="0096738F">
        <w:rPr>
          <w:rFonts w:ascii="Arial" w:eastAsia="Times New Roman" w:hAnsi="Arial" w:cs="Arial"/>
          <w:sz w:val="22"/>
          <w:szCs w:val="22"/>
          <w:lang w:eastAsia="pt-BR"/>
        </w:rPr>
        <w:tab/>
        <w:t>De acordo com o item B67 do Pronunciamento Técnico CPC 15 - Combinação de Negócios, a CA deve divulgar em nota explicativa:</w:t>
      </w:r>
    </w:p>
    <w:p w14:paraId="6FF813EA" w14:textId="77777777" w:rsidR="0096738F" w:rsidRPr="0096738F" w:rsidRDefault="0096738F" w:rsidP="0096738F">
      <w:pPr>
        <w:widowControl w:val="0"/>
        <w:numPr>
          <w:ilvl w:val="0"/>
          <w:numId w:val="6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suas demonstrações contábeis de 20X7: explicações de que a contabilização inicial da combinação de negócios não foi completada porque o resultado da avaliação do imobilizado ainda não havia sido recebida;</w:t>
      </w:r>
    </w:p>
    <w:p w14:paraId="1B20EDB9" w14:textId="77777777" w:rsidR="0096738F" w:rsidRPr="0096738F" w:rsidRDefault="0096738F" w:rsidP="0096738F">
      <w:pPr>
        <w:widowControl w:val="0"/>
        <w:numPr>
          <w:ilvl w:val="0"/>
          <w:numId w:val="60"/>
        </w:numPr>
        <w:spacing w:before="0" w:after="0" w:line="240" w:lineRule="auto"/>
        <w:ind w:left="993" w:hanging="426"/>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suas demonstrações contábeis de 20X8: os valores e explicações acerca dos ajustes reconhecidos durante o período corrente nos valores provisórios. Portanto,</w:t>
      </w:r>
      <w:r w:rsidRPr="0096738F">
        <w:rPr>
          <w:rFonts w:ascii="Arial" w:eastAsia="Times New Roman" w:hAnsi="Arial" w:cs="Arial"/>
          <w:bCs/>
          <w:iCs/>
          <w:sz w:val="22"/>
          <w:szCs w:val="22"/>
          <w:lang w:val="pt-PT" w:eastAsia="pt-BR"/>
        </w:rPr>
        <w:t xml:space="preserve"> a</w:t>
      </w:r>
      <w:r w:rsidRPr="0096738F">
        <w:rPr>
          <w:rFonts w:ascii="Arial" w:eastAsia="Times New Roman" w:hAnsi="Arial" w:cs="Arial"/>
          <w:sz w:val="22"/>
          <w:szCs w:val="22"/>
          <w:lang w:val="pt-PT" w:eastAsia="pt-BR"/>
        </w:rPr>
        <w:t xml:space="preserve"> CA deve evidenciar que a informação comparativa de 20X7 foi ajustada retrospectivamente com o aumento de $ 9.500 no valor justo do imobilizado líquido adquirido na combinação, </w:t>
      </w:r>
      <w:r w:rsidRPr="0096738F">
        <w:rPr>
          <w:rFonts w:ascii="Arial" w:eastAsia="Times New Roman" w:hAnsi="Arial" w:cs="Arial"/>
          <w:bCs/>
          <w:iCs/>
          <w:sz w:val="22"/>
          <w:szCs w:val="22"/>
          <w:lang w:val="pt-PT" w:eastAsia="pt-BR"/>
        </w:rPr>
        <w:t xml:space="preserve">em </w:t>
      </w:r>
      <w:r w:rsidRPr="0096738F">
        <w:rPr>
          <w:rFonts w:ascii="Arial" w:eastAsia="Times New Roman" w:hAnsi="Arial" w:cs="Arial"/>
          <w:sz w:val="22"/>
          <w:szCs w:val="22"/>
          <w:lang w:val="pt-PT" w:eastAsia="pt-BR"/>
        </w:rPr>
        <w:t xml:space="preserve">contrapartida </w:t>
      </w:r>
      <w:r w:rsidRPr="0096738F">
        <w:rPr>
          <w:rFonts w:ascii="Arial" w:eastAsia="Times New Roman" w:hAnsi="Arial" w:cs="Arial"/>
          <w:bCs/>
          <w:iCs/>
          <w:sz w:val="22"/>
          <w:szCs w:val="22"/>
          <w:lang w:val="pt-PT" w:eastAsia="pt-BR"/>
        </w:rPr>
        <w:t>da diminuição</w:t>
      </w:r>
      <w:r w:rsidRPr="0096738F">
        <w:rPr>
          <w:rFonts w:ascii="Arial" w:eastAsia="Times New Roman" w:hAnsi="Arial" w:cs="Arial"/>
          <w:sz w:val="22"/>
          <w:szCs w:val="22"/>
          <w:lang w:val="pt-PT" w:eastAsia="pt-BR"/>
        </w:rPr>
        <w:t xml:space="preserve"> de $ 10.000 no ágio por </w:t>
      </w:r>
      <w:r w:rsidRPr="0096738F">
        <w:rPr>
          <w:rFonts w:ascii="Arial" w:eastAsia="Times New Roman" w:hAnsi="Arial" w:cs="Arial"/>
          <w:bCs/>
          <w:iCs/>
          <w:sz w:val="22"/>
          <w:szCs w:val="22"/>
          <w:lang w:val="pt-PT" w:eastAsia="pt-BR"/>
        </w:rPr>
        <w:t xml:space="preserve">expectativa de </w:t>
      </w:r>
      <w:r w:rsidRPr="0096738F">
        <w:rPr>
          <w:rFonts w:ascii="Arial" w:eastAsia="Times New Roman" w:hAnsi="Arial" w:cs="Arial"/>
          <w:sz w:val="22"/>
          <w:szCs w:val="22"/>
          <w:lang w:val="pt-PT" w:eastAsia="pt-BR"/>
        </w:rPr>
        <w:t>rentabilidade futura (goodwill) e</w:t>
      </w:r>
      <w:r w:rsidRPr="0096738F">
        <w:rPr>
          <w:rFonts w:ascii="Arial" w:eastAsia="Times New Roman" w:hAnsi="Arial" w:cs="Arial"/>
          <w:bCs/>
          <w:iCs/>
          <w:sz w:val="22"/>
          <w:szCs w:val="22"/>
          <w:lang w:val="pt-PT" w:eastAsia="pt-BR"/>
        </w:rPr>
        <w:t xml:space="preserve"> do</w:t>
      </w:r>
      <w:r w:rsidRPr="0096738F">
        <w:rPr>
          <w:rFonts w:ascii="Arial" w:eastAsia="Times New Roman" w:hAnsi="Arial" w:cs="Arial"/>
          <w:sz w:val="22"/>
          <w:szCs w:val="22"/>
          <w:lang w:val="pt-PT" w:eastAsia="pt-BR"/>
        </w:rPr>
        <w:t xml:space="preserve"> aumento de $ 500 na despesa de depreciação.</w:t>
      </w:r>
    </w:p>
    <w:p w14:paraId="594C9378"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p w14:paraId="69C2447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Determinação do que é parte da operação de combinação de negócios</w:t>
      </w:r>
    </w:p>
    <w:p w14:paraId="5CC8D22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1F33355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Liquidação de relacionamento preexistente</w:t>
      </w:r>
    </w:p>
    <w:p w14:paraId="0A91A77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0D252C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51, 52 e B50 a B53 do Pronunciamento Técnico CPC 15 - Combinação de Negócios.</w:t>
      </w:r>
    </w:p>
    <w:p w14:paraId="6FBF62C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C3C6F9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C54.</w:t>
      </w:r>
      <w:r w:rsidRPr="0096738F">
        <w:rPr>
          <w:rFonts w:ascii="Arial" w:eastAsia="Times New Roman" w:hAnsi="Arial" w:cs="Arial"/>
          <w:sz w:val="22"/>
          <w:szCs w:val="22"/>
          <w:lang w:eastAsia="pt-BR"/>
        </w:rPr>
        <w:tab/>
        <w:t>A CA compra componentes eletrônicos da CM sob um contrato de cinco anos de fornecimento a preços fixos. Atualmente, os preços fixos são maiores que aqueles pelos quais a CA poderia comprar componentes eletrônicos similares de outro fornecedor. O contrato de suprimento permite à CA sua rescisão antes do final do prazo de cinco anos, porém condicionado ao pagamento de multa de $ 6 milhões. Faltando três anos para o término do prazo do contrato, a CA paga $ 50 milhões para adquirir a CM, conforme o valor justo da CM baseado no valor que outros participantes do mercado teriam pago por essa aquisição.</w:t>
      </w:r>
    </w:p>
    <w:p w14:paraId="5592AA4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69B7A9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C55.</w:t>
      </w:r>
      <w:r w:rsidRPr="0096738F">
        <w:rPr>
          <w:rFonts w:ascii="Arial" w:eastAsia="Times New Roman" w:hAnsi="Arial" w:cs="Arial"/>
          <w:sz w:val="22"/>
          <w:szCs w:val="22"/>
          <w:lang w:eastAsia="pt-BR"/>
        </w:rPr>
        <w:tab/>
        <w:t>No valor justo total da CM estão inclusos $ 8 milhões relativos ao valor justo do contrato de fornecimento com a CA. Os $ 8 milhões correspondem a $ 3 milhões relativos aos componentes que estão em condições de mercado, dado que seus preços são comparáveis aos preços correntes de mercado para itens iguais ou similares (esforço de venda, relacionamento com o cliente, etc.), e a $ 5 milhões relativos aos componentes cujo preço é desfavorável para a CA em função de serem maiores que os preços correntes de mercado para itens similares. A CM não tem nenhum outro ativo identificável ou passivo em decorrência do contrato de suprimento, bem como a CA não reconheceu quaisquer ativos ou passivos relativos ao contrato de suprimento antes da combinação de negócios.</w:t>
      </w:r>
    </w:p>
    <w:p w14:paraId="45BB35B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A09A51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C56.</w:t>
      </w:r>
      <w:r w:rsidRPr="0096738F">
        <w:rPr>
          <w:rFonts w:ascii="Arial" w:eastAsia="Times New Roman" w:hAnsi="Arial" w:cs="Arial"/>
          <w:sz w:val="22"/>
          <w:szCs w:val="22"/>
          <w:lang w:eastAsia="pt-BR"/>
        </w:rPr>
        <w:tab/>
        <w:t>Nesse exemplo, a CA deve calcular separadamente da combinação de negócios a perda de $ 5 milhões (o menor valor entre os $ 6 milhões para rescindir o contrato e o valor pelo qual o contrato é desfavorável para o adquirente). Os $ 3 milhões relativos aos componentes do contrato que estão em condições de mercado são parte do ágio por expectativa de rentabilidade futura (</w:t>
      </w:r>
      <w:r w:rsidRPr="0096738F">
        <w:rPr>
          <w:rFonts w:ascii="Arial" w:eastAsia="Times New Roman" w:hAnsi="Arial" w:cs="Arial"/>
          <w:i/>
          <w:sz w:val="22"/>
          <w:szCs w:val="22"/>
          <w:lang w:eastAsia="pt-BR"/>
        </w:rPr>
        <w:t>goodwill</w:t>
      </w:r>
      <w:r w:rsidRPr="0096738F">
        <w:rPr>
          <w:rFonts w:ascii="Arial" w:eastAsia="Times New Roman" w:hAnsi="Arial" w:cs="Arial"/>
          <w:sz w:val="22"/>
          <w:szCs w:val="22"/>
          <w:lang w:eastAsia="pt-BR"/>
        </w:rPr>
        <w:t>).</w:t>
      </w:r>
    </w:p>
    <w:p w14:paraId="1F0F793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FA9F13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C57.</w:t>
      </w:r>
      <w:r w:rsidRPr="0096738F">
        <w:rPr>
          <w:rFonts w:ascii="Arial" w:eastAsia="Times New Roman" w:hAnsi="Arial" w:cs="Arial"/>
          <w:sz w:val="22"/>
          <w:szCs w:val="22"/>
          <w:lang w:eastAsia="pt-BR"/>
        </w:rPr>
        <w:tab/>
        <w:t>Caso a CA tivesse previamente reconhecido em suas demonstrações contábeis algum valor relativo ao relacionamento pré-existente, isso afetaria o montante reconhecido como ganho ou perda em relação à efetiva liquidação dessa relação. Suponha-se que outros Pronunciamentos Técnicos, Interpretações ou Orientações do CPC tenham exigido que a CA, antes da combinação, reconhecesse o passivo de $ 6 milhões para o contrato de fornecimento. Em tal situação, a CA reconheceria no resultado do período o ganho de $ 1 milhão proveniente da liquidação do contrato, na data da aquisição (a perda do contrato, mensurada em $ 5 milhões, menos a perda previamente reconhecida de $ 6 milhões). Em outras palavras, a CA efetivamente teria liquidado por $ 5 milhões o passivo reconhecido de $ 6 milhões, o que resultaria no ganho de $ 1 milhão.</w:t>
      </w:r>
    </w:p>
    <w:p w14:paraId="2598D58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73456FFD"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Pagamentos contingentes a empregados</w:t>
      </w:r>
    </w:p>
    <w:p w14:paraId="49E6411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215BAC5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51, 52 e B50, B54 e B55 do Pronunciamento Técnico CPC 15 - Combinação de Negócios.</w:t>
      </w:r>
    </w:p>
    <w:p w14:paraId="54EFDDD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11EAFE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C58.</w:t>
      </w:r>
      <w:r w:rsidRPr="0096738F">
        <w:rPr>
          <w:rFonts w:ascii="Arial" w:eastAsia="Times New Roman" w:hAnsi="Arial" w:cs="Arial"/>
          <w:sz w:val="22"/>
          <w:szCs w:val="22"/>
          <w:lang w:eastAsia="pt-BR"/>
        </w:rPr>
        <w:tab/>
        <w:t>A CM indicou um candidato como seu novo presidente por meio de um contrato de dez anos. O contrato exige que a CM pague ao candidato $ 5 milhões em caso de a CM ser adquirida antes do término do prazo do contrato. A CA adquire a CM oito anos depois. O presidente permanece empregado na data da aquisição e deve receber o pagamento adicional em função do contrato em vigor.</w:t>
      </w:r>
    </w:p>
    <w:p w14:paraId="614F74E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045AEE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C59.</w:t>
      </w:r>
      <w:r w:rsidRPr="0096738F">
        <w:rPr>
          <w:rFonts w:ascii="Arial" w:eastAsia="Times New Roman" w:hAnsi="Arial" w:cs="Arial"/>
          <w:sz w:val="22"/>
          <w:szCs w:val="22"/>
          <w:lang w:eastAsia="pt-BR"/>
        </w:rPr>
        <w:tab/>
        <w:t>Nesse exemplo, antes que as negociações da combinação fossem iniciadas, a CM firmou um acordo com o empregado com o objetivo de manter a prestação de serviços do presidente. Nesse caso, não existem evidências de que o acordo foi firmado fundamentalmente para prover benefícios para a CA ou para a entidade combinada. Portanto, o passivo correspondente ao pagamento de $ 5 milhões deve ser incluído na aplicação do método de aquisição.</w:t>
      </w:r>
    </w:p>
    <w:p w14:paraId="4C53584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46DF0B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C60.</w:t>
      </w:r>
      <w:r w:rsidRPr="0096738F">
        <w:rPr>
          <w:rFonts w:ascii="Arial" w:eastAsia="Times New Roman" w:hAnsi="Arial" w:cs="Arial"/>
          <w:sz w:val="22"/>
          <w:szCs w:val="22"/>
          <w:lang w:eastAsia="pt-BR"/>
        </w:rPr>
        <w:tab/>
        <w:t xml:space="preserve">Em outras circunstâncias, a CM poderia ter firmado um acordo semelhante com seu presidente por sugestão da CA durante as negociações para a combinação de negócios. Nesse caso, o principal objetivo do acordo pode ser o desligamento do presidente, e o acordo pode </w:t>
      </w:r>
      <w:r w:rsidRPr="0096738F">
        <w:rPr>
          <w:rFonts w:ascii="Arial" w:eastAsia="Times New Roman" w:hAnsi="Arial" w:cs="Arial"/>
          <w:sz w:val="22"/>
          <w:szCs w:val="22"/>
          <w:lang w:eastAsia="pt-BR"/>
        </w:rPr>
        <w:lastRenderedPageBreak/>
        <w:t>fundamentalmente beneficiar a CA ou a entidade combinada em vez da CM ou seus ex-proprietários. Em tal situação, a CA deve contabilizar o passivo correspondente ao pagamento ao presidente em suas demonstrações contábeis pós-combinação, separadamente da aplicação do método de aquisição.</w:t>
      </w:r>
    </w:p>
    <w:p w14:paraId="78B83EF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7862CEF1" w14:textId="77777777" w:rsidR="00DD5953" w:rsidRDefault="00DD5953"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4F53B908" w14:textId="491CFEAB"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Planos de substituição (</w:t>
      </w:r>
      <w:r w:rsidRPr="0096738F">
        <w:rPr>
          <w:rFonts w:ascii="Arial" w:eastAsia="Times New Roman" w:hAnsi="Arial" w:cs="Arial"/>
          <w:b/>
          <w:i/>
          <w:sz w:val="22"/>
          <w:szCs w:val="22"/>
          <w:lang w:eastAsia="pt-BR"/>
        </w:rPr>
        <w:t>replacement awards</w:t>
      </w:r>
      <w:r w:rsidRPr="0096738F">
        <w:rPr>
          <w:rFonts w:ascii="Arial" w:eastAsia="Times New Roman" w:hAnsi="Arial" w:cs="Arial"/>
          <w:b/>
          <w:sz w:val="22"/>
          <w:szCs w:val="22"/>
          <w:lang w:eastAsia="pt-BR"/>
        </w:rPr>
        <w:t>)</w:t>
      </w:r>
    </w:p>
    <w:p w14:paraId="59EE502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p>
    <w:p w14:paraId="2684F53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51, 52 e B56 a B62 do Pronunciamento Técnico CPC 15 - Combinação de Negócios.</w:t>
      </w:r>
    </w:p>
    <w:p w14:paraId="55C099D8" w14:textId="77777777" w:rsidR="0096738F" w:rsidRPr="0096738F" w:rsidRDefault="0096738F" w:rsidP="0096738F">
      <w:pPr>
        <w:widowControl w:val="0"/>
        <w:tabs>
          <w:tab w:val="left" w:pos="6804"/>
        </w:tabs>
        <w:spacing w:before="0" w:after="0" w:line="240" w:lineRule="auto"/>
        <w:ind w:firstLine="0"/>
        <w:rPr>
          <w:rFonts w:ascii="Arial" w:eastAsia="Times New Roman" w:hAnsi="Arial" w:cs="Arial"/>
          <w:b/>
          <w:sz w:val="22"/>
          <w:szCs w:val="22"/>
          <w:lang w:eastAsia="pt-BR"/>
        </w:rPr>
      </w:pPr>
    </w:p>
    <w:p w14:paraId="58DAE34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C61.</w:t>
      </w:r>
      <w:r w:rsidRPr="0096738F">
        <w:rPr>
          <w:rFonts w:ascii="Arial" w:eastAsia="Times New Roman" w:hAnsi="Arial" w:cs="Arial"/>
          <w:sz w:val="22"/>
          <w:szCs w:val="22"/>
          <w:lang w:eastAsia="pt-BR"/>
        </w:rPr>
        <w:tab/>
        <w:t>Os exemplos a seguir ilustram 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que o adquirente foi obrigado a emitir, nas seguintes circunstâncias:</w:t>
      </w:r>
    </w:p>
    <w:p w14:paraId="604D5B7A"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1801"/>
        <w:gridCol w:w="2263"/>
        <w:gridCol w:w="1930"/>
      </w:tblGrid>
      <w:tr w:rsidR="0096738F" w:rsidRPr="0096738F" w14:paraId="1CCC3239" w14:textId="77777777" w:rsidTr="00DF2196">
        <w:trPr>
          <w:jc w:val="center"/>
        </w:trPr>
        <w:tc>
          <w:tcPr>
            <w:tcW w:w="2124" w:type="pct"/>
            <w:tcBorders>
              <w:top w:val="nil"/>
              <w:left w:val="nil"/>
              <w:bottom w:val="nil"/>
              <w:right w:val="nil"/>
            </w:tcBorders>
          </w:tcPr>
          <w:p w14:paraId="12BB44D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c>
        <w:tc>
          <w:tcPr>
            <w:tcW w:w="864" w:type="pct"/>
            <w:tcBorders>
              <w:top w:val="nil"/>
              <w:left w:val="nil"/>
              <w:bottom w:val="nil"/>
              <w:right w:val="single" w:sz="4" w:space="0" w:color="000000"/>
            </w:tcBorders>
          </w:tcPr>
          <w:p w14:paraId="354DC18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c>
        <w:tc>
          <w:tcPr>
            <w:tcW w:w="2012" w:type="pct"/>
            <w:gridSpan w:val="2"/>
            <w:tcBorders>
              <w:left w:val="single" w:sz="4" w:space="0" w:color="000000"/>
            </w:tcBorders>
          </w:tcPr>
          <w:p w14:paraId="03073450"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Planos da adquirida</w:t>
            </w:r>
          </w:p>
          <w:p w14:paraId="466E9EB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período de aquisição de direito (</w:t>
            </w:r>
            <w:r w:rsidRPr="0096738F">
              <w:rPr>
                <w:rFonts w:ascii="Arial" w:eastAsia="Times New Roman" w:hAnsi="Arial" w:cs="Arial"/>
                <w:i/>
                <w:sz w:val="22"/>
                <w:szCs w:val="22"/>
                <w:lang w:val="pt-PT" w:eastAsia="pt-BR"/>
              </w:rPr>
              <w:t>vesting period</w:t>
            </w:r>
            <w:r w:rsidRPr="0096738F">
              <w:rPr>
                <w:rFonts w:ascii="Arial" w:eastAsia="Times New Roman" w:hAnsi="Arial" w:cs="Arial"/>
                <w:sz w:val="22"/>
                <w:szCs w:val="22"/>
                <w:lang w:val="pt-PT" w:eastAsia="pt-BR"/>
              </w:rPr>
              <w:t>) estava concluído antes da combinação de negócios?</w:t>
            </w:r>
          </w:p>
        </w:tc>
      </w:tr>
      <w:tr w:rsidR="0096738F" w:rsidRPr="0096738F" w14:paraId="5EEA0502" w14:textId="77777777" w:rsidTr="00DF2196">
        <w:trPr>
          <w:jc w:val="center"/>
        </w:trPr>
        <w:tc>
          <w:tcPr>
            <w:tcW w:w="2124" w:type="pct"/>
            <w:tcBorders>
              <w:top w:val="nil"/>
              <w:left w:val="nil"/>
              <w:right w:val="nil"/>
            </w:tcBorders>
          </w:tcPr>
          <w:p w14:paraId="60AF675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c>
        <w:tc>
          <w:tcPr>
            <w:tcW w:w="864" w:type="pct"/>
            <w:tcBorders>
              <w:top w:val="nil"/>
              <w:left w:val="nil"/>
              <w:right w:val="single" w:sz="4" w:space="0" w:color="000000"/>
            </w:tcBorders>
          </w:tcPr>
          <w:p w14:paraId="441D062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c>
        <w:tc>
          <w:tcPr>
            <w:tcW w:w="1086" w:type="pct"/>
            <w:tcBorders>
              <w:left w:val="single" w:sz="4" w:space="0" w:color="000000"/>
              <w:bottom w:val="single" w:sz="24" w:space="0" w:color="000000"/>
            </w:tcBorders>
          </w:tcPr>
          <w:p w14:paraId="28827FFB"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Concluído</w:t>
            </w:r>
          </w:p>
        </w:tc>
        <w:tc>
          <w:tcPr>
            <w:tcW w:w="926" w:type="pct"/>
            <w:tcBorders>
              <w:bottom w:val="single" w:sz="24" w:space="0" w:color="000000"/>
            </w:tcBorders>
          </w:tcPr>
          <w:p w14:paraId="31748A4A"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Não concluído</w:t>
            </w:r>
          </w:p>
        </w:tc>
      </w:tr>
      <w:tr w:rsidR="0096738F" w:rsidRPr="0096738F" w14:paraId="387339F0" w14:textId="77777777" w:rsidTr="00DF2196">
        <w:trPr>
          <w:cantSplit/>
          <w:trHeight w:val="515"/>
          <w:jc w:val="center"/>
        </w:trPr>
        <w:tc>
          <w:tcPr>
            <w:tcW w:w="2124" w:type="pct"/>
            <w:vMerge w:val="restart"/>
            <w:vAlign w:val="center"/>
          </w:tcPr>
          <w:p w14:paraId="52CF0C8B"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Planos de substituição</w:t>
            </w:r>
          </w:p>
          <w:p w14:paraId="6C21232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São exigidos serviços adicionais dos empregados após a data da aquisição?</w:t>
            </w:r>
          </w:p>
        </w:tc>
        <w:tc>
          <w:tcPr>
            <w:tcW w:w="864" w:type="pct"/>
            <w:tcBorders>
              <w:right w:val="single" w:sz="24" w:space="0" w:color="000000"/>
            </w:tcBorders>
            <w:vAlign w:val="center"/>
          </w:tcPr>
          <w:p w14:paraId="4E4DCC1B"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Não exigido</w:t>
            </w:r>
          </w:p>
        </w:tc>
        <w:tc>
          <w:tcPr>
            <w:tcW w:w="1086" w:type="pct"/>
            <w:tcBorders>
              <w:top w:val="single" w:sz="24" w:space="0" w:color="000000"/>
              <w:left w:val="single" w:sz="24" w:space="0" w:color="000000"/>
              <w:bottom w:val="single" w:sz="2" w:space="0" w:color="000000"/>
              <w:right w:val="single" w:sz="2" w:space="0" w:color="000000"/>
            </w:tcBorders>
            <w:vAlign w:val="center"/>
          </w:tcPr>
          <w:p w14:paraId="199C1249"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Exemplo 1</w:t>
            </w:r>
          </w:p>
        </w:tc>
        <w:tc>
          <w:tcPr>
            <w:tcW w:w="926" w:type="pct"/>
            <w:tcBorders>
              <w:top w:val="single" w:sz="24" w:space="0" w:color="000000"/>
              <w:left w:val="single" w:sz="2" w:space="0" w:color="000000"/>
              <w:bottom w:val="single" w:sz="2" w:space="0" w:color="000000"/>
              <w:right w:val="single" w:sz="24" w:space="0" w:color="000000"/>
            </w:tcBorders>
            <w:vAlign w:val="center"/>
          </w:tcPr>
          <w:p w14:paraId="1376324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Exemplo 3</w:t>
            </w:r>
          </w:p>
        </w:tc>
      </w:tr>
      <w:tr w:rsidR="0096738F" w:rsidRPr="0096738F" w14:paraId="18D67EF4" w14:textId="77777777" w:rsidTr="00DF2196">
        <w:trPr>
          <w:cantSplit/>
          <w:trHeight w:val="515"/>
          <w:jc w:val="center"/>
        </w:trPr>
        <w:tc>
          <w:tcPr>
            <w:tcW w:w="2124" w:type="pct"/>
            <w:vMerge/>
          </w:tcPr>
          <w:p w14:paraId="378280D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c>
        <w:tc>
          <w:tcPr>
            <w:tcW w:w="864" w:type="pct"/>
            <w:tcBorders>
              <w:right w:val="single" w:sz="24" w:space="0" w:color="000000"/>
            </w:tcBorders>
            <w:vAlign w:val="center"/>
          </w:tcPr>
          <w:p w14:paraId="2496352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Exigido</w:t>
            </w:r>
          </w:p>
        </w:tc>
        <w:tc>
          <w:tcPr>
            <w:tcW w:w="1086" w:type="pct"/>
            <w:tcBorders>
              <w:top w:val="single" w:sz="2" w:space="0" w:color="000000"/>
              <w:left w:val="single" w:sz="24" w:space="0" w:color="000000"/>
              <w:bottom w:val="single" w:sz="24" w:space="0" w:color="000000"/>
              <w:right w:val="single" w:sz="2" w:space="0" w:color="000000"/>
            </w:tcBorders>
            <w:vAlign w:val="center"/>
          </w:tcPr>
          <w:p w14:paraId="318168E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Exemplo 2</w:t>
            </w:r>
          </w:p>
        </w:tc>
        <w:tc>
          <w:tcPr>
            <w:tcW w:w="926" w:type="pct"/>
            <w:tcBorders>
              <w:top w:val="single" w:sz="2" w:space="0" w:color="000000"/>
              <w:left w:val="single" w:sz="2" w:space="0" w:color="000000"/>
              <w:bottom w:val="single" w:sz="24" w:space="0" w:color="000000"/>
              <w:right w:val="single" w:sz="24" w:space="0" w:color="000000"/>
            </w:tcBorders>
            <w:vAlign w:val="center"/>
          </w:tcPr>
          <w:p w14:paraId="4CA2B3B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Exemplo 4</w:t>
            </w:r>
          </w:p>
        </w:tc>
      </w:tr>
    </w:tbl>
    <w:p w14:paraId="77D124F0"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eastAsia="pt-BR"/>
        </w:rPr>
      </w:pPr>
    </w:p>
    <w:p w14:paraId="2D83044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647B94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C62.</w:t>
      </w:r>
      <w:r w:rsidRPr="0096738F">
        <w:rPr>
          <w:rFonts w:ascii="Arial" w:eastAsia="Times New Roman" w:hAnsi="Arial" w:cs="Arial"/>
          <w:sz w:val="22"/>
          <w:szCs w:val="22"/>
          <w:lang w:eastAsia="pt-BR"/>
        </w:rPr>
        <w:tab/>
        <w:t>Os exemplos assumem que todos os planos de benefícios são classificados como itens do patrimônio líquido.</w:t>
      </w:r>
    </w:p>
    <w:p w14:paraId="589C06C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74BCD14A"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i/>
          <w:sz w:val="22"/>
          <w:szCs w:val="22"/>
          <w:lang w:eastAsia="pt-BR"/>
        </w:rPr>
      </w:pPr>
      <w:r w:rsidRPr="0096738F">
        <w:rPr>
          <w:rFonts w:ascii="Arial" w:eastAsia="Times New Roman" w:hAnsi="Arial" w:cs="Arial"/>
          <w:i/>
          <w:sz w:val="22"/>
          <w:szCs w:val="22"/>
          <w:lang w:eastAsia="pt-BR"/>
        </w:rPr>
        <w:t>Exemplo 1</w:t>
      </w:r>
    </w:p>
    <w:p w14:paraId="0AB5EB4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7910"/>
      </w:tblGrid>
      <w:tr w:rsidR="0096738F" w:rsidRPr="0096738F" w14:paraId="6162CCEA" w14:textId="77777777" w:rsidTr="00DF2196">
        <w:trPr>
          <w:jc w:val="center"/>
        </w:trPr>
        <w:tc>
          <w:tcPr>
            <w:tcW w:w="1205" w:type="pct"/>
            <w:vAlign w:val="center"/>
          </w:tcPr>
          <w:p w14:paraId="00101C7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da adquirida</w:t>
            </w:r>
          </w:p>
        </w:tc>
        <w:tc>
          <w:tcPr>
            <w:tcW w:w="3795" w:type="pct"/>
            <w:vAlign w:val="center"/>
          </w:tcPr>
          <w:p w14:paraId="05211657"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Período de aquisição de direito (</w:t>
            </w:r>
            <w:r w:rsidRPr="0096738F">
              <w:rPr>
                <w:rFonts w:ascii="Arial" w:eastAsia="Times New Roman" w:hAnsi="Arial" w:cs="Arial"/>
                <w:i/>
                <w:sz w:val="22"/>
                <w:szCs w:val="22"/>
                <w:lang w:val="pt-PT" w:eastAsia="pt-BR"/>
              </w:rPr>
              <w:t>vesting</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period</w:t>
            </w:r>
            <w:r w:rsidRPr="0096738F">
              <w:rPr>
                <w:rFonts w:ascii="Arial" w:eastAsia="Times New Roman" w:hAnsi="Arial" w:cs="Arial"/>
                <w:sz w:val="22"/>
                <w:szCs w:val="22"/>
                <w:lang w:val="pt-PT" w:eastAsia="pt-BR"/>
              </w:rPr>
              <w:t xml:space="preserve">) </w:t>
            </w:r>
            <w:r w:rsidRPr="0096738F">
              <w:rPr>
                <w:rFonts w:ascii="Arial" w:eastAsia="Times New Roman" w:hAnsi="Arial" w:cs="Arial"/>
                <w:b/>
                <w:sz w:val="22"/>
                <w:szCs w:val="22"/>
                <w:lang w:val="pt-PT" w:eastAsia="pt-BR"/>
              </w:rPr>
              <w:t>foi concluído</w:t>
            </w:r>
            <w:r w:rsidRPr="0096738F">
              <w:rPr>
                <w:rFonts w:ascii="Arial" w:eastAsia="Times New Roman" w:hAnsi="Arial" w:cs="Arial"/>
                <w:sz w:val="22"/>
                <w:szCs w:val="22"/>
                <w:lang w:val="pt-PT" w:eastAsia="pt-BR"/>
              </w:rPr>
              <w:t xml:space="preserve"> antes da combinação de negócios.</w:t>
            </w:r>
          </w:p>
        </w:tc>
      </w:tr>
      <w:tr w:rsidR="0096738F" w:rsidRPr="0096738F" w14:paraId="202505E0" w14:textId="77777777" w:rsidTr="00DF2196">
        <w:trPr>
          <w:jc w:val="center"/>
        </w:trPr>
        <w:tc>
          <w:tcPr>
            <w:tcW w:w="1205" w:type="pct"/>
            <w:vAlign w:val="center"/>
          </w:tcPr>
          <w:p w14:paraId="265C152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de substituição (</w:t>
            </w:r>
            <w:r w:rsidRPr="0096738F">
              <w:rPr>
                <w:rFonts w:ascii="Arial" w:eastAsia="Times New Roman" w:hAnsi="Arial" w:cs="Arial"/>
                <w:i/>
                <w:sz w:val="22"/>
                <w:szCs w:val="22"/>
                <w:lang w:val="pt-PT" w:eastAsia="pt-BR"/>
              </w:rPr>
              <w:t>replacement</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awards</w:t>
            </w:r>
            <w:r w:rsidRPr="0096738F">
              <w:rPr>
                <w:rFonts w:ascii="Arial" w:eastAsia="Times New Roman" w:hAnsi="Arial" w:cs="Arial"/>
                <w:sz w:val="22"/>
                <w:szCs w:val="22"/>
                <w:lang w:val="pt-PT" w:eastAsia="pt-BR"/>
              </w:rPr>
              <w:t>)</w:t>
            </w:r>
          </w:p>
        </w:tc>
        <w:tc>
          <w:tcPr>
            <w:tcW w:w="3795" w:type="pct"/>
            <w:vAlign w:val="center"/>
          </w:tcPr>
          <w:p w14:paraId="35A543C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Serviços adicionais dos empregados após a data da aquisição </w:t>
            </w:r>
            <w:r w:rsidRPr="0096738F">
              <w:rPr>
                <w:rFonts w:ascii="Arial" w:eastAsia="Times New Roman" w:hAnsi="Arial" w:cs="Arial"/>
                <w:b/>
                <w:sz w:val="22"/>
                <w:szCs w:val="22"/>
                <w:lang w:val="pt-PT" w:eastAsia="pt-BR"/>
              </w:rPr>
              <w:t>não são exigidos.</w:t>
            </w:r>
          </w:p>
        </w:tc>
      </w:tr>
    </w:tbl>
    <w:p w14:paraId="475F362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AAD062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C63.</w:t>
      </w:r>
      <w:r w:rsidRPr="0096738F">
        <w:rPr>
          <w:rFonts w:ascii="Arial" w:eastAsia="Times New Roman" w:hAnsi="Arial" w:cs="Arial"/>
          <w:sz w:val="22"/>
          <w:szCs w:val="22"/>
          <w:lang w:eastAsia="pt-BR"/>
        </w:rPr>
        <w:tab/>
      </w:r>
      <w:r w:rsidRPr="0096738F">
        <w:rPr>
          <w:rFonts w:ascii="Arial" w:eastAsia="Times New Roman" w:hAnsi="Arial" w:cs="Arial"/>
          <w:caps/>
          <w:sz w:val="22"/>
          <w:szCs w:val="22"/>
          <w:lang w:eastAsia="pt-BR"/>
        </w:rPr>
        <w:t xml:space="preserve">A </w:t>
      </w:r>
      <w:r w:rsidRPr="0096738F">
        <w:rPr>
          <w:rFonts w:ascii="Arial" w:eastAsia="Times New Roman" w:hAnsi="Arial" w:cs="Arial"/>
          <w:sz w:val="22"/>
          <w:szCs w:val="22"/>
          <w:lang w:eastAsia="pt-BR"/>
        </w:rPr>
        <w:t>CA emite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xml:space="preserve"> de $ 110 (mensuração baseada no mercado) na data da aquisição para trocar pelos planos da CM de $ 100 (mensuração baseada no mercado). Nenhum serviço pós-combinação foi exigido para os planos de substituição e os empregados da CM prestaram todos os serviços requeridos pelos planos da adquirida até a data da aquisição.</w:t>
      </w:r>
    </w:p>
    <w:p w14:paraId="4AD0EDEA"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C44004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C64.</w:t>
      </w:r>
      <w:r w:rsidRPr="0096738F">
        <w:rPr>
          <w:rFonts w:ascii="Arial" w:eastAsia="Times New Roman" w:hAnsi="Arial" w:cs="Arial"/>
          <w:sz w:val="22"/>
          <w:szCs w:val="22"/>
          <w:lang w:eastAsia="pt-BR"/>
        </w:rPr>
        <w:tab/>
        <w:t xml:space="preserve">O montante atribuível aos serviços pré-combinação é a mensuração baseada no mercado dos planos da CM ($ 100) na data da aquisição, cujo valor deve ser incluído na contraprestação transferida da combinação de negócios. O montante atribuível aos serviços pós-combinação é $ 10, que é a diferença entre o valor total dos planos de substituição ($ 110) e a parcela atribuível aos serviços pré-combinação ($ 100). Por não serem exigidos serviços adicionais pós-combinação </w:t>
      </w:r>
      <w:r w:rsidRPr="0096738F">
        <w:rPr>
          <w:rFonts w:ascii="Arial" w:eastAsia="Times New Roman" w:hAnsi="Arial" w:cs="Arial"/>
          <w:sz w:val="22"/>
          <w:szCs w:val="22"/>
          <w:lang w:eastAsia="pt-BR"/>
        </w:rPr>
        <w:lastRenderedPageBreak/>
        <w:t>para os planos de substituição, a CA imediatamente reconhece $ 10 como custo de remuneração em suas demonstrações contábeis pós-combinação.</w:t>
      </w:r>
    </w:p>
    <w:p w14:paraId="67CA73B6"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70A29D4D" w14:textId="77777777" w:rsidR="00DD5953" w:rsidRDefault="00DD5953"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p>
    <w:p w14:paraId="382421A7" w14:textId="77777777" w:rsidR="00DD5953" w:rsidRDefault="00DD5953"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p>
    <w:p w14:paraId="7811280F" w14:textId="77777777" w:rsidR="00DD5953" w:rsidRDefault="00DD5953"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p>
    <w:p w14:paraId="5CC5EC80" w14:textId="5D2BE586" w:rsidR="0096738F" w:rsidRPr="0096738F" w:rsidRDefault="0096738F"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r w:rsidRPr="0096738F">
        <w:rPr>
          <w:rFonts w:ascii="Arial" w:eastAsia="Times New Roman" w:hAnsi="Arial" w:cs="Arial"/>
          <w:i/>
          <w:sz w:val="22"/>
          <w:szCs w:val="22"/>
          <w:lang w:eastAsia="pt-BR"/>
        </w:rPr>
        <w:t>Exemplo 2</w:t>
      </w:r>
    </w:p>
    <w:p w14:paraId="300ECD1B"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7910"/>
      </w:tblGrid>
      <w:tr w:rsidR="0096738F" w:rsidRPr="0096738F" w14:paraId="3970B106" w14:textId="77777777" w:rsidTr="00DF2196">
        <w:trPr>
          <w:jc w:val="center"/>
        </w:trPr>
        <w:tc>
          <w:tcPr>
            <w:tcW w:w="1205" w:type="pct"/>
            <w:vAlign w:val="center"/>
          </w:tcPr>
          <w:p w14:paraId="42DF602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da adquirida</w:t>
            </w:r>
          </w:p>
        </w:tc>
        <w:tc>
          <w:tcPr>
            <w:tcW w:w="3795" w:type="pct"/>
            <w:vAlign w:val="center"/>
          </w:tcPr>
          <w:p w14:paraId="0E78556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Período de aquisição de direito (</w:t>
            </w:r>
            <w:r w:rsidRPr="0096738F">
              <w:rPr>
                <w:rFonts w:ascii="Arial" w:eastAsia="Times New Roman" w:hAnsi="Arial" w:cs="Arial"/>
                <w:i/>
                <w:sz w:val="22"/>
                <w:szCs w:val="22"/>
                <w:lang w:val="pt-PT" w:eastAsia="pt-BR"/>
              </w:rPr>
              <w:t>vesting</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period</w:t>
            </w:r>
            <w:r w:rsidRPr="0096738F">
              <w:rPr>
                <w:rFonts w:ascii="Arial" w:eastAsia="Times New Roman" w:hAnsi="Arial" w:cs="Arial"/>
                <w:sz w:val="22"/>
                <w:szCs w:val="22"/>
                <w:lang w:val="pt-PT" w:eastAsia="pt-BR"/>
              </w:rPr>
              <w:t xml:space="preserve">) </w:t>
            </w:r>
            <w:r w:rsidRPr="0096738F">
              <w:rPr>
                <w:rFonts w:ascii="Arial" w:eastAsia="Times New Roman" w:hAnsi="Arial" w:cs="Arial"/>
                <w:b/>
                <w:sz w:val="22"/>
                <w:szCs w:val="22"/>
                <w:lang w:val="pt-PT" w:eastAsia="pt-BR"/>
              </w:rPr>
              <w:t>foi concluído</w:t>
            </w:r>
            <w:r w:rsidRPr="0096738F">
              <w:rPr>
                <w:rFonts w:ascii="Arial" w:eastAsia="Times New Roman" w:hAnsi="Arial" w:cs="Arial"/>
                <w:sz w:val="22"/>
                <w:szCs w:val="22"/>
                <w:lang w:val="pt-PT" w:eastAsia="pt-BR"/>
              </w:rPr>
              <w:t xml:space="preserve"> antes da combinação de negócios.</w:t>
            </w:r>
          </w:p>
        </w:tc>
      </w:tr>
      <w:tr w:rsidR="0096738F" w:rsidRPr="0096738F" w14:paraId="7279B6CF" w14:textId="77777777" w:rsidTr="00DF2196">
        <w:trPr>
          <w:jc w:val="center"/>
        </w:trPr>
        <w:tc>
          <w:tcPr>
            <w:tcW w:w="1205" w:type="pct"/>
            <w:vAlign w:val="center"/>
          </w:tcPr>
          <w:p w14:paraId="334408E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de substituição (</w:t>
            </w:r>
            <w:r w:rsidRPr="0096738F">
              <w:rPr>
                <w:rFonts w:ascii="Arial" w:eastAsia="Times New Roman" w:hAnsi="Arial" w:cs="Arial"/>
                <w:i/>
                <w:sz w:val="22"/>
                <w:szCs w:val="22"/>
                <w:lang w:val="pt-PT" w:eastAsia="pt-BR"/>
              </w:rPr>
              <w:t>replacement</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awards</w:t>
            </w:r>
            <w:r w:rsidRPr="0096738F">
              <w:rPr>
                <w:rFonts w:ascii="Arial" w:eastAsia="Times New Roman" w:hAnsi="Arial" w:cs="Arial"/>
                <w:sz w:val="22"/>
                <w:szCs w:val="22"/>
                <w:lang w:val="pt-PT" w:eastAsia="pt-BR"/>
              </w:rPr>
              <w:t>)</w:t>
            </w:r>
          </w:p>
        </w:tc>
        <w:tc>
          <w:tcPr>
            <w:tcW w:w="3795" w:type="pct"/>
            <w:vAlign w:val="center"/>
          </w:tcPr>
          <w:p w14:paraId="5416319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Serviços adicionais dos empregados após a data da aquisição </w:t>
            </w:r>
            <w:r w:rsidRPr="0096738F">
              <w:rPr>
                <w:rFonts w:ascii="Arial" w:eastAsia="Times New Roman" w:hAnsi="Arial" w:cs="Arial"/>
                <w:b/>
                <w:sz w:val="22"/>
                <w:szCs w:val="22"/>
                <w:lang w:val="pt-PT" w:eastAsia="pt-BR"/>
              </w:rPr>
              <w:t>são exigidos.</w:t>
            </w:r>
          </w:p>
        </w:tc>
      </w:tr>
    </w:tbl>
    <w:p w14:paraId="4267298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AB1AD9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C65.</w:t>
      </w:r>
      <w:r w:rsidRPr="0096738F">
        <w:rPr>
          <w:rFonts w:ascii="Arial" w:eastAsia="Times New Roman" w:hAnsi="Arial" w:cs="Arial"/>
          <w:sz w:val="22"/>
          <w:szCs w:val="22"/>
          <w:lang w:eastAsia="pt-BR"/>
        </w:rPr>
        <w:tab/>
        <w:t>A CA deve trocar 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os quais exigem um ano de serviço adicional após a combinação, pelos planos de pagamentos baseados em ações da CM, em poder dos empregados que já haviam completado o período de aquisição de direito (</w:t>
      </w:r>
      <w:r w:rsidRPr="0096738F">
        <w:rPr>
          <w:rFonts w:ascii="Arial" w:eastAsia="Times New Roman" w:hAnsi="Arial" w:cs="Arial"/>
          <w:i/>
          <w:sz w:val="22"/>
          <w:szCs w:val="22"/>
          <w:lang w:eastAsia="pt-BR"/>
        </w:rPr>
        <w:t>vesting period</w:t>
      </w:r>
      <w:r w:rsidRPr="0096738F">
        <w:rPr>
          <w:rFonts w:ascii="Arial" w:eastAsia="Times New Roman" w:hAnsi="Arial" w:cs="Arial"/>
          <w:sz w:val="22"/>
          <w:szCs w:val="22"/>
          <w:lang w:eastAsia="pt-BR"/>
        </w:rPr>
        <w:t>) antes da combinação de negócios. A mensuração baseada no mercado de ambos os planos, na data da aquisição, é $ 100. Quando originalmente outorgados, os planos da CM exigiam um período para aquisição de direito (</w:t>
      </w:r>
      <w:r w:rsidRPr="0096738F">
        <w:rPr>
          <w:rFonts w:ascii="Arial" w:eastAsia="Times New Roman" w:hAnsi="Arial" w:cs="Arial"/>
          <w:i/>
          <w:sz w:val="22"/>
          <w:szCs w:val="22"/>
          <w:lang w:eastAsia="pt-BR"/>
        </w:rPr>
        <w:t>vesting period</w:t>
      </w:r>
      <w:r w:rsidRPr="0096738F">
        <w:rPr>
          <w:rFonts w:ascii="Arial" w:eastAsia="Times New Roman" w:hAnsi="Arial" w:cs="Arial"/>
          <w:sz w:val="22"/>
          <w:szCs w:val="22"/>
          <w:lang w:eastAsia="pt-BR"/>
        </w:rPr>
        <w:t>) de 4 (quatro) anos. Os empregados da CM, detentores de planos ainda não exercidos até a data da aquisição, já haviam prestado serviços por sete anos desde a data da outorga dos planos.</w:t>
      </w:r>
    </w:p>
    <w:p w14:paraId="5D5C2EA6"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4767F21"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C66.</w:t>
      </w:r>
      <w:r w:rsidRPr="0096738F">
        <w:rPr>
          <w:rFonts w:ascii="Arial" w:eastAsia="Times New Roman" w:hAnsi="Arial" w:cs="Arial"/>
          <w:sz w:val="22"/>
          <w:szCs w:val="22"/>
          <w:lang w:eastAsia="pt-BR"/>
        </w:rPr>
        <w:tab/>
        <w:t>Independentemente de os empregados da CM já terem prestado todos os serviços, a CA atribui uma parte dos planos de substituição como custo de remuneração pós-combinação, em conformidade com o disposto no item B59 do Pronunciamento Técnico CPC 15 - Combinação de Negócios, em função de os planos de substituição exigirem um ano de serviços após a combinação. Dessa forma, o período para a aquisição de direito total (</w:t>
      </w:r>
      <w:r w:rsidRPr="0096738F">
        <w:rPr>
          <w:rFonts w:ascii="Arial" w:eastAsia="Times New Roman" w:hAnsi="Arial" w:cs="Arial"/>
          <w:i/>
          <w:sz w:val="22"/>
          <w:szCs w:val="22"/>
          <w:lang w:eastAsia="pt-BR"/>
        </w:rPr>
        <w:t>total</w:t>
      </w:r>
      <w:r w:rsidRPr="0096738F">
        <w:rPr>
          <w:rFonts w:ascii="Arial" w:eastAsia="Times New Roman" w:hAnsi="Arial" w:cs="Arial"/>
          <w:sz w:val="22"/>
          <w:szCs w:val="22"/>
          <w:lang w:eastAsia="pt-BR"/>
        </w:rPr>
        <w:t xml:space="preserve"> </w:t>
      </w:r>
      <w:r w:rsidRPr="0096738F">
        <w:rPr>
          <w:rFonts w:ascii="Arial" w:eastAsia="Times New Roman" w:hAnsi="Arial" w:cs="Arial"/>
          <w:i/>
          <w:sz w:val="22"/>
          <w:szCs w:val="22"/>
          <w:lang w:eastAsia="pt-BR"/>
        </w:rPr>
        <w:t>vesting period</w:t>
      </w:r>
      <w:r w:rsidRPr="0096738F">
        <w:rPr>
          <w:rFonts w:ascii="Arial" w:eastAsia="Times New Roman" w:hAnsi="Arial" w:cs="Arial"/>
          <w:sz w:val="22"/>
          <w:szCs w:val="22"/>
          <w:lang w:eastAsia="pt-BR"/>
        </w:rPr>
        <w:t>) é de 5 (cinco) anos – o período de aquisição de direito original exigido pelo plano da adquirida, já completados antes da data de aquisição (quatro anos), mais o período de aquisição de direito exigido para o plano de substituição (um ano).</w:t>
      </w:r>
    </w:p>
    <w:p w14:paraId="40F7F34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33BA51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C67.</w:t>
      </w:r>
      <w:r w:rsidRPr="0096738F">
        <w:rPr>
          <w:rFonts w:ascii="Arial" w:eastAsia="Times New Roman" w:hAnsi="Arial" w:cs="Arial"/>
          <w:sz w:val="22"/>
          <w:szCs w:val="22"/>
          <w:lang w:eastAsia="pt-BR"/>
        </w:rPr>
        <w:tab/>
        <w:t>A parte atribuível aos serviços pré-combinação é igual ao valor da mensuração baseada no mercado do plano da adquirida ($ 100) multiplicado pela razão entre o período de aquisição de direito pré-combinação (4 anos) e o total do período de aquisição de direito (5 anos). Então, os $ 80 ($ 100 x 4/5 anos) devem ser atribuídos ao período de aquisição de direito pré-combinação e devem ser, portanto, incluídos na contraprestação transferida na combinação de negócios. Os $ 20 restantes devem ser atribuídos ao período de aquisição de direito pós-combinação e devem, portanto, ser reconhecidos como custo de remuneração nas demonstrações contábeis pós-combinação da CA, em conformidade com o Pronunciamento Técnico CPC 10 – Pagamento Baseado em Ações.</w:t>
      </w:r>
    </w:p>
    <w:p w14:paraId="2237FCE1"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58ED01B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r w:rsidRPr="0096738F">
        <w:rPr>
          <w:rFonts w:ascii="Arial" w:eastAsia="Times New Roman" w:hAnsi="Arial" w:cs="Arial"/>
          <w:i/>
          <w:sz w:val="22"/>
          <w:szCs w:val="22"/>
          <w:lang w:eastAsia="pt-BR"/>
        </w:rPr>
        <w:t>Exemplo 3</w:t>
      </w:r>
    </w:p>
    <w:p w14:paraId="17674F8D"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7910"/>
      </w:tblGrid>
      <w:tr w:rsidR="0096738F" w:rsidRPr="0096738F" w14:paraId="501B3995" w14:textId="77777777" w:rsidTr="00DF2196">
        <w:trPr>
          <w:jc w:val="center"/>
        </w:trPr>
        <w:tc>
          <w:tcPr>
            <w:tcW w:w="1205" w:type="pct"/>
            <w:vAlign w:val="center"/>
          </w:tcPr>
          <w:p w14:paraId="7163A30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da adquirida</w:t>
            </w:r>
          </w:p>
        </w:tc>
        <w:tc>
          <w:tcPr>
            <w:tcW w:w="3795" w:type="pct"/>
            <w:vAlign w:val="center"/>
          </w:tcPr>
          <w:p w14:paraId="1672E08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Período de aquisição de direito (</w:t>
            </w:r>
            <w:r w:rsidRPr="0096738F">
              <w:rPr>
                <w:rFonts w:ascii="Arial" w:eastAsia="Times New Roman" w:hAnsi="Arial" w:cs="Arial"/>
                <w:i/>
                <w:sz w:val="22"/>
                <w:szCs w:val="22"/>
                <w:lang w:val="pt-PT" w:eastAsia="pt-BR"/>
              </w:rPr>
              <w:t>vesting</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period</w:t>
            </w:r>
            <w:r w:rsidRPr="0096738F">
              <w:rPr>
                <w:rFonts w:ascii="Arial" w:eastAsia="Times New Roman" w:hAnsi="Arial" w:cs="Arial"/>
                <w:sz w:val="22"/>
                <w:szCs w:val="22"/>
                <w:lang w:val="pt-PT" w:eastAsia="pt-BR"/>
              </w:rPr>
              <w:t xml:space="preserve">) </w:t>
            </w:r>
            <w:r w:rsidRPr="0096738F">
              <w:rPr>
                <w:rFonts w:ascii="Arial" w:eastAsia="Times New Roman" w:hAnsi="Arial" w:cs="Arial"/>
                <w:b/>
                <w:sz w:val="22"/>
                <w:szCs w:val="22"/>
                <w:lang w:val="pt-PT" w:eastAsia="pt-BR"/>
              </w:rPr>
              <w:t>não foi concluído</w:t>
            </w:r>
            <w:r w:rsidRPr="0096738F">
              <w:rPr>
                <w:rFonts w:ascii="Arial" w:eastAsia="Times New Roman" w:hAnsi="Arial" w:cs="Arial"/>
                <w:sz w:val="22"/>
                <w:szCs w:val="22"/>
                <w:lang w:val="pt-PT" w:eastAsia="pt-BR"/>
              </w:rPr>
              <w:t xml:space="preserve"> antes da combinação de negócios.</w:t>
            </w:r>
          </w:p>
        </w:tc>
      </w:tr>
      <w:tr w:rsidR="0096738F" w:rsidRPr="0096738F" w14:paraId="59EBBEC6" w14:textId="77777777" w:rsidTr="00DF2196">
        <w:trPr>
          <w:jc w:val="center"/>
        </w:trPr>
        <w:tc>
          <w:tcPr>
            <w:tcW w:w="1205" w:type="pct"/>
            <w:vAlign w:val="center"/>
          </w:tcPr>
          <w:p w14:paraId="3F7CF3F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Plano de substituição (</w:t>
            </w:r>
            <w:r w:rsidRPr="0096738F">
              <w:rPr>
                <w:rFonts w:ascii="Arial" w:eastAsia="Times New Roman" w:hAnsi="Arial" w:cs="Arial"/>
                <w:i/>
                <w:sz w:val="22"/>
                <w:szCs w:val="22"/>
                <w:lang w:val="pt-PT" w:eastAsia="pt-BR"/>
              </w:rPr>
              <w:t>replacement</w:t>
            </w:r>
            <w:r w:rsidRPr="0096738F">
              <w:rPr>
                <w:rFonts w:ascii="Arial" w:eastAsia="Times New Roman" w:hAnsi="Arial" w:cs="Arial"/>
                <w:sz w:val="22"/>
                <w:szCs w:val="22"/>
                <w:lang w:val="pt-PT" w:eastAsia="pt-BR"/>
              </w:rPr>
              <w:t xml:space="preserve"> </w:t>
            </w:r>
            <w:r w:rsidRPr="0096738F">
              <w:rPr>
                <w:rFonts w:ascii="Arial" w:eastAsia="Times New Roman" w:hAnsi="Arial" w:cs="Arial"/>
                <w:i/>
                <w:sz w:val="22"/>
                <w:szCs w:val="22"/>
                <w:lang w:val="pt-PT" w:eastAsia="pt-BR"/>
              </w:rPr>
              <w:t>awards</w:t>
            </w:r>
            <w:r w:rsidRPr="0096738F">
              <w:rPr>
                <w:rFonts w:ascii="Arial" w:eastAsia="Times New Roman" w:hAnsi="Arial" w:cs="Arial"/>
                <w:sz w:val="22"/>
                <w:szCs w:val="22"/>
                <w:lang w:val="pt-PT" w:eastAsia="pt-BR"/>
              </w:rPr>
              <w:t>)</w:t>
            </w:r>
          </w:p>
        </w:tc>
        <w:tc>
          <w:tcPr>
            <w:tcW w:w="3795" w:type="pct"/>
            <w:vAlign w:val="center"/>
          </w:tcPr>
          <w:p w14:paraId="37A89869"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Serviços adicionais dos empregados após a data da aquisição </w:t>
            </w:r>
            <w:r w:rsidRPr="0096738F">
              <w:rPr>
                <w:rFonts w:ascii="Arial" w:eastAsia="Times New Roman" w:hAnsi="Arial" w:cs="Arial"/>
                <w:b/>
                <w:sz w:val="22"/>
                <w:szCs w:val="22"/>
                <w:lang w:val="pt-PT" w:eastAsia="pt-BR"/>
              </w:rPr>
              <w:t>são exigidos.</w:t>
            </w:r>
          </w:p>
        </w:tc>
      </w:tr>
    </w:tbl>
    <w:p w14:paraId="44028879"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303A5BEE"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C68.</w:t>
      </w:r>
      <w:r w:rsidRPr="0096738F">
        <w:rPr>
          <w:rFonts w:ascii="Arial" w:eastAsia="Times New Roman" w:hAnsi="Arial" w:cs="Arial"/>
          <w:sz w:val="22"/>
          <w:szCs w:val="22"/>
          <w:lang w:eastAsia="pt-BR"/>
        </w:rPr>
        <w:tab/>
        <w:t>A CA troca 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os quais exigem um ano de serviço após a combinação, pelos planos de pagamento baseado em ações da CM em poder dos empregados que ainda não prestaram todos os serviços até a data da aquisição. A mensuração baseada no mercado de ambos os planos é $ 100, na data da aquisição. Quando originalmente outorgados, os planos da CM exigiam um período para a aquisição de direito de 4 (quatro) anos. Até a data da aquisição, os empregados da CM já haviam prestado 2 (dois) anos de serviços, e eles teriam de prestar adicionalmente mais dois anos de serviços após a data de aquisição para atenderem a condição de aquisição de direito do plano. Dessa forma, somente uma parte dos planos da CM é atribuível aos serviços pré-combinação.</w:t>
      </w:r>
    </w:p>
    <w:p w14:paraId="49E5885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05AD1588"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C69.</w:t>
      </w:r>
      <w:r w:rsidRPr="0096738F">
        <w:rPr>
          <w:rFonts w:ascii="Arial" w:eastAsia="Times New Roman" w:hAnsi="Arial" w:cs="Arial"/>
          <w:sz w:val="22"/>
          <w:szCs w:val="22"/>
          <w:lang w:eastAsia="pt-BR"/>
        </w:rPr>
        <w:tab/>
        <w:t>Os planos de substituição exigem somente um ano de serviços pós-combinação. Então, em razão dos empregados já terem prestado dois anos de serviços, o período de aquisição de direito total (</w:t>
      </w:r>
      <w:r w:rsidRPr="0096738F">
        <w:rPr>
          <w:rFonts w:ascii="Arial" w:eastAsia="Times New Roman" w:hAnsi="Arial" w:cs="Arial"/>
          <w:i/>
          <w:sz w:val="22"/>
          <w:szCs w:val="22"/>
          <w:lang w:eastAsia="pt-BR"/>
        </w:rPr>
        <w:t>total vesting period</w:t>
      </w:r>
      <w:r w:rsidRPr="0096738F">
        <w:rPr>
          <w:rFonts w:ascii="Arial" w:eastAsia="Times New Roman" w:hAnsi="Arial" w:cs="Arial"/>
          <w:sz w:val="22"/>
          <w:szCs w:val="22"/>
          <w:lang w:eastAsia="pt-BR"/>
        </w:rPr>
        <w:t xml:space="preserve">) será três anos. A parte atribuível aos serviços pré-combinação é igual ao valor da mensuração baseada no mercado dos planos da adquirida ($ 100), multiplicado pela razão entre o período de aquisição de direito pré-combinação (dois anos) e </w:t>
      </w:r>
      <w:r w:rsidRPr="0096738F">
        <w:rPr>
          <w:rFonts w:ascii="Arial" w:eastAsia="Times New Roman" w:hAnsi="Arial" w:cs="Arial"/>
          <w:b/>
          <w:sz w:val="22"/>
          <w:szCs w:val="22"/>
          <w:lang w:eastAsia="pt-BR"/>
        </w:rPr>
        <w:t>o maior</w:t>
      </w:r>
      <w:r w:rsidRPr="0096738F">
        <w:rPr>
          <w:rFonts w:ascii="Arial" w:eastAsia="Times New Roman" w:hAnsi="Arial" w:cs="Arial"/>
          <w:sz w:val="22"/>
          <w:szCs w:val="22"/>
          <w:lang w:eastAsia="pt-BR"/>
        </w:rPr>
        <w:t xml:space="preserve"> dentre os seguintes períodos de aquisição de direito total: (a) três anos considerando os planos de substituição; e (b) quatro anos considerando a outorga original dos planos da adquirida. Então, $ 50 ($ 100 x 2/4 anos) devem ser atribuídos aos serviços pré-combinação e devem, portanto, ser incluídos na contraprestação transferida pela adquirida na combinação de negócios. Os $ 50 restantes devem ser atribuídos aos serviços pós-combinação e devem, portanto, ser reconhecidos como custo de remuneração nas demonstrações contábeis pós-combinação de CA.</w:t>
      </w:r>
    </w:p>
    <w:p w14:paraId="5C1FA94B"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45AE8680"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i/>
          <w:sz w:val="22"/>
          <w:szCs w:val="22"/>
          <w:lang w:eastAsia="pt-BR"/>
        </w:rPr>
      </w:pPr>
      <w:r w:rsidRPr="0096738F">
        <w:rPr>
          <w:rFonts w:ascii="Arial" w:eastAsia="Times New Roman" w:hAnsi="Arial" w:cs="Arial"/>
          <w:i/>
          <w:sz w:val="22"/>
          <w:szCs w:val="22"/>
          <w:lang w:eastAsia="pt-BR"/>
        </w:rPr>
        <w:t>Exemplo 4</w:t>
      </w:r>
    </w:p>
    <w:p w14:paraId="536AB7B0"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1"/>
        <w:gridCol w:w="7910"/>
      </w:tblGrid>
      <w:tr w:rsidR="0096738F" w:rsidRPr="0096738F" w14:paraId="6EC966F2" w14:textId="77777777" w:rsidTr="00DF2196">
        <w:trPr>
          <w:jc w:val="center"/>
        </w:trPr>
        <w:tc>
          <w:tcPr>
            <w:tcW w:w="1205" w:type="pct"/>
            <w:vAlign w:val="center"/>
          </w:tcPr>
          <w:p w14:paraId="4015B6F3" w14:textId="77777777" w:rsidR="0096738F" w:rsidRPr="0096738F" w:rsidRDefault="0096738F" w:rsidP="0096738F">
            <w:pPr>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Plano da adquirida</w:t>
            </w:r>
          </w:p>
        </w:tc>
        <w:tc>
          <w:tcPr>
            <w:tcW w:w="3795" w:type="pct"/>
            <w:vAlign w:val="center"/>
          </w:tcPr>
          <w:p w14:paraId="1C186438" w14:textId="77777777" w:rsidR="0096738F" w:rsidRPr="0096738F" w:rsidRDefault="0096738F" w:rsidP="0096738F">
            <w:pPr>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 xml:space="preserve">Período de aquisição de direito (vesting period) </w:t>
            </w:r>
            <w:r w:rsidRPr="0096738F">
              <w:rPr>
                <w:rFonts w:ascii="Arial" w:eastAsia="Times New Roman" w:hAnsi="Arial" w:cs="Arial"/>
                <w:b/>
                <w:i/>
                <w:sz w:val="22"/>
                <w:szCs w:val="22"/>
                <w:lang w:val="pt-PT" w:eastAsia="pt-BR"/>
              </w:rPr>
              <w:t>não foi concluído</w:t>
            </w:r>
            <w:r w:rsidRPr="0096738F">
              <w:rPr>
                <w:rFonts w:ascii="Arial" w:eastAsia="Times New Roman" w:hAnsi="Arial" w:cs="Arial"/>
                <w:i/>
                <w:sz w:val="22"/>
                <w:szCs w:val="22"/>
                <w:lang w:val="pt-PT" w:eastAsia="pt-BR"/>
              </w:rPr>
              <w:t xml:space="preserve"> antes da combinação de negócios.</w:t>
            </w:r>
          </w:p>
        </w:tc>
      </w:tr>
      <w:tr w:rsidR="0096738F" w:rsidRPr="0096738F" w14:paraId="3C10E965" w14:textId="77777777" w:rsidTr="00DF2196">
        <w:trPr>
          <w:jc w:val="center"/>
        </w:trPr>
        <w:tc>
          <w:tcPr>
            <w:tcW w:w="1205" w:type="pct"/>
            <w:vAlign w:val="center"/>
          </w:tcPr>
          <w:p w14:paraId="3F7F515E" w14:textId="77777777" w:rsidR="0096738F" w:rsidRPr="0096738F" w:rsidRDefault="0096738F" w:rsidP="0096738F">
            <w:pPr>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Plano de substituição (replacement awards)</w:t>
            </w:r>
          </w:p>
        </w:tc>
        <w:tc>
          <w:tcPr>
            <w:tcW w:w="3795" w:type="pct"/>
            <w:vAlign w:val="center"/>
          </w:tcPr>
          <w:p w14:paraId="12615BF1" w14:textId="77777777" w:rsidR="0096738F" w:rsidRPr="0096738F" w:rsidRDefault="0096738F" w:rsidP="0096738F">
            <w:pPr>
              <w:spacing w:before="0" w:after="0" w:line="240" w:lineRule="auto"/>
              <w:ind w:firstLine="0"/>
              <w:rPr>
                <w:rFonts w:ascii="Arial" w:eastAsia="Times New Roman" w:hAnsi="Arial" w:cs="Arial"/>
                <w:i/>
                <w:sz w:val="22"/>
                <w:szCs w:val="22"/>
                <w:lang w:val="pt-PT" w:eastAsia="pt-BR"/>
              </w:rPr>
            </w:pPr>
            <w:r w:rsidRPr="0096738F">
              <w:rPr>
                <w:rFonts w:ascii="Arial" w:eastAsia="Times New Roman" w:hAnsi="Arial" w:cs="Arial"/>
                <w:i/>
                <w:sz w:val="22"/>
                <w:szCs w:val="22"/>
                <w:lang w:val="pt-PT" w:eastAsia="pt-BR"/>
              </w:rPr>
              <w:t>Serviços adicionais dos empregados após a data da aquisição</w:t>
            </w:r>
            <w:r w:rsidRPr="0096738F">
              <w:rPr>
                <w:rFonts w:ascii="Arial" w:eastAsia="Times New Roman" w:hAnsi="Arial" w:cs="Arial"/>
                <w:b/>
                <w:i/>
                <w:sz w:val="22"/>
                <w:szCs w:val="22"/>
                <w:lang w:val="pt-PT" w:eastAsia="pt-BR"/>
              </w:rPr>
              <w:t xml:space="preserve"> não são exigidos.</w:t>
            </w:r>
          </w:p>
        </w:tc>
      </w:tr>
    </w:tbl>
    <w:p w14:paraId="6FD68E0C"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151451B5"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C70.</w:t>
      </w:r>
      <w:r w:rsidRPr="0096738F">
        <w:rPr>
          <w:rFonts w:ascii="Arial" w:eastAsia="Times New Roman" w:hAnsi="Arial" w:cs="Arial"/>
          <w:sz w:val="22"/>
          <w:szCs w:val="22"/>
          <w:lang w:eastAsia="pt-BR"/>
        </w:rPr>
        <w:tab/>
        <w:t>Assumam-se os mesmos fatos do exemplo 3, exceto pelo fato de que a CA troca 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os quais não exigem serviços adicionais pós-combinação, pelos planos de pagamento baseado em ações da CM em poder dos empregados que ainda não prestaram todos os serviços até a data da aquisição. As condições da substituição dos planos da CM não eliminam qualquer período de aquisição de direito remanescente em caso de mudança do controle (Se os planos da CM tivessem uma cláusula segundo a qual se eliminasse o período de aquisição de direito remanescente em caso de mudança de controle, deveria ser aplicada a orientação presente no Exemplo 1). A mensuração com base no mercado de ambos os planos é $ 100. Em decorrência dos empregados já terem prestado dois anos de serviços e os planos de substituição não exigirem qualquer serviço pós-combinação, o período de aquisição de direito total (</w:t>
      </w:r>
      <w:r w:rsidRPr="0096738F">
        <w:rPr>
          <w:rFonts w:ascii="Arial" w:eastAsia="Times New Roman" w:hAnsi="Arial" w:cs="Arial"/>
          <w:i/>
          <w:sz w:val="22"/>
          <w:szCs w:val="22"/>
          <w:lang w:eastAsia="pt-BR"/>
        </w:rPr>
        <w:t>total vesting period</w:t>
      </w:r>
      <w:r w:rsidRPr="0096738F">
        <w:rPr>
          <w:rFonts w:ascii="Arial" w:eastAsia="Times New Roman" w:hAnsi="Arial" w:cs="Arial"/>
          <w:sz w:val="22"/>
          <w:szCs w:val="22"/>
          <w:lang w:eastAsia="pt-BR"/>
        </w:rPr>
        <w:t>) é 2 anos.</w:t>
      </w:r>
    </w:p>
    <w:p w14:paraId="478F3D3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D2CEE47"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C71.</w:t>
      </w:r>
      <w:r w:rsidRPr="0096738F">
        <w:rPr>
          <w:rFonts w:ascii="Arial" w:eastAsia="Times New Roman" w:hAnsi="Arial" w:cs="Arial"/>
          <w:sz w:val="22"/>
          <w:szCs w:val="22"/>
          <w:lang w:eastAsia="pt-BR"/>
        </w:rPr>
        <w:tab/>
        <w:t>A parte da mensuração baseada no mercado dos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xml:space="preserve">) atribuíveis aos serviços pré-combinação deve ser igual à mensuração baseada no mercado dos planos da adquirida ($ 100) multiplicada pela razão entre o período de aquisição de direito pré-combinação (dois anos) e </w:t>
      </w:r>
      <w:r w:rsidRPr="0096738F">
        <w:rPr>
          <w:rFonts w:ascii="Arial" w:eastAsia="Times New Roman" w:hAnsi="Arial" w:cs="Arial"/>
          <w:b/>
          <w:sz w:val="22"/>
          <w:szCs w:val="22"/>
          <w:lang w:eastAsia="pt-BR"/>
        </w:rPr>
        <w:t>o maior</w:t>
      </w:r>
      <w:r w:rsidRPr="0096738F">
        <w:rPr>
          <w:rFonts w:ascii="Arial" w:eastAsia="Times New Roman" w:hAnsi="Arial" w:cs="Arial"/>
          <w:sz w:val="22"/>
          <w:szCs w:val="22"/>
          <w:lang w:eastAsia="pt-BR"/>
        </w:rPr>
        <w:t xml:space="preserve"> dentre os seguintes períodos de concessão total: (a) dois anos considerando os planos de substituição; e (b) quatro anos considerando a outorga original dos </w:t>
      </w:r>
      <w:r w:rsidRPr="0096738F">
        <w:rPr>
          <w:rFonts w:ascii="Arial" w:eastAsia="Times New Roman" w:hAnsi="Arial" w:cs="Arial"/>
          <w:sz w:val="22"/>
          <w:szCs w:val="22"/>
          <w:lang w:eastAsia="pt-BR"/>
        </w:rPr>
        <w:lastRenderedPageBreak/>
        <w:t>planos da adquirida. Então, $ 50 ($ 100 x 2/4 anos) devem ser atribuídos aos serviços pré-combinação e devem, portanto, ser incluídos na contraprestação transferida para obter o controle da adquirida. Os $ 50 restantes devem ser atribuídos aos serviços pós-combinação. Contudo, como não se exigiu nenhum serviço pós-combinação para aquisição de direito dos planos de substituição (</w:t>
      </w:r>
      <w:r w:rsidRPr="0096738F">
        <w:rPr>
          <w:rFonts w:ascii="Arial" w:eastAsia="Times New Roman" w:hAnsi="Arial" w:cs="Arial"/>
          <w:i/>
          <w:sz w:val="22"/>
          <w:szCs w:val="22"/>
          <w:lang w:eastAsia="pt-BR"/>
        </w:rPr>
        <w:t>replacement awards</w:t>
      </w:r>
      <w:r w:rsidRPr="0096738F">
        <w:rPr>
          <w:rFonts w:ascii="Arial" w:eastAsia="Times New Roman" w:hAnsi="Arial" w:cs="Arial"/>
          <w:sz w:val="22"/>
          <w:szCs w:val="22"/>
          <w:lang w:eastAsia="pt-BR"/>
        </w:rPr>
        <w:t>), a CA deve reconhecer todos os $ 50 restantes imediatamente como custo de remuneração em suas demonstrações contábeis pós-combinação.</w:t>
      </w:r>
    </w:p>
    <w:p w14:paraId="1FBDFE93"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56DC0CA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b/>
          <w:sz w:val="22"/>
          <w:szCs w:val="22"/>
          <w:lang w:eastAsia="pt-BR"/>
        </w:rPr>
      </w:pPr>
      <w:r w:rsidRPr="0096738F">
        <w:rPr>
          <w:rFonts w:ascii="Arial" w:eastAsia="Times New Roman" w:hAnsi="Arial" w:cs="Arial"/>
          <w:b/>
          <w:sz w:val="22"/>
          <w:szCs w:val="22"/>
          <w:lang w:eastAsia="pt-BR"/>
        </w:rPr>
        <w:t>Exigências de divulgação</w:t>
      </w:r>
    </w:p>
    <w:p w14:paraId="52DDD51B"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23454B5F"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ab/>
        <w:t>Exemplos dos efeitos da aplicação dos itens 59 a 63 e B64 a B67 do Pronunciamento Técnico CPC 15 - Combinação de Negócios.</w:t>
      </w:r>
    </w:p>
    <w:p w14:paraId="346937D4"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p>
    <w:p w14:paraId="438FA252" w14:textId="77777777" w:rsidR="0096738F" w:rsidRPr="0096738F" w:rsidRDefault="0096738F" w:rsidP="0096738F">
      <w:pPr>
        <w:widowControl w:val="0"/>
        <w:tabs>
          <w:tab w:val="left" w:pos="6804"/>
        </w:tabs>
        <w:spacing w:before="0" w:after="0" w:line="240" w:lineRule="auto"/>
        <w:ind w:left="567" w:hanging="567"/>
        <w:rPr>
          <w:rFonts w:ascii="Arial" w:eastAsia="Times New Roman" w:hAnsi="Arial" w:cs="Arial"/>
          <w:sz w:val="22"/>
          <w:szCs w:val="22"/>
          <w:lang w:eastAsia="pt-BR"/>
        </w:rPr>
      </w:pPr>
      <w:r w:rsidRPr="0096738F">
        <w:rPr>
          <w:rFonts w:ascii="Arial" w:eastAsia="Times New Roman" w:hAnsi="Arial" w:cs="Arial"/>
          <w:sz w:val="22"/>
          <w:szCs w:val="22"/>
          <w:lang w:eastAsia="pt-BR"/>
        </w:rPr>
        <w:t>C72.</w:t>
      </w:r>
      <w:r w:rsidRPr="0096738F">
        <w:rPr>
          <w:rFonts w:ascii="Arial" w:eastAsia="Times New Roman" w:hAnsi="Arial" w:cs="Arial"/>
          <w:sz w:val="22"/>
          <w:szCs w:val="22"/>
          <w:lang w:eastAsia="pt-BR"/>
        </w:rPr>
        <w:tab/>
        <w:t>Os exemplos a seguir ilustram algumas das exigências de divulgação do Pronunciamento Técnico CPC 15 - Combinação de Negócios e não são baseados em uma transação real. O exemplo assume que a CA é uma companhia aberta e que a CM é uma companhia fechada. As divulgações foram apresentadas em formato de tabela e fazem referência às exigências específicas ilustradas no exemplo. Uma nota explicativa real pode apresentar muitas das divulgações ilustradas no exemplo em formato narrativo simples.</w:t>
      </w:r>
    </w:p>
    <w:p w14:paraId="7853099D"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tbl>
      <w:tblPr>
        <w:tblW w:w="4046" w:type="pct"/>
        <w:jc w:val="center"/>
        <w:tblCellMar>
          <w:left w:w="70" w:type="dxa"/>
          <w:right w:w="70" w:type="dxa"/>
        </w:tblCellMar>
        <w:tblLook w:val="0000" w:firstRow="0" w:lastRow="0" w:firstColumn="0" w:lastColumn="0" w:noHBand="0" w:noVBand="0"/>
      </w:tblPr>
      <w:tblGrid>
        <w:gridCol w:w="1563"/>
        <w:gridCol w:w="5533"/>
        <w:gridCol w:w="1220"/>
        <w:gridCol w:w="55"/>
      </w:tblGrid>
      <w:tr w:rsidR="0096738F" w:rsidRPr="0096738F" w14:paraId="2D5CD7EE" w14:textId="77777777" w:rsidTr="00DF2196">
        <w:trPr>
          <w:gridAfter w:val="1"/>
          <w:wAfter w:w="33" w:type="pct"/>
          <w:jc w:val="center"/>
        </w:trPr>
        <w:tc>
          <w:tcPr>
            <w:tcW w:w="933" w:type="pct"/>
          </w:tcPr>
          <w:p w14:paraId="24A4C67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4034" w:type="pct"/>
            <w:gridSpan w:val="2"/>
            <w:vAlign w:val="center"/>
          </w:tcPr>
          <w:p w14:paraId="605EBBF0" w14:textId="77777777" w:rsidR="0096738F" w:rsidRPr="0096738F" w:rsidRDefault="0096738F" w:rsidP="0096738F">
            <w:pPr>
              <w:spacing w:before="0" w:after="0" w:line="240" w:lineRule="auto"/>
              <w:ind w:firstLine="0"/>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Nota Explicativa X: Aquisições</w:t>
            </w:r>
          </w:p>
        </w:tc>
      </w:tr>
      <w:tr w:rsidR="0096738F" w:rsidRPr="0096738F" w14:paraId="64DF646B" w14:textId="77777777" w:rsidTr="00DF2196">
        <w:trPr>
          <w:gridAfter w:val="1"/>
          <w:wAfter w:w="33" w:type="pct"/>
          <w:jc w:val="center"/>
        </w:trPr>
        <w:tc>
          <w:tcPr>
            <w:tcW w:w="933" w:type="pct"/>
          </w:tcPr>
          <w:p w14:paraId="5DD494F5"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en-US" w:eastAsia="pt-BR"/>
              </w:rPr>
            </w:pPr>
            <w:r w:rsidRPr="0096738F">
              <w:rPr>
                <w:rFonts w:ascii="Arial" w:eastAsia="Times New Roman" w:hAnsi="Arial" w:cs="Arial"/>
                <w:b/>
                <w:sz w:val="22"/>
                <w:szCs w:val="22"/>
                <w:lang w:val="en-US" w:eastAsia="pt-BR"/>
              </w:rPr>
              <w:t>Item de referência</w:t>
            </w:r>
          </w:p>
        </w:tc>
        <w:tc>
          <w:tcPr>
            <w:tcW w:w="4034" w:type="pct"/>
            <w:gridSpan w:val="2"/>
            <w:vAlign w:val="center"/>
          </w:tcPr>
          <w:p w14:paraId="3F63707E" w14:textId="77777777" w:rsidR="0096738F" w:rsidRPr="0096738F" w:rsidRDefault="0096738F" w:rsidP="0096738F">
            <w:pPr>
              <w:spacing w:before="0" w:after="0" w:line="240" w:lineRule="auto"/>
              <w:ind w:firstLine="0"/>
              <w:rPr>
                <w:rFonts w:ascii="Arial" w:eastAsia="Times New Roman" w:hAnsi="Arial" w:cs="Arial"/>
                <w:sz w:val="22"/>
                <w:szCs w:val="22"/>
                <w:lang w:val="en-US" w:eastAsia="pt-BR"/>
              </w:rPr>
            </w:pPr>
          </w:p>
        </w:tc>
      </w:tr>
      <w:tr w:rsidR="0096738F" w:rsidRPr="0096738F" w14:paraId="2C65EA34" w14:textId="77777777" w:rsidTr="00DF2196">
        <w:trPr>
          <w:gridAfter w:val="1"/>
          <w:wAfter w:w="33" w:type="pct"/>
          <w:jc w:val="center"/>
        </w:trPr>
        <w:tc>
          <w:tcPr>
            <w:tcW w:w="933" w:type="pct"/>
          </w:tcPr>
          <w:p w14:paraId="691C441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B64(a) a (d)</w:t>
            </w:r>
          </w:p>
        </w:tc>
        <w:tc>
          <w:tcPr>
            <w:tcW w:w="4034" w:type="pct"/>
            <w:gridSpan w:val="2"/>
            <w:vAlign w:val="center"/>
          </w:tcPr>
          <w:p w14:paraId="7C6E3EA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30/06/20X0 a CA adquiriu 15% das ações ordinárias da CM em circulação. Em 30/06/20X2 a CA adquiriu 60% das ações ordinárias da CM em circulação e obteve o controle de CM. A CM é fornecedor de produtos e serviços de dados em rede, no Canadá e no México. Como resultado da aquisição, a CA espera ser o principal fornecedor naqueles mercados. Espera-se também reduzir custos por meio de economias de escala.</w:t>
            </w:r>
          </w:p>
        </w:tc>
      </w:tr>
      <w:tr w:rsidR="0096738F" w:rsidRPr="0096738F" w14:paraId="69DD0BBF" w14:textId="77777777" w:rsidTr="00DF2196">
        <w:trPr>
          <w:gridAfter w:val="1"/>
          <w:wAfter w:w="33" w:type="pct"/>
          <w:jc w:val="center"/>
        </w:trPr>
        <w:tc>
          <w:tcPr>
            <w:tcW w:w="933" w:type="pct"/>
          </w:tcPr>
          <w:p w14:paraId="5CD6917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B64(e)</w:t>
            </w:r>
          </w:p>
        </w:tc>
        <w:tc>
          <w:tcPr>
            <w:tcW w:w="4034" w:type="pct"/>
            <w:gridSpan w:val="2"/>
            <w:vAlign w:val="center"/>
          </w:tcPr>
          <w:p w14:paraId="2E96CA5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de $ 2.500 originado da aquisição consiste principalmente de sinergias e economias de escala esperadas pela combinação das transações da CA com a CM.</w:t>
            </w:r>
          </w:p>
        </w:tc>
      </w:tr>
      <w:tr w:rsidR="0096738F" w:rsidRPr="0096738F" w14:paraId="6F2D6AB2" w14:textId="77777777" w:rsidTr="00DF2196">
        <w:trPr>
          <w:gridAfter w:val="1"/>
          <w:wAfter w:w="33" w:type="pct"/>
          <w:jc w:val="center"/>
        </w:trPr>
        <w:tc>
          <w:tcPr>
            <w:tcW w:w="933" w:type="pct"/>
          </w:tcPr>
          <w:p w14:paraId="60189BA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br w:type="page"/>
              <w:t>B64(k)</w:t>
            </w:r>
          </w:p>
        </w:tc>
        <w:tc>
          <w:tcPr>
            <w:tcW w:w="4034" w:type="pct"/>
            <w:gridSpan w:val="2"/>
            <w:vAlign w:val="center"/>
          </w:tcPr>
          <w:p w14:paraId="2B18BD93"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Não se espera que o ágio por expectativa de rentabilidade futura (</w:t>
            </w:r>
            <w:r w:rsidRPr="0096738F">
              <w:rPr>
                <w:rFonts w:ascii="Arial" w:eastAsia="Times New Roman" w:hAnsi="Arial" w:cs="Arial"/>
                <w:i/>
                <w:sz w:val="22"/>
                <w:szCs w:val="22"/>
                <w:lang w:val="pt-PT" w:eastAsia="pt-BR"/>
              </w:rPr>
              <w:t>goodwill</w:t>
            </w:r>
            <w:r w:rsidRPr="0096738F">
              <w:rPr>
                <w:rFonts w:ascii="Arial" w:eastAsia="Times New Roman" w:hAnsi="Arial" w:cs="Arial"/>
                <w:sz w:val="22"/>
                <w:szCs w:val="22"/>
                <w:lang w:val="pt-PT" w:eastAsia="pt-BR"/>
              </w:rPr>
              <w:t>) seja dedutível para fins fiscais. Os dados seguintes detalham a composição da contraprestação paga em troca do controle da CM e os valores dos ativos adquiridos e dos passivos assumidos que foram reconhecidos na data da aquisição, assim como o valor justo na data da aquisição da participação dos não controladores na CM.</w:t>
            </w:r>
          </w:p>
        </w:tc>
      </w:tr>
      <w:tr w:rsidR="0096738F" w:rsidRPr="0096738F" w14:paraId="02AE5952" w14:textId="77777777" w:rsidTr="00DF2196">
        <w:trPr>
          <w:jc w:val="center"/>
        </w:trPr>
        <w:tc>
          <w:tcPr>
            <w:tcW w:w="933" w:type="pct"/>
          </w:tcPr>
          <w:p w14:paraId="3C6314A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br w:type="page"/>
            </w:r>
          </w:p>
        </w:tc>
        <w:tc>
          <w:tcPr>
            <w:tcW w:w="4067" w:type="pct"/>
            <w:gridSpan w:val="3"/>
            <w:vAlign w:val="center"/>
          </w:tcPr>
          <w:p w14:paraId="401BB9A9"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Em 30/06/20X2:</w:t>
            </w:r>
          </w:p>
        </w:tc>
      </w:tr>
      <w:tr w:rsidR="0096738F" w:rsidRPr="0096738F" w14:paraId="6E69E0F0" w14:textId="77777777" w:rsidTr="00DF2196">
        <w:trPr>
          <w:jc w:val="center"/>
        </w:trPr>
        <w:tc>
          <w:tcPr>
            <w:tcW w:w="933" w:type="pct"/>
          </w:tcPr>
          <w:p w14:paraId="75A558DB"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634EC0FF"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Contraprestação</w:t>
            </w:r>
          </w:p>
        </w:tc>
        <w:tc>
          <w:tcPr>
            <w:tcW w:w="762" w:type="pct"/>
            <w:gridSpan w:val="2"/>
          </w:tcPr>
          <w:p w14:paraId="5F4ED5B8"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w:t>
            </w:r>
          </w:p>
        </w:tc>
      </w:tr>
      <w:tr w:rsidR="0096738F" w:rsidRPr="0096738F" w14:paraId="61982329" w14:textId="77777777" w:rsidTr="00DF2196">
        <w:trPr>
          <w:jc w:val="center"/>
        </w:trPr>
        <w:tc>
          <w:tcPr>
            <w:tcW w:w="933" w:type="pct"/>
          </w:tcPr>
          <w:p w14:paraId="6EE7430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B64(f)(i)</w:t>
            </w:r>
          </w:p>
        </w:tc>
        <w:tc>
          <w:tcPr>
            <w:tcW w:w="3305" w:type="pct"/>
          </w:tcPr>
          <w:p w14:paraId="39028C41"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Caixa</w:t>
            </w:r>
          </w:p>
        </w:tc>
        <w:tc>
          <w:tcPr>
            <w:tcW w:w="762" w:type="pct"/>
            <w:gridSpan w:val="2"/>
          </w:tcPr>
          <w:p w14:paraId="31CB5C1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5.000</w:t>
            </w:r>
          </w:p>
        </w:tc>
      </w:tr>
      <w:tr w:rsidR="0096738F" w:rsidRPr="0096738F" w14:paraId="0FB57C97" w14:textId="77777777" w:rsidTr="00DF2196">
        <w:trPr>
          <w:jc w:val="center"/>
        </w:trPr>
        <w:tc>
          <w:tcPr>
            <w:tcW w:w="933" w:type="pct"/>
          </w:tcPr>
          <w:p w14:paraId="2489C91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B64(f)(iv)</w:t>
            </w:r>
          </w:p>
        </w:tc>
        <w:tc>
          <w:tcPr>
            <w:tcW w:w="3305" w:type="pct"/>
          </w:tcPr>
          <w:p w14:paraId="54F35D9A"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Instrumentos patrimoniais (100.000 ações ordinárias da CA)</w:t>
            </w:r>
          </w:p>
        </w:tc>
        <w:tc>
          <w:tcPr>
            <w:tcW w:w="762" w:type="pct"/>
            <w:gridSpan w:val="2"/>
          </w:tcPr>
          <w:p w14:paraId="175AC14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4.000</w:t>
            </w:r>
          </w:p>
        </w:tc>
      </w:tr>
      <w:tr w:rsidR="0096738F" w:rsidRPr="0096738F" w14:paraId="781D5FFC" w14:textId="77777777" w:rsidTr="00DF2196">
        <w:trPr>
          <w:jc w:val="center"/>
        </w:trPr>
        <w:tc>
          <w:tcPr>
            <w:tcW w:w="933" w:type="pct"/>
          </w:tcPr>
          <w:p w14:paraId="40795E6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B64(f)(iii); B64(g)(i)</w:t>
            </w:r>
          </w:p>
        </w:tc>
        <w:tc>
          <w:tcPr>
            <w:tcW w:w="3305" w:type="pct"/>
            <w:vAlign w:val="center"/>
          </w:tcPr>
          <w:p w14:paraId="0B26B1EB"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Acordos de contraprestação contingente</w:t>
            </w:r>
          </w:p>
        </w:tc>
        <w:tc>
          <w:tcPr>
            <w:tcW w:w="762" w:type="pct"/>
            <w:gridSpan w:val="2"/>
            <w:vAlign w:val="center"/>
          </w:tcPr>
          <w:p w14:paraId="66842F74" w14:textId="77777777" w:rsidR="0096738F" w:rsidRPr="0096738F" w:rsidRDefault="0096738F" w:rsidP="0096738F">
            <w:pPr>
              <w:spacing w:before="0" w:after="0" w:line="240" w:lineRule="auto"/>
              <w:ind w:firstLine="0"/>
              <w:jc w:val="center"/>
              <w:rPr>
                <w:rFonts w:ascii="Arial" w:eastAsia="Times New Roman" w:hAnsi="Arial" w:cs="Arial"/>
                <w:sz w:val="22"/>
                <w:szCs w:val="22"/>
                <w:u w:val="single"/>
                <w:lang w:val="pt-PT" w:eastAsia="pt-BR"/>
              </w:rPr>
            </w:pPr>
            <w:r w:rsidRPr="0096738F">
              <w:rPr>
                <w:rFonts w:ascii="Arial" w:eastAsia="Times New Roman" w:hAnsi="Arial" w:cs="Arial"/>
                <w:sz w:val="22"/>
                <w:szCs w:val="22"/>
                <w:u w:val="single"/>
                <w:lang w:val="pt-PT" w:eastAsia="pt-BR"/>
              </w:rPr>
              <w:t>1.000</w:t>
            </w:r>
          </w:p>
        </w:tc>
      </w:tr>
      <w:tr w:rsidR="0096738F" w:rsidRPr="0096738F" w14:paraId="2ECE2945" w14:textId="77777777" w:rsidTr="00DF2196">
        <w:trPr>
          <w:jc w:val="center"/>
        </w:trPr>
        <w:tc>
          <w:tcPr>
            <w:tcW w:w="933" w:type="pct"/>
          </w:tcPr>
          <w:p w14:paraId="19F84780"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lastRenderedPageBreak/>
              <w:t>B64(f)</w:t>
            </w:r>
          </w:p>
        </w:tc>
        <w:tc>
          <w:tcPr>
            <w:tcW w:w="3305" w:type="pct"/>
          </w:tcPr>
          <w:p w14:paraId="64DBC434"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Total da contraprestação transferida</w:t>
            </w:r>
          </w:p>
        </w:tc>
        <w:tc>
          <w:tcPr>
            <w:tcW w:w="762" w:type="pct"/>
            <w:gridSpan w:val="2"/>
          </w:tcPr>
          <w:p w14:paraId="5E02DC66"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10.000</w:t>
            </w:r>
          </w:p>
        </w:tc>
      </w:tr>
      <w:tr w:rsidR="0096738F" w:rsidRPr="0096738F" w14:paraId="5651EA13" w14:textId="77777777" w:rsidTr="00DF2196">
        <w:trPr>
          <w:jc w:val="center"/>
        </w:trPr>
        <w:tc>
          <w:tcPr>
            <w:tcW w:w="933" w:type="pct"/>
          </w:tcPr>
          <w:p w14:paraId="36120B5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B64(p)(i)</w:t>
            </w:r>
          </w:p>
        </w:tc>
        <w:tc>
          <w:tcPr>
            <w:tcW w:w="3305" w:type="pct"/>
            <w:vAlign w:val="center"/>
          </w:tcPr>
          <w:p w14:paraId="6D49E930"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Valor justo dos interesses patrimoniais da CA na CM, detidos antes da combinação de negócios</w:t>
            </w:r>
          </w:p>
        </w:tc>
        <w:tc>
          <w:tcPr>
            <w:tcW w:w="762" w:type="pct"/>
            <w:gridSpan w:val="2"/>
            <w:vAlign w:val="center"/>
          </w:tcPr>
          <w:p w14:paraId="4783B572"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p>
          <w:p w14:paraId="22D4BC8B" w14:textId="77777777" w:rsidR="0096738F" w:rsidRPr="0096738F" w:rsidRDefault="0096738F" w:rsidP="0096738F">
            <w:pPr>
              <w:spacing w:before="0" w:after="0" w:line="240" w:lineRule="auto"/>
              <w:ind w:firstLine="0"/>
              <w:jc w:val="center"/>
              <w:rPr>
                <w:rFonts w:ascii="Arial" w:eastAsia="Times New Roman" w:hAnsi="Arial" w:cs="Arial"/>
                <w:b/>
                <w:sz w:val="22"/>
                <w:szCs w:val="22"/>
                <w:u w:val="single"/>
                <w:lang w:val="pt-PT" w:eastAsia="pt-BR"/>
              </w:rPr>
            </w:pPr>
            <w:r w:rsidRPr="0096738F">
              <w:rPr>
                <w:rFonts w:ascii="Arial" w:eastAsia="Times New Roman" w:hAnsi="Arial" w:cs="Arial"/>
                <w:b/>
                <w:sz w:val="22"/>
                <w:szCs w:val="22"/>
                <w:u w:val="single"/>
                <w:lang w:val="pt-PT" w:eastAsia="pt-BR"/>
              </w:rPr>
              <w:t xml:space="preserve"> 2.000</w:t>
            </w:r>
          </w:p>
        </w:tc>
      </w:tr>
      <w:tr w:rsidR="0096738F" w:rsidRPr="0096738F" w14:paraId="7C63B9D5" w14:textId="77777777" w:rsidTr="00DF2196">
        <w:trPr>
          <w:jc w:val="center"/>
        </w:trPr>
        <w:tc>
          <w:tcPr>
            <w:tcW w:w="933" w:type="pct"/>
          </w:tcPr>
          <w:p w14:paraId="1F8DC2FB"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1C7DD620" w14:textId="77777777" w:rsidR="0096738F" w:rsidRPr="0096738F" w:rsidRDefault="0096738F" w:rsidP="0096738F">
            <w:pPr>
              <w:spacing w:before="0" w:after="0" w:line="240" w:lineRule="auto"/>
              <w:ind w:firstLine="0"/>
              <w:rPr>
                <w:rFonts w:ascii="Arial" w:eastAsia="Times New Roman" w:hAnsi="Arial" w:cs="Arial"/>
                <w:sz w:val="22"/>
                <w:szCs w:val="22"/>
                <w:u w:val="single"/>
                <w:lang w:val="pt-PT" w:eastAsia="pt-BR"/>
              </w:rPr>
            </w:pPr>
          </w:p>
        </w:tc>
        <w:tc>
          <w:tcPr>
            <w:tcW w:w="762" w:type="pct"/>
            <w:gridSpan w:val="2"/>
          </w:tcPr>
          <w:p w14:paraId="228C534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12.000</w:t>
            </w:r>
          </w:p>
        </w:tc>
      </w:tr>
      <w:tr w:rsidR="0096738F" w:rsidRPr="0096738F" w14:paraId="1C3F6446" w14:textId="77777777" w:rsidTr="00DF2196">
        <w:trPr>
          <w:jc w:val="center"/>
        </w:trPr>
        <w:tc>
          <w:tcPr>
            <w:tcW w:w="933" w:type="pct"/>
          </w:tcPr>
          <w:p w14:paraId="18DD27E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77517933"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p>
        </w:tc>
        <w:tc>
          <w:tcPr>
            <w:tcW w:w="762" w:type="pct"/>
            <w:gridSpan w:val="2"/>
          </w:tcPr>
          <w:p w14:paraId="0BA38C0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r>
      <w:tr w:rsidR="0096738F" w:rsidRPr="0096738F" w14:paraId="7FB6C73E" w14:textId="77777777" w:rsidTr="00DF2196">
        <w:trPr>
          <w:jc w:val="center"/>
        </w:trPr>
        <w:tc>
          <w:tcPr>
            <w:tcW w:w="933" w:type="pct"/>
          </w:tcPr>
          <w:p w14:paraId="46F69DB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B64(m)</w:t>
            </w:r>
          </w:p>
        </w:tc>
        <w:tc>
          <w:tcPr>
            <w:tcW w:w="3305" w:type="pct"/>
          </w:tcPr>
          <w:p w14:paraId="7E0CFF2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b/>
                <w:sz w:val="22"/>
                <w:szCs w:val="22"/>
                <w:lang w:val="pt-PT" w:eastAsia="pt-BR"/>
              </w:rPr>
              <w:t>Custos relacionados à aquisição</w:t>
            </w:r>
            <w:r w:rsidRPr="0096738F">
              <w:rPr>
                <w:rFonts w:ascii="Arial" w:eastAsia="Times New Roman" w:hAnsi="Arial" w:cs="Arial"/>
                <w:sz w:val="22"/>
                <w:szCs w:val="22"/>
                <w:lang w:val="pt-PT" w:eastAsia="pt-BR"/>
              </w:rPr>
              <w:t xml:space="preserve"> (incluindo despesas de vendas, gerais e administrativas na demonstração de resultado da CA para o ano encerrado em 31.12.20X2)</w:t>
            </w:r>
          </w:p>
        </w:tc>
        <w:tc>
          <w:tcPr>
            <w:tcW w:w="762" w:type="pct"/>
            <w:gridSpan w:val="2"/>
          </w:tcPr>
          <w:p w14:paraId="53A518D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 1.250</w:t>
            </w:r>
          </w:p>
        </w:tc>
      </w:tr>
      <w:tr w:rsidR="0096738F" w:rsidRPr="0096738F" w14:paraId="44FE15EA" w14:textId="77777777" w:rsidTr="00DF2196">
        <w:trPr>
          <w:jc w:val="center"/>
        </w:trPr>
        <w:tc>
          <w:tcPr>
            <w:tcW w:w="933" w:type="pct"/>
          </w:tcPr>
          <w:p w14:paraId="22069F3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B64(i)</w:t>
            </w:r>
          </w:p>
        </w:tc>
        <w:tc>
          <w:tcPr>
            <w:tcW w:w="3305" w:type="pct"/>
          </w:tcPr>
          <w:p w14:paraId="7317E1F7"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Valores reconhecidos para os ativos identificáveis adquiridos e passivos assumidos:</w:t>
            </w:r>
          </w:p>
        </w:tc>
        <w:tc>
          <w:tcPr>
            <w:tcW w:w="762" w:type="pct"/>
            <w:gridSpan w:val="2"/>
          </w:tcPr>
          <w:p w14:paraId="7644B5C4"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p>
        </w:tc>
      </w:tr>
      <w:tr w:rsidR="0096738F" w:rsidRPr="0096738F" w14:paraId="172D2426" w14:textId="77777777" w:rsidTr="00DF2196">
        <w:trPr>
          <w:jc w:val="center"/>
        </w:trPr>
        <w:tc>
          <w:tcPr>
            <w:tcW w:w="933" w:type="pct"/>
          </w:tcPr>
          <w:p w14:paraId="629B99A2" w14:textId="77777777" w:rsidR="0096738F" w:rsidRPr="0096738F" w:rsidRDefault="0096738F" w:rsidP="0096738F">
            <w:pPr>
              <w:keepNext/>
              <w:spacing w:before="0" w:after="0" w:line="240" w:lineRule="auto"/>
              <w:ind w:firstLine="0"/>
              <w:jc w:val="center"/>
              <w:rPr>
                <w:rFonts w:ascii="Arial" w:eastAsia="Times New Roman" w:hAnsi="Arial" w:cs="Arial"/>
                <w:sz w:val="22"/>
                <w:szCs w:val="22"/>
                <w:lang w:val="pt-PT" w:eastAsia="pt-BR"/>
              </w:rPr>
            </w:pPr>
          </w:p>
        </w:tc>
        <w:tc>
          <w:tcPr>
            <w:tcW w:w="3305" w:type="pct"/>
          </w:tcPr>
          <w:p w14:paraId="0661BDB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financeiros</w:t>
            </w:r>
          </w:p>
        </w:tc>
        <w:tc>
          <w:tcPr>
            <w:tcW w:w="762" w:type="pct"/>
            <w:gridSpan w:val="2"/>
          </w:tcPr>
          <w:p w14:paraId="6EB7AB2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3.500</w:t>
            </w:r>
          </w:p>
        </w:tc>
      </w:tr>
      <w:tr w:rsidR="0096738F" w:rsidRPr="0096738F" w14:paraId="119EE710" w14:textId="77777777" w:rsidTr="00DF2196">
        <w:trPr>
          <w:jc w:val="center"/>
        </w:trPr>
        <w:tc>
          <w:tcPr>
            <w:tcW w:w="933" w:type="pct"/>
          </w:tcPr>
          <w:p w14:paraId="39D095C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120DDFB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Estoques</w:t>
            </w:r>
          </w:p>
        </w:tc>
        <w:tc>
          <w:tcPr>
            <w:tcW w:w="762" w:type="pct"/>
            <w:gridSpan w:val="2"/>
          </w:tcPr>
          <w:p w14:paraId="394B1CDC"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1.000</w:t>
            </w:r>
          </w:p>
        </w:tc>
      </w:tr>
      <w:tr w:rsidR="0096738F" w:rsidRPr="0096738F" w14:paraId="04BC0718" w14:textId="77777777" w:rsidTr="00DF2196">
        <w:trPr>
          <w:jc w:val="center"/>
        </w:trPr>
        <w:tc>
          <w:tcPr>
            <w:tcW w:w="933" w:type="pct"/>
          </w:tcPr>
          <w:p w14:paraId="1812FAB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2B286D1C"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Imobilizado</w:t>
            </w:r>
          </w:p>
        </w:tc>
        <w:tc>
          <w:tcPr>
            <w:tcW w:w="762" w:type="pct"/>
            <w:gridSpan w:val="2"/>
          </w:tcPr>
          <w:p w14:paraId="48EE9AF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10.000 </w:t>
            </w:r>
          </w:p>
        </w:tc>
      </w:tr>
      <w:tr w:rsidR="0096738F" w:rsidRPr="0096738F" w14:paraId="28FBE752" w14:textId="77777777" w:rsidTr="00DF2196">
        <w:trPr>
          <w:jc w:val="center"/>
        </w:trPr>
        <w:tc>
          <w:tcPr>
            <w:tcW w:w="933" w:type="pct"/>
          </w:tcPr>
          <w:p w14:paraId="3C68E5E2"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1F47D17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Ativos intangíveis identificáveis</w:t>
            </w:r>
          </w:p>
        </w:tc>
        <w:tc>
          <w:tcPr>
            <w:tcW w:w="762" w:type="pct"/>
            <w:gridSpan w:val="2"/>
          </w:tcPr>
          <w:p w14:paraId="213C7FB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3.300</w:t>
            </w:r>
          </w:p>
        </w:tc>
      </w:tr>
      <w:tr w:rsidR="0096738F" w:rsidRPr="0096738F" w14:paraId="3BF2A770" w14:textId="77777777" w:rsidTr="00DF2196">
        <w:trPr>
          <w:jc w:val="center"/>
        </w:trPr>
        <w:tc>
          <w:tcPr>
            <w:tcW w:w="933" w:type="pct"/>
          </w:tcPr>
          <w:p w14:paraId="62E600D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2CBB1FF5"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Passivos financeiros</w:t>
            </w:r>
          </w:p>
        </w:tc>
        <w:tc>
          <w:tcPr>
            <w:tcW w:w="762" w:type="pct"/>
            <w:gridSpan w:val="2"/>
          </w:tcPr>
          <w:p w14:paraId="21C5CA6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(4.000)</w:t>
            </w:r>
          </w:p>
        </w:tc>
      </w:tr>
      <w:tr w:rsidR="0096738F" w:rsidRPr="0096738F" w14:paraId="1B8EC5C4" w14:textId="77777777" w:rsidTr="00DF2196">
        <w:trPr>
          <w:jc w:val="center"/>
        </w:trPr>
        <w:tc>
          <w:tcPr>
            <w:tcW w:w="933" w:type="pct"/>
          </w:tcPr>
          <w:p w14:paraId="670E3B3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2803A546"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Passivo contingente</w:t>
            </w:r>
          </w:p>
        </w:tc>
        <w:tc>
          <w:tcPr>
            <w:tcW w:w="762" w:type="pct"/>
            <w:gridSpan w:val="2"/>
          </w:tcPr>
          <w:p w14:paraId="2EE8298D" w14:textId="77777777" w:rsidR="0096738F" w:rsidRPr="0096738F" w:rsidRDefault="0096738F" w:rsidP="0096738F">
            <w:pPr>
              <w:spacing w:before="0" w:after="0" w:line="240" w:lineRule="auto"/>
              <w:ind w:firstLine="0"/>
              <w:jc w:val="center"/>
              <w:rPr>
                <w:rFonts w:ascii="Arial" w:eastAsia="Times New Roman" w:hAnsi="Arial" w:cs="Arial"/>
                <w:sz w:val="22"/>
                <w:szCs w:val="22"/>
                <w:u w:val="single"/>
                <w:lang w:val="pt-PT" w:eastAsia="pt-BR"/>
              </w:rPr>
            </w:pPr>
            <w:r w:rsidRPr="0096738F">
              <w:rPr>
                <w:rFonts w:ascii="Arial" w:eastAsia="Times New Roman" w:hAnsi="Arial" w:cs="Arial"/>
                <w:sz w:val="22"/>
                <w:szCs w:val="22"/>
                <w:u w:val="single"/>
                <w:lang w:val="pt-PT" w:eastAsia="pt-BR"/>
              </w:rPr>
              <w:t>(1.000)</w:t>
            </w:r>
          </w:p>
        </w:tc>
      </w:tr>
      <w:tr w:rsidR="0096738F" w:rsidRPr="0096738F" w14:paraId="0F98613F" w14:textId="77777777" w:rsidTr="00DF2196">
        <w:trPr>
          <w:jc w:val="center"/>
        </w:trPr>
        <w:tc>
          <w:tcPr>
            <w:tcW w:w="933" w:type="pct"/>
          </w:tcPr>
          <w:p w14:paraId="4F45A4E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tcPr>
          <w:p w14:paraId="3DD319D0"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Total dos ativos líquidos identificáveis</w:t>
            </w:r>
          </w:p>
        </w:tc>
        <w:tc>
          <w:tcPr>
            <w:tcW w:w="762" w:type="pct"/>
            <w:gridSpan w:val="2"/>
          </w:tcPr>
          <w:p w14:paraId="669224BD"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12.800 </w:t>
            </w:r>
          </w:p>
        </w:tc>
      </w:tr>
      <w:tr w:rsidR="0096738F" w:rsidRPr="0096738F" w14:paraId="3E241B73" w14:textId="77777777" w:rsidTr="00DF2196">
        <w:trPr>
          <w:jc w:val="center"/>
        </w:trPr>
        <w:tc>
          <w:tcPr>
            <w:tcW w:w="933" w:type="pct"/>
          </w:tcPr>
          <w:p w14:paraId="63D767A8"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B64(o)(i)</w:t>
            </w:r>
          </w:p>
        </w:tc>
        <w:tc>
          <w:tcPr>
            <w:tcW w:w="3305" w:type="pct"/>
            <w:vAlign w:val="center"/>
          </w:tcPr>
          <w:p w14:paraId="59B07398"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Participação de não controladores na CM</w:t>
            </w:r>
          </w:p>
        </w:tc>
        <w:tc>
          <w:tcPr>
            <w:tcW w:w="762" w:type="pct"/>
            <w:gridSpan w:val="2"/>
            <w:vAlign w:val="center"/>
          </w:tcPr>
          <w:p w14:paraId="614F66B5" w14:textId="77777777" w:rsidR="0096738F" w:rsidRPr="0096738F" w:rsidRDefault="0096738F" w:rsidP="0096738F">
            <w:pPr>
              <w:spacing w:before="0" w:after="0" w:line="240" w:lineRule="auto"/>
              <w:ind w:firstLine="0"/>
              <w:jc w:val="center"/>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(3.300)</w:t>
            </w:r>
          </w:p>
        </w:tc>
      </w:tr>
      <w:tr w:rsidR="0096738F" w:rsidRPr="0096738F" w14:paraId="364B9A94" w14:textId="77777777" w:rsidTr="00DF2196">
        <w:trPr>
          <w:jc w:val="center"/>
        </w:trPr>
        <w:tc>
          <w:tcPr>
            <w:tcW w:w="933" w:type="pct"/>
          </w:tcPr>
          <w:p w14:paraId="0A3DE19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p>
        </w:tc>
        <w:tc>
          <w:tcPr>
            <w:tcW w:w="3305" w:type="pct"/>
            <w:vAlign w:val="center"/>
          </w:tcPr>
          <w:p w14:paraId="0305583F" w14:textId="77777777" w:rsidR="0096738F" w:rsidRPr="0096738F" w:rsidRDefault="0096738F" w:rsidP="0096738F">
            <w:pPr>
              <w:spacing w:before="0" w:after="0" w:line="240" w:lineRule="auto"/>
              <w:ind w:firstLine="0"/>
              <w:rPr>
                <w:rFonts w:ascii="Arial" w:eastAsia="Times New Roman" w:hAnsi="Arial" w:cs="Arial"/>
                <w:b/>
                <w:sz w:val="22"/>
                <w:szCs w:val="22"/>
                <w:lang w:val="pt-PT" w:eastAsia="pt-BR"/>
              </w:rPr>
            </w:pPr>
            <w:r w:rsidRPr="0096738F">
              <w:rPr>
                <w:rFonts w:ascii="Arial" w:eastAsia="Times New Roman" w:hAnsi="Arial" w:cs="Arial"/>
                <w:b/>
                <w:sz w:val="22"/>
                <w:szCs w:val="22"/>
                <w:lang w:val="pt-PT" w:eastAsia="pt-BR"/>
              </w:rPr>
              <w:t>Ágio por expectativa de rentabilidade futura (</w:t>
            </w:r>
            <w:r w:rsidRPr="0096738F">
              <w:rPr>
                <w:rFonts w:ascii="Arial" w:eastAsia="Times New Roman" w:hAnsi="Arial" w:cs="Arial"/>
                <w:b/>
                <w:i/>
                <w:sz w:val="22"/>
                <w:szCs w:val="22"/>
                <w:lang w:val="pt-PT" w:eastAsia="pt-BR"/>
              </w:rPr>
              <w:t>goodwill</w:t>
            </w:r>
            <w:r w:rsidRPr="0096738F">
              <w:rPr>
                <w:rFonts w:ascii="Arial" w:eastAsia="Times New Roman" w:hAnsi="Arial" w:cs="Arial"/>
                <w:b/>
                <w:sz w:val="22"/>
                <w:szCs w:val="22"/>
                <w:lang w:val="pt-PT" w:eastAsia="pt-BR"/>
              </w:rPr>
              <w:t>)</w:t>
            </w:r>
          </w:p>
        </w:tc>
        <w:tc>
          <w:tcPr>
            <w:tcW w:w="762" w:type="pct"/>
            <w:gridSpan w:val="2"/>
            <w:vAlign w:val="center"/>
          </w:tcPr>
          <w:p w14:paraId="7F17274C" w14:textId="77777777" w:rsidR="0096738F" w:rsidRPr="0096738F" w:rsidRDefault="0096738F" w:rsidP="0096738F">
            <w:pPr>
              <w:spacing w:before="0" w:after="0" w:line="240" w:lineRule="auto"/>
              <w:ind w:firstLine="0"/>
              <w:jc w:val="center"/>
              <w:rPr>
                <w:rFonts w:ascii="Arial" w:eastAsia="Times New Roman" w:hAnsi="Arial" w:cs="Arial"/>
                <w:b/>
                <w:sz w:val="22"/>
                <w:szCs w:val="22"/>
                <w:u w:val="single"/>
                <w:lang w:val="pt-PT" w:eastAsia="pt-BR"/>
              </w:rPr>
            </w:pPr>
            <w:r w:rsidRPr="0096738F">
              <w:rPr>
                <w:rFonts w:ascii="Arial" w:eastAsia="Times New Roman" w:hAnsi="Arial" w:cs="Arial"/>
                <w:b/>
                <w:sz w:val="22"/>
                <w:szCs w:val="22"/>
                <w:u w:val="single"/>
                <w:lang w:val="pt-PT" w:eastAsia="pt-BR"/>
              </w:rPr>
              <w:t>2.500</w:t>
            </w:r>
          </w:p>
        </w:tc>
      </w:tr>
      <w:tr w:rsidR="0096738F" w:rsidRPr="0096738F" w14:paraId="24EE29E6" w14:textId="77777777" w:rsidTr="00DF2196">
        <w:trPr>
          <w:jc w:val="center"/>
        </w:trPr>
        <w:tc>
          <w:tcPr>
            <w:tcW w:w="933" w:type="pct"/>
          </w:tcPr>
          <w:p w14:paraId="0D75F603" w14:textId="77777777" w:rsidR="0096738F" w:rsidRPr="0096738F" w:rsidRDefault="0096738F" w:rsidP="0096738F">
            <w:pPr>
              <w:spacing w:before="0" w:after="0" w:line="240" w:lineRule="auto"/>
              <w:ind w:firstLine="0"/>
              <w:jc w:val="center"/>
              <w:rPr>
                <w:rFonts w:ascii="Arial" w:eastAsia="Times New Roman" w:hAnsi="Arial" w:cs="Arial"/>
                <w:b/>
                <w:sz w:val="22"/>
                <w:szCs w:val="22"/>
                <w:u w:val="single"/>
                <w:lang w:val="pt-PT" w:eastAsia="pt-BR"/>
              </w:rPr>
            </w:pPr>
          </w:p>
        </w:tc>
        <w:tc>
          <w:tcPr>
            <w:tcW w:w="3305" w:type="pct"/>
          </w:tcPr>
          <w:p w14:paraId="016B8731" w14:textId="77777777" w:rsidR="0096738F" w:rsidRPr="0096738F" w:rsidRDefault="0096738F" w:rsidP="0096738F">
            <w:pPr>
              <w:spacing w:before="0" w:after="0" w:line="240" w:lineRule="auto"/>
              <w:ind w:firstLine="0"/>
              <w:rPr>
                <w:rFonts w:ascii="Arial" w:eastAsia="Times New Roman" w:hAnsi="Arial" w:cs="Arial"/>
                <w:sz w:val="22"/>
                <w:szCs w:val="22"/>
                <w:u w:val="single"/>
                <w:lang w:val="pt-PT" w:eastAsia="pt-BR"/>
              </w:rPr>
            </w:pPr>
          </w:p>
        </w:tc>
        <w:tc>
          <w:tcPr>
            <w:tcW w:w="762" w:type="pct"/>
            <w:gridSpan w:val="2"/>
          </w:tcPr>
          <w:p w14:paraId="152E1BD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12.000 </w:t>
            </w:r>
          </w:p>
        </w:tc>
      </w:tr>
      <w:tr w:rsidR="0096738F" w:rsidRPr="0096738F" w14:paraId="1401CF27" w14:textId="77777777" w:rsidTr="00DF2196">
        <w:trPr>
          <w:jc w:val="center"/>
        </w:trPr>
        <w:tc>
          <w:tcPr>
            <w:tcW w:w="933" w:type="pct"/>
          </w:tcPr>
          <w:p w14:paraId="5FCA1D07"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B64(f)(iv)</w:t>
            </w:r>
          </w:p>
        </w:tc>
        <w:tc>
          <w:tcPr>
            <w:tcW w:w="4067" w:type="pct"/>
            <w:gridSpan w:val="3"/>
            <w:vAlign w:val="center"/>
          </w:tcPr>
          <w:p w14:paraId="67C88E23"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das 100.000 ações ordinárias emitidas como parte da contraprestação transferida em troca do controle da CM ($ 4.000) foi determinado com base no preço de mercado (cotação de fechamento) das ações ordinárias da CA na data de aquisição.</w:t>
            </w:r>
          </w:p>
        </w:tc>
      </w:tr>
      <w:tr w:rsidR="0096738F" w:rsidRPr="0096738F" w14:paraId="3599D5DC" w14:textId="77777777" w:rsidTr="00DF2196">
        <w:trPr>
          <w:jc w:val="center"/>
        </w:trPr>
        <w:tc>
          <w:tcPr>
            <w:tcW w:w="933" w:type="pct"/>
          </w:tcPr>
          <w:p w14:paraId="2474B70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B64(f)(iii)</w:t>
            </w:r>
          </w:p>
          <w:p w14:paraId="2C9D5EC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B64(g)</w:t>
            </w:r>
          </w:p>
          <w:p w14:paraId="2C4ADC9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B67(b)</w:t>
            </w:r>
          </w:p>
        </w:tc>
        <w:tc>
          <w:tcPr>
            <w:tcW w:w="4067" w:type="pct"/>
            <w:gridSpan w:val="3"/>
            <w:vAlign w:val="center"/>
          </w:tcPr>
          <w:p w14:paraId="4EFCE824"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Os acordos de contraprestação contingente exigem que a CA pague aos ex-proprietários da CM 5% das receitas da CX (investimento patrimonial em outra companhia não consolidado que a CM possui), que excederem a $ 7.500 em 20X3 até o valor máximo de $ 2.500 (não descontado).</w:t>
            </w:r>
          </w:p>
          <w:p w14:paraId="576286C4"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potencial não descontado de todos os futuros pagamentos que a CA teria de ser obrigada a fazer para liquidar os acordos de contraprestação contingente estão entre $ 0 e $ 2.500.</w:t>
            </w:r>
          </w:p>
          <w:p w14:paraId="79D8F74C"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do acordo de contraprestação contingente é $ 1.000 e foi estimado pela aplicação do método da abordagem do resultado. A estimativa de valor justo baseia-se na taxa de desconto assumida entre 20% e 25% e na estimativa de receitas da CX, ajustadas pela probabilidade de ocorrência, entre $ 10.000 e $ 20.000.</w:t>
            </w:r>
          </w:p>
          <w:p w14:paraId="1394269B"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Em 31/12/20X2, não sofreram alterações nem os valores reconhecidos para o acordo de contraprestação contingente, tampouco os possíveis resultados e premissas assumidos para desenvolver a estimativa.</w:t>
            </w:r>
          </w:p>
        </w:tc>
      </w:tr>
      <w:tr w:rsidR="0096738F" w:rsidRPr="0096738F" w14:paraId="2B4AF517" w14:textId="77777777" w:rsidTr="00DF2196">
        <w:trPr>
          <w:jc w:val="center"/>
        </w:trPr>
        <w:tc>
          <w:tcPr>
            <w:tcW w:w="933" w:type="pct"/>
          </w:tcPr>
          <w:p w14:paraId="69AE32A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B64(h)</w:t>
            </w:r>
          </w:p>
        </w:tc>
        <w:tc>
          <w:tcPr>
            <w:tcW w:w="4067" w:type="pct"/>
            <w:gridSpan w:val="3"/>
            <w:vAlign w:val="center"/>
          </w:tcPr>
          <w:p w14:paraId="5ADB54A4"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 xml:space="preserve">O valor justo dos ativos financeiros adquiridos inclui os recebíveis sob contratos de arrendamento financeiro de equipamentos de processamento de dados em rede com o valor justo de $ 2.375. O valor bruto previsto em contrato é $ 3.100, dos quais é esperada a </w:t>
            </w:r>
            <w:r w:rsidRPr="0096738F">
              <w:rPr>
                <w:rFonts w:ascii="Arial" w:eastAsia="Times New Roman" w:hAnsi="Arial" w:cs="Arial"/>
                <w:sz w:val="22"/>
                <w:szCs w:val="22"/>
                <w:lang w:val="pt-PT" w:eastAsia="pt-BR"/>
              </w:rPr>
              <w:lastRenderedPageBreak/>
              <w:t>perda de $ 450.</w:t>
            </w:r>
          </w:p>
        </w:tc>
      </w:tr>
      <w:tr w:rsidR="0096738F" w:rsidRPr="0096738F" w14:paraId="5C0BE4C6" w14:textId="77777777" w:rsidTr="00DF2196">
        <w:trPr>
          <w:jc w:val="center"/>
        </w:trPr>
        <w:tc>
          <w:tcPr>
            <w:tcW w:w="933" w:type="pct"/>
          </w:tcPr>
          <w:p w14:paraId="75A94134"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lastRenderedPageBreak/>
              <w:t>B67(a)</w:t>
            </w:r>
          </w:p>
        </w:tc>
        <w:tc>
          <w:tcPr>
            <w:tcW w:w="4067" w:type="pct"/>
            <w:gridSpan w:val="3"/>
            <w:vAlign w:val="center"/>
          </w:tcPr>
          <w:p w14:paraId="79375D86"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dos ativos intangíveis identificáveis, $ 3.300, é provisório, pois está faltando receber o laudo final de avaliação desses ativos.</w:t>
            </w:r>
          </w:p>
        </w:tc>
      </w:tr>
      <w:tr w:rsidR="0096738F" w:rsidRPr="0096738F" w14:paraId="1DD1EE32" w14:textId="77777777" w:rsidTr="00DF2196">
        <w:trPr>
          <w:jc w:val="center"/>
        </w:trPr>
        <w:tc>
          <w:tcPr>
            <w:tcW w:w="933" w:type="pct"/>
          </w:tcPr>
          <w:p w14:paraId="4F546CF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B64(j)</w:t>
            </w:r>
          </w:p>
          <w:p w14:paraId="74E48B21"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B67(c)</w:t>
            </w:r>
          </w:p>
          <w:p w14:paraId="7EBA5D8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IAS 37.84,</w:t>
            </w:r>
          </w:p>
          <w:p w14:paraId="4EA4186E"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85</w:t>
            </w:r>
          </w:p>
        </w:tc>
        <w:tc>
          <w:tcPr>
            <w:tcW w:w="4067" w:type="pct"/>
            <w:gridSpan w:val="3"/>
            <w:vAlign w:val="center"/>
          </w:tcPr>
          <w:p w14:paraId="084A19F1"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passivo contingente de $ 1.000 foi reconhecido em razão dos direitos de garantia esperados sobre produtos e serviços vendidos pela CM durante os últimos três anos. Espera-se que a maior parte dessa despesa seja incorrida em 20X3 e que até o final de 20X4 ela esteja totalmente liquidada. O valor potencial não descontado de todos os futuros pagamentos que a CA teria de fazer em função dos acordos de garantia foi estimado entre $ 500 e $ 1.500. Em 31/12/20X2, não houve mudança nos valores reconhecidos desde 30/06/20X2 para o passivo ou nas faixas de valores esperados ou ainda nas premissas utilizadas para desenvolver a estimativa.</w:t>
            </w:r>
          </w:p>
        </w:tc>
      </w:tr>
      <w:tr w:rsidR="0096738F" w:rsidRPr="0096738F" w14:paraId="2D9D25CD" w14:textId="77777777" w:rsidTr="00DF2196">
        <w:trPr>
          <w:trHeight w:val="2764"/>
          <w:jc w:val="center"/>
        </w:trPr>
        <w:tc>
          <w:tcPr>
            <w:tcW w:w="933" w:type="pct"/>
          </w:tcPr>
          <w:p w14:paraId="19ABBE1F"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B64(o)</w:t>
            </w:r>
          </w:p>
        </w:tc>
        <w:tc>
          <w:tcPr>
            <w:tcW w:w="4067" w:type="pct"/>
            <w:gridSpan w:val="3"/>
            <w:vAlign w:val="center"/>
          </w:tcPr>
          <w:p w14:paraId="6CA96973"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O valor justo da participação dos não controladores na CM, uma companhia fechada, foi estimado pela aplicação de abordagens de mercado e de resultado. A estimativa de valor justo foi baseada em:</w:t>
            </w:r>
          </w:p>
          <w:p w14:paraId="3A3F57D7"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faixa de taxas de desconto entre 20% e 25%;</w:t>
            </w:r>
          </w:p>
          <w:p w14:paraId="2B199EB6"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(b) valor residual assumido com base em faixas de valores de múltiplos de EBITDA entre 3 e 5 vezes (ou se apropriado, baseado sobre taxas de crescimento sustentável de longo prazo de 3% a 6%);</w:t>
            </w:r>
          </w:p>
          <w:p w14:paraId="10EA6A29"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 múltiplos financeiros de companhias consideradas similares à CM; e</w:t>
            </w:r>
          </w:p>
          <w:p w14:paraId="0BF769A9"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(d) ajustes em razão da ausência de controle ou de liquidez que participantes do mercado teriam considerado quando da estimativa do valor justo da participação dos não controladores na CM.</w:t>
            </w:r>
          </w:p>
        </w:tc>
      </w:tr>
      <w:tr w:rsidR="0096738F" w:rsidRPr="0096738F" w14:paraId="162CEE89" w14:textId="77777777" w:rsidTr="00DF2196">
        <w:trPr>
          <w:jc w:val="center"/>
        </w:trPr>
        <w:tc>
          <w:tcPr>
            <w:tcW w:w="933" w:type="pct"/>
          </w:tcPr>
          <w:p w14:paraId="00C0062A"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B64(p)(ii)</w:t>
            </w:r>
          </w:p>
        </w:tc>
        <w:tc>
          <w:tcPr>
            <w:tcW w:w="4067" w:type="pct"/>
            <w:gridSpan w:val="3"/>
            <w:vAlign w:val="center"/>
          </w:tcPr>
          <w:p w14:paraId="61B920D1"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CA reconheceu o ganho de $ 500 como resultado da mensuração a valor justo de seus 15% de participação de capital na CM que a CA possuía antes da combinação de negócios. O ganho está incluso em “outros resultados” na demonstração do resultado da CA em 31/12/20X2.</w:t>
            </w:r>
          </w:p>
        </w:tc>
      </w:tr>
      <w:tr w:rsidR="0096738F" w:rsidRPr="0096738F" w14:paraId="4930FDC8" w14:textId="77777777" w:rsidTr="00DF2196">
        <w:trPr>
          <w:jc w:val="center"/>
        </w:trPr>
        <w:tc>
          <w:tcPr>
            <w:tcW w:w="933" w:type="pct"/>
          </w:tcPr>
          <w:p w14:paraId="54C7BF55"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B64(q)(i)</w:t>
            </w:r>
          </w:p>
        </w:tc>
        <w:tc>
          <w:tcPr>
            <w:tcW w:w="4067" w:type="pct"/>
            <w:gridSpan w:val="3"/>
            <w:vAlign w:val="center"/>
          </w:tcPr>
          <w:p w14:paraId="0E03F740"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A receita da CM auferida a partir de 30/06/20X2 foi de $ 4.090 e está incluída na demonstração do resultado consolidado. A CM também contribuiu com o lucro de $ 1.710 nesse mesmo período.</w:t>
            </w:r>
          </w:p>
        </w:tc>
      </w:tr>
      <w:tr w:rsidR="0096738F" w:rsidRPr="0096738F" w14:paraId="235072D1" w14:textId="77777777" w:rsidTr="00DF2196">
        <w:trPr>
          <w:jc w:val="center"/>
        </w:trPr>
        <w:tc>
          <w:tcPr>
            <w:tcW w:w="933" w:type="pct"/>
          </w:tcPr>
          <w:p w14:paraId="7784CFF3" w14:textId="77777777" w:rsidR="0096738F" w:rsidRPr="0096738F" w:rsidRDefault="0096738F" w:rsidP="0096738F">
            <w:pPr>
              <w:spacing w:before="0" w:after="0" w:line="240" w:lineRule="auto"/>
              <w:ind w:firstLine="0"/>
              <w:jc w:val="center"/>
              <w:rPr>
                <w:rFonts w:ascii="Arial" w:eastAsia="Times New Roman" w:hAnsi="Arial" w:cs="Arial"/>
                <w:sz w:val="22"/>
                <w:szCs w:val="22"/>
                <w:lang w:val="en-US" w:eastAsia="pt-BR"/>
              </w:rPr>
            </w:pPr>
            <w:r w:rsidRPr="0096738F">
              <w:rPr>
                <w:rFonts w:ascii="Arial" w:eastAsia="Times New Roman" w:hAnsi="Arial" w:cs="Arial"/>
                <w:sz w:val="22"/>
                <w:szCs w:val="22"/>
                <w:lang w:val="en-US" w:eastAsia="pt-BR"/>
              </w:rPr>
              <w:t>B64(q)(ii)</w:t>
            </w:r>
          </w:p>
        </w:tc>
        <w:tc>
          <w:tcPr>
            <w:tcW w:w="4067" w:type="pct"/>
            <w:gridSpan w:val="3"/>
            <w:vAlign w:val="center"/>
          </w:tcPr>
          <w:p w14:paraId="3D2A8581" w14:textId="77777777" w:rsidR="0096738F" w:rsidRPr="0096738F" w:rsidRDefault="0096738F" w:rsidP="0096738F">
            <w:pPr>
              <w:widowControl w:val="0"/>
              <w:spacing w:before="0" w:after="0" w:line="240" w:lineRule="auto"/>
              <w:ind w:firstLine="0"/>
              <w:rPr>
                <w:rFonts w:ascii="Arial" w:eastAsia="Times New Roman" w:hAnsi="Arial" w:cs="Arial"/>
                <w:sz w:val="22"/>
                <w:szCs w:val="22"/>
                <w:lang w:val="pt-PT" w:eastAsia="pt-BR"/>
              </w:rPr>
            </w:pPr>
            <w:r w:rsidRPr="0096738F">
              <w:rPr>
                <w:rFonts w:ascii="Arial" w:eastAsia="Times New Roman" w:hAnsi="Arial" w:cs="Arial"/>
                <w:sz w:val="22"/>
                <w:szCs w:val="22"/>
                <w:lang w:val="pt-PT" w:eastAsia="pt-BR"/>
              </w:rPr>
              <w:t>Caso a CM tivesse sido consolidada a partir de 01/01/20X2, na demonstração do resultado teria sido incluída a receita de $ 27.670 e o lucro de $ 12.870.</w:t>
            </w:r>
          </w:p>
        </w:tc>
      </w:tr>
    </w:tbl>
    <w:p w14:paraId="6051844E" w14:textId="77777777" w:rsidR="0096738F" w:rsidRPr="0096738F" w:rsidRDefault="0096738F" w:rsidP="0096738F">
      <w:pPr>
        <w:spacing w:before="0" w:after="0" w:line="240" w:lineRule="auto"/>
        <w:ind w:firstLine="0"/>
        <w:rPr>
          <w:rFonts w:ascii="Arial" w:eastAsia="Times New Roman" w:hAnsi="Arial" w:cs="Arial"/>
          <w:sz w:val="22"/>
          <w:szCs w:val="22"/>
          <w:lang w:val="pt-PT" w:eastAsia="pt-BR"/>
        </w:rPr>
      </w:pPr>
    </w:p>
    <w:p w14:paraId="324D9002" w14:textId="77777777" w:rsidR="0096738F" w:rsidRPr="0096738F" w:rsidRDefault="0096738F" w:rsidP="0096738F">
      <w:pPr>
        <w:widowControl w:val="0"/>
        <w:tabs>
          <w:tab w:val="left" w:pos="6804"/>
        </w:tabs>
        <w:spacing w:before="0" w:after="0" w:line="240" w:lineRule="auto"/>
        <w:ind w:left="709" w:hanging="709"/>
        <w:rPr>
          <w:rFonts w:ascii="Arial" w:eastAsia="Times New Roman" w:hAnsi="Arial" w:cs="Arial"/>
          <w:sz w:val="22"/>
          <w:szCs w:val="22"/>
          <w:lang w:val="pt-PT" w:eastAsia="pt-BR"/>
        </w:rPr>
      </w:pPr>
    </w:p>
    <w:p w14:paraId="066974A0" w14:textId="77777777" w:rsidR="00037E4D" w:rsidRDefault="00037E4D" w:rsidP="52D26694"/>
    <w:p w14:paraId="5AFED6D0" w14:textId="77777777" w:rsidR="00037E4D" w:rsidRDefault="00037E4D" w:rsidP="52D26694"/>
    <w:sectPr w:rsidR="00037E4D" w:rsidSect="00E25581">
      <w:headerReference w:type="default" r:id="rId11"/>
      <w:footerReference w:type="default" r:id="rId12"/>
      <w:headerReference w:type="first" r:id="rId13"/>
      <w:footerReference w:type="first" r:id="rId14"/>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9E4C" w14:textId="77777777" w:rsidR="00DF2196" w:rsidRDefault="00DF2196" w:rsidP="00ED1FB4">
      <w:r>
        <w:separator/>
      </w:r>
    </w:p>
  </w:endnote>
  <w:endnote w:type="continuationSeparator" w:id="0">
    <w:p w14:paraId="0A632656" w14:textId="77777777" w:rsidR="00DF2196" w:rsidRDefault="00DF2196" w:rsidP="00ED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429894"/>
      <w:docPartObj>
        <w:docPartGallery w:val="Page Numbers (Bottom of Page)"/>
        <w:docPartUnique/>
      </w:docPartObj>
    </w:sdtPr>
    <w:sdtEndPr/>
    <w:sdtContent>
      <w:p w14:paraId="4A8F866C" w14:textId="6A209401" w:rsidR="00DF2196" w:rsidRDefault="00DF2196">
        <w:pPr>
          <w:pStyle w:val="Rodap"/>
        </w:pPr>
        <w:r w:rsidRPr="00EA4011">
          <w:rPr>
            <w:sz w:val="24"/>
            <w:szCs w:val="24"/>
          </w:rPr>
          <w:fldChar w:fldCharType="begin"/>
        </w:r>
        <w:r w:rsidRPr="00EA4011">
          <w:rPr>
            <w:sz w:val="24"/>
            <w:szCs w:val="24"/>
          </w:rPr>
          <w:instrText>PAGE   \* MERGEFORMAT</w:instrText>
        </w:r>
        <w:r w:rsidRPr="00EA4011">
          <w:rPr>
            <w:sz w:val="24"/>
            <w:szCs w:val="24"/>
          </w:rPr>
          <w:fldChar w:fldCharType="separate"/>
        </w:r>
        <w:r w:rsidR="004373B9">
          <w:rPr>
            <w:sz w:val="24"/>
            <w:szCs w:val="24"/>
          </w:rPr>
          <w:t>2</w:t>
        </w:r>
        <w:r w:rsidRPr="00EA4011">
          <w:rPr>
            <w:sz w:val="24"/>
            <w:szCs w:val="24"/>
          </w:rPr>
          <w:fldChar w:fldCharType="end"/>
        </w:r>
      </w:p>
    </w:sdtContent>
  </w:sdt>
  <w:p w14:paraId="116F19A2" w14:textId="77777777" w:rsidR="00DF2196" w:rsidRDefault="00DF219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802400"/>
      <w:docPartObj>
        <w:docPartGallery w:val="Page Numbers (Bottom of Page)"/>
        <w:docPartUnique/>
      </w:docPartObj>
    </w:sdtPr>
    <w:sdtEndPr/>
    <w:sdtContent>
      <w:p w14:paraId="792B5FDE" w14:textId="7804368D" w:rsidR="00DF2196" w:rsidRDefault="009B1796">
        <w:pPr>
          <w:pStyle w:val="Rodap"/>
        </w:pPr>
      </w:p>
    </w:sdtContent>
  </w:sdt>
  <w:p w14:paraId="50D840BF" w14:textId="77777777" w:rsidR="00DF2196" w:rsidRDefault="00DF219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A594" w14:textId="77777777" w:rsidR="00DF2196" w:rsidRDefault="00DF2196" w:rsidP="00ED1FB4">
      <w:r>
        <w:separator/>
      </w:r>
    </w:p>
  </w:footnote>
  <w:footnote w:type="continuationSeparator" w:id="0">
    <w:p w14:paraId="62F7ABA0" w14:textId="77777777" w:rsidR="00DF2196" w:rsidRDefault="00DF2196" w:rsidP="00ED1FB4">
      <w:r>
        <w:continuationSeparator/>
      </w:r>
    </w:p>
  </w:footnote>
  <w:footnote w:id="1">
    <w:p w14:paraId="649A773D" w14:textId="77777777" w:rsidR="00DF2196" w:rsidRPr="007D699B" w:rsidRDefault="00DF2196" w:rsidP="005156FD">
      <w:pPr>
        <w:pStyle w:val="NormalWeb"/>
        <w:jc w:val="both"/>
        <w:rPr>
          <w:rFonts w:ascii="Arial" w:hAnsi="Arial" w:cs="Arial"/>
          <w:sz w:val="18"/>
          <w:szCs w:val="18"/>
        </w:rPr>
      </w:pPr>
      <w:r w:rsidRPr="007D699B">
        <w:rPr>
          <w:rStyle w:val="Refdenotaderodap"/>
          <w:rFonts w:ascii="Arial" w:hAnsi="Arial" w:cs="Arial"/>
          <w:sz w:val="18"/>
          <w:szCs w:val="18"/>
        </w:rPr>
        <w:footnoteRef/>
      </w:r>
      <w:r w:rsidRPr="007D699B">
        <w:rPr>
          <w:rFonts w:ascii="Arial" w:hAnsi="Arial" w:cs="Arial"/>
          <w:sz w:val="18"/>
          <w:szCs w:val="18"/>
        </w:rPr>
        <w:t xml:space="preserve"> </w:t>
      </w:r>
      <w:r w:rsidRPr="007D699B">
        <w:rPr>
          <w:rFonts w:ascii="Arial" w:hAnsi="Arial" w:cs="Arial"/>
          <w:b/>
          <w:bCs/>
          <w:i/>
          <w:sz w:val="18"/>
          <w:szCs w:val="18"/>
        </w:rPr>
        <w:t>Dual-listed company</w:t>
      </w:r>
      <w:r w:rsidRPr="007D699B">
        <w:rPr>
          <w:rFonts w:ascii="Arial" w:hAnsi="Arial" w:cs="Arial"/>
          <w:sz w:val="18"/>
          <w:szCs w:val="18"/>
        </w:rPr>
        <w:t xml:space="preserve"> ou companhia duplamente listada é uma estrutura corporativa na qual duas companhias funcionam como uma única entidade operacional por meio de contrato de equalização, mantendo identidades jurídicas separadas e listagens também separadas em bolsa ou bolsas de valores. As duas companhias continuam a existir, têm dois conjuntos separados de acionistas, mas concordam em dividir os riscos e benefícios de seus negócios operacionais na proporção fixa contratada. O contrato de equalização assegura o uso dos direitos de voto, de dividendos e outros. Normalmente têm administradores comuns e estrutura administrativa única. </w:t>
      </w:r>
    </w:p>
  </w:footnote>
  <w:footnote w:id="2">
    <w:p w14:paraId="14DD4930" w14:textId="77777777" w:rsidR="00DF2196" w:rsidRPr="007D699B" w:rsidRDefault="00DF2196" w:rsidP="00F27623">
      <w:pPr>
        <w:pStyle w:val="Textodenotaderodap"/>
        <w:ind w:firstLine="0"/>
        <w:rPr>
          <w:rFonts w:ascii="Arial" w:hAnsi="Arial" w:cs="Arial"/>
          <w:sz w:val="18"/>
          <w:szCs w:val="18"/>
        </w:rPr>
      </w:pPr>
      <w:r w:rsidRPr="007D699B">
        <w:rPr>
          <w:rStyle w:val="Refdenotaderodap"/>
          <w:rFonts w:ascii="Arial" w:hAnsi="Arial" w:cs="Arial"/>
          <w:sz w:val="18"/>
          <w:szCs w:val="18"/>
        </w:rPr>
        <w:footnoteRef/>
      </w:r>
      <w:r w:rsidRPr="007D699B">
        <w:rPr>
          <w:rFonts w:ascii="Arial" w:hAnsi="Arial" w:cs="Arial"/>
          <w:sz w:val="18"/>
          <w:szCs w:val="18"/>
        </w:rPr>
        <w:t xml:space="preserve"> A literatura especializada assim qualifica essas duas modalidades de acordos contratuais: </w:t>
      </w:r>
      <w:r w:rsidRPr="007D699B">
        <w:rPr>
          <w:rFonts w:ascii="Arial" w:hAnsi="Arial" w:cs="Arial"/>
          <w:b/>
          <w:i/>
          <w:sz w:val="18"/>
          <w:szCs w:val="18"/>
        </w:rPr>
        <w:t>stapling arrangements</w:t>
      </w:r>
      <w:r w:rsidRPr="007D699B">
        <w:rPr>
          <w:rFonts w:ascii="Arial" w:hAnsi="Arial" w:cs="Arial"/>
          <w:sz w:val="18"/>
          <w:szCs w:val="18"/>
        </w:rPr>
        <w:t xml:space="preserve"> –trata-se geralmente de acordos contratuais firmados entre duas partes por meio dos quais os valores mobiliários emitidos por uma entidade legal são combinados com os valores mobiliários emitidos por outra entidade legal. Esses valores mobiliários, que recebem usualmente a alcunha de “valores mobiliários aglutinados” (</w:t>
      </w:r>
      <w:r w:rsidRPr="007D699B">
        <w:rPr>
          <w:rFonts w:ascii="Arial" w:hAnsi="Arial" w:cs="Arial"/>
          <w:i/>
          <w:sz w:val="18"/>
          <w:szCs w:val="18"/>
        </w:rPr>
        <w:t>stapled securities</w:t>
      </w:r>
      <w:r w:rsidRPr="007D699B">
        <w:rPr>
          <w:rFonts w:ascii="Arial" w:hAnsi="Arial" w:cs="Arial"/>
          <w:sz w:val="18"/>
          <w:szCs w:val="18"/>
        </w:rPr>
        <w:t xml:space="preserve">), são então cotados por um único preço de mercado e não podem ser negociados ou transferidos separadamente. </w:t>
      </w:r>
      <w:r w:rsidRPr="007D699B">
        <w:rPr>
          <w:rFonts w:ascii="Arial" w:hAnsi="Arial" w:cs="Arial"/>
          <w:b/>
          <w:i/>
          <w:sz w:val="18"/>
          <w:szCs w:val="18"/>
        </w:rPr>
        <w:t>Dual-listed corporation</w:t>
      </w:r>
      <w:r w:rsidRPr="007D699B">
        <w:rPr>
          <w:rFonts w:ascii="Arial" w:hAnsi="Arial" w:cs="Arial"/>
          <w:sz w:val="18"/>
          <w:szCs w:val="18"/>
        </w:rPr>
        <w:t xml:space="preserve"> – em ditas transações, nenhuma contraprestação é transferida pelas companhias envolvidas e os contratos são executados pelas partes com o propósito de equalizar direitos dos sócios das companhias contratantes. Entre os direitos abarcados por esses acordos contratuais estão presentes, com frequência, o direito de voto, o direito a dividendos os direitos relativos a decisões de governança e a atos praticados por administradores. Muito embora as entidades legais sejam mantidas separadamente (isto é, os valores mobiliários de cada entidade envolvida no contrato são, usualmente, negociados e cotados separadamente nos mercados onde são listados), uma corporação duplamente listada (</w:t>
      </w:r>
      <w:r w:rsidRPr="007D699B">
        <w:rPr>
          <w:rFonts w:ascii="Arial" w:hAnsi="Arial" w:cs="Arial"/>
          <w:i/>
          <w:sz w:val="18"/>
          <w:szCs w:val="18"/>
        </w:rPr>
        <w:t>dual listed corporation</w:t>
      </w:r>
      <w:r w:rsidRPr="007D699B">
        <w:rPr>
          <w:rFonts w:ascii="Arial" w:hAnsi="Arial" w:cs="Arial"/>
          <w:sz w:val="18"/>
          <w:szCs w:val="18"/>
        </w:rPr>
        <w:t xml:space="preserve">) é, em essência, similar a uma combinação de negócios em que os sócios das respectivas sociedades compartilham riscos e benefícios das duas entidades. Historicamente, a </w:t>
      </w:r>
      <w:r w:rsidRPr="007D699B">
        <w:rPr>
          <w:rFonts w:ascii="Arial" w:hAnsi="Arial" w:cs="Arial"/>
          <w:i/>
          <w:sz w:val="18"/>
          <w:szCs w:val="18"/>
        </w:rPr>
        <w:t>Securities and Exchange Commission</w:t>
      </w:r>
      <w:r w:rsidRPr="007D699B">
        <w:rPr>
          <w:rFonts w:ascii="Arial" w:hAnsi="Arial" w:cs="Arial"/>
          <w:sz w:val="18"/>
          <w:szCs w:val="18"/>
        </w:rPr>
        <w:t xml:space="preserve"> – SEC nos EUA tem exigido que ditas transações sejam tratadas contabilmente como combinação de negócios.</w:t>
      </w:r>
    </w:p>
  </w:footnote>
  <w:footnote w:id="3">
    <w:p w14:paraId="084D6ABE" w14:textId="77777777" w:rsidR="00DF2196" w:rsidRPr="007D699B" w:rsidRDefault="00DF2196" w:rsidP="00BA60BC">
      <w:pPr>
        <w:pStyle w:val="Textodenotaderodap"/>
        <w:ind w:firstLine="0"/>
        <w:rPr>
          <w:rFonts w:ascii="Arial" w:hAnsi="Arial" w:cs="Arial"/>
          <w:sz w:val="18"/>
          <w:szCs w:val="18"/>
        </w:rPr>
      </w:pPr>
      <w:r w:rsidRPr="007D699B">
        <w:rPr>
          <w:rStyle w:val="Refdenotaderodap"/>
          <w:rFonts w:ascii="Arial" w:hAnsi="Arial" w:cs="Arial"/>
          <w:sz w:val="18"/>
          <w:szCs w:val="18"/>
        </w:rPr>
        <w:footnoteRef/>
      </w:r>
      <w:r w:rsidRPr="007D699B">
        <w:rPr>
          <w:rFonts w:ascii="Arial" w:hAnsi="Arial" w:cs="Arial"/>
          <w:sz w:val="18"/>
          <w:szCs w:val="18"/>
        </w:rPr>
        <w:t xml:space="preserve"> É importante esclarecer que essa modalidade de transação não se confunde com a modalidade de “incorporação reversa”, ativamente praticada no Brasil, no início do processo de privatização dos setores de energia elétrica e de telecomunicações. As transações de “incorporação reversa” não se qualificam para a aplicação deste Pronunciamento, em decorrência de não envolverem alteração de controle.</w:t>
      </w:r>
    </w:p>
  </w:footnote>
  <w:footnote w:id="4">
    <w:p w14:paraId="1D04A642" w14:textId="77777777" w:rsidR="00DF2196" w:rsidRPr="00BA60BC" w:rsidRDefault="00DF2196" w:rsidP="00BA60BC">
      <w:pPr>
        <w:pStyle w:val="Textodenotaderodap"/>
        <w:ind w:firstLine="0"/>
        <w:rPr>
          <w:rStyle w:val="Refdenotaderodap"/>
          <w:rFonts w:ascii="Arial" w:hAnsi="Arial" w:cs="Arial"/>
          <w:b/>
          <w:sz w:val="18"/>
          <w:szCs w:val="18"/>
        </w:rPr>
      </w:pPr>
      <w:r w:rsidRPr="00BA60BC">
        <w:rPr>
          <w:rStyle w:val="Refdenotaderodap"/>
          <w:rFonts w:ascii="Arial" w:hAnsi="Arial" w:cs="Arial"/>
          <w:b/>
          <w:sz w:val="18"/>
          <w:szCs w:val="18"/>
        </w:rPr>
        <w:footnoteRef/>
      </w:r>
      <w:r w:rsidRPr="00BA60BC">
        <w:rPr>
          <w:rStyle w:val="Refdenotaderodap"/>
          <w:rFonts w:ascii="Arial" w:hAnsi="Arial" w:cs="Arial"/>
          <w:b/>
          <w:sz w:val="18"/>
          <w:szCs w:val="18"/>
        </w:rPr>
        <w:t xml:space="preserve"> </w:t>
      </w:r>
      <w:r w:rsidRPr="005156FD">
        <w:rPr>
          <w:rStyle w:val="Refdenotaderodap"/>
          <w:rFonts w:ascii="Arial" w:hAnsi="Arial" w:cs="Arial"/>
          <w:b/>
          <w:sz w:val="18"/>
          <w:szCs w:val="18"/>
          <w:vertAlign w:val="baseline"/>
        </w:rPr>
        <w:t>Legalmente, no Brasil, dita transação seria enquadrada como uma incorporação de ações da entidade fechada pela companhia aberta ao seu patrimônio, sendo que os ex-sócios da entidade fechada receberiam ações a serem emitidas pela companhia aberta, conforme relação de troca justa de ações constante no protocolo de incorporação.</w:t>
      </w:r>
    </w:p>
  </w:footnote>
  <w:footnote w:id="5">
    <w:p w14:paraId="566B0466" w14:textId="77777777" w:rsidR="00DF2196" w:rsidRPr="007D699B" w:rsidRDefault="00DF2196" w:rsidP="00BA60BC">
      <w:pPr>
        <w:pStyle w:val="Textodenotaderodap"/>
        <w:ind w:firstLine="0"/>
        <w:rPr>
          <w:rFonts w:ascii="Arial" w:hAnsi="Arial" w:cs="Arial"/>
          <w:sz w:val="18"/>
          <w:szCs w:val="18"/>
        </w:rPr>
      </w:pPr>
      <w:r w:rsidRPr="00BA60BC">
        <w:rPr>
          <w:rStyle w:val="Refdenotaderodap"/>
          <w:rFonts w:ascii="Arial" w:hAnsi="Arial" w:cs="Arial"/>
          <w:sz w:val="18"/>
          <w:szCs w:val="18"/>
        </w:rPr>
        <w:footnoteRef/>
      </w:r>
      <w:r w:rsidRPr="00BA60BC">
        <w:rPr>
          <w:rFonts w:ascii="Arial" w:hAnsi="Arial" w:cs="Arial"/>
          <w:sz w:val="18"/>
          <w:szCs w:val="18"/>
        </w:rPr>
        <w:t xml:space="preserve"> O valor justo das ações da entidade combinada multiplicado pela participação final dos sócios da controladora legal (adquirida contábil) na entidade combinada.</w:t>
      </w:r>
    </w:p>
  </w:footnote>
  <w:footnote w:id="6">
    <w:p w14:paraId="62948F66" w14:textId="77777777" w:rsidR="00DF2196" w:rsidRPr="007D699B" w:rsidRDefault="00DF2196" w:rsidP="0096738F">
      <w:pPr>
        <w:pStyle w:val="Textoembloco"/>
        <w:spacing w:before="0" w:after="0" w:line="240" w:lineRule="auto"/>
        <w:ind w:left="0" w:firstLine="0"/>
        <w:jc w:val="both"/>
        <w:rPr>
          <w:color w:val="000000"/>
          <w:sz w:val="18"/>
          <w:szCs w:val="18"/>
          <w:lang w:val="pt-BR"/>
        </w:rPr>
      </w:pPr>
      <w:r w:rsidRPr="007D699B">
        <w:rPr>
          <w:rStyle w:val="Refdenotaderodap"/>
          <w:sz w:val="18"/>
          <w:szCs w:val="18"/>
        </w:rPr>
        <w:footnoteRef/>
      </w:r>
      <w:r w:rsidRPr="007D699B">
        <w:rPr>
          <w:sz w:val="18"/>
          <w:szCs w:val="18"/>
        </w:rPr>
        <w:t xml:space="preserve"> </w:t>
      </w:r>
      <w:r w:rsidRPr="007D699B">
        <w:rPr>
          <w:color w:val="000000"/>
          <w:sz w:val="18"/>
          <w:szCs w:val="18"/>
          <w:lang w:val="pt-BR"/>
        </w:rPr>
        <w:t>Essa modalidade de operação não se confunde com as incorporações reversas, amplamente praticadas no mercado brasileiro.</w:t>
      </w:r>
    </w:p>
  </w:footnote>
  <w:footnote w:id="7">
    <w:p w14:paraId="784E2DCB" w14:textId="77777777" w:rsidR="00DF2196" w:rsidRPr="007D699B" w:rsidRDefault="00DF2196" w:rsidP="0096738F">
      <w:pPr>
        <w:pStyle w:val="Textodenotaderodap"/>
        <w:rPr>
          <w:rFonts w:ascii="Arial" w:hAnsi="Arial" w:cs="Arial"/>
          <w:sz w:val="18"/>
          <w:szCs w:val="18"/>
        </w:rPr>
      </w:pPr>
      <w:r w:rsidRPr="007D699B">
        <w:rPr>
          <w:rStyle w:val="Refdenotaderodap"/>
          <w:rFonts w:ascii="Arial" w:hAnsi="Arial" w:cs="Arial"/>
          <w:sz w:val="18"/>
          <w:szCs w:val="18"/>
        </w:rPr>
        <w:footnoteRef/>
      </w:r>
      <w:r w:rsidRPr="007D699B">
        <w:rPr>
          <w:rFonts w:ascii="Arial" w:hAnsi="Arial" w:cs="Arial"/>
          <w:sz w:val="18"/>
          <w:szCs w:val="18"/>
        </w:rPr>
        <w:t xml:space="preserve"> Uma forma intuitiva e lógica de visualizar o valor justo da contraprestação transferida seria raciocinar em termos de riqueza. O quanto de riqueza os antigos sócios de “A” retiveram. Desse modo, considerando o desfecho da distribuição de capital da entidade combinada, os antigos sócios de “A” fazem jus a 40% da riqueza envolvida, que compreende 40% das 60 ações de “B” ao valor justo por ação ou quota de $ 40 (0,4*60*$ 40=$ 960) mais 40% das 100 ações ou quotas de “A” ao valor justo por ação ou quota de $ 16 (0,4*100*$ 16 = $ 640), que resulta em $ 1.600 ($ 960 + $ 640).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649F" w14:textId="77777777" w:rsidR="00DF2196" w:rsidRPr="00ED1FB4" w:rsidRDefault="00DF2196" w:rsidP="004D68A2">
    <w:pPr>
      <w:pStyle w:val="Rodap"/>
    </w:pPr>
    <w:r>
      <w:rPr>
        <w:lang w:val="en-US" w:eastAsia="en-US"/>
      </w:rPr>
      <w:drawing>
        <wp:inline distT="0" distB="0" distL="0" distR="0" wp14:anchorId="11A69795" wp14:editId="3B5ABCEA">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1DC183B" w14:textId="77777777" w:rsidR="00DF2196" w:rsidRPr="004D68A2" w:rsidRDefault="00DF2196" w:rsidP="004D68A2">
    <w:pPr>
      <w:pStyle w:val="Rodap"/>
      <w:rPr>
        <w:b/>
        <w:sz w:val="24"/>
        <w:szCs w:val="24"/>
      </w:rPr>
    </w:pPr>
    <w:r w:rsidRPr="004D68A2">
      <w:rPr>
        <w:b/>
        <w:sz w:val="24"/>
        <w:szCs w:val="24"/>
      </w:rPr>
      <w:t>COMISSÃO DE VALORES MOBILIÁRIOS</w:t>
    </w:r>
  </w:p>
  <w:p w14:paraId="639A5B8F" w14:textId="77777777" w:rsidR="00DF2196" w:rsidRPr="00ED1FB4" w:rsidRDefault="00DF2196" w:rsidP="004D68A2">
    <w:pPr>
      <w:pStyle w:val="Rodap"/>
    </w:pPr>
    <w:r w:rsidRPr="00ED1FB4">
      <w:t>Rua Sete de Setembro, 111/2-5º e 23-34º Andares, Centro, Rio de Janeiro/RJ – CEP: 20050-901 – Brasil - Tel.: (21) 3554-8686</w:t>
    </w:r>
  </w:p>
  <w:p w14:paraId="33B76BC5" w14:textId="77777777" w:rsidR="00DF2196" w:rsidRPr="004D68A2" w:rsidRDefault="00DF2196" w:rsidP="004D68A2">
    <w:pPr>
      <w:pStyle w:val="Rodap"/>
    </w:pPr>
    <w:r w:rsidRPr="004D68A2">
      <w:t>Rua Cincinato Braga, 340/2º, 3º e 4º Andares, Bela Vista, São Paulo/ SP – CEP: 01333-010 – Brasil - Tel.: (11) 2146-2000</w:t>
    </w:r>
  </w:p>
  <w:p w14:paraId="1EAE30D9" w14:textId="77777777" w:rsidR="00DF2196" w:rsidRPr="00ED1FB4" w:rsidRDefault="00DF2196" w:rsidP="004D68A2">
    <w:pPr>
      <w:pStyle w:val="Rodap"/>
    </w:pPr>
    <w:r w:rsidRPr="00ED1FB4">
      <w:t>SCN Q.02 – Bl. A – Ed. Corporate Financial Center, S.404/4º Andar, Brasília/DF – CEP: 70712-900 – Brasil -Tel.: (61) 3327-2030/2031</w:t>
    </w:r>
  </w:p>
  <w:p w14:paraId="1B94A4DD" w14:textId="77777777" w:rsidR="00DF2196" w:rsidRPr="009670E6" w:rsidRDefault="009B1796" w:rsidP="00E25581">
    <w:pPr>
      <w:pStyle w:val="Rodap"/>
      <w:spacing w:after="240"/>
    </w:pPr>
    <w:hyperlink r:id="rId2" w:history="1">
      <w:r w:rsidR="00DF2196" w:rsidRPr="009670E6">
        <w:rPr>
          <w:rStyle w:val="Hyperlink"/>
        </w:rPr>
        <w:t>www.cvm.gov.br</w:t>
      </w:r>
    </w:hyperlink>
  </w:p>
  <w:p w14:paraId="30857652" w14:textId="03DD5E54" w:rsidR="00DF2196" w:rsidRPr="009B69B0" w:rsidRDefault="00DF2196" w:rsidP="00E25581">
    <w:pPr>
      <w:pStyle w:val="Rodap"/>
      <w:spacing w:after="240"/>
      <w:jc w:val="both"/>
      <w:rPr>
        <w:caps/>
      </w:rPr>
    </w:pPr>
    <w:r w:rsidRPr="009670E6">
      <w:rPr>
        <w:caps/>
      </w:rPr>
      <w:t xml:space="preserve">RESOLUÇÃO CVM Nº </w:t>
    </w:r>
    <w:sdt>
      <w:sdtPr>
        <w:rPr>
          <w:caps/>
        </w:rPr>
        <w:alias w:val="Título"/>
        <w:tag w:val=""/>
        <w:id w:val="1007090907"/>
        <w:placeholder>
          <w:docPart w:val="7FB88D5C01654EFDA99F7372564DEB41"/>
        </w:placeholder>
        <w:dataBinding w:prefixMappings="xmlns:ns0='http://purl.org/dc/elements/1.1/' xmlns:ns1='http://schemas.openxmlformats.org/package/2006/metadata/core-properties' " w:xpath="/ns1:coreProperties[1]/ns0:title[1]" w:storeItemID="{6C3C8BC8-F283-45AE-878A-BAB7291924A1}"/>
        <w:text/>
      </w:sdtPr>
      <w:sdtEndPr/>
      <w:sdtContent>
        <w:r w:rsidR="0061174D" w:rsidRPr="009670E6">
          <w:rPr>
            <w:caps/>
          </w:rPr>
          <w:t>71, de 22 de março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D3D1" w14:textId="77777777" w:rsidR="00DF2196" w:rsidRPr="00ED1FB4" w:rsidRDefault="00DF2196" w:rsidP="009B69B0">
    <w:pPr>
      <w:pStyle w:val="Rodap"/>
    </w:pPr>
    <w:r>
      <w:rPr>
        <w:lang w:val="en-US" w:eastAsia="en-US"/>
      </w:rPr>
      <w:drawing>
        <wp:inline distT="0" distB="0" distL="0" distR="0" wp14:anchorId="2EB31484" wp14:editId="3527CAA4">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5CE2CD38" w14:textId="77777777" w:rsidR="00DF2196" w:rsidRPr="004D68A2" w:rsidRDefault="00DF2196" w:rsidP="009B69B0">
    <w:pPr>
      <w:pStyle w:val="Rodap"/>
      <w:rPr>
        <w:b/>
        <w:sz w:val="24"/>
        <w:szCs w:val="24"/>
      </w:rPr>
    </w:pPr>
    <w:r w:rsidRPr="004D68A2">
      <w:rPr>
        <w:b/>
        <w:sz w:val="24"/>
        <w:szCs w:val="24"/>
      </w:rPr>
      <w:t>COMISSÃO DE VALORES MOBILIÁRIOS</w:t>
    </w:r>
  </w:p>
  <w:p w14:paraId="03E7C473" w14:textId="77777777" w:rsidR="00DF2196" w:rsidRPr="00ED1FB4" w:rsidRDefault="00DF2196" w:rsidP="009B69B0">
    <w:pPr>
      <w:pStyle w:val="Rodap"/>
    </w:pPr>
    <w:r w:rsidRPr="00ED1FB4">
      <w:t>Rua Sete de Setembro, 111/2-5º e 23-34º Andares, Centro, Rio de Janeiro/RJ – CEP: 20050-901 – Brasil - Tel.: (21) 3554-8686</w:t>
    </w:r>
  </w:p>
  <w:p w14:paraId="6D6820DA" w14:textId="77777777" w:rsidR="00DF2196" w:rsidRPr="004D68A2" w:rsidRDefault="00DF2196" w:rsidP="009B69B0">
    <w:pPr>
      <w:pStyle w:val="Rodap"/>
    </w:pPr>
    <w:r w:rsidRPr="004D68A2">
      <w:t>Rua Cincinato Braga, 340/2º, 3º e 4º Andares, Bela Vista, São Paulo/ SP – CEP: 01333-010 – Brasil - Tel.: (11) 2146-2000</w:t>
    </w:r>
  </w:p>
  <w:p w14:paraId="4EC14A6C" w14:textId="77777777" w:rsidR="00DF2196" w:rsidRPr="00ED1FB4" w:rsidRDefault="00DF2196" w:rsidP="009B69B0">
    <w:pPr>
      <w:pStyle w:val="Rodap"/>
    </w:pPr>
    <w:r w:rsidRPr="00ED1FB4">
      <w:t>SCN Q.02 – Bl. A – Ed. Corporate Financial Center, S.404/4º Andar, Brasília/DF – CEP: 70712-900 – Brasil -Tel.: (61) 3327-2030/2031</w:t>
    </w:r>
  </w:p>
  <w:p w14:paraId="339B9BA8" w14:textId="77777777" w:rsidR="004373B9" w:rsidRPr="004373B9" w:rsidRDefault="009B1796" w:rsidP="004373B9">
    <w:pPr>
      <w:pStyle w:val="Cabealho"/>
      <w:spacing w:after="360"/>
      <w:jc w:val="center"/>
      <w:rPr>
        <w:color w:val="008000"/>
      </w:rPr>
    </w:pPr>
    <w:hyperlink r:id="rId2" w:history="1">
      <w:r w:rsidR="004373B9" w:rsidRPr="004373B9">
        <w:rPr>
          <w:rStyle w:val="Hyperlink"/>
          <w:color w:val="008000"/>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6DB5"/>
    <w:multiLevelType w:val="hybridMultilevel"/>
    <w:tmpl w:val="B8D8EC5C"/>
    <w:lvl w:ilvl="0" w:tplc="28F81BA0">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76D236E"/>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2" w15:restartNumberingAfterBreak="0">
    <w:nsid w:val="0891639C"/>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A661511"/>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AC1CD2"/>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B503C8C"/>
    <w:multiLevelType w:val="hybridMultilevel"/>
    <w:tmpl w:val="2F486582"/>
    <w:lvl w:ilvl="0" w:tplc="931AF540">
      <w:start w:val="4"/>
      <w:numFmt w:val="lowerRoman"/>
      <w:lvlText w:val="(%1)"/>
      <w:lvlJc w:val="center"/>
      <w:pPr>
        <w:ind w:left="18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6B184B"/>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CC94022"/>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0E754CFF"/>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EF504D6"/>
    <w:multiLevelType w:val="hybridMultilevel"/>
    <w:tmpl w:val="83FE44B6"/>
    <w:lvl w:ilvl="0" w:tplc="C3949516">
      <w:start w:val="1"/>
      <w:numFmt w:val="lowerRoman"/>
      <w:lvlText w:val="(%1)"/>
      <w:lvlJc w:val="right"/>
      <w:pPr>
        <w:tabs>
          <w:tab w:val="num" w:pos="2160"/>
        </w:tabs>
        <w:ind w:left="2160" w:hanging="18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E81575"/>
    <w:multiLevelType w:val="hybridMultilevel"/>
    <w:tmpl w:val="A1BE9D4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ED5A33"/>
    <w:multiLevelType w:val="hybridMultilevel"/>
    <w:tmpl w:val="819A8D16"/>
    <w:lvl w:ilvl="0" w:tplc="C3949516">
      <w:start w:val="1"/>
      <w:numFmt w:val="lowerRoman"/>
      <w:lvlText w:val="(%1)"/>
      <w:lvlJc w:val="right"/>
      <w:pPr>
        <w:tabs>
          <w:tab w:val="num" w:pos="2160"/>
        </w:tabs>
        <w:ind w:left="2160" w:hanging="18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FB778C"/>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26F631F"/>
    <w:multiLevelType w:val="hybridMultilevel"/>
    <w:tmpl w:val="5A44583C"/>
    <w:lvl w:ilvl="0" w:tplc="5356830E">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64453FC"/>
    <w:multiLevelType w:val="hybridMultilevel"/>
    <w:tmpl w:val="D0387518"/>
    <w:lvl w:ilvl="0" w:tplc="A09E6FAA">
      <w:start w:val="1"/>
      <w:numFmt w:val="lowerRoman"/>
      <w:lvlText w:val="(%1) "/>
      <w:lvlJc w:val="center"/>
      <w:pPr>
        <w:tabs>
          <w:tab w:val="num" w:pos="1800"/>
        </w:tabs>
        <w:ind w:left="1800" w:hanging="360"/>
      </w:pPr>
      <w:rPr>
        <w:rFonts w:hint="default"/>
        <w:strike w:val="0"/>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5" w15:restartNumberingAfterBreak="0">
    <w:nsid w:val="16B4382E"/>
    <w:multiLevelType w:val="hybridMultilevel"/>
    <w:tmpl w:val="169224CA"/>
    <w:lvl w:ilvl="0" w:tplc="960486D6">
      <w:start w:val="1"/>
      <w:numFmt w:val="lowerRoman"/>
      <w:lvlText w:val="(%1) "/>
      <w:lvlJc w:val="center"/>
      <w:pPr>
        <w:tabs>
          <w:tab w:val="num" w:pos="1800"/>
        </w:tabs>
        <w:ind w:left="18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16" w15:restartNumberingAfterBreak="0">
    <w:nsid w:val="1A0A2D09"/>
    <w:multiLevelType w:val="hybridMultilevel"/>
    <w:tmpl w:val="32FEBBDC"/>
    <w:lvl w:ilvl="0" w:tplc="7D56CF66">
      <w:start w:val="1"/>
      <w:numFmt w:val="lowerLetter"/>
      <w:lvlText w:val="(%1)"/>
      <w:lvlJc w:val="left"/>
      <w:pPr>
        <w:tabs>
          <w:tab w:val="num" w:pos="1070"/>
        </w:tabs>
        <w:ind w:left="1070" w:hanging="360"/>
      </w:pPr>
      <w:rPr>
        <w:rFonts w:ascii="Times New Roman" w:hAnsi="Times New Roman" w:cs="Times New Roman" w:hint="default"/>
        <w:b w:val="0"/>
        <w:i w:val="0"/>
        <w:sz w:val="24"/>
        <w:szCs w:val="24"/>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BFD638C"/>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9" w15:restartNumberingAfterBreak="0">
    <w:nsid w:val="1E100B43"/>
    <w:multiLevelType w:val="hybridMultilevel"/>
    <w:tmpl w:val="C69CFB0A"/>
    <w:lvl w:ilvl="0" w:tplc="4C445C4E">
      <w:start w:val="1"/>
      <w:numFmt w:val="lowerRoman"/>
      <w:lvlText w:val="(%1)"/>
      <w:lvlJc w:val="right"/>
      <w:pPr>
        <w:tabs>
          <w:tab w:val="num" w:pos="2160"/>
        </w:tabs>
        <w:ind w:left="2160" w:hanging="180"/>
      </w:pPr>
      <w:rPr>
        <w:rFonts w:hint="default"/>
        <w:b w:val="0"/>
        <w:i w:val="0"/>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69480C"/>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1F194BA8"/>
    <w:multiLevelType w:val="hybridMultilevel"/>
    <w:tmpl w:val="83FE44B6"/>
    <w:lvl w:ilvl="0" w:tplc="C3949516">
      <w:start w:val="1"/>
      <w:numFmt w:val="lowerRoman"/>
      <w:lvlText w:val="(%1)"/>
      <w:lvlJc w:val="right"/>
      <w:pPr>
        <w:tabs>
          <w:tab w:val="num" w:pos="1598"/>
        </w:tabs>
        <w:ind w:left="1598" w:hanging="180"/>
      </w:pPr>
      <w:rPr>
        <w:rFonts w:hint="default"/>
        <w:b w:val="0"/>
        <w:i w:val="0"/>
      </w:rPr>
    </w:lvl>
    <w:lvl w:ilvl="1" w:tplc="04160019" w:tentative="1">
      <w:start w:val="1"/>
      <w:numFmt w:val="lowerLetter"/>
      <w:lvlText w:val="%2."/>
      <w:lvlJc w:val="left"/>
      <w:pPr>
        <w:ind w:left="878" w:hanging="360"/>
      </w:pPr>
    </w:lvl>
    <w:lvl w:ilvl="2" w:tplc="0416001B" w:tentative="1">
      <w:start w:val="1"/>
      <w:numFmt w:val="lowerRoman"/>
      <w:lvlText w:val="%3."/>
      <w:lvlJc w:val="right"/>
      <w:pPr>
        <w:ind w:left="1598" w:hanging="180"/>
      </w:pPr>
    </w:lvl>
    <w:lvl w:ilvl="3" w:tplc="0416000F" w:tentative="1">
      <w:start w:val="1"/>
      <w:numFmt w:val="decimal"/>
      <w:lvlText w:val="%4."/>
      <w:lvlJc w:val="left"/>
      <w:pPr>
        <w:ind w:left="2318" w:hanging="360"/>
      </w:pPr>
    </w:lvl>
    <w:lvl w:ilvl="4" w:tplc="04160019" w:tentative="1">
      <w:start w:val="1"/>
      <w:numFmt w:val="lowerLetter"/>
      <w:lvlText w:val="%5."/>
      <w:lvlJc w:val="left"/>
      <w:pPr>
        <w:ind w:left="3038" w:hanging="360"/>
      </w:pPr>
    </w:lvl>
    <w:lvl w:ilvl="5" w:tplc="0416001B" w:tentative="1">
      <w:start w:val="1"/>
      <w:numFmt w:val="lowerRoman"/>
      <w:lvlText w:val="%6."/>
      <w:lvlJc w:val="right"/>
      <w:pPr>
        <w:ind w:left="3758" w:hanging="180"/>
      </w:pPr>
    </w:lvl>
    <w:lvl w:ilvl="6" w:tplc="0416000F" w:tentative="1">
      <w:start w:val="1"/>
      <w:numFmt w:val="decimal"/>
      <w:lvlText w:val="%7."/>
      <w:lvlJc w:val="left"/>
      <w:pPr>
        <w:ind w:left="4478" w:hanging="360"/>
      </w:pPr>
    </w:lvl>
    <w:lvl w:ilvl="7" w:tplc="04160019" w:tentative="1">
      <w:start w:val="1"/>
      <w:numFmt w:val="lowerLetter"/>
      <w:lvlText w:val="%8."/>
      <w:lvlJc w:val="left"/>
      <w:pPr>
        <w:ind w:left="5198" w:hanging="360"/>
      </w:pPr>
    </w:lvl>
    <w:lvl w:ilvl="8" w:tplc="0416001B" w:tentative="1">
      <w:start w:val="1"/>
      <w:numFmt w:val="lowerRoman"/>
      <w:lvlText w:val="%9."/>
      <w:lvlJc w:val="right"/>
      <w:pPr>
        <w:ind w:left="5918" w:hanging="180"/>
      </w:pPr>
    </w:lvl>
  </w:abstractNum>
  <w:abstractNum w:abstractNumId="22" w15:restartNumberingAfterBreak="0">
    <w:nsid w:val="1FD30E8A"/>
    <w:multiLevelType w:val="hybridMultilevel"/>
    <w:tmpl w:val="10922F4E"/>
    <w:lvl w:ilvl="0" w:tplc="30FA375E">
      <w:start w:val="1"/>
      <w:numFmt w:val="lowerLetter"/>
      <w:lvlText w:val="(%1)"/>
      <w:lvlJc w:val="left"/>
      <w:pPr>
        <w:tabs>
          <w:tab w:val="num" w:pos="1070"/>
        </w:tabs>
        <w:ind w:left="1070" w:hanging="360"/>
      </w:pPr>
      <w:rPr>
        <w:rFonts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217821B7"/>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22B52C92"/>
    <w:multiLevelType w:val="hybridMultilevel"/>
    <w:tmpl w:val="83FE44B6"/>
    <w:lvl w:ilvl="0" w:tplc="C3949516">
      <w:start w:val="1"/>
      <w:numFmt w:val="lowerRoman"/>
      <w:lvlText w:val="(%1)"/>
      <w:lvlJc w:val="right"/>
      <w:pPr>
        <w:tabs>
          <w:tab w:val="num" w:pos="2160"/>
        </w:tabs>
        <w:ind w:left="2160" w:hanging="18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A4E2289"/>
    <w:multiLevelType w:val="hybridMultilevel"/>
    <w:tmpl w:val="83FE44B6"/>
    <w:lvl w:ilvl="0" w:tplc="C3949516">
      <w:start w:val="1"/>
      <w:numFmt w:val="lowerRoman"/>
      <w:lvlText w:val="(%1)"/>
      <w:lvlJc w:val="right"/>
      <w:pPr>
        <w:tabs>
          <w:tab w:val="num" w:pos="2160"/>
        </w:tabs>
        <w:ind w:left="2160" w:hanging="18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2B0D4115"/>
    <w:multiLevelType w:val="hybridMultilevel"/>
    <w:tmpl w:val="169224CA"/>
    <w:lvl w:ilvl="0" w:tplc="960486D6">
      <w:start w:val="1"/>
      <w:numFmt w:val="lowerRoman"/>
      <w:lvlText w:val="(%1) "/>
      <w:lvlJc w:val="center"/>
      <w:pPr>
        <w:tabs>
          <w:tab w:val="num" w:pos="1800"/>
        </w:tabs>
        <w:ind w:left="18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7" w15:restartNumberingAfterBreak="0">
    <w:nsid w:val="2C027637"/>
    <w:multiLevelType w:val="hybridMultilevel"/>
    <w:tmpl w:val="B3C65B88"/>
    <w:lvl w:ilvl="0" w:tplc="CDC0EB30">
      <w:start w:val="1"/>
      <w:numFmt w:val="lowerLetter"/>
      <w:lvlText w:val="(%1)"/>
      <w:lvlJc w:val="left"/>
      <w:pPr>
        <w:tabs>
          <w:tab w:val="num" w:pos="1070"/>
        </w:tabs>
        <w:ind w:left="1070" w:hanging="360"/>
      </w:pPr>
      <w:rPr>
        <w:rFonts w:hint="default"/>
        <w:b w:val="0"/>
        <w:i w:val="0"/>
        <w:strike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2C0D3790"/>
    <w:multiLevelType w:val="hybridMultilevel"/>
    <w:tmpl w:val="83FE44B6"/>
    <w:lvl w:ilvl="0" w:tplc="C3949516">
      <w:start w:val="1"/>
      <w:numFmt w:val="lowerRoman"/>
      <w:lvlText w:val="(%1)"/>
      <w:lvlJc w:val="right"/>
      <w:pPr>
        <w:tabs>
          <w:tab w:val="num" w:pos="2160"/>
        </w:tabs>
        <w:ind w:left="2160" w:hanging="18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2C945AA0"/>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30" w15:restartNumberingAfterBreak="0">
    <w:nsid w:val="2DA25706"/>
    <w:multiLevelType w:val="hybridMultilevel"/>
    <w:tmpl w:val="D99EFAA2"/>
    <w:lvl w:ilvl="0" w:tplc="AB88EE84">
      <w:start w:val="1"/>
      <w:numFmt w:val="lowerLetter"/>
      <w:lvlText w:val="(%1)"/>
      <w:lvlJc w:val="left"/>
      <w:pPr>
        <w:tabs>
          <w:tab w:val="num" w:pos="1070"/>
        </w:tabs>
        <w:ind w:left="1070" w:hanging="360"/>
      </w:pPr>
      <w:rPr>
        <w:b w:val="0"/>
        <w:i w:val="0"/>
        <w:sz w:val="22"/>
        <w:szCs w:val="22"/>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2DA42FAA"/>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318A4061"/>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36180472"/>
    <w:multiLevelType w:val="hybridMultilevel"/>
    <w:tmpl w:val="83FE44B6"/>
    <w:lvl w:ilvl="0" w:tplc="C3949516">
      <w:start w:val="1"/>
      <w:numFmt w:val="lowerRoman"/>
      <w:lvlText w:val="(%1)"/>
      <w:lvlJc w:val="right"/>
      <w:pPr>
        <w:tabs>
          <w:tab w:val="num" w:pos="1598"/>
        </w:tabs>
        <w:ind w:left="1598" w:hanging="180"/>
      </w:pPr>
      <w:rPr>
        <w:rFonts w:hint="default"/>
        <w:b w:val="0"/>
        <w:i w:val="0"/>
      </w:rPr>
    </w:lvl>
    <w:lvl w:ilvl="1" w:tplc="04160019" w:tentative="1">
      <w:start w:val="1"/>
      <w:numFmt w:val="lowerLetter"/>
      <w:lvlText w:val="%2."/>
      <w:lvlJc w:val="left"/>
      <w:pPr>
        <w:ind w:left="878" w:hanging="360"/>
      </w:pPr>
    </w:lvl>
    <w:lvl w:ilvl="2" w:tplc="0416001B" w:tentative="1">
      <w:start w:val="1"/>
      <w:numFmt w:val="lowerRoman"/>
      <w:lvlText w:val="%3."/>
      <w:lvlJc w:val="right"/>
      <w:pPr>
        <w:ind w:left="1598" w:hanging="180"/>
      </w:pPr>
    </w:lvl>
    <w:lvl w:ilvl="3" w:tplc="0416000F" w:tentative="1">
      <w:start w:val="1"/>
      <w:numFmt w:val="decimal"/>
      <w:lvlText w:val="%4."/>
      <w:lvlJc w:val="left"/>
      <w:pPr>
        <w:ind w:left="2318" w:hanging="360"/>
      </w:pPr>
    </w:lvl>
    <w:lvl w:ilvl="4" w:tplc="04160019" w:tentative="1">
      <w:start w:val="1"/>
      <w:numFmt w:val="lowerLetter"/>
      <w:lvlText w:val="%5."/>
      <w:lvlJc w:val="left"/>
      <w:pPr>
        <w:ind w:left="3038" w:hanging="360"/>
      </w:pPr>
    </w:lvl>
    <w:lvl w:ilvl="5" w:tplc="0416001B" w:tentative="1">
      <w:start w:val="1"/>
      <w:numFmt w:val="lowerRoman"/>
      <w:lvlText w:val="%6."/>
      <w:lvlJc w:val="right"/>
      <w:pPr>
        <w:ind w:left="3758" w:hanging="180"/>
      </w:pPr>
    </w:lvl>
    <w:lvl w:ilvl="6" w:tplc="0416000F" w:tentative="1">
      <w:start w:val="1"/>
      <w:numFmt w:val="decimal"/>
      <w:lvlText w:val="%7."/>
      <w:lvlJc w:val="left"/>
      <w:pPr>
        <w:ind w:left="4478" w:hanging="360"/>
      </w:pPr>
    </w:lvl>
    <w:lvl w:ilvl="7" w:tplc="04160019" w:tentative="1">
      <w:start w:val="1"/>
      <w:numFmt w:val="lowerLetter"/>
      <w:lvlText w:val="%8."/>
      <w:lvlJc w:val="left"/>
      <w:pPr>
        <w:ind w:left="5198" w:hanging="360"/>
      </w:pPr>
    </w:lvl>
    <w:lvl w:ilvl="8" w:tplc="0416001B" w:tentative="1">
      <w:start w:val="1"/>
      <w:numFmt w:val="lowerRoman"/>
      <w:lvlText w:val="%9."/>
      <w:lvlJc w:val="right"/>
      <w:pPr>
        <w:ind w:left="5918" w:hanging="180"/>
      </w:pPr>
    </w:lvl>
  </w:abstractNum>
  <w:abstractNum w:abstractNumId="34" w15:restartNumberingAfterBreak="0">
    <w:nsid w:val="37A26F34"/>
    <w:multiLevelType w:val="hybridMultilevel"/>
    <w:tmpl w:val="5EF07F22"/>
    <w:lvl w:ilvl="0" w:tplc="C2361ED2">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38AB4343"/>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36" w15:restartNumberingAfterBreak="0">
    <w:nsid w:val="39373309"/>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3E160775"/>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3F155825"/>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15:restartNumberingAfterBreak="0">
    <w:nsid w:val="45CC6F8A"/>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40" w15:restartNumberingAfterBreak="0">
    <w:nsid w:val="49730F4D"/>
    <w:multiLevelType w:val="hybridMultilevel"/>
    <w:tmpl w:val="169224CA"/>
    <w:lvl w:ilvl="0" w:tplc="960486D6">
      <w:start w:val="1"/>
      <w:numFmt w:val="lowerRoman"/>
      <w:lvlText w:val="(%1) "/>
      <w:lvlJc w:val="center"/>
      <w:pPr>
        <w:tabs>
          <w:tab w:val="num" w:pos="1800"/>
        </w:tabs>
        <w:ind w:left="18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41" w15:restartNumberingAfterBreak="0">
    <w:nsid w:val="4AB411A3"/>
    <w:multiLevelType w:val="hybridMultilevel"/>
    <w:tmpl w:val="54CEC53A"/>
    <w:lvl w:ilvl="0" w:tplc="B5CAAA82">
      <w:start w:val="1"/>
      <w:numFmt w:val="lowerLetter"/>
      <w:lvlText w:val="(%1)"/>
      <w:lvlJc w:val="left"/>
      <w:pPr>
        <w:tabs>
          <w:tab w:val="num" w:pos="1070"/>
        </w:tabs>
        <w:ind w:left="1070" w:hanging="360"/>
      </w:pPr>
      <w:rPr>
        <w:rFonts w:hint="default"/>
        <w:b w:val="0"/>
        <w:i w:val="0"/>
        <w:strike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15:restartNumberingAfterBreak="0">
    <w:nsid w:val="4D55757D"/>
    <w:multiLevelType w:val="hybridMultilevel"/>
    <w:tmpl w:val="169224CA"/>
    <w:lvl w:ilvl="0" w:tplc="960486D6">
      <w:start w:val="1"/>
      <w:numFmt w:val="lowerRoman"/>
      <w:lvlText w:val="(%1) "/>
      <w:lvlJc w:val="center"/>
      <w:pPr>
        <w:tabs>
          <w:tab w:val="num" w:pos="1800"/>
        </w:tabs>
        <w:ind w:left="18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43" w15:restartNumberingAfterBreak="0">
    <w:nsid w:val="54062558"/>
    <w:multiLevelType w:val="hybridMultilevel"/>
    <w:tmpl w:val="83FE44B6"/>
    <w:lvl w:ilvl="0" w:tplc="C3949516">
      <w:start w:val="1"/>
      <w:numFmt w:val="lowerRoman"/>
      <w:lvlText w:val="(%1)"/>
      <w:lvlJc w:val="right"/>
      <w:pPr>
        <w:tabs>
          <w:tab w:val="num" w:pos="1598"/>
        </w:tabs>
        <w:ind w:left="1598" w:hanging="180"/>
      </w:pPr>
      <w:rPr>
        <w:rFonts w:hint="default"/>
        <w:b w:val="0"/>
        <w:i w:val="0"/>
      </w:rPr>
    </w:lvl>
    <w:lvl w:ilvl="1" w:tplc="04160019">
      <w:start w:val="1"/>
      <w:numFmt w:val="lowerLetter"/>
      <w:lvlText w:val="%2."/>
      <w:lvlJc w:val="left"/>
      <w:pPr>
        <w:ind w:left="878" w:hanging="360"/>
      </w:pPr>
    </w:lvl>
    <w:lvl w:ilvl="2" w:tplc="0416001B" w:tentative="1">
      <w:start w:val="1"/>
      <w:numFmt w:val="lowerRoman"/>
      <w:lvlText w:val="%3."/>
      <w:lvlJc w:val="right"/>
      <w:pPr>
        <w:ind w:left="1598" w:hanging="180"/>
      </w:pPr>
    </w:lvl>
    <w:lvl w:ilvl="3" w:tplc="0416000F" w:tentative="1">
      <w:start w:val="1"/>
      <w:numFmt w:val="decimal"/>
      <w:lvlText w:val="%4."/>
      <w:lvlJc w:val="left"/>
      <w:pPr>
        <w:ind w:left="2318" w:hanging="360"/>
      </w:pPr>
    </w:lvl>
    <w:lvl w:ilvl="4" w:tplc="04160019" w:tentative="1">
      <w:start w:val="1"/>
      <w:numFmt w:val="lowerLetter"/>
      <w:lvlText w:val="%5."/>
      <w:lvlJc w:val="left"/>
      <w:pPr>
        <w:ind w:left="3038" w:hanging="360"/>
      </w:pPr>
    </w:lvl>
    <w:lvl w:ilvl="5" w:tplc="0416001B" w:tentative="1">
      <w:start w:val="1"/>
      <w:numFmt w:val="lowerRoman"/>
      <w:lvlText w:val="%6."/>
      <w:lvlJc w:val="right"/>
      <w:pPr>
        <w:ind w:left="3758" w:hanging="180"/>
      </w:pPr>
    </w:lvl>
    <w:lvl w:ilvl="6" w:tplc="0416000F" w:tentative="1">
      <w:start w:val="1"/>
      <w:numFmt w:val="decimal"/>
      <w:lvlText w:val="%7."/>
      <w:lvlJc w:val="left"/>
      <w:pPr>
        <w:ind w:left="4478" w:hanging="360"/>
      </w:pPr>
    </w:lvl>
    <w:lvl w:ilvl="7" w:tplc="04160019" w:tentative="1">
      <w:start w:val="1"/>
      <w:numFmt w:val="lowerLetter"/>
      <w:lvlText w:val="%8."/>
      <w:lvlJc w:val="left"/>
      <w:pPr>
        <w:ind w:left="5198" w:hanging="360"/>
      </w:pPr>
    </w:lvl>
    <w:lvl w:ilvl="8" w:tplc="0416001B" w:tentative="1">
      <w:start w:val="1"/>
      <w:numFmt w:val="lowerRoman"/>
      <w:lvlText w:val="%9."/>
      <w:lvlJc w:val="right"/>
      <w:pPr>
        <w:ind w:left="5918" w:hanging="180"/>
      </w:pPr>
    </w:lvl>
  </w:abstractNum>
  <w:abstractNum w:abstractNumId="44" w15:restartNumberingAfterBreak="0">
    <w:nsid w:val="55C0651D"/>
    <w:multiLevelType w:val="hybridMultilevel"/>
    <w:tmpl w:val="30300156"/>
    <w:lvl w:ilvl="0" w:tplc="BDBEBC5E">
      <w:start w:val="1"/>
      <w:numFmt w:val="lowerRoman"/>
      <w:lvlText w:val="(%1) "/>
      <w:lvlJc w:val="center"/>
      <w:pPr>
        <w:tabs>
          <w:tab w:val="num" w:pos="1964"/>
        </w:tabs>
        <w:ind w:left="1964" w:hanging="360"/>
      </w:pPr>
      <w:rPr>
        <w:strike w:val="0"/>
        <w:dstrike w:val="0"/>
        <w:color w:val="auto"/>
        <w:u w:val="none"/>
        <w:effect w:val="none"/>
        <w:vertAlign w:val="baseline"/>
      </w:rPr>
    </w:lvl>
    <w:lvl w:ilvl="1" w:tplc="04160019">
      <w:start w:val="1"/>
      <w:numFmt w:val="decimal"/>
      <w:lvlText w:val="%2."/>
      <w:lvlJc w:val="left"/>
      <w:pPr>
        <w:tabs>
          <w:tab w:val="num" w:pos="1604"/>
        </w:tabs>
        <w:ind w:left="1604" w:hanging="360"/>
      </w:pPr>
    </w:lvl>
    <w:lvl w:ilvl="2" w:tplc="0416001B">
      <w:start w:val="1"/>
      <w:numFmt w:val="decimal"/>
      <w:lvlText w:val="%3."/>
      <w:lvlJc w:val="left"/>
      <w:pPr>
        <w:tabs>
          <w:tab w:val="num" w:pos="2324"/>
        </w:tabs>
        <w:ind w:left="2324" w:hanging="360"/>
      </w:pPr>
    </w:lvl>
    <w:lvl w:ilvl="3" w:tplc="0416000F">
      <w:start w:val="1"/>
      <w:numFmt w:val="decimal"/>
      <w:lvlText w:val="%4."/>
      <w:lvlJc w:val="left"/>
      <w:pPr>
        <w:tabs>
          <w:tab w:val="num" w:pos="3044"/>
        </w:tabs>
        <w:ind w:left="3044" w:hanging="360"/>
      </w:pPr>
    </w:lvl>
    <w:lvl w:ilvl="4" w:tplc="04160019">
      <w:start w:val="1"/>
      <w:numFmt w:val="decimal"/>
      <w:lvlText w:val="%5."/>
      <w:lvlJc w:val="left"/>
      <w:pPr>
        <w:tabs>
          <w:tab w:val="num" w:pos="3764"/>
        </w:tabs>
        <w:ind w:left="3764" w:hanging="360"/>
      </w:pPr>
    </w:lvl>
    <w:lvl w:ilvl="5" w:tplc="0416001B">
      <w:start w:val="1"/>
      <w:numFmt w:val="decimal"/>
      <w:lvlText w:val="%6."/>
      <w:lvlJc w:val="left"/>
      <w:pPr>
        <w:tabs>
          <w:tab w:val="num" w:pos="4484"/>
        </w:tabs>
        <w:ind w:left="4484" w:hanging="360"/>
      </w:pPr>
    </w:lvl>
    <w:lvl w:ilvl="6" w:tplc="0416000F">
      <w:start w:val="1"/>
      <w:numFmt w:val="decimal"/>
      <w:lvlText w:val="%7."/>
      <w:lvlJc w:val="left"/>
      <w:pPr>
        <w:tabs>
          <w:tab w:val="num" w:pos="5204"/>
        </w:tabs>
        <w:ind w:left="5204" w:hanging="360"/>
      </w:pPr>
    </w:lvl>
    <w:lvl w:ilvl="7" w:tplc="04160019">
      <w:start w:val="1"/>
      <w:numFmt w:val="decimal"/>
      <w:lvlText w:val="%8."/>
      <w:lvlJc w:val="left"/>
      <w:pPr>
        <w:tabs>
          <w:tab w:val="num" w:pos="5924"/>
        </w:tabs>
        <w:ind w:left="5924" w:hanging="360"/>
      </w:pPr>
    </w:lvl>
    <w:lvl w:ilvl="8" w:tplc="0416001B">
      <w:start w:val="1"/>
      <w:numFmt w:val="decimal"/>
      <w:lvlText w:val="%9."/>
      <w:lvlJc w:val="left"/>
      <w:pPr>
        <w:tabs>
          <w:tab w:val="num" w:pos="6644"/>
        </w:tabs>
        <w:ind w:left="6644" w:hanging="360"/>
      </w:pPr>
    </w:lvl>
  </w:abstractNum>
  <w:abstractNum w:abstractNumId="45" w15:restartNumberingAfterBreak="0">
    <w:nsid w:val="566C260F"/>
    <w:multiLevelType w:val="multilevel"/>
    <w:tmpl w:val="67269824"/>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abstractNum w:abstractNumId="46" w15:restartNumberingAfterBreak="0">
    <w:nsid w:val="56AF4776"/>
    <w:multiLevelType w:val="hybridMultilevel"/>
    <w:tmpl w:val="86E8FFC0"/>
    <w:lvl w:ilvl="0" w:tplc="10C6C4C8">
      <w:start w:val="1"/>
      <w:numFmt w:val="lowerLetter"/>
      <w:lvlText w:val="(%1)"/>
      <w:lvlJc w:val="left"/>
      <w:pPr>
        <w:tabs>
          <w:tab w:val="num" w:pos="1070"/>
        </w:tabs>
        <w:ind w:left="1070" w:hanging="360"/>
      </w:pPr>
      <w:rPr>
        <w:rFonts w:hint="default"/>
        <w:b w:val="0"/>
        <w:i w:val="0"/>
        <w:strike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57B804E2"/>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8" w15:restartNumberingAfterBreak="0">
    <w:nsid w:val="580161DD"/>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49" w15:restartNumberingAfterBreak="0">
    <w:nsid w:val="5A2A36E0"/>
    <w:multiLevelType w:val="hybridMultilevel"/>
    <w:tmpl w:val="83FE44B6"/>
    <w:lvl w:ilvl="0" w:tplc="C3949516">
      <w:start w:val="1"/>
      <w:numFmt w:val="lowerRoman"/>
      <w:lvlText w:val="(%1)"/>
      <w:lvlJc w:val="right"/>
      <w:pPr>
        <w:tabs>
          <w:tab w:val="num" w:pos="1598"/>
        </w:tabs>
        <w:ind w:left="1598" w:hanging="180"/>
      </w:pPr>
      <w:rPr>
        <w:rFonts w:hint="default"/>
        <w:b w:val="0"/>
        <w:i w:val="0"/>
      </w:rPr>
    </w:lvl>
    <w:lvl w:ilvl="1" w:tplc="04160019" w:tentative="1">
      <w:start w:val="1"/>
      <w:numFmt w:val="lowerLetter"/>
      <w:lvlText w:val="%2."/>
      <w:lvlJc w:val="left"/>
      <w:pPr>
        <w:ind w:left="878" w:hanging="360"/>
      </w:pPr>
    </w:lvl>
    <w:lvl w:ilvl="2" w:tplc="0416001B" w:tentative="1">
      <w:start w:val="1"/>
      <w:numFmt w:val="lowerRoman"/>
      <w:lvlText w:val="%3."/>
      <w:lvlJc w:val="right"/>
      <w:pPr>
        <w:ind w:left="1598" w:hanging="180"/>
      </w:pPr>
    </w:lvl>
    <w:lvl w:ilvl="3" w:tplc="0416000F" w:tentative="1">
      <w:start w:val="1"/>
      <w:numFmt w:val="decimal"/>
      <w:lvlText w:val="%4."/>
      <w:lvlJc w:val="left"/>
      <w:pPr>
        <w:ind w:left="2318" w:hanging="360"/>
      </w:pPr>
    </w:lvl>
    <w:lvl w:ilvl="4" w:tplc="04160019" w:tentative="1">
      <w:start w:val="1"/>
      <w:numFmt w:val="lowerLetter"/>
      <w:lvlText w:val="%5."/>
      <w:lvlJc w:val="left"/>
      <w:pPr>
        <w:ind w:left="3038" w:hanging="360"/>
      </w:pPr>
    </w:lvl>
    <w:lvl w:ilvl="5" w:tplc="0416001B" w:tentative="1">
      <w:start w:val="1"/>
      <w:numFmt w:val="lowerRoman"/>
      <w:lvlText w:val="%6."/>
      <w:lvlJc w:val="right"/>
      <w:pPr>
        <w:ind w:left="3758" w:hanging="180"/>
      </w:pPr>
    </w:lvl>
    <w:lvl w:ilvl="6" w:tplc="0416000F" w:tentative="1">
      <w:start w:val="1"/>
      <w:numFmt w:val="decimal"/>
      <w:lvlText w:val="%7."/>
      <w:lvlJc w:val="left"/>
      <w:pPr>
        <w:ind w:left="4478" w:hanging="360"/>
      </w:pPr>
    </w:lvl>
    <w:lvl w:ilvl="7" w:tplc="04160019" w:tentative="1">
      <w:start w:val="1"/>
      <w:numFmt w:val="lowerLetter"/>
      <w:lvlText w:val="%8."/>
      <w:lvlJc w:val="left"/>
      <w:pPr>
        <w:ind w:left="5198" w:hanging="360"/>
      </w:pPr>
    </w:lvl>
    <w:lvl w:ilvl="8" w:tplc="0416001B" w:tentative="1">
      <w:start w:val="1"/>
      <w:numFmt w:val="lowerRoman"/>
      <w:lvlText w:val="%9."/>
      <w:lvlJc w:val="right"/>
      <w:pPr>
        <w:ind w:left="5918" w:hanging="180"/>
      </w:pPr>
    </w:lvl>
  </w:abstractNum>
  <w:abstractNum w:abstractNumId="50" w15:restartNumberingAfterBreak="0">
    <w:nsid w:val="5D985A21"/>
    <w:multiLevelType w:val="hybridMultilevel"/>
    <w:tmpl w:val="C5641016"/>
    <w:lvl w:ilvl="0" w:tplc="56F4699A">
      <w:start w:val="4"/>
      <w:numFmt w:val="lowerLetter"/>
      <w:lvlText w:val="(%1)"/>
      <w:lvlJc w:val="left"/>
      <w:pPr>
        <w:ind w:left="143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15:restartNumberingAfterBreak="0">
    <w:nsid w:val="6512300C"/>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52" w15:restartNumberingAfterBreak="0">
    <w:nsid w:val="6700449B"/>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3" w15:restartNumberingAfterBreak="0">
    <w:nsid w:val="6A994E15"/>
    <w:multiLevelType w:val="hybridMultilevel"/>
    <w:tmpl w:val="6D0CF25C"/>
    <w:lvl w:ilvl="0" w:tplc="4E0440E4">
      <w:start w:val="1"/>
      <w:numFmt w:val="lowerLetter"/>
      <w:lvlText w:val="(%1)"/>
      <w:lvlJc w:val="left"/>
      <w:pPr>
        <w:tabs>
          <w:tab w:val="num" w:pos="1070"/>
        </w:tabs>
        <w:ind w:left="1070" w:hanging="36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15:restartNumberingAfterBreak="0">
    <w:nsid w:val="6CD87853"/>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5" w15:restartNumberingAfterBreak="0">
    <w:nsid w:val="6DB636B2"/>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6" w15:restartNumberingAfterBreak="0">
    <w:nsid w:val="705B251F"/>
    <w:multiLevelType w:val="hybridMultilevel"/>
    <w:tmpl w:val="F64A29B8"/>
    <w:lvl w:ilvl="0" w:tplc="862E2C22">
      <w:start w:val="1"/>
      <w:numFmt w:val="lowerLetter"/>
      <w:lvlText w:val="(%1)"/>
      <w:lvlJc w:val="left"/>
      <w:pPr>
        <w:tabs>
          <w:tab w:val="num" w:pos="1070"/>
        </w:tabs>
        <w:ind w:left="107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7" w15:restartNumberingAfterBreak="0">
    <w:nsid w:val="722377EC"/>
    <w:multiLevelType w:val="hybridMultilevel"/>
    <w:tmpl w:val="A028A38C"/>
    <w:lvl w:ilvl="0" w:tplc="862E2C22">
      <w:start w:val="1"/>
      <w:numFmt w:val="lowerLetter"/>
      <w:lvlText w:val="(%1)"/>
      <w:lvlJc w:val="left"/>
      <w:pPr>
        <w:tabs>
          <w:tab w:val="num" w:pos="1080"/>
        </w:tabs>
        <w:ind w:left="1080" w:hanging="360"/>
      </w:pPr>
      <w:rPr>
        <w:rFonts w:hint="default"/>
        <w:b w:val="0"/>
        <w:i w:val="0"/>
      </w:rPr>
    </w:lvl>
    <w:lvl w:ilvl="1" w:tplc="04160019">
      <w:start w:val="1"/>
      <w:numFmt w:val="lowerLetter"/>
      <w:lvlText w:val="%2."/>
      <w:lvlJc w:val="left"/>
      <w:pPr>
        <w:tabs>
          <w:tab w:val="num" w:pos="-945"/>
        </w:tabs>
        <w:ind w:left="-945" w:hanging="360"/>
      </w:pPr>
    </w:lvl>
    <w:lvl w:ilvl="2" w:tplc="0416001B" w:tentative="1">
      <w:start w:val="1"/>
      <w:numFmt w:val="lowerRoman"/>
      <w:lvlText w:val="%3."/>
      <w:lvlJc w:val="right"/>
      <w:pPr>
        <w:tabs>
          <w:tab w:val="num" w:pos="-225"/>
        </w:tabs>
        <w:ind w:left="-225" w:hanging="180"/>
      </w:pPr>
    </w:lvl>
    <w:lvl w:ilvl="3" w:tplc="0416000F" w:tentative="1">
      <w:start w:val="1"/>
      <w:numFmt w:val="decimal"/>
      <w:lvlText w:val="%4."/>
      <w:lvlJc w:val="left"/>
      <w:pPr>
        <w:tabs>
          <w:tab w:val="num" w:pos="495"/>
        </w:tabs>
        <w:ind w:left="495" w:hanging="360"/>
      </w:pPr>
    </w:lvl>
    <w:lvl w:ilvl="4" w:tplc="04160019" w:tentative="1">
      <w:start w:val="1"/>
      <w:numFmt w:val="lowerLetter"/>
      <w:lvlText w:val="%5."/>
      <w:lvlJc w:val="left"/>
      <w:pPr>
        <w:tabs>
          <w:tab w:val="num" w:pos="1215"/>
        </w:tabs>
        <w:ind w:left="1215" w:hanging="360"/>
      </w:pPr>
    </w:lvl>
    <w:lvl w:ilvl="5" w:tplc="0416001B" w:tentative="1">
      <w:start w:val="1"/>
      <w:numFmt w:val="lowerRoman"/>
      <w:lvlText w:val="%6."/>
      <w:lvlJc w:val="right"/>
      <w:pPr>
        <w:tabs>
          <w:tab w:val="num" w:pos="1935"/>
        </w:tabs>
        <w:ind w:left="1935" w:hanging="180"/>
      </w:pPr>
    </w:lvl>
    <w:lvl w:ilvl="6" w:tplc="0416000F" w:tentative="1">
      <w:start w:val="1"/>
      <w:numFmt w:val="decimal"/>
      <w:lvlText w:val="%7."/>
      <w:lvlJc w:val="left"/>
      <w:pPr>
        <w:tabs>
          <w:tab w:val="num" w:pos="2655"/>
        </w:tabs>
        <w:ind w:left="2655" w:hanging="360"/>
      </w:pPr>
    </w:lvl>
    <w:lvl w:ilvl="7" w:tplc="04160019" w:tentative="1">
      <w:start w:val="1"/>
      <w:numFmt w:val="lowerLetter"/>
      <w:lvlText w:val="%8."/>
      <w:lvlJc w:val="left"/>
      <w:pPr>
        <w:tabs>
          <w:tab w:val="num" w:pos="3375"/>
        </w:tabs>
        <w:ind w:left="3375" w:hanging="360"/>
      </w:pPr>
    </w:lvl>
    <w:lvl w:ilvl="8" w:tplc="0416001B" w:tentative="1">
      <w:start w:val="1"/>
      <w:numFmt w:val="lowerRoman"/>
      <w:lvlText w:val="%9."/>
      <w:lvlJc w:val="right"/>
      <w:pPr>
        <w:tabs>
          <w:tab w:val="num" w:pos="4095"/>
        </w:tabs>
        <w:ind w:left="4095" w:hanging="180"/>
      </w:pPr>
    </w:lvl>
  </w:abstractNum>
  <w:abstractNum w:abstractNumId="58" w15:restartNumberingAfterBreak="0">
    <w:nsid w:val="75D82F71"/>
    <w:multiLevelType w:val="hybridMultilevel"/>
    <w:tmpl w:val="169224CA"/>
    <w:lvl w:ilvl="0" w:tplc="960486D6">
      <w:start w:val="1"/>
      <w:numFmt w:val="lowerRoman"/>
      <w:lvlText w:val="(%1) "/>
      <w:lvlJc w:val="center"/>
      <w:pPr>
        <w:tabs>
          <w:tab w:val="num" w:pos="1800"/>
        </w:tabs>
        <w:ind w:left="18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59" w15:restartNumberingAfterBreak="0">
    <w:nsid w:val="75F34A68"/>
    <w:multiLevelType w:val="hybridMultilevel"/>
    <w:tmpl w:val="3C6C46A0"/>
    <w:lvl w:ilvl="0" w:tplc="862E2C22">
      <w:start w:val="1"/>
      <w:numFmt w:val="lowerLetter"/>
      <w:lvlText w:val="(%1)"/>
      <w:lvlJc w:val="left"/>
      <w:pPr>
        <w:tabs>
          <w:tab w:val="num" w:pos="1070"/>
        </w:tabs>
        <w:ind w:left="1070" w:hanging="360"/>
      </w:pPr>
      <w:rPr>
        <w:rFonts w:hint="default"/>
        <w:b w:val="0"/>
        <w:i w:val="0"/>
      </w:rPr>
    </w:lvl>
    <w:lvl w:ilvl="1" w:tplc="960486D6">
      <w:start w:val="1"/>
      <w:numFmt w:val="lowerRoman"/>
      <w:lvlText w:val="(%2) "/>
      <w:lvlJc w:val="center"/>
      <w:pPr>
        <w:tabs>
          <w:tab w:val="num" w:pos="1920"/>
        </w:tabs>
        <w:ind w:left="19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0" w15:restartNumberingAfterBreak="0">
    <w:nsid w:val="7B6222D8"/>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1" w15:restartNumberingAfterBreak="0">
    <w:nsid w:val="7BC469E3"/>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15:restartNumberingAfterBreak="0">
    <w:nsid w:val="7CAB060D"/>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3" w15:restartNumberingAfterBreak="0">
    <w:nsid w:val="7D2719D1"/>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4" w15:restartNumberingAfterBreak="0">
    <w:nsid w:val="7F245A43"/>
    <w:multiLevelType w:val="hybridMultilevel"/>
    <w:tmpl w:val="C8CA665A"/>
    <w:lvl w:ilvl="0" w:tplc="FEDC0788">
      <w:start w:val="1"/>
      <w:numFmt w:val="lowerLetter"/>
      <w:lvlText w:val="(%1)"/>
      <w:lvlJc w:val="left"/>
      <w:pPr>
        <w:tabs>
          <w:tab w:val="num" w:pos="1070"/>
        </w:tabs>
        <w:ind w:left="1070" w:hanging="360"/>
      </w:pPr>
      <w:rPr>
        <w:rFonts w:hint="default"/>
        <w:b w:val="0"/>
        <w:i w:val="0"/>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5"/>
  </w:num>
  <w:num w:numId="2">
    <w:abstractNumId w:val="18"/>
  </w:num>
  <w:num w:numId="3">
    <w:abstractNumId w:val="59"/>
  </w:num>
  <w:num w:numId="4">
    <w:abstractNumId w:val="10"/>
  </w:num>
  <w:num w:numId="5">
    <w:abstractNumId w:val="0"/>
  </w:num>
  <w:num w:numId="6">
    <w:abstractNumId w:val="17"/>
  </w:num>
  <w:num w:numId="7">
    <w:abstractNumId w:val="13"/>
  </w:num>
  <w:num w:numId="8">
    <w:abstractNumId w:val="34"/>
  </w:num>
  <w:num w:numId="9">
    <w:abstractNumId w:val="47"/>
  </w:num>
  <w:num w:numId="10">
    <w:abstractNumId w:val="31"/>
  </w:num>
  <w:num w:numId="11">
    <w:abstractNumId w:val="52"/>
  </w:num>
  <w:num w:numId="12">
    <w:abstractNumId w:val="54"/>
  </w:num>
  <w:num w:numId="13">
    <w:abstractNumId w:val="15"/>
  </w:num>
  <w:num w:numId="14">
    <w:abstractNumId w:val="56"/>
  </w:num>
  <w:num w:numId="15">
    <w:abstractNumId w:val="3"/>
  </w:num>
  <w:num w:numId="16">
    <w:abstractNumId w:val="6"/>
  </w:num>
  <w:num w:numId="17">
    <w:abstractNumId w:val="4"/>
  </w:num>
  <w:num w:numId="18">
    <w:abstractNumId w:val="36"/>
  </w:num>
  <w:num w:numId="19">
    <w:abstractNumId w:val="53"/>
  </w:num>
  <w:num w:numId="20">
    <w:abstractNumId w:val="27"/>
  </w:num>
  <w:num w:numId="21">
    <w:abstractNumId w:val="14"/>
  </w:num>
  <w:num w:numId="22">
    <w:abstractNumId w:val="7"/>
  </w:num>
  <w:num w:numId="23">
    <w:abstractNumId w:val="32"/>
  </w:num>
  <w:num w:numId="24">
    <w:abstractNumId w:val="37"/>
  </w:num>
  <w:num w:numId="25">
    <w:abstractNumId w:val="22"/>
  </w:num>
  <w:num w:numId="26">
    <w:abstractNumId w:val="55"/>
  </w:num>
  <w:num w:numId="27">
    <w:abstractNumId w:val="64"/>
  </w:num>
  <w:num w:numId="28">
    <w:abstractNumId w:val="8"/>
  </w:num>
  <w:num w:numId="29">
    <w:abstractNumId w:val="46"/>
  </w:num>
  <w:num w:numId="30">
    <w:abstractNumId w:val="38"/>
  </w:num>
  <w:num w:numId="31">
    <w:abstractNumId w:val="23"/>
  </w:num>
  <w:num w:numId="32">
    <w:abstractNumId w:val="2"/>
  </w:num>
  <w:num w:numId="33">
    <w:abstractNumId w:val="20"/>
  </w:num>
  <w:num w:numId="34">
    <w:abstractNumId w:val="9"/>
  </w:num>
  <w:num w:numId="35">
    <w:abstractNumId w:val="25"/>
  </w:num>
  <w:num w:numId="36">
    <w:abstractNumId w:val="24"/>
  </w:num>
  <w:num w:numId="37">
    <w:abstractNumId w:val="19"/>
  </w:num>
  <w:num w:numId="38">
    <w:abstractNumId w:val="28"/>
  </w:num>
  <w:num w:numId="39">
    <w:abstractNumId w:val="11"/>
  </w:num>
  <w:num w:numId="40">
    <w:abstractNumId w:val="62"/>
  </w:num>
  <w:num w:numId="41">
    <w:abstractNumId w:val="12"/>
  </w:num>
  <w:num w:numId="42">
    <w:abstractNumId w:val="58"/>
  </w:num>
  <w:num w:numId="43">
    <w:abstractNumId w:val="61"/>
  </w:num>
  <w:num w:numId="44">
    <w:abstractNumId w:val="63"/>
  </w:num>
  <w:num w:numId="45">
    <w:abstractNumId w:val="41"/>
  </w:num>
  <w:num w:numId="46">
    <w:abstractNumId w:val="26"/>
  </w:num>
  <w:num w:numId="47">
    <w:abstractNumId w:val="42"/>
  </w:num>
  <w:num w:numId="48">
    <w:abstractNumId w:val="40"/>
  </w:num>
  <w:num w:numId="49">
    <w:abstractNumId w:val="60"/>
  </w:num>
  <w:num w:numId="50">
    <w:abstractNumId w:val="57"/>
  </w:num>
  <w:num w:numId="51">
    <w:abstractNumId w:val="21"/>
  </w:num>
  <w:num w:numId="52">
    <w:abstractNumId w:val="43"/>
  </w:num>
  <w:num w:numId="53">
    <w:abstractNumId w:val="49"/>
  </w:num>
  <w:num w:numId="54">
    <w:abstractNumId w:val="33"/>
  </w:num>
  <w:num w:numId="55">
    <w:abstractNumId w:val="35"/>
  </w:num>
  <w:num w:numId="56">
    <w:abstractNumId w:val="29"/>
  </w:num>
  <w:num w:numId="57">
    <w:abstractNumId w:val="1"/>
  </w:num>
  <w:num w:numId="58">
    <w:abstractNumId w:val="48"/>
  </w:num>
  <w:num w:numId="59">
    <w:abstractNumId w:val="51"/>
  </w:num>
  <w:num w:numId="60">
    <w:abstractNumId w:val="39"/>
  </w:num>
  <w:num w:numId="61">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4DC"/>
    <w:rsid w:val="000006E2"/>
    <w:rsid w:val="00037E4D"/>
    <w:rsid w:val="00044A06"/>
    <w:rsid w:val="00082BE8"/>
    <w:rsid w:val="000B01FD"/>
    <w:rsid w:val="001B19FA"/>
    <w:rsid w:val="001E0083"/>
    <w:rsid w:val="001E283E"/>
    <w:rsid w:val="00231B86"/>
    <w:rsid w:val="0024614E"/>
    <w:rsid w:val="00282461"/>
    <w:rsid w:val="002E64EB"/>
    <w:rsid w:val="002E71A3"/>
    <w:rsid w:val="002F08B3"/>
    <w:rsid w:val="002F1D96"/>
    <w:rsid w:val="003411EA"/>
    <w:rsid w:val="0034373C"/>
    <w:rsid w:val="003817DB"/>
    <w:rsid w:val="003B4BC1"/>
    <w:rsid w:val="003F27F2"/>
    <w:rsid w:val="00410B6F"/>
    <w:rsid w:val="0041797C"/>
    <w:rsid w:val="004373B9"/>
    <w:rsid w:val="004753C5"/>
    <w:rsid w:val="00486297"/>
    <w:rsid w:val="0049A42F"/>
    <w:rsid w:val="004C55E5"/>
    <w:rsid w:val="004D68A2"/>
    <w:rsid w:val="00507ACC"/>
    <w:rsid w:val="005156FD"/>
    <w:rsid w:val="00547A76"/>
    <w:rsid w:val="005649C3"/>
    <w:rsid w:val="005C12BE"/>
    <w:rsid w:val="005D2C60"/>
    <w:rsid w:val="005E6156"/>
    <w:rsid w:val="0061174D"/>
    <w:rsid w:val="00623F06"/>
    <w:rsid w:val="006270DF"/>
    <w:rsid w:val="006354B4"/>
    <w:rsid w:val="0065401B"/>
    <w:rsid w:val="0065602B"/>
    <w:rsid w:val="00657B55"/>
    <w:rsid w:val="0067207E"/>
    <w:rsid w:val="006E1563"/>
    <w:rsid w:val="006E1797"/>
    <w:rsid w:val="006E2484"/>
    <w:rsid w:val="006F29B4"/>
    <w:rsid w:val="00723551"/>
    <w:rsid w:val="00727062"/>
    <w:rsid w:val="0074428B"/>
    <w:rsid w:val="007447C4"/>
    <w:rsid w:val="00760FB6"/>
    <w:rsid w:val="007A1BDE"/>
    <w:rsid w:val="0081067E"/>
    <w:rsid w:val="00814816"/>
    <w:rsid w:val="00841BBF"/>
    <w:rsid w:val="00847128"/>
    <w:rsid w:val="0088046F"/>
    <w:rsid w:val="00894689"/>
    <w:rsid w:val="008A15C4"/>
    <w:rsid w:val="008A360F"/>
    <w:rsid w:val="008B1164"/>
    <w:rsid w:val="008E5B9D"/>
    <w:rsid w:val="009010FE"/>
    <w:rsid w:val="009164DC"/>
    <w:rsid w:val="00916A1E"/>
    <w:rsid w:val="00942559"/>
    <w:rsid w:val="00956E3B"/>
    <w:rsid w:val="009670E6"/>
    <w:rsid w:val="0096738F"/>
    <w:rsid w:val="009768AB"/>
    <w:rsid w:val="00990B1B"/>
    <w:rsid w:val="009B1796"/>
    <w:rsid w:val="009B69B0"/>
    <w:rsid w:val="009E621A"/>
    <w:rsid w:val="00A27676"/>
    <w:rsid w:val="00A60AC2"/>
    <w:rsid w:val="00A60EDE"/>
    <w:rsid w:val="00A70710"/>
    <w:rsid w:val="00A74085"/>
    <w:rsid w:val="00A75C28"/>
    <w:rsid w:val="00A76ACC"/>
    <w:rsid w:val="00AC6B94"/>
    <w:rsid w:val="00AC7E32"/>
    <w:rsid w:val="00AD6506"/>
    <w:rsid w:val="00AF43E6"/>
    <w:rsid w:val="00B26D28"/>
    <w:rsid w:val="00B35CFD"/>
    <w:rsid w:val="00B53897"/>
    <w:rsid w:val="00B57A20"/>
    <w:rsid w:val="00BA60BC"/>
    <w:rsid w:val="00BC6747"/>
    <w:rsid w:val="00BD18B1"/>
    <w:rsid w:val="00BE4093"/>
    <w:rsid w:val="00C1691E"/>
    <w:rsid w:val="00C24B4C"/>
    <w:rsid w:val="00C3231A"/>
    <w:rsid w:val="00C52025"/>
    <w:rsid w:val="00C7018D"/>
    <w:rsid w:val="00C82C89"/>
    <w:rsid w:val="00CA5F41"/>
    <w:rsid w:val="00CB4C81"/>
    <w:rsid w:val="00CC6B71"/>
    <w:rsid w:val="00CD0F24"/>
    <w:rsid w:val="00D013CB"/>
    <w:rsid w:val="00D13E66"/>
    <w:rsid w:val="00D21117"/>
    <w:rsid w:val="00D272FC"/>
    <w:rsid w:val="00D57B72"/>
    <w:rsid w:val="00DC24B9"/>
    <w:rsid w:val="00DD4D55"/>
    <w:rsid w:val="00DD5953"/>
    <w:rsid w:val="00DE28A6"/>
    <w:rsid w:val="00DF2196"/>
    <w:rsid w:val="00DF7E12"/>
    <w:rsid w:val="00E136DD"/>
    <w:rsid w:val="00E25581"/>
    <w:rsid w:val="00E449BD"/>
    <w:rsid w:val="00E4538B"/>
    <w:rsid w:val="00EA109B"/>
    <w:rsid w:val="00EA4011"/>
    <w:rsid w:val="00EA436F"/>
    <w:rsid w:val="00ED1FB4"/>
    <w:rsid w:val="00EE108F"/>
    <w:rsid w:val="00F0408F"/>
    <w:rsid w:val="00F16120"/>
    <w:rsid w:val="00F222CA"/>
    <w:rsid w:val="00F27623"/>
    <w:rsid w:val="00F50EB3"/>
    <w:rsid w:val="00FA29E1"/>
    <w:rsid w:val="00FA60BB"/>
    <w:rsid w:val="00FB0115"/>
    <w:rsid w:val="00FB25BB"/>
    <w:rsid w:val="00FE1097"/>
    <w:rsid w:val="0109DD54"/>
    <w:rsid w:val="010F4536"/>
    <w:rsid w:val="01A65A98"/>
    <w:rsid w:val="024F25EC"/>
    <w:rsid w:val="0388059B"/>
    <w:rsid w:val="03DDEC69"/>
    <w:rsid w:val="0437708E"/>
    <w:rsid w:val="044C5BDA"/>
    <w:rsid w:val="044D6725"/>
    <w:rsid w:val="04DC1688"/>
    <w:rsid w:val="04E439BC"/>
    <w:rsid w:val="05201435"/>
    <w:rsid w:val="05B74C6E"/>
    <w:rsid w:val="05D77F1E"/>
    <w:rsid w:val="06013B8B"/>
    <w:rsid w:val="067C13EA"/>
    <w:rsid w:val="06A321DB"/>
    <w:rsid w:val="06E6E9DA"/>
    <w:rsid w:val="071CB594"/>
    <w:rsid w:val="07590C60"/>
    <w:rsid w:val="07BE0CC5"/>
    <w:rsid w:val="081BDA7E"/>
    <w:rsid w:val="08202F07"/>
    <w:rsid w:val="08BE6770"/>
    <w:rsid w:val="08CCA958"/>
    <w:rsid w:val="08DA9C8A"/>
    <w:rsid w:val="08E1079C"/>
    <w:rsid w:val="0907AFEB"/>
    <w:rsid w:val="09B3B4AC"/>
    <w:rsid w:val="0A9F5CFF"/>
    <w:rsid w:val="0AEEE267"/>
    <w:rsid w:val="0AFCFE7C"/>
    <w:rsid w:val="0B537B40"/>
    <w:rsid w:val="0C2734A5"/>
    <w:rsid w:val="0C92B5DC"/>
    <w:rsid w:val="0D554367"/>
    <w:rsid w:val="0D9E2438"/>
    <w:rsid w:val="0F1202FC"/>
    <w:rsid w:val="10B050F8"/>
    <w:rsid w:val="110B7EF5"/>
    <w:rsid w:val="11B75ACD"/>
    <w:rsid w:val="11C990A3"/>
    <w:rsid w:val="12D3E428"/>
    <w:rsid w:val="130C4B7A"/>
    <w:rsid w:val="139BC95F"/>
    <w:rsid w:val="13AC1BAD"/>
    <w:rsid w:val="14B6ECB2"/>
    <w:rsid w:val="14D571F5"/>
    <w:rsid w:val="1529C717"/>
    <w:rsid w:val="155524C4"/>
    <w:rsid w:val="15617FC4"/>
    <w:rsid w:val="15A66247"/>
    <w:rsid w:val="16392319"/>
    <w:rsid w:val="16BB7FDE"/>
    <w:rsid w:val="17D4F37A"/>
    <w:rsid w:val="1831FE48"/>
    <w:rsid w:val="19AF25D0"/>
    <w:rsid w:val="1A792DD2"/>
    <w:rsid w:val="1AD0C384"/>
    <w:rsid w:val="1B879541"/>
    <w:rsid w:val="1BB87869"/>
    <w:rsid w:val="1BF460CE"/>
    <w:rsid w:val="1BFBAECB"/>
    <w:rsid w:val="1CD1E820"/>
    <w:rsid w:val="1CDDA780"/>
    <w:rsid w:val="1D34AD4F"/>
    <w:rsid w:val="1D754365"/>
    <w:rsid w:val="1D82292C"/>
    <w:rsid w:val="1DB059A8"/>
    <w:rsid w:val="1DE4D3F0"/>
    <w:rsid w:val="1DE756F3"/>
    <w:rsid w:val="1ECBDF6E"/>
    <w:rsid w:val="1F7659E6"/>
    <w:rsid w:val="1FA3ADED"/>
    <w:rsid w:val="1FC98320"/>
    <w:rsid w:val="1FE6B62E"/>
    <w:rsid w:val="205ABD9A"/>
    <w:rsid w:val="21F42325"/>
    <w:rsid w:val="23171FA2"/>
    <w:rsid w:val="2401B526"/>
    <w:rsid w:val="241B7F9A"/>
    <w:rsid w:val="24F9E941"/>
    <w:rsid w:val="251478A3"/>
    <w:rsid w:val="25614192"/>
    <w:rsid w:val="26693A77"/>
    <w:rsid w:val="268E8BD0"/>
    <w:rsid w:val="26D6F153"/>
    <w:rsid w:val="26F18609"/>
    <w:rsid w:val="274BE5B4"/>
    <w:rsid w:val="2793D100"/>
    <w:rsid w:val="2832F108"/>
    <w:rsid w:val="284C43A1"/>
    <w:rsid w:val="287B9612"/>
    <w:rsid w:val="28CC217F"/>
    <w:rsid w:val="290FE97E"/>
    <w:rsid w:val="2A3BC268"/>
    <w:rsid w:val="2A42D09E"/>
    <w:rsid w:val="2AA67101"/>
    <w:rsid w:val="2AC74E75"/>
    <w:rsid w:val="2ADC4D83"/>
    <w:rsid w:val="2B407FE5"/>
    <w:rsid w:val="2B6C0831"/>
    <w:rsid w:val="2BE6E79A"/>
    <w:rsid w:val="2C7FAF61"/>
    <w:rsid w:val="2CE359C1"/>
    <w:rsid w:val="2CEFDB99"/>
    <w:rsid w:val="2D53427D"/>
    <w:rsid w:val="2DE3D751"/>
    <w:rsid w:val="2E1EEC93"/>
    <w:rsid w:val="2E2CB4A4"/>
    <w:rsid w:val="2E8D860B"/>
    <w:rsid w:val="2F3EAC6B"/>
    <w:rsid w:val="3004C77E"/>
    <w:rsid w:val="3011D83F"/>
    <w:rsid w:val="302C5A84"/>
    <w:rsid w:val="30369729"/>
    <w:rsid w:val="30FB1DD3"/>
    <w:rsid w:val="3158D3D1"/>
    <w:rsid w:val="31CDFD9F"/>
    <w:rsid w:val="31E087FD"/>
    <w:rsid w:val="3224EFF9"/>
    <w:rsid w:val="32C9E3F7"/>
    <w:rsid w:val="32E1AC96"/>
    <w:rsid w:val="3335A6BF"/>
    <w:rsid w:val="33D8E1DC"/>
    <w:rsid w:val="3428EEE7"/>
    <w:rsid w:val="355BC457"/>
    <w:rsid w:val="3577CED8"/>
    <w:rsid w:val="357A4423"/>
    <w:rsid w:val="35AB3636"/>
    <w:rsid w:val="35E296D7"/>
    <w:rsid w:val="35E81753"/>
    <w:rsid w:val="35EF678D"/>
    <w:rsid w:val="36069FCA"/>
    <w:rsid w:val="36324D5D"/>
    <w:rsid w:val="365CF83D"/>
    <w:rsid w:val="369291CB"/>
    <w:rsid w:val="3738CAA2"/>
    <w:rsid w:val="38262D9F"/>
    <w:rsid w:val="387C7496"/>
    <w:rsid w:val="38A94257"/>
    <w:rsid w:val="39205B20"/>
    <w:rsid w:val="3A0B3805"/>
    <w:rsid w:val="3A17AA81"/>
    <w:rsid w:val="3A78F453"/>
    <w:rsid w:val="3AE57602"/>
    <w:rsid w:val="3AF25E40"/>
    <w:rsid w:val="3B2ABB5B"/>
    <w:rsid w:val="3B42524A"/>
    <w:rsid w:val="3B4D99AD"/>
    <w:rsid w:val="3B6196CE"/>
    <w:rsid w:val="3B65639E"/>
    <w:rsid w:val="3C14B19F"/>
    <w:rsid w:val="3C3073D7"/>
    <w:rsid w:val="3C6D0CC3"/>
    <w:rsid w:val="3C8AAAA7"/>
    <w:rsid w:val="3D2BEF94"/>
    <w:rsid w:val="3E460FBE"/>
    <w:rsid w:val="3E7FCC21"/>
    <w:rsid w:val="3EFCC27A"/>
    <w:rsid w:val="3F40E044"/>
    <w:rsid w:val="3FD8CE44"/>
    <w:rsid w:val="4054CD14"/>
    <w:rsid w:val="40791D23"/>
    <w:rsid w:val="4082BC8C"/>
    <w:rsid w:val="40CAC61C"/>
    <w:rsid w:val="412D3704"/>
    <w:rsid w:val="418E5545"/>
    <w:rsid w:val="41DAAA7C"/>
    <w:rsid w:val="423D2983"/>
    <w:rsid w:val="42B774BE"/>
    <w:rsid w:val="42C90765"/>
    <w:rsid w:val="42D525DE"/>
    <w:rsid w:val="4380FBB9"/>
    <w:rsid w:val="43A78A24"/>
    <w:rsid w:val="43FE8AEF"/>
    <w:rsid w:val="44052DDB"/>
    <w:rsid w:val="4518FC0D"/>
    <w:rsid w:val="45F35579"/>
    <w:rsid w:val="46133C49"/>
    <w:rsid w:val="462687F4"/>
    <w:rsid w:val="46AFE636"/>
    <w:rsid w:val="4779F3B0"/>
    <w:rsid w:val="47E3E029"/>
    <w:rsid w:val="47EA8AF2"/>
    <w:rsid w:val="48383EBB"/>
    <w:rsid w:val="48784418"/>
    <w:rsid w:val="48855DF8"/>
    <w:rsid w:val="493A38D4"/>
    <w:rsid w:val="493ECF9C"/>
    <w:rsid w:val="4A3D68A7"/>
    <w:rsid w:val="4B5E3D5E"/>
    <w:rsid w:val="4B967973"/>
    <w:rsid w:val="4C199598"/>
    <w:rsid w:val="4C6CBDEB"/>
    <w:rsid w:val="4D3191C3"/>
    <w:rsid w:val="4D86918B"/>
    <w:rsid w:val="4DFE675E"/>
    <w:rsid w:val="4E865B3C"/>
    <w:rsid w:val="4F2261EC"/>
    <w:rsid w:val="4FE0016B"/>
    <w:rsid w:val="5001968F"/>
    <w:rsid w:val="501FA16A"/>
    <w:rsid w:val="51833C9C"/>
    <w:rsid w:val="51B90665"/>
    <w:rsid w:val="527E085C"/>
    <w:rsid w:val="52AAA27F"/>
    <w:rsid w:val="52D26694"/>
    <w:rsid w:val="5318CE2C"/>
    <w:rsid w:val="536F6D6F"/>
    <w:rsid w:val="538E0F60"/>
    <w:rsid w:val="53BD6567"/>
    <w:rsid w:val="5405E0FD"/>
    <w:rsid w:val="54AF0E58"/>
    <w:rsid w:val="55C33E90"/>
    <w:rsid w:val="55E45989"/>
    <w:rsid w:val="568D83E0"/>
    <w:rsid w:val="574B945C"/>
    <w:rsid w:val="576AA15E"/>
    <w:rsid w:val="576F14CA"/>
    <w:rsid w:val="5792023C"/>
    <w:rsid w:val="5812880C"/>
    <w:rsid w:val="583869F1"/>
    <w:rsid w:val="58D628CD"/>
    <w:rsid w:val="58DDBA04"/>
    <w:rsid w:val="59A9491E"/>
    <w:rsid w:val="59C3C129"/>
    <w:rsid w:val="5ACD5F46"/>
    <w:rsid w:val="5BB5C7E2"/>
    <w:rsid w:val="5BCF2215"/>
    <w:rsid w:val="5C2F922C"/>
    <w:rsid w:val="5C3B27DF"/>
    <w:rsid w:val="5CFD3098"/>
    <w:rsid w:val="5D7B6D85"/>
    <w:rsid w:val="5D933861"/>
    <w:rsid w:val="5E44F480"/>
    <w:rsid w:val="5EB2CEF2"/>
    <w:rsid w:val="5F2AECDF"/>
    <w:rsid w:val="6062D69E"/>
    <w:rsid w:val="6112BDAA"/>
    <w:rsid w:val="61715F74"/>
    <w:rsid w:val="6182BFCD"/>
    <w:rsid w:val="62CE8B67"/>
    <w:rsid w:val="64816ECC"/>
    <w:rsid w:val="64BB61CE"/>
    <w:rsid w:val="652D40CC"/>
    <w:rsid w:val="6584BDA2"/>
    <w:rsid w:val="658CB423"/>
    <w:rsid w:val="65F17FEF"/>
    <w:rsid w:val="662E1A19"/>
    <w:rsid w:val="66EFD425"/>
    <w:rsid w:val="67325CC4"/>
    <w:rsid w:val="67759154"/>
    <w:rsid w:val="6849450A"/>
    <w:rsid w:val="68DF8C19"/>
    <w:rsid w:val="69295825"/>
    <w:rsid w:val="69B2196D"/>
    <w:rsid w:val="6AB378D2"/>
    <w:rsid w:val="6ACF2498"/>
    <w:rsid w:val="6AFFECE9"/>
    <w:rsid w:val="6B09E589"/>
    <w:rsid w:val="6B74EC06"/>
    <w:rsid w:val="6BA78FDD"/>
    <w:rsid w:val="6BC73921"/>
    <w:rsid w:val="6C1170C5"/>
    <w:rsid w:val="6D3FC764"/>
    <w:rsid w:val="6D6EC5F2"/>
    <w:rsid w:val="6D894494"/>
    <w:rsid w:val="6E709C2A"/>
    <w:rsid w:val="6EB0F19B"/>
    <w:rsid w:val="6EBB715F"/>
    <w:rsid w:val="6F8AE604"/>
    <w:rsid w:val="6F9FE19C"/>
    <w:rsid w:val="707783C6"/>
    <w:rsid w:val="708CEE76"/>
    <w:rsid w:val="7210E900"/>
    <w:rsid w:val="7231149B"/>
    <w:rsid w:val="724221FC"/>
    <w:rsid w:val="729FF18E"/>
    <w:rsid w:val="7372E9F8"/>
    <w:rsid w:val="73D4B6CF"/>
    <w:rsid w:val="73DB938B"/>
    <w:rsid w:val="74C44791"/>
    <w:rsid w:val="7502A5EF"/>
    <w:rsid w:val="756C1D29"/>
    <w:rsid w:val="75A50BA3"/>
    <w:rsid w:val="75D81E78"/>
    <w:rsid w:val="75FAD8C2"/>
    <w:rsid w:val="766896C9"/>
    <w:rsid w:val="76A6266D"/>
    <w:rsid w:val="76C21AEE"/>
    <w:rsid w:val="77B8130B"/>
    <w:rsid w:val="781C65C3"/>
    <w:rsid w:val="783C4381"/>
    <w:rsid w:val="7919FF0E"/>
    <w:rsid w:val="79399176"/>
    <w:rsid w:val="79BFBA2E"/>
    <w:rsid w:val="7A53E985"/>
    <w:rsid w:val="7A7E2C20"/>
    <w:rsid w:val="7AAFDFDD"/>
    <w:rsid w:val="7BE9DF42"/>
    <w:rsid w:val="7C8D49EE"/>
    <w:rsid w:val="7D441EDA"/>
    <w:rsid w:val="7D56E974"/>
    <w:rsid w:val="7D7FB160"/>
    <w:rsid w:val="7EAB8505"/>
    <w:rsid w:val="7F178529"/>
    <w:rsid w:val="7F25C4B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9FF18E"/>
  <w15:docId w15:val="{53494B29-76A4-B84E-B3D2-B9545628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qFormat/>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6738F"/>
    <w:pPr>
      <w:keepNext/>
      <w:spacing w:before="240" w:after="60" w:line="240" w:lineRule="auto"/>
      <w:ind w:firstLine="0"/>
      <w:outlineLvl w:val="1"/>
    </w:pPr>
    <w:rPr>
      <w:rFonts w:ascii="Arial" w:eastAsia="Times New Roman" w:hAnsi="Arial" w:cs="Arial"/>
      <w:b/>
      <w:bCs/>
      <w:i/>
      <w:iCs/>
      <w:sz w:val="28"/>
      <w:szCs w:val="28"/>
      <w:lang w:val="pt-PT" w:eastAsia="pt-BR"/>
    </w:rPr>
  </w:style>
  <w:style w:type="paragraph" w:styleId="Ttulo3">
    <w:name w:val="heading 3"/>
    <w:basedOn w:val="Normal"/>
    <w:next w:val="Normal"/>
    <w:link w:val="Ttulo3Char"/>
    <w:qFormat/>
    <w:rsid w:val="0096738F"/>
    <w:pPr>
      <w:keepNext/>
      <w:spacing w:before="240" w:after="60" w:line="240" w:lineRule="auto"/>
      <w:ind w:firstLine="0"/>
      <w:outlineLvl w:val="2"/>
    </w:pPr>
    <w:rPr>
      <w:rFonts w:ascii="Arial" w:eastAsia="Times New Roman" w:hAnsi="Arial" w:cs="Arial"/>
      <w:b/>
      <w:bCs/>
      <w:sz w:val="26"/>
      <w:szCs w:val="26"/>
      <w:lang w:val="pt-PT" w:eastAsia="pt-BR"/>
    </w:rPr>
  </w:style>
  <w:style w:type="paragraph" w:styleId="Ttulo4">
    <w:name w:val="heading 4"/>
    <w:basedOn w:val="Normal"/>
    <w:next w:val="Normal"/>
    <w:link w:val="Ttulo4Char"/>
    <w:qFormat/>
    <w:rsid w:val="0096738F"/>
    <w:pPr>
      <w:keepNext/>
      <w:spacing w:before="240" w:after="60" w:line="240" w:lineRule="auto"/>
      <w:ind w:firstLine="0"/>
      <w:outlineLvl w:val="3"/>
    </w:pPr>
    <w:rPr>
      <w:rFonts w:ascii="Times New Roman" w:eastAsia="Times New Roman" w:hAnsi="Times New Roman" w:cs="Times New Roman"/>
      <w:b/>
      <w:bCs/>
      <w:sz w:val="28"/>
      <w:szCs w:val="28"/>
      <w:lang w:val="pt-PT" w:eastAsia="pt-BR"/>
    </w:rPr>
  </w:style>
  <w:style w:type="paragraph" w:styleId="Ttulo5">
    <w:name w:val="heading 5"/>
    <w:basedOn w:val="Normal"/>
    <w:next w:val="Normal"/>
    <w:link w:val="Ttulo5Char"/>
    <w:qFormat/>
    <w:rsid w:val="0096738F"/>
    <w:pPr>
      <w:spacing w:before="240" w:after="60" w:line="240" w:lineRule="auto"/>
      <w:ind w:firstLine="0"/>
      <w:outlineLvl w:val="4"/>
    </w:pPr>
    <w:rPr>
      <w:rFonts w:ascii="Arial" w:eastAsia="Times New Roman" w:hAnsi="Arial" w:cs="Times New Roman"/>
      <w:b/>
      <w:bCs/>
      <w:i/>
      <w:iCs/>
      <w:sz w:val="26"/>
      <w:szCs w:val="26"/>
      <w:lang w:val="pt-PT" w:eastAsia="pt-BR"/>
    </w:rPr>
  </w:style>
  <w:style w:type="paragraph" w:styleId="Ttulo6">
    <w:name w:val="heading 6"/>
    <w:basedOn w:val="Normal"/>
    <w:next w:val="Normal"/>
    <w:link w:val="Ttulo6Char"/>
    <w:qFormat/>
    <w:rsid w:val="0096738F"/>
    <w:pPr>
      <w:keepNext/>
      <w:spacing w:line="240" w:lineRule="auto"/>
      <w:ind w:firstLine="0"/>
      <w:outlineLvl w:val="5"/>
    </w:pPr>
    <w:rPr>
      <w:rFonts w:ascii="Times New Roman" w:eastAsia="Times New Roman" w:hAnsi="Times New Roman" w:cs="Times New Roman"/>
      <w:b/>
      <w:caps/>
      <w:sz w:val="22"/>
      <w:szCs w:val="20"/>
    </w:rPr>
  </w:style>
  <w:style w:type="paragraph" w:styleId="Ttulo7">
    <w:name w:val="heading 7"/>
    <w:basedOn w:val="Normal"/>
    <w:next w:val="Normal"/>
    <w:link w:val="Ttulo7Char"/>
    <w:qFormat/>
    <w:rsid w:val="0096738F"/>
    <w:pPr>
      <w:spacing w:before="240" w:after="60" w:line="240" w:lineRule="auto"/>
      <w:ind w:firstLine="0"/>
      <w:jc w:val="left"/>
      <w:outlineLvl w:val="6"/>
    </w:pPr>
    <w:rPr>
      <w:rFonts w:ascii="Times New Roman" w:eastAsia="Times New Roman" w:hAnsi="Times New Roman" w:cs="Times New Roman"/>
      <w:lang w:eastAsia="pt-BR"/>
    </w:rPr>
  </w:style>
  <w:style w:type="paragraph" w:styleId="Ttulo8">
    <w:name w:val="heading 8"/>
    <w:basedOn w:val="Normal"/>
    <w:next w:val="Normal"/>
    <w:link w:val="Ttulo8Char"/>
    <w:qFormat/>
    <w:rsid w:val="0096738F"/>
    <w:pPr>
      <w:spacing w:before="240" w:after="60" w:line="240" w:lineRule="auto"/>
      <w:ind w:firstLine="0"/>
      <w:outlineLvl w:val="7"/>
    </w:pPr>
    <w:rPr>
      <w:rFonts w:ascii="Cambria" w:eastAsia="Times New Roman" w:hAnsi="Cambria" w:cs="Times New Roman"/>
      <w:i/>
      <w:iCs/>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 Char"/>
    <w:basedOn w:val="Normal"/>
    <w:link w:val="TextodenotaderodapChar"/>
    <w:unhideWhenUsed/>
    <w:rsid w:val="0081067E"/>
    <w:pPr>
      <w:spacing w:before="0" w:after="0" w:line="240" w:lineRule="auto"/>
    </w:pPr>
    <w:rPr>
      <w:sz w:val="20"/>
      <w:szCs w:val="20"/>
    </w:rPr>
  </w:style>
  <w:style w:type="character" w:customStyle="1" w:styleId="TextodenotaderodapChar">
    <w:name w:val="Texto de nota de rodapé Char"/>
    <w:aliases w:val=" Char Char"/>
    <w:basedOn w:val="Fontepargpadro"/>
    <w:link w:val="Textodenotaderodap"/>
    <w:rsid w:val="0081067E"/>
    <w:rPr>
      <w:rFonts w:cstheme="minorHAnsi"/>
      <w:sz w:val="20"/>
      <w:szCs w:val="20"/>
    </w:rPr>
  </w:style>
  <w:style w:type="character" w:styleId="Refdenotaderodap">
    <w:name w:val="footnote reference"/>
    <w:basedOn w:val="Fontepargpadro"/>
    <w:unhideWhenUsed/>
    <w:rsid w:val="0081067E"/>
    <w:rPr>
      <w:vertAlign w:val="superscript"/>
    </w:rPr>
  </w:style>
  <w:style w:type="paragraph" w:styleId="PargrafodaLista">
    <w:name w:val="List Paragraph"/>
    <w:basedOn w:val="Normal"/>
    <w:uiPriority w:val="99"/>
    <w:qFormat/>
    <w:rsid w:val="00D013CB"/>
    <w:pPr>
      <w:ind w:left="720"/>
      <w:contextualSpacing/>
    </w:pPr>
  </w:style>
  <w:style w:type="paragraph" w:customStyle="1" w:styleId="Corpodetexto21">
    <w:name w:val="Corpo de texto 21"/>
    <w:basedOn w:val="Normal"/>
    <w:qFormat/>
    <w:rsid w:val="6D6EC5F2"/>
    <w:pPr>
      <w:ind w:left="426" w:hanging="426"/>
    </w:pPr>
  </w:style>
  <w:style w:type="paragraph" w:customStyle="1" w:styleId="Recuodecorpodetexto31">
    <w:name w:val="Recuo de corpo de texto 31"/>
    <w:basedOn w:val="Normal"/>
    <w:qFormat/>
    <w:rsid w:val="6D6EC5F2"/>
    <w:pPr>
      <w:ind w:left="426"/>
    </w:pPr>
  </w:style>
  <w:style w:type="paragraph" w:customStyle="1" w:styleId="Default">
    <w:name w:val="Default"/>
    <w:basedOn w:val="Normal"/>
    <w:qFormat/>
    <w:rsid w:val="6D6EC5F2"/>
    <w:rPr>
      <w:rFonts w:ascii="Times New Roman" w:hAnsi="Times New Roman" w:cs="Times New Roman"/>
      <w:color w:val="000000" w:themeColor="text1"/>
    </w:rPr>
  </w:style>
  <w:style w:type="paragraph" w:customStyle="1" w:styleId="Corpodetexto210">
    <w:name w:val="Corpo de texto 210"/>
    <w:basedOn w:val="Normal"/>
    <w:qFormat/>
    <w:rsid w:val="52D26694"/>
    <w:pPr>
      <w:ind w:left="426" w:hanging="426"/>
    </w:pPr>
  </w:style>
  <w:style w:type="paragraph" w:customStyle="1" w:styleId="Recuodecorpodetexto21">
    <w:name w:val="Recuo de corpo de texto 21"/>
    <w:basedOn w:val="Normal"/>
    <w:qFormat/>
    <w:rsid w:val="52D26694"/>
    <w:pPr>
      <w:ind w:left="280" w:hanging="370"/>
    </w:pPr>
    <w:rPr>
      <w:b/>
      <w:bCs/>
    </w:rPr>
  </w:style>
  <w:style w:type="paragraph" w:customStyle="1" w:styleId="Recuodecorpodetexto32">
    <w:name w:val="Recuo de corpo de texto 32"/>
    <w:basedOn w:val="Normal"/>
    <w:qFormat/>
    <w:rsid w:val="52D26694"/>
    <w:pPr>
      <w:ind w:left="426"/>
    </w:pPr>
  </w:style>
  <w:style w:type="table" w:styleId="Tabelacomgrade">
    <w:name w:val="Table Grid"/>
    <w:basedOn w:val="Tabe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2Char">
    <w:name w:val="Título 2 Char"/>
    <w:basedOn w:val="Fontepargpadro"/>
    <w:link w:val="Ttulo2"/>
    <w:rsid w:val="0096738F"/>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738F"/>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738F"/>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738F"/>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738F"/>
    <w:rPr>
      <w:rFonts w:ascii="Times New Roman" w:eastAsia="Times New Roman" w:hAnsi="Times New Roman" w:cs="Times New Roman"/>
      <w:b/>
      <w:caps/>
      <w:szCs w:val="20"/>
    </w:rPr>
  </w:style>
  <w:style w:type="character" w:customStyle="1" w:styleId="Ttulo7Char">
    <w:name w:val="Título 7 Char"/>
    <w:basedOn w:val="Fontepargpadro"/>
    <w:link w:val="Ttulo7"/>
    <w:rsid w:val="0096738F"/>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738F"/>
    <w:rPr>
      <w:rFonts w:ascii="Cambria" w:eastAsia="Times New Roman" w:hAnsi="Cambria" w:cs="Times New Roman"/>
      <w:i/>
      <w:iCs/>
      <w:sz w:val="24"/>
      <w:szCs w:val="24"/>
      <w:lang w:val="pt-PT" w:eastAsia="pt-BR"/>
    </w:rPr>
  </w:style>
  <w:style w:type="numbering" w:customStyle="1" w:styleId="Semlista1">
    <w:name w:val="Sem lista1"/>
    <w:next w:val="Semlista"/>
    <w:semiHidden/>
    <w:unhideWhenUsed/>
    <w:rsid w:val="0096738F"/>
  </w:style>
  <w:style w:type="character" w:customStyle="1" w:styleId="BalloonTextChar">
    <w:name w:val="Balloon Text Char"/>
    <w:semiHidden/>
    <w:rsid w:val="0096738F"/>
    <w:rPr>
      <w:rFonts w:ascii="Lucida Grande" w:hAnsi="Lucida Grande"/>
      <w:sz w:val="18"/>
      <w:szCs w:val="18"/>
    </w:rPr>
  </w:style>
  <w:style w:type="paragraph" w:styleId="Textoembloco">
    <w:name w:val="Block Text"/>
    <w:basedOn w:val="Normal"/>
    <w:rsid w:val="0096738F"/>
    <w:pPr>
      <w:widowControl w:val="0"/>
      <w:tabs>
        <w:tab w:val="left" w:pos="6804"/>
      </w:tabs>
      <w:spacing w:before="2" w:after="2" w:line="250" w:lineRule="auto"/>
      <w:ind w:left="336" w:right="57" w:hanging="279"/>
      <w:jc w:val="left"/>
    </w:pPr>
    <w:rPr>
      <w:rFonts w:ascii="Arial" w:eastAsia="Times New Roman" w:hAnsi="Arial" w:cs="Arial"/>
      <w:sz w:val="20"/>
      <w:lang w:val="pt-PT" w:eastAsia="pt-BR"/>
    </w:rPr>
  </w:style>
  <w:style w:type="character" w:styleId="Refdecomentrio">
    <w:name w:val="annotation reference"/>
    <w:uiPriority w:val="99"/>
    <w:semiHidden/>
    <w:rsid w:val="0096738F"/>
    <w:rPr>
      <w:sz w:val="16"/>
    </w:rPr>
  </w:style>
  <w:style w:type="paragraph" w:styleId="Textodecomentrio">
    <w:name w:val="annotation text"/>
    <w:basedOn w:val="Normal"/>
    <w:link w:val="TextodecomentrioChar"/>
    <w:uiPriority w:val="99"/>
    <w:semiHidden/>
    <w:rsid w:val="0096738F"/>
    <w:pPr>
      <w:spacing w:before="0" w:after="0" w:line="240" w:lineRule="auto"/>
      <w:ind w:firstLine="0"/>
    </w:pPr>
    <w:rPr>
      <w:rFonts w:ascii="Times New Roman" w:eastAsia="Times New Roman" w:hAnsi="Times New Roman" w:cs="Times New Roman"/>
      <w:sz w:val="20"/>
      <w:szCs w:val="20"/>
      <w:lang w:val="x-none"/>
    </w:rPr>
  </w:style>
  <w:style w:type="character" w:customStyle="1" w:styleId="TextodecomentrioChar">
    <w:name w:val="Texto de comentário Char"/>
    <w:basedOn w:val="Fontepargpadro"/>
    <w:link w:val="Textodecomentrio"/>
    <w:uiPriority w:val="99"/>
    <w:semiHidden/>
    <w:rsid w:val="0096738F"/>
    <w:rPr>
      <w:rFonts w:ascii="Times New Roman" w:eastAsia="Times New Roman" w:hAnsi="Times New Roman" w:cs="Times New Roman"/>
      <w:sz w:val="20"/>
      <w:szCs w:val="20"/>
      <w:lang w:val="x-none"/>
    </w:rPr>
  </w:style>
  <w:style w:type="paragraph" w:customStyle="1" w:styleId="Recuonormal1">
    <w:name w:val="Recuo normal1"/>
    <w:basedOn w:val="Normal"/>
    <w:rsid w:val="0096738F"/>
    <w:pPr>
      <w:spacing w:before="0" w:after="0" w:line="240" w:lineRule="auto"/>
      <w:ind w:left="720" w:firstLine="0"/>
    </w:pPr>
    <w:rPr>
      <w:rFonts w:ascii="Times New Roman" w:eastAsia="Times New Roman" w:hAnsi="Times New Roman" w:cs="Times New Roman"/>
      <w:sz w:val="22"/>
      <w:szCs w:val="20"/>
    </w:rPr>
  </w:style>
  <w:style w:type="paragraph" w:styleId="NormalWeb">
    <w:name w:val="Normal (Web)"/>
    <w:basedOn w:val="Normal"/>
    <w:rsid w:val="0096738F"/>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Assuntodocomentrio">
    <w:name w:val="annotation subject"/>
    <w:basedOn w:val="Textodecomentrio"/>
    <w:next w:val="Textodecomentrio"/>
    <w:link w:val="AssuntodocomentrioChar"/>
    <w:uiPriority w:val="99"/>
    <w:semiHidden/>
    <w:rsid w:val="0096738F"/>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738F"/>
    <w:rPr>
      <w:rFonts w:ascii="Arial" w:eastAsia="Times New Roman" w:hAnsi="Arial" w:cs="Times New Roman"/>
      <w:b/>
      <w:bCs/>
      <w:sz w:val="20"/>
      <w:szCs w:val="20"/>
      <w:lang w:val="pt-PT"/>
    </w:rPr>
  </w:style>
  <w:style w:type="paragraph" w:styleId="Corpodetexto">
    <w:name w:val="Body Text"/>
    <w:basedOn w:val="Normal"/>
    <w:link w:val="CorpodetextoChar"/>
    <w:rsid w:val="0096738F"/>
    <w:pPr>
      <w:spacing w:before="0" w:after="0" w:line="240" w:lineRule="auto"/>
      <w:ind w:firstLine="0"/>
    </w:pPr>
    <w:rPr>
      <w:rFonts w:ascii="Times New Roman" w:eastAsia="Times New Roman" w:hAnsi="Times New Roman" w:cs="Times New Roman"/>
      <w:sz w:val="22"/>
      <w:szCs w:val="22"/>
      <w:lang w:eastAsia="pt-BR"/>
    </w:rPr>
  </w:style>
  <w:style w:type="character" w:customStyle="1" w:styleId="CorpodetextoChar">
    <w:name w:val="Corpo de texto Char"/>
    <w:basedOn w:val="Fontepargpadro"/>
    <w:link w:val="Corpodetexto"/>
    <w:rsid w:val="0096738F"/>
    <w:rPr>
      <w:rFonts w:ascii="Times New Roman" w:eastAsia="Times New Roman" w:hAnsi="Times New Roman" w:cs="Times New Roman"/>
      <w:lang w:eastAsia="pt-BR"/>
    </w:rPr>
  </w:style>
  <w:style w:type="character" w:customStyle="1" w:styleId="grame">
    <w:name w:val="grame"/>
    <w:basedOn w:val="Fontepargpadro"/>
    <w:rsid w:val="0096738F"/>
  </w:style>
  <w:style w:type="character" w:customStyle="1" w:styleId="spelle">
    <w:name w:val="spelle"/>
    <w:basedOn w:val="Fontepargpadro"/>
    <w:rsid w:val="0096738F"/>
  </w:style>
  <w:style w:type="paragraph" w:customStyle="1" w:styleId="paragraph">
    <w:name w:val="paragraph"/>
    <w:basedOn w:val="Normal"/>
    <w:next w:val="Normal"/>
    <w:rsid w:val="0096738F"/>
    <w:pPr>
      <w:widowControl w:val="0"/>
      <w:spacing w:before="0" w:after="0" w:line="240" w:lineRule="auto"/>
      <w:ind w:left="432" w:hanging="432"/>
    </w:pPr>
    <w:rPr>
      <w:rFonts w:ascii="Times New Roman" w:eastAsia="Times New Roman" w:hAnsi="Times New Roman" w:cs="Times New Roman"/>
      <w:sz w:val="20"/>
      <w:szCs w:val="20"/>
    </w:rPr>
  </w:style>
  <w:style w:type="character" w:styleId="Nmerodepgina">
    <w:name w:val="page number"/>
    <w:basedOn w:val="Fontepargpadro"/>
    <w:rsid w:val="0096738F"/>
  </w:style>
  <w:style w:type="paragraph" w:customStyle="1" w:styleId="Normal1">
    <w:name w:val="Normal1"/>
    <w:basedOn w:val="Normal"/>
    <w:rsid w:val="0096738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outline">
    <w:name w:val="outline"/>
    <w:basedOn w:val="Normal"/>
    <w:rsid w:val="0096738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customStyle="1" w:styleId="paragraph2">
    <w:name w:val="paragraph2"/>
    <w:basedOn w:val="Normal"/>
    <w:rsid w:val="0096738F"/>
    <w:pPr>
      <w:spacing w:before="100" w:beforeAutospacing="1" w:after="100" w:afterAutospacing="1" w:line="240" w:lineRule="auto"/>
      <w:ind w:firstLine="0"/>
      <w:jc w:val="left"/>
    </w:pPr>
    <w:rPr>
      <w:rFonts w:ascii="Times New Roman" w:eastAsia="SimSun" w:hAnsi="Times New Roman" w:cs="Times New Roman"/>
      <w:lang w:val="en-US" w:eastAsia="ko-KR"/>
    </w:rPr>
  </w:style>
  <w:style w:type="paragraph" w:styleId="Recuodecorpodetexto">
    <w:name w:val="Body Text Indent"/>
    <w:basedOn w:val="Normal"/>
    <w:link w:val="RecuodecorpodetextoChar"/>
    <w:semiHidden/>
    <w:rsid w:val="0096738F"/>
    <w:pPr>
      <w:tabs>
        <w:tab w:val="left" w:pos="720"/>
      </w:tabs>
      <w:spacing w:before="0" w:after="0" w:line="240" w:lineRule="auto"/>
      <w:ind w:left="720" w:hanging="360"/>
    </w:pPr>
    <w:rPr>
      <w:rFonts w:ascii="Times New Roman" w:eastAsia="Times New Roman" w:hAnsi="Times New Roman" w:cs="Times New Roman"/>
      <w:sz w:val="20"/>
    </w:rPr>
  </w:style>
  <w:style w:type="character" w:customStyle="1" w:styleId="RecuodecorpodetextoChar">
    <w:name w:val="Recuo de corpo de texto Char"/>
    <w:basedOn w:val="Fontepargpadro"/>
    <w:link w:val="Recuodecorpodetexto"/>
    <w:semiHidden/>
    <w:rsid w:val="0096738F"/>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738F"/>
    <w:pPr>
      <w:spacing w:before="0" w:line="480" w:lineRule="auto"/>
      <w:ind w:left="283" w:firstLine="0"/>
      <w:jc w:val="left"/>
    </w:pPr>
    <w:rPr>
      <w:rFonts w:ascii="Times New Roman" w:eastAsia="SimSun" w:hAnsi="Times New Roman" w:cs="Times New Roman"/>
      <w:lang w:val="en-US" w:eastAsia="zh-CN"/>
    </w:rPr>
  </w:style>
  <w:style w:type="character" w:customStyle="1" w:styleId="Recuodecorpodetexto2Char">
    <w:name w:val="Recuo de corpo de texto 2 Char"/>
    <w:basedOn w:val="Fontepargpadro"/>
    <w:link w:val="Recuodecorpodetexto2"/>
    <w:semiHidden/>
    <w:rsid w:val="0096738F"/>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738F"/>
    <w:pPr>
      <w:numPr>
        <w:numId w:val="2"/>
      </w:numPr>
      <w:tabs>
        <w:tab w:val="clear" w:pos="360"/>
      </w:tabs>
      <w:spacing w:before="0" w:after="0" w:line="260" w:lineRule="atLeast"/>
    </w:pPr>
    <w:rPr>
      <w:rFonts w:ascii="Times New Roman" w:eastAsia="Times New Roman" w:hAnsi="Times New Roman" w:cs="Times New Roman"/>
      <w:sz w:val="22"/>
      <w:szCs w:val="20"/>
      <w:lang w:val="en-US"/>
    </w:rPr>
  </w:style>
  <w:style w:type="paragraph" w:customStyle="1" w:styleId="IASBNormal">
    <w:name w:val="IASB Normal"/>
    <w:rsid w:val="0096738F"/>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738F"/>
    <w:pPr>
      <w:spacing w:before="200"/>
    </w:pPr>
    <w:rPr>
      <w:rFonts w:ascii="Arial" w:hAnsi="Arial" w:cs="Arial"/>
    </w:rPr>
  </w:style>
  <w:style w:type="paragraph" w:customStyle="1" w:styleId="IASBTitle">
    <w:name w:val="IASB Title"/>
    <w:basedOn w:val="IASBNormal"/>
    <w:rsid w:val="0096738F"/>
    <w:pPr>
      <w:keepNext/>
      <w:keepLines/>
      <w:spacing w:before="300" w:after="400"/>
      <w:jc w:val="left"/>
    </w:pPr>
    <w:rPr>
      <w:rFonts w:ascii="Arial" w:hAnsi="Arial" w:cs="Arial"/>
      <w:b/>
      <w:sz w:val="36"/>
    </w:rPr>
  </w:style>
  <w:style w:type="paragraph" w:customStyle="1" w:styleId="IASBSectionTitleU">
    <w:name w:val="IASB Section Title U"/>
    <w:basedOn w:val="IASBTitle"/>
    <w:rsid w:val="0096738F"/>
    <w:pPr>
      <w:pBdr>
        <w:bottom w:val="single" w:sz="4" w:space="0" w:color="auto"/>
      </w:pBdr>
      <w:spacing w:before="400" w:after="200"/>
    </w:pPr>
    <w:rPr>
      <w:sz w:val="26"/>
    </w:rPr>
  </w:style>
  <w:style w:type="paragraph" w:customStyle="1" w:styleId="IASBNote">
    <w:name w:val="IASB Note"/>
    <w:basedOn w:val="IASBNormal"/>
    <w:rsid w:val="0096738F"/>
    <w:rPr>
      <w:i/>
    </w:rPr>
  </w:style>
  <w:style w:type="paragraph" w:customStyle="1" w:styleId="IASBFootnoteText">
    <w:name w:val="IASB Footnote Text"/>
    <w:basedOn w:val="IASBNormal"/>
    <w:rsid w:val="0096738F"/>
    <w:pPr>
      <w:spacing w:before="0" w:after="60"/>
      <w:ind w:left="284" w:hanging="284"/>
    </w:pPr>
    <w:rPr>
      <w:sz w:val="16"/>
    </w:rPr>
  </w:style>
  <w:style w:type="paragraph" w:customStyle="1" w:styleId="DaveIASBSubsectionTitle">
    <w:name w:val="Dave IASB Subsection Title"/>
    <w:basedOn w:val="IASBTitle"/>
    <w:rsid w:val="0096738F"/>
    <w:pPr>
      <w:spacing w:after="200"/>
      <w:ind w:left="780"/>
    </w:pPr>
    <w:rPr>
      <w:sz w:val="26"/>
    </w:rPr>
  </w:style>
  <w:style w:type="paragraph" w:styleId="MapadoDocumento">
    <w:name w:val="Document Map"/>
    <w:basedOn w:val="Normal"/>
    <w:link w:val="MapadoDocumentoChar"/>
    <w:semiHidden/>
    <w:rsid w:val="0096738F"/>
    <w:pPr>
      <w:shd w:val="clear" w:color="auto" w:fill="000080"/>
      <w:spacing w:line="240" w:lineRule="auto"/>
      <w:ind w:firstLine="0"/>
    </w:pPr>
    <w:rPr>
      <w:rFonts w:ascii="Tahoma" w:eastAsia="Times New Roman" w:hAnsi="Tahoma" w:cs="Tahoma"/>
      <w:sz w:val="20"/>
      <w:lang w:val="pt-PT" w:eastAsia="pt-BR"/>
    </w:rPr>
  </w:style>
  <w:style w:type="character" w:customStyle="1" w:styleId="MapadoDocumentoChar">
    <w:name w:val="Mapa do Documento Char"/>
    <w:basedOn w:val="Fontepargpadro"/>
    <w:link w:val="MapadoDocumento"/>
    <w:semiHidden/>
    <w:rsid w:val="0096738F"/>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738F"/>
    <w:pPr>
      <w:spacing w:before="0" w:after="160" w:line="240" w:lineRule="exact"/>
      <w:ind w:firstLine="0"/>
      <w:jc w:val="left"/>
    </w:pPr>
    <w:rPr>
      <w:rFonts w:ascii="Verdana" w:eastAsia="SimSun" w:hAnsi="Verdana" w:cs="Times New Roman"/>
      <w:sz w:val="20"/>
      <w:szCs w:val="20"/>
      <w:lang w:eastAsia="es-AR"/>
    </w:rPr>
  </w:style>
  <w:style w:type="paragraph" w:styleId="Corpodetexto3">
    <w:name w:val="Body Text 3"/>
    <w:basedOn w:val="Normal"/>
    <w:link w:val="Corpodetexto3Char"/>
    <w:semiHidden/>
    <w:rsid w:val="0096738F"/>
    <w:pPr>
      <w:spacing w:line="240" w:lineRule="auto"/>
      <w:ind w:firstLine="0"/>
    </w:pPr>
    <w:rPr>
      <w:rFonts w:ascii="Arial" w:eastAsia="Times New Roman" w:hAnsi="Arial" w:cs="Times New Roman"/>
      <w:sz w:val="16"/>
      <w:szCs w:val="16"/>
      <w:lang w:val="pt-PT" w:eastAsia="pt-BR"/>
    </w:rPr>
  </w:style>
  <w:style w:type="character" w:customStyle="1" w:styleId="Corpodetexto3Char">
    <w:name w:val="Corpo de texto 3 Char"/>
    <w:basedOn w:val="Fontepargpadro"/>
    <w:link w:val="Corpodetexto3"/>
    <w:semiHidden/>
    <w:rsid w:val="0096738F"/>
    <w:rPr>
      <w:rFonts w:ascii="Arial" w:eastAsia="Times New Roman" w:hAnsi="Arial" w:cs="Times New Roman"/>
      <w:sz w:val="16"/>
      <w:szCs w:val="16"/>
      <w:lang w:val="pt-PT" w:eastAsia="pt-BR"/>
    </w:rPr>
  </w:style>
  <w:style w:type="table" w:customStyle="1" w:styleId="Tabelacomgrade1">
    <w:name w:val="Tabela com grade1"/>
    <w:basedOn w:val="Tabelanormal"/>
    <w:next w:val="Tabelacomgrade"/>
    <w:rsid w:val="0096738F"/>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738F"/>
    <w:pPr>
      <w:spacing w:after="60" w:line="240" w:lineRule="auto"/>
      <w:ind w:firstLine="0"/>
      <w:jc w:val="left"/>
    </w:pPr>
    <w:rPr>
      <w:rFonts w:ascii="Verdana" w:eastAsia="Times New Roman" w:hAnsi="Verdana" w:cs="Times New Roman"/>
      <w:b/>
      <w:bCs/>
      <w:color w:val="585775"/>
      <w:sz w:val="28"/>
      <w:szCs w:val="28"/>
      <w:lang w:val="en-US"/>
    </w:rPr>
  </w:style>
  <w:style w:type="paragraph" w:styleId="Corpodetexto2">
    <w:name w:val="Body Text 2"/>
    <w:basedOn w:val="Normal"/>
    <w:link w:val="Corpodetexto2Char"/>
    <w:rsid w:val="0096738F"/>
    <w:pPr>
      <w:spacing w:before="40" w:after="40" w:line="240" w:lineRule="auto"/>
      <w:ind w:firstLine="0"/>
    </w:pPr>
    <w:rPr>
      <w:rFonts w:ascii="Times New Roman" w:eastAsia="Times New Roman" w:hAnsi="Times New Roman" w:cs="Times New Roman"/>
      <w:b/>
      <w:bCs/>
      <w:sz w:val="22"/>
      <w:lang w:val="x-none" w:eastAsia="x-none"/>
    </w:rPr>
  </w:style>
  <w:style w:type="character" w:customStyle="1" w:styleId="Corpodetexto2Char">
    <w:name w:val="Corpo de texto 2 Char"/>
    <w:basedOn w:val="Fontepargpadro"/>
    <w:link w:val="Corpodetexto2"/>
    <w:rsid w:val="0096738F"/>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738F"/>
    <w:pPr>
      <w:spacing w:before="0" w:after="200" w:line="276" w:lineRule="auto"/>
      <w:ind w:left="720" w:firstLine="0"/>
      <w:jc w:val="left"/>
    </w:pPr>
    <w:rPr>
      <w:rFonts w:ascii="Calibri" w:hAnsi="Calibri" w:cs="Times New Roman"/>
      <w:sz w:val="22"/>
      <w:szCs w:val="22"/>
      <w:lang w:val="en-US"/>
    </w:rPr>
  </w:style>
  <w:style w:type="paragraph" w:customStyle="1" w:styleId="marcador">
    <w:name w:val="marcador"/>
    <w:basedOn w:val="Normal"/>
    <w:rsid w:val="0096738F"/>
    <w:pPr>
      <w:spacing w:before="0" w:after="0" w:line="240" w:lineRule="auto"/>
      <w:ind w:firstLine="0"/>
      <w:jc w:val="left"/>
    </w:pPr>
    <w:rPr>
      <w:rFonts w:ascii="Arial" w:eastAsia="Times New Roman" w:hAnsi="Arial" w:cs="Times New Roman"/>
      <w:lang w:eastAsia="pt-BR"/>
    </w:rPr>
  </w:style>
  <w:style w:type="paragraph" w:customStyle="1" w:styleId="BNDES">
    <w:name w:val="BNDES"/>
    <w:basedOn w:val="Normal"/>
    <w:rsid w:val="0096738F"/>
    <w:pPr>
      <w:spacing w:before="0" w:after="0" w:line="240" w:lineRule="auto"/>
      <w:ind w:firstLine="0"/>
    </w:pPr>
    <w:rPr>
      <w:rFonts w:ascii="Optimum" w:eastAsia="Times New Roman" w:hAnsi="Optimum" w:cs="Times New Roman"/>
      <w:lang w:eastAsia="pt-BR"/>
    </w:rPr>
  </w:style>
  <w:style w:type="paragraph" w:customStyle="1" w:styleId="Style20">
    <w:name w:val="Style20"/>
    <w:basedOn w:val="Normal"/>
    <w:uiPriority w:val="99"/>
    <w:rsid w:val="0096738F"/>
    <w:pPr>
      <w:widowControl w:val="0"/>
      <w:autoSpaceDE w:val="0"/>
      <w:autoSpaceDN w:val="0"/>
      <w:adjustRightInd w:val="0"/>
      <w:spacing w:before="0" w:after="0" w:line="240" w:lineRule="auto"/>
      <w:ind w:firstLine="0"/>
      <w:jc w:val="left"/>
    </w:pPr>
    <w:rPr>
      <w:rFonts w:ascii="Cambria" w:eastAsia="Times New Roman" w:hAnsi="Cambria" w:cs="Times New Roman"/>
      <w:lang w:eastAsia="pt-BR"/>
    </w:rPr>
  </w:style>
  <w:style w:type="character" w:customStyle="1" w:styleId="hps">
    <w:name w:val="hps"/>
    <w:rsid w:val="0096738F"/>
    <w:rPr>
      <w:rFonts w:ascii="Times New Roman" w:hAnsi="Times New Roman" w:cs="Times New Roman" w:hint="default"/>
    </w:rPr>
  </w:style>
  <w:style w:type="paragraph" w:customStyle="1" w:styleId="Style22">
    <w:name w:val="Style22"/>
    <w:basedOn w:val="Normal"/>
    <w:rsid w:val="0096738F"/>
    <w:pPr>
      <w:widowControl w:val="0"/>
      <w:autoSpaceDE w:val="0"/>
      <w:autoSpaceDN w:val="0"/>
      <w:adjustRightInd w:val="0"/>
      <w:spacing w:before="0" w:after="0" w:line="240" w:lineRule="auto"/>
      <w:ind w:firstLine="0"/>
      <w:jc w:val="left"/>
    </w:pPr>
    <w:rPr>
      <w:rFonts w:ascii="Cambria" w:eastAsia="Batang" w:hAnsi="Cambria" w:cs="Times New Roman"/>
      <w:lang w:eastAsia="ko-KR"/>
    </w:rPr>
  </w:style>
  <w:style w:type="character" w:customStyle="1" w:styleId="FontStyle58">
    <w:name w:val="Font Style58"/>
    <w:rsid w:val="0096738F"/>
    <w:rPr>
      <w:rFonts w:ascii="Cambria" w:hAnsi="Cambria" w:cs="Cambria" w:hint="default"/>
      <w:i/>
      <w:iCs/>
      <w:sz w:val="16"/>
      <w:szCs w:val="16"/>
    </w:rPr>
  </w:style>
  <w:style w:type="character" w:customStyle="1" w:styleId="FontStyle59">
    <w:name w:val="Font Style59"/>
    <w:rsid w:val="0096738F"/>
    <w:rPr>
      <w:rFonts w:ascii="Cambria" w:hAnsi="Cambria" w:cs="Cambria" w:hint="default"/>
      <w:sz w:val="16"/>
      <w:szCs w:val="16"/>
    </w:rPr>
  </w:style>
  <w:style w:type="character" w:customStyle="1" w:styleId="tw4winMark">
    <w:name w:val="tw4winMark"/>
    <w:rsid w:val="0096738F"/>
    <w:rPr>
      <w:rFonts w:ascii="Courier New" w:hAnsi="Courier New" w:cs="Courier New" w:hint="default"/>
      <w:vanish/>
      <w:webHidden w:val="0"/>
      <w:color w:val="800080"/>
      <w:vertAlign w:val="subscript"/>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7CDC9D4ABB404788975076E2A799DE"/>
        <w:category>
          <w:name w:val="Geral"/>
          <w:gallery w:val="placeholder"/>
        </w:category>
        <w:types>
          <w:type w:val="bbPlcHdr"/>
        </w:types>
        <w:behaviors>
          <w:behavior w:val="content"/>
        </w:behaviors>
        <w:guid w:val="{1BB23706-6ADD-44BC-9F14-68E1B03A0A77}"/>
      </w:docPartPr>
      <w:docPartBody>
        <w:p w:rsidR="008D287D" w:rsidRDefault="008E5B9D">
          <w:pPr>
            <w:pStyle w:val="4F7CDC9D4ABB404788975076E2A799DE"/>
          </w:pPr>
          <w:r w:rsidRPr="005311FB">
            <w:rPr>
              <w:rStyle w:val="TextodoEspaoReservado"/>
            </w:rPr>
            <w:t>[Título]</w:t>
          </w:r>
        </w:p>
      </w:docPartBody>
    </w:docPart>
    <w:docPart>
      <w:docPartPr>
        <w:name w:val="7FB88D5C01654EFDA99F7372564DEB41"/>
        <w:category>
          <w:name w:val="Geral"/>
          <w:gallery w:val="placeholder"/>
        </w:category>
        <w:types>
          <w:type w:val="bbPlcHdr"/>
        </w:types>
        <w:behaviors>
          <w:behavior w:val="content"/>
        </w:behaviors>
        <w:guid w:val="{40C1B77F-C43D-42BC-9484-FE8482E4884E}"/>
      </w:docPartPr>
      <w:docPartBody>
        <w:p w:rsidR="008D287D" w:rsidRDefault="008E5B9D">
          <w:pPr>
            <w:pStyle w:val="7FB88D5C01654EFDA99F7372564DEB41"/>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Optimum">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B9D"/>
    <w:rsid w:val="00303D82"/>
    <w:rsid w:val="004C50A7"/>
    <w:rsid w:val="006152CC"/>
    <w:rsid w:val="00656CE4"/>
    <w:rsid w:val="0074689A"/>
    <w:rsid w:val="00747F74"/>
    <w:rsid w:val="007E6DAC"/>
    <w:rsid w:val="00825F2F"/>
    <w:rsid w:val="008974C6"/>
    <w:rsid w:val="008D287D"/>
    <w:rsid w:val="008E5B9D"/>
    <w:rsid w:val="00B1582A"/>
    <w:rsid w:val="00BB6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F7CDC9D4ABB404788975076E2A799DE">
    <w:name w:val="4F7CDC9D4ABB404788975076E2A799DE"/>
  </w:style>
  <w:style w:type="paragraph" w:customStyle="1" w:styleId="7FB88D5C01654EFDA99F7372564DEB41">
    <w:name w:val="7FB88D5C01654EFDA99F7372564DEB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9" ma:contentTypeDescription="Crie um novo documento." ma:contentTypeScope="" ma:versionID="5d8e4dac9dd3605a8a137b07f89769ba">
  <xsd:schema xmlns:xsd="http://www.w3.org/2001/XMLSchema" xmlns:xs="http://www.w3.org/2001/XMLSchema" xmlns:p="http://schemas.microsoft.com/office/2006/metadata/properties" xmlns:ns2="b69b09d8-fb11-4638-84fd-30340ac4eb29" targetNamespace="http://schemas.microsoft.com/office/2006/metadata/properties" ma:root="true" ma:fieldsID="db826ec054f4871f301129f6943cbf8f" ns2:_="">
    <xsd:import namespace="b69b09d8-fb11-4638-84fd-30340ac4eb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DFD72-65B1-4B66-8059-1899E3A2A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E43301-7A17-4B5A-95F5-BF8D91163F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2B31A-8D21-4628-BFF0-A8F1A2797D91}">
  <ds:schemaRefs>
    <ds:schemaRef ds:uri="http://schemas.microsoft.com/sharepoint/v3/contenttype/forms"/>
  </ds:schemaRefs>
</ds:datastoreItem>
</file>

<file path=customXml/itemProps4.xml><?xml version="1.0" encoding="utf-8"?>
<ds:datastoreItem xmlns:ds="http://schemas.openxmlformats.org/officeDocument/2006/customXml" ds:itemID="{442E3D36-1D12-0740-B10C-4E1CC41D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70</Pages>
  <Words>30122</Words>
  <Characters>167866</Characters>
  <Application>Microsoft Office Word</Application>
  <DocSecurity>0</DocSecurity>
  <Lines>3331</Lines>
  <Paragraphs>1043</Paragraphs>
  <ScaleCrop>false</ScaleCrop>
  <HeadingPairs>
    <vt:vector size="2" baseType="variant">
      <vt:variant>
        <vt:lpstr>Título</vt:lpstr>
      </vt:variant>
      <vt:variant>
        <vt:i4>1</vt:i4>
      </vt:variant>
    </vt:vector>
  </HeadingPairs>
  <TitlesOfParts>
    <vt:vector size="1" baseType="lpstr">
      <vt:lpstr>71, de 22 de março de 2022</vt:lpstr>
    </vt:vector>
  </TitlesOfParts>
  <Manager/>
  <Company/>
  <LinksUpToDate>false</LinksUpToDate>
  <CharactersWithSpaces>197239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 de 22 de março de 2022</dc:title>
  <dc:subject/>
  <dc:creator>CVM</dc:creator>
  <cp:keywords/>
  <dc:description/>
  <cp:lastModifiedBy>Renata Leitão</cp:lastModifiedBy>
  <cp:revision>72</cp:revision>
  <dcterms:created xsi:type="dcterms:W3CDTF">2021-02-25T16:00:00Z</dcterms:created>
  <dcterms:modified xsi:type="dcterms:W3CDTF">2022-03-21T19:42:00Z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