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0F0A6484" w:rsidR="00CF08C5" w:rsidRPr="00273211" w:rsidRDefault="00CF08C5" w:rsidP="00CF08C5">
      <w:pPr>
        <w:pStyle w:val="Corpodetexto2"/>
        <w:spacing w:before="120" w:line="312" w:lineRule="auto"/>
        <w:jc w:val="center"/>
        <w:rPr>
          <w:rFonts w:asciiTheme="minorHAnsi" w:hAnsiTheme="minorHAnsi" w:cstheme="minorHAnsi"/>
          <w:b w:val="0"/>
          <w:bCs w:val="0"/>
          <w:sz w:val="24"/>
        </w:rPr>
      </w:pPr>
      <w:r w:rsidRPr="0087540A">
        <w:rPr>
          <w:rFonts w:asciiTheme="minorHAnsi" w:hAnsiTheme="minorHAnsi" w:cstheme="minorHAnsi"/>
          <w:b w:val="0"/>
          <w:bCs w:val="0"/>
          <w:sz w:val="24"/>
        </w:rPr>
        <w:t xml:space="preserve">RESOLUÇÃO CVM Nº </w:t>
      </w:r>
      <w:r w:rsidR="0087540A" w:rsidRPr="0087540A">
        <w:rPr>
          <w:rFonts w:asciiTheme="minorHAnsi" w:hAnsiTheme="minorHAnsi" w:cstheme="minorHAnsi"/>
          <w:b w:val="0"/>
          <w:bCs w:val="0"/>
          <w:sz w:val="24"/>
          <w:lang w:val="pt-BR"/>
        </w:rPr>
        <w:t>99</w:t>
      </w:r>
      <w:r w:rsidR="0092282B" w:rsidRPr="0087540A">
        <w:rPr>
          <w:rFonts w:asciiTheme="minorHAnsi" w:hAnsiTheme="minorHAnsi" w:cstheme="minorHAnsi"/>
          <w:b w:val="0"/>
          <w:bCs w:val="0"/>
          <w:sz w:val="24"/>
        </w:rPr>
        <w:t xml:space="preserve">, DE </w:t>
      </w:r>
      <w:r w:rsidR="0087540A" w:rsidRPr="0087540A">
        <w:rPr>
          <w:rFonts w:asciiTheme="minorHAnsi" w:hAnsiTheme="minorHAnsi" w:cstheme="minorHAnsi"/>
          <w:b w:val="0"/>
          <w:bCs w:val="0"/>
          <w:sz w:val="24"/>
          <w:lang w:val="pt-BR"/>
        </w:rPr>
        <w:t xml:space="preserve">20 </w:t>
      </w:r>
      <w:r w:rsidR="0092282B" w:rsidRPr="0087540A">
        <w:rPr>
          <w:rFonts w:asciiTheme="minorHAnsi" w:hAnsiTheme="minorHAnsi" w:cstheme="minorHAnsi"/>
          <w:b w:val="0"/>
          <w:bCs w:val="0"/>
          <w:sz w:val="24"/>
        </w:rPr>
        <w:t xml:space="preserve">DE </w:t>
      </w:r>
      <w:r w:rsidR="0087540A" w:rsidRPr="0087540A">
        <w:rPr>
          <w:rFonts w:asciiTheme="minorHAnsi" w:hAnsiTheme="minorHAnsi" w:cstheme="minorHAnsi"/>
          <w:b w:val="0"/>
          <w:bCs w:val="0"/>
          <w:sz w:val="24"/>
          <w:lang w:val="pt-BR"/>
        </w:rPr>
        <w:t xml:space="preserve">MAIO </w:t>
      </w:r>
      <w:r w:rsidR="0092282B" w:rsidRPr="0087540A">
        <w:rPr>
          <w:rFonts w:asciiTheme="minorHAnsi" w:hAnsiTheme="minorHAnsi" w:cstheme="minorHAnsi"/>
          <w:b w:val="0"/>
          <w:bCs w:val="0"/>
          <w:sz w:val="24"/>
        </w:rPr>
        <w:t>DE 202</w:t>
      </w:r>
      <w:r w:rsidR="0092282B" w:rsidRPr="0087540A">
        <w:rPr>
          <w:rFonts w:asciiTheme="minorHAnsi" w:hAnsiTheme="minorHAnsi" w:cstheme="minorHAnsi"/>
          <w:b w:val="0"/>
          <w:bCs w:val="0"/>
          <w:sz w:val="24"/>
          <w:lang w:val="pt-BR"/>
        </w:rPr>
        <w:t>2</w:t>
      </w:r>
    </w:p>
    <w:p w14:paraId="5B546EE5" w14:textId="7F1D8376" w:rsidR="00CF08C5" w:rsidRPr="00273211" w:rsidRDefault="00CF08C5" w:rsidP="00CF08C5">
      <w:pPr>
        <w:pStyle w:val="Recuodecorpodetexto"/>
        <w:spacing w:before="240" w:after="240" w:line="312" w:lineRule="auto"/>
        <w:ind w:left="4746" w:firstLine="0"/>
        <w:rPr>
          <w:rFonts w:asciiTheme="minorHAnsi" w:hAnsiTheme="minorHAnsi" w:cstheme="minorHAnsi"/>
          <w:iCs/>
          <w:sz w:val="24"/>
        </w:rPr>
      </w:pPr>
      <w:r w:rsidRPr="00273211">
        <w:rPr>
          <w:rFonts w:asciiTheme="minorHAnsi" w:hAnsiTheme="minorHAnsi" w:cstheme="minorHAnsi"/>
          <w:iCs/>
          <w:sz w:val="24"/>
        </w:rPr>
        <w:t xml:space="preserve">Aprova </w:t>
      </w:r>
      <w:r w:rsidR="0092282B">
        <w:rPr>
          <w:rFonts w:asciiTheme="minorHAnsi" w:hAnsiTheme="minorHAnsi" w:cstheme="minorHAnsi"/>
          <w:iCs/>
          <w:sz w:val="24"/>
        </w:rPr>
        <w:t xml:space="preserve">a </w:t>
      </w:r>
      <w:r w:rsidR="00C4564A">
        <w:rPr>
          <w:rFonts w:asciiTheme="minorHAnsi" w:hAnsiTheme="minorHAnsi" w:cstheme="minorHAnsi"/>
          <w:iCs/>
          <w:sz w:val="24"/>
        </w:rPr>
        <w:t>C</w:t>
      </w:r>
      <w:r w:rsidR="0092282B">
        <w:rPr>
          <w:rFonts w:asciiTheme="minorHAnsi" w:hAnsiTheme="minorHAnsi" w:cstheme="minorHAnsi"/>
          <w:iCs/>
          <w:sz w:val="24"/>
        </w:rPr>
        <w:t>onsolidação d</w:t>
      </w:r>
      <w:r w:rsidRPr="00273211">
        <w:rPr>
          <w:rFonts w:asciiTheme="minorHAnsi" w:hAnsiTheme="minorHAnsi" w:cstheme="minorHAnsi"/>
          <w:iCs/>
          <w:sz w:val="24"/>
        </w:rPr>
        <w:t xml:space="preserve">o Pronunciamento Técnico CPC </w:t>
      </w:r>
      <w:bookmarkStart w:id="0" w:name="_GoBack"/>
      <w:bookmarkEnd w:id="0"/>
      <w:r w:rsidR="00C847A0">
        <w:rPr>
          <w:rFonts w:asciiTheme="minorHAnsi" w:hAnsiTheme="minorHAnsi" w:cstheme="minorHAnsi"/>
          <w:iCs/>
          <w:sz w:val="24"/>
        </w:rPr>
        <w:t>1</w:t>
      </w:r>
      <w:r w:rsidR="00381A25">
        <w:rPr>
          <w:rFonts w:asciiTheme="minorHAnsi" w:hAnsiTheme="minorHAnsi" w:cstheme="minorHAnsi"/>
          <w:iCs/>
          <w:sz w:val="24"/>
        </w:rPr>
        <w:t>6</w:t>
      </w:r>
      <w:r w:rsidR="008C0534">
        <w:rPr>
          <w:rFonts w:asciiTheme="minorHAnsi" w:hAnsiTheme="minorHAnsi" w:cstheme="minorHAnsi"/>
          <w:iCs/>
          <w:sz w:val="24"/>
        </w:rPr>
        <w:t>(R1)</w:t>
      </w:r>
      <w:r w:rsidRPr="00273211">
        <w:rPr>
          <w:rFonts w:asciiTheme="minorHAnsi" w:hAnsiTheme="minorHAnsi" w:cstheme="minorHAnsi"/>
          <w:iCs/>
          <w:sz w:val="24"/>
        </w:rPr>
        <w:t xml:space="preserve"> do Comitê de Pronunciamentos Contábeis</w:t>
      </w:r>
      <w:r w:rsidR="00C847A0">
        <w:rPr>
          <w:rFonts w:asciiTheme="minorHAnsi" w:hAnsiTheme="minorHAnsi" w:cstheme="minorHAnsi"/>
          <w:iCs/>
          <w:sz w:val="24"/>
        </w:rPr>
        <w:t xml:space="preserve"> – CPC</w:t>
      </w:r>
      <w:r w:rsidRPr="00273211">
        <w:rPr>
          <w:rFonts w:asciiTheme="minorHAnsi" w:hAnsiTheme="minorHAnsi" w:cstheme="minorHAnsi"/>
          <w:iCs/>
          <w:sz w:val="24"/>
        </w:rPr>
        <w:t xml:space="preserve">, que trata </w:t>
      </w:r>
      <w:r w:rsidR="00C847A0">
        <w:rPr>
          <w:rFonts w:asciiTheme="minorHAnsi" w:hAnsiTheme="minorHAnsi" w:cstheme="minorHAnsi"/>
          <w:iCs/>
          <w:sz w:val="24"/>
        </w:rPr>
        <w:t xml:space="preserve">de </w:t>
      </w:r>
      <w:r w:rsidR="00381A25">
        <w:rPr>
          <w:rFonts w:asciiTheme="minorHAnsi" w:hAnsiTheme="minorHAnsi" w:cstheme="minorHAnsi"/>
          <w:iCs/>
          <w:sz w:val="24"/>
        </w:rPr>
        <w:t>estoques</w:t>
      </w:r>
      <w:r w:rsidRPr="00273211">
        <w:rPr>
          <w:rFonts w:asciiTheme="minorHAnsi" w:hAnsiTheme="minorHAnsi" w:cstheme="minorHAnsi"/>
          <w:iCs/>
          <w:sz w:val="24"/>
        </w:rPr>
        <w:t>.</w:t>
      </w:r>
    </w:p>
    <w:p w14:paraId="7D45C359" w14:textId="5E703616"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7F1A03">
        <w:rPr>
          <w:rFonts w:asciiTheme="minorHAnsi" w:hAnsiTheme="minorHAnsi" w:cstheme="minorHAnsi"/>
          <w:b w:val="0"/>
          <w:bCs w:val="0"/>
          <w:sz w:val="24"/>
          <w:lang w:val="pt-BR"/>
        </w:rPr>
        <w:t xml:space="preserve">14 </w:t>
      </w:r>
      <w:r w:rsidRPr="00273211">
        <w:rPr>
          <w:rFonts w:asciiTheme="minorHAnsi" w:hAnsiTheme="minorHAnsi" w:cstheme="minorHAnsi"/>
          <w:b w:val="0"/>
          <w:bCs w:val="0"/>
          <w:sz w:val="24"/>
        </w:rPr>
        <w:t xml:space="preserve">de </w:t>
      </w:r>
      <w:r w:rsidR="007F1A03">
        <w:rPr>
          <w:rFonts w:asciiTheme="minorHAnsi" w:hAnsiTheme="minorHAnsi" w:cstheme="minorHAnsi"/>
          <w:b w:val="0"/>
          <w:bCs w:val="0"/>
          <w:sz w:val="24"/>
          <w:lang w:val="pt-BR"/>
        </w:rPr>
        <w:t xml:space="preserve">abril </w:t>
      </w:r>
      <w:r w:rsidRPr="00273211">
        <w:rPr>
          <w:rFonts w:asciiTheme="minorHAnsi" w:hAnsiTheme="minorHAnsi" w:cstheme="minorHAnsi"/>
          <w:b w:val="0"/>
          <w:bCs w:val="0"/>
          <w:sz w:val="24"/>
        </w:rPr>
        <w:t>de 202</w:t>
      </w:r>
      <w:r w:rsidR="0092282B">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18B67116"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Torna obrigatório para as companhias abertas o Pronunciamento Técnico CPC </w:t>
      </w:r>
      <w:r w:rsidR="00C847A0">
        <w:rPr>
          <w:rFonts w:asciiTheme="minorHAnsi" w:hAnsiTheme="minorHAnsi" w:cstheme="minorHAnsi"/>
          <w:sz w:val="24"/>
        </w:rPr>
        <w:t>1</w:t>
      </w:r>
      <w:r w:rsidR="00381A25">
        <w:rPr>
          <w:rFonts w:asciiTheme="minorHAnsi" w:hAnsiTheme="minorHAnsi" w:cstheme="minorHAnsi"/>
          <w:sz w:val="24"/>
        </w:rPr>
        <w:t>6</w:t>
      </w:r>
      <w:r w:rsidR="008C0534">
        <w:rPr>
          <w:rFonts w:asciiTheme="minorHAnsi" w:hAnsiTheme="minorHAnsi" w:cstheme="minorHAnsi"/>
          <w:sz w:val="24"/>
        </w:rPr>
        <w:t>(R1)</w:t>
      </w:r>
      <w:r w:rsidR="0092282B" w:rsidRPr="00273211">
        <w:rPr>
          <w:rFonts w:asciiTheme="minorHAnsi" w:hAnsiTheme="minorHAnsi" w:cstheme="minorHAnsi"/>
          <w:sz w:val="24"/>
        </w:rPr>
        <w:t xml:space="preserve">, que trata </w:t>
      </w:r>
      <w:r w:rsidR="0092282B">
        <w:rPr>
          <w:rFonts w:asciiTheme="minorHAnsi" w:hAnsiTheme="minorHAnsi" w:cstheme="minorHAnsi"/>
          <w:sz w:val="24"/>
        </w:rPr>
        <w:t>de estoques,</w:t>
      </w:r>
      <w:r w:rsidRPr="00273211">
        <w:rPr>
          <w:rFonts w:asciiTheme="minorHAnsi" w:hAnsiTheme="minorHAnsi" w:cstheme="minorHAnsi"/>
          <w:sz w:val="24"/>
        </w:rPr>
        <w:t xml:space="preserve"> emitido pelo Comit</w:t>
      </w:r>
      <w:r w:rsidR="008E43FE">
        <w:rPr>
          <w:rFonts w:asciiTheme="minorHAnsi" w:hAnsiTheme="minorHAnsi" w:cstheme="minorHAnsi"/>
          <w:sz w:val="24"/>
        </w:rPr>
        <w:t xml:space="preserve">ê de Pronunciamentos Contábeis – </w:t>
      </w:r>
      <w:r w:rsidRPr="00273211">
        <w:rPr>
          <w:rFonts w:asciiTheme="minorHAnsi" w:hAnsiTheme="minorHAnsi" w:cstheme="minorHAnsi"/>
          <w:sz w:val="24"/>
        </w:rPr>
        <w:t xml:space="preserve">CPC, </w:t>
      </w:r>
      <w:r w:rsidR="0092282B">
        <w:rPr>
          <w:rFonts w:asciiTheme="minorHAnsi" w:hAnsiTheme="minorHAnsi" w:cstheme="minorHAnsi"/>
          <w:sz w:val="24"/>
        </w:rPr>
        <w:t>conforme consolidado no A</w:t>
      </w:r>
      <w:r w:rsidRPr="00273211">
        <w:rPr>
          <w:rFonts w:asciiTheme="minorHAnsi" w:hAnsiTheme="minorHAnsi" w:cstheme="minorHAnsi"/>
          <w:sz w:val="24"/>
        </w:rPr>
        <w:t>nexo</w:t>
      </w:r>
      <w:r w:rsidR="0092282B">
        <w:rPr>
          <w:rFonts w:asciiTheme="minorHAnsi" w:hAnsiTheme="minorHAnsi" w:cstheme="minorHAnsi"/>
          <w:sz w:val="24"/>
        </w:rPr>
        <w:t xml:space="preserve"> “A”</w:t>
      </w:r>
      <w:r w:rsidRPr="00273211">
        <w:rPr>
          <w:rFonts w:asciiTheme="minorHAnsi" w:hAnsiTheme="minorHAnsi" w:cstheme="minorHAnsi"/>
          <w:sz w:val="24"/>
        </w:rPr>
        <w:t xml:space="preserve"> à presente Resolução</w:t>
      </w:r>
      <w:r w:rsidR="00381A25">
        <w:rPr>
          <w:rFonts w:asciiTheme="minorHAnsi" w:hAnsiTheme="minorHAnsi" w:cstheme="minorHAnsi"/>
          <w:sz w:val="24"/>
        </w:rPr>
        <w:t>.</w:t>
      </w:r>
    </w:p>
    <w:p w14:paraId="4E2C13E3" w14:textId="356A0A49"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Fica revogada a Deliberação</w:t>
      </w:r>
      <w:r w:rsidR="004D78A6">
        <w:rPr>
          <w:rFonts w:asciiTheme="minorHAnsi" w:hAnsiTheme="minorHAnsi" w:cstheme="minorHAnsi"/>
          <w:color w:val="000000" w:themeColor="text1"/>
          <w:sz w:val="24"/>
        </w:rPr>
        <w:t xml:space="preserve">  nº </w:t>
      </w:r>
      <w:r w:rsidR="00C847A0">
        <w:rPr>
          <w:rFonts w:asciiTheme="minorHAnsi" w:hAnsiTheme="minorHAnsi" w:cstheme="minorHAnsi"/>
          <w:color w:val="000000" w:themeColor="text1"/>
          <w:sz w:val="24"/>
        </w:rPr>
        <w:t>5</w:t>
      </w:r>
      <w:r w:rsidR="00381A25">
        <w:rPr>
          <w:rFonts w:asciiTheme="minorHAnsi" w:hAnsiTheme="minorHAnsi" w:cstheme="minorHAnsi"/>
          <w:color w:val="000000" w:themeColor="text1"/>
          <w:sz w:val="24"/>
        </w:rPr>
        <w:t>75</w:t>
      </w:r>
      <w:r w:rsidRPr="00273211">
        <w:rPr>
          <w:rFonts w:asciiTheme="minorHAnsi" w:hAnsiTheme="minorHAnsi" w:cstheme="minorHAnsi"/>
          <w:color w:val="000000" w:themeColor="text1"/>
          <w:sz w:val="24"/>
        </w:rPr>
        <w:t xml:space="preserve">, de </w:t>
      </w:r>
      <w:r w:rsidR="004D78A6">
        <w:rPr>
          <w:rFonts w:asciiTheme="minorHAnsi" w:hAnsiTheme="minorHAnsi" w:cstheme="minorHAnsi"/>
          <w:color w:val="000000" w:themeColor="text1"/>
          <w:sz w:val="24"/>
        </w:rPr>
        <w:t>0</w:t>
      </w:r>
      <w:r w:rsidR="00381A25">
        <w:rPr>
          <w:rFonts w:asciiTheme="minorHAnsi" w:hAnsiTheme="minorHAnsi" w:cstheme="minorHAnsi"/>
          <w:color w:val="000000" w:themeColor="text1"/>
          <w:sz w:val="24"/>
        </w:rPr>
        <w:t>5</w:t>
      </w:r>
      <w:r w:rsidRPr="00273211">
        <w:rPr>
          <w:rFonts w:asciiTheme="minorHAnsi" w:hAnsiTheme="minorHAnsi" w:cstheme="minorHAnsi"/>
          <w:color w:val="000000" w:themeColor="text1"/>
          <w:sz w:val="24"/>
        </w:rPr>
        <w:t xml:space="preserve"> de </w:t>
      </w:r>
      <w:r w:rsidR="00381A25">
        <w:rPr>
          <w:rFonts w:asciiTheme="minorHAnsi" w:hAnsiTheme="minorHAnsi" w:cstheme="minorHAnsi"/>
          <w:color w:val="000000" w:themeColor="text1"/>
          <w:sz w:val="24"/>
        </w:rPr>
        <w:t>junho</w:t>
      </w:r>
      <w:r w:rsidRPr="00273211">
        <w:rPr>
          <w:rFonts w:asciiTheme="minorHAnsi" w:hAnsiTheme="minorHAnsi" w:cstheme="minorHAnsi"/>
          <w:color w:val="000000" w:themeColor="text1"/>
          <w:sz w:val="24"/>
        </w:rPr>
        <w:t xml:space="preserve"> de 20</w:t>
      </w:r>
      <w:r w:rsidR="00C847A0">
        <w:rPr>
          <w:rFonts w:asciiTheme="minorHAnsi" w:hAnsiTheme="minorHAnsi" w:cstheme="minorHAnsi"/>
          <w:color w:val="000000" w:themeColor="text1"/>
          <w:sz w:val="24"/>
        </w:rPr>
        <w:t>0</w:t>
      </w:r>
      <w:r w:rsidR="00381A25">
        <w:rPr>
          <w:rFonts w:asciiTheme="minorHAnsi" w:hAnsiTheme="minorHAnsi" w:cstheme="minorHAnsi"/>
          <w:color w:val="000000" w:themeColor="text1"/>
          <w:sz w:val="24"/>
        </w:rPr>
        <w:t>9</w:t>
      </w:r>
      <w:r w:rsidR="004D78A6">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2CC8FC78"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Esta Resolução entra em vigor </w:t>
      </w:r>
      <w:r w:rsidRPr="00273211">
        <w:rPr>
          <w:rFonts w:asciiTheme="minorHAnsi" w:hAnsiTheme="minorHAnsi" w:cstheme="minorHAnsi"/>
          <w:color w:val="000000" w:themeColor="text1"/>
          <w:sz w:val="24"/>
        </w:rPr>
        <w:t xml:space="preserve">em </w:t>
      </w:r>
      <w:r w:rsidRPr="004D78A6">
        <w:rPr>
          <w:rFonts w:asciiTheme="minorHAnsi" w:hAnsiTheme="minorHAnsi" w:cstheme="minorHAnsi"/>
          <w:color w:val="000000" w:themeColor="text1"/>
          <w:sz w:val="24"/>
        </w:rPr>
        <w:t>1º de j</w:t>
      </w:r>
      <w:r w:rsidR="004D78A6">
        <w:rPr>
          <w:rFonts w:asciiTheme="minorHAnsi" w:hAnsiTheme="minorHAnsi" w:cstheme="minorHAnsi"/>
          <w:color w:val="000000" w:themeColor="text1"/>
          <w:sz w:val="24"/>
        </w:rPr>
        <w:t>ulho</w:t>
      </w:r>
      <w:r w:rsidRPr="004D78A6">
        <w:rPr>
          <w:rFonts w:asciiTheme="minorHAnsi" w:hAnsiTheme="minorHAnsi" w:cstheme="minorHAnsi"/>
          <w:color w:val="000000" w:themeColor="text1"/>
          <w:sz w:val="24"/>
        </w:rPr>
        <w:t xml:space="preserve"> de 2022</w:t>
      </w:r>
      <w:r w:rsidRPr="00273211">
        <w:rPr>
          <w:rFonts w:asciiTheme="minorHAnsi" w:hAnsiTheme="minorHAnsi" w:cstheme="minorHAnsi"/>
          <w:sz w:val="24"/>
        </w:rPr>
        <w:t>.</w:t>
      </w:r>
    </w:p>
    <w:p w14:paraId="224E36B0" w14:textId="77777777" w:rsidR="00A92033" w:rsidRPr="00A92033" w:rsidRDefault="00A92033" w:rsidP="00C847A0">
      <w:pPr>
        <w:spacing w:before="0" w:after="0"/>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C847A0">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C847A0">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rsidP="00C847A0">
      <w:pPr>
        <w:spacing w:before="0" w:after="0" w:line="259" w:lineRule="auto"/>
        <w:jc w:val="left"/>
        <w:rPr>
          <w:rFonts w:cs="Arial"/>
          <w:sz w:val="24"/>
        </w:rPr>
      </w:pPr>
    </w:p>
    <w:p w14:paraId="39DA7302" w14:textId="77777777" w:rsidR="00D978F2" w:rsidRPr="00F13E76" w:rsidRDefault="00DF62F3" w:rsidP="00D978F2">
      <w:pPr>
        <w:spacing w:before="0" w:after="0"/>
        <w:rPr>
          <w:rFonts w:ascii="Times New Roman" w:hAnsi="Times New Roman"/>
          <w:b/>
          <w:sz w:val="24"/>
        </w:rPr>
      </w:pPr>
      <w:r>
        <w:rPr>
          <w:rFonts w:cs="Arial"/>
          <w:b/>
          <w:sz w:val="22"/>
          <w:szCs w:val="22"/>
          <w:lang w:val="pt-BR"/>
        </w:rPr>
        <w:br w:type="page"/>
      </w:r>
      <w:bookmarkStart w:id="1" w:name="_Ref202082075"/>
      <w:bookmarkEnd w:id="1"/>
    </w:p>
    <w:p w14:paraId="608C07ED" w14:textId="1A43AD3E" w:rsidR="001F24AF" w:rsidRDefault="001F24AF" w:rsidP="00D978F2">
      <w:pPr>
        <w:spacing w:before="0"/>
        <w:jc w:val="center"/>
        <w:outlineLvl w:val="0"/>
        <w:rPr>
          <w:rFonts w:ascii="Times New Roman" w:hAnsi="Times New Roman"/>
          <w:b/>
          <w:sz w:val="24"/>
          <w:lang w:val="pt-BR"/>
        </w:rPr>
      </w:pPr>
      <w:r>
        <w:rPr>
          <w:rFonts w:ascii="Times New Roman" w:hAnsi="Times New Roman"/>
          <w:b/>
          <w:sz w:val="24"/>
          <w:lang w:val="pt-BR"/>
        </w:rPr>
        <w:lastRenderedPageBreak/>
        <w:t>ANEXO “A”</w:t>
      </w:r>
    </w:p>
    <w:p w14:paraId="0C7AE6FA" w14:textId="60EC33CC" w:rsidR="00D978F2" w:rsidRPr="00D978F2" w:rsidRDefault="00D978F2" w:rsidP="00D978F2">
      <w:pPr>
        <w:spacing w:before="0"/>
        <w:jc w:val="center"/>
        <w:outlineLvl w:val="0"/>
        <w:rPr>
          <w:rFonts w:ascii="Times New Roman" w:hAnsi="Times New Roman"/>
          <w:b/>
          <w:sz w:val="24"/>
          <w:lang w:val="pt-BR"/>
        </w:rPr>
      </w:pPr>
      <w:r w:rsidRPr="00D978F2">
        <w:rPr>
          <w:rFonts w:ascii="Times New Roman" w:hAnsi="Times New Roman"/>
          <w:b/>
          <w:sz w:val="24"/>
          <w:lang w:val="pt-BR"/>
        </w:rPr>
        <w:t>COMITÊ DE PRONUNCIAMENTOS CONTÁBEIS</w:t>
      </w:r>
    </w:p>
    <w:p w14:paraId="0FB7BA59" w14:textId="77777777" w:rsidR="00D978F2" w:rsidRPr="00D978F2" w:rsidRDefault="00D978F2" w:rsidP="00D978F2">
      <w:pPr>
        <w:spacing w:before="0"/>
        <w:jc w:val="center"/>
        <w:outlineLvl w:val="0"/>
        <w:rPr>
          <w:rFonts w:ascii="Times New Roman" w:hAnsi="Times New Roman"/>
          <w:b/>
          <w:sz w:val="24"/>
          <w:lang w:val="pt-BR"/>
        </w:rPr>
      </w:pPr>
      <w:r w:rsidRPr="00D978F2">
        <w:rPr>
          <w:rFonts w:ascii="Times New Roman" w:hAnsi="Times New Roman"/>
          <w:b/>
          <w:sz w:val="24"/>
          <w:lang w:val="pt-BR"/>
        </w:rPr>
        <w:t>PRONUNCIAMENTO TÉCNICO CPC 16(R1)</w:t>
      </w:r>
    </w:p>
    <w:p w14:paraId="119B909C" w14:textId="77777777" w:rsidR="00D978F2" w:rsidRPr="00D978F2" w:rsidRDefault="00D978F2" w:rsidP="00D978F2">
      <w:pPr>
        <w:spacing w:before="0"/>
        <w:jc w:val="center"/>
        <w:outlineLvl w:val="0"/>
        <w:rPr>
          <w:rFonts w:ascii="Times New Roman" w:hAnsi="Times New Roman"/>
          <w:b/>
          <w:sz w:val="24"/>
          <w:lang w:val="pt-BR"/>
        </w:rPr>
      </w:pPr>
      <w:r w:rsidRPr="00D978F2">
        <w:rPr>
          <w:rFonts w:ascii="Times New Roman" w:hAnsi="Times New Roman"/>
          <w:b/>
          <w:sz w:val="24"/>
          <w:lang w:val="pt-BR"/>
        </w:rPr>
        <w:t>Estoques</w:t>
      </w:r>
    </w:p>
    <w:p w14:paraId="6E0CFDD0" w14:textId="77777777" w:rsidR="00D978F2" w:rsidRPr="00D978F2" w:rsidRDefault="00D978F2" w:rsidP="00D978F2">
      <w:pPr>
        <w:spacing w:before="0"/>
        <w:jc w:val="center"/>
        <w:outlineLvl w:val="0"/>
        <w:rPr>
          <w:rFonts w:ascii="Times New Roman" w:hAnsi="Times New Roman"/>
          <w:b/>
          <w:sz w:val="24"/>
          <w:lang w:val="pt-BR"/>
        </w:rPr>
      </w:pPr>
      <w:r w:rsidRPr="00D978F2">
        <w:rPr>
          <w:rFonts w:ascii="Times New Roman" w:hAnsi="Times New Roman"/>
          <w:b/>
          <w:sz w:val="24"/>
          <w:lang w:val="pt-BR"/>
        </w:rPr>
        <w:t>Correlação às Normas Internacionais de Contabilidade – IAS 2 (IASB)</w:t>
      </w:r>
    </w:p>
    <w:p w14:paraId="1A9F22A5" w14:textId="77777777" w:rsidR="00D978F2" w:rsidRPr="00F13E76" w:rsidRDefault="00D978F2" w:rsidP="00D978F2">
      <w:pPr>
        <w:pStyle w:val="Ttulo6"/>
        <w:keepNext w:val="0"/>
        <w:widowControl w:val="0"/>
        <w:tabs>
          <w:tab w:val="left" w:pos="560"/>
          <w:tab w:val="left" w:pos="6804"/>
        </w:tabs>
        <w:spacing w:before="0" w:after="0"/>
        <w:ind w:left="57" w:right="57"/>
        <w:rPr>
          <w:b w:val="0"/>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260"/>
      </w:tblGrid>
      <w:tr w:rsidR="00D978F2" w:rsidRPr="00A35FE4" w14:paraId="6573054A" w14:textId="77777777" w:rsidTr="00017827">
        <w:tc>
          <w:tcPr>
            <w:tcW w:w="8028" w:type="dxa"/>
          </w:tcPr>
          <w:p w14:paraId="6600C5C4" w14:textId="77777777" w:rsidR="00D978F2" w:rsidRPr="00A35FE4" w:rsidRDefault="00D978F2" w:rsidP="00017827">
            <w:pPr>
              <w:spacing w:before="60" w:after="60"/>
              <w:jc w:val="left"/>
              <w:rPr>
                <w:rFonts w:ascii="Times New Roman" w:hAnsi="Times New Roman"/>
                <w:b/>
                <w:bCs/>
                <w:kern w:val="36"/>
                <w:sz w:val="24"/>
              </w:rPr>
            </w:pPr>
            <w:r w:rsidRPr="00A35FE4">
              <w:rPr>
                <w:rFonts w:ascii="Times New Roman" w:hAnsi="Times New Roman"/>
                <w:b/>
                <w:bCs/>
                <w:kern w:val="36"/>
                <w:sz w:val="24"/>
                <w:lang w:val="pt-BR"/>
              </w:rPr>
              <w:t>Sumário</w:t>
            </w:r>
          </w:p>
        </w:tc>
        <w:tc>
          <w:tcPr>
            <w:tcW w:w="1260" w:type="dxa"/>
          </w:tcPr>
          <w:p w14:paraId="46AFE863" w14:textId="77777777" w:rsidR="00D978F2" w:rsidRPr="00A35FE4" w:rsidRDefault="00D978F2" w:rsidP="00017827">
            <w:pPr>
              <w:spacing w:before="60" w:after="60"/>
              <w:jc w:val="center"/>
              <w:rPr>
                <w:rFonts w:ascii="Times New Roman" w:hAnsi="Times New Roman"/>
                <w:b/>
                <w:bCs/>
                <w:kern w:val="36"/>
                <w:sz w:val="24"/>
              </w:rPr>
            </w:pPr>
            <w:r w:rsidRPr="00A35FE4">
              <w:rPr>
                <w:rFonts w:ascii="Times New Roman" w:hAnsi="Times New Roman"/>
                <w:b/>
                <w:bCs/>
                <w:kern w:val="36"/>
                <w:sz w:val="24"/>
                <w:lang w:val="pt-BR"/>
              </w:rPr>
              <w:t>Item</w:t>
            </w:r>
          </w:p>
        </w:tc>
      </w:tr>
      <w:tr w:rsidR="00D978F2" w:rsidRPr="00A35FE4" w14:paraId="5B77671F" w14:textId="77777777" w:rsidTr="00017827">
        <w:tc>
          <w:tcPr>
            <w:tcW w:w="8028" w:type="dxa"/>
          </w:tcPr>
          <w:p w14:paraId="089ED43C" w14:textId="77777777" w:rsidR="00D978F2" w:rsidRPr="00A35FE4" w:rsidRDefault="00D978F2" w:rsidP="00017827">
            <w:pPr>
              <w:spacing w:before="60" w:after="60"/>
              <w:jc w:val="left"/>
              <w:rPr>
                <w:rFonts w:ascii="Times New Roman" w:hAnsi="Times New Roman"/>
                <w:b/>
                <w:bCs/>
                <w:kern w:val="36"/>
                <w:sz w:val="24"/>
                <w:lang w:val="pt-BR"/>
              </w:rPr>
            </w:pPr>
            <w:r w:rsidRPr="00A35FE4">
              <w:rPr>
                <w:rFonts w:ascii="Times New Roman" w:hAnsi="Times New Roman"/>
                <w:b/>
                <w:bCs/>
                <w:kern w:val="36"/>
                <w:sz w:val="24"/>
                <w:lang w:val="pt-BR"/>
              </w:rPr>
              <w:t>OBJETIVO</w:t>
            </w:r>
          </w:p>
        </w:tc>
        <w:tc>
          <w:tcPr>
            <w:tcW w:w="1260" w:type="dxa"/>
          </w:tcPr>
          <w:p w14:paraId="5040A7EF" w14:textId="77777777" w:rsidR="00D978F2" w:rsidRPr="00A35FE4" w:rsidRDefault="00D978F2" w:rsidP="00017827">
            <w:pPr>
              <w:spacing w:before="60" w:after="60"/>
              <w:jc w:val="center"/>
              <w:rPr>
                <w:rFonts w:ascii="Times New Roman" w:hAnsi="Times New Roman"/>
                <w:b/>
                <w:bCs/>
                <w:kern w:val="36"/>
                <w:sz w:val="24"/>
                <w:lang w:val="pt-BR"/>
              </w:rPr>
            </w:pPr>
            <w:r w:rsidRPr="00A35FE4">
              <w:rPr>
                <w:rFonts w:ascii="Times New Roman" w:hAnsi="Times New Roman"/>
                <w:b/>
                <w:bCs/>
                <w:kern w:val="36"/>
                <w:sz w:val="24"/>
                <w:lang w:val="pt-BR"/>
              </w:rPr>
              <w:t>1</w:t>
            </w:r>
          </w:p>
        </w:tc>
      </w:tr>
      <w:tr w:rsidR="00D978F2" w:rsidRPr="00A35FE4" w14:paraId="6E01B72A" w14:textId="77777777" w:rsidTr="00017827">
        <w:tc>
          <w:tcPr>
            <w:tcW w:w="8028" w:type="dxa"/>
          </w:tcPr>
          <w:p w14:paraId="0EBBEE4D" w14:textId="77777777" w:rsidR="00D978F2" w:rsidRPr="00A35FE4" w:rsidRDefault="00D978F2" w:rsidP="00017827">
            <w:pPr>
              <w:spacing w:before="60" w:after="60"/>
              <w:jc w:val="left"/>
              <w:rPr>
                <w:rFonts w:ascii="Times New Roman" w:hAnsi="Times New Roman"/>
                <w:b/>
                <w:bCs/>
                <w:kern w:val="36"/>
                <w:sz w:val="24"/>
                <w:lang w:val="pt-BR"/>
              </w:rPr>
            </w:pPr>
            <w:r w:rsidRPr="00A35FE4">
              <w:rPr>
                <w:rFonts w:ascii="Times New Roman" w:hAnsi="Times New Roman"/>
                <w:b/>
                <w:bCs/>
                <w:kern w:val="36"/>
                <w:sz w:val="24"/>
                <w:lang w:val="pt-BR"/>
              </w:rPr>
              <w:t>ALCANCE</w:t>
            </w:r>
          </w:p>
        </w:tc>
        <w:tc>
          <w:tcPr>
            <w:tcW w:w="1260" w:type="dxa"/>
          </w:tcPr>
          <w:p w14:paraId="5AB1B1E0" w14:textId="77777777" w:rsidR="00D978F2" w:rsidRPr="00A35FE4" w:rsidRDefault="00D978F2" w:rsidP="00017827">
            <w:pPr>
              <w:spacing w:before="60" w:after="60"/>
              <w:jc w:val="center"/>
              <w:rPr>
                <w:rFonts w:ascii="Times New Roman" w:hAnsi="Times New Roman"/>
                <w:b/>
                <w:bCs/>
                <w:kern w:val="36"/>
                <w:sz w:val="24"/>
                <w:lang w:val="pt-BR"/>
              </w:rPr>
            </w:pPr>
            <w:r w:rsidRPr="00A35FE4">
              <w:rPr>
                <w:rFonts w:ascii="Times New Roman" w:hAnsi="Times New Roman"/>
                <w:b/>
                <w:bCs/>
                <w:kern w:val="36"/>
                <w:sz w:val="24"/>
                <w:lang w:val="pt-BR"/>
              </w:rPr>
              <w:t>2 – 5</w:t>
            </w:r>
          </w:p>
        </w:tc>
      </w:tr>
      <w:tr w:rsidR="00D978F2" w:rsidRPr="00A35FE4" w14:paraId="0F4969D7" w14:textId="77777777" w:rsidTr="00017827">
        <w:tc>
          <w:tcPr>
            <w:tcW w:w="8028" w:type="dxa"/>
          </w:tcPr>
          <w:p w14:paraId="52DCA976" w14:textId="77777777" w:rsidR="00D978F2" w:rsidRPr="00A35FE4" w:rsidRDefault="00D978F2" w:rsidP="00017827">
            <w:pPr>
              <w:spacing w:before="60" w:after="60"/>
              <w:jc w:val="left"/>
              <w:rPr>
                <w:rFonts w:ascii="Times New Roman" w:hAnsi="Times New Roman"/>
                <w:b/>
                <w:bCs/>
                <w:kern w:val="36"/>
                <w:sz w:val="24"/>
                <w:lang w:val="pt-BR"/>
              </w:rPr>
            </w:pPr>
            <w:r w:rsidRPr="00A35FE4">
              <w:rPr>
                <w:rFonts w:ascii="Times New Roman" w:hAnsi="Times New Roman"/>
                <w:b/>
                <w:bCs/>
                <w:kern w:val="36"/>
                <w:sz w:val="24"/>
                <w:lang w:val="pt-BR"/>
              </w:rPr>
              <w:t>DEFINIÇÕES</w:t>
            </w:r>
          </w:p>
        </w:tc>
        <w:tc>
          <w:tcPr>
            <w:tcW w:w="1260" w:type="dxa"/>
          </w:tcPr>
          <w:p w14:paraId="765E0096" w14:textId="77777777" w:rsidR="00D978F2" w:rsidRPr="00A35FE4" w:rsidRDefault="00D978F2" w:rsidP="00017827">
            <w:pPr>
              <w:spacing w:before="60" w:after="60"/>
              <w:jc w:val="center"/>
              <w:rPr>
                <w:rFonts w:ascii="Times New Roman" w:hAnsi="Times New Roman"/>
                <w:b/>
                <w:bCs/>
                <w:kern w:val="36"/>
                <w:sz w:val="24"/>
                <w:lang w:val="pt-BR"/>
              </w:rPr>
            </w:pPr>
            <w:r w:rsidRPr="00A35FE4">
              <w:rPr>
                <w:rFonts w:ascii="Times New Roman" w:hAnsi="Times New Roman"/>
                <w:b/>
                <w:bCs/>
                <w:kern w:val="36"/>
                <w:sz w:val="24"/>
                <w:lang w:val="pt-BR"/>
              </w:rPr>
              <w:t>6 – 8</w:t>
            </w:r>
          </w:p>
        </w:tc>
      </w:tr>
      <w:tr w:rsidR="00D978F2" w:rsidRPr="00A35FE4" w14:paraId="79A8073B" w14:textId="77777777" w:rsidTr="00017827">
        <w:tc>
          <w:tcPr>
            <w:tcW w:w="8028" w:type="dxa"/>
          </w:tcPr>
          <w:p w14:paraId="0E6E0D96" w14:textId="77777777" w:rsidR="00D978F2" w:rsidRPr="00A35FE4" w:rsidRDefault="00D978F2" w:rsidP="00017827">
            <w:pPr>
              <w:spacing w:before="60" w:after="60"/>
              <w:jc w:val="left"/>
              <w:rPr>
                <w:rFonts w:ascii="Times New Roman" w:hAnsi="Times New Roman"/>
                <w:b/>
                <w:bCs/>
                <w:kern w:val="36"/>
                <w:sz w:val="24"/>
                <w:lang w:val="pt-BR"/>
              </w:rPr>
            </w:pPr>
            <w:r w:rsidRPr="00A35FE4">
              <w:rPr>
                <w:rFonts w:ascii="Times New Roman" w:hAnsi="Times New Roman"/>
                <w:b/>
                <w:sz w:val="24"/>
              </w:rPr>
              <w:t>MENSURAÇÃO DE ESTOQUE</w:t>
            </w:r>
          </w:p>
        </w:tc>
        <w:tc>
          <w:tcPr>
            <w:tcW w:w="1260" w:type="dxa"/>
          </w:tcPr>
          <w:p w14:paraId="2F0BFAFA" w14:textId="77777777" w:rsidR="00D978F2" w:rsidRPr="00A35FE4" w:rsidRDefault="00D978F2" w:rsidP="00017827">
            <w:pPr>
              <w:spacing w:before="60" w:after="60"/>
              <w:jc w:val="center"/>
              <w:rPr>
                <w:rFonts w:ascii="Times New Roman" w:hAnsi="Times New Roman"/>
                <w:b/>
                <w:bCs/>
                <w:kern w:val="36"/>
                <w:sz w:val="24"/>
                <w:lang w:val="pt-BR"/>
              </w:rPr>
            </w:pPr>
            <w:r w:rsidRPr="00A35FE4">
              <w:rPr>
                <w:rFonts w:ascii="Times New Roman" w:hAnsi="Times New Roman"/>
                <w:b/>
                <w:bCs/>
                <w:kern w:val="36"/>
                <w:sz w:val="24"/>
                <w:lang w:val="pt-BR"/>
              </w:rPr>
              <w:t>9 – 33</w:t>
            </w:r>
          </w:p>
        </w:tc>
      </w:tr>
      <w:tr w:rsidR="00D978F2" w:rsidRPr="00A35FE4" w14:paraId="57BA46B0" w14:textId="77777777" w:rsidTr="00017827">
        <w:tc>
          <w:tcPr>
            <w:tcW w:w="8028" w:type="dxa"/>
          </w:tcPr>
          <w:p w14:paraId="3E2A6E66" w14:textId="77777777" w:rsidR="00D978F2" w:rsidRPr="00A35FE4" w:rsidRDefault="00D978F2" w:rsidP="00017827">
            <w:pPr>
              <w:spacing w:before="60" w:after="60"/>
              <w:jc w:val="left"/>
              <w:rPr>
                <w:rFonts w:ascii="Times New Roman" w:hAnsi="Times New Roman"/>
                <w:b/>
                <w:bCs/>
                <w:kern w:val="36"/>
                <w:sz w:val="24"/>
                <w:lang w:val="pt-BR"/>
              </w:rPr>
            </w:pPr>
            <w:r w:rsidRPr="00A35FE4">
              <w:rPr>
                <w:rFonts w:ascii="Times New Roman" w:hAnsi="Times New Roman"/>
                <w:b/>
                <w:sz w:val="24"/>
              </w:rPr>
              <w:t>Custos do estoque</w:t>
            </w:r>
          </w:p>
        </w:tc>
        <w:tc>
          <w:tcPr>
            <w:tcW w:w="1260" w:type="dxa"/>
          </w:tcPr>
          <w:p w14:paraId="7CDA2494" w14:textId="77777777" w:rsidR="00D978F2" w:rsidRPr="00A35FE4" w:rsidRDefault="00D978F2" w:rsidP="00017827">
            <w:pPr>
              <w:spacing w:before="60" w:after="60"/>
              <w:jc w:val="center"/>
              <w:rPr>
                <w:rFonts w:ascii="Times New Roman" w:hAnsi="Times New Roman"/>
                <w:b/>
                <w:bCs/>
                <w:kern w:val="36"/>
                <w:sz w:val="24"/>
                <w:lang w:val="pt-BR"/>
              </w:rPr>
            </w:pPr>
            <w:r w:rsidRPr="00A35FE4">
              <w:rPr>
                <w:rFonts w:ascii="Times New Roman" w:hAnsi="Times New Roman"/>
                <w:b/>
                <w:bCs/>
                <w:kern w:val="36"/>
                <w:sz w:val="24"/>
                <w:lang w:val="pt-BR"/>
              </w:rPr>
              <w:t>10 – 22</w:t>
            </w:r>
          </w:p>
        </w:tc>
      </w:tr>
      <w:tr w:rsidR="00D978F2" w:rsidRPr="00A35FE4" w14:paraId="3C16D600" w14:textId="77777777" w:rsidTr="00017827">
        <w:tc>
          <w:tcPr>
            <w:tcW w:w="8028" w:type="dxa"/>
          </w:tcPr>
          <w:p w14:paraId="2036B0C5" w14:textId="77777777" w:rsidR="00D978F2" w:rsidRPr="00A35FE4" w:rsidRDefault="00D978F2" w:rsidP="00017827">
            <w:pPr>
              <w:spacing w:before="60" w:after="60"/>
              <w:jc w:val="left"/>
              <w:rPr>
                <w:rFonts w:ascii="Times New Roman" w:hAnsi="Times New Roman"/>
                <w:b/>
                <w:bCs/>
                <w:kern w:val="36"/>
                <w:sz w:val="24"/>
                <w:lang w:val="pt-BR"/>
              </w:rPr>
            </w:pPr>
            <w:r w:rsidRPr="00A35FE4">
              <w:rPr>
                <w:rFonts w:ascii="Times New Roman" w:hAnsi="Times New Roman"/>
                <w:b/>
                <w:sz w:val="24"/>
              </w:rPr>
              <w:t>Custos de aquisição</w:t>
            </w:r>
          </w:p>
        </w:tc>
        <w:tc>
          <w:tcPr>
            <w:tcW w:w="1260" w:type="dxa"/>
          </w:tcPr>
          <w:p w14:paraId="6D283F71" w14:textId="77777777" w:rsidR="00D978F2" w:rsidRPr="00A35FE4" w:rsidRDefault="00D978F2" w:rsidP="00017827">
            <w:pPr>
              <w:spacing w:before="60" w:after="60"/>
              <w:jc w:val="center"/>
              <w:rPr>
                <w:rFonts w:ascii="Times New Roman" w:hAnsi="Times New Roman"/>
                <w:b/>
                <w:bCs/>
                <w:kern w:val="36"/>
                <w:sz w:val="24"/>
                <w:lang w:val="pt-BR"/>
              </w:rPr>
            </w:pPr>
            <w:r w:rsidRPr="00A35FE4">
              <w:rPr>
                <w:rFonts w:ascii="Times New Roman" w:hAnsi="Times New Roman"/>
                <w:b/>
                <w:bCs/>
                <w:kern w:val="36"/>
                <w:sz w:val="24"/>
                <w:lang w:val="pt-BR"/>
              </w:rPr>
              <w:t>11</w:t>
            </w:r>
          </w:p>
        </w:tc>
      </w:tr>
      <w:tr w:rsidR="00D978F2" w:rsidRPr="00A35FE4" w14:paraId="41A332E6" w14:textId="77777777" w:rsidTr="00017827">
        <w:tc>
          <w:tcPr>
            <w:tcW w:w="8028" w:type="dxa"/>
          </w:tcPr>
          <w:p w14:paraId="531C92E5" w14:textId="77777777" w:rsidR="00D978F2" w:rsidRPr="00A35FE4" w:rsidRDefault="00D978F2" w:rsidP="00017827">
            <w:pPr>
              <w:spacing w:before="60" w:after="60"/>
              <w:jc w:val="left"/>
              <w:rPr>
                <w:rFonts w:ascii="Times New Roman" w:hAnsi="Times New Roman"/>
                <w:b/>
                <w:bCs/>
                <w:kern w:val="36"/>
                <w:sz w:val="24"/>
                <w:lang w:val="pt-BR"/>
              </w:rPr>
            </w:pPr>
            <w:r w:rsidRPr="00A35FE4">
              <w:rPr>
                <w:rFonts w:ascii="Times New Roman" w:hAnsi="Times New Roman"/>
                <w:b/>
                <w:sz w:val="24"/>
              </w:rPr>
              <w:t>Custos de transformação</w:t>
            </w:r>
          </w:p>
        </w:tc>
        <w:tc>
          <w:tcPr>
            <w:tcW w:w="1260" w:type="dxa"/>
          </w:tcPr>
          <w:p w14:paraId="0A3C2D51" w14:textId="77777777" w:rsidR="00D978F2" w:rsidRPr="00A35FE4" w:rsidRDefault="00D978F2" w:rsidP="00017827">
            <w:pPr>
              <w:spacing w:before="60" w:after="60"/>
              <w:jc w:val="center"/>
              <w:rPr>
                <w:rFonts w:ascii="Times New Roman" w:hAnsi="Times New Roman"/>
                <w:b/>
                <w:bCs/>
                <w:kern w:val="36"/>
                <w:sz w:val="24"/>
                <w:lang w:val="pt-BR"/>
              </w:rPr>
            </w:pPr>
            <w:r w:rsidRPr="00A35FE4">
              <w:rPr>
                <w:rFonts w:ascii="Times New Roman" w:hAnsi="Times New Roman"/>
                <w:b/>
                <w:bCs/>
                <w:kern w:val="36"/>
                <w:sz w:val="24"/>
                <w:lang w:val="pt-BR"/>
              </w:rPr>
              <w:t>12 – 14</w:t>
            </w:r>
          </w:p>
        </w:tc>
      </w:tr>
      <w:tr w:rsidR="00D978F2" w:rsidRPr="00A35FE4" w14:paraId="6F1B2B38" w14:textId="77777777" w:rsidTr="00017827">
        <w:tc>
          <w:tcPr>
            <w:tcW w:w="8028" w:type="dxa"/>
          </w:tcPr>
          <w:p w14:paraId="2CE47D6B" w14:textId="77777777" w:rsidR="00D978F2" w:rsidRPr="00A35FE4" w:rsidRDefault="00D978F2" w:rsidP="00017827">
            <w:pPr>
              <w:spacing w:before="60" w:after="60"/>
              <w:jc w:val="left"/>
              <w:rPr>
                <w:rFonts w:ascii="Times New Roman" w:hAnsi="Times New Roman"/>
                <w:b/>
                <w:sz w:val="24"/>
              </w:rPr>
            </w:pPr>
            <w:r w:rsidRPr="00A35FE4">
              <w:rPr>
                <w:rFonts w:ascii="Times New Roman" w:hAnsi="Times New Roman"/>
                <w:b/>
                <w:sz w:val="24"/>
              </w:rPr>
              <w:t>Outros custos</w:t>
            </w:r>
          </w:p>
        </w:tc>
        <w:tc>
          <w:tcPr>
            <w:tcW w:w="1260" w:type="dxa"/>
          </w:tcPr>
          <w:p w14:paraId="54AC3FDF" w14:textId="77777777" w:rsidR="00D978F2" w:rsidRPr="00A35FE4" w:rsidRDefault="00D978F2" w:rsidP="00017827">
            <w:pPr>
              <w:spacing w:before="60" w:after="60"/>
              <w:jc w:val="center"/>
              <w:rPr>
                <w:rFonts w:ascii="Times New Roman" w:hAnsi="Times New Roman"/>
                <w:b/>
                <w:bCs/>
                <w:kern w:val="36"/>
                <w:sz w:val="24"/>
                <w:lang w:val="pt-BR"/>
              </w:rPr>
            </w:pPr>
            <w:r w:rsidRPr="00A35FE4">
              <w:rPr>
                <w:rFonts w:ascii="Times New Roman" w:hAnsi="Times New Roman"/>
                <w:b/>
                <w:bCs/>
                <w:kern w:val="36"/>
                <w:sz w:val="24"/>
                <w:lang w:val="pt-BR"/>
              </w:rPr>
              <w:t>15 – 18</w:t>
            </w:r>
          </w:p>
        </w:tc>
      </w:tr>
      <w:tr w:rsidR="00D978F2" w:rsidRPr="00A35FE4" w14:paraId="5DF24BDA" w14:textId="77777777" w:rsidTr="00017827">
        <w:tc>
          <w:tcPr>
            <w:tcW w:w="8028" w:type="dxa"/>
          </w:tcPr>
          <w:p w14:paraId="0056020D" w14:textId="77777777" w:rsidR="00D978F2" w:rsidRPr="00A35FE4" w:rsidRDefault="00D978F2" w:rsidP="00017827">
            <w:pPr>
              <w:spacing w:before="60" w:after="60"/>
              <w:jc w:val="left"/>
              <w:rPr>
                <w:rFonts w:ascii="Times New Roman" w:hAnsi="Times New Roman"/>
                <w:b/>
                <w:bCs/>
                <w:kern w:val="36"/>
                <w:sz w:val="24"/>
                <w:lang w:val="pt-BR"/>
              </w:rPr>
            </w:pPr>
            <w:r w:rsidRPr="00A35FE4">
              <w:rPr>
                <w:rFonts w:ascii="Times New Roman" w:hAnsi="Times New Roman"/>
                <w:b/>
                <w:sz w:val="24"/>
              </w:rPr>
              <w:t>Custos de estoque de prestador de serviços</w:t>
            </w:r>
          </w:p>
        </w:tc>
        <w:tc>
          <w:tcPr>
            <w:tcW w:w="1260" w:type="dxa"/>
          </w:tcPr>
          <w:p w14:paraId="7E996630" w14:textId="77777777" w:rsidR="00D978F2" w:rsidRPr="00A35FE4" w:rsidRDefault="00D978F2" w:rsidP="00017827">
            <w:pPr>
              <w:spacing w:before="60" w:after="60"/>
              <w:jc w:val="center"/>
              <w:rPr>
                <w:rFonts w:ascii="Times New Roman" w:hAnsi="Times New Roman"/>
                <w:b/>
                <w:bCs/>
                <w:kern w:val="36"/>
                <w:sz w:val="24"/>
                <w:lang w:val="pt-BR"/>
              </w:rPr>
            </w:pPr>
            <w:r w:rsidRPr="00A35FE4">
              <w:rPr>
                <w:rFonts w:ascii="Times New Roman" w:hAnsi="Times New Roman"/>
                <w:b/>
                <w:bCs/>
                <w:kern w:val="36"/>
                <w:sz w:val="24"/>
                <w:lang w:val="pt-BR"/>
              </w:rPr>
              <w:t>19</w:t>
            </w:r>
          </w:p>
        </w:tc>
      </w:tr>
      <w:tr w:rsidR="00D978F2" w:rsidRPr="00A35FE4" w14:paraId="603315DC" w14:textId="77777777" w:rsidTr="00017827">
        <w:tc>
          <w:tcPr>
            <w:tcW w:w="8028" w:type="dxa"/>
          </w:tcPr>
          <w:p w14:paraId="3354E18F" w14:textId="77777777" w:rsidR="00D978F2" w:rsidRPr="00A35FE4" w:rsidRDefault="00D978F2" w:rsidP="00017827">
            <w:pPr>
              <w:spacing w:before="60" w:after="60"/>
              <w:jc w:val="left"/>
              <w:rPr>
                <w:rFonts w:ascii="Times New Roman" w:hAnsi="Times New Roman"/>
                <w:b/>
                <w:bCs/>
                <w:kern w:val="36"/>
                <w:sz w:val="24"/>
              </w:rPr>
            </w:pPr>
            <w:r w:rsidRPr="00A35FE4">
              <w:rPr>
                <w:rFonts w:ascii="Times New Roman" w:hAnsi="Times New Roman"/>
                <w:b/>
                <w:sz w:val="24"/>
              </w:rPr>
              <w:t>Custo do produto agrícola colhido proveniente de ativo biológico</w:t>
            </w:r>
          </w:p>
        </w:tc>
        <w:tc>
          <w:tcPr>
            <w:tcW w:w="1260" w:type="dxa"/>
          </w:tcPr>
          <w:p w14:paraId="5A5DEBFC" w14:textId="77777777" w:rsidR="00D978F2" w:rsidRPr="00A35FE4" w:rsidRDefault="00D978F2" w:rsidP="00017827">
            <w:pPr>
              <w:spacing w:before="60" w:after="60"/>
              <w:jc w:val="center"/>
              <w:rPr>
                <w:rFonts w:ascii="Times New Roman" w:hAnsi="Times New Roman"/>
                <w:b/>
                <w:bCs/>
                <w:kern w:val="36"/>
                <w:sz w:val="24"/>
              </w:rPr>
            </w:pPr>
            <w:r w:rsidRPr="00A35FE4">
              <w:rPr>
                <w:rFonts w:ascii="Times New Roman" w:hAnsi="Times New Roman"/>
                <w:b/>
                <w:bCs/>
                <w:kern w:val="36"/>
                <w:sz w:val="24"/>
              </w:rPr>
              <w:t>20</w:t>
            </w:r>
          </w:p>
        </w:tc>
      </w:tr>
      <w:tr w:rsidR="00D978F2" w:rsidRPr="00A35FE4" w14:paraId="174D067A" w14:textId="77777777" w:rsidTr="00017827">
        <w:tc>
          <w:tcPr>
            <w:tcW w:w="8028" w:type="dxa"/>
          </w:tcPr>
          <w:p w14:paraId="22DA87AB" w14:textId="77777777" w:rsidR="00D978F2" w:rsidRPr="00A35FE4" w:rsidRDefault="00D978F2" w:rsidP="00017827">
            <w:pPr>
              <w:spacing w:before="60" w:after="60"/>
              <w:jc w:val="left"/>
              <w:rPr>
                <w:rFonts w:ascii="Times New Roman" w:hAnsi="Times New Roman"/>
                <w:b/>
                <w:bCs/>
                <w:kern w:val="36"/>
                <w:sz w:val="24"/>
              </w:rPr>
            </w:pPr>
            <w:r w:rsidRPr="00A35FE4">
              <w:rPr>
                <w:rFonts w:ascii="Times New Roman" w:hAnsi="Times New Roman"/>
                <w:b/>
                <w:sz w:val="24"/>
              </w:rPr>
              <w:t>Outras formas para mensuração do custo</w:t>
            </w:r>
          </w:p>
        </w:tc>
        <w:tc>
          <w:tcPr>
            <w:tcW w:w="1260" w:type="dxa"/>
          </w:tcPr>
          <w:p w14:paraId="3493706E" w14:textId="77777777" w:rsidR="00D978F2" w:rsidRPr="00A35FE4" w:rsidRDefault="00D978F2" w:rsidP="00017827">
            <w:pPr>
              <w:spacing w:before="60" w:after="60"/>
              <w:jc w:val="center"/>
              <w:rPr>
                <w:rFonts w:ascii="Times New Roman" w:hAnsi="Times New Roman"/>
                <w:b/>
                <w:bCs/>
                <w:kern w:val="36"/>
                <w:sz w:val="24"/>
                <w:lang w:val="pt-BR"/>
              </w:rPr>
            </w:pPr>
            <w:r w:rsidRPr="00A35FE4">
              <w:rPr>
                <w:rFonts w:ascii="Times New Roman" w:hAnsi="Times New Roman"/>
                <w:b/>
                <w:bCs/>
                <w:kern w:val="36"/>
                <w:sz w:val="24"/>
                <w:lang w:val="pt-BR"/>
              </w:rPr>
              <w:t>21 – 22</w:t>
            </w:r>
          </w:p>
        </w:tc>
      </w:tr>
      <w:tr w:rsidR="00D978F2" w:rsidRPr="00A35FE4" w14:paraId="78DC526D" w14:textId="77777777" w:rsidTr="00017827">
        <w:tc>
          <w:tcPr>
            <w:tcW w:w="8028" w:type="dxa"/>
          </w:tcPr>
          <w:p w14:paraId="00FE39FC" w14:textId="77777777" w:rsidR="00D978F2" w:rsidRPr="00A35FE4" w:rsidRDefault="00D978F2" w:rsidP="00017827">
            <w:pPr>
              <w:spacing w:before="60" w:after="60"/>
              <w:jc w:val="left"/>
              <w:rPr>
                <w:rFonts w:ascii="Times New Roman" w:hAnsi="Times New Roman"/>
                <w:b/>
                <w:bCs/>
                <w:kern w:val="36"/>
                <w:sz w:val="24"/>
                <w:lang w:val="pt-BR"/>
              </w:rPr>
            </w:pPr>
            <w:r w:rsidRPr="00A35FE4">
              <w:rPr>
                <w:rFonts w:ascii="Times New Roman" w:hAnsi="Times New Roman"/>
                <w:b/>
                <w:sz w:val="24"/>
              </w:rPr>
              <w:t xml:space="preserve">Critérios de valoração de estoque </w:t>
            </w:r>
          </w:p>
        </w:tc>
        <w:tc>
          <w:tcPr>
            <w:tcW w:w="1260" w:type="dxa"/>
          </w:tcPr>
          <w:p w14:paraId="34032CD9" w14:textId="77777777" w:rsidR="00D978F2" w:rsidRPr="00A35FE4" w:rsidRDefault="00D978F2" w:rsidP="00017827">
            <w:pPr>
              <w:spacing w:before="60" w:after="60"/>
              <w:jc w:val="center"/>
              <w:rPr>
                <w:rFonts w:ascii="Times New Roman" w:hAnsi="Times New Roman"/>
                <w:b/>
                <w:bCs/>
                <w:kern w:val="36"/>
                <w:sz w:val="24"/>
                <w:lang w:val="pt-BR"/>
              </w:rPr>
            </w:pPr>
            <w:r w:rsidRPr="00A35FE4">
              <w:rPr>
                <w:rFonts w:ascii="Times New Roman" w:hAnsi="Times New Roman"/>
                <w:b/>
                <w:bCs/>
                <w:kern w:val="36"/>
                <w:sz w:val="24"/>
                <w:lang w:val="pt-BR"/>
              </w:rPr>
              <w:t>23 – 27</w:t>
            </w:r>
          </w:p>
        </w:tc>
      </w:tr>
      <w:tr w:rsidR="00D978F2" w:rsidRPr="00A35FE4" w14:paraId="5984D8CE" w14:textId="77777777" w:rsidTr="00017827">
        <w:tc>
          <w:tcPr>
            <w:tcW w:w="8028" w:type="dxa"/>
          </w:tcPr>
          <w:p w14:paraId="375323E2" w14:textId="77777777" w:rsidR="00D978F2" w:rsidRPr="00A35FE4" w:rsidRDefault="00D978F2" w:rsidP="00017827">
            <w:pPr>
              <w:spacing w:before="60" w:after="60"/>
              <w:jc w:val="left"/>
              <w:rPr>
                <w:rFonts w:ascii="Times New Roman" w:hAnsi="Times New Roman"/>
                <w:b/>
                <w:bCs/>
                <w:kern w:val="36"/>
                <w:sz w:val="24"/>
                <w:lang w:val="pt-BR"/>
              </w:rPr>
            </w:pPr>
            <w:r w:rsidRPr="00A35FE4">
              <w:rPr>
                <w:rFonts w:ascii="Times New Roman" w:hAnsi="Times New Roman"/>
                <w:b/>
                <w:sz w:val="24"/>
              </w:rPr>
              <w:t>Valor realizável líquido</w:t>
            </w:r>
          </w:p>
        </w:tc>
        <w:tc>
          <w:tcPr>
            <w:tcW w:w="1260" w:type="dxa"/>
          </w:tcPr>
          <w:p w14:paraId="0B947623" w14:textId="77777777" w:rsidR="00D978F2" w:rsidRPr="00A35FE4" w:rsidRDefault="00D978F2" w:rsidP="00017827">
            <w:pPr>
              <w:spacing w:before="60" w:after="60"/>
              <w:jc w:val="center"/>
              <w:rPr>
                <w:rFonts w:ascii="Times New Roman" w:hAnsi="Times New Roman"/>
                <w:b/>
                <w:bCs/>
                <w:kern w:val="36"/>
                <w:sz w:val="24"/>
                <w:lang w:val="pt-BR"/>
              </w:rPr>
            </w:pPr>
            <w:r w:rsidRPr="00A35FE4">
              <w:rPr>
                <w:rFonts w:ascii="Times New Roman" w:hAnsi="Times New Roman"/>
                <w:b/>
                <w:bCs/>
                <w:kern w:val="36"/>
                <w:sz w:val="24"/>
                <w:lang w:val="pt-BR"/>
              </w:rPr>
              <w:t>28 – 33</w:t>
            </w:r>
          </w:p>
        </w:tc>
      </w:tr>
      <w:tr w:rsidR="00D978F2" w:rsidRPr="00A35FE4" w14:paraId="38169BE0" w14:textId="77777777" w:rsidTr="00017827">
        <w:tc>
          <w:tcPr>
            <w:tcW w:w="8028" w:type="dxa"/>
          </w:tcPr>
          <w:p w14:paraId="587E4A99" w14:textId="77777777" w:rsidR="00D978F2" w:rsidRPr="00A35FE4" w:rsidRDefault="00D978F2" w:rsidP="00017827">
            <w:pPr>
              <w:spacing w:before="60" w:after="60"/>
              <w:jc w:val="left"/>
              <w:rPr>
                <w:rFonts w:ascii="Times New Roman" w:hAnsi="Times New Roman"/>
                <w:b/>
                <w:bCs/>
                <w:kern w:val="36"/>
                <w:sz w:val="24"/>
                <w:lang w:val="pt-BR"/>
              </w:rPr>
            </w:pPr>
            <w:r w:rsidRPr="00A35FE4">
              <w:rPr>
                <w:rFonts w:ascii="Times New Roman" w:hAnsi="Times New Roman"/>
                <w:b/>
                <w:sz w:val="24"/>
              </w:rPr>
              <w:t>RECONHECIMENTO NO RESULTADO</w:t>
            </w:r>
          </w:p>
        </w:tc>
        <w:tc>
          <w:tcPr>
            <w:tcW w:w="1260" w:type="dxa"/>
          </w:tcPr>
          <w:p w14:paraId="0000C1C7" w14:textId="77777777" w:rsidR="00D978F2" w:rsidRPr="00A35FE4" w:rsidRDefault="00D978F2" w:rsidP="00017827">
            <w:pPr>
              <w:spacing w:before="60" w:after="60"/>
              <w:jc w:val="center"/>
              <w:rPr>
                <w:rFonts w:ascii="Times New Roman" w:hAnsi="Times New Roman"/>
                <w:b/>
                <w:bCs/>
                <w:kern w:val="36"/>
                <w:sz w:val="24"/>
                <w:lang w:val="pt-BR"/>
              </w:rPr>
            </w:pPr>
            <w:r w:rsidRPr="00A35FE4">
              <w:rPr>
                <w:rFonts w:ascii="Times New Roman" w:hAnsi="Times New Roman"/>
                <w:b/>
                <w:bCs/>
                <w:kern w:val="36"/>
                <w:sz w:val="24"/>
                <w:lang w:val="pt-BR"/>
              </w:rPr>
              <w:t>34 – 35</w:t>
            </w:r>
          </w:p>
        </w:tc>
      </w:tr>
      <w:tr w:rsidR="00D978F2" w:rsidRPr="00A35FE4" w14:paraId="54CB66FF" w14:textId="77777777" w:rsidTr="00017827">
        <w:tc>
          <w:tcPr>
            <w:tcW w:w="8028" w:type="dxa"/>
          </w:tcPr>
          <w:p w14:paraId="5666BD23" w14:textId="77777777" w:rsidR="00D978F2" w:rsidRPr="00A35FE4" w:rsidRDefault="00D978F2" w:rsidP="00017827">
            <w:pPr>
              <w:spacing w:before="60" w:after="60"/>
              <w:jc w:val="left"/>
              <w:rPr>
                <w:rFonts w:ascii="Times New Roman" w:hAnsi="Times New Roman"/>
                <w:b/>
                <w:bCs/>
                <w:kern w:val="36"/>
                <w:sz w:val="24"/>
                <w:lang w:val="pt-BR"/>
              </w:rPr>
            </w:pPr>
            <w:r w:rsidRPr="00A35FE4">
              <w:rPr>
                <w:rFonts w:ascii="Times New Roman" w:hAnsi="Times New Roman"/>
                <w:b/>
                <w:sz w:val="24"/>
              </w:rPr>
              <w:t>DIVULGAÇÃO</w:t>
            </w:r>
          </w:p>
        </w:tc>
        <w:tc>
          <w:tcPr>
            <w:tcW w:w="1260" w:type="dxa"/>
          </w:tcPr>
          <w:p w14:paraId="3E72CA65" w14:textId="77777777" w:rsidR="00D978F2" w:rsidRPr="00A35FE4" w:rsidRDefault="00D978F2" w:rsidP="00017827">
            <w:pPr>
              <w:spacing w:before="60" w:after="60"/>
              <w:jc w:val="center"/>
              <w:rPr>
                <w:rFonts w:ascii="Times New Roman" w:hAnsi="Times New Roman"/>
                <w:b/>
                <w:bCs/>
                <w:kern w:val="36"/>
                <w:sz w:val="24"/>
                <w:lang w:val="pt-BR"/>
              </w:rPr>
            </w:pPr>
            <w:r w:rsidRPr="00A35FE4">
              <w:rPr>
                <w:rFonts w:ascii="Times New Roman" w:hAnsi="Times New Roman"/>
                <w:b/>
                <w:bCs/>
                <w:kern w:val="36"/>
                <w:sz w:val="24"/>
                <w:lang w:val="pt-BR"/>
              </w:rPr>
              <w:t>36 – 39</w:t>
            </w:r>
          </w:p>
        </w:tc>
      </w:tr>
    </w:tbl>
    <w:p w14:paraId="1A3B2A78" w14:textId="77777777" w:rsidR="00D978F2" w:rsidRPr="00A35FE4" w:rsidRDefault="00D978F2" w:rsidP="00D978F2">
      <w:pPr>
        <w:spacing w:before="0" w:after="0"/>
        <w:ind w:left="340" w:right="-57" w:hanging="340"/>
        <w:rPr>
          <w:rFonts w:ascii="Times New Roman" w:hAnsi="Times New Roman"/>
          <w:sz w:val="24"/>
        </w:rPr>
      </w:pPr>
    </w:p>
    <w:p w14:paraId="1EC7BB2C" w14:textId="77777777" w:rsidR="00D978F2" w:rsidRPr="00F13E76" w:rsidRDefault="00D978F2" w:rsidP="00D978F2">
      <w:pPr>
        <w:spacing w:before="0" w:after="0"/>
        <w:ind w:left="340" w:right="-57" w:hanging="340"/>
        <w:rPr>
          <w:rFonts w:ascii="Times New Roman" w:hAnsi="Times New Roman"/>
          <w:sz w:val="28"/>
          <w:szCs w:val="28"/>
        </w:rPr>
      </w:pPr>
    </w:p>
    <w:p w14:paraId="6F64447F" w14:textId="77777777" w:rsidR="00D978F2" w:rsidRPr="00F13E76" w:rsidRDefault="00D978F2" w:rsidP="00D978F2">
      <w:pPr>
        <w:spacing w:before="0" w:after="0"/>
        <w:ind w:left="340" w:right="-57" w:hanging="340"/>
        <w:rPr>
          <w:rFonts w:ascii="Times New Roman" w:hAnsi="Times New Roman"/>
          <w:b/>
          <w:sz w:val="28"/>
          <w:szCs w:val="28"/>
        </w:rPr>
      </w:pPr>
      <w:r w:rsidRPr="00F13E76">
        <w:rPr>
          <w:rFonts w:ascii="Times New Roman" w:hAnsi="Times New Roman"/>
          <w:b/>
          <w:sz w:val="28"/>
          <w:szCs w:val="28"/>
        </w:rPr>
        <w:t>Objetivo</w:t>
      </w:r>
    </w:p>
    <w:p w14:paraId="74A4C135" w14:textId="77777777" w:rsidR="00D978F2" w:rsidRPr="00F13E76" w:rsidRDefault="00D978F2" w:rsidP="00D978F2">
      <w:pPr>
        <w:spacing w:before="0" w:after="0"/>
        <w:ind w:left="340" w:hanging="340"/>
        <w:rPr>
          <w:rFonts w:ascii="Times New Roman" w:hAnsi="Times New Roman"/>
          <w:sz w:val="24"/>
        </w:rPr>
      </w:pPr>
    </w:p>
    <w:p w14:paraId="6F94FEDE"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t xml:space="preserve">1. </w:t>
      </w:r>
      <w:r>
        <w:rPr>
          <w:rFonts w:ascii="Times New Roman" w:hAnsi="Times New Roman"/>
          <w:sz w:val="24"/>
        </w:rPr>
        <w:tab/>
      </w:r>
      <w:r w:rsidRPr="00F13E76">
        <w:rPr>
          <w:rFonts w:ascii="Times New Roman" w:hAnsi="Times New Roman"/>
          <w:sz w:val="24"/>
        </w:rPr>
        <w:t>O objetivo deste Pronunciamento é estabelecer o tratamento contábil para os estoques. A questão fundamental na contabilização dos estoques é quanto ao valor do custo a ser reconhecido como ativo e mantido nos registros até que as respectivas receitas sejam reconhecidas. Este Pronunciamento proporciona orientação sobre a determinação do valor de custo dos estoques e sobre o seu subsequente reconhecimento como despesa em resultado, incluindo qualquer redução ao valor realizável líquido. Também proporciona orientação sobre o método e os critérios usados para atribuir custos aos estoques.</w:t>
      </w:r>
    </w:p>
    <w:p w14:paraId="76A11E6C" w14:textId="77777777" w:rsidR="00D978F2" w:rsidRPr="00F13E76" w:rsidRDefault="00D978F2" w:rsidP="00D978F2">
      <w:pPr>
        <w:spacing w:before="0" w:after="0"/>
        <w:ind w:left="340" w:hanging="340"/>
        <w:rPr>
          <w:rFonts w:ascii="Times New Roman" w:hAnsi="Times New Roman"/>
          <w:b/>
          <w:sz w:val="28"/>
          <w:szCs w:val="28"/>
        </w:rPr>
      </w:pPr>
      <w:r>
        <w:rPr>
          <w:rFonts w:ascii="Times New Roman" w:hAnsi="Times New Roman"/>
          <w:b/>
          <w:sz w:val="28"/>
          <w:szCs w:val="28"/>
        </w:rPr>
        <w:lastRenderedPageBreak/>
        <w:t>Alcance</w:t>
      </w:r>
    </w:p>
    <w:p w14:paraId="41D9ECB6" w14:textId="77777777" w:rsidR="00D978F2" w:rsidRPr="00F13E76" w:rsidRDefault="00D978F2" w:rsidP="00D978F2">
      <w:pPr>
        <w:spacing w:before="0"/>
        <w:ind w:left="567" w:hanging="567"/>
        <w:rPr>
          <w:rFonts w:ascii="Times New Roman" w:hAnsi="Times New Roman"/>
          <w:sz w:val="24"/>
        </w:rPr>
      </w:pPr>
      <w:r w:rsidRPr="00F13E76">
        <w:rPr>
          <w:rFonts w:ascii="Times New Roman" w:hAnsi="Times New Roman"/>
          <w:sz w:val="24"/>
        </w:rPr>
        <w:t xml:space="preserve">2. </w:t>
      </w:r>
      <w:r>
        <w:rPr>
          <w:rFonts w:ascii="Times New Roman" w:hAnsi="Times New Roman"/>
          <w:sz w:val="24"/>
        </w:rPr>
        <w:tab/>
      </w:r>
      <w:r w:rsidRPr="00F13E76">
        <w:rPr>
          <w:rFonts w:ascii="Times New Roman" w:hAnsi="Times New Roman"/>
          <w:sz w:val="24"/>
        </w:rPr>
        <w:t xml:space="preserve">Este </w:t>
      </w:r>
      <w:r>
        <w:rPr>
          <w:rFonts w:ascii="Times New Roman" w:hAnsi="Times New Roman"/>
          <w:sz w:val="24"/>
        </w:rPr>
        <w:t>p</w:t>
      </w:r>
      <w:r w:rsidRPr="00F13E76">
        <w:rPr>
          <w:rFonts w:ascii="Times New Roman" w:hAnsi="Times New Roman"/>
          <w:sz w:val="24"/>
        </w:rPr>
        <w:t>ronunciamento aplica-se a todos os estoques, com exceção dos seguintes:</w:t>
      </w:r>
    </w:p>
    <w:p w14:paraId="605ACE18" w14:textId="5D73A04D" w:rsidR="00D978F2" w:rsidRPr="000C2504" w:rsidRDefault="00D978F2" w:rsidP="00D978F2">
      <w:pPr>
        <w:spacing w:before="0"/>
        <w:ind w:left="993" w:hanging="426"/>
        <w:rPr>
          <w:rFonts w:ascii="Times New Roman" w:hAnsi="Times New Roman"/>
          <w:color w:val="0070C0"/>
          <w:szCs w:val="20"/>
        </w:rPr>
      </w:pPr>
      <w:r w:rsidRPr="000C2504">
        <w:rPr>
          <w:rFonts w:ascii="Times New Roman" w:hAnsi="Times New Roman"/>
          <w:sz w:val="24"/>
        </w:rPr>
        <w:t xml:space="preserve">(a) </w:t>
      </w:r>
      <w:r w:rsidRPr="000C2504">
        <w:rPr>
          <w:rFonts w:ascii="Times New Roman" w:hAnsi="Times New Roman"/>
          <w:sz w:val="24"/>
        </w:rPr>
        <w:tab/>
      </w:r>
      <w:r w:rsidR="000C2504" w:rsidRPr="000C2504">
        <w:rPr>
          <w:rFonts w:ascii="Times New Roman" w:hAnsi="Times New Roman"/>
          <w:sz w:val="24"/>
        </w:rPr>
        <w:t>(eliminada);</w:t>
      </w:r>
    </w:p>
    <w:p w14:paraId="45779B77" w14:textId="0AAF11C5" w:rsidR="00D978F2" w:rsidRPr="00F356FC" w:rsidRDefault="00D978F2" w:rsidP="00D978F2">
      <w:pPr>
        <w:spacing w:before="0"/>
        <w:ind w:left="992" w:right="-57" w:hanging="425"/>
        <w:rPr>
          <w:rFonts w:ascii="Times New Roman" w:hAnsi="Times New Roman"/>
          <w:color w:val="0070C0"/>
          <w:szCs w:val="20"/>
        </w:rPr>
      </w:pPr>
      <w:r w:rsidRPr="00A57C35">
        <w:rPr>
          <w:rFonts w:ascii="Times New Roman" w:hAnsi="Times New Roman"/>
          <w:bCs/>
          <w:sz w:val="24"/>
        </w:rPr>
        <w:t xml:space="preserve">(b) </w:t>
      </w:r>
      <w:r>
        <w:rPr>
          <w:rFonts w:ascii="Times New Roman" w:hAnsi="Times New Roman"/>
          <w:bCs/>
          <w:sz w:val="24"/>
        </w:rPr>
        <w:tab/>
      </w:r>
      <w:r w:rsidRPr="00A57C35">
        <w:rPr>
          <w:rFonts w:ascii="Times New Roman" w:hAnsi="Times New Roman"/>
          <w:bCs/>
          <w:sz w:val="24"/>
        </w:rPr>
        <w:t>instrumentos financeiros (ver CPC 48 – Instrumentos Financeiros e CPC 39 – Instrumentos Financeiros: Apresentação); e</w:t>
      </w:r>
      <w:r w:rsidRPr="00A57C35">
        <w:rPr>
          <w:rFonts w:ascii="Times New Roman" w:hAnsi="Times New Roman"/>
          <w:bCs/>
          <w:sz w:val="24"/>
          <w:szCs w:val="20"/>
        </w:rPr>
        <w:t xml:space="preserve"> </w:t>
      </w:r>
    </w:p>
    <w:p w14:paraId="1893F9E0" w14:textId="77777777" w:rsidR="00D978F2" w:rsidRPr="00F13E76" w:rsidRDefault="00D978F2" w:rsidP="00D978F2">
      <w:pPr>
        <w:spacing w:before="0" w:after="0"/>
        <w:ind w:left="993" w:hanging="426"/>
        <w:rPr>
          <w:rFonts w:ascii="Times New Roman" w:hAnsi="Times New Roman"/>
          <w:sz w:val="24"/>
        </w:rPr>
      </w:pPr>
      <w:r>
        <w:rPr>
          <w:rFonts w:ascii="Times New Roman" w:hAnsi="Times New Roman"/>
          <w:sz w:val="24"/>
        </w:rPr>
        <w:t xml:space="preserve">(c) </w:t>
      </w:r>
      <w:r>
        <w:rPr>
          <w:rFonts w:ascii="Times New Roman" w:hAnsi="Times New Roman"/>
          <w:sz w:val="24"/>
        </w:rPr>
        <w:tab/>
      </w:r>
      <w:r w:rsidRPr="00F13E76">
        <w:rPr>
          <w:rFonts w:ascii="Times New Roman" w:hAnsi="Times New Roman"/>
          <w:sz w:val="24"/>
        </w:rPr>
        <w:t xml:space="preserve">ativos biológicos relacionados com a atividade agrícola e o produto agrícola no ponto da colheita (ver CPC 29 </w:t>
      </w:r>
      <w:r>
        <w:rPr>
          <w:rFonts w:ascii="Times New Roman" w:hAnsi="Times New Roman"/>
          <w:sz w:val="24"/>
        </w:rPr>
        <w:t>–</w:t>
      </w:r>
      <w:r w:rsidRPr="00F13E76">
        <w:rPr>
          <w:rFonts w:ascii="Times New Roman" w:hAnsi="Times New Roman"/>
          <w:sz w:val="24"/>
        </w:rPr>
        <w:t xml:space="preserve"> Ativo Biológico e Produto Agrícola).</w:t>
      </w:r>
    </w:p>
    <w:p w14:paraId="7FE5D173" w14:textId="77777777" w:rsidR="00D978F2" w:rsidRPr="00F13E76" w:rsidRDefault="00D978F2" w:rsidP="00D978F2">
      <w:pPr>
        <w:spacing w:before="0" w:after="0"/>
        <w:ind w:left="360"/>
        <w:rPr>
          <w:rFonts w:ascii="Times New Roman" w:hAnsi="Times New Roman"/>
          <w:sz w:val="24"/>
        </w:rPr>
      </w:pPr>
    </w:p>
    <w:p w14:paraId="2EA12922" w14:textId="77777777" w:rsidR="00D978F2" w:rsidRPr="00F13E76" w:rsidRDefault="00D978F2" w:rsidP="00D978F2">
      <w:pPr>
        <w:spacing w:before="0"/>
        <w:ind w:left="567" w:hanging="567"/>
        <w:rPr>
          <w:rFonts w:ascii="Times New Roman" w:hAnsi="Times New Roman"/>
          <w:sz w:val="24"/>
        </w:rPr>
      </w:pPr>
      <w:r w:rsidRPr="00F13E76">
        <w:rPr>
          <w:rFonts w:ascii="Times New Roman" w:hAnsi="Times New Roman"/>
          <w:sz w:val="24"/>
        </w:rPr>
        <w:t xml:space="preserve">3. </w:t>
      </w:r>
      <w:r>
        <w:rPr>
          <w:rFonts w:ascii="Times New Roman" w:hAnsi="Times New Roman"/>
          <w:sz w:val="24"/>
        </w:rPr>
        <w:tab/>
      </w:r>
      <w:r w:rsidRPr="00F13E76">
        <w:rPr>
          <w:rFonts w:ascii="Times New Roman" w:hAnsi="Times New Roman"/>
          <w:sz w:val="24"/>
        </w:rPr>
        <w:t xml:space="preserve">Este </w:t>
      </w:r>
      <w:r>
        <w:rPr>
          <w:rFonts w:ascii="Times New Roman" w:hAnsi="Times New Roman"/>
          <w:sz w:val="24"/>
        </w:rPr>
        <w:t>p</w:t>
      </w:r>
      <w:r w:rsidRPr="00F13E76">
        <w:rPr>
          <w:rFonts w:ascii="Times New Roman" w:hAnsi="Times New Roman"/>
          <w:sz w:val="24"/>
        </w:rPr>
        <w:t>ronunciamento não se aplica também à mensuração dos estoques mantidos por:</w:t>
      </w:r>
    </w:p>
    <w:p w14:paraId="77B3B6AB" w14:textId="77777777" w:rsidR="00D978F2" w:rsidRPr="00F13E76" w:rsidRDefault="00D978F2" w:rsidP="00D978F2">
      <w:pPr>
        <w:numPr>
          <w:ilvl w:val="0"/>
          <w:numId w:val="9"/>
        </w:numPr>
        <w:spacing w:before="0"/>
        <w:ind w:left="993" w:hanging="426"/>
        <w:rPr>
          <w:rFonts w:ascii="Times New Roman" w:hAnsi="Times New Roman"/>
          <w:sz w:val="24"/>
        </w:rPr>
      </w:pPr>
      <w:r w:rsidRPr="00F13E76">
        <w:rPr>
          <w:rFonts w:ascii="Times New Roman" w:hAnsi="Times New Roman"/>
          <w:sz w:val="24"/>
        </w:rPr>
        <w:t>produtores de produtos agrícolas e florestais, de produtos agrícolas após colheita, de minerais e produtos minerais, na medida em que eles sejam mensurados pelo valor realizável líquido de acordo com as práticas já estabelecidas nesses setores. Quando tais estoques são mensurados pelo valor realizável líquido, as alterações nesse valor devem ser reconhecidas no resultado do período em que tenha sido verificada a alteração;</w:t>
      </w:r>
    </w:p>
    <w:p w14:paraId="4473BC9A" w14:textId="77777777" w:rsidR="00D978F2" w:rsidRPr="00F13E76" w:rsidRDefault="00D978F2" w:rsidP="00D978F2">
      <w:pPr>
        <w:numPr>
          <w:ilvl w:val="0"/>
          <w:numId w:val="9"/>
        </w:numPr>
        <w:spacing w:before="0" w:after="0"/>
        <w:ind w:left="993" w:hanging="426"/>
        <w:rPr>
          <w:rFonts w:ascii="Times New Roman" w:hAnsi="Times New Roman"/>
          <w:sz w:val="24"/>
        </w:rPr>
      </w:pPr>
      <w:r w:rsidRPr="00F13E76">
        <w:rPr>
          <w:rFonts w:ascii="Times New Roman" w:hAnsi="Times New Roman"/>
          <w:sz w:val="24"/>
        </w:rPr>
        <w:t xml:space="preserve">comerciantes de </w:t>
      </w:r>
      <w:r w:rsidRPr="00F13E76">
        <w:rPr>
          <w:rFonts w:ascii="Times New Roman" w:hAnsi="Times New Roman"/>
          <w:i/>
          <w:sz w:val="24"/>
        </w:rPr>
        <w:t>commodities</w:t>
      </w:r>
      <w:r w:rsidRPr="00F13E76">
        <w:rPr>
          <w:rFonts w:ascii="Times New Roman" w:hAnsi="Times New Roman"/>
          <w:sz w:val="24"/>
        </w:rPr>
        <w:t xml:space="preserve"> que mensurem seus estoques pelo valor justo  deduzido dos custos de venda. Nesse caso, as alterações desse valor devem ser reconhecidas no resultado do período em que tenha sido verificada a alteração.</w:t>
      </w:r>
    </w:p>
    <w:p w14:paraId="27172ACD" w14:textId="77777777" w:rsidR="00D978F2" w:rsidRPr="00F13E76" w:rsidRDefault="00D978F2" w:rsidP="00D978F2">
      <w:pPr>
        <w:spacing w:before="0" w:after="0"/>
        <w:ind w:left="340" w:hanging="340"/>
        <w:rPr>
          <w:rFonts w:ascii="Times New Roman" w:hAnsi="Times New Roman"/>
          <w:sz w:val="24"/>
        </w:rPr>
      </w:pPr>
    </w:p>
    <w:p w14:paraId="3ED1BF8F"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t xml:space="preserve">4. </w:t>
      </w:r>
      <w:r>
        <w:rPr>
          <w:rFonts w:ascii="Times New Roman" w:hAnsi="Times New Roman"/>
          <w:sz w:val="24"/>
        </w:rPr>
        <w:tab/>
      </w:r>
      <w:r w:rsidRPr="00F13E76">
        <w:rPr>
          <w:rFonts w:ascii="Times New Roman" w:hAnsi="Times New Roman"/>
          <w:sz w:val="24"/>
        </w:rPr>
        <w:t>Os estoques referidos no item 3(a) devem ser mensurados pelo valor realizável líquido em determinadas fases de produção. Isso ocorre, por exemplo, quando as culturas agrícolas tenham sido colhidas ou os minerais tenham sido extraídos e a venda esteja assegurada pelos termos de um contrato futuro ou por garantia governamental ou quando exista um mercado ativo e haja um risco baixo de fracasso de venda. Esses estoques devem ser excluídos apenas dos requisitos de mensuração deste Pronunciamento.</w:t>
      </w:r>
    </w:p>
    <w:p w14:paraId="0FAE9690" w14:textId="77777777" w:rsidR="00D978F2" w:rsidRPr="00F13E76" w:rsidRDefault="00D978F2" w:rsidP="00D978F2">
      <w:pPr>
        <w:spacing w:before="0" w:after="0"/>
        <w:ind w:left="340" w:hanging="340"/>
        <w:rPr>
          <w:rFonts w:ascii="Times New Roman" w:hAnsi="Times New Roman"/>
          <w:sz w:val="24"/>
        </w:rPr>
      </w:pPr>
    </w:p>
    <w:p w14:paraId="37D2BBF9"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t xml:space="preserve">5. </w:t>
      </w:r>
      <w:r>
        <w:rPr>
          <w:rFonts w:ascii="Times New Roman" w:hAnsi="Times New Roman"/>
          <w:sz w:val="24"/>
        </w:rPr>
        <w:tab/>
      </w:r>
      <w:r w:rsidRPr="00F13E76">
        <w:rPr>
          <w:rFonts w:ascii="Times New Roman" w:hAnsi="Times New Roman"/>
          <w:sz w:val="24"/>
        </w:rPr>
        <w:t>Os operadores (</w:t>
      </w:r>
      <w:r w:rsidRPr="00F13E76">
        <w:rPr>
          <w:rFonts w:ascii="Times New Roman" w:hAnsi="Times New Roman"/>
          <w:i/>
          <w:sz w:val="24"/>
        </w:rPr>
        <w:t>broker-traders)</w:t>
      </w:r>
      <w:r w:rsidRPr="00F13E76">
        <w:rPr>
          <w:rFonts w:ascii="Times New Roman" w:hAnsi="Times New Roman"/>
          <w:sz w:val="24"/>
        </w:rPr>
        <w:t xml:space="preserve"> de </w:t>
      </w:r>
      <w:r w:rsidRPr="00F13E76">
        <w:rPr>
          <w:rFonts w:ascii="Times New Roman" w:hAnsi="Times New Roman"/>
          <w:i/>
          <w:sz w:val="24"/>
        </w:rPr>
        <w:t>commodities</w:t>
      </w:r>
      <w:r w:rsidRPr="00F13E76">
        <w:rPr>
          <w:rFonts w:ascii="Times New Roman" w:hAnsi="Times New Roman"/>
          <w:sz w:val="24"/>
        </w:rPr>
        <w:t xml:space="preserve"> são aqueles que compram ou vendem </w:t>
      </w:r>
      <w:r w:rsidRPr="00F13E76">
        <w:rPr>
          <w:rFonts w:ascii="Times New Roman" w:hAnsi="Times New Roman"/>
          <w:i/>
          <w:sz w:val="24"/>
        </w:rPr>
        <w:t>commodities</w:t>
      </w:r>
      <w:r w:rsidRPr="00F13E76">
        <w:rPr>
          <w:rFonts w:ascii="Times New Roman" w:hAnsi="Times New Roman"/>
          <w:sz w:val="24"/>
        </w:rPr>
        <w:t xml:space="preserve"> para outros ou por sua própria conta. Os estoques referidos no item 3(b) são essencialmente adquiridos com a finalidade de venda no futuro próximo e de gerar lucro com base nas variações dos preços ou na margem dos operadores. Quando esses estoques são mensurados pelo valor justo menos os custos de venda, eles são excluídos apenas dos requisitos de mensuração deste Pronunciamento.</w:t>
      </w:r>
    </w:p>
    <w:p w14:paraId="2A8218FF" w14:textId="77777777" w:rsidR="00D978F2" w:rsidRPr="00F13E76" w:rsidRDefault="00D978F2" w:rsidP="00D978F2">
      <w:pPr>
        <w:spacing w:before="0" w:after="0"/>
        <w:ind w:left="340" w:hanging="340"/>
        <w:rPr>
          <w:rFonts w:ascii="Times New Roman" w:hAnsi="Times New Roman"/>
          <w:sz w:val="24"/>
        </w:rPr>
      </w:pPr>
    </w:p>
    <w:p w14:paraId="5C05CACC" w14:textId="77777777" w:rsidR="00D978F2" w:rsidRPr="00726614" w:rsidRDefault="00D978F2" w:rsidP="00D978F2">
      <w:pPr>
        <w:spacing w:before="0" w:after="0"/>
        <w:ind w:left="340" w:hanging="340"/>
        <w:rPr>
          <w:rFonts w:ascii="Times New Roman" w:hAnsi="Times New Roman"/>
          <w:b/>
          <w:sz w:val="24"/>
        </w:rPr>
      </w:pPr>
      <w:r w:rsidRPr="00726614">
        <w:rPr>
          <w:rFonts w:ascii="Times New Roman" w:hAnsi="Times New Roman"/>
          <w:b/>
          <w:sz w:val="24"/>
        </w:rPr>
        <w:t>Definições</w:t>
      </w:r>
    </w:p>
    <w:p w14:paraId="6541DDFB" w14:textId="77777777" w:rsidR="00D978F2" w:rsidRPr="00F13E76" w:rsidRDefault="00D978F2" w:rsidP="00D978F2">
      <w:pPr>
        <w:spacing w:before="0" w:after="0"/>
        <w:ind w:left="340" w:hanging="340"/>
        <w:rPr>
          <w:rFonts w:ascii="Times New Roman" w:hAnsi="Times New Roman"/>
          <w:sz w:val="24"/>
        </w:rPr>
      </w:pPr>
    </w:p>
    <w:p w14:paraId="2AEDD946" w14:textId="77777777" w:rsidR="00D978F2" w:rsidRPr="00F13E76" w:rsidRDefault="00D978F2" w:rsidP="00D978F2">
      <w:pPr>
        <w:spacing w:before="0"/>
        <w:ind w:left="567" w:hanging="567"/>
        <w:rPr>
          <w:rFonts w:ascii="Times New Roman" w:hAnsi="Times New Roman"/>
          <w:sz w:val="24"/>
        </w:rPr>
      </w:pPr>
      <w:r w:rsidRPr="00F13E76">
        <w:rPr>
          <w:rFonts w:ascii="Times New Roman" w:hAnsi="Times New Roman"/>
          <w:sz w:val="24"/>
        </w:rPr>
        <w:t xml:space="preserve">6. </w:t>
      </w:r>
      <w:r>
        <w:rPr>
          <w:rFonts w:ascii="Times New Roman" w:hAnsi="Times New Roman"/>
          <w:sz w:val="24"/>
        </w:rPr>
        <w:tab/>
      </w:r>
      <w:r w:rsidRPr="00F13E76">
        <w:rPr>
          <w:rFonts w:ascii="Times New Roman" w:hAnsi="Times New Roman"/>
          <w:sz w:val="24"/>
        </w:rPr>
        <w:t>Os seguintes termos são usados neste Pronunciamento, com os significados especificados:</w:t>
      </w:r>
    </w:p>
    <w:p w14:paraId="01B52C46" w14:textId="77777777" w:rsidR="00D978F2" w:rsidRPr="00F13E76" w:rsidRDefault="00D978F2" w:rsidP="00D978F2">
      <w:pPr>
        <w:spacing w:before="0"/>
        <w:ind w:left="567"/>
        <w:rPr>
          <w:rFonts w:ascii="Times New Roman" w:hAnsi="Times New Roman"/>
          <w:sz w:val="24"/>
        </w:rPr>
      </w:pPr>
      <w:r w:rsidRPr="00F13E76">
        <w:rPr>
          <w:rFonts w:ascii="Times New Roman" w:hAnsi="Times New Roman"/>
          <w:i/>
          <w:sz w:val="24"/>
        </w:rPr>
        <w:t>Estoques</w:t>
      </w:r>
      <w:r w:rsidRPr="00F13E76">
        <w:rPr>
          <w:rFonts w:ascii="Times New Roman" w:hAnsi="Times New Roman"/>
          <w:sz w:val="24"/>
        </w:rPr>
        <w:t xml:space="preserve"> são ativos:</w:t>
      </w:r>
    </w:p>
    <w:p w14:paraId="1E7024BE" w14:textId="77777777" w:rsidR="00D978F2" w:rsidRPr="00F13E76" w:rsidRDefault="00D978F2" w:rsidP="00D978F2">
      <w:pPr>
        <w:numPr>
          <w:ilvl w:val="0"/>
          <w:numId w:val="10"/>
        </w:numPr>
        <w:spacing w:before="0"/>
        <w:ind w:left="993" w:hanging="426"/>
        <w:rPr>
          <w:rFonts w:ascii="Times New Roman" w:hAnsi="Times New Roman"/>
          <w:sz w:val="24"/>
        </w:rPr>
      </w:pPr>
      <w:r w:rsidRPr="00F13E76">
        <w:rPr>
          <w:rFonts w:ascii="Times New Roman" w:hAnsi="Times New Roman"/>
          <w:sz w:val="24"/>
        </w:rPr>
        <w:t>mantidos para venda no curso normal dos negócios;</w:t>
      </w:r>
    </w:p>
    <w:p w14:paraId="4F3E400D" w14:textId="77777777" w:rsidR="00D978F2" w:rsidRPr="00F13E76" w:rsidRDefault="00D978F2" w:rsidP="00D978F2">
      <w:pPr>
        <w:numPr>
          <w:ilvl w:val="0"/>
          <w:numId w:val="10"/>
        </w:numPr>
        <w:spacing w:before="0"/>
        <w:ind w:left="993" w:hanging="426"/>
        <w:rPr>
          <w:rFonts w:ascii="Times New Roman" w:hAnsi="Times New Roman"/>
          <w:sz w:val="24"/>
        </w:rPr>
      </w:pPr>
      <w:r w:rsidRPr="00F13E76">
        <w:rPr>
          <w:rFonts w:ascii="Times New Roman" w:hAnsi="Times New Roman"/>
          <w:sz w:val="24"/>
        </w:rPr>
        <w:t>em  processo de produção para venda; ou</w:t>
      </w:r>
    </w:p>
    <w:p w14:paraId="222C17F4" w14:textId="77777777" w:rsidR="00D978F2" w:rsidRPr="00F13E76" w:rsidRDefault="00D978F2" w:rsidP="00D978F2">
      <w:pPr>
        <w:spacing w:before="0"/>
        <w:ind w:left="993" w:hanging="426"/>
        <w:rPr>
          <w:rFonts w:ascii="Times New Roman" w:hAnsi="Times New Roman"/>
          <w:sz w:val="24"/>
        </w:rPr>
      </w:pPr>
      <w:r w:rsidRPr="00F13E76">
        <w:rPr>
          <w:rFonts w:ascii="Times New Roman" w:hAnsi="Times New Roman"/>
          <w:sz w:val="24"/>
        </w:rPr>
        <w:t xml:space="preserve">(c) </w:t>
      </w:r>
      <w:r>
        <w:rPr>
          <w:rFonts w:ascii="Times New Roman" w:hAnsi="Times New Roman"/>
          <w:sz w:val="24"/>
        </w:rPr>
        <w:tab/>
      </w:r>
      <w:r w:rsidRPr="00F13E76">
        <w:rPr>
          <w:rFonts w:ascii="Times New Roman" w:hAnsi="Times New Roman"/>
          <w:sz w:val="24"/>
        </w:rPr>
        <w:t>na forma de materiais ou suprimentos a serem consumidos ou transformados no processo de produção ou na prestação de serviços.</w:t>
      </w:r>
    </w:p>
    <w:p w14:paraId="109FAE54" w14:textId="77777777" w:rsidR="00D978F2" w:rsidRPr="00F13E76" w:rsidRDefault="00D978F2" w:rsidP="00D978F2">
      <w:pPr>
        <w:spacing w:before="0"/>
        <w:ind w:left="567"/>
        <w:rPr>
          <w:rFonts w:ascii="Times New Roman" w:hAnsi="Times New Roman"/>
          <w:sz w:val="24"/>
        </w:rPr>
      </w:pPr>
      <w:r w:rsidRPr="00F13E76">
        <w:rPr>
          <w:rFonts w:ascii="Times New Roman" w:hAnsi="Times New Roman"/>
          <w:i/>
          <w:sz w:val="24"/>
        </w:rPr>
        <w:lastRenderedPageBreak/>
        <w:t>Valor realizável líquido</w:t>
      </w:r>
      <w:r w:rsidRPr="00F13E76">
        <w:rPr>
          <w:rFonts w:ascii="Times New Roman" w:hAnsi="Times New Roman"/>
          <w:sz w:val="24"/>
        </w:rPr>
        <w:t xml:space="preserve"> é o preço de venda estimado no curso normal dos negócios deduzido dos custos estimados para sua conclusão e dos gastos estimados necessários para se concretizar a venda.</w:t>
      </w:r>
    </w:p>
    <w:p w14:paraId="7AD9993B" w14:textId="2927E8FC" w:rsidR="00D978F2" w:rsidRDefault="00D978F2" w:rsidP="00D978F2">
      <w:pPr>
        <w:pStyle w:val="Style20"/>
        <w:widowControl/>
        <w:ind w:left="567"/>
        <w:jc w:val="both"/>
        <w:rPr>
          <w:rFonts w:ascii="Times New Roman" w:hAnsi="Times New Roman"/>
          <w:sz w:val="20"/>
          <w:szCs w:val="20"/>
        </w:rPr>
      </w:pPr>
      <w:r>
        <w:rPr>
          <w:rFonts w:ascii="Times New Roman" w:hAnsi="Times New Roman"/>
          <w:i/>
        </w:rPr>
        <w:t>Valor justo</w:t>
      </w:r>
      <w:r>
        <w:rPr>
          <w:rFonts w:ascii="Times New Roman" w:hAnsi="Times New Roman"/>
        </w:rPr>
        <w:t xml:space="preserve"> é o preço que seria recebido pela venda de um ativo ou que seria pago pela transferência de um passivo em uma transação não forçada entre participantes do mercado na data de mensuração. </w:t>
      </w:r>
    </w:p>
    <w:p w14:paraId="08D8605A" w14:textId="77777777" w:rsidR="00D978F2" w:rsidRPr="00691D73" w:rsidRDefault="00D978F2" w:rsidP="00D978F2">
      <w:pPr>
        <w:spacing w:before="0" w:after="0"/>
        <w:ind w:left="340" w:hanging="340"/>
        <w:rPr>
          <w:rFonts w:ascii="Times New Roman" w:hAnsi="Times New Roman"/>
          <w:sz w:val="24"/>
          <w:lang w:val="pt-BR"/>
        </w:rPr>
      </w:pPr>
    </w:p>
    <w:p w14:paraId="1702BB93" w14:textId="501AD1FD" w:rsidR="00D978F2" w:rsidRDefault="00D978F2" w:rsidP="00D978F2">
      <w:pPr>
        <w:spacing w:before="0" w:after="0"/>
        <w:ind w:left="567" w:hanging="567"/>
        <w:rPr>
          <w:rFonts w:ascii="Times New Roman" w:hAnsi="Times New Roman"/>
          <w:szCs w:val="20"/>
        </w:rPr>
      </w:pPr>
      <w:r w:rsidRPr="008C3CB6">
        <w:rPr>
          <w:rFonts w:ascii="Times New Roman" w:hAnsi="Times New Roman"/>
          <w:sz w:val="24"/>
        </w:rPr>
        <w:t>7.</w:t>
      </w:r>
      <w:r w:rsidRPr="008C3CB6">
        <w:rPr>
          <w:rFonts w:ascii="Times New Roman" w:hAnsi="Times New Roman"/>
          <w:sz w:val="24"/>
        </w:rPr>
        <w:tab/>
        <w:t>O valor realizável líquido refere-se à quantia líquida que a entidade espera realizar com a venda do estoque no curso normal dos negócios. O valor justo reflete o preço pelo qual uma transação ordenada para a venda do mesmo estoque no mercado principal (ou mais vantajoso) para esse estoque ocorreria entre participantes do mercado na data de mensuração. O primeiro é um valor específico para a entidade, ao passo que o segundo já não é. Por isso, o valor realizável líquido dos estoques pode não ser equivalente ao valor justo deduzido dos gastos necessários para a respectiva venda.</w:t>
      </w:r>
      <w:r>
        <w:rPr>
          <w:rFonts w:ascii="Times New Roman" w:hAnsi="Times New Roman"/>
          <w:sz w:val="24"/>
        </w:rPr>
        <w:t xml:space="preserve"> </w:t>
      </w:r>
    </w:p>
    <w:p w14:paraId="5EE2AC33" w14:textId="77777777" w:rsidR="00D978F2" w:rsidRPr="00691D73" w:rsidRDefault="00D978F2" w:rsidP="00D978F2">
      <w:pPr>
        <w:spacing w:before="0" w:after="0"/>
        <w:ind w:left="340" w:hanging="340"/>
        <w:rPr>
          <w:rFonts w:ascii="Times New Roman" w:hAnsi="Times New Roman"/>
          <w:sz w:val="24"/>
          <w:lang w:val="pt-BR"/>
        </w:rPr>
      </w:pPr>
    </w:p>
    <w:p w14:paraId="3C030B48" w14:textId="1F0943F1" w:rsidR="00D978F2" w:rsidRPr="00F356FC" w:rsidRDefault="00D978F2" w:rsidP="00D978F2">
      <w:pPr>
        <w:spacing w:before="0" w:after="0"/>
        <w:ind w:left="567" w:right="-57" w:hanging="567"/>
        <w:rPr>
          <w:rFonts w:ascii="Times New Roman" w:hAnsi="Times New Roman"/>
          <w:color w:val="0070C0"/>
          <w:szCs w:val="20"/>
        </w:rPr>
      </w:pPr>
      <w:r w:rsidRPr="00F356FC">
        <w:rPr>
          <w:rFonts w:ascii="Times New Roman" w:hAnsi="Times New Roman"/>
          <w:sz w:val="24"/>
        </w:rPr>
        <w:t xml:space="preserve">8. </w:t>
      </w:r>
      <w:r w:rsidRPr="00F356FC">
        <w:rPr>
          <w:rFonts w:ascii="Times New Roman" w:hAnsi="Times New Roman"/>
          <w:sz w:val="24"/>
        </w:rPr>
        <w:tab/>
      </w:r>
      <w:r w:rsidRPr="00A57C35">
        <w:rPr>
          <w:rFonts w:ascii="Times New Roman" w:hAnsi="Times New Roman"/>
          <w:sz w:val="24"/>
        </w:rPr>
        <w:t>Os estoques compreendem bens adquiridos e destinados à venda, incluindo, por exemplo, mercadorias compradas por varejista para revenda ou terrenos e outros imóveis para revenda. Os estoques também compreendem produtos acabados e produtos em processo de produção pela entidade e incluem matérias-primas e materiais, aguardando utilização no processo de produção, tais como: componentes, embalagens e material de consumo. Os custos incorridos para cumprir o contrato com o cliente, que não resultam em estoques (ou ativos dentro do alcance de outro pronunciamento), devem ser contabilizados de acordo com o CPC 47 – Receita de Contrato com Cliente.</w:t>
      </w:r>
      <w:r w:rsidRPr="00A57C35">
        <w:rPr>
          <w:rFonts w:ascii="Times New Roman" w:hAnsi="Times New Roman"/>
          <w:sz w:val="24"/>
          <w:szCs w:val="20"/>
        </w:rPr>
        <w:t xml:space="preserve"> </w:t>
      </w:r>
    </w:p>
    <w:p w14:paraId="5BD49AD4" w14:textId="77777777" w:rsidR="00D978F2" w:rsidRPr="00F13E76" w:rsidRDefault="00D978F2" w:rsidP="00D978F2">
      <w:pPr>
        <w:spacing w:before="0" w:after="0"/>
        <w:ind w:left="340" w:hanging="340"/>
        <w:rPr>
          <w:rFonts w:ascii="Times New Roman" w:hAnsi="Times New Roman"/>
          <w:sz w:val="24"/>
        </w:rPr>
      </w:pPr>
    </w:p>
    <w:p w14:paraId="06449069" w14:textId="77777777" w:rsidR="00D978F2" w:rsidRPr="00F356FC" w:rsidRDefault="00D978F2" w:rsidP="00D978F2">
      <w:pPr>
        <w:spacing w:before="0" w:after="0"/>
        <w:ind w:left="340" w:hanging="340"/>
        <w:rPr>
          <w:rFonts w:ascii="Times New Roman" w:hAnsi="Times New Roman"/>
          <w:b/>
          <w:sz w:val="24"/>
        </w:rPr>
      </w:pPr>
      <w:r w:rsidRPr="00F356FC">
        <w:rPr>
          <w:rFonts w:ascii="Times New Roman" w:hAnsi="Times New Roman"/>
          <w:b/>
          <w:sz w:val="24"/>
        </w:rPr>
        <w:t>Mensuração de estoque</w:t>
      </w:r>
    </w:p>
    <w:p w14:paraId="0F64B402" w14:textId="77777777" w:rsidR="00D978F2" w:rsidRPr="00F13E76" w:rsidRDefault="00D978F2" w:rsidP="00D978F2">
      <w:pPr>
        <w:spacing w:before="0" w:after="0"/>
        <w:ind w:left="340" w:right="-57" w:hanging="340"/>
        <w:rPr>
          <w:rFonts w:ascii="Times New Roman" w:hAnsi="Times New Roman"/>
          <w:sz w:val="24"/>
        </w:rPr>
      </w:pPr>
    </w:p>
    <w:p w14:paraId="255A7C7B"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t xml:space="preserve">9. </w:t>
      </w:r>
      <w:r>
        <w:rPr>
          <w:rFonts w:ascii="Times New Roman" w:hAnsi="Times New Roman"/>
          <w:sz w:val="24"/>
        </w:rPr>
        <w:tab/>
      </w:r>
      <w:r w:rsidRPr="00F13E76">
        <w:rPr>
          <w:rFonts w:ascii="Times New Roman" w:hAnsi="Times New Roman"/>
          <w:sz w:val="24"/>
        </w:rPr>
        <w:t>Os estoques objeto deste Pronunciamento devem ser mensurados pelo valor de custo ou pelo valor realizável líquido, dos dois o menor.</w:t>
      </w:r>
    </w:p>
    <w:p w14:paraId="1B6646AA" w14:textId="77777777" w:rsidR="00D978F2" w:rsidRPr="00F13E76" w:rsidRDefault="00D978F2" w:rsidP="00D978F2">
      <w:pPr>
        <w:spacing w:before="0" w:after="0"/>
        <w:ind w:left="340" w:right="-57" w:hanging="340"/>
        <w:rPr>
          <w:rFonts w:ascii="Times New Roman" w:hAnsi="Times New Roman"/>
          <w:sz w:val="24"/>
        </w:rPr>
      </w:pPr>
    </w:p>
    <w:p w14:paraId="3DB1A247" w14:textId="77777777" w:rsidR="00D978F2" w:rsidRPr="00D708D4" w:rsidRDefault="00D978F2" w:rsidP="00D978F2">
      <w:pPr>
        <w:spacing w:before="0" w:after="0"/>
        <w:ind w:left="340" w:right="-57" w:hanging="340"/>
        <w:rPr>
          <w:rFonts w:ascii="Times New Roman" w:hAnsi="Times New Roman"/>
          <w:b/>
          <w:sz w:val="24"/>
        </w:rPr>
      </w:pPr>
      <w:r w:rsidRPr="00D708D4">
        <w:rPr>
          <w:rFonts w:ascii="Times New Roman" w:hAnsi="Times New Roman"/>
          <w:b/>
          <w:sz w:val="24"/>
        </w:rPr>
        <w:t>Custos do estoque</w:t>
      </w:r>
    </w:p>
    <w:p w14:paraId="62AB524F" w14:textId="77777777" w:rsidR="00D978F2" w:rsidRPr="00F13E76" w:rsidRDefault="00D978F2" w:rsidP="00D978F2">
      <w:pPr>
        <w:spacing w:before="0" w:after="0"/>
        <w:ind w:left="340" w:right="-57" w:hanging="340"/>
        <w:rPr>
          <w:rFonts w:ascii="Times New Roman" w:hAnsi="Times New Roman"/>
          <w:sz w:val="24"/>
        </w:rPr>
      </w:pPr>
    </w:p>
    <w:p w14:paraId="61819CB4"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t xml:space="preserve">10. </w:t>
      </w:r>
      <w:r>
        <w:rPr>
          <w:rFonts w:ascii="Times New Roman" w:hAnsi="Times New Roman"/>
          <w:sz w:val="24"/>
        </w:rPr>
        <w:tab/>
      </w:r>
      <w:r w:rsidRPr="00F13E76">
        <w:rPr>
          <w:rFonts w:ascii="Times New Roman" w:hAnsi="Times New Roman"/>
          <w:sz w:val="24"/>
        </w:rPr>
        <w:t>O valor de custo do estoque deve incluir todos os custos de aquisição e de transformação, bem como outros custos incorridos para trazer os estoques à sua condição e localização atuais.</w:t>
      </w:r>
    </w:p>
    <w:p w14:paraId="446596D5" w14:textId="77777777" w:rsidR="00D978F2" w:rsidRPr="00F13E76" w:rsidRDefault="00D978F2" w:rsidP="00D978F2">
      <w:pPr>
        <w:spacing w:before="0" w:after="0"/>
        <w:ind w:left="340" w:right="-57" w:hanging="340"/>
        <w:rPr>
          <w:rFonts w:ascii="Times New Roman" w:hAnsi="Times New Roman"/>
          <w:sz w:val="24"/>
        </w:rPr>
      </w:pPr>
    </w:p>
    <w:p w14:paraId="0858435F" w14:textId="77777777" w:rsidR="00D978F2" w:rsidRPr="00F13E76" w:rsidRDefault="00D978F2" w:rsidP="00D978F2">
      <w:pPr>
        <w:spacing w:before="0" w:after="0"/>
        <w:ind w:left="340" w:right="-57" w:hanging="340"/>
        <w:rPr>
          <w:rFonts w:ascii="Times New Roman" w:hAnsi="Times New Roman"/>
          <w:sz w:val="24"/>
        </w:rPr>
      </w:pPr>
      <w:r w:rsidRPr="00F13E76">
        <w:rPr>
          <w:rFonts w:ascii="Times New Roman" w:hAnsi="Times New Roman"/>
          <w:sz w:val="24"/>
        </w:rPr>
        <w:t>Custos de aquisição</w:t>
      </w:r>
    </w:p>
    <w:p w14:paraId="3D1D4CC2" w14:textId="77777777" w:rsidR="00D978F2" w:rsidRPr="00F13E76" w:rsidRDefault="00D978F2" w:rsidP="00D978F2">
      <w:pPr>
        <w:spacing w:before="0" w:after="0"/>
        <w:ind w:left="340" w:right="-57" w:hanging="340"/>
        <w:rPr>
          <w:rFonts w:ascii="Times New Roman" w:hAnsi="Times New Roman"/>
          <w:sz w:val="24"/>
        </w:rPr>
      </w:pPr>
    </w:p>
    <w:p w14:paraId="43B06628" w14:textId="29E8309B" w:rsidR="00D978F2" w:rsidRPr="00700ECF" w:rsidRDefault="00D978F2" w:rsidP="00D978F2">
      <w:pPr>
        <w:spacing w:before="0" w:after="0"/>
        <w:ind w:left="567" w:hanging="567"/>
        <w:rPr>
          <w:rFonts w:ascii="Times New Roman" w:hAnsi="Times New Roman"/>
          <w:b/>
          <w:bCs/>
          <w:i/>
          <w:iCs/>
          <w:color w:val="0070C0"/>
          <w:sz w:val="24"/>
        </w:rPr>
      </w:pPr>
      <w:r>
        <w:rPr>
          <w:rFonts w:ascii="Times New Roman" w:hAnsi="Times New Roman"/>
          <w:sz w:val="24"/>
        </w:rPr>
        <w:t xml:space="preserve">11. </w:t>
      </w:r>
      <w:r>
        <w:rPr>
          <w:rFonts w:ascii="Times New Roman" w:hAnsi="Times New Roman"/>
          <w:sz w:val="24"/>
        </w:rPr>
        <w:tab/>
        <w:t xml:space="preserve">O custo de aquisição dos estoques compreende o preço de compra, os impostos de importação e outros tributos (exceto os recuperáveis junto ao fisco), bem como os custos de transporte, seguro, manuseio e outros diretamente atribuíveis à aquisição de produtos acabados, materiais e serviços. Descontos comerciais, abatimentos e outros itens semelhantes devem ser deduzidos na determinação do custo de aquisição. </w:t>
      </w:r>
    </w:p>
    <w:p w14:paraId="614BD5A9" w14:textId="77777777" w:rsidR="00D978F2" w:rsidRPr="00F13E76" w:rsidRDefault="00D978F2" w:rsidP="00D978F2">
      <w:pPr>
        <w:spacing w:before="0" w:after="0"/>
        <w:ind w:left="340" w:right="-57" w:hanging="340"/>
        <w:rPr>
          <w:rFonts w:ascii="Times New Roman" w:hAnsi="Times New Roman"/>
          <w:sz w:val="24"/>
        </w:rPr>
      </w:pPr>
    </w:p>
    <w:p w14:paraId="3550B007" w14:textId="77777777" w:rsidR="00D978F2" w:rsidRPr="00F13E76" w:rsidRDefault="00D978F2" w:rsidP="00D978F2">
      <w:pPr>
        <w:spacing w:before="0" w:after="0"/>
        <w:ind w:left="340" w:right="-57" w:hanging="340"/>
        <w:rPr>
          <w:rFonts w:ascii="Times New Roman" w:hAnsi="Times New Roman"/>
          <w:sz w:val="24"/>
        </w:rPr>
      </w:pPr>
      <w:r w:rsidRPr="00F13E76">
        <w:rPr>
          <w:rFonts w:ascii="Times New Roman" w:hAnsi="Times New Roman"/>
          <w:sz w:val="24"/>
        </w:rPr>
        <w:t>Custos de transformação</w:t>
      </w:r>
    </w:p>
    <w:p w14:paraId="737DCB24" w14:textId="77777777" w:rsidR="00D978F2" w:rsidRPr="00F13E76" w:rsidRDefault="00D978F2" w:rsidP="00D978F2">
      <w:pPr>
        <w:spacing w:before="0" w:after="0"/>
        <w:ind w:left="340" w:hanging="340"/>
        <w:rPr>
          <w:rFonts w:ascii="Times New Roman" w:hAnsi="Times New Roman"/>
          <w:sz w:val="24"/>
        </w:rPr>
      </w:pPr>
    </w:p>
    <w:p w14:paraId="432DFD19" w14:textId="01B1E557" w:rsidR="00D978F2" w:rsidRDefault="00D978F2" w:rsidP="00D978F2">
      <w:pPr>
        <w:spacing w:before="0" w:after="0"/>
        <w:ind w:left="567" w:hanging="567"/>
        <w:rPr>
          <w:rFonts w:ascii="Times New Roman" w:hAnsi="Times New Roman"/>
          <w:sz w:val="24"/>
        </w:rPr>
      </w:pPr>
      <w:r>
        <w:rPr>
          <w:rFonts w:ascii="Times New Roman" w:hAnsi="Times New Roman"/>
          <w:sz w:val="24"/>
        </w:rPr>
        <w:t xml:space="preserve">12. </w:t>
      </w:r>
      <w:r>
        <w:rPr>
          <w:rFonts w:ascii="Times New Roman" w:hAnsi="Times New Roman"/>
          <w:sz w:val="24"/>
        </w:rPr>
        <w:tab/>
        <w:t xml:space="preserve">Os custos de transformação de estoques incluem os custos diretamente relacionados com as unidades produzidas ou com as linhas de produção, como pode ser o caso da mão de obra direta. Também incluem a alocação sistemática de custos indiretos de produção, fixos e variáveis, que sejam </w:t>
      </w:r>
      <w:r>
        <w:rPr>
          <w:rFonts w:ascii="Times New Roman" w:hAnsi="Times New Roman"/>
          <w:sz w:val="24"/>
        </w:rPr>
        <w:lastRenderedPageBreak/>
        <w:t xml:space="preserve">incorridos para transformar os materiais em produtos acabados. Os custos indiretos de produção fixos são aqueles que permanecem relativamente constantes independentemente do volume de produção, tais como a depreciação e a manutenção de edifícios e instalações fabris, máquinas, equipamentos </w:t>
      </w:r>
      <w:r w:rsidRPr="004877B6">
        <w:rPr>
          <w:rFonts w:ascii="Times New Roman" w:hAnsi="Times New Roman"/>
          <w:sz w:val="24"/>
        </w:rPr>
        <w:t>e ativos de direito de uso utilizados no processo de produção e o custo de gestão e de administração</w:t>
      </w:r>
      <w:r>
        <w:rPr>
          <w:rFonts w:ascii="Times New Roman" w:hAnsi="Times New Roman"/>
          <w:sz w:val="24"/>
        </w:rPr>
        <w:t xml:space="preserve"> da fábrica. Os custos indiretos de produção variáveis são aqueles que variam diretamente, ou quase diretamente, com o volume de produção, tais como materiais indiretos e certos tipos de mão de obra indireta. </w:t>
      </w:r>
    </w:p>
    <w:p w14:paraId="5653915B" w14:textId="77777777" w:rsidR="00D978F2" w:rsidRDefault="00D978F2" w:rsidP="00D978F2">
      <w:pPr>
        <w:spacing w:before="0" w:after="0"/>
        <w:ind w:left="340" w:hanging="340"/>
        <w:rPr>
          <w:rFonts w:ascii="Times New Roman" w:hAnsi="Times New Roman"/>
          <w:sz w:val="24"/>
        </w:rPr>
      </w:pPr>
    </w:p>
    <w:p w14:paraId="5CB4A262" w14:textId="742FDE12" w:rsidR="00D978F2" w:rsidRDefault="00D978F2" w:rsidP="00D978F2">
      <w:pPr>
        <w:spacing w:before="0" w:after="0"/>
        <w:ind w:left="567" w:hanging="567"/>
        <w:rPr>
          <w:rFonts w:ascii="Times New Roman" w:hAnsi="Times New Roman"/>
          <w:szCs w:val="20"/>
        </w:rPr>
      </w:pPr>
      <w:r w:rsidRPr="008C3CB6">
        <w:rPr>
          <w:rFonts w:ascii="Times New Roman" w:hAnsi="Times New Roman"/>
          <w:sz w:val="24"/>
          <w:lang w:val="pt-BR"/>
        </w:rPr>
        <w:t xml:space="preserve">13. </w:t>
      </w:r>
      <w:r w:rsidRPr="008C3CB6">
        <w:rPr>
          <w:rFonts w:ascii="Times New Roman" w:hAnsi="Times New Roman"/>
          <w:sz w:val="24"/>
          <w:lang w:val="pt-BR"/>
        </w:rPr>
        <w:tab/>
        <w:t>A alocação de custos fixos indiretos de fabricação às unidades produzidas deve ser baseada na capacidade normal de produção. A capacidade normal é a produção média que se espera atingir ao longo de vários períodos em circunstâncias normais; com isso, leva-se em consideração, para a determinação dessa capacidade normal, a parcela da capacidade total não</w:t>
      </w:r>
      <w:r>
        <w:rPr>
          <w:rFonts w:ascii="Times New Roman" w:hAnsi="Times New Roman"/>
          <w:sz w:val="24"/>
          <w:lang w:val="pt-BR"/>
        </w:rPr>
        <w:t xml:space="preserve"> </w:t>
      </w:r>
      <w:r w:rsidRPr="008C3CB6">
        <w:rPr>
          <w:rFonts w:ascii="Times New Roman" w:hAnsi="Times New Roman"/>
          <w:sz w:val="24"/>
          <w:lang w:val="pt-BR"/>
        </w:rPr>
        <w:t>utilizada por causa de manutenção preventiva, de férias coletivas e de outros eventos semelhantes considerados normais para a entidade. O nível real de produção pode ser usado se aproximar-se da capacidade normal. Como consequência, o valor do custo fixo alocado a cada unidade produzida não pode ser aumentado por causa de um baixo volume de produção ou ociosidade. Os custos fixos não alocados aos produtos devem ser reconhecidos diretamente como despesa no período em que são incorridos. Em períodos de anormal alto volume de produção, o montante de custo fixo alocado a cada unidade produzida deve ser diminuído, de maneira que os estoques não são mensurados acima do custo. Os custos indiretos de produção variáveis devem ser alocados a cada unidade produzida com base no uso real dos insumos variáveis de produção, ou seja, na capacidade real utilizada.</w:t>
      </w:r>
      <w:r>
        <w:rPr>
          <w:rFonts w:ascii="Times New Roman" w:hAnsi="Times New Roman"/>
          <w:sz w:val="24"/>
          <w:lang w:val="pt-BR"/>
        </w:rPr>
        <w:t xml:space="preserve"> </w:t>
      </w:r>
    </w:p>
    <w:p w14:paraId="18C66338" w14:textId="77777777" w:rsidR="00D978F2" w:rsidRPr="004877B6" w:rsidRDefault="00D978F2" w:rsidP="00D978F2">
      <w:pPr>
        <w:autoSpaceDE w:val="0"/>
        <w:autoSpaceDN w:val="0"/>
        <w:adjustRightInd w:val="0"/>
        <w:spacing w:before="0" w:after="0"/>
        <w:ind w:left="567" w:hanging="567"/>
        <w:rPr>
          <w:rFonts w:ascii="Times New Roman" w:hAnsi="Times New Roman"/>
          <w:sz w:val="24"/>
          <w:lang w:val="pt-BR"/>
        </w:rPr>
      </w:pPr>
    </w:p>
    <w:p w14:paraId="0DD9181D"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t xml:space="preserve">14. </w:t>
      </w:r>
      <w:r>
        <w:rPr>
          <w:rFonts w:ascii="Times New Roman" w:hAnsi="Times New Roman"/>
          <w:sz w:val="24"/>
        </w:rPr>
        <w:tab/>
      </w:r>
      <w:r w:rsidRPr="00F13E76">
        <w:rPr>
          <w:rFonts w:ascii="Times New Roman" w:hAnsi="Times New Roman"/>
          <w:sz w:val="24"/>
        </w:rPr>
        <w:t xml:space="preserve">Um processo de produção pode resultar em mais de um produto fabricado simultaneamente. Este é, por exemplo, o caso quando se fabricam produtos em conjunto ou quando há um produto principal e um ou mais subprodutos. Quando os custos de transformação de cada produto não são separadamente identificáveis, eles devem ser atribuídos aos produtos em base racional e consistente. Essa alocação pode ser baseada, por exemplo, no valor relativo da receita de venda de cada produto, seja na fase do processo de produção em que os produtos se tornam separadamente identificáveis, seja no final da produção, conforme o caso. A maior parte dos subprodutos, em razão de sua natureza, geralmente é imaterial. Quando for esse o caso, eles são muitas vezes mensurados pelo valor realizável líquido e este valor é deduzido do custo do produto principal. Como resultado, o valor contábil do produto principal não deve ser materialmente diferente do seu custo. </w:t>
      </w:r>
    </w:p>
    <w:p w14:paraId="5C7ECFEC" w14:textId="77777777" w:rsidR="00D978F2" w:rsidRPr="00F13E76" w:rsidRDefault="00D978F2" w:rsidP="00D978F2">
      <w:pPr>
        <w:spacing w:before="0" w:after="0"/>
        <w:ind w:left="340" w:hanging="340"/>
        <w:rPr>
          <w:rFonts w:ascii="Times New Roman" w:hAnsi="Times New Roman"/>
          <w:sz w:val="24"/>
        </w:rPr>
      </w:pPr>
    </w:p>
    <w:p w14:paraId="07FB8434" w14:textId="77777777" w:rsidR="00D978F2" w:rsidRPr="00F13E76" w:rsidRDefault="00D978F2" w:rsidP="00D978F2">
      <w:pPr>
        <w:spacing w:before="0" w:after="0"/>
        <w:ind w:left="340" w:hanging="340"/>
        <w:rPr>
          <w:rFonts w:ascii="Times New Roman" w:hAnsi="Times New Roman"/>
          <w:sz w:val="24"/>
        </w:rPr>
      </w:pPr>
      <w:r w:rsidRPr="00F13E76">
        <w:rPr>
          <w:rFonts w:ascii="Times New Roman" w:hAnsi="Times New Roman"/>
          <w:sz w:val="24"/>
        </w:rPr>
        <w:t>Outros custos</w:t>
      </w:r>
    </w:p>
    <w:p w14:paraId="570B6ED8" w14:textId="77777777" w:rsidR="00D978F2" w:rsidRPr="00F13E76" w:rsidRDefault="00D978F2" w:rsidP="00D978F2">
      <w:pPr>
        <w:spacing w:before="0" w:after="0"/>
        <w:ind w:left="340" w:hanging="340"/>
        <w:rPr>
          <w:rFonts w:ascii="Times New Roman" w:hAnsi="Times New Roman"/>
          <w:sz w:val="24"/>
        </w:rPr>
      </w:pPr>
    </w:p>
    <w:p w14:paraId="6CA837E5"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t xml:space="preserve">15. </w:t>
      </w:r>
      <w:r>
        <w:rPr>
          <w:rFonts w:ascii="Times New Roman" w:hAnsi="Times New Roman"/>
          <w:sz w:val="24"/>
        </w:rPr>
        <w:tab/>
      </w:r>
      <w:r w:rsidRPr="00F13E76">
        <w:rPr>
          <w:rFonts w:ascii="Times New Roman" w:hAnsi="Times New Roman"/>
          <w:sz w:val="24"/>
        </w:rPr>
        <w:t>Outros custos que não de aquisição nem de transformação devem ser incluídos nos custos dos estoques somente na medida em que sejam incorridos para colocar os estoques no seu local e na sua condição atuais. Por exemplo, pode ser apropriado incluir no custo dos estoques gastos gerais que não sejam de produção ou os custos de desenho de produtos para clientes específicos.</w:t>
      </w:r>
    </w:p>
    <w:p w14:paraId="0C754DD2" w14:textId="77777777" w:rsidR="00D978F2" w:rsidRPr="00F13E76" w:rsidRDefault="00D978F2" w:rsidP="00D978F2">
      <w:pPr>
        <w:spacing w:before="0" w:after="0"/>
        <w:ind w:left="340" w:hanging="340"/>
        <w:rPr>
          <w:rFonts w:ascii="Times New Roman" w:hAnsi="Times New Roman"/>
          <w:sz w:val="24"/>
        </w:rPr>
      </w:pPr>
    </w:p>
    <w:p w14:paraId="0B372E0F" w14:textId="77777777" w:rsidR="00D978F2" w:rsidRPr="00F13E76" w:rsidRDefault="00D978F2" w:rsidP="00D978F2">
      <w:pPr>
        <w:spacing w:before="0"/>
        <w:ind w:left="567" w:hanging="567"/>
        <w:rPr>
          <w:rFonts w:ascii="Times New Roman" w:hAnsi="Times New Roman"/>
          <w:sz w:val="24"/>
        </w:rPr>
      </w:pPr>
      <w:r w:rsidRPr="00F13E76">
        <w:rPr>
          <w:rFonts w:ascii="Times New Roman" w:hAnsi="Times New Roman"/>
          <w:sz w:val="24"/>
        </w:rPr>
        <w:t xml:space="preserve">16. </w:t>
      </w:r>
      <w:r>
        <w:rPr>
          <w:rFonts w:ascii="Times New Roman" w:hAnsi="Times New Roman"/>
          <w:sz w:val="24"/>
        </w:rPr>
        <w:tab/>
      </w:r>
      <w:r w:rsidRPr="00F13E76">
        <w:rPr>
          <w:rFonts w:ascii="Times New Roman" w:hAnsi="Times New Roman"/>
          <w:sz w:val="24"/>
        </w:rPr>
        <w:t>Exemplos de  itens não</w:t>
      </w:r>
      <w:r>
        <w:rPr>
          <w:rFonts w:ascii="Times New Roman" w:hAnsi="Times New Roman"/>
          <w:sz w:val="24"/>
        </w:rPr>
        <w:t xml:space="preserve"> </w:t>
      </w:r>
      <w:r w:rsidRPr="00F13E76">
        <w:rPr>
          <w:rFonts w:ascii="Times New Roman" w:hAnsi="Times New Roman"/>
          <w:sz w:val="24"/>
        </w:rPr>
        <w:t>incluídos no custo dos estoques e reconhecidos como despesa do período em que são incorridos:</w:t>
      </w:r>
    </w:p>
    <w:p w14:paraId="5EEEB4D6" w14:textId="77777777" w:rsidR="00D978F2" w:rsidRPr="00F13E76" w:rsidRDefault="00D978F2" w:rsidP="00D978F2">
      <w:pPr>
        <w:numPr>
          <w:ilvl w:val="0"/>
          <w:numId w:val="11"/>
        </w:numPr>
        <w:spacing w:before="0"/>
        <w:ind w:left="993" w:hanging="426"/>
        <w:rPr>
          <w:rFonts w:ascii="Times New Roman" w:hAnsi="Times New Roman"/>
          <w:sz w:val="24"/>
        </w:rPr>
      </w:pPr>
      <w:r w:rsidRPr="00F13E76">
        <w:rPr>
          <w:rFonts w:ascii="Times New Roman" w:hAnsi="Times New Roman"/>
          <w:sz w:val="24"/>
        </w:rPr>
        <w:t>valor anormal de desperdício de materiais, mão-de-obra ou outros insumos de produção;</w:t>
      </w:r>
    </w:p>
    <w:p w14:paraId="069C6936" w14:textId="77777777" w:rsidR="00D978F2" w:rsidRPr="00F13E76" w:rsidRDefault="00D978F2" w:rsidP="00D978F2">
      <w:pPr>
        <w:numPr>
          <w:ilvl w:val="0"/>
          <w:numId w:val="11"/>
        </w:numPr>
        <w:spacing w:before="0"/>
        <w:ind w:left="993" w:hanging="426"/>
        <w:rPr>
          <w:rFonts w:ascii="Times New Roman" w:hAnsi="Times New Roman"/>
          <w:sz w:val="24"/>
        </w:rPr>
      </w:pPr>
      <w:r w:rsidRPr="00F13E76">
        <w:rPr>
          <w:rFonts w:ascii="Times New Roman" w:hAnsi="Times New Roman"/>
          <w:sz w:val="24"/>
        </w:rPr>
        <w:lastRenderedPageBreak/>
        <w:t xml:space="preserve">gastos com armazenamento, a menos que sejam necessários ao processo produtivo entre uma e outra fase de produção; </w:t>
      </w:r>
    </w:p>
    <w:p w14:paraId="397CEC92" w14:textId="77777777" w:rsidR="00D978F2" w:rsidRPr="00F13E76" w:rsidRDefault="00D978F2" w:rsidP="00D978F2">
      <w:pPr>
        <w:numPr>
          <w:ilvl w:val="0"/>
          <w:numId w:val="11"/>
        </w:numPr>
        <w:spacing w:before="0"/>
        <w:ind w:left="993" w:hanging="426"/>
        <w:rPr>
          <w:rFonts w:ascii="Times New Roman" w:hAnsi="Times New Roman"/>
          <w:sz w:val="24"/>
        </w:rPr>
      </w:pPr>
      <w:r w:rsidRPr="00F13E76">
        <w:rPr>
          <w:rFonts w:ascii="Times New Roman" w:hAnsi="Times New Roman"/>
          <w:sz w:val="24"/>
        </w:rPr>
        <w:t>despesas administrativas que não contribuem para trazer o estoque ao seu local e condição atuais; e</w:t>
      </w:r>
    </w:p>
    <w:p w14:paraId="088C8079" w14:textId="77777777" w:rsidR="00D978F2" w:rsidRPr="00F13E76" w:rsidRDefault="00D978F2" w:rsidP="00D978F2">
      <w:pPr>
        <w:numPr>
          <w:ilvl w:val="0"/>
          <w:numId w:val="11"/>
        </w:numPr>
        <w:spacing w:before="0" w:after="0"/>
        <w:ind w:left="993" w:hanging="426"/>
        <w:rPr>
          <w:rFonts w:ascii="Times New Roman" w:hAnsi="Times New Roman"/>
          <w:sz w:val="24"/>
        </w:rPr>
      </w:pPr>
      <w:r w:rsidRPr="00F13E76">
        <w:rPr>
          <w:rFonts w:ascii="Times New Roman" w:hAnsi="Times New Roman"/>
          <w:sz w:val="24"/>
        </w:rPr>
        <w:t>despesas de comercialização, incluindo a venda e a entrega dos bens e serviços aos clientes.</w:t>
      </w:r>
    </w:p>
    <w:p w14:paraId="112956DC" w14:textId="77777777" w:rsidR="00D978F2" w:rsidRPr="00F13E76" w:rsidRDefault="00D978F2" w:rsidP="00D978F2">
      <w:pPr>
        <w:spacing w:before="0" w:after="0"/>
        <w:ind w:left="340" w:hanging="340"/>
        <w:rPr>
          <w:rFonts w:ascii="Times New Roman" w:hAnsi="Times New Roman"/>
          <w:sz w:val="24"/>
        </w:rPr>
      </w:pPr>
    </w:p>
    <w:p w14:paraId="79F5F289"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t xml:space="preserve">17. </w:t>
      </w:r>
      <w:r>
        <w:rPr>
          <w:rFonts w:ascii="Times New Roman" w:hAnsi="Times New Roman"/>
          <w:sz w:val="24"/>
        </w:rPr>
        <w:tab/>
      </w:r>
      <w:r w:rsidRPr="00F13E76">
        <w:rPr>
          <w:rFonts w:ascii="Times New Roman" w:hAnsi="Times New Roman"/>
          <w:sz w:val="24"/>
        </w:rPr>
        <w:t>O Pronunciamento Técnico CPC 20 - Custos de Empréstimos identifica as circunstâncias específicas em que os encargos financeiros de empréstimos obtidos são incluídos no custo do estoque.</w:t>
      </w:r>
    </w:p>
    <w:p w14:paraId="6B666FF2" w14:textId="77777777" w:rsidR="00D978F2" w:rsidRPr="00F13E76" w:rsidRDefault="00D978F2" w:rsidP="00D978F2">
      <w:pPr>
        <w:spacing w:before="0" w:after="0"/>
        <w:ind w:left="340" w:hanging="340"/>
        <w:rPr>
          <w:rFonts w:ascii="Times New Roman" w:hAnsi="Times New Roman"/>
          <w:sz w:val="24"/>
        </w:rPr>
      </w:pPr>
    </w:p>
    <w:p w14:paraId="53E1929F"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t xml:space="preserve">18. </w:t>
      </w:r>
      <w:r>
        <w:rPr>
          <w:rFonts w:ascii="Times New Roman" w:hAnsi="Times New Roman"/>
          <w:sz w:val="24"/>
        </w:rPr>
        <w:tab/>
      </w:r>
      <w:r w:rsidRPr="00F13E76">
        <w:rPr>
          <w:rFonts w:ascii="Times New Roman" w:hAnsi="Times New Roman"/>
          <w:sz w:val="24"/>
        </w:rPr>
        <w:t>A entidade geralmente compra estoques com condição para pagamento a prazo. A negociação pode efetivamente conter um elemento de financiamento, como, por exemplo, uma diferença entre o preço de aquisição em condição normal de pagamento e o valor pago; essa diferença deve ser reconhecida como despesa de juros durante o período do financiamento.</w:t>
      </w:r>
    </w:p>
    <w:p w14:paraId="0FC2B368" w14:textId="77777777" w:rsidR="00D978F2" w:rsidRPr="00F13E76" w:rsidRDefault="00D978F2" w:rsidP="00D978F2">
      <w:pPr>
        <w:spacing w:before="0" w:after="0"/>
        <w:ind w:left="340" w:hanging="340"/>
        <w:rPr>
          <w:rFonts w:ascii="Times New Roman" w:hAnsi="Times New Roman"/>
          <w:sz w:val="24"/>
        </w:rPr>
      </w:pPr>
    </w:p>
    <w:p w14:paraId="3B6967DC" w14:textId="77777777" w:rsidR="00D978F2" w:rsidRPr="00F356FC" w:rsidRDefault="00D978F2" w:rsidP="00D978F2">
      <w:pPr>
        <w:spacing w:before="0" w:after="0"/>
        <w:ind w:left="340" w:right="-57" w:hanging="340"/>
        <w:rPr>
          <w:rFonts w:ascii="Times New Roman" w:hAnsi="Times New Roman"/>
          <w:sz w:val="24"/>
        </w:rPr>
      </w:pPr>
      <w:r w:rsidRPr="00F356FC">
        <w:rPr>
          <w:rFonts w:ascii="Times New Roman" w:hAnsi="Times New Roman"/>
          <w:sz w:val="24"/>
        </w:rPr>
        <w:t>Custos de estoque de prestador de serviços</w:t>
      </w:r>
    </w:p>
    <w:p w14:paraId="55C23CE9" w14:textId="77777777" w:rsidR="00D978F2" w:rsidRPr="00F356FC" w:rsidRDefault="00D978F2" w:rsidP="00D978F2">
      <w:pPr>
        <w:spacing w:before="0" w:after="0"/>
        <w:ind w:left="340" w:right="-57" w:hanging="340"/>
        <w:rPr>
          <w:rFonts w:ascii="Times New Roman" w:hAnsi="Times New Roman"/>
          <w:sz w:val="24"/>
        </w:rPr>
      </w:pPr>
    </w:p>
    <w:p w14:paraId="17A79641" w14:textId="7A92948B" w:rsidR="00D978F2" w:rsidRPr="00FB12E6" w:rsidRDefault="00D978F2" w:rsidP="00D978F2">
      <w:pPr>
        <w:spacing w:before="0" w:after="0"/>
        <w:ind w:left="567" w:hanging="567"/>
        <w:rPr>
          <w:rFonts w:ascii="Times New Roman" w:hAnsi="Times New Roman"/>
          <w:sz w:val="24"/>
        </w:rPr>
      </w:pPr>
      <w:r w:rsidRPr="00FB12E6">
        <w:rPr>
          <w:rFonts w:ascii="Times New Roman" w:hAnsi="Times New Roman"/>
          <w:sz w:val="24"/>
        </w:rPr>
        <w:t xml:space="preserve">19. </w:t>
      </w:r>
      <w:r w:rsidRPr="00FB12E6">
        <w:rPr>
          <w:rFonts w:ascii="Times New Roman" w:hAnsi="Times New Roman"/>
          <w:sz w:val="24"/>
        </w:rPr>
        <w:tab/>
      </w:r>
      <w:r w:rsidR="00FB12E6" w:rsidRPr="00FB12E6">
        <w:rPr>
          <w:rFonts w:ascii="Times New Roman" w:hAnsi="Times New Roman"/>
          <w:sz w:val="24"/>
        </w:rPr>
        <w:t>(Eliminado)</w:t>
      </w:r>
    </w:p>
    <w:p w14:paraId="133C0CC4" w14:textId="77777777" w:rsidR="00D978F2" w:rsidRPr="00F13E76" w:rsidRDefault="00D978F2" w:rsidP="00D978F2">
      <w:pPr>
        <w:spacing w:before="0" w:after="0"/>
        <w:ind w:left="340" w:right="-57" w:hanging="340"/>
        <w:rPr>
          <w:rFonts w:ascii="Times New Roman" w:hAnsi="Times New Roman"/>
          <w:sz w:val="24"/>
        </w:rPr>
      </w:pPr>
    </w:p>
    <w:p w14:paraId="01C263D2" w14:textId="77777777" w:rsidR="00D978F2" w:rsidRPr="00F13E76" w:rsidRDefault="00D978F2" w:rsidP="00D978F2">
      <w:pPr>
        <w:spacing w:before="0" w:after="0"/>
        <w:ind w:left="340" w:right="-57" w:hanging="340"/>
        <w:rPr>
          <w:rFonts w:ascii="Times New Roman" w:hAnsi="Times New Roman"/>
          <w:sz w:val="24"/>
        </w:rPr>
      </w:pPr>
      <w:r w:rsidRPr="00F13E76">
        <w:rPr>
          <w:rFonts w:ascii="Times New Roman" w:hAnsi="Times New Roman"/>
          <w:sz w:val="24"/>
        </w:rPr>
        <w:t>Custo do produto agrícola colhido proveniente de ativo biológico</w:t>
      </w:r>
    </w:p>
    <w:p w14:paraId="197C0DA3" w14:textId="77777777" w:rsidR="00D978F2" w:rsidRPr="00F13E76" w:rsidRDefault="00D978F2" w:rsidP="00D978F2">
      <w:pPr>
        <w:spacing w:before="0" w:after="0"/>
        <w:ind w:left="340" w:right="-57" w:hanging="340"/>
        <w:rPr>
          <w:rFonts w:ascii="Times New Roman" w:hAnsi="Times New Roman"/>
          <w:sz w:val="24"/>
        </w:rPr>
      </w:pPr>
    </w:p>
    <w:p w14:paraId="4723EF59"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t xml:space="preserve">20. </w:t>
      </w:r>
      <w:r>
        <w:rPr>
          <w:rFonts w:ascii="Times New Roman" w:hAnsi="Times New Roman"/>
          <w:sz w:val="24"/>
        </w:rPr>
        <w:tab/>
      </w:r>
      <w:r w:rsidRPr="00F13E76">
        <w:rPr>
          <w:rFonts w:ascii="Times New Roman" w:hAnsi="Times New Roman"/>
          <w:sz w:val="24"/>
        </w:rPr>
        <w:t xml:space="preserve">Segundo o Pronunciamento Técnico CPC 29 </w:t>
      </w:r>
      <w:r>
        <w:rPr>
          <w:rFonts w:ascii="Times New Roman" w:hAnsi="Times New Roman"/>
          <w:sz w:val="24"/>
        </w:rPr>
        <w:t>–</w:t>
      </w:r>
      <w:r w:rsidRPr="00F13E76">
        <w:rPr>
          <w:rFonts w:ascii="Times New Roman" w:hAnsi="Times New Roman"/>
          <w:sz w:val="24"/>
        </w:rPr>
        <w:t xml:space="preserve"> Ativo Biológico e Produto Agrícola, os estoques que compreendam o produto agrícola que a entidade tenha colhido, proveniente dos seus ativos biológicos, devem ser mensurados no reconhecimento inicial pelo seu valor justo deduzido dos gastos estimados no ponto de venda no momento da colheita. Esse é o custo dos estoques naquela data para aplicação deste Pronunciamento.</w:t>
      </w:r>
    </w:p>
    <w:p w14:paraId="48A1FE9A" w14:textId="77777777" w:rsidR="00D978F2" w:rsidRPr="00F13E76" w:rsidRDefault="00D978F2" w:rsidP="00D978F2">
      <w:pPr>
        <w:spacing w:before="0" w:after="0"/>
        <w:ind w:left="340" w:right="-57" w:hanging="340"/>
        <w:rPr>
          <w:rFonts w:ascii="Times New Roman" w:hAnsi="Times New Roman"/>
          <w:sz w:val="24"/>
        </w:rPr>
      </w:pPr>
    </w:p>
    <w:p w14:paraId="09B1288C" w14:textId="77777777" w:rsidR="00D978F2" w:rsidRPr="00F13E76" w:rsidRDefault="00D978F2" w:rsidP="00D978F2">
      <w:pPr>
        <w:spacing w:before="0" w:after="0"/>
        <w:ind w:left="340" w:right="-57" w:hanging="340"/>
        <w:rPr>
          <w:rFonts w:ascii="Times New Roman" w:hAnsi="Times New Roman"/>
          <w:sz w:val="24"/>
        </w:rPr>
      </w:pPr>
      <w:r w:rsidRPr="00F13E76">
        <w:rPr>
          <w:rFonts w:ascii="Times New Roman" w:hAnsi="Times New Roman"/>
          <w:sz w:val="24"/>
        </w:rPr>
        <w:t>Outras formas para mensuração do custo</w:t>
      </w:r>
    </w:p>
    <w:p w14:paraId="6C6D4B16" w14:textId="77777777" w:rsidR="00D978F2" w:rsidRPr="00F13E76" w:rsidRDefault="00D978F2" w:rsidP="00D978F2">
      <w:pPr>
        <w:spacing w:before="0" w:after="0"/>
        <w:ind w:left="340" w:right="-57" w:hanging="340"/>
        <w:rPr>
          <w:rFonts w:ascii="Times New Roman" w:hAnsi="Times New Roman"/>
          <w:sz w:val="24"/>
        </w:rPr>
      </w:pPr>
    </w:p>
    <w:p w14:paraId="37E68F17"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t xml:space="preserve">21.  </w:t>
      </w:r>
      <w:r>
        <w:rPr>
          <w:rFonts w:ascii="Times New Roman" w:hAnsi="Times New Roman"/>
          <w:sz w:val="24"/>
        </w:rPr>
        <w:tab/>
      </w:r>
      <w:r w:rsidRPr="00F13E76">
        <w:rPr>
          <w:rFonts w:ascii="Times New Roman" w:hAnsi="Times New Roman"/>
          <w:sz w:val="24"/>
        </w:rPr>
        <w:t>Outras formas  para  mensuração do custo de estoque, tais como o custo-padrão ou o método de varejo, podem ser usadas por conveniência se os resultados se aproximarem do custo. O custo-padrão leva em consideração os níveis normais de utilização dos materiais e bens de consumo, da mão-de-obra e da eficiência na utilização da capacidade produtiva. Ele deve ser regularmente revisto à luz das condições correntes. As variações relevantes do custo-padrão em relação ao custo devem ser alocadas nas contas e nos períodos adequados de forma a se ter os estoques de volta a seu custo.</w:t>
      </w:r>
    </w:p>
    <w:p w14:paraId="230C4830" w14:textId="77777777" w:rsidR="00D978F2" w:rsidRPr="00F13E76" w:rsidRDefault="00D978F2" w:rsidP="00D978F2">
      <w:pPr>
        <w:spacing w:before="0" w:after="0"/>
        <w:ind w:left="340" w:hanging="340"/>
        <w:rPr>
          <w:rFonts w:ascii="Times New Roman" w:hAnsi="Times New Roman"/>
          <w:sz w:val="24"/>
        </w:rPr>
      </w:pPr>
    </w:p>
    <w:p w14:paraId="293A2352"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t xml:space="preserve">22. </w:t>
      </w:r>
      <w:r>
        <w:rPr>
          <w:rFonts w:ascii="Times New Roman" w:hAnsi="Times New Roman"/>
          <w:sz w:val="24"/>
        </w:rPr>
        <w:tab/>
      </w:r>
      <w:r w:rsidRPr="00F13E76">
        <w:rPr>
          <w:rFonts w:ascii="Times New Roman" w:hAnsi="Times New Roman"/>
          <w:sz w:val="24"/>
        </w:rPr>
        <w:t>O método de varejo é muitas vezes usado no setor de varejo para mensurar estoques de grande quantidade de itens que mudam rapidamente, itens que têm margens semelhantes e para os quais não é praticável usar outros métodos de custeio. O custo do estoque deve ser determinado pela redução do seu preço de venda na percentagem apropriada da margem bruta. A percentagem usada deve levar em consideração o estoque que tenha tido seu preço de venda reduzido abaixo do preço de venda original. É usada muitas vezes uma percentagem média para cada departamento de varejo.</w:t>
      </w:r>
    </w:p>
    <w:p w14:paraId="3669B803" w14:textId="77777777" w:rsidR="00D978F2" w:rsidRPr="00F13E76" w:rsidRDefault="00D978F2" w:rsidP="00D978F2">
      <w:pPr>
        <w:spacing w:before="0" w:after="0"/>
        <w:ind w:left="340" w:right="-57" w:hanging="340"/>
        <w:rPr>
          <w:rFonts w:ascii="Times New Roman" w:hAnsi="Times New Roman"/>
          <w:sz w:val="24"/>
        </w:rPr>
      </w:pPr>
    </w:p>
    <w:p w14:paraId="10C51FE9" w14:textId="77777777" w:rsidR="00D978F2" w:rsidRPr="00D708D4" w:rsidRDefault="00D978F2" w:rsidP="00D978F2">
      <w:pPr>
        <w:spacing w:before="0" w:after="0"/>
        <w:ind w:left="340" w:right="-57" w:hanging="340"/>
        <w:rPr>
          <w:rFonts w:ascii="Times New Roman" w:hAnsi="Times New Roman"/>
          <w:b/>
          <w:sz w:val="24"/>
        </w:rPr>
      </w:pPr>
      <w:r w:rsidRPr="00D708D4">
        <w:rPr>
          <w:rFonts w:ascii="Times New Roman" w:hAnsi="Times New Roman"/>
          <w:b/>
          <w:sz w:val="24"/>
        </w:rPr>
        <w:t xml:space="preserve">Critérios de valoração de estoque </w:t>
      </w:r>
    </w:p>
    <w:p w14:paraId="64068B11"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lastRenderedPageBreak/>
        <w:t xml:space="preserve">23. </w:t>
      </w:r>
      <w:r>
        <w:rPr>
          <w:rFonts w:ascii="Times New Roman" w:hAnsi="Times New Roman"/>
          <w:sz w:val="24"/>
        </w:rPr>
        <w:tab/>
      </w:r>
      <w:r w:rsidRPr="00F13E76">
        <w:rPr>
          <w:rFonts w:ascii="Times New Roman" w:hAnsi="Times New Roman"/>
          <w:sz w:val="24"/>
        </w:rPr>
        <w:t>O custo dos estoques de itens que não são normalmente intercambiáveis e de bens ou serviços produzidos e segregados para projetos específicos deve ser atribuído pelo uso da identificação específica dos seus custos individuais.</w:t>
      </w:r>
    </w:p>
    <w:p w14:paraId="6A11E6D0" w14:textId="77777777" w:rsidR="00D978F2" w:rsidRPr="00F13E76" w:rsidRDefault="00D978F2" w:rsidP="00D978F2">
      <w:pPr>
        <w:spacing w:before="0" w:after="0"/>
        <w:ind w:left="340" w:right="-57" w:hanging="340"/>
        <w:rPr>
          <w:rFonts w:ascii="Times New Roman" w:hAnsi="Times New Roman"/>
          <w:sz w:val="24"/>
        </w:rPr>
      </w:pPr>
    </w:p>
    <w:p w14:paraId="4BD09905"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t xml:space="preserve">24. </w:t>
      </w:r>
      <w:r>
        <w:rPr>
          <w:rFonts w:ascii="Times New Roman" w:hAnsi="Times New Roman"/>
          <w:sz w:val="24"/>
        </w:rPr>
        <w:tab/>
      </w:r>
      <w:r w:rsidRPr="00F13E76">
        <w:rPr>
          <w:rFonts w:ascii="Times New Roman" w:hAnsi="Times New Roman"/>
          <w:sz w:val="24"/>
        </w:rPr>
        <w:t>A identificação específica do custo significa que são atribuídos custos específicos a itens identificados do estoque. Este é o tratamento apropriado para itens que sejam segregados para um projeto específico, independentemente de eles terem sido comprados ou produzidos. Porém, quando há grandes quantidades de itens de estoque que sejam geralmente intercambiáveis, a identificação específica de custos não é apropriada. Em tais circunstâncias, um critério de valoração dos itens que permanecem nos estoques deve ser usado.</w:t>
      </w:r>
    </w:p>
    <w:p w14:paraId="1C8B3E65" w14:textId="77777777" w:rsidR="00D978F2" w:rsidRPr="00F13E76" w:rsidRDefault="00D978F2" w:rsidP="00D978F2">
      <w:pPr>
        <w:spacing w:before="0" w:after="0"/>
        <w:ind w:left="340" w:right="-57" w:hanging="340"/>
        <w:rPr>
          <w:rFonts w:ascii="Times New Roman" w:hAnsi="Times New Roman"/>
          <w:sz w:val="24"/>
        </w:rPr>
      </w:pPr>
    </w:p>
    <w:p w14:paraId="24E5598C"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t xml:space="preserve">25. </w:t>
      </w:r>
      <w:r>
        <w:rPr>
          <w:rFonts w:ascii="Times New Roman" w:hAnsi="Times New Roman"/>
          <w:sz w:val="24"/>
        </w:rPr>
        <w:tab/>
      </w:r>
      <w:r w:rsidRPr="00F13E76">
        <w:rPr>
          <w:rFonts w:ascii="Times New Roman" w:hAnsi="Times New Roman"/>
          <w:sz w:val="24"/>
        </w:rPr>
        <w:t xml:space="preserve">O custo dos estoques, que não sejam os tratados nos itens  23 e 24, deve ser atribuído pelo uso do critério </w:t>
      </w:r>
      <w:r w:rsidRPr="00F13E76">
        <w:rPr>
          <w:rFonts w:ascii="Times New Roman" w:hAnsi="Times New Roman"/>
          <w:i/>
          <w:sz w:val="24"/>
        </w:rPr>
        <w:t xml:space="preserve">Primeiro a Entrar, Primeiro a Sair </w:t>
      </w:r>
      <w:r w:rsidRPr="00F13E76">
        <w:rPr>
          <w:rFonts w:ascii="Times New Roman" w:hAnsi="Times New Roman"/>
          <w:sz w:val="24"/>
        </w:rPr>
        <w:t xml:space="preserve">(PEPS)  ou  pelo critério do custo médio ponderado. A entidade deve usar o mesmo critério de custeio para todos os estoques que tenham natureza e uso semelhantes para a entidade. Para os estoques que tenham outra natureza ou uso, podem justificar-se diferentes critérios de valoração. </w:t>
      </w:r>
    </w:p>
    <w:p w14:paraId="0DA913D3" w14:textId="77777777" w:rsidR="00D978F2" w:rsidRPr="00F13E76" w:rsidRDefault="00D978F2" w:rsidP="00D978F2">
      <w:pPr>
        <w:spacing w:before="0" w:after="0"/>
        <w:ind w:left="340" w:right="-57" w:hanging="340"/>
        <w:rPr>
          <w:rFonts w:ascii="Times New Roman" w:hAnsi="Times New Roman"/>
          <w:sz w:val="24"/>
        </w:rPr>
      </w:pPr>
    </w:p>
    <w:p w14:paraId="2A6A2F77"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t xml:space="preserve">26. </w:t>
      </w:r>
      <w:r>
        <w:rPr>
          <w:rFonts w:ascii="Times New Roman" w:hAnsi="Times New Roman"/>
          <w:sz w:val="24"/>
        </w:rPr>
        <w:tab/>
      </w:r>
      <w:r w:rsidRPr="00F13E76">
        <w:rPr>
          <w:rFonts w:ascii="Times New Roman" w:hAnsi="Times New Roman"/>
          <w:sz w:val="24"/>
        </w:rPr>
        <w:t xml:space="preserve">Por exemplo, os estoques usados em um segmento de negócio podem ter um uso para a entidade diferente do mesmo tipo de estoques usados em outro segmento de negócio. Porém, uma diferença na localização geográfica dos estoques (ou nas respectivas normas fiscais), por si só, não é suficiente para justificar o uso de diferentes critérios de valoração do estoque. </w:t>
      </w:r>
    </w:p>
    <w:p w14:paraId="46ABA958" w14:textId="77777777" w:rsidR="00D978F2" w:rsidRPr="00F13E76" w:rsidRDefault="00D978F2" w:rsidP="00D978F2">
      <w:pPr>
        <w:spacing w:before="0" w:after="0"/>
        <w:ind w:left="340" w:right="-57" w:hanging="340"/>
        <w:rPr>
          <w:rFonts w:ascii="Times New Roman" w:hAnsi="Times New Roman"/>
          <w:sz w:val="24"/>
        </w:rPr>
      </w:pPr>
    </w:p>
    <w:p w14:paraId="428C68E3"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t xml:space="preserve">27. </w:t>
      </w:r>
      <w:r>
        <w:rPr>
          <w:rFonts w:ascii="Times New Roman" w:hAnsi="Times New Roman"/>
          <w:sz w:val="24"/>
        </w:rPr>
        <w:tab/>
      </w:r>
      <w:r w:rsidRPr="00F13E76">
        <w:rPr>
          <w:rFonts w:ascii="Times New Roman" w:hAnsi="Times New Roman"/>
          <w:sz w:val="24"/>
        </w:rPr>
        <w:t>O critério PEPS (</w:t>
      </w:r>
      <w:r>
        <w:rPr>
          <w:rFonts w:ascii="Times New Roman" w:hAnsi="Times New Roman"/>
          <w:i/>
          <w:sz w:val="24"/>
        </w:rPr>
        <w:t>P</w:t>
      </w:r>
      <w:r w:rsidRPr="00F13E76">
        <w:rPr>
          <w:rFonts w:ascii="Times New Roman" w:hAnsi="Times New Roman"/>
          <w:i/>
          <w:sz w:val="24"/>
        </w:rPr>
        <w:t xml:space="preserve">rimeiro a </w:t>
      </w:r>
      <w:r>
        <w:rPr>
          <w:rFonts w:ascii="Times New Roman" w:hAnsi="Times New Roman"/>
          <w:i/>
          <w:sz w:val="24"/>
        </w:rPr>
        <w:t>E</w:t>
      </w:r>
      <w:r w:rsidRPr="00F13E76">
        <w:rPr>
          <w:rFonts w:ascii="Times New Roman" w:hAnsi="Times New Roman"/>
          <w:i/>
          <w:sz w:val="24"/>
        </w:rPr>
        <w:t xml:space="preserve">ntrar, </w:t>
      </w:r>
      <w:r>
        <w:rPr>
          <w:rFonts w:ascii="Times New Roman" w:hAnsi="Times New Roman"/>
          <w:i/>
          <w:sz w:val="24"/>
        </w:rPr>
        <w:t>P</w:t>
      </w:r>
      <w:r w:rsidRPr="00F13E76">
        <w:rPr>
          <w:rFonts w:ascii="Times New Roman" w:hAnsi="Times New Roman"/>
          <w:i/>
          <w:sz w:val="24"/>
        </w:rPr>
        <w:t xml:space="preserve">rimeiro a </w:t>
      </w:r>
      <w:r>
        <w:rPr>
          <w:rFonts w:ascii="Times New Roman" w:hAnsi="Times New Roman"/>
          <w:i/>
          <w:sz w:val="24"/>
        </w:rPr>
        <w:t>S</w:t>
      </w:r>
      <w:r w:rsidRPr="00F13E76">
        <w:rPr>
          <w:rFonts w:ascii="Times New Roman" w:hAnsi="Times New Roman"/>
          <w:i/>
          <w:sz w:val="24"/>
        </w:rPr>
        <w:t>air)</w:t>
      </w:r>
      <w:r w:rsidRPr="00F13E76">
        <w:rPr>
          <w:rFonts w:ascii="Times New Roman" w:hAnsi="Times New Roman"/>
          <w:sz w:val="24"/>
        </w:rPr>
        <w:t xml:space="preserve"> pressupõe que os itens de estoque que foram comprados ou produzidos primeiro sejam vendidos em primeiro lugar e, consequentemente, os itens que permanecerem em estoque no fim do período sejam os mais recentemente comprados ou produzidos. Pelo critério do custo médio ponderado, o custo de cada item é determinado a partir da média ponderada do custo de itens semelhantes no começo de um período e do custo dos mesmos itens comprados ou produzidos durante o período. A média pode ser determinada em base periódica ou à medida que cada lote seja recebido, dependendo das circunstâncias da entidade.</w:t>
      </w:r>
    </w:p>
    <w:p w14:paraId="1FA0B717" w14:textId="77777777" w:rsidR="00D978F2" w:rsidRPr="00F13E76" w:rsidRDefault="00D978F2" w:rsidP="00D978F2">
      <w:pPr>
        <w:spacing w:before="0" w:after="0"/>
        <w:ind w:left="340" w:right="-57" w:hanging="340"/>
        <w:rPr>
          <w:rFonts w:ascii="Times New Roman" w:hAnsi="Times New Roman"/>
          <w:sz w:val="24"/>
        </w:rPr>
      </w:pPr>
    </w:p>
    <w:p w14:paraId="739CB309" w14:textId="77777777" w:rsidR="00D978F2" w:rsidRPr="00D708D4" w:rsidRDefault="00D978F2" w:rsidP="00D978F2">
      <w:pPr>
        <w:spacing w:before="0" w:after="0"/>
        <w:ind w:left="340" w:right="-57" w:hanging="340"/>
        <w:rPr>
          <w:rFonts w:ascii="Times New Roman" w:hAnsi="Times New Roman"/>
          <w:b/>
          <w:sz w:val="24"/>
        </w:rPr>
      </w:pPr>
      <w:r w:rsidRPr="00D708D4">
        <w:rPr>
          <w:rFonts w:ascii="Times New Roman" w:hAnsi="Times New Roman"/>
          <w:b/>
          <w:sz w:val="24"/>
        </w:rPr>
        <w:t>Valor realizável líquido</w:t>
      </w:r>
    </w:p>
    <w:p w14:paraId="5D8D5DA0" w14:textId="77777777" w:rsidR="00D978F2" w:rsidRPr="00F13E76" w:rsidRDefault="00D978F2" w:rsidP="00D978F2">
      <w:pPr>
        <w:spacing w:before="0" w:after="0"/>
        <w:ind w:left="340" w:right="-57" w:hanging="340"/>
        <w:rPr>
          <w:rFonts w:ascii="Times New Roman" w:hAnsi="Times New Roman"/>
          <w:sz w:val="24"/>
        </w:rPr>
      </w:pPr>
    </w:p>
    <w:p w14:paraId="134D989F"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t xml:space="preserve">28. </w:t>
      </w:r>
      <w:r>
        <w:rPr>
          <w:rFonts w:ascii="Times New Roman" w:hAnsi="Times New Roman"/>
          <w:sz w:val="24"/>
        </w:rPr>
        <w:tab/>
      </w:r>
      <w:r w:rsidRPr="00F13E76">
        <w:rPr>
          <w:rFonts w:ascii="Times New Roman" w:hAnsi="Times New Roman"/>
          <w:sz w:val="24"/>
        </w:rPr>
        <w:t>O custo dos estoques pode não ser recuperável se esses estoques estiverem danificados, se se tornarem total ou parcialmente obsoletos ou se os seus preços de venda tiverem diminuído. O custo dos estoques pode também não ser recuperável se os custos estimados de acabamento ou os custos estimados a serem incorridos para realizar a venda tiverem aumentado. A prática de reduzir o valor de custo dos estoques (</w:t>
      </w:r>
      <w:r w:rsidRPr="00F13E76">
        <w:rPr>
          <w:rFonts w:ascii="Times New Roman" w:hAnsi="Times New Roman"/>
          <w:i/>
          <w:sz w:val="24"/>
        </w:rPr>
        <w:t>write down</w:t>
      </w:r>
      <w:r w:rsidRPr="00F13E76">
        <w:rPr>
          <w:rFonts w:ascii="Times New Roman" w:hAnsi="Times New Roman"/>
          <w:sz w:val="24"/>
        </w:rPr>
        <w:t>) para o valor realizável líquido é consistente com o ponto de vista de que os ativos não devem ser escriturados por quantias superiores àquelas que se espera que sejam realizadas com a sua venda ou uso.</w:t>
      </w:r>
    </w:p>
    <w:p w14:paraId="0D9D18AB" w14:textId="77777777" w:rsidR="00D978F2" w:rsidRDefault="00D978F2" w:rsidP="00D978F2">
      <w:pPr>
        <w:spacing w:before="0" w:after="0"/>
        <w:ind w:left="340" w:hanging="340"/>
        <w:rPr>
          <w:rFonts w:ascii="Times New Roman" w:hAnsi="Times New Roman"/>
          <w:sz w:val="24"/>
        </w:rPr>
      </w:pPr>
    </w:p>
    <w:p w14:paraId="5EC809F2" w14:textId="7CCBFD23" w:rsidR="00D978F2" w:rsidRPr="00F356FC" w:rsidRDefault="00D978F2" w:rsidP="00D978F2">
      <w:pPr>
        <w:spacing w:before="0" w:after="0"/>
        <w:ind w:left="567" w:right="-57" w:hanging="567"/>
        <w:rPr>
          <w:rFonts w:ascii="Times New Roman" w:hAnsi="Times New Roman"/>
          <w:color w:val="0070C0"/>
          <w:szCs w:val="20"/>
        </w:rPr>
      </w:pPr>
      <w:r w:rsidRPr="00A57C35">
        <w:rPr>
          <w:rFonts w:ascii="Times New Roman" w:hAnsi="Times New Roman"/>
          <w:sz w:val="24"/>
        </w:rPr>
        <w:t xml:space="preserve">29. </w:t>
      </w:r>
      <w:r w:rsidRPr="00A57C35">
        <w:rPr>
          <w:rFonts w:ascii="Times New Roman" w:hAnsi="Times New Roman"/>
          <w:sz w:val="24"/>
        </w:rPr>
        <w:tab/>
        <w:t xml:space="preserve">Os estoques geralmente devem ser reduzidos para o seu valor realizável líquido, item a item. Em algumas circunstâncias, porém, pode ser apropriado agrupar unidades semelhantes ou relacionadas. Pode ser o caso de itens do estoque relacionados com a mesma linha de produtos que tenham </w:t>
      </w:r>
      <w:r w:rsidRPr="00A57C35">
        <w:rPr>
          <w:rFonts w:ascii="Times New Roman" w:hAnsi="Times New Roman"/>
          <w:sz w:val="24"/>
        </w:rPr>
        <w:lastRenderedPageBreak/>
        <w:t>finalidades ou usos finais semelhantes, que sejam produzidos e comercializados na mesma área geográfica e não possam ser avaliados separadamente de outros itens dessa linha de produtos. Não é apropriado reduzir o valor do estoque com base em uma classificação de estoque, como, por exemplo, bens acabados, ou em todo estoque de determinado setor ou segmento operacional.</w:t>
      </w:r>
      <w:r>
        <w:rPr>
          <w:rFonts w:ascii="Times New Roman" w:hAnsi="Times New Roman"/>
          <w:sz w:val="24"/>
        </w:rPr>
        <w:t xml:space="preserve"> </w:t>
      </w:r>
    </w:p>
    <w:p w14:paraId="3B32811A" w14:textId="77777777" w:rsidR="00D978F2" w:rsidRPr="00F13E76" w:rsidRDefault="00D978F2" w:rsidP="00D978F2">
      <w:pPr>
        <w:spacing w:before="0" w:after="0"/>
        <w:ind w:left="340" w:hanging="340"/>
        <w:rPr>
          <w:rFonts w:ascii="Times New Roman" w:hAnsi="Times New Roman"/>
          <w:sz w:val="24"/>
        </w:rPr>
      </w:pPr>
    </w:p>
    <w:p w14:paraId="1B8F8369"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t xml:space="preserve">30. </w:t>
      </w:r>
      <w:r>
        <w:rPr>
          <w:rFonts w:ascii="Times New Roman" w:hAnsi="Times New Roman"/>
          <w:sz w:val="24"/>
        </w:rPr>
        <w:tab/>
      </w:r>
      <w:r w:rsidRPr="00F13E76">
        <w:rPr>
          <w:rFonts w:ascii="Times New Roman" w:hAnsi="Times New Roman"/>
          <w:sz w:val="24"/>
        </w:rPr>
        <w:t>As estimativas do valor realizável líquido devem ser baseadas nas evidências mais confiáveis disponíveis no momento em que são feitas as estimativas do valor dos estoques que se espera realizar. Essas estimativas devem levar em consideração variações nos preços e nos custos diretamente relacionados com eventos que ocorram após o fim do período, à medida que tais eventos confirmem as condições existentes no fim do período.</w:t>
      </w:r>
    </w:p>
    <w:p w14:paraId="6BB11920" w14:textId="77777777" w:rsidR="00D978F2" w:rsidRPr="00F13E76" w:rsidRDefault="00D978F2" w:rsidP="00D978F2">
      <w:pPr>
        <w:spacing w:before="0" w:after="0"/>
        <w:ind w:left="340" w:hanging="340"/>
        <w:rPr>
          <w:rFonts w:ascii="Times New Roman" w:hAnsi="Times New Roman"/>
          <w:sz w:val="24"/>
        </w:rPr>
      </w:pPr>
    </w:p>
    <w:p w14:paraId="041DD37E"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t xml:space="preserve">31. </w:t>
      </w:r>
      <w:r>
        <w:rPr>
          <w:rFonts w:ascii="Times New Roman" w:hAnsi="Times New Roman"/>
          <w:sz w:val="24"/>
        </w:rPr>
        <w:tab/>
      </w:r>
      <w:r w:rsidRPr="00F13E76">
        <w:rPr>
          <w:rFonts w:ascii="Times New Roman" w:hAnsi="Times New Roman"/>
          <w:sz w:val="24"/>
        </w:rPr>
        <w:t>As estimativas do valor realizável líquido também devem levar em consideração a finalidade para a qual o estoque é mantido. Por exemplo, o valor realizável líquido da quantidade de estoque mantido para atender contratos de venda ou de prestação de serviços deve ser baseado no preço do contrato. Se os contratos de venda dizem respeito a quantidades inferiores às quantidades de estoque possuídas, o valor realizável líquido do excesso deve basear-se em preços gerais de venda. Podem surgir provisões resultantes de contratos firmes de venda superiores às quantidades de estoques existentes ou de contratos firmes de compra em andamento se as aquisições adicionais a serem feitas para atender a esses contratos de venda forem previstas com base em valores estimados que levem à situação de prejuízo no atendimento desses contratos de venda. Tais provisões devem ser tratadas de acordo com o Pronunciamento Técnico CPC 25 – Provisão e Passivo e Ativo Contingentes.</w:t>
      </w:r>
    </w:p>
    <w:p w14:paraId="07474DC9" w14:textId="77777777" w:rsidR="00D978F2" w:rsidRPr="00F13E76" w:rsidRDefault="00D978F2" w:rsidP="00D978F2">
      <w:pPr>
        <w:spacing w:before="0" w:after="0"/>
        <w:ind w:left="340" w:hanging="340"/>
        <w:rPr>
          <w:rFonts w:ascii="Times New Roman" w:hAnsi="Times New Roman"/>
          <w:sz w:val="24"/>
        </w:rPr>
      </w:pPr>
    </w:p>
    <w:p w14:paraId="557FD6A9"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t xml:space="preserve">32. </w:t>
      </w:r>
      <w:r>
        <w:rPr>
          <w:rFonts w:ascii="Times New Roman" w:hAnsi="Times New Roman"/>
          <w:sz w:val="24"/>
        </w:rPr>
        <w:tab/>
      </w:r>
      <w:r w:rsidRPr="00F13E76">
        <w:rPr>
          <w:rFonts w:ascii="Times New Roman" w:hAnsi="Times New Roman"/>
          <w:sz w:val="24"/>
        </w:rPr>
        <w:t>Os materiais e os outros bens de consumo mantidos para uso na produção de estoques ou na prestação de serviços não serão reduzidos abaixo do custo se for previsível que os produtos acabados em que eles devem ser incorporados ou os serviços em que serão utilizados sejam vendidos pelo custo ou acima do custo. Porém, quando a diminuição no preço dos produtos acabados ou no preço dos serviços prestados indicar que o custo de elaboração desses produtos ou serviços excederá seu valor realizável líquido, os materiais e os outros bens de consumo devem ser reduzidos ao valor realizável líquido. Em tais circunstâncias, o custo de reposição dos materiais pode ser a melhor medida disponível do seu valor realizável líquido.</w:t>
      </w:r>
    </w:p>
    <w:p w14:paraId="245AE58B" w14:textId="77777777" w:rsidR="00D978F2" w:rsidRPr="00F13E76" w:rsidRDefault="00D978F2" w:rsidP="00D978F2">
      <w:pPr>
        <w:spacing w:before="0" w:after="0"/>
        <w:ind w:left="340" w:hanging="340"/>
        <w:rPr>
          <w:rFonts w:ascii="Times New Roman" w:hAnsi="Times New Roman"/>
          <w:sz w:val="24"/>
        </w:rPr>
      </w:pPr>
    </w:p>
    <w:p w14:paraId="4E24B84C"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t xml:space="preserve">33. </w:t>
      </w:r>
      <w:r>
        <w:rPr>
          <w:rFonts w:ascii="Times New Roman" w:hAnsi="Times New Roman"/>
          <w:sz w:val="24"/>
        </w:rPr>
        <w:tab/>
      </w:r>
      <w:r w:rsidRPr="00F13E76">
        <w:rPr>
          <w:rFonts w:ascii="Times New Roman" w:hAnsi="Times New Roman"/>
          <w:sz w:val="24"/>
        </w:rPr>
        <w:t>Em cada período subseqüente deve ser feita uma nova avaliação do valor realizável líquido. Quando as circunstâncias que anteriormente provocaram a redução dos estoques abaixo do custo deixarem de existir ou quando houver uma clara evidência de um aumento no valor realizável líquido devido à alteração nas circunstâncias econômicas, a quantia da redução deve ser revertida (a reversão é limitada à quantia da redução original) de modo a que o novo montante registrado do estoque seja o menor valor entre o custo e o valor realizável líquido revisto. Isso ocorre, por exemplo, com um item de estoque registrado pelo valor realizável líquido</w:t>
      </w:r>
      <w:r>
        <w:rPr>
          <w:rFonts w:ascii="Times New Roman" w:hAnsi="Times New Roman"/>
          <w:sz w:val="24"/>
        </w:rPr>
        <w:t xml:space="preserve"> quando</w:t>
      </w:r>
      <w:r w:rsidRPr="00F13E76">
        <w:rPr>
          <w:rFonts w:ascii="Times New Roman" w:hAnsi="Times New Roman"/>
          <w:sz w:val="24"/>
        </w:rPr>
        <w:t xml:space="preserve">  o seu preço de venda </w:t>
      </w:r>
      <w:r>
        <w:rPr>
          <w:rFonts w:ascii="Times New Roman" w:hAnsi="Times New Roman"/>
          <w:sz w:val="24"/>
        </w:rPr>
        <w:t>tiver</w:t>
      </w:r>
      <w:r w:rsidRPr="00F13E76">
        <w:rPr>
          <w:rFonts w:ascii="Times New Roman" w:hAnsi="Times New Roman"/>
          <w:sz w:val="24"/>
        </w:rPr>
        <w:t xml:space="preserve"> sido reduzido e</w:t>
      </w:r>
      <w:r>
        <w:rPr>
          <w:rFonts w:ascii="Times New Roman" w:hAnsi="Times New Roman"/>
          <w:sz w:val="24"/>
        </w:rPr>
        <w:t xml:space="preserve">, enquanto  </w:t>
      </w:r>
      <w:r w:rsidRPr="00F13E76">
        <w:rPr>
          <w:rFonts w:ascii="Times New Roman" w:hAnsi="Times New Roman"/>
          <w:sz w:val="24"/>
        </w:rPr>
        <w:t>ainda mantido em período posterior</w:t>
      </w:r>
      <w:r>
        <w:rPr>
          <w:rFonts w:ascii="Times New Roman" w:hAnsi="Times New Roman"/>
          <w:sz w:val="24"/>
        </w:rPr>
        <w:t>, tiver</w:t>
      </w:r>
      <w:r w:rsidRPr="00F13E76">
        <w:rPr>
          <w:rFonts w:ascii="Times New Roman" w:hAnsi="Times New Roman"/>
          <w:sz w:val="24"/>
        </w:rPr>
        <w:t xml:space="preserve"> o seu preço de venda </w:t>
      </w:r>
      <w:r w:rsidRPr="001E2F5A">
        <w:rPr>
          <w:rFonts w:ascii="Times New Roman" w:hAnsi="Times New Roman"/>
          <w:sz w:val="24"/>
        </w:rPr>
        <w:t>aumentado.</w:t>
      </w:r>
    </w:p>
    <w:p w14:paraId="71BF1B4A" w14:textId="77777777" w:rsidR="00D978F2" w:rsidRPr="00F13E76" w:rsidRDefault="00D978F2" w:rsidP="00D978F2">
      <w:pPr>
        <w:spacing w:before="0" w:after="0"/>
        <w:ind w:left="340" w:hanging="340"/>
        <w:rPr>
          <w:rFonts w:ascii="Times New Roman" w:hAnsi="Times New Roman"/>
          <w:sz w:val="24"/>
        </w:rPr>
      </w:pPr>
    </w:p>
    <w:p w14:paraId="4B86E45D" w14:textId="77777777" w:rsidR="00D978F2" w:rsidRPr="00F356FC" w:rsidRDefault="00D978F2" w:rsidP="00D978F2">
      <w:pPr>
        <w:spacing w:before="0" w:after="0"/>
        <w:ind w:left="340" w:right="-57" w:hanging="340"/>
        <w:rPr>
          <w:rFonts w:ascii="Times New Roman" w:hAnsi="Times New Roman"/>
          <w:b/>
          <w:sz w:val="24"/>
        </w:rPr>
      </w:pPr>
      <w:r w:rsidRPr="00F356FC">
        <w:rPr>
          <w:rFonts w:ascii="Times New Roman" w:hAnsi="Times New Roman"/>
          <w:b/>
          <w:sz w:val="24"/>
        </w:rPr>
        <w:t>Reconhecimento como despesa no resultado</w:t>
      </w:r>
    </w:p>
    <w:p w14:paraId="10F38EA4" w14:textId="77777777" w:rsidR="00D978F2" w:rsidRPr="00F356FC" w:rsidRDefault="00D978F2" w:rsidP="00D978F2">
      <w:pPr>
        <w:spacing w:before="0" w:after="0"/>
        <w:ind w:left="340" w:hanging="340"/>
        <w:rPr>
          <w:rFonts w:ascii="Times New Roman" w:hAnsi="Times New Roman"/>
          <w:sz w:val="24"/>
        </w:rPr>
      </w:pPr>
    </w:p>
    <w:p w14:paraId="6AB3EEA9"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lastRenderedPageBreak/>
        <w:t xml:space="preserve">34. </w:t>
      </w:r>
      <w:r>
        <w:rPr>
          <w:rFonts w:ascii="Times New Roman" w:hAnsi="Times New Roman"/>
          <w:sz w:val="24"/>
        </w:rPr>
        <w:tab/>
      </w:r>
      <w:r w:rsidRPr="00F13E76">
        <w:rPr>
          <w:rFonts w:ascii="Times New Roman" w:hAnsi="Times New Roman"/>
          <w:sz w:val="24"/>
        </w:rPr>
        <w:t xml:space="preserve">Quando os estoques são vendidos, o custo escriturado desses itens deve ser reconhecido como despesa do período em que a respectiva receita é reconhecida. A quantia de qualquer redução dos estoques para o valor realizável líquido e todas as perdas de estoques devem ser reconhecidas como despesa do período em que a redução </w:t>
      </w:r>
      <w:r w:rsidRPr="001E2F5A">
        <w:rPr>
          <w:rFonts w:ascii="Times New Roman" w:hAnsi="Times New Roman"/>
          <w:sz w:val="24"/>
        </w:rPr>
        <w:t>ou</w:t>
      </w:r>
      <w:r w:rsidRPr="00F13E76">
        <w:rPr>
          <w:rFonts w:ascii="Times New Roman" w:hAnsi="Times New Roman"/>
          <w:sz w:val="24"/>
        </w:rPr>
        <w:t xml:space="preserve"> a perda ocorrer</w:t>
      </w:r>
      <w:r>
        <w:rPr>
          <w:rFonts w:ascii="Times New Roman" w:hAnsi="Times New Roman"/>
          <w:sz w:val="24"/>
        </w:rPr>
        <w:t>em</w:t>
      </w:r>
      <w:r w:rsidRPr="00F13E76">
        <w:rPr>
          <w:rFonts w:ascii="Times New Roman" w:hAnsi="Times New Roman"/>
          <w:sz w:val="24"/>
        </w:rPr>
        <w:t>. A quantia de toda reversão de redução de estoques, proveniente de aumento no valor realizável líquido, deve ser registrada como redução do item em que for reconhecida a despesa ou a perda, no período em que a reversão ocorrer.</w:t>
      </w:r>
    </w:p>
    <w:p w14:paraId="13D7B55F" w14:textId="77777777" w:rsidR="00D978F2" w:rsidRPr="00F13E76" w:rsidRDefault="00D978F2" w:rsidP="00D978F2">
      <w:pPr>
        <w:spacing w:before="0" w:after="0"/>
        <w:ind w:left="340" w:right="-57" w:hanging="340"/>
        <w:rPr>
          <w:rFonts w:ascii="Times New Roman" w:hAnsi="Times New Roman"/>
          <w:sz w:val="24"/>
        </w:rPr>
      </w:pPr>
    </w:p>
    <w:p w14:paraId="5555A72C"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t xml:space="preserve">35. </w:t>
      </w:r>
      <w:r>
        <w:rPr>
          <w:rFonts w:ascii="Times New Roman" w:hAnsi="Times New Roman"/>
          <w:sz w:val="24"/>
        </w:rPr>
        <w:tab/>
      </w:r>
      <w:r w:rsidRPr="00F13E76">
        <w:rPr>
          <w:rFonts w:ascii="Times New Roman" w:hAnsi="Times New Roman"/>
          <w:sz w:val="24"/>
        </w:rPr>
        <w:t>Alguns itens de estoques podem ser transferidos para outras contas do ativo, como, por exemplo, estoques usados como componentes de ativos imobilizados de construção própria. Os estoques alocados ao custo de outro ativo devem ser reconhecidos como despesa durante a vida útil e na proporção da baixa desse ativo.</w:t>
      </w:r>
    </w:p>
    <w:p w14:paraId="51FB1C86" w14:textId="77777777" w:rsidR="00D978F2" w:rsidRPr="00F13E76" w:rsidRDefault="00D978F2" w:rsidP="00D978F2">
      <w:pPr>
        <w:spacing w:before="0" w:after="0"/>
        <w:ind w:left="340" w:right="-57" w:hanging="340"/>
        <w:rPr>
          <w:rFonts w:ascii="Times New Roman" w:hAnsi="Times New Roman"/>
          <w:sz w:val="24"/>
        </w:rPr>
      </w:pPr>
    </w:p>
    <w:p w14:paraId="29821CD8" w14:textId="77777777" w:rsidR="00D978F2" w:rsidRPr="00F356FC" w:rsidRDefault="00D978F2" w:rsidP="00D978F2">
      <w:pPr>
        <w:spacing w:before="0" w:after="0"/>
        <w:ind w:left="340" w:right="-57" w:hanging="340"/>
        <w:rPr>
          <w:rFonts w:ascii="Times New Roman" w:hAnsi="Times New Roman"/>
          <w:b/>
          <w:sz w:val="24"/>
        </w:rPr>
      </w:pPr>
      <w:r w:rsidRPr="00F356FC">
        <w:rPr>
          <w:rFonts w:ascii="Times New Roman" w:hAnsi="Times New Roman"/>
          <w:b/>
          <w:sz w:val="24"/>
        </w:rPr>
        <w:t>Divulgação</w:t>
      </w:r>
    </w:p>
    <w:p w14:paraId="7F994DFA" w14:textId="77777777" w:rsidR="00D978F2" w:rsidRPr="00F13E76" w:rsidRDefault="00D978F2" w:rsidP="00D978F2">
      <w:pPr>
        <w:spacing w:before="0" w:after="0"/>
        <w:ind w:left="340" w:right="-57" w:hanging="340"/>
        <w:rPr>
          <w:rFonts w:ascii="Times New Roman" w:hAnsi="Times New Roman"/>
          <w:sz w:val="24"/>
        </w:rPr>
      </w:pPr>
    </w:p>
    <w:p w14:paraId="375162E9" w14:textId="77777777" w:rsidR="00D978F2" w:rsidRPr="00F13E76" w:rsidRDefault="00D978F2" w:rsidP="00D978F2">
      <w:pPr>
        <w:spacing w:before="0"/>
        <w:ind w:left="567" w:hanging="567"/>
        <w:rPr>
          <w:rFonts w:ascii="Times New Roman" w:hAnsi="Times New Roman"/>
          <w:sz w:val="24"/>
        </w:rPr>
      </w:pPr>
      <w:r w:rsidRPr="00F13E76">
        <w:rPr>
          <w:rFonts w:ascii="Times New Roman" w:hAnsi="Times New Roman"/>
          <w:sz w:val="24"/>
        </w:rPr>
        <w:t xml:space="preserve">36. </w:t>
      </w:r>
      <w:r>
        <w:rPr>
          <w:rFonts w:ascii="Times New Roman" w:hAnsi="Times New Roman"/>
          <w:sz w:val="24"/>
        </w:rPr>
        <w:tab/>
      </w:r>
      <w:r w:rsidRPr="00F13E76">
        <w:rPr>
          <w:rFonts w:ascii="Times New Roman" w:hAnsi="Times New Roman"/>
          <w:sz w:val="24"/>
        </w:rPr>
        <w:t>As demonstrações contábeis devem divulgar:</w:t>
      </w:r>
    </w:p>
    <w:p w14:paraId="484C5E7C" w14:textId="77777777" w:rsidR="00D978F2" w:rsidRPr="00F13E76" w:rsidRDefault="00D978F2" w:rsidP="00D978F2">
      <w:pPr>
        <w:numPr>
          <w:ilvl w:val="0"/>
          <w:numId w:val="12"/>
        </w:numPr>
        <w:spacing w:before="0"/>
        <w:ind w:left="993" w:hanging="426"/>
        <w:rPr>
          <w:rFonts w:ascii="Times New Roman" w:hAnsi="Times New Roman"/>
          <w:sz w:val="24"/>
        </w:rPr>
      </w:pPr>
      <w:r w:rsidRPr="00F13E76">
        <w:rPr>
          <w:rFonts w:ascii="Times New Roman" w:hAnsi="Times New Roman"/>
          <w:sz w:val="24"/>
        </w:rPr>
        <w:t xml:space="preserve">as políticas contábeis adotadas na mensuração dos estoques, incluindo formas e critérios de valoração utilizados; </w:t>
      </w:r>
    </w:p>
    <w:p w14:paraId="34D18CB8" w14:textId="77777777" w:rsidR="00D978F2" w:rsidRPr="00F13E76" w:rsidRDefault="00D978F2" w:rsidP="00D978F2">
      <w:pPr>
        <w:numPr>
          <w:ilvl w:val="0"/>
          <w:numId w:val="12"/>
        </w:numPr>
        <w:spacing w:before="0"/>
        <w:ind w:left="993" w:hanging="426"/>
        <w:rPr>
          <w:rFonts w:ascii="Times New Roman" w:hAnsi="Times New Roman"/>
          <w:sz w:val="24"/>
        </w:rPr>
      </w:pPr>
      <w:r w:rsidRPr="00F13E76">
        <w:rPr>
          <w:rFonts w:ascii="Times New Roman" w:hAnsi="Times New Roman"/>
          <w:sz w:val="24"/>
        </w:rPr>
        <w:t>o valor total escriturado em estoques e o valor registrado em outras contas apropriadas para a entidade;</w:t>
      </w:r>
    </w:p>
    <w:p w14:paraId="6610483B" w14:textId="77777777" w:rsidR="00D978F2" w:rsidRPr="00F13E76" w:rsidRDefault="00D978F2" w:rsidP="00D978F2">
      <w:pPr>
        <w:numPr>
          <w:ilvl w:val="0"/>
          <w:numId w:val="12"/>
        </w:numPr>
        <w:spacing w:before="0"/>
        <w:ind w:left="993" w:hanging="426"/>
        <w:rPr>
          <w:rFonts w:ascii="Times New Roman" w:hAnsi="Times New Roman"/>
          <w:sz w:val="24"/>
        </w:rPr>
      </w:pPr>
      <w:r w:rsidRPr="00F13E76">
        <w:rPr>
          <w:rFonts w:ascii="Times New Roman" w:hAnsi="Times New Roman"/>
          <w:sz w:val="24"/>
        </w:rPr>
        <w:t>o valor de estoques escriturados pelo valor justo menos os custos de venda;</w:t>
      </w:r>
    </w:p>
    <w:p w14:paraId="19AFF406" w14:textId="77777777" w:rsidR="00D978F2" w:rsidRPr="00F13E76" w:rsidRDefault="00D978F2" w:rsidP="00D978F2">
      <w:pPr>
        <w:numPr>
          <w:ilvl w:val="0"/>
          <w:numId w:val="12"/>
        </w:numPr>
        <w:spacing w:before="0"/>
        <w:ind w:left="993" w:hanging="426"/>
        <w:rPr>
          <w:rFonts w:ascii="Times New Roman" w:hAnsi="Times New Roman"/>
          <w:sz w:val="24"/>
        </w:rPr>
      </w:pPr>
      <w:r w:rsidRPr="00F13E76">
        <w:rPr>
          <w:rFonts w:ascii="Times New Roman" w:hAnsi="Times New Roman"/>
          <w:sz w:val="24"/>
        </w:rPr>
        <w:t>o valor de estoques reconhecido como despesa durante o período;</w:t>
      </w:r>
    </w:p>
    <w:p w14:paraId="0E3155F0" w14:textId="77777777" w:rsidR="00D978F2" w:rsidRPr="00F13E76" w:rsidRDefault="00D978F2" w:rsidP="00D978F2">
      <w:pPr>
        <w:numPr>
          <w:ilvl w:val="0"/>
          <w:numId w:val="12"/>
        </w:numPr>
        <w:spacing w:before="0"/>
        <w:ind w:left="993" w:hanging="426"/>
        <w:rPr>
          <w:rFonts w:ascii="Times New Roman" w:hAnsi="Times New Roman"/>
          <w:sz w:val="24"/>
        </w:rPr>
      </w:pPr>
      <w:r w:rsidRPr="00F13E76">
        <w:rPr>
          <w:rFonts w:ascii="Times New Roman" w:hAnsi="Times New Roman"/>
          <w:sz w:val="24"/>
        </w:rPr>
        <w:t>o valor de qualquer redução de estoques reconhecida no resultado do período de acordo com o item 34;</w:t>
      </w:r>
    </w:p>
    <w:p w14:paraId="15BA7DCE" w14:textId="77777777" w:rsidR="00D978F2" w:rsidRPr="00F13E76" w:rsidRDefault="00D978F2" w:rsidP="00D978F2">
      <w:pPr>
        <w:numPr>
          <w:ilvl w:val="0"/>
          <w:numId w:val="12"/>
        </w:numPr>
        <w:spacing w:before="0"/>
        <w:ind w:left="993" w:hanging="426"/>
        <w:rPr>
          <w:rFonts w:ascii="Times New Roman" w:hAnsi="Times New Roman"/>
          <w:sz w:val="24"/>
        </w:rPr>
      </w:pPr>
      <w:r w:rsidRPr="00F13E76">
        <w:rPr>
          <w:rFonts w:ascii="Times New Roman" w:hAnsi="Times New Roman"/>
          <w:sz w:val="24"/>
        </w:rPr>
        <w:t>o valor de toda reversão de qualquer redução do valor dos estoques reconhecida no resultado do período de acordo com o item 34;</w:t>
      </w:r>
    </w:p>
    <w:p w14:paraId="2E79025B" w14:textId="77777777" w:rsidR="00D978F2" w:rsidRPr="00F13E76" w:rsidRDefault="00D978F2" w:rsidP="00D978F2">
      <w:pPr>
        <w:numPr>
          <w:ilvl w:val="0"/>
          <w:numId w:val="12"/>
        </w:numPr>
        <w:spacing w:before="0"/>
        <w:ind w:left="993" w:hanging="426"/>
        <w:rPr>
          <w:rFonts w:ascii="Times New Roman" w:hAnsi="Times New Roman"/>
          <w:sz w:val="24"/>
        </w:rPr>
      </w:pPr>
      <w:r w:rsidRPr="00F13E76">
        <w:rPr>
          <w:rFonts w:ascii="Times New Roman" w:hAnsi="Times New Roman"/>
          <w:sz w:val="24"/>
        </w:rPr>
        <w:t xml:space="preserve">as circunstâncias ou os acontecimentos que conduziram à reversão de redução de estoques de acordo com o item 34; e </w:t>
      </w:r>
    </w:p>
    <w:p w14:paraId="735C3193" w14:textId="77777777" w:rsidR="00D978F2" w:rsidRPr="00F13E76" w:rsidRDefault="00D978F2" w:rsidP="00D978F2">
      <w:pPr>
        <w:numPr>
          <w:ilvl w:val="0"/>
          <w:numId w:val="12"/>
        </w:numPr>
        <w:spacing w:before="0" w:after="0"/>
        <w:ind w:left="993" w:hanging="426"/>
        <w:rPr>
          <w:rFonts w:ascii="Times New Roman" w:hAnsi="Times New Roman"/>
          <w:sz w:val="24"/>
        </w:rPr>
      </w:pPr>
      <w:r w:rsidRPr="00F13E76">
        <w:rPr>
          <w:rFonts w:ascii="Times New Roman" w:hAnsi="Times New Roman"/>
          <w:sz w:val="24"/>
        </w:rPr>
        <w:t>o montante escriturado de estoques dados como penhor de garantia a passivos.</w:t>
      </w:r>
    </w:p>
    <w:p w14:paraId="32E6D069" w14:textId="77777777" w:rsidR="00D978F2" w:rsidRPr="00F13E76" w:rsidRDefault="00D978F2" w:rsidP="00D978F2">
      <w:pPr>
        <w:spacing w:before="0" w:after="0"/>
        <w:ind w:left="340" w:right="-57" w:hanging="340"/>
        <w:rPr>
          <w:rFonts w:ascii="Times New Roman" w:hAnsi="Times New Roman"/>
          <w:sz w:val="24"/>
        </w:rPr>
      </w:pPr>
    </w:p>
    <w:p w14:paraId="601E5929" w14:textId="0B70BEA4" w:rsidR="00D978F2" w:rsidRPr="00F356FC" w:rsidRDefault="00D978F2" w:rsidP="00D978F2">
      <w:pPr>
        <w:spacing w:before="0" w:after="0"/>
        <w:ind w:left="567" w:right="-57" w:hanging="567"/>
        <w:rPr>
          <w:rFonts w:ascii="Times New Roman" w:hAnsi="Times New Roman"/>
          <w:color w:val="0070C0"/>
          <w:szCs w:val="20"/>
        </w:rPr>
      </w:pPr>
      <w:r w:rsidRPr="00A57C35">
        <w:rPr>
          <w:rFonts w:ascii="Times New Roman" w:hAnsi="Times New Roman"/>
          <w:sz w:val="24"/>
        </w:rPr>
        <w:t xml:space="preserve">37. </w:t>
      </w:r>
      <w:r w:rsidRPr="00A57C35">
        <w:rPr>
          <w:rFonts w:ascii="Times New Roman" w:hAnsi="Times New Roman"/>
          <w:sz w:val="24"/>
        </w:rPr>
        <w:tab/>
        <w:t>A informação relativa a valores contábeis contabilizados em diferentes classificações de estoques e a proporção de alterações nesses ativos são úteis para os usuários das demonstrações contábeis. As classificações comuns de estoques são: mercadorias, bens de consumo de produção, materiais, produtos em elaboração e produtos acabados.</w:t>
      </w:r>
      <w:r>
        <w:rPr>
          <w:rFonts w:ascii="Times New Roman" w:hAnsi="Times New Roman"/>
          <w:sz w:val="24"/>
        </w:rPr>
        <w:t xml:space="preserve"> </w:t>
      </w:r>
    </w:p>
    <w:p w14:paraId="074F71C9" w14:textId="77777777" w:rsidR="00D978F2" w:rsidRPr="00F13E76" w:rsidRDefault="00D978F2" w:rsidP="00D978F2">
      <w:pPr>
        <w:spacing w:before="0" w:after="0"/>
        <w:ind w:left="340" w:right="-57" w:hanging="340"/>
        <w:rPr>
          <w:rFonts w:ascii="Times New Roman" w:hAnsi="Times New Roman"/>
          <w:sz w:val="24"/>
        </w:rPr>
      </w:pPr>
    </w:p>
    <w:p w14:paraId="72A25F94" w14:textId="09925A3B" w:rsidR="00D978F2" w:rsidRPr="008C3CB6" w:rsidRDefault="00D978F2" w:rsidP="00D978F2">
      <w:pPr>
        <w:spacing w:before="0" w:after="0"/>
        <w:ind w:left="567" w:hanging="567"/>
        <w:rPr>
          <w:rFonts w:ascii="Times New Roman" w:hAnsi="Times New Roman"/>
          <w:sz w:val="24"/>
        </w:rPr>
      </w:pPr>
      <w:r w:rsidRPr="008C3CB6">
        <w:rPr>
          <w:rFonts w:ascii="Times New Roman" w:hAnsi="Times New Roman"/>
          <w:sz w:val="24"/>
        </w:rPr>
        <w:t xml:space="preserve">38. </w:t>
      </w:r>
      <w:r w:rsidRPr="008C3CB6">
        <w:rPr>
          <w:rFonts w:ascii="Times New Roman" w:hAnsi="Times New Roman"/>
          <w:sz w:val="24"/>
        </w:rPr>
        <w:tab/>
        <w:t>O valor do estoque baixado, reconhecido como despesa durante o período, o qual é denominado frequentemente como custo dos produtos, das mercadorias ou dos serviços vendidos, consiste nos custos que estavam incluídos na mensuração do estoque que agora é vendido. Os custos indiretos de produção eventualmente não</w:t>
      </w:r>
      <w:r>
        <w:rPr>
          <w:rFonts w:ascii="Times New Roman" w:hAnsi="Times New Roman"/>
          <w:sz w:val="24"/>
        </w:rPr>
        <w:t xml:space="preserve"> </w:t>
      </w:r>
      <w:r w:rsidRPr="008C3CB6">
        <w:rPr>
          <w:rFonts w:ascii="Times New Roman" w:hAnsi="Times New Roman"/>
          <w:sz w:val="24"/>
        </w:rPr>
        <w:t xml:space="preserve">alocados aos produtos e os valores anormais de custos de produção devem ser reconhecidos como despesa do período em que ocorrem, sem transitar pelos estoques, </w:t>
      </w:r>
      <w:r w:rsidRPr="008C3CB6">
        <w:rPr>
          <w:rFonts w:ascii="Times New Roman" w:hAnsi="Times New Roman"/>
          <w:sz w:val="24"/>
        </w:rPr>
        <w:lastRenderedPageBreak/>
        <w:t>dentro desse mesmo grupo, mas de forma identificada. As circunstâncias da entidade também podem admitir a inclusão de outros valores, tais como custos de distribuição.</w:t>
      </w:r>
      <w:r>
        <w:rPr>
          <w:rFonts w:ascii="Times New Roman" w:hAnsi="Times New Roman"/>
          <w:sz w:val="24"/>
        </w:rPr>
        <w:t xml:space="preserve"> </w:t>
      </w:r>
    </w:p>
    <w:p w14:paraId="5A39AA26" w14:textId="77777777" w:rsidR="00D978F2" w:rsidRPr="00691D73" w:rsidRDefault="00D978F2" w:rsidP="00D978F2">
      <w:pPr>
        <w:spacing w:before="0" w:after="0"/>
        <w:ind w:left="340" w:hanging="340"/>
        <w:rPr>
          <w:rFonts w:ascii="Times New Roman" w:hAnsi="Times New Roman"/>
          <w:sz w:val="24"/>
          <w:lang w:val="pt-BR"/>
        </w:rPr>
      </w:pPr>
    </w:p>
    <w:p w14:paraId="71415788" w14:textId="77777777" w:rsidR="00D978F2" w:rsidRPr="00F13E76" w:rsidRDefault="00D978F2" w:rsidP="00D978F2">
      <w:pPr>
        <w:spacing w:before="0" w:after="0"/>
        <w:ind w:left="567" w:hanging="567"/>
        <w:rPr>
          <w:rFonts w:ascii="Times New Roman" w:hAnsi="Times New Roman"/>
          <w:sz w:val="24"/>
        </w:rPr>
      </w:pPr>
      <w:r w:rsidRPr="00F13E76">
        <w:rPr>
          <w:rFonts w:ascii="Times New Roman" w:hAnsi="Times New Roman"/>
          <w:sz w:val="24"/>
        </w:rPr>
        <w:t xml:space="preserve">39. </w:t>
      </w:r>
      <w:r>
        <w:rPr>
          <w:rFonts w:ascii="Times New Roman" w:hAnsi="Times New Roman"/>
          <w:sz w:val="24"/>
        </w:rPr>
        <w:tab/>
      </w:r>
      <w:r w:rsidRPr="00F13E76">
        <w:rPr>
          <w:rFonts w:ascii="Times New Roman" w:hAnsi="Times New Roman"/>
          <w:sz w:val="24"/>
        </w:rPr>
        <w:t>Algumas entidades adotam um formato para a demonstração de resultados que resulta na divulgação de valores que não sejam os custos dos estoques reconhecidos como despesa durante o período. De acordo com esse formato, a entidade deve apresentar a demonstração do custo das vendas usando uma classificação baseada na natureza desses custos, elemento a elemento. Nesse caso, a entidade deve divulgar os custos reconhecidos como despesas item a item, por natureza: matérias-primas e outros materiais, evidenciando o valor das compras e da alteração líquida nos estoques iniciais e finais do período; mão-de-obra; outros custos de transformação, etc.</w:t>
      </w:r>
    </w:p>
    <w:p w14:paraId="72C7F38A" w14:textId="77777777" w:rsidR="00D978F2" w:rsidRPr="00F13E76" w:rsidRDefault="00D978F2" w:rsidP="00D978F2">
      <w:pPr>
        <w:spacing w:before="0" w:after="0"/>
        <w:ind w:left="340" w:hanging="340"/>
        <w:rPr>
          <w:rFonts w:ascii="Times New Roman" w:hAnsi="Times New Roman"/>
          <w:sz w:val="24"/>
        </w:rPr>
      </w:pPr>
    </w:p>
    <w:p w14:paraId="7BD6EE24" w14:textId="4E9C4A52" w:rsidR="00D978F2" w:rsidRPr="00F13E76" w:rsidRDefault="00D978F2" w:rsidP="00D978F2">
      <w:pPr>
        <w:spacing w:before="0" w:after="0"/>
        <w:ind w:left="567" w:hanging="567"/>
        <w:rPr>
          <w:rFonts w:ascii="Times New Roman" w:hAnsi="Times New Roman"/>
          <w:sz w:val="24"/>
        </w:rPr>
      </w:pPr>
      <w:r w:rsidRPr="008C3CB6">
        <w:rPr>
          <w:rFonts w:ascii="Times New Roman" w:hAnsi="Times New Roman"/>
          <w:sz w:val="24"/>
        </w:rPr>
        <w:t>40 a 42. (Eliminados)</w:t>
      </w:r>
    </w:p>
    <w:p w14:paraId="74B88778" w14:textId="7F7AC267" w:rsidR="00DF62F3" w:rsidRDefault="00DF62F3">
      <w:pPr>
        <w:spacing w:before="0" w:after="160" w:line="259" w:lineRule="auto"/>
        <w:jc w:val="left"/>
        <w:rPr>
          <w:rFonts w:cs="Arial"/>
          <w:b/>
          <w:sz w:val="22"/>
          <w:szCs w:val="22"/>
          <w:lang w:val="pt-BR"/>
        </w:rPr>
      </w:pPr>
    </w:p>
    <w:sectPr w:rsidR="00DF62F3"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9C46F" w14:textId="77777777" w:rsidR="0084434F" w:rsidRDefault="0084434F" w:rsidP="0096648A">
      <w:pPr>
        <w:spacing w:before="0" w:after="0"/>
      </w:pPr>
      <w:r>
        <w:separator/>
      </w:r>
    </w:p>
  </w:endnote>
  <w:endnote w:type="continuationSeparator" w:id="0">
    <w:p w14:paraId="36D8BD19" w14:textId="77777777" w:rsidR="0084434F" w:rsidRDefault="0084434F"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87540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rPr>
        <w:sz w:val="24"/>
        <w:szCs w:val="24"/>
      </w:rPr>
    </w:sdtEndPr>
    <w:sdtContent>
      <w:p w14:paraId="4E8AE55F" w14:textId="6431B5A2" w:rsidR="00AB3649" w:rsidRPr="00AB3649" w:rsidRDefault="00AB3649">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87540A" w:rsidRPr="0087540A">
          <w:rPr>
            <w:rFonts w:asciiTheme="minorHAnsi" w:hAnsiTheme="minorHAnsi" w:cstheme="minorHAnsi"/>
            <w:noProof/>
            <w:szCs w:val="20"/>
            <w:lang w:val="pt-BR"/>
          </w:rPr>
          <w:t>2</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CBA27" w14:textId="77777777" w:rsidR="0084434F" w:rsidRDefault="0084434F" w:rsidP="0096648A">
      <w:pPr>
        <w:spacing w:before="0" w:after="0"/>
      </w:pPr>
      <w:r>
        <w:separator/>
      </w:r>
    </w:p>
  </w:footnote>
  <w:footnote w:type="continuationSeparator" w:id="0">
    <w:p w14:paraId="7315B982" w14:textId="77777777" w:rsidR="0084434F" w:rsidRDefault="0084434F"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77777777" w:rsidR="00A21437" w:rsidRPr="00B62631" w:rsidRDefault="0087540A" w:rsidP="00A21437">
    <w:pPr>
      <w:pStyle w:val="Cabealho"/>
      <w:spacing w:before="0" w:after="0"/>
      <w:jc w:val="center"/>
      <w:rPr>
        <w:rFonts w:asciiTheme="minorHAnsi" w:hAnsiTheme="minorHAnsi" w:cstheme="minorHAnsi"/>
        <w:noProof/>
        <w:color w:val="4472C4" w:themeColor="accent1"/>
        <w:sz w:val="18"/>
        <w:szCs w:val="18"/>
      </w:rPr>
    </w:pPr>
    <w:hyperlink r:id="rId2" w:history="1">
      <w:r w:rsidR="00A21437" w:rsidRPr="00B62631">
        <w:rPr>
          <w:rStyle w:val="Hyperlink"/>
          <w:rFonts w:asciiTheme="minorHAnsi" w:hAnsiTheme="minorHAnsi" w:cstheme="minorHAnsi"/>
          <w:color w:val="4472C4" w:themeColor="accent1"/>
          <w:sz w:val="18"/>
          <w:szCs w:val="18"/>
        </w:rPr>
        <w:t>www.cvm.gov.br</w:t>
      </w:r>
    </w:hyperlink>
  </w:p>
  <w:p w14:paraId="18930FD4" w14:textId="16F0AC20" w:rsidR="00D76E29" w:rsidRPr="00A21437" w:rsidRDefault="00A21437" w:rsidP="00A21437">
    <w:pPr>
      <w:pStyle w:val="Cabealho"/>
      <w:spacing w:before="240" w:after="240"/>
      <w:rPr>
        <w:rFonts w:asciiTheme="minorHAnsi" w:hAnsiTheme="minorHAnsi" w:cstheme="minorHAnsi"/>
      </w:rPr>
    </w:pPr>
    <w:r w:rsidRPr="0087540A">
      <w:rPr>
        <w:rFonts w:asciiTheme="minorHAnsi" w:hAnsiTheme="minorHAnsi" w:cstheme="minorHAnsi"/>
        <w:szCs w:val="20"/>
      </w:rPr>
      <w:t>RESOLUÇÃO CV</w:t>
    </w:r>
    <w:r w:rsidR="001F24AF" w:rsidRPr="0087540A">
      <w:rPr>
        <w:rFonts w:asciiTheme="minorHAnsi" w:hAnsiTheme="minorHAnsi" w:cstheme="minorHAnsi"/>
        <w:szCs w:val="20"/>
      </w:rPr>
      <w:t xml:space="preserve">M Nº </w:t>
    </w:r>
    <w:r w:rsidR="0087540A" w:rsidRPr="0087540A">
      <w:rPr>
        <w:rFonts w:asciiTheme="minorHAnsi" w:hAnsiTheme="minorHAnsi" w:cstheme="minorHAnsi"/>
        <w:szCs w:val="20"/>
      </w:rPr>
      <w:t>99</w:t>
    </w:r>
    <w:r w:rsidR="001F24AF" w:rsidRPr="0087540A">
      <w:rPr>
        <w:rFonts w:asciiTheme="minorHAnsi" w:hAnsiTheme="minorHAnsi" w:cstheme="minorHAnsi"/>
        <w:szCs w:val="20"/>
      </w:rPr>
      <w:t xml:space="preserve">, DE </w:t>
    </w:r>
    <w:r w:rsidR="0087540A" w:rsidRPr="0087540A">
      <w:rPr>
        <w:rFonts w:asciiTheme="minorHAnsi" w:hAnsiTheme="minorHAnsi" w:cstheme="minorHAnsi"/>
        <w:szCs w:val="20"/>
      </w:rPr>
      <w:t xml:space="preserve">20 </w:t>
    </w:r>
    <w:r w:rsidR="001F24AF" w:rsidRPr="0087540A">
      <w:rPr>
        <w:rFonts w:asciiTheme="minorHAnsi" w:hAnsiTheme="minorHAnsi" w:cstheme="minorHAnsi"/>
        <w:szCs w:val="20"/>
      </w:rPr>
      <w:t xml:space="preserve">DE </w:t>
    </w:r>
    <w:r w:rsidR="0087540A" w:rsidRPr="0087540A">
      <w:rPr>
        <w:rFonts w:asciiTheme="minorHAnsi" w:hAnsiTheme="minorHAnsi" w:cstheme="minorHAnsi"/>
        <w:szCs w:val="20"/>
      </w:rPr>
      <w:t xml:space="preserve">MAIO </w:t>
    </w:r>
    <w:r w:rsidR="001F24AF" w:rsidRPr="0087540A">
      <w:rPr>
        <w:rFonts w:asciiTheme="minorHAnsi" w:hAnsiTheme="minorHAnsi" w:cstheme="minorHAnsi"/>
        <w:szCs w:val="20"/>
      </w:rPr>
      <w:t>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7A96B857" w:rsidR="00D76E29" w:rsidRPr="00B62631" w:rsidRDefault="0087540A" w:rsidP="00DF62F3">
    <w:pPr>
      <w:pStyle w:val="Cabealho"/>
      <w:spacing w:before="0" w:after="360"/>
      <w:jc w:val="center"/>
      <w:rPr>
        <w:color w:val="4472C4" w:themeColor="accent1"/>
      </w:rPr>
    </w:pPr>
    <w:hyperlink r:id="rId2" w:history="1">
      <w:r w:rsidR="00DF62F3" w:rsidRPr="00B62631">
        <w:rPr>
          <w:rStyle w:val="Hyperlink"/>
          <w:rFonts w:asciiTheme="minorHAnsi" w:hAnsiTheme="minorHAnsi" w:cstheme="minorHAnsi"/>
          <w:color w:val="4472C4" w:themeColor="accent1"/>
          <w:sz w:val="18"/>
          <w:szCs w:val="18"/>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82A69"/>
    <w:multiLevelType w:val="hybridMultilevel"/>
    <w:tmpl w:val="D24C6F70"/>
    <w:lvl w:ilvl="0" w:tplc="7E88CAF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2" w15:restartNumberingAfterBreak="0">
    <w:nsid w:val="1E4C706F"/>
    <w:multiLevelType w:val="hybridMultilevel"/>
    <w:tmpl w:val="3D72C0AC"/>
    <w:lvl w:ilvl="0" w:tplc="3E4A218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42254E59"/>
    <w:multiLevelType w:val="hybridMultilevel"/>
    <w:tmpl w:val="CCA430D0"/>
    <w:lvl w:ilvl="0" w:tplc="6A7EC93E">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4" w15:restartNumberingAfterBreak="0">
    <w:nsid w:val="438579B5"/>
    <w:multiLevelType w:val="hybridMultilevel"/>
    <w:tmpl w:val="BF88709E"/>
    <w:lvl w:ilvl="0" w:tplc="EC229896">
      <w:start w:val="1"/>
      <w:numFmt w:val="lowerLetter"/>
      <w:lvlText w:val="(%1)"/>
      <w:lvlJc w:val="left"/>
      <w:pPr>
        <w:ind w:left="700" w:hanging="360"/>
      </w:pPr>
      <w:rPr>
        <w:rFonts w:hint="default"/>
      </w:rPr>
    </w:lvl>
    <w:lvl w:ilvl="1" w:tplc="04160019" w:tentative="1">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5" w15:restartNumberingAfterBreak="0">
    <w:nsid w:val="4DF562FF"/>
    <w:multiLevelType w:val="hybridMultilevel"/>
    <w:tmpl w:val="18302B6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E0269C4"/>
    <w:multiLevelType w:val="hybridMultilevel"/>
    <w:tmpl w:val="B2DAE9D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53D965E2"/>
    <w:multiLevelType w:val="hybridMultilevel"/>
    <w:tmpl w:val="BF88709E"/>
    <w:lvl w:ilvl="0" w:tplc="EC229896">
      <w:start w:val="1"/>
      <w:numFmt w:val="lowerLetter"/>
      <w:lvlText w:val="(%1)"/>
      <w:lvlJc w:val="left"/>
      <w:pPr>
        <w:ind w:left="700" w:hanging="360"/>
      </w:pPr>
      <w:rPr>
        <w:rFonts w:hint="default"/>
      </w:rPr>
    </w:lvl>
    <w:lvl w:ilvl="1" w:tplc="04160019" w:tentative="1">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8" w15:restartNumberingAfterBreak="0">
    <w:nsid w:val="65EB2784"/>
    <w:multiLevelType w:val="hybridMultilevel"/>
    <w:tmpl w:val="5B0A11E6"/>
    <w:lvl w:ilvl="0" w:tplc="EC229896">
      <w:start w:val="1"/>
      <w:numFmt w:val="lowerLetter"/>
      <w:lvlText w:val="(%1)"/>
      <w:lvlJc w:val="left"/>
      <w:pPr>
        <w:ind w:left="700" w:hanging="360"/>
      </w:pPr>
      <w:rPr>
        <w:rFonts w:hint="default"/>
      </w:rPr>
    </w:lvl>
    <w:lvl w:ilvl="1" w:tplc="04160019" w:tentative="1">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9" w15:restartNumberingAfterBreak="0">
    <w:nsid w:val="6AB335DF"/>
    <w:multiLevelType w:val="hybridMultilevel"/>
    <w:tmpl w:val="EA6CB2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0280901"/>
    <w:multiLevelType w:val="hybridMultilevel"/>
    <w:tmpl w:val="2CA2A04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774449BA"/>
    <w:multiLevelType w:val="hybridMultilevel"/>
    <w:tmpl w:val="52084C26"/>
    <w:lvl w:ilvl="0" w:tplc="0A18763E">
      <w:start w:val="1"/>
      <w:numFmt w:val="decimal"/>
      <w:lvlText w:val="%1."/>
      <w:lvlJc w:val="left"/>
      <w:pPr>
        <w:tabs>
          <w:tab w:val="num" w:pos="786"/>
        </w:tabs>
        <w:ind w:left="786" w:hanging="360"/>
      </w:pPr>
      <w:rPr>
        <w:rFonts w:ascii="Times New Roman" w:hAnsi="Times New Roman" w:cs="Times New Roman" w:hint="default"/>
        <w:b w:val="0"/>
        <w:i w:val="0"/>
        <w:sz w:val="24"/>
        <w:szCs w:val="24"/>
        <w:lang w:val="pt-PT"/>
      </w:rPr>
    </w:lvl>
    <w:lvl w:ilvl="1" w:tplc="3B1E6316">
      <w:start w:val="1"/>
      <w:numFmt w:val="lowerLetter"/>
      <w:lvlText w:val="(%2)"/>
      <w:lvlJc w:val="left"/>
      <w:pPr>
        <w:tabs>
          <w:tab w:val="num" w:pos="663"/>
        </w:tabs>
        <w:ind w:left="663" w:hanging="360"/>
      </w:pPr>
      <w:rPr>
        <w:rFonts w:hint="default"/>
        <w:b w:val="0"/>
        <w:i w:val="0"/>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11"/>
  </w:num>
  <w:num w:numId="3">
    <w:abstractNumId w:val="5"/>
  </w:num>
  <w:num w:numId="4">
    <w:abstractNumId w:val="10"/>
  </w:num>
  <w:num w:numId="5">
    <w:abstractNumId w:val="6"/>
  </w:num>
  <w:num w:numId="6">
    <w:abstractNumId w:val="3"/>
  </w:num>
  <w:num w:numId="7">
    <w:abstractNumId w:val="9"/>
  </w:num>
  <w:num w:numId="8">
    <w:abstractNumId w:val="2"/>
  </w:num>
  <w:num w:numId="9">
    <w:abstractNumId w:val="0"/>
  </w:num>
  <w:num w:numId="10">
    <w:abstractNumId w:val="8"/>
  </w:num>
  <w:num w:numId="11">
    <w:abstractNumId w:val="7"/>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C2504"/>
    <w:rsid w:val="001F24AF"/>
    <w:rsid w:val="00273211"/>
    <w:rsid w:val="00363679"/>
    <w:rsid w:val="00381A25"/>
    <w:rsid w:val="004D78A6"/>
    <w:rsid w:val="007F1A03"/>
    <w:rsid w:val="0084434F"/>
    <w:rsid w:val="0087540A"/>
    <w:rsid w:val="008C0534"/>
    <w:rsid w:val="008E43FE"/>
    <w:rsid w:val="0092282B"/>
    <w:rsid w:val="0096648A"/>
    <w:rsid w:val="009D3457"/>
    <w:rsid w:val="00A21437"/>
    <w:rsid w:val="00A92033"/>
    <w:rsid w:val="00AB3649"/>
    <w:rsid w:val="00B62631"/>
    <w:rsid w:val="00B644F7"/>
    <w:rsid w:val="00C4564A"/>
    <w:rsid w:val="00C578D8"/>
    <w:rsid w:val="00C72039"/>
    <w:rsid w:val="00C847A0"/>
    <w:rsid w:val="00CF08C5"/>
    <w:rsid w:val="00CF424B"/>
    <w:rsid w:val="00D70784"/>
    <w:rsid w:val="00D978F2"/>
    <w:rsid w:val="00DF62F3"/>
    <w:rsid w:val="00FB12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3" ma:contentTypeDescription="Crie um novo documento." ma:contentTypeScope="" ma:versionID="e9d3b4fb498a5610bc9a2c87b382479d">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8e71a05c2e60bc352b07344144fdfae6"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39F9D-2FE4-4FF9-AA47-BD409D3CE89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b795b17-f7d2-4f27-ba4a-6f1f7eb48eda"/>
    <ds:schemaRef ds:uri="b69b09d8-fb11-4638-84fd-30340ac4eb29"/>
    <ds:schemaRef ds:uri="http://www.w3.org/XML/1998/namespace"/>
    <ds:schemaRef ds:uri="http://purl.org/dc/terms/"/>
  </ds:schemaRefs>
</ds:datastoreItem>
</file>

<file path=customXml/itemProps2.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3.xml><?xml version="1.0" encoding="utf-8"?>
<ds:datastoreItem xmlns:ds="http://schemas.openxmlformats.org/officeDocument/2006/customXml" ds:itemID="{0E9C20E0-1A6F-4942-8057-794FFC949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BC8200-46C0-4928-A11F-898D5BE0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3659</Words>
  <Characters>19763</Characters>
  <Application>Microsoft Office Word</Application>
  <DocSecurity>0</DocSecurity>
  <Lines>164</Lines>
  <Paragraphs>46</Paragraphs>
  <ScaleCrop>false</ScaleCrop>
  <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Donizete Batistella</dc:creator>
  <cp:keywords/>
  <dc:description/>
  <cp:lastModifiedBy>Renata dos Santos Leitão</cp:lastModifiedBy>
  <cp:revision>3</cp:revision>
  <dcterms:created xsi:type="dcterms:W3CDTF">2021-07-21T15:16:00Z</dcterms:created>
  <dcterms:modified xsi:type="dcterms:W3CDTF">2022-05-18T17:49:00Z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