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52A3238F" w:rsidR="00CF08C5" w:rsidRPr="0030742D" w:rsidRDefault="00A0225F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bookmarkStart w:id="0" w:name="_GoBack"/>
      <w:bookmarkEnd w:id="0"/>
      <w:r w:rsidRPr="00A0225F">
        <w:rPr>
          <w:rFonts w:asciiTheme="minorHAnsi" w:hAnsiTheme="minorHAnsi" w:cstheme="minorHAnsi"/>
          <w:b w:val="0"/>
          <w:bCs w:val="0"/>
          <w:sz w:val="24"/>
        </w:rPr>
        <w:t>RESOLUÇÃO CVM Nº 12</w:t>
      </w:r>
      <w:r>
        <w:rPr>
          <w:rFonts w:asciiTheme="minorHAnsi" w:hAnsiTheme="minorHAnsi" w:cstheme="minorHAnsi"/>
          <w:b w:val="0"/>
          <w:bCs w:val="0"/>
          <w:sz w:val="24"/>
          <w:lang w:val="pt-BR"/>
        </w:rPr>
        <w:t>5</w:t>
      </w:r>
      <w:r w:rsidRPr="00A0225F">
        <w:rPr>
          <w:rFonts w:asciiTheme="minorHAnsi" w:hAnsiTheme="minorHAnsi" w:cstheme="minorHAnsi"/>
          <w:b w:val="0"/>
          <w:bCs w:val="0"/>
          <w:sz w:val="24"/>
        </w:rPr>
        <w:t>, DE 3 DE JUNHO DE 2022</w:t>
      </w:r>
    </w:p>
    <w:p w14:paraId="5B546EE5" w14:textId="2E0E4871" w:rsidR="00CF08C5" w:rsidRPr="00273211" w:rsidRDefault="00CF08C5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273211">
        <w:rPr>
          <w:rFonts w:asciiTheme="minorHAnsi" w:hAnsiTheme="minorHAnsi" w:cstheme="minorHAnsi"/>
          <w:iCs/>
          <w:sz w:val="24"/>
        </w:rPr>
        <w:t xml:space="preserve">Aprova </w:t>
      </w:r>
      <w:r w:rsidR="000C4966" w:rsidRPr="000C4966">
        <w:rPr>
          <w:rFonts w:asciiTheme="minorHAnsi" w:hAnsiTheme="minorHAnsi" w:cstheme="minorHAnsi"/>
          <w:iCs/>
          <w:sz w:val="24"/>
        </w:rPr>
        <w:t>a Consolidação d</w:t>
      </w:r>
      <w:r w:rsidR="00824ACF">
        <w:rPr>
          <w:rFonts w:asciiTheme="minorHAnsi" w:hAnsiTheme="minorHAnsi" w:cstheme="minorHAnsi"/>
          <w:iCs/>
          <w:sz w:val="24"/>
        </w:rPr>
        <w:t>a Interpretação Técnica</w:t>
      </w:r>
      <w:r w:rsidRPr="00273211">
        <w:rPr>
          <w:rFonts w:asciiTheme="minorHAnsi" w:hAnsiTheme="minorHAnsi" w:cstheme="minorHAnsi"/>
          <w:iCs/>
          <w:sz w:val="24"/>
        </w:rPr>
        <w:t xml:space="preserve"> </w:t>
      </w:r>
      <w:r w:rsidR="004461EC">
        <w:rPr>
          <w:rFonts w:asciiTheme="minorHAnsi" w:hAnsiTheme="minorHAnsi" w:cstheme="minorHAnsi"/>
          <w:iCs/>
          <w:sz w:val="24"/>
        </w:rPr>
        <w:t xml:space="preserve">ICPC </w:t>
      </w:r>
      <w:r w:rsidR="00707793">
        <w:rPr>
          <w:rFonts w:asciiTheme="minorHAnsi" w:hAnsiTheme="minorHAnsi" w:cstheme="minorHAnsi"/>
          <w:iCs/>
          <w:sz w:val="24"/>
        </w:rPr>
        <w:t>12</w:t>
      </w:r>
      <w:r w:rsidRPr="00273211">
        <w:rPr>
          <w:rFonts w:asciiTheme="minorHAnsi" w:hAnsiTheme="minorHAnsi" w:cstheme="minorHAnsi"/>
          <w:iCs/>
          <w:sz w:val="24"/>
        </w:rPr>
        <w:t xml:space="preserve"> do Comitê de Pronunciamentos Contábeis</w:t>
      </w:r>
      <w:r w:rsidR="000C4966" w:rsidRPr="000C4966">
        <w:rPr>
          <w:rFonts w:asciiTheme="minorHAnsi" w:hAnsiTheme="minorHAnsi" w:cstheme="minorHAnsi"/>
          <w:iCs/>
          <w:sz w:val="24"/>
        </w:rPr>
        <w:t xml:space="preserve"> – CPC</w:t>
      </w:r>
      <w:r w:rsidRPr="00273211">
        <w:rPr>
          <w:rFonts w:asciiTheme="minorHAnsi" w:hAnsiTheme="minorHAnsi" w:cstheme="minorHAnsi"/>
          <w:iCs/>
          <w:sz w:val="24"/>
        </w:rPr>
        <w:t xml:space="preserve">, que trata </w:t>
      </w:r>
      <w:r w:rsidR="000C4966">
        <w:rPr>
          <w:rFonts w:asciiTheme="minorHAnsi" w:hAnsiTheme="minorHAnsi" w:cstheme="minorHAnsi"/>
          <w:iCs/>
          <w:sz w:val="24"/>
        </w:rPr>
        <w:t>d</w:t>
      </w:r>
      <w:r w:rsidRPr="00273211">
        <w:rPr>
          <w:rFonts w:asciiTheme="minorHAnsi" w:hAnsiTheme="minorHAnsi" w:cstheme="minorHAnsi"/>
          <w:iCs/>
          <w:sz w:val="24"/>
        </w:rPr>
        <w:t xml:space="preserve">e </w:t>
      </w:r>
      <w:r w:rsidR="00327663">
        <w:rPr>
          <w:rFonts w:asciiTheme="minorHAnsi" w:hAnsiTheme="minorHAnsi" w:cstheme="minorHAnsi"/>
          <w:iCs/>
          <w:sz w:val="24"/>
        </w:rPr>
        <w:t xml:space="preserve">mudanças em passivos por desativação, restauração </w:t>
      </w:r>
      <w:r w:rsidR="003965B2">
        <w:rPr>
          <w:rFonts w:asciiTheme="minorHAnsi" w:hAnsiTheme="minorHAnsi" w:cstheme="minorHAnsi"/>
          <w:iCs/>
          <w:sz w:val="24"/>
        </w:rPr>
        <w:t xml:space="preserve">e outros passivos similares. </w:t>
      </w:r>
    </w:p>
    <w:p w14:paraId="7D45C359" w14:textId="180DD258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C704D0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4 de maio 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>de 202</w:t>
      </w:r>
      <w:r w:rsidR="0030742D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com fundamento nos §§ 3º e 5º do art. 177 da Lei n° 6.404, de 15 de dezembro de 1976, combinados com os incisos II e IV do § 1° do art. 22 da Lei n° 6.385, de 7 de dezembro de 1976, bem como nos arts. 5º e 14 do Decreto nº 10.139, de 28 de novembro de 2019,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489E3E30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>Art. 1º  Torna obrigatóri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para as companhias abertas </w:t>
      </w:r>
      <w:r w:rsidR="00824ACF">
        <w:rPr>
          <w:rFonts w:asciiTheme="minorHAnsi" w:hAnsiTheme="minorHAnsi" w:cstheme="minorHAnsi"/>
          <w:sz w:val="24"/>
        </w:rPr>
        <w:t>a Interpretação Técnica ICPC</w:t>
      </w:r>
      <w:r w:rsidR="00A24282">
        <w:rPr>
          <w:rFonts w:asciiTheme="minorHAnsi" w:hAnsiTheme="minorHAnsi" w:cstheme="minorHAnsi"/>
          <w:sz w:val="24"/>
        </w:rPr>
        <w:t xml:space="preserve"> 12</w:t>
      </w:r>
      <w:r w:rsidR="000C4966">
        <w:rPr>
          <w:rFonts w:asciiTheme="minorHAnsi" w:hAnsiTheme="minorHAnsi" w:cstheme="minorHAnsi"/>
          <w:sz w:val="24"/>
        </w:rPr>
        <w:t xml:space="preserve">, </w:t>
      </w:r>
      <w:r w:rsidR="000C4966" w:rsidRPr="00273211">
        <w:rPr>
          <w:rFonts w:asciiTheme="minorHAnsi" w:hAnsiTheme="minorHAnsi" w:cstheme="minorHAnsi"/>
          <w:iCs/>
          <w:sz w:val="24"/>
        </w:rPr>
        <w:t xml:space="preserve">que trata </w:t>
      </w:r>
      <w:r w:rsidR="000C4966">
        <w:rPr>
          <w:rFonts w:asciiTheme="minorHAnsi" w:hAnsiTheme="minorHAnsi" w:cstheme="minorHAnsi"/>
          <w:iCs/>
          <w:sz w:val="24"/>
        </w:rPr>
        <w:t>d</w:t>
      </w:r>
      <w:r w:rsidR="000C4966" w:rsidRPr="00273211">
        <w:rPr>
          <w:rFonts w:asciiTheme="minorHAnsi" w:hAnsiTheme="minorHAnsi" w:cstheme="minorHAnsi"/>
          <w:iCs/>
          <w:sz w:val="24"/>
        </w:rPr>
        <w:t xml:space="preserve">e </w:t>
      </w:r>
      <w:r w:rsidR="000C4966">
        <w:rPr>
          <w:rFonts w:asciiTheme="minorHAnsi" w:hAnsiTheme="minorHAnsi" w:cstheme="minorHAnsi"/>
          <w:iCs/>
          <w:sz w:val="24"/>
        </w:rPr>
        <w:t>mudanças em passivos por desativação, restauração e outros passivos similares,</w:t>
      </w:r>
      <w:r w:rsidRPr="00273211">
        <w:rPr>
          <w:rFonts w:asciiTheme="minorHAnsi" w:hAnsiTheme="minorHAnsi" w:cstheme="minorHAnsi"/>
          <w:sz w:val="24"/>
        </w:rPr>
        <w:t xml:space="preserve"> emitid</w:t>
      </w:r>
      <w:r w:rsidR="00824ACF">
        <w:rPr>
          <w:rFonts w:asciiTheme="minorHAnsi" w:hAnsiTheme="minorHAnsi" w:cstheme="minorHAnsi"/>
          <w:sz w:val="24"/>
        </w:rPr>
        <w:t>a</w:t>
      </w:r>
      <w:r w:rsidRPr="00273211">
        <w:rPr>
          <w:rFonts w:asciiTheme="minorHAnsi" w:hAnsiTheme="minorHAnsi" w:cstheme="minorHAnsi"/>
          <w:sz w:val="24"/>
        </w:rPr>
        <w:t xml:space="preserve"> pelo Comitê de Pronunciamentos Contábeis - CPC, </w:t>
      </w:r>
      <w:r w:rsidR="000C4966" w:rsidRPr="000C4966">
        <w:rPr>
          <w:rFonts w:asciiTheme="minorHAnsi" w:hAnsiTheme="minorHAnsi" w:cstheme="minorHAnsi"/>
          <w:sz w:val="24"/>
        </w:rPr>
        <w:t>conforme consolidad</w:t>
      </w:r>
      <w:r w:rsidR="000C4966">
        <w:rPr>
          <w:rFonts w:asciiTheme="minorHAnsi" w:hAnsiTheme="minorHAnsi" w:cstheme="minorHAnsi"/>
          <w:sz w:val="24"/>
        </w:rPr>
        <w:t>a</w:t>
      </w:r>
      <w:r w:rsidR="000C4966" w:rsidRPr="000C4966">
        <w:rPr>
          <w:rFonts w:asciiTheme="minorHAnsi" w:hAnsiTheme="minorHAnsi" w:cstheme="minorHAnsi"/>
          <w:sz w:val="24"/>
        </w:rPr>
        <w:t xml:space="preserve"> no Anexo “A” à presente Resolução</w:t>
      </w:r>
      <w:r w:rsidR="00A24282">
        <w:rPr>
          <w:rFonts w:asciiTheme="minorHAnsi" w:hAnsiTheme="minorHAnsi" w:cstheme="minorHAnsi"/>
          <w:sz w:val="24"/>
        </w:rPr>
        <w:t>.</w:t>
      </w:r>
    </w:p>
    <w:p w14:paraId="4E2C13E3" w14:textId="0DA29F4F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2º  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>Fica revogada a Deliberação</w:t>
      </w:r>
      <w:r w:rsidR="007449E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250580">
        <w:rPr>
          <w:rFonts w:asciiTheme="minorHAnsi" w:hAnsiTheme="minorHAnsi" w:cstheme="minorHAnsi"/>
          <w:color w:val="000000" w:themeColor="text1"/>
          <w:sz w:val="24"/>
        </w:rPr>
        <w:t xml:space="preserve">CVM nº </w:t>
      </w:r>
      <w:r w:rsidR="007449EF">
        <w:rPr>
          <w:rFonts w:asciiTheme="minorHAnsi" w:hAnsiTheme="minorHAnsi" w:cstheme="minorHAnsi"/>
          <w:color w:val="000000" w:themeColor="text1"/>
          <w:sz w:val="24"/>
        </w:rPr>
        <w:t>621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>, de</w:t>
      </w:r>
      <w:r w:rsidR="004D7125">
        <w:rPr>
          <w:rFonts w:asciiTheme="minorHAnsi" w:hAnsiTheme="minorHAnsi" w:cstheme="minorHAnsi"/>
          <w:color w:val="000000" w:themeColor="text1"/>
          <w:sz w:val="24"/>
        </w:rPr>
        <w:t xml:space="preserve"> 22 dezembro</w:t>
      </w:r>
      <w:r w:rsidRPr="00273211">
        <w:rPr>
          <w:rFonts w:asciiTheme="minorHAnsi" w:hAnsiTheme="minorHAnsi" w:cstheme="minorHAnsi"/>
          <w:color w:val="000000" w:themeColor="text1"/>
          <w:sz w:val="24"/>
        </w:rPr>
        <w:t xml:space="preserve"> de 20</w:t>
      </w:r>
      <w:r w:rsidR="004D7125">
        <w:rPr>
          <w:rFonts w:asciiTheme="minorHAnsi" w:hAnsiTheme="minorHAnsi" w:cstheme="minorHAnsi"/>
          <w:color w:val="000000" w:themeColor="text1"/>
          <w:sz w:val="24"/>
        </w:rPr>
        <w:t>09</w:t>
      </w:r>
      <w:r w:rsidR="000C4966" w:rsidRPr="000C4966">
        <w:rPr>
          <w:rFonts w:asciiTheme="minorHAnsi" w:hAnsiTheme="minorHAnsi" w:cstheme="minorHAnsi"/>
          <w:color w:val="000000" w:themeColor="text1"/>
          <w:sz w:val="24"/>
        </w:rPr>
        <w:t>, a partir da vigência desta Resolução</w:t>
      </w:r>
      <w:r w:rsidRPr="00273211">
        <w:rPr>
          <w:rFonts w:asciiTheme="minorHAnsi" w:hAnsiTheme="minorHAnsi" w:cstheme="minorHAnsi"/>
          <w:sz w:val="24"/>
        </w:rPr>
        <w:t>.</w:t>
      </w:r>
    </w:p>
    <w:p w14:paraId="7C1D6C73" w14:textId="40434C1C" w:rsidR="00273211" w:rsidRPr="00273211" w:rsidRDefault="00273211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3º  </w:t>
      </w:r>
      <w:r w:rsidR="000C4966" w:rsidRPr="000C4966">
        <w:rPr>
          <w:rFonts w:asciiTheme="minorHAnsi" w:hAnsiTheme="minorHAnsi" w:cstheme="minorHAnsi"/>
          <w:sz w:val="24"/>
        </w:rPr>
        <w:t>Esta Resolução entra em vigor em 1º de julho de 2022</w:t>
      </w:r>
      <w:r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Marcelo Barbosa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p w14:paraId="74B88778" w14:textId="770323FC" w:rsidR="00DF62F3" w:rsidRDefault="00DF62F3">
      <w:pPr>
        <w:spacing w:before="0" w:after="160" w:line="259" w:lineRule="auto"/>
        <w:jc w:val="left"/>
        <w:rPr>
          <w:rFonts w:cs="Arial"/>
          <w:b/>
          <w:sz w:val="22"/>
          <w:szCs w:val="22"/>
          <w:lang w:val="pt-BR"/>
        </w:rPr>
      </w:pPr>
      <w:r>
        <w:rPr>
          <w:rFonts w:cs="Arial"/>
          <w:b/>
          <w:sz w:val="22"/>
          <w:szCs w:val="22"/>
          <w:lang w:val="pt-BR"/>
        </w:rPr>
        <w:br w:type="page"/>
      </w:r>
    </w:p>
    <w:p w14:paraId="60DE299B" w14:textId="695CCE52" w:rsidR="00176ACA" w:rsidRDefault="00176ACA" w:rsidP="008F5FE7">
      <w:pPr>
        <w:spacing w:before="60" w:after="60"/>
        <w:jc w:val="center"/>
        <w:outlineLvl w:val="0"/>
        <w:rPr>
          <w:rFonts w:ascii="Times New Roman" w:hAnsi="Times New Roman"/>
          <w:b/>
          <w:sz w:val="24"/>
          <w:lang w:val="pt-BR"/>
        </w:rPr>
      </w:pPr>
      <w:r w:rsidRPr="00176ACA">
        <w:rPr>
          <w:rFonts w:ascii="Times New Roman" w:hAnsi="Times New Roman"/>
          <w:b/>
          <w:sz w:val="24"/>
          <w:lang w:val="pt-BR"/>
        </w:rPr>
        <w:lastRenderedPageBreak/>
        <w:t>ANEXO “A”</w:t>
      </w:r>
    </w:p>
    <w:p w14:paraId="220CDD64" w14:textId="77777777" w:rsidR="00176ACA" w:rsidRPr="008F5FE7" w:rsidRDefault="00176ACA" w:rsidP="00176ACA">
      <w:pPr>
        <w:spacing w:before="60" w:after="60"/>
        <w:jc w:val="center"/>
        <w:outlineLvl w:val="0"/>
        <w:rPr>
          <w:rFonts w:ascii="Times New Roman" w:hAnsi="Times New Roman"/>
          <w:b/>
          <w:sz w:val="18"/>
          <w:szCs w:val="18"/>
          <w:lang w:val="pt-BR"/>
        </w:rPr>
      </w:pPr>
    </w:p>
    <w:p w14:paraId="0F1AE9BA" w14:textId="45EF05F6" w:rsidR="008F5FE7" w:rsidRPr="008F5FE7" w:rsidRDefault="008F5FE7" w:rsidP="008F5FE7">
      <w:pPr>
        <w:spacing w:before="60" w:after="60"/>
        <w:jc w:val="center"/>
        <w:outlineLvl w:val="0"/>
        <w:rPr>
          <w:rFonts w:ascii="Times New Roman" w:hAnsi="Times New Roman"/>
          <w:b/>
          <w:sz w:val="24"/>
          <w:lang w:val="pt-BR"/>
        </w:rPr>
      </w:pPr>
      <w:r w:rsidRPr="008F5FE7">
        <w:rPr>
          <w:rFonts w:ascii="Times New Roman" w:hAnsi="Times New Roman"/>
          <w:b/>
          <w:sz w:val="24"/>
          <w:lang w:val="pt-BR"/>
        </w:rPr>
        <w:t>COMITÊ DE PRONUNCIAMENTOS CONTÁBEIS</w:t>
      </w:r>
    </w:p>
    <w:p w14:paraId="16853DAB" w14:textId="77777777" w:rsidR="008F5FE7" w:rsidRPr="008F5FE7" w:rsidRDefault="008F5FE7" w:rsidP="008F5FE7">
      <w:pPr>
        <w:spacing w:before="60" w:after="60"/>
        <w:jc w:val="center"/>
        <w:outlineLvl w:val="0"/>
        <w:rPr>
          <w:rFonts w:ascii="Times New Roman" w:hAnsi="Times New Roman"/>
          <w:b/>
          <w:sz w:val="18"/>
          <w:szCs w:val="18"/>
          <w:lang w:val="pt-BR"/>
        </w:rPr>
      </w:pPr>
    </w:p>
    <w:p w14:paraId="109B8C56" w14:textId="77777777" w:rsidR="008F5FE7" w:rsidRPr="0030742D" w:rsidRDefault="008F5FE7" w:rsidP="008F5FE7">
      <w:pPr>
        <w:spacing w:before="60" w:after="60"/>
        <w:jc w:val="center"/>
        <w:outlineLvl w:val="0"/>
        <w:rPr>
          <w:rFonts w:ascii="Times New Roman" w:hAnsi="Times New Roman"/>
          <w:b/>
          <w:sz w:val="24"/>
          <w:lang w:val="pt-BR"/>
        </w:rPr>
      </w:pPr>
      <w:r w:rsidRPr="0030742D">
        <w:rPr>
          <w:rFonts w:ascii="Times New Roman" w:hAnsi="Times New Roman"/>
          <w:b/>
          <w:sz w:val="24"/>
          <w:lang w:val="pt-BR"/>
        </w:rPr>
        <w:t>INTERPRETAÇÃO TÉCNICA ICPC 12</w:t>
      </w:r>
    </w:p>
    <w:p w14:paraId="3A637019" w14:textId="77777777" w:rsidR="008F5FE7" w:rsidRPr="008F5FE7" w:rsidRDefault="008F5FE7" w:rsidP="008F5FE7">
      <w:pPr>
        <w:spacing w:before="60" w:after="60"/>
        <w:jc w:val="center"/>
        <w:outlineLvl w:val="0"/>
        <w:rPr>
          <w:rFonts w:ascii="Times New Roman" w:hAnsi="Times New Roman"/>
          <w:b/>
          <w:sz w:val="18"/>
          <w:szCs w:val="18"/>
          <w:lang w:val="pt-BR"/>
        </w:rPr>
      </w:pPr>
    </w:p>
    <w:p w14:paraId="13D0330C" w14:textId="77777777" w:rsidR="008F5FE7" w:rsidRPr="0030742D" w:rsidRDefault="008F5FE7" w:rsidP="008F5FE7">
      <w:pPr>
        <w:spacing w:before="60" w:after="60"/>
        <w:jc w:val="center"/>
        <w:outlineLvl w:val="0"/>
        <w:rPr>
          <w:rFonts w:ascii="Times New Roman" w:hAnsi="Times New Roman"/>
          <w:b/>
          <w:caps/>
          <w:sz w:val="24"/>
          <w:lang w:val="pt-BR"/>
        </w:rPr>
      </w:pPr>
      <w:r w:rsidRPr="0030742D">
        <w:rPr>
          <w:rFonts w:ascii="Times New Roman" w:hAnsi="Times New Roman"/>
          <w:b/>
          <w:caps/>
          <w:sz w:val="24"/>
          <w:lang w:val="pt-BR"/>
        </w:rPr>
        <w:t>Mudanças em Passivos por Desativação, Restauração e Outros Passivos Similares</w:t>
      </w:r>
    </w:p>
    <w:p w14:paraId="3542FD2C" w14:textId="77777777" w:rsidR="008F5FE7" w:rsidRPr="008F5FE7" w:rsidRDefault="008F5FE7" w:rsidP="008F5FE7">
      <w:pPr>
        <w:spacing w:before="60" w:after="60"/>
        <w:rPr>
          <w:rFonts w:ascii="Times New Roman" w:hAnsi="Times New Roman"/>
          <w:b/>
          <w:sz w:val="18"/>
          <w:szCs w:val="18"/>
          <w:lang w:val="pt-BR"/>
        </w:rPr>
      </w:pPr>
    </w:p>
    <w:p w14:paraId="59AF8D00" w14:textId="77777777" w:rsidR="008F5FE7" w:rsidRPr="0030742D" w:rsidRDefault="008F5FE7" w:rsidP="008F5FE7">
      <w:pPr>
        <w:spacing w:before="60" w:after="60"/>
        <w:jc w:val="center"/>
        <w:outlineLvl w:val="0"/>
        <w:rPr>
          <w:rFonts w:ascii="Times New Roman" w:hAnsi="Times New Roman"/>
          <w:b/>
          <w:bCs/>
          <w:sz w:val="24"/>
          <w:lang w:val="pt-BR"/>
        </w:rPr>
      </w:pPr>
      <w:r w:rsidRPr="0030742D">
        <w:rPr>
          <w:rFonts w:ascii="Times New Roman" w:hAnsi="Times New Roman"/>
          <w:b/>
          <w:bCs/>
          <w:sz w:val="24"/>
          <w:lang w:val="pt-BR"/>
        </w:rPr>
        <w:t>Correlação às Normas Internacionais de Contabilidade – IFRIC 1</w:t>
      </w:r>
    </w:p>
    <w:p w14:paraId="655ABA30" w14:textId="77777777" w:rsidR="008F5FE7" w:rsidRPr="008F5FE7" w:rsidRDefault="008F5FE7" w:rsidP="008F5FE7">
      <w:pPr>
        <w:rPr>
          <w:lang w:val="pt-BR" w:eastAsia="en-US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7196"/>
        <w:gridCol w:w="1559"/>
      </w:tblGrid>
      <w:tr w:rsidR="008F5FE7" w:rsidRPr="008F5FE7" w14:paraId="7E8CD516" w14:textId="77777777" w:rsidTr="00057473">
        <w:tc>
          <w:tcPr>
            <w:tcW w:w="7196" w:type="dxa"/>
          </w:tcPr>
          <w:p w14:paraId="64A5BF38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Cs/>
                <w:kern w:val="36"/>
                <w:sz w:val="24"/>
                <w:lang w:val="pt-BR"/>
              </w:rPr>
              <w:t>Índice</w:t>
            </w:r>
          </w:p>
        </w:tc>
        <w:tc>
          <w:tcPr>
            <w:tcW w:w="1559" w:type="dxa"/>
          </w:tcPr>
          <w:p w14:paraId="45A5A3E1" w14:textId="77777777" w:rsidR="008F5FE7" w:rsidRPr="008F5FE7" w:rsidRDefault="008F5FE7" w:rsidP="008F5FE7">
            <w:pPr>
              <w:spacing w:before="60" w:after="60"/>
              <w:rPr>
                <w:rFonts w:ascii="Times New Roman" w:hAnsi="Times New Roman"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Cs/>
                <w:kern w:val="36"/>
                <w:sz w:val="24"/>
                <w:lang w:val="pt-BR"/>
              </w:rPr>
              <w:t>Item</w:t>
            </w:r>
          </w:p>
        </w:tc>
      </w:tr>
      <w:tr w:rsidR="008F5FE7" w:rsidRPr="008F5FE7" w14:paraId="3467F84D" w14:textId="77777777" w:rsidTr="00057473">
        <w:tc>
          <w:tcPr>
            <w:tcW w:w="7196" w:type="dxa"/>
          </w:tcPr>
          <w:p w14:paraId="7BD7B1D6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CONTEXTO</w:t>
            </w:r>
          </w:p>
        </w:tc>
        <w:tc>
          <w:tcPr>
            <w:tcW w:w="1559" w:type="dxa"/>
          </w:tcPr>
          <w:p w14:paraId="1CCE60E5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1</w:t>
            </w:r>
          </w:p>
        </w:tc>
      </w:tr>
      <w:tr w:rsidR="008F5FE7" w:rsidRPr="008F5FE7" w14:paraId="63E56010" w14:textId="77777777" w:rsidTr="00057473">
        <w:tc>
          <w:tcPr>
            <w:tcW w:w="7196" w:type="dxa"/>
          </w:tcPr>
          <w:p w14:paraId="13AD63EA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ALCANCE</w:t>
            </w:r>
          </w:p>
        </w:tc>
        <w:tc>
          <w:tcPr>
            <w:tcW w:w="1559" w:type="dxa"/>
          </w:tcPr>
          <w:p w14:paraId="7DDEB57C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2</w:t>
            </w:r>
          </w:p>
        </w:tc>
      </w:tr>
      <w:tr w:rsidR="008F5FE7" w:rsidRPr="008F5FE7" w14:paraId="1863C959" w14:textId="77777777" w:rsidTr="00057473">
        <w:tc>
          <w:tcPr>
            <w:tcW w:w="7196" w:type="dxa"/>
          </w:tcPr>
          <w:p w14:paraId="71A33621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QUESTÃO</w:t>
            </w:r>
          </w:p>
        </w:tc>
        <w:tc>
          <w:tcPr>
            <w:tcW w:w="1559" w:type="dxa"/>
            <w:vAlign w:val="center"/>
          </w:tcPr>
          <w:p w14:paraId="1D60748B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3</w:t>
            </w:r>
          </w:p>
        </w:tc>
      </w:tr>
      <w:tr w:rsidR="008F5FE7" w:rsidRPr="008F5FE7" w14:paraId="258FEEF3" w14:textId="77777777" w:rsidTr="00057473">
        <w:tc>
          <w:tcPr>
            <w:tcW w:w="7196" w:type="dxa"/>
          </w:tcPr>
          <w:p w14:paraId="47300E6F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CONSENSO</w:t>
            </w:r>
          </w:p>
        </w:tc>
        <w:tc>
          <w:tcPr>
            <w:tcW w:w="1559" w:type="dxa"/>
            <w:vAlign w:val="center"/>
          </w:tcPr>
          <w:p w14:paraId="19A68D85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4 – 8</w:t>
            </w:r>
          </w:p>
        </w:tc>
      </w:tr>
      <w:tr w:rsidR="008F5FE7" w:rsidRPr="008F5FE7" w14:paraId="456C601C" w14:textId="77777777" w:rsidTr="00057473">
        <w:tc>
          <w:tcPr>
            <w:tcW w:w="7196" w:type="dxa"/>
          </w:tcPr>
          <w:p w14:paraId="1DCEACA2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EXEMPLOS ILUSTRATIVOS</w:t>
            </w:r>
          </w:p>
        </w:tc>
        <w:tc>
          <w:tcPr>
            <w:tcW w:w="1559" w:type="dxa"/>
            <w:vAlign w:val="center"/>
          </w:tcPr>
          <w:p w14:paraId="1CC179DA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</w:p>
        </w:tc>
      </w:tr>
      <w:tr w:rsidR="008F5FE7" w:rsidRPr="008F5FE7" w14:paraId="7CE93F9E" w14:textId="77777777" w:rsidTr="00057473">
        <w:tc>
          <w:tcPr>
            <w:tcW w:w="7196" w:type="dxa"/>
          </w:tcPr>
          <w:p w14:paraId="69AFE9B0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Fatos comuns</w:t>
            </w:r>
          </w:p>
        </w:tc>
        <w:tc>
          <w:tcPr>
            <w:tcW w:w="1559" w:type="dxa"/>
            <w:vAlign w:val="center"/>
          </w:tcPr>
          <w:p w14:paraId="1CA4E4C6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EI1</w:t>
            </w:r>
          </w:p>
        </w:tc>
      </w:tr>
      <w:tr w:rsidR="008F5FE7" w:rsidRPr="008F5FE7" w14:paraId="4F366D8D" w14:textId="77777777" w:rsidTr="00057473">
        <w:tc>
          <w:tcPr>
            <w:tcW w:w="7196" w:type="dxa"/>
          </w:tcPr>
          <w:p w14:paraId="1B3A7960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Exemplo 1: Modelo de custo</w:t>
            </w:r>
          </w:p>
        </w:tc>
        <w:tc>
          <w:tcPr>
            <w:tcW w:w="1559" w:type="dxa"/>
            <w:vAlign w:val="center"/>
          </w:tcPr>
          <w:p w14:paraId="2D4F1DC9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EI2 – EI5</w:t>
            </w:r>
          </w:p>
        </w:tc>
      </w:tr>
      <w:tr w:rsidR="008F5FE7" w:rsidRPr="008F5FE7" w14:paraId="523CBE19" w14:textId="77777777" w:rsidTr="00057473">
        <w:tc>
          <w:tcPr>
            <w:tcW w:w="7196" w:type="dxa"/>
          </w:tcPr>
          <w:p w14:paraId="7615A9A3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Exemplo 2: Modelo de reavaliação</w:t>
            </w:r>
          </w:p>
        </w:tc>
        <w:tc>
          <w:tcPr>
            <w:tcW w:w="1559" w:type="dxa"/>
            <w:vAlign w:val="center"/>
          </w:tcPr>
          <w:p w14:paraId="3819D63D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EI6 – EI12</w:t>
            </w:r>
          </w:p>
        </w:tc>
      </w:tr>
      <w:tr w:rsidR="008F5FE7" w:rsidRPr="008F5FE7" w14:paraId="3495AD5B" w14:textId="77777777" w:rsidTr="00057473">
        <w:tc>
          <w:tcPr>
            <w:tcW w:w="7196" w:type="dxa"/>
          </w:tcPr>
          <w:p w14:paraId="7F559A0C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Exemplo 3: Transição</w:t>
            </w:r>
          </w:p>
        </w:tc>
        <w:tc>
          <w:tcPr>
            <w:tcW w:w="1559" w:type="dxa"/>
            <w:vAlign w:val="center"/>
          </w:tcPr>
          <w:p w14:paraId="1203BDD1" w14:textId="77777777" w:rsidR="008F5FE7" w:rsidRPr="008F5FE7" w:rsidRDefault="008F5FE7" w:rsidP="008F5FE7">
            <w:pPr>
              <w:spacing w:before="60" w:after="60"/>
              <w:jc w:val="left"/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</w:pPr>
            <w:r w:rsidRPr="008F5FE7">
              <w:rPr>
                <w:rFonts w:ascii="Times New Roman" w:hAnsi="Times New Roman"/>
                <w:b/>
                <w:bCs/>
                <w:kern w:val="36"/>
                <w:sz w:val="24"/>
                <w:lang w:val="pt-BR"/>
              </w:rPr>
              <w:t>EI13 – EI18</w:t>
            </w:r>
          </w:p>
        </w:tc>
      </w:tr>
    </w:tbl>
    <w:p w14:paraId="6D2838E6" w14:textId="77777777" w:rsidR="008F5FE7" w:rsidRPr="008F5FE7" w:rsidRDefault="008F5FE7" w:rsidP="008F5FE7">
      <w:pPr>
        <w:spacing w:before="40" w:after="40"/>
        <w:rPr>
          <w:rFonts w:ascii="Times New Roman" w:hAnsi="Times New Roman"/>
          <w:b/>
          <w:sz w:val="28"/>
          <w:szCs w:val="28"/>
          <w:lang w:val="pt-BR"/>
        </w:rPr>
      </w:pPr>
    </w:p>
    <w:p w14:paraId="6C6EF515" w14:textId="77777777" w:rsidR="008F5FE7" w:rsidRDefault="008F5FE7" w:rsidP="008F5FE7">
      <w:pPr>
        <w:spacing w:before="40" w:after="4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14:paraId="3B1BBC47" w14:textId="550CF063" w:rsidR="008F5FE7" w:rsidRPr="008F5FE7" w:rsidRDefault="008F5FE7" w:rsidP="00A90A40">
      <w:pPr>
        <w:spacing w:before="0" w:after="0"/>
        <w:rPr>
          <w:rFonts w:ascii="Times New Roman" w:hAnsi="Times New Roman"/>
          <w:b/>
          <w:sz w:val="28"/>
          <w:szCs w:val="28"/>
          <w:lang w:val="pt-BR"/>
        </w:rPr>
      </w:pPr>
      <w:r w:rsidRPr="008F5FE7">
        <w:rPr>
          <w:rFonts w:ascii="Times New Roman" w:hAnsi="Times New Roman"/>
          <w:b/>
          <w:sz w:val="28"/>
          <w:szCs w:val="28"/>
          <w:lang w:val="pt-BR"/>
        </w:rPr>
        <w:lastRenderedPageBreak/>
        <w:t>Contexto</w:t>
      </w:r>
    </w:p>
    <w:p w14:paraId="3212B8D9" w14:textId="77777777" w:rsidR="008F5FE7" w:rsidRPr="00A90A40" w:rsidRDefault="008F5FE7" w:rsidP="00A90A40">
      <w:pPr>
        <w:spacing w:before="0" w:after="0"/>
        <w:rPr>
          <w:rFonts w:ascii="Times New Roman" w:hAnsi="Times New Roman"/>
          <w:bCs/>
          <w:sz w:val="24"/>
          <w:lang w:val="pt-BR"/>
        </w:rPr>
      </w:pPr>
    </w:p>
    <w:p w14:paraId="134A3A7F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1.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Muitas entidades têm obrigações para desmontar, retirar e restaurar itens do imobilizado. Nesta Interpretação, essas obrigações são referidas como “passivos por desativação, restauração e outros passivos similares”. De acordo com o Pronunciamento Técnico CPC 27 – Ativo Imobilizado, o custo de um item do imobilizado inclui a estimativa inicial dos custos de desmontagem e retirada do item e restauração do local em que está localizado, em cuja obrigação uma entidade incorre, quando o item é adquirido ou como consequência de ter usado o item durante um período específico para fins que não sejam o de produzir estoques durante esse período. O Pronunciamento Técnico CPC 25 – Provisões, Passivos Contingentes e Ativos Contingentes contém requisitos sobre como mensurar passivos por desativação, restauração e outros passivos similares. Esta Interpretação fornece orientação sobre como contabilizar o efeito das mudanças na mensuração dos passivos por desativação, restauração e outros passivos similares.</w:t>
      </w:r>
    </w:p>
    <w:p w14:paraId="21B2CF90" w14:textId="77777777" w:rsidR="008F5FE7" w:rsidRPr="00A90A40" w:rsidRDefault="008F5FE7" w:rsidP="008F5FE7">
      <w:pPr>
        <w:spacing w:before="40" w:after="40"/>
        <w:rPr>
          <w:rFonts w:ascii="Times New Roman" w:hAnsi="Times New Roman"/>
          <w:bCs/>
          <w:sz w:val="24"/>
          <w:lang w:val="pt-BR"/>
        </w:rPr>
      </w:pPr>
    </w:p>
    <w:p w14:paraId="63D18E58" w14:textId="77777777" w:rsidR="008F5FE7" w:rsidRPr="008F5FE7" w:rsidRDefault="008F5FE7" w:rsidP="00A90A40">
      <w:pPr>
        <w:spacing w:before="0" w:after="0"/>
        <w:rPr>
          <w:rFonts w:ascii="Times New Roman" w:hAnsi="Times New Roman"/>
          <w:b/>
          <w:sz w:val="24"/>
          <w:lang w:val="pt-BR"/>
        </w:rPr>
      </w:pPr>
      <w:r w:rsidRPr="008F5FE7">
        <w:rPr>
          <w:rFonts w:ascii="Times New Roman" w:hAnsi="Times New Roman"/>
          <w:b/>
          <w:sz w:val="24"/>
          <w:lang w:val="pt-BR"/>
        </w:rPr>
        <w:t>Alcance</w:t>
      </w:r>
    </w:p>
    <w:p w14:paraId="794EA74C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9750CF0" w14:textId="77777777" w:rsidR="008F5FE7" w:rsidRPr="008F5FE7" w:rsidRDefault="008F5FE7" w:rsidP="008F5FE7">
      <w:pPr>
        <w:widowControl w:val="0"/>
        <w:tabs>
          <w:tab w:val="left" w:pos="6804"/>
        </w:tabs>
        <w:spacing w:before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2.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Esta Interpretação é aplicável às mudanças na mensuração de qualquer passivo por desativação, restauração ou outro passivo similar que:</w:t>
      </w:r>
    </w:p>
    <w:p w14:paraId="570226A9" w14:textId="09ED0ED2" w:rsidR="008F5FE7" w:rsidRPr="008F5FE7" w:rsidRDefault="008F5FE7" w:rsidP="095590D3">
      <w:pPr>
        <w:ind w:left="993" w:hanging="426"/>
        <w:rPr>
          <w:rFonts w:ascii="Times New Roman"/>
        </w:rPr>
      </w:pPr>
      <w:r w:rsidRPr="095590D3">
        <w:rPr>
          <w:rFonts w:ascii="Times New Roman" w:hAnsi="Times New Roman"/>
          <w:sz w:val="24"/>
        </w:rPr>
        <w:t>(a)</w:t>
      </w:r>
      <w:r w:rsidR="60EE3AE2" w:rsidRPr="095590D3">
        <w:rPr>
          <w:rFonts w:ascii="Times New Roman" w:hAnsi="Times New Roman"/>
          <w:sz w:val="24"/>
        </w:rPr>
        <w:t xml:space="preserve"> </w:t>
      </w:r>
      <w:r w:rsidRPr="095590D3">
        <w:rPr>
          <w:rFonts w:ascii="Times New Roman" w:hAnsi="Times New Roman"/>
          <w:sz w:val="24"/>
        </w:rPr>
        <w:t xml:space="preserve">seja reconhecido como parte do custo de item do imobilizado, de acordo com o CPC 27 – Ativo Imobilizado, ou como parte do custo de ativo de direito de uso de acordo com o CPC 06; e </w:t>
      </w:r>
    </w:p>
    <w:p w14:paraId="08920487" w14:textId="113320E3" w:rsidR="008F5FE7" w:rsidRPr="008F5FE7" w:rsidRDefault="00D10DAC" w:rsidP="0030742D">
      <w:pPr>
        <w:widowControl w:val="0"/>
        <w:spacing w:before="0"/>
        <w:ind w:left="993" w:right="57" w:hanging="426"/>
        <w:rPr>
          <w:rFonts w:ascii="Times New Roman" w:hAnsi="Times New Roman"/>
          <w:color w:val="000000"/>
          <w:sz w:val="24"/>
          <w:lang w:val="pt-BR"/>
        </w:rPr>
      </w:pPr>
      <w:r w:rsidRPr="095590D3">
        <w:rPr>
          <w:rFonts w:ascii="Times New Roman" w:hAnsi="Times New Roman"/>
          <w:color w:val="000000" w:themeColor="text1"/>
          <w:sz w:val="24"/>
          <w:lang w:val="pt-BR"/>
        </w:rPr>
        <w:t xml:space="preserve">(b) </w:t>
      </w:r>
      <w:r w:rsidR="008F5FE7" w:rsidRPr="095590D3">
        <w:rPr>
          <w:rFonts w:ascii="Times New Roman" w:hAnsi="Times New Roman"/>
          <w:color w:val="000000" w:themeColor="text1"/>
          <w:sz w:val="24"/>
          <w:lang w:val="pt-BR"/>
        </w:rPr>
        <w:t>seja reconhecido como passivo de acordo com o Pronunciamento Técnico CPC 25 – Provisões, Passivos Contingentes e Ativos Contingentes.</w:t>
      </w:r>
    </w:p>
    <w:p w14:paraId="64C46E6E" w14:textId="251B197D" w:rsidR="008F5FE7" w:rsidRPr="008F5FE7" w:rsidRDefault="008F5FE7" w:rsidP="095590D3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ab/>
      </w:r>
      <w:r w:rsidRPr="095590D3">
        <w:rPr>
          <w:rFonts w:ascii="Times New Roman" w:hAnsi="Times New Roman"/>
          <w:color w:val="000000"/>
          <w:sz w:val="24"/>
          <w:lang w:val="pt-BR"/>
        </w:rPr>
        <w:t xml:space="preserve">Por exemplo, um passivo por desativação, restauração ou outro passivo similar pode existir pela desativação de uma fábrica, reabilitação de danos ambientais em indústrias extrativas ou remoção do equipamento. </w:t>
      </w:r>
    </w:p>
    <w:p w14:paraId="5ECD656D" w14:textId="77777777" w:rsidR="008F5FE7" w:rsidRPr="00564DE8" w:rsidRDefault="008F5FE7" w:rsidP="008F5FE7">
      <w:pPr>
        <w:spacing w:before="40" w:after="40"/>
        <w:rPr>
          <w:rFonts w:ascii="Times New Roman" w:hAnsi="Times New Roman"/>
          <w:bCs/>
          <w:sz w:val="24"/>
          <w:lang w:val="pt-BR"/>
        </w:rPr>
      </w:pPr>
    </w:p>
    <w:p w14:paraId="08B8DCEB" w14:textId="77777777" w:rsidR="008F5FE7" w:rsidRPr="008F5FE7" w:rsidRDefault="008F5FE7" w:rsidP="008F5FE7">
      <w:pPr>
        <w:spacing w:before="40" w:after="40"/>
        <w:rPr>
          <w:rFonts w:ascii="Times New Roman" w:hAnsi="Times New Roman"/>
          <w:b/>
          <w:sz w:val="24"/>
          <w:lang w:val="pt-BR"/>
        </w:rPr>
      </w:pPr>
      <w:r w:rsidRPr="008F5FE7">
        <w:rPr>
          <w:rFonts w:ascii="Times New Roman" w:hAnsi="Times New Roman"/>
          <w:b/>
          <w:sz w:val="24"/>
          <w:lang w:val="pt-BR"/>
        </w:rPr>
        <w:t>Questão</w:t>
      </w:r>
    </w:p>
    <w:p w14:paraId="36FFE070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115203F4" w14:textId="77777777" w:rsidR="008F5FE7" w:rsidRPr="008F5FE7" w:rsidRDefault="008F5FE7" w:rsidP="008F5FE7">
      <w:pPr>
        <w:widowControl w:val="0"/>
        <w:tabs>
          <w:tab w:val="left" w:pos="6804"/>
        </w:tabs>
        <w:spacing w:before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3.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Esta Interpretação trata sobre como o efeito dos seguintes eventos que mudam a mensuração de passivo por desativação, restauração ou outro passivo similar deve ser contabilizado para:</w:t>
      </w:r>
    </w:p>
    <w:p w14:paraId="126E6443" w14:textId="77777777" w:rsidR="008F5FE7" w:rsidRPr="008F5FE7" w:rsidRDefault="008F5FE7" w:rsidP="008F5FE7">
      <w:pPr>
        <w:widowControl w:val="0"/>
        <w:numPr>
          <w:ilvl w:val="0"/>
          <w:numId w:val="3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mudança no fluxo de saída estimado de recursos que incorporam benefícios econômicos (por exemplo, fluxos de caixa) necessários para liquidar a obrigação;</w:t>
      </w:r>
    </w:p>
    <w:p w14:paraId="30090FCB" w14:textId="77777777" w:rsidR="008F5FE7" w:rsidRPr="008F5FE7" w:rsidRDefault="008F5FE7" w:rsidP="008F5FE7">
      <w:pPr>
        <w:widowControl w:val="0"/>
        <w:numPr>
          <w:ilvl w:val="0"/>
          <w:numId w:val="3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mudança na taxa de desconto corrente baseada em mercado, conforme definida no item 47 do Pronunciamento Técnico CPC 25 – Provisões, Passivos Contingentes e Ativos Contingentes (isso inclui mudanças no valor temporal do dinheiro e os riscos específicos do passivo); e</w:t>
      </w:r>
    </w:p>
    <w:p w14:paraId="66AFB416" w14:textId="2AA38853" w:rsidR="008F5FE7" w:rsidRDefault="008F5FE7" w:rsidP="008F5FE7">
      <w:pPr>
        <w:widowControl w:val="0"/>
        <w:numPr>
          <w:ilvl w:val="0"/>
          <w:numId w:val="3"/>
        </w:numPr>
        <w:spacing w:before="0" w:after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aumento que reflete a passagem do tempo (também referido como a reversão do desconto).</w:t>
      </w:r>
    </w:p>
    <w:p w14:paraId="7D9CABEC" w14:textId="77777777" w:rsidR="008F5FE7" w:rsidRPr="00564DE8" w:rsidRDefault="008F5FE7" w:rsidP="008F5FE7">
      <w:pPr>
        <w:spacing w:before="0" w:after="0"/>
        <w:rPr>
          <w:rFonts w:ascii="Times New Roman" w:hAnsi="Times New Roman"/>
          <w:bCs/>
          <w:sz w:val="24"/>
          <w:lang w:val="pt-BR"/>
        </w:rPr>
      </w:pPr>
    </w:p>
    <w:p w14:paraId="7E7C6734" w14:textId="77777777" w:rsidR="008F5FE7" w:rsidRPr="008F5FE7" w:rsidRDefault="008F5FE7" w:rsidP="008F5FE7">
      <w:pPr>
        <w:spacing w:before="0" w:after="0"/>
        <w:rPr>
          <w:rFonts w:ascii="Times New Roman" w:hAnsi="Times New Roman"/>
          <w:b/>
          <w:sz w:val="24"/>
          <w:lang w:val="pt-BR"/>
        </w:rPr>
      </w:pPr>
      <w:r w:rsidRPr="008F5FE7">
        <w:rPr>
          <w:rFonts w:ascii="Times New Roman" w:hAnsi="Times New Roman"/>
          <w:b/>
          <w:sz w:val="24"/>
          <w:lang w:val="pt-BR"/>
        </w:rPr>
        <w:t>Consenso</w:t>
      </w:r>
    </w:p>
    <w:p w14:paraId="05903A7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091EC0F8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4.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As mudanças na mensuração de passivo por desativação, restauração e outros passivos similares que </w:t>
      </w:r>
      <w:r w:rsidRPr="008F5FE7">
        <w:rPr>
          <w:rFonts w:ascii="Times New Roman" w:hAnsi="Times New Roman"/>
          <w:color w:val="000000"/>
          <w:sz w:val="24"/>
          <w:lang w:val="pt-BR"/>
        </w:rPr>
        <w:lastRenderedPageBreak/>
        <w:t>resultam das alterações nas estimativas do valor ou período do fluxo de saída de recursos que incorporam benefícios econômicos necessários para liquidar a obrigação, ou uma mudança na taxa de desconto, são contabilizadas de acordo com os itens 5 a 7.</w:t>
      </w:r>
    </w:p>
    <w:p w14:paraId="7BDD9B3E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7F999FB7" w14:textId="77777777" w:rsidR="008F5FE7" w:rsidRPr="008F5FE7" w:rsidRDefault="008F5FE7" w:rsidP="008F5FE7">
      <w:pPr>
        <w:widowControl w:val="0"/>
        <w:tabs>
          <w:tab w:val="left" w:pos="6804"/>
        </w:tabs>
        <w:spacing w:before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5.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Se o respectivo ativo for mensurado utilizando o método de custo:</w:t>
      </w:r>
    </w:p>
    <w:p w14:paraId="43913BF9" w14:textId="77777777" w:rsidR="008F5FE7" w:rsidRPr="008F5FE7" w:rsidRDefault="008F5FE7" w:rsidP="008F5FE7">
      <w:pPr>
        <w:widowControl w:val="0"/>
        <w:numPr>
          <w:ilvl w:val="0"/>
          <w:numId w:val="4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sujeitas ao item (b), as mudanças no passivo serão adicionadas ao/deduzidas do custo do respectivo ativo no período corrente;</w:t>
      </w:r>
    </w:p>
    <w:p w14:paraId="35B6891D" w14:textId="77777777" w:rsidR="008F5FE7" w:rsidRPr="008F5FE7" w:rsidRDefault="008F5FE7" w:rsidP="008F5FE7">
      <w:pPr>
        <w:widowControl w:val="0"/>
        <w:numPr>
          <w:ilvl w:val="0"/>
          <w:numId w:val="4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 xml:space="preserve">o valor deduzido do custo do ativo não excederá o seu valor contábil. Se a redução no passivo exceder o valor contábil do ativo, o excedente é reconhecido imediatamente no resultado; </w:t>
      </w:r>
    </w:p>
    <w:p w14:paraId="36B6E637" w14:textId="77777777" w:rsidR="008F5FE7" w:rsidRPr="008F5FE7" w:rsidRDefault="008F5FE7" w:rsidP="008F5FE7">
      <w:pPr>
        <w:widowControl w:val="0"/>
        <w:numPr>
          <w:ilvl w:val="0"/>
          <w:numId w:val="4"/>
        </w:numPr>
        <w:spacing w:before="0" w:after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se o ajuste resultar na adição ao custo do ativo, a entidade considera se essa é uma indicação de que o novo valor contábil do ativo pode não ser plenamente recuperável. Se houver tal indicação, a entidade testa o ativo quanto à redução no valor recuperável estimando o seu valor recuperável e contabiliza qualquer perda por redução ao valor recuperável, de acordo com o Pronunciamento Técnico CPC 01 – Redução ao Valor Recuperável de Ativos.</w:t>
      </w:r>
    </w:p>
    <w:p w14:paraId="21AAAD2A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2BC1EE4A" w14:textId="77777777" w:rsidR="008F5FE7" w:rsidRPr="008F5FE7" w:rsidRDefault="008F5FE7" w:rsidP="008F5FE7">
      <w:pPr>
        <w:widowControl w:val="0"/>
        <w:tabs>
          <w:tab w:val="left" w:pos="6804"/>
        </w:tabs>
        <w:spacing w:before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6.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Se o respectivo ativo tiver sido mensurado utilizando o método de reavaliação (quando legalmente possível):</w:t>
      </w:r>
    </w:p>
    <w:p w14:paraId="49DF520B" w14:textId="77777777" w:rsidR="008F5FE7" w:rsidRPr="008F5FE7" w:rsidRDefault="008F5FE7" w:rsidP="008F5FE7">
      <w:pPr>
        <w:widowControl w:val="0"/>
        <w:numPr>
          <w:ilvl w:val="0"/>
          <w:numId w:val="5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as mudanças no passivo alteram a reserva de reavaliação anteriormente reconhecida desse ativo, de modo que:</w:t>
      </w:r>
    </w:p>
    <w:p w14:paraId="175B3C93" w14:textId="77777777" w:rsidR="008F5FE7" w:rsidRPr="008F5FE7" w:rsidRDefault="008F5FE7" w:rsidP="008F5FE7">
      <w:pPr>
        <w:widowControl w:val="0"/>
        <w:numPr>
          <w:ilvl w:val="1"/>
          <w:numId w:val="6"/>
        </w:numPr>
        <w:spacing w:before="0"/>
        <w:ind w:left="1418" w:right="57" w:hanging="142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a redução no passivo é (sujeita ao item (b)) reconhecida em outros resultados abrangentes e aumenta a reserva de reavaliação no patrimônio líquido, mas é reconhecida no resultado na medida em que reverter a redução da reavaliação no ativo que tenha sido previamente reconhecida no resultado;</w:t>
      </w:r>
    </w:p>
    <w:p w14:paraId="222F9F4F" w14:textId="77777777" w:rsidR="008F5FE7" w:rsidRPr="008F5FE7" w:rsidRDefault="008F5FE7" w:rsidP="008F5FE7">
      <w:pPr>
        <w:widowControl w:val="0"/>
        <w:numPr>
          <w:ilvl w:val="1"/>
          <w:numId w:val="6"/>
        </w:numPr>
        <w:spacing w:before="0"/>
        <w:ind w:left="1418" w:right="57" w:hanging="142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o aumento no passivo é reconhecido no resultado, exceto aquele reconhecido em outros resultados abrangentes e reduzir a reserva de reavaliação no patrimônio líquido até o limite de qualquer saldo credor existente na reserva em relação a esse ativo;</w:t>
      </w:r>
    </w:p>
    <w:p w14:paraId="17FF4D41" w14:textId="77777777" w:rsidR="008F5FE7" w:rsidRPr="008F5FE7" w:rsidRDefault="008F5FE7" w:rsidP="008F5FE7">
      <w:pPr>
        <w:widowControl w:val="0"/>
        <w:numPr>
          <w:ilvl w:val="0"/>
          <w:numId w:val="5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caso uma redução no passivo exceda o valor contábil que teria sido reconhecido caso o ativo tivesse sido registrado de acordo com o método do custo, o excedente será reconhecido imediatamente no resultado;</w:t>
      </w:r>
    </w:p>
    <w:p w14:paraId="384368E4" w14:textId="77777777" w:rsidR="008F5FE7" w:rsidRPr="008F5FE7" w:rsidRDefault="008F5FE7" w:rsidP="008F5FE7">
      <w:pPr>
        <w:widowControl w:val="0"/>
        <w:numPr>
          <w:ilvl w:val="0"/>
          <w:numId w:val="5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uma mudança no passivo é uma indicação de que o ativo pode ter que ser reavaliado (se for permitido legalmente) para garantir que o valor contábil não difira significativamente daquele que seria determinado utilizando o valor justo no final do período de relatório. Qualquer reavaliação será levada em consideração na determinação dos valores a serem reconhecidos no resultado ou em outros resultados abrangentes de acordo com a alínea (a). Se a reavaliação for necessária, todos os ativos dessa classe serão reavaliados;</w:t>
      </w:r>
    </w:p>
    <w:p w14:paraId="0D1BC81A" w14:textId="77777777" w:rsidR="008F5FE7" w:rsidRPr="008F5FE7" w:rsidRDefault="008F5FE7" w:rsidP="008F5FE7">
      <w:pPr>
        <w:widowControl w:val="0"/>
        <w:numPr>
          <w:ilvl w:val="0"/>
          <w:numId w:val="5"/>
        </w:numPr>
        <w:spacing w:before="0" w:after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 xml:space="preserve">o Pronunciamento Técnico CPC 26 – Apresentação das Demonstrações Contábeis exige a divulgação na demonstração do resultado abrangente de cada componente de outra receita ou despesa abrangente. Ao cumprir esse requisito, a mudança na reserva de reavaliação resultante de mudança no passivo será identificada e divulgada separadamente como tal. </w:t>
      </w:r>
    </w:p>
    <w:p w14:paraId="7DD835AE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6A9042CE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lastRenderedPageBreak/>
        <w:t xml:space="preserve">7.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O valor depreciável ajustado do ativo é depreciado ao longo de sua vida útil. Portanto, uma vez que o respectivo ativo tenha chegado ao fim de sua vida útil, todas as mudanças subsequentes no passivo são reconhecidas no resultado à medida que ocorrerem. Isso é aplicável tanto no método de custo quanto no método de reavaliação. </w:t>
      </w:r>
    </w:p>
    <w:p w14:paraId="3B5FB692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61EBE1CB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8. 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 reversão periódica do desconto deverá ser reconhecida no resultado como custo de financiamento à medida que ocorrer. A capitalização prevista no Pronunciamento Técnico CPC 20 – Custos dos Empréstimos não é permitida.</w:t>
      </w:r>
    </w:p>
    <w:p w14:paraId="31421206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4EBA2B86" w14:textId="77777777" w:rsidR="008F5FE7" w:rsidRPr="008F5FE7" w:rsidRDefault="008F5FE7" w:rsidP="008F5FE7"/>
    <w:p w14:paraId="5724881F" w14:textId="77777777" w:rsidR="008F5FE7" w:rsidRPr="008F5FE7" w:rsidRDefault="008F5FE7" w:rsidP="008F5FE7"/>
    <w:p w14:paraId="319DD698" w14:textId="77777777" w:rsidR="008F5FE7" w:rsidRDefault="008F5FE7" w:rsidP="008F5FE7">
      <w:pPr>
        <w:spacing w:before="40" w:after="4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br w:type="page"/>
      </w:r>
    </w:p>
    <w:p w14:paraId="2F87024D" w14:textId="2488DD48" w:rsidR="008F5FE7" w:rsidRPr="008F5FE7" w:rsidRDefault="008F5FE7" w:rsidP="00564DE8">
      <w:pPr>
        <w:spacing w:before="0" w:after="0"/>
        <w:rPr>
          <w:rFonts w:ascii="Times New Roman" w:hAnsi="Times New Roman"/>
          <w:b/>
          <w:sz w:val="28"/>
          <w:szCs w:val="28"/>
          <w:lang w:val="pt-BR"/>
        </w:rPr>
      </w:pPr>
      <w:r w:rsidRPr="008F5FE7">
        <w:rPr>
          <w:rFonts w:ascii="Times New Roman" w:hAnsi="Times New Roman"/>
          <w:b/>
          <w:sz w:val="28"/>
          <w:szCs w:val="28"/>
          <w:lang w:val="pt-BR"/>
        </w:rPr>
        <w:lastRenderedPageBreak/>
        <w:t>Exemplos ilustrativos</w:t>
      </w:r>
    </w:p>
    <w:p w14:paraId="6970132B" w14:textId="77777777" w:rsidR="008F5FE7" w:rsidRPr="008F5FE7" w:rsidRDefault="008F5FE7" w:rsidP="00564DE8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i/>
          <w:color w:val="000000"/>
          <w:sz w:val="24"/>
          <w:lang w:val="pt-BR"/>
        </w:rPr>
      </w:pPr>
    </w:p>
    <w:p w14:paraId="0B9C589A" w14:textId="77777777" w:rsidR="008F5FE7" w:rsidRPr="008F5FE7" w:rsidRDefault="008F5FE7" w:rsidP="00564DE8">
      <w:pPr>
        <w:widowControl w:val="0"/>
        <w:tabs>
          <w:tab w:val="left" w:pos="6804"/>
        </w:tabs>
        <w:spacing w:before="0" w:after="0"/>
        <w:ind w:left="709" w:right="57" w:hanging="709"/>
        <w:rPr>
          <w:rFonts w:cs="Arial"/>
          <w:i/>
        </w:rPr>
      </w:pPr>
      <w:r w:rsidRPr="008F5FE7">
        <w:rPr>
          <w:rFonts w:ascii="Times New Roman" w:hAnsi="Times New Roman"/>
          <w:i/>
          <w:color w:val="000000"/>
          <w:sz w:val="24"/>
          <w:lang w:val="pt-BR"/>
        </w:rPr>
        <w:t>Estes exemplos acompanham, porém não fazem parte da Interpretação.</w:t>
      </w:r>
    </w:p>
    <w:p w14:paraId="07FFC8B7" w14:textId="77777777" w:rsidR="008F5FE7" w:rsidRPr="00564DE8" w:rsidRDefault="008F5FE7" w:rsidP="00564DE8">
      <w:pPr>
        <w:spacing w:before="0" w:after="0"/>
        <w:rPr>
          <w:rFonts w:ascii="Times New Roman" w:hAnsi="Times New Roman"/>
          <w:bCs/>
          <w:sz w:val="24"/>
          <w:lang w:val="pt-BR"/>
        </w:rPr>
      </w:pPr>
    </w:p>
    <w:p w14:paraId="7AC3D3DE" w14:textId="77777777" w:rsidR="008F5FE7" w:rsidRPr="008F5FE7" w:rsidRDefault="008F5FE7" w:rsidP="00564DE8">
      <w:pPr>
        <w:spacing w:before="0" w:after="0"/>
        <w:rPr>
          <w:rFonts w:ascii="Times New Roman" w:hAnsi="Times New Roman"/>
          <w:b/>
          <w:sz w:val="28"/>
          <w:szCs w:val="28"/>
          <w:lang w:val="pt-BR"/>
        </w:rPr>
      </w:pPr>
      <w:r w:rsidRPr="008F5FE7">
        <w:rPr>
          <w:rFonts w:ascii="Times New Roman" w:hAnsi="Times New Roman"/>
          <w:b/>
          <w:sz w:val="28"/>
          <w:szCs w:val="28"/>
          <w:lang w:val="pt-BR"/>
        </w:rPr>
        <w:t>Fatos comuns</w:t>
      </w:r>
    </w:p>
    <w:p w14:paraId="45A3DF1D" w14:textId="77777777" w:rsidR="008F5FE7" w:rsidRPr="008F5FE7" w:rsidRDefault="008F5FE7" w:rsidP="00564DE8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3AB331EE" w14:textId="77777777" w:rsidR="008F5FE7" w:rsidRPr="008F5FE7" w:rsidRDefault="008F5FE7" w:rsidP="00564DE8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Uma entidade possui uma usina de energia nuclear e um respectivo passivo por desativação. A usina nuclear iniciou as operações em 1º de janeiro de 2000. A usina tem vida útil de 40 anos. Seu custo inicial foi de $ 120.000; isso incluiu o valor dos custos de desativação de $ 10.000 que representava $ 70.400 em fluxos de caixa estimados pagáveis em 40 anos descontados a uma taxa ajustada de risco de 5 por cento. O exercício financeiro da entidade é encerrado em 31 de dezembro. </w:t>
      </w:r>
    </w:p>
    <w:p w14:paraId="078F3B80" w14:textId="77777777" w:rsidR="008F5FE7" w:rsidRPr="00564DE8" w:rsidRDefault="008F5FE7" w:rsidP="00564DE8">
      <w:pPr>
        <w:spacing w:before="0" w:after="0"/>
        <w:rPr>
          <w:rFonts w:ascii="Times New Roman" w:hAnsi="Times New Roman"/>
          <w:bCs/>
          <w:sz w:val="24"/>
          <w:lang w:val="pt-BR"/>
        </w:rPr>
      </w:pPr>
    </w:p>
    <w:p w14:paraId="1CEA4E48" w14:textId="77777777" w:rsidR="008F5FE7" w:rsidRPr="008F5FE7" w:rsidRDefault="008F5FE7" w:rsidP="00564DE8">
      <w:pPr>
        <w:spacing w:before="0" w:after="0"/>
        <w:rPr>
          <w:rFonts w:ascii="Times New Roman" w:hAnsi="Times New Roman"/>
          <w:b/>
          <w:sz w:val="28"/>
          <w:szCs w:val="28"/>
          <w:lang w:val="pt-BR"/>
        </w:rPr>
      </w:pPr>
      <w:r w:rsidRPr="008F5FE7">
        <w:rPr>
          <w:rFonts w:ascii="Times New Roman" w:hAnsi="Times New Roman"/>
          <w:b/>
          <w:sz w:val="28"/>
          <w:szCs w:val="28"/>
          <w:lang w:val="pt-BR"/>
        </w:rPr>
        <w:t>Exemplo 1: Modelo de custo</w:t>
      </w:r>
    </w:p>
    <w:p w14:paraId="63C9DD25" w14:textId="77777777" w:rsidR="008F5FE7" w:rsidRPr="008F5FE7" w:rsidRDefault="008F5FE7" w:rsidP="00564DE8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235CF19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EI2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Em 31 de dezembro de 2009, a usina tem 10 anos de idade. A depreciação acumulada é de $ 30.000 ($ 120.000 x 10/40 anos). Por causa da reversão do desconto (5%) ao longo de 10 anos, o passivo por desativação cresceu de $ 10.000 para $ 16.300.</w:t>
      </w:r>
    </w:p>
    <w:p w14:paraId="7556D92E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1FD6B78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EI3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Em 31 de dezembro de 2009, a taxa de desconto não se alterou. Entretanto, a entidade estima que, como resultado dos avanços tecnológicos, o valor presente líquido do passivo por desativação tenha diminuído em $ 8.000. Consequentemente, a entidade ajusta o passivo por desativação de $ 16.300 para $ 8.300. Nessa data, a entidade realiza o seguinte lançamento para refletir a mudança:</w:t>
      </w:r>
    </w:p>
    <w:p w14:paraId="0B4B1BE6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tbl>
      <w:tblPr>
        <w:tblOverlap w:val="never"/>
        <w:tblW w:w="683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1134"/>
        <w:gridCol w:w="1027"/>
      </w:tblGrid>
      <w:tr w:rsidR="008F5FE7" w:rsidRPr="008F5FE7" w14:paraId="48926500" w14:textId="77777777" w:rsidTr="00057473">
        <w:trPr>
          <w:trHeight w:hRule="exact" w:val="284"/>
          <w:jc w:val="center"/>
        </w:trPr>
        <w:tc>
          <w:tcPr>
            <w:tcW w:w="3420" w:type="pct"/>
            <w:gridSpan w:val="2"/>
          </w:tcPr>
          <w:p w14:paraId="5B79EAF8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vAlign w:val="bottom"/>
          </w:tcPr>
          <w:p w14:paraId="6F381092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 $ </w:t>
            </w:r>
          </w:p>
        </w:tc>
        <w:tc>
          <w:tcPr>
            <w:tcW w:w="751" w:type="pct"/>
            <w:vAlign w:val="bottom"/>
          </w:tcPr>
          <w:p w14:paraId="54E0A121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 $ </w:t>
            </w:r>
          </w:p>
        </w:tc>
      </w:tr>
      <w:tr w:rsidR="008F5FE7" w:rsidRPr="008F5FE7" w14:paraId="5BCB6284" w14:textId="77777777" w:rsidTr="00057473">
        <w:trPr>
          <w:trHeight w:hRule="exact" w:val="284"/>
          <w:jc w:val="center"/>
        </w:trPr>
        <w:tc>
          <w:tcPr>
            <w:tcW w:w="3420" w:type="pct"/>
            <w:gridSpan w:val="2"/>
            <w:vAlign w:val="bottom"/>
          </w:tcPr>
          <w:p w14:paraId="33398E10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Passivo por desativação</w:t>
            </w:r>
          </w:p>
        </w:tc>
        <w:tc>
          <w:tcPr>
            <w:tcW w:w="829" w:type="pct"/>
            <w:vAlign w:val="bottom"/>
          </w:tcPr>
          <w:p w14:paraId="420BC637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8.000</w:t>
            </w:r>
          </w:p>
        </w:tc>
        <w:tc>
          <w:tcPr>
            <w:tcW w:w="751" w:type="pct"/>
            <w:vAlign w:val="bottom"/>
          </w:tcPr>
          <w:p w14:paraId="58C013FB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</w:tr>
      <w:tr w:rsidR="008F5FE7" w:rsidRPr="008F5FE7" w14:paraId="45A2F5BC" w14:textId="77777777" w:rsidTr="00057473">
        <w:trPr>
          <w:trHeight w:hRule="exact" w:val="284"/>
          <w:jc w:val="center"/>
        </w:trPr>
        <w:tc>
          <w:tcPr>
            <w:tcW w:w="829" w:type="pct"/>
            <w:vAlign w:val="bottom"/>
          </w:tcPr>
          <w:p w14:paraId="248F5618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420" w:type="pct"/>
            <w:gridSpan w:val="2"/>
            <w:vAlign w:val="bottom"/>
          </w:tcPr>
          <w:p w14:paraId="29E69F07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C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Custo do ativo</w:t>
            </w:r>
          </w:p>
        </w:tc>
        <w:tc>
          <w:tcPr>
            <w:tcW w:w="751" w:type="pct"/>
            <w:vAlign w:val="bottom"/>
          </w:tcPr>
          <w:p w14:paraId="0F6F8DE3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8.000</w:t>
            </w:r>
          </w:p>
        </w:tc>
      </w:tr>
    </w:tbl>
    <w:p w14:paraId="17BA16F3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90F2019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EI4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Após esse ajuste, o valor contábil do ativo é de $ 82.000 ($ 120.000 – $ 8.000 – $ 30.000), que será depreciado ao longo dos 30 anos restantes da vida do ativo, resultando na despesa de depreciação para o próximo exercício de $ 2.733 ($ 82.000 ÷ 30). O custo financeiro da reversão do desconto para o próximo exercício será de $ 415 ($ 8.300 x 5%).</w:t>
      </w:r>
    </w:p>
    <w:p w14:paraId="344F4549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6021D21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EI5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Se a mudança no passivo tivesse resultado da mudança na taxa de desconto, em vez da mudança nos fluxos de caixa estimados, a contabilização da mudança teria sido a mesma, porém o custo financeiro do próximo exercício teria refletido a nova taxa de desconto.</w:t>
      </w:r>
    </w:p>
    <w:p w14:paraId="0C84BA22" w14:textId="77777777" w:rsidR="008F5FE7" w:rsidRPr="00564DE8" w:rsidRDefault="008F5FE7" w:rsidP="008F5FE7">
      <w:pPr>
        <w:spacing w:before="40" w:after="40"/>
        <w:rPr>
          <w:rFonts w:ascii="Times New Roman" w:hAnsi="Times New Roman"/>
          <w:bCs/>
          <w:sz w:val="24"/>
          <w:lang w:val="pt-BR"/>
        </w:rPr>
      </w:pPr>
    </w:p>
    <w:p w14:paraId="5AE569AA" w14:textId="77777777" w:rsidR="008F5FE7" w:rsidRPr="008F5FE7" w:rsidRDefault="008F5FE7" w:rsidP="008F5FE7">
      <w:pPr>
        <w:spacing w:before="40" w:after="40"/>
        <w:rPr>
          <w:rFonts w:ascii="Times New Roman" w:hAnsi="Times New Roman"/>
          <w:b/>
          <w:sz w:val="28"/>
          <w:szCs w:val="28"/>
          <w:lang w:val="pt-BR"/>
        </w:rPr>
      </w:pPr>
      <w:r w:rsidRPr="008F5FE7">
        <w:rPr>
          <w:rFonts w:ascii="Times New Roman" w:hAnsi="Times New Roman"/>
          <w:b/>
          <w:sz w:val="28"/>
          <w:szCs w:val="28"/>
          <w:lang w:val="pt-BR"/>
        </w:rPr>
        <w:t>Exemplo 2: Modelo de reavaliação</w:t>
      </w:r>
    </w:p>
    <w:p w14:paraId="2E138B4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3ED2170D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EI6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 entidade adota o método de reavaliação citado no Pronunciamento Técnico CPC 27 – Ativo Imobilizado, em que a usina é reavaliada com regularidade suficiente de modo que o valor contábil não difira significativamente do valor justo. A política da entidade é eliminar a depreciação acumulada na data de reavaliação contra o valor contábil bruto do ativo.</w:t>
      </w:r>
    </w:p>
    <w:p w14:paraId="1CCB30C8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3A1B2114" w14:textId="77777777" w:rsidR="008F5FE7" w:rsidRPr="008F5FE7" w:rsidRDefault="008F5FE7" w:rsidP="008F5FE7">
      <w:pPr>
        <w:widowControl w:val="0"/>
        <w:tabs>
          <w:tab w:val="left" w:pos="6804"/>
        </w:tabs>
        <w:spacing w:before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EI7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Ao contabilizar ativos reavaliados aos quais correspondem passivos por desativação, é importante compreender a base da avaliação obtida. Por exemplo:</w:t>
      </w:r>
    </w:p>
    <w:p w14:paraId="3DD0CD7D" w14:textId="77777777" w:rsidR="008F5FE7" w:rsidRPr="008F5FE7" w:rsidRDefault="008F5FE7" w:rsidP="008F5FE7">
      <w:pPr>
        <w:widowControl w:val="0"/>
        <w:numPr>
          <w:ilvl w:val="0"/>
          <w:numId w:val="7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se um ativo for avaliado com base no fluxo de caixa descontado, alguns avaliadores podem avaliar o ativo sem deduzir nenhuma provisão para custos de desativação (avaliação “bruta”), enquanto outros podem avaliar o ativo após a dedução da provisão para custos de desativação (avaliação “líquida”), pois a entidade que adquire o ativo geralmente também assume a obrigação por desativação. Para fins de demonstrações contábeis, a obrigação por desativação é reconhecida como passivo separado, e não é deduzida do ativo. Consequentemente, se o ativo for avaliado em base líquida, é necessário ajustar a avaliação obtida, adicionando de volta a provisão para o passivo, de modo que o passivo não seja contado duas vezes;</w:t>
      </w: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footnoteReference w:id="1"/>
      </w:r>
    </w:p>
    <w:p w14:paraId="0E680A5B" w14:textId="77777777" w:rsidR="008F5FE7" w:rsidRPr="008F5FE7" w:rsidRDefault="008F5FE7" w:rsidP="008F5FE7">
      <w:pPr>
        <w:widowControl w:val="0"/>
        <w:numPr>
          <w:ilvl w:val="0"/>
          <w:numId w:val="7"/>
        </w:numPr>
        <w:spacing w:before="0" w:after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se um ativo for avaliado com base no custo de reposição depreciado, a avaliação obtida pode não incluir o valor para o componente de desativação do ativo. Se não incluir, é necessário adicionar o valor adequado à avaliação para refletir o custo de reposição depreciado desse componente.</w:t>
      </w:r>
    </w:p>
    <w:p w14:paraId="486205A6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737F7ACE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EI8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Assuma-se que a avaliação de fluxo de caixa descontado com base em mercado de $ 115.000 seja obtida em 31 de dezembro de 2002. Ela inclui a provisão de $ 11.600 para custos de desativação, o que não representa nenhuma alteração à estimativa original, após a reversão do desconto de três anos. Os valores incluídos no balanço patrimonial em 31 de dezembro de 2002 são, portanto:</w:t>
      </w:r>
    </w:p>
    <w:tbl>
      <w:tblPr>
        <w:tblpPr w:leftFromText="141" w:rightFromText="141" w:vertAnchor="text" w:horzAnchor="margin" w:tblpXSpec="right" w:tblpY="256"/>
        <w:tblOverlap w:val="never"/>
        <w:tblW w:w="7054" w:type="dxa"/>
        <w:tblLook w:val="0000" w:firstRow="0" w:lastRow="0" w:firstColumn="0" w:lastColumn="0" w:noHBand="0" w:noVBand="0"/>
      </w:tblPr>
      <w:tblGrid>
        <w:gridCol w:w="5353"/>
        <w:gridCol w:w="1701"/>
      </w:tblGrid>
      <w:tr w:rsidR="008F5FE7" w:rsidRPr="008F5FE7" w14:paraId="58E28F32" w14:textId="77777777" w:rsidTr="00057473">
        <w:trPr>
          <w:trHeight w:hRule="exact" w:val="284"/>
        </w:trPr>
        <w:tc>
          <w:tcPr>
            <w:tcW w:w="3794" w:type="pct"/>
          </w:tcPr>
          <w:p w14:paraId="7C97384E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1206" w:type="pct"/>
            <w:vAlign w:val="bottom"/>
          </w:tcPr>
          <w:p w14:paraId="5057F1C2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 $ </w:t>
            </w:r>
          </w:p>
        </w:tc>
      </w:tr>
      <w:tr w:rsidR="008F5FE7" w:rsidRPr="008F5FE7" w14:paraId="0E2F5D65" w14:textId="77777777" w:rsidTr="00057473">
        <w:trPr>
          <w:trHeight w:hRule="exact" w:val="284"/>
        </w:trPr>
        <w:tc>
          <w:tcPr>
            <w:tcW w:w="3794" w:type="pct"/>
            <w:vAlign w:val="bottom"/>
          </w:tcPr>
          <w:p w14:paraId="069C4457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Ativo (1)</w:t>
            </w:r>
          </w:p>
        </w:tc>
        <w:tc>
          <w:tcPr>
            <w:tcW w:w="1206" w:type="pct"/>
            <w:vAlign w:val="bottom"/>
          </w:tcPr>
          <w:p w14:paraId="33F6628C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126.600</w:t>
            </w:r>
          </w:p>
        </w:tc>
      </w:tr>
      <w:tr w:rsidR="008F5FE7" w:rsidRPr="008F5FE7" w14:paraId="5342DE42" w14:textId="77777777" w:rsidTr="00057473">
        <w:trPr>
          <w:trHeight w:hRule="exact" w:val="284"/>
        </w:trPr>
        <w:tc>
          <w:tcPr>
            <w:tcW w:w="3794" w:type="pct"/>
            <w:vAlign w:val="bottom"/>
          </w:tcPr>
          <w:p w14:paraId="4A1E9893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Depreciação acumulada</w:t>
            </w:r>
          </w:p>
        </w:tc>
        <w:tc>
          <w:tcPr>
            <w:tcW w:w="1206" w:type="pct"/>
            <w:vAlign w:val="bottom"/>
          </w:tcPr>
          <w:p w14:paraId="12D011AD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Nada</w:t>
            </w:r>
          </w:p>
        </w:tc>
      </w:tr>
      <w:tr w:rsidR="008F5FE7" w:rsidRPr="008F5FE7" w14:paraId="2FABE40C" w14:textId="77777777" w:rsidTr="00057473">
        <w:trPr>
          <w:trHeight w:hRule="exact" w:val="284"/>
        </w:trPr>
        <w:tc>
          <w:tcPr>
            <w:tcW w:w="3794" w:type="pct"/>
            <w:vAlign w:val="bottom"/>
          </w:tcPr>
          <w:p w14:paraId="47555D99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Passivo por desativação</w:t>
            </w:r>
          </w:p>
        </w:tc>
        <w:tc>
          <w:tcPr>
            <w:tcW w:w="1206" w:type="pct"/>
            <w:vAlign w:val="bottom"/>
          </w:tcPr>
          <w:p w14:paraId="30F48555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  <w:u w:val="single"/>
              </w:rPr>
            </w:pPr>
            <w:r w:rsidRPr="008F5FE7">
              <w:rPr>
                <w:rFonts w:ascii="Arial Narrow" w:hAnsi="Arial Narrow" w:cs="Arial"/>
                <w:u w:val="single"/>
              </w:rPr>
              <w:t>(11.600)</w:t>
            </w:r>
          </w:p>
        </w:tc>
      </w:tr>
      <w:tr w:rsidR="008F5FE7" w:rsidRPr="008F5FE7" w14:paraId="0C9D2843" w14:textId="77777777" w:rsidTr="00057473">
        <w:trPr>
          <w:trHeight w:hRule="exact" w:val="284"/>
        </w:trPr>
        <w:tc>
          <w:tcPr>
            <w:tcW w:w="3794" w:type="pct"/>
            <w:vAlign w:val="bottom"/>
          </w:tcPr>
          <w:p w14:paraId="705875DA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Ativos líquidos</w:t>
            </w:r>
          </w:p>
        </w:tc>
        <w:tc>
          <w:tcPr>
            <w:tcW w:w="1206" w:type="pct"/>
            <w:vAlign w:val="bottom"/>
          </w:tcPr>
          <w:p w14:paraId="0CAE0FB4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115.000</w:t>
            </w:r>
          </w:p>
        </w:tc>
      </w:tr>
      <w:tr w:rsidR="008F5FE7" w:rsidRPr="008F5FE7" w14:paraId="738161A5" w14:textId="77777777" w:rsidTr="00057473">
        <w:trPr>
          <w:trHeight w:hRule="exact" w:val="284"/>
        </w:trPr>
        <w:tc>
          <w:tcPr>
            <w:tcW w:w="3794" w:type="pct"/>
            <w:vAlign w:val="bottom"/>
          </w:tcPr>
          <w:p w14:paraId="041E4AD7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Lucros acumulados (2)</w:t>
            </w:r>
          </w:p>
        </w:tc>
        <w:tc>
          <w:tcPr>
            <w:tcW w:w="1206" w:type="pct"/>
            <w:vAlign w:val="bottom"/>
          </w:tcPr>
          <w:p w14:paraId="1929CBEF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(10.600)</w:t>
            </w:r>
          </w:p>
        </w:tc>
      </w:tr>
      <w:tr w:rsidR="008F5FE7" w:rsidRPr="008F5FE7" w14:paraId="607C7618" w14:textId="77777777" w:rsidTr="00057473">
        <w:trPr>
          <w:trHeight w:hRule="exact" w:val="284"/>
        </w:trPr>
        <w:tc>
          <w:tcPr>
            <w:tcW w:w="3794" w:type="pct"/>
            <w:vAlign w:val="bottom"/>
          </w:tcPr>
          <w:p w14:paraId="458BDE44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Reserva</w:t>
            </w:r>
            <w:r w:rsidRPr="008F5FE7">
              <w:rPr>
                <w:rFonts w:ascii="Arial Narrow" w:hAnsi="Arial Narrow" w:cs="Arial"/>
                <w:i/>
              </w:rPr>
              <w:t xml:space="preserve"> </w:t>
            </w:r>
            <w:r w:rsidRPr="008F5FE7">
              <w:rPr>
                <w:rFonts w:ascii="Arial Narrow" w:hAnsi="Arial Narrow" w:cs="Arial"/>
              </w:rPr>
              <w:t>de reavaliação (3)</w:t>
            </w:r>
          </w:p>
        </w:tc>
        <w:tc>
          <w:tcPr>
            <w:tcW w:w="1206" w:type="pct"/>
            <w:vAlign w:val="bottom"/>
          </w:tcPr>
          <w:p w14:paraId="21DAC320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15.600</w:t>
            </w:r>
          </w:p>
        </w:tc>
      </w:tr>
    </w:tbl>
    <w:p w14:paraId="21CB5DE6" w14:textId="77777777" w:rsidR="008F5FE7" w:rsidRPr="008F5FE7" w:rsidRDefault="008F5FE7" w:rsidP="008F5FE7">
      <w:pPr>
        <w:rPr>
          <w:szCs w:val="20"/>
        </w:rPr>
      </w:pPr>
    </w:p>
    <w:p w14:paraId="11DDF89B" w14:textId="77777777" w:rsidR="008F5FE7" w:rsidRPr="008F5FE7" w:rsidRDefault="008F5FE7" w:rsidP="008F5FE7"/>
    <w:p w14:paraId="0B9700B1" w14:textId="77777777" w:rsidR="008F5FE7" w:rsidRPr="008F5FE7" w:rsidRDefault="008F5FE7" w:rsidP="008F5FE7">
      <w:pPr>
        <w:rPr>
          <w:szCs w:val="20"/>
        </w:rPr>
      </w:pPr>
    </w:p>
    <w:p w14:paraId="3B024A7C" w14:textId="77777777" w:rsidR="008F5FE7" w:rsidRPr="008F5FE7" w:rsidRDefault="008F5FE7" w:rsidP="008F5FE7">
      <w:pPr>
        <w:rPr>
          <w:szCs w:val="20"/>
        </w:rPr>
      </w:pPr>
    </w:p>
    <w:p w14:paraId="61F05C20" w14:textId="77777777" w:rsidR="008F5FE7" w:rsidRPr="008F5FE7" w:rsidRDefault="008F5FE7" w:rsidP="008F5FE7">
      <w:pPr>
        <w:rPr>
          <w:szCs w:val="20"/>
        </w:rPr>
      </w:pPr>
    </w:p>
    <w:p w14:paraId="5D0B12BD" w14:textId="77777777" w:rsidR="008F5FE7" w:rsidRPr="008F5FE7" w:rsidRDefault="008F5FE7" w:rsidP="008F5FE7">
      <w:pPr>
        <w:rPr>
          <w:szCs w:val="20"/>
        </w:rPr>
      </w:pPr>
    </w:p>
    <w:p w14:paraId="0CDAB1B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3CE02673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Notas:</w:t>
      </w:r>
    </w:p>
    <w:p w14:paraId="7E2FDE5E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0D72BF20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(1)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Avaliação obtida de $ 115.000 mais custos de desativação de $ 11.600 considerada na avaliação, porém reconhecida como passivo separado = $ 126.600.</w:t>
      </w:r>
    </w:p>
    <w:p w14:paraId="061AF596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(2)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Depreciação de três anos sobre o custo original $ 120.000 x 3/40 = $ 9.000 mais desconto acumulado em $ 10.000 a 5% composto = $ 1.600; total $ 10.600.</w:t>
      </w:r>
    </w:p>
    <w:p w14:paraId="534C2F7E" w14:textId="0F3E4AFB" w:rsid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(3)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Valor reavaliado $ 126.600 menos valor contábil líquido anterior de $ 111.000 (custo $ 120.000 menos depreciação acumulada de $ 9.000). </w:t>
      </w:r>
    </w:p>
    <w:p w14:paraId="2CC6D0DD" w14:textId="319A4C76" w:rsid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07740D68" w14:textId="2B675D3F" w:rsidR="00564DE8" w:rsidRDefault="00564DE8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3771129A" w14:textId="77777777" w:rsidR="00564DE8" w:rsidRPr="008F5FE7" w:rsidRDefault="00564DE8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62476AD3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lastRenderedPageBreak/>
        <w:t>EI9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 despesa de depreciação de 2003 é, portanto, $ 3.420 ($ 126.600 x 1/37) e a taxa de desconto para 2003 é $ 600 (5% de $ 11.600). Em 31 de dezembro de 2003, o passivo por desativação (antes de qualquer ajuste) é de $ 12.200 e a taxa de desconto não se alterou. Entretanto, nessa data a entidade estima que, como resultado dos avanços tecnológicos, o valor presente líquido do passivo por desativação tenha diminuído em $ 5.000. Consequentemente, a entidade ajusta o passivo por desativação de $ 12.200 para $ 7.200.</w:t>
      </w:r>
    </w:p>
    <w:p w14:paraId="68DA17DC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11D252C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EI10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O total desse ajuste é lançado em reserva de reavaliação, pois ele não excede o valor contábil que teria sido reconhecido caso o ativo tivesse sido lançado de acordo com o método do custo. Se isso tivesse ocorrido, o excedente teria sido lançado no resultado de acordo com o item 6(b). A entidade faz o seguinte lançamento para refletir a mudança:</w:t>
      </w:r>
    </w:p>
    <w:tbl>
      <w:tblPr>
        <w:tblOverlap w:val="never"/>
        <w:tblW w:w="6804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3757"/>
        <w:gridCol w:w="1204"/>
        <w:gridCol w:w="1275"/>
      </w:tblGrid>
      <w:tr w:rsidR="008F5FE7" w:rsidRPr="008F5FE7" w14:paraId="1F57D6FB" w14:textId="77777777" w:rsidTr="00057473">
        <w:trPr>
          <w:trHeight w:hRule="exact" w:val="284"/>
          <w:jc w:val="center"/>
        </w:trPr>
        <w:tc>
          <w:tcPr>
            <w:tcW w:w="3178" w:type="pct"/>
            <w:gridSpan w:val="2"/>
          </w:tcPr>
          <w:p w14:paraId="4CBD64F1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885" w:type="pct"/>
            <w:vAlign w:val="bottom"/>
          </w:tcPr>
          <w:p w14:paraId="18D65F8C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  <w:tc>
          <w:tcPr>
            <w:tcW w:w="937" w:type="pct"/>
            <w:vAlign w:val="bottom"/>
          </w:tcPr>
          <w:p w14:paraId="731C4A35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</w:tr>
      <w:tr w:rsidR="008F5FE7" w:rsidRPr="008F5FE7" w14:paraId="6C5C2EF7" w14:textId="77777777" w:rsidTr="00057473">
        <w:trPr>
          <w:trHeight w:hRule="exact" w:val="284"/>
          <w:jc w:val="center"/>
        </w:trPr>
        <w:tc>
          <w:tcPr>
            <w:tcW w:w="3178" w:type="pct"/>
            <w:gridSpan w:val="2"/>
            <w:vAlign w:val="bottom"/>
          </w:tcPr>
          <w:p w14:paraId="07DF1B40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Cambria Math"/>
              </w:rPr>
              <w:t>P</w:t>
            </w:r>
            <w:r w:rsidRPr="008F5FE7">
              <w:rPr>
                <w:rFonts w:ascii="Arial Narrow" w:hAnsi="Arial Narrow" w:cs="Arial"/>
              </w:rPr>
              <w:t>assivo por desativação</w:t>
            </w:r>
          </w:p>
        </w:tc>
        <w:tc>
          <w:tcPr>
            <w:tcW w:w="885" w:type="pct"/>
            <w:vAlign w:val="bottom"/>
          </w:tcPr>
          <w:p w14:paraId="15252558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5.000</w:t>
            </w:r>
          </w:p>
        </w:tc>
        <w:tc>
          <w:tcPr>
            <w:tcW w:w="937" w:type="pct"/>
            <w:vAlign w:val="bottom"/>
          </w:tcPr>
          <w:p w14:paraId="4D165232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</w:tr>
      <w:tr w:rsidR="008F5FE7" w:rsidRPr="008F5FE7" w14:paraId="6AD26D3D" w14:textId="77777777" w:rsidTr="00057473">
        <w:trPr>
          <w:trHeight w:hRule="exact" w:val="284"/>
          <w:jc w:val="center"/>
        </w:trPr>
        <w:tc>
          <w:tcPr>
            <w:tcW w:w="417" w:type="pct"/>
            <w:vAlign w:val="bottom"/>
          </w:tcPr>
          <w:p w14:paraId="27829BAA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3646" w:type="pct"/>
            <w:gridSpan w:val="2"/>
            <w:vAlign w:val="bottom"/>
          </w:tcPr>
          <w:p w14:paraId="589A8BD1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C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Arial Narrow" w:eastAsia="Arial Unicode MS" w:hAnsi="Arial Narrow" w:cs="Arial"/>
              </w:rPr>
              <w:t xml:space="preserve">Reserva </w:t>
            </w:r>
            <w:r w:rsidRPr="008F5FE7">
              <w:rPr>
                <w:rFonts w:ascii="Arial Narrow" w:hAnsi="Arial Narrow" w:cs="Arial"/>
              </w:rPr>
              <w:t>de reavaliação</w:t>
            </w:r>
          </w:p>
        </w:tc>
        <w:tc>
          <w:tcPr>
            <w:tcW w:w="937" w:type="pct"/>
            <w:vAlign w:val="bottom"/>
          </w:tcPr>
          <w:p w14:paraId="3BF2C092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5.000</w:t>
            </w:r>
          </w:p>
        </w:tc>
      </w:tr>
    </w:tbl>
    <w:p w14:paraId="25B5B2F3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469EDC6F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77B6517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EI11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 entidade decide que uma avaliação total do ativo é necessária em 31 de dezembro de 2003, para garantir que o valor contábil não difira significativamente do valor justo. Suponha-se que o ativo agora seja avaliado em $ 107.000, que é líquido da provisão de $ 7.200 para a obrigação por desativação reduzida que deve ser reconhecida como passivo separado. A avaliação do ativo para fins de demonstrações contábeis, antes de deduzir essa provisão, é, portanto, $ 114.200. É necessário o seguinte lançamento adicional:</w:t>
      </w:r>
    </w:p>
    <w:p w14:paraId="33E20A3C" w14:textId="77777777" w:rsidR="008F5FE7" w:rsidRPr="008F5FE7" w:rsidRDefault="008F5FE7" w:rsidP="008F5FE7">
      <w:pPr>
        <w:ind w:left="705" w:hanging="705"/>
      </w:pPr>
    </w:p>
    <w:tbl>
      <w:tblPr>
        <w:tblOverlap w:val="never"/>
        <w:tblW w:w="7088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4048"/>
        <w:gridCol w:w="1055"/>
        <w:gridCol w:w="1276"/>
      </w:tblGrid>
      <w:tr w:rsidR="008F5FE7" w:rsidRPr="008F5FE7" w14:paraId="59459BBA" w14:textId="77777777" w:rsidTr="00057473">
        <w:trPr>
          <w:trHeight w:val="284"/>
          <w:jc w:val="center"/>
        </w:trPr>
        <w:tc>
          <w:tcPr>
            <w:tcW w:w="4757" w:type="dxa"/>
            <w:gridSpan w:val="2"/>
          </w:tcPr>
          <w:p w14:paraId="01AF6256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1055" w:type="dxa"/>
            <w:vAlign w:val="bottom"/>
          </w:tcPr>
          <w:p w14:paraId="405C3C1B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  <w:tc>
          <w:tcPr>
            <w:tcW w:w="1276" w:type="dxa"/>
            <w:vAlign w:val="bottom"/>
          </w:tcPr>
          <w:p w14:paraId="2D7AC0DD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</w:tr>
      <w:tr w:rsidR="008F5FE7" w:rsidRPr="008F5FE7" w14:paraId="5335A7F9" w14:textId="77777777" w:rsidTr="00057473">
        <w:trPr>
          <w:trHeight w:val="284"/>
          <w:jc w:val="center"/>
        </w:trPr>
        <w:tc>
          <w:tcPr>
            <w:tcW w:w="4757" w:type="dxa"/>
            <w:gridSpan w:val="2"/>
            <w:vAlign w:val="bottom"/>
          </w:tcPr>
          <w:p w14:paraId="5E74064F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Depreciação acumulada (1)</w:t>
            </w:r>
          </w:p>
        </w:tc>
        <w:tc>
          <w:tcPr>
            <w:tcW w:w="1055" w:type="dxa"/>
            <w:vAlign w:val="bottom"/>
          </w:tcPr>
          <w:p w14:paraId="2422F971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3.420</w:t>
            </w:r>
          </w:p>
        </w:tc>
        <w:tc>
          <w:tcPr>
            <w:tcW w:w="1276" w:type="dxa"/>
            <w:vAlign w:val="bottom"/>
          </w:tcPr>
          <w:p w14:paraId="6CC81760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</w:tr>
      <w:tr w:rsidR="008F5FE7" w:rsidRPr="008F5FE7" w14:paraId="37D65B3F" w14:textId="77777777" w:rsidTr="00057473">
        <w:trPr>
          <w:trHeight w:val="284"/>
          <w:jc w:val="center"/>
        </w:trPr>
        <w:tc>
          <w:tcPr>
            <w:tcW w:w="709" w:type="dxa"/>
            <w:vAlign w:val="bottom"/>
          </w:tcPr>
          <w:p w14:paraId="4C79DD17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5103" w:type="dxa"/>
            <w:gridSpan w:val="2"/>
            <w:vAlign w:val="bottom"/>
          </w:tcPr>
          <w:p w14:paraId="7A2388D4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C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 xml:space="preserve">Ativo </w:t>
            </w:r>
          </w:p>
        </w:tc>
        <w:tc>
          <w:tcPr>
            <w:tcW w:w="1276" w:type="dxa"/>
            <w:vAlign w:val="bottom"/>
          </w:tcPr>
          <w:p w14:paraId="4045262D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3.420</w:t>
            </w:r>
          </w:p>
        </w:tc>
      </w:tr>
      <w:tr w:rsidR="008F5FE7" w:rsidRPr="008F5FE7" w14:paraId="0FC03804" w14:textId="77777777" w:rsidTr="00057473">
        <w:trPr>
          <w:trHeight w:val="284"/>
          <w:jc w:val="center"/>
        </w:trPr>
        <w:tc>
          <w:tcPr>
            <w:tcW w:w="4757" w:type="dxa"/>
            <w:gridSpan w:val="2"/>
            <w:vAlign w:val="bottom"/>
          </w:tcPr>
          <w:p w14:paraId="357763FE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Arial Narrow" w:eastAsia="Arial Unicode MS" w:hAnsi="Arial Narrow" w:cs="Arial"/>
              </w:rPr>
              <w:t xml:space="preserve">Reserva </w:t>
            </w:r>
            <w:r w:rsidRPr="008F5FE7">
              <w:rPr>
                <w:rFonts w:ascii="Arial Narrow" w:hAnsi="Arial Narrow" w:cs="Arial"/>
              </w:rPr>
              <w:t>de reavaliação (2)</w:t>
            </w:r>
          </w:p>
        </w:tc>
        <w:tc>
          <w:tcPr>
            <w:tcW w:w="1055" w:type="dxa"/>
            <w:vAlign w:val="bottom"/>
          </w:tcPr>
          <w:p w14:paraId="4043D486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8.980</w:t>
            </w:r>
          </w:p>
        </w:tc>
        <w:tc>
          <w:tcPr>
            <w:tcW w:w="1276" w:type="dxa"/>
            <w:vAlign w:val="bottom"/>
          </w:tcPr>
          <w:p w14:paraId="053CFCF0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</w:tr>
      <w:tr w:rsidR="008F5FE7" w:rsidRPr="008F5FE7" w14:paraId="0335DC73" w14:textId="77777777" w:rsidTr="00057473">
        <w:trPr>
          <w:trHeight w:val="284"/>
          <w:jc w:val="center"/>
        </w:trPr>
        <w:tc>
          <w:tcPr>
            <w:tcW w:w="709" w:type="dxa"/>
            <w:vAlign w:val="bottom"/>
          </w:tcPr>
          <w:p w14:paraId="5C31A71A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4048" w:type="dxa"/>
            <w:vAlign w:val="bottom"/>
          </w:tcPr>
          <w:p w14:paraId="77E46C61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C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 xml:space="preserve"> Ativo</w:t>
            </w:r>
            <w:r w:rsidRPr="008F5FE7" w:rsidDel="00394762">
              <w:rPr>
                <w:rFonts w:ascii="Arial Narrow" w:hAnsi="Arial Narrow" w:cs="Arial"/>
              </w:rPr>
              <w:t xml:space="preserve"> </w:t>
            </w:r>
            <w:r w:rsidRPr="008F5FE7">
              <w:rPr>
                <w:rFonts w:ascii="Arial Narrow" w:hAnsi="Arial Narrow" w:cs="Arial"/>
              </w:rPr>
              <w:t>(3)</w:t>
            </w:r>
          </w:p>
        </w:tc>
        <w:tc>
          <w:tcPr>
            <w:tcW w:w="1055" w:type="dxa"/>
            <w:vAlign w:val="bottom"/>
          </w:tcPr>
          <w:p w14:paraId="111EC093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vAlign w:val="bottom"/>
          </w:tcPr>
          <w:p w14:paraId="63CE7A47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8.980</w:t>
            </w:r>
          </w:p>
        </w:tc>
      </w:tr>
    </w:tbl>
    <w:p w14:paraId="4456D569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245E860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Notas:</w:t>
      </w:r>
    </w:p>
    <w:p w14:paraId="5EF08370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4BEF545A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(1)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Eliminando depreciação acumulada de $ 3.420, de acordo com a política contábil da entidade. </w:t>
      </w:r>
    </w:p>
    <w:p w14:paraId="3783D36B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(2)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O débito é feito à reserva de reavaliação, pois a redução que surge na reavaliação não excede o saldo positivo existente na reserva de reavaliação em relação ao ativo. </w:t>
      </w:r>
    </w:p>
    <w:p w14:paraId="575277BA" w14:textId="7E195A59" w:rsid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(3)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Avaliação anterior (antes da provisão para custos de desativação) de $ 126.600, menos depreciação acumulada de $ 3.420, menos nova avaliação (antes da provisão para custos de desativação) de </w:t>
      </w:r>
      <w:r>
        <w:rPr>
          <w:rFonts w:ascii="Times New Roman" w:hAnsi="Times New Roman"/>
          <w:color w:val="000000"/>
          <w:sz w:val="24"/>
          <w:lang w:val="pt-BR"/>
        </w:rPr>
        <w:t xml:space="preserve">         </w:t>
      </w:r>
      <w:r w:rsidRPr="008F5FE7">
        <w:rPr>
          <w:rFonts w:ascii="Times New Roman" w:hAnsi="Times New Roman"/>
          <w:color w:val="000000"/>
          <w:sz w:val="24"/>
          <w:lang w:val="pt-BR"/>
        </w:rPr>
        <w:t>$ 114.200.</w:t>
      </w:r>
    </w:p>
    <w:p w14:paraId="5C6F6EF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11C7FBD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639F5BFD" w14:textId="77777777" w:rsidR="00564DE8" w:rsidRDefault="00564DE8">
      <w:pPr>
        <w:spacing w:before="0" w:after="160" w:line="259" w:lineRule="auto"/>
        <w:jc w:val="left"/>
        <w:rPr>
          <w:rFonts w:ascii="Times New Roman" w:hAnsi="Times New Roman"/>
          <w:color w:val="000000"/>
          <w:sz w:val="24"/>
          <w:lang w:val="pt-BR"/>
        </w:rPr>
      </w:pPr>
      <w:r>
        <w:rPr>
          <w:rFonts w:ascii="Times New Roman" w:hAnsi="Times New Roman"/>
          <w:color w:val="000000"/>
          <w:sz w:val="24"/>
          <w:lang w:val="pt-BR"/>
        </w:rPr>
        <w:br w:type="page"/>
      </w:r>
    </w:p>
    <w:p w14:paraId="4014C503" w14:textId="0A330DA6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lastRenderedPageBreak/>
        <w:t>EI12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Após essa avaliação, os valores incluídos no balanço patrimonial são:</w:t>
      </w: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4855"/>
        <w:gridCol w:w="2091"/>
      </w:tblGrid>
      <w:tr w:rsidR="008F5FE7" w:rsidRPr="008F5FE7" w14:paraId="72E315D1" w14:textId="77777777" w:rsidTr="00057473">
        <w:trPr>
          <w:trHeight w:hRule="exact" w:val="422"/>
          <w:jc w:val="center"/>
        </w:trPr>
        <w:tc>
          <w:tcPr>
            <w:tcW w:w="4855" w:type="dxa"/>
          </w:tcPr>
          <w:p w14:paraId="77D6EB7D" w14:textId="77777777" w:rsidR="008F5FE7" w:rsidRPr="008F5FE7" w:rsidRDefault="008F5FE7" w:rsidP="008F5FE7">
            <w:pPr>
              <w:spacing w:line="360" w:lineRule="auto"/>
              <w:rPr>
                <w:rFonts w:ascii="Arial Narrow" w:hAnsi="Arial Narrow" w:cs="Arial"/>
              </w:rPr>
            </w:pPr>
          </w:p>
          <w:p w14:paraId="0B150DBA" w14:textId="77777777" w:rsidR="008F5FE7" w:rsidRPr="008F5FE7" w:rsidRDefault="008F5FE7" w:rsidP="008F5FE7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091" w:type="dxa"/>
            <w:vAlign w:val="bottom"/>
          </w:tcPr>
          <w:p w14:paraId="41BC6107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</w:tr>
      <w:tr w:rsidR="008F5FE7" w:rsidRPr="008F5FE7" w14:paraId="493AB0F1" w14:textId="77777777" w:rsidTr="00057473">
        <w:trPr>
          <w:trHeight w:hRule="exact" w:val="428"/>
          <w:jc w:val="center"/>
        </w:trPr>
        <w:tc>
          <w:tcPr>
            <w:tcW w:w="4855" w:type="dxa"/>
            <w:vAlign w:val="bottom"/>
          </w:tcPr>
          <w:p w14:paraId="0CC8EFAF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Ativo </w:t>
            </w:r>
          </w:p>
          <w:p w14:paraId="139FD0B0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</w:p>
          <w:p w14:paraId="7515A7AE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091" w:type="dxa"/>
            <w:vAlign w:val="bottom"/>
          </w:tcPr>
          <w:p w14:paraId="5ACEC3CF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114.200</w:t>
            </w:r>
          </w:p>
        </w:tc>
      </w:tr>
      <w:tr w:rsidR="008F5FE7" w:rsidRPr="008F5FE7" w14:paraId="44834C15" w14:textId="77777777" w:rsidTr="00057473">
        <w:trPr>
          <w:trHeight w:hRule="exact" w:val="406"/>
          <w:jc w:val="center"/>
        </w:trPr>
        <w:tc>
          <w:tcPr>
            <w:tcW w:w="4855" w:type="dxa"/>
            <w:vAlign w:val="bottom"/>
          </w:tcPr>
          <w:p w14:paraId="6BA2F819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Depreciação acumulada</w:t>
            </w:r>
          </w:p>
        </w:tc>
        <w:tc>
          <w:tcPr>
            <w:tcW w:w="2091" w:type="dxa"/>
            <w:vAlign w:val="bottom"/>
          </w:tcPr>
          <w:p w14:paraId="6614BC29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nada</w:t>
            </w:r>
          </w:p>
        </w:tc>
      </w:tr>
      <w:tr w:rsidR="008F5FE7" w:rsidRPr="008F5FE7" w14:paraId="637234FF" w14:textId="77777777" w:rsidTr="00057473">
        <w:trPr>
          <w:trHeight w:hRule="exact" w:val="435"/>
          <w:jc w:val="center"/>
        </w:trPr>
        <w:tc>
          <w:tcPr>
            <w:tcW w:w="4855" w:type="dxa"/>
            <w:vAlign w:val="bottom"/>
          </w:tcPr>
          <w:p w14:paraId="7C0A9DA3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Passivo por desativação</w:t>
            </w:r>
          </w:p>
        </w:tc>
        <w:tc>
          <w:tcPr>
            <w:tcW w:w="2091" w:type="dxa"/>
            <w:vAlign w:val="bottom"/>
          </w:tcPr>
          <w:p w14:paraId="3E4E7884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  <w:u w:val="single"/>
              </w:rPr>
            </w:pPr>
            <w:r w:rsidRPr="008F5FE7">
              <w:rPr>
                <w:rFonts w:ascii="Arial Narrow" w:hAnsi="Arial Narrow" w:cs="Arial"/>
                <w:u w:val="single"/>
              </w:rPr>
              <w:t>(7.200)</w:t>
            </w:r>
          </w:p>
        </w:tc>
      </w:tr>
      <w:tr w:rsidR="008F5FE7" w:rsidRPr="008F5FE7" w14:paraId="57CBE796" w14:textId="77777777" w:rsidTr="00057473">
        <w:trPr>
          <w:trHeight w:hRule="exact" w:val="427"/>
          <w:jc w:val="center"/>
        </w:trPr>
        <w:tc>
          <w:tcPr>
            <w:tcW w:w="4855" w:type="dxa"/>
            <w:vAlign w:val="bottom"/>
          </w:tcPr>
          <w:p w14:paraId="2F67FAB2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Ativos líquidos</w:t>
            </w:r>
          </w:p>
        </w:tc>
        <w:tc>
          <w:tcPr>
            <w:tcW w:w="2091" w:type="dxa"/>
            <w:vAlign w:val="bottom"/>
          </w:tcPr>
          <w:p w14:paraId="43095342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107.000</w:t>
            </w:r>
          </w:p>
        </w:tc>
      </w:tr>
      <w:tr w:rsidR="008F5FE7" w:rsidRPr="008F5FE7" w14:paraId="3636932F" w14:textId="77777777" w:rsidTr="00057473">
        <w:trPr>
          <w:trHeight w:hRule="exact" w:val="434"/>
          <w:jc w:val="center"/>
        </w:trPr>
        <w:tc>
          <w:tcPr>
            <w:tcW w:w="4855" w:type="dxa"/>
            <w:vAlign w:val="bottom"/>
          </w:tcPr>
          <w:p w14:paraId="448052D0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Lucros acumulados (1)</w:t>
            </w:r>
          </w:p>
        </w:tc>
        <w:tc>
          <w:tcPr>
            <w:tcW w:w="2091" w:type="dxa"/>
            <w:vAlign w:val="bottom"/>
          </w:tcPr>
          <w:p w14:paraId="09F5CFEE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(14.620)</w:t>
            </w:r>
          </w:p>
        </w:tc>
      </w:tr>
      <w:tr w:rsidR="008F5FE7" w:rsidRPr="008F5FE7" w14:paraId="1F3AF65F" w14:textId="77777777" w:rsidTr="00057473">
        <w:trPr>
          <w:trHeight w:hRule="exact" w:val="412"/>
          <w:jc w:val="center"/>
        </w:trPr>
        <w:tc>
          <w:tcPr>
            <w:tcW w:w="4855" w:type="dxa"/>
            <w:vAlign w:val="bottom"/>
          </w:tcPr>
          <w:p w14:paraId="66B954FA" w14:textId="77777777" w:rsidR="008F5FE7" w:rsidRPr="008F5FE7" w:rsidRDefault="008F5FE7" w:rsidP="008F5FE7">
            <w:pPr>
              <w:spacing w:line="360" w:lineRule="auto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Reserva de reavaliação (2)</w:t>
            </w:r>
          </w:p>
        </w:tc>
        <w:tc>
          <w:tcPr>
            <w:tcW w:w="2091" w:type="dxa"/>
            <w:vAlign w:val="bottom"/>
          </w:tcPr>
          <w:p w14:paraId="6EFDF207" w14:textId="77777777" w:rsidR="008F5FE7" w:rsidRPr="008F5FE7" w:rsidRDefault="008F5FE7" w:rsidP="008F5FE7">
            <w:pPr>
              <w:spacing w:line="360" w:lineRule="auto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11.620</w:t>
            </w:r>
          </w:p>
        </w:tc>
      </w:tr>
    </w:tbl>
    <w:p w14:paraId="340A6FDB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0F71FA2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Notas:</w:t>
      </w:r>
    </w:p>
    <w:p w14:paraId="2295881A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D93053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(1)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$ 10.600 em 31 de dezembro de 2002 mais despesa de depreciação em 2003 de $ 3.420 e taxa de desconto de $ 600 = $ 14.620. </w:t>
      </w:r>
    </w:p>
    <w:p w14:paraId="6C3B0808" w14:textId="2DAC09F6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 xml:space="preserve">     (2)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$ 15.600 em 31 de dezembro de 2002, mais $ 5.000 proveniente da redução do passivo, menos $ 8.980 de redução na reavaliação = $ 11.620.</w:t>
      </w:r>
    </w:p>
    <w:p w14:paraId="3CD3278E" w14:textId="77777777" w:rsidR="00564DE8" w:rsidRPr="00564DE8" w:rsidRDefault="00564DE8" w:rsidP="008F5FE7">
      <w:pPr>
        <w:spacing w:before="40" w:after="40"/>
        <w:rPr>
          <w:rFonts w:ascii="Times New Roman" w:hAnsi="Times New Roman"/>
          <w:bCs/>
          <w:sz w:val="24"/>
          <w:lang w:val="pt-BR"/>
        </w:rPr>
      </w:pPr>
    </w:p>
    <w:p w14:paraId="11467BEC" w14:textId="77777777" w:rsidR="008F5FE7" w:rsidRPr="008F5FE7" w:rsidRDefault="008F5FE7" w:rsidP="008F5FE7">
      <w:pPr>
        <w:spacing w:before="40" w:after="40"/>
        <w:rPr>
          <w:rFonts w:ascii="Times New Roman" w:hAnsi="Times New Roman"/>
          <w:b/>
          <w:sz w:val="28"/>
          <w:szCs w:val="28"/>
          <w:lang w:val="pt-BR"/>
        </w:rPr>
      </w:pPr>
      <w:r w:rsidRPr="008F5FE7">
        <w:rPr>
          <w:rFonts w:ascii="Times New Roman" w:hAnsi="Times New Roman"/>
          <w:b/>
          <w:sz w:val="28"/>
          <w:szCs w:val="28"/>
          <w:lang w:val="pt-BR"/>
        </w:rPr>
        <w:t>Exemplo 3: Transição</w:t>
      </w:r>
    </w:p>
    <w:p w14:paraId="580CB72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7ADAD8EF" w14:textId="77777777" w:rsidR="008F5FE7" w:rsidRPr="008F5FE7" w:rsidRDefault="008F5FE7" w:rsidP="008F5FE7">
      <w:pPr>
        <w:widowControl w:val="0"/>
        <w:tabs>
          <w:tab w:val="left" w:pos="6804"/>
        </w:tabs>
        <w:spacing w:before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EI13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A aplicação retrospectiva é exigida pelo Pronunciamento Técnico CPC 23 – Políticas Contábeis, Mudança de Estimativa e Retificação de Erro, quando praticável. O exemplo seguinte ilustra a aplicação retrospectiva da Interpretação para preparador que:</w:t>
      </w:r>
    </w:p>
    <w:p w14:paraId="38C14881" w14:textId="77777777" w:rsidR="008F5FE7" w:rsidRPr="008F5FE7" w:rsidRDefault="008F5FE7" w:rsidP="008F5FE7">
      <w:pPr>
        <w:widowControl w:val="0"/>
        <w:numPr>
          <w:ilvl w:val="0"/>
          <w:numId w:val="8"/>
        </w:numPr>
        <w:spacing w:before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adota a Interpretação em 1º. de janeiro de 2010; e</w:t>
      </w:r>
    </w:p>
    <w:p w14:paraId="6A07441E" w14:textId="77777777" w:rsidR="008F5FE7" w:rsidRPr="008F5FE7" w:rsidRDefault="008F5FE7" w:rsidP="008F5FE7">
      <w:pPr>
        <w:widowControl w:val="0"/>
        <w:numPr>
          <w:ilvl w:val="0"/>
          <w:numId w:val="8"/>
        </w:numPr>
        <w:spacing w:before="0" w:after="0"/>
        <w:ind w:left="993" w:right="57" w:hanging="284"/>
        <w:rPr>
          <w:rFonts w:ascii="Times New Roman" w:hAnsi="Times New Roman"/>
          <w:bCs/>
          <w:iCs/>
          <w:color w:val="000000"/>
          <w:sz w:val="24"/>
          <w:lang w:val="pt-BR"/>
        </w:rPr>
      </w:pPr>
      <w:r w:rsidRPr="008F5FE7">
        <w:rPr>
          <w:rFonts w:ascii="Times New Roman" w:hAnsi="Times New Roman"/>
          <w:bCs/>
          <w:iCs/>
          <w:color w:val="000000"/>
          <w:sz w:val="24"/>
          <w:lang w:val="pt-BR"/>
        </w:rPr>
        <w:t>antes da adoção da Interpretação, reconheceu mudanças nos fluxos de caixa estimados para liquidar os passivos por desativação como receita ou despesa.</w:t>
      </w:r>
    </w:p>
    <w:p w14:paraId="33CD2923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60AFEF5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EI14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Em 31 de dezembro de 2005, por causa da reversão do desconto (5%) por um ano, o passivo por desativação cresceu de $ 10.000 para $ 10.500. Além disso, com base em fatos recentes, a entidade estima que o valor presente do passivo por desativação aumentou em $ 1.500 e, consequentemente, o ajusta de $ 10.500 para $ 12.000. De acordo com sua política então em vigor, o aumento no passivo é reconhecido no resultado.</w:t>
      </w:r>
    </w:p>
    <w:p w14:paraId="587CDAD4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48E3E024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cs="Arial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EI15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Em 1º de janeiro de 2010, a entidade faz o seguinte lançamento para refletir a adoção da Interpretação:</w:t>
      </w:r>
    </w:p>
    <w:tbl>
      <w:tblPr>
        <w:tblOverlap w:val="never"/>
        <w:tblW w:w="7544" w:type="dxa"/>
        <w:tblInd w:w="786" w:type="dxa"/>
        <w:tblLayout w:type="fixed"/>
        <w:tblLook w:val="0000" w:firstRow="0" w:lastRow="0" w:firstColumn="0" w:lastColumn="0" w:noHBand="0" w:noVBand="0"/>
      </w:tblPr>
      <w:tblGrid>
        <w:gridCol w:w="448"/>
        <w:gridCol w:w="4686"/>
        <w:gridCol w:w="1134"/>
        <w:gridCol w:w="142"/>
        <w:gridCol w:w="1134"/>
      </w:tblGrid>
      <w:tr w:rsidR="008F5FE7" w:rsidRPr="008F5FE7" w14:paraId="24658DC5" w14:textId="77777777" w:rsidTr="00057473">
        <w:trPr>
          <w:trHeight w:hRule="exact" w:val="284"/>
        </w:trPr>
        <w:tc>
          <w:tcPr>
            <w:tcW w:w="5134" w:type="dxa"/>
            <w:gridSpan w:val="2"/>
          </w:tcPr>
          <w:p w14:paraId="691A98D9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C669985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  <w:tc>
          <w:tcPr>
            <w:tcW w:w="1134" w:type="dxa"/>
            <w:vAlign w:val="bottom"/>
          </w:tcPr>
          <w:p w14:paraId="471C513E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</w:tr>
      <w:tr w:rsidR="008F5FE7" w:rsidRPr="008F5FE7" w14:paraId="08B404EA" w14:textId="77777777" w:rsidTr="00057473">
        <w:trPr>
          <w:trHeight w:hRule="exact" w:val="284"/>
        </w:trPr>
        <w:tc>
          <w:tcPr>
            <w:tcW w:w="5134" w:type="dxa"/>
            <w:gridSpan w:val="2"/>
            <w:vAlign w:val="bottom"/>
          </w:tcPr>
          <w:p w14:paraId="66FC74AA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Ativo</w:t>
            </w:r>
          </w:p>
        </w:tc>
        <w:tc>
          <w:tcPr>
            <w:tcW w:w="1276" w:type="dxa"/>
            <w:gridSpan w:val="2"/>
            <w:vAlign w:val="bottom"/>
          </w:tcPr>
          <w:p w14:paraId="7E147D23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1.500</w:t>
            </w:r>
          </w:p>
        </w:tc>
        <w:tc>
          <w:tcPr>
            <w:tcW w:w="1134" w:type="dxa"/>
            <w:vAlign w:val="bottom"/>
          </w:tcPr>
          <w:p w14:paraId="7311B0AE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</w:tr>
      <w:tr w:rsidR="008F5FE7" w:rsidRPr="008F5FE7" w14:paraId="42CDA190" w14:textId="77777777" w:rsidTr="00057473">
        <w:trPr>
          <w:trHeight w:hRule="exact" w:val="284"/>
        </w:trPr>
        <w:tc>
          <w:tcPr>
            <w:tcW w:w="448" w:type="dxa"/>
          </w:tcPr>
          <w:p w14:paraId="7D2D48AA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5820" w:type="dxa"/>
            <w:gridSpan w:val="2"/>
            <w:vAlign w:val="bottom"/>
          </w:tcPr>
          <w:p w14:paraId="4D49A2C9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C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Depreciação acumulada</w:t>
            </w:r>
          </w:p>
        </w:tc>
        <w:tc>
          <w:tcPr>
            <w:tcW w:w="1276" w:type="dxa"/>
            <w:gridSpan w:val="2"/>
            <w:vAlign w:val="bottom"/>
          </w:tcPr>
          <w:p w14:paraId="1CF6CAC5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154</w:t>
            </w:r>
          </w:p>
        </w:tc>
      </w:tr>
      <w:tr w:rsidR="008F5FE7" w:rsidRPr="008F5FE7" w14:paraId="131A80DC" w14:textId="77777777" w:rsidTr="00057473">
        <w:trPr>
          <w:trHeight w:hRule="exact" w:val="284"/>
        </w:trPr>
        <w:tc>
          <w:tcPr>
            <w:tcW w:w="448" w:type="dxa"/>
          </w:tcPr>
          <w:p w14:paraId="65BBDB6A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5820" w:type="dxa"/>
            <w:gridSpan w:val="2"/>
            <w:vAlign w:val="bottom"/>
          </w:tcPr>
          <w:p w14:paraId="72DD63FF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C</w:t>
            </w:r>
            <w:r w:rsidRPr="008F5FE7">
              <w:rPr>
                <w:rFonts w:ascii="Arial Narrow" w:eastAsia="Arial Unicode MS" w:cs="Arial"/>
              </w:rPr>
              <w:t> 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 xml:space="preserve">Lucros ou prejuízos acumulados </w:t>
            </w:r>
          </w:p>
        </w:tc>
        <w:tc>
          <w:tcPr>
            <w:tcW w:w="1276" w:type="dxa"/>
            <w:gridSpan w:val="2"/>
            <w:vAlign w:val="bottom"/>
          </w:tcPr>
          <w:p w14:paraId="32521C75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1.346</w:t>
            </w:r>
          </w:p>
        </w:tc>
      </w:tr>
    </w:tbl>
    <w:p w14:paraId="7ACE2EEA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52EAD3A6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lastRenderedPageBreak/>
        <w:t>EI16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 xml:space="preserve">O custo do ativo é ajustado para o que teria sido se o aumento no valor estimado de custos de desativação em 31 de dezembro de 2005 tivesse sido capitalizado nessa data. Esse custo adicional seria depreciado ao longo de 39 anos. Portanto, a depreciação acumulada sobre esse valor em 31 de dezembro de 2009 seria $ 154 ($ 1.500 x 4/39 anos). </w:t>
      </w:r>
    </w:p>
    <w:p w14:paraId="15C65EE6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76335DFD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EI17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Considerando que, antes de adotar a Interpretação em 1º de janeiro de 2010, a entidade reconheceu mudanças no passivo por desativação no resultado, o ajuste líquido de $ 1.346 é reconhecido como crédito aos lucros acumulados de abertura. Esse crédito não precisa ser divulgado nas demonstrações contábeis, por causa da reapresentação descrita abaixo.</w:t>
      </w:r>
    </w:p>
    <w:p w14:paraId="2BA9BB3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p w14:paraId="297FA351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567" w:right="57" w:hanging="567"/>
        <w:rPr>
          <w:rFonts w:ascii="Times New Roman" w:hAnsi="Times New Roman"/>
          <w:color w:val="000000"/>
          <w:sz w:val="24"/>
          <w:lang w:val="pt-BR"/>
        </w:rPr>
      </w:pPr>
      <w:r w:rsidRPr="008F5FE7">
        <w:rPr>
          <w:rFonts w:ascii="Times New Roman" w:hAnsi="Times New Roman"/>
          <w:color w:val="000000"/>
          <w:sz w:val="24"/>
          <w:lang w:val="pt-BR"/>
        </w:rPr>
        <w:t>EI18</w:t>
      </w:r>
      <w:r w:rsidRPr="008F5FE7">
        <w:rPr>
          <w:rFonts w:ascii="Times New Roman" w:hAnsi="Times New Roman"/>
          <w:color w:val="000000"/>
          <w:sz w:val="24"/>
          <w:lang w:val="pt-BR"/>
        </w:rPr>
        <w:tab/>
        <w:t>O Pronunciamento Técnico CPC 23 – Políticas Contábeis, Mudança de Estimativa e Retificação de Erro requer que as demonstrações contábeis comparativas sejam reapresentadas e os ajustes aos lucros acumulados de abertura no início do período comparativo sejam divulgados. Os lançamentos equivalentes em 1º de janeiro de 2009 são mostrados abaixo. Além disso, a despesa de depreciação para o exercício findo em 31 de dezembro de 2009 é aumentada em $ 39 em relação ao valor informado anteriormente:</w:t>
      </w:r>
    </w:p>
    <w:p w14:paraId="20A923B5" w14:textId="77777777" w:rsidR="008F5FE7" w:rsidRPr="008F5FE7" w:rsidRDefault="008F5FE7" w:rsidP="008F5FE7">
      <w:pPr>
        <w:widowControl w:val="0"/>
        <w:tabs>
          <w:tab w:val="left" w:pos="6804"/>
        </w:tabs>
        <w:spacing w:before="0" w:after="0"/>
        <w:ind w:left="709" w:right="57" w:hanging="709"/>
        <w:rPr>
          <w:rFonts w:ascii="Times New Roman" w:hAnsi="Times New Roman"/>
          <w:color w:val="000000"/>
          <w:sz w:val="24"/>
          <w:lang w:val="pt-BR"/>
        </w:rPr>
      </w:pPr>
    </w:p>
    <w:tbl>
      <w:tblPr>
        <w:tblW w:w="7619" w:type="dxa"/>
        <w:jc w:val="center"/>
        <w:tblLook w:val="0000" w:firstRow="0" w:lastRow="0" w:firstColumn="0" w:lastColumn="0" w:noHBand="0" w:noVBand="0"/>
      </w:tblPr>
      <w:tblGrid>
        <w:gridCol w:w="706"/>
        <w:gridCol w:w="1986"/>
        <w:gridCol w:w="3778"/>
        <w:gridCol w:w="1149"/>
      </w:tblGrid>
      <w:tr w:rsidR="008F5FE7" w:rsidRPr="008F5FE7" w14:paraId="302569AB" w14:textId="77777777" w:rsidTr="00057473">
        <w:trPr>
          <w:trHeight w:hRule="exact" w:val="284"/>
          <w:jc w:val="center"/>
        </w:trPr>
        <w:tc>
          <w:tcPr>
            <w:tcW w:w="1767" w:type="pct"/>
            <w:gridSpan w:val="2"/>
          </w:tcPr>
          <w:p w14:paraId="13CBA2F6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2479" w:type="pct"/>
            <w:vAlign w:val="bottom"/>
          </w:tcPr>
          <w:p w14:paraId="0637606F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  <w:tc>
          <w:tcPr>
            <w:tcW w:w="754" w:type="pct"/>
            <w:vAlign w:val="bottom"/>
          </w:tcPr>
          <w:p w14:paraId="157B241F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$ </w:t>
            </w:r>
          </w:p>
        </w:tc>
      </w:tr>
      <w:tr w:rsidR="008F5FE7" w:rsidRPr="008F5FE7" w14:paraId="1BFFA1F2" w14:textId="77777777" w:rsidTr="00057473">
        <w:trPr>
          <w:trHeight w:hRule="exact" w:val="284"/>
          <w:jc w:val="center"/>
        </w:trPr>
        <w:tc>
          <w:tcPr>
            <w:tcW w:w="1767" w:type="pct"/>
            <w:gridSpan w:val="2"/>
            <w:vAlign w:val="bottom"/>
          </w:tcPr>
          <w:p w14:paraId="265385A3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D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Ativo</w:t>
            </w:r>
          </w:p>
        </w:tc>
        <w:tc>
          <w:tcPr>
            <w:tcW w:w="2479" w:type="pct"/>
            <w:vAlign w:val="bottom"/>
          </w:tcPr>
          <w:p w14:paraId="6D3A80C0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1.500</w:t>
            </w:r>
          </w:p>
        </w:tc>
        <w:tc>
          <w:tcPr>
            <w:tcW w:w="754" w:type="pct"/>
            <w:vAlign w:val="bottom"/>
          </w:tcPr>
          <w:p w14:paraId="786A2AFA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</w:p>
        </w:tc>
      </w:tr>
      <w:tr w:rsidR="008F5FE7" w:rsidRPr="008F5FE7" w14:paraId="1D14F927" w14:textId="77777777" w:rsidTr="00057473">
        <w:trPr>
          <w:trHeight w:hRule="exact" w:val="284"/>
          <w:jc w:val="center"/>
        </w:trPr>
        <w:tc>
          <w:tcPr>
            <w:tcW w:w="464" w:type="pct"/>
          </w:tcPr>
          <w:p w14:paraId="38F494C2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3782" w:type="pct"/>
            <w:gridSpan w:val="2"/>
            <w:vAlign w:val="bottom"/>
          </w:tcPr>
          <w:p w14:paraId="19FBBA22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C 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>Depreciação acumulada</w:t>
            </w:r>
          </w:p>
        </w:tc>
        <w:tc>
          <w:tcPr>
            <w:tcW w:w="754" w:type="pct"/>
            <w:vAlign w:val="bottom"/>
          </w:tcPr>
          <w:p w14:paraId="69207427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115</w:t>
            </w:r>
          </w:p>
        </w:tc>
      </w:tr>
      <w:tr w:rsidR="008F5FE7" w:rsidRPr="008F5FE7" w14:paraId="565C6463" w14:textId="77777777" w:rsidTr="00057473">
        <w:trPr>
          <w:trHeight w:hRule="exact" w:val="284"/>
          <w:jc w:val="center"/>
        </w:trPr>
        <w:tc>
          <w:tcPr>
            <w:tcW w:w="464" w:type="pct"/>
          </w:tcPr>
          <w:p w14:paraId="48A6FFBF" w14:textId="77777777" w:rsidR="008F5FE7" w:rsidRPr="008F5FE7" w:rsidRDefault="008F5FE7" w:rsidP="008F5FE7">
            <w:pPr>
              <w:spacing w:before="10" w:after="10"/>
              <w:rPr>
                <w:rFonts w:ascii="Arial Narrow" w:hAnsi="Arial Narrow" w:cs="Arial"/>
              </w:rPr>
            </w:pPr>
          </w:p>
        </w:tc>
        <w:tc>
          <w:tcPr>
            <w:tcW w:w="3782" w:type="pct"/>
            <w:gridSpan w:val="2"/>
            <w:vAlign w:val="bottom"/>
          </w:tcPr>
          <w:p w14:paraId="49AE0D2A" w14:textId="77777777" w:rsidR="008F5FE7" w:rsidRPr="008F5FE7" w:rsidRDefault="008F5FE7" w:rsidP="008F5FE7">
            <w:pPr>
              <w:spacing w:before="10" w:after="10"/>
              <w:jc w:val="lef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 xml:space="preserve">C </w:t>
            </w:r>
            <w:r w:rsidRPr="008F5FE7">
              <w:rPr>
                <w:rFonts w:ascii="Cambria Math" w:hAnsi="Cambria Math" w:cs="Cambria Math"/>
              </w:rPr>
              <w:t> </w:t>
            </w:r>
            <w:r w:rsidRPr="008F5FE7">
              <w:rPr>
                <w:rFonts w:ascii="Arial Narrow" w:hAnsi="Arial Narrow" w:cs="Arial"/>
              </w:rPr>
              <w:t xml:space="preserve">Lucros ou prejuízos acumulados </w:t>
            </w:r>
          </w:p>
        </w:tc>
        <w:tc>
          <w:tcPr>
            <w:tcW w:w="754" w:type="pct"/>
            <w:vAlign w:val="bottom"/>
          </w:tcPr>
          <w:p w14:paraId="353BE8BD" w14:textId="77777777" w:rsidR="008F5FE7" w:rsidRPr="008F5FE7" w:rsidRDefault="008F5FE7" w:rsidP="008F5FE7">
            <w:pPr>
              <w:spacing w:before="10" w:after="10"/>
              <w:jc w:val="right"/>
              <w:rPr>
                <w:rFonts w:ascii="Arial Narrow" w:hAnsi="Arial Narrow" w:cs="Arial"/>
              </w:rPr>
            </w:pPr>
            <w:r w:rsidRPr="008F5FE7">
              <w:rPr>
                <w:rFonts w:ascii="Arial Narrow" w:hAnsi="Arial Narrow" w:cs="Arial"/>
              </w:rPr>
              <w:t>1.385</w:t>
            </w:r>
          </w:p>
        </w:tc>
      </w:tr>
    </w:tbl>
    <w:p w14:paraId="31841FFA" w14:textId="77777777" w:rsidR="008F5FE7" w:rsidRPr="00564DE8" w:rsidRDefault="008F5FE7" w:rsidP="008F5FE7">
      <w:pPr>
        <w:spacing w:before="40" w:after="40"/>
        <w:rPr>
          <w:rFonts w:ascii="Times New Roman" w:hAnsi="Times New Roman"/>
          <w:bCs/>
          <w:sz w:val="24"/>
          <w:lang w:val="pt-BR"/>
        </w:rPr>
      </w:pPr>
    </w:p>
    <w:p w14:paraId="2C5A7000" w14:textId="286C3877" w:rsidR="00C578D8" w:rsidRPr="00564DE8" w:rsidRDefault="00C578D8">
      <w:pPr>
        <w:rPr>
          <w:rFonts w:ascii="Times New Roman" w:hAnsi="Times New Roman"/>
          <w:bCs/>
          <w:sz w:val="24"/>
          <w:lang w:val="pt-BR"/>
        </w:rPr>
      </w:pPr>
    </w:p>
    <w:p w14:paraId="5ABEFC5B" w14:textId="77777777" w:rsidR="00273211" w:rsidRPr="00564DE8" w:rsidRDefault="00273211">
      <w:pPr>
        <w:rPr>
          <w:rFonts w:ascii="Times New Roman" w:hAnsi="Times New Roman"/>
          <w:bCs/>
          <w:sz w:val="24"/>
          <w:lang w:val="pt-BR"/>
        </w:rPr>
      </w:pPr>
    </w:p>
    <w:sectPr w:rsidR="00273211" w:rsidRPr="00564DE8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F7991" w14:textId="77777777" w:rsidR="009C5AB0" w:rsidRDefault="009C5AB0" w:rsidP="0096648A">
      <w:pPr>
        <w:spacing w:before="0" w:after="0"/>
      </w:pPr>
      <w:r>
        <w:separator/>
      </w:r>
    </w:p>
  </w:endnote>
  <w:endnote w:type="continuationSeparator" w:id="0">
    <w:p w14:paraId="5E7F650A" w14:textId="77777777" w:rsidR="009C5AB0" w:rsidRDefault="009C5AB0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D76E29" w:rsidRDefault="0084434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D76E29" w:rsidRDefault="00A0225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340EE48D" w:rsidR="00AB3649" w:rsidRPr="00AB3649" w:rsidRDefault="00AB3649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A0225F" w:rsidRPr="00A0225F">
          <w:rPr>
            <w:rFonts w:asciiTheme="minorHAnsi" w:hAnsiTheme="minorHAnsi" w:cstheme="minorHAnsi"/>
            <w:noProof/>
            <w:szCs w:val="20"/>
            <w:lang w:val="pt-BR"/>
          </w:rPr>
          <w:t>10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A21437" w:rsidRPr="00A21437" w:rsidRDefault="00A21437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FEF62" w14:textId="77777777" w:rsidR="009C5AB0" w:rsidRDefault="009C5AB0" w:rsidP="0096648A">
      <w:pPr>
        <w:spacing w:before="0" w:after="0"/>
      </w:pPr>
      <w:r>
        <w:separator/>
      </w:r>
    </w:p>
  </w:footnote>
  <w:footnote w:type="continuationSeparator" w:id="0">
    <w:p w14:paraId="0CD0A929" w14:textId="77777777" w:rsidR="009C5AB0" w:rsidRDefault="009C5AB0" w:rsidP="0096648A">
      <w:pPr>
        <w:spacing w:before="0" w:after="0"/>
      </w:pPr>
      <w:r>
        <w:continuationSeparator/>
      </w:r>
    </w:p>
  </w:footnote>
  <w:footnote w:id="1">
    <w:p w14:paraId="34CB96E2" w14:textId="77777777" w:rsidR="008F5FE7" w:rsidRPr="00706C0F" w:rsidRDefault="008F5FE7" w:rsidP="008F5FE7">
      <w:pPr>
        <w:tabs>
          <w:tab w:val="left" w:pos="284"/>
        </w:tabs>
        <w:spacing w:before="0"/>
        <w:rPr>
          <w:rFonts w:ascii="Times New Roman" w:hAnsi="Times New Roman"/>
          <w:color w:val="7F7F7F"/>
          <w:szCs w:val="20"/>
        </w:rPr>
      </w:pPr>
      <w:r w:rsidRPr="00706C0F">
        <w:rPr>
          <w:rFonts w:ascii="Times New Roman" w:hAnsi="Times New Roman"/>
          <w:b/>
          <w:bCs/>
          <w:szCs w:val="20"/>
          <w:vertAlign w:val="superscript"/>
        </w:rPr>
        <w:footnoteRef/>
      </w:r>
      <w:r w:rsidRPr="00706C0F">
        <w:rPr>
          <w:rFonts w:ascii="Times New Roman" w:hAnsi="Times New Roman"/>
          <w:b/>
          <w:i/>
          <w:szCs w:val="20"/>
        </w:rPr>
        <w:tab/>
      </w:r>
      <w:r w:rsidRPr="00706C0F">
        <w:rPr>
          <w:rFonts w:ascii="Times New Roman" w:hAnsi="Times New Roman"/>
          <w:szCs w:val="20"/>
        </w:rPr>
        <w:t>Para exemplos des</w:t>
      </w:r>
      <w:r>
        <w:rPr>
          <w:rFonts w:ascii="Times New Roman" w:hAnsi="Times New Roman"/>
          <w:szCs w:val="20"/>
        </w:rPr>
        <w:t>s</w:t>
      </w:r>
      <w:r w:rsidRPr="00706C0F">
        <w:rPr>
          <w:rFonts w:ascii="Times New Roman" w:hAnsi="Times New Roman"/>
          <w:szCs w:val="20"/>
        </w:rPr>
        <w:t xml:space="preserve">e princípio, </w:t>
      </w:r>
      <w:r w:rsidRPr="00706C0F">
        <w:rPr>
          <w:rFonts w:ascii="Times New Roman" w:hAnsi="Times New Roman"/>
          <w:i/>
          <w:szCs w:val="20"/>
        </w:rPr>
        <w:t>v</w:t>
      </w:r>
      <w:r>
        <w:rPr>
          <w:rFonts w:ascii="Times New Roman" w:hAnsi="Times New Roman"/>
          <w:i/>
          <w:szCs w:val="20"/>
        </w:rPr>
        <w:t>er</w:t>
      </w:r>
      <w:r w:rsidRPr="00706C0F">
        <w:rPr>
          <w:rFonts w:ascii="Times New Roman" w:hAnsi="Times New Roman"/>
          <w:szCs w:val="20"/>
        </w:rPr>
        <w:t xml:space="preserve"> </w:t>
      </w:r>
      <w:r w:rsidRPr="00706C0F">
        <w:rPr>
          <w:rFonts w:ascii="Times New Roman" w:hAnsi="Times New Roman"/>
          <w:i/>
          <w:szCs w:val="20"/>
        </w:rPr>
        <w:t>Pronunciamento Técnico CPC 01</w:t>
      </w:r>
      <w:r w:rsidRPr="00706C0F">
        <w:rPr>
          <w:rFonts w:ascii="Times New Roman" w:hAnsi="Times New Roman"/>
          <w:szCs w:val="20"/>
        </w:rPr>
        <w:t xml:space="preserve"> </w:t>
      </w:r>
      <w:r w:rsidRPr="00706C0F">
        <w:rPr>
          <w:rFonts w:ascii="Times New Roman" w:hAnsi="Times New Roman"/>
          <w:i/>
          <w:iCs/>
          <w:szCs w:val="20"/>
        </w:rPr>
        <w:t>– Redução no Valor Recuperável de Ativos</w:t>
      </w:r>
      <w:r w:rsidRPr="00706C0F">
        <w:rPr>
          <w:rFonts w:ascii="Times New Roman" w:hAnsi="Times New Roman"/>
          <w:color w:val="7F7F7F"/>
          <w:szCs w:val="20"/>
        </w:rPr>
        <w:t xml:space="preserve"> </w:t>
      </w:r>
      <w:r w:rsidRPr="00706C0F">
        <w:rPr>
          <w:rFonts w:ascii="Times New Roman" w:hAnsi="Times New Roman"/>
          <w:szCs w:val="20"/>
        </w:rPr>
        <w:t xml:space="preserve">e </w:t>
      </w:r>
      <w:r w:rsidRPr="00706C0F">
        <w:rPr>
          <w:rFonts w:ascii="Times New Roman" w:hAnsi="Times New Roman"/>
          <w:i/>
          <w:szCs w:val="20"/>
        </w:rPr>
        <w:t>Pronunciamento Técnico CPC 28</w:t>
      </w:r>
      <w:r w:rsidRPr="00706C0F">
        <w:rPr>
          <w:rFonts w:ascii="Times New Roman" w:hAnsi="Times New Roman"/>
          <w:color w:val="7F7F7F"/>
          <w:szCs w:val="20"/>
        </w:rPr>
        <w:t xml:space="preserve"> </w:t>
      </w:r>
      <w:r w:rsidRPr="00706C0F">
        <w:rPr>
          <w:rFonts w:ascii="Times New Roman" w:hAnsi="Times New Roman"/>
          <w:i/>
          <w:iCs/>
          <w:szCs w:val="20"/>
        </w:rPr>
        <w:t>– Propriedade para Investimento</w:t>
      </w:r>
      <w:r w:rsidRPr="00706C0F">
        <w:rPr>
          <w:rFonts w:ascii="Times New Roman" w:hAnsi="Times New Roman"/>
          <w:szCs w:val="20"/>
        </w:rPr>
        <w:t>.</w:t>
      </w:r>
      <w:r w:rsidRPr="00706C0F">
        <w:rPr>
          <w:rFonts w:ascii="Times New Roman" w:hAnsi="Times New Roman"/>
          <w:color w:val="7F7F7F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A21437" w:rsidRPr="007A1E4D" w:rsidRDefault="00A21437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A21437" w:rsidRPr="00A21437" w:rsidRDefault="00A21437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240864E4" w:rsidR="00A21437" w:rsidRDefault="00A0225F" w:rsidP="00A21437">
    <w:pPr>
      <w:pStyle w:val="Cabealho"/>
      <w:spacing w:before="0" w:after="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6546A6F6" w:rsidR="00D76E29" w:rsidRPr="00A21437" w:rsidRDefault="00A0225F" w:rsidP="00A21437">
    <w:pPr>
      <w:pStyle w:val="Cabealho"/>
      <w:spacing w:before="240" w:after="240"/>
      <w:rPr>
        <w:rFonts w:asciiTheme="minorHAnsi" w:hAnsiTheme="minorHAnsi" w:cstheme="minorHAnsi"/>
      </w:rPr>
    </w:pPr>
    <w:r w:rsidRPr="00A0225F">
      <w:rPr>
        <w:rFonts w:asciiTheme="minorHAnsi" w:hAnsiTheme="minorHAnsi" w:cstheme="minorHAnsi"/>
        <w:szCs w:val="20"/>
      </w:rPr>
      <w:t>RESOLUÇÃO CVM Nº 125, DE 3 DE JUNHO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77777777" w:rsidR="00DF62F3" w:rsidRPr="007A1E4D" w:rsidRDefault="00DF62F3" w:rsidP="00DF62F3">
    <w:pPr>
      <w:tabs>
        <w:tab w:val="center" w:pos="4419"/>
        <w:tab w:val="right" w:pos="8838"/>
      </w:tabs>
      <w:jc w:val="center"/>
    </w:pPr>
    <w:r>
      <w:rPr>
        <w:noProof/>
        <w:lang w:val="pt-BR"/>
      </w:rPr>
      <w:drawing>
        <wp:inline distT="0" distB="0" distL="0" distR="0" wp14:anchorId="03F737A4" wp14:editId="3E1E4ECB">
          <wp:extent cx="628650" cy="628650"/>
          <wp:effectExtent l="0" t="0" r="0" b="0"/>
          <wp:docPr id="130328818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DF62F3" w:rsidRPr="00DF62F3" w:rsidRDefault="00DF62F3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DF62F3" w:rsidRPr="00DB68BE" w:rsidRDefault="00DF62F3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11AEB93" w:rsidR="00D76E29" w:rsidRDefault="00A0225F" w:rsidP="00DF62F3">
    <w:pPr>
      <w:pStyle w:val="Cabealho"/>
      <w:spacing w:before="0" w:after="360"/>
      <w:jc w:val="center"/>
      <w:rPr>
        <w:rFonts w:asciiTheme="minorHAnsi" w:hAnsiTheme="minorHAnsi" w:cstheme="minorHAnsi"/>
        <w:sz w:val="18"/>
        <w:szCs w:val="18"/>
      </w:rPr>
    </w:pPr>
    <w:hyperlink r:id="rId2" w:history="1">
      <w:r w:rsidR="00E653D2" w:rsidRPr="00836193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AD7"/>
    <w:multiLevelType w:val="hybridMultilevel"/>
    <w:tmpl w:val="34A028F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624A2686">
      <w:start w:val="1"/>
      <w:numFmt w:val="lowerRoman"/>
      <w:lvlText w:val="(%2)"/>
      <w:lvlJc w:val="righ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E351C"/>
    <w:multiLevelType w:val="hybridMultilevel"/>
    <w:tmpl w:val="4B964B42"/>
    <w:lvl w:ilvl="0" w:tplc="9048A96A">
      <w:start w:val="1"/>
      <w:numFmt w:val="lowerLetter"/>
      <w:lvlText w:val="(%1)"/>
      <w:lvlJc w:val="center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abstractNum w:abstractNumId="3" w15:restartNumberingAfterBreak="0">
    <w:nsid w:val="1E76426A"/>
    <w:multiLevelType w:val="hybridMultilevel"/>
    <w:tmpl w:val="4B964B42"/>
    <w:lvl w:ilvl="0" w:tplc="9048A96A">
      <w:start w:val="1"/>
      <w:numFmt w:val="lowerLetter"/>
      <w:lvlText w:val="(%1)"/>
      <w:lvlJc w:val="center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0142C48"/>
    <w:multiLevelType w:val="hybridMultilevel"/>
    <w:tmpl w:val="4B964B42"/>
    <w:lvl w:ilvl="0" w:tplc="9048A96A">
      <w:start w:val="1"/>
      <w:numFmt w:val="lowerLetter"/>
      <w:lvlText w:val="(%1)"/>
      <w:lvlJc w:val="center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6BC5A36"/>
    <w:multiLevelType w:val="hybridMultilevel"/>
    <w:tmpl w:val="4B964B42"/>
    <w:lvl w:ilvl="0" w:tplc="9048A96A">
      <w:start w:val="1"/>
      <w:numFmt w:val="lowerLetter"/>
      <w:lvlText w:val="(%1)"/>
      <w:lvlJc w:val="center"/>
      <w:pPr>
        <w:ind w:left="14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78202B0F"/>
    <w:multiLevelType w:val="hybridMultilevel"/>
    <w:tmpl w:val="4B964B42"/>
    <w:lvl w:ilvl="0" w:tplc="9048A96A">
      <w:start w:val="1"/>
      <w:numFmt w:val="lowerLetter"/>
      <w:lvlText w:val="(%1)"/>
      <w:lvlJc w:val="center"/>
      <w:pPr>
        <w:ind w:left="1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7F4607B4"/>
    <w:multiLevelType w:val="hybridMultilevel"/>
    <w:tmpl w:val="4B964B42"/>
    <w:lvl w:ilvl="0" w:tplc="9048A96A">
      <w:start w:val="1"/>
      <w:numFmt w:val="lowerLetter"/>
      <w:lvlText w:val="(%1)"/>
      <w:lvlJc w:val="center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C4966"/>
    <w:rsid w:val="00176ACA"/>
    <w:rsid w:val="00250580"/>
    <w:rsid w:val="00273211"/>
    <w:rsid w:val="00275BD2"/>
    <w:rsid w:val="0030742D"/>
    <w:rsid w:val="00327663"/>
    <w:rsid w:val="003965B2"/>
    <w:rsid w:val="004461EC"/>
    <w:rsid w:val="004D7125"/>
    <w:rsid w:val="00556CA1"/>
    <w:rsid w:val="00564DE8"/>
    <w:rsid w:val="006372A6"/>
    <w:rsid w:val="00707793"/>
    <w:rsid w:val="007449EF"/>
    <w:rsid w:val="00824ACF"/>
    <w:rsid w:val="0084434F"/>
    <w:rsid w:val="008F5FE7"/>
    <w:rsid w:val="0096648A"/>
    <w:rsid w:val="009C5AB0"/>
    <w:rsid w:val="009D3457"/>
    <w:rsid w:val="00A0225F"/>
    <w:rsid w:val="00A21437"/>
    <w:rsid w:val="00A234D1"/>
    <w:rsid w:val="00A24282"/>
    <w:rsid w:val="00A90A40"/>
    <w:rsid w:val="00A92033"/>
    <w:rsid w:val="00AB3649"/>
    <w:rsid w:val="00C578D8"/>
    <w:rsid w:val="00C704D0"/>
    <w:rsid w:val="00C72039"/>
    <w:rsid w:val="00CF08C5"/>
    <w:rsid w:val="00CF424B"/>
    <w:rsid w:val="00D10DAC"/>
    <w:rsid w:val="00DC2559"/>
    <w:rsid w:val="00DF62F3"/>
    <w:rsid w:val="00E653D2"/>
    <w:rsid w:val="095590D3"/>
    <w:rsid w:val="24F0ECFB"/>
    <w:rsid w:val="5A2BB28A"/>
    <w:rsid w:val="60EE3AE2"/>
    <w:rsid w:val="6CDC5301"/>
    <w:rsid w:val="7CC4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952"/>
  <w15:chartTrackingRefBased/>
  <w15:docId w15:val="{A039BEE3-6F4A-46C4-9423-3667D03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5BA7DCC295C4B97EFA222803C2E43" ma:contentTypeVersion="13" ma:contentTypeDescription="Create a new document." ma:contentTypeScope="" ma:versionID="dcf61a52a6102d6a804c287eb92f5667">
  <xsd:schema xmlns:xsd="http://www.w3.org/2001/XMLSchema" xmlns:xs="http://www.w3.org/2001/XMLSchema" xmlns:p="http://schemas.microsoft.com/office/2006/metadata/properties" xmlns:ns2="b69b09d8-fb11-4638-84fd-30340ac4eb29" xmlns:ns3="7b795b17-f7d2-4f27-ba4a-6f1f7eb48eda" targetNamespace="http://schemas.microsoft.com/office/2006/metadata/properties" ma:root="true" ma:fieldsID="26b38a98324d2badd97bb04ded0657e9" ns2:_="" ns3:_="">
    <xsd:import namespace="b69b09d8-fb11-4638-84fd-30340ac4eb29"/>
    <xsd:import namespace="7b795b17-f7d2-4f27-ba4a-6f1f7eb48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09d8-fb11-4638-84fd-30340ac4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5b17-f7d2-4f27-ba4a-6f1f7eb48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7A24C-C491-418F-ACFB-1D308BF91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39F9D-2FE4-4FF9-AA47-BD409D3CE89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b795b17-f7d2-4f27-ba4a-6f1f7eb48eda"/>
    <ds:schemaRef ds:uri="b69b09d8-fb11-4638-84fd-30340ac4eb2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C2D9B3-B71C-4677-A31C-8E2DB957A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09d8-fb11-4638-84fd-30340ac4eb29"/>
    <ds:schemaRef ds:uri="7b795b17-f7d2-4f27-ba4a-6f1f7eb48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75862-AF31-4F7D-A189-F000F819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2693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</dc:creator>
  <cp:keywords/>
  <dc:description/>
  <cp:lastModifiedBy>Renata dos Santos Leitão</cp:lastModifiedBy>
  <cp:revision>33</cp:revision>
  <dcterms:created xsi:type="dcterms:W3CDTF">2021-07-21T15:16:00Z</dcterms:created>
  <dcterms:modified xsi:type="dcterms:W3CDTF">2022-06-02T13:51:00Z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0x0101006275BA7DCC295C4B97EFA222803C2E43</vt:lpwstr>
  </property>
  <property fmtid="{D5CDD505-2E9C-101B-9397-08002B2CF9AE}" pid="3" name="Order">
    <vt:r8>35900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