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938DB" w14:textId="0B38DB0D" w:rsidR="00CF08C5" w:rsidRPr="004309FF" w:rsidRDefault="00046115" w:rsidP="00CF08C5">
      <w:pPr>
        <w:pStyle w:val="Corpodetexto2"/>
        <w:spacing w:before="120" w:line="312" w:lineRule="auto"/>
        <w:jc w:val="center"/>
        <w:rPr>
          <w:rFonts w:asciiTheme="minorHAnsi" w:hAnsiTheme="minorHAnsi" w:cstheme="minorHAnsi"/>
          <w:b w:val="0"/>
          <w:bCs w:val="0"/>
          <w:sz w:val="24"/>
          <w:lang w:val="pt-BR"/>
        </w:rPr>
      </w:pPr>
      <w:r w:rsidRPr="00046115">
        <w:rPr>
          <w:rFonts w:asciiTheme="minorHAnsi" w:hAnsiTheme="minorHAnsi" w:cstheme="minorHAnsi"/>
          <w:b w:val="0"/>
          <w:bCs w:val="0"/>
          <w:sz w:val="24"/>
        </w:rPr>
        <w:t>RESOLUÇÃO CVM Nº 12</w:t>
      </w:r>
      <w:r>
        <w:rPr>
          <w:rFonts w:asciiTheme="minorHAnsi" w:hAnsiTheme="minorHAnsi" w:cstheme="minorHAnsi"/>
          <w:b w:val="0"/>
          <w:bCs w:val="0"/>
          <w:sz w:val="24"/>
          <w:lang w:val="pt-BR"/>
        </w:rPr>
        <w:t>7</w:t>
      </w:r>
      <w:r w:rsidRPr="00046115">
        <w:rPr>
          <w:rFonts w:asciiTheme="minorHAnsi" w:hAnsiTheme="minorHAnsi" w:cstheme="minorHAnsi"/>
          <w:b w:val="0"/>
          <w:bCs w:val="0"/>
          <w:sz w:val="24"/>
        </w:rPr>
        <w:t>, DE 3 DE JUNHO DE 2022</w:t>
      </w:r>
    </w:p>
    <w:p w14:paraId="5B546EE5" w14:textId="0101FB47" w:rsidR="00CF08C5" w:rsidRPr="00273211" w:rsidRDefault="00CF08C5" w:rsidP="00CF08C5">
      <w:pPr>
        <w:pStyle w:val="Recuodecorpodetexto"/>
        <w:spacing w:before="240" w:after="240" w:line="312" w:lineRule="auto"/>
        <w:ind w:left="4746" w:firstLine="0"/>
        <w:rPr>
          <w:rFonts w:asciiTheme="minorHAnsi" w:hAnsiTheme="minorHAnsi" w:cstheme="minorHAnsi"/>
          <w:iCs/>
          <w:sz w:val="24"/>
        </w:rPr>
      </w:pPr>
      <w:r w:rsidRPr="00273211">
        <w:rPr>
          <w:rFonts w:asciiTheme="minorHAnsi" w:hAnsiTheme="minorHAnsi" w:cstheme="minorHAnsi"/>
          <w:iCs/>
          <w:sz w:val="24"/>
        </w:rPr>
        <w:t xml:space="preserve">Aprova </w:t>
      </w:r>
      <w:r w:rsidR="004309FF" w:rsidRPr="004309FF">
        <w:rPr>
          <w:rFonts w:asciiTheme="minorHAnsi" w:hAnsiTheme="minorHAnsi" w:cstheme="minorHAnsi"/>
          <w:iCs/>
          <w:sz w:val="24"/>
        </w:rPr>
        <w:t>a Consolidação d</w:t>
      </w:r>
      <w:r w:rsidR="00824ACF">
        <w:rPr>
          <w:rFonts w:asciiTheme="minorHAnsi" w:hAnsiTheme="minorHAnsi" w:cstheme="minorHAnsi"/>
          <w:iCs/>
          <w:sz w:val="24"/>
        </w:rPr>
        <w:t>a Interpretação Técnica</w:t>
      </w:r>
      <w:r w:rsidRPr="00273211">
        <w:rPr>
          <w:rFonts w:asciiTheme="minorHAnsi" w:hAnsiTheme="minorHAnsi" w:cstheme="minorHAnsi"/>
          <w:iCs/>
          <w:sz w:val="24"/>
        </w:rPr>
        <w:t xml:space="preserve"> </w:t>
      </w:r>
      <w:proofErr w:type="spellStart"/>
      <w:r w:rsidR="005D7141">
        <w:rPr>
          <w:rFonts w:asciiTheme="minorHAnsi" w:hAnsiTheme="minorHAnsi" w:cstheme="minorHAnsi"/>
          <w:iCs/>
          <w:sz w:val="24"/>
        </w:rPr>
        <w:t>ICPC</w:t>
      </w:r>
      <w:proofErr w:type="spellEnd"/>
      <w:r w:rsidR="005D7141">
        <w:rPr>
          <w:rFonts w:asciiTheme="minorHAnsi" w:hAnsiTheme="minorHAnsi" w:cstheme="minorHAnsi"/>
          <w:iCs/>
          <w:sz w:val="24"/>
        </w:rPr>
        <w:t xml:space="preserve"> </w:t>
      </w:r>
      <w:r w:rsidR="007137F2">
        <w:rPr>
          <w:rFonts w:asciiTheme="minorHAnsi" w:hAnsiTheme="minorHAnsi" w:cstheme="minorHAnsi"/>
          <w:iCs/>
          <w:sz w:val="24"/>
        </w:rPr>
        <w:t>16</w:t>
      </w:r>
      <w:r w:rsidRPr="00273211">
        <w:rPr>
          <w:rFonts w:asciiTheme="minorHAnsi" w:hAnsiTheme="minorHAnsi" w:cstheme="minorHAnsi"/>
          <w:iCs/>
          <w:sz w:val="24"/>
        </w:rPr>
        <w:t xml:space="preserve"> do Comitê de Pronunciamentos Contábeis</w:t>
      </w:r>
      <w:r w:rsidR="004309FF" w:rsidRPr="004309FF">
        <w:rPr>
          <w:rFonts w:asciiTheme="minorHAnsi" w:hAnsiTheme="minorHAnsi" w:cstheme="minorHAnsi"/>
          <w:iCs/>
          <w:sz w:val="24"/>
        </w:rPr>
        <w:t xml:space="preserve"> – CPC</w:t>
      </w:r>
      <w:r w:rsidRPr="00273211">
        <w:rPr>
          <w:rFonts w:asciiTheme="minorHAnsi" w:hAnsiTheme="minorHAnsi" w:cstheme="minorHAnsi"/>
          <w:iCs/>
          <w:sz w:val="24"/>
        </w:rPr>
        <w:t xml:space="preserve">, que trata </w:t>
      </w:r>
      <w:r w:rsidR="004309FF">
        <w:rPr>
          <w:rFonts w:asciiTheme="minorHAnsi" w:hAnsiTheme="minorHAnsi" w:cstheme="minorHAnsi"/>
          <w:iCs/>
          <w:sz w:val="24"/>
        </w:rPr>
        <w:t>da</w:t>
      </w:r>
      <w:r w:rsidRPr="00273211">
        <w:rPr>
          <w:rFonts w:asciiTheme="minorHAnsi" w:hAnsiTheme="minorHAnsi" w:cstheme="minorHAnsi"/>
          <w:iCs/>
          <w:sz w:val="24"/>
        </w:rPr>
        <w:t xml:space="preserve"> </w:t>
      </w:r>
      <w:bookmarkStart w:id="0" w:name="_Hlk77779593"/>
      <w:r w:rsidR="00C43664">
        <w:rPr>
          <w:rFonts w:asciiTheme="minorHAnsi" w:hAnsiTheme="minorHAnsi" w:cstheme="minorHAnsi"/>
          <w:iCs/>
          <w:sz w:val="24"/>
        </w:rPr>
        <w:t>extinção de passivos financeiros com instrumentos patrimoniais</w:t>
      </w:r>
      <w:bookmarkEnd w:id="0"/>
      <w:r w:rsidRPr="00273211">
        <w:rPr>
          <w:rFonts w:asciiTheme="minorHAnsi" w:hAnsiTheme="minorHAnsi" w:cstheme="minorHAnsi"/>
          <w:iCs/>
          <w:sz w:val="24"/>
        </w:rPr>
        <w:t>.</w:t>
      </w:r>
    </w:p>
    <w:p w14:paraId="7D45C359" w14:textId="1E9DBECB" w:rsidR="00CF08C5" w:rsidRPr="00273211" w:rsidRDefault="00CF08C5" w:rsidP="00CF08C5">
      <w:pPr>
        <w:pStyle w:val="Corpodetexto2"/>
        <w:spacing w:before="120" w:line="312" w:lineRule="auto"/>
        <w:ind w:firstLine="567"/>
        <w:rPr>
          <w:rFonts w:asciiTheme="minorHAnsi" w:hAnsiTheme="minorHAnsi" w:cstheme="minorHAnsi"/>
          <w:b w:val="0"/>
          <w:bCs w:val="0"/>
          <w:sz w:val="24"/>
        </w:rPr>
      </w:pP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O </w:t>
      </w:r>
      <w:r w:rsidRPr="00273211">
        <w:rPr>
          <w:rFonts w:asciiTheme="minorHAnsi" w:hAnsiTheme="minorHAnsi" w:cstheme="minorHAnsi"/>
          <w:sz w:val="24"/>
        </w:rPr>
        <w:t>PRESIDENTE DA COMISSÃO DE VALORES MOBILIÁRIOS - CVM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 torna público que o Colegiado, em reunião realizada em </w:t>
      </w:r>
      <w:r w:rsidR="00ED41B7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4 de maio 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>de 202</w:t>
      </w:r>
      <w:r w:rsidR="004309FF">
        <w:rPr>
          <w:rFonts w:asciiTheme="minorHAnsi" w:hAnsiTheme="minorHAnsi" w:cstheme="minorHAnsi"/>
          <w:b w:val="0"/>
          <w:bCs w:val="0"/>
          <w:sz w:val="24"/>
          <w:lang w:val="pt-BR"/>
        </w:rPr>
        <w:t>2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, com fundamento nos §§ 3º e 5º do art. 177 da Lei n° 6.404, de 15 de dezembro de 1976, combinados com os incisos II e </w:t>
      </w:r>
      <w:proofErr w:type="spellStart"/>
      <w:r w:rsidRPr="00273211">
        <w:rPr>
          <w:rFonts w:asciiTheme="minorHAnsi" w:hAnsiTheme="minorHAnsi" w:cstheme="minorHAnsi"/>
          <w:b w:val="0"/>
          <w:bCs w:val="0"/>
          <w:sz w:val="24"/>
        </w:rPr>
        <w:t>IV</w:t>
      </w:r>
      <w:proofErr w:type="spellEnd"/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 do § 1° do art. 22 da Lei n° 6.385, de 7 de dezembro de 1976, bem como nos </w:t>
      </w:r>
      <w:proofErr w:type="spellStart"/>
      <w:r w:rsidRPr="00273211">
        <w:rPr>
          <w:rFonts w:asciiTheme="minorHAnsi" w:hAnsiTheme="minorHAnsi" w:cstheme="minorHAnsi"/>
          <w:b w:val="0"/>
          <w:bCs w:val="0"/>
          <w:sz w:val="24"/>
        </w:rPr>
        <w:t>arts</w:t>
      </w:r>
      <w:proofErr w:type="spellEnd"/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. 5º e 14 do Decreto nº 10.139, de 28 de novembro de 2019, </w:t>
      </w:r>
      <w:r w:rsidRPr="00273211">
        <w:rPr>
          <w:rFonts w:asciiTheme="minorHAnsi" w:hAnsiTheme="minorHAnsi" w:cstheme="minorHAnsi"/>
          <w:sz w:val="24"/>
        </w:rPr>
        <w:t>APROVOU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 a seguinte Resolução:</w:t>
      </w:r>
    </w:p>
    <w:p w14:paraId="4EBD8632" w14:textId="2AEF36FC" w:rsidR="00273211" w:rsidRPr="00273211" w:rsidRDefault="00273211" w:rsidP="00273211">
      <w:pPr>
        <w:autoSpaceDE w:val="0"/>
        <w:autoSpaceDN w:val="0"/>
        <w:adjustRightInd w:val="0"/>
        <w:spacing w:before="360" w:line="312" w:lineRule="auto"/>
        <w:ind w:firstLine="567"/>
        <w:rPr>
          <w:rFonts w:asciiTheme="minorHAnsi" w:hAnsiTheme="minorHAnsi" w:cstheme="minorHAnsi"/>
          <w:sz w:val="24"/>
        </w:rPr>
      </w:pPr>
      <w:r w:rsidRPr="00273211">
        <w:rPr>
          <w:rFonts w:asciiTheme="minorHAnsi" w:hAnsiTheme="minorHAnsi" w:cstheme="minorHAnsi"/>
          <w:sz w:val="24"/>
        </w:rPr>
        <w:t>Art. 1º  Torna obrigatóri</w:t>
      </w:r>
      <w:r w:rsidR="00824ACF">
        <w:rPr>
          <w:rFonts w:asciiTheme="minorHAnsi" w:hAnsiTheme="minorHAnsi" w:cstheme="minorHAnsi"/>
          <w:sz w:val="24"/>
        </w:rPr>
        <w:t>a</w:t>
      </w:r>
      <w:r w:rsidRPr="00273211">
        <w:rPr>
          <w:rFonts w:asciiTheme="minorHAnsi" w:hAnsiTheme="minorHAnsi" w:cstheme="minorHAnsi"/>
          <w:sz w:val="24"/>
        </w:rPr>
        <w:t xml:space="preserve"> para as companhias abertas </w:t>
      </w:r>
      <w:r w:rsidR="00824ACF">
        <w:rPr>
          <w:rFonts w:asciiTheme="minorHAnsi" w:hAnsiTheme="minorHAnsi" w:cstheme="minorHAnsi"/>
          <w:sz w:val="24"/>
        </w:rPr>
        <w:t xml:space="preserve">a Interpretação Técnica ICPC </w:t>
      </w:r>
      <w:r w:rsidR="00C43664">
        <w:rPr>
          <w:rFonts w:asciiTheme="minorHAnsi" w:hAnsiTheme="minorHAnsi" w:cstheme="minorHAnsi"/>
          <w:sz w:val="24"/>
        </w:rPr>
        <w:t>16</w:t>
      </w:r>
      <w:r w:rsidR="004309FF" w:rsidRPr="00273211">
        <w:rPr>
          <w:rFonts w:asciiTheme="minorHAnsi" w:hAnsiTheme="minorHAnsi" w:cstheme="minorHAnsi"/>
          <w:sz w:val="24"/>
        </w:rPr>
        <w:t xml:space="preserve">, que trata </w:t>
      </w:r>
      <w:r w:rsidR="004309FF">
        <w:rPr>
          <w:rFonts w:asciiTheme="minorHAnsi" w:hAnsiTheme="minorHAnsi" w:cstheme="minorHAnsi"/>
          <w:sz w:val="24"/>
        </w:rPr>
        <w:t>da</w:t>
      </w:r>
      <w:r w:rsidR="004309FF" w:rsidRPr="00273211">
        <w:rPr>
          <w:rFonts w:asciiTheme="minorHAnsi" w:hAnsiTheme="minorHAnsi" w:cstheme="minorHAnsi"/>
          <w:sz w:val="24"/>
        </w:rPr>
        <w:t xml:space="preserve"> </w:t>
      </w:r>
      <w:r w:rsidR="004309FF">
        <w:rPr>
          <w:rFonts w:asciiTheme="minorHAnsi" w:hAnsiTheme="minorHAnsi" w:cstheme="minorHAnsi"/>
          <w:iCs/>
          <w:sz w:val="24"/>
        </w:rPr>
        <w:t>extinção de passivos financeiros com instrumentos patrimoniais,</w:t>
      </w:r>
      <w:r w:rsidRPr="00273211">
        <w:rPr>
          <w:rFonts w:asciiTheme="minorHAnsi" w:hAnsiTheme="minorHAnsi" w:cstheme="minorHAnsi"/>
          <w:sz w:val="24"/>
        </w:rPr>
        <w:t xml:space="preserve"> emitid</w:t>
      </w:r>
      <w:r w:rsidR="00824ACF">
        <w:rPr>
          <w:rFonts w:asciiTheme="minorHAnsi" w:hAnsiTheme="minorHAnsi" w:cstheme="minorHAnsi"/>
          <w:sz w:val="24"/>
        </w:rPr>
        <w:t>a</w:t>
      </w:r>
      <w:r w:rsidRPr="00273211">
        <w:rPr>
          <w:rFonts w:asciiTheme="minorHAnsi" w:hAnsiTheme="minorHAnsi" w:cstheme="minorHAnsi"/>
          <w:sz w:val="24"/>
        </w:rPr>
        <w:t xml:space="preserve"> pelo Comitê de Pronunciamentos Contábeis </w:t>
      </w:r>
      <w:r w:rsidR="001969E7">
        <w:rPr>
          <w:rFonts w:asciiTheme="minorHAnsi" w:hAnsiTheme="minorHAnsi" w:cstheme="minorHAnsi"/>
          <w:sz w:val="24"/>
        </w:rPr>
        <w:t xml:space="preserve">– </w:t>
      </w:r>
      <w:r w:rsidRPr="00273211">
        <w:rPr>
          <w:rFonts w:asciiTheme="minorHAnsi" w:hAnsiTheme="minorHAnsi" w:cstheme="minorHAnsi"/>
          <w:sz w:val="24"/>
        </w:rPr>
        <w:t>CPC</w:t>
      </w:r>
      <w:r w:rsidR="001969E7" w:rsidRPr="001969E7">
        <w:rPr>
          <w:rFonts w:asciiTheme="minorHAnsi" w:hAnsiTheme="minorHAnsi" w:cstheme="minorHAnsi"/>
          <w:sz w:val="24"/>
        </w:rPr>
        <w:t>, conforme consolidad</w:t>
      </w:r>
      <w:r w:rsidR="001969E7">
        <w:rPr>
          <w:rFonts w:asciiTheme="minorHAnsi" w:hAnsiTheme="minorHAnsi" w:cstheme="minorHAnsi"/>
          <w:sz w:val="24"/>
        </w:rPr>
        <w:t>a</w:t>
      </w:r>
      <w:r w:rsidR="001969E7" w:rsidRPr="001969E7">
        <w:rPr>
          <w:rFonts w:asciiTheme="minorHAnsi" w:hAnsiTheme="minorHAnsi" w:cstheme="minorHAnsi"/>
          <w:sz w:val="24"/>
        </w:rPr>
        <w:t xml:space="preserve"> no Anexo “A” à presente Resolução</w:t>
      </w:r>
      <w:r w:rsidRPr="00273211">
        <w:rPr>
          <w:rFonts w:asciiTheme="minorHAnsi" w:hAnsiTheme="minorHAnsi" w:cstheme="minorHAnsi"/>
          <w:sz w:val="24"/>
        </w:rPr>
        <w:t>.</w:t>
      </w:r>
    </w:p>
    <w:p w14:paraId="4E2C13E3" w14:textId="6033B04A" w:rsidR="00273211" w:rsidRPr="00273211" w:rsidRDefault="00273211" w:rsidP="00273211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273211">
        <w:rPr>
          <w:rFonts w:asciiTheme="minorHAnsi" w:hAnsiTheme="minorHAnsi" w:cstheme="minorHAnsi"/>
          <w:sz w:val="24"/>
        </w:rPr>
        <w:t xml:space="preserve">Art. 2º  </w:t>
      </w:r>
      <w:r w:rsidRPr="00273211">
        <w:rPr>
          <w:rFonts w:asciiTheme="minorHAnsi" w:hAnsiTheme="minorHAnsi" w:cstheme="minorHAnsi"/>
          <w:color w:val="000000" w:themeColor="text1"/>
          <w:sz w:val="24"/>
        </w:rPr>
        <w:t xml:space="preserve">Fica revogada a Deliberação </w:t>
      </w:r>
      <w:r w:rsidR="00D410C6">
        <w:rPr>
          <w:rFonts w:asciiTheme="minorHAnsi" w:hAnsiTheme="minorHAnsi" w:cstheme="minorHAnsi"/>
          <w:color w:val="000000" w:themeColor="text1"/>
          <w:sz w:val="24"/>
        </w:rPr>
        <w:t xml:space="preserve">CVM nº </w:t>
      </w:r>
      <w:r w:rsidR="00787654">
        <w:rPr>
          <w:rFonts w:asciiTheme="minorHAnsi" w:hAnsiTheme="minorHAnsi" w:cstheme="minorHAnsi"/>
          <w:color w:val="000000" w:themeColor="text1"/>
          <w:sz w:val="24"/>
        </w:rPr>
        <w:t>652</w:t>
      </w:r>
      <w:r w:rsidRPr="00273211">
        <w:rPr>
          <w:rFonts w:asciiTheme="minorHAnsi" w:hAnsiTheme="minorHAnsi" w:cstheme="minorHAnsi"/>
          <w:color w:val="000000" w:themeColor="text1"/>
          <w:sz w:val="24"/>
        </w:rPr>
        <w:t xml:space="preserve">, de </w:t>
      </w:r>
      <w:r w:rsidR="00701F9E">
        <w:rPr>
          <w:rFonts w:asciiTheme="minorHAnsi" w:hAnsiTheme="minorHAnsi" w:cstheme="minorHAnsi"/>
          <w:color w:val="000000" w:themeColor="text1"/>
          <w:sz w:val="24"/>
        </w:rPr>
        <w:t>16</w:t>
      </w:r>
      <w:r w:rsidRPr="00273211">
        <w:rPr>
          <w:rFonts w:asciiTheme="minorHAnsi" w:hAnsiTheme="minorHAnsi" w:cstheme="minorHAnsi"/>
          <w:color w:val="000000" w:themeColor="text1"/>
          <w:sz w:val="24"/>
        </w:rPr>
        <w:t xml:space="preserve"> de </w:t>
      </w:r>
      <w:r w:rsidR="00701F9E">
        <w:rPr>
          <w:rFonts w:asciiTheme="minorHAnsi" w:hAnsiTheme="minorHAnsi" w:cstheme="minorHAnsi"/>
          <w:color w:val="000000" w:themeColor="text1"/>
          <w:sz w:val="24"/>
        </w:rPr>
        <w:t>dezembro</w:t>
      </w:r>
      <w:r w:rsidRPr="00273211">
        <w:rPr>
          <w:rFonts w:asciiTheme="minorHAnsi" w:hAnsiTheme="minorHAnsi" w:cstheme="minorHAnsi"/>
          <w:color w:val="000000" w:themeColor="text1"/>
          <w:sz w:val="24"/>
        </w:rPr>
        <w:t xml:space="preserve"> de 20</w:t>
      </w:r>
      <w:r w:rsidR="00701F9E">
        <w:rPr>
          <w:rFonts w:asciiTheme="minorHAnsi" w:hAnsiTheme="minorHAnsi" w:cstheme="minorHAnsi"/>
          <w:color w:val="000000" w:themeColor="text1"/>
          <w:sz w:val="24"/>
        </w:rPr>
        <w:t>10</w:t>
      </w:r>
      <w:r w:rsidR="001969E7" w:rsidRPr="001969E7">
        <w:rPr>
          <w:rFonts w:asciiTheme="minorHAnsi" w:hAnsiTheme="minorHAnsi" w:cstheme="minorHAnsi"/>
          <w:color w:val="000000" w:themeColor="text1"/>
          <w:sz w:val="24"/>
        </w:rPr>
        <w:t>, a partir da vigência desta Resolução</w:t>
      </w:r>
      <w:r w:rsidRPr="00273211">
        <w:rPr>
          <w:rFonts w:asciiTheme="minorHAnsi" w:hAnsiTheme="minorHAnsi" w:cstheme="minorHAnsi"/>
          <w:sz w:val="24"/>
        </w:rPr>
        <w:t>.</w:t>
      </w:r>
    </w:p>
    <w:p w14:paraId="7C1D6C73" w14:textId="6E51B7DF" w:rsidR="00273211" w:rsidRPr="00273211" w:rsidRDefault="00273211" w:rsidP="00273211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273211">
        <w:rPr>
          <w:rFonts w:asciiTheme="minorHAnsi" w:hAnsiTheme="minorHAnsi" w:cstheme="minorHAnsi"/>
          <w:sz w:val="24"/>
        </w:rPr>
        <w:t xml:space="preserve">Art. 3º  </w:t>
      </w:r>
      <w:r w:rsidR="001969E7" w:rsidRPr="001969E7">
        <w:rPr>
          <w:rFonts w:asciiTheme="minorHAnsi" w:hAnsiTheme="minorHAnsi" w:cstheme="minorHAnsi"/>
          <w:sz w:val="24"/>
        </w:rPr>
        <w:t>Esta Resolução entra em vigor em 1º de julho de 2022</w:t>
      </w:r>
      <w:r w:rsidRPr="00273211">
        <w:rPr>
          <w:rFonts w:asciiTheme="minorHAnsi" w:hAnsiTheme="minorHAnsi" w:cstheme="minorHAnsi"/>
          <w:sz w:val="24"/>
        </w:rPr>
        <w:t>.</w:t>
      </w:r>
    </w:p>
    <w:p w14:paraId="4E886EE9" w14:textId="5FF432C1" w:rsidR="00A21437" w:rsidRPr="00A92033" w:rsidRDefault="00A21437">
      <w:pPr>
        <w:spacing w:before="0" w:after="160" w:line="259" w:lineRule="auto"/>
        <w:jc w:val="left"/>
        <w:rPr>
          <w:rFonts w:cs="Arial"/>
          <w:sz w:val="24"/>
        </w:rPr>
      </w:pPr>
    </w:p>
    <w:p w14:paraId="224E36B0" w14:textId="77777777" w:rsidR="00A92033" w:rsidRPr="00A92033" w:rsidRDefault="00A92033" w:rsidP="00A92033">
      <w:pPr>
        <w:jc w:val="center"/>
        <w:rPr>
          <w:rFonts w:asciiTheme="minorHAnsi" w:hAnsiTheme="minorHAnsi" w:cstheme="minorHAnsi"/>
          <w:i/>
          <w:iCs/>
          <w:color w:val="000000"/>
          <w:sz w:val="24"/>
        </w:rPr>
      </w:pPr>
      <w:r w:rsidRPr="00A92033">
        <w:rPr>
          <w:rFonts w:asciiTheme="minorHAnsi" w:hAnsiTheme="minorHAnsi" w:cstheme="minorHAnsi"/>
          <w:i/>
          <w:iCs/>
          <w:color w:val="000000"/>
          <w:sz w:val="24"/>
        </w:rPr>
        <w:t>Assinado eletronicamente por</w:t>
      </w:r>
    </w:p>
    <w:p w14:paraId="2D94B5D6" w14:textId="77777777" w:rsidR="00A92033" w:rsidRPr="00A92033" w:rsidRDefault="00A92033" w:rsidP="00A92033">
      <w:pPr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 w:rsidRPr="00A92033">
        <w:rPr>
          <w:rFonts w:asciiTheme="minorHAnsi" w:hAnsiTheme="minorHAnsi" w:cstheme="minorHAnsi"/>
          <w:b/>
          <w:bCs/>
          <w:color w:val="000000"/>
          <w:sz w:val="24"/>
        </w:rPr>
        <w:t>Marcelo Barbosa</w:t>
      </w:r>
    </w:p>
    <w:p w14:paraId="3D10998D" w14:textId="77777777" w:rsidR="00A92033" w:rsidRPr="00A92033" w:rsidRDefault="00A92033" w:rsidP="00A92033">
      <w:pPr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 w:rsidRPr="00A92033">
        <w:rPr>
          <w:rFonts w:asciiTheme="minorHAnsi" w:hAnsiTheme="minorHAnsi" w:cstheme="minorHAnsi"/>
          <w:b/>
          <w:bCs/>
          <w:color w:val="000000"/>
          <w:sz w:val="24"/>
        </w:rPr>
        <w:t>Presidente</w:t>
      </w:r>
    </w:p>
    <w:p w14:paraId="69D71F89" w14:textId="77777777" w:rsidR="00CF08C5" w:rsidRPr="00A92033" w:rsidRDefault="00CF08C5">
      <w:pPr>
        <w:spacing w:before="0" w:after="160" w:line="259" w:lineRule="auto"/>
        <w:jc w:val="left"/>
        <w:rPr>
          <w:rFonts w:cs="Arial"/>
          <w:sz w:val="24"/>
        </w:rPr>
      </w:pPr>
    </w:p>
    <w:p w14:paraId="74B88778" w14:textId="770323FC" w:rsidR="00DF62F3" w:rsidRDefault="00DF62F3">
      <w:pPr>
        <w:spacing w:before="0" w:after="160" w:line="259" w:lineRule="auto"/>
        <w:jc w:val="left"/>
        <w:rPr>
          <w:rFonts w:cs="Arial"/>
          <w:b/>
          <w:sz w:val="22"/>
          <w:szCs w:val="22"/>
          <w:lang w:val="pt-BR"/>
        </w:rPr>
      </w:pPr>
      <w:r>
        <w:rPr>
          <w:rFonts w:cs="Arial"/>
          <w:b/>
          <w:sz w:val="22"/>
          <w:szCs w:val="22"/>
          <w:lang w:val="pt-BR"/>
        </w:rPr>
        <w:br w:type="page"/>
      </w:r>
    </w:p>
    <w:p w14:paraId="3416F108" w14:textId="1D2537CD" w:rsidR="00195AB7" w:rsidRDefault="00195AB7" w:rsidP="00970463">
      <w:pPr>
        <w:spacing w:before="0" w:after="0"/>
        <w:jc w:val="center"/>
        <w:outlineLvl w:val="0"/>
        <w:rPr>
          <w:rFonts w:cs="Arial"/>
          <w:b/>
          <w:sz w:val="22"/>
          <w:szCs w:val="22"/>
          <w:lang w:val="pt-BR"/>
        </w:rPr>
      </w:pPr>
      <w:r w:rsidRPr="00195AB7">
        <w:rPr>
          <w:rFonts w:cs="Arial"/>
          <w:b/>
          <w:sz w:val="22"/>
          <w:szCs w:val="22"/>
          <w:lang w:val="pt-BR"/>
        </w:rPr>
        <w:lastRenderedPageBreak/>
        <w:t>ANEXO “A”</w:t>
      </w:r>
    </w:p>
    <w:p w14:paraId="27B1A071" w14:textId="77777777" w:rsidR="00195AB7" w:rsidRDefault="00195AB7" w:rsidP="00970463">
      <w:pPr>
        <w:spacing w:before="0" w:after="0"/>
        <w:jc w:val="center"/>
        <w:outlineLvl w:val="0"/>
        <w:rPr>
          <w:rFonts w:cs="Arial"/>
          <w:b/>
          <w:sz w:val="22"/>
          <w:szCs w:val="22"/>
          <w:lang w:val="pt-BR"/>
        </w:rPr>
      </w:pPr>
    </w:p>
    <w:p w14:paraId="12112A11" w14:textId="6F298A75" w:rsidR="00970463" w:rsidRPr="00970463" w:rsidRDefault="00970463" w:rsidP="00970463">
      <w:pPr>
        <w:spacing w:before="0" w:after="0"/>
        <w:jc w:val="center"/>
        <w:outlineLvl w:val="0"/>
        <w:rPr>
          <w:rFonts w:cs="Arial"/>
          <w:b/>
          <w:sz w:val="22"/>
          <w:szCs w:val="22"/>
          <w:lang w:val="pt-BR"/>
        </w:rPr>
      </w:pPr>
      <w:bookmarkStart w:id="1" w:name="_GoBack"/>
      <w:bookmarkEnd w:id="1"/>
      <w:r w:rsidRPr="00970463">
        <w:rPr>
          <w:rFonts w:cs="Arial"/>
          <w:b/>
          <w:sz w:val="22"/>
          <w:szCs w:val="22"/>
          <w:lang w:val="pt-BR"/>
        </w:rPr>
        <w:t>COMITÊ DE PRONUNCIAMENTOS CONTÁBEIS</w:t>
      </w:r>
    </w:p>
    <w:p w14:paraId="37879A61" w14:textId="77777777" w:rsidR="00970463" w:rsidRPr="00970463" w:rsidRDefault="00970463" w:rsidP="00970463">
      <w:pPr>
        <w:spacing w:before="0" w:after="0"/>
        <w:jc w:val="center"/>
        <w:outlineLvl w:val="0"/>
        <w:rPr>
          <w:rFonts w:cs="Arial"/>
          <w:b/>
          <w:sz w:val="22"/>
          <w:szCs w:val="22"/>
          <w:lang w:val="pt-BR"/>
        </w:rPr>
      </w:pPr>
    </w:p>
    <w:p w14:paraId="683A4AA9" w14:textId="77777777" w:rsidR="00970463" w:rsidRPr="004309FF" w:rsidRDefault="00970463" w:rsidP="00970463">
      <w:pPr>
        <w:spacing w:before="0" w:after="0"/>
        <w:jc w:val="center"/>
        <w:outlineLvl w:val="0"/>
        <w:rPr>
          <w:rFonts w:cs="Arial"/>
          <w:b/>
          <w:sz w:val="22"/>
          <w:szCs w:val="22"/>
          <w:lang w:val="pt-BR"/>
        </w:rPr>
      </w:pPr>
      <w:r w:rsidRPr="004309FF">
        <w:rPr>
          <w:rFonts w:cs="Arial"/>
          <w:b/>
          <w:sz w:val="22"/>
          <w:szCs w:val="22"/>
          <w:lang w:val="pt-BR"/>
        </w:rPr>
        <w:t xml:space="preserve">INTERPRETAÇÃO TÉCNICA </w:t>
      </w:r>
      <w:proofErr w:type="spellStart"/>
      <w:r w:rsidRPr="004309FF">
        <w:rPr>
          <w:rFonts w:cs="Arial"/>
          <w:b/>
          <w:sz w:val="22"/>
          <w:szCs w:val="22"/>
          <w:lang w:val="pt-BR"/>
        </w:rPr>
        <w:t>ICPC</w:t>
      </w:r>
      <w:proofErr w:type="spellEnd"/>
      <w:r w:rsidRPr="004309FF">
        <w:rPr>
          <w:rFonts w:cs="Arial"/>
          <w:b/>
          <w:sz w:val="22"/>
          <w:szCs w:val="22"/>
          <w:lang w:val="pt-BR"/>
        </w:rPr>
        <w:t xml:space="preserve"> 16</w:t>
      </w:r>
    </w:p>
    <w:p w14:paraId="1F4F23EB" w14:textId="77777777" w:rsidR="00970463" w:rsidRPr="00970463" w:rsidRDefault="00970463" w:rsidP="00970463">
      <w:pPr>
        <w:spacing w:before="0" w:after="0"/>
        <w:jc w:val="center"/>
        <w:outlineLvl w:val="0"/>
        <w:rPr>
          <w:rFonts w:cs="Arial"/>
          <w:b/>
          <w:sz w:val="22"/>
          <w:szCs w:val="22"/>
          <w:lang w:val="pt-BR"/>
        </w:rPr>
      </w:pPr>
    </w:p>
    <w:p w14:paraId="3A219EC7" w14:textId="77777777" w:rsidR="00970463" w:rsidRPr="00970463" w:rsidRDefault="00970463" w:rsidP="00970463">
      <w:pPr>
        <w:spacing w:before="0" w:after="0"/>
        <w:jc w:val="center"/>
        <w:outlineLvl w:val="0"/>
        <w:rPr>
          <w:rFonts w:cs="Arial"/>
          <w:b/>
          <w:bCs/>
          <w:sz w:val="22"/>
          <w:szCs w:val="22"/>
        </w:rPr>
      </w:pPr>
      <w:r w:rsidRPr="00970463">
        <w:rPr>
          <w:rFonts w:cs="Arial"/>
          <w:b/>
          <w:bCs/>
          <w:sz w:val="22"/>
          <w:szCs w:val="22"/>
        </w:rPr>
        <w:t>EXTINÇÃO DE PASSIVOS FINANCEIROS COM INSTRUMENTOS PATRIMONIAIS</w:t>
      </w:r>
    </w:p>
    <w:p w14:paraId="36D4F8CF" w14:textId="77777777" w:rsidR="00970463" w:rsidRPr="00970463" w:rsidRDefault="00970463" w:rsidP="00970463">
      <w:pPr>
        <w:spacing w:before="0" w:after="0"/>
        <w:jc w:val="center"/>
        <w:outlineLvl w:val="0"/>
        <w:rPr>
          <w:rFonts w:cs="Arial"/>
          <w:b/>
          <w:sz w:val="22"/>
          <w:szCs w:val="22"/>
        </w:rPr>
      </w:pPr>
    </w:p>
    <w:p w14:paraId="2359DFBD" w14:textId="77777777" w:rsidR="00970463" w:rsidRPr="00970463" w:rsidRDefault="00970463" w:rsidP="00970463">
      <w:pPr>
        <w:spacing w:before="0" w:after="0"/>
        <w:jc w:val="center"/>
        <w:outlineLvl w:val="0"/>
        <w:rPr>
          <w:rFonts w:cs="Arial"/>
          <w:b/>
          <w:bCs/>
          <w:sz w:val="22"/>
          <w:szCs w:val="22"/>
        </w:rPr>
      </w:pPr>
      <w:r w:rsidRPr="00970463">
        <w:rPr>
          <w:rFonts w:cs="Arial"/>
          <w:b/>
          <w:bCs/>
          <w:sz w:val="22"/>
          <w:szCs w:val="22"/>
        </w:rPr>
        <w:t>Correlação às Normas Internacionais de Contabilidade – IFRIC 19</w:t>
      </w:r>
    </w:p>
    <w:p w14:paraId="49E91486" w14:textId="77777777" w:rsidR="00970463" w:rsidRPr="004309FF" w:rsidRDefault="00970463" w:rsidP="00970463">
      <w:pPr>
        <w:spacing w:before="0" w:after="0"/>
        <w:rPr>
          <w:rFonts w:cs="Arial"/>
          <w:sz w:val="22"/>
          <w:szCs w:val="22"/>
        </w:rPr>
      </w:pPr>
    </w:p>
    <w:tbl>
      <w:tblPr>
        <w:tblW w:w="72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992"/>
      </w:tblGrid>
      <w:tr w:rsidR="00970463" w:rsidRPr="00970463" w14:paraId="7806601A" w14:textId="77777777" w:rsidTr="00967CDC">
        <w:tc>
          <w:tcPr>
            <w:tcW w:w="6237" w:type="dxa"/>
          </w:tcPr>
          <w:p w14:paraId="0DC541BC" w14:textId="77777777" w:rsidR="00970463" w:rsidRPr="00970463" w:rsidRDefault="00970463" w:rsidP="00970463">
            <w:pPr>
              <w:spacing w:before="60" w:after="60"/>
              <w:jc w:val="left"/>
              <w:rPr>
                <w:rFonts w:cs="Arial"/>
                <w:bCs/>
                <w:kern w:val="36"/>
                <w:sz w:val="22"/>
                <w:szCs w:val="22"/>
                <w:lang w:val="pt-BR"/>
              </w:rPr>
            </w:pPr>
            <w:r w:rsidRPr="00970463">
              <w:rPr>
                <w:rFonts w:cs="Arial"/>
                <w:bCs/>
                <w:kern w:val="36"/>
                <w:sz w:val="22"/>
                <w:szCs w:val="22"/>
                <w:lang w:val="pt-BR"/>
              </w:rPr>
              <w:t>Índice</w:t>
            </w:r>
          </w:p>
        </w:tc>
        <w:tc>
          <w:tcPr>
            <w:tcW w:w="992" w:type="dxa"/>
          </w:tcPr>
          <w:p w14:paraId="63776FBC" w14:textId="77777777" w:rsidR="00970463" w:rsidRPr="00970463" w:rsidRDefault="00970463" w:rsidP="00970463">
            <w:pPr>
              <w:spacing w:before="60" w:after="60"/>
              <w:jc w:val="center"/>
              <w:rPr>
                <w:rFonts w:cs="Arial"/>
                <w:bCs/>
                <w:kern w:val="36"/>
                <w:sz w:val="22"/>
                <w:szCs w:val="22"/>
                <w:lang w:val="pt-BR"/>
              </w:rPr>
            </w:pPr>
            <w:r w:rsidRPr="00970463">
              <w:rPr>
                <w:rFonts w:cs="Arial"/>
                <w:bCs/>
                <w:kern w:val="36"/>
                <w:sz w:val="22"/>
                <w:szCs w:val="22"/>
                <w:lang w:val="pt-BR"/>
              </w:rPr>
              <w:t>Item</w:t>
            </w:r>
          </w:p>
        </w:tc>
      </w:tr>
      <w:tr w:rsidR="00970463" w:rsidRPr="00970463" w14:paraId="72855402" w14:textId="77777777" w:rsidTr="00967CDC">
        <w:tc>
          <w:tcPr>
            <w:tcW w:w="6237" w:type="dxa"/>
          </w:tcPr>
          <w:p w14:paraId="27A1B95C" w14:textId="77777777" w:rsidR="00970463" w:rsidRPr="00970463" w:rsidRDefault="00970463" w:rsidP="00970463">
            <w:pPr>
              <w:spacing w:before="60" w:after="60"/>
              <w:jc w:val="left"/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</w:pPr>
            <w:r w:rsidRPr="00970463"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  <w:t>REFERÊNCIAS</w:t>
            </w:r>
          </w:p>
        </w:tc>
        <w:tc>
          <w:tcPr>
            <w:tcW w:w="992" w:type="dxa"/>
          </w:tcPr>
          <w:p w14:paraId="0250D844" w14:textId="77777777" w:rsidR="00970463" w:rsidRPr="00970463" w:rsidRDefault="00970463" w:rsidP="00970463">
            <w:pPr>
              <w:spacing w:before="60" w:after="60"/>
              <w:jc w:val="center"/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</w:pPr>
          </w:p>
        </w:tc>
      </w:tr>
      <w:tr w:rsidR="00970463" w:rsidRPr="00970463" w14:paraId="00AA4AC6" w14:textId="77777777" w:rsidTr="00967CDC">
        <w:tc>
          <w:tcPr>
            <w:tcW w:w="6237" w:type="dxa"/>
          </w:tcPr>
          <w:p w14:paraId="7FF4D07A" w14:textId="77777777" w:rsidR="00970463" w:rsidRPr="00970463" w:rsidRDefault="00970463" w:rsidP="00970463">
            <w:pPr>
              <w:spacing w:before="60" w:after="60"/>
              <w:jc w:val="left"/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</w:pPr>
            <w:r w:rsidRPr="00970463"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  <w:t>ANTECEDENTES</w:t>
            </w:r>
          </w:p>
        </w:tc>
        <w:tc>
          <w:tcPr>
            <w:tcW w:w="992" w:type="dxa"/>
          </w:tcPr>
          <w:p w14:paraId="6DEEE3E9" w14:textId="77777777" w:rsidR="00970463" w:rsidRPr="00970463" w:rsidRDefault="00970463" w:rsidP="00970463">
            <w:pPr>
              <w:spacing w:before="60" w:after="60"/>
              <w:jc w:val="center"/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</w:pPr>
            <w:r w:rsidRPr="00970463"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  <w:t>1</w:t>
            </w:r>
          </w:p>
        </w:tc>
      </w:tr>
      <w:tr w:rsidR="00970463" w:rsidRPr="00970463" w14:paraId="3E43A3C7" w14:textId="77777777" w:rsidTr="00967CDC">
        <w:tc>
          <w:tcPr>
            <w:tcW w:w="6237" w:type="dxa"/>
          </w:tcPr>
          <w:p w14:paraId="20033B6A" w14:textId="77777777" w:rsidR="00970463" w:rsidRPr="00970463" w:rsidRDefault="00970463" w:rsidP="00970463">
            <w:pPr>
              <w:spacing w:before="60" w:after="60"/>
              <w:jc w:val="left"/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</w:pPr>
            <w:r w:rsidRPr="00970463"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  <w:t>ALCANCE</w:t>
            </w:r>
          </w:p>
        </w:tc>
        <w:tc>
          <w:tcPr>
            <w:tcW w:w="992" w:type="dxa"/>
          </w:tcPr>
          <w:p w14:paraId="370B0ECD" w14:textId="77777777" w:rsidR="00970463" w:rsidRPr="00970463" w:rsidRDefault="00970463" w:rsidP="00970463">
            <w:pPr>
              <w:spacing w:before="60" w:after="60"/>
              <w:jc w:val="center"/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</w:pPr>
            <w:r w:rsidRPr="00970463"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  <w:t>2 – 3</w:t>
            </w:r>
          </w:p>
        </w:tc>
      </w:tr>
      <w:tr w:rsidR="00970463" w:rsidRPr="00970463" w14:paraId="128845D8" w14:textId="77777777" w:rsidTr="00967CDC">
        <w:tc>
          <w:tcPr>
            <w:tcW w:w="6237" w:type="dxa"/>
          </w:tcPr>
          <w:p w14:paraId="43EEEE99" w14:textId="77777777" w:rsidR="00970463" w:rsidRPr="00970463" w:rsidRDefault="00970463" w:rsidP="00970463">
            <w:pPr>
              <w:spacing w:before="60" w:after="60"/>
              <w:jc w:val="left"/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</w:pPr>
            <w:r w:rsidRPr="00970463"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  <w:t>QUESTÕES</w:t>
            </w:r>
          </w:p>
        </w:tc>
        <w:tc>
          <w:tcPr>
            <w:tcW w:w="992" w:type="dxa"/>
            <w:vAlign w:val="center"/>
          </w:tcPr>
          <w:p w14:paraId="40442D3D" w14:textId="77777777" w:rsidR="00970463" w:rsidRPr="00970463" w:rsidRDefault="00970463" w:rsidP="00970463">
            <w:pPr>
              <w:spacing w:before="60" w:after="60"/>
              <w:jc w:val="center"/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</w:pPr>
            <w:r w:rsidRPr="00970463"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  <w:t>4</w:t>
            </w:r>
          </w:p>
        </w:tc>
      </w:tr>
      <w:tr w:rsidR="00970463" w:rsidRPr="00970463" w14:paraId="788B302A" w14:textId="77777777" w:rsidTr="00967CDC">
        <w:tc>
          <w:tcPr>
            <w:tcW w:w="6237" w:type="dxa"/>
          </w:tcPr>
          <w:p w14:paraId="10EC2A4A" w14:textId="77777777" w:rsidR="00970463" w:rsidRPr="00970463" w:rsidRDefault="00970463" w:rsidP="00970463">
            <w:pPr>
              <w:spacing w:before="60" w:after="60"/>
              <w:jc w:val="left"/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</w:pPr>
            <w:r w:rsidRPr="00970463"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  <w:t>CONSENSO</w:t>
            </w:r>
          </w:p>
        </w:tc>
        <w:tc>
          <w:tcPr>
            <w:tcW w:w="992" w:type="dxa"/>
            <w:vAlign w:val="center"/>
          </w:tcPr>
          <w:p w14:paraId="4F1F22E9" w14:textId="77777777" w:rsidR="00970463" w:rsidRPr="00970463" w:rsidRDefault="00970463" w:rsidP="00970463">
            <w:pPr>
              <w:spacing w:before="60" w:after="60"/>
              <w:jc w:val="center"/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</w:pPr>
            <w:r w:rsidRPr="00970463"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  <w:t>5 – 11</w:t>
            </w:r>
          </w:p>
        </w:tc>
      </w:tr>
      <w:tr w:rsidR="00970463" w:rsidRPr="00970463" w14:paraId="5B49639D" w14:textId="77777777" w:rsidTr="00967CDC">
        <w:tc>
          <w:tcPr>
            <w:tcW w:w="6237" w:type="dxa"/>
          </w:tcPr>
          <w:p w14:paraId="0EC3AE33" w14:textId="77777777" w:rsidR="00970463" w:rsidRPr="00970463" w:rsidRDefault="00970463" w:rsidP="00970463">
            <w:pPr>
              <w:spacing w:before="60" w:after="60"/>
              <w:jc w:val="left"/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</w:pPr>
            <w:r w:rsidRPr="00970463"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  <w:t>DATA DE TRANSIÇÃO</w:t>
            </w:r>
          </w:p>
        </w:tc>
        <w:tc>
          <w:tcPr>
            <w:tcW w:w="992" w:type="dxa"/>
            <w:vAlign w:val="center"/>
          </w:tcPr>
          <w:p w14:paraId="03FEA695" w14:textId="77777777" w:rsidR="00970463" w:rsidRPr="00970463" w:rsidRDefault="00970463" w:rsidP="00970463">
            <w:pPr>
              <w:spacing w:before="60" w:after="60"/>
              <w:jc w:val="center"/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</w:pPr>
            <w:r w:rsidRPr="00970463">
              <w:rPr>
                <w:rFonts w:cs="Arial"/>
                <w:b/>
                <w:bCs/>
                <w:kern w:val="36"/>
                <w:sz w:val="22"/>
                <w:szCs w:val="22"/>
                <w:lang w:val="pt-BR"/>
              </w:rPr>
              <w:t>12 – 13</w:t>
            </w:r>
          </w:p>
        </w:tc>
      </w:tr>
    </w:tbl>
    <w:p w14:paraId="297F74CC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rPr>
          <w:rFonts w:cs="Arial"/>
          <w:b/>
          <w:sz w:val="22"/>
          <w:szCs w:val="22"/>
          <w:lang w:val="pt-BR"/>
        </w:rPr>
      </w:pPr>
    </w:p>
    <w:p w14:paraId="19B08C21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rPr>
          <w:rFonts w:cs="Arial"/>
          <w:b/>
          <w:sz w:val="22"/>
          <w:szCs w:val="22"/>
          <w:lang w:val="pt-BR"/>
        </w:rPr>
      </w:pPr>
    </w:p>
    <w:p w14:paraId="715F5C37" w14:textId="7F6C00C2" w:rsidR="00970463" w:rsidRDefault="00970463" w:rsidP="00970463">
      <w:pPr>
        <w:widowControl w:val="0"/>
        <w:tabs>
          <w:tab w:val="left" w:pos="6804"/>
        </w:tabs>
        <w:spacing w:before="0" w:after="0"/>
        <w:rPr>
          <w:rFonts w:cs="Arial"/>
          <w:b/>
          <w:sz w:val="22"/>
          <w:szCs w:val="22"/>
          <w:lang w:val="pt-BR"/>
        </w:rPr>
      </w:pPr>
    </w:p>
    <w:p w14:paraId="24FC958C" w14:textId="7847B107" w:rsidR="00970463" w:rsidRPr="00970463" w:rsidRDefault="00970463" w:rsidP="00970463">
      <w:pPr>
        <w:widowControl w:val="0"/>
        <w:tabs>
          <w:tab w:val="left" w:pos="6804"/>
        </w:tabs>
        <w:spacing w:before="0" w:after="0"/>
        <w:rPr>
          <w:rFonts w:cs="Arial"/>
          <w:b/>
          <w:sz w:val="22"/>
          <w:szCs w:val="22"/>
          <w:lang w:val="pt-BR"/>
        </w:rPr>
      </w:pPr>
      <w:r w:rsidRPr="00970463">
        <w:rPr>
          <w:rFonts w:cs="Arial"/>
          <w:b/>
          <w:sz w:val="22"/>
          <w:szCs w:val="22"/>
          <w:lang w:val="pt-BR"/>
        </w:rPr>
        <w:t>Referências</w:t>
      </w:r>
    </w:p>
    <w:p w14:paraId="0901E13F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ind w:left="57"/>
        <w:rPr>
          <w:rFonts w:cs="Arial"/>
          <w:b/>
          <w:sz w:val="22"/>
          <w:szCs w:val="22"/>
          <w:lang w:val="pt-BR"/>
        </w:rPr>
      </w:pPr>
    </w:p>
    <w:p w14:paraId="1139B145" w14:textId="34DA778E" w:rsidR="00970463" w:rsidRPr="00970463" w:rsidRDefault="00970463" w:rsidP="00970463">
      <w:pPr>
        <w:widowControl w:val="0"/>
        <w:numPr>
          <w:ilvl w:val="0"/>
          <w:numId w:val="2"/>
        </w:numPr>
        <w:spacing w:before="0" w:after="0" w:line="250" w:lineRule="auto"/>
        <w:ind w:right="57"/>
        <w:rPr>
          <w:rFonts w:cs="Arial"/>
          <w:sz w:val="22"/>
          <w:szCs w:val="22"/>
          <w:lang w:val="pt-BR"/>
        </w:rPr>
      </w:pPr>
      <w:r w:rsidRPr="00970463">
        <w:rPr>
          <w:rFonts w:cs="Arial"/>
          <w:sz w:val="22"/>
          <w:szCs w:val="22"/>
        </w:rPr>
        <w:t xml:space="preserve">CPC 00 – Estrutura Conceitual para Relatório Financeiro </w:t>
      </w:r>
    </w:p>
    <w:p w14:paraId="6D5258BD" w14:textId="77777777" w:rsidR="00970463" w:rsidRPr="00970463" w:rsidRDefault="00970463" w:rsidP="00970463">
      <w:pPr>
        <w:widowControl w:val="0"/>
        <w:numPr>
          <w:ilvl w:val="0"/>
          <w:numId w:val="2"/>
        </w:numPr>
        <w:spacing w:before="0" w:after="0"/>
        <w:rPr>
          <w:rFonts w:cs="Arial"/>
          <w:color w:val="000000"/>
          <w:sz w:val="22"/>
          <w:szCs w:val="22"/>
          <w:lang w:val="pt-BR"/>
        </w:rPr>
      </w:pPr>
      <w:r w:rsidRPr="00970463">
        <w:rPr>
          <w:rFonts w:cs="Arial"/>
          <w:color w:val="000000"/>
          <w:sz w:val="22"/>
          <w:szCs w:val="22"/>
          <w:lang w:val="pt-BR"/>
        </w:rPr>
        <w:t>CPC 10 – Pagamento Baseado em Ações</w:t>
      </w:r>
    </w:p>
    <w:p w14:paraId="0B233F1A" w14:textId="77777777" w:rsidR="00970463" w:rsidRPr="00970463" w:rsidRDefault="00970463" w:rsidP="00970463">
      <w:pPr>
        <w:widowControl w:val="0"/>
        <w:numPr>
          <w:ilvl w:val="0"/>
          <w:numId w:val="2"/>
        </w:numPr>
        <w:spacing w:before="0" w:after="0"/>
        <w:rPr>
          <w:rFonts w:cs="Arial"/>
          <w:color w:val="000000"/>
          <w:sz w:val="22"/>
          <w:szCs w:val="22"/>
          <w:lang w:val="pt-BR"/>
        </w:rPr>
      </w:pPr>
      <w:r w:rsidRPr="00970463">
        <w:rPr>
          <w:rFonts w:cs="Arial"/>
          <w:color w:val="000000"/>
          <w:sz w:val="22"/>
          <w:szCs w:val="22"/>
          <w:lang w:val="pt-BR"/>
        </w:rPr>
        <w:t>CPC 15 – Combinação de Negócios</w:t>
      </w:r>
    </w:p>
    <w:p w14:paraId="62388669" w14:textId="77777777" w:rsidR="00970463" w:rsidRPr="00970463" w:rsidRDefault="00970463" w:rsidP="00970463">
      <w:pPr>
        <w:widowControl w:val="0"/>
        <w:numPr>
          <w:ilvl w:val="0"/>
          <w:numId w:val="2"/>
        </w:numPr>
        <w:spacing w:before="0" w:after="0"/>
        <w:ind w:left="709"/>
        <w:rPr>
          <w:rFonts w:cs="Arial"/>
          <w:color w:val="000000"/>
          <w:sz w:val="22"/>
          <w:szCs w:val="22"/>
          <w:lang w:val="pt-BR"/>
        </w:rPr>
      </w:pPr>
      <w:r w:rsidRPr="00970463">
        <w:rPr>
          <w:rFonts w:cs="Arial"/>
          <w:color w:val="000000"/>
          <w:sz w:val="22"/>
          <w:szCs w:val="22"/>
          <w:lang w:val="pt-BR"/>
        </w:rPr>
        <w:t>CPC 23 – Políticas Contábeis, Mudança de Estimativa e Retificação de Erro</w:t>
      </w:r>
    </w:p>
    <w:p w14:paraId="2D894C4D" w14:textId="77777777" w:rsidR="00970463" w:rsidRPr="00970463" w:rsidRDefault="00970463" w:rsidP="00970463">
      <w:pPr>
        <w:widowControl w:val="0"/>
        <w:numPr>
          <w:ilvl w:val="0"/>
          <w:numId w:val="2"/>
        </w:numPr>
        <w:spacing w:before="0" w:after="0"/>
        <w:ind w:left="709"/>
        <w:rPr>
          <w:rFonts w:cs="Arial"/>
          <w:color w:val="000000"/>
          <w:sz w:val="22"/>
          <w:szCs w:val="22"/>
          <w:lang w:val="pt-BR"/>
        </w:rPr>
      </w:pPr>
      <w:r w:rsidRPr="00970463">
        <w:rPr>
          <w:rFonts w:cs="Arial"/>
          <w:color w:val="000000"/>
          <w:sz w:val="22"/>
          <w:szCs w:val="22"/>
          <w:lang w:val="pt-BR"/>
        </w:rPr>
        <w:t xml:space="preserve">CPC 26 – Apresentação das Demonstrações Contábeis </w:t>
      </w:r>
    </w:p>
    <w:p w14:paraId="6357E398" w14:textId="142CFB6D" w:rsidR="00970463" w:rsidRPr="00970463" w:rsidRDefault="00970463" w:rsidP="00970463">
      <w:pPr>
        <w:widowControl w:val="0"/>
        <w:numPr>
          <w:ilvl w:val="0"/>
          <w:numId w:val="2"/>
        </w:numPr>
        <w:spacing w:before="0" w:after="0"/>
        <w:rPr>
          <w:rFonts w:cs="Arial"/>
          <w:sz w:val="22"/>
          <w:szCs w:val="22"/>
          <w:lang w:val="pt-BR"/>
        </w:rPr>
      </w:pPr>
      <w:r w:rsidRPr="00970463">
        <w:rPr>
          <w:rFonts w:cs="Arial"/>
          <w:sz w:val="22"/>
          <w:szCs w:val="22"/>
          <w:lang w:val="pt-BR"/>
        </w:rPr>
        <w:t>CPC 48 – Instrumentos Financeiros</w:t>
      </w:r>
    </w:p>
    <w:p w14:paraId="3DC33608" w14:textId="77777777" w:rsidR="00970463" w:rsidRPr="00970463" w:rsidRDefault="00970463" w:rsidP="00970463">
      <w:pPr>
        <w:widowControl w:val="0"/>
        <w:numPr>
          <w:ilvl w:val="0"/>
          <w:numId w:val="2"/>
        </w:numPr>
        <w:spacing w:before="0" w:after="0"/>
        <w:rPr>
          <w:rFonts w:cs="Arial"/>
          <w:color w:val="000000"/>
          <w:sz w:val="22"/>
          <w:szCs w:val="22"/>
          <w:lang w:val="pt-BR"/>
        </w:rPr>
      </w:pPr>
      <w:r w:rsidRPr="00970463">
        <w:rPr>
          <w:rFonts w:cs="Arial"/>
          <w:color w:val="000000"/>
          <w:sz w:val="22"/>
          <w:szCs w:val="22"/>
          <w:lang w:val="pt-BR"/>
        </w:rPr>
        <w:t xml:space="preserve">CPC 39 – Instrumentos Financeiros: Apresentação </w:t>
      </w:r>
    </w:p>
    <w:p w14:paraId="04FC9565" w14:textId="174F8E88" w:rsidR="00970463" w:rsidRPr="00970463" w:rsidRDefault="00970463" w:rsidP="00970463">
      <w:pPr>
        <w:widowControl w:val="0"/>
        <w:numPr>
          <w:ilvl w:val="0"/>
          <w:numId w:val="2"/>
        </w:numPr>
        <w:tabs>
          <w:tab w:val="left" w:pos="709"/>
          <w:tab w:val="left" w:pos="6804"/>
        </w:tabs>
        <w:spacing w:before="0" w:after="0"/>
        <w:rPr>
          <w:rFonts w:cs="Arial"/>
          <w:sz w:val="22"/>
          <w:szCs w:val="22"/>
          <w:lang w:val="pt-BR"/>
        </w:rPr>
      </w:pPr>
      <w:r w:rsidRPr="00970463">
        <w:rPr>
          <w:rFonts w:cs="Arial"/>
          <w:sz w:val="22"/>
          <w:szCs w:val="22"/>
          <w:lang w:val="pt-BR"/>
        </w:rPr>
        <w:t xml:space="preserve">CPC 46 – Mensuração do Valor Justo </w:t>
      </w:r>
    </w:p>
    <w:p w14:paraId="68FBF7EA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ind w:left="57"/>
        <w:rPr>
          <w:rFonts w:cs="Arial"/>
          <w:b/>
          <w:sz w:val="22"/>
          <w:szCs w:val="22"/>
          <w:lang w:val="pt-BR"/>
        </w:rPr>
      </w:pPr>
    </w:p>
    <w:p w14:paraId="7F2F773B" w14:textId="77777777" w:rsidR="004309FF" w:rsidRDefault="004309FF">
      <w:pPr>
        <w:spacing w:before="0" w:after="160" w:line="259" w:lineRule="auto"/>
        <w:jc w:val="left"/>
        <w:rPr>
          <w:rFonts w:cs="Arial"/>
          <w:b/>
          <w:sz w:val="22"/>
          <w:szCs w:val="22"/>
          <w:lang w:val="pt-BR"/>
        </w:rPr>
      </w:pPr>
      <w:r>
        <w:rPr>
          <w:rFonts w:cs="Arial"/>
          <w:b/>
          <w:sz w:val="22"/>
          <w:szCs w:val="22"/>
          <w:lang w:val="pt-BR"/>
        </w:rPr>
        <w:br w:type="page"/>
      </w:r>
    </w:p>
    <w:p w14:paraId="2562BD00" w14:textId="6D660DE2" w:rsidR="00970463" w:rsidRPr="00970463" w:rsidRDefault="00970463" w:rsidP="00970463">
      <w:pPr>
        <w:widowControl w:val="0"/>
        <w:tabs>
          <w:tab w:val="left" w:pos="6804"/>
        </w:tabs>
        <w:spacing w:before="0" w:after="0"/>
        <w:rPr>
          <w:rFonts w:cs="Arial"/>
          <w:b/>
          <w:sz w:val="22"/>
          <w:szCs w:val="22"/>
          <w:lang w:val="pt-BR"/>
        </w:rPr>
      </w:pPr>
      <w:r w:rsidRPr="00970463">
        <w:rPr>
          <w:rFonts w:cs="Arial"/>
          <w:b/>
          <w:sz w:val="22"/>
          <w:szCs w:val="22"/>
          <w:lang w:val="pt-BR"/>
        </w:rPr>
        <w:lastRenderedPageBreak/>
        <w:t>Antecedentes</w:t>
      </w:r>
    </w:p>
    <w:p w14:paraId="57F97F8B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ind w:left="709" w:hanging="709"/>
        <w:rPr>
          <w:rFonts w:cs="Arial"/>
          <w:color w:val="000000"/>
          <w:sz w:val="22"/>
          <w:szCs w:val="22"/>
          <w:lang w:val="pt-BR"/>
        </w:rPr>
      </w:pPr>
    </w:p>
    <w:p w14:paraId="199EC978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ind w:left="567" w:hanging="567"/>
        <w:rPr>
          <w:rFonts w:cs="Arial"/>
          <w:color w:val="000000"/>
          <w:sz w:val="22"/>
          <w:szCs w:val="22"/>
          <w:lang w:val="pt-BR"/>
        </w:rPr>
      </w:pPr>
      <w:r w:rsidRPr="00970463">
        <w:rPr>
          <w:rFonts w:cs="Arial"/>
          <w:color w:val="000000"/>
          <w:sz w:val="22"/>
          <w:szCs w:val="22"/>
          <w:lang w:val="pt-BR"/>
        </w:rPr>
        <w:t>1.</w:t>
      </w:r>
      <w:r w:rsidRPr="00970463">
        <w:rPr>
          <w:rFonts w:cs="Arial"/>
          <w:color w:val="000000"/>
          <w:sz w:val="22"/>
          <w:szCs w:val="22"/>
          <w:lang w:val="pt-BR"/>
        </w:rPr>
        <w:tab/>
      </w:r>
      <w:r w:rsidRPr="00970463">
        <w:rPr>
          <w:rFonts w:cs="Arial"/>
          <w:sz w:val="22"/>
          <w:szCs w:val="22"/>
        </w:rPr>
        <w:t xml:space="preserve">Um devedor e um credor podem renegociar os termos de um passivo financeiro mediante a emissão de instrumentos patrimoniais próprios do devedor para o credor, tendo como resultado a extinção parcial ou total desse passivo. Essas operações são muitas vezes denominadas </w:t>
      </w:r>
      <w:r w:rsidRPr="00970463">
        <w:rPr>
          <w:rFonts w:cs="Arial"/>
          <w:i/>
          <w:sz w:val="22"/>
          <w:szCs w:val="22"/>
        </w:rPr>
        <w:t>“debt for equity swaps”</w:t>
      </w:r>
      <w:r w:rsidRPr="00970463">
        <w:rPr>
          <w:rFonts w:cs="Arial"/>
          <w:sz w:val="22"/>
          <w:szCs w:val="22"/>
        </w:rPr>
        <w:t>.  </w:t>
      </w:r>
      <w:r w:rsidRPr="00970463">
        <w:rPr>
          <w:rFonts w:cs="Arial"/>
          <w:color w:val="000000"/>
          <w:sz w:val="22"/>
          <w:szCs w:val="22"/>
          <w:lang w:val="pt-BR"/>
        </w:rPr>
        <w:t xml:space="preserve"> </w:t>
      </w:r>
    </w:p>
    <w:p w14:paraId="7BA3CF7D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ind w:left="709" w:hanging="709"/>
        <w:rPr>
          <w:rFonts w:cs="Arial"/>
          <w:color w:val="000000"/>
          <w:sz w:val="22"/>
          <w:szCs w:val="22"/>
          <w:lang w:val="pt-BR"/>
        </w:rPr>
      </w:pPr>
    </w:p>
    <w:p w14:paraId="565BF8E0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rPr>
          <w:rFonts w:cs="Arial"/>
          <w:b/>
          <w:sz w:val="22"/>
          <w:szCs w:val="22"/>
          <w:lang w:val="pt-BR"/>
        </w:rPr>
      </w:pPr>
      <w:r w:rsidRPr="00970463">
        <w:rPr>
          <w:rFonts w:cs="Arial"/>
          <w:b/>
          <w:sz w:val="22"/>
          <w:szCs w:val="22"/>
          <w:lang w:val="pt-BR"/>
        </w:rPr>
        <w:t>Alcance</w:t>
      </w:r>
    </w:p>
    <w:p w14:paraId="21679CFE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ind w:left="709" w:hanging="709"/>
        <w:rPr>
          <w:rFonts w:cs="Arial"/>
          <w:color w:val="000000"/>
          <w:sz w:val="22"/>
          <w:szCs w:val="22"/>
          <w:lang w:val="pt-BR"/>
        </w:rPr>
      </w:pPr>
    </w:p>
    <w:p w14:paraId="1EFE7A2B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ind w:left="567" w:hanging="567"/>
        <w:rPr>
          <w:rFonts w:cs="Arial"/>
          <w:sz w:val="22"/>
          <w:szCs w:val="22"/>
        </w:rPr>
      </w:pPr>
      <w:r w:rsidRPr="00970463">
        <w:rPr>
          <w:rFonts w:cs="Arial"/>
          <w:color w:val="000000"/>
          <w:sz w:val="22"/>
          <w:szCs w:val="22"/>
          <w:lang w:val="pt-BR"/>
        </w:rPr>
        <w:t>2.</w:t>
      </w:r>
      <w:r w:rsidRPr="00970463">
        <w:rPr>
          <w:rFonts w:cs="Arial"/>
          <w:color w:val="000000"/>
          <w:sz w:val="22"/>
          <w:szCs w:val="22"/>
          <w:lang w:val="pt-BR"/>
        </w:rPr>
        <w:tab/>
      </w:r>
      <w:r w:rsidRPr="00970463">
        <w:rPr>
          <w:rFonts w:cs="Arial"/>
          <w:sz w:val="22"/>
          <w:szCs w:val="22"/>
        </w:rPr>
        <w:t>Esta Interpretação trata da contabilização por uma entidade quando as condições de um passivo financeiro são renegociadas e resultam na emissão de instrumentos patrimoniais da entidade ao seu credor para a extinção total ou parcial do passivo financeiro. Esta Interpretação não trata da contabilização por parte do credor.</w:t>
      </w:r>
    </w:p>
    <w:p w14:paraId="23A17873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ind w:left="709" w:hanging="709"/>
        <w:rPr>
          <w:rFonts w:cs="Arial"/>
          <w:color w:val="000000"/>
          <w:sz w:val="22"/>
          <w:szCs w:val="22"/>
          <w:lang w:val="pt-BR"/>
        </w:rPr>
      </w:pPr>
    </w:p>
    <w:p w14:paraId="0496896E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ind w:left="567" w:hanging="567"/>
        <w:rPr>
          <w:rFonts w:cs="Arial"/>
          <w:sz w:val="22"/>
          <w:szCs w:val="22"/>
        </w:rPr>
      </w:pPr>
      <w:r w:rsidRPr="00970463">
        <w:rPr>
          <w:rFonts w:cs="Arial"/>
          <w:color w:val="000000"/>
          <w:sz w:val="22"/>
          <w:szCs w:val="22"/>
          <w:lang w:val="pt-BR"/>
        </w:rPr>
        <w:t>3.</w:t>
      </w:r>
      <w:r w:rsidRPr="00970463">
        <w:rPr>
          <w:rFonts w:cs="Arial"/>
          <w:color w:val="000000"/>
          <w:sz w:val="22"/>
          <w:szCs w:val="22"/>
          <w:lang w:val="pt-BR"/>
        </w:rPr>
        <w:tab/>
      </w:r>
      <w:r w:rsidRPr="00970463">
        <w:rPr>
          <w:rFonts w:cs="Arial"/>
          <w:sz w:val="22"/>
          <w:szCs w:val="22"/>
        </w:rPr>
        <w:t>A entidade não deve aplicar esta Interpretação às operações em situações em que:</w:t>
      </w:r>
    </w:p>
    <w:p w14:paraId="1E22F689" w14:textId="77777777" w:rsidR="00970463" w:rsidRPr="00970463" w:rsidRDefault="00970463" w:rsidP="00970463">
      <w:pPr>
        <w:widowControl w:val="0"/>
        <w:numPr>
          <w:ilvl w:val="0"/>
          <w:numId w:val="3"/>
        </w:numPr>
        <w:spacing w:before="0" w:after="0"/>
        <w:ind w:left="992" w:hanging="425"/>
        <w:rPr>
          <w:rFonts w:cs="Arial"/>
          <w:bCs/>
          <w:iCs/>
          <w:color w:val="000000"/>
          <w:sz w:val="22"/>
          <w:szCs w:val="22"/>
          <w:lang w:val="pt-BR"/>
        </w:rPr>
      </w:pPr>
      <w:proofErr w:type="gramStart"/>
      <w:r w:rsidRPr="00970463">
        <w:rPr>
          <w:rFonts w:cs="Arial"/>
          <w:bCs/>
          <w:iCs/>
          <w:color w:val="000000"/>
          <w:sz w:val="22"/>
          <w:szCs w:val="22"/>
          <w:lang w:val="pt-BR"/>
        </w:rPr>
        <w:t>o</w:t>
      </w:r>
      <w:proofErr w:type="gramEnd"/>
      <w:r w:rsidRPr="00970463">
        <w:rPr>
          <w:rFonts w:cs="Arial"/>
          <w:bCs/>
          <w:iCs/>
          <w:color w:val="000000"/>
          <w:sz w:val="22"/>
          <w:szCs w:val="22"/>
          <w:lang w:val="pt-BR"/>
        </w:rPr>
        <w:t xml:space="preserve"> credor é também direta ou indiretamente sócio ou acionista que está agindo nessa sua qualidade de sócio ou acionista direto ou indireto; </w:t>
      </w:r>
    </w:p>
    <w:p w14:paraId="3E58BABD" w14:textId="77777777" w:rsidR="00970463" w:rsidRPr="00970463" w:rsidRDefault="00970463" w:rsidP="00970463">
      <w:pPr>
        <w:widowControl w:val="0"/>
        <w:numPr>
          <w:ilvl w:val="0"/>
          <w:numId w:val="3"/>
        </w:numPr>
        <w:spacing w:before="0" w:after="0"/>
        <w:ind w:left="992" w:hanging="425"/>
        <w:rPr>
          <w:rFonts w:cs="Arial"/>
          <w:bCs/>
          <w:iCs/>
          <w:color w:val="000000"/>
          <w:sz w:val="22"/>
          <w:szCs w:val="22"/>
          <w:lang w:val="pt-BR"/>
        </w:rPr>
      </w:pPr>
      <w:proofErr w:type="gramStart"/>
      <w:r w:rsidRPr="00970463">
        <w:rPr>
          <w:rFonts w:cs="Arial"/>
          <w:bCs/>
          <w:iCs/>
          <w:color w:val="000000"/>
          <w:sz w:val="22"/>
          <w:szCs w:val="22"/>
          <w:lang w:val="pt-BR"/>
        </w:rPr>
        <w:t>o</w:t>
      </w:r>
      <w:proofErr w:type="gramEnd"/>
      <w:r w:rsidRPr="00970463">
        <w:rPr>
          <w:rFonts w:cs="Arial"/>
          <w:bCs/>
          <w:iCs/>
          <w:color w:val="000000"/>
          <w:sz w:val="22"/>
          <w:szCs w:val="22"/>
          <w:lang w:val="pt-BR"/>
        </w:rPr>
        <w:t xml:space="preserve"> credor e a entidade são controlados pela mesma parte ou partes, antes e depois da operação e a essência da transação inclui a distribuição de capital pela entidade, ou contribuição para a entidade; </w:t>
      </w:r>
    </w:p>
    <w:p w14:paraId="6D00BDBF" w14:textId="77777777" w:rsidR="00970463" w:rsidRPr="00970463" w:rsidRDefault="00970463" w:rsidP="00970463">
      <w:pPr>
        <w:widowControl w:val="0"/>
        <w:numPr>
          <w:ilvl w:val="0"/>
          <w:numId w:val="3"/>
        </w:numPr>
        <w:spacing w:before="0" w:after="0"/>
        <w:ind w:left="992" w:hanging="425"/>
        <w:rPr>
          <w:rFonts w:cs="Arial"/>
          <w:bCs/>
          <w:iCs/>
          <w:color w:val="000000"/>
          <w:sz w:val="22"/>
          <w:szCs w:val="22"/>
          <w:lang w:val="pt-BR"/>
        </w:rPr>
      </w:pPr>
      <w:proofErr w:type="gramStart"/>
      <w:r w:rsidRPr="00970463">
        <w:rPr>
          <w:rFonts w:cs="Arial"/>
          <w:bCs/>
          <w:iCs/>
          <w:color w:val="000000"/>
          <w:sz w:val="22"/>
          <w:szCs w:val="22"/>
          <w:lang w:val="pt-BR"/>
        </w:rPr>
        <w:t>a</w:t>
      </w:r>
      <w:proofErr w:type="gramEnd"/>
      <w:r w:rsidRPr="00970463">
        <w:rPr>
          <w:rFonts w:cs="Arial"/>
          <w:bCs/>
          <w:iCs/>
          <w:color w:val="000000"/>
          <w:sz w:val="22"/>
          <w:szCs w:val="22"/>
          <w:lang w:val="pt-BR"/>
        </w:rPr>
        <w:t xml:space="preserve"> extinção do passivo financeiro por meio da emissão de instrumentos patrimoniais está em conformidade com as condições originais do passivo financeiro.</w:t>
      </w:r>
    </w:p>
    <w:p w14:paraId="507C4777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ind w:left="336" w:hanging="279"/>
        <w:rPr>
          <w:rFonts w:cs="Arial"/>
          <w:sz w:val="22"/>
          <w:szCs w:val="22"/>
        </w:rPr>
      </w:pPr>
    </w:p>
    <w:p w14:paraId="4ACE7C78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rPr>
          <w:rFonts w:cs="Arial"/>
          <w:b/>
          <w:sz w:val="22"/>
          <w:szCs w:val="22"/>
        </w:rPr>
      </w:pPr>
      <w:r w:rsidRPr="00970463">
        <w:rPr>
          <w:rFonts w:cs="Arial"/>
          <w:b/>
          <w:sz w:val="22"/>
          <w:szCs w:val="22"/>
          <w:lang w:val="pt-BR"/>
        </w:rPr>
        <w:t>Questões</w:t>
      </w:r>
      <w:r w:rsidRPr="00970463">
        <w:rPr>
          <w:rFonts w:cs="Arial"/>
          <w:b/>
          <w:sz w:val="22"/>
          <w:szCs w:val="22"/>
        </w:rPr>
        <w:t xml:space="preserve"> </w:t>
      </w:r>
    </w:p>
    <w:p w14:paraId="6E89D212" w14:textId="77777777" w:rsidR="00970463" w:rsidRPr="00AD5DDE" w:rsidRDefault="00970463" w:rsidP="00970463">
      <w:pPr>
        <w:widowControl w:val="0"/>
        <w:spacing w:before="0" w:after="0"/>
        <w:ind w:left="567" w:hanging="567"/>
        <w:rPr>
          <w:rFonts w:cs="Arial"/>
          <w:bCs/>
          <w:sz w:val="22"/>
          <w:szCs w:val="22"/>
        </w:rPr>
      </w:pPr>
    </w:p>
    <w:p w14:paraId="384CEB82" w14:textId="77777777" w:rsidR="00970463" w:rsidRPr="00970463" w:rsidRDefault="00970463" w:rsidP="00970463">
      <w:pPr>
        <w:widowControl w:val="0"/>
        <w:spacing w:before="0" w:after="0"/>
        <w:ind w:left="567" w:hanging="567"/>
        <w:rPr>
          <w:rFonts w:cs="Arial"/>
          <w:color w:val="000000"/>
          <w:sz w:val="22"/>
          <w:szCs w:val="22"/>
          <w:lang w:val="pt-BR"/>
        </w:rPr>
      </w:pPr>
      <w:r w:rsidRPr="00970463">
        <w:rPr>
          <w:rFonts w:cs="Arial"/>
          <w:color w:val="000000"/>
          <w:sz w:val="22"/>
          <w:szCs w:val="22"/>
          <w:lang w:val="pt-BR"/>
        </w:rPr>
        <w:t xml:space="preserve">4. </w:t>
      </w:r>
      <w:proofErr w:type="gramStart"/>
      <w:r w:rsidRPr="00970463">
        <w:rPr>
          <w:rFonts w:cs="Arial"/>
          <w:color w:val="000000"/>
          <w:sz w:val="22"/>
          <w:szCs w:val="22"/>
          <w:lang w:val="pt-BR"/>
        </w:rPr>
        <w:tab/>
        <w:t>Esta</w:t>
      </w:r>
      <w:proofErr w:type="gramEnd"/>
      <w:r w:rsidRPr="00970463">
        <w:rPr>
          <w:rFonts w:cs="Arial"/>
          <w:color w:val="000000"/>
          <w:sz w:val="22"/>
          <w:szCs w:val="22"/>
          <w:lang w:val="pt-BR"/>
        </w:rPr>
        <w:t xml:space="preserve"> interpretação aborda as seguintes questões: </w:t>
      </w:r>
    </w:p>
    <w:p w14:paraId="2A319C43" w14:textId="77777777" w:rsidR="007E33C2" w:rsidRDefault="00970463" w:rsidP="007E33C2">
      <w:pPr>
        <w:autoSpaceDE w:val="0"/>
        <w:autoSpaceDN w:val="0"/>
        <w:adjustRightInd w:val="0"/>
        <w:spacing w:before="0" w:after="0"/>
        <w:ind w:left="993" w:hanging="426"/>
        <w:rPr>
          <w:rFonts w:cs="Arial"/>
          <w:bCs/>
          <w:sz w:val="22"/>
          <w:szCs w:val="22"/>
        </w:rPr>
      </w:pPr>
      <w:r w:rsidRPr="00970463">
        <w:rPr>
          <w:rFonts w:cs="Arial"/>
          <w:bCs/>
          <w:sz w:val="22"/>
          <w:szCs w:val="22"/>
        </w:rPr>
        <w:t xml:space="preserve">(a) </w:t>
      </w:r>
      <w:r w:rsidRPr="00970463">
        <w:rPr>
          <w:rFonts w:cs="Arial"/>
          <w:bCs/>
          <w:sz w:val="22"/>
          <w:szCs w:val="22"/>
        </w:rPr>
        <w:tab/>
        <w:t>São “retribuição paga”, de acordo com o item 3.3.3 do CPC 48, os instrumentos patrimoniais da entidade emitidos para extinguir a totalidade ou parte do passivo financeiro?</w:t>
      </w:r>
    </w:p>
    <w:p w14:paraId="51BC03AD" w14:textId="77777777" w:rsidR="007E33C2" w:rsidRDefault="007E33C2" w:rsidP="007E33C2">
      <w:pPr>
        <w:autoSpaceDE w:val="0"/>
        <w:autoSpaceDN w:val="0"/>
        <w:adjustRightInd w:val="0"/>
        <w:spacing w:before="0" w:after="0"/>
        <w:ind w:left="993" w:hanging="426"/>
        <w:rPr>
          <w:rFonts w:cs="Arial"/>
          <w:bCs/>
          <w:iCs/>
          <w:color w:val="000000"/>
          <w:sz w:val="22"/>
          <w:szCs w:val="22"/>
          <w:lang w:val="pt-BR"/>
        </w:rPr>
      </w:pPr>
      <w:r>
        <w:rPr>
          <w:rFonts w:cs="Arial"/>
          <w:bCs/>
          <w:sz w:val="22"/>
          <w:szCs w:val="22"/>
        </w:rPr>
        <w:t xml:space="preserve">(b) </w:t>
      </w:r>
      <w:r>
        <w:rPr>
          <w:rFonts w:cs="Arial"/>
          <w:bCs/>
          <w:sz w:val="22"/>
          <w:szCs w:val="22"/>
        </w:rPr>
        <w:tab/>
      </w:r>
      <w:r w:rsidR="00970463" w:rsidRPr="007E33C2">
        <w:rPr>
          <w:rFonts w:cs="Arial"/>
          <w:bCs/>
          <w:iCs/>
          <w:color w:val="000000"/>
          <w:sz w:val="22"/>
          <w:szCs w:val="22"/>
          <w:lang w:val="pt-BR"/>
        </w:rPr>
        <w:t>Como a entidade deve mensurar inicialmente os instrumentos patrimoniais próprios emitidos para extinguir tal responsabilidade financeira?</w:t>
      </w:r>
    </w:p>
    <w:p w14:paraId="6669E926" w14:textId="073CE0B8" w:rsidR="00970463" w:rsidRPr="007E33C2" w:rsidRDefault="007E33C2" w:rsidP="007E33C2">
      <w:pPr>
        <w:autoSpaceDE w:val="0"/>
        <w:autoSpaceDN w:val="0"/>
        <w:adjustRightInd w:val="0"/>
        <w:spacing w:before="0" w:after="0"/>
        <w:ind w:left="993" w:hanging="426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(c) </w:t>
      </w:r>
      <w:r>
        <w:rPr>
          <w:rFonts w:cs="Arial"/>
          <w:bCs/>
          <w:sz w:val="22"/>
          <w:szCs w:val="22"/>
        </w:rPr>
        <w:tab/>
      </w:r>
      <w:r w:rsidR="00970463" w:rsidRPr="007E33C2">
        <w:rPr>
          <w:rFonts w:cs="Arial"/>
          <w:bCs/>
          <w:sz w:val="22"/>
          <w:szCs w:val="22"/>
        </w:rPr>
        <w:t>Como a entidade deve contabilizar qualquer diferença entre o valor contábil do passivo financeiro extinto e a mensuração inicial dos instrumentos patrimoniais emitidos?</w:t>
      </w:r>
    </w:p>
    <w:p w14:paraId="0F84E43B" w14:textId="77777777" w:rsidR="00100F09" w:rsidRPr="00AD5DDE" w:rsidRDefault="00100F09" w:rsidP="00970463">
      <w:pPr>
        <w:widowControl w:val="0"/>
        <w:tabs>
          <w:tab w:val="left" w:pos="6804"/>
        </w:tabs>
        <w:spacing w:before="0" w:after="0"/>
        <w:rPr>
          <w:rFonts w:cs="Arial"/>
          <w:bCs/>
          <w:sz w:val="22"/>
          <w:szCs w:val="22"/>
          <w:lang w:val="pt-BR"/>
        </w:rPr>
      </w:pPr>
    </w:p>
    <w:p w14:paraId="2329B62F" w14:textId="3F99EF7A" w:rsidR="00970463" w:rsidRPr="00970463" w:rsidRDefault="00970463" w:rsidP="00970463">
      <w:pPr>
        <w:widowControl w:val="0"/>
        <w:tabs>
          <w:tab w:val="left" w:pos="6804"/>
        </w:tabs>
        <w:spacing w:before="0" w:after="0"/>
        <w:rPr>
          <w:rFonts w:cs="Arial"/>
          <w:color w:val="000000"/>
          <w:sz w:val="22"/>
          <w:szCs w:val="22"/>
          <w:lang w:val="pt-BR"/>
        </w:rPr>
      </w:pPr>
      <w:r w:rsidRPr="00970463">
        <w:rPr>
          <w:rFonts w:cs="Arial"/>
          <w:b/>
          <w:sz w:val="22"/>
          <w:szCs w:val="22"/>
          <w:lang w:val="pt-BR"/>
        </w:rPr>
        <w:t xml:space="preserve">Consenso </w:t>
      </w:r>
      <w:r w:rsidRPr="00970463">
        <w:rPr>
          <w:rFonts w:cs="Arial"/>
          <w:b/>
          <w:sz w:val="22"/>
          <w:szCs w:val="22"/>
          <w:lang w:val="pt-BR"/>
        </w:rPr>
        <w:br/>
      </w:r>
    </w:p>
    <w:p w14:paraId="7B53BDE6" w14:textId="0AA5D3C7" w:rsidR="00970463" w:rsidRPr="00970463" w:rsidRDefault="00970463" w:rsidP="00970463">
      <w:pPr>
        <w:spacing w:before="0" w:after="0"/>
        <w:ind w:left="567" w:hanging="567"/>
        <w:rPr>
          <w:rFonts w:cs="Arial"/>
          <w:sz w:val="22"/>
          <w:szCs w:val="22"/>
        </w:rPr>
      </w:pPr>
      <w:r w:rsidRPr="00970463">
        <w:rPr>
          <w:rFonts w:cs="Arial"/>
          <w:sz w:val="22"/>
          <w:szCs w:val="22"/>
        </w:rPr>
        <w:t xml:space="preserve">5. </w:t>
      </w:r>
      <w:r w:rsidRPr="00970463">
        <w:rPr>
          <w:rFonts w:cs="Arial"/>
          <w:sz w:val="22"/>
          <w:szCs w:val="22"/>
        </w:rPr>
        <w:tab/>
        <w:t xml:space="preserve">A questão da emissão dos instrumentos patrimoniais da entidade ao credor para extinguir a totalidade ou parte de passivo financeiro é retribuição paga em conformidade com o item 3.3.3 do CPC 48. A entidade deve remover o passivo financeiro (ou parte de passivo financeiro) de seu balanço patrimonial quando, e apenas quando, for extinto, de acordo com o item 3.3.1 do CPC 48. </w:t>
      </w:r>
    </w:p>
    <w:p w14:paraId="56A923D4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ind w:left="709" w:hanging="709"/>
        <w:rPr>
          <w:rFonts w:cs="Arial"/>
          <w:color w:val="000000"/>
          <w:sz w:val="22"/>
          <w:szCs w:val="22"/>
          <w:lang w:val="pt-BR"/>
        </w:rPr>
      </w:pPr>
    </w:p>
    <w:p w14:paraId="31D05ED9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ind w:left="567" w:hanging="567"/>
        <w:rPr>
          <w:rFonts w:cs="Arial"/>
          <w:color w:val="000000"/>
          <w:sz w:val="22"/>
          <w:szCs w:val="22"/>
          <w:lang w:val="pt-BR"/>
        </w:rPr>
      </w:pPr>
      <w:r w:rsidRPr="00970463">
        <w:rPr>
          <w:rFonts w:cs="Arial"/>
          <w:color w:val="000000"/>
          <w:sz w:val="22"/>
          <w:szCs w:val="22"/>
          <w:lang w:val="pt-BR"/>
        </w:rPr>
        <w:t xml:space="preserve">6. </w:t>
      </w:r>
      <w:proofErr w:type="gramStart"/>
      <w:r w:rsidRPr="00970463">
        <w:rPr>
          <w:rFonts w:cs="Arial"/>
          <w:color w:val="000000"/>
          <w:sz w:val="22"/>
          <w:szCs w:val="22"/>
          <w:lang w:val="pt-BR"/>
        </w:rPr>
        <w:tab/>
        <w:t>Quando</w:t>
      </w:r>
      <w:proofErr w:type="gramEnd"/>
      <w:r w:rsidRPr="00970463">
        <w:rPr>
          <w:rFonts w:cs="Arial"/>
          <w:color w:val="000000"/>
          <w:sz w:val="22"/>
          <w:szCs w:val="22"/>
          <w:lang w:val="pt-BR"/>
        </w:rPr>
        <w:t xml:space="preserve"> instrumentos patrimoniais próprios emitidos para o credor para extinguir a totalidade ou parte de um passivo financeiro são inicialmente reconhecidos, a entidade deve mensurá-los pelo valor justo dos instrumentos patrimoniais emitidos, a menos que o valor justo não possa ser mensurado. </w:t>
      </w:r>
    </w:p>
    <w:p w14:paraId="21D374B7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ind w:left="709" w:hanging="709"/>
        <w:rPr>
          <w:rFonts w:cs="Arial"/>
          <w:color w:val="000000"/>
          <w:sz w:val="22"/>
          <w:szCs w:val="22"/>
          <w:lang w:val="pt-BR"/>
        </w:rPr>
      </w:pPr>
    </w:p>
    <w:p w14:paraId="6A3A77C5" w14:textId="2F597706" w:rsidR="00970463" w:rsidRPr="00970463" w:rsidRDefault="00970463" w:rsidP="00970463">
      <w:pPr>
        <w:widowControl w:val="0"/>
        <w:tabs>
          <w:tab w:val="left" w:pos="6804"/>
        </w:tabs>
        <w:spacing w:before="0" w:after="0"/>
        <w:ind w:left="567" w:hanging="567"/>
        <w:rPr>
          <w:rFonts w:cs="Arial"/>
          <w:sz w:val="22"/>
          <w:szCs w:val="22"/>
          <w:lang w:val="pt-BR"/>
        </w:rPr>
      </w:pPr>
      <w:r w:rsidRPr="00970463">
        <w:rPr>
          <w:rFonts w:cs="Arial"/>
          <w:sz w:val="22"/>
          <w:szCs w:val="22"/>
          <w:lang w:val="pt-BR"/>
        </w:rPr>
        <w:t xml:space="preserve">7. </w:t>
      </w:r>
      <w:proofErr w:type="gramStart"/>
      <w:r w:rsidRPr="00970463">
        <w:rPr>
          <w:rFonts w:cs="Arial"/>
          <w:sz w:val="22"/>
          <w:szCs w:val="22"/>
          <w:lang w:val="pt-BR"/>
        </w:rPr>
        <w:tab/>
        <w:t>Se</w:t>
      </w:r>
      <w:proofErr w:type="gramEnd"/>
      <w:r w:rsidRPr="00970463">
        <w:rPr>
          <w:rFonts w:cs="Arial"/>
          <w:sz w:val="22"/>
          <w:szCs w:val="22"/>
          <w:lang w:val="pt-BR"/>
        </w:rPr>
        <w:t xml:space="preserve"> o valor justo dos instrumentos patrimoniais próprios emitidos não puder ser mensurado, os instrumentos patrimoniais próprios devem ser mensurados pelo valor justo do passivo financeiro </w:t>
      </w:r>
      <w:r w:rsidRPr="00970463">
        <w:rPr>
          <w:rFonts w:cs="Arial"/>
          <w:sz w:val="22"/>
          <w:szCs w:val="22"/>
          <w:lang w:val="pt-BR"/>
        </w:rPr>
        <w:lastRenderedPageBreak/>
        <w:t xml:space="preserve">extinto. Ao mensurar o valor justo de passivo financeiro extinto que inclua característica de demanda (por exemplo, depósito à vista), o item 47 do CPC 46 não deve ser aplicado. </w:t>
      </w:r>
    </w:p>
    <w:p w14:paraId="6011A186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ind w:left="567" w:hanging="567"/>
        <w:rPr>
          <w:rFonts w:cs="Arial"/>
          <w:color w:val="000000"/>
          <w:sz w:val="22"/>
          <w:szCs w:val="22"/>
          <w:lang w:val="pt-BR"/>
        </w:rPr>
      </w:pPr>
    </w:p>
    <w:p w14:paraId="1F6E6D2B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ind w:left="567" w:hanging="567"/>
        <w:rPr>
          <w:rFonts w:cs="Arial"/>
          <w:color w:val="000000"/>
          <w:sz w:val="22"/>
          <w:szCs w:val="22"/>
          <w:lang w:val="pt-BR"/>
        </w:rPr>
      </w:pPr>
      <w:r w:rsidRPr="00970463">
        <w:rPr>
          <w:rFonts w:cs="Arial"/>
          <w:color w:val="000000"/>
          <w:sz w:val="22"/>
          <w:szCs w:val="22"/>
          <w:lang w:val="pt-BR"/>
        </w:rPr>
        <w:t xml:space="preserve">8. </w:t>
      </w:r>
      <w:proofErr w:type="gramStart"/>
      <w:r w:rsidRPr="00970463">
        <w:rPr>
          <w:rFonts w:cs="Arial"/>
          <w:color w:val="000000"/>
          <w:sz w:val="22"/>
          <w:szCs w:val="22"/>
          <w:lang w:val="pt-BR"/>
        </w:rPr>
        <w:tab/>
        <w:t>Se</w:t>
      </w:r>
      <w:proofErr w:type="gramEnd"/>
      <w:r w:rsidRPr="00970463">
        <w:rPr>
          <w:rFonts w:cs="Arial"/>
          <w:color w:val="000000"/>
          <w:sz w:val="22"/>
          <w:szCs w:val="22"/>
          <w:lang w:val="pt-BR"/>
        </w:rPr>
        <w:t xml:space="preserve"> apenas parte do passivo financeiro é extinto, a entidade deve avaliar se parte da retribuição paga refere-se a uma modificação dos termos da responsabilidade que remanesce.  Se parte do valor pago se refere a uma modificação dos termos da parte remanescente do passivo, a entidade deve alocar a retribuição paga entre a parte da responsabilidade extinta e a parte do passivo remanescente. A entidade deve considerar todos os fatos e circunstâncias relevantes relativos à operação ao fazer essa alocação. </w:t>
      </w:r>
    </w:p>
    <w:p w14:paraId="6A5EDC24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ind w:left="709" w:hanging="709"/>
        <w:rPr>
          <w:rFonts w:cs="Arial"/>
          <w:color w:val="000000"/>
          <w:sz w:val="22"/>
          <w:szCs w:val="22"/>
          <w:lang w:val="pt-BR"/>
        </w:rPr>
      </w:pPr>
    </w:p>
    <w:p w14:paraId="73AF1B65" w14:textId="7B6E452E" w:rsidR="00970463" w:rsidRPr="00970463" w:rsidRDefault="00970463" w:rsidP="00970463">
      <w:pPr>
        <w:spacing w:before="0" w:after="0"/>
        <w:ind w:left="567" w:hanging="567"/>
        <w:rPr>
          <w:rFonts w:cs="Arial"/>
          <w:color w:val="000000"/>
          <w:sz w:val="22"/>
          <w:szCs w:val="22"/>
          <w:lang w:val="pt-BR"/>
        </w:rPr>
      </w:pPr>
      <w:r w:rsidRPr="00970463">
        <w:rPr>
          <w:rFonts w:cs="Arial"/>
          <w:color w:val="000000"/>
          <w:sz w:val="22"/>
          <w:szCs w:val="22"/>
          <w:lang w:val="pt-BR"/>
        </w:rPr>
        <w:t xml:space="preserve">9. </w:t>
      </w:r>
      <w:r w:rsidRPr="00970463">
        <w:rPr>
          <w:rFonts w:cs="Arial"/>
          <w:color w:val="000000"/>
          <w:sz w:val="22"/>
          <w:szCs w:val="22"/>
          <w:lang w:val="pt-BR"/>
        </w:rPr>
        <w:tab/>
        <w:t xml:space="preserve">A diferença entre o valor contábil do passivo financeiro (ou parte do passivo financeiro) extinto e a retribuição paga deve ser reconhecida no resultado do período em conformidade com o item 3.3.3 do CPC 48. Os instrumentos patrimoniais próprios devem ser reconhecidos inicialmente e mensurados na data em que o passivo financeiro (ou parte desse passivo) for extinto. </w:t>
      </w:r>
    </w:p>
    <w:p w14:paraId="1FBAEB14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ind w:left="709" w:hanging="709"/>
        <w:rPr>
          <w:rFonts w:cs="Arial"/>
          <w:color w:val="000000"/>
          <w:sz w:val="22"/>
          <w:szCs w:val="22"/>
          <w:lang w:val="pt-BR"/>
        </w:rPr>
      </w:pPr>
    </w:p>
    <w:p w14:paraId="716D5A9E" w14:textId="4E69AE27" w:rsidR="00970463" w:rsidRPr="00970463" w:rsidRDefault="00970463" w:rsidP="00970463">
      <w:pPr>
        <w:widowControl w:val="0"/>
        <w:spacing w:before="0" w:after="0"/>
        <w:ind w:left="567" w:hanging="567"/>
        <w:rPr>
          <w:rFonts w:cs="Arial"/>
          <w:color w:val="0070C0"/>
          <w:sz w:val="18"/>
          <w:szCs w:val="18"/>
        </w:rPr>
      </w:pPr>
      <w:r w:rsidRPr="00970463">
        <w:rPr>
          <w:rFonts w:cs="Arial"/>
          <w:color w:val="000000"/>
          <w:sz w:val="22"/>
          <w:szCs w:val="22"/>
          <w:lang w:val="pt-BR"/>
        </w:rPr>
        <w:t xml:space="preserve">10. </w:t>
      </w:r>
      <w:proofErr w:type="gramStart"/>
      <w:r w:rsidRPr="00970463">
        <w:rPr>
          <w:rFonts w:cs="Arial"/>
          <w:color w:val="000000"/>
          <w:sz w:val="22"/>
          <w:szCs w:val="22"/>
          <w:lang w:val="pt-BR"/>
        </w:rPr>
        <w:tab/>
        <w:t>Quando</w:t>
      </w:r>
      <w:proofErr w:type="gramEnd"/>
      <w:r w:rsidRPr="00970463">
        <w:rPr>
          <w:rFonts w:cs="Arial"/>
          <w:color w:val="000000"/>
          <w:sz w:val="22"/>
          <w:szCs w:val="22"/>
          <w:lang w:val="pt-BR"/>
        </w:rPr>
        <w:t xml:space="preserve"> apenas parte do passivo financeiro for extinto, o valor deve ser atribuído de acordo com o item 8 desta interpretação. A importância atribuída à parte remanescente do passivo financeiro fará parte da avaliação se as condições dessa parcela remanescente tiverem sido substancialmente modificadas. Se o passivo remanescente tiver sido substancialmente alterado, a entidade deve contabilizar a alteração como extinção da obrigação original e o reconhecimento de novo passivo como requerido pelo item 3.3.2 do CPC 48</w:t>
      </w:r>
      <w:r w:rsidRPr="00970463">
        <w:rPr>
          <w:rFonts w:cs="Arial"/>
          <w:color w:val="0070C0"/>
          <w:sz w:val="18"/>
          <w:szCs w:val="18"/>
        </w:rPr>
        <w:t xml:space="preserve">. </w:t>
      </w:r>
    </w:p>
    <w:p w14:paraId="0B3A5F14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ind w:left="709" w:hanging="709"/>
        <w:rPr>
          <w:rFonts w:cs="Arial"/>
          <w:color w:val="000000"/>
          <w:sz w:val="22"/>
          <w:szCs w:val="22"/>
          <w:lang w:val="pt-BR"/>
        </w:rPr>
      </w:pPr>
    </w:p>
    <w:p w14:paraId="595E4985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ind w:left="567" w:hanging="567"/>
        <w:rPr>
          <w:rFonts w:cs="Arial"/>
          <w:color w:val="000000"/>
          <w:sz w:val="22"/>
          <w:szCs w:val="22"/>
          <w:lang w:val="pt-BR"/>
        </w:rPr>
      </w:pPr>
      <w:r w:rsidRPr="00970463">
        <w:rPr>
          <w:rFonts w:cs="Arial"/>
          <w:color w:val="000000"/>
          <w:sz w:val="22"/>
          <w:szCs w:val="22"/>
          <w:lang w:val="pt-BR"/>
        </w:rPr>
        <w:t xml:space="preserve">11. </w:t>
      </w:r>
      <w:r w:rsidRPr="00970463">
        <w:rPr>
          <w:rFonts w:cs="Arial"/>
          <w:color w:val="000000"/>
          <w:sz w:val="22"/>
          <w:szCs w:val="22"/>
          <w:lang w:val="pt-BR"/>
        </w:rPr>
        <w:tab/>
        <w:t xml:space="preserve">A entidade deve divulgar o ganho ou a </w:t>
      </w:r>
      <w:proofErr w:type="gramStart"/>
      <w:r w:rsidRPr="00970463">
        <w:rPr>
          <w:rFonts w:cs="Arial"/>
          <w:color w:val="000000"/>
          <w:sz w:val="22"/>
          <w:szCs w:val="22"/>
          <w:lang w:val="pt-BR"/>
        </w:rPr>
        <w:t>perda reconhecido</w:t>
      </w:r>
      <w:proofErr w:type="gramEnd"/>
      <w:r w:rsidRPr="00970463">
        <w:rPr>
          <w:rFonts w:cs="Arial"/>
          <w:color w:val="000000"/>
          <w:sz w:val="22"/>
          <w:szCs w:val="22"/>
          <w:lang w:val="pt-BR"/>
        </w:rPr>
        <w:t xml:space="preserve"> de acordo com os itens 9 e 10 como item separado na demonstração do resultado ou em nota explicativa. </w:t>
      </w:r>
    </w:p>
    <w:p w14:paraId="1137698E" w14:textId="77777777" w:rsidR="00970463" w:rsidRPr="00AD5DDE" w:rsidRDefault="00970463" w:rsidP="00970463">
      <w:pPr>
        <w:widowControl w:val="0"/>
        <w:tabs>
          <w:tab w:val="left" w:pos="6804"/>
        </w:tabs>
        <w:spacing w:before="0" w:after="0"/>
        <w:ind w:left="709" w:hanging="709"/>
        <w:rPr>
          <w:rFonts w:cs="Arial"/>
          <w:bCs/>
          <w:sz w:val="22"/>
          <w:szCs w:val="22"/>
        </w:rPr>
      </w:pPr>
    </w:p>
    <w:p w14:paraId="15D93831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rPr>
          <w:rFonts w:cs="Arial"/>
          <w:b/>
          <w:sz w:val="22"/>
          <w:szCs w:val="22"/>
        </w:rPr>
      </w:pPr>
      <w:r w:rsidRPr="00970463">
        <w:rPr>
          <w:rFonts w:cs="Arial"/>
          <w:b/>
          <w:sz w:val="22"/>
          <w:szCs w:val="22"/>
        </w:rPr>
        <w:t xml:space="preserve">Data de transição </w:t>
      </w:r>
    </w:p>
    <w:p w14:paraId="494D6DD7" w14:textId="77777777" w:rsidR="00970463" w:rsidRPr="00AD5DDE" w:rsidRDefault="00970463" w:rsidP="00970463">
      <w:pPr>
        <w:widowControl w:val="0"/>
        <w:tabs>
          <w:tab w:val="left" w:pos="6804"/>
        </w:tabs>
        <w:spacing w:before="0" w:after="0"/>
        <w:ind w:left="709" w:hanging="709"/>
        <w:rPr>
          <w:rFonts w:cs="Arial"/>
          <w:bCs/>
          <w:sz w:val="22"/>
          <w:szCs w:val="22"/>
        </w:rPr>
      </w:pPr>
    </w:p>
    <w:p w14:paraId="3A7BBA3B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ind w:left="567" w:hanging="567"/>
        <w:rPr>
          <w:rFonts w:cs="Arial"/>
          <w:sz w:val="22"/>
          <w:szCs w:val="22"/>
        </w:rPr>
      </w:pPr>
      <w:r w:rsidRPr="00970463">
        <w:rPr>
          <w:rFonts w:cs="Arial"/>
          <w:sz w:val="22"/>
          <w:szCs w:val="22"/>
        </w:rPr>
        <w:t xml:space="preserve">12. </w:t>
      </w:r>
      <w:r w:rsidRPr="00970463">
        <w:rPr>
          <w:rFonts w:cs="Arial"/>
          <w:sz w:val="22"/>
          <w:szCs w:val="22"/>
        </w:rPr>
        <w:tab/>
        <w:t xml:space="preserve">(Eliminado). </w:t>
      </w:r>
    </w:p>
    <w:p w14:paraId="37A43D34" w14:textId="77777777" w:rsidR="00970463" w:rsidRPr="00970463" w:rsidRDefault="00970463" w:rsidP="00970463">
      <w:pPr>
        <w:widowControl w:val="0"/>
        <w:tabs>
          <w:tab w:val="left" w:pos="6804"/>
        </w:tabs>
        <w:spacing w:before="0" w:after="0"/>
        <w:ind w:left="709" w:hanging="709"/>
        <w:rPr>
          <w:rFonts w:cs="Arial"/>
          <w:sz w:val="22"/>
          <w:szCs w:val="22"/>
        </w:rPr>
      </w:pPr>
    </w:p>
    <w:p w14:paraId="766A8BB0" w14:textId="75D72CFC" w:rsidR="00970463" w:rsidRPr="00970463" w:rsidRDefault="00970463" w:rsidP="00100F09">
      <w:pPr>
        <w:widowControl w:val="0"/>
        <w:spacing w:before="0" w:after="0"/>
        <w:ind w:left="567" w:hanging="567"/>
        <w:rPr>
          <w:rFonts w:cs="Arial"/>
          <w:b/>
          <w:sz w:val="22"/>
          <w:szCs w:val="22"/>
          <w:lang w:val="pt-BR"/>
        </w:rPr>
      </w:pPr>
      <w:r w:rsidRPr="00970463">
        <w:rPr>
          <w:rFonts w:cs="Arial"/>
          <w:sz w:val="22"/>
          <w:szCs w:val="22"/>
        </w:rPr>
        <w:t xml:space="preserve">13. </w:t>
      </w:r>
      <w:r w:rsidRPr="00970463">
        <w:rPr>
          <w:rFonts w:cs="Arial"/>
          <w:sz w:val="22"/>
          <w:szCs w:val="22"/>
        </w:rPr>
        <w:tab/>
        <w:t xml:space="preserve">A entidade deve aplicar uma alteração de prática contábil de acordo com o Pronunciamento Técnico CPC 23 a partir do início do primeiro período comparativo apresentado. </w:t>
      </w:r>
    </w:p>
    <w:p w14:paraId="2C5A7000" w14:textId="286C3877" w:rsidR="00C578D8" w:rsidRDefault="00C578D8">
      <w:pPr>
        <w:rPr>
          <w:lang w:val="pt-BR"/>
        </w:rPr>
      </w:pPr>
    </w:p>
    <w:p w14:paraId="5ABEFC5B" w14:textId="77777777" w:rsidR="00273211" w:rsidRPr="0096648A" w:rsidRDefault="00273211">
      <w:pPr>
        <w:rPr>
          <w:lang w:val="pt-BR"/>
        </w:rPr>
      </w:pPr>
    </w:p>
    <w:sectPr w:rsidR="00273211" w:rsidRPr="0096648A" w:rsidSect="00A2143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68" w:right="567" w:bottom="851" w:left="1134" w:header="720" w:footer="62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485D9" w14:textId="77777777" w:rsidR="00F46BDB" w:rsidRDefault="00F46BDB" w:rsidP="0096648A">
      <w:pPr>
        <w:spacing w:before="0" w:after="0"/>
      </w:pPr>
      <w:r>
        <w:separator/>
      </w:r>
    </w:p>
  </w:endnote>
  <w:endnote w:type="continuationSeparator" w:id="0">
    <w:p w14:paraId="711E8B6E" w14:textId="77777777" w:rsidR="00F46BDB" w:rsidRDefault="00F46BDB" w:rsidP="009664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2FDD0" w14:textId="77777777" w:rsidR="00D76E29" w:rsidRDefault="0084434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3FD24D" w14:textId="77777777" w:rsidR="00D76E29" w:rsidRDefault="00983F6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Cs w:val="20"/>
      </w:rPr>
      <w:id w:val="233443539"/>
      <w:docPartObj>
        <w:docPartGallery w:val="Page Numbers (Bottom of Page)"/>
        <w:docPartUnique/>
      </w:docPartObj>
    </w:sdtPr>
    <w:sdtEndPr/>
    <w:sdtContent>
      <w:p w14:paraId="4E8AE55F" w14:textId="6F82AF84" w:rsidR="00AB3649" w:rsidRPr="00AB3649" w:rsidRDefault="00AB3649">
        <w:pPr>
          <w:pStyle w:val="Rodap"/>
          <w:jc w:val="center"/>
          <w:rPr>
            <w:rFonts w:asciiTheme="minorHAnsi" w:hAnsiTheme="minorHAnsi" w:cstheme="minorHAnsi"/>
            <w:szCs w:val="20"/>
          </w:rPr>
        </w:pPr>
        <w:r w:rsidRPr="00AB3649">
          <w:rPr>
            <w:rFonts w:asciiTheme="minorHAnsi" w:hAnsiTheme="minorHAnsi" w:cstheme="minorHAnsi"/>
            <w:szCs w:val="20"/>
          </w:rPr>
          <w:fldChar w:fldCharType="begin"/>
        </w:r>
        <w:r w:rsidRPr="00AB3649">
          <w:rPr>
            <w:rFonts w:asciiTheme="minorHAnsi" w:hAnsiTheme="minorHAnsi" w:cstheme="minorHAnsi"/>
            <w:szCs w:val="20"/>
          </w:rPr>
          <w:instrText>PAGE   \* MERGEFORMAT</w:instrText>
        </w:r>
        <w:r w:rsidRPr="00AB3649">
          <w:rPr>
            <w:rFonts w:asciiTheme="minorHAnsi" w:hAnsiTheme="minorHAnsi" w:cstheme="minorHAnsi"/>
            <w:szCs w:val="20"/>
          </w:rPr>
          <w:fldChar w:fldCharType="separate"/>
        </w:r>
        <w:r w:rsidR="00983F69" w:rsidRPr="00983F69">
          <w:rPr>
            <w:rFonts w:asciiTheme="minorHAnsi" w:hAnsiTheme="minorHAnsi" w:cstheme="minorHAnsi"/>
            <w:noProof/>
            <w:szCs w:val="20"/>
            <w:lang w:val="pt-BR"/>
          </w:rPr>
          <w:t>4</w:t>
        </w:r>
        <w:r w:rsidRPr="00AB3649">
          <w:rPr>
            <w:rFonts w:asciiTheme="minorHAnsi" w:hAnsiTheme="minorHAnsi" w:cstheme="minorHAnsi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8FC6" w14:textId="69271736" w:rsidR="00A21437" w:rsidRPr="00A21437" w:rsidRDefault="00A21437">
    <w:pPr>
      <w:pStyle w:val="Rodap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79DDC" w14:textId="77777777" w:rsidR="00F46BDB" w:rsidRDefault="00F46BDB" w:rsidP="0096648A">
      <w:pPr>
        <w:spacing w:before="0" w:after="0"/>
      </w:pPr>
      <w:r>
        <w:separator/>
      </w:r>
    </w:p>
  </w:footnote>
  <w:footnote w:type="continuationSeparator" w:id="0">
    <w:p w14:paraId="1ADD3DBD" w14:textId="77777777" w:rsidR="00F46BDB" w:rsidRDefault="00F46BDB" w:rsidP="009664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A5FC" w14:textId="77777777" w:rsidR="00A21437" w:rsidRPr="007A1E4D" w:rsidRDefault="00A21437" w:rsidP="00A21437">
    <w:pPr>
      <w:tabs>
        <w:tab w:val="center" w:pos="4419"/>
        <w:tab w:val="right" w:pos="8838"/>
      </w:tabs>
      <w:spacing w:before="0" w:after="0"/>
      <w:jc w:val="center"/>
    </w:pPr>
    <w:r>
      <w:rPr>
        <w:noProof/>
        <w:lang w:val="pt-BR"/>
      </w:rPr>
      <w:drawing>
        <wp:inline distT="0" distB="0" distL="0" distR="0" wp14:anchorId="7D04D14D" wp14:editId="3CDE6438">
          <wp:extent cx="628650" cy="628650"/>
          <wp:effectExtent l="0" t="0" r="0" b="0"/>
          <wp:docPr id="13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6B8A5" w14:textId="77777777" w:rsidR="00A21437" w:rsidRPr="00A21437" w:rsidRDefault="00A21437" w:rsidP="00A21437">
    <w:pPr>
      <w:spacing w:before="0" w:after="0"/>
      <w:jc w:val="center"/>
      <w:rPr>
        <w:rFonts w:asciiTheme="minorHAnsi" w:hAnsiTheme="minorHAnsi" w:cstheme="minorHAnsi"/>
        <w:b/>
        <w:sz w:val="24"/>
      </w:rPr>
    </w:pPr>
    <w:r w:rsidRPr="00A21437">
      <w:rPr>
        <w:rFonts w:asciiTheme="minorHAnsi" w:hAnsiTheme="minorHAnsi" w:cstheme="minorHAnsi"/>
        <w:b/>
        <w:sz w:val="24"/>
      </w:rPr>
      <w:t>COMISSÃO DE VALORES MOBILIÁRIOS</w:t>
    </w:r>
  </w:p>
  <w:p w14:paraId="385674C6" w14:textId="77777777" w:rsidR="00A21437" w:rsidRPr="00A21437" w:rsidRDefault="00A21437" w:rsidP="00A21437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A21437">
      <w:rPr>
        <w:rFonts w:asciiTheme="minorHAnsi" w:hAnsiTheme="minorHAnsi" w:cstheme="minorHAnsi"/>
        <w:sz w:val="18"/>
        <w:szCs w:val="18"/>
      </w:rPr>
      <w:t>Rua Sete de Setembro, 111/2-5º e 23-34º Andares, Centro, Rio de Janeiro/RJ – CEP: 20050-901 – Brasil - Tel.: (21) 3554-8686</w:t>
    </w:r>
  </w:p>
  <w:p w14:paraId="67CA99E2" w14:textId="77777777" w:rsidR="00A21437" w:rsidRPr="00A21437" w:rsidRDefault="00A21437" w:rsidP="00A21437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A21437">
      <w:rPr>
        <w:rFonts w:asciiTheme="minorHAnsi" w:hAnsiTheme="minorHAnsi" w:cstheme="minorHAnsi"/>
        <w:sz w:val="18"/>
        <w:szCs w:val="18"/>
      </w:rPr>
      <w:t>Rua Cincinato Braga, 340/2º, 3º e 4º Andares, Bela Vista, São Paulo/ SP – CEP: 01333-010 – Brasil - Tel.: (11) 2146-2000</w:t>
    </w:r>
  </w:p>
  <w:p w14:paraId="627E57A7" w14:textId="77777777" w:rsidR="00A21437" w:rsidRPr="00A21437" w:rsidRDefault="00A21437" w:rsidP="00A21437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A21437">
      <w:rPr>
        <w:rFonts w:asciiTheme="minorHAnsi" w:hAnsiTheme="minorHAnsi" w:cstheme="minorHAnsi"/>
        <w:sz w:val="18"/>
        <w:szCs w:val="18"/>
      </w:rPr>
      <w:t>SCN Q.02 – Bl. A – Ed. Corporate Financial Center, S.404/4º Andar, Brasília/DF – CEP: 70712-900 – Brasil -Tel.: (61) 3327-2030/2031</w:t>
    </w:r>
  </w:p>
  <w:p w14:paraId="23F598BB" w14:textId="240864E4" w:rsidR="00A21437" w:rsidRDefault="00983F69" w:rsidP="00A21437">
    <w:pPr>
      <w:pStyle w:val="Cabealho"/>
      <w:spacing w:before="0" w:after="0"/>
      <w:jc w:val="center"/>
      <w:rPr>
        <w:rFonts w:asciiTheme="minorHAnsi" w:hAnsiTheme="minorHAnsi" w:cstheme="minorHAnsi"/>
        <w:sz w:val="18"/>
        <w:szCs w:val="18"/>
      </w:rPr>
    </w:pPr>
    <w:hyperlink r:id="rId2" w:history="1">
      <w:r w:rsidR="00E653D2" w:rsidRPr="00836193">
        <w:rPr>
          <w:rStyle w:val="Hyperlink"/>
          <w:rFonts w:asciiTheme="minorHAnsi" w:hAnsiTheme="minorHAnsi" w:cstheme="minorHAnsi"/>
          <w:sz w:val="18"/>
          <w:szCs w:val="18"/>
        </w:rPr>
        <w:t>www.gov.br/cvm</w:t>
      </w:r>
    </w:hyperlink>
  </w:p>
  <w:p w14:paraId="18930FD4" w14:textId="52834013" w:rsidR="00D76E29" w:rsidRPr="00A21437" w:rsidRDefault="00046115" w:rsidP="00A21437">
    <w:pPr>
      <w:pStyle w:val="Cabealho"/>
      <w:spacing w:before="240" w:after="240"/>
      <w:rPr>
        <w:rFonts w:asciiTheme="minorHAnsi" w:hAnsiTheme="minorHAnsi" w:cstheme="minorHAnsi"/>
      </w:rPr>
    </w:pPr>
    <w:r w:rsidRPr="00046115">
      <w:rPr>
        <w:rFonts w:asciiTheme="minorHAnsi" w:hAnsiTheme="minorHAnsi" w:cstheme="minorHAnsi"/>
        <w:szCs w:val="20"/>
      </w:rPr>
      <w:t>RESOLUÇÃO CVM Nº 127, DE 3 DE JUNHO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1AFD" w14:textId="77777777" w:rsidR="00DF62F3" w:rsidRPr="007A1E4D" w:rsidRDefault="00DF62F3" w:rsidP="00DF62F3">
    <w:pPr>
      <w:tabs>
        <w:tab w:val="center" w:pos="4419"/>
        <w:tab w:val="right" w:pos="8838"/>
      </w:tabs>
      <w:jc w:val="center"/>
    </w:pPr>
    <w:r>
      <w:rPr>
        <w:noProof/>
        <w:lang w:val="pt-BR"/>
      </w:rPr>
      <w:drawing>
        <wp:inline distT="0" distB="0" distL="0" distR="0" wp14:anchorId="03F737A4" wp14:editId="3E1E4ECB">
          <wp:extent cx="628650" cy="628650"/>
          <wp:effectExtent l="0" t="0" r="0" b="0"/>
          <wp:docPr id="1303288183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B1390C" w14:textId="77777777" w:rsidR="00DF62F3" w:rsidRPr="00DF62F3" w:rsidRDefault="00DF62F3" w:rsidP="00DF62F3">
    <w:pPr>
      <w:spacing w:before="0" w:after="0"/>
      <w:jc w:val="center"/>
      <w:rPr>
        <w:rFonts w:asciiTheme="minorHAnsi" w:hAnsiTheme="minorHAnsi" w:cstheme="minorHAnsi"/>
        <w:b/>
        <w:sz w:val="24"/>
      </w:rPr>
    </w:pPr>
    <w:r w:rsidRPr="00DF62F3">
      <w:rPr>
        <w:rFonts w:asciiTheme="minorHAnsi" w:hAnsiTheme="minorHAnsi" w:cstheme="minorHAnsi"/>
        <w:b/>
        <w:sz w:val="24"/>
      </w:rPr>
      <w:t>COMISSÃO DE VALORES MOBILIÁRIOS</w:t>
    </w:r>
  </w:p>
  <w:p w14:paraId="3EE652BB" w14:textId="77777777" w:rsidR="00DF62F3" w:rsidRPr="00DB68BE" w:rsidRDefault="00DF62F3" w:rsidP="00DF62F3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Rua Sete de Setembro, 111/2-5º e 23-34º Andares, Centro, Rio de Janeiro/RJ – CEP: 20050-901 – Brasil - Tel.: (21) 3554-8686</w:t>
    </w:r>
  </w:p>
  <w:p w14:paraId="2500B3D1" w14:textId="77777777" w:rsidR="00DF62F3" w:rsidRPr="00DB68BE" w:rsidRDefault="00DF62F3" w:rsidP="00DF62F3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Rua Cincinato Braga, 340/2º, 3º e 4º Andares, Bela Vista, São Paulo/ SP – CEP: 01333-010 – Brasil - Tel.: (11) 2146-2000</w:t>
    </w:r>
  </w:p>
  <w:p w14:paraId="26FF1146" w14:textId="77777777" w:rsidR="00DF62F3" w:rsidRPr="00DB68BE" w:rsidRDefault="00DF62F3" w:rsidP="00DF62F3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SCN Q.02 – Bl. A – Ed. Corporate Financial Center, S.404/4º Andar, Brasília/DF – CEP: 70712-900 – Brasil -Tel.: (61) 3327-2030/2031</w:t>
    </w:r>
  </w:p>
  <w:p w14:paraId="50D54C72" w14:textId="411AEB93" w:rsidR="00D76E29" w:rsidRDefault="00983F69" w:rsidP="00DF62F3">
    <w:pPr>
      <w:pStyle w:val="Cabealho"/>
      <w:spacing w:before="0" w:after="360"/>
      <w:jc w:val="center"/>
      <w:rPr>
        <w:rFonts w:asciiTheme="minorHAnsi" w:hAnsiTheme="minorHAnsi" w:cstheme="minorHAnsi"/>
        <w:sz w:val="18"/>
        <w:szCs w:val="18"/>
      </w:rPr>
    </w:pPr>
    <w:hyperlink r:id="rId2" w:history="1">
      <w:r w:rsidR="00E653D2" w:rsidRPr="00836193">
        <w:rPr>
          <w:rStyle w:val="Hyperlink"/>
          <w:rFonts w:asciiTheme="minorHAnsi" w:hAnsiTheme="minorHAnsi" w:cstheme="minorHAnsi"/>
          <w:sz w:val="18"/>
          <w:szCs w:val="18"/>
        </w:rPr>
        <w:t>www.gov.br/cvm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3DD8"/>
    <w:multiLevelType w:val="hybridMultilevel"/>
    <w:tmpl w:val="33E8950C"/>
    <w:lvl w:ilvl="0" w:tplc="7F2C288E">
      <w:start w:val="2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464CBF"/>
    <w:multiLevelType w:val="singleLevel"/>
    <w:tmpl w:val="2456485C"/>
    <w:lvl w:ilvl="0">
      <w:start w:val="1"/>
      <w:numFmt w:val="bullet"/>
      <w:pStyle w:val="15-BulletNvel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4"/>
      </w:rPr>
    </w:lvl>
  </w:abstractNum>
  <w:abstractNum w:abstractNumId="2" w15:restartNumberingAfterBreak="0">
    <w:nsid w:val="2AD42FE7"/>
    <w:multiLevelType w:val="hybridMultilevel"/>
    <w:tmpl w:val="FF76D92C"/>
    <w:lvl w:ilvl="0" w:tplc="AD30B41E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0F5B6C"/>
    <w:multiLevelType w:val="hybridMultilevel"/>
    <w:tmpl w:val="FF76D92C"/>
    <w:lvl w:ilvl="0" w:tplc="AD30B41E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DDA73C6"/>
    <w:multiLevelType w:val="hybridMultilevel"/>
    <w:tmpl w:val="5A526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8A"/>
    <w:rsid w:val="00046115"/>
    <w:rsid w:val="000960DD"/>
    <w:rsid w:val="00100F09"/>
    <w:rsid w:val="00195AB7"/>
    <w:rsid w:val="001969E7"/>
    <w:rsid w:val="00273211"/>
    <w:rsid w:val="00275BD2"/>
    <w:rsid w:val="004309FF"/>
    <w:rsid w:val="005D7141"/>
    <w:rsid w:val="00701F9E"/>
    <w:rsid w:val="007137F2"/>
    <w:rsid w:val="00787654"/>
    <w:rsid w:val="0079673A"/>
    <w:rsid w:val="007E33C2"/>
    <w:rsid w:val="00824ACF"/>
    <w:rsid w:val="0084434F"/>
    <w:rsid w:val="0096648A"/>
    <w:rsid w:val="00970463"/>
    <w:rsid w:val="00983F69"/>
    <w:rsid w:val="009D3457"/>
    <w:rsid w:val="00A21437"/>
    <w:rsid w:val="00A92033"/>
    <w:rsid w:val="00AB3649"/>
    <w:rsid w:val="00AD5DDE"/>
    <w:rsid w:val="00C43664"/>
    <w:rsid w:val="00C578D8"/>
    <w:rsid w:val="00C72039"/>
    <w:rsid w:val="00CF08C5"/>
    <w:rsid w:val="00CF424B"/>
    <w:rsid w:val="00D410C6"/>
    <w:rsid w:val="00D716DC"/>
    <w:rsid w:val="00DF62F3"/>
    <w:rsid w:val="00E653D2"/>
    <w:rsid w:val="00ED41B7"/>
    <w:rsid w:val="00F4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952"/>
  <w15:chartTrackingRefBased/>
  <w15:docId w15:val="{A039BEE3-6F4A-46C4-9423-3667D036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48A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pt-PT" w:eastAsia="pt-BR"/>
    </w:rPr>
  </w:style>
  <w:style w:type="paragraph" w:styleId="Ttulo1">
    <w:name w:val="heading 1"/>
    <w:basedOn w:val="Normal"/>
    <w:link w:val="Ttulo1Char"/>
    <w:qFormat/>
    <w:rsid w:val="0096648A"/>
    <w:pPr>
      <w:keepNext/>
      <w:spacing w:before="0" w:after="0"/>
      <w:outlineLvl w:val="0"/>
    </w:pPr>
    <w:rPr>
      <w:rFonts w:ascii="Times New Roman" w:hAnsi="Times New Roman"/>
      <w:b/>
      <w:bCs/>
      <w:kern w:val="36"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qFormat/>
    <w:rsid w:val="0096648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6648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664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664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6648A"/>
    <w:pPr>
      <w:keepNext/>
      <w:outlineLvl w:val="5"/>
    </w:pPr>
    <w:rPr>
      <w:rFonts w:ascii="Times New Roman" w:hAnsi="Times New Roman"/>
      <w:b/>
      <w:caps/>
      <w:sz w:val="22"/>
      <w:szCs w:val="20"/>
      <w:lang w:val="pt-BR" w:eastAsia="en-US"/>
    </w:rPr>
  </w:style>
  <w:style w:type="paragraph" w:styleId="Ttulo7">
    <w:name w:val="heading 7"/>
    <w:basedOn w:val="Normal"/>
    <w:next w:val="Normal"/>
    <w:link w:val="Ttulo7Char"/>
    <w:qFormat/>
    <w:rsid w:val="0096648A"/>
    <w:pPr>
      <w:spacing w:before="240" w:after="60"/>
      <w:jc w:val="left"/>
      <w:outlineLvl w:val="6"/>
    </w:pPr>
    <w:rPr>
      <w:rFonts w:ascii="Times New Roman" w:hAnsi="Times New Roman"/>
      <w:sz w:val="24"/>
      <w:lang w:val="pt-BR"/>
    </w:rPr>
  </w:style>
  <w:style w:type="paragraph" w:styleId="Ttulo8">
    <w:name w:val="heading 8"/>
    <w:basedOn w:val="Normal"/>
    <w:next w:val="Normal"/>
    <w:link w:val="Ttulo8Char"/>
    <w:qFormat/>
    <w:rsid w:val="0096648A"/>
    <w:pPr>
      <w:spacing w:before="240" w:after="60"/>
      <w:outlineLvl w:val="7"/>
    </w:pPr>
    <w:rPr>
      <w:rFonts w:ascii="Cambria" w:hAnsi="Cambria"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648A"/>
    <w:rPr>
      <w:rFonts w:ascii="Times New Roman" w:eastAsia="Times New Roman" w:hAnsi="Times New Roman" w:cs="Times New Roman"/>
      <w:b/>
      <w:bCs/>
      <w:kern w:val="36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96648A"/>
    <w:rPr>
      <w:rFonts w:ascii="Arial" w:eastAsia="Times New Roman" w:hAnsi="Arial" w:cs="Arial"/>
      <w:b/>
      <w:bCs/>
      <w:i/>
      <w:iCs/>
      <w:sz w:val="28"/>
      <w:szCs w:val="28"/>
      <w:lang w:val="pt-PT" w:eastAsia="pt-BR"/>
    </w:rPr>
  </w:style>
  <w:style w:type="character" w:customStyle="1" w:styleId="Ttulo3Char">
    <w:name w:val="Título 3 Char"/>
    <w:basedOn w:val="Fontepargpadro"/>
    <w:link w:val="Ttulo3"/>
    <w:rsid w:val="0096648A"/>
    <w:rPr>
      <w:rFonts w:ascii="Arial" w:eastAsia="Times New Roman" w:hAnsi="Arial" w:cs="Arial"/>
      <w:b/>
      <w:bCs/>
      <w:sz w:val="26"/>
      <w:szCs w:val="26"/>
      <w:lang w:val="pt-PT" w:eastAsia="pt-BR"/>
    </w:rPr>
  </w:style>
  <w:style w:type="character" w:customStyle="1" w:styleId="Ttulo4Char">
    <w:name w:val="Título 4 Char"/>
    <w:basedOn w:val="Fontepargpadro"/>
    <w:link w:val="Ttulo4"/>
    <w:rsid w:val="0096648A"/>
    <w:rPr>
      <w:rFonts w:ascii="Times New Roman" w:eastAsia="Times New Roman" w:hAnsi="Times New Roman" w:cs="Times New Roman"/>
      <w:b/>
      <w:bCs/>
      <w:sz w:val="28"/>
      <w:szCs w:val="28"/>
      <w:lang w:val="pt-PT" w:eastAsia="pt-BR"/>
    </w:rPr>
  </w:style>
  <w:style w:type="character" w:customStyle="1" w:styleId="Ttulo5Char">
    <w:name w:val="Título 5 Char"/>
    <w:basedOn w:val="Fontepargpadro"/>
    <w:link w:val="Ttulo5"/>
    <w:rsid w:val="0096648A"/>
    <w:rPr>
      <w:rFonts w:ascii="Arial" w:eastAsia="Times New Roman" w:hAnsi="Arial" w:cs="Times New Roman"/>
      <w:b/>
      <w:bCs/>
      <w:i/>
      <w:iCs/>
      <w:sz w:val="26"/>
      <w:szCs w:val="26"/>
      <w:lang w:val="pt-PT" w:eastAsia="pt-BR"/>
    </w:rPr>
  </w:style>
  <w:style w:type="character" w:customStyle="1" w:styleId="Ttulo6Char">
    <w:name w:val="Título 6 Char"/>
    <w:basedOn w:val="Fontepargpadro"/>
    <w:link w:val="Ttulo6"/>
    <w:rsid w:val="0096648A"/>
    <w:rPr>
      <w:rFonts w:ascii="Times New Roman" w:eastAsia="Times New Roman" w:hAnsi="Times New Roman" w:cs="Times New Roman"/>
      <w:b/>
      <w:caps/>
      <w:szCs w:val="20"/>
    </w:rPr>
  </w:style>
  <w:style w:type="character" w:customStyle="1" w:styleId="Ttulo7Char">
    <w:name w:val="Título 7 Char"/>
    <w:basedOn w:val="Fontepargpadro"/>
    <w:link w:val="Ttulo7"/>
    <w:rsid w:val="0096648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6648A"/>
    <w:rPr>
      <w:rFonts w:ascii="Cambria" w:eastAsia="Times New Roman" w:hAnsi="Cambria" w:cs="Times New Roman"/>
      <w:i/>
      <w:iCs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96648A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48A"/>
    <w:rPr>
      <w:rFonts w:ascii="Tahoma" w:eastAsia="Times New Roman" w:hAnsi="Tahoma" w:cs="Times New Roman"/>
      <w:sz w:val="16"/>
      <w:szCs w:val="16"/>
      <w:lang w:val="pt-PT" w:eastAsia="x-none"/>
    </w:rPr>
  </w:style>
  <w:style w:type="character" w:customStyle="1" w:styleId="BalloonTextChar">
    <w:name w:val="Balloon Text Char"/>
    <w:semiHidden/>
    <w:rsid w:val="0096648A"/>
    <w:rPr>
      <w:rFonts w:ascii="Lucida Grande" w:hAnsi="Lucida Grande"/>
      <w:sz w:val="18"/>
      <w:szCs w:val="18"/>
    </w:rPr>
  </w:style>
  <w:style w:type="paragraph" w:styleId="Textoembloco">
    <w:name w:val="Block Text"/>
    <w:basedOn w:val="Normal"/>
    <w:link w:val="TextoemblocoChar"/>
    <w:uiPriority w:val="99"/>
    <w:rsid w:val="0096648A"/>
    <w:pPr>
      <w:widowControl w:val="0"/>
      <w:tabs>
        <w:tab w:val="left" w:pos="6804"/>
      </w:tabs>
      <w:spacing w:before="2" w:after="2" w:line="250" w:lineRule="auto"/>
      <w:ind w:left="336" w:right="57" w:hanging="279"/>
      <w:jc w:val="left"/>
    </w:pPr>
    <w:rPr>
      <w:lang w:eastAsia="x-none"/>
    </w:rPr>
  </w:style>
  <w:style w:type="paragraph" w:styleId="Cabealho">
    <w:name w:val="header"/>
    <w:basedOn w:val="Normal"/>
    <w:link w:val="CabealhoChar"/>
    <w:uiPriority w:val="99"/>
    <w:rsid w:val="0096648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6648A"/>
    <w:rPr>
      <w:rFonts w:ascii="Arial" w:eastAsia="Times New Roman" w:hAnsi="Arial" w:cs="Times New Roman"/>
      <w:sz w:val="20"/>
      <w:szCs w:val="24"/>
      <w:lang w:val="pt-PT" w:eastAsia="x-none"/>
    </w:rPr>
  </w:style>
  <w:style w:type="paragraph" w:styleId="Rodap">
    <w:name w:val="footer"/>
    <w:basedOn w:val="Normal"/>
    <w:link w:val="RodapChar"/>
    <w:rsid w:val="0096648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RodapChar">
    <w:name w:val="Rodapé Char"/>
    <w:basedOn w:val="Fontepargpadro"/>
    <w:link w:val="Rodap"/>
    <w:rsid w:val="0096648A"/>
    <w:rPr>
      <w:rFonts w:ascii="Arial" w:eastAsia="Times New Roman" w:hAnsi="Arial" w:cs="Times New Roman"/>
      <w:sz w:val="20"/>
      <w:szCs w:val="24"/>
      <w:lang w:val="pt-PT" w:eastAsia="x-none"/>
    </w:rPr>
  </w:style>
  <w:style w:type="character" w:styleId="Refdecomentrio">
    <w:name w:val="annotation reference"/>
    <w:uiPriority w:val="99"/>
    <w:semiHidden/>
    <w:rsid w:val="0096648A"/>
    <w:rPr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6648A"/>
    <w:pPr>
      <w:spacing w:before="0" w:after="0"/>
    </w:pPr>
    <w:rPr>
      <w:rFonts w:ascii="Times New Roman" w:hAnsi="Times New Roman"/>
      <w:szCs w:val="20"/>
      <w:lang w:val="x-none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648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Recuonormal1">
    <w:name w:val="Recuo normal1"/>
    <w:basedOn w:val="Normal"/>
    <w:rsid w:val="0096648A"/>
    <w:pPr>
      <w:spacing w:before="0" w:after="0"/>
      <w:ind w:left="720"/>
    </w:pPr>
    <w:rPr>
      <w:rFonts w:ascii="Times New Roman" w:hAnsi="Times New Roman"/>
      <w:sz w:val="22"/>
      <w:szCs w:val="20"/>
      <w:lang w:val="pt-BR" w:eastAsia="en-US"/>
    </w:rPr>
  </w:style>
  <w:style w:type="paragraph" w:styleId="NormalWeb">
    <w:name w:val="Normal (Web)"/>
    <w:basedOn w:val="Normal"/>
    <w:semiHidden/>
    <w:rsid w:val="0096648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6648A"/>
    <w:pPr>
      <w:spacing w:before="120" w:after="120"/>
    </w:pPr>
    <w:rPr>
      <w:rFonts w:ascii="Arial" w:hAnsi="Arial"/>
      <w:b/>
      <w:bCs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648A"/>
    <w:rPr>
      <w:rFonts w:ascii="Arial" w:eastAsia="Times New Roman" w:hAnsi="Arial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rsid w:val="0096648A"/>
    <w:pPr>
      <w:spacing w:before="0" w:after="0"/>
    </w:pPr>
    <w:rPr>
      <w:rFonts w:ascii="Times New Roman" w:hAnsi="Times New Roman"/>
      <w:sz w:val="22"/>
      <w:szCs w:val="22"/>
      <w:lang w:val="pt-BR"/>
    </w:rPr>
  </w:style>
  <w:style w:type="character" w:customStyle="1" w:styleId="CorpodetextoChar">
    <w:name w:val="Corpo de texto Char"/>
    <w:basedOn w:val="Fontepargpadro"/>
    <w:link w:val="Corpodetexto"/>
    <w:rsid w:val="0096648A"/>
    <w:rPr>
      <w:rFonts w:ascii="Times New Roman" w:eastAsia="Times New Roman" w:hAnsi="Times New Roman" w:cs="Times New Roman"/>
      <w:lang w:eastAsia="pt-BR"/>
    </w:rPr>
  </w:style>
  <w:style w:type="character" w:customStyle="1" w:styleId="grame">
    <w:name w:val="grame"/>
    <w:basedOn w:val="Fontepargpadro"/>
    <w:rsid w:val="0096648A"/>
  </w:style>
  <w:style w:type="character" w:customStyle="1" w:styleId="spelle">
    <w:name w:val="spelle"/>
    <w:basedOn w:val="Fontepargpadro"/>
    <w:rsid w:val="0096648A"/>
  </w:style>
  <w:style w:type="character" w:styleId="Refdenotaderodap">
    <w:name w:val="footnote reference"/>
    <w:semiHidden/>
    <w:rsid w:val="0096648A"/>
    <w:rPr>
      <w:rFonts w:ascii="Times New Roman" w:hAnsi="Times New Roman" w:cs="Times New Roman" w:hint="default"/>
      <w:b/>
      <w:bCs/>
      <w:strike w:val="0"/>
      <w:dstrike w:val="0"/>
      <w:color w:val="000000"/>
      <w:u w:val="none"/>
      <w:effect w:val="none"/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96648A"/>
    <w:pPr>
      <w:spacing w:before="0" w:after="0"/>
    </w:pPr>
    <w:rPr>
      <w:rFonts w:ascii="Times New Roman" w:hAnsi="Times New Roman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664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next w:val="Normal"/>
    <w:rsid w:val="0096648A"/>
    <w:pPr>
      <w:widowControl w:val="0"/>
      <w:spacing w:before="0" w:after="0"/>
      <w:ind w:left="432" w:hanging="432"/>
    </w:pPr>
    <w:rPr>
      <w:rFonts w:ascii="Times New Roman" w:hAnsi="Times New Roman"/>
      <w:szCs w:val="20"/>
      <w:lang w:val="pt-BR" w:eastAsia="en-US"/>
    </w:rPr>
  </w:style>
  <w:style w:type="character" w:styleId="Nmerodepgina">
    <w:name w:val="page number"/>
    <w:basedOn w:val="Fontepargpadro"/>
    <w:rsid w:val="0096648A"/>
  </w:style>
  <w:style w:type="paragraph" w:customStyle="1" w:styleId="Normal1">
    <w:name w:val="Normal1"/>
    <w:basedOn w:val="Normal"/>
    <w:rsid w:val="0096648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customStyle="1" w:styleId="outline">
    <w:name w:val="outline"/>
    <w:basedOn w:val="Normal"/>
    <w:rsid w:val="0096648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customStyle="1" w:styleId="paragraph2">
    <w:name w:val="paragraph2"/>
    <w:basedOn w:val="Normal"/>
    <w:rsid w:val="0096648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styleId="Recuodecorpodetexto">
    <w:name w:val="Body Text Indent"/>
    <w:basedOn w:val="Normal"/>
    <w:link w:val="RecuodecorpodetextoChar"/>
    <w:semiHidden/>
    <w:rsid w:val="0096648A"/>
    <w:pPr>
      <w:tabs>
        <w:tab w:val="left" w:pos="720"/>
      </w:tabs>
      <w:spacing w:before="0" w:after="0"/>
      <w:ind w:left="720" w:hanging="360"/>
    </w:pPr>
    <w:rPr>
      <w:rFonts w:ascii="Times New Roman" w:hAnsi="Times New Roman"/>
      <w:lang w:val="pt-BR"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6648A"/>
    <w:rPr>
      <w:rFonts w:ascii="Times New Roman" w:eastAsia="Times New Roman" w:hAnsi="Times New Roman" w:cs="Times New Roman"/>
      <w:sz w:val="20"/>
      <w:szCs w:val="24"/>
    </w:rPr>
  </w:style>
  <w:style w:type="paragraph" w:styleId="Recuodecorpodetexto2">
    <w:name w:val="Body Text Indent 2"/>
    <w:basedOn w:val="Normal"/>
    <w:link w:val="Recuodecorpodetexto2Char"/>
    <w:semiHidden/>
    <w:rsid w:val="0096648A"/>
    <w:pPr>
      <w:spacing w:before="0" w:line="480" w:lineRule="auto"/>
      <w:ind w:left="283"/>
      <w:jc w:val="left"/>
    </w:pPr>
    <w:rPr>
      <w:rFonts w:ascii="Times New Roman" w:eastAsia="SimSun" w:hAnsi="Times New Roman"/>
      <w:sz w:val="24"/>
      <w:lang w:val="en-US" w:eastAsia="zh-CN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6648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5-BulletNvel1">
    <w:name w:val="15 - «Bullet» Nível 1"/>
    <w:basedOn w:val="Normal"/>
    <w:rsid w:val="0096648A"/>
    <w:pPr>
      <w:numPr>
        <w:numId w:val="1"/>
      </w:numPr>
      <w:tabs>
        <w:tab w:val="clear" w:pos="360"/>
      </w:tabs>
      <w:spacing w:before="0" w:after="0" w:line="260" w:lineRule="atLeast"/>
    </w:pPr>
    <w:rPr>
      <w:rFonts w:ascii="Times New Roman" w:hAnsi="Times New Roman"/>
      <w:sz w:val="22"/>
      <w:szCs w:val="20"/>
      <w:lang w:val="en-US" w:eastAsia="en-US"/>
    </w:rPr>
  </w:style>
  <w:style w:type="character" w:styleId="Hyperlink">
    <w:name w:val="Hyperlink"/>
    <w:semiHidden/>
    <w:rsid w:val="0096648A"/>
    <w:rPr>
      <w:color w:val="008000"/>
      <w:u w:val="single"/>
    </w:rPr>
  </w:style>
  <w:style w:type="paragraph" w:customStyle="1" w:styleId="IASBNormal">
    <w:name w:val="IASB Normal"/>
    <w:rsid w:val="0096648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20"/>
      <w:lang w:val="en-US"/>
    </w:rPr>
  </w:style>
  <w:style w:type="paragraph" w:customStyle="1" w:styleId="IASBNormalArial">
    <w:name w:val="IASB Normal Arial"/>
    <w:basedOn w:val="IASBNormal"/>
    <w:rsid w:val="0096648A"/>
    <w:pPr>
      <w:spacing w:before="200"/>
    </w:pPr>
    <w:rPr>
      <w:rFonts w:ascii="Arial" w:hAnsi="Arial" w:cs="Arial"/>
    </w:rPr>
  </w:style>
  <w:style w:type="paragraph" w:customStyle="1" w:styleId="IASBTitle">
    <w:name w:val="IASB Title"/>
    <w:basedOn w:val="IASBNormal"/>
    <w:rsid w:val="0096648A"/>
    <w:pPr>
      <w:keepNext/>
      <w:keepLines/>
      <w:spacing w:before="300" w:after="400"/>
      <w:jc w:val="left"/>
    </w:pPr>
    <w:rPr>
      <w:rFonts w:ascii="Arial" w:hAnsi="Arial" w:cs="Arial"/>
      <w:b/>
      <w:sz w:val="36"/>
    </w:rPr>
  </w:style>
  <w:style w:type="paragraph" w:customStyle="1" w:styleId="IASBSectionTitleU">
    <w:name w:val="IASB Section Title U"/>
    <w:basedOn w:val="IASBTitle"/>
    <w:rsid w:val="0096648A"/>
    <w:pPr>
      <w:pBdr>
        <w:bottom w:val="single" w:sz="4" w:space="0" w:color="auto"/>
      </w:pBdr>
      <w:spacing w:before="400" w:after="200"/>
    </w:pPr>
    <w:rPr>
      <w:sz w:val="26"/>
    </w:rPr>
  </w:style>
  <w:style w:type="paragraph" w:customStyle="1" w:styleId="IASBNote">
    <w:name w:val="IASB Note"/>
    <w:basedOn w:val="IASBNormal"/>
    <w:rsid w:val="0096648A"/>
    <w:rPr>
      <w:i/>
    </w:rPr>
  </w:style>
  <w:style w:type="paragraph" w:customStyle="1" w:styleId="IASBFootnoteText">
    <w:name w:val="IASB Footnote Text"/>
    <w:basedOn w:val="IASBNormal"/>
    <w:rsid w:val="0096648A"/>
    <w:pPr>
      <w:spacing w:before="0" w:after="60"/>
      <w:ind w:left="284" w:hanging="284"/>
    </w:pPr>
    <w:rPr>
      <w:sz w:val="16"/>
    </w:rPr>
  </w:style>
  <w:style w:type="paragraph" w:customStyle="1" w:styleId="DaveIASBSubsectionTitle">
    <w:name w:val="Dave IASB Subsection Title"/>
    <w:basedOn w:val="IASBTitle"/>
    <w:rsid w:val="0096648A"/>
    <w:pPr>
      <w:spacing w:after="200"/>
      <w:ind w:left="780"/>
    </w:pPr>
    <w:rPr>
      <w:sz w:val="26"/>
    </w:rPr>
  </w:style>
  <w:style w:type="paragraph" w:styleId="MapadoDocumento">
    <w:name w:val="Document Map"/>
    <w:basedOn w:val="Normal"/>
    <w:link w:val="MapadoDocumentoChar"/>
    <w:semiHidden/>
    <w:rsid w:val="0096648A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96648A"/>
    <w:rPr>
      <w:rFonts w:ascii="Tahoma" w:eastAsia="Times New Roman" w:hAnsi="Tahoma" w:cs="Tahoma"/>
      <w:sz w:val="20"/>
      <w:szCs w:val="24"/>
      <w:shd w:val="clear" w:color="auto" w:fill="000080"/>
      <w:lang w:val="pt-PT" w:eastAsia="pt-BR"/>
    </w:rPr>
  </w:style>
  <w:style w:type="paragraph" w:customStyle="1" w:styleId="ZchnZchnCharCharZchnZchnCharCharZchnZchnCharCharZchnZchn1CharCharZchnZchnCharChar">
    <w:name w:val="Zchn Zchn Char Char Zchn Zchn Char Char Zchn Zchn Char Char Zchn Zchn1 Char Char Zchn Zchn Char Char"/>
    <w:basedOn w:val="Normal"/>
    <w:rsid w:val="0096648A"/>
    <w:pPr>
      <w:spacing w:before="0" w:after="160" w:line="240" w:lineRule="exact"/>
      <w:jc w:val="left"/>
    </w:pPr>
    <w:rPr>
      <w:rFonts w:ascii="Verdana" w:eastAsia="SimSun" w:hAnsi="Verdana"/>
      <w:szCs w:val="20"/>
      <w:lang w:val="pt-BR" w:eastAsia="es-AR"/>
    </w:rPr>
  </w:style>
  <w:style w:type="paragraph" w:styleId="Corpodetexto3">
    <w:name w:val="Body Text 3"/>
    <w:basedOn w:val="Normal"/>
    <w:link w:val="Corpodetexto3Char"/>
    <w:semiHidden/>
    <w:rsid w:val="0096648A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6648A"/>
    <w:rPr>
      <w:rFonts w:ascii="Arial" w:eastAsia="Times New Roman" w:hAnsi="Arial" w:cs="Times New Roman"/>
      <w:sz w:val="16"/>
      <w:szCs w:val="16"/>
      <w:lang w:val="pt-PT" w:eastAsia="pt-BR"/>
    </w:rPr>
  </w:style>
  <w:style w:type="character" w:customStyle="1" w:styleId="CharChar">
    <w:name w:val="Char Char"/>
    <w:semiHidden/>
    <w:rsid w:val="0096648A"/>
    <w:rPr>
      <w:rFonts w:ascii="Cambria" w:eastAsia="Times New Roman" w:hAnsi="Cambria" w:cs="Times New Roman"/>
      <w:i/>
      <w:iCs/>
      <w:sz w:val="24"/>
      <w:szCs w:val="24"/>
      <w:lang w:val="pt-PT" w:eastAsia="pt-BR"/>
    </w:rPr>
  </w:style>
  <w:style w:type="table" w:styleId="Tabelacomgrade">
    <w:name w:val="Table Grid"/>
    <w:basedOn w:val="Tabelanormal"/>
    <w:rsid w:val="00966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2">
    <w:name w:val="level2"/>
    <w:basedOn w:val="Normal"/>
    <w:rsid w:val="0096648A"/>
    <w:pPr>
      <w:spacing w:after="60"/>
      <w:jc w:val="left"/>
    </w:pPr>
    <w:rPr>
      <w:rFonts w:ascii="Verdana" w:hAnsi="Verdana"/>
      <w:b/>
      <w:bCs/>
      <w:color w:val="585775"/>
      <w:sz w:val="28"/>
      <w:szCs w:val="28"/>
      <w:lang w:val="en-US" w:eastAsia="en-US"/>
    </w:rPr>
  </w:style>
  <w:style w:type="paragraph" w:styleId="Corpodetexto2">
    <w:name w:val="Body Text 2"/>
    <w:basedOn w:val="Normal"/>
    <w:link w:val="Corpodetexto2Char"/>
    <w:rsid w:val="0096648A"/>
    <w:pPr>
      <w:spacing w:before="40" w:after="40"/>
    </w:pPr>
    <w:rPr>
      <w:rFonts w:ascii="Times New Roman" w:hAnsi="Times New Roman"/>
      <w:b/>
      <w:bCs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96648A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customStyle="1" w:styleId="ListParagraph1">
    <w:name w:val="List Paragraph1"/>
    <w:basedOn w:val="Normal"/>
    <w:qFormat/>
    <w:rsid w:val="0096648A"/>
    <w:pPr>
      <w:spacing w:before="0" w:after="200" w:line="276" w:lineRule="auto"/>
      <w:ind w:left="72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marcador">
    <w:name w:val="marcador"/>
    <w:basedOn w:val="Normal"/>
    <w:rsid w:val="0096648A"/>
    <w:pPr>
      <w:spacing w:before="0" w:after="0"/>
      <w:jc w:val="left"/>
    </w:pPr>
    <w:rPr>
      <w:sz w:val="24"/>
      <w:lang w:val="pt-BR"/>
    </w:rPr>
  </w:style>
  <w:style w:type="paragraph" w:customStyle="1" w:styleId="Default">
    <w:name w:val="Default"/>
    <w:rsid w:val="00966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NDES">
    <w:name w:val="BNDES"/>
    <w:basedOn w:val="Normal"/>
    <w:rsid w:val="0096648A"/>
    <w:pPr>
      <w:spacing w:before="0" w:after="0"/>
    </w:pPr>
    <w:rPr>
      <w:rFonts w:ascii="Optimum" w:hAnsi="Optimum"/>
      <w:sz w:val="24"/>
      <w:lang w:val="pt-BR"/>
    </w:rPr>
  </w:style>
  <w:style w:type="character" w:customStyle="1" w:styleId="hps">
    <w:name w:val="hps"/>
    <w:uiPriority w:val="99"/>
    <w:rsid w:val="0096648A"/>
    <w:rPr>
      <w:rFonts w:ascii="Times New Roman" w:hAnsi="Times New Roman" w:cs="Times New Roman" w:hint="default"/>
    </w:rPr>
  </w:style>
  <w:style w:type="paragraph" w:customStyle="1" w:styleId="Style20">
    <w:name w:val="Style20"/>
    <w:basedOn w:val="Normal"/>
    <w:uiPriority w:val="99"/>
    <w:rsid w:val="0096648A"/>
    <w:pPr>
      <w:widowControl w:val="0"/>
      <w:autoSpaceDE w:val="0"/>
      <w:autoSpaceDN w:val="0"/>
      <w:adjustRightInd w:val="0"/>
      <w:spacing w:before="0" w:after="0"/>
      <w:jc w:val="left"/>
    </w:pPr>
    <w:rPr>
      <w:rFonts w:ascii="Cambria" w:hAnsi="Cambria"/>
      <w:sz w:val="24"/>
      <w:lang w:val="pt-BR"/>
    </w:rPr>
  </w:style>
  <w:style w:type="paragraph" w:customStyle="1" w:styleId="IASBNormalnpara">
    <w:name w:val="IASB Normal npara"/>
    <w:basedOn w:val="Normal"/>
    <w:rsid w:val="0096648A"/>
    <w:pPr>
      <w:spacing w:before="100" w:after="0"/>
      <w:ind w:left="782" w:hanging="782"/>
    </w:pPr>
    <w:rPr>
      <w:rFonts w:ascii="Times New Roman" w:hAnsi="Times New Roman"/>
      <w:sz w:val="19"/>
      <w:szCs w:val="20"/>
      <w:lang w:val="en-US" w:eastAsia="en-US"/>
    </w:rPr>
  </w:style>
  <w:style w:type="paragraph" w:customStyle="1" w:styleId="IASBNormalnparaL1">
    <w:name w:val="IASB Normal nparaL1"/>
    <w:basedOn w:val="IASBNormalnpara"/>
    <w:rsid w:val="0096648A"/>
    <w:pPr>
      <w:ind w:left="1564"/>
    </w:pPr>
  </w:style>
  <w:style w:type="character" w:customStyle="1" w:styleId="tw4winMark">
    <w:name w:val="tw4winMark"/>
    <w:rsid w:val="0096648A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styleId="PargrafodaLista">
    <w:name w:val="List Paragraph"/>
    <w:basedOn w:val="Normal"/>
    <w:uiPriority w:val="34"/>
    <w:qFormat/>
    <w:rsid w:val="0096648A"/>
    <w:pPr>
      <w:ind w:left="708"/>
    </w:pPr>
  </w:style>
  <w:style w:type="character" w:customStyle="1" w:styleId="TextoemblocoChar">
    <w:name w:val="Texto em bloco Char"/>
    <w:link w:val="Textoembloco"/>
    <w:uiPriority w:val="99"/>
    <w:locked/>
    <w:rsid w:val="0096648A"/>
    <w:rPr>
      <w:rFonts w:ascii="Arial" w:eastAsia="Times New Roman" w:hAnsi="Arial" w:cs="Times New Roman"/>
      <w:sz w:val="20"/>
      <w:szCs w:val="24"/>
      <w:lang w:val="pt-PT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r/cv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r/cv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5BA7DCC295C4B97EFA222803C2E43" ma:contentTypeVersion="13" ma:contentTypeDescription="Create a new document." ma:contentTypeScope="" ma:versionID="dcf61a52a6102d6a804c287eb92f5667">
  <xsd:schema xmlns:xsd="http://www.w3.org/2001/XMLSchema" xmlns:xs="http://www.w3.org/2001/XMLSchema" xmlns:p="http://schemas.microsoft.com/office/2006/metadata/properties" xmlns:ns2="b69b09d8-fb11-4638-84fd-30340ac4eb29" xmlns:ns3="7b795b17-f7d2-4f27-ba4a-6f1f7eb48eda" targetNamespace="http://schemas.microsoft.com/office/2006/metadata/properties" ma:root="true" ma:fieldsID="26b38a98324d2badd97bb04ded0657e9" ns2:_="" ns3:_="">
    <xsd:import namespace="b69b09d8-fb11-4638-84fd-30340ac4eb29"/>
    <xsd:import namespace="7b795b17-f7d2-4f27-ba4a-6f1f7eb48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09d8-fb11-4638-84fd-30340ac4e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95b17-f7d2-4f27-ba4a-6f1f7eb48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39F9D-2FE4-4FF9-AA47-BD409D3CE89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b795b17-f7d2-4f27-ba4a-6f1f7eb48eda"/>
    <ds:schemaRef ds:uri="http://purl.org/dc/elements/1.1/"/>
    <ds:schemaRef ds:uri="b69b09d8-fb11-4638-84fd-30340ac4eb2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15CAB9-EBF4-4CBA-AD6E-F7F9F59CC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b09d8-fb11-4638-84fd-30340ac4eb29"/>
    <ds:schemaRef ds:uri="7b795b17-f7d2-4f27-ba4a-6f1f7eb48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57A24C-C491-418F-ACFB-1D308BF914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84760-751D-4CEC-B668-8D3A31D6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1017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Nº 127, DE 3 DE JUNHO DE 2022</dc:title>
  <dc:subject/>
  <dc:creator>CVM</dc:creator>
  <cp:keywords/>
  <dc:description/>
  <cp:lastModifiedBy>Renata dos Santos Leitão</cp:lastModifiedBy>
  <cp:revision>31</cp:revision>
  <dcterms:created xsi:type="dcterms:W3CDTF">2021-07-21T15:16:00Z</dcterms:created>
  <dcterms:modified xsi:type="dcterms:W3CDTF">2022-06-02T13:55:00Z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0x0101006275BA7DCC295C4B97EFA222803C2E43</vt:lpwstr>
  </property>
  <property fmtid="{D5CDD505-2E9C-101B-9397-08002B2CF9AE}" pid="3" name="Order">
    <vt:r8>35900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