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63E2E290" w:rsidR="00CF08C5" w:rsidRPr="00FB5E59" w:rsidRDefault="00071EC6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071EC6">
        <w:rPr>
          <w:rFonts w:asciiTheme="minorHAnsi" w:hAnsiTheme="minorHAnsi" w:cstheme="minorHAnsi"/>
          <w:b w:val="0"/>
          <w:bCs w:val="0"/>
          <w:sz w:val="24"/>
        </w:rPr>
        <w:t>RESOLUÇÃO CVM Nº 12</w:t>
      </w:r>
      <w:r>
        <w:rPr>
          <w:rFonts w:asciiTheme="minorHAnsi" w:hAnsiTheme="minorHAnsi" w:cstheme="minorHAnsi"/>
          <w:b w:val="0"/>
          <w:bCs w:val="0"/>
          <w:sz w:val="24"/>
          <w:lang w:val="pt-BR"/>
        </w:rPr>
        <w:t>8</w:t>
      </w:r>
      <w:r w:rsidRPr="00071EC6">
        <w:rPr>
          <w:rFonts w:asciiTheme="minorHAnsi" w:hAnsiTheme="minorHAnsi" w:cstheme="minorHAnsi"/>
          <w:b w:val="0"/>
          <w:bCs w:val="0"/>
          <w:sz w:val="24"/>
        </w:rPr>
        <w:t>, DE 3 DE JUNHO DE 2022</w:t>
      </w:r>
    </w:p>
    <w:p w14:paraId="5B546EE5" w14:textId="618C23BD" w:rsidR="00CF08C5" w:rsidRPr="00273211" w:rsidRDefault="00CF08C5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273211">
        <w:rPr>
          <w:rFonts w:asciiTheme="minorHAnsi" w:hAnsiTheme="minorHAnsi" w:cstheme="minorHAnsi"/>
          <w:iCs/>
          <w:sz w:val="24"/>
        </w:rPr>
        <w:t xml:space="preserve">Aprova </w:t>
      </w:r>
      <w:r w:rsidR="002447D1" w:rsidRPr="002447D1">
        <w:rPr>
          <w:rFonts w:asciiTheme="minorHAnsi" w:hAnsiTheme="minorHAnsi" w:cstheme="minorHAnsi"/>
          <w:iCs/>
          <w:sz w:val="24"/>
        </w:rPr>
        <w:t>a Consolidação d</w:t>
      </w:r>
      <w:r w:rsidR="00824ACF">
        <w:rPr>
          <w:rFonts w:asciiTheme="minorHAnsi" w:hAnsiTheme="minorHAnsi" w:cstheme="minorHAnsi"/>
          <w:iCs/>
          <w:sz w:val="24"/>
        </w:rPr>
        <w:t>a Interpretação Técnica</w:t>
      </w:r>
      <w:r w:rsidRPr="00273211">
        <w:rPr>
          <w:rFonts w:asciiTheme="minorHAnsi" w:hAnsiTheme="minorHAnsi" w:cstheme="minorHAnsi"/>
          <w:iCs/>
          <w:sz w:val="24"/>
        </w:rPr>
        <w:t xml:space="preserve"> </w:t>
      </w:r>
      <w:r w:rsidR="005D7141">
        <w:rPr>
          <w:rFonts w:asciiTheme="minorHAnsi" w:hAnsiTheme="minorHAnsi" w:cstheme="minorHAnsi"/>
          <w:iCs/>
          <w:sz w:val="24"/>
        </w:rPr>
        <w:t xml:space="preserve">ICPC </w:t>
      </w:r>
      <w:r w:rsidR="00E269DF">
        <w:rPr>
          <w:rFonts w:asciiTheme="minorHAnsi" w:hAnsiTheme="minorHAnsi" w:cstheme="minorHAnsi"/>
          <w:iCs/>
          <w:sz w:val="24"/>
        </w:rPr>
        <w:t>17</w:t>
      </w:r>
      <w:r w:rsidRPr="00273211">
        <w:rPr>
          <w:rFonts w:asciiTheme="minorHAnsi" w:hAnsiTheme="minorHAnsi" w:cstheme="minorHAnsi"/>
          <w:iCs/>
          <w:sz w:val="24"/>
        </w:rPr>
        <w:t xml:space="preserve"> do Comitê de Pronunciamentos Contábeis</w:t>
      </w:r>
      <w:r w:rsidR="002447D1" w:rsidRPr="002447D1">
        <w:rPr>
          <w:rFonts w:asciiTheme="minorHAnsi" w:hAnsiTheme="minorHAnsi" w:cstheme="minorHAnsi"/>
          <w:iCs/>
          <w:sz w:val="24"/>
        </w:rPr>
        <w:t xml:space="preserve"> – CPC,</w:t>
      </w:r>
      <w:r w:rsidRPr="00273211">
        <w:rPr>
          <w:rFonts w:asciiTheme="minorHAnsi" w:hAnsiTheme="minorHAnsi" w:cstheme="minorHAnsi"/>
          <w:iCs/>
          <w:sz w:val="24"/>
        </w:rPr>
        <w:t xml:space="preserve"> que trata </w:t>
      </w:r>
      <w:r w:rsidR="00FB5E59">
        <w:rPr>
          <w:rFonts w:asciiTheme="minorHAnsi" w:hAnsiTheme="minorHAnsi" w:cstheme="minorHAnsi"/>
          <w:iCs/>
          <w:sz w:val="24"/>
        </w:rPr>
        <w:t>de c</w:t>
      </w:r>
      <w:r w:rsidR="00FB5E59" w:rsidRPr="00FB5E59">
        <w:rPr>
          <w:rFonts w:asciiTheme="minorHAnsi" w:hAnsiTheme="minorHAnsi" w:cstheme="minorHAnsi"/>
          <w:iCs/>
          <w:sz w:val="24"/>
        </w:rPr>
        <w:t xml:space="preserve">ontratos de </w:t>
      </w:r>
      <w:r w:rsidR="00FB5E59">
        <w:rPr>
          <w:rFonts w:asciiTheme="minorHAnsi" w:hAnsiTheme="minorHAnsi" w:cstheme="minorHAnsi"/>
          <w:iCs/>
          <w:sz w:val="24"/>
        </w:rPr>
        <w:t>c</w:t>
      </w:r>
      <w:r w:rsidR="00FB5E59" w:rsidRPr="00FB5E59">
        <w:rPr>
          <w:rFonts w:asciiTheme="minorHAnsi" w:hAnsiTheme="minorHAnsi" w:cstheme="minorHAnsi"/>
          <w:iCs/>
          <w:sz w:val="24"/>
        </w:rPr>
        <w:t xml:space="preserve">oncessão: </w:t>
      </w:r>
      <w:r w:rsidR="00FB5E59">
        <w:rPr>
          <w:rFonts w:asciiTheme="minorHAnsi" w:hAnsiTheme="minorHAnsi" w:cstheme="minorHAnsi"/>
          <w:iCs/>
          <w:sz w:val="24"/>
        </w:rPr>
        <w:t>e</w:t>
      </w:r>
      <w:r w:rsidR="00FB5E59" w:rsidRPr="00FB5E59">
        <w:rPr>
          <w:rFonts w:asciiTheme="minorHAnsi" w:hAnsiTheme="minorHAnsi" w:cstheme="minorHAnsi"/>
          <w:iCs/>
          <w:sz w:val="24"/>
        </w:rPr>
        <w:t>videnciação</w:t>
      </w:r>
      <w:r w:rsidRPr="00273211">
        <w:rPr>
          <w:rFonts w:asciiTheme="minorHAnsi" w:hAnsiTheme="minorHAnsi" w:cstheme="minorHAnsi"/>
          <w:iCs/>
          <w:sz w:val="24"/>
        </w:rPr>
        <w:t>.</w:t>
      </w:r>
    </w:p>
    <w:p w14:paraId="7D45C359" w14:textId="348F4C66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04545E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4 de maio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>de 202</w:t>
      </w:r>
      <w:r w:rsidR="00FB5E59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com fundamento nos §§ 3º e 5º do art. 177 da Lei n° 6.404, de 15 de dezembro de 1976, combinados com os incisos II e IV do § 1° do art. 22 da Lei n° 6.385, de 7 de dezembro de 1976, bem como nos arts. 5º e 14 do Decreto nº 10.139, de 28 de novembro de 2019,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394EEB4A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>Art. 1º  Torna obrigatóri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para as companhias abertas </w:t>
      </w:r>
      <w:r w:rsidR="00824ACF">
        <w:rPr>
          <w:rFonts w:asciiTheme="minorHAnsi" w:hAnsiTheme="minorHAnsi" w:cstheme="minorHAnsi"/>
          <w:sz w:val="24"/>
        </w:rPr>
        <w:t xml:space="preserve">a Interpretação Técnica ICPC </w:t>
      </w:r>
      <w:r w:rsidR="009555EC">
        <w:rPr>
          <w:rFonts w:asciiTheme="minorHAnsi" w:hAnsiTheme="minorHAnsi" w:cstheme="minorHAnsi"/>
          <w:sz w:val="24"/>
        </w:rPr>
        <w:t>17</w:t>
      </w:r>
      <w:r w:rsidR="00553D4C" w:rsidRPr="00553D4C">
        <w:rPr>
          <w:rFonts w:asciiTheme="minorHAnsi" w:hAnsiTheme="minorHAnsi" w:cstheme="minorHAnsi"/>
          <w:sz w:val="24"/>
        </w:rPr>
        <w:t>, que trata de contratos de concessão: evidenciação,</w:t>
      </w:r>
      <w:r w:rsidRPr="00273211">
        <w:rPr>
          <w:rFonts w:asciiTheme="minorHAnsi" w:hAnsiTheme="minorHAnsi" w:cstheme="minorHAnsi"/>
          <w:sz w:val="24"/>
        </w:rPr>
        <w:t xml:space="preserve"> emitid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pelo Comitê de Pronunciamentos Contábeis - CPC,</w:t>
      </w:r>
      <w:r w:rsidR="00553D4C" w:rsidRPr="00553D4C">
        <w:rPr>
          <w:rFonts w:asciiTheme="minorHAnsi" w:hAnsiTheme="minorHAnsi" w:cstheme="minorHAnsi"/>
          <w:sz w:val="24"/>
        </w:rPr>
        <w:t xml:space="preserve"> conforme consolidad</w:t>
      </w:r>
      <w:r w:rsidR="00553D4C">
        <w:rPr>
          <w:rFonts w:asciiTheme="minorHAnsi" w:hAnsiTheme="minorHAnsi" w:cstheme="minorHAnsi"/>
          <w:sz w:val="24"/>
        </w:rPr>
        <w:t xml:space="preserve">a </w:t>
      </w:r>
      <w:r w:rsidR="00553D4C" w:rsidRPr="00553D4C">
        <w:rPr>
          <w:rFonts w:asciiTheme="minorHAnsi" w:hAnsiTheme="minorHAnsi" w:cstheme="minorHAnsi"/>
          <w:sz w:val="24"/>
        </w:rPr>
        <w:t>no Anexo “A” à presente Resolução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2C13E3" w14:textId="1F6E186E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2º  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Fica revogada a Deliberação </w:t>
      </w:r>
      <w:r w:rsidR="00D410C6">
        <w:rPr>
          <w:rFonts w:asciiTheme="minorHAnsi" w:hAnsiTheme="minorHAnsi" w:cstheme="minorHAnsi"/>
          <w:color w:val="000000" w:themeColor="text1"/>
          <w:sz w:val="24"/>
        </w:rPr>
        <w:t xml:space="preserve">CVM nº </w:t>
      </w:r>
      <w:r w:rsidR="009555EC">
        <w:rPr>
          <w:rFonts w:asciiTheme="minorHAnsi" w:hAnsiTheme="minorHAnsi" w:cstheme="minorHAnsi"/>
          <w:color w:val="000000" w:themeColor="text1"/>
          <w:sz w:val="24"/>
        </w:rPr>
        <w:t>677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, de </w:t>
      </w:r>
      <w:r w:rsidR="0088093B">
        <w:rPr>
          <w:rFonts w:asciiTheme="minorHAnsi" w:hAnsiTheme="minorHAnsi" w:cstheme="minorHAnsi"/>
          <w:color w:val="000000" w:themeColor="text1"/>
          <w:sz w:val="24"/>
        </w:rPr>
        <w:t>13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w:r w:rsidR="0088093B">
        <w:rPr>
          <w:rFonts w:asciiTheme="minorHAnsi" w:hAnsiTheme="minorHAnsi" w:cstheme="minorHAnsi"/>
          <w:color w:val="000000" w:themeColor="text1"/>
          <w:sz w:val="24"/>
        </w:rPr>
        <w:t xml:space="preserve">dezembro 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>de 20</w:t>
      </w:r>
      <w:r w:rsidR="0088093B">
        <w:rPr>
          <w:rFonts w:asciiTheme="minorHAnsi" w:hAnsiTheme="minorHAnsi" w:cstheme="minorHAnsi"/>
          <w:color w:val="000000" w:themeColor="text1"/>
          <w:sz w:val="24"/>
        </w:rPr>
        <w:t>11</w:t>
      </w:r>
      <w:r w:rsidR="000A5AF5" w:rsidRPr="000A5AF5">
        <w:rPr>
          <w:rFonts w:asciiTheme="minorHAnsi" w:hAnsiTheme="minorHAnsi" w:cstheme="minorHAnsi"/>
          <w:color w:val="000000" w:themeColor="text1"/>
          <w:sz w:val="24"/>
        </w:rPr>
        <w:t>, a partir da vigência desta Resolução</w:t>
      </w:r>
      <w:r w:rsidRPr="00273211">
        <w:rPr>
          <w:rFonts w:asciiTheme="minorHAnsi" w:hAnsiTheme="minorHAnsi" w:cstheme="minorHAnsi"/>
          <w:sz w:val="24"/>
        </w:rPr>
        <w:t>.</w:t>
      </w:r>
    </w:p>
    <w:p w14:paraId="7C1D6C73" w14:textId="5040B09C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3º  </w:t>
      </w:r>
      <w:r w:rsidR="00805836" w:rsidRPr="00805836">
        <w:rPr>
          <w:rFonts w:asciiTheme="minorHAnsi" w:hAnsiTheme="minorHAnsi" w:cstheme="minorHAnsi"/>
          <w:sz w:val="24"/>
        </w:rPr>
        <w:t>Esta Resolução entra em vigor em 1º de julho de 2022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Marcelo Barbosa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p w14:paraId="74B88778" w14:textId="770323FC" w:rsidR="00DF62F3" w:rsidRDefault="00DF62F3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br w:type="page"/>
      </w:r>
    </w:p>
    <w:p w14:paraId="6F57CB5E" w14:textId="2938641A" w:rsidR="001D07D2" w:rsidRDefault="001D07D2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  <w:r w:rsidRPr="001D07D2">
        <w:rPr>
          <w:rFonts w:cs="Arial"/>
          <w:b/>
          <w:sz w:val="22"/>
          <w:szCs w:val="22"/>
          <w:lang w:val="pt-BR"/>
        </w:rPr>
        <w:lastRenderedPageBreak/>
        <w:t>ANEXO “A”</w:t>
      </w:r>
    </w:p>
    <w:p w14:paraId="2B9DE876" w14:textId="77777777" w:rsidR="001D07D2" w:rsidRDefault="001D07D2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</w:p>
    <w:p w14:paraId="2A44C7F4" w14:textId="1621D966" w:rsidR="00B32A7B" w:rsidRPr="00B32A7B" w:rsidRDefault="00B32A7B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  <w:bookmarkStart w:id="0" w:name="_GoBack"/>
      <w:bookmarkEnd w:id="0"/>
      <w:r w:rsidRPr="00B32A7B">
        <w:rPr>
          <w:rFonts w:cs="Arial"/>
          <w:b/>
          <w:sz w:val="22"/>
          <w:szCs w:val="22"/>
          <w:lang w:val="pt-BR"/>
        </w:rPr>
        <w:t>COMITÊ DE PRONUNCIAMENTOS CONTÁBEIS</w:t>
      </w:r>
    </w:p>
    <w:p w14:paraId="2BB7B64F" w14:textId="77777777" w:rsidR="00B32A7B" w:rsidRPr="00B32A7B" w:rsidRDefault="00B32A7B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</w:p>
    <w:p w14:paraId="41D9B6F0" w14:textId="77777777" w:rsidR="00B32A7B" w:rsidRPr="002447D1" w:rsidRDefault="00B32A7B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  <w:r w:rsidRPr="002447D1">
        <w:rPr>
          <w:rFonts w:cs="Arial"/>
          <w:b/>
          <w:sz w:val="22"/>
          <w:szCs w:val="22"/>
          <w:lang w:val="pt-BR"/>
        </w:rPr>
        <w:t>INTERPRETAÇÃO TÉCNICA ICPC 17</w:t>
      </w:r>
    </w:p>
    <w:p w14:paraId="584BDE8B" w14:textId="77777777" w:rsidR="00B32A7B" w:rsidRPr="00B32A7B" w:rsidRDefault="00B32A7B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</w:p>
    <w:p w14:paraId="71A54DAA" w14:textId="77777777" w:rsidR="00B32A7B" w:rsidRPr="00B32A7B" w:rsidRDefault="00B32A7B" w:rsidP="00B32A7B">
      <w:pPr>
        <w:spacing w:before="0" w:after="0"/>
        <w:jc w:val="center"/>
        <w:outlineLvl w:val="0"/>
        <w:rPr>
          <w:rFonts w:cs="Arial"/>
          <w:b/>
          <w:bCs/>
          <w:sz w:val="22"/>
          <w:szCs w:val="22"/>
        </w:rPr>
      </w:pPr>
      <w:r w:rsidRPr="00B32A7B">
        <w:rPr>
          <w:rFonts w:cs="Arial"/>
          <w:b/>
          <w:bCs/>
          <w:sz w:val="22"/>
          <w:szCs w:val="22"/>
        </w:rPr>
        <w:t>CONTRATOS DE CONCESSÃO: EVIDENCIAÇÃO</w:t>
      </w:r>
    </w:p>
    <w:p w14:paraId="6DA1646C" w14:textId="77777777" w:rsidR="00B32A7B" w:rsidRPr="00B32A7B" w:rsidRDefault="00B32A7B" w:rsidP="00B32A7B">
      <w:pPr>
        <w:spacing w:before="0" w:after="0"/>
        <w:jc w:val="center"/>
        <w:outlineLvl w:val="0"/>
        <w:rPr>
          <w:rFonts w:cs="Arial"/>
          <w:b/>
          <w:sz w:val="22"/>
          <w:szCs w:val="22"/>
        </w:rPr>
      </w:pPr>
    </w:p>
    <w:p w14:paraId="63967234" w14:textId="77777777" w:rsidR="00B32A7B" w:rsidRPr="00B32A7B" w:rsidRDefault="00B32A7B" w:rsidP="00B32A7B">
      <w:pPr>
        <w:spacing w:before="0" w:after="0"/>
        <w:jc w:val="center"/>
        <w:outlineLvl w:val="0"/>
        <w:rPr>
          <w:rFonts w:cs="Arial"/>
          <w:b/>
          <w:bCs/>
          <w:sz w:val="22"/>
          <w:szCs w:val="22"/>
        </w:rPr>
      </w:pPr>
      <w:r w:rsidRPr="00B32A7B">
        <w:rPr>
          <w:rFonts w:cs="Arial"/>
          <w:b/>
          <w:bCs/>
          <w:sz w:val="22"/>
          <w:szCs w:val="22"/>
        </w:rPr>
        <w:t>Correlação às Normas Internacionais de Contabilidade – SIC 29 (BV2011 BB)*</w:t>
      </w:r>
    </w:p>
    <w:p w14:paraId="1DA80F2E" w14:textId="77777777" w:rsidR="00B32A7B" w:rsidRPr="00B32A7B" w:rsidRDefault="00B32A7B" w:rsidP="00B32A7B">
      <w:pPr>
        <w:spacing w:before="0" w:after="0"/>
        <w:rPr>
          <w:rFonts w:cs="Arial"/>
          <w:sz w:val="22"/>
          <w:szCs w:val="22"/>
        </w:rPr>
      </w:pPr>
    </w:p>
    <w:p w14:paraId="535B2CD4" w14:textId="77777777" w:rsidR="00B32A7B" w:rsidRPr="00B32A7B" w:rsidRDefault="00B32A7B" w:rsidP="00B32A7B">
      <w:pPr>
        <w:spacing w:before="0" w:after="0"/>
        <w:rPr>
          <w:rFonts w:cs="Arial"/>
          <w:sz w:val="22"/>
          <w:szCs w:val="22"/>
        </w:rPr>
      </w:pPr>
    </w:p>
    <w:tbl>
      <w:tblPr>
        <w:tblW w:w="7229" w:type="dxa"/>
        <w:tblInd w:w="817" w:type="dxa"/>
        <w:tblLook w:val="01E0" w:firstRow="1" w:lastRow="1" w:firstColumn="1" w:lastColumn="1" w:noHBand="0" w:noVBand="0"/>
      </w:tblPr>
      <w:tblGrid>
        <w:gridCol w:w="6379"/>
        <w:gridCol w:w="850"/>
      </w:tblGrid>
      <w:tr w:rsidR="00B32A7B" w:rsidRPr="00B32A7B" w14:paraId="591A9EBA" w14:textId="77777777" w:rsidTr="00B43D76">
        <w:tc>
          <w:tcPr>
            <w:tcW w:w="6379" w:type="dxa"/>
          </w:tcPr>
          <w:p w14:paraId="6BD3A80A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left"/>
              <w:rPr>
                <w:rFonts w:cs="Arial"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Cs/>
                <w:kern w:val="36"/>
                <w:sz w:val="22"/>
                <w:szCs w:val="22"/>
                <w:lang w:val="pt-BR"/>
              </w:rPr>
              <w:t>Índice</w:t>
            </w:r>
          </w:p>
        </w:tc>
        <w:tc>
          <w:tcPr>
            <w:tcW w:w="850" w:type="dxa"/>
          </w:tcPr>
          <w:p w14:paraId="31E27E78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center"/>
              <w:rPr>
                <w:rFonts w:cs="Arial"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Cs/>
                <w:kern w:val="36"/>
                <w:sz w:val="22"/>
                <w:szCs w:val="22"/>
                <w:lang w:val="pt-BR"/>
              </w:rPr>
              <w:t>Item</w:t>
            </w:r>
          </w:p>
        </w:tc>
      </w:tr>
      <w:tr w:rsidR="00B32A7B" w:rsidRPr="00B32A7B" w14:paraId="3EBBC5C4" w14:textId="77777777" w:rsidTr="00B43D76">
        <w:tc>
          <w:tcPr>
            <w:tcW w:w="6379" w:type="dxa"/>
          </w:tcPr>
          <w:p w14:paraId="6D483D4E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REFERÊNCIAS</w:t>
            </w:r>
          </w:p>
        </w:tc>
        <w:tc>
          <w:tcPr>
            <w:tcW w:w="850" w:type="dxa"/>
          </w:tcPr>
          <w:p w14:paraId="0764BD38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</w:p>
        </w:tc>
      </w:tr>
      <w:tr w:rsidR="00B32A7B" w:rsidRPr="00B32A7B" w14:paraId="5D3EBD15" w14:textId="77777777" w:rsidTr="004A3E89">
        <w:tc>
          <w:tcPr>
            <w:tcW w:w="6379" w:type="dxa"/>
          </w:tcPr>
          <w:p w14:paraId="449EC16D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TÓPICO</w:t>
            </w:r>
          </w:p>
        </w:tc>
        <w:tc>
          <w:tcPr>
            <w:tcW w:w="850" w:type="dxa"/>
          </w:tcPr>
          <w:p w14:paraId="196F488B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1 – 5</w:t>
            </w:r>
          </w:p>
        </w:tc>
      </w:tr>
      <w:tr w:rsidR="00B32A7B" w:rsidRPr="00B32A7B" w14:paraId="194706F3" w14:textId="77777777" w:rsidTr="004A3E89">
        <w:tc>
          <w:tcPr>
            <w:tcW w:w="6379" w:type="dxa"/>
            <w:tcBorders>
              <w:bottom w:val="single" w:sz="4" w:space="0" w:color="auto"/>
            </w:tcBorders>
          </w:tcPr>
          <w:p w14:paraId="4AE8BE7F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CONSENSO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E0EF3E" w14:textId="77777777" w:rsidR="00B32A7B" w:rsidRPr="00B32A7B" w:rsidRDefault="00B32A7B" w:rsidP="00B32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B32A7B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6 – 7</w:t>
            </w:r>
          </w:p>
        </w:tc>
      </w:tr>
    </w:tbl>
    <w:p w14:paraId="0BC57728" w14:textId="77777777" w:rsidR="00B32A7B" w:rsidRPr="00B32A7B" w:rsidRDefault="00B32A7B" w:rsidP="00B3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cs="Arial"/>
          <w:sz w:val="22"/>
          <w:szCs w:val="22"/>
          <w:lang w:val="pt-BR"/>
        </w:rPr>
      </w:pPr>
    </w:p>
    <w:p w14:paraId="3178E298" w14:textId="77777777" w:rsidR="00B32A7B" w:rsidRPr="00B32A7B" w:rsidRDefault="00B32A7B" w:rsidP="00B3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cs="Arial"/>
          <w:sz w:val="22"/>
          <w:szCs w:val="22"/>
          <w:lang w:val="pt-BR"/>
        </w:rPr>
      </w:pPr>
      <w:r w:rsidRPr="00B32A7B">
        <w:rPr>
          <w:rFonts w:cs="Arial"/>
          <w:sz w:val="22"/>
          <w:szCs w:val="22"/>
          <w:lang w:val="pt-BR"/>
        </w:rPr>
        <w:t xml:space="preserve">*BV 2011 BB refere-se à versão das IFRSs, com vigência requerida para períodos anuais iniciados em 1º de janeiro de 2011, do livro emitido pelo IASB "IFRS </w:t>
      </w:r>
      <w:r w:rsidRPr="00B32A7B">
        <w:rPr>
          <w:rFonts w:cs="Arial"/>
          <w:i/>
          <w:sz w:val="22"/>
          <w:szCs w:val="22"/>
          <w:lang w:val="pt-BR"/>
        </w:rPr>
        <w:t>Consolidated</w:t>
      </w:r>
      <w:r w:rsidRPr="00B32A7B">
        <w:rPr>
          <w:rFonts w:cs="Arial"/>
          <w:sz w:val="22"/>
          <w:szCs w:val="22"/>
          <w:lang w:val="pt-BR"/>
        </w:rPr>
        <w:t xml:space="preserve"> </w:t>
      </w:r>
      <w:r w:rsidRPr="00B32A7B">
        <w:rPr>
          <w:rFonts w:cs="Arial"/>
          <w:i/>
          <w:sz w:val="22"/>
          <w:szCs w:val="22"/>
          <w:lang w:val="pt-BR"/>
        </w:rPr>
        <w:t>withouth</w:t>
      </w:r>
      <w:r w:rsidRPr="00B32A7B">
        <w:rPr>
          <w:rFonts w:cs="Arial"/>
          <w:sz w:val="22"/>
          <w:szCs w:val="22"/>
          <w:lang w:val="pt-BR"/>
        </w:rPr>
        <w:t xml:space="preserve"> </w:t>
      </w:r>
      <w:r w:rsidRPr="00B32A7B">
        <w:rPr>
          <w:rFonts w:cs="Arial"/>
          <w:i/>
          <w:sz w:val="22"/>
          <w:szCs w:val="22"/>
          <w:lang w:val="pt-BR"/>
        </w:rPr>
        <w:t>early application</w:t>
      </w:r>
      <w:r w:rsidRPr="00B32A7B">
        <w:rPr>
          <w:rFonts w:cs="Arial"/>
          <w:sz w:val="22"/>
          <w:szCs w:val="22"/>
          <w:lang w:val="pt-BR"/>
        </w:rPr>
        <w:t>" (</w:t>
      </w:r>
      <w:r w:rsidRPr="00B32A7B">
        <w:rPr>
          <w:rFonts w:cs="Arial"/>
          <w:i/>
          <w:sz w:val="22"/>
          <w:szCs w:val="22"/>
          <w:lang w:val="pt-BR"/>
        </w:rPr>
        <w:t>Blue Book</w:t>
      </w:r>
      <w:r w:rsidRPr="00B32A7B">
        <w:rPr>
          <w:rFonts w:cs="Arial"/>
          <w:sz w:val="22"/>
          <w:szCs w:val="22"/>
          <w:lang w:val="pt-BR"/>
        </w:rPr>
        <w:t>).</w:t>
      </w:r>
    </w:p>
    <w:p w14:paraId="0599A961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57" w:right="57"/>
        <w:rPr>
          <w:rFonts w:cs="Arial"/>
          <w:b/>
          <w:sz w:val="22"/>
          <w:szCs w:val="22"/>
          <w:lang w:val="pt-BR"/>
        </w:rPr>
      </w:pPr>
    </w:p>
    <w:p w14:paraId="73039EA4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57" w:right="57"/>
        <w:rPr>
          <w:rFonts w:cs="Arial"/>
          <w:b/>
          <w:sz w:val="22"/>
          <w:szCs w:val="22"/>
          <w:lang w:val="pt-BR"/>
        </w:rPr>
      </w:pPr>
    </w:p>
    <w:p w14:paraId="6CE9E074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57" w:right="57"/>
        <w:rPr>
          <w:rFonts w:cs="Arial"/>
          <w:b/>
          <w:sz w:val="22"/>
          <w:szCs w:val="22"/>
          <w:lang w:val="pt-BR"/>
        </w:rPr>
      </w:pPr>
      <w:r w:rsidRPr="00B32A7B">
        <w:rPr>
          <w:rFonts w:cs="Arial"/>
          <w:b/>
          <w:sz w:val="22"/>
          <w:szCs w:val="22"/>
          <w:lang w:val="pt-BR"/>
        </w:rPr>
        <w:t>Referências</w:t>
      </w:r>
    </w:p>
    <w:p w14:paraId="6354AB1D" w14:textId="77777777" w:rsidR="00B32A7B" w:rsidRPr="00B32A7B" w:rsidRDefault="00B32A7B" w:rsidP="00B32A7B">
      <w:pPr>
        <w:widowControl w:val="0"/>
        <w:spacing w:before="0" w:after="0"/>
        <w:ind w:left="360" w:right="57"/>
        <w:rPr>
          <w:rFonts w:cs="Arial"/>
          <w:color w:val="000000"/>
          <w:sz w:val="22"/>
          <w:szCs w:val="22"/>
          <w:lang w:val="pt-BR"/>
        </w:rPr>
      </w:pPr>
    </w:p>
    <w:p w14:paraId="423563CF" w14:textId="08F9D7CC" w:rsidR="00B32A7B" w:rsidRPr="00B32A7B" w:rsidRDefault="00B32A7B" w:rsidP="00B32A7B">
      <w:pPr>
        <w:pStyle w:val="PargrafodaLista"/>
        <w:widowControl w:val="0"/>
        <w:numPr>
          <w:ilvl w:val="0"/>
          <w:numId w:val="6"/>
        </w:numPr>
        <w:spacing w:before="0" w:after="0"/>
        <w:ind w:right="57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CPC 26 - Apresentação das Demonstrações Contábeis</w:t>
      </w:r>
    </w:p>
    <w:p w14:paraId="1542C1BC" w14:textId="73D874E3" w:rsidR="00B32A7B" w:rsidRPr="00B32A7B" w:rsidRDefault="00B32A7B" w:rsidP="00B32A7B">
      <w:pPr>
        <w:pStyle w:val="PargrafodaLista"/>
        <w:widowControl w:val="0"/>
        <w:numPr>
          <w:ilvl w:val="0"/>
          <w:numId w:val="6"/>
        </w:numPr>
        <w:spacing w:before="0" w:after="0"/>
        <w:ind w:right="57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CPC 27 – Ativo Imobilizado</w:t>
      </w:r>
    </w:p>
    <w:p w14:paraId="063FE45C" w14:textId="339555EC" w:rsidR="00B32A7B" w:rsidRPr="00B32A7B" w:rsidRDefault="00B32A7B" w:rsidP="00B32A7B">
      <w:pPr>
        <w:pStyle w:val="PargrafodaLista"/>
        <w:widowControl w:val="0"/>
        <w:numPr>
          <w:ilvl w:val="0"/>
          <w:numId w:val="6"/>
        </w:numPr>
        <w:tabs>
          <w:tab w:val="left" w:pos="708"/>
          <w:tab w:val="left" w:pos="6804"/>
        </w:tabs>
        <w:spacing w:before="0" w:after="0"/>
        <w:ind w:right="57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 xml:space="preserve">CPC 06 – Arrendamentos </w:t>
      </w:r>
    </w:p>
    <w:p w14:paraId="5C2852D8" w14:textId="030E0EC3" w:rsidR="00B32A7B" w:rsidRPr="00B32A7B" w:rsidRDefault="00B32A7B" w:rsidP="00B32A7B">
      <w:pPr>
        <w:pStyle w:val="PargrafodaLista"/>
        <w:widowControl w:val="0"/>
        <w:numPr>
          <w:ilvl w:val="0"/>
          <w:numId w:val="6"/>
        </w:numPr>
        <w:spacing w:before="0" w:after="0"/>
        <w:ind w:right="57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CPC 25 – Provisões, Passivos Contingentes e Ativos Contingentes</w:t>
      </w:r>
    </w:p>
    <w:p w14:paraId="11FF15DE" w14:textId="5DC29AE9" w:rsidR="00B32A7B" w:rsidRPr="00B32A7B" w:rsidRDefault="00B32A7B" w:rsidP="00B32A7B">
      <w:pPr>
        <w:pStyle w:val="PargrafodaLista"/>
        <w:widowControl w:val="0"/>
        <w:numPr>
          <w:ilvl w:val="0"/>
          <w:numId w:val="6"/>
        </w:numPr>
        <w:spacing w:before="0" w:after="0"/>
        <w:ind w:right="57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CPC 04 – Ativo Intangível</w:t>
      </w:r>
    </w:p>
    <w:p w14:paraId="01F6A09F" w14:textId="0DBDC6AC" w:rsidR="00B32A7B" w:rsidRPr="00B32A7B" w:rsidRDefault="00B32A7B" w:rsidP="00B32A7B">
      <w:pPr>
        <w:pStyle w:val="PargrafodaLista"/>
        <w:widowControl w:val="0"/>
        <w:numPr>
          <w:ilvl w:val="0"/>
          <w:numId w:val="6"/>
        </w:numPr>
        <w:spacing w:before="0" w:after="0"/>
        <w:ind w:right="57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ICPC 01 – Contratos de Concessão</w:t>
      </w:r>
    </w:p>
    <w:p w14:paraId="6D7CA55D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57" w:right="57"/>
        <w:rPr>
          <w:rFonts w:cs="Arial"/>
          <w:b/>
          <w:sz w:val="22"/>
          <w:szCs w:val="22"/>
          <w:lang w:val="pt-BR"/>
        </w:rPr>
      </w:pPr>
    </w:p>
    <w:p w14:paraId="61E0C411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57" w:right="57"/>
        <w:rPr>
          <w:rFonts w:cs="Arial"/>
          <w:b/>
          <w:sz w:val="22"/>
          <w:szCs w:val="22"/>
          <w:lang w:val="pt-BR"/>
        </w:rPr>
      </w:pPr>
    </w:p>
    <w:p w14:paraId="06CEA482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57" w:right="57"/>
        <w:rPr>
          <w:rFonts w:cs="Arial"/>
          <w:b/>
          <w:sz w:val="22"/>
          <w:szCs w:val="22"/>
          <w:lang w:val="pt-BR"/>
        </w:rPr>
      </w:pPr>
      <w:r w:rsidRPr="00B32A7B">
        <w:rPr>
          <w:rFonts w:cs="Arial"/>
          <w:b/>
          <w:sz w:val="22"/>
          <w:szCs w:val="22"/>
          <w:lang w:val="pt-BR"/>
        </w:rPr>
        <w:t>Tópico</w:t>
      </w:r>
    </w:p>
    <w:p w14:paraId="4089CB05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bookmarkStart w:id="1" w:name="JD_ifric12-Para-1"/>
      <w:bookmarkEnd w:id="1"/>
    </w:p>
    <w:p w14:paraId="013E56B6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1.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Uma entidade (concessionário) pode ingressar em acordo contratual com outra entidade (concedente) para prestar serviços que permitem ao público acesso a diversas facilidades econômicas e sociais. O concedente pode ser entidade do setor público ou do setor privado ligada a um ente governamental. Exemplos de serviços de concessão pública compreendem redes de tratamento de água e de fornecimento de serviços públicos de caráter essencial, rodovias, estacionamentos de veículos, túneis, pontes, aeroportos e redes de telecomunicações. Exemplos de acordos contratuais que não são caracterizados como serviços de concessão pública compreendem uma entidade terceirizando a operação de seus serviços internos (exemplos: cafeteria para funcionários, manutenção predial, funções de tecnologia da informação e serviços contábeis).</w:t>
      </w:r>
    </w:p>
    <w:p w14:paraId="4F913A11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116D6FA1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2.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O serviço de concessão pública geralmente envolve o concedente outorgando ao concessionário pelo prazo da concessão:</w:t>
      </w:r>
    </w:p>
    <w:p w14:paraId="2E601D13" w14:textId="77777777" w:rsidR="00B32A7B" w:rsidRPr="00B32A7B" w:rsidRDefault="00B32A7B" w:rsidP="00B32A7B">
      <w:pPr>
        <w:widowControl w:val="0"/>
        <w:numPr>
          <w:ilvl w:val="0"/>
          <w:numId w:val="3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 xml:space="preserve">o direito de prestar serviços que permitem ao público acesso a diversas facilidades </w:t>
      </w: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lastRenderedPageBreak/>
        <w:t xml:space="preserve">econômicas e sociais; e </w:t>
      </w:r>
    </w:p>
    <w:p w14:paraId="38483479" w14:textId="77777777" w:rsidR="00B32A7B" w:rsidRPr="00B32A7B" w:rsidRDefault="00B32A7B" w:rsidP="00B32A7B">
      <w:pPr>
        <w:widowControl w:val="0"/>
        <w:numPr>
          <w:ilvl w:val="0"/>
          <w:numId w:val="3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em alguns casos, o direito de utilizar ativos tangíveis especificados, ativos intangíveis ou ativos financeiros;</w:t>
      </w:r>
    </w:p>
    <w:p w14:paraId="4511E63D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ab/>
        <w:t>em contrapartida de o concessionário:</w:t>
      </w:r>
    </w:p>
    <w:p w14:paraId="5ABA9BA8" w14:textId="77777777" w:rsidR="00B32A7B" w:rsidRPr="00B32A7B" w:rsidRDefault="00B32A7B" w:rsidP="00B32A7B">
      <w:pPr>
        <w:widowControl w:val="0"/>
        <w:numPr>
          <w:ilvl w:val="0"/>
          <w:numId w:val="3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assumir o compromisso de prestar serviços conforme determinados termos e condições contratuais, durante o período de concessão; e</w:t>
      </w:r>
    </w:p>
    <w:p w14:paraId="43F272A5" w14:textId="77777777" w:rsidR="00B32A7B" w:rsidRPr="00B32A7B" w:rsidRDefault="00B32A7B" w:rsidP="00B32A7B">
      <w:pPr>
        <w:widowControl w:val="0"/>
        <w:numPr>
          <w:ilvl w:val="0"/>
          <w:numId w:val="3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quando aplicável, assumir o compromisso de reverter, ao término do período de concessão, os direitos recebidos no início do período de concessão e/ou adquiridos ao longo desse período.</w:t>
      </w:r>
    </w:p>
    <w:p w14:paraId="4724EC06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6E7F71FA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3.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Uma característica comum a todos os acordos contratuais envolvendo concessões públicas é a de que o concessionário concomitantemente recebe um direito e uma obrigação de prestar serviços públicos.</w:t>
      </w:r>
    </w:p>
    <w:p w14:paraId="2A446ED2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1E5C3074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4.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O tópico desta Interpretação diz respeito a que tipo de informação deve ser prestada nas notas explicativas que acompanham as demonstrações contábeis do concessionário e do concedente.</w:t>
      </w:r>
    </w:p>
    <w:p w14:paraId="51BB9487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08C6A00A" w14:textId="3D88CC5A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5.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Certos aspectos e divulgações relacionados à concessão de alguns serviços públicos já estão devidamente tratados nos Pronunciamentos Técnicos do CPC (por exemplo, o CPC 27 para aquisições de itens do ativo imobilizado, o CPC 06 aplicado a ativos objeto de arrendamento e o CPC 04 aplicado a aquisições de ativos intangíveis). Entretanto, um acordo contratual de concessão de serviços públicos pode envolver contratos a executar (</w:t>
      </w:r>
      <w:r w:rsidRPr="00B32A7B">
        <w:rPr>
          <w:rFonts w:cs="Arial"/>
          <w:i/>
          <w:color w:val="000000"/>
          <w:sz w:val="22"/>
          <w:szCs w:val="22"/>
          <w:lang w:val="pt-BR"/>
        </w:rPr>
        <w:t>executory</w:t>
      </w:r>
      <w:r w:rsidRPr="00B32A7B">
        <w:rPr>
          <w:rFonts w:cs="Arial"/>
          <w:color w:val="000000"/>
          <w:sz w:val="22"/>
          <w:szCs w:val="22"/>
          <w:lang w:val="pt-BR"/>
        </w:rPr>
        <w:t xml:space="preserve"> </w:t>
      </w:r>
      <w:r w:rsidRPr="00B32A7B">
        <w:rPr>
          <w:rFonts w:cs="Arial"/>
          <w:i/>
          <w:color w:val="000000"/>
          <w:sz w:val="22"/>
          <w:szCs w:val="22"/>
          <w:lang w:val="pt-BR"/>
        </w:rPr>
        <w:t>contracts</w:t>
      </w:r>
      <w:r w:rsidRPr="00B32A7B">
        <w:rPr>
          <w:rFonts w:cs="Arial"/>
          <w:color w:val="000000"/>
          <w:sz w:val="22"/>
          <w:szCs w:val="22"/>
          <w:lang w:val="pt-BR"/>
        </w:rPr>
        <w:t xml:space="preserve">) que não estão disciplinados pelos Pronunciamentos Técnicos do CPC, a menos que se trate de contratos que sejam onerosos, caso em que deve ser aplicado o CPC 25 – Provisões, Passivos Contingentes e Ativos Contingentes. Dessa forma, esta Interpretação trata de divulgações adicionais para os acordos contratuais de concessões de serviços públicos. </w:t>
      </w:r>
    </w:p>
    <w:p w14:paraId="46F66132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right="57"/>
        <w:rPr>
          <w:rFonts w:cs="Arial"/>
          <w:b/>
          <w:sz w:val="22"/>
          <w:szCs w:val="22"/>
          <w:lang w:val="pt-BR"/>
        </w:rPr>
      </w:pPr>
    </w:p>
    <w:p w14:paraId="74FB9287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right="57"/>
        <w:rPr>
          <w:rFonts w:cs="Arial"/>
          <w:b/>
          <w:sz w:val="22"/>
          <w:szCs w:val="22"/>
          <w:lang w:val="pt-BR"/>
        </w:rPr>
      </w:pPr>
      <w:r w:rsidRPr="00B32A7B">
        <w:rPr>
          <w:rFonts w:cs="Arial"/>
          <w:b/>
          <w:sz w:val="22"/>
          <w:szCs w:val="22"/>
          <w:lang w:val="pt-BR"/>
        </w:rPr>
        <w:t>Consenso</w:t>
      </w:r>
    </w:p>
    <w:p w14:paraId="72313D4D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6609A157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6.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Todos os aspectos do contrato de concessão devem ser considerados para determinar as divulgações adequadas nas notas explicativas. O concessionário e o concedente devem divulgar o que segue ao final de cada período de reporte:</w:t>
      </w:r>
    </w:p>
    <w:p w14:paraId="1A7F75E0" w14:textId="77777777" w:rsidR="00B32A7B" w:rsidRPr="00B32A7B" w:rsidRDefault="00B32A7B" w:rsidP="00B32A7B">
      <w:pPr>
        <w:widowControl w:val="0"/>
        <w:numPr>
          <w:ilvl w:val="0"/>
          <w:numId w:val="5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descrição do acordo contratual;</w:t>
      </w:r>
    </w:p>
    <w:p w14:paraId="26D9E21A" w14:textId="77777777" w:rsidR="00B32A7B" w:rsidRPr="00B32A7B" w:rsidRDefault="00B32A7B" w:rsidP="00B32A7B">
      <w:pPr>
        <w:widowControl w:val="0"/>
        <w:numPr>
          <w:ilvl w:val="0"/>
          <w:numId w:val="5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termos significativos do contrato que possam afetar o montante, o período de ocorrência e a certeza dos fluxos de caixa futuros (por exemplo, período da concessão, datas de reajustes nos preços e bases sobre as quais o reajuste ou renegociação serão determinados);</w:t>
      </w:r>
    </w:p>
    <w:p w14:paraId="0FC3BD1D" w14:textId="77777777" w:rsidR="00B32A7B" w:rsidRPr="00B32A7B" w:rsidRDefault="00B32A7B" w:rsidP="00B32A7B">
      <w:pPr>
        <w:widowControl w:val="0"/>
        <w:numPr>
          <w:ilvl w:val="0"/>
          <w:numId w:val="5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natureza e extensão (por exemplo, quantidade, período de ocorrência ou montante, conforme o caso) de:</w:t>
      </w:r>
    </w:p>
    <w:p w14:paraId="633AC7D1" w14:textId="77777777" w:rsidR="00B32A7B" w:rsidRPr="00B32A7B" w:rsidRDefault="00B32A7B" w:rsidP="00B32A7B">
      <w:pPr>
        <w:widowControl w:val="0"/>
        <w:numPr>
          <w:ilvl w:val="1"/>
          <w:numId w:val="4"/>
        </w:numPr>
        <w:spacing w:before="0" w:after="0"/>
        <w:ind w:left="1923" w:right="57" w:hanging="505"/>
        <w:rPr>
          <w:rFonts w:cs="Arial"/>
          <w:bCs/>
          <w:iCs/>
          <w:sz w:val="22"/>
          <w:szCs w:val="22"/>
        </w:rPr>
      </w:pPr>
      <w:r w:rsidRPr="00B32A7B">
        <w:rPr>
          <w:rFonts w:cs="Arial"/>
          <w:bCs/>
          <w:iCs/>
          <w:sz w:val="22"/>
          <w:szCs w:val="22"/>
        </w:rPr>
        <w:t>direitos de uso de ativos especificados;</w:t>
      </w:r>
    </w:p>
    <w:p w14:paraId="6110854D" w14:textId="77777777" w:rsidR="00B32A7B" w:rsidRPr="00B32A7B" w:rsidRDefault="00B32A7B" w:rsidP="00B32A7B">
      <w:pPr>
        <w:widowControl w:val="0"/>
        <w:numPr>
          <w:ilvl w:val="1"/>
          <w:numId w:val="4"/>
        </w:numPr>
        <w:spacing w:before="0" w:after="0"/>
        <w:ind w:left="1923" w:right="57" w:hanging="505"/>
        <w:rPr>
          <w:rFonts w:cs="Arial"/>
          <w:bCs/>
          <w:iCs/>
          <w:sz w:val="22"/>
          <w:szCs w:val="22"/>
        </w:rPr>
      </w:pPr>
      <w:r w:rsidRPr="00B32A7B">
        <w:rPr>
          <w:rFonts w:cs="Arial"/>
          <w:bCs/>
          <w:iCs/>
          <w:sz w:val="22"/>
          <w:szCs w:val="22"/>
        </w:rPr>
        <w:t>obrigação de prestar serviços ou direitos de receber serviços;</w:t>
      </w:r>
    </w:p>
    <w:p w14:paraId="51D6B5C9" w14:textId="77777777" w:rsidR="00B32A7B" w:rsidRPr="00B32A7B" w:rsidRDefault="00B32A7B" w:rsidP="00B32A7B">
      <w:pPr>
        <w:widowControl w:val="0"/>
        <w:numPr>
          <w:ilvl w:val="1"/>
          <w:numId w:val="4"/>
        </w:numPr>
        <w:spacing w:before="0" w:after="0"/>
        <w:ind w:left="1923" w:right="57" w:hanging="505"/>
        <w:rPr>
          <w:rFonts w:cs="Arial"/>
          <w:bCs/>
          <w:iCs/>
          <w:sz w:val="22"/>
          <w:szCs w:val="22"/>
        </w:rPr>
      </w:pPr>
      <w:r w:rsidRPr="00B32A7B">
        <w:rPr>
          <w:rFonts w:cs="Arial"/>
          <w:bCs/>
          <w:iCs/>
          <w:sz w:val="22"/>
          <w:szCs w:val="22"/>
        </w:rPr>
        <w:t>obrigações para adquirir ou construir itens da infraestrutura da concessão;</w:t>
      </w:r>
    </w:p>
    <w:p w14:paraId="3508BF8E" w14:textId="77777777" w:rsidR="00B32A7B" w:rsidRPr="00B32A7B" w:rsidRDefault="00B32A7B" w:rsidP="00B32A7B">
      <w:pPr>
        <w:widowControl w:val="0"/>
        <w:numPr>
          <w:ilvl w:val="1"/>
          <w:numId w:val="4"/>
        </w:numPr>
        <w:spacing w:before="0" w:after="0"/>
        <w:ind w:left="1923" w:right="57" w:hanging="505"/>
        <w:rPr>
          <w:rFonts w:cs="Arial"/>
          <w:bCs/>
          <w:iCs/>
          <w:sz w:val="22"/>
          <w:szCs w:val="22"/>
        </w:rPr>
      </w:pPr>
      <w:r w:rsidRPr="00B32A7B">
        <w:rPr>
          <w:rFonts w:cs="Arial"/>
          <w:bCs/>
          <w:iCs/>
          <w:sz w:val="22"/>
          <w:szCs w:val="22"/>
        </w:rPr>
        <w:t>obrigação de entregar ou direito de receber ativos especificados no final do prazo da concessão;</w:t>
      </w:r>
    </w:p>
    <w:p w14:paraId="2BA974C4" w14:textId="77777777" w:rsidR="00B32A7B" w:rsidRPr="00B32A7B" w:rsidRDefault="00B32A7B" w:rsidP="00B32A7B">
      <w:pPr>
        <w:widowControl w:val="0"/>
        <w:numPr>
          <w:ilvl w:val="1"/>
          <w:numId w:val="4"/>
        </w:numPr>
        <w:spacing w:before="0" w:after="0"/>
        <w:ind w:left="1923" w:right="57" w:hanging="505"/>
        <w:rPr>
          <w:rFonts w:cs="Arial"/>
          <w:bCs/>
          <w:iCs/>
          <w:sz w:val="22"/>
          <w:szCs w:val="22"/>
        </w:rPr>
      </w:pPr>
      <w:r w:rsidRPr="00B32A7B">
        <w:rPr>
          <w:rFonts w:cs="Arial"/>
          <w:bCs/>
          <w:iCs/>
          <w:sz w:val="22"/>
          <w:szCs w:val="22"/>
        </w:rPr>
        <w:t>opção de renovação ou de rescisão; e</w:t>
      </w:r>
    </w:p>
    <w:p w14:paraId="1EF1564D" w14:textId="77777777" w:rsidR="00B32A7B" w:rsidRPr="00B32A7B" w:rsidRDefault="00B32A7B" w:rsidP="00B32A7B">
      <w:pPr>
        <w:widowControl w:val="0"/>
        <w:numPr>
          <w:ilvl w:val="1"/>
          <w:numId w:val="4"/>
        </w:numPr>
        <w:spacing w:before="0" w:after="0"/>
        <w:ind w:left="1923" w:right="57" w:hanging="505"/>
        <w:rPr>
          <w:rFonts w:cs="Arial"/>
          <w:bCs/>
          <w:iCs/>
          <w:sz w:val="22"/>
          <w:szCs w:val="22"/>
        </w:rPr>
      </w:pPr>
      <w:r w:rsidRPr="00B32A7B">
        <w:rPr>
          <w:rFonts w:cs="Arial"/>
          <w:bCs/>
          <w:iCs/>
          <w:sz w:val="22"/>
          <w:szCs w:val="22"/>
        </w:rPr>
        <w:t>outros direitos e obrigações (por exemplo, grandes manutenções periódicas);</w:t>
      </w:r>
    </w:p>
    <w:p w14:paraId="2B888C4F" w14:textId="77777777" w:rsidR="00B32A7B" w:rsidRPr="00B32A7B" w:rsidRDefault="00B32A7B" w:rsidP="00B32A7B">
      <w:pPr>
        <w:widowControl w:val="0"/>
        <w:numPr>
          <w:ilvl w:val="0"/>
          <w:numId w:val="5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mudanças no contrato ocorridas durante o período; e</w:t>
      </w:r>
    </w:p>
    <w:p w14:paraId="307B7F5A" w14:textId="77777777" w:rsidR="00B32A7B" w:rsidRPr="00B32A7B" w:rsidRDefault="00B32A7B" w:rsidP="00B32A7B">
      <w:pPr>
        <w:widowControl w:val="0"/>
        <w:numPr>
          <w:ilvl w:val="0"/>
          <w:numId w:val="5"/>
        </w:numPr>
        <w:spacing w:before="0" w:after="0"/>
        <w:ind w:right="57"/>
        <w:rPr>
          <w:rFonts w:cs="Arial"/>
          <w:bCs/>
          <w:iCs/>
          <w:color w:val="000000"/>
          <w:sz w:val="22"/>
          <w:szCs w:val="22"/>
          <w:lang w:val="pt-BR"/>
        </w:rPr>
      </w:pPr>
      <w:r w:rsidRPr="00B32A7B">
        <w:rPr>
          <w:rFonts w:cs="Arial"/>
          <w:bCs/>
          <w:iCs/>
          <w:color w:val="000000"/>
          <w:sz w:val="22"/>
          <w:szCs w:val="22"/>
          <w:lang w:val="pt-BR"/>
        </w:rPr>
        <w:t>como o contrato de concessão foi classificado.</w:t>
      </w:r>
    </w:p>
    <w:p w14:paraId="0CD17292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5A24FA78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6A.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 xml:space="preserve">O concessionário deve divulgar o total da receita e dos lucros ou prejuízos reconhecidos no período pela prestação de serviços de construção em troca de um ativo financeiro ou um ativo intangível. </w:t>
      </w:r>
    </w:p>
    <w:p w14:paraId="57A9A69C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2269806C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  <w:r w:rsidRPr="00B32A7B">
        <w:rPr>
          <w:rFonts w:cs="Arial"/>
          <w:color w:val="000000"/>
          <w:sz w:val="22"/>
          <w:szCs w:val="22"/>
          <w:lang w:val="pt-BR"/>
        </w:rPr>
        <w:t>7.</w:t>
      </w:r>
      <w:r w:rsidRPr="00B32A7B">
        <w:rPr>
          <w:rFonts w:cs="Arial"/>
          <w:color w:val="000000"/>
          <w:sz w:val="22"/>
          <w:szCs w:val="22"/>
          <w:lang w:val="pt-BR"/>
        </w:rPr>
        <w:tab/>
        <w:t>As divulgações requeridas de acordo com o item 6 desta Interpretação devem ser feitas para cada contrato de concessão individual ou para cada classe de contratos de concessão. Uma classe é o agrupamento de contratos de concessão envolvendo serviços de natureza similar (por exemplo, arrecadação de pedágio, serviços de telecomunicações, tratamento de água).</w:t>
      </w:r>
    </w:p>
    <w:p w14:paraId="4470693B" w14:textId="77777777" w:rsidR="00B32A7B" w:rsidRPr="00B32A7B" w:rsidRDefault="00B32A7B" w:rsidP="00B32A7B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color w:val="000000"/>
          <w:sz w:val="22"/>
          <w:szCs w:val="22"/>
          <w:lang w:val="pt-BR"/>
        </w:rPr>
      </w:pPr>
    </w:p>
    <w:p w14:paraId="2C5A7000" w14:textId="286C3877" w:rsidR="00C578D8" w:rsidRDefault="00C578D8">
      <w:pPr>
        <w:rPr>
          <w:lang w:val="pt-BR"/>
        </w:rPr>
      </w:pPr>
    </w:p>
    <w:p w14:paraId="5ABEFC5B" w14:textId="77777777" w:rsidR="00273211" w:rsidRPr="0096648A" w:rsidRDefault="00273211">
      <w:pPr>
        <w:rPr>
          <w:lang w:val="pt-BR"/>
        </w:rPr>
      </w:pPr>
    </w:p>
    <w:sectPr w:rsidR="00273211" w:rsidRPr="0096648A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680B" w14:textId="77777777" w:rsidR="00FD358D" w:rsidRDefault="00FD358D" w:rsidP="0096648A">
      <w:pPr>
        <w:spacing w:before="0" w:after="0"/>
      </w:pPr>
      <w:r>
        <w:separator/>
      </w:r>
    </w:p>
  </w:endnote>
  <w:endnote w:type="continuationSeparator" w:id="0">
    <w:p w14:paraId="34F79491" w14:textId="77777777" w:rsidR="00FD358D" w:rsidRDefault="00FD358D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D76E29" w:rsidRDefault="008443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D76E29" w:rsidRDefault="00071E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7DEEBFBE" w:rsidR="00AB3649" w:rsidRPr="00AB3649" w:rsidRDefault="00AB3649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071EC6" w:rsidRPr="00071EC6">
          <w:rPr>
            <w:rFonts w:asciiTheme="minorHAnsi" w:hAnsiTheme="minorHAnsi" w:cstheme="minorHAnsi"/>
            <w:noProof/>
            <w:szCs w:val="20"/>
            <w:lang w:val="pt-BR"/>
          </w:rPr>
          <w:t>4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A21437" w:rsidRPr="00A21437" w:rsidRDefault="00A21437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6DA2" w14:textId="77777777" w:rsidR="00FD358D" w:rsidRDefault="00FD358D" w:rsidP="0096648A">
      <w:pPr>
        <w:spacing w:before="0" w:after="0"/>
      </w:pPr>
      <w:r>
        <w:separator/>
      </w:r>
    </w:p>
  </w:footnote>
  <w:footnote w:type="continuationSeparator" w:id="0">
    <w:p w14:paraId="6A3EB340" w14:textId="77777777" w:rsidR="00FD358D" w:rsidRDefault="00FD358D" w:rsidP="009664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A21437" w:rsidRPr="007A1E4D" w:rsidRDefault="00A21437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240864E4" w:rsidR="00A21437" w:rsidRDefault="00071EC6" w:rsidP="00A21437">
    <w:pPr>
      <w:pStyle w:val="Cabealho"/>
      <w:spacing w:before="0" w:after="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4124B236" w:rsidR="00D76E29" w:rsidRPr="00A21437" w:rsidRDefault="00071EC6" w:rsidP="00A21437">
    <w:pPr>
      <w:pStyle w:val="Cabealho"/>
      <w:spacing w:before="240" w:after="240"/>
      <w:rPr>
        <w:rFonts w:asciiTheme="minorHAnsi" w:hAnsiTheme="minorHAnsi" w:cstheme="minorHAnsi"/>
      </w:rPr>
    </w:pPr>
    <w:r w:rsidRPr="00071EC6">
      <w:rPr>
        <w:rFonts w:asciiTheme="minorHAnsi" w:hAnsiTheme="minorHAnsi" w:cstheme="minorHAnsi"/>
        <w:szCs w:val="20"/>
      </w:rPr>
      <w:t>RESOLUÇÃO CVM Nº 128, DE 3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DF62F3" w:rsidRPr="007A1E4D" w:rsidRDefault="00DF62F3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DF62F3" w:rsidRPr="00DF62F3" w:rsidRDefault="00DF62F3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11AEB93" w:rsidR="00D76E29" w:rsidRDefault="00071EC6" w:rsidP="00DF62F3">
    <w:pPr>
      <w:pStyle w:val="Cabealho"/>
      <w:spacing w:before="0" w:after="36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abstractNum w:abstractNumId="1" w15:restartNumberingAfterBreak="0">
    <w:nsid w:val="2AD42FE7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1E73FA"/>
    <w:multiLevelType w:val="hybridMultilevel"/>
    <w:tmpl w:val="22D25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56C4A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34A68"/>
    <w:multiLevelType w:val="hybridMultilevel"/>
    <w:tmpl w:val="7706A3E4"/>
    <w:lvl w:ilvl="0" w:tplc="862E2C22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DC4E2D7C">
      <w:start w:val="1"/>
      <w:numFmt w:val="lowerRoman"/>
      <w:lvlText w:val="(%2) "/>
      <w:lvlJc w:val="center"/>
      <w:pPr>
        <w:tabs>
          <w:tab w:val="num" w:pos="1920"/>
        </w:tabs>
        <w:ind w:left="1920" w:hanging="360"/>
      </w:pPr>
      <w:rPr>
        <w:rFonts w:hint="default"/>
      </w:rPr>
    </w:lvl>
    <w:lvl w:ilvl="2" w:tplc="E33C151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BEE1E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1560596">
      <w:start w:val="1"/>
      <w:numFmt w:val="lowerRoman"/>
      <w:lvlText w:val="(%5)"/>
      <w:lvlJc w:val="left"/>
      <w:pPr>
        <w:ind w:left="4265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A73C6"/>
    <w:multiLevelType w:val="hybridMultilevel"/>
    <w:tmpl w:val="5A5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4545E"/>
    <w:rsid w:val="00071EC6"/>
    <w:rsid w:val="000A5AF5"/>
    <w:rsid w:val="000B0A39"/>
    <w:rsid w:val="001D07D2"/>
    <w:rsid w:val="00221478"/>
    <w:rsid w:val="002447D1"/>
    <w:rsid w:val="00273211"/>
    <w:rsid w:val="00275BD2"/>
    <w:rsid w:val="00403491"/>
    <w:rsid w:val="004A3E89"/>
    <w:rsid w:val="00553D4C"/>
    <w:rsid w:val="005D7141"/>
    <w:rsid w:val="00805836"/>
    <w:rsid w:val="00824ACF"/>
    <w:rsid w:val="0084434F"/>
    <w:rsid w:val="0088093B"/>
    <w:rsid w:val="00946C8B"/>
    <w:rsid w:val="009555EC"/>
    <w:rsid w:val="0096648A"/>
    <w:rsid w:val="009D3457"/>
    <w:rsid w:val="00A21437"/>
    <w:rsid w:val="00A92033"/>
    <w:rsid w:val="00AB3649"/>
    <w:rsid w:val="00B32A7B"/>
    <w:rsid w:val="00B35026"/>
    <w:rsid w:val="00B85967"/>
    <w:rsid w:val="00C578D8"/>
    <w:rsid w:val="00C72039"/>
    <w:rsid w:val="00CF08C5"/>
    <w:rsid w:val="00CF424B"/>
    <w:rsid w:val="00D410C6"/>
    <w:rsid w:val="00DF62F3"/>
    <w:rsid w:val="00E269DF"/>
    <w:rsid w:val="00E653D2"/>
    <w:rsid w:val="00F066A7"/>
    <w:rsid w:val="00F13CCD"/>
    <w:rsid w:val="00FB5E59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952"/>
  <w15:chartTrackingRefBased/>
  <w15:docId w15:val="{A039BEE3-6F4A-46C4-9423-3667D03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5BA7DCC295C4B97EFA222803C2E43" ma:contentTypeVersion="10" ma:contentTypeDescription="Crie um novo documento." ma:contentTypeScope="" ma:versionID="7d8ea17b59b9333b9b314232a7ebf6e4">
  <xsd:schema xmlns:xsd="http://www.w3.org/2001/XMLSchema" xmlns:xs="http://www.w3.org/2001/XMLSchema" xmlns:p="http://schemas.microsoft.com/office/2006/metadata/properties" xmlns:ns2="b69b09d8-fb11-4638-84fd-30340ac4eb29" targetNamespace="http://schemas.microsoft.com/office/2006/metadata/properties" ma:root="true" ma:fieldsID="aa26f5b75ddb370374fdbca9534ba94d" ns2:_="">
    <xsd:import namespace="b69b09d8-fb11-4638-84fd-30340ac4e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9F9D-2FE4-4FF9-AA47-BD409D3CE8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69b09d8-fb11-4638-84fd-30340ac4eb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57A24C-C491-418F-ACFB-1D308BF91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7BA47-92EA-49E2-9B06-CCEE3127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1CC91-0F0B-4C2A-A948-7259AD8F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128, DE 3 DE JUNHO DE 2022</dc:title>
  <dc:subject/>
  <dc:creator>CVM</dc:creator>
  <cp:keywords/>
  <dc:description/>
  <cp:lastModifiedBy>Renata dos Santos Leitão</cp:lastModifiedBy>
  <cp:revision>35</cp:revision>
  <dcterms:created xsi:type="dcterms:W3CDTF">2021-07-21T15:16:00Z</dcterms:created>
  <dcterms:modified xsi:type="dcterms:W3CDTF">2022-06-02T13:56:00Z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  <property fmtid="{D5CDD505-2E9C-101B-9397-08002B2CF9AE}" pid="3" name="Order">
    <vt:r8>35900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