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065263B0" w:rsidR="00841BBF" w:rsidRPr="00C1691E" w:rsidRDefault="00CB6256" w:rsidP="00411388">
      <w:pPr>
        <w:pStyle w:val="TtulodaResoluo"/>
      </w:pPr>
      <w:r w:rsidRPr="00CB6256">
        <w:t>RESOLUÇÃO CVM Nº 13</w:t>
      </w:r>
      <w:r>
        <w:t>9</w:t>
      </w:r>
      <w:r w:rsidRPr="00CB6256">
        <w:t>, DE 15 DE JUNHO DE 2022</w:t>
      </w:r>
    </w:p>
    <w:p w14:paraId="7F287B8F" w14:textId="1437BF1C" w:rsidR="00841BBF" w:rsidRPr="00C82C89" w:rsidRDefault="00640785" w:rsidP="000857FD">
      <w:pPr>
        <w:pStyle w:val="Ementa"/>
      </w:pPr>
      <w:r>
        <w:t xml:space="preserve">Ratifica </w:t>
      </w:r>
      <w:r w:rsidR="006354B4" w:rsidRPr="006354B4">
        <w:t xml:space="preserve">o Pronunciamento Técnico CPC </w:t>
      </w:r>
      <w:r w:rsidR="00B07821">
        <w:t>42</w:t>
      </w:r>
      <w:r w:rsidR="00E4538B">
        <w:t xml:space="preserve"> </w:t>
      </w:r>
      <w:r w:rsidR="006354B4" w:rsidRPr="006354B4">
        <w:t>do Comitê de Pronunciamentos Contábeis</w:t>
      </w:r>
      <w:r w:rsidR="00E4538B">
        <w:t xml:space="preserve"> – CPC</w:t>
      </w:r>
      <w:r w:rsidR="00B07821">
        <w:t>, que trata</w:t>
      </w:r>
      <w:r w:rsidR="00E4538B">
        <w:t xml:space="preserve"> sobre </w:t>
      </w:r>
      <w:r w:rsidR="00B07821">
        <w:t>contabilidade em economia hiperinflacionária</w:t>
      </w:r>
      <w:r w:rsidR="0AFCFE7C">
        <w:t>.</w:t>
      </w:r>
    </w:p>
    <w:p w14:paraId="4F1921DF" w14:textId="5C1A8360" w:rsidR="006E1797" w:rsidRDefault="52D26694" w:rsidP="000857FD">
      <w:r>
        <w:t xml:space="preserve">O </w:t>
      </w:r>
      <w:r w:rsidRPr="0088046F">
        <w:rPr>
          <w:b/>
          <w:bCs/>
        </w:rPr>
        <w:t>PRESIDENTE DA COMISSÃO DE VALORES MOBILIÁRIOS – CVM</w:t>
      </w:r>
      <w:r>
        <w:t xml:space="preserve"> torna público que o Colegiado, em reunião realizada em </w:t>
      </w:r>
      <w:r w:rsidR="00E56A82">
        <w:t xml:space="preserve">4 </w:t>
      </w:r>
      <w:r w:rsidR="5BCF2215">
        <w:t xml:space="preserve">de </w:t>
      </w:r>
      <w:r w:rsidR="00E56A82">
        <w:t xml:space="preserve">maio </w:t>
      </w:r>
      <w:r w:rsidR="5BCF2215">
        <w:t xml:space="preserve">de </w:t>
      </w:r>
      <w:r w:rsidR="1D34AD4F">
        <w:t>202</w:t>
      </w:r>
      <w:r w:rsidR="00411388">
        <w:t>2</w:t>
      </w:r>
      <w:r>
        <w:t>,</w:t>
      </w:r>
      <w:r w:rsidR="00F0408F" w:rsidRPr="00F0408F">
        <w:t xml:space="preserve"> com fundamento nos §§ 3º e 5º do art. 177 da Lei no 6.404, de 15 de dezembro de 1976, combinados com os incisos II e IV do § 1</w:t>
      </w:r>
      <w:r w:rsidR="003F1182">
        <w:t>º</w:t>
      </w:r>
      <w:r w:rsidR="00F0408F" w:rsidRPr="00F0408F">
        <w:t xml:space="preserve">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49E4F71B" w:rsidR="00ED1FB4" w:rsidRDefault="7210E900" w:rsidP="000857FD">
      <w:pPr>
        <w:spacing w:before="360"/>
      </w:pPr>
      <w:r>
        <w:t xml:space="preserve">Art. 1º  </w:t>
      </w:r>
      <w:r w:rsidR="00640785">
        <w:t xml:space="preserve">Fica ratificada </w:t>
      </w:r>
      <w:r w:rsidR="00BD050F">
        <w:t xml:space="preserve">a </w:t>
      </w:r>
      <w:r w:rsidR="00640785">
        <w:t xml:space="preserve">obrigatoriedade </w:t>
      </w:r>
      <w:r w:rsidR="00F0408F" w:rsidRPr="00F0408F">
        <w:t xml:space="preserve">para as companhias abertas </w:t>
      </w:r>
      <w:r w:rsidR="00640785">
        <w:t>d</w:t>
      </w:r>
      <w:r w:rsidR="00F0408F" w:rsidRPr="00F0408F">
        <w:t xml:space="preserve">o Pronunciamento Técnico CPC </w:t>
      </w:r>
      <w:r w:rsidR="00B07821">
        <w:t>42</w:t>
      </w:r>
      <w:r w:rsidR="00640785">
        <w:t>, que trata de contabilidade em economia hiperinflacionária,</w:t>
      </w:r>
      <w:r w:rsidR="00F0408F" w:rsidRPr="00F0408F">
        <w:t xml:space="preserve"> emitido pelo Comitê de Pronunciamentos Contábeis - CPC,</w:t>
      </w:r>
      <w:r w:rsidR="00640785">
        <w:t xml:space="preserve"> conforme A</w:t>
      </w:r>
      <w:r w:rsidR="00F0408F" w:rsidRPr="00F0408F">
        <w:t xml:space="preserve">nexo </w:t>
      </w:r>
      <w:r w:rsidR="00640785">
        <w:t xml:space="preserve">“A” </w:t>
      </w:r>
      <w:r w:rsidR="00F0408F" w:rsidRPr="00F0408F">
        <w:t xml:space="preserve">à presente </w:t>
      </w:r>
      <w:r w:rsidR="00F0408F">
        <w:t>Resolu</w:t>
      </w:r>
      <w:r w:rsidR="00F0408F" w:rsidRPr="00F0408F">
        <w:t>ção</w:t>
      </w:r>
      <w:r w:rsidR="00B07821">
        <w:t xml:space="preserve">. </w:t>
      </w:r>
    </w:p>
    <w:p w14:paraId="4FBE9FE5" w14:textId="63FEBAD3" w:rsidR="4E865B3C" w:rsidRDefault="4E865B3C" w:rsidP="000857FD">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B07821">
        <w:rPr>
          <w:rFonts w:ascii="Calibri" w:hAnsi="Calibri" w:cs="Calibri"/>
          <w:color w:val="000000" w:themeColor="text1"/>
        </w:rPr>
        <w:t>805</w:t>
      </w:r>
      <w:r w:rsidRPr="423D2983">
        <w:rPr>
          <w:rFonts w:ascii="Calibri" w:hAnsi="Calibri" w:cs="Calibri"/>
          <w:color w:val="000000" w:themeColor="text1"/>
        </w:rPr>
        <w:t xml:space="preserve">, de </w:t>
      </w:r>
      <w:r w:rsidR="00B07821">
        <w:rPr>
          <w:rFonts w:ascii="Calibri" w:hAnsi="Calibri" w:cs="Calibri"/>
          <w:color w:val="000000" w:themeColor="text1"/>
        </w:rPr>
        <w:t>2</w:t>
      </w:r>
      <w:r w:rsidR="00E4538B">
        <w:rPr>
          <w:rFonts w:ascii="Calibri" w:hAnsi="Calibri" w:cs="Calibri"/>
          <w:color w:val="000000" w:themeColor="text1"/>
        </w:rPr>
        <w:t>7</w:t>
      </w:r>
      <w:r w:rsidRPr="423D2983">
        <w:rPr>
          <w:rFonts w:ascii="Calibri" w:hAnsi="Calibri" w:cs="Calibri"/>
          <w:color w:val="000000" w:themeColor="text1"/>
        </w:rPr>
        <w:t xml:space="preserve"> de </w:t>
      </w:r>
      <w:r w:rsidR="00B07821">
        <w:rPr>
          <w:rFonts w:ascii="Calibri" w:hAnsi="Calibri" w:cs="Calibri"/>
          <w:color w:val="000000" w:themeColor="text1"/>
        </w:rPr>
        <w:t>dezemb</w:t>
      </w:r>
      <w:r w:rsidR="00E4538B">
        <w:rPr>
          <w:rFonts w:ascii="Calibri" w:hAnsi="Calibri" w:cs="Calibri"/>
          <w:color w:val="000000" w:themeColor="text1"/>
        </w:rPr>
        <w:t>ro</w:t>
      </w:r>
      <w:r w:rsidRPr="423D2983">
        <w:rPr>
          <w:rFonts w:ascii="Calibri" w:hAnsi="Calibri" w:cs="Calibri"/>
          <w:color w:val="000000" w:themeColor="text1"/>
        </w:rPr>
        <w:t xml:space="preserve"> de </w:t>
      </w:r>
      <w:r w:rsidR="00E4538B">
        <w:rPr>
          <w:rFonts w:ascii="Calibri" w:hAnsi="Calibri" w:cs="Calibri"/>
          <w:color w:val="000000" w:themeColor="text1"/>
        </w:rPr>
        <w:t>201</w:t>
      </w:r>
      <w:r w:rsidR="00B07821">
        <w:rPr>
          <w:rFonts w:ascii="Calibri" w:hAnsi="Calibri" w:cs="Calibri"/>
          <w:color w:val="000000" w:themeColor="text1"/>
        </w:rPr>
        <w:t>8</w:t>
      </w:r>
      <w:r w:rsidR="00BD050F">
        <w:rPr>
          <w:rFonts w:ascii="Calibri" w:hAnsi="Calibri" w:cs="Calibri"/>
          <w:color w:val="000000" w:themeColor="text1"/>
        </w:rPr>
        <w:t>, a partir da vigência desta Resolução.</w:t>
      </w:r>
    </w:p>
    <w:p w14:paraId="63B88F43" w14:textId="190AAC11" w:rsidR="4E865B3C" w:rsidRDefault="4E865B3C" w:rsidP="000857FD">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BD050F">
        <w:rPr>
          <w:rFonts w:ascii="Calibri" w:hAnsi="Calibri" w:cs="Calibri"/>
          <w:color w:val="000000" w:themeColor="text1"/>
        </w:rPr>
        <w:t>1º</w:t>
      </w:r>
      <w:r w:rsidRPr="00BD050F">
        <w:rPr>
          <w:rFonts w:ascii="Calibri" w:hAnsi="Calibri" w:cs="Calibri"/>
          <w:color w:val="000000" w:themeColor="text1"/>
        </w:rPr>
        <w:t xml:space="preserve"> de </w:t>
      </w:r>
      <w:r w:rsidR="002E64EB" w:rsidRPr="00BD050F">
        <w:rPr>
          <w:rFonts w:ascii="Calibri" w:hAnsi="Calibri" w:cs="Calibri"/>
          <w:color w:val="000000" w:themeColor="text1"/>
        </w:rPr>
        <w:t>j</w:t>
      </w:r>
      <w:r w:rsidR="00BD050F" w:rsidRPr="00BD050F">
        <w:rPr>
          <w:rFonts w:ascii="Calibri" w:hAnsi="Calibri" w:cs="Calibri"/>
          <w:color w:val="000000" w:themeColor="text1"/>
        </w:rPr>
        <w:t>ulho</w:t>
      </w:r>
      <w:r w:rsidRPr="00BD050F">
        <w:rPr>
          <w:rFonts w:ascii="Calibri" w:hAnsi="Calibri" w:cs="Calibri"/>
          <w:color w:val="000000" w:themeColor="text1"/>
        </w:rPr>
        <w:t xml:space="preserve"> de 202</w:t>
      </w:r>
      <w:r w:rsidR="002E64EB" w:rsidRPr="00BD050F">
        <w:rPr>
          <w:rFonts w:ascii="Calibri" w:hAnsi="Calibri" w:cs="Calibri"/>
          <w:color w:val="000000" w:themeColor="text1"/>
        </w:rPr>
        <w:t>2</w:t>
      </w:r>
      <w:r w:rsidRPr="423D2983">
        <w:rPr>
          <w:rFonts w:ascii="Calibri" w:hAnsi="Calibri" w:cs="Calibri"/>
          <w:color w:val="000000" w:themeColor="text1"/>
        </w:rPr>
        <w:t>.</w:t>
      </w:r>
    </w:p>
    <w:p w14:paraId="7832D4AC" w14:textId="427EF939" w:rsidR="52D26694" w:rsidRDefault="52D26694" w:rsidP="000857FD">
      <w:pPr>
        <w:spacing w:before="0" w:after="0" w:line="240" w:lineRule="auto"/>
        <w:rPr>
          <w:rFonts w:ascii="Times New Roman" w:eastAsia="Times New Roman" w:hAnsi="Times New Roman" w:cs="Times New Roman"/>
          <w:color w:val="000000" w:themeColor="text1"/>
        </w:rPr>
      </w:pPr>
    </w:p>
    <w:p w14:paraId="4EA47FEF" w14:textId="2E8887CE" w:rsidR="52D26694" w:rsidRPr="00410B6F" w:rsidRDefault="00A75C28" w:rsidP="00411388">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1388">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1388">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0857FD">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rsidP="000857FD">
      <w:pPr>
        <w:spacing w:before="0" w:after="200" w:line="276" w:lineRule="auto"/>
        <w:ind w:firstLine="0"/>
      </w:pPr>
      <w:r>
        <w:br w:type="page"/>
      </w:r>
    </w:p>
    <w:p w14:paraId="5F273799" w14:textId="5539B881" w:rsidR="001D11DE" w:rsidRDefault="001D11DE" w:rsidP="009F2651">
      <w:pPr>
        <w:widowControl w:val="0"/>
        <w:autoSpaceDE w:val="0"/>
        <w:autoSpaceDN w:val="0"/>
        <w:spacing w:before="0" w:line="240" w:lineRule="auto"/>
        <w:ind w:left="108" w:firstLine="0"/>
        <w:jc w:val="center"/>
        <w:outlineLvl w:val="6"/>
        <w:rPr>
          <w:rFonts w:ascii="Arial" w:eastAsia="Arial" w:hAnsi="Arial" w:cs="Arial"/>
          <w:b/>
          <w:bCs/>
          <w:sz w:val="22"/>
          <w:szCs w:val="22"/>
        </w:rPr>
      </w:pPr>
      <w:r>
        <w:rPr>
          <w:rFonts w:ascii="Arial" w:eastAsia="Arial" w:hAnsi="Arial" w:cs="Arial"/>
          <w:b/>
          <w:bCs/>
          <w:sz w:val="22"/>
          <w:szCs w:val="22"/>
        </w:rPr>
        <w:lastRenderedPageBreak/>
        <w:t>ANEXO “A”</w:t>
      </w:r>
    </w:p>
    <w:p w14:paraId="7A138C32" w14:textId="4759E807" w:rsidR="00B4155A" w:rsidRPr="00B4155A" w:rsidRDefault="00B4155A" w:rsidP="009F2651">
      <w:pPr>
        <w:widowControl w:val="0"/>
        <w:autoSpaceDE w:val="0"/>
        <w:autoSpaceDN w:val="0"/>
        <w:spacing w:before="0" w:line="240" w:lineRule="auto"/>
        <w:ind w:left="108" w:firstLine="0"/>
        <w:jc w:val="center"/>
        <w:outlineLvl w:val="6"/>
        <w:rPr>
          <w:rFonts w:ascii="Arial" w:eastAsia="Arial" w:hAnsi="Arial" w:cs="Arial"/>
          <w:b/>
          <w:bCs/>
          <w:sz w:val="22"/>
          <w:szCs w:val="22"/>
        </w:rPr>
      </w:pPr>
      <w:r w:rsidRPr="00B4155A">
        <w:rPr>
          <w:rFonts w:ascii="Arial" w:eastAsia="Arial" w:hAnsi="Arial" w:cs="Arial"/>
          <w:b/>
          <w:bCs/>
          <w:sz w:val="22"/>
          <w:szCs w:val="22"/>
        </w:rPr>
        <w:t>COMITÊ DE PRONUNCIAMENTOS CONTÁBEIS</w:t>
      </w:r>
    </w:p>
    <w:p w14:paraId="37C79BF7" w14:textId="77777777" w:rsidR="00B4155A" w:rsidRPr="00B4155A" w:rsidRDefault="00B4155A" w:rsidP="009F2651">
      <w:pPr>
        <w:widowControl w:val="0"/>
        <w:autoSpaceDE w:val="0"/>
        <w:autoSpaceDN w:val="0"/>
        <w:spacing w:before="0" w:line="240" w:lineRule="auto"/>
        <w:ind w:left="108" w:firstLine="0"/>
        <w:jc w:val="center"/>
        <w:outlineLvl w:val="6"/>
        <w:rPr>
          <w:rFonts w:ascii="Arial" w:eastAsia="Arial" w:hAnsi="Arial" w:cs="Arial"/>
          <w:b/>
          <w:bCs/>
          <w:sz w:val="22"/>
          <w:szCs w:val="22"/>
        </w:rPr>
      </w:pPr>
      <w:bookmarkStart w:id="0" w:name="_GoBack"/>
      <w:bookmarkEnd w:id="0"/>
      <w:r w:rsidRPr="00B4155A">
        <w:rPr>
          <w:rFonts w:ascii="Arial" w:eastAsia="Arial" w:hAnsi="Arial" w:cs="Arial"/>
          <w:b/>
          <w:bCs/>
          <w:sz w:val="22"/>
          <w:szCs w:val="22"/>
        </w:rPr>
        <w:t>PRONUNCIAMENTO TÉCNICO CPC 42</w:t>
      </w:r>
    </w:p>
    <w:p w14:paraId="3091D615" w14:textId="77777777" w:rsidR="00B4155A" w:rsidRPr="00B4155A" w:rsidRDefault="00B4155A" w:rsidP="009F2651">
      <w:pPr>
        <w:widowControl w:val="0"/>
        <w:autoSpaceDE w:val="0"/>
        <w:autoSpaceDN w:val="0"/>
        <w:spacing w:before="0" w:line="240" w:lineRule="auto"/>
        <w:ind w:left="108" w:firstLine="0"/>
        <w:jc w:val="center"/>
        <w:outlineLvl w:val="6"/>
        <w:rPr>
          <w:rFonts w:ascii="Arial" w:eastAsia="Arial" w:hAnsi="Arial" w:cs="Arial"/>
          <w:b/>
          <w:bCs/>
          <w:sz w:val="22"/>
          <w:szCs w:val="22"/>
        </w:rPr>
      </w:pPr>
      <w:r w:rsidRPr="00B4155A">
        <w:rPr>
          <w:rFonts w:ascii="Arial" w:eastAsia="Arial" w:hAnsi="Arial" w:cs="Arial"/>
          <w:b/>
          <w:bCs/>
          <w:sz w:val="22"/>
          <w:szCs w:val="22"/>
        </w:rPr>
        <w:t>CONTABILIDADE EM ECONOMIA HIPERINFLACIONÁRIA</w:t>
      </w:r>
    </w:p>
    <w:p w14:paraId="1784E5C1" w14:textId="77777777" w:rsidR="00B4155A" w:rsidRPr="00B4155A" w:rsidRDefault="00B4155A" w:rsidP="009F2651">
      <w:pPr>
        <w:widowControl w:val="0"/>
        <w:autoSpaceDE w:val="0"/>
        <w:autoSpaceDN w:val="0"/>
        <w:spacing w:before="0" w:line="240" w:lineRule="auto"/>
        <w:ind w:left="108" w:firstLine="0"/>
        <w:jc w:val="center"/>
        <w:outlineLvl w:val="6"/>
        <w:rPr>
          <w:rFonts w:ascii="Arial" w:eastAsia="Times New Roman" w:hAnsi="Arial" w:cs="Arial"/>
          <w:b/>
          <w:bCs/>
          <w:sz w:val="22"/>
          <w:szCs w:val="22"/>
          <w:lang w:eastAsia="pt-BR"/>
        </w:rPr>
      </w:pPr>
      <w:r w:rsidRPr="00B4155A">
        <w:rPr>
          <w:rFonts w:ascii="Arial" w:eastAsia="Times New Roman" w:hAnsi="Arial" w:cs="Arial"/>
          <w:b/>
          <w:bCs/>
          <w:sz w:val="22"/>
          <w:szCs w:val="22"/>
          <w:lang w:eastAsia="pt-BR"/>
        </w:rPr>
        <w:t>Correlação às Normas Internacionais de Contabilidade – IAS 29</w:t>
      </w:r>
    </w:p>
    <w:p w14:paraId="606EDAB4" w14:textId="77777777" w:rsidR="00B4155A" w:rsidRPr="00B4155A" w:rsidRDefault="00B4155A" w:rsidP="000857FD">
      <w:pPr>
        <w:widowControl w:val="0"/>
        <w:tabs>
          <w:tab w:val="left" w:pos="6804"/>
        </w:tabs>
        <w:spacing w:before="60" w:after="60" w:line="240" w:lineRule="auto"/>
        <w:ind w:left="57" w:right="57" w:firstLine="0"/>
        <w:rPr>
          <w:rFonts w:ascii="Arial" w:eastAsia="Times New Roman" w:hAnsi="Arial" w:cs="Arial"/>
          <w:b/>
          <w:color w:val="FF0000"/>
          <w:sz w:val="22"/>
          <w:szCs w:val="22"/>
          <w:lang w:eastAsia="pt-BR"/>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276"/>
      </w:tblGrid>
      <w:tr w:rsidR="00B4155A" w:rsidRPr="00B4155A" w14:paraId="090091ED" w14:textId="77777777" w:rsidTr="00741CA6">
        <w:tc>
          <w:tcPr>
            <w:tcW w:w="8080" w:type="dxa"/>
          </w:tcPr>
          <w:p w14:paraId="17C91112"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Sumário</w:t>
            </w:r>
          </w:p>
        </w:tc>
        <w:tc>
          <w:tcPr>
            <w:tcW w:w="1276" w:type="dxa"/>
          </w:tcPr>
          <w:p w14:paraId="17A0A5AD"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Item</w:t>
            </w:r>
          </w:p>
        </w:tc>
      </w:tr>
      <w:tr w:rsidR="00B4155A" w:rsidRPr="00B4155A" w14:paraId="3A846BEB" w14:textId="77777777" w:rsidTr="00741CA6">
        <w:tc>
          <w:tcPr>
            <w:tcW w:w="8080" w:type="dxa"/>
          </w:tcPr>
          <w:p w14:paraId="75EAEDC9"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ALCANCE</w:t>
            </w:r>
          </w:p>
        </w:tc>
        <w:tc>
          <w:tcPr>
            <w:tcW w:w="1276" w:type="dxa"/>
          </w:tcPr>
          <w:p w14:paraId="50B13D2B"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1 – 4</w:t>
            </w:r>
          </w:p>
        </w:tc>
      </w:tr>
      <w:tr w:rsidR="00B4155A" w:rsidRPr="00B4155A" w14:paraId="0305FACB" w14:textId="77777777" w:rsidTr="00741CA6">
        <w:tc>
          <w:tcPr>
            <w:tcW w:w="8080" w:type="dxa"/>
          </w:tcPr>
          <w:p w14:paraId="052CF349"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ATUALIZAÇÃO MONETÁRIA DAS DEMONSTRAÇÕES CONTÁBEIS</w:t>
            </w:r>
          </w:p>
        </w:tc>
        <w:tc>
          <w:tcPr>
            <w:tcW w:w="1276" w:type="dxa"/>
            <w:vAlign w:val="center"/>
          </w:tcPr>
          <w:p w14:paraId="287DF3FD"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5 – 37</w:t>
            </w:r>
          </w:p>
        </w:tc>
      </w:tr>
      <w:tr w:rsidR="00B4155A" w:rsidRPr="00B4155A" w14:paraId="3B72CD2A" w14:textId="77777777" w:rsidTr="00741CA6">
        <w:tc>
          <w:tcPr>
            <w:tcW w:w="8080" w:type="dxa"/>
          </w:tcPr>
          <w:p w14:paraId="1772F4F9"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Demonstrações contábeis pelo custo histórico</w:t>
            </w:r>
          </w:p>
        </w:tc>
        <w:tc>
          <w:tcPr>
            <w:tcW w:w="1276" w:type="dxa"/>
            <w:vAlign w:val="center"/>
          </w:tcPr>
          <w:p w14:paraId="302CA2EB"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11 – 28</w:t>
            </w:r>
          </w:p>
        </w:tc>
      </w:tr>
      <w:tr w:rsidR="00B4155A" w:rsidRPr="00B4155A" w14:paraId="02266259" w14:textId="77777777" w:rsidTr="00741CA6">
        <w:tc>
          <w:tcPr>
            <w:tcW w:w="8080" w:type="dxa"/>
          </w:tcPr>
          <w:p w14:paraId="3E359C26" w14:textId="77777777" w:rsidR="00B4155A" w:rsidRPr="00B4155A" w:rsidRDefault="00B4155A" w:rsidP="000857FD">
            <w:pPr>
              <w:spacing w:before="60" w:after="60" w:line="240" w:lineRule="auto"/>
              <w:ind w:left="317" w:firstLine="0"/>
              <w:rPr>
                <w:rFonts w:ascii="Arial" w:eastAsia="Times New Roman" w:hAnsi="Arial" w:cs="Arial"/>
                <w:bCs/>
                <w:kern w:val="36"/>
                <w:sz w:val="22"/>
                <w:szCs w:val="22"/>
                <w:lang w:eastAsia="pt-BR"/>
              </w:rPr>
            </w:pPr>
            <w:r w:rsidRPr="00B4155A">
              <w:rPr>
                <w:rFonts w:ascii="Arial" w:eastAsia="Times New Roman" w:hAnsi="Arial" w:cs="Arial"/>
                <w:bCs/>
                <w:kern w:val="36"/>
                <w:sz w:val="22"/>
                <w:szCs w:val="22"/>
                <w:lang w:eastAsia="pt-BR"/>
              </w:rPr>
              <w:t>Balanço patrimonial</w:t>
            </w:r>
          </w:p>
        </w:tc>
        <w:tc>
          <w:tcPr>
            <w:tcW w:w="1276" w:type="dxa"/>
            <w:vAlign w:val="center"/>
          </w:tcPr>
          <w:p w14:paraId="29B43A1E"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11 – 25</w:t>
            </w:r>
          </w:p>
        </w:tc>
      </w:tr>
      <w:tr w:rsidR="00B4155A" w:rsidRPr="00B4155A" w14:paraId="48B4F996" w14:textId="77777777" w:rsidTr="00741CA6">
        <w:tc>
          <w:tcPr>
            <w:tcW w:w="8080" w:type="dxa"/>
          </w:tcPr>
          <w:p w14:paraId="1597B4D2" w14:textId="77777777" w:rsidR="00B4155A" w:rsidRPr="00B4155A" w:rsidRDefault="00B4155A" w:rsidP="000857FD">
            <w:pPr>
              <w:spacing w:before="60" w:after="60" w:line="240" w:lineRule="auto"/>
              <w:ind w:left="317" w:firstLine="0"/>
              <w:rPr>
                <w:rFonts w:ascii="Arial" w:eastAsia="Times New Roman" w:hAnsi="Arial" w:cs="Arial"/>
                <w:bCs/>
                <w:kern w:val="36"/>
                <w:sz w:val="22"/>
                <w:szCs w:val="22"/>
                <w:lang w:eastAsia="pt-BR"/>
              </w:rPr>
            </w:pPr>
            <w:r w:rsidRPr="00B4155A">
              <w:rPr>
                <w:rFonts w:ascii="Arial" w:eastAsia="Times New Roman" w:hAnsi="Arial" w:cs="Arial"/>
                <w:bCs/>
                <w:kern w:val="36"/>
                <w:sz w:val="22"/>
                <w:szCs w:val="22"/>
                <w:lang w:eastAsia="pt-BR"/>
              </w:rPr>
              <w:t>Demonstração do resultado abrangente</w:t>
            </w:r>
          </w:p>
        </w:tc>
        <w:tc>
          <w:tcPr>
            <w:tcW w:w="1276" w:type="dxa"/>
            <w:vAlign w:val="center"/>
          </w:tcPr>
          <w:p w14:paraId="78009083"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26</w:t>
            </w:r>
          </w:p>
        </w:tc>
      </w:tr>
      <w:tr w:rsidR="00B4155A" w:rsidRPr="00B4155A" w14:paraId="32348B8B" w14:textId="77777777" w:rsidTr="00741CA6">
        <w:tc>
          <w:tcPr>
            <w:tcW w:w="8080" w:type="dxa"/>
          </w:tcPr>
          <w:p w14:paraId="61D7BD0B" w14:textId="77777777" w:rsidR="00B4155A" w:rsidRPr="00B4155A" w:rsidRDefault="00B4155A" w:rsidP="000857FD">
            <w:pPr>
              <w:spacing w:before="60" w:after="60" w:line="240" w:lineRule="auto"/>
              <w:ind w:left="317" w:firstLine="0"/>
              <w:rPr>
                <w:rFonts w:ascii="Arial" w:eastAsia="Times New Roman" w:hAnsi="Arial" w:cs="Arial"/>
                <w:bCs/>
                <w:kern w:val="36"/>
                <w:sz w:val="22"/>
                <w:szCs w:val="22"/>
                <w:lang w:eastAsia="pt-BR"/>
              </w:rPr>
            </w:pPr>
            <w:r w:rsidRPr="00B4155A">
              <w:rPr>
                <w:rFonts w:ascii="Arial" w:eastAsia="Times New Roman" w:hAnsi="Arial" w:cs="Arial"/>
                <w:bCs/>
                <w:kern w:val="36"/>
                <w:sz w:val="22"/>
                <w:szCs w:val="22"/>
                <w:lang w:eastAsia="pt-BR"/>
              </w:rPr>
              <w:t xml:space="preserve">Ganho ou perda </w:t>
            </w:r>
            <w:r w:rsidRPr="00B4155A">
              <w:rPr>
                <w:rFonts w:ascii="Arial" w:eastAsia="Times New Roman" w:hAnsi="Arial" w:cs="Arial"/>
                <w:color w:val="231F20"/>
                <w:sz w:val="22"/>
                <w:szCs w:val="22"/>
              </w:rPr>
              <w:t>na posição monetária líquida</w:t>
            </w:r>
          </w:p>
        </w:tc>
        <w:tc>
          <w:tcPr>
            <w:tcW w:w="1276" w:type="dxa"/>
            <w:vAlign w:val="center"/>
          </w:tcPr>
          <w:p w14:paraId="2C7C28C3"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27 – 28</w:t>
            </w:r>
          </w:p>
        </w:tc>
      </w:tr>
      <w:tr w:rsidR="00B4155A" w:rsidRPr="00B4155A" w14:paraId="753EE809" w14:textId="77777777" w:rsidTr="00741CA6">
        <w:tc>
          <w:tcPr>
            <w:tcW w:w="8080" w:type="dxa"/>
          </w:tcPr>
          <w:p w14:paraId="24DA3102"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Demonstrações contábeis pelo custo corrente</w:t>
            </w:r>
          </w:p>
        </w:tc>
        <w:tc>
          <w:tcPr>
            <w:tcW w:w="1276" w:type="dxa"/>
            <w:vAlign w:val="center"/>
          </w:tcPr>
          <w:p w14:paraId="6196E793"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29 – 31</w:t>
            </w:r>
          </w:p>
        </w:tc>
      </w:tr>
      <w:tr w:rsidR="00B4155A" w:rsidRPr="00B4155A" w14:paraId="36ACC3E9" w14:textId="77777777" w:rsidTr="00741CA6">
        <w:tc>
          <w:tcPr>
            <w:tcW w:w="8080" w:type="dxa"/>
          </w:tcPr>
          <w:p w14:paraId="0958A838" w14:textId="77777777" w:rsidR="00B4155A" w:rsidRPr="00B4155A" w:rsidRDefault="00B4155A" w:rsidP="000857FD">
            <w:pPr>
              <w:spacing w:before="60" w:after="60" w:line="240" w:lineRule="auto"/>
              <w:ind w:left="317" w:firstLine="0"/>
              <w:rPr>
                <w:rFonts w:ascii="Arial" w:eastAsia="Times New Roman" w:hAnsi="Arial" w:cs="Arial"/>
                <w:bCs/>
                <w:kern w:val="36"/>
                <w:sz w:val="22"/>
                <w:szCs w:val="22"/>
                <w:lang w:eastAsia="pt-BR"/>
              </w:rPr>
            </w:pPr>
            <w:r w:rsidRPr="00B4155A">
              <w:rPr>
                <w:rFonts w:ascii="Arial" w:eastAsia="Times New Roman" w:hAnsi="Arial" w:cs="Arial"/>
                <w:bCs/>
                <w:kern w:val="36"/>
                <w:sz w:val="22"/>
                <w:szCs w:val="22"/>
                <w:lang w:eastAsia="pt-BR"/>
              </w:rPr>
              <w:t>Balanço patrimonial</w:t>
            </w:r>
          </w:p>
        </w:tc>
        <w:tc>
          <w:tcPr>
            <w:tcW w:w="1276" w:type="dxa"/>
            <w:vAlign w:val="center"/>
          </w:tcPr>
          <w:p w14:paraId="293A2511"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29</w:t>
            </w:r>
          </w:p>
        </w:tc>
      </w:tr>
      <w:tr w:rsidR="00B4155A" w:rsidRPr="00B4155A" w14:paraId="0ED0AAFA" w14:textId="77777777" w:rsidTr="00741CA6">
        <w:tc>
          <w:tcPr>
            <w:tcW w:w="8080" w:type="dxa"/>
          </w:tcPr>
          <w:p w14:paraId="1CE4871B" w14:textId="77777777" w:rsidR="00B4155A" w:rsidRPr="00B4155A" w:rsidRDefault="00B4155A" w:rsidP="000857FD">
            <w:pPr>
              <w:spacing w:before="60" w:after="60" w:line="240" w:lineRule="auto"/>
              <w:ind w:left="317" w:firstLine="0"/>
              <w:rPr>
                <w:rFonts w:ascii="Arial" w:eastAsia="Times New Roman" w:hAnsi="Arial" w:cs="Arial"/>
                <w:bCs/>
                <w:kern w:val="36"/>
                <w:sz w:val="22"/>
                <w:szCs w:val="22"/>
                <w:lang w:eastAsia="pt-BR"/>
              </w:rPr>
            </w:pPr>
            <w:r w:rsidRPr="00B4155A">
              <w:rPr>
                <w:rFonts w:ascii="Arial" w:eastAsia="Times New Roman" w:hAnsi="Arial" w:cs="Arial"/>
                <w:bCs/>
                <w:kern w:val="36"/>
                <w:sz w:val="22"/>
                <w:szCs w:val="22"/>
                <w:lang w:eastAsia="pt-BR"/>
              </w:rPr>
              <w:t>Demonstração do resultado abrangente</w:t>
            </w:r>
          </w:p>
        </w:tc>
        <w:tc>
          <w:tcPr>
            <w:tcW w:w="1276" w:type="dxa"/>
            <w:vAlign w:val="center"/>
          </w:tcPr>
          <w:p w14:paraId="061FD8E6"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30</w:t>
            </w:r>
          </w:p>
        </w:tc>
      </w:tr>
      <w:tr w:rsidR="00B4155A" w:rsidRPr="00B4155A" w14:paraId="3CCFE053" w14:textId="77777777" w:rsidTr="00741CA6">
        <w:tc>
          <w:tcPr>
            <w:tcW w:w="8080" w:type="dxa"/>
          </w:tcPr>
          <w:p w14:paraId="763BEDDE" w14:textId="77777777" w:rsidR="00B4155A" w:rsidRPr="00B4155A" w:rsidRDefault="00B4155A" w:rsidP="000857FD">
            <w:pPr>
              <w:spacing w:before="60" w:after="60" w:line="240" w:lineRule="auto"/>
              <w:ind w:left="317" w:firstLine="0"/>
              <w:rPr>
                <w:rFonts w:ascii="Arial" w:eastAsia="Times New Roman" w:hAnsi="Arial" w:cs="Arial"/>
                <w:bCs/>
                <w:kern w:val="36"/>
                <w:sz w:val="22"/>
                <w:szCs w:val="22"/>
                <w:lang w:eastAsia="pt-BR"/>
              </w:rPr>
            </w:pPr>
            <w:r w:rsidRPr="00B4155A">
              <w:rPr>
                <w:rFonts w:ascii="Arial" w:eastAsia="Times New Roman" w:hAnsi="Arial" w:cs="Arial"/>
                <w:color w:val="231F20"/>
                <w:sz w:val="22"/>
                <w:szCs w:val="22"/>
              </w:rPr>
              <w:t>Ganho ou perda na posição monetária líquida</w:t>
            </w:r>
          </w:p>
        </w:tc>
        <w:tc>
          <w:tcPr>
            <w:tcW w:w="1276" w:type="dxa"/>
            <w:vAlign w:val="center"/>
          </w:tcPr>
          <w:p w14:paraId="74214E90"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31</w:t>
            </w:r>
          </w:p>
        </w:tc>
      </w:tr>
      <w:tr w:rsidR="00B4155A" w:rsidRPr="00B4155A" w14:paraId="1DFBBE7F" w14:textId="77777777" w:rsidTr="00741CA6">
        <w:tc>
          <w:tcPr>
            <w:tcW w:w="8080" w:type="dxa"/>
          </w:tcPr>
          <w:p w14:paraId="0DDDAD4B"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Tributos sobre o lucro</w:t>
            </w:r>
          </w:p>
        </w:tc>
        <w:tc>
          <w:tcPr>
            <w:tcW w:w="1276" w:type="dxa"/>
            <w:vAlign w:val="center"/>
          </w:tcPr>
          <w:p w14:paraId="0C4DC142"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32</w:t>
            </w:r>
          </w:p>
        </w:tc>
      </w:tr>
      <w:tr w:rsidR="00B4155A" w:rsidRPr="00B4155A" w14:paraId="76A05D09" w14:textId="77777777" w:rsidTr="00741CA6">
        <w:tc>
          <w:tcPr>
            <w:tcW w:w="8080" w:type="dxa"/>
          </w:tcPr>
          <w:p w14:paraId="5DC7C67B"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Arial" w:hAnsi="Arial" w:cs="Arial"/>
                <w:b/>
                <w:bCs/>
                <w:color w:val="231F20"/>
                <w:sz w:val="22"/>
                <w:szCs w:val="22"/>
              </w:rPr>
              <w:t>Demonstrações dos fluxos de caixa e do valor adicionado</w:t>
            </w:r>
          </w:p>
        </w:tc>
        <w:tc>
          <w:tcPr>
            <w:tcW w:w="1276" w:type="dxa"/>
            <w:vAlign w:val="center"/>
          </w:tcPr>
          <w:p w14:paraId="54164D4D"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33</w:t>
            </w:r>
          </w:p>
        </w:tc>
      </w:tr>
      <w:tr w:rsidR="00B4155A" w:rsidRPr="00B4155A" w14:paraId="39295C25" w14:textId="77777777" w:rsidTr="00741CA6">
        <w:tc>
          <w:tcPr>
            <w:tcW w:w="8080" w:type="dxa"/>
          </w:tcPr>
          <w:p w14:paraId="011E08DA"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Valores correspondentes</w:t>
            </w:r>
          </w:p>
        </w:tc>
        <w:tc>
          <w:tcPr>
            <w:tcW w:w="1276" w:type="dxa"/>
            <w:vAlign w:val="center"/>
          </w:tcPr>
          <w:p w14:paraId="784639EE"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34</w:t>
            </w:r>
          </w:p>
        </w:tc>
      </w:tr>
      <w:tr w:rsidR="00B4155A" w:rsidRPr="00B4155A" w14:paraId="532FE38E" w14:textId="77777777" w:rsidTr="00741CA6">
        <w:tc>
          <w:tcPr>
            <w:tcW w:w="8080" w:type="dxa"/>
          </w:tcPr>
          <w:p w14:paraId="02C0C00D"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Demonstrações contábeis consolidadas</w:t>
            </w:r>
          </w:p>
        </w:tc>
        <w:tc>
          <w:tcPr>
            <w:tcW w:w="1276" w:type="dxa"/>
            <w:vAlign w:val="center"/>
          </w:tcPr>
          <w:p w14:paraId="37946693"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35 – 36</w:t>
            </w:r>
          </w:p>
        </w:tc>
      </w:tr>
      <w:tr w:rsidR="00B4155A" w:rsidRPr="00B4155A" w14:paraId="3D0F749D" w14:textId="77777777" w:rsidTr="00741CA6">
        <w:tc>
          <w:tcPr>
            <w:tcW w:w="8080" w:type="dxa"/>
          </w:tcPr>
          <w:p w14:paraId="6F399A5F"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Seleção e uso do Índice Geral de Preços</w:t>
            </w:r>
          </w:p>
        </w:tc>
        <w:tc>
          <w:tcPr>
            <w:tcW w:w="1276" w:type="dxa"/>
            <w:vAlign w:val="center"/>
          </w:tcPr>
          <w:p w14:paraId="0FE41BE9"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37</w:t>
            </w:r>
          </w:p>
        </w:tc>
      </w:tr>
      <w:tr w:rsidR="00B4155A" w:rsidRPr="00B4155A" w14:paraId="4316E97B" w14:textId="77777777" w:rsidTr="00741CA6">
        <w:tc>
          <w:tcPr>
            <w:tcW w:w="8080" w:type="dxa"/>
          </w:tcPr>
          <w:p w14:paraId="14F98301"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ECONOMIA QUE DEIXA DE SER HIPERINFLACIONÁRIA</w:t>
            </w:r>
          </w:p>
        </w:tc>
        <w:tc>
          <w:tcPr>
            <w:tcW w:w="1276" w:type="dxa"/>
            <w:vAlign w:val="center"/>
          </w:tcPr>
          <w:p w14:paraId="43237A48"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38</w:t>
            </w:r>
          </w:p>
        </w:tc>
      </w:tr>
      <w:tr w:rsidR="00B4155A" w:rsidRPr="00B4155A" w14:paraId="2433EFB8" w14:textId="77777777" w:rsidTr="00741CA6">
        <w:tc>
          <w:tcPr>
            <w:tcW w:w="8080" w:type="dxa"/>
          </w:tcPr>
          <w:p w14:paraId="6107FEE7"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DIVULGAÇÃO</w:t>
            </w:r>
          </w:p>
        </w:tc>
        <w:tc>
          <w:tcPr>
            <w:tcW w:w="1276" w:type="dxa"/>
            <w:vAlign w:val="center"/>
          </w:tcPr>
          <w:p w14:paraId="0ACAE15A"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39 – 40</w:t>
            </w:r>
          </w:p>
        </w:tc>
      </w:tr>
      <w:tr w:rsidR="00B4155A" w:rsidRPr="00B4155A" w14:paraId="17E1E46E" w14:textId="77777777" w:rsidTr="00741CA6">
        <w:tc>
          <w:tcPr>
            <w:tcW w:w="8080" w:type="dxa"/>
          </w:tcPr>
          <w:p w14:paraId="77803E42"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VIGÊNCIA</w:t>
            </w:r>
          </w:p>
        </w:tc>
        <w:tc>
          <w:tcPr>
            <w:tcW w:w="1276" w:type="dxa"/>
            <w:vAlign w:val="center"/>
          </w:tcPr>
          <w:p w14:paraId="0DE150B5" w14:textId="77777777" w:rsidR="00B4155A" w:rsidRPr="00B4155A" w:rsidRDefault="00B4155A" w:rsidP="000857FD">
            <w:pPr>
              <w:spacing w:before="60" w:after="60" w:line="240" w:lineRule="auto"/>
              <w:ind w:firstLine="0"/>
              <w:rPr>
                <w:rFonts w:ascii="Arial" w:eastAsia="Times New Roman" w:hAnsi="Arial" w:cs="Arial"/>
                <w:b/>
                <w:bCs/>
                <w:kern w:val="36"/>
                <w:sz w:val="22"/>
                <w:szCs w:val="22"/>
                <w:lang w:eastAsia="pt-BR"/>
              </w:rPr>
            </w:pPr>
            <w:r w:rsidRPr="00B4155A">
              <w:rPr>
                <w:rFonts w:ascii="Arial" w:eastAsia="Times New Roman" w:hAnsi="Arial" w:cs="Arial"/>
                <w:b/>
                <w:bCs/>
                <w:kern w:val="36"/>
                <w:sz w:val="22"/>
                <w:szCs w:val="22"/>
                <w:lang w:eastAsia="pt-BR"/>
              </w:rPr>
              <w:t>41</w:t>
            </w:r>
          </w:p>
        </w:tc>
      </w:tr>
    </w:tbl>
    <w:p w14:paraId="50051E09" w14:textId="77777777" w:rsidR="00B4155A" w:rsidRPr="00B4155A" w:rsidRDefault="00B4155A" w:rsidP="000857FD">
      <w:pPr>
        <w:autoSpaceDE w:val="0"/>
        <w:autoSpaceDN w:val="0"/>
        <w:adjustRightInd w:val="0"/>
        <w:spacing w:before="0" w:after="0" w:line="240" w:lineRule="auto"/>
        <w:ind w:firstLine="0"/>
        <w:rPr>
          <w:rFonts w:ascii="Arial" w:eastAsia="Times New Roman" w:hAnsi="Arial" w:cs="Arial"/>
          <w:sz w:val="22"/>
          <w:szCs w:val="22"/>
          <w:lang w:eastAsia="pt-BR"/>
        </w:rPr>
      </w:pPr>
    </w:p>
    <w:p w14:paraId="0982C700" w14:textId="77777777" w:rsidR="00B4155A" w:rsidRPr="00B4155A" w:rsidRDefault="00B4155A" w:rsidP="000857FD">
      <w:pPr>
        <w:widowControl w:val="0"/>
        <w:autoSpaceDE w:val="0"/>
        <w:autoSpaceDN w:val="0"/>
        <w:spacing w:before="0" w:after="0" w:line="240" w:lineRule="auto"/>
        <w:ind w:firstLine="0"/>
        <w:outlineLvl w:val="4"/>
        <w:rPr>
          <w:rFonts w:ascii="Arial" w:eastAsia="Times New Roman" w:hAnsi="Arial" w:cs="Arial"/>
          <w:sz w:val="22"/>
          <w:szCs w:val="22"/>
        </w:rPr>
      </w:pPr>
      <w:bookmarkStart w:id="1" w:name="_bookmark675"/>
      <w:bookmarkEnd w:id="1"/>
      <w:r w:rsidRPr="00B4155A">
        <w:rPr>
          <w:rFonts w:ascii="Arial" w:eastAsia="Arial" w:hAnsi="Arial" w:cs="Arial"/>
          <w:b/>
          <w:bCs/>
          <w:color w:val="231F20"/>
          <w:sz w:val="22"/>
          <w:szCs w:val="22"/>
        </w:rPr>
        <w:t>Alcance</w:t>
      </w:r>
    </w:p>
    <w:p w14:paraId="791904C4"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4FD8D521"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b/>
          <w:color w:val="231F20"/>
          <w:sz w:val="22"/>
          <w:szCs w:val="22"/>
        </w:rPr>
      </w:pPr>
      <w:r w:rsidRPr="00B4155A">
        <w:rPr>
          <w:rFonts w:ascii="Arial" w:eastAsia="Times New Roman" w:hAnsi="Arial" w:cs="Arial"/>
          <w:b/>
          <w:color w:val="231F20"/>
          <w:spacing w:val="1"/>
          <w:sz w:val="22"/>
          <w:szCs w:val="22"/>
        </w:rPr>
        <w:t xml:space="preserve">Este Pronunciamento deve </w:t>
      </w:r>
      <w:r w:rsidRPr="00B4155A">
        <w:rPr>
          <w:rFonts w:ascii="Arial" w:eastAsia="Times New Roman" w:hAnsi="Arial" w:cs="Arial"/>
          <w:b/>
          <w:color w:val="231F20"/>
          <w:sz w:val="22"/>
          <w:szCs w:val="22"/>
        </w:rPr>
        <w:t xml:space="preserve">ser </w:t>
      </w:r>
      <w:r w:rsidRPr="00B4155A">
        <w:rPr>
          <w:rFonts w:ascii="Arial" w:eastAsia="Times New Roman" w:hAnsi="Arial" w:cs="Arial"/>
          <w:b/>
          <w:color w:val="231F20"/>
          <w:spacing w:val="1"/>
          <w:sz w:val="22"/>
          <w:szCs w:val="22"/>
        </w:rPr>
        <w:t xml:space="preserve">aplicado </w:t>
      </w:r>
      <w:r w:rsidRPr="00B4155A">
        <w:rPr>
          <w:rFonts w:ascii="Arial" w:eastAsia="Times New Roman" w:hAnsi="Arial" w:cs="Arial"/>
          <w:b/>
          <w:color w:val="231F20"/>
          <w:sz w:val="22"/>
          <w:szCs w:val="22"/>
        </w:rPr>
        <w:t xml:space="preserve">às </w:t>
      </w:r>
      <w:r w:rsidRPr="00B4155A">
        <w:rPr>
          <w:rFonts w:ascii="Arial" w:eastAsia="Times New Roman" w:hAnsi="Arial" w:cs="Arial"/>
          <w:b/>
          <w:color w:val="231F20"/>
          <w:spacing w:val="1"/>
          <w:sz w:val="22"/>
          <w:szCs w:val="22"/>
        </w:rPr>
        <w:t xml:space="preserve">demonstrações contábeis, inclusive </w:t>
      </w:r>
      <w:r w:rsidRPr="00B4155A">
        <w:rPr>
          <w:rFonts w:ascii="Arial" w:eastAsia="Times New Roman" w:hAnsi="Arial" w:cs="Arial"/>
          <w:b/>
          <w:color w:val="231F20"/>
          <w:sz w:val="22"/>
          <w:szCs w:val="22"/>
        </w:rPr>
        <w:t xml:space="preserve">as </w:t>
      </w:r>
      <w:r w:rsidRPr="00B4155A">
        <w:rPr>
          <w:rFonts w:ascii="Arial" w:eastAsia="Times New Roman" w:hAnsi="Arial" w:cs="Arial"/>
          <w:b/>
          <w:color w:val="231F20"/>
          <w:spacing w:val="2"/>
          <w:sz w:val="22"/>
          <w:szCs w:val="22"/>
        </w:rPr>
        <w:t xml:space="preserve">demonstrações </w:t>
      </w:r>
      <w:r w:rsidRPr="00B4155A">
        <w:rPr>
          <w:rFonts w:ascii="Arial" w:eastAsia="Times New Roman" w:hAnsi="Arial" w:cs="Arial"/>
          <w:b/>
          <w:color w:val="231F20"/>
          <w:spacing w:val="1"/>
          <w:sz w:val="22"/>
          <w:szCs w:val="22"/>
        </w:rPr>
        <w:t>contábeis</w:t>
      </w:r>
      <w:r w:rsidRPr="00B4155A">
        <w:rPr>
          <w:rFonts w:ascii="Arial" w:eastAsia="Times New Roman" w:hAnsi="Arial" w:cs="Arial"/>
          <w:b/>
          <w:color w:val="231F20"/>
          <w:sz w:val="22"/>
          <w:szCs w:val="22"/>
        </w:rPr>
        <w:t xml:space="preserve"> consolidadas, de qualquer entidade cuja moeda funcional seja a moeda de uma economia</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hiperinflacionária.</w:t>
      </w:r>
    </w:p>
    <w:p w14:paraId="4C752BA1"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461794C2"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Em economia hiperinflacionária, a demonstração do resultado e o balanço patrimonial em moeda local sem atualização monetária não são úteis. O dinheiro perde poder aquisitivo de tal forma que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comparação</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dos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valores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provenientes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das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transações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outros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eventos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ocorreram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 xml:space="preserve">épocas </w:t>
      </w:r>
      <w:r w:rsidRPr="00B4155A">
        <w:rPr>
          <w:rFonts w:ascii="Arial" w:eastAsia="Times New Roman" w:hAnsi="Arial" w:cs="Arial"/>
          <w:color w:val="231F20"/>
          <w:sz w:val="22"/>
          <w:szCs w:val="22"/>
        </w:rPr>
        <w:lastRenderedPageBreak/>
        <w:t>diferentes, mesmo dentro do mesmo período contábil, é enganosa.</w:t>
      </w:r>
    </w:p>
    <w:p w14:paraId="0D73B880"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Este Pronunciamento não estabelece uma taxa absoluta em que se considere o surgimento da hiperinflação. A ocasião em que a atualização monetária das demonstrações contábeis, de acordo com este Pronunciamento, se torna necessária é uma questão de julgamento. A hiperinflação é indicada pelas características do ambiente econômico de país que incluem, entre outras, as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seguintes:</w:t>
      </w:r>
    </w:p>
    <w:p w14:paraId="2B79BDE0" w14:textId="77777777" w:rsidR="00B4155A" w:rsidRPr="00B4155A" w:rsidRDefault="00B4155A" w:rsidP="000857FD">
      <w:pPr>
        <w:widowControl w:val="0"/>
        <w:numPr>
          <w:ilvl w:val="1"/>
          <w:numId w:val="16"/>
        </w:numPr>
        <w:tabs>
          <w:tab w:val="left" w:pos="993"/>
        </w:tabs>
        <w:autoSpaceDE w:val="0"/>
        <w:autoSpaceDN w:val="0"/>
        <w:spacing w:before="0" w:after="0" w:line="240" w:lineRule="auto"/>
        <w:ind w:left="993" w:hanging="426"/>
        <w:rPr>
          <w:rFonts w:ascii="Arial" w:eastAsia="Times New Roman" w:hAnsi="Arial" w:cs="Arial"/>
          <w:sz w:val="22"/>
          <w:szCs w:val="22"/>
        </w:rPr>
      </w:pPr>
      <w:r w:rsidRPr="00B4155A">
        <w:rPr>
          <w:rFonts w:ascii="Arial" w:eastAsia="Times New Roman" w:hAnsi="Arial" w:cs="Arial"/>
          <w:color w:val="231F20"/>
          <w:sz w:val="22"/>
          <w:szCs w:val="22"/>
        </w:rPr>
        <w:t>a</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população</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geral</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prefere</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manter</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sua</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riqueza</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ativos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monetários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uma</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moeda estrangeira relativamente estável. Os valores em moeda local detidos são imediatamente investidos para manter o poder aquisitivo;</w:t>
      </w:r>
    </w:p>
    <w:p w14:paraId="7875F6C4" w14:textId="77777777" w:rsidR="00B4155A" w:rsidRPr="00B4155A" w:rsidRDefault="00B4155A" w:rsidP="000857FD">
      <w:pPr>
        <w:widowControl w:val="0"/>
        <w:numPr>
          <w:ilvl w:val="1"/>
          <w:numId w:val="16"/>
        </w:numPr>
        <w:tabs>
          <w:tab w:val="left" w:pos="993"/>
        </w:tabs>
        <w:autoSpaceDE w:val="0"/>
        <w:autoSpaceDN w:val="0"/>
        <w:spacing w:before="0" w:after="0" w:line="240" w:lineRule="auto"/>
        <w:ind w:left="993" w:hanging="426"/>
        <w:rPr>
          <w:rFonts w:ascii="Arial" w:eastAsia="Times New Roman" w:hAnsi="Arial" w:cs="Arial"/>
          <w:sz w:val="22"/>
          <w:szCs w:val="22"/>
        </w:rPr>
      </w:pPr>
      <w:r w:rsidRPr="00B4155A">
        <w:rPr>
          <w:rFonts w:ascii="Arial" w:eastAsia="Times New Roman" w:hAnsi="Arial" w:cs="Arial"/>
          <w:color w:val="231F20"/>
          <w:sz w:val="22"/>
          <w:szCs w:val="22"/>
        </w:rPr>
        <w:t>a população em geral considera os valores monetários não em termos da moeda local, mas em termos de uma moeda estrangeira relativamente estável. Os preços podem ser cotados nessa moeda;</w:t>
      </w:r>
    </w:p>
    <w:p w14:paraId="6088A67A" w14:textId="77777777" w:rsidR="00B4155A" w:rsidRPr="00B4155A" w:rsidRDefault="00B4155A" w:rsidP="000857FD">
      <w:pPr>
        <w:widowControl w:val="0"/>
        <w:numPr>
          <w:ilvl w:val="1"/>
          <w:numId w:val="16"/>
        </w:numPr>
        <w:tabs>
          <w:tab w:val="left" w:pos="993"/>
        </w:tabs>
        <w:autoSpaceDE w:val="0"/>
        <w:autoSpaceDN w:val="0"/>
        <w:spacing w:before="0" w:after="0" w:line="240" w:lineRule="auto"/>
        <w:ind w:left="993" w:hanging="426"/>
        <w:rPr>
          <w:rFonts w:ascii="Arial" w:eastAsia="Times New Roman" w:hAnsi="Arial" w:cs="Arial"/>
          <w:sz w:val="22"/>
          <w:szCs w:val="22"/>
        </w:rPr>
      </w:pPr>
      <w:r w:rsidRPr="00B4155A">
        <w:rPr>
          <w:rFonts w:ascii="Arial" w:eastAsia="Times New Roman" w:hAnsi="Arial" w:cs="Arial"/>
          <w:color w:val="231F20"/>
          <w:sz w:val="22"/>
          <w:szCs w:val="22"/>
        </w:rPr>
        <w:t>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compras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vendas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crédito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ocorrem</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compensam</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perda</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esperada</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poder aquisitivo durante o período do crédito, ainda que esse período seja</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curto;</w:t>
      </w:r>
    </w:p>
    <w:p w14:paraId="75677819" w14:textId="77777777" w:rsidR="00B4155A" w:rsidRPr="00B4155A" w:rsidRDefault="00B4155A" w:rsidP="000857FD">
      <w:pPr>
        <w:widowControl w:val="0"/>
        <w:numPr>
          <w:ilvl w:val="1"/>
          <w:numId w:val="16"/>
        </w:numPr>
        <w:tabs>
          <w:tab w:val="left" w:pos="993"/>
        </w:tabs>
        <w:autoSpaceDE w:val="0"/>
        <w:autoSpaceDN w:val="0"/>
        <w:spacing w:before="0" w:after="0" w:line="240" w:lineRule="auto"/>
        <w:ind w:left="993" w:hanging="426"/>
        <w:rPr>
          <w:rFonts w:ascii="Arial" w:eastAsia="Times New Roman" w:hAnsi="Arial" w:cs="Arial"/>
          <w:sz w:val="22"/>
          <w:szCs w:val="22"/>
        </w:rPr>
      </w:pPr>
      <w:r w:rsidRPr="00B4155A">
        <w:rPr>
          <w:rFonts w:ascii="Arial" w:eastAsia="Times New Roman" w:hAnsi="Arial" w:cs="Arial"/>
          <w:color w:val="231F20"/>
          <w:sz w:val="22"/>
          <w:szCs w:val="22"/>
        </w:rPr>
        <w:t>as taxas de juros, salários e preços são atrelados a um índice de preços;</w:t>
      </w:r>
      <w:r w:rsidRPr="00B4155A">
        <w:rPr>
          <w:rFonts w:ascii="Arial" w:eastAsia="Times New Roman" w:hAnsi="Arial" w:cs="Arial"/>
          <w:color w:val="231F20"/>
          <w:spacing w:val="-12"/>
          <w:sz w:val="22"/>
          <w:szCs w:val="22"/>
        </w:rPr>
        <w:t xml:space="preserve"> </w:t>
      </w:r>
      <w:r w:rsidRPr="00B4155A">
        <w:rPr>
          <w:rFonts w:ascii="Arial" w:eastAsia="Times New Roman" w:hAnsi="Arial" w:cs="Arial"/>
          <w:color w:val="231F20"/>
          <w:sz w:val="22"/>
          <w:szCs w:val="22"/>
        </w:rPr>
        <w:t>e</w:t>
      </w:r>
    </w:p>
    <w:p w14:paraId="1D7758DC" w14:textId="77777777" w:rsidR="00B4155A" w:rsidRPr="00B4155A" w:rsidRDefault="00B4155A" w:rsidP="000857FD">
      <w:pPr>
        <w:widowControl w:val="0"/>
        <w:numPr>
          <w:ilvl w:val="1"/>
          <w:numId w:val="16"/>
        </w:numPr>
        <w:tabs>
          <w:tab w:val="left" w:pos="993"/>
        </w:tabs>
        <w:autoSpaceDE w:val="0"/>
        <w:autoSpaceDN w:val="0"/>
        <w:spacing w:before="0" w:after="0" w:line="240" w:lineRule="auto"/>
        <w:ind w:left="993" w:hanging="426"/>
        <w:rPr>
          <w:rFonts w:ascii="Arial" w:eastAsia="Times New Roman" w:hAnsi="Arial" w:cs="Arial"/>
          <w:sz w:val="22"/>
          <w:szCs w:val="22"/>
        </w:rPr>
      </w:pPr>
      <w:r w:rsidRPr="00B4155A">
        <w:rPr>
          <w:rFonts w:ascii="Arial" w:eastAsia="Times New Roman" w:hAnsi="Arial" w:cs="Arial"/>
          <w:color w:val="231F20"/>
          <w:sz w:val="22"/>
          <w:szCs w:val="22"/>
        </w:rPr>
        <w:t>a taxa de inflação acumulada no triênio se aproxima ou excede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100%.</w:t>
      </w:r>
    </w:p>
    <w:p w14:paraId="0698BA7B"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2C36A9E5"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 xml:space="preserve">É preferível que todas as entidades que reportam na moeda da mesma economia hiperinflacionária apliquem este Pronunciamento a partir da mesma data. Não obstante, este Pronunciamento se aplica às demonstrações </w:t>
      </w:r>
      <w:r w:rsidRPr="00B4155A">
        <w:rPr>
          <w:rFonts w:ascii="Arial" w:eastAsia="Times New Roman" w:hAnsi="Arial" w:cs="Arial"/>
          <w:color w:val="231F20"/>
          <w:spacing w:val="1"/>
          <w:sz w:val="22"/>
          <w:szCs w:val="22"/>
        </w:rPr>
        <w:t>contábeis</w:t>
      </w:r>
      <w:r w:rsidRPr="00B4155A">
        <w:rPr>
          <w:rFonts w:ascii="Arial" w:eastAsia="Times New Roman" w:hAnsi="Arial" w:cs="Arial"/>
          <w:color w:val="231F20"/>
          <w:sz w:val="22"/>
          <w:szCs w:val="22"/>
        </w:rPr>
        <w:t xml:space="preserve"> de qualquer entidade, desde o início do período de relatório contábil em que ela identifique a existência de hiperinflação no país em cuja moeda ela reporta.</w:t>
      </w:r>
    </w:p>
    <w:p w14:paraId="48208C49"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23B29B0C" w14:textId="77777777" w:rsidR="00B4155A" w:rsidRPr="00B4155A" w:rsidRDefault="00B4155A" w:rsidP="000857FD">
      <w:pPr>
        <w:widowControl w:val="0"/>
        <w:autoSpaceDE w:val="0"/>
        <w:autoSpaceDN w:val="0"/>
        <w:spacing w:before="0" w:after="0" w:line="240" w:lineRule="auto"/>
        <w:ind w:firstLine="0"/>
        <w:outlineLvl w:val="4"/>
        <w:rPr>
          <w:rFonts w:ascii="Arial" w:eastAsia="Arial" w:hAnsi="Arial" w:cs="Arial"/>
          <w:b/>
          <w:bCs/>
          <w:color w:val="231F20"/>
          <w:sz w:val="22"/>
          <w:szCs w:val="22"/>
        </w:rPr>
      </w:pPr>
      <w:bookmarkStart w:id="2" w:name="_bookmark676"/>
      <w:bookmarkEnd w:id="2"/>
      <w:r w:rsidRPr="00B4155A">
        <w:rPr>
          <w:rFonts w:ascii="Arial" w:eastAsia="Arial" w:hAnsi="Arial" w:cs="Arial"/>
          <w:b/>
          <w:bCs/>
          <w:color w:val="231F20"/>
          <w:sz w:val="22"/>
          <w:szCs w:val="22"/>
        </w:rPr>
        <w:t>Atualização monetária das demonstrações contábeis</w:t>
      </w:r>
    </w:p>
    <w:p w14:paraId="15F2DCA0" w14:textId="77777777" w:rsidR="00B4155A" w:rsidRPr="00B4155A" w:rsidRDefault="00B4155A" w:rsidP="000857FD">
      <w:pPr>
        <w:widowControl w:val="0"/>
        <w:autoSpaceDE w:val="0"/>
        <w:autoSpaceDN w:val="0"/>
        <w:spacing w:before="0" w:after="0" w:line="240" w:lineRule="auto"/>
        <w:ind w:left="110" w:firstLine="0"/>
        <w:outlineLvl w:val="4"/>
        <w:rPr>
          <w:rFonts w:ascii="Arial" w:eastAsia="Arial" w:hAnsi="Arial" w:cs="Arial"/>
          <w:b/>
          <w:bCs/>
          <w:sz w:val="22"/>
          <w:szCs w:val="22"/>
        </w:rPr>
      </w:pPr>
    </w:p>
    <w:p w14:paraId="2106A19F"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pacing w:val="1"/>
          <w:sz w:val="22"/>
          <w:szCs w:val="22"/>
        </w:rPr>
        <w:t>Os</w:t>
      </w:r>
      <w:r w:rsidRPr="00B4155A">
        <w:rPr>
          <w:rFonts w:ascii="Arial" w:eastAsia="Times New Roman" w:hAnsi="Arial" w:cs="Arial"/>
          <w:color w:val="231F20"/>
          <w:sz w:val="22"/>
          <w:szCs w:val="22"/>
        </w:rPr>
        <w:t xml:space="preserve"> preços mudam com o tempo como resultado de diversas forças políticas, econômicas e sociais, específicas ou gerais. As forças específicas, tais como mudanças na oferta e na procura e mudanças tecnológicas,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podem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fazer</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com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individuais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aumentem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diminuam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significativamente 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independentemente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um</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outro.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Além</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disso,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forças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gerais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podem</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resultar</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mudanças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no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nível geral de preços e, portanto, no poder aquisitivo geral do dinheiro.</w:t>
      </w:r>
    </w:p>
    <w:p w14:paraId="16730CC8"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56BE1B16"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sz w:val="22"/>
          <w:szCs w:val="22"/>
        </w:rPr>
      </w:pPr>
      <w:r w:rsidRPr="00B4155A">
        <w:rPr>
          <w:rFonts w:ascii="Arial" w:eastAsia="Times New Roman" w:hAnsi="Arial" w:cs="Arial"/>
          <w:color w:val="231F20"/>
          <w:sz w:val="22"/>
          <w:szCs w:val="22"/>
        </w:rPr>
        <w:t>Entidades que elaboram demonstrações contábeis com base no custo histórico o fazem sem levar em consideração mudanças no nível geral de preços ou aumentos em preços específicos de ativos ou passivos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reconhecidos.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São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exceções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ativos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passivos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entidade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deve,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escolhe,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mensurar</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 xml:space="preserve">ao </w:t>
      </w:r>
      <w:r w:rsidRPr="00B4155A">
        <w:rPr>
          <w:rFonts w:ascii="Arial" w:eastAsia="Times New Roman" w:hAnsi="Arial" w:cs="Arial"/>
          <w:color w:val="231F20"/>
          <w:spacing w:val="-3"/>
          <w:sz w:val="22"/>
          <w:szCs w:val="22"/>
        </w:rPr>
        <w:t>valor</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justo.</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z w:val="22"/>
          <w:szCs w:val="22"/>
        </w:rPr>
        <w:t>Por</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exemplo,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imobilizado</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pode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ser</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reavaliado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ao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valor</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justo (quando a reavaliação no Brasil for autorizada por Lei</w:t>
      </w:r>
      <w:r w:rsidRPr="00B4155A">
        <w:rPr>
          <w:rFonts w:ascii="Arial" w:eastAsia="Times New Roman" w:hAnsi="Arial" w:cs="Arial"/>
          <w:color w:val="231F20"/>
          <w:spacing w:val="-3"/>
          <w:sz w:val="22"/>
          <w:szCs w:val="22"/>
          <w:vertAlign w:val="superscript"/>
        </w:rPr>
        <w:footnoteReference w:id="1"/>
      </w:r>
      <w:r w:rsidRPr="00B4155A">
        <w:rPr>
          <w:rFonts w:ascii="Arial" w:eastAsia="Times New Roman" w:hAnsi="Arial" w:cs="Arial"/>
          <w:color w:val="231F20"/>
          <w:spacing w:val="-3"/>
          <w:sz w:val="22"/>
          <w:szCs w:val="22"/>
        </w:rPr>
        <w:t>),</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determinados</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ativos</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biológicos</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devem ser mensurados ao valor justo. Algumas entidades, entretanto, apresentam demonstrações contábeis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baseadas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abordagem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custo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corrente,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reflete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efeitos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das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mudanças nos preços específicos de ativos detidos.</w:t>
      </w:r>
    </w:p>
    <w:p w14:paraId="5622114E"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73FEAFE7"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pacing w:val="1"/>
          <w:sz w:val="22"/>
          <w:szCs w:val="22"/>
        </w:rPr>
        <w:t xml:space="preserve">Em </w:t>
      </w:r>
      <w:r w:rsidRPr="00B4155A">
        <w:rPr>
          <w:rFonts w:ascii="Arial" w:eastAsia="Times New Roman" w:hAnsi="Arial" w:cs="Arial"/>
          <w:color w:val="231F20"/>
          <w:spacing w:val="3"/>
          <w:sz w:val="22"/>
          <w:szCs w:val="22"/>
        </w:rPr>
        <w:t xml:space="preserve">economia hiperinflacionária, </w:t>
      </w:r>
      <w:r w:rsidRPr="00B4155A">
        <w:rPr>
          <w:rFonts w:ascii="Arial" w:eastAsia="Times New Roman" w:hAnsi="Arial" w:cs="Arial"/>
          <w:color w:val="231F20"/>
          <w:spacing w:val="1"/>
          <w:sz w:val="22"/>
          <w:szCs w:val="22"/>
        </w:rPr>
        <w:t xml:space="preserve">as </w:t>
      </w:r>
      <w:r w:rsidRPr="00B4155A">
        <w:rPr>
          <w:rFonts w:ascii="Arial" w:eastAsia="Times New Roman" w:hAnsi="Arial" w:cs="Arial"/>
          <w:color w:val="231F20"/>
          <w:spacing w:val="3"/>
          <w:sz w:val="22"/>
          <w:szCs w:val="22"/>
        </w:rPr>
        <w:t xml:space="preserve">demonstrações </w:t>
      </w:r>
      <w:r w:rsidRPr="00B4155A">
        <w:rPr>
          <w:rFonts w:ascii="Arial" w:eastAsia="Times New Roman" w:hAnsi="Arial" w:cs="Arial"/>
          <w:color w:val="231F20"/>
          <w:sz w:val="22"/>
          <w:szCs w:val="22"/>
        </w:rPr>
        <w:t>contábeis</w:t>
      </w:r>
      <w:r w:rsidRPr="00B4155A">
        <w:rPr>
          <w:rFonts w:ascii="Arial" w:eastAsia="Times New Roman" w:hAnsi="Arial" w:cs="Arial"/>
          <w:color w:val="231F20"/>
          <w:spacing w:val="3"/>
          <w:sz w:val="22"/>
          <w:szCs w:val="22"/>
        </w:rPr>
        <w:t xml:space="preserve">, sejam </w:t>
      </w:r>
      <w:r w:rsidRPr="00B4155A">
        <w:rPr>
          <w:rFonts w:ascii="Arial" w:eastAsia="Times New Roman" w:hAnsi="Arial" w:cs="Arial"/>
          <w:color w:val="231F20"/>
          <w:spacing w:val="2"/>
          <w:sz w:val="22"/>
          <w:szCs w:val="22"/>
        </w:rPr>
        <w:t xml:space="preserve">elas </w:t>
      </w:r>
      <w:r w:rsidRPr="00B4155A">
        <w:rPr>
          <w:rFonts w:ascii="Arial" w:eastAsia="Times New Roman" w:hAnsi="Arial" w:cs="Arial"/>
          <w:color w:val="231F20"/>
          <w:spacing w:val="3"/>
          <w:sz w:val="22"/>
          <w:szCs w:val="22"/>
        </w:rPr>
        <w:t xml:space="preserve">baseadas </w:t>
      </w:r>
      <w:r w:rsidRPr="00B4155A">
        <w:rPr>
          <w:rFonts w:ascii="Arial" w:eastAsia="Times New Roman" w:hAnsi="Arial" w:cs="Arial"/>
          <w:color w:val="231F20"/>
          <w:spacing w:val="5"/>
          <w:sz w:val="22"/>
          <w:szCs w:val="22"/>
        </w:rPr>
        <w:t>na</w:t>
      </w:r>
      <w:r w:rsidRPr="00B4155A">
        <w:rPr>
          <w:rFonts w:ascii="Arial" w:eastAsia="Times New Roman" w:hAnsi="Arial" w:cs="Arial"/>
          <w:color w:val="231F20"/>
          <w:sz w:val="22"/>
          <w:szCs w:val="22"/>
        </w:rPr>
        <w:t xml:space="preserve"> abordagem de custo histórico ou na abordagem de custo corrente, são úteis apenas se forem expressas em termos da unidade de mensuração corrente no final do período de relatório. Como resultado, este Pronunciamento se aplica às demonstrações contábeis de entidades que reportam </w:t>
      </w:r>
      <w:r w:rsidRPr="00B4155A">
        <w:rPr>
          <w:rFonts w:ascii="Arial" w:eastAsia="Times New Roman" w:hAnsi="Arial" w:cs="Arial"/>
          <w:color w:val="231F20"/>
          <w:sz w:val="22"/>
          <w:szCs w:val="22"/>
        </w:rPr>
        <w:lastRenderedPageBreak/>
        <w:t>em moeda de economia hiperinflacionária. A apresentação das informações exigidas por este Pronunciamento como complemento às demonstrações contábeis não atualizadas monetariamente não é permitida. Além disso, a apresentação separada das demonstrações contábeis antes da atualização monetária não é recomendada.</w:t>
      </w:r>
    </w:p>
    <w:p w14:paraId="0CAF3791" w14:textId="77777777" w:rsidR="00B4155A" w:rsidRPr="00B4155A" w:rsidRDefault="00B4155A" w:rsidP="000857FD">
      <w:pPr>
        <w:spacing w:before="0" w:after="0" w:line="240" w:lineRule="auto"/>
        <w:ind w:left="708" w:firstLine="0"/>
        <w:rPr>
          <w:rFonts w:ascii="Arial" w:eastAsia="Times New Roman" w:hAnsi="Arial" w:cs="Arial"/>
          <w:color w:val="231F20"/>
          <w:sz w:val="22"/>
          <w:szCs w:val="22"/>
        </w:rPr>
      </w:pPr>
    </w:p>
    <w:p w14:paraId="38F378E3" w14:textId="77777777" w:rsidR="00B4155A" w:rsidRPr="00B4155A" w:rsidRDefault="00B4155A" w:rsidP="000857FD">
      <w:pPr>
        <w:widowControl w:val="0"/>
        <w:numPr>
          <w:ilvl w:val="0"/>
          <w:numId w:val="17"/>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b/>
          <w:color w:val="231F20"/>
          <w:sz w:val="22"/>
          <w:szCs w:val="22"/>
        </w:rPr>
        <w:t>As</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demonstrações contábeis da</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entidade</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cuja</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moeda</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funcional</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é</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a</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moeda</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21"/>
          <w:sz w:val="22"/>
          <w:szCs w:val="22"/>
        </w:rPr>
        <w:t xml:space="preserve"> </w:t>
      </w:r>
      <w:r w:rsidRPr="00B4155A">
        <w:rPr>
          <w:rFonts w:ascii="Arial" w:eastAsia="Times New Roman" w:hAnsi="Arial" w:cs="Arial"/>
          <w:b/>
          <w:color w:val="231F20"/>
          <w:sz w:val="22"/>
          <w:szCs w:val="22"/>
        </w:rPr>
        <w:t>uma economia hiperinflacionária, sejam elas baseadas na abordagem de custo histórico ou na abordagem de custo corrente, serão atualizadas em termos de unidade de mensuração corrente no final do período de relatório. Os valores correspondentes para o período anterior exigidos pelo CPC 26 – Apresentação das Demonstrações Contábeis e quaisquer informações referentes aos períodos anteriores também devem ser apresentados em termos da unidade</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mensuração</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corrente</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no</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final</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do</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período</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relatório.</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Para</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fins</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apresentação</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19"/>
          <w:sz w:val="22"/>
          <w:szCs w:val="22"/>
        </w:rPr>
        <w:t xml:space="preserve"> </w:t>
      </w:r>
      <w:r w:rsidRPr="00B4155A">
        <w:rPr>
          <w:rFonts w:ascii="Arial" w:eastAsia="Times New Roman" w:hAnsi="Arial" w:cs="Arial"/>
          <w:b/>
          <w:color w:val="231F20"/>
          <w:sz w:val="22"/>
          <w:szCs w:val="22"/>
        </w:rPr>
        <w:t>valores comparativos</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em</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moeda</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apresentação</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diferente,</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os</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itens</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42(b)</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e</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43</w:t>
      </w:r>
      <w:r w:rsidRPr="00B4155A">
        <w:rPr>
          <w:rFonts w:ascii="Arial" w:eastAsia="Times New Roman" w:hAnsi="Arial" w:cs="Arial"/>
          <w:b/>
          <w:color w:val="231F20"/>
          <w:spacing w:val="-10"/>
          <w:sz w:val="22"/>
          <w:szCs w:val="22"/>
        </w:rPr>
        <w:t xml:space="preserve"> </w:t>
      </w:r>
      <w:r w:rsidRPr="00B4155A">
        <w:rPr>
          <w:rFonts w:ascii="Arial" w:eastAsia="Times New Roman" w:hAnsi="Arial" w:cs="Arial"/>
          <w:b/>
          <w:color w:val="231F20"/>
          <w:sz w:val="22"/>
          <w:szCs w:val="22"/>
        </w:rPr>
        <w:t xml:space="preserve">do CPC 02 – Efeitos das Mudanças nas </w:t>
      </w:r>
      <w:r w:rsidRPr="00B4155A">
        <w:rPr>
          <w:rFonts w:ascii="Arial" w:eastAsia="Times New Roman" w:hAnsi="Arial" w:cs="Arial"/>
          <w:b/>
          <w:color w:val="231F20"/>
          <w:spacing w:val="-4"/>
          <w:sz w:val="22"/>
          <w:szCs w:val="22"/>
        </w:rPr>
        <w:t xml:space="preserve">Taxas </w:t>
      </w:r>
      <w:r w:rsidRPr="00B4155A">
        <w:rPr>
          <w:rFonts w:ascii="Arial" w:eastAsia="Times New Roman" w:hAnsi="Arial" w:cs="Arial"/>
          <w:b/>
          <w:color w:val="231F20"/>
          <w:sz w:val="22"/>
          <w:szCs w:val="22"/>
        </w:rPr>
        <w:t>de Câmbio e Conversão de Demonstrações Contábeis são</w:t>
      </w:r>
      <w:r w:rsidRPr="00B4155A">
        <w:rPr>
          <w:rFonts w:ascii="Arial" w:eastAsia="Times New Roman" w:hAnsi="Arial" w:cs="Arial"/>
          <w:b/>
          <w:color w:val="231F20"/>
          <w:spacing w:val="-8"/>
          <w:sz w:val="22"/>
          <w:szCs w:val="22"/>
        </w:rPr>
        <w:t xml:space="preserve"> </w:t>
      </w:r>
      <w:r w:rsidRPr="00B4155A">
        <w:rPr>
          <w:rFonts w:ascii="Arial" w:eastAsia="Times New Roman" w:hAnsi="Arial" w:cs="Arial"/>
          <w:b/>
          <w:color w:val="231F20"/>
          <w:sz w:val="22"/>
          <w:szCs w:val="22"/>
        </w:rPr>
        <w:t>aplicáveis.</w:t>
      </w:r>
    </w:p>
    <w:p w14:paraId="6F7173AE"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6E6FC488"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b/>
          <w:color w:val="231F20"/>
          <w:sz w:val="22"/>
          <w:szCs w:val="22"/>
        </w:rPr>
      </w:pPr>
      <w:r w:rsidRPr="00B4155A">
        <w:rPr>
          <w:rFonts w:ascii="Arial" w:eastAsia="Times New Roman" w:hAnsi="Arial" w:cs="Arial"/>
          <w:b/>
          <w:color w:val="231F20"/>
          <w:sz w:val="22"/>
          <w:szCs w:val="22"/>
        </w:rPr>
        <w:t>Os ganhos ou as perdas na posição monetária líquida devem ser incluídos no resultado e divulgados separadamente.</w:t>
      </w:r>
    </w:p>
    <w:p w14:paraId="50D38C04"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5EAF63F9"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A atualização monetária das demonstrações contábeis, de acordo com este Pronunciamento, exige a aplicação de certos procedimentos, assim como julgamento. A aplicação consistente desses procedimentos e julgamentos, de período a período, é mais importante do que a precisão exata dos valores resultantes incluídos nas demonstrações contábeis atualizadas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monetariamente.</w:t>
      </w:r>
    </w:p>
    <w:p w14:paraId="099B1E3A"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1EE35796" w14:textId="77777777" w:rsidR="00B4155A" w:rsidRPr="00B4155A" w:rsidRDefault="00B4155A" w:rsidP="000857FD">
      <w:pPr>
        <w:widowControl w:val="0"/>
        <w:autoSpaceDE w:val="0"/>
        <w:autoSpaceDN w:val="0"/>
        <w:spacing w:before="0" w:after="0" w:line="240" w:lineRule="auto"/>
        <w:ind w:firstLine="0"/>
        <w:outlineLvl w:val="4"/>
        <w:rPr>
          <w:rFonts w:ascii="Arial" w:eastAsia="Arial" w:hAnsi="Arial" w:cs="Arial"/>
          <w:b/>
          <w:bCs/>
          <w:sz w:val="22"/>
          <w:szCs w:val="22"/>
        </w:rPr>
      </w:pPr>
      <w:bookmarkStart w:id="3" w:name="_bookmark677"/>
      <w:bookmarkEnd w:id="3"/>
      <w:r w:rsidRPr="00B4155A">
        <w:rPr>
          <w:rFonts w:ascii="Arial" w:eastAsia="Arial" w:hAnsi="Arial" w:cs="Arial"/>
          <w:b/>
          <w:bCs/>
          <w:color w:val="231F20"/>
          <w:sz w:val="22"/>
          <w:szCs w:val="22"/>
        </w:rPr>
        <w:t>Demonstrações contábeis pelo custo histórico</w:t>
      </w:r>
    </w:p>
    <w:p w14:paraId="12A3D808"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32A369C6" w14:textId="77777777" w:rsidR="00B4155A" w:rsidRPr="00B4155A" w:rsidRDefault="00B4155A" w:rsidP="000857FD">
      <w:pPr>
        <w:widowControl w:val="0"/>
        <w:autoSpaceDE w:val="0"/>
        <w:autoSpaceDN w:val="0"/>
        <w:spacing w:before="0" w:after="0" w:line="240" w:lineRule="auto"/>
        <w:ind w:left="567" w:firstLine="0"/>
        <w:rPr>
          <w:rFonts w:ascii="Arial" w:eastAsia="Times New Roman" w:hAnsi="Arial" w:cs="Arial"/>
          <w:b/>
          <w:sz w:val="22"/>
          <w:szCs w:val="22"/>
        </w:rPr>
      </w:pPr>
      <w:r w:rsidRPr="00B4155A">
        <w:rPr>
          <w:rFonts w:ascii="Arial" w:eastAsia="Times New Roman" w:hAnsi="Arial" w:cs="Arial"/>
          <w:b/>
          <w:color w:val="231F20"/>
          <w:sz w:val="22"/>
          <w:szCs w:val="22"/>
        </w:rPr>
        <w:t>Balanço patrimonial</w:t>
      </w:r>
    </w:p>
    <w:p w14:paraId="421D939E"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03B4E134"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Os valores do balanço patrimonial que não estejam expressos em termos da unidade de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mensuração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corrente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no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final</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relatório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pela</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aplicação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do Índice Geral de Preços</w:t>
      </w:r>
      <w:r w:rsidRPr="00B4155A">
        <w:rPr>
          <w:rFonts w:ascii="Arial" w:eastAsia="Times New Roman" w:hAnsi="Arial" w:cs="Arial"/>
          <w:color w:val="231F20"/>
          <w:sz w:val="22"/>
          <w:szCs w:val="22"/>
          <w:vertAlign w:val="superscript"/>
        </w:rPr>
        <w:footnoteReference w:id="2"/>
      </w:r>
      <w:r w:rsidRPr="00B4155A">
        <w:rPr>
          <w:rFonts w:ascii="Arial" w:eastAsia="Times New Roman" w:hAnsi="Arial" w:cs="Arial"/>
          <w:color w:val="231F20"/>
          <w:sz w:val="22"/>
          <w:szCs w:val="22"/>
        </w:rPr>
        <w:t>.</w:t>
      </w:r>
    </w:p>
    <w:p w14:paraId="4D304256"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4F6DAACB"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monetários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pois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já</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são</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expressos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termos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da</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unidade</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monetária</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corrente no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final</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relatório.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monetários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são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valores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detidos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serem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recebidos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pagos em dinheiro.</w:t>
      </w:r>
    </w:p>
    <w:p w14:paraId="3D3E0783"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0FB2F74C"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ativos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passivos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contratualmente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sujeitos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mudanças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nos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tais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como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títulos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empréstimos vinculados a índices, devem ser ajustados de acordo com o contrato para determinar o valor em aberto no final</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relatório.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Esses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reconhecidos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por</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esse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valor</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ajustado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no balanço patrimonial atualizado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monetariamente.</w:t>
      </w:r>
    </w:p>
    <w:p w14:paraId="5FC5D5C1"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43A64154"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pacing w:val="-3"/>
          <w:sz w:val="22"/>
          <w:szCs w:val="22"/>
        </w:rPr>
        <w:t xml:space="preserve">Todos </w:t>
      </w:r>
      <w:r w:rsidRPr="00B4155A">
        <w:rPr>
          <w:rFonts w:ascii="Arial" w:eastAsia="Times New Roman" w:hAnsi="Arial" w:cs="Arial"/>
          <w:color w:val="231F20"/>
          <w:sz w:val="22"/>
          <w:szCs w:val="22"/>
        </w:rPr>
        <w:t xml:space="preserve">os outros ativos e passivos são não monetários. Alguns itens não monetários devem ser reconhecidos a valores correntes no final do período de relatório, como, por exemplo, a valor líquido realizável e a valor justo, de modo que não são atualizados monetariamente. </w:t>
      </w:r>
      <w:r w:rsidRPr="00B4155A">
        <w:rPr>
          <w:rFonts w:ascii="Arial" w:eastAsia="Times New Roman" w:hAnsi="Arial" w:cs="Arial"/>
          <w:color w:val="231F20"/>
          <w:spacing w:val="-3"/>
          <w:sz w:val="22"/>
          <w:szCs w:val="22"/>
        </w:rPr>
        <w:t xml:space="preserve">Todos </w:t>
      </w:r>
      <w:r w:rsidRPr="00B4155A">
        <w:rPr>
          <w:rFonts w:ascii="Arial" w:eastAsia="Times New Roman" w:hAnsi="Arial" w:cs="Arial"/>
          <w:color w:val="231F20"/>
          <w:sz w:val="22"/>
          <w:szCs w:val="22"/>
        </w:rPr>
        <w:t xml:space="preserve">os outros ativos </w:t>
      </w:r>
      <w:r w:rsidRPr="00B4155A">
        <w:rPr>
          <w:rFonts w:ascii="Arial" w:eastAsia="Times New Roman" w:hAnsi="Arial" w:cs="Arial"/>
          <w:color w:val="231F20"/>
          <w:sz w:val="22"/>
          <w:szCs w:val="22"/>
        </w:rPr>
        <w:lastRenderedPageBreak/>
        <w:t>e passivos não monetários devem ser atualizados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monetariamente.</w:t>
      </w:r>
    </w:p>
    <w:p w14:paraId="12E8DFF8"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sz w:val="22"/>
          <w:szCs w:val="22"/>
        </w:rPr>
      </w:pPr>
      <w:r w:rsidRPr="00B4155A">
        <w:rPr>
          <w:rFonts w:ascii="Arial" w:eastAsia="Times New Roman" w:hAnsi="Arial" w:cs="Arial"/>
          <w:color w:val="231F20"/>
          <w:sz w:val="22"/>
          <w:szCs w:val="22"/>
        </w:rPr>
        <w:t>A maioria dos itens não monetários deve ser reconhecida pelo custo ou pelo custo menos depreciação ou amortização acumuladas, portanto,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é</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expressa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valores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correntes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sua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data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aquisição.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custo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corrigido,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custo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menos depreciação ou amortização acumulada</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cada</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item,</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é</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determinado</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pela</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aplicação,</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ao</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seu</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custo</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histórico</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depreciação/amortização</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acumulada, da</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mudança</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no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Índice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Geral</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desde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data</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aquisição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até</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final</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relatório. Por</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exemplo,</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imobilizado,</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estoques</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matérias-primas</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mercadorias,</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ágio</w:t>
      </w:r>
      <w:r w:rsidRPr="00B4155A">
        <w:rPr>
          <w:rFonts w:ascii="Arial" w:eastAsia="Times New Roman" w:hAnsi="Arial" w:cs="Arial"/>
          <w:i/>
          <w:color w:val="231F20"/>
          <w:spacing w:val="-3"/>
          <w:sz w:val="22"/>
          <w:szCs w:val="22"/>
        </w:rPr>
        <w:t xml:space="preserve"> (goodwill)</w:t>
      </w:r>
      <w:r w:rsidRPr="00B4155A">
        <w:rPr>
          <w:rFonts w:ascii="Arial" w:eastAsia="Times New Roman" w:hAnsi="Arial" w:cs="Arial"/>
          <w:color w:val="231F20"/>
          <w:spacing w:val="-3"/>
          <w:sz w:val="22"/>
          <w:szCs w:val="22"/>
        </w:rPr>
        <w:t>,</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patentes,</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marcas</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pacing w:val="-3"/>
          <w:sz w:val="22"/>
          <w:szCs w:val="22"/>
        </w:rPr>
        <w:t xml:space="preserve">registradas </w:t>
      </w:r>
      <w:r w:rsidRPr="00B4155A">
        <w:rPr>
          <w:rFonts w:ascii="Arial" w:eastAsia="Times New Roman" w:hAnsi="Arial" w:cs="Arial"/>
          <w:color w:val="231F20"/>
          <w:sz w:val="22"/>
          <w:szCs w:val="22"/>
        </w:rPr>
        <w:t>e</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ativos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similares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partir</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das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datas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sua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aquisição/formação.</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estoques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de produtos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acabados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parcialmente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acabados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desde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datas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custos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compra e de sua fabricação foram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incorridos.</w:t>
      </w:r>
    </w:p>
    <w:p w14:paraId="0AE4E5BE"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0A4E69CB"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registros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detalhados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das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datas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aquisição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imobilizado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podem</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estar</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disponíveis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ou sujeitos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à</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estimativa.</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Nessas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raras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circunstâncias,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pode</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ser</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necessário,</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no</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primeiro</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aplicação deste Pronunciamento, utilizar uma avaliação profissional independente do valor dos itens como base para</w:t>
      </w:r>
      <w:r w:rsidRPr="00B4155A">
        <w:rPr>
          <w:rFonts w:ascii="Arial" w:eastAsia="Times New Roman" w:hAnsi="Arial" w:cs="Arial"/>
          <w:color w:val="231F20"/>
          <w:spacing w:val="-25"/>
          <w:sz w:val="22"/>
          <w:szCs w:val="22"/>
        </w:rPr>
        <w:t xml:space="preserve"> </w:t>
      </w:r>
      <w:r w:rsidRPr="00B4155A">
        <w:rPr>
          <w:rFonts w:ascii="Arial" w:eastAsia="Times New Roman" w:hAnsi="Arial" w:cs="Arial"/>
          <w:color w:val="231F20"/>
          <w:sz w:val="22"/>
          <w:szCs w:val="22"/>
        </w:rPr>
        <w:t>sua atualização monetária.</w:t>
      </w:r>
    </w:p>
    <w:p w14:paraId="7D3D33F6"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2FFF4C72"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 Índice Geral de Preços pode não estar disponível para os períodos para os quais a atualização do imobilizado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é</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exigida</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por</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este Pronunciamento.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Nessas</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circunstâncias,</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pode</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ser</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necessário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utilizar</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uma</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estimativa baseada,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por</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exemplo,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variação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taxa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câmbio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entre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moeda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funcional</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uma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moeda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estrangeira relativamente</w:t>
      </w:r>
      <w:r w:rsidRPr="00B4155A">
        <w:rPr>
          <w:rFonts w:ascii="Arial" w:eastAsia="Times New Roman" w:hAnsi="Arial" w:cs="Arial"/>
          <w:color w:val="231F20"/>
          <w:spacing w:val="-12"/>
          <w:sz w:val="22"/>
          <w:szCs w:val="22"/>
        </w:rPr>
        <w:t xml:space="preserve"> </w:t>
      </w:r>
      <w:r w:rsidRPr="00B4155A">
        <w:rPr>
          <w:rFonts w:ascii="Arial" w:eastAsia="Times New Roman" w:hAnsi="Arial" w:cs="Arial"/>
          <w:color w:val="231F20"/>
          <w:sz w:val="22"/>
          <w:szCs w:val="22"/>
        </w:rPr>
        <w:t>estável.</w:t>
      </w:r>
    </w:p>
    <w:p w14:paraId="7024706D"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40F9FC96"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Alguns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monetários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reconhecidos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valores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correntes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nas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datas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sejam</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data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 aquisição</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data</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do balanço patrimonial,</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por</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exemplo,</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imobilizado</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foi</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reavaliado em</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alguma</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data</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pacing w:val="-3"/>
          <w:sz w:val="22"/>
          <w:szCs w:val="22"/>
        </w:rPr>
        <w:t xml:space="preserve">anterior, quando este procedimento é </w:t>
      </w:r>
      <w:r w:rsidRPr="00B4155A">
        <w:rPr>
          <w:rFonts w:ascii="Arial" w:eastAsia="Times New Roman" w:hAnsi="Arial" w:cs="Arial"/>
          <w:color w:val="231F20"/>
          <w:sz w:val="22"/>
          <w:szCs w:val="22"/>
        </w:rPr>
        <w:t>permitido</w:t>
      </w:r>
      <w:r w:rsidRPr="00B4155A">
        <w:rPr>
          <w:rFonts w:ascii="Arial" w:eastAsia="Times New Roman" w:hAnsi="Arial" w:cs="Arial"/>
          <w:color w:val="231F20"/>
          <w:spacing w:val="-3"/>
          <w:sz w:val="22"/>
          <w:szCs w:val="22"/>
        </w:rPr>
        <w:t xml:space="preserve"> legalmente</w:t>
      </w:r>
      <w:r w:rsidRPr="00B4155A">
        <w:rPr>
          <w:rFonts w:ascii="Arial" w:eastAsia="Times New Roman" w:hAnsi="Arial" w:cs="Arial"/>
          <w:color w:val="231F20"/>
          <w:sz w:val="22"/>
          <w:szCs w:val="22"/>
          <w:vertAlign w:val="superscript"/>
        </w:rPr>
        <w:footnoteReference w:id="3"/>
      </w:r>
      <w:r w:rsidRPr="00B4155A">
        <w:rPr>
          <w:rFonts w:ascii="Arial" w:eastAsia="Times New Roman" w:hAnsi="Arial" w:cs="Arial"/>
          <w:color w:val="231F20"/>
          <w:spacing w:val="-3"/>
          <w:sz w:val="22"/>
          <w:szCs w:val="22"/>
        </w:rPr>
        <w:t>.</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Nesses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casos,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valores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contábeis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desde</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data</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da</w:t>
      </w:r>
      <w:r w:rsidRPr="00B4155A">
        <w:rPr>
          <w:rFonts w:ascii="Arial" w:eastAsia="Times New Roman" w:hAnsi="Arial" w:cs="Arial"/>
          <w:color w:val="231F20"/>
          <w:spacing w:val="-20"/>
          <w:sz w:val="22"/>
          <w:szCs w:val="22"/>
        </w:rPr>
        <w:t xml:space="preserve"> </w:t>
      </w:r>
      <w:r w:rsidRPr="00B4155A">
        <w:rPr>
          <w:rFonts w:ascii="Arial" w:eastAsia="Times New Roman" w:hAnsi="Arial" w:cs="Arial"/>
          <w:color w:val="231F20"/>
          <w:sz w:val="22"/>
          <w:szCs w:val="22"/>
        </w:rPr>
        <w:t>reavaliação.</w:t>
      </w:r>
    </w:p>
    <w:p w14:paraId="515BCB0D"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49899347"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 valor atualizado de um item não monetário é reduzido, de acordo com os pronunciamentos contábeis apropriados, quando excede o seu valor recuperável. Por exemplo, os valores atualizados do imobilizado, ágio</w:t>
      </w:r>
      <w:r w:rsidRPr="00B4155A">
        <w:rPr>
          <w:rFonts w:ascii="Arial" w:eastAsia="Times New Roman" w:hAnsi="Arial" w:cs="Arial"/>
          <w:i/>
          <w:color w:val="231F20"/>
          <w:sz w:val="22"/>
          <w:szCs w:val="22"/>
        </w:rPr>
        <w:t xml:space="preserve"> (goodwill)</w:t>
      </w:r>
      <w:r w:rsidRPr="00B4155A">
        <w:rPr>
          <w:rFonts w:ascii="Arial" w:eastAsia="Times New Roman" w:hAnsi="Arial" w:cs="Arial"/>
          <w:color w:val="231F20"/>
          <w:sz w:val="22"/>
          <w:szCs w:val="22"/>
        </w:rPr>
        <w:t>, patentes e marcas registradas devem ser reduzidos ao valor recuperável, e os valores atualizados dos estoques devem ser reduzidos ao valor líquido</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realizável.</w:t>
      </w:r>
    </w:p>
    <w:p w14:paraId="3DE3F7AA"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6DA10BAC"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investida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seja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contabilizada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pelo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método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equivalência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patrimonial</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pode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reportar</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moeda de economia hiperinflacionária. O balanço patrimonial e a demonstração do resultado</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abrangente</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dessa</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investida</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acordo</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com</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este Pronunciamento,</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para calcular</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parcela</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investidor</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seus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ativos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líquidos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no resultado.</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Quando</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demonstrações contábeis atualizadas da investida estão expressas em moeda estrangeira, elas devem ser convertidas pelas taxas de câmbio de fechamento.</w:t>
      </w:r>
    </w:p>
    <w:p w14:paraId="5649BA4C"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657CD657"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impacto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da</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inflação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é</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normalmente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reconhecido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custos</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empréstimos.</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é</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apropriado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 xml:space="preserve">atualizar, </w:t>
      </w:r>
      <w:r w:rsidRPr="00B4155A">
        <w:rPr>
          <w:rFonts w:ascii="Arial" w:eastAsia="Times New Roman" w:hAnsi="Arial" w:cs="Arial"/>
          <w:color w:val="231F20"/>
          <w:sz w:val="22"/>
          <w:szCs w:val="22"/>
        </w:rPr>
        <w:t>monetariamente, o gasto com o ativo financiado pelo empréstimo e, ao mesmo tempo, capitalizar a parte dos custos do empréstimo que compense a inflação durante o mesmo período. Essa parte dos custos do empréstimo deve ser reconhecida como despesa, no período em que os custos são</w:t>
      </w:r>
      <w:r w:rsidRPr="00B4155A">
        <w:rPr>
          <w:rFonts w:ascii="Arial" w:eastAsia="Times New Roman" w:hAnsi="Arial" w:cs="Arial"/>
          <w:color w:val="231F20"/>
          <w:spacing w:val="-13"/>
          <w:sz w:val="22"/>
          <w:szCs w:val="22"/>
        </w:rPr>
        <w:t xml:space="preserve"> </w:t>
      </w:r>
      <w:r w:rsidRPr="00B4155A">
        <w:rPr>
          <w:rFonts w:ascii="Arial" w:eastAsia="Times New Roman" w:hAnsi="Arial" w:cs="Arial"/>
          <w:color w:val="231F20"/>
          <w:sz w:val="22"/>
          <w:szCs w:val="22"/>
        </w:rPr>
        <w:t>incorridos.</w:t>
      </w:r>
    </w:p>
    <w:p w14:paraId="0137B48E"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5116631B"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lastRenderedPageBreak/>
        <w:t>A entidade pode adquirir ativos por meio de acordo que permita que ela postergue pagamentos sem incorrer em encargos de juros explícitos. Quando for impraticável imputar o valor dos juros, esses ativos devem ser atualizados monetariamente, a partir da data do pagamento e, não, da data da compra.</w:t>
      </w:r>
    </w:p>
    <w:p w14:paraId="62E4F380"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045E6200" w14:textId="3A911838"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(Eliminado)</w:t>
      </w:r>
    </w:p>
    <w:p w14:paraId="33E24E14"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lang w:val="en-US"/>
        </w:rPr>
      </w:pPr>
    </w:p>
    <w:p w14:paraId="0BDA11F6"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No início do primeiro período de aplicação deste Pronunciamento, os componentes do patrimônio líquido, exceto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lucros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acumulados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qualquer</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reserva</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reavaliação,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pela aplicação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Índice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Geral</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desde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datas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componentes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foram</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contribuídos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ou, de</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outro</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modo,</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surgiram.</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Qualquer</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reserva</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reavaliação</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tenha</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surgido</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períodos</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anteriores</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é eliminada.</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lucros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acumulados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são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derivados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todos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outros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valores no balanço patrimonial atualizados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monetariamente.</w:t>
      </w:r>
    </w:p>
    <w:p w14:paraId="47EFC2CA"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5410909B"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No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final</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primeiro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períodos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subsequentes,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todos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componentes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patrimônio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líquido devem ser</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atualizados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monetariamente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pela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aplicação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Índice</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pacing w:val="-3"/>
          <w:sz w:val="22"/>
          <w:szCs w:val="22"/>
        </w:rPr>
        <w:t>Geral</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Preços,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desde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início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período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pacing w:val="-3"/>
          <w:sz w:val="22"/>
          <w:szCs w:val="22"/>
        </w:rPr>
        <w:t xml:space="preserve">ou da </w:t>
      </w:r>
      <w:r w:rsidRPr="00B4155A">
        <w:rPr>
          <w:rFonts w:ascii="Arial" w:eastAsia="Times New Roman" w:hAnsi="Arial" w:cs="Arial"/>
          <w:color w:val="231F20"/>
          <w:sz w:val="22"/>
          <w:szCs w:val="22"/>
        </w:rPr>
        <w:t>data</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contribuição,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se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posterior.</w:t>
      </w:r>
      <w:r w:rsidRPr="00B4155A">
        <w:rPr>
          <w:rFonts w:ascii="Arial" w:eastAsia="Times New Roman" w:hAnsi="Arial" w:cs="Arial"/>
          <w:color w:val="231F20"/>
          <w:spacing w:val="-25"/>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mutações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patrimônio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líquido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durante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divulgadas de acordo com o CPC 26.</w:t>
      </w:r>
    </w:p>
    <w:p w14:paraId="1A886041"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7CE15E33" w14:textId="77777777" w:rsidR="00B4155A" w:rsidRPr="00B4155A" w:rsidRDefault="00B4155A" w:rsidP="000857FD">
      <w:pPr>
        <w:widowControl w:val="0"/>
        <w:autoSpaceDE w:val="0"/>
        <w:autoSpaceDN w:val="0"/>
        <w:spacing w:before="0" w:after="0" w:line="240" w:lineRule="auto"/>
        <w:ind w:left="567" w:firstLine="0"/>
        <w:rPr>
          <w:rFonts w:ascii="Arial" w:eastAsia="Times New Roman" w:hAnsi="Arial" w:cs="Arial"/>
          <w:b/>
          <w:color w:val="231F20"/>
          <w:sz w:val="22"/>
          <w:szCs w:val="22"/>
        </w:rPr>
      </w:pPr>
      <w:r w:rsidRPr="00B4155A">
        <w:rPr>
          <w:rFonts w:ascii="Arial" w:eastAsia="Times New Roman" w:hAnsi="Arial" w:cs="Arial"/>
          <w:b/>
          <w:color w:val="231F20"/>
          <w:sz w:val="22"/>
          <w:szCs w:val="22"/>
        </w:rPr>
        <w:t>Demonstração do resultado abrangente</w:t>
      </w:r>
    </w:p>
    <w:p w14:paraId="6CE7BA65" w14:textId="77777777" w:rsidR="00B4155A" w:rsidRPr="00B4155A" w:rsidRDefault="00B4155A" w:rsidP="000857FD">
      <w:pPr>
        <w:widowControl w:val="0"/>
        <w:autoSpaceDE w:val="0"/>
        <w:autoSpaceDN w:val="0"/>
        <w:spacing w:before="0" w:after="0" w:line="240" w:lineRule="auto"/>
        <w:ind w:left="567" w:firstLine="0"/>
        <w:rPr>
          <w:rFonts w:ascii="Arial" w:eastAsia="Times New Roman" w:hAnsi="Arial" w:cs="Arial"/>
          <w:b/>
          <w:sz w:val="22"/>
          <w:szCs w:val="22"/>
        </w:rPr>
      </w:pPr>
    </w:p>
    <w:p w14:paraId="10E695E0"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Este Pronunciamento exige que todos os itens na demonstração do resultado abrangente sejam expressos em termos da unidade de mensuração corrente no final do período de relatório. Portanto, todos os valores precisam ser atualizados monetariamente, aplicando-se a variação no Índice Geral de Preços, desde a data em que os itens de receitas e despesas foram inicialmente registrados nas demonstrações contábeis.</w:t>
      </w:r>
    </w:p>
    <w:p w14:paraId="79107C7A"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088446D0" w14:textId="77777777" w:rsidR="00B4155A" w:rsidRPr="00B4155A" w:rsidRDefault="00B4155A" w:rsidP="000857FD">
      <w:pPr>
        <w:widowControl w:val="0"/>
        <w:autoSpaceDE w:val="0"/>
        <w:autoSpaceDN w:val="0"/>
        <w:spacing w:before="0" w:after="0" w:line="240" w:lineRule="auto"/>
        <w:ind w:left="567" w:firstLine="0"/>
        <w:rPr>
          <w:rFonts w:ascii="Arial" w:eastAsia="Times New Roman" w:hAnsi="Arial" w:cs="Arial"/>
          <w:b/>
          <w:sz w:val="22"/>
          <w:szCs w:val="22"/>
        </w:rPr>
      </w:pPr>
      <w:r w:rsidRPr="00B4155A">
        <w:rPr>
          <w:rFonts w:ascii="Arial" w:eastAsia="Times New Roman" w:hAnsi="Arial" w:cs="Arial"/>
          <w:b/>
          <w:color w:val="231F20"/>
          <w:sz w:val="22"/>
          <w:szCs w:val="22"/>
        </w:rPr>
        <w:t>Ganho ou perda na posição monetária líquida</w:t>
      </w:r>
    </w:p>
    <w:p w14:paraId="559D6204"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11C62619"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Em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inflação,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entidade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com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excesso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ativos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monetários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sobre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pacing w:val="1"/>
          <w:sz w:val="22"/>
          <w:szCs w:val="22"/>
        </w:rPr>
        <w:t>passivos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monetários perde poder aquisitivo, e a entidade com excesso de passivos monetários sobre ativos monetários ganha poder aquisitivo na extensão em que os ativos e os passivos não estejam vinculados ao nível de preços. Esse ganho ou perda na posição monetária líquida pode derivar da diferença resultante da atualização monetária de ativos não monetários, patrimônio líquido e itens na demonstração do resultado abrangente e do ajuste de ativos e passivos vinculados a um índice. O ganho ou a perda pode ser</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estimado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aplicando-se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variação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no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Índice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Geral</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à</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média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ponderada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das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diferenças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entre os ativos e os passivos monetários no período.</w:t>
      </w:r>
    </w:p>
    <w:p w14:paraId="79B03D1C"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79254591"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FF0000"/>
          <w:sz w:val="22"/>
          <w:szCs w:val="22"/>
        </w:rPr>
      </w:pPr>
      <w:r w:rsidRPr="00B4155A">
        <w:rPr>
          <w:rFonts w:ascii="Arial" w:eastAsia="Times New Roman" w:hAnsi="Arial" w:cs="Arial"/>
          <w:color w:val="231F20"/>
          <w:sz w:val="22"/>
          <w:szCs w:val="22"/>
        </w:rPr>
        <w:t>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ganho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perda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posição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monetária</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líquida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deve ser</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incluído</w:t>
      </w:r>
      <w:r w:rsidRPr="00B4155A">
        <w:rPr>
          <w:rFonts w:ascii="Arial" w:eastAsia="Times New Roman" w:hAnsi="Arial" w:cs="Arial"/>
          <w:color w:val="231F20"/>
          <w:spacing w:val="-10"/>
          <w:sz w:val="22"/>
          <w:szCs w:val="22"/>
        </w:rPr>
        <w:t xml:space="preserve"> no </w:t>
      </w:r>
      <w:r w:rsidRPr="00B4155A">
        <w:rPr>
          <w:rFonts w:ascii="Arial" w:eastAsia="Times New Roman" w:hAnsi="Arial" w:cs="Arial"/>
          <w:color w:val="231F20"/>
          <w:spacing w:val="-3"/>
          <w:sz w:val="22"/>
          <w:szCs w:val="22"/>
        </w:rPr>
        <w:t>resultado</w:t>
      </w:r>
      <w:r w:rsidRPr="00B4155A">
        <w:rPr>
          <w:rFonts w:ascii="Arial" w:eastAsia="Times New Roman" w:hAnsi="Arial" w:cs="Arial"/>
          <w:color w:val="231F20"/>
          <w:sz w:val="22"/>
          <w:szCs w:val="22"/>
        </w:rPr>
        <w:t>.</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ajuste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esses</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ativos 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passivos,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atrelados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por</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contrato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às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variações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nos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acordo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com</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item</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13,</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deve ser</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compensado com o ganho ou a perda na posição monetária líquida. Outros itens de receitas e despesas, tais como receita e despesa de juros e diferenças de câmbio relacionadas a fundos investidos ou tomados em empréstimo, também estão relacionados à posição monetária líquida. Embora esses itens sejam divulgados separadamente, eles podem ser úteis se forem apresentados juntamente com o ganho ou a perda na posição monetária líquida na demonstração do resultado</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abrangente.</w:t>
      </w:r>
      <w:r w:rsidRPr="00B4155A">
        <w:rPr>
          <w:rFonts w:ascii="Arial" w:eastAsia="Times New Roman" w:hAnsi="Arial" w:cs="Arial"/>
          <w:color w:val="FF0000"/>
          <w:sz w:val="22"/>
          <w:szCs w:val="22"/>
        </w:rPr>
        <w:t xml:space="preserve"> </w:t>
      </w:r>
    </w:p>
    <w:p w14:paraId="1A756854" w14:textId="77777777" w:rsidR="009F2651" w:rsidRDefault="009F2651" w:rsidP="000857FD">
      <w:pPr>
        <w:widowControl w:val="0"/>
        <w:autoSpaceDE w:val="0"/>
        <w:autoSpaceDN w:val="0"/>
        <w:spacing w:before="0" w:after="0" w:line="240" w:lineRule="auto"/>
        <w:ind w:firstLine="0"/>
        <w:outlineLvl w:val="4"/>
        <w:rPr>
          <w:rFonts w:ascii="Arial" w:eastAsia="Arial" w:hAnsi="Arial" w:cs="Arial"/>
          <w:b/>
          <w:bCs/>
          <w:color w:val="231F20"/>
          <w:sz w:val="22"/>
          <w:szCs w:val="22"/>
        </w:rPr>
      </w:pPr>
      <w:bookmarkStart w:id="4" w:name="_bookmark678"/>
      <w:bookmarkEnd w:id="4"/>
    </w:p>
    <w:p w14:paraId="3B34CD24" w14:textId="6B5AEE50" w:rsidR="00B4155A" w:rsidRPr="00B4155A" w:rsidRDefault="00B4155A" w:rsidP="000857FD">
      <w:pPr>
        <w:widowControl w:val="0"/>
        <w:autoSpaceDE w:val="0"/>
        <w:autoSpaceDN w:val="0"/>
        <w:spacing w:before="0" w:after="0" w:line="240" w:lineRule="auto"/>
        <w:ind w:firstLine="0"/>
        <w:outlineLvl w:val="4"/>
        <w:rPr>
          <w:rFonts w:ascii="Arial" w:eastAsia="Arial" w:hAnsi="Arial" w:cs="Arial"/>
          <w:b/>
          <w:bCs/>
          <w:color w:val="231F20"/>
          <w:sz w:val="22"/>
          <w:szCs w:val="22"/>
        </w:rPr>
      </w:pPr>
      <w:r w:rsidRPr="00B4155A">
        <w:rPr>
          <w:rFonts w:ascii="Arial" w:eastAsia="Arial" w:hAnsi="Arial" w:cs="Arial"/>
          <w:b/>
          <w:bCs/>
          <w:color w:val="231F20"/>
          <w:sz w:val="22"/>
          <w:szCs w:val="22"/>
        </w:rPr>
        <w:lastRenderedPageBreak/>
        <w:t>Demonstrações contábeis pelo custo corrente</w:t>
      </w:r>
    </w:p>
    <w:p w14:paraId="11092197" w14:textId="77777777" w:rsidR="00B4155A" w:rsidRPr="00B4155A" w:rsidRDefault="00B4155A" w:rsidP="000857FD">
      <w:pPr>
        <w:widowControl w:val="0"/>
        <w:autoSpaceDE w:val="0"/>
        <w:autoSpaceDN w:val="0"/>
        <w:spacing w:before="0" w:after="0" w:line="240" w:lineRule="auto"/>
        <w:ind w:left="567" w:firstLine="0"/>
        <w:rPr>
          <w:rFonts w:ascii="Arial" w:eastAsia="Times New Roman" w:hAnsi="Arial" w:cs="Arial"/>
          <w:b/>
          <w:sz w:val="22"/>
          <w:szCs w:val="22"/>
        </w:rPr>
      </w:pPr>
      <w:r w:rsidRPr="00B4155A">
        <w:rPr>
          <w:rFonts w:ascii="Arial" w:eastAsia="Times New Roman" w:hAnsi="Arial" w:cs="Arial"/>
          <w:b/>
          <w:color w:val="231F20"/>
          <w:sz w:val="22"/>
          <w:szCs w:val="22"/>
        </w:rPr>
        <w:t>Balanço patrimonial</w:t>
      </w:r>
    </w:p>
    <w:p w14:paraId="265A4F63"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71A43EE9"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Os</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apresentados</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pelo</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custo</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corrente</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atualizados</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pois</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já</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são</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expressos</w:t>
      </w:r>
      <w:r w:rsidRPr="00B4155A">
        <w:rPr>
          <w:rFonts w:ascii="Arial" w:eastAsia="Times New Roman" w:hAnsi="Arial" w:cs="Arial"/>
          <w:color w:val="231F20"/>
          <w:spacing w:val="-22"/>
          <w:sz w:val="22"/>
          <w:szCs w:val="22"/>
        </w:rPr>
        <w:t xml:space="preserve"> </w:t>
      </w:r>
      <w:r w:rsidRPr="00B4155A">
        <w:rPr>
          <w:rFonts w:ascii="Arial" w:eastAsia="Times New Roman" w:hAnsi="Arial" w:cs="Arial"/>
          <w:color w:val="231F20"/>
          <w:sz w:val="22"/>
          <w:szCs w:val="22"/>
        </w:rPr>
        <w:t xml:space="preserve">em termos da unidade de mensuração corrente no final do período de relatório. Outros itens no balanço patrimonial devem ser atualizados monetariamente, de acordo com os itens de </w:t>
      </w:r>
      <w:r w:rsidRPr="00B4155A">
        <w:rPr>
          <w:rFonts w:ascii="Arial" w:eastAsia="Times New Roman" w:hAnsi="Arial" w:cs="Arial"/>
          <w:color w:val="231F20"/>
          <w:spacing w:val="-4"/>
          <w:sz w:val="22"/>
          <w:szCs w:val="22"/>
        </w:rPr>
        <w:t xml:space="preserve">11 </w:t>
      </w:r>
      <w:r w:rsidRPr="00B4155A">
        <w:rPr>
          <w:rFonts w:ascii="Arial" w:eastAsia="Times New Roman" w:hAnsi="Arial" w:cs="Arial"/>
          <w:color w:val="231F20"/>
          <w:sz w:val="22"/>
          <w:szCs w:val="22"/>
        </w:rPr>
        <w:t>a</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25.</w:t>
      </w:r>
    </w:p>
    <w:p w14:paraId="450E6874"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54CA1510" w14:textId="77777777" w:rsidR="00B4155A" w:rsidRPr="00B4155A" w:rsidRDefault="00B4155A" w:rsidP="000857FD">
      <w:pPr>
        <w:widowControl w:val="0"/>
        <w:autoSpaceDE w:val="0"/>
        <w:autoSpaceDN w:val="0"/>
        <w:spacing w:before="0" w:after="0" w:line="240" w:lineRule="auto"/>
        <w:ind w:left="567" w:firstLine="0"/>
        <w:rPr>
          <w:rFonts w:ascii="Arial" w:eastAsia="Times New Roman" w:hAnsi="Arial" w:cs="Arial"/>
          <w:b/>
          <w:sz w:val="22"/>
          <w:szCs w:val="22"/>
        </w:rPr>
      </w:pPr>
      <w:r w:rsidRPr="00B4155A">
        <w:rPr>
          <w:rFonts w:ascii="Arial" w:eastAsia="Times New Roman" w:hAnsi="Arial" w:cs="Arial"/>
          <w:b/>
          <w:color w:val="231F20"/>
          <w:sz w:val="22"/>
          <w:szCs w:val="22"/>
        </w:rPr>
        <w:t>Demonstração do resultado abrangente</w:t>
      </w:r>
    </w:p>
    <w:p w14:paraId="6796E85E"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lang w:val="en-US"/>
        </w:rPr>
      </w:pPr>
    </w:p>
    <w:p w14:paraId="235D4B05"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A</w:t>
      </w:r>
      <w:r w:rsidRPr="00B4155A">
        <w:rPr>
          <w:rFonts w:ascii="Arial" w:eastAsia="Times New Roman" w:hAnsi="Arial" w:cs="Arial"/>
          <w:color w:val="231F20"/>
          <w:spacing w:val="-33"/>
          <w:sz w:val="22"/>
          <w:szCs w:val="22"/>
        </w:rPr>
        <w:t xml:space="preserve"> </w:t>
      </w:r>
      <w:r w:rsidRPr="00B4155A">
        <w:rPr>
          <w:rFonts w:ascii="Arial" w:eastAsia="Times New Roman" w:hAnsi="Arial" w:cs="Arial"/>
          <w:color w:val="231F20"/>
          <w:sz w:val="22"/>
          <w:szCs w:val="22"/>
        </w:rPr>
        <w:t>demonstração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resultado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abrangente</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pelo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custo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corrente,</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antes</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da</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atualização</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monetária,</w:t>
      </w:r>
      <w:r w:rsidRPr="00B4155A">
        <w:rPr>
          <w:rFonts w:ascii="Arial" w:eastAsia="Times New Roman" w:hAnsi="Arial" w:cs="Arial"/>
          <w:color w:val="231F20"/>
          <w:spacing w:val="-26"/>
          <w:sz w:val="22"/>
          <w:szCs w:val="22"/>
        </w:rPr>
        <w:t xml:space="preserve"> </w:t>
      </w:r>
      <w:r w:rsidRPr="00B4155A">
        <w:rPr>
          <w:rFonts w:ascii="Arial" w:eastAsia="Times New Roman" w:hAnsi="Arial" w:cs="Arial"/>
          <w:color w:val="231F20"/>
          <w:sz w:val="22"/>
          <w:szCs w:val="22"/>
        </w:rPr>
        <w:t>geralmente reporta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custos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correntes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ocasião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transações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eventos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subjacentes</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ocorrerem.</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custo das vendas e a depreciação devem ser registrados pelo custo corrente, na ocasião do consumo; as vendas e outras despesas devem ser registradas por seus valores monetários, quando ocorrerem. Portanto, todos os valores precisam ser atualizados monetariamente na unidade de mensuração corrente no final do período de relatório, aplicando-se o Índice Geral de</w:t>
      </w:r>
      <w:r w:rsidRPr="00B4155A">
        <w:rPr>
          <w:rFonts w:ascii="Arial" w:eastAsia="Times New Roman" w:hAnsi="Arial" w:cs="Arial"/>
          <w:color w:val="231F20"/>
          <w:spacing w:val="-9"/>
          <w:sz w:val="22"/>
          <w:szCs w:val="22"/>
        </w:rPr>
        <w:t xml:space="preserve"> </w:t>
      </w:r>
      <w:r w:rsidRPr="00B4155A">
        <w:rPr>
          <w:rFonts w:ascii="Arial" w:eastAsia="Times New Roman" w:hAnsi="Arial" w:cs="Arial"/>
          <w:color w:val="231F20"/>
          <w:sz w:val="22"/>
          <w:szCs w:val="22"/>
        </w:rPr>
        <w:t>Preços.</w:t>
      </w:r>
    </w:p>
    <w:p w14:paraId="4D13D5BC"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0CFB5BC0" w14:textId="77777777" w:rsidR="00B4155A" w:rsidRPr="00B4155A" w:rsidRDefault="00B4155A" w:rsidP="000857FD">
      <w:pPr>
        <w:widowControl w:val="0"/>
        <w:autoSpaceDE w:val="0"/>
        <w:autoSpaceDN w:val="0"/>
        <w:spacing w:before="0" w:after="0" w:line="240" w:lineRule="auto"/>
        <w:ind w:left="567" w:firstLine="0"/>
        <w:rPr>
          <w:rFonts w:ascii="Arial" w:eastAsia="Times New Roman" w:hAnsi="Arial" w:cs="Arial"/>
          <w:b/>
          <w:sz w:val="22"/>
          <w:szCs w:val="22"/>
        </w:rPr>
      </w:pPr>
      <w:r w:rsidRPr="00B4155A">
        <w:rPr>
          <w:rFonts w:ascii="Arial" w:eastAsia="Times New Roman" w:hAnsi="Arial" w:cs="Arial"/>
          <w:b/>
          <w:color w:val="231F20"/>
          <w:sz w:val="22"/>
          <w:szCs w:val="22"/>
        </w:rPr>
        <w:t>Ganho ou perda na posição monetária líquida</w:t>
      </w:r>
    </w:p>
    <w:p w14:paraId="21FB8F0C"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4AAB7EF9"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ganho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ou</w:t>
      </w:r>
      <w:r w:rsidRPr="00B4155A">
        <w:rPr>
          <w:rFonts w:ascii="Arial" w:eastAsia="Times New Roman" w:hAnsi="Arial" w:cs="Arial"/>
          <w:color w:val="231F20"/>
          <w:spacing w:val="-3"/>
          <w:sz w:val="22"/>
          <w:szCs w:val="22"/>
        </w:rPr>
        <w:t xml:space="preserve"> a </w:t>
      </w:r>
      <w:r w:rsidRPr="00B4155A">
        <w:rPr>
          <w:rFonts w:ascii="Arial" w:eastAsia="Times New Roman" w:hAnsi="Arial" w:cs="Arial"/>
          <w:color w:val="231F20"/>
          <w:sz w:val="22"/>
          <w:szCs w:val="22"/>
        </w:rPr>
        <w:t>perda</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posição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monetária</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líquida</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deve ser</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contabilizado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acordo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com</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27</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28.</w:t>
      </w:r>
    </w:p>
    <w:p w14:paraId="3032F877"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2E72B730" w14:textId="77777777" w:rsidR="00B4155A" w:rsidRPr="00B4155A" w:rsidRDefault="00B4155A" w:rsidP="000857FD">
      <w:pPr>
        <w:widowControl w:val="0"/>
        <w:autoSpaceDE w:val="0"/>
        <w:autoSpaceDN w:val="0"/>
        <w:spacing w:before="0" w:after="0" w:line="240" w:lineRule="auto"/>
        <w:ind w:left="567" w:firstLine="0"/>
        <w:outlineLvl w:val="4"/>
        <w:rPr>
          <w:rFonts w:ascii="Arial" w:eastAsia="Arial" w:hAnsi="Arial" w:cs="Arial"/>
          <w:b/>
          <w:bCs/>
          <w:color w:val="231F20"/>
          <w:sz w:val="22"/>
          <w:szCs w:val="22"/>
        </w:rPr>
      </w:pPr>
      <w:bookmarkStart w:id="5" w:name="_bookmark679"/>
      <w:bookmarkEnd w:id="5"/>
      <w:r w:rsidRPr="00B4155A">
        <w:rPr>
          <w:rFonts w:ascii="Arial" w:eastAsia="Arial" w:hAnsi="Arial" w:cs="Arial"/>
          <w:b/>
          <w:bCs/>
          <w:color w:val="231F20"/>
          <w:sz w:val="22"/>
          <w:szCs w:val="22"/>
        </w:rPr>
        <w:t>Tributos sobre o lucro</w:t>
      </w:r>
    </w:p>
    <w:p w14:paraId="01EA6AA2" w14:textId="77777777" w:rsidR="00B4155A" w:rsidRPr="00B4155A" w:rsidRDefault="00B4155A" w:rsidP="000857FD">
      <w:pPr>
        <w:widowControl w:val="0"/>
        <w:autoSpaceDE w:val="0"/>
        <w:autoSpaceDN w:val="0"/>
        <w:spacing w:before="0" w:after="0" w:line="240" w:lineRule="auto"/>
        <w:ind w:left="967" w:firstLine="0"/>
        <w:outlineLvl w:val="4"/>
        <w:rPr>
          <w:rFonts w:ascii="Arial" w:eastAsia="Arial" w:hAnsi="Arial" w:cs="Arial"/>
          <w:b/>
          <w:bCs/>
          <w:sz w:val="22"/>
          <w:szCs w:val="22"/>
        </w:rPr>
      </w:pPr>
    </w:p>
    <w:p w14:paraId="19097330"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A</w:t>
      </w:r>
      <w:r w:rsidRPr="00B4155A">
        <w:rPr>
          <w:rFonts w:ascii="Arial" w:eastAsia="Times New Roman" w:hAnsi="Arial" w:cs="Arial"/>
          <w:color w:val="231F20"/>
          <w:spacing w:val="-15"/>
          <w:sz w:val="22"/>
          <w:szCs w:val="22"/>
        </w:rPr>
        <w:t xml:space="preserve"> </w:t>
      </w:r>
      <w:r w:rsidRPr="00B4155A">
        <w:rPr>
          <w:rFonts w:ascii="Arial" w:eastAsia="Times New Roman" w:hAnsi="Arial" w:cs="Arial"/>
          <w:color w:val="231F20"/>
          <w:sz w:val="22"/>
          <w:szCs w:val="22"/>
        </w:rPr>
        <w:t>atualização</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monetária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das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demonstrações</w:t>
      </w:r>
      <w:r w:rsidRPr="00B4155A">
        <w:rPr>
          <w:rFonts w:ascii="Arial" w:eastAsia="Times New Roman" w:hAnsi="Arial" w:cs="Arial"/>
          <w:color w:val="231F20"/>
          <w:spacing w:val="-5"/>
          <w:sz w:val="22"/>
          <w:szCs w:val="22"/>
        </w:rPr>
        <w:t xml:space="preserve"> contábeis, </w:t>
      </w:r>
      <w:r w:rsidRPr="00B4155A">
        <w:rPr>
          <w:rFonts w:ascii="Arial" w:eastAsia="Times New Roman" w:hAnsi="Arial" w:cs="Arial"/>
          <w:color w:val="231F20"/>
          <w:sz w:val="22"/>
          <w:szCs w:val="22"/>
        </w:rPr>
        <w:t>de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acordo</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com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este Pronunciamento,</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pode</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dar</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origem</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 diferenças</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entre</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valor</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contábil</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ativos</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passivos</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individuais</w:t>
      </w:r>
      <w:r w:rsidRPr="00B4155A">
        <w:rPr>
          <w:rFonts w:ascii="Arial" w:eastAsia="Times New Roman" w:hAnsi="Arial" w:cs="Arial"/>
          <w:color w:val="231F20"/>
          <w:spacing w:val="-18"/>
          <w:sz w:val="22"/>
          <w:szCs w:val="22"/>
        </w:rPr>
        <w:t xml:space="preserve"> </w:t>
      </w:r>
      <w:r w:rsidRPr="00B4155A">
        <w:rPr>
          <w:rFonts w:ascii="Arial" w:eastAsia="Times New Roman" w:hAnsi="Arial" w:cs="Arial"/>
          <w:color w:val="231F20"/>
          <w:sz w:val="22"/>
          <w:szCs w:val="22"/>
        </w:rPr>
        <w:t>no balanço patrimonial e suas bases fiscais. Essas diferenças devem ser contabilizadas de acordo com o CPC 32 – Tributos sobre o Lucro.</w:t>
      </w:r>
    </w:p>
    <w:p w14:paraId="1A94C3F8"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582ECF2B" w14:textId="77777777" w:rsidR="00B4155A" w:rsidRPr="00B4155A" w:rsidRDefault="00B4155A" w:rsidP="000857FD">
      <w:pPr>
        <w:widowControl w:val="0"/>
        <w:autoSpaceDE w:val="0"/>
        <w:autoSpaceDN w:val="0"/>
        <w:spacing w:before="0" w:after="0" w:line="240" w:lineRule="auto"/>
        <w:ind w:left="567" w:firstLine="0"/>
        <w:outlineLvl w:val="4"/>
        <w:rPr>
          <w:rFonts w:ascii="Arial" w:eastAsia="Arial" w:hAnsi="Arial" w:cs="Arial"/>
          <w:b/>
          <w:bCs/>
          <w:color w:val="231F20"/>
          <w:sz w:val="22"/>
          <w:szCs w:val="22"/>
        </w:rPr>
      </w:pPr>
      <w:bookmarkStart w:id="6" w:name="_bookmark680"/>
      <w:bookmarkEnd w:id="6"/>
      <w:r w:rsidRPr="00B4155A">
        <w:rPr>
          <w:rFonts w:ascii="Arial" w:eastAsia="Arial" w:hAnsi="Arial" w:cs="Arial"/>
          <w:b/>
          <w:bCs/>
          <w:color w:val="231F20"/>
          <w:sz w:val="22"/>
          <w:szCs w:val="22"/>
        </w:rPr>
        <w:t>Demonstrações dos fluxos de caixa e do valor adicionado</w:t>
      </w:r>
    </w:p>
    <w:p w14:paraId="16CE88CE" w14:textId="77777777" w:rsidR="00B4155A" w:rsidRPr="00B4155A" w:rsidRDefault="00B4155A" w:rsidP="000857FD">
      <w:pPr>
        <w:widowControl w:val="0"/>
        <w:autoSpaceDE w:val="0"/>
        <w:autoSpaceDN w:val="0"/>
        <w:spacing w:before="0" w:after="0" w:line="240" w:lineRule="auto"/>
        <w:ind w:left="967" w:firstLine="0"/>
        <w:outlineLvl w:val="4"/>
        <w:rPr>
          <w:rFonts w:ascii="Arial" w:eastAsia="Arial" w:hAnsi="Arial" w:cs="Arial"/>
          <w:b/>
          <w:bCs/>
          <w:sz w:val="22"/>
          <w:szCs w:val="22"/>
        </w:rPr>
      </w:pPr>
    </w:p>
    <w:p w14:paraId="0C62F4B2"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Este Pronunciamento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exige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todos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itens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na</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demonstração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dos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fluxos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caixa</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sejam</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expressos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termos da unidade de mensuração corrente no final do período de</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relatório. O mesmo com todos os itens na demonstração do valor adicionado, quando divulgada.</w:t>
      </w:r>
    </w:p>
    <w:p w14:paraId="4B520A6F"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25671FE3" w14:textId="77777777" w:rsidR="00B4155A" w:rsidRPr="00B4155A" w:rsidRDefault="00B4155A" w:rsidP="000857FD">
      <w:pPr>
        <w:widowControl w:val="0"/>
        <w:autoSpaceDE w:val="0"/>
        <w:autoSpaceDN w:val="0"/>
        <w:spacing w:before="0" w:after="0" w:line="240" w:lineRule="auto"/>
        <w:ind w:left="567" w:firstLine="0"/>
        <w:outlineLvl w:val="4"/>
        <w:rPr>
          <w:rFonts w:ascii="Arial" w:eastAsia="Arial" w:hAnsi="Arial" w:cs="Arial"/>
          <w:b/>
          <w:bCs/>
          <w:color w:val="231F20"/>
          <w:sz w:val="22"/>
          <w:szCs w:val="22"/>
        </w:rPr>
      </w:pPr>
      <w:r w:rsidRPr="00B4155A">
        <w:rPr>
          <w:rFonts w:ascii="Arial" w:eastAsia="Arial" w:hAnsi="Arial" w:cs="Arial"/>
          <w:b/>
          <w:bCs/>
          <w:color w:val="231F20"/>
          <w:sz w:val="22"/>
          <w:szCs w:val="22"/>
        </w:rPr>
        <w:t xml:space="preserve">Valores </w:t>
      </w:r>
      <w:bookmarkStart w:id="7" w:name="_bookmark681"/>
      <w:bookmarkEnd w:id="7"/>
      <w:r w:rsidRPr="00B4155A">
        <w:rPr>
          <w:rFonts w:ascii="Arial" w:eastAsia="Arial" w:hAnsi="Arial" w:cs="Arial"/>
          <w:b/>
          <w:bCs/>
          <w:color w:val="231F20"/>
          <w:sz w:val="22"/>
          <w:szCs w:val="22"/>
        </w:rPr>
        <w:t>correspondentes</w:t>
      </w:r>
    </w:p>
    <w:p w14:paraId="003F1FF6" w14:textId="77777777" w:rsidR="00B4155A" w:rsidRPr="00B4155A" w:rsidRDefault="00B4155A" w:rsidP="000857FD">
      <w:pPr>
        <w:widowControl w:val="0"/>
        <w:autoSpaceDE w:val="0"/>
        <w:autoSpaceDN w:val="0"/>
        <w:spacing w:before="0" w:after="0" w:line="240" w:lineRule="auto"/>
        <w:ind w:left="960" w:firstLine="0"/>
        <w:outlineLvl w:val="4"/>
        <w:rPr>
          <w:rFonts w:ascii="Arial" w:eastAsia="Arial" w:hAnsi="Arial" w:cs="Arial"/>
          <w:b/>
          <w:bCs/>
          <w:sz w:val="22"/>
          <w:szCs w:val="22"/>
        </w:rPr>
      </w:pPr>
    </w:p>
    <w:p w14:paraId="10B9C157"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Os números correspondentes do período de relatório anterior, independente de estarem baseados na abordagem de custo histórico ou na abordagem de custo corrente, devem ser atualizados monetariamente, aplicando-se o Índice Geral de Preços, de modo que as demonstrações contábeis comparativas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sejam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apresentadas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termos</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unidade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mensuração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corrente</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no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final</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período</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de relatório.</w:t>
      </w:r>
      <w:r w:rsidRPr="00B4155A">
        <w:rPr>
          <w:rFonts w:ascii="Arial" w:eastAsia="Times New Roman" w:hAnsi="Arial" w:cs="Arial"/>
          <w:color w:val="231F20"/>
          <w:spacing w:val="-14"/>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informações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são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divulgadas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relação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períodos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anteriores</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também</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expressas em termos da unidade de mensuração corrente no final do período de relatório. Para fins de apresentação de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valores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comparativos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moeda</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apresentação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diferente,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os</w:t>
      </w:r>
      <w:r w:rsidRPr="00B4155A">
        <w:rPr>
          <w:rFonts w:ascii="Arial" w:eastAsia="Times New Roman" w:hAnsi="Arial" w:cs="Arial"/>
          <w:color w:val="231F20"/>
          <w:spacing w:val="-7"/>
          <w:sz w:val="22"/>
          <w:szCs w:val="22"/>
        </w:rPr>
        <w:t xml:space="preserve"> itens </w:t>
      </w:r>
      <w:r w:rsidRPr="00B4155A">
        <w:rPr>
          <w:rFonts w:ascii="Arial" w:eastAsia="Times New Roman" w:hAnsi="Arial" w:cs="Arial"/>
          <w:color w:val="231F20"/>
          <w:sz w:val="22"/>
          <w:szCs w:val="22"/>
        </w:rPr>
        <w:t>42(b)</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43</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do CPC 02 são</w:t>
      </w:r>
      <w:r w:rsidRPr="00B4155A">
        <w:rPr>
          <w:rFonts w:ascii="Arial" w:eastAsia="Times New Roman" w:hAnsi="Arial" w:cs="Arial"/>
          <w:color w:val="231F20"/>
          <w:spacing w:val="-3"/>
          <w:sz w:val="22"/>
          <w:szCs w:val="22"/>
        </w:rPr>
        <w:t xml:space="preserve"> </w:t>
      </w:r>
      <w:r w:rsidRPr="00B4155A">
        <w:rPr>
          <w:rFonts w:ascii="Arial" w:eastAsia="Times New Roman" w:hAnsi="Arial" w:cs="Arial"/>
          <w:color w:val="231F20"/>
          <w:sz w:val="22"/>
          <w:szCs w:val="22"/>
        </w:rPr>
        <w:t>aplicáveis.</w:t>
      </w:r>
    </w:p>
    <w:p w14:paraId="2B084C14" w14:textId="77777777" w:rsidR="00BD5102" w:rsidRDefault="00BD5102" w:rsidP="000857FD">
      <w:pPr>
        <w:widowControl w:val="0"/>
        <w:autoSpaceDE w:val="0"/>
        <w:autoSpaceDN w:val="0"/>
        <w:spacing w:before="0" w:after="0" w:line="240" w:lineRule="auto"/>
        <w:ind w:left="567" w:firstLine="0"/>
        <w:outlineLvl w:val="4"/>
        <w:rPr>
          <w:rFonts w:ascii="Arial" w:eastAsia="Arial" w:hAnsi="Arial" w:cs="Arial"/>
          <w:b/>
          <w:bCs/>
          <w:color w:val="231F20"/>
          <w:sz w:val="22"/>
          <w:szCs w:val="22"/>
        </w:rPr>
      </w:pPr>
      <w:bookmarkStart w:id="8" w:name="_bookmark682"/>
      <w:bookmarkEnd w:id="8"/>
    </w:p>
    <w:p w14:paraId="095A3CD8" w14:textId="662EC354" w:rsidR="00B4155A" w:rsidRPr="00B4155A" w:rsidRDefault="00B4155A" w:rsidP="000857FD">
      <w:pPr>
        <w:widowControl w:val="0"/>
        <w:autoSpaceDE w:val="0"/>
        <w:autoSpaceDN w:val="0"/>
        <w:spacing w:before="0" w:after="0" w:line="240" w:lineRule="auto"/>
        <w:ind w:left="567" w:firstLine="0"/>
        <w:outlineLvl w:val="4"/>
        <w:rPr>
          <w:rFonts w:ascii="Arial" w:eastAsia="Arial" w:hAnsi="Arial" w:cs="Arial"/>
          <w:b/>
          <w:bCs/>
          <w:color w:val="231F20"/>
          <w:sz w:val="22"/>
          <w:szCs w:val="22"/>
        </w:rPr>
      </w:pPr>
      <w:r w:rsidRPr="00B4155A">
        <w:rPr>
          <w:rFonts w:ascii="Arial" w:eastAsia="Arial" w:hAnsi="Arial" w:cs="Arial"/>
          <w:b/>
          <w:bCs/>
          <w:color w:val="231F20"/>
          <w:sz w:val="22"/>
          <w:szCs w:val="22"/>
        </w:rPr>
        <w:lastRenderedPageBreak/>
        <w:t>Demonstrações contábeis consolidadas</w:t>
      </w:r>
    </w:p>
    <w:p w14:paraId="6754E666"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A controladora que reporta na moeda de uma economia hiperinflacionária pode ter controladas que</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também</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reportem</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nas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moedas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economias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hiperinflacionárias.</w:t>
      </w:r>
      <w:r w:rsidRPr="00B4155A">
        <w:rPr>
          <w:rFonts w:ascii="Arial" w:eastAsia="Times New Roman" w:hAnsi="Arial" w:cs="Arial"/>
          <w:color w:val="231F20"/>
          <w:spacing w:val="-21"/>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demonstrações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contábeis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de quaisquer</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dessas</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controladas</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precisam</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ser</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atualizadas</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pela</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aplicação</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Índice</w:t>
      </w:r>
      <w:r w:rsidRPr="00B4155A">
        <w:rPr>
          <w:rFonts w:ascii="Arial" w:eastAsia="Times New Roman" w:hAnsi="Arial" w:cs="Arial"/>
          <w:color w:val="231F20"/>
          <w:spacing w:val="-23"/>
          <w:sz w:val="22"/>
          <w:szCs w:val="22"/>
        </w:rPr>
        <w:t xml:space="preserve"> </w:t>
      </w:r>
      <w:r w:rsidRPr="00B4155A">
        <w:rPr>
          <w:rFonts w:ascii="Arial" w:eastAsia="Times New Roman" w:hAnsi="Arial" w:cs="Arial"/>
          <w:color w:val="231F20"/>
          <w:sz w:val="22"/>
          <w:szCs w:val="22"/>
        </w:rPr>
        <w:t>Geral de</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Preços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do</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país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em</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cuja</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moeda</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ela</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reporta,</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antes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serem</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incluídas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nas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demonstrações</w:t>
      </w:r>
      <w:r w:rsidRPr="00B4155A">
        <w:rPr>
          <w:rFonts w:ascii="Arial" w:eastAsia="Times New Roman" w:hAnsi="Arial" w:cs="Arial"/>
          <w:color w:val="231F20"/>
          <w:spacing w:val="-4"/>
          <w:sz w:val="22"/>
          <w:szCs w:val="22"/>
        </w:rPr>
        <w:t xml:space="preserve"> </w:t>
      </w:r>
      <w:r w:rsidRPr="00B4155A">
        <w:rPr>
          <w:rFonts w:ascii="Arial" w:eastAsia="Times New Roman" w:hAnsi="Arial" w:cs="Arial"/>
          <w:color w:val="231F20"/>
          <w:sz w:val="22"/>
          <w:szCs w:val="22"/>
        </w:rPr>
        <w:t>contábeis consolidadas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emitidas</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por</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sua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controladora.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Quando</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controlada</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for</w:t>
      </w:r>
      <w:r w:rsidRPr="00B4155A">
        <w:rPr>
          <w:rFonts w:ascii="Arial" w:eastAsia="Times New Roman" w:hAnsi="Arial" w:cs="Arial"/>
          <w:color w:val="231F20"/>
          <w:spacing w:val="-5"/>
          <w:sz w:val="22"/>
          <w:szCs w:val="22"/>
        </w:rPr>
        <w:t xml:space="preserve"> </w:t>
      </w:r>
      <w:r w:rsidRPr="00B4155A">
        <w:rPr>
          <w:rFonts w:ascii="Arial" w:eastAsia="Times New Roman" w:hAnsi="Arial" w:cs="Arial"/>
          <w:color w:val="231F20"/>
          <w:sz w:val="22"/>
          <w:szCs w:val="22"/>
        </w:rPr>
        <w:t>estrangeira, suas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demonstrações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contábeis atualizadas</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monetariamente</w:t>
      </w:r>
      <w:r w:rsidRPr="00B4155A">
        <w:rPr>
          <w:rFonts w:ascii="Arial" w:eastAsia="Times New Roman" w:hAnsi="Arial" w:cs="Arial"/>
          <w:color w:val="231F20"/>
          <w:spacing w:val="-8"/>
          <w:sz w:val="22"/>
          <w:szCs w:val="22"/>
        </w:rPr>
        <w:t xml:space="preserve"> </w:t>
      </w:r>
      <w:r w:rsidRPr="00B4155A">
        <w:rPr>
          <w:rFonts w:ascii="Arial" w:eastAsia="Times New Roman" w:hAnsi="Arial" w:cs="Arial"/>
          <w:color w:val="231F20"/>
          <w:sz w:val="22"/>
          <w:szCs w:val="22"/>
        </w:rPr>
        <w:t>devem ser</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convertidas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pelas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taxas</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câmbio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de fechamento.</w:t>
      </w:r>
      <w:r w:rsidRPr="00B4155A">
        <w:rPr>
          <w:rFonts w:ascii="Arial" w:eastAsia="Times New Roman" w:hAnsi="Arial" w:cs="Arial"/>
          <w:color w:val="231F20"/>
          <w:spacing w:val="-25"/>
          <w:sz w:val="22"/>
          <w:szCs w:val="22"/>
        </w:rPr>
        <w:t xml:space="preserve"> </w:t>
      </w:r>
      <w:r w:rsidRPr="00B4155A">
        <w:rPr>
          <w:rFonts w:ascii="Arial" w:eastAsia="Times New Roman" w:hAnsi="Arial" w:cs="Arial"/>
          <w:color w:val="231F20"/>
          <w:sz w:val="22"/>
          <w:szCs w:val="22"/>
        </w:rPr>
        <w:t>As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demonstrações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contábeis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controladas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que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não</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reportam</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nas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moedas</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7"/>
          <w:sz w:val="22"/>
          <w:szCs w:val="22"/>
        </w:rPr>
        <w:t xml:space="preserve"> </w:t>
      </w:r>
      <w:r w:rsidRPr="00B4155A">
        <w:rPr>
          <w:rFonts w:ascii="Arial" w:eastAsia="Times New Roman" w:hAnsi="Arial" w:cs="Arial"/>
          <w:color w:val="231F20"/>
          <w:sz w:val="22"/>
          <w:szCs w:val="22"/>
        </w:rPr>
        <w:t>economias hiperinflacionárias devem ser tratadas de acordo com o CPC 02.</w:t>
      </w:r>
    </w:p>
    <w:p w14:paraId="3F17D370"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1017373F"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Se</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demonstrações</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contábeis com</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finais</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diferentes</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dos</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períodos</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relatório</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forem</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consolidadas,</w:t>
      </w:r>
      <w:r w:rsidRPr="00B4155A">
        <w:rPr>
          <w:rFonts w:ascii="Arial" w:eastAsia="Times New Roman" w:hAnsi="Arial" w:cs="Arial"/>
          <w:color w:val="231F20"/>
          <w:spacing w:val="-19"/>
          <w:sz w:val="22"/>
          <w:szCs w:val="22"/>
        </w:rPr>
        <w:t xml:space="preserve"> </w:t>
      </w:r>
      <w:r w:rsidRPr="00B4155A">
        <w:rPr>
          <w:rFonts w:ascii="Arial" w:eastAsia="Times New Roman" w:hAnsi="Arial" w:cs="Arial"/>
          <w:color w:val="231F20"/>
          <w:sz w:val="22"/>
          <w:szCs w:val="22"/>
        </w:rPr>
        <w:t>todos os itens, sejam não monetários ou monetários, devem ser atualizados monetariamente na unidade de mensuração corrente na data das demonstrações contábeis</w:t>
      </w:r>
      <w:r w:rsidRPr="00B4155A">
        <w:rPr>
          <w:rFonts w:ascii="Arial" w:eastAsia="Times New Roman" w:hAnsi="Arial" w:cs="Arial"/>
          <w:color w:val="231F20"/>
          <w:spacing w:val="-10"/>
          <w:sz w:val="22"/>
          <w:szCs w:val="22"/>
        </w:rPr>
        <w:t xml:space="preserve"> </w:t>
      </w:r>
      <w:r w:rsidRPr="00B4155A">
        <w:rPr>
          <w:rFonts w:ascii="Arial" w:eastAsia="Times New Roman" w:hAnsi="Arial" w:cs="Arial"/>
          <w:color w:val="231F20"/>
          <w:sz w:val="22"/>
          <w:szCs w:val="22"/>
        </w:rPr>
        <w:t>consolidadas.</w:t>
      </w:r>
    </w:p>
    <w:p w14:paraId="65AF3145"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0D02058D" w14:textId="77777777" w:rsidR="00B4155A" w:rsidRPr="00B4155A" w:rsidRDefault="00B4155A" w:rsidP="000857FD">
      <w:pPr>
        <w:widowControl w:val="0"/>
        <w:autoSpaceDE w:val="0"/>
        <w:autoSpaceDN w:val="0"/>
        <w:spacing w:before="0" w:after="0" w:line="240" w:lineRule="auto"/>
        <w:ind w:left="567" w:firstLine="0"/>
        <w:outlineLvl w:val="4"/>
        <w:rPr>
          <w:rFonts w:ascii="Arial" w:eastAsia="Arial" w:hAnsi="Arial" w:cs="Arial"/>
          <w:b/>
          <w:bCs/>
          <w:color w:val="231F20"/>
          <w:sz w:val="22"/>
          <w:szCs w:val="22"/>
        </w:rPr>
      </w:pPr>
      <w:r w:rsidRPr="00B4155A">
        <w:rPr>
          <w:rFonts w:ascii="Arial" w:eastAsia="Arial" w:hAnsi="Arial" w:cs="Arial"/>
          <w:b/>
          <w:bCs/>
          <w:color w:val="231F20"/>
          <w:sz w:val="22"/>
          <w:szCs w:val="22"/>
        </w:rPr>
        <w:t xml:space="preserve">Seleção </w:t>
      </w:r>
      <w:bookmarkStart w:id="9" w:name="_bookmark683"/>
      <w:bookmarkEnd w:id="9"/>
      <w:r w:rsidRPr="00B4155A">
        <w:rPr>
          <w:rFonts w:ascii="Arial" w:eastAsia="Arial" w:hAnsi="Arial" w:cs="Arial"/>
          <w:b/>
          <w:bCs/>
          <w:color w:val="231F20"/>
          <w:sz w:val="22"/>
          <w:szCs w:val="22"/>
        </w:rPr>
        <w:t>e uso do Índice Geral de Preços</w:t>
      </w:r>
    </w:p>
    <w:p w14:paraId="219BB1C4" w14:textId="77777777" w:rsidR="00B4155A" w:rsidRPr="00B4155A" w:rsidRDefault="00B4155A" w:rsidP="000857FD">
      <w:pPr>
        <w:widowControl w:val="0"/>
        <w:autoSpaceDE w:val="0"/>
        <w:autoSpaceDN w:val="0"/>
        <w:spacing w:before="0" w:after="0" w:line="240" w:lineRule="auto"/>
        <w:ind w:left="960" w:firstLine="0"/>
        <w:outlineLvl w:val="4"/>
        <w:rPr>
          <w:rFonts w:ascii="Arial" w:eastAsia="Arial" w:hAnsi="Arial" w:cs="Arial"/>
          <w:b/>
          <w:bCs/>
          <w:sz w:val="22"/>
          <w:szCs w:val="22"/>
        </w:rPr>
      </w:pPr>
    </w:p>
    <w:p w14:paraId="6CFF60E0"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A</w:t>
      </w:r>
      <w:r w:rsidRPr="00B4155A">
        <w:rPr>
          <w:rFonts w:ascii="Arial" w:eastAsia="Times New Roman" w:hAnsi="Arial" w:cs="Arial"/>
          <w:color w:val="231F20"/>
          <w:spacing w:val="-16"/>
          <w:sz w:val="22"/>
          <w:szCs w:val="22"/>
        </w:rPr>
        <w:t xml:space="preserve"> </w:t>
      </w:r>
      <w:r w:rsidRPr="00B4155A">
        <w:rPr>
          <w:rFonts w:ascii="Arial" w:eastAsia="Times New Roman" w:hAnsi="Arial" w:cs="Arial"/>
          <w:color w:val="231F20"/>
          <w:sz w:val="22"/>
          <w:szCs w:val="22"/>
        </w:rPr>
        <w:t>atualização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monetária</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das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demonstrações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contábeis,</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acordo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com</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este Pronunciamento,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exige</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uso</w:t>
      </w:r>
      <w:r w:rsidRPr="00B4155A">
        <w:rPr>
          <w:rFonts w:ascii="Arial" w:eastAsia="Times New Roman" w:hAnsi="Arial" w:cs="Arial"/>
          <w:color w:val="231F20"/>
          <w:spacing w:val="-6"/>
          <w:sz w:val="22"/>
          <w:szCs w:val="22"/>
        </w:rPr>
        <w:t xml:space="preserve"> </w:t>
      </w:r>
      <w:r w:rsidRPr="00B4155A">
        <w:rPr>
          <w:rFonts w:ascii="Arial" w:eastAsia="Times New Roman" w:hAnsi="Arial" w:cs="Arial"/>
          <w:color w:val="231F20"/>
          <w:sz w:val="22"/>
          <w:szCs w:val="22"/>
        </w:rPr>
        <w:t>de</w:t>
      </w:r>
      <w:r w:rsidRPr="00B4155A">
        <w:rPr>
          <w:rFonts w:ascii="Arial" w:eastAsia="Times New Roman" w:hAnsi="Arial" w:cs="Arial"/>
          <w:color w:val="231F20"/>
          <w:spacing w:val="-6"/>
          <w:sz w:val="22"/>
          <w:szCs w:val="22"/>
        </w:rPr>
        <w:t xml:space="preserve"> um </w:t>
      </w:r>
      <w:r w:rsidRPr="00B4155A">
        <w:rPr>
          <w:rFonts w:ascii="Arial" w:eastAsia="Times New Roman" w:hAnsi="Arial" w:cs="Arial"/>
          <w:color w:val="231F20"/>
          <w:sz w:val="22"/>
          <w:szCs w:val="22"/>
        </w:rPr>
        <w:t>Índice Geral de Preços que reflita as mudanças no poder aquisitivo geral. É preferível que todas as entidades que reportam na moeda da mesma economia utilizem o mesmo</w:t>
      </w:r>
      <w:r w:rsidRPr="00B4155A">
        <w:rPr>
          <w:rFonts w:ascii="Arial" w:eastAsia="Times New Roman" w:hAnsi="Arial" w:cs="Arial"/>
          <w:color w:val="231F20"/>
          <w:spacing w:val="-7"/>
          <w:sz w:val="22"/>
          <w:szCs w:val="22"/>
        </w:rPr>
        <w:t xml:space="preserve"> </w:t>
      </w:r>
      <w:r w:rsidRPr="00B4155A">
        <w:rPr>
          <w:rFonts w:ascii="Arial" w:eastAsia="Times New Roman" w:hAnsi="Arial" w:cs="Arial"/>
          <w:color w:val="231F20"/>
          <w:sz w:val="22"/>
          <w:szCs w:val="22"/>
        </w:rPr>
        <w:t>índice.</w:t>
      </w:r>
    </w:p>
    <w:p w14:paraId="1C3465D1"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2132C0E5" w14:textId="77777777" w:rsidR="00B4155A" w:rsidRPr="00B4155A" w:rsidRDefault="00B4155A" w:rsidP="000857FD">
      <w:pPr>
        <w:widowControl w:val="0"/>
        <w:autoSpaceDE w:val="0"/>
        <w:autoSpaceDN w:val="0"/>
        <w:spacing w:before="0" w:after="0" w:line="240" w:lineRule="auto"/>
        <w:ind w:firstLine="0"/>
        <w:outlineLvl w:val="4"/>
        <w:rPr>
          <w:rFonts w:ascii="Arial" w:eastAsia="Arial" w:hAnsi="Arial" w:cs="Arial"/>
          <w:b/>
          <w:bCs/>
          <w:color w:val="231F20"/>
          <w:sz w:val="22"/>
          <w:szCs w:val="22"/>
        </w:rPr>
      </w:pPr>
      <w:bookmarkStart w:id="10" w:name="_bookmark684"/>
      <w:bookmarkEnd w:id="10"/>
      <w:r w:rsidRPr="00B4155A">
        <w:rPr>
          <w:rFonts w:ascii="Arial" w:eastAsia="Arial" w:hAnsi="Arial" w:cs="Arial"/>
          <w:b/>
          <w:bCs/>
          <w:color w:val="231F20"/>
          <w:sz w:val="22"/>
          <w:szCs w:val="22"/>
        </w:rPr>
        <w:t>Economia que deixa de ser hiperinflacionária</w:t>
      </w:r>
    </w:p>
    <w:p w14:paraId="331ECCFC" w14:textId="77777777" w:rsidR="00B4155A" w:rsidRPr="00B4155A" w:rsidRDefault="00B4155A" w:rsidP="000857FD">
      <w:pPr>
        <w:widowControl w:val="0"/>
        <w:autoSpaceDE w:val="0"/>
        <w:autoSpaceDN w:val="0"/>
        <w:spacing w:before="0" w:after="0" w:line="240" w:lineRule="auto"/>
        <w:ind w:left="110" w:firstLine="0"/>
        <w:outlineLvl w:val="4"/>
        <w:rPr>
          <w:rFonts w:ascii="Arial" w:eastAsia="Arial" w:hAnsi="Arial" w:cs="Arial"/>
          <w:b/>
          <w:bCs/>
          <w:sz w:val="22"/>
          <w:szCs w:val="22"/>
        </w:rPr>
      </w:pPr>
    </w:p>
    <w:p w14:paraId="3FAAB770"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b/>
          <w:color w:val="231F20"/>
          <w:sz w:val="22"/>
          <w:szCs w:val="22"/>
        </w:rPr>
      </w:pPr>
      <w:r w:rsidRPr="00B4155A">
        <w:rPr>
          <w:rFonts w:ascii="Arial" w:eastAsia="Times New Roman" w:hAnsi="Arial" w:cs="Arial"/>
          <w:b/>
          <w:color w:val="231F20"/>
          <w:sz w:val="22"/>
          <w:szCs w:val="22"/>
        </w:rPr>
        <w:t>Quando</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uma</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economia</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deixa</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ser</w:t>
      </w:r>
      <w:r w:rsidRPr="00B4155A">
        <w:rPr>
          <w:rFonts w:ascii="Arial" w:eastAsia="Times New Roman" w:hAnsi="Arial" w:cs="Arial"/>
          <w:b/>
          <w:color w:val="231F20"/>
          <w:spacing w:val="-23"/>
          <w:sz w:val="22"/>
          <w:szCs w:val="22"/>
        </w:rPr>
        <w:t xml:space="preserve"> </w:t>
      </w:r>
      <w:r w:rsidRPr="00B4155A">
        <w:rPr>
          <w:rFonts w:ascii="Arial" w:eastAsia="Times New Roman" w:hAnsi="Arial" w:cs="Arial"/>
          <w:b/>
          <w:color w:val="231F20"/>
          <w:sz w:val="22"/>
          <w:szCs w:val="22"/>
        </w:rPr>
        <w:t>hiperinflacionária e a entidade descontinua</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a</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elaboração</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z w:val="22"/>
          <w:szCs w:val="22"/>
        </w:rPr>
        <w:t>e</w:t>
      </w:r>
      <w:r w:rsidRPr="00B4155A">
        <w:rPr>
          <w:rFonts w:ascii="Arial" w:eastAsia="Times New Roman" w:hAnsi="Arial" w:cs="Arial"/>
          <w:b/>
          <w:color w:val="231F20"/>
          <w:spacing w:val="-20"/>
          <w:sz w:val="22"/>
          <w:szCs w:val="22"/>
        </w:rPr>
        <w:t xml:space="preserve"> </w:t>
      </w:r>
      <w:r w:rsidRPr="00B4155A">
        <w:rPr>
          <w:rFonts w:ascii="Arial" w:eastAsia="Times New Roman" w:hAnsi="Arial" w:cs="Arial"/>
          <w:b/>
          <w:color w:val="231F20"/>
          <w:spacing w:val="1"/>
          <w:sz w:val="22"/>
          <w:szCs w:val="22"/>
        </w:rPr>
        <w:t>apresentação</w:t>
      </w:r>
      <w:r w:rsidRPr="00B4155A">
        <w:rPr>
          <w:rFonts w:ascii="Arial" w:eastAsia="Times New Roman" w:hAnsi="Arial" w:cs="Arial"/>
          <w:b/>
          <w:color w:val="231F20"/>
          <w:spacing w:val="-3"/>
          <w:sz w:val="22"/>
          <w:szCs w:val="22"/>
        </w:rPr>
        <w:t xml:space="preserve"> </w:t>
      </w:r>
      <w:r w:rsidRPr="00B4155A">
        <w:rPr>
          <w:rFonts w:ascii="Arial" w:eastAsia="Times New Roman" w:hAnsi="Arial" w:cs="Arial"/>
          <w:b/>
          <w:color w:val="231F20"/>
          <w:sz w:val="22"/>
          <w:szCs w:val="22"/>
        </w:rPr>
        <w:t>de demonstrações contábeis de acordo com este Pronunciamento, ela deve tratar os valores expressos na unidade</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mensuração</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corrente</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no</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final</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do</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período</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relatório</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anterior</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como</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base</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para</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os</w:t>
      </w:r>
      <w:r w:rsidRPr="00B4155A">
        <w:rPr>
          <w:rFonts w:ascii="Arial" w:eastAsia="Times New Roman" w:hAnsi="Arial" w:cs="Arial"/>
          <w:b/>
          <w:color w:val="231F20"/>
          <w:spacing w:val="-7"/>
          <w:sz w:val="22"/>
          <w:szCs w:val="22"/>
        </w:rPr>
        <w:t xml:space="preserve"> </w:t>
      </w:r>
      <w:r w:rsidRPr="00B4155A">
        <w:rPr>
          <w:rFonts w:ascii="Arial" w:eastAsia="Times New Roman" w:hAnsi="Arial" w:cs="Arial"/>
          <w:b/>
          <w:color w:val="231F20"/>
          <w:sz w:val="22"/>
          <w:szCs w:val="22"/>
        </w:rPr>
        <w:t>valores contábeis</w:t>
      </w:r>
      <w:r w:rsidRPr="00B4155A">
        <w:rPr>
          <w:rFonts w:ascii="Arial" w:eastAsia="Times New Roman" w:hAnsi="Arial" w:cs="Arial"/>
          <w:b/>
          <w:color w:val="231F20"/>
          <w:spacing w:val="-8"/>
          <w:sz w:val="22"/>
          <w:szCs w:val="22"/>
        </w:rPr>
        <w:t xml:space="preserve"> </w:t>
      </w:r>
      <w:r w:rsidRPr="00B4155A">
        <w:rPr>
          <w:rFonts w:ascii="Arial" w:eastAsia="Times New Roman" w:hAnsi="Arial" w:cs="Arial"/>
          <w:b/>
          <w:color w:val="231F20"/>
          <w:sz w:val="22"/>
          <w:szCs w:val="22"/>
        </w:rPr>
        <w:t>em</w:t>
      </w:r>
      <w:r w:rsidRPr="00B4155A">
        <w:rPr>
          <w:rFonts w:ascii="Arial" w:eastAsia="Times New Roman" w:hAnsi="Arial" w:cs="Arial"/>
          <w:b/>
          <w:color w:val="231F20"/>
          <w:spacing w:val="-8"/>
          <w:sz w:val="22"/>
          <w:szCs w:val="22"/>
        </w:rPr>
        <w:t xml:space="preserve"> </w:t>
      </w:r>
      <w:r w:rsidRPr="00B4155A">
        <w:rPr>
          <w:rFonts w:ascii="Arial" w:eastAsia="Times New Roman" w:hAnsi="Arial" w:cs="Arial"/>
          <w:b/>
          <w:color w:val="231F20"/>
          <w:sz w:val="22"/>
          <w:szCs w:val="22"/>
        </w:rPr>
        <w:t>suas</w:t>
      </w:r>
      <w:r w:rsidRPr="00B4155A">
        <w:rPr>
          <w:rFonts w:ascii="Arial" w:eastAsia="Times New Roman" w:hAnsi="Arial" w:cs="Arial"/>
          <w:b/>
          <w:color w:val="231F20"/>
          <w:spacing w:val="-9"/>
          <w:sz w:val="22"/>
          <w:szCs w:val="22"/>
        </w:rPr>
        <w:t xml:space="preserve"> </w:t>
      </w:r>
      <w:r w:rsidRPr="00B4155A">
        <w:rPr>
          <w:rFonts w:ascii="Arial" w:eastAsia="Times New Roman" w:hAnsi="Arial" w:cs="Arial"/>
          <w:b/>
          <w:color w:val="231F20"/>
          <w:sz w:val="22"/>
          <w:szCs w:val="22"/>
        </w:rPr>
        <w:t>demonstrações</w:t>
      </w:r>
      <w:r w:rsidRPr="00B4155A">
        <w:rPr>
          <w:rFonts w:ascii="Arial" w:eastAsia="Times New Roman" w:hAnsi="Arial" w:cs="Arial"/>
          <w:b/>
          <w:color w:val="231F20"/>
          <w:spacing w:val="-9"/>
          <w:sz w:val="22"/>
          <w:szCs w:val="22"/>
        </w:rPr>
        <w:t xml:space="preserve"> </w:t>
      </w:r>
      <w:r w:rsidRPr="00B4155A">
        <w:rPr>
          <w:rFonts w:ascii="Arial" w:eastAsia="Times New Roman" w:hAnsi="Arial" w:cs="Arial"/>
          <w:b/>
          <w:color w:val="231F20"/>
          <w:sz w:val="22"/>
          <w:szCs w:val="22"/>
        </w:rPr>
        <w:t>contábeis subsequentes.</w:t>
      </w:r>
    </w:p>
    <w:p w14:paraId="134C2001"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6A747172"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color w:val="231F20"/>
          <w:sz w:val="22"/>
          <w:szCs w:val="22"/>
        </w:rPr>
      </w:pPr>
      <w:bookmarkStart w:id="11" w:name="_bookmark685"/>
      <w:bookmarkEnd w:id="11"/>
      <w:r w:rsidRPr="00B4155A">
        <w:rPr>
          <w:rFonts w:ascii="Arial" w:eastAsia="Times New Roman" w:hAnsi="Arial" w:cs="Arial"/>
          <w:b/>
          <w:color w:val="231F20"/>
          <w:sz w:val="22"/>
          <w:szCs w:val="22"/>
        </w:rPr>
        <w:t>Divulgação</w:t>
      </w:r>
    </w:p>
    <w:p w14:paraId="10310D44" w14:textId="77777777" w:rsidR="00B4155A" w:rsidRPr="00B4155A" w:rsidRDefault="00B4155A" w:rsidP="000857FD">
      <w:pPr>
        <w:widowControl w:val="0"/>
        <w:autoSpaceDE w:val="0"/>
        <w:autoSpaceDN w:val="0"/>
        <w:spacing w:before="0" w:after="0" w:line="240" w:lineRule="auto"/>
        <w:ind w:left="110" w:firstLine="0"/>
        <w:rPr>
          <w:rFonts w:ascii="Arial" w:eastAsia="Times New Roman" w:hAnsi="Arial" w:cs="Arial"/>
          <w:b/>
          <w:sz w:val="22"/>
          <w:szCs w:val="22"/>
        </w:rPr>
      </w:pPr>
    </w:p>
    <w:p w14:paraId="44D69DEE"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b/>
          <w:color w:val="231F20"/>
          <w:sz w:val="22"/>
          <w:szCs w:val="22"/>
        </w:rPr>
      </w:pPr>
      <w:r w:rsidRPr="00B4155A">
        <w:rPr>
          <w:rFonts w:ascii="Arial" w:eastAsia="Times New Roman" w:hAnsi="Arial" w:cs="Arial"/>
          <w:b/>
          <w:color w:val="231F20"/>
          <w:sz w:val="22"/>
          <w:szCs w:val="22"/>
        </w:rPr>
        <w:t>Devem ser feitas as seguintes</w:t>
      </w:r>
      <w:r w:rsidRPr="00B4155A">
        <w:rPr>
          <w:rFonts w:ascii="Arial" w:eastAsia="Times New Roman" w:hAnsi="Arial" w:cs="Arial"/>
          <w:b/>
          <w:color w:val="231F20"/>
          <w:spacing w:val="-31"/>
          <w:sz w:val="22"/>
          <w:szCs w:val="22"/>
        </w:rPr>
        <w:t xml:space="preserve"> </w:t>
      </w:r>
      <w:r w:rsidRPr="00B4155A">
        <w:rPr>
          <w:rFonts w:ascii="Arial" w:eastAsia="Times New Roman" w:hAnsi="Arial" w:cs="Arial"/>
          <w:b/>
          <w:color w:val="231F20"/>
          <w:sz w:val="22"/>
          <w:szCs w:val="22"/>
        </w:rPr>
        <w:t>divulgações:</w:t>
      </w:r>
    </w:p>
    <w:p w14:paraId="78757E16" w14:textId="77777777" w:rsidR="00B4155A" w:rsidRPr="00B4155A" w:rsidRDefault="00B4155A" w:rsidP="000857FD">
      <w:pPr>
        <w:widowControl w:val="0"/>
        <w:numPr>
          <w:ilvl w:val="1"/>
          <w:numId w:val="13"/>
        </w:numPr>
        <w:autoSpaceDE w:val="0"/>
        <w:autoSpaceDN w:val="0"/>
        <w:spacing w:before="0" w:after="0" w:line="240" w:lineRule="auto"/>
        <w:ind w:left="993" w:hanging="426"/>
        <w:rPr>
          <w:rFonts w:ascii="Arial" w:eastAsia="Times New Roman" w:hAnsi="Arial" w:cs="Arial"/>
          <w:b/>
          <w:sz w:val="22"/>
          <w:szCs w:val="22"/>
        </w:rPr>
      </w:pPr>
      <w:r w:rsidRPr="00B4155A">
        <w:rPr>
          <w:rFonts w:ascii="Arial" w:eastAsia="Times New Roman" w:hAnsi="Arial" w:cs="Arial"/>
          <w:b/>
          <w:color w:val="231F20"/>
          <w:sz w:val="22"/>
          <w:szCs w:val="22"/>
        </w:rPr>
        <w:t>o</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fato</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que</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as</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demonstrações</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pacing w:val="-9"/>
          <w:sz w:val="22"/>
          <w:szCs w:val="22"/>
        </w:rPr>
        <w:t>co</w:t>
      </w:r>
      <w:r w:rsidRPr="00B4155A">
        <w:rPr>
          <w:rFonts w:ascii="Arial" w:eastAsia="Times New Roman" w:hAnsi="Arial" w:cs="Arial"/>
          <w:b/>
          <w:color w:val="231F20"/>
          <w:sz w:val="22"/>
          <w:szCs w:val="22"/>
        </w:rPr>
        <w:t>ntábeis</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e</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os</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valores</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correspondentes</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para</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os</w:t>
      </w:r>
      <w:r w:rsidRPr="00B4155A">
        <w:rPr>
          <w:rFonts w:ascii="Arial" w:eastAsia="Times New Roman" w:hAnsi="Arial" w:cs="Arial"/>
          <w:b/>
          <w:color w:val="231F20"/>
          <w:spacing w:val="-16"/>
          <w:sz w:val="22"/>
          <w:szCs w:val="22"/>
        </w:rPr>
        <w:t xml:space="preserve"> </w:t>
      </w:r>
      <w:r w:rsidRPr="00B4155A">
        <w:rPr>
          <w:rFonts w:ascii="Arial" w:eastAsia="Times New Roman" w:hAnsi="Arial" w:cs="Arial"/>
          <w:b/>
          <w:color w:val="231F20"/>
          <w:sz w:val="22"/>
          <w:szCs w:val="22"/>
        </w:rPr>
        <w:t>períodos anteriores foram atualizados monetariamente para refletir as mudanças no poder aquisitivo</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geral</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da</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moeda</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funcional</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e,</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como</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resultado,</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estão</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apresentados</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em</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termos</w:t>
      </w:r>
      <w:r w:rsidRPr="00B4155A">
        <w:rPr>
          <w:rFonts w:ascii="Arial" w:eastAsia="Times New Roman" w:hAnsi="Arial" w:cs="Arial"/>
          <w:b/>
          <w:color w:val="231F20"/>
          <w:spacing w:val="-11"/>
          <w:sz w:val="22"/>
          <w:szCs w:val="22"/>
        </w:rPr>
        <w:t xml:space="preserve"> </w:t>
      </w:r>
      <w:r w:rsidRPr="00B4155A">
        <w:rPr>
          <w:rFonts w:ascii="Arial" w:eastAsia="Times New Roman" w:hAnsi="Arial" w:cs="Arial"/>
          <w:b/>
          <w:color w:val="231F20"/>
          <w:sz w:val="22"/>
          <w:szCs w:val="22"/>
        </w:rPr>
        <w:t>da unidade</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mensuração</w:t>
      </w:r>
      <w:r w:rsidRPr="00B4155A">
        <w:rPr>
          <w:rFonts w:ascii="Arial" w:eastAsia="Times New Roman" w:hAnsi="Arial" w:cs="Arial"/>
          <w:b/>
          <w:color w:val="231F20"/>
          <w:spacing w:val="-4"/>
          <w:sz w:val="22"/>
          <w:szCs w:val="22"/>
        </w:rPr>
        <w:t xml:space="preserve"> </w:t>
      </w:r>
      <w:r w:rsidRPr="00B4155A">
        <w:rPr>
          <w:rFonts w:ascii="Arial" w:eastAsia="Times New Roman" w:hAnsi="Arial" w:cs="Arial"/>
          <w:b/>
          <w:color w:val="231F20"/>
          <w:sz w:val="22"/>
          <w:szCs w:val="22"/>
        </w:rPr>
        <w:t>corrente</w:t>
      </w:r>
      <w:r w:rsidRPr="00B4155A">
        <w:rPr>
          <w:rFonts w:ascii="Arial" w:eastAsia="Times New Roman" w:hAnsi="Arial" w:cs="Arial"/>
          <w:b/>
          <w:color w:val="231F20"/>
          <w:spacing w:val="-4"/>
          <w:sz w:val="22"/>
          <w:szCs w:val="22"/>
        </w:rPr>
        <w:t xml:space="preserve"> </w:t>
      </w:r>
      <w:r w:rsidRPr="00B4155A">
        <w:rPr>
          <w:rFonts w:ascii="Arial" w:eastAsia="Times New Roman" w:hAnsi="Arial" w:cs="Arial"/>
          <w:b/>
          <w:color w:val="231F20"/>
          <w:sz w:val="22"/>
          <w:szCs w:val="22"/>
        </w:rPr>
        <w:t>no</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final</w:t>
      </w:r>
      <w:r w:rsidRPr="00B4155A">
        <w:rPr>
          <w:rFonts w:ascii="Arial" w:eastAsia="Times New Roman" w:hAnsi="Arial" w:cs="Arial"/>
          <w:b/>
          <w:color w:val="231F20"/>
          <w:spacing w:val="-4"/>
          <w:sz w:val="22"/>
          <w:szCs w:val="22"/>
        </w:rPr>
        <w:t xml:space="preserve"> </w:t>
      </w:r>
      <w:r w:rsidRPr="00B4155A">
        <w:rPr>
          <w:rFonts w:ascii="Arial" w:eastAsia="Times New Roman" w:hAnsi="Arial" w:cs="Arial"/>
          <w:b/>
          <w:color w:val="231F20"/>
          <w:sz w:val="22"/>
          <w:szCs w:val="22"/>
        </w:rPr>
        <w:t>do</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período</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relatório;</w:t>
      </w:r>
    </w:p>
    <w:p w14:paraId="4E730EE6" w14:textId="77777777" w:rsidR="00B4155A" w:rsidRPr="00B4155A" w:rsidRDefault="00B4155A" w:rsidP="000857FD">
      <w:pPr>
        <w:widowControl w:val="0"/>
        <w:numPr>
          <w:ilvl w:val="1"/>
          <w:numId w:val="13"/>
        </w:numPr>
        <w:autoSpaceDE w:val="0"/>
        <w:autoSpaceDN w:val="0"/>
        <w:spacing w:before="0" w:after="0" w:line="240" w:lineRule="auto"/>
        <w:ind w:left="993" w:hanging="426"/>
        <w:rPr>
          <w:rFonts w:ascii="Arial" w:eastAsia="Times New Roman" w:hAnsi="Arial" w:cs="Arial"/>
          <w:b/>
          <w:sz w:val="22"/>
          <w:szCs w:val="22"/>
        </w:rPr>
      </w:pPr>
      <w:r w:rsidRPr="00B4155A">
        <w:rPr>
          <w:rFonts w:ascii="Arial" w:eastAsia="Times New Roman" w:hAnsi="Arial" w:cs="Arial"/>
          <w:b/>
          <w:color w:val="231F20"/>
          <w:sz w:val="22"/>
          <w:szCs w:val="22"/>
        </w:rPr>
        <w:t>se as demonstrações contábeis são baseadas na abordagem de custo histórico ou na abordagem de custo corrente;</w:t>
      </w:r>
      <w:r w:rsidRPr="00B4155A">
        <w:rPr>
          <w:rFonts w:ascii="Arial" w:eastAsia="Times New Roman" w:hAnsi="Arial" w:cs="Arial"/>
          <w:b/>
          <w:color w:val="231F20"/>
          <w:spacing w:val="-9"/>
          <w:sz w:val="22"/>
          <w:szCs w:val="22"/>
        </w:rPr>
        <w:t xml:space="preserve"> </w:t>
      </w:r>
      <w:r w:rsidRPr="00B4155A">
        <w:rPr>
          <w:rFonts w:ascii="Arial" w:eastAsia="Times New Roman" w:hAnsi="Arial" w:cs="Arial"/>
          <w:b/>
          <w:color w:val="231F20"/>
          <w:sz w:val="22"/>
          <w:szCs w:val="22"/>
        </w:rPr>
        <w:t>e</w:t>
      </w:r>
    </w:p>
    <w:p w14:paraId="2F0F5F9A" w14:textId="77777777" w:rsidR="00B4155A" w:rsidRPr="00B4155A" w:rsidRDefault="00B4155A" w:rsidP="000857FD">
      <w:pPr>
        <w:widowControl w:val="0"/>
        <w:numPr>
          <w:ilvl w:val="1"/>
          <w:numId w:val="13"/>
        </w:numPr>
        <w:autoSpaceDE w:val="0"/>
        <w:autoSpaceDN w:val="0"/>
        <w:spacing w:before="0" w:after="0" w:line="240" w:lineRule="auto"/>
        <w:ind w:left="993" w:hanging="426"/>
        <w:rPr>
          <w:rFonts w:ascii="Arial" w:eastAsia="Times New Roman" w:hAnsi="Arial" w:cs="Arial"/>
          <w:b/>
          <w:sz w:val="22"/>
          <w:szCs w:val="22"/>
        </w:rPr>
      </w:pPr>
      <w:r w:rsidRPr="00B4155A">
        <w:rPr>
          <w:rFonts w:ascii="Arial" w:eastAsia="Times New Roman" w:hAnsi="Arial" w:cs="Arial"/>
          <w:b/>
          <w:color w:val="231F20"/>
          <w:sz w:val="22"/>
          <w:szCs w:val="22"/>
        </w:rPr>
        <w:t>a identidade e o nível do índice de preços utilizado no final do período de relatório e a variação no índice</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durante</w:t>
      </w:r>
      <w:r w:rsidRPr="00B4155A">
        <w:rPr>
          <w:rFonts w:ascii="Arial" w:eastAsia="Times New Roman" w:hAnsi="Arial" w:cs="Arial"/>
          <w:b/>
          <w:color w:val="231F20"/>
          <w:spacing w:val="-6"/>
          <w:sz w:val="22"/>
          <w:szCs w:val="22"/>
        </w:rPr>
        <w:t xml:space="preserve"> </w:t>
      </w:r>
      <w:r w:rsidRPr="00B4155A">
        <w:rPr>
          <w:rFonts w:ascii="Arial" w:eastAsia="Times New Roman" w:hAnsi="Arial" w:cs="Arial"/>
          <w:b/>
          <w:color w:val="231F20"/>
          <w:sz w:val="22"/>
          <w:szCs w:val="22"/>
        </w:rPr>
        <w:t>o</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período</w:t>
      </w:r>
      <w:r w:rsidRPr="00B4155A">
        <w:rPr>
          <w:rFonts w:ascii="Arial" w:eastAsia="Times New Roman" w:hAnsi="Arial" w:cs="Arial"/>
          <w:b/>
          <w:color w:val="231F20"/>
          <w:spacing w:val="-6"/>
          <w:sz w:val="22"/>
          <w:szCs w:val="22"/>
        </w:rPr>
        <w:t xml:space="preserve"> </w:t>
      </w:r>
      <w:r w:rsidRPr="00B4155A">
        <w:rPr>
          <w:rFonts w:ascii="Arial" w:eastAsia="Times New Roman" w:hAnsi="Arial" w:cs="Arial"/>
          <w:b/>
          <w:color w:val="231F20"/>
          <w:sz w:val="22"/>
          <w:szCs w:val="22"/>
        </w:rPr>
        <w:t>de</w:t>
      </w:r>
      <w:r w:rsidRPr="00B4155A">
        <w:rPr>
          <w:rFonts w:ascii="Arial" w:eastAsia="Times New Roman" w:hAnsi="Arial" w:cs="Arial"/>
          <w:b/>
          <w:color w:val="231F20"/>
          <w:spacing w:val="-6"/>
          <w:sz w:val="22"/>
          <w:szCs w:val="22"/>
        </w:rPr>
        <w:t xml:space="preserve"> </w:t>
      </w:r>
      <w:r w:rsidRPr="00B4155A">
        <w:rPr>
          <w:rFonts w:ascii="Arial" w:eastAsia="Times New Roman" w:hAnsi="Arial" w:cs="Arial"/>
          <w:b/>
          <w:color w:val="231F20"/>
          <w:sz w:val="22"/>
          <w:szCs w:val="22"/>
        </w:rPr>
        <w:t>relatório</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corrente</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e</w:t>
      </w:r>
      <w:r w:rsidRPr="00B4155A">
        <w:rPr>
          <w:rFonts w:ascii="Arial" w:eastAsia="Times New Roman" w:hAnsi="Arial" w:cs="Arial"/>
          <w:b/>
          <w:color w:val="231F20"/>
          <w:spacing w:val="-5"/>
          <w:sz w:val="22"/>
          <w:szCs w:val="22"/>
        </w:rPr>
        <w:t xml:space="preserve"> </w:t>
      </w:r>
      <w:r w:rsidRPr="00B4155A">
        <w:rPr>
          <w:rFonts w:ascii="Arial" w:eastAsia="Times New Roman" w:hAnsi="Arial" w:cs="Arial"/>
          <w:b/>
          <w:color w:val="231F20"/>
          <w:sz w:val="22"/>
          <w:szCs w:val="22"/>
        </w:rPr>
        <w:t>anterior.</w:t>
      </w:r>
    </w:p>
    <w:p w14:paraId="7BD36CCF"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b/>
          <w:sz w:val="22"/>
          <w:szCs w:val="22"/>
        </w:rPr>
      </w:pPr>
    </w:p>
    <w:p w14:paraId="7902478B" w14:textId="77777777" w:rsidR="00B4155A" w:rsidRPr="00B4155A" w:rsidRDefault="00B4155A" w:rsidP="000857FD">
      <w:pPr>
        <w:widowControl w:val="0"/>
        <w:numPr>
          <w:ilvl w:val="0"/>
          <w:numId w:val="21"/>
        </w:numPr>
        <w:autoSpaceDE w:val="0"/>
        <w:autoSpaceDN w:val="0"/>
        <w:spacing w:before="0" w:after="0" w:line="240" w:lineRule="auto"/>
        <w:ind w:left="567" w:hanging="567"/>
        <w:rPr>
          <w:rFonts w:ascii="Arial" w:eastAsia="Times New Roman" w:hAnsi="Arial" w:cs="Arial"/>
          <w:color w:val="231F20"/>
          <w:sz w:val="22"/>
          <w:szCs w:val="22"/>
        </w:rPr>
      </w:pPr>
      <w:r w:rsidRPr="00B4155A">
        <w:rPr>
          <w:rFonts w:ascii="Arial" w:eastAsia="Times New Roman" w:hAnsi="Arial" w:cs="Arial"/>
          <w:color w:val="231F20"/>
          <w:sz w:val="22"/>
          <w:szCs w:val="22"/>
        </w:rPr>
        <w:t xml:space="preserve">As divulgações exigidas por este Pronunciamento são necessárias para tornar clara a base em que os efeitos da inflação nas demonstrações contábeis foram tratados. </w:t>
      </w:r>
      <w:r w:rsidRPr="00B4155A">
        <w:rPr>
          <w:rFonts w:ascii="Arial" w:eastAsia="Times New Roman" w:hAnsi="Arial" w:cs="Arial"/>
          <w:color w:val="231F20"/>
          <w:spacing w:val="-3"/>
          <w:sz w:val="22"/>
          <w:szCs w:val="22"/>
        </w:rPr>
        <w:t xml:space="preserve">Também </w:t>
      </w:r>
      <w:r w:rsidRPr="00B4155A">
        <w:rPr>
          <w:rFonts w:ascii="Arial" w:eastAsia="Times New Roman" w:hAnsi="Arial" w:cs="Arial"/>
          <w:color w:val="231F20"/>
          <w:sz w:val="22"/>
          <w:szCs w:val="22"/>
        </w:rPr>
        <w:t>se destinam a fornecer outras informações necessárias para compreender essa base e os valores resultantes.</w:t>
      </w:r>
    </w:p>
    <w:p w14:paraId="677F938F" w14:textId="77777777" w:rsidR="00B4155A" w:rsidRPr="00B4155A" w:rsidRDefault="00B4155A" w:rsidP="000857FD">
      <w:pPr>
        <w:widowControl w:val="0"/>
        <w:autoSpaceDE w:val="0"/>
        <w:autoSpaceDN w:val="0"/>
        <w:spacing w:before="0" w:after="0" w:line="240" w:lineRule="auto"/>
        <w:ind w:firstLine="0"/>
        <w:rPr>
          <w:rFonts w:ascii="Arial" w:eastAsia="Times New Roman" w:hAnsi="Arial" w:cs="Arial"/>
          <w:sz w:val="22"/>
          <w:szCs w:val="22"/>
        </w:rPr>
      </w:pPr>
    </w:p>
    <w:p w14:paraId="2EF0F500" w14:textId="43EF73CA" w:rsidR="00B4155A" w:rsidRDefault="00B4155A" w:rsidP="009F2651">
      <w:pPr>
        <w:widowControl w:val="0"/>
        <w:autoSpaceDE w:val="0"/>
        <w:autoSpaceDN w:val="0"/>
        <w:spacing w:before="0" w:after="0" w:line="240" w:lineRule="auto"/>
        <w:ind w:firstLine="0"/>
        <w:outlineLvl w:val="4"/>
        <w:rPr>
          <w:rFonts w:ascii="Arial" w:eastAsia="Arial" w:hAnsi="Arial" w:cs="Arial"/>
          <w:b/>
          <w:bCs/>
          <w:color w:val="231F20"/>
          <w:sz w:val="22"/>
          <w:szCs w:val="22"/>
        </w:rPr>
      </w:pPr>
      <w:bookmarkStart w:id="12" w:name="_bookmark686"/>
      <w:bookmarkEnd w:id="12"/>
      <w:r w:rsidRPr="00B4155A">
        <w:rPr>
          <w:rFonts w:ascii="Arial" w:eastAsia="Arial" w:hAnsi="Arial" w:cs="Arial"/>
          <w:b/>
          <w:bCs/>
          <w:color w:val="231F20"/>
          <w:sz w:val="22"/>
          <w:szCs w:val="22"/>
        </w:rPr>
        <w:t>Vigência</w:t>
      </w:r>
    </w:p>
    <w:p w14:paraId="5439EAB7" w14:textId="77777777" w:rsidR="00686ADC" w:rsidRPr="00B4155A" w:rsidRDefault="00686ADC" w:rsidP="009F2651">
      <w:pPr>
        <w:widowControl w:val="0"/>
        <w:autoSpaceDE w:val="0"/>
        <w:autoSpaceDN w:val="0"/>
        <w:spacing w:before="0" w:after="0" w:line="240" w:lineRule="auto"/>
        <w:ind w:firstLine="0"/>
        <w:outlineLvl w:val="4"/>
        <w:rPr>
          <w:rFonts w:ascii="Arial" w:eastAsia="Arial" w:hAnsi="Arial" w:cs="Arial"/>
          <w:b/>
          <w:bCs/>
          <w:sz w:val="22"/>
          <w:szCs w:val="22"/>
        </w:rPr>
      </w:pPr>
    </w:p>
    <w:p w14:paraId="5AFED6D0" w14:textId="6E9BFFAB" w:rsidR="00037E4D" w:rsidRDefault="00B4155A" w:rsidP="009F2651">
      <w:pPr>
        <w:widowControl w:val="0"/>
        <w:numPr>
          <w:ilvl w:val="0"/>
          <w:numId w:val="21"/>
        </w:numPr>
        <w:autoSpaceDE w:val="0"/>
        <w:autoSpaceDN w:val="0"/>
        <w:spacing w:before="0" w:after="0" w:line="240" w:lineRule="auto"/>
        <w:ind w:left="567" w:hanging="567"/>
      </w:pPr>
      <w:r w:rsidRPr="00B4155A">
        <w:rPr>
          <w:rFonts w:ascii="Arial" w:eastAsia="Times New Roman" w:hAnsi="Arial" w:cs="Arial"/>
          <w:color w:val="231F20"/>
          <w:sz w:val="22"/>
          <w:szCs w:val="22"/>
        </w:rPr>
        <w:t>A vigência deste Pronunciamento será dada pelos reguladores que o aprovarem.</w:t>
      </w:r>
    </w:p>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403759"/>
      <w:docPartObj>
        <w:docPartGallery w:val="Page Numbers (Bottom of Page)"/>
        <w:docPartUnique/>
      </w:docPartObj>
    </w:sdtPr>
    <w:sdtEndPr/>
    <w:sdtContent>
      <w:p w14:paraId="19716311" w14:textId="5007442C" w:rsidR="00A95C40" w:rsidRDefault="00A95C40">
        <w:pPr>
          <w:pStyle w:val="Rodap"/>
        </w:pPr>
        <w:r w:rsidRPr="00A95C40">
          <w:rPr>
            <w:sz w:val="24"/>
            <w:szCs w:val="24"/>
          </w:rPr>
          <w:fldChar w:fldCharType="begin"/>
        </w:r>
        <w:r w:rsidRPr="00A95C40">
          <w:rPr>
            <w:sz w:val="24"/>
            <w:szCs w:val="24"/>
          </w:rPr>
          <w:instrText>PAGE   \* MERGEFORMAT</w:instrText>
        </w:r>
        <w:r w:rsidRPr="00A95C40">
          <w:rPr>
            <w:sz w:val="24"/>
            <w:szCs w:val="24"/>
          </w:rPr>
          <w:fldChar w:fldCharType="separate"/>
        </w:r>
        <w:r w:rsidR="00CB6256">
          <w:rPr>
            <w:sz w:val="24"/>
            <w:szCs w:val="24"/>
          </w:rPr>
          <w:t>7</w:t>
        </w:r>
        <w:r w:rsidRPr="00A95C40">
          <w:rPr>
            <w:sz w:val="24"/>
            <w:szCs w:val="24"/>
          </w:rPr>
          <w:fldChar w:fldCharType="end"/>
        </w:r>
      </w:p>
    </w:sdtContent>
  </w:sdt>
  <w:p w14:paraId="6767D46D" w14:textId="77777777" w:rsidR="00A95C40" w:rsidRDefault="00A95C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 w:id="1">
    <w:p w14:paraId="622ABB42" w14:textId="77777777" w:rsidR="00B4155A" w:rsidRPr="00247B7C" w:rsidRDefault="00B4155A" w:rsidP="000857FD">
      <w:pPr>
        <w:pStyle w:val="Textodenotaderodap"/>
        <w:ind w:firstLine="0"/>
        <w:jc w:val="left"/>
        <w:rPr>
          <w:rFonts w:ascii="Arial" w:hAnsi="Arial" w:cs="Arial"/>
          <w:sz w:val="18"/>
          <w:szCs w:val="18"/>
        </w:rPr>
      </w:pPr>
      <w:r w:rsidRPr="00247B7C">
        <w:rPr>
          <w:rStyle w:val="Refdenotaderodap"/>
          <w:rFonts w:ascii="Arial" w:hAnsi="Arial" w:cs="Arial"/>
          <w:sz w:val="18"/>
          <w:szCs w:val="18"/>
        </w:rPr>
        <w:footnoteRef/>
      </w:r>
      <w:r w:rsidRPr="00247B7C">
        <w:rPr>
          <w:rFonts w:ascii="Arial" w:hAnsi="Arial" w:cs="Arial"/>
          <w:sz w:val="18"/>
          <w:szCs w:val="18"/>
        </w:rPr>
        <w:t xml:space="preserve"> As normas internacionais de contabilidade admitem a reavaliação de ativos imobilizados e de determinados ativos intangíveis, mas a lei brasileira (Lei </w:t>
      </w:r>
      <w:r>
        <w:rPr>
          <w:rFonts w:ascii="Arial" w:hAnsi="Arial" w:cs="Arial"/>
          <w:sz w:val="18"/>
          <w:szCs w:val="18"/>
        </w:rPr>
        <w:t xml:space="preserve">n.º </w:t>
      </w:r>
      <w:r w:rsidRPr="00247B7C">
        <w:rPr>
          <w:rFonts w:ascii="Arial" w:hAnsi="Arial" w:cs="Arial"/>
          <w:sz w:val="18"/>
          <w:szCs w:val="18"/>
        </w:rPr>
        <w:t>11.638</w:t>
      </w:r>
      <w:r>
        <w:rPr>
          <w:rFonts w:ascii="Arial" w:hAnsi="Arial" w:cs="Arial"/>
          <w:sz w:val="18"/>
          <w:szCs w:val="18"/>
        </w:rPr>
        <w:t>/2007,</w:t>
      </w:r>
      <w:r w:rsidRPr="00247B7C">
        <w:rPr>
          <w:rFonts w:ascii="Arial" w:hAnsi="Arial" w:cs="Arial"/>
          <w:sz w:val="18"/>
          <w:szCs w:val="18"/>
        </w:rPr>
        <w:t xml:space="preserve"> que alterou a Lei </w:t>
      </w:r>
      <w:r>
        <w:rPr>
          <w:rFonts w:ascii="Arial" w:hAnsi="Arial" w:cs="Arial"/>
          <w:sz w:val="18"/>
          <w:szCs w:val="18"/>
        </w:rPr>
        <w:t xml:space="preserve">n.º </w:t>
      </w:r>
      <w:r w:rsidRPr="00247B7C">
        <w:rPr>
          <w:rFonts w:ascii="Arial" w:hAnsi="Arial" w:cs="Arial"/>
          <w:sz w:val="18"/>
          <w:szCs w:val="18"/>
        </w:rPr>
        <w:t>6</w:t>
      </w:r>
      <w:r>
        <w:rPr>
          <w:rFonts w:ascii="Arial" w:hAnsi="Arial" w:cs="Arial"/>
          <w:sz w:val="18"/>
          <w:szCs w:val="18"/>
        </w:rPr>
        <w:t>.</w:t>
      </w:r>
      <w:r w:rsidRPr="00247B7C">
        <w:rPr>
          <w:rFonts w:ascii="Arial" w:hAnsi="Arial" w:cs="Arial"/>
          <w:sz w:val="18"/>
          <w:szCs w:val="18"/>
        </w:rPr>
        <w:t>404/</w:t>
      </w:r>
      <w:r>
        <w:rPr>
          <w:rFonts w:ascii="Arial" w:hAnsi="Arial" w:cs="Arial"/>
          <w:sz w:val="18"/>
          <w:szCs w:val="18"/>
        </w:rPr>
        <w:t>19</w:t>
      </w:r>
      <w:r w:rsidRPr="00247B7C">
        <w:rPr>
          <w:rFonts w:ascii="Arial" w:hAnsi="Arial" w:cs="Arial"/>
          <w:sz w:val="18"/>
          <w:szCs w:val="18"/>
        </w:rPr>
        <w:t xml:space="preserve">76) impede esse procedimento atualmente. </w:t>
      </w:r>
    </w:p>
  </w:footnote>
  <w:footnote w:id="2">
    <w:p w14:paraId="1C5EC266" w14:textId="77777777" w:rsidR="00B4155A" w:rsidRPr="00430AA9" w:rsidRDefault="00B4155A" w:rsidP="000857FD">
      <w:pPr>
        <w:pStyle w:val="Rodap"/>
        <w:jc w:val="left"/>
        <w:rPr>
          <w:rFonts w:ascii="Arial" w:hAnsi="Arial" w:cs="Arial"/>
        </w:rPr>
      </w:pPr>
      <w:r w:rsidRPr="00430AA9">
        <w:rPr>
          <w:rStyle w:val="Refdenotaderodap"/>
          <w:rFonts w:ascii="Arial" w:hAnsi="Arial" w:cs="Arial"/>
        </w:rPr>
        <w:footnoteRef/>
      </w:r>
      <w:r w:rsidRPr="00430AA9">
        <w:rPr>
          <w:rFonts w:ascii="Arial" w:hAnsi="Arial" w:cs="Arial"/>
        </w:rPr>
        <w:t xml:space="preserve"> Comumente são utilizados índices gerais de preços ao consumidor.</w:t>
      </w:r>
    </w:p>
  </w:footnote>
  <w:footnote w:id="3">
    <w:p w14:paraId="7A547A59" w14:textId="77777777" w:rsidR="00B4155A" w:rsidRPr="00430AA9" w:rsidRDefault="00B4155A" w:rsidP="00B4155A">
      <w:pPr>
        <w:pStyle w:val="Textodenotaderodap"/>
        <w:rPr>
          <w:rFonts w:ascii="Arial" w:hAnsi="Arial" w:cs="Arial"/>
          <w:sz w:val="18"/>
          <w:szCs w:val="18"/>
        </w:rPr>
      </w:pPr>
      <w:r w:rsidRPr="00AE057A">
        <w:rPr>
          <w:rStyle w:val="Refdenotaderodap"/>
          <w:rFonts w:ascii="Arial" w:hAnsi="Arial" w:cs="Arial"/>
          <w:sz w:val="18"/>
          <w:szCs w:val="18"/>
        </w:rPr>
        <w:footnoteRef/>
      </w:r>
      <w:r w:rsidRPr="00430AA9">
        <w:rPr>
          <w:rFonts w:ascii="Arial" w:hAnsi="Arial" w:cs="Arial"/>
          <w:sz w:val="18"/>
          <w:szCs w:val="18"/>
        </w:rPr>
        <w:t xml:space="preserve"> Veja-se a nota de rodapé n</w:t>
      </w:r>
      <w:r>
        <w:rPr>
          <w:rFonts w:ascii="Arial" w:hAnsi="Arial" w:cs="Arial"/>
          <w:sz w:val="18"/>
          <w:szCs w:val="18"/>
        </w:rPr>
        <w:t>.º</w:t>
      </w:r>
      <w:r w:rsidRPr="00430AA9">
        <w:rPr>
          <w:rFonts w:ascii="Arial" w:hAnsi="Arial" w:cs="Arial"/>
          <w:sz w:val="18"/>
          <w:szCs w:val="18"/>
        </w:rPr>
        <w:t xml:space="preserve"> 1</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CB6256" w:rsidP="00E25581">
    <w:pPr>
      <w:pStyle w:val="Rodap"/>
      <w:spacing w:after="240"/>
    </w:pPr>
    <w:hyperlink r:id="rId2" w:history="1">
      <w:r w:rsidR="0088046F" w:rsidRPr="00ED1FB4">
        <w:rPr>
          <w:rStyle w:val="Hyperlink"/>
        </w:rPr>
        <w:t>www.cvm.gov.br</w:t>
      </w:r>
    </w:hyperlink>
  </w:p>
  <w:p w14:paraId="30857652" w14:textId="1E90BE3E" w:rsidR="0088046F" w:rsidRPr="009B69B0" w:rsidRDefault="00CB6256" w:rsidP="00E25581">
    <w:pPr>
      <w:pStyle w:val="Rodap"/>
      <w:spacing w:after="240"/>
      <w:jc w:val="both"/>
      <w:rPr>
        <w:caps/>
      </w:rPr>
    </w:pPr>
    <w:r w:rsidRPr="00CB6256">
      <w:rPr>
        <w:caps/>
      </w:rPr>
      <w:t>RESOLUÇÃO CVM Nº 13</w:t>
    </w:r>
    <w:r>
      <w:rPr>
        <w:caps/>
      </w:rPr>
      <w:t>9</w:t>
    </w:r>
    <w:r w:rsidRPr="00CB6256">
      <w:rPr>
        <w:caps/>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CB6256"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2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3"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4"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5"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6" w15:restartNumberingAfterBreak="0">
    <w:nsid w:val="1D8B2073"/>
    <w:multiLevelType w:val="hybridMultilevel"/>
    <w:tmpl w:val="61A67D80"/>
    <w:lvl w:ilvl="0" w:tplc="2F541948">
      <w:start w:val="1"/>
      <w:numFmt w:val="decimal"/>
      <w:lvlText w:val="%1."/>
      <w:lvlJc w:val="left"/>
      <w:pPr>
        <w:ind w:left="502" w:hanging="360"/>
      </w:pPr>
      <w:rPr>
        <w:rFonts w:hint="default"/>
        <w:b w:val="0"/>
        <w:color w:val="auto"/>
      </w:rPr>
    </w:lvl>
    <w:lvl w:ilvl="1" w:tplc="04160019" w:tentative="1">
      <w:start w:val="1"/>
      <w:numFmt w:val="lowerLetter"/>
      <w:lvlText w:val="%2."/>
      <w:lvlJc w:val="left"/>
      <w:pPr>
        <w:ind w:left="1189" w:hanging="360"/>
      </w:pPr>
    </w:lvl>
    <w:lvl w:ilvl="2" w:tplc="0416001B" w:tentative="1">
      <w:start w:val="1"/>
      <w:numFmt w:val="lowerRoman"/>
      <w:lvlText w:val="%3."/>
      <w:lvlJc w:val="right"/>
      <w:pPr>
        <w:ind w:left="1909" w:hanging="180"/>
      </w:pPr>
    </w:lvl>
    <w:lvl w:ilvl="3" w:tplc="0416000F" w:tentative="1">
      <w:start w:val="1"/>
      <w:numFmt w:val="decimal"/>
      <w:lvlText w:val="%4."/>
      <w:lvlJc w:val="left"/>
      <w:pPr>
        <w:ind w:left="2629" w:hanging="360"/>
      </w:pPr>
    </w:lvl>
    <w:lvl w:ilvl="4" w:tplc="04160019" w:tentative="1">
      <w:start w:val="1"/>
      <w:numFmt w:val="lowerLetter"/>
      <w:lvlText w:val="%5."/>
      <w:lvlJc w:val="left"/>
      <w:pPr>
        <w:ind w:left="3349" w:hanging="360"/>
      </w:pPr>
    </w:lvl>
    <w:lvl w:ilvl="5" w:tplc="0416001B" w:tentative="1">
      <w:start w:val="1"/>
      <w:numFmt w:val="lowerRoman"/>
      <w:lvlText w:val="%6."/>
      <w:lvlJc w:val="right"/>
      <w:pPr>
        <w:ind w:left="4069" w:hanging="180"/>
      </w:pPr>
    </w:lvl>
    <w:lvl w:ilvl="6" w:tplc="0416000F" w:tentative="1">
      <w:start w:val="1"/>
      <w:numFmt w:val="decimal"/>
      <w:lvlText w:val="%7."/>
      <w:lvlJc w:val="left"/>
      <w:pPr>
        <w:ind w:left="4789" w:hanging="360"/>
      </w:pPr>
    </w:lvl>
    <w:lvl w:ilvl="7" w:tplc="04160019" w:tentative="1">
      <w:start w:val="1"/>
      <w:numFmt w:val="lowerLetter"/>
      <w:lvlText w:val="%8."/>
      <w:lvlJc w:val="left"/>
      <w:pPr>
        <w:ind w:left="5509" w:hanging="360"/>
      </w:pPr>
    </w:lvl>
    <w:lvl w:ilvl="8" w:tplc="0416001B" w:tentative="1">
      <w:start w:val="1"/>
      <w:numFmt w:val="lowerRoman"/>
      <w:lvlText w:val="%9."/>
      <w:lvlJc w:val="right"/>
      <w:pPr>
        <w:ind w:left="6229" w:hanging="180"/>
      </w:pPr>
    </w:lvl>
  </w:abstractNum>
  <w:abstractNum w:abstractNumId="7" w15:restartNumberingAfterBreak="0">
    <w:nsid w:val="2E855E4A"/>
    <w:multiLevelType w:val="hybridMultilevel"/>
    <w:tmpl w:val="22FECAE4"/>
    <w:lvl w:ilvl="0" w:tplc="F28A4F14">
      <w:start w:val="1"/>
      <w:numFmt w:val="decimal"/>
      <w:lvlText w:val="%1."/>
      <w:lvlJc w:val="left"/>
      <w:pPr>
        <w:ind w:left="469" w:hanging="360"/>
      </w:pPr>
      <w:rPr>
        <w:rFonts w:hint="default"/>
        <w:color w:val="231F20"/>
      </w:rPr>
    </w:lvl>
    <w:lvl w:ilvl="1" w:tplc="04160019" w:tentative="1">
      <w:start w:val="1"/>
      <w:numFmt w:val="lowerLetter"/>
      <w:lvlText w:val="%2."/>
      <w:lvlJc w:val="left"/>
      <w:pPr>
        <w:ind w:left="1189" w:hanging="360"/>
      </w:pPr>
    </w:lvl>
    <w:lvl w:ilvl="2" w:tplc="0416001B" w:tentative="1">
      <w:start w:val="1"/>
      <w:numFmt w:val="lowerRoman"/>
      <w:lvlText w:val="%3."/>
      <w:lvlJc w:val="right"/>
      <w:pPr>
        <w:ind w:left="1909" w:hanging="180"/>
      </w:pPr>
    </w:lvl>
    <w:lvl w:ilvl="3" w:tplc="0416000F" w:tentative="1">
      <w:start w:val="1"/>
      <w:numFmt w:val="decimal"/>
      <w:lvlText w:val="%4."/>
      <w:lvlJc w:val="left"/>
      <w:pPr>
        <w:ind w:left="2629" w:hanging="360"/>
      </w:pPr>
    </w:lvl>
    <w:lvl w:ilvl="4" w:tplc="04160019" w:tentative="1">
      <w:start w:val="1"/>
      <w:numFmt w:val="lowerLetter"/>
      <w:lvlText w:val="%5."/>
      <w:lvlJc w:val="left"/>
      <w:pPr>
        <w:ind w:left="3349" w:hanging="360"/>
      </w:pPr>
    </w:lvl>
    <w:lvl w:ilvl="5" w:tplc="0416001B" w:tentative="1">
      <w:start w:val="1"/>
      <w:numFmt w:val="lowerRoman"/>
      <w:lvlText w:val="%6."/>
      <w:lvlJc w:val="right"/>
      <w:pPr>
        <w:ind w:left="4069" w:hanging="180"/>
      </w:pPr>
    </w:lvl>
    <w:lvl w:ilvl="6" w:tplc="0416000F" w:tentative="1">
      <w:start w:val="1"/>
      <w:numFmt w:val="decimal"/>
      <w:lvlText w:val="%7."/>
      <w:lvlJc w:val="left"/>
      <w:pPr>
        <w:ind w:left="4789" w:hanging="360"/>
      </w:pPr>
    </w:lvl>
    <w:lvl w:ilvl="7" w:tplc="04160019" w:tentative="1">
      <w:start w:val="1"/>
      <w:numFmt w:val="lowerLetter"/>
      <w:lvlText w:val="%8."/>
      <w:lvlJc w:val="left"/>
      <w:pPr>
        <w:ind w:left="5509" w:hanging="360"/>
      </w:pPr>
    </w:lvl>
    <w:lvl w:ilvl="8" w:tplc="0416001B" w:tentative="1">
      <w:start w:val="1"/>
      <w:numFmt w:val="lowerRoman"/>
      <w:lvlText w:val="%9."/>
      <w:lvlJc w:val="right"/>
      <w:pPr>
        <w:ind w:left="6229" w:hanging="180"/>
      </w:pPr>
    </w:lvl>
  </w:abstractNum>
  <w:abstractNum w:abstractNumId="8"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9" w15:restartNumberingAfterBreak="0">
    <w:nsid w:val="371275E8"/>
    <w:multiLevelType w:val="hybridMultilevel"/>
    <w:tmpl w:val="0E8EAED6"/>
    <w:lvl w:ilvl="0" w:tplc="DD04830C">
      <w:start w:val="1"/>
      <w:numFmt w:val="lowerLetter"/>
      <w:lvlText w:val="(%1)"/>
      <w:lvlJc w:val="left"/>
      <w:pPr>
        <w:ind w:left="1584" w:hanging="624"/>
      </w:pPr>
      <w:rPr>
        <w:rFonts w:ascii="Times New Roman" w:eastAsia="Times New Roman" w:hAnsi="Times New Roman" w:cs="Times New Roman" w:hint="default"/>
        <w:color w:val="231F20"/>
        <w:spacing w:val="-15"/>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865B41"/>
    <w:multiLevelType w:val="hybridMultilevel"/>
    <w:tmpl w:val="BAD2BE32"/>
    <w:lvl w:ilvl="0" w:tplc="243A1A96">
      <w:start w:val="1"/>
      <w:numFmt w:val="decimal"/>
      <w:lvlText w:val="%1"/>
      <w:lvlJc w:val="left"/>
      <w:pPr>
        <w:ind w:left="960" w:hanging="851"/>
      </w:pPr>
      <w:rPr>
        <w:rFonts w:hint="default"/>
        <w:b/>
        <w:bCs/>
        <w:spacing w:val="-23"/>
        <w:w w:val="100"/>
      </w:rPr>
    </w:lvl>
    <w:lvl w:ilvl="1" w:tplc="0284BABC">
      <w:start w:val="1"/>
      <w:numFmt w:val="lowerLetter"/>
      <w:lvlText w:val="(%2)"/>
      <w:lvlJc w:val="left"/>
      <w:pPr>
        <w:ind w:left="1584" w:hanging="624"/>
      </w:pPr>
      <w:rPr>
        <w:rFonts w:ascii="Arial" w:eastAsia="Times New Roman" w:hAnsi="Arial" w:cs="Arial" w:hint="default"/>
        <w:color w:val="231F20"/>
        <w:spacing w:val="-15"/>
        <w:w w:val="100"/>
        <w:sz w:val="22"/>
        <w:szCs w:val="22"/>
      </w:rPr>
    </w:lvl>
    <w:lvl w:ilvl="2" w:tplc="46C69A50">
      <w:numFmt w:val="bullet"/>
      <w:lvlText w:val="•"/>
      <w:lvlJc w:val="left"/>
      <w:pPr>
        <w:ind w:left="2374" w:hanging="624"/>
      </w:pPr>
      <w:rPr>
        <w:rFonts w:hint="default"/>
      </w:rPr>
    </w:lvl>
    <w:lvl w:ilvl="3" w:tplc="68DA0F12">
      <w:numFmt w:val="bullet"/>
      <w:lvlText w:val="•"/>
      <w:lvlJc w:val="left"/>
      <w:pPr>
        <w:ind w:left="3169" w:hanging="624"/>
      </w:pPr>
      <w:rPr>
        <w:rFonts w:hint="default"/>
      </w:rPr>
    </w:lvl>
    <w:lvl w:ilvl="4" w:tplc="A298355A">
      <w:numFmt w:val="bullet"/>
      <w:lvlText w:val="•"/>
      <w:lvlJc w:val="left"/>
      <w:pPr>
        <w:ind w:left="3963" w:hanging="624"/>
      </w:pPr>
      <w:rPr>
        <w:rFonts w:hint="default"/>
      </w:rPr>
    </w:lvl>
    <w:lvl w:ilvl="5" w:tplc="1130B114">
      <w:numFmt w:val="bullet"/>
      <w:lvlText w:val="•"/>
      <w:lvlJc w:val="left"/>
      <w:pPr>
        <w:ind w:left="4758" w:hanging="624"/>
      </w:pPr>
      <w:rPr>
        <w:rFonts w:hint="default"/>
      </w:rPr>
    </w:lvl>
    <w:lvl w:ilvl="6" w:tplc="C784A8AA">
      <w:numFmt w:val="bullet"/>
      <w:lvlText w:val="•"/>
      <w:lvlJc w:val="left"/>
      <w:pPr>
        <w:ind w:left="5553" w:hanging="624"/>
      </w:pPr>
      <w:rPr>
        <w:rFonts w:hint="default"/>
      </w:rPr>
    </w:lvl>
    <w:lvl w:ilvl="7" w:tplc="2EF6D908">
      <w:numFmt w:val="bullet"/>
      <w:lvlText w:val="•"/>
      <w:lvlJc w:val="left"/>
      <w:pPr>
        <w:ind w:left="6347" w:hanging="624"/>
      </w:pPr>
      <w:rPr>
        <w:rFonts w:hint="default"/>
      </w:rPr>
    </w:lvl>
    <w:lvl w:ilvl="8" w:tplc="918E8E78">
      <w:numFmt w:val="bullet"/>
      <w:lvlText w:val="•"/>
      <w:lvlJc w:val="left"/>
      <w:pPr>
        <w:ind w:left="7142" w:hanging="624"/>
      </w:pPr>
      <w:rPr>
        <w:rFonts w:hint="default"/>
      </w:rPr>
    </w:lvl>
  </w:abstractNum>
  <w:abstractNum w:abstractNumId="11"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13"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4"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5" w15:restartNumberingAfterBreak="0">
    <w:nsid w:val="5FAA461C"/>
    <w:multiLevelType w:val="hybridMultilevel"/>
    <w:tmpl w:val="75221A88"/>
    <w:lvl w:ilvl="0" w:tplc="E4D68BF2">
      <w:start w:val="1"/>
      <w:numFmt w:val="decimal"/>
      <w:lvlText w:val="%1"/>
      <w:lvlJc w:val="left"/>
      <w:pPr>
        <w:ind w:left="960" w:hanging="851"/>
      </w:pPr>
      <w:rPr>
        <w:rFonts w:ascii="Times New Roman" w:eastAsia="Times New Roman" w:hAnsi="Times New Roman" w:cs="Times New Roman" w:hint="default"/>
        <w:color w:val="231F20"/>
        <w:spacing w:val="-8"/>
        <w:w w:val="100"/>
        <w:sz w:val="24"/>
        <w:szCs w:val="24"/>
      </w:rPr>
    </w:lvl>
    <w:lvl w:ilvl="1" w:tplc="500C4902">
      <w:start w:val="1"/>
      <w:numFmt w:val="lowerLetter"/>
      <w:lvlText w:val="(%2)"/>
      <w:lvlJc w:val="left"/>
      <w:pPr>
        <w:ind w:left="1584" w:hanging="624"/>
      </w:pPr>
      <w:rPr>
        <w:rFonts w:ascii="Times New Roman" w:eastAsia="Times New Roman" w:hAnsi="Times New Roman" w:cs="Times New Roman" w:hint="default"/>
        <w:color w:val="231F20"/>
        <w:spacing w:val="-15"/>
        <w:w w:val="100"/>
        <w:sz w:val="24"/>
        <w:szCs w:val="24"/>
      </w:rPr>
    </w:lvl>
    <w:lvl w:ilvl="2" w:tplc="128030B0">
      <w:numFmt w:val="bullet"/>
      <w:lvlText w:val="•"/>
      <w:lvlJc w:val="left"/>
      <w:pPr>
        <w:ind w:left="2374" w:hanging="624"/>
      </w:pPr>
      <w:rPr>
        <w:rFonts w:hint="default"/>
      </w:rPr>
    </w:lvl>
    <w:lvl w:ilvl="3" w:tplc="24507FBC">
      <w:numFmt w:val="bullet"/>
      <w:lvlText w:val="•"/>
      <w:lvlJc w:val="left"/>
      <w:pPr>
        <w:ind w:left="3169" w:hanging="624"/>
      </w:pPr>
      <w:rPr>
        <w:rFonts w:hint="default"/>
      </w:rPr>
    </w:lvl>
    <w:lvl w:ilvl="4" w:tplc="BDA86584">
      <w:numFmt w:val="bullet"/>
      <w:lvlText w:val="•"/>
      <w:lvlJc w:val="left"/>
      <w:pPr>
        <w:ind w:left="3963" w:hanging="624"/>
      </w:pPr>
      <w:rPr>
        <w:rFonts w:hint="default"/>
      </w:rPr>
    </w:lvl>
    <w:lvl w:ilvl="5" w:tplc="0248C416">
      <w:numFmt w:val="bullet"/>
      <w:lvlText w:val="•"/>
      <w:lvlJc w:val="left"/>
      <w:pPr>
        <w:ind w:left="4758" w:hanging="624"/>
      </w:pPr>
      <w:rPr>
        <w:rFonts w:hint="default"/>
      </w:rPr>
    </w:lvl>
    <w:lvl w:ilvl="6" w:tplc="284A2112">
      <w:numFmt w:val="bullet"/>
      <w:lvlText w:val="•"/>
      <w:lvlJc w:val="left"/>
      <w:pPr>
        <w:ind w:left="5553" w:hanging="624"/>
      </w:pPr>
      <w:rPr>
        <w:rFonts w:hint="default"/>
      </w:rPr>
    </w:lvl>
    <w:lvl w:ilvl="7" w:tplc="2E54A018">
      <w:numFmt w:val="bullet"/>
      <w:lvlText w:val="•"/>
      <w:lvlJc w:val="left"/>
      <w:pPr>
        <w:ind w:left="6347" w:hanging="624"/>
      </w:pPr>
      <w:rPr>
        <w:rFonts w:hint="default"/>
      </w:rPr>
    </w:lvl>
    <w:lvl w:ilvl="8" w:tplc="51BAC28A">
      <w:numFmt w:val="bullet"/>
      <w:lvlText w:val="•"/>
      <w:lvlJc w:val="left"/>
      <w:pPr>
        <w:ind w:left="7142" w:hanging="624"/>
      </w:pPr>
      <w:rPr>
        <w:rFonts w:hint="default"/>
      </w:rPr>
    </w:lvl>
  </w:abstractNum>
  <w:abstractNum w:abstractNumId="16"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7" w15:restartNumberingAfterBreak="0">
    <w:nsid w:val="69AD6E9E"/>
    <w:multiLevelType w:val="hybridMultilevel"/>
    <w:tmpl w:val="524CA6D0"/>
    <w:lvl w:ilvl="0" w:tplc="88BC1F32">
      <w:start w:val="7"/>
      <w:numFmt w:val="decimal"/>
      <w:lvlText w:val="%1"/>
      <w:lvlJc w:val="left"/>
      <w:pPr>
        <w:ind w:left="967" w:hanging="851"/>
      </w:pPr>
      <w:rPr>
        <w:rFonts w:hint="default"/>
        <w:spacing w:val="-21"/>
        <w:w w:val="100"/>
      </w:rPr>
    </w:lvl>
    <w:lvl w:ilvl="1" w:tplc="FACC280C">
      <w:start w:val="1"/>
      <w:numFmt w:val="lowerLetter"/>
      <w:lvlText w:val="(%2)"/>
      <w:lvlJc w:val="left"/>
      <w:pPr>
        <w:ind w:left="1584" w:hanging="624"/>
      </w:pPr>
      <w:rPr>
        <w:rFonts w:ascii="Arial" w:eastAsia="Times New Roman" w:hAnsi="Arial" w:cs="Arial" w:hint="default"/>
        <w:b/>
        <w:bCs/>
        <w:color w:val="231F20"/>
        <w:spacing w:val="-11"/>
        <w:w w:val="100"/>
        <w:sz w:val="22"/>
        <w:szCs w:val="22"/>
      </w:rPr>
    </w:lvl>
    <w:lvl w:ilvl="2" w:tplc="4BDA5EAA">
      <w:numFmt w:val="bullet"/>
      <w:lvlText w:val="•"/>
      <w:lvlJc w:val="left"/>
      <w:pPr>
        <w:ind w:left="2312" w:hanging="624"/>
      </w:pPr>
      <w:rPr>
        <w:rFonts w:hint="default"/>
      </w:rPr>
    </w:lvl>
    <w:lvl w:ilvl="3" w:tplc="F2FA0718">
      <w:numFmt w:val="bullet"/>
      <w:lvlText w:val="•"/>
      <w:lvlJc w:val="left"/>
      <w:pPr>
        <w:ind w:left="3044" w:hanging="624"/>
      </w:pPr>
      <w:rPr>
        <w:rFonts w:hint="default"/>
      </w:rPr>
    </w:lvl>
    <w:lvl w:ilvl="4" w:tplc="84645B52">
      <w:numFmt w:val="bullet"/>
      <w:lvlText w:val="•"/>
      <w:lvlJc w:val="left"/>
      <w:pPr>
        <w:ind w:left="3777" w:hanging="624"/>
      </w:pPr>
      <w:rPr>
        <w:rFonts w:hint="default"/>
      </w:rPr>
    </w:lvl>
    <w:lvl w:ilvl="5" w:tplc="B34AC1BC">
      <w:numFmt w:val="bullet"/>
      <w:lvlText w:val="•"/>
      <w:lvlJc w:val="left"/>
      <w:pPr>
        <w:ind w:left="4509" w:hanging="624"/>
      </w:pPr>
      <w:rPr>
        <w:rFonts w:hint="default"/>
      </w:rPr>
    </w:lvl>
    <w:lvl w:ilvl="6" w:tplc="F110A764">
      <w:numFmt w:val="bullet"/>
      <w:lvlText w:val="•"/>
      <w:lvlJc w:val="left"/>
      <w:pPr>
        <w:ind w:left="5242" w:hanging="624"/>
      </w:pPr>
      <w:rPr>
        <w:rFonts w:hint="default"/>
      </w:rPr>
    </w:lvl>
    <w:lvl w:ilvl="7" w:tplc="17E03860">
      <w:numFmt w:val="bullet"/>
      <w:lvlText w:val="•"/>
      <w:lvlJc w:val="left"/>
      <w:pPr>
        <w:ind w:left="5974" w:hanging="624"/>
      </w:pPr>
      <w:rPr>
        <w:rFonts w:hint="default"/>
      </w:rPr>
    </w:lvl>
    <w:lvl w:ilvl="8" w:tplc="39CCADE8">
      <w:numFmt w:val="bullet"/>
      <w:lvlText w:val="•"/>
      <w:lvlJc w:val="left"/>
      <w:pPr>
        <w:ind w:left="6706" w:hanging="624"/>
      </w:pPr>
      <w:rPr>
        <w:rFonts w:hint="default"/>
      </w:rPr>
    </w:lvl>
  </w:abstractNum>
  <w:abstractNum w:abstractNumId="18"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19" w15:restartNumberingAfterBreak="0">
    <w:nsid w:val="78826094"/>
    <w:multiLevelType w:val="hybridMultilevel"/>
    <w:tmpl w:val="0F4C1FC8"/>
    <w:lvl w:ilvl="0" w:tplc="B9206E8E">
      <w:start w:val="9"/>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7EB12B54"/>
    <w:multiLevelType w:val="hybridMultilevel"/>
    <w:tmpl w:val="D4C8A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2"/>
  </w:num>
  <w:num w:numId="5">
    <w:abstractNumId w:val="18"/>
  </w:num>
  <w:num w:numId="6">
    <w:abstractNumId w:val="16"/>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4"/>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17"/>
  </w:num>
  <w:num w:numId="14">
    <w:abstractNumId w:val="15"/>
  </w:num>
  <w:num w:numId="15">
    <w:abstractNumId w:val="20"/>
  </w:num>
  <w:num w:numId="16">
    <w:abstractNumId w:val="10"/>
  </w:num>
  <w:num w:numId="17">
    <w:abstractNumId w:val="6"/>
  </w:num>
  <w:num w:numId="18">
    <w:abstractNumId w:val="7"/>
  </w:num>
  <w:num w:numId="19">
    <w:abstractNumId w:val="9"/>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82BE8"/>
    <w:rsid w:val="000857FD"/>
    <w:rsid w:val="000B01FD"/>
    <w:rsid w:val="001D11DE"/>
    <w:rsid w:val="001E0083"/>
    <w:rsid w:val="001E283E"/>
    <w:rsid w:val="0024614E"/>
    <w:rsid w:val="002E64EB"/>
    <w:rsid w:val="002E71A3"/>
    <w:rsid w:val="002F08B3"/>
    <w:rsid w:val="002F1D96"/>
    <w:rsid w:val="003817DB"/>
    <w:rsid w:val="003F1182"/>
    <w:rsid w:val="00410B6F"/>
    <w:rsid w:val="00411388"/>
    <w:rsid w:val="0041797C"/>
    <w:rsid w:val="004753C5"/>
    <w:rsid w:val="00486297"/>
    <w:rsid w:val="0049A42F"/>
    <w:rsid w:val="004C55E5"/>
    <w:rsid w:val="004D68A2"/>
    <w:rsid w:val="00507ACC"/>
    <w:rsid w:val="00547A76"/>
    <w:rsid w:val="005649C3"/>
    <w:rsid w:val="005C12BE"/>
    <w:rsid w:val="005D2C60"/>
    <w:rsid w:val="006270DF"/>
    <w:rsid w:val="006354B4"/>
    <w:rsid w:val="00640785"/>
    <w:rsid w:val="0065401B"/>
    <w:rsid w:val="0065602B"/>
    <w:rsid w:val="00657B55"/>
    <w:rsid w:val="00686ADC"/>
    <w:rsid w:val="006E1563"/>
    <w:rsid w:val="006E1797"/>
    <w:rsid w:val="006E2484"/>
    <w:rsid w:val="00723551"/>
    <w:rsid w:val="00727062"/>
    <w:rsid w:val="0074428B"/>
    <w:rsid w:val="007447C4"/>
    <w:rsid w:val="007A1BDE"/>
    <w:rsid w:val="0081067E"/>
    <w:rsid w:val="00814816"/>
    <w:rsid w:val="00841BBF"/>
    <w:rsid w:val="00847128"/>
    <w:rsid w:val="0088046F"/>
    <w:rsid w:val="00894689"/>
    <w:rsid w:val="008A15C4"/>
    <w:rsid w:val="008A360F"/>
    <w:rsid w:val="008B1164"/>
    <w:rsid w:val="008E5B9D"/>
    <w:rsid w:val="009010FE"/>
    <w:rsid w:val="009164DC"/>
    <w:rsid w:val="00916A1E"/>
    <w:rsid w:val="00942559"/>
    <w:rsid w:val="00956E3B"/>
    <w:rsid w:val="009768AB"/>
    <w:rsid w:val="00990B1B"/>
    <w:rsid w:val="009B69B0"/>
    <w:rsid w:val="009E621A"/>
    <w:rsid w:val="009F2651"/>
    <w:rsid w:val="00A60EDE"/>
    <w:rsid w:val="00A70710"/>
    <w:rsid w:val="00A75C28"/>
    <w:rsid w:val="00A95C40"/>
    <w:rsid w:val="00AC7E32"/>
    <w:rsid w:val="00B07821"/>
    <w:rsid w:val="00B26D28"/>
    <w:rsid w:val="00B35CFD"/>
    <w:rsid w:val="00B4155A"/>
    <w:rsid w:val="00B53897"/>
    <w:rsid w:val="00BC6747"/>
    <w:rsid w:val="00BD050F"/>
    <w:rsid w:val="00BD18B1"/>
    <w:rsid w:val="00BD5102"/>
    <w:rsid w:val="00C1691E"/>
    <w:rsid w:val="00C24B4C"/>
    <w:rsid w:val="00C3231A"/>
    <w:rsid w:val="00C7018D"/>
    <w:rsid w:val="00C82C89"/>
    <w:rsid w:val="00CA5F41"/>
    <w:rsid w:val="00CB6256"/>
    <w:rsid w:val="00CC6B71"/>
    <w:rsid w:val="00CD0F24"/>
    <w:rsid w:val="00D013CB"/>
    <w:rsid w:val="00D21117"/>
    <w:rsid w:val="00D57B72"/>
    <w:rsid w:val="00DC24B9"/>
    <w:rsid w:val="00DD4D55"/>
    <w:rsid w:val="00DE28A6"/>
    <w:rsid w:val="00E136DD"/>
    <w:rsid w:val="00E25581"/>
    <w:rsid w:val="00E449BD"/>
    <w:rsid w:val="00E4538B"/>
    <w:rsid w:val="00E56A82"/>
    <w:rsid w:val="00EA436F"/>
    <w:rsid w:val="00ED1FB4"/>
    <w:rsid w:val="00F0408F"/>
    <w:rsid w:val="00F222CA"/>
    <w:rsid w:val="00F50EB3"/>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1"/>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1"/>
    <w:qFormat/>
    <w:rsid w:val="00B4155A"/>
    <w:pPr>
      <w:keepNext/>
      <w:autoSpaceDE w:val="0"/>
      <w:autoSpaceDN w:val="0"/>
      <w:adjustRightInd w:val="0"/>
      <w:spacing w:before="0" w:after="0" w:line="240" w:lineRule="auto"/>
      <w:ind w:firstLine="0"/>
      <w:jc w:val="center"/>
      <w:outlineLvl w:val="1"/>
    </w:pPr>
    <w:rPr>
      <w:rFonts w:ascii="Times New Roman" w:eastAsia="Times New Roman" w:hAnsi="Times New Roman" w:cs="Times New Roman"/>
      <w:b/>
      <w:bCs/>
      <w:color w:val="000000"/>
      <w:sz w:val="26"/>
      <w:lang w:val="x-none" w:eastAsia="x-none"/>
    </w:rPr>
  </w:style>
  <w:style w:type="paragraph" w:styleId="Ttulo3">
    <w:name w:val="heading 3"/>
    <w:basedOn w:val="Normal"/>
    <w:link w:val="Ttulo3Char"/>
    <w:uiPriority w:val="1"/>
    <w:qFormat/>
    <w:rsid w:val="00B4155A"/>
    <w:pPr>
      <w:keepNext/>
      <w:spacing w:before="0" w:after="0" w:line="240" w:lineRule="auto"/>
      <w:ind w:firstLine="0"/>
      <w:jc w:val="left"/>
      <w:outlineLvl w:val="2"/>
    </w:pPr>
    <w:rPr>
      <w:rFonts w:ascii="Times New Roman" w:eastAsia="Times New Roman" w:hAnsi="Times New Roman" w:cs="Times New Roman"/>
      <w:b/>
      <w:bCs/>
      <w:lang w:val="x-none" w:eastAsia="x-none"/>
    </w:rPr>
  </w:style>
  <w:style w:type="paragraph" w:styleId="Ttulo4">
    <w:name w:val="heading 4"/>
    <w:basedOn w:val="Normal"/>
    <w:next w:val="Normal"/>
    <w:link w:val="Ttulo4Char"/>
    <w:uiPriority w:val="1"/>
    <w:qFormat/>
    <w:rsid w:val="00B4155A"/>
    <w:pPr>
      <w:keepNext/>
      <w:spacing w:line="240" w:lineRule="auto"/>
      <w:ind w:firstLine="0"/>
      <w:jc w:val="center"/>
      <w:outlineLvl w:val="3"/>
    </w:pPr>
    <w:rPr>
      <w:rFonts w:ascii="Arial" w:eastAsia="Times New Roman" w:hAnsi="Arial" w:cs="Times New Roman"/>
      <w:b/>
      <w:sz w:val="28"/>
      <w:szCs w:val="28"/>
      <w:lang w:val="pt-PT" w:eastAsia="x-none"/>
    </w:rPr>
  </w:style>
  <w:style w:type="paragraph" w:styleId="Ttulo5">
    <w:name w:val="heading 5"/>
    <w:basedOn w:val="Normal"/>
    <w:link w:val="Ttulo5Char"/>
    <w:uiPriority w:val="1"/>
    <w:qFormat/>
    <w:rsid w:val="00B4155A"/>
    <w:pPr>
      <w:keepNext/>
      <w:spacing w:before="0" w:after="0" w:line="240" w:lineRule="auto"/>
      <w:ind w:firstLine="0"/>
      <w:outlineLvl w:val="4"/>
    </w:pPr>
    <w:rPr>
      <w:rFonts w:ascii="Times New Roman" w:eastAsia="Times New Roman" w:hAnsi="Times New Roman" w:cs="Times New Roman"/>
      <w:b/>
      <w:bCs/>
      <w:i/>
      <w:iCs/>
      <w:sz w:val="22"/>
      <w:szCs w:val="22"/>
      <w:u w:val="single"/>
      <w:lang w:val="x-none" w:eastAsia="x-none"/>
    </w:rPr>
  </w:style>
  <w:style w:type="paragraph" w:styleId="Ttulo6">
    <w:name w:val="heading 6"/>
    <w:basedOn w:val="Normal"/>
    <w:next w:val="Normal"/>
    <w:link w:val="Ttulo6Char"/>
    <w:uiPriority w:val="1"/>
    <w:qFormat/>
    <w:rsid w:val="00B4155A"/>
    <w:pPr>
      <w:keepNext/>
      <w:spacing w:before="0" w:after="0" w:line="240" w:lineRule="auto"/>
      <w:jc w:val="center"/>
      <w:outlineLvl w:val="5"/>
    </w:pPr>
    <w:rPr>
      <w:rFonts w:ascii="Times New Roman" w:eastAsia="Times New Roman" w:hAnsi="Times New Roman" w:cs="Times New Roman"/>
      <w:b/>
      <w:bCs/>
      <w:color w:val="000000"/>
      <w:lang w:val="x-none" w:eastAsia="x-none"/>
    </w:rPr>
  </w:style>
  <w:style w:type="paragraph" w:styleId="Ttulo7">
    <w:name w:val="heading 7"/>
    <w:basedOn w:val="Normal"/>
    <w:next w:val="Normal"/>
    <w:link w:val="Ttulo7Char"/>
    <w:uiPriority w:val="1"/>
    <w:qFormat/>
    <w:rsid w:val="00B4155A"/>
    <w:pPr>
      <w:spacing w:before="240" w:after="60" w:line="240" w:lineRule="auto"/>
      <w:ind w:firstLine="0"/>
      <w:jc w:val="left"/>
      <w:outlineLvl w:val="6"/>
    </w:pPr>
    <w:rPr>
      <w:rFonts w:ascii="Times New Roman" w:eastAsia="Times New Roman" w:hAnsi="Times New Roman" w:cs="Times New Roman"/>
      <w:lang w:val="x-none" w:eastAsia="x-none"/>
    </w:rPr>
  </w:style>
  <w:style w:type="paragraph" w:styleId="Ttulo8">
    <w:name w:val="heading 8"/>
    <w:basedOn w:val="Normal"/>
    <w:link w:val="Ttulo8Char"/>
    <w:uiPriority w:val="1"/>
    <w:qFormat/>
    <w:rsid w:val="00B4155A"/>
    <w:pPr>
      <w:widowControl w:val="0"/>
      <w:autoSpaceDE w:val="0"/>
      <w:autoSpaceDN w:val="0"/>
      <w:spacing w:before="9" w:after="0" w:line="240" w:lineRule="auto"/>
      <w:ind w:left="110" w:firstLine="0"/>
      <w:jc w:val="left"/>
      <w:outlineLvl w:val="7"/>
    </w:pPr>
    <w:rPr>
      <w:rFonts w:ascii="Arial" w:eastAsia="Arial" w:hAnsi="Arial" w:cs="Times New Roman"/>
      <w:b/>
      <w:bCs/>
      <w:i/>
      <w:sz w:val="20"/>
      <w:szCs w:val="20"/>
      <w:lang w:val="en-US"/>
    </w:rPr>
  </w:style>
  <w:style w:type="paragraph" w:styleId="Ttulo9">
    <w:name w:val="heading 9"/>
    <w:basedOn w:val="Normal"/>
    <w:link w:val="Ttulo9Char"/>
    <w:uiPriority w:val="1"/>
    <w:qFormat/>
    <w:rsid w:val="00B4155A"/>
    <w:pPr>
      <w:widowControl w:val="0"/>
      <w:autoSpaceDE w:val="0"/>
      <w:autoSpaceDN w:val="0"/>
      <w:spacing w:before="0" w:after="0" w:line="240" w:lineRule="auto"/>
      <w:ind w:left="556" w:firstLine="0"/>
      <w:jc w:val="left"/>
      <w:outlineLvl w:val="8"/>
    </w:pPr>
    <w:rPr>
      <w:rFonts w:ascii="Bookman Old Style" w:eastAsia="Bookman Old Style" w:hAnsi="Bookman Old Style"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1"/>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1"/>
    <w:rsid w:val="00B4155A"/>
    <w:rPr>
      <w:rFonts w:ascii="Times New Roman" w:eastAsia="Times New Roman" w:hAnsi="Times New Roman" w:cs="Times New Roman"/>
      <w:b/>
      <w:bCs/>
      <w:color w:val="000000"/>
      <w:sz w:val="26"/>
      <w:szCs w:val="24"/>
      <w:lang w:val="x-none" w:eastAsia="x-none"/>
    </w:rPr>
  </w:style>
  <w:style w:type="character" w:customStyle="1" w:styleId="Ttulo3Char">
    <w:name w:val="Título 3 Char"/>
    <w:basedOn w:val="Fontepargpadro"/>
    <w:link w:val="Ttulo3"/>
    <w:uiPriority w:val="1"/>
    <w:rsid w:val="00B4155A"/>
    <w:rPr>
      <w:rFonts w:ascii="Times New Roman" w:eastAsia="Times New Roman" w:hAnsi="Times New Roman" w:cs="Times New Roman"/>
      <w:b/>
      <w:bCs/>
      <w:sz w:val="24"/>
      <w:szCs w:val="24"/>
      <w:lang w:val="x-none" w:eastAsia="x-none"/>
    </w:rPr>
  </w:style>
  <w:style w:type="character" w:customStyle="1" w:styleId="Ttulo4Char">
    <w:name w:val="Título 4 Char"/>
    <w:basedOn w:val="Fontepargpadro"/>
    <w:link w:val="Ttulo4"/>
    <w:uiPriority w:val="1"/>
    <w:rsid w:val="00B4155A"/>
    <w:rPr>
      <w:rFonts w:ascii="Arial" w:eastAsia="Times New Roman" w:hAnsi="Arial" w:cs="Times New Roman"/>
      <w:b/>
      <w:sz w:val="28"/>
      <w:szCs w:val="28"/>
      <w:lang w:val="pt-PT" w:eastAsia="x-none"/>
    </w:rPr>
  </w:style>
  <w:style w:type="character" w:customStyle="1" w:styleId="Ttulo5Char">
    <w:name w:val="Título 5 Char"/>
    <w:basedOn w:val="Fontepargpadro"/>
    <w:link w:val="Ttulo5"/>
    <w:uiPriority w:val="1"/>
    <w:rsid w:val="00B4155A"/>
    <w:rPr>
      <w:rFonts w:ascii="Times New Roman" w:eastAsia="Times New Roman" w:hAnsi="Times New Roman" w:cs="Times New Roman"/>
      <w:b/>
      <w:bCs/>
      <w:i/>
      <w:iCs/>
      <w:u w:val="single"/>
      <w:lang w:val="x-none" w:eastAsia="x-none"/>
    </w:rPr>
  </w:style>
  <w:style w:type="character" w:customStyle="1" w:styleId="Ttulo6Char">
    <w:name w:val="Título 6 Char"/>
    <w:basedOn w:val="Fontepargpadro"/>
    <w:link w:val="Ttulo6"/>
    <w:uiPriority w:val="1"/>
    <w:rsid w:val="00B4155A"/>
    <w:rPr>
      <w:rFonts w:ascii="Times New Roman" w:eastAsia="Times New Roman" w:hAnsi="Times New Roman" w:cs="Times New Roman"/>
      <w:b/>
      <w:bCs/>
      <w:color w:val="000000"/>
      <w:sz w:val="24"/>
      <w:szCs w:val="24"/>
      <w:lang w:val="x-none" w:eastAsia="x-none"/>
    </w:rPr>
  </w:style>
  <w:style w:type="character" w:customStyle="1" w:styleId="Ttulo7Char">
    <w:name w:val="Título 7 Char"/>
    <w:basedOn w:val="Fontepargpadro"/>
    <w:link w:val="Ttulo7"/>
    <w:uiPriority w:val="1"/>
    <w:rsid w:val="00B4155A"/>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1"/>
    <w:rsid w:val="00B4155A"/>
    <w:rPr>
      <w:rFonts w:ascii="Arial" w:eastAsia="Arial" w:hAnsi="Arial" w:cs="Times New Roman"/>
      <w:b/>
      <w:bCs/>
      <w:i/>
      <w:sz w:val="20"/>
      <w:szCs w:val="20"/>
      <w:lang w:val="en-US"/>
    </w:rPr>
  </w:style>
  <w:style w:type="character" w:customStyle="1" w:styleId="Ttulo9Char">
    <w:name w:val="Título 9 Char"/>
    <w:basedOn w:val="Fontepargpadro"/>
    <w:link w:val="Ttulo9"/>
    <w:uiPriority w:val="1"/>
    <w:rsid w:val="00B4155A"/>
    <w:rPr>
      <w:rFonts w:ascii="Bookman Old Style" w:eastAsia="Bookman Old Style" w:hAnsi="Bookman Old Style" w:cs="Times New Roman"/>
      <w:sz w:val="20"/>
      <w:szCs w:val="20"/>
      <w:lang w:val="en-US"/>
    </w:rPr>
  </w:style>
  <w:style w:type="numbering" w:customStyle="1" w:styleId="Semlista1">
    <w:name w:val="Sem lista1"/>
    <w:next w:val="Semlista"/>
    <w:semiHidden/>
    <w:rsid w:val="00B4155A"/>
  </w:style>
  <w:style w:type="paragraph" w:styleId="Corpodetexto">
    <w:name w:val="Body Text"/>
    <w:basedOn w:val="Normal"/>
    <w:link w:val="CorpodetextoChar"/>
    <w:uiPriority w:val="1"/>
    <w:qFormat/>
    <w:rsid w:val="00B4155A"/>
    <w:pPr>
      <w:spacing w:before="0" w:after="0" w:line="240" w:lineRule="auto"/>
      <w:ind w:firstLine="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1"/>
    <w:rsid w:val="00B4155A"/>
    <w:rPr>
      <w:rFonts w:ascii="Times New Roman" w:eastAsia="Times New Roman" w:hAnsi="Times New Roman" w:cs="Times New Roman"/>
      <w:sz w:val="20"/>
      <w:szCs w:val="20"/>
      <w:lang w:eastAsia="pt-BR"/>
    </w:rPr>
  </w:style>
  <w:style w:type="paragraph" w:styleId="NormalWeb">
    <w:name w:val="Normal (Web)"/>
    <w:basedOn w:val="Normal"/>
    <w:rsid w:val="00B4155A"/>
    <w:pPr>
      <w:spacing w:before="100" w:beforeAutospacing="1" w:after="100" w:afterAutospacing="1" w:line="240" w:lineRule="auto"/>
      <w:ind w:firstLine="0"/>
      <w:jc w:val="left"/>
    </w:pPr>
    <w:rPr>
      <w:rFonts w:ascii="Arial Unicode MS" w:eastAsia="Arial Unicode MS" w:hAnsi="Arial Unicode MS" w:cs="Arial Unicode MS"/>
      <w:lang w:eastAsia="pt-BR"/>
    </w:rPr>
  </w:style>
  <w:style w:type="paragraph" w:styleId="Recuodecorpodetexto">
    <w:name w:val="Body Text Indent"/>
    <w:basedOn w:val="Normal"/>
    <w:link w:val="RecuodecorpodetextoChar"/>
    <w:rsid w:val="00B4155A"/>
    <w:pPr>
      <w:spacing w:before="0" w:after="0" w:line="240" w:lineRule="auto"/>
      <w:ind w:left="2520" w:firstLine="0"/>
    </w:pPr>
    <w:rPr>
      <w:rFonts w:ascii="Times New Roman" w:eastAsia="Times New Roman" w:hAnsi="Times New Roman" w:cs="Times New Roman"/>
      <w:i/>
      <w:szCs w:val="20"/>
      <w:lang w:eastAsia="pt-BR"/>
    </w:rPr>
  </w:style>
  <w:style w:type="character" w:customStyle="1" w:styleId="RecuodecorpodetextoChar">
    <w:name w:val="Recuo de corpo de texto Char"/>
    <w:basedOn w:val="Fontepargpadro"/>
    <w:link w:val="Recuodecorpodetexto"/>
    <w:rsid w:val="00B4155A"/>
    <w:rPr>
      <w:rFonts w:ascii="Times New Roman" w:eastAsia="Times New Roman" w:hAnsi="Times New Roman" w:cs="Times New Roman"/>
      <w:i/>
      <w:sz w:val="24"/>
      <w:szCs w:val="20"/>
      <w:lang w:eastAsia="pt-BR"/>
    </w:rPr>
  </w:style>
  <w:style w:type="paragraph" w:styleId="Ttulo">
    <w:name w:val="Title"/>
    <w:basedOn w:val="Normal"/>
    <w:link w:val="TtuloChar"/>
    <w:qFormat/>
    <w:rsid w:val="00B4155A"/>
    <w:pPr>
      <w:tabs>
        <w:tab w:val="left" w:pos="1134"/>
      </w:tabs>
      <w:spacing w:before="0" w:after="0" w:line="240" w:lineRule="auto"/>
      <w:ind w:firstLine="0"/>
      <w:jc w:val="center"/>
    </w:pPr>
    <w:rPr>
      <w:rFonts w:ascii="Times New Roman" w:eastAsia="Times New Roman" w:hAnsi="Times New Roman" w:cs="Times New Roman"/>
      <w:b/>
      <w:lang w:eastAsia="pt-BR"/>
    </w:rPr>
  </w:style>
  <w:style w:type="character" w:customStyle="1" w:styleId="TtuloChar">
    <w:name w:val="Título Char"/>
    <w:basedOn w:val="Fontepargpadro"/>
    <w:link w:val="Ttulo"/>
    <w:rsid w:val="00B4155A"/>
    <w:rPr>
      <w:rFonts w:ascii="Times New Roman" w:eastAsia="Times New Roman" w:hAnsi="Times New Roman" w:cs="Times New Roman"/>
      <w:b/>
      <w:sz w:val="24"/>
      <w:szCs w:val="24"/>
      <w:lang w:eastAsia="pt-BR"/>
    </w:rPr>
  </w:style>
  <w:style w:type="paragraph" w:styleId="Corpodetexto2">
    <w:name w:val="Body Text 2"/>
    <w:basedOn w:val="Normal"/>
    <w:link w:val="Corpodetexto2Char"/>
    <w:rsid w:val="00B4155A"/>
    <w:pPr>
      <w:spacing w:before="0" w:after="0" w:line="240" w:lineRule="auto"/>
      <w:ind w:firstLine="0"/>
    </w:pPr>
    <w:rPr>
      <w:rFonts w:ascii="Times New Roman" w:eastAsia="Times New Roman" w:hAnsi="Times New Roman" w:cs="Times New Roman"/>
      <w:lang w:eastAsia="pt-BR"/>
    </w:rPr>
  </w:style>
  <w:style w:type="character" w:customStyle="1" w:styleId="Corpodetexto2Char">
    <w:name w:val="Corpo de texto 2 Char"/>
    <w:basedOn w:val="Fontepargpadro"/>
    <w:link w:val="Corpodetexto2"/>
    <w:rsid w:val="00B4155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B4155A"/>
    <w:pPr>
      <w:tabs>
        <w:tab w:val="left" w:pos="1134"/>
      </w:tabs>
      <w:spacing w:before="0" w:after="0" w:line="240" w:lineRule="auto"/>
      <w:ind w:firstLine="0"/>
    </w:pPr>
    <w:rPr>
      <w:rFonts w:ascii="Times New Roman" w:eastAsia="Times New Roman" w:hAnsi="Times New Roman" w:cs="Times New Roman"/>
      <w:b/>
      <w:sz w:val="26"/>
      <w:lang w:eastAsia="pt-BR"/>
    </w:rPr>
  </w:style>
  <w:style w:type="character" w:customStyle="1" w:styleId="SubttuloChar">
    <w:name w:val="Subtítulo Char"/>
    <w:basedOn w:val="Fontepargpadro"/>
    <w:link w:val="Subttulo"/>
    <w:rsid w:val="00B4155A"/>
    <w:rPr>
      <w:rFonts w:ascii="Times New Roman" w:eastAsia="Times New Roman" w:hAnsi="Times New Roman" w:cs="Times New Roman"/>
      <w:b/>
      <w:sz w:val="26"/>
      <w:szCs w:val="24"/>
      <w:lang w:eastAsia="pt-BR"/>
    </w:rPr>
  </w:style>
  <w:style w:type="paragraph" w:styleId="Corpodetexto3">
    <w:name w:val="Body Text 3"/>
    <w:basedOn w:val="Normal"/>
    <w:link w:val="Corpodetexto3Char"/>
    <w:rsid w:val="00B4155A"/>
    <w:pPr>
      <w:autoSpaceDE w:val="0"/>
      <w:autoSpaceDN w:val="0"/>
      <w:adjustRightInd w:val="0"/>
      <w:spacing w:before="0" w:after="0" w:line="240" w:lineRule="auto"/>
      <w:ind w:firstLine="0"/>
    </w:pPr>
    <w:rPr>
      <w:rFonts w:ascii="Times New Roman" w:eastAsia="Times New Roman" w:hAnsi="Times New Roman" w:cs="Times New Roman"/>
      <w:sz w:val="26"/>
      <w:lang w:eastAsia="pt-BR"/>
    </w:rPr>
  </w:style>
  <w:style w:type="character" w:customStyle="1" w:styleId="Corpodetexto3Char">
    <w:name w:val="Corpo de texto 3 Char"/>
    <w:basedOn w:val="Fontepargpadro"/>
    <w:link w:val="Corpodetexto3"/>
    <w:rsid w:val="00B4155A"/>
    <w:rPr>
      <w:rFonts w:ascii="Times New Roman" w:eastAsia="Times New Roman" w:hAnsi="Times New Roman" w:cs="Times New Roman"/>
      <w:sz w:val="26"/>
      <w:szCs w:val="24"/>
      <w:lang w:eastAsia="pt-BR"/>
    </w:rPr>
  </w:style>
  <w:style w:type="paragraph" w:customStyle="1" w:styleId="texton">
    <w:name w:val="texto_n"/>
    <w:basedOn w:val="Normal"/>
    <w:rsid w:val="00B4155A"/>
    <w:pPr>
      <w:spacing w:before="100" w:beforeAutospacing="1" w:after="100" w:afterAutospacing="1" w:line="240" w:lineRule="auto"/>
      <w:ind w:firstLine="0"/>
      <w:jc w:val="left"/>
    </w:pPr>
    <w:rPr>
      <w:rFonts w:ascii="Verdana" w:eastAsia="Arial Unicode MS" w:hAnsi="Verdana" w:cs="Arial Unicode MS"/>
      <w:color w:val="2C2175"/>
      <w:sz w:val="15"/>
      <w:szCs w:val="15"/>
      <w:lang w:eastAsia="pt-BR"/>
    </w:rPr>
  </w:style>
  <w:style w:type="character" w:customStyle="1" w:styleId="texto1">
    <w:name w:val="texto1"/>
    <w:rsid w:val="00B4155A"/>
    <w:rPr>
      <w:rFonts w:ascii="Verdana" w:hAnsi="Verdana" w:hint="default"/>
      <w:strike w:val="0"/>
      <w:dstrike w:val="0"/>
      <w:color w:val="000000"/>
      <w:sz w:val="17"/>
      <w:szCs w:val="17"/>
      <w:u w:val="none"/>
      <w:effect w:val="none"/>
    </w:rPr>
  </w:style>
  <w:style w:type="character" w:styleId="Forte">
    <w:name w:val="Strong"/>
    <w:qFormat/>
    <w:rsid w:val="00B4155A"/>
    <w:rPr>
      <w:b/>
      <w:bCs/>
    </w:rPr>
  </w:style>
  <w:style w:type="character" w:styleId="HiperlinkVisitado">
    <w:name w:val="FollowedHyperlink"/>
    <w:rsid w:val="00B4155A"/>
    <w:rPr>
      <w:color w:val="800080"/>
      <w:u w:val="single"/>
    </w:rPr>
  </w:style>
  <w:style w:type="character" w:customStyle="1" w:styleId="grame">
    <w:name w:val="grame"/>
    <w:basedOn w:val="Fontepargpadro"/>
    <w:rsid w:val="00B4155A"/>
  </w:style>
  <w:style w:type="character" w:customStyle="1" w:styleId="spelle">
    <w:name w:val="spelle"/>
    <w:basedOn w:val="Fontepargpadro"/>
    <w:rsid w:val="00B4155A"/>
  </w:style>
  <w:style w:type="paragraph" w:styleId="Recuodecorpodetexto2">
    <w:name w:val="Body Text Indent 2"/>
    <w:basedOn w:val="Normal"/>
    <w:link w:val="Recuodecorpodetexto2Char"/>
    <w:rsid w:val="00B4155A"/>
    <w:pPr>
      <w:spacing w:before="0" w:after="0" w:line="240" w:lineRule="auto"/>
      <w:ind w:left="5103" w:firstLine="0"/>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rsid w:val="00B4155A"/>
    <w:rPr>
      <w:rFonts w:ascii="Times New Roman" w:eastAsia="Times New Roman" w:hAnsi="Times New Roman" w:cs="Times New Roman"/>
      <w:sz w:val="24"/>
      <w:szCs w:val="24"/>
      <w:lang w:eastAsia="pt-BR"/>
    </w:rPr>
  </w:style>
  <w:style w:type="character" w:styleId="Nmerodepgina">
    <w:name w:val="page number"/>
    <w:basedOn w:val="Fontepargpadro"/>
    <w:rsid w:val="00B4155A"/>
  </w:style>
  <w:style w:type="paragraph" w:styleId="Recuodecorpodetexto3">
    <w:name w:val="Body Text Indent 3"/>
    <w:basedOn w:val="Normal"/>
    <w:link w:val="Recuodecorpodetexto3Char"/>
    <w:rsid w:val="00B4155A"/>
    <w:pPr>
      <w:spacing w:before="0" w:after="0" w:line="240" w:lineRule="auto"/>
    </w:pPr>
    <w:rPr>
      <w:rFonts w:ascii="Times New Roman" w:eastAsia="Times New Roman" w:hAnsi="Times New Roman" w:cs="Times New Roman"/>
      <w:szCs w:val="20"/>
    </w:rPr>
  </w:style>
  <w:style w:type="character" w:customStyle="1" w:styleId="Recuodecorpodetexto3Char">
    <w:name w:val="Recuo de corpo de texto 3 Char"/>
    <w:basedOn w:val="Fontepargpadro"/>
    <w:link w:val="Recuodecorpodetexto3"/>
    <w:rsid w:val="00B4155A"/>
    <w:rPr>
      <w:rFonts w:ascii="Times New Roman" w:eastAsia="Times New Roman" w:hAnsi="Times New Roman" w:cs="Times New Roman"/>
      <w:sz w:val="24"/>
      <w:szCs w:val="20"/>
    </w:rPr>
  </w:style>
  <w:style w:type="character" w:styleId="Refdecomentrio">
    <w:name w:val="annotation reference"/>
    <w:semiHidden/>
    <w:rsid w:val="00B4155A"/>
    <w:rPr>
      <w:sz w:val="16"/>
      <w:szCs w:val="16"/>
    </w:rPr>
  </w:style>
  <w:style w:type="paragraph" w:styleId="Textodecomentrio">
    <w:name w:val="annotation text"/>
    <w:basedOn w:val="Normal"/>
    <w:link w:val="TextodecomentrioChar"/>
    <w:semiHidden/>
    <w:rsid w:val="00B4155A"/>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B4155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B4155A"/>
    <w:rPr>
      <w:b/>
      <w:bCs/>
    </w:rPr>
  </w:style>
  <w:style w:type="character" w:customStyle="1" w:styleId="AssuntodocomentrioChar">
    <w:name w:val="Assunto do comentário Char"/>
    <w:basedOn w:val="TextodecomentrioChar"/>
    <w:link w:val="Assuntodocomentrio"/>
    <w:semiHidden/>
    <w:rsid w:val="00B4155A"/>
    <w:rPr>
      <w:rFonts w:ascii="Times New Roman" w:eastAsia="Times New Roman" w:hAnsi="Times New Roman" w:cs="Times New Roman"/>
      <w:b/>
      <w:bCs/>
      <w:sz w:val="20"/>
      <w:szCs w:val="20"/>
      <w:lang w:eastAsia="pt-BR"/>
    </w:rPr>
  </w:style>
  <w:style w:type="table" w:customStyle="1" w:styleId="Tabelacomgrade1">
    <w:name w:val="Tabela com grade1"/>
    <w:basedOn w:val="Tabelanormal"/>
    <w:next w:val="Tabelacomgrade"/>
    <w:rsid w:val="00B4155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semiHidden/>
    <w:rsid w:val="00B4155A"/>
    <w:pPr>
      <w:shd w:val="clear" w:color="auto" w:fill="000080"/>
      <w:spacing w:before="0" w:after="0" w:line="240" w:lineRule="auto"/>
      <w:ind w:firstLine="0"/>
      <w:jc w:val="left"/>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semiHidden/>
    <w:rsid w:val="00B4155A"/>
    <w:rPr>
      <w:rFonts w:ascii="Tahoma" w:eastAsia="Times New Roman" w:hAnsi="Tahoma" w:cs="Tahoma"/>
      <w:sz w:val="20"/>
      <w:szCs w:val="20"/>
      <w:shd w:val="clear" w:color="auto" w:fill="000080"/>
      <w:lang w:eastAsia="pt-BR"/>
    </w:rPr>
  </w:style>
  <w:style w:type="numbering" w:customStyle="1" w:styleId="Semlista11">
    <w:name w:val="Sem lista11"/>
    <w:next w:val="Semlista"/>
    <w:uiPriority w:val="99"/>
    <w:semiHidden/>
    <w:unhideWhenUsed/>
    <w:rsid w:val="00B4155A"/>
  </w:style>
  <w:style w:type="table" w:customStyle="1" w:styleId="TableNormal1">
    <w:name w:val="Table Normal1"/>
    <w:uiPriority w:val="2"/>
    <w:semiHidden/>
    <w:unhideWhenUsed/>
    <w:qFormat/>
    <w:rsid w:val="00B4155A"/>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styleId="Sumrio1">
    <w:name w:val="toc 1"/>
    <w:basedOn w:val="Normal"/>
    <w:uiPriority w:val="1"/>
    <w:qFormat/>
    <w:rsid w:val="00B4155A"/>
    <w:pPr>
      <w:widowControl w:val="0"/>
      <w:autoSpaceDE w:val="0"/>
      <w:autoSpaceDN w:val="0"/>
      <w:spacing w:before="89" w:after="0" w:line="240" w:lineRule="auto"/>
      <w:ind w:left="110" w:firstLine="0"/>
      <w:jc w:val="left"/>
    </w:pPr>
    <w:rPr>
      <w:rFonts w:ascii="Arial" w:eastAsia="Arial" w:hAnsi="Arial" w:cs="Arial"/>
      <w:b/>
      <w:bCs/>
      <w:sz w:val="18"/>
      <w:szCs w:val="18"/>
      <w:lang w:val="en-US"/>
    </w:rPr>
  </w:style>
  <w:style w:type="paragraph" w:customStyle="1" w:styleId="TableParagraph">
    <w:name w:val="Table Paragraph"/>
    <w:basedOn w:val="Normal"/>
    <w:uiPriority w:val="1"/>
    <w:qFormat/>
    <w:rsid w:val="00B4155A"/>
    <w:pPr>
      <w:widowControl w:val="0"/>
      <w:autoSpaceDE w:val="0"/>
      <w:autoSpaceDN w:val="0"/>
      <w:spacing w:before="0" w:after="0" w:line="240" w:lineRule="auto"/>
      <w:ind w:firstLine="0"/>
      <w:jc w:val="left"/>
    </w:pPr>
    <w:rPr>
      <w:rFonts w:ascii="Times New Roman" w:eastAsia="Times New Roman" w:hAnsi="Times New Roman" w:cs="Times New Roman"/>
      <w:sz w:val="22"/>
      <w:szCs w:val="22"/>
      <w:lang w:val="en-US"/>
    </w:rPr>
  </w:style>
  <w:style w:type="paragraph" w:styleId="Reviso">
    <w:name w:val="Revision"/>
    <w:hidden/>
    <w:uiPriority w:val="99"/>
    <w:semiHidden/>
    <w:rsid w:val="00B4155A"/>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3301-7A17-4B5A-95F5-BF8D91163F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3.xml><?xml version="1.0" encoding="utf-8"?>
<ds:datastoreItem xmlns:ds="http://schemas.openxmlformats.org/officeDocument/2006/customXml" ds:itemID="{8E3DFD72-65B1-4B66-8059-1899E3A2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D4C9B-43FB-415A-8326-6406A345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3115</Words>
  <Characters>16826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139, DE 15 DE JUNHO DE 2022</dc:title>
  <dc:creator>CVM</dc:creator>
  <cp:lastModifiedBy>Renata dos Santos Leitão</cp:lastModifiedBy>
  <cp:revision>46</cp:revision>
  <dcterms:created xsi:type="dcterms:W3CDTF">2021-02-25T16:00:00Z</dcterms:created>
  <dcterms:modified xsi:type="dcterms:W3CDTF">2022-06-14T17:34:00Z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