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6084" w14:textId="68A10485" w:rsidR="00D46F9A" w:rsidRPr="00665977" w:rsidRDefault="008C103C" w:rsidP="00F6565E">
      <w:pPr>
        <w:pStyle w:val="Corpodetexto2"/>
        <w:spacing w:before="120" w:line="312" w:lineRule="auto"/>
        <w:jc w:val="center"/>
        <w:rPr>
          <w:rFonts w:asciiTheme="minorHAnsi" w:hAnsiTheme="minorHAnsi" w:cstheme="minorHAnsi"/>
          <w:bCs/>
          <w:szCs w:val="16"/>
        </w:rPr>
      </w:pPr>
      <w:r w:rsidRPr="008C103C">
        <w:rPr>
          <w:rFonts w:asciiTheme="minorHAnsi" w:hAnsiTheme="minorHAnsi" w:cstheme="minorHAnsi"/>
          <w:szCs w:val="16"/>
        </w:rPr>
        <w:t>RESOLUÇÃO CVM Nº 14</w:t>
      </w:r>
      <w:r>
        <w:rPr>
          <w:rFonts w:asciiTheme="minorHAnsi" w:hAnsiTheme="minorHAnsi" w:cstheme="minorHAnsi"/>
          <w:szCs w:val="16"/>
        </w:rPr>
        <w:t>3</w:t>
      </w:r>
      <w:r w:rsidRPr="008C103C">
        <w:rPr>
          <w:rFonts w:asciiTheme="minorHAnsi" w:hAnsiTheme="minorHAnsi" w:cstheme="minorHAnsi"/>
          <w:szCs w:val="16"/>
        </w:rPr>
        <w:t>, DE 15 DE JUNHO DE 2022</w:t>
      </w:r>
    </w:p>
    <w:p w14:paraId="254D7172" w14:textId="28B06D60" w:rsidR="00D46F9A" w:rsidRPr="00665977" w:rsidRDefault="00FD0726" w:rsidP="00F6565E">
      <w:pPr>
        <w:pStyle w:val="Recuodecorpodetexto"/>
        <w:spacing w:before="240" w:after="240" w:line="312" w:lineRule="auto"/>
        <w:ind w:left="5103"/>
        <w:jc w:val="both"/>
        <w:rPr>
          <w:rFonts w:asciiTheme="minorHAnsi" w:hAnsiTheme="minorHAnsi" w:cstheme="minorHAnsi"/>
          <w:iCs/>
        </w:rPr>
      </w:pPr>
      <w:r w:rsidRPr="00FD0726">
        <w:rPr>
          <w:rFonts w:asciiTheme="minorHAnsi" w:hAnsiTheme="minorHAnsi" w:cstheme="minorHAnsi"/>
          <w:iCs/>
        </w:rPr>
        <w:t xml:space="preserve">Ratifica a </w:t>
      </w:r>
      <w:r w:rsidR="007E336C">
        <w:rPr>
          <w:rFonts w:asciiTheme="minorHAnsi" w:hAnsiTheme="minorHAnsi" w:cstheme="minorHAnsi"/>
          <w:iCs/>
        </w:rPr>
        <w:t xml:space="preserve">Interpretação Técnica ICPC </w:t>
      </w:r>
      <w:r w:rsidR="00E1179D">
        <w:rPr>
          <w:rFonts w:asciiTheme="minorHAnsi" w:hAnsiTheme="minorHAnsi" w:cstheme="minorHAnsi"/>
          <w:iCs/>
        </w:rPr>
        <w:t>0</w:t>
      </w:r>
      <w:r w:rsidR="0056279B">
        <w:rPr>
          <w:rFonts w:asciiTheme="minorHAnsi" w:hAnsiTheme="minorHAnsi" w:cstheme="minorHAnsi"/>
          <w:iCs/>
        </w:rPr>
        <w:t>8</w:t>
      </w:r>
      <w:r w:rsidR="00D64288">
        <w:rPr>
          <w:rFonts w:asciiTheme="minorHAnsi" w:hAnsiTheme="minorHAnsi" w:cstheme="minorHAnsi"/>
          <w:iCs/>
        </w:rPr>
        <w:t xml:space="preserve"> </w:t>
      </w:r>
      <w:r w:rsidR="001B390D">
        <w:rPr>
          <w:rFonts w:asciiTheme="minorHAnsi" w:hAnsiTheme="minorHAnsi" w:cstheme="minorHAnsi"/>
          <w:iCs/>
        </w:rPr>
        <w:t>(R1)</w:t>
      </w:r>
      <w:r w:rsidR="00D46F9A" w:rsidRPr="00665977">
        <w:rPr>
          <w:rFonts w:asciiTheme="minorHAnsi" w:hAnsiTheme="minorHAnsi" w:cstheme="minorHAnsi"/>
          <w:iCs/>
        </w:rPr>
        <w:t xml:space="preserve"> do Comitê de Pronunciamentos Contábeis</w:t>
      </w:r>
      <w:r w:rsidRPr="00FD0726">
        <w:rPr>
          <w:rFonts w:asciiTheme="minorHAnsi" w:hAnsiTheme="minorHAnsi" w:cstheme="minorHAnsi"/>
          <w:iCs/>
        </w:rPr>
        <w:t xml:space="preserve"> – CPC</w:t>
      </w:r>
      <w:r w:rsidR="00431408">
        <w:rPr>
          <w:rFonts w:asciiTheme="minorHAnsi" w:hAnsiTheme="minorHAnsi" w:cstheme="minorHAnsi"/>
          <w:iCs/>
        </w:rPr>
        <w:t>,</w:t>
      </w:r>
      <w:r w:rsidR="00D46F9A" w:rsidRPr="00665977">
        <w:rPr>
          <w:rFonts w:asciiTheme="minorHAnsi" w:hAnsiTheme="minorHAnsi" w:cstheme="minorHAnsi"/>
          <w:iCs/>
        </w:rPr>
        <w:t xml:space="preserve"> </w:t>
      </w:r>
      <w:r w:rsidR="00A830ED">
        <w:rPr>
          <w:rFonts w:asciiTheme="minorHAnsi" w:hAnsiTheme="minorHAnsi" w:cstheme="minorHAnsi"/>
          <w:iCs/>
        </w:rPr>
        <w:t xml:space="preserve">que trata </w:t>
      </w:r>
      <w:r>
        <w:rPr>
          <w:rFonts w:asciiTheme="minorHAnsi" w:hAnsiTheme="minorHAnsi" w:cstheme="minorHAnsi"/>
          <w:iCs/>
        </w:rPr>
        <w:t>da</w:t>
      </w:r>
      <w:r w:rsidR="00D95C95" w:rsidRPr="0056279B">
        <w:rPr>
          <w:rFonts w:asciiTheme="minorHAnsi" w:hAnsiTheme="minorHAnsi" w:cstheme="minorHAnsi"/>
          <w:iCs/>
        </w:rPr>
        <w:t xml:space="preserve"> </w:t>
      </w:r>
      <w:r w:rsidR="00D5162C">
        <w:rPr>
          <w:rFonts w:asciiTheme="minorHAnsi" w:hAnsiTheme="minorHAnsi" w:cstheme="minorHAnsi"/>
          <w:iCs/>
        </w:rPr>
        <w:t>c</w:t>
      </w:r>
      <w:r w:rsidR="0056279B" w:rsidRPr="0056279B">
        <w:rPr>
          <w:rFonts w:asciiTheme="minorHAnsi" w:hAnsiTheme="minorHAnsi" w:cstheme="minorHAnsi"/>
          <w:iCs/>
        </w:rPr>
        <w:t xml:space="preserve">ontabilização da </w:t>
      </w:r>
      <w:r w:rsidR="00D5162C">
        <w:rPr>
          <w:rFonts w:asciiTheme="minorHAnsi" w:hAnsiTheme="minorHAnsi" w:cstheme="minorHAnsi"/>
          <w:iCs/>
        </w:rPr>
        <w:t>p</w:t>
      </w:r>
      <w:r w:rsidR="0056279B" w:rsidRPr="0056279B">
        <w:rPr>
          <w:rFonts w:asciiTheme="minorHAnsi" w:hAnsiTheme="minorHAnsi" w:cstheme="minorHAnsi"/>
          <w:iCs/>
        </w:rPr>
        <w:t xml:space="preserve">roposta de </w:t>
      </w:r>
      <w:r w:rsidR="00D5162C">
        <w:rPr>
          <w:rFonts w:asciiTheme="minorHAnsi" w:hAnsiTheme="minorHAnsi" w:cstheme="minorHAnsi"/>
          <w:iCs/>
        </w:rPr>
        <w:t>p</w:t>
      </w:r>
      <w:r w:rsidR="0056279B" w:rsidRPr="0056279B">
        <w:rPr>
          <w:rFonts w:asciiTheme="minorHAnsi" w:hAnsiTheme="minorHAnsi" w:cstheme="minorHAnsi"/>
          <w:iCs/>
        </w:rPr>
        <w:t>agamento</w:t>
      </w:r>
      <w:r w:rsidR="0056279B">
        <w:rPr>
          <w:rFonts w:asciiTheme="minorHAnsi" w:hAnsiTheme="minorHAnsi" w:cstheme="minorHAnsi"/>
          <w:iCs/>
        </w:rPr>
        <w:t xml:space="preserve"> de </w:t>
      </w:r>
      <w:r w:rsidR="00D5162C">
        <w:rPr>
          <w:rFonts w:asciiTheme="minorHAnsi" w:hAnsiTheme="minorHAnsi" w:cstheme="minorHAnsi"/>
          <w:iCs/>
        </w:rPr>
        <w:t>d</w:t>
      </w:r>
      <w:r w:rsidR="0056279B">
        <w:rPr>
          <w:rFonts w:asciiTheme="minorHAnsi" w:hAnsiTheme="minorHAnsi" w:cstheme="minorHAnsi"/>
          <w:iCs/>
        </w:rPr>
        <w:t>ividendos.</w:t>
      </w:r>
      <w:bookmarkStart w:id="0" w:name="_GoBack"/>
      <w:bookmarkEnd w:id="0"/>
    </w:p>
    <w:p w14:paraId="29D08539" w14:textId="1AE3B27E" w:rsidR="00D46F9A" w:rsidRPr="00665977" w:rsidRDefault="00D46F9A" w:rsidP="00F6565E">
      <w:pPr>
        <w:pStyle w:val="Corpodetexto2"/>
        <w:spacing w:before="120" w:line="312" w:lineRule="auto"/>
        <w:ind w:firstLine="567"/>
        <w:jc w:val="both"/>
        <w:rPr>
          <w:rFonts w:asciiTheme="minorHAnsi" w:hAnsiTheme="minorHAnsi" w:cstheme="minorHAnsi"/>
          <w:bCs/>
          <w:szCs w:val="16"/>
        </w:rPr>
      </w:pPr>
      <w:r w:rsidRPr="00665977">
        <w:rPr>
          <w:rFonts w:asciiTheme="minorHAnsi" w:hAnsiTheme="minorHAnsi" w:cstheme="minorHAnsi"/>
          <w:szCs w:val="16"/>
        </w:rPr>
        <w:t xml:space="preserve">O </w:t>
      </w:r>
      <w:r w:rsidRPr="00665977">
        <w:rPr>
          <w:rFonts w:asciiTheme="minorHAnsi" w:hAnsiTheme="minorHAnsi" w:cstheme="minorHAnsi"/>
          <w:b/>
          <w:bCs/>
          <w:szCs w:val="16"/>
        </w:rPr>
        <w:t>PRESIDENTE DA COMISSÃO DE VALORES MOBILIÁRIOS - CVM</w:t>
      </w:r>
      <w:r w:rsidRPr="00665977">
        <w:rPr>
          <w:rFonts w:asciiTheme="minorHAnsi" w:hAnsiTheme="minorHAnsi" w:cstheme="minorHAnsi"/>
          <w:szCs w:val="16"/>
        </w:rPr>
        <w:t xml:space="preserve"> torna público que o Colegiado, </w:t>
      </w:r>
      <w:r w:rsidRPr="00FD0726">
        <w:rPr>
          <w:rFonts w:asciiTheme="minorHAnsi" w:hAnsiTheme="minorHAnsi" w:cstheme="minorHAnsi"/>
          <w:szCs w:val="16"/>
        </w:rPr>
        <w:t xml:space="preserve">em reunião realizada em </w:t>
      </w:r>
      <w:r w:rsidR="0075017C">
        <w:rPr>
          <w:rFonts w:asciiTheme="minorHAnsi" w:hAnsiTheme="minorHAnsi" w:cstheme="minorHAnsi"/>
          <w:szCs w:val="16"/>
        </w:rPr>
        <w:t xml:space="preserve">4 </w:t>
      </w:r>
      <w:r w:rsidRPr="00FD0726">
        <w:rPr>
          <w:rFonts w:asciiTheme="minorHAnsi" w:hAnsiTheme="minorHAnsi" w:cstheme="minorHAnsi"/>
          <w:szCs w:val="16"/>
        </w:rPr>
        <w:t xml:space="preserve">de </w:t>
      </w:r>
      <w:r w:rsidR="0075017C">
        <w:rPr>
          <w:rFonts w:asciiTheme="minorHAnsi" w:hAnsiTheme="minorHAnsi" w:cstheme="minorHAnsi"/>
          <w:szCs w:val="16"/>
        </w:rPr>
        <w:t xml:space="preserve">maio </w:t>
      </w:r>
      <w:r w:rsidRPr="00FD0726">
        <w:rPr>
          <w:rFonts w:asciiTheme="minorHAnsi" w:hAnsiTheme="minorHAnsi" w:cstheme="minorHAnsi"/>
          <w:szCs w:val="16"/>
        </w:rPr>
        <w:t>de 20</w:t>
      </w:r>
      <w:r w:rsidR="00045FF1" w:rsidRPr="00FD0726">
        <w:rPr>
          <w:rFonts w:asciiTheme="minorHAnsi" w:hAnsiTheme="minorHAnsi" w:cstheme="minorHAnsi"/>
          <w:szCs w:val="16"/>
        </w:rPr>
        <w:t>2</w:t>
      </w:r>
      <w:r w:rsidR="00FD0726" w:rsidRPr="00FD0726">
        <w:rPr>
          <w:rFonts w:asciiTheme="minorHAnsi" w:hAnsiTheme="minorHAnsi" w:cstheme="minorHAnsi"/>
          <w:szCs w:val="16"/>
        </w:rPr>
        <w:t>2</w:t>
      </w:r>
      <w:r w:rsidRPr="00FD0726">
        <w:rPr>
          <w:rFonts w:asciiTheme="minorHAnsi" w:hAnsiTheme="minorHAnsi" w:cstheme="minorHAnsi"/>
          <w:szCs w:val="16"/>
        </w:rPr>
        <w:t>, com fundamento nos §§ 3º e 5º do art. 177 da Lei n°</w:t>
      </w:r>
      <w:r w:rsidRPr="00665977">
        <w:rPr>
          <w:rFonts w:asciiTheme="minorHAnsi" w:hAnsiTheme="minorHAnsi" w:cstheme="minorHAnsi"/>
          <w:szCs w:val="16"/>
        </w:rPr>
        <w:t xml:space="preserve"> 6.404, de 15 de dezembro de 1976, combinados com os incisos II e IV do § 1° do art. 22 da Lei n° 6.385, de 7 de dezembro de 1976, </w:t>
      </w:r>
      <w:r w:rsidR="00045FF1" w:rsidRPr="00665977">
        <w:rPr>
          <w:rFonts w:asciiTheme="minorHAnsi" w:hAnsiTheme="minorHAnsi" w:cstheme="minorHAnsi"/>
          <w:szCs w:val="16"/>
        </w:rPr>
        <w:t xml:space="preserve">bem como nos arts. 5º e 14 do Decreto nº 10.139, de 28 de novembro de 2019, </w:t>
      </w:r>
      <w:r w:rsidRPr="00665977">
        <w:rPr>
          <w:rFonts w:asciiTheme="minorHAnsi" w:hAnsiTheme="minorHAnsi" w:cstheme="minorHAnsi"/>
          <w:b/>
          <w:bCs/>
          <w:szCs w:val="16"/>
        </w:rPr>
        <w:t>APROVOU</w:t>
      </w:r>
      <w:r w:rsidRPr="00665977">
        <w:rPr>
          <w:rFonts w:asciiTheme="minorHAnsi" w:hAnsiTheme="minorHAnsi" w:cstheme="minorHAnsi"/>
          <w:szCs w:val="16"/>
        </w:rPr>
        <w:t xml:space="preserve"> a seguinte Resolução:</w:t>
      </w:r>
    </w:p>
    <w:p w14:paraId="65BD1463" w14:textId="209858A5" w:rsidR="00D46F9A" w:rsidRPr="00665977" w:rsidRDefault="00D46F9A" w:rsidP="006E6083">
      <w:pPr>
        <w:autoSpaceDE w:val="0"/>
        <w:autoSpaceDN w:val="0"/>
        <w:adjustRightInd w:val="0"/>
        <w:spacing w:before="360" w:after="120" w:line="312" w:lineRule="auto"/>
        <w:ind w:firstLine="567"/>
        <w:jc w:val="both"/>
        <w:rPr>
          <w:rFonts w:asciiTheme="minorHAnsi" w:hAnsiTheme="minorHAnsi" w:cstheme="minorHAnsi"/>
        </w:rPr>
      </w:pPr>
      <w:r w:rsidRPr="00665977">
        <w:rPr>
          <w:rFonts w:asciiTheme="minorHAnsi" w:hAnsiTheme="minorHAnsi" w:cstheme="minorHAnsi"/>
        </w:rPr>
        <w:t>Art. 1º</w:t>
      </w:r>
      <w:r w:rsidR="0038216D" w:rsidRPr="00665977">
        <w:rPr>
          <w:rFonts w:asciiTheme="minorHAnsi" w:hAnsiTheme="minorHAnsi" w:cstheme="minorHAnsi"/>
        </w:rPr>
        <w:t xml:space="preserve"> </w:t>
      </w:r>
      <w:r w:rsidR="00FD0726">
        <w:rPr>
          <w:rFonts w:asciiTheme="minorHAnsi" w:hAnsiTheme="minorHAnsi" w:cstheme="minorHAnsi"/>
        </w:rPr>
        <w:t xml:space="preserve"> </w:t>
      </w:r>
      <w:r w:rsidR="00FD0726" w:rsidRPr="00FD0726">
        <w:rPr>
          <w:rFonts w:asciiTheme="minorHAnsi" w:hAnsiTheme="minorHAnsi" w:cstheme="minorHAnsi"/>
        </w:rPr>
        <w:t xml:space="preserve">Fica ratificada a obrigatoriedade </w:t>
      </w:r>
      <w:r w:rsidR="00665977" w:rsidRPr="00665977">
        <w:rPr>
          <w:rFonts w:asciiTheme="minorHAnsi" w:hAnsiTheme="minorHAnsi" w:cstheme="minorHAnsi"/>
        </w:rPr>
        <w:t xml:space="preserve">para as companhias abertas </w:t>
      </w:r>
      <w:r w:rsidR="00FD0726">
        <w:rPr>
          <w:rFonts w:asciiTheme="minorHAnsi" w:hAnsiTheme="minorHAnsi" w:cstheme="minorHAnsi"/>
        </w:rPr>
        <w:t>d</w:t>
      </w:r>
      <w:r w:rsidR="00FF64C9">
        <w:rPr>
          <w:rFonts w:asciiTheme="minorHAnsi" w:hAnsiTheme="minorHAnsi" w:cstheme="minorHAnsi"/>
        </w:rPr>
        <w:t xml:space="preserve">a Interpretação Técnica ICPC </w:t>
      </w:r>
      <w:r w:rsidR="005F4EDC">
        <w:rPr>
          <w:rFonts w:asciiTheme="minorHAnsi" w:hAnsiTheme="minorHAnsi" w:cstheme="minorHAnsi"/>
        </w:rPr>
        <w:t>0</w:t>
      </w:r>
      <w:r w:rsidR="00D64288">
        <w:rPr>
          <w:rFonts w:asciiTheme="minorHAnsi" w:hAnsiTheme="minorHAnsi" w:cstheme="minorHAnsi"/>
        </w:rPr>
        <w:t>8 (R1)</w:t>
      </w:r>
      <w:r w:rsidR="00FD0726" w:rsidRPr="00665977">
        <w:rPr>
          <w:rFonts w:asciiTheme="minorHAnsi" w:hAnsiTheme="minorHAnsi" w:cstheme="minorHAnsi"/>
        </w:rPr>
        <w:t xml:space="preserve">, que trata </w:t>
      </w:r>
      <w:r w:rsidR="00FD0726">
        <w:rPr>
          <w:rFonts w:asciiTheme="minorHAnsi" w:hAnsiTheme="minorHAnsi" w:cstheme="minorHAnsi"/>
        </w:rPr>
        <w:t>da</w:t>
      </w:r>
      <w:r w:rsidR="00FD0726" w:rsidRPr="00665977">
        <w:rPr>
          <w:rFonts w:asciiTheme="minorHAnsi" w:hAnsiTheme="minorHAnsi" w:cstheme="minorHAnsi"/>
        </w:rPr>
        <w:t xml:space="preserve"> </w:t>
      </w:r>
      <w:r w:rsidR="00FD0726">
        <w:rPr>
          <w:rFonts w:asciiTheme="minorHAnsi" w:hAnsiTheme="minorHAnsi" w:cstheme="minorHAnsi"/>
        </w:rPr>
        <w:t>contabilização da proposta de pagamento de dividendos,</w:t>
      </w:r>
      <w:r w:rsidR="00FF64C9">
        <w:rPr>
          <w:rFonts w:asciiTheme="minorHAnsi" w:hAnsiTheme="minorHAnsi" w:cstheme="minorHAnsi"/>
        </w:rPr>
        <w:t xml:space="preserve"> </w:t>
      </w:r>
      <w:r w:rsidR="00665977" w:rsidRPr="00665977">
        <w:rPr>
          <w:rFonts w:asciiTheme="minorHAnsi" w:hAnsiTheme="minorHAnsi" w:cstheme="minorHAnsi"/>
        </w:rPr>
        <w:t>emitid</w:t>
      </w:r>
      <w:r w:rsidR="003A7E45">
        <w:rPr>
          <w:rFonts w:asciiTheme="minorHAnsi" w:hAnsiTheme="minorHAnsi" w:cstheme="minorHAnsi"/>
        </w:rPr>
        <w:t>a</w:t>
      </w:r>
      <w:r w:rsidR="00665977" w:rsidRPr="00665977">
        <w:rPr>
          <w:rFonts w:asciiTheme="minorHAnsi" w:hAnsiTheme="minorHAnsi" w:cstheme="minorHAnsi"/>
        </w:rPr>
        <w:t xml:space="preserve"> pelo Comitê de Pronunciamentos Contábeis - CPC,</w:t>
      </w:r>
      <w:r w:rsidR="00FD0726" w:rsidRPr="00FD0726">
        <w:rPr>
          <w:rFonts w:asciiTheme="minorHAnsi" w:hAnsiTheme="minorHAnsi" w:cstheme="minorHAnsi"/>
        </w:rPr>
        <w:t xml:space="preserve"> conforme Anexo “A” à presente Resolução</w:t>
      </w:r>
      <w:r w:rsidR="0056279B">
        <w:rPr>
          <w:rFonts w:asciiTheme="minorHAnsi" w:hAnsiTheme="minorHAnsi" w:cstheme="minorHAnsi"/>
        </w:rPr>
        <w:t>.</w:t>
      </w:r>
    </w:p>
    <w:p w14:paraId="225F595D" w14:textId="6636FB90" w:rsidR="002D2DF1" w:rsidRDefault="002D2DF1" w:rsidP="00F6565E">
      <w:pPr>
        <w:autoSpaceDE w:val="0"/>
        <w:autoSpaceDN w:val="0"/>
        <w:adjustRightInd w:val="0"/>
        <w:spacing w:before="120" w:after="120" w:line="312" w:lineRule="auto"/>
        <w:ind w:firstLine="567"/>
        <w:jc w:val="both"/>
        <w:rPr>
          <w:rFonts w:asciiTheme="minorHAnsi" w:hAnsiTheme="minorHAnsi" w:cstheme="minorHAnsi"/>
        </w:rPr>
      </w:pPr>
      <w:r w:rsidRPr="00665977">
        <w:rPr>
          <w:rFonts w:asciiTheme="minorHAnsi" w:hAnsiTheme="minorHAnsi" w:cstheme="minorHAnsi"/>
        </w:rPr>
        <w:t>Art. 2º</w:t>
      </w:r>
      <w:r>
        <w:rPr>
          <w:rFonts w:asciiTheme="minorHAnsi" w:hAnsiTheme="minorHAnsi" w:cstheme="minorHAnsi"/>
        </w:rPr>
        <w:t xml:space="preserve"> </w:t>
      </w:r>
      <w:r w:rsidRPr="00665977">
        <w:rPr>
          <w:rFonts w:asciiTheme="minorHAnsi" w:hAnsiTheme="minorHAnsi" w:cstheme="minorHAnsi"/>
        </w:rPr>
        <w:t xml:space="preserve"> </w:t>
      </w:r>
      <w:r w:rsidRPr="002D2DF1">
        <w:rPr>
          <w:rFonts w:asciiTheme="minorHAnsi" w:hAnsiTheme="minorHAnsi" w:cstheme="minorHAnsi"/>
          <w:color w:val="000000" w:themeColor="text1"/>
        </w:rPr>
        <w:t>Os juros pagos ou creditados, a título de remuneração do capital próprio, somente poderão ser imputados ao dividendo obrigatório (Lei n° 9.249, de 26 de dezembro de 1995, art. 9º, §7º), previsto no art. 202 da Lei n° 6.404, de 15 de dezembro de 1976, pelo seu valor líquido do imposto de renda na fonte</w:t>
      </w:r>
      <w:r>
        <w:rPr>
          <w:rFonts w:asciiTheme="minorHAnsi" w:hAnsiTheme="minorHAnsi" w:cstheme="minorHAnsi"/>
          <w:color w:val="000000" w:themeColor="text1"/>
        </w:rPr>
        <w:t>.</w:t>
      </w:r>
    </w:p>
    <w:p w14:paraId="7713847E" w14:textId="5CAA32A9" w:rsidR="00D46F9A" w:rsidRPr="00665977" w:rsidRDefault="00D46F9A" w:rsidP="00F6565E">
      <w:pPr>
        <w:autoSpaceDE w:val="0"/>
        <w:autoSpaceDN w:val="0"/>
        <w:adjustRightInd w:val="0"/>
        <w:spacing w:before="120" w:after="120" w:line="312" w:lineRule="auto"/>
        <w:ind w:firstLine="567"/>
        <w:jc w:val="both"/>
        <w:rPr>
          <w:rFonts w:asciiTheme="minorHAnsi" w:hAnsiTheme="minorHAnsi" w:cstheme="minorHAnsi"/>
        </w:rPr>
      </w:pPr>
      <w:r w:rsidRPr="00665977">
        <w:rPr>
          <w:rFonts w:asciiTheme="minorHAnsi" w:hAnsiTheme="minorHAnsi" w:cstheme="minorHAnsi"/>
        </w:rPr>
        <w:t xml:space="preserve">Art. </w:t>
      </w:r>
      <w:r w:rsidR="002D2DF1">
        <w:rPr>
          <w:rFonts w:asciiTheme="minorHAnsi" w:hAnsiTheme="minorHAnsi" w:cstheme="minorHAnsi"/>
        </w:rPr>
        <w:t>3</w:t>
      </w:r>
      <w:r w:rsidRPr="00665977">
        <w:rPr>
          <w:rFonts w:asciiTheme="minorHAnsi" w:hAnsiTheme="minorHAnsi" w:cstheme="minorHAnsi"/>
        </w:rPr>
        <w:t>º</w:t>
      </w:r>
      <w:r w:rsidR="00FD0726">
        <w:rPr>
          <w:rFonts w:asciiTheme="minorHAnsi" w:hAnsiTheme="minorHAnsi" w:cstheme="minorHAnsi"/>
        </w:rPr>
        <w:t xml:space="preserve"> </w:t>
      </w:r>
      <w:r w:rsidR="0038216D" w:rsidRPr="00665977">
        <w:rPr>
          <w:rFonts w:asciiTheme="minorHAnsi" w:hAnsiTheme="minorHAnsi" w:cstheme="minorHAnsi"/>
        </w:rPr>
        <w:t xml:space="preserve"> </w:t>
      </w:r>
      <w:r w:rsidR="00665977" w:rsidRPr="00665977">
        <w:rPr>
          <w:rFonts w:asciiTheme="minorHAnsi" w:hAnsiTheme="minorHAnsi" w:cstheme="minorHAnsi"/>
          <w:color w:val="000000" w:themeColor="text1"/>
        </w:rPr>
        <w:t xml:space="preserve">Fica revogada a Deliberação </w:t>
      </w:r>
      <w:r w:rsidR="00431408">
        <w:rPr>
          <w:rFonts w:asciiTheme="minorHAnsi" w:hAnsiTheme="minorHAnsi" w:cstheme="minorHAnsi"/>
          <w:color w:val="000000" w:themeColor="text1"/>
        </w:rPr>
        <w:t xml:space="preserve">CVM </w:t>
      </w:r>
      <w:r w:rsidR="00F92719">
        <w:rPr>
          <w:rFonts w:asciiTheme="minorHAnsi" w:hAnsiTheme="minorHAnsi" w:cstheme="minorHAnsi"/>
          <w:color w:val="000000" w:themeColor="text1"/>
        </w:rPr>
        <w:t>nº 6</w:t>
      </w:r>
      <w:r w:rsidR="006E43BD">
        <w:rPr>
          <w:rFonts w:asciiTheme="minorHAnsi" w:hAnsiTheme="minorHAnsi" w:cstheme="minorHAnsi"/>
          <w:color w:val="000000" w:themeColor="text1"/>
        </w:rPr>
        <w:t>83</w:t>
      </w:r>
      <w:r w:rsidR="00665977" w:rsidRPr="00665977">
        <w:rPr>
          <w:rFonts w:asciiTheme="minorHAnsi" w:hAnsiTheme="minorHAnsi" w:cstheme="minorHAnsi"/>
          <w:color w:val="000000" w:themeColor="text1"/>
        </w:rPr>
        <w:t xml:space="preserve">, de </w:t>
      </w:r>
      <w:r w:rsidR="00926B67">
        <w:rPr>
          <w:rFonts w:asciiTheme="minorHAnsi" w:hAnsiTheme="minorHAnsi" w:cstheme="minorHAnsi"/>
          <w:color w:val="000000" w:themeColor="text1"/>
        </w:rPr>
        <w:t>30</w:t>
      </w:r>
      <w:r w:rsidR="00665977" w:rsidRPr="00665977">
        <w:rPr>
          <w:rFonts w:asciiTheme="minorHAnsi" w:hAnsiTheme="minorHAnsi" w:cstheme="minorHAnsi"/>
          <w:color w:val="000000" w:themeColor="text1"/>
        </w:rPr>
        <w:t xml:space="preserve"> de </w:t>
      </w:r>
      <w:r w:rsidR="00926B67">
        <w:rPr>
          <w:rFonts w:asciiTheme="minorHAnsi" w:hAnsiTheme="minorHAnsi" w:cstheme="minorHAnsi"/>
          <w:color w:val="000000" w:themeColor="text1"/>
        </w:rPr>
        <w:t>agosto</w:t>
      </w:r>
      <w:r w:rsidR="00665977" w:rsidRPr="00665977">
        <w:rPr>
          <w:rFonts w:asciiTheme="minorHAnsi" w:hAnsiTheme="minorHAnsi" w:cstheme="minorHAnsi"/>
          <w:color w:val="000000" w:themeColor="text1"/>
        </w:rPr>
        <w:t xml:space="preserve"> de 20</w:t>
      </w:r>
      <w:r w:rsidR="00926B67">
        <w:rPr>
          <w:rFonts w:asciiTheme="minorHAnsi" w:hAnsiTheme="minorHAnsi" w:cstheme="minorHAnsi"/>
          <w:color w:val="000000" w:themeColor="text1"/>
        </w:rPr>
        <w:t>12</w:t>
      </w:r>
      <w:r w:rsidR="00FD0726" w:rsidRPr="00FD0726">
        <w:rPr>
          <w:rFonts w:asciiTheme="minorHAnsi" w:hAnsiTheme="minorHAnsi" w:cstheme="minorHAnsi"/>
          <w:color w:val="000000" w:themeColor="text1"/>
        </w:rPr>
        <w:t>, a partir da vigência desta Resolução</w:t>
      </w:r>
      <w:r w:rsidR="00926B67">
        <w:rPr>
          <w:rFonts w:asciiTheme="minorHAnsi" w:hAnsiTheme="minorHAnsi" w:cstheme="minorHAnsi"/>
          <w:color w:val="000000" w:themeColor="text1"/>
        </w:rPr>
        <w:t>.</w:t>
      </w:r>
    </w:p>
    <w:p w14:paraId="1515FC6F" w14:textId="597DE6D9" w:rsidR="00D46F9A" w:rsidRPr="00665977" w:rsidRDefault="00D46F9A" w:rsidP="00F6565E">
      <w:pPr>
        <w:pStyle w:val="Recuodecorpodetexto"/>
        <w:spacing w:before="120" w:line="312" w:lineRule="auto"/>
        <w:ind w:firstLine="567"/>
        <w:jc w:val="both"/>
        <w:rPr>
          <w:rFonts w:asciiTheme="minorHAnsi" w:hAnsiTheme="minorHAnsi" w:cstheme="minorHAnsi"/>
        </w:rPr>
      </w:pPr>
      <w:r w:rsidRPr="00665977">
        <w:rPr>
          <w:rFonts w:asciiTheme="minorHAnsi" w:hAnsiTheme="minorHAnsi" w:cstheme="minorHAnsi"/>
        </w:rPr>
        <w:t xml:space="preserve">Art. </w:t>
      </w:r>
      <w:r w:rsidR="002D2DF1">
        <w:rPr>
          <w:rFonts w:asciiTheme="minorHAnsi" w:hAnsiTheme="minorHAnsi" w:cstheme="minorHAnsi"/>
        </w:rPr>
        <w:t>4</w:t>
      </w:r>
      <w:r w:rsidRPr="00665977">
        <w:rPr>
          <w:rFonts w:asciiTheme="minorHAnsi" w:hAnsiTheme="minorHAnsi" w:cstheme="minorHAnsi"/>
        </w:rPr>
        <w:t>º</w:t>
      </w:r>
      <w:r w:rsidR="0038216D" w:rsidRPr="00665977">
        <w:rPr>
          <w:rFonts w:asciiTheme="minorHAnsi" w:hAnsiTheme="minorHAnsi" w:cstheme="minorHAnsi"/>
        </w:rPr>
        <w:t xml:space="preserve"> </w:t>
      </w:r>
      <w:r w:rsidR="00FD0726">
        <w:rPr>
          <w:rFonts w:asciiTheme="minorHAnsi" w:hAnsiTheme="minorHAnsi" w:cstheme="minorHAnsi"/>
        </w:rPr>
        <w:t xml:space="preserve"> </w:t>
      </w:r>
      <w:r w:rsidR="00FD0726" w:rsidRPr="00FD0726">
        <w:rPr>
          <w:rFonts w:asciiTheme="minorHAnsi" w:hAnsiTheme="minorHAnsi" w:cstheme="minorHAnsi"/>
        </w:rPr>
        <w:t>Esta Resolução entra em vigor em 1º de julho de 2022</w:t>
      </w:r>
      <w:r w:rsidR="00665977" w:rsidRPr="00665977">
        <w:rPr>
          <w:rFonts w:asciiTheme="minorHAnsi" w:hAnsiTheme="minorHAnsi" w:cstheme="minorHAnsi"/>
          <w:color w:val="000000" w:themeColor="text1"/>
        </w:rPr>
        <w:t>.</w:t>
      </w:r>
    </w:p>
    <w:p w14:paraId="7FBD2C8F" w14:textId="77777777" w:rsidR="00FD0726" w:rsidRDefault="00FD0726" w:rsidP="00F6565E">
      <w:pPr>
        <w:jc w:val="center"/>
        <w:rPr>
          <w:rFonts w:asciiTheme="minorHAnsi" w:hAnsiTheme="minorHAnsi" w:cstheme="minorHAnsi"/>
          <w:i/>
          <w:iCs/>
          <w:color w:val="000000"/>
        </w:rPr>
      </w:pPr>
    </w:p>
    <w:p w14:paraId="5C8A44E0" w14:textId="77777777" w:rsidR="00FD0726" w:rsidRDefault="00FD0726" w:rsidP="00F6565E">
      <w:pPr>
        <w:jc w:val="center"/>
        <w:rPr>
          <w:rFonts w:asciiTheme="minorHAnsi" w:hAnsiTheme="minorHAnsi" w:cstheme="minorHAnsi"/>
          <w:i/>
          <w:iCs/>
          <w:color w:val="000000"/>
        </w:rPr>
      </w:pPr>
    </w:p>
    <w:p w14:paraId="2552248F" w14:textId="17636E47" w:rsidR="00F6565E" w:rsidRPr="00665977" w:rsidRDefault="00F6565E" w:rsidP="00FD0726">
      <w:pPr>
        <w:spacing w:before="120" w:after="120"/>
        <w:jc w:val="center"/>
        <w:rPr>
          <w:rFonts w:asciiTheme="minorHAnsi" w:hAnsiTheme="minorHAnsi" w:cstheme="minorHAnsi"/>
          <w:i/>
          <w:iCs/>
          <w:color w:val="000000"/>
        </w:rPr>
      </w:pPr>
      <w:r w:rsidRPr="00665977">
        <w:rPr>
          <w:rFonts w:asciiTheme="minorHAnsi" w:hAnsiTheme="minorHAnsi" w:cstheme="minorHAnsi"/>
          <w:i/>
          <w:iCs/>
          <w:color w:val="000000"/>
        </w:rPr>
        <w:t>Assinado eletronicamente por</w:t>
      </w:r>
    </w:p>
    <w:p w14:paraId="5B5152DF" w14:textId="77777777" w:rsidR="00F6565E" w:rsidRPr="00665977" w:rsidRDefault="00F6565E" w:rsidP="00FD0726">
      <w:pPr>
        <w:spacing w:before="120" w:after="120"/>
        <w:jc w:val="center"/>
        <w:rPr>
          <w:rFonts w:asciiTheme="minorHAnsi" w:hAnsiTheme="minorHAnsi" w:cstheme="minorHAnsi"/>
          <w:b/>
          <w:bCs/>
          <w:color w:val="000000"/>
        </w:rPr>
      </w:pPr>
      <w:r w:rsidRPr="00665977">
        <w:rPr>
          <w:rFonts w:asciiTheme="minorHAnsi" w:hAnsiTheme="minorHAnsi" w:cstheme="minorHAnsi"/>
          <w:b/>
          <w:bCs/>
          <w:color w:val="000000"/>
        </w:rPr>
        <w:t>Marcelo Barbosa</w:t>
      </w:r>
    </w:p>
    <w:p w14:paraId="59E51571" w14:textId="7E6B1080" w:rsidR="00F6565E" w:rsidRPr="00665977" w:rsidRDefault="00F6565E" w:rsidP="00FD0726">
      <w:pPr>
        <w:spacing w:before="120" w:after="120"/>
        <w:jc w:val="center"/>
        <w:rPr>
          <w:rFonts w:asciiTheme="minorHAnsi" w:hAnsiTheme="minorHAnsi" w:cstheme="minorHAnsi"/>
          <w:b/>
          <w:bCs/>
          <w:color w:val="000000"/>
        </w:rPr>
      </w:pPr>
      <w:r w:rsidRPr="00665977">
        <w:rPr>
          <w:rFonts w:asciiTheme="minorHAnsi" w:hAnsiTheme="minorHAnsi" w:cstheme="minorHAnsi"/>
          <w:b/>
          <w:bCs/>
          <w:color w:val="000000"/>
        </w:rPr>
        <w:t>Presidente</w:t>
      </w:r>
    </w:p>
    <w:p w14:paraId="6C650B96" w14:textId="7B7A7AE4" w:rsidR="00F6565E" w:rsidRPr="00665977" w:rsidRDefault="00F6565E" w:rsidP="00F6565E">
      <w:pPr>
        <w:rPr>
          <w:rFonts w:asciiTheme="minorHAnsi" w:hAnsiTheme="minorHAnsi" w:cstheme="minorHAnsi"/>
          <w:b/>
          <w:bCs/>
          <w:color w:val="000000"/>
        </w:rPr>
      </w:pPr>
    </w:p>
    <w:p w14:paraId="1D610A21" w14:textId="77777777" w:rsidR="00BB077B" w:rsidRDefault="00F6565E" w:rsidP="006802F9">
      <w:pPr>
        <w:jc w:val="center"/>
        <w:outlineLvl w:val="0"/>
        <w:rPr>
          <w:b/>
          <w:bCs/>
          <w:color w:val="000000"/>
        </w:rPr>
      </w:pPr>
      <w:r>
        <w:rPr>
          <w:b/>
          <w:bCs/>
          <w:color w:val="000000"/>
        </w:rPr>
        <w:br w:type="page"/>
      </w:r>
    </w:p>
    <w:p w14:paraId="3C7B5C2D" w14:textId="33BD4EB6" w:rsidR="00BB077B" w:rsidRDefault="00BB077B" w:rsidP="006802F9">
      <w:pPr>
        <w:jc w:val="center"/>
        <w:outlineLvl w:val="0"/>
        <w:rPr>
          <w:b/>
          <w:bCs/>
          <w:color w:val="000000"/>
        </w:rPr>
      </w:pPr>
      <w:r w:rsidRPr="00BB077B">
        <w:rPr>
          <w:b/>
          <w:bCs/>
          <w:color w:val="000000"/>
        </w:rPr>
        <w:lastRenderedPageBreak/>
        <w:t>ANEXO “A”</w:t>
      </w:r>
    </w:p>
    <w:p w14:paraId="0D333AFE" w14:textId="77777777" w:rsidR="00BB077B" w:rsidRDefault="00BB077B" w:rsidP="006802F9">
      <w:pPr>
        <w:jc w:val="center"/>
        <w:outlineLvl w:val="0"/>
        <w:rPr>
          <w:b/>
          <w:bCs/>
          <w:color w:val="000000"/>
        </w:rPr>
      </w:pPr>
    </w:p>
    <w:p w14:paraId="2AA86DF1" w14:textId="638C01F0" w:rsidR="006802F9" w:rsidRPr="006802F9" w:rsidRDefault="006802F9" w:rsidP="006802F9">
      <w:pPr>
        <w:jc w:val="center"/>
        <w:outlineLvl w:val="0"/>
        <w:rPr>
          <w:b/>
        </w:rPr>
      </w:pPr>
      <w:r w:rsidRPr="006802F9">
        <w:rPr>
          <w:b/>
        </w:rPr>
        <w:t>COMITÊ DE PRONUNCIAMENTOS CONTÁBEIS</w:t>
      </w:r>
    </w:p>
    <w:p w14:paraId="1A8E72B9" w14:textId="77777777" w:rsidR="006802F9" w:rsidRPr="006802F9" w:rsidRDefault="006802F9" w:rsidP="006802F9">
      <w:pPr>
        <w:jc w:val="center"/>
        <w:outlineLvl w:val="0"/>
        <w:rPr>
          <w:b/>
        </w:rPr>
      </w:pPr>
    </w:p>
    <w:p w14:paraId="65D3D136" w14:textId="77777777" w:rsidR="006802F9" w:rsidRPr="006802F9" w:rsidRDefault="006802F9" w:rsidP="006802F9">
      <w:pPr>
        <w:jc w:val="center"/>
        <w:outlineLvl w:val="0"/>
        <w:rPr>
          <w:b/>
        </w:rPr>
      </w:pPr>
      <w:r w:rsidRPr="006802F9">
        <w:rPr>
          <w:b/>
        </w:rPr>
        <w:t xml:space="preserve">INTERPRETAÇÃO </w:t>
      </w:r>
      <w:r w:rsidRPr="006802F9">
        <w:rPr>
          <w:b/>
          <w:bCs/>
          <w:sz w:val="23"/>
          <w:szCs w:val="23"/>
        </w:rPr>
        <w:t xml:space="preserve">TÉCNICA </w:t>
      </w:r>
      <w:r w:rsidRPr="006802F9">
        <w:rPr>
          <w:b/>
        </w:rPr>
        <w:t>ICPC 08 (</w:t>
      </w:r>
      <w:r w:rsidRPr="006802F9">
        <w:rPr>
          <w:b/>
          <w:bCs/>
          <w:sz w:val="23"/>
          <w:szCs w:val="23"/>
        </w:rPr>
        <w:t>R1)</w:t>
      </w:r>
    </w:p>
    <w:p w14:paraId="0A0DF2B1" w14:textId="77777777" w:rsidR="006802F9" w:rsidRPr="006802F9" w:rsidRDefault="006802F9" w:rsidP="006802F9">
      <w:pPr>
        <w:jc w:val="center"/>
        <w:outlineLvl w:val="0"/>
        <w:rPr>
          <w:b/>
        </w:rPr>
      </w:pPr>
    </w:p>
    <w:p w14:paraId="54241D42" w14:textId="47AE3FD6" w:rsidR="006802F9" w:rsidRPr="00FF6B2F" w:rsidRDefault="006802F9" w:rsidP="006802F9">
      <w:pPr>
        <w:jc w:val="center"/>
        <w:outlineLvl w:val="0"/>
        <w:rPr>
          <w:b/>
          <w:caps/>
        </w:rPr>
      </w:pPr>
      <w:r w:rsidRPr="00FF6B2F">
        <w:rPr>
          <w:b/>
          <w:caps/>
        </w:rPr>
        <w:t>Contabilização da Proposta de Pagamento de Dividendos</w:t>
      </w:r>
    </w:p>
    <w:p w14:paraId="08834638" w14:textId="77777777" w:rsidR="006802F9" w:rsidRPr="006802F9" w:rsidRDefault="006802F9" w:rsidP="006802F9">
      <w:pPr>
        <w:jc w:val="center"/>
        <w:outlineLvl w:val="0"/>
        <w:rPr>
          <w:b/>
        </w:rPr>
      </w:pPr>
    </w:p>
    <w:p w14:paraId="2F2992A2" w14:textId="77777777" w:rsidR="006802F9" w:rsidRPr="006802F9" w:rsidRDefault="006802F9" w:rsidP="006802F9">
      <w:pPr>
        <w:jc w:val="center"/>
        <w:outlineLvl w:val="0"/>
        <w:rPr>
          <w:b/>
        </w:rPr>
      </w:pPr>
    </w:p>
    <w:tbl>
      <w:tblPr>
        <w:tblW w:w="9288" w:type="dxa"/>
        <w:tblLook w:val="01E0" w:firstRow="1" w:lastRow="1" w:firstColumn="1" w:lastColumn="1" w:noHBand="0" w:noVBand="0"/>
      </w:tblPr>
      <w:tblGrid>
        <w:gridCol w:w="8028"/>
        <w:gridCol w:w="1260"/>
      </w:tblGrid>
      <w:tr w:rsidR="006802F9" w:rsidRPr="006802F9" w14:paraId="0A987B61" w14:textId="77777777" w:rsidTr="00AB2D06">
        <w:tc>
          <w:tcPr>
            <w:tcW w:w="8028" w:type="dxa"/>
          </w:tcPr>
          <w:p w14:paraId="68EB24D8" w14:textId="77777777" w:rsidR="006802F9" w:rsidRPr="006802F9" w:rsidRDefault="006802F9" w:rsidP="006802F9">
            <w:pPr>
              <w:rPr>
                <w:b/>
                <w:bCs/>
                <w:kern w:val="36"/>
              </w:rPr>
            </w:pPr>
            <w:r w:rsidRPr="006802F9">
              <w:rPr>
                <w:b/>
                <w:bCs/>
                <w:kern w:val="36"/>
              </w:rPr>
              <w:t>Índice</w:t>
            </w:r>
          </w:p>
        </w:tc>
        <w:tc>
          <w:tcPr>
            <w:tcW w:w="1260" w:type="dxa"/>
          </w:tcPr>
          <w:p w14:paraId="1FF16410" w14:textId="77777777" w:rsidR="006802F9" w:rsidRPr="006802F9" w:rsidRDefault="006802F9" w:rsidP="006802F9">
            <w:pPr>
              <w:jc w:val="center"/>
              <w:rPr>
                <w:b/>
                <w:bCs/>
                <w:kern w:val="36"/>
              </w:rPr>
            </w:pPr>
            <w:r w:rsidRPr="006802F9">
              <w:rPr>
                <w:b/>
                <w:bCs/>
                <w:kern w:val="36"/>
              </w:rPr>
              <w:t>Item</w:t>
            </w:r>
          </w:p>
        </w:tc>
      </w:tr>
      <w:tr w:rsidR="006802F9" w:rsidRPr="006802F9" w14:paraId="1892142B" w14:textId="77777777" w:rsidTr="00AB2D06">
        <w:tc>
          <w:tcPr>
            <w:tcW w:w="8028" w:type="dxa"/>
          </w:tcPr>
          <w:p w14:paraId="16C1E93F" w14:textId="77777777" w:rsidR="006802F9" w:rsidRPr="006802F9" w:rsidRDefault="006802F9" w:rsidP="006802F9">
            <w:pPr>
              <w:spacing w:before="120"/>
              <w:rPr>
                <w:b/>
                <w:bCs/>
                <w:kern w:val="36"/>
              </w:rPr>
            </w:pPr>
            <w:r w:rsidRPr="006802F9">
              <w:rPr>
                <w:b/>
                <w:bCs/>
                <w:kern w:val="36"/>
              </w:rPr>
              <w:t>REFERÊNCIAS</w:t>
            </w:r>
          </w:p>
        </w:tc>
        <w:tc>
          <w:tcPr>
            <w:tcW w:w="1260" w:type="dxa"/>
          </w:tcPr>
          <w:p w14:paraId="281DC16C" w14:textId="77777777" w:rsidR="006802F9" w:rsidRPr="006802F9" w:rsidRDefault="006802F9" w:rsidP="006802F9">
            <w:pPr>
              <w:spacing w:before="120"/>
              <w:jc w:val="center"/>
              <w:rPr>
                <w:b/>
                <w:bCs/>
                <w:kern w:val="36"/>
              </w:rPr>
            </w:pPr>
          </w:p>
        </w:tc>
      </w:tr>
      <w:tr w:rsidR="006802F9" w:rsidRPr="006802F9" w14:paraId="3030F183" w14:textId="77777777" w:rsidTr="00AB2D06">
        <w:tc>
          <w:tcPr>
            <w:tcW w:w="8028" w:type="dxa"/>
          </w:tcPr>
          <w:p w14:paraId="371C777C" w14:textId="77777777" w:rsidR="006802F9" w:rsidRPr="006802F9" w:rsidRDefault="006802F9" w:rsidP="006802F9">
            <w:pPr>
              <w:spacing w:before="120"/>
              <w:rPr>
                <w:b/>
                <w:bCs/>
                <w:kern w:val="36"/>
              </w:rPr>
            </w:pPr>
            <w:r w:rsidRPr="006802F9">
              <w:rPr>
                <w:b/>
                <w:bCs/>
                <w:kern w:val="36"/>
              </w:rPr>
              <w:t>ANTECEDENTES</w:t>
            </w:r>
          </w:p>
        </w:tc>
        <w:tc>
          <w:tcPr>
            <w:tcW w:w="1260" w:type="dxa"/>
          </w:tcPr>
          <w:p w14:paraId="5A209CEC" w14:textId="77777777" w:rsidR="006802F9" w:rsidRPr="006802F9" w:rsidRDefault="006802F9" w:rsidP="006802F9">
            <w:pPr>
              <w:spacing w:before="120"/>
              <w:jc w:val="center"/>
              <w:rPr>
                <w:b/>
                <w:bCs/>
                <w:kern w:val="36"/>
              </w:rPr>
            </w:pPr>
            <w:r w:rsidRPr="006802F9">
              <w:rPr>
                <w:b/>
                <w:bCs/>
                <w:kern w:val="36"/>
              </w:rPr>
              <w:t>1 - 12</w:t>
            </w:r>
          </w:p>
        </w:tc>
      </w:tr>
      <w:tr w:rsidR="006802F9" w:rsidRPr="006802F9" w14:paraId="5487CB2F" w14:textId="77777777" w:rsidTr="00AB2D06">
        <w:tc>
          <w:tcPr>
            <w:tcW w:w="8028" w:type="dxa"/>
          </w:tcPr>
          <w:p w14:paraId="60ADF805" w14:textId="77777777" w:rsidR="006802F9" w:rsidRPr="006802F9" w:rsidRDefault="006802F9" w:rsidP="006802F9">
            <w:pPr>
              <w:spacing w:before="120"/>
              <w:ind w:left="142"/>
              <w:rPr>
                <w:b/>
                <w:bCs/>
                <w:kern w:val="36"/>
              </w:rPr>
            </w:pPr>
            <w:r w:rsidRPr="006802F9">
              <w:rPr>
                <w:b/>
                <w:bCs/>
                <w:kern w:val="36"/>
              </w:rPr>
              <w:t>Dividendo Obrigatório</w:t>
            </w:r>
          </w:p>
        </w:tc>
        <w:tc>
          <w:tcPr>
            <w:tcW w:w="1260" w:type="dxa"/>
          </w:tcPr>
          <w:p w14:paraId="0D10B1F5" w14:textId="77777777" w:rsidR="006802F9" w:rsidRPr="006802F9" w:rsidRDefault="006802F9" w:rsidP="006802F9">
            <w:pPr>
              <w:spacing w:before="120"/>
              <w:jc w:val="center"/>
              <w:rPr>
                <w:b/>
                <w:bCs/>
                <w:kern w:val="36"/>
              </w:rPr>
            </w:pPr>
            <w:r w:rsidRPr="006802F9">
              <w:rPr>
                <w:b/>
                <w:bCs/>
                <w:kern w:val="36"/>
              </w:rPr>
              <w:t>1 – 5</w:t>
            </w:r>
          </w:p>
        </w:tc>
      </w:tr>
      <w:tr w:rsidR="006802F9" w:rsidRPr="006802F9" w14:paraId="65F34E54" w14:textId="77777777" w:rsidTr="00AB2D06">
        <w:tc>
          <w:tcPr>
            <w:tcW w:w="8028" w:type="dxa"/>
          </w:tcPr>
          <w:p w14:paraId="788AB957" w14:textId="77777777" w:rsidR="006802F9" w:rsidRPr="006802F9" w:rsidRDefault="006802F9" w:rsidP="006802F9">
            <w:pPr>
              <w:spacing w:before="120"/>
              <w:ind w:left="142"/>
              <w:rPr>
                <w:b/>
                <w:bCs/>
                <w:kern w:val="36"/>
              </w:rPr>
            </w:pPr>
            <w:r w:rsidRPr="006802F9">
              <w:rPr>
                <w:b/>
                <w:bCs/>
                <w:kern w:val="36"/>
              </w:rPr>
              <w:t>Dividendo Fixo ou Mínimo</w:t>
            </w:r>
          </w:p>
        </w:tc>
        <w:tc>
          <w:tcPr>
            <w:tcW w:w="1260" w:type="dxa"/>
          </w:tcPr>
          <w:p w14:paraId="7CF534B0" w14:textId="77777777" w:rsidR="006802F9" w:rsidRPr="006802F9" w:rsidRDefault="006802F9" w:rsidP="006802F9">
            <w:pPr>
              <w:spacing w:before="120"/>
              <w:jc w:val="center"/>
              <w:rPr>
                <w:b/>
                <w:bCs/>
                <w:kern w:val="36"/>
              </w:rPr>
            </w:pPr>
            <w:r w:rsidRPr="006802F9">
              <w:rPr>
                <w:b/>
                <w:bCs/>
                <w:kern w:val="36"/>
              </w:rPr>
              <w:t>6 – 9</w:t>
            </w:r>
          </w:p>
        </w:tc>
      </w:tr>
      <w:tr w:rsidR="006802F9" w:rsidRPr="006802F9" w14:paraId="69A6B5C5" w14:textId="77777777" w:rsidTr="00AB2D06">
        <w:tc>
          <w:tcPr>
            <w:tcW w:w="8028" w:type="dxa"/>
          </w:tcPr>
          <w:p w14:paraId="4210D93D" w14:textId="77777777" w:rsidR="006802F9" w:rsidRPr="006802F9" w:rsidRDefault="006802F9" w:rsidP="006802F9">
            <w:pPr>
              <w:spacing w:before="120"/>
              <w:ind w:left="142"/>
              <w:rPr>
                <w:b/>
                <w:bCs/>
                <w:kern w:val="36"/>
              </w:rPr>
            </w:pPr>
            <w:r w:rsidRPr="006802F9">
              <w:rPr>
                <w:b/>
                <w:bCs/>
                <w:kern w:val="36"/>
              </w:rPr>
              <w:t>Juros sobre o Capital Próprio</w:t>
            </w:r>
          </w:p>
        </w:tc>
        <w:tc>
          <w:tcPr>
            <w:tcW w:w="1260" w:type="dxa"/>
          </w:tcPr>
          <w:p w14:paraId="1B6AC225" w14:textId="77777777" w:rsidR="006802F9" w:rsidRPr="006802F9" w:rsidRDefault="006802F9" w:rsidP="006802F9">
            <w:pPr>
              <w:spacing w:before="120"/>
              <w:jc w:val="center"/>
              <w:rPr>
                <w:b/>
                <w:bCs/>
                <w:kern w:val="36"/>
              </w:rPr>
            </w:pPr>
            <w:r w:rsidRPr="006802F9">
              <w:rPr>
                <w:b/>
                <w:bCs/>
                <w:kern w:val="36"/>
              </w:rPr>
              <w:t>10 - 11</w:t>
            </w:r>
          </w:p>
        </w:tc>
      </w:tr>
      <w:tr w:rsidR="006802F9" w:rsidRPr="006802F9" w14:paraId="0A1247AD" w14:textId="77777777" w:rsidTr="00AB2D06">
        <w:tc>
          <w:tcPr>
            <w:tcW w:w="8028" w:type="dxa"/>
          </w:tcPr>
          <w:p w14:paraId="3B98267A" w14:textId="77777777" w:rsidR="006802F9" w:rsidRPr="006802F9" w:rsidRDefault="006802F9" w:rsidP="006802F9">
            <w:pPr>
              <w:spacing w:before="120"/>
              <w:ind w:left="142"/>
              <w:rPr>
                <w:b/>
                <w:bCs/>
                <w:kern w:val="36"/>
              </w:rPr>
            </w:pPr>
            <w:r w:rsidRPr="006802F9">
              <w:rPr>
                <w:b/>
                <w:bCs/>
                <w:kern w:val="36"/>
              </w:rPr>
              <w:t>Dividendo Intermediário</w:t>
            </w:r>
          </w:p>
        </w:tc>
        <w:tc>
          <w:tcPr>
            <w:tcW w:w="1260" w:type="dxa"/>
          </w:tcPr>
          <w:p w14:paraId="5708DCFA" w14:textId="77777777" w:rsidR="006802F9" w:rsidRPr="006802F9" w:rsidRDefault="006802F9" w:rsidP="006802F9">
            <w:pPr>
              <w:spacing w:before="120"/>
              <w:jc w:val="center"/>
              <w:rPr>
                <w:b/>
                <w:bCs/>
                <w:kern w:val="36"/>
              </w:rPr>
            </w:pPr>
            <w:r w:rsidRPr="006802F9">
              <w:rPr>
                <w:b/>
                <w:bCs/>
                <w:kern w:val="36"/>
              </w:rPr>
              <w:t>12</w:t>
            </w:r>
          </w:p>
        </w:tc>
      </w:tr>
      <w:tr w:rsidR="006802F9" w:rsidRPr="006802F9" w14:paraId="180980B6" w14:textId="77777777" w:rsidTr="00AB2D06">
        <w:tc>
          <w:tcPr>
            <w:tcW w:w="8028" w:type="dxa"/>
          </w:tcPr>
          <w:p w14:paraId="7A547E0D" w14:textId="77777777" w:rsidR="006802F9" w:rsidRPr="006802F9" w:rsidRDefault="006802F9" w:rsidP="006802F9">
            <w:pPr>
              <w:spacing w:before="120"/>
              <w:rPr>
                <w:b/>
                <w:bCs/>
                <w:kern w:val="36"/>
              </w:rPr>
            </w:pPr>
            <w:r w:rsidRPr="006802F9">
              <w:rPr>
                <w:b/>
                <w:bCs/>
                <w:kern w:val="36"/>
              </w:rPr>
              <w:t>ALCANCE</w:t>
            </w:r>
          </w:p>
        </w:tc>
        <w:tc>
          <w:tcPr>
            <w:tcW w:w="1260" w:type="dxa"/>
          </w:tcPr>
          <w:p w14:paraId="1674C07F" w14:textId="77777777" w:rsidR="006802F9" w:rsidRPr="006802F9" w:rsidRDefault="006802F9" w:rsidP="006802F9">
            <w:pPr>
              <w:spacing w:before="120"/>
              <w:jc w:val="center"/>
              <w:rPr>
                <w:b/>
                <w:bCs/>
                <w:kern w:val="36"/>
              </w:rPr>
            </w:pPr>
            <w:r w:rsidRPr="006802F9">
              <w:rPr>
                <w:b/>
                <w:bCs/>
                <w:kern w:val="36"/>
              </w:rPr>
              <w:t>13</w:t>
            </w:r>
          </w:p>
        </w:tc>
      </w:tr>
      <w:tr w:rsidR="006802F9" w:rsidRPr="006802F9" w14:paraId="559B9B74" w14:textId="77777777" w:rsidTr="00AB2D06">
        <w:tc>
          <w:tcPr>
            <w:tcW w:w="8028" w:type="dxa"/>
          </w:tcPr>
          <w:p w14:paraId="3F9B7EEA" w14:textId="77777777" w:rsidR="006802F9" w:rsidRPr="006802F9" w:rsidRDefault="006802F9" w:rsidP="006802F9">
            <w:pPr>
              <w:spacing w:before="120"/>
              <w:rPr>
                <w:b/>
                <w:bCs/>
                <w:kern w:val="36"/>
              </w:rPr>
            </w:pPr>
            <w:r w:rsidRPr="006802F9">
              <w:rPr>
                <w:b/>
                <w:bCs/>
                <w:kern w:val="36"/>
              </w:rPr>
              <w:t>ASSUNTOS TRATADOS</w:t>
            </w:r>
          </w:p>
        </w:tc>
        <w:tc>
          <w:tcPr>
            <w:tcW w:w="1260" w:type="dxa"/>
          </w:tcPr>
          <w:p w14:paraId="4B60A4B5" w14:textId="77777777" w:rsidR="006802F9" w:rsidRPr="006802F9" w:rsidRDefault="006802F9" w:rsidP="006802F9">
            <w:pPr>
              <w:spacing w:before="120"/>
              <w:jc w:val="center"/>
              <w:rPr>
                <w:b/>
                <w:bCs/>
                <w:kern w:val="36"/>
              </w:rPr>
            </w:pPr>
            <w:r w:rsidRPr="006802F9">
              <w:rPr>
                <w:b/>
                <w:bCs/>
                <w:kern w:val="36"/>
              </w:rPr>
              <w:t>14 - 16</w:t>
            </w:r>
          </w:p>
        </w:tc>
      </w:tr>
      <w:tr w:rsidR="006802F9" w:rsidRPr="006802F9" w14:paraId="3F43B515" w14:textId="77777777" w:rsidTr="00AB2D06">
        <w:tc>
          <w:tcPr>
            <w:tcW w:w="8028" w:type="dxa"/>
          </w:tcPr>
          <w:p w14:paraId="4DA799F7" w14:textId="77777777" w:rsidR="006802F9" w:rsidRPr="006802F9" w:rsidRDefault="006802F9" w:rsidP="006802F9">
            <w:pPr>
              <w:spacing w:before="120"/>
              <w:rPr>
                <w:b/>
                <w:bCs/>
                <w:kern w:val="36"/>
              </w:rPr>
            </w:pPr>
            <w:r w:rsidRPr="006802F9">
              <w:rPr>
                <w:b/>
                <w:bCs/>
                <w:kern w:val="36"/>
              </w:rPr>
              <w:t>CONSENSO</w:t>
            </w:r>
          </w:p>
        </w:tc>
        <w:tc>
          <w:tcPr>
            <w:tcW w:w="1260" w:type="dxa"/>
          </w:tcPr>
          <w:p w14:paraId="31CA76FE" w14:textId="77777777" w:rsidR="006802F9" w:rsidRPr="006802F9" w:rsidRDefault="006802F9" w:rsidP="006802F9">
            <w:pPr>
              <w:spacing w:before="120"/>
              <w:jc w:val="center"/>
              <w:rPr>
                <w:b/>
                <w:bCs/>
                <w:kern w:val="36"/>
              </w:rPr>
            </w:pPr>
            <w:r w:rsidRPr="006802F9">
              <w:rPr>
                <w:b/>
                <w:bCs/>
                <w:kern w:val="36"/>
              </w:rPr>
              <w:t>17 - 25</w:t>
            </w:r>
          </w:p>
        </w:tc>
      </w:tr>
      <w:tr w:rsidR="006802F9" w:rsidRPr="006802F9" w14:paraId="0D0638AB" w14:textId="77777777" w:rsidTr="00AB2D06">
        <w:tc>
          <w:tcPr>
            <w:tcW w:w="8028" w:type="dxa"/>
          </w:tcPr>
          <w:p w14:paraId="2386B30F" w14:textId="77777777" w:rsidR="006802F9" w:rsidRPr="006802F9" w:rsidRDefault="006802F9" w:rsidP="006802F9">
            <w:pPr>
              <w:spacing w:before="120"/>
              <w:rPr>
                <w:b/>
                <w:bCs/>
                <w:kern w:val="36"/>
              </w:rPr>
            </w:pPr>
            <w:r w:rsidRPr="006802F9">
              <w:rPr>
                <w:b/>
                <w:bCs/>
                <w:kern w:val="36"/>
              </w:rPr>
              <w:t>NOTA EXPLICATIVA</w:t>
            </w:r>
          </w:p>
        </w:tc>
        <w:tc>
          <w:tcPr>
            <w:tcW w:w="1260" w:type="dxa"/>
          </w:tcPr>
          <w:p w14:paraId="0190046B" w14:textId="77777777" w:rsidR="006802F9" w:rsidRPr="006802F9" w:rsidRDefault="006802F9" w:rsidP="006802F9">
            <w:pPr>
              <w:spacing w:before="120"/>
              <w:jc w:val="center"/>
              <w:rPr>
                <w:b/>
                <w:bCs/>
                <w:kern w:val="36"/>
              </w:rPr>
            </w:pPr>
            <w:r w:rsidRPr="006802F9">
              <w:rPr>
                <w:b/>
                <w:bCs/>
                <w:kern w:val="36"/>
              </w:rPr>
              <w:t xml:space="preserve">26 – 27 </w:t>
            </w:r>
          </w:p>
        </w:tc>
      </w:tr>
      <w:tr w:rsidR="006802F9" w:rsidRPr="006802F9" w14:paraId="623CB7F4" w14:textId="77777777" w:rsidTr="00AB2D06">
        <w:tc>
          <w:tcPr>
            <w:tcW w:w="8028" w:type="dxa"/>
          </w:tcPr>
          <w:p w14:paraId="42B8A9A6" w14:textId="77777777" w:rsidR="006802F9" w:rsidRPr="006802F9" w:rsidRDefault="006802F9" w:rsidP="006802F9">
            <w:pPr>
              <w:spacing w:before="120"/>
              <w:rPr>
                <w:b/>
                <w:bCs/>
                <w:kern w:val="36"/>
              </w:rPr>
            </w:pPr>
            <w:r w:rsidRPr="006802F9">
              <w:rPr>
                <w:b/>
                <w:bCs/>
                <w:kern w:val="36"/>
              </w:rPr>
              <w:t>DISPOSIÇÕES TRANSITÓRIAS</w:t>
            </w:r>
          </w:p>
        </w:tc>
        <w:tc>
          <w:tcPr>
            <w:tcW w:w="1260" w:type="dxa"/>
          </w:tcPr>
          <w:p w14:paraId="41512D1E" w14:textId="77777777" w:rsidR="006802F9" w:rsidRPr="006802F9" w:rsidRDefault="006802F9" w:rsidP="006802F9">
            <w:pPr>
              <w:spacing w:before="120"/>
              <w:jc w:val="center"/>
              <w:rPr>
                <w:b/>
                <w:bCs/>
                <w:kern w:val="36"/>
              </w:rPr>
            </w:pPr>
            <w:r w:rsidRPr="006802F9">
              <w:rPr>
                <w:b/>
                <w:bCs/>
                <w:kern w:val="36"/>
              </w:rPr>
              <w:t>28</w:t>
            </w:r>
          </w:p>
        </w:tc>
      </w:tr>
      <w:tr w:rsidR="006802F9" w:rsidRPr="006802F9" w14:paraId="18BD5D20" w14:textId="77777777" w:rsidTr="00AB2D06">
        <w:tc>
          <w:tcPr>
            <w:tcW w:w="8028" w:type="dxa"/>
          </w:tcPr>
          <w:p w14:paraId="4E6A0699" w14:textId="77777777" w:rsidR="006802F9" w:rsidRPr="006802F9" w:rsidRDefault="006802F9" w:rsidP="006802F9">
            <w:pPr>
              <w:spacing w:before="120"/>
              <w:rPr>
                <w:b/>
                <w:bCs/>
                <w:kern w:val="36"/>
              </w:rPr>
            </w:pPr>
          </w:p>
        </w:tc>
        <w:tc>
          <w:tcPr>
            <w:tcW w:w="1260" w:type="dxa"/>
          </w:tcPr>
          <w:p w14:paraId="548BF831" w14:textId="77777777" w:rsidR="006802F9" w:rsidRPr="006802F9" w:rsidRDefault="006802F9" w:rsidP="006802F9">
            <w:pPr>
              <w:spacing w:before="120"/>
              <w:jc w:val="center"/>
              <w:rPr>
                <w:b/>
                <w:bCs/>
                <w:kern w:val="36"/>
              </w:rPr>
            </w:pPr>
          </w:p>
        </w:tc>
      </w:tr>
    </w:tbl>
    <w:p w14:paraId="33AA48A0" w14:textId="77777777" w:rsidR="006802F9" w:rsidRPr="006802F9" w:rsidRDefault="006802F9" w:rsidP="006802F9">
      <w:pPr>
        <w:widowControl w:val="0"/>
        <w:tabs>
          <w:tab w:val="left" w:pos="6804"/>
        </w:tabs>
        <w:ind w:left="57" w:right="57"/>
        <w:jc w:val="both"/>
        <w:rPr>
          <w:b/>
        </w:rPr>
      </w:pPr>
    </w:p>
    <w:p w14:paraId="181A9591" w14:textId="77777777" w:rsidR="006802F9" w:rsidRPr="006802F9" w:rsidRDefault="006802F9" w:rsidP="006802F9">
      <w:pPr>
        <w:widowControl w:val="0"/>
        <w:tabs>
          <w:tab w:val="left" w:pos="6804"/>
        </w:tabs>
        <w:ind w:left="57" w:right="57"/>
        <w:jc w:val="both"/>
        <w:rPr>
          <w:b/>
        </w:rPr>
      </w:pPr>
    </w:p>
    <w:p w14:paraId="4EE89E70" w14:textId="77777777" w:rsidR="006802F9" w:rsidRPr="006802F9" w:rsidRDefault="006802F9" w:rsidP="006802F9">
      <w:pPr>
        <w:widowControl w:val="0"/>
        <w:tabs>
          <w:tab w:val="left" w:pos="6804"/>
        </w:tabs>
        <w:ind w:left="57" w:right="57"/>
        <w:jc w:val="both"/>
        <w:rPr>
          <w:b/>
        </w:rPr>
      </w:pPr>
    </w:p>
    <w:p w14:paraId="66733525" w14:textId="77777777" w:rsidR="006802F9" w:rsidRPr="006802F9" w:rsidRDefault="006802F9" w:rsidP="006802F9">
      <w:pPr>
        <w:widowControl w:val="0"/>
        <w:tabs>
          <w:tab w:val="left" w:pos="6804"/>
        </w:tabs>
        <w:ind w:left="57" w:right="57"/>
        <w:jc w:val="both"/>
        <w:rPr>
          <w:b/>
          <w:sz w:val="28"/>
        </w:rPr>
      </w:pPr>
      <w:r w:rsidRPr="006802F9">
        <w:rPr>
          <w:b/>
          <w:sz w:val="28"/>
        </w:rPr>
        <w:t>Referências</w:t>
      </w:r>
    </w:p>
    <w:p w14:paraId="6CCAADEC" w14:textId="77777777" w:rsidR="006802F9" w:rsidRPr="006802F9" w:rsidRDefault="006802F9" w:rsidP="006802F9">
      <w:pPr>
        <w:widowControl w:val="0"/>
        <w:tabs>
          <w:tab w:val="left" w:pos="6804"/>
        </w:tabs>
        <w:ind w:left="567" w:right="57" w:hanging="567"/>
        <w:jc w:val="both"/>
        <w:rPr>
          <w:iCs/>
          <w:spacing w:val="-8"/>
        </w:rPr>
      </w:pPr>
    </w:p>
    <w:p w14:paraId="367F1CA3" w14:textId="77777777" w:rsidR="006802F9" w:rsidRPr="006802F9" w:rsidRDefault="006802F9" w:rsidP="006802F9">
      <w:pPr>
        <w:widowControl w:val="0"/>
        <w:tabs>
          <w:tab w:val="left" w:pos="6804"/>
        </w:tabs>
        <w:ind w:left="567" w:right="57" w:hanging="567"/>
        <w:jc w:val="both"/>
      </w:pPr>
      <w:r w:rsidRPr="006802F9">
        <w:tab/>
        <w:t>CPC 24 – Evento Subsequente</w:t>
      </w:r>
    </w:p>
    <w:p w14:paraId="457A7441" w14:textId="77777777" w:rsidR="006802F9" w:rsidRPr="006802F9" w:rsidRDefault="006802F9" w:rsidP="006802F9">
      <w:pPr>
        <w:widowControl w:val="0"/>
        <w:tabs>
          <w:tab w:val="left" w:pos="6804"/>
        </w:tabs>
        <w:ind w:left="567" w:right="57" w:hanging="567"/>
        <w:jc w:val="both"/>
      </w:pPr>
      <w:r w:rsidRPr="006802F9">
        <w:tab/>
        <w:t>CPC 25 – Provisões, Passivos Contingentes e Ativos Contingentes</w:t>
      </w:r>
    </w:p>
    <w:p w14:paraId="05CAAFB1" w14:textId="77777777" w:rsidR="006802F9" w:rsidRPr="006802F9" w:rsidRDefault="006802F9" w:rsidP="006802F9">
      <w:pPr>
        <w:widowControl w:val="0"/>
        <w:tabs>
          <w:tab w:val="left" w:pos="6804"/>
        </w:tabs>
        <w:ind w:left="57" w:right="57"/>
        <w:jc w:val="both"/>
        <w:rPr>
          <w:b/>
        </w:rPr>
      </w:pPr>
    </w:p>
    <w:p w14:paraId="19CCF088" w14:textId="77777777" w:rsidR="002D75B0" w:rsidRDefault="002D75B0">
      <w:pPr>
        <w:rPr>
          <w:b/>
          <w:sz w:val="28"/>
        </w:rPr>
      </w:pPr>
      <w:r>
        <w:rPr>
          <w:b/>
          <w:sz w:val="28"/>
        </w:rPr>
        <w:br w:type="page"/>
      </w:r>
    </w:p>
    <w:p w14:paraId="4BC2D71E" w14:textId="3035C4D5" w:rsidR="006802F9" w:rsidRPr="006802F9" w:rsidRDefault="006802F9" w:rsidP="006802F9">
      <w:pPr>
        <w:widowControl w:val="0"/>
        <w:tabs>
          <w:tab w:val="left" w:pos="6804"/>
        </w:tabs>
        <w:ind w:left="57" w:right="57"/>
        <w:jc w:val="both"/>
        <w:rPr>
          <w:b/>
          <w:sz w:val="28"/>
        </w:rPr>
      </w:pPr>
      <w:r w:rsidRPr="006802F9">
        <w:rPr>
          <w:b/>
          <w:sz w:val="28"/>
        </w:rPr>
        <w:lastRenderedPageBreak/>
        <w:t>Antecedentes</w:t>
      </w:r>
    </w:p>
    <w:p w14:paraId="0CC36E1F" w14:textId="77777777" w:rsidR="006802F9" w:rsidRPr="002D75B0" w:rsidRDefault="006802F9" w:rsidP="006802F9">
      <w:pPr>
        <w:widowControl w:val="0"/>
        <w:tabs>
          <w:tab w:val="left" w:pos="709"/>
        </w:tabs>
        <w:ind w:left="62" w:right="57"/>
        <w:jc w:val="both"/>
        <w:rPr>
          <w:bCs/>
        </w:rPr>
      </w:pPr>
    </w:p>
    <w:p w14:paraId="40645508" w14:textId="77777777" w:rsidR="006802F9" w:rsidRPr="006802F9" w:rsidRDefault="006802F9" w:rsidP="006802F9">
      <w:pPr>
        <w:widowControl w:val="0"/>
        <w:tabs>
          <w:tab w:val="left" w:pos="6804"/>
        </w:tabs>
        <w:ind w:left="360" w:right="57"/>
        <w:jc w:val="both"/>
        <w:rPr>
          <w:rFonts w:cs="Arial"/>
          <w:b/>
        </w:rPr>
      </w:pPr>
      <w:r w:rsidRPr="006802F9">
        <w:rPr>
          <w:rFonts w:cs="Arial"/>
          <w:b/>
        </w:rPr>
        <w:t>Dividendo obrigatório</w:t>
      </w:r>
    </w:p>
    <w:p w14:paraId="641EEF77" w14:textId="77777777" w:rsidR="006802F9" w:rsidRPr="006802F9" w:rsidRDefault="006802F9" w:rsidP="006802F9">
      <w:pPr>
        <w:widowControl w:val="0"/>
        <w:tabs>
          <w:tab w:val="left" w:pos="709"/>
        </w:tabs>
        <w:ind w:left="62" w:right="57"/>
        <w:jc w:val="both"/>
        <w:rPr>
          <w:rFonts w:cs="Arial"/>
          <w:lang w:val="pt-PT"/>
        </w:rPr>
      </w:pPr>
    </w:p>
    <w:p w14:paraId="11D5A716"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A legislação societária brasileira, Lei nº. 6.404/76, determina a distribuição de dividendo obrigatório aos acionistas por meio do artigo 202:</w:t>
      </w:r>
    </w:p>
    <w:p w14:paraId="4C77BE53" w14:textId="77777777" w:rsidR="006802F9" w:rsidRPr="006802F9" w:rsidRDefault="006802F9" w:rsidP="006802F9">
      <w:pPr>
        <w:widowControl w:val="0"/>
        <w:tabs>
          <w:tab w:val="left" w:pos="709"/>
        </w:tabs>
        <w:ind w:left="62" w:right="57"/>
        <w:jc w:val="both"/>
        <w:rPr>
          <w:rFonts w:cs="Arial"/>
          <w:lang w:val="pt-PT"/>
        </w:rPr>
      </w:pPr>
    </w:p>
    <w:p w14:paraId="28CD4CFF" w14:textId="77777777" w:rsidR="006802F9" w:rsidRPr="006802F9" w:rsidRDefault="006802F9" w:rsidP="006802F9">
      <w:pPr>
        <w:widowControl w:val="0"/>
        <w:tabs>
          <w:tab w:val="left" w:pos="6804"/>
        </w:tabs>
        <w:ind w:left="360" w:right="57"/>
        <w:jc w:val="both"/>
        <w:rPr>
          <w:rFonts w:cs="Arial"/>
          <w:lang w:val="pt-PT"/>
        </w:rPr>
      </w:pPr>
      <w:r w:rsidRPr="006802F9">
        <w:rPr>
          <w:rFonts w:cs="Arial"/>
          <w:lang w:val="pt-PT"/>
        </w:rPr>
        <w:t>“Art. 202. Os acionistas têm direito de receber como dividendo obrigatório, em cada exercício, a parcela dos lucros estabelecida no estatuto ou, se este for omisso, a importância determinada de acordo com as seguintes normas…”</w:t>
      </w:r>
    </w:p>
    <w:p w14:paraId="670F9A1E" w14:textId="77777777" w:rsidR="006802F9" w:rsidRPr="006802F9" w:rsidRDefault="006802F9" w:rsidP="006802F9">
      <w:pPr>
        <w:widowControl w:val="0"/>
        <w:tabs>
          <w:tab w:val="left" w:pos="709"/>
        </w:tabs>
        <w:ind w:left="62" w:right="57"/>
        <w:jc w:val="both"/>
        <w:rPr>
          <w:rFonts w:cs="Arial"/>
          <w:lang w:val="pt-PT"/>
        </w:rPr>
      </w:pPr>
    </w:p>
    <w:p w14:paraId="5C9855AD"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A lei societária prevê que o dividendo obrigatório pode deixar de ser distribuído ou pode ser distribuído por valor inferior ao determinado no estatuto social da entidade, quando não houver lucro realizado em montante suficiente (art. 202, inciso II). Quando o dividendo obrigatório, devido por força do estatuto social ou da própria lei, excede o montante do lucro líquido do exercício realizado financeiramente, pode a parcela não distribuída ser destinada à constituição da reserva de lucros a realizar.</w:t>
      </w:r>
    </w:p>
    <w:p w14:paraId="5B1BB373" w14:textId="77777777" w:rsidR="006802F9" w:rsidRPr="006802F9" w:rsidRDefault="006802F9" w:rsidP="006802F9">
      <w:pPr>
        <w:widowControl w:val="0"/>
        <w:tabs>
          <w:tab w:val="left" w:pos="6804"/>
        </w:tabs>
        <w:ind w:left="360" w:right="57"/>
        <w:jc w:val="both"/>
        <w:rPr>
          <w:rFonts w:cs="Arial"/>
          <w:lang w:val="pt-PT"/>
        </w:rPr>
      </w:pPr>
    </w:p>
    <w:p w14:paraId="50C0284E"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A lei societária ainda prevê que o dividendo obrigatório pode deixar de ser distribuído quando os órgãos da administração informarem à Assembleia Geral Ordinária ser ele incompatível com a situação financeira da companhia (art. 202, § 4º). É uma discricionariedade conferida por lei aos administradores com vistas a evitar o comprometimento da gestão de caixa e equivalente de caixa da entidade, desde que observadas outras condicionantes legais. A parcela dos lucros não distribuída deve ser destinada à constituição de reserva especial.</w:t>
      </w:r>
    </w:p>
    <w:p w14:paraId="76D716E4" w14:textId="77777777" w:rsidR="006802F9" w:rsidRPr="006802F9" w:rsidRDefault="006802F9" w:rsidP="006802F9">
      <w:pPr>
        <w:widowControl w:val="0"/>
        <w:tabs>
          <w:tab w:val="left" w:pos="709"/>
        </w:tabs>
        <w:ind w:left="62" w:right="57"/>
        <w:jc w:val="both"/>
        <w:rPr>
          <w:rFonts w:cs="Arial"/>
          <w:lang w:val="pt-PT"/>
        </w:rPr>
      </w:pPr>
    </w:p>
    <w:p w14:paraId="349631DF"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Em ambos os casos, o procedimento estabelecido em lei é a retenção de lucros por meio da constituição de reservas de lucros que poderão não necessariamente ser destinadas ao pagamento de dividendos, já que poderão vir a ser absorvidas por prejuízos em exercícios subsequentes. Consta na lei:</w:t>
      </w:r>
    </w:p>
    <w:p w14:paraId="01041A66" w14:textId="77777777" w:rsidR="006802F9" w:rsidRPr="006802F9" w:rsidRDefault="006802F9" w:rsidP="006802F9">
      <w:pPr>
        <w:widowControl w:val="0"/>
        <w:tabs>
          <w:tab w:val="left" w:pos="6804"/>
        </w:tabs>
        <w:ind w:left="851" w:right="57" w:firstLine="283"/>
        <w:jc w:val="both"/>
        <w:rPr>
          <w:rFonts w:cs="Arial"/>
          <w:lang w:val="pt-PT"/>
        </w:rPr>
      </w:pPr>
    </w:p>
    <w:p w14:paraId="15755B20" w14:textId="77777777" w:rsidR="006802F9" w:rsidRPr="006802F9" w:rsidRDefault="006802F9" w:rsidP="006802F9">
      <w:pPr>
        <w:widowControl w:val="0"/>
        <w:tabs>
          <w:tab w:val="left" w:pos="6804"/>
        </w:tabs>
        <w:ind w:left="851" w:right="57" w:firstLine="283"/>
        <w:jc w:val="both"/>
        <w:rPr>
          <w:rFonts w:cs="Arial"/>
          <w:lang w:val="pt-PT"/>
        </w:rPr>
      </w:pPr>
      <w:r w:rsidRPr="006802F9">
        <w:rPr>
          <w:rFonts w:cs="Arial"/>
          <w:lang w:val="pt-PT"/>
        </w:rPr>
        <w:t xml:space="preserve">“os lucros registrados na reserva de lucros a realizar, quando realizados </w:t>
      </w:r>
      <w:r w:rsidRPr="006802F9">
        <w:rPr>
          <w:rFonts w:cs="Arial"/>
          <w:u w:val="single"/>
          <w:lang w:val="pt-PT"/>
        </w:rPr>
        <w:t>e se não tiverem sido absorvidos por prejuízos em exercícios subsequentes</w:t>
      </w:r>
      <w:r w:rsidRPr="006802F9">
        <w:rPr>
          <w:rFonts w:cs="Arial"/>
          <w:lang w:val="pt-PT"/>
        </w:rPr>
        <w:t>, deverão ser acrescidos ao primeiro dividendo declarado após a realização.” (Art. 202, inciso III)</w:t>
      </w:r>
    </w:p>
    <w:p w14:paraId="5235AA93" w14:textId="77777777" w:rsidR="006802F9" w:rsidRPr="006802F9" w:rsidRDefault="006802F9" w:rsidP="006802F9">
      <w:pPr>
        <w:widowControl w:val="0"/>
        <w:tabs>
          <w:tab w:val="left" w:pos="6804"/>
        </w:tabs>
        <w:ind w:left="851" w:right="57" w:firstLine="283"/>
        <w:jc w:val="both"/>
        <w:rPr>
          <w:rFonts w:cs="Arial"/>
          <w:lang w:val="pt-PT"/>
        </w:rPr>
      </w:pPr>
    </w:p>
    <w:p w14:paraId="6FDDA779" w14:textId="319020E5" w:rsidR="006802F9" w:rsidRDefault="006802F9" w:rsidP="6437FBE9">
      <w:pPr>
        <w:widowControl w:val="0"/>
        <w:tabs>
          <w:tab w:val="left" w:pos="6804"/>
        </w:tabs>
        <w:ind w:left="851" w:right="57" w:firstLine="283"/>
        <w:jc w:val="both"/>
        <w:rPr>
          <w:lang w:val="pt-PT"/>
        </w:rPr>
      </w:pPr>
      <w:r w:rsidRPr="6437FBE9">
        <w:rPr>
          <w:rFonts w:cs="Arial"/>
          <w:lang w:val="pt-PT"/>
        </w:rPr>
        <w:t xml:space="preserve">“os lucros que deixarem de ser distribuídos nos termos do § 4º serão registrados como reserva especial e, se </w:t>
      </w:r>
      <w:r w:rsidRPr="6437FBE9">
        <w:rPr>
          <w:rFonts w:cs="Arial"/>
          <w:u w:val="single"/>
          <w:lang w:val="pt-PT"/>
        </w:rPr>
        <w:t>não absorvidos por prejuízos em exercícios subsequentes</w:t>
      </w:r>
      <w:r w:rsidRPr="6437FBE9">
        <w:rPr>
          <w:rFonts w:cs="Arial"/>
          <w:lang w:val="pt-PT"/>
        </w:rPr>
        <w:t xml:space="preserve">, deverão ser pagos como dividendo assim que o permitir a situação financeira da companhia” (Art. 202, §5º) </w:t>
      </w:r>
      <w:r w:rsidR="7F8E0FD3" w:rsidRPr="6437FBE9">
        <w:rPr>
          <w:sz w:val="18"/>
          <w:szCs w:val="18"/>
          <w:lang w:val="pt-PT"/>
        </w:rPr>
        <w:t>(sublinhados adicionados)</w:t>
      </w:r>
    </w:p>
    <w:p w14:paraId="256EBBDA" w14:textId="77777777" w:rsidR="006802F9" w:rsidRPr="006802F9" w:rsidRDefault="006802F9" w:rsidP="006802F9">
      <w:pPr>
        <w:widowControl w:val="0"/>
        <w:tabs>
          <w:tab w:val="left" w:pos="6804"/>
        </w:tabs>
        <w:ind w:left="851" w:right="57" w:firstLine="283"/>
        <w:jc w:val="both"/>
        <w:rPr>
          <w:rFonts w:cs="Arial"/>
          <w:lang w:val="pt-PT"/>
        </w:rPr>
      </w:pPr>
    </w:p>
    <w:p w14:paraId="24296D71"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O dividendo obrigatório pode também deixar de ser distribuído, ou pode ser distribuído por um valor inferior ao determinado no estatuto social da entidade ou na lei, por decisão soberana e unânime da Assembleia Geral de Acionistas de:</w:t>
      </w:r>
    </w:p>
    <w:p w14:paraId="64585A52" w14:textId="77777777" w:rsidR="006802F9" w:rsidRPr="006802F9" w:rsidRDefault="006802F9" w:rsidP="006802F9">
      <w:pPr>
        <w:widowControl w:val="0"/>
        <w:tabs>
          <w:tab w:val="left" w:pos="6804"/>
        </w:tabs>
        <w:ind w:left="360" w:right="57"/>
        <w:jc w:val="both"/>
        <w:rPr>
          <w:rFonts w:cs="Arial"/>
          <w:lang w:val="pt-PT"/>
        </w:rPr>
      </w:pPr>
      <w:r w:rsidRPr="006802F9">
        <w:rPr>
          <w:rFonts w:cs="Arial"/>
          <w:lang w:val="pt-PT"/>
        </w:rPr>
        <w:t xml:space="preserve"> </w:t>
      </w:r>
    </w:p>
    <w:p w14:paraId="2C8DE690" w14:textId="77777777" w:rsidR="006802F9" w:rsidRPr="006802F9" w:rsidRDefault="006802F9" w:rsidP="006802F9">
      <w:pPr>
        <w:widowControl w:val="0"/>
        <w:numPr>
          <w:ilvl w:val="1"/>
          <w:numId w:val="43"/>
        </w:numPr>
        <w:tabs>
          <w:tab w:val="left" w:pos="6804"/>
        </w:tabs>
        <w:ind w:right="57"/>
        <w:jc w:val="both"/>
        <w:rPr>
          <w:rFonts w:cs="Arial"/>
          <w:lang w:val="pt-PT"/>
        </w:rPr>
      </w:pPr>
      <w:r w:rsidRPr="006802F9">
        <w:rPr>
          <w:rFonts w:cs="Arial"/>
          <w:lang w:val="pt-PT"/>
        </w:rPr>
        <w:t xml:space="preserve">companhia aberta, se com registro na CVM exclusivamente para captação de recursos por </w:t>
      </w:r>
      <w:r w:rsidRPr="006802F9">
        <w:rPr>
          <w:rFonts w:cs="Arial"/>
          <w:lang w:val="pt-PT"/>
        </w:rPr>
        <w:lastRenderedPageBreak/>
        <w:t xml:space="preserve">debêntures não conversíveis em ações; ou </w:t>
      </w:r>
    </w:p>
    <w:p w14:paraId="5AD2F5EE" w14:textId="77777777" w:rsidR="006802F9" w:rsidRPr="006802F9" w:rsidRDefault="006802F9" w:rsidP="006802F9">
      <w:pPr>
        <w:widowControl w:val="0"/>
        <w:tabs>
          <w:tab w:val="left" w:pos="6804"/>
        </w:tabs>
        <w:ind w:left="663" w:right="57"/>
        <w:jc w:val="both"/>
        <w:rPr>
          <w:rFonts w:cs="Arial"/>
          <w:lang w:val="pt-PT"/>
        </w:rPr>
      </w:pPr>
    </w:p>
    <w:p w14:paraId="6A31A092" w14:textId="77777777" w:rsidR="006802F9" w:rsidRPr="006802F9" w:rsidRDefault="006802F9" w:rsidP="006802F9">
      <w:pPr>
        <w:widowControl w:val="0"/>
        <w:numPr>
          <w:ilvl w:val="1"/>
          <w:numId w:val="43"/>
        </w:numPr>
        <w:tabs>
          <w:tab w:val="left" w:pos="6804"/>
        </w:tabs>
        <w:ind w:right="57"/>
        <w:jc w:val="both"/>
        <w:rPr>
          <w:rFonts w:cs="Arial"/>
          <w:lang w:val="pt-PT"/>
        </w:rPr>
      </w:pPr>
      <w:r w:rsidRPr="006802F9">
        <w:rPr>
          <w:rFonts w:cs="Arial"/>
          <w:lang w:val="pt-PT"/>
        </w:rPr>
        <w:t>companhia fechada, exceto se controlada por companhia aberta registrada na CVM para captação de recursos por meio de qualquer valor mobiliário que não seja uma debênture não conversível em ações (Art. 202, §3º).</w:t>
      </w:r>
    </w:p>
    <w:p w14:paraId="0CE9FD93" w14:textId="77777777" w:rsidR="006802F9" w:rsidRPr="006802F9" w:rsidRDefault="006802F9" w:rsidP="006802F9">
      <w:pPr>
        <w:widowControl w:val="0"/>
        <w:tabs>
          <w:tab w:val="left" w:pos="709"/>
        </w:tabs>
        <w:ind w:left="62" w:right="57"/>
        <w:jc w:val="both"/>
        <w:rPr>
          <w:rFonts w:cs="Arial"/>
          <w:lang w:val="pt-PT"/>
        </w:rPr>
      </w:pPr>
    </w:p>
    <w:p w14:paraId="07B19F89" w14:textId="77777777" w:rsidR="006802F9" w:rsidRPr="006802F9" w:rsidRDefault="006802F9" w:rsidP="006802F9">
      <w:pPr>
        <w:widowControl w:val="0"/>
        <w:tabs>
          <w:tab w:val="left" w:pos="6804"/>
        </w:tabs>
        <w:ind w:left="360" w:right="57"/>
        <w:jc w:val="both"/>
        <w:rPr>
          <w:rFonts w:cs="Arial"/>
          <w:b/>
        </w:rPr>
      </w:pPr>
      <w:r w:rsidRPr="006802F9">
        <w:rPr>
          <w:rFonts w:cs="Arial"/>
          <w:b/>
        </w:rPr>
        <w:t>Dividendo fixo ou mínimo</w:t>
      </w:r>
    </w:p>
    <w:p w14:paraId="444207E9" w14:textId="77777777" w:rsidR="006802F9" w:rsidRPr="006802F9" w:rsidRDefault="006802F9" w:rsidP="006802F9">
      <w:pPr>
        <w:widowControl w:val="0"/>
        <w:tabs>
          <w:tab w:val="left" w:pos="709"/>
        </w:tabs>
        <w:ind w:left="62" w:right="57"/>
        <w:jc w:val="both"/>
        <w:rPr>
          <w:rFonts w:cs="Arial"/>
          <w:lang w:val="pt-PT"/>
        </w:rPr>
      </w:pPr>
    </w:p>
    <w:p w14:paraId="343657E0"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No que concerne aos acionistas preferencialistas, a lei societária brasileira, Lei nº. 6.404/76, em seu artigo 17, fixa uma série de preferências e vantagens que deve ser a eles conferida. Entre elas o direito a um dividendo prioritário fixo ou mínimo, a ser disciplinado com minúcia e precisão no estatuto social.</w:t>
      </w:r>
    </w:p>
    <w:p w14:paraId="23D60B3C" w14:textId="77777777" w:rsidR="006802F9" w:rsidRPr="006802F9" w:rsidRDefault="006802F9" w:rsidP="006802F9">
      <w:pPr>
        <w:widowControl w:val="0"/>
        <w:tabs>
          <w:tab w:val="left" w:pos="709"/>
        </w:tabs>
        <w:ind w:left="62" w:right="57"/>
        <w:jc w:val="both"/>
        <w:rPr>
          <w:rFonts w:cs="Arial"/>
          <w:lang w:val="pt-PT"/>
        </w:rPr>
      </w:pPr>
    </w:p>
    <w:p w14:paraId="6579D4FC"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Dividendos fixos ou mínimos podem ou não ser cumulativos (para serem pagos no exercício social em que houver lucros suficientes para tal); podem ou não participar de lucros remanescentes (lucros distribuídos a título de dividendos além do previsto). Consta na lei:</w:t>
      </w:r>
    </w:p>
    <w:p w14:paraId="0DECBFBC" w14:textId="77777777" w:rsidR="006802F9" w:rsidRPr="006802F9" w:rsidRDefault="006802F9" w:rsidP="006802F9">
      <w:pPr>
        <w:widowControl w:val="0"/>
        <w:tabs>
          <w:tab w:val="left" w:pos="6804"/>
        </w:tabs>
        <w:ind w:left="851" w:right="57" w:firstLine="283"/>
        <w:jc w:val="both"/>
        <w:rPr>
          <w:rFonts w:cs="Arial"/>
          <w:lang w:val="pt-PT"/>
        </w:rPr>
      </w:pPr>
    </w:p>
    <w:p w14:paraId="4E845042" w14:textId="77777777" w:rsidR="006802F9" w:rsidRPr="006802F9" w:rsidRDefault="006802F9" w:rsidP="006802F9">
      <w:pPr>
        <w:widowControl w:val="0"/>
        <w:tabs>
          <w:tab w:val="left" w:pos="6804"/>
        </w:tabs>
        <w:ind w:left="851" w:right="57" w:firstLine="283"/>
        <w:jc w:val="both"/>
        <w:rPr>
          <w:rFonts w:cs="Arial"/>
          <w:lang w:val="pt-PT"/>
        </w:rPr>
      </w:pPr>
      <w:r w:rsidRPr="006802F9">
        <w:rPr>
          <w:rFonts w:cs="Arial"/>
          <w:lang w:val="pt-PT"/>
        </w:rPr>
        <w:t>“</w:t>
      </w:r>
      <w:r w:rsidRPr="006802F9">
        <w:rPr>
          <w:rFonts w:cs="Arial"/>
          <w:u w:val="single"/>
          <w:lang w:val="pt-PT"/>
        </w:rPr>
        <w:t>salvo disposição em contrário no estatuto</w:t>
      </w:r>
      <w:r w:rsidRPr="006802F9">
        <w:rPr>
          <w:rFonts w:cs="Arial"/>
          <w:lang w:val="pt-PT"/>
        </w:rPr>
        <w:t xml:space="preserve">, o dividendo prioritário não é cumulativo, a ação com dividendo fixo não participa dos lucros remanescentes e a ação com dividendo mínimo participa dos lucros distribuídos em igualdade de condições com as ordinárias, depois de a estas assegurado dividendo igual ao mínimo.” (Art. 17, § 4º) </w:t>
      </w:r>
      <w:r w:rsidRPr="006802F9">
        <w:rPr>
          <w:rFonts w:cs="Arial"/>
          <w:sz w:val="18"/>
          <w:szCs w:val="18"/>
          <w:lang w:val="pt-PT"/>
        </w:rPr>
        <w:t>(sublinhado adicionado)</w:t>
      </w:r>
    </w:p>
    <w:p w14:paraId="4507E053" w14:textId="77777777" w:rsidR="006802F9" w:rsidRPr="006802F9" w:rsidRDefault="006802F9" w:rsidP="006802F9">
      <w:pPr>
        <w:widowControl w:val="0"/>
        <w:tabs>
          <w:tab w:val="left" w:pos="6804"/>
        </w:tabs>
        <w:ind w:left="851" w:right="57" w:firstLine="283"/>
        <w:jc w:val="both"/>
        <w:rPr>
          <w:rFonts w:cs="Arial"/>
          <w:lang w:val="pt-PT"/>
        </w:rPr>
      </w:pPr>
    </w:p>
    <w:p w14:paraId="5A359CA7"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Cumpre salientar também que, nos termos da Lei nº. 6.404/76 (Art. 17, § 6º), o estatuto social pode conferir às ações preferenciais com prioridade na distribuição de dividendo cumulativo o direito de recebê-lo, no exercício em que houver lucro insuficiente, à conta de reservas de capital.</w:t>
      </w:r>
    </w:p>
    <w:p w14:paraId="55C79DF7" w14:textId="77777777" w:rsidR="006802F9" w:rsidRPr="006802F9" w:rsidRDefault="006802F9" w:rsidP="006802F9">
      <w:pPr>
        <w:widowControl w:val="0"/>
        <w:tabs>
          <w:tab w:val="left" w:pos="709"/>
        </w:tabs>
        <w:ind w:left="62" w:right="57"/>
        <w:jc w:val="both"/>
        <w:rPr>
          <w:rFonts w:cs="Arial"/>
          <w:lang w:val="pt-PT"/>
        </w:rPr>
      </w:pPr>
    </w:p>
    <w:p w14:paraId="6603EAC3"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Outro aspecto relevante da lei diz respeito à proteção conferida aos acionistas preferencialistas em matéria de destinação dos lucros da companhia. Preferencialistas com direito a receber dividendos fixos ou mínimos a que tenham prioridade, inclusive os atrasados, se cumulativos, não terão o direito prejudicado pela constituição de reservas estatutárias, reserva para contingências, reserva para incentivos fiscais, reserva de retenção de lucros, reserva de lucros a realizar, reserva especial ou mesmo o pagamento do dividendo obrigatório. Consta na lei:</w:t>
      </w:r>
    </w:p>
    <w:p w14:paraId="3F523978" w14:textId="77777777" w:rsidR="006802F9" w:rsidRPr="006802F9" w:rsidRDefault="006802F9" w:rsidP="006802F9">
      <w:pPr>
        <w:widowControl w:val="0"/>
        <w:tabs>
          <w:tab w:val="left" w:pos="6804"/>
        </w:tabs>
        <w:ind w:left="851" w:right="57" w:firstLine="283"/>
        <w:jc w:val="both"/>
        <w:rPr>
          <w:rFonts w:cs="Arial"/>
          <w:lang w:val="pt-PT"/>
        </w:rPr>
      </w:pPr>
    </w:p>
    <w:p w14:paraId="50738962" w14:textId="685E08E5" w:rsidR="006802F9" w:rsidRDefault="006802F9" w:rsidP="6437FBE9">
      <w:pPr>
        <w:widowControl w:val="0"/>
        <w:tabs>
          <w:tab w:val="left" w:pos="6804"/>
        </w:tabs>
        <w:ind w:left="851" w:right="57" w:firstLine="283"/>
        <w:jc w:val="both"/>
        <w:rPr>
          <w:lang w:val="pt-PT"/>
        </w:rPr>
      </w:pPr>
      <w:r w:rsidRPr="6437FBE9">
        <w:rPr>
          <w:rFonts w:cs="Arial"/>
          <w:lang w:val="pt-PT"/>
        </w:rPr>
        <w:t>“</w:t>
      </w:r>
      <w:r w:rsidRPr="6437FBE9">
        <w:rPr>
          <w:rFonts w:cs="Arial"/>
          <w:u w:val="single"/>
          <w:lang w:val="pt-PT"/>
        </w:rPr>
        <w:t>o disposto nos artigos 194 a 197, e 202</w:t>
      </w:r>
      <w:r w:rsidRPr="6437FBE9">
        <w:rPr>
          <w:rFonts w:cs="Arial"/>
          <w:lang w:val="pt-PT"/>
        </w:rPr>
        <w:t xml:space="preserve">, não prejudicará o direito dos acionistas preferenciais de receber os dividendos fixos ou mínimos a que tenham prioridade, inclusive os atrasados, se cumulativos.” (Art. 203) </w:t>
      </w:r>
      <w:r w:rsidR="03800638" w:rsidRPr="6437FBE9">
        <w:rPr>
          <w:sz w:val="18"/>
          <w:szCs w:val="18"/>
          <w:lang w:val="pt-PT"/>
        </w:rPr>
        <w:t>(sublinhado adicionado)</w:t>
      </w:r>
    </w:p>
    <w:p w14:paraId="7B6A57CE" w14:textId="77777777" w:rsidR="006802F9" w:rsidRPr="006802F9" w:rsidRDefault="006802F9" w:rsidP="006802F9">
      <w:pPr>
        <w:widowControl w:val="0"/>
        <w:tabs>
          <w:tab w:val="left" w:pos="6804"/>
        </w:tabs>
        <w:ind w:left="851" w:right="57" w:firstLine="283"/>
        <w:jc w:val="both"/>
        <w:rPr>
          <w:rFonts w:cs="Arial"/>
          <w:lang w:val="pt-PT"/>
        </w:rPr>
      </w:pPr>
    </w:p>
    <w:p w14:paraId="39B7668F" w14:textId="77777777" w:rsidR="006802F9" w:rsidRPr="006802F9" w:rsidRDefault="006802F9" w:rsidP="006802F9">
      <w:pPr>
        <w:widowControl w:val="0"/>
        <w:tabs>
          <w:tab w:val="left" w:pos="6804"/>
        </w:tabs>
        <w:ind w:left="360" w:right="57"/>
        <w:jc w:val="both"/>
        <w:rPr>
          <w:rFonts w:cs="Arial"/>
          <w:b/>
        </w:rPr>
      </w:pPr>
      <w:r w:rsidRPr="006802F9">
        <w:rPr>
          <w:rFonts w:cs="Arial"/>
          <w:b/>
        </w:rPr>
        <w:t>Juros sobre o capital próprio (JCP)</w:t>
      </w:r>
    </w:p>
    <w:p w14:paraId="4BE64501" w14:textId="77777777" w:rsidR="006802F9" w:rsidRPr="006802F9" w:rsidRDefault="006802F9" w:rsidP="006802F9">
      <w:pPr>
        <w:widowControl w:val="0"/>
        <w:tabs>
          <w:tab w:val="left" w:pos="709"/>
        </w:tabs>
        <w:ind w:left="62" w:right="57"/>
        <w:jc w:val="both"/>
        <w:rPr>
          <w:rFonts w:cs="Arial"/>
          <w:lang w:val="pt-PT"/>
        </w:rPr>
      </w:pPr>
    </w:p>
    <w:p w14:paraId="5BF21506"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Os juros sobre o capital próprio – JCP são instituto criado pela legislação tributária, incorporado ao ordenamento societário brasileiro por força da Lei 9.249/95. É prática usual das sociedades distribuirem-nos aos seus acionistas e imputarem-nos ao dividendo obrigatório, nos termos da legislação vigente.</w:t>
      </w:r>
    </w:p>
    <w:p w14:paraId="711D62F7" w14:textId="77777777" w:rsidR="006802F9" w:rsidRPr="006802F9" w:rsidRDefault="006802F9" w:rsidP="006802F9">
      <w:pPr>
        <w:widowControl w:val="0"/>
        <w:tabs>
          <w:tab w:val="left" w:pos="709"/>
        </w:tabs>
        <w:ind w:left="62" w:right="57"/>
        <w:jc w:val="both"/>
        <w:rPr>
          <w:rFonts w:cs="Arial"/>
          <w:lang w:val="pt-PT"/>
        </w:rPr>
      </w:pPr>
    </w:p>
    <w:p w14:paraId="0F6A8B21"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lastRenderedPageBreak/>
        <w:t>Assim, o tratamento contábil dado aos JCP deve, por analogia, seguir o tratamento dado ao dividendo obrigatório. O valor de tributo retido na fonte que a companhia, por obrigação da legislação tributária, deva reter e recolher não pode ser considerado quando se imputam os JCP ao dividendo obrigatório.</w:t>
      </w:r>
    </w:p>
    <w:p w14:paraId="05682BF6" w14:textId="77777777" w:rsidR="006802F9" w:rsidRPr="006802F9" w:rsidRDefault="006802F9" w:rsidP="006802F9">
      <w:pPr>
        <w:widowControl w:val="0"/>
        <w:tabs>
          <w:tab w:val="left" w:pos="6804"/>
        </w:tabs>
        <w:ind w:right="57"/>
        <w:jc w:val="both"/>
        <w:rPr>
          <w:rFonts w:cs="Arial"/>
          <w:lang w:val="pt-PT"/>
        </w:rPr>
      </w:pPr>
    </w:p>
    <w:p w14:paraId="086B2DF9" w14:textId="77777777" w:rsidR="006802F9" w:rsidRPr="006802F9" w:rsidRDefault="006802F9" w:rsidP="006802F9">
      <w:pPr>
        <w:widowControl w:val="0"/>
        <w:tabs>
          <w:tab w:val="left" w:pos="6804"/>
        </w:tabs>
        <w:ind w:left="360" w:right="57"/>
        <w:jc w:val="both"/>
        <w:rPr>
          <w:rFonts w:cs="Arial"/>
          <w:b/>
        </w:rPr>
      </w:pPr>
      <w:r w:rsidRPr="006802F9">
        <w:rPr>
          <w:rFonts w:cs="Arial"/>
          <w:b/>
        </w:rPr>
        <w:t>Dividendo intermediário</w:t>
      </w:r>
    </w:p>
    <w:p w14:paraId="12CF6660" w14:textId="77777777" w:rsidR="006802F9" w:rsidRPr="006802F9" w:rsidRDefault="006802F9" w:rsidP="006802F9">
      <w:pPr>
        <w:widowControl w:val="0"/>
        <w:tabs>
          <w:tab w:val="left" w:pos="6804"/>
        </w:tabs>
        <w:ind w:left="360" w:right="57"/>
        <w:jc w:val="both"/>
        <w:rPr>
          <w:rFonts w:cs="Arial"/>
          <w:lang w:val="pt-PT"/>
        </w:rPr>
      </w:pPr>
    </w:p>
    <w:p w14:paraId="39973E34"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Além do dividendo obrigatório, prevê a Lei brasileira a possibilidade de o estatuto de uma sociedade por ações prever o pagamento de dividendo intermediário. Nesse caso, obedecidos o estatuto e a Lei, a deliberação da administração é final, não sendo submetida à apreciação dos acionistas. A previsão estatutária já significa a aprovação assemblear.</w:t>
      </w:r>
    </w:p>
    <w:p w14:paraId="21613DD2" w14:textId="77777777" w:rsidR="006802F9" w:rsidRPr="006802F9" w:rsidRDefault="006802F9" w:rsidP="006802F9">
      <w:pPr>
        <w:widowControl w:val="0"/>
        <w:tabs>
          <w:tab w:val="left" w:pos="709"/>
        </w:tabs>
        <w:ind w:left="62" w:right="57"/>
        <w:jc w:val="both"/>
        <w:rPr>
          <w:rFonts w:cs="Arial"/>
          <w:lang w:val="pt-PT"/>
        </w:rPr>
      </w:pPr>
    </w:p>
    <w:p w14:paraId="2A8D5777" w14:textId="77777777" w:rsidR="006802F9" w:rsidRPr="006802F9" w:rsidRDefault="006802F9" w:rsidP="006802F9">
      <w:pPr>
        <w:widowControl w:val="0"/>
        <w:tabs>
          <w:tab w:val="left" w:pos="6804"/>
        </w:tabs>
        <w:ind w:left="57" w:right="57"/>
        <w:jc w:val="both"/>
        <w:rPr>
          <w:b/>
          <w:sz w:val="28"/>
        </w:rPr>
      </w:pPr>
      <w:r w:rsidRPr="006802F9">
        <w:rPr>
          <w:b/>
          <w:sz w:val="28"/>
        </w:rPr>
        <w:t>Alcance</w:t>
      </w:r>
    </w:p>
    <w:p w14:paraId="0B613039" w14:textId="77777777" w:rsidR="006802F9" w:rsidRPr="006802F9" w:rsidRDefault="006802F9" w:rsidP="006802F9">
      <w:pPr>
        <w:widowControl w:val="0"/>
        <w:tabs>
          <w:tab w:val="left" w:pos="709"/>
        </w:tabs>
        <w:ind w:left="62" w:right="57"/>
        <w:jc w:val="both"/>
        <w:rPr>
          <w:rFonts w:cs="Arial"/>
          <w:lang w:val="pt-PT"/>
        </w:rPr>
      </w:pPr>
    </w:p>
    <w:p w14:paraId="2A83B2D4"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Esta Interpretação Técnica deve ser aplicada:</w:t>
      </w:r>
    </w:p>
    <w:p w14:paraId="19704ABB" w14:textId="77777777" w:rsidR="006802F9" w:rsidRPr="006802F9" w:rsidRDefault="006802F9" w:rsidP="006802F9">
      <w:pPr>
        <w:widowControl w:val="0"/>
        <w:numPr>
          <w:ilvl w:val="0"/>
          <w:numId w:val="44"/>
        </w:numPr>
        <w:tabs>
          <w:tab w:val="left" w:pos="709"/>
        </w:tabs>
        <w:spacing w:before="200"/>
        <w:ind w:right="57" w:hanging="357"/>
        <w:jc w:val="both"/>
        <w:rPr>
          <w:rFonts w:cs="Arial"/>
          <w:lang w:val="pt-PT"/>
        </w:rPr>
      </w:pPr>
      <w:r w:rsidRPr="006802F9">
        <w:rPr>
          <w:rFonts w:cs="Arial"/>
          <w:lang w:val="pt-PT"/>
        </w:rPr>
        <w:t>ao dividendo de que trata o artigo 202 da Lei 6.404/76 (“dividendo obrigatório”);</w:t>
      </w:r>
    </w:p>
    <w:p w14:paraId="03EFA800" w14:textId="77777777" w:rsidR="006802F9" w:rsidRPr="006802F9" w:rsidRDefault="006802F9" w:rsidP="006802F9">
      <w:pPr>
        <w:widowControl w:val="0"/>
        <w:numPr>
          <w:ilvl w:val="0"/>
          <w:numId w:val="44"/>
        </w:numPr>
        <w:tabs>
          <w:tab w:val="left" w:pos="709"/>
        </w:tabs>
        <w:spacing w:before="200"/>
        <w:ind w:right="57" w:hanging="357"/>
        <w:jc w:val="both"/>
        <w:rPr>
          <w:rFonts w:cs="Arial"/>
          <w:lang w:val="pt-PT"/>
        </w:rPr>
      </w:pPr>
      <w:r w:rsidRPr="006802F9">
        <w:rPr>
          <w:rFonts w:cs="Arial"/>
          <w:lang w:val="pt-PT"/>
        </w:rPr>
        <w:t>aos dividendos de que trata o artigo 17 da Lei 6.404/76 (“dividendos fixos e mínimos”);</w:t>
      </w:r>
    </w:p>
    <w:p w14:paraId="1C0CC718" w14:textId="77777777" w:rsidR="006802F9" w:rsidRPr="006802F9" w:rsidRDefault="006802F9" w:rsidP="006802F9">
      <w:pPr>
        <w:widowControl w:val="0"/>
        <w:numPr>
          <w:ilvl w:val="0"/>
          <w:numId w:val="44"/>
        </w:numPr>
        <w:tabs>
          <w:tab w:val="left" w:pos="709"/>
        </w:tabs>
        <w:spacing w:before="200"/>
        <w:ind w:right="57" w:hanging="357"/>
        <w:jc w:val="both"/>
        <w:rPr>
          <w:rFonts w:cs="Arial"/>
          <w:lang w:val="pt-PT"/>
        </w:rPr>
      </w:pPr>
      <w:r w:rsidRPr="006802F9">
        <w:rPr>
          <w:rFonts w:cs="Arial"/>
          <w:lang w:val="pt-PT"/>
        </w:rPr>
        <w:t>aos juros sobre o capital próprio - JCP, previstos na legislação tributária;</w:t>
      </w:r>
    </w:p>
    <w:p w14:paraId="313E94F3" w14:textId="77777777" w:rsidR="006802F9" w:rsidRPr="006802F9" w:rsidRDefault="006802F9" w:rsidP="006802F9">
      <w:pPr>
        <w:widowControl w:val="0"/>
        <w:numPr>
          <w:ilvl w:val="0"/>
          <w:numId w:val="44"/>
        </w:numPr>
        <w:tabs>
          <w:tab w:val="left" w:pos="709"/>
        </w:tabs>
        <w:spacing w:before="200"/>
        <w:ind w:right="57" w:hanging="357"/>
        <w:jc w:val="both"/>
        <w:rPr>
          <w:rFonts w:cs="Arial"/>
          <w:lang w:val="pt-PT"/>
        </w:rPr>
      </w:pPr>
      <w:r w:rsidRPr="006802F9">
        <w:rPr>
          <w:rFonts w:cs="Arial"/>
          <w:lang w:val="pt-PT"/>
        </w:rPr>
        <w:t>Aos dividendos intermediários, declarados nos termos do artigo 204 da Lei 6.404/76.</w:t>
      </w:r>
    </w:p>
    <w:p w14:paraId="48E4EEB7" w14:textId="77777777" w:rsidR="006802F9" w:rsidRPr="006802F9" w:rsidRDefault="006802F9" w:rsidP="006802F9">
      <w:pPr>
        <w:widowControl w:val="0"/>
        <w:tabs>
          <w:tab w:val="left" w:pos="709"/>
        </w:tabs>
        <w:ind w:left="62" w:right="57"/>
        <w:jc w:val="both"/>
        <w:rPr>
          <w:rFonts w:cs="Arial"/>
          <w:lang w:val="pt-PT"/>
        </w:rPr>
      </w:pPr>
    </w:p>
    <w:p w14:paraId="11A6C46A" w14:textId="77777777" w:rsidR="006802F9" w:rsidRPr="006802F9" w:rsidRDefault="006802F9" w:rsidP="006802F9">
      <w:pPr>
        <w:widowControl w:val="0"/>
        <w:tabs>
          <w:tab w:val="left" w:pos="6804"/>
        </w:tabs>
        <w:ind w:left="57" w:right="57"/>
        <w:jc w:val="both"/>
        <w:rPr>
          <w:b/>
          <w:sz w:val="28"/>
        </w:rPr>
      </w:pPr>
      <w:r w:rsidRPr="006802F9">
        <w:rPr>
          <w:b/>
          <w:sz w:val="28"/>
        </w:rPr>
        <w:t>Assuntos tratados</w:t>
      </w:r>
    </w:p>
    <w:p w14:paraId="45C9D97E" w14:textId="77777777" w:rsidR="006802F9" w:rsidRPr="006802F9" w:rsidRDefault="006802F9" w:rsidP="006802F9">
      <w:pPr>
        <w:widowControl w:val="0"/>
        <w:tabs>
          <w:tab w:val="left" w:pos="6804"/>
        </w:tabs>
        <w:ind w:left="57" w:right="57"/>
        <w:jc w:val="both"/>
      </w:pPr>
    </w:p>
    <w:p w14:paraId="6BA99F72"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 xml:space="preserve">O item 12 do Pronunciamento Técnico CPC 24 - </w:t>
      </w:r>
      <w:r w:rsidRPr="006802F9">
        <w:t>Evento Subsequente</w:t>
      </w:r>
      <w:r w:rsidRPr="006802F9">
        <w:rPr>
          <w:rFonts w:cs="Arial"/>
          <w:lang w:val="pt-PT"/>
        </w:rPr>
        <w:t xml:space="preserve"> determina que “se a entidade declarar dividendos aos detentores de instrumentos patrimoniais (como definido no Pronunciamento Técnico CPC 39 – Instrumentos Financeiros: Apresentação) após o período contábil a que se referem as demonstrações contábeis, a entidade não deve reconhecer esses dividendos como passivo ao final daquele período.”</w:t>
      </w:r>
    </w:p>
    <w:p w14:paraId="6556CF19" w14:textId="77777777" w:rsidR="006802F9" w:rsidRPr="006802F9" w:rsidRDefault="006802F9" w:rsidP="006802F9">
      <w:pPr>
        <w:widowControl w:val="0"/>
        <w:tabs>
          <w:tab w:val="left" w:pos="709"/>
        </w:tabs>
        <w:ind w:left="62" w:right="57"/>
        <w:jc w:val="both"/>
        <w:rPr>
          <w:rFonts w:cs="Arial"/>
          <w:lang w:val="pt-PT"/>
        </w:rPr>
      </w:pPr>
    </w:p>
    <w:p w14:paraId="4E53E77E" w14:textId="77777777" w:rsidR="006802F9" w:rsidRPr="006802F9" w:rsidRDefault="006802F9" w:rsidP="006802F9">
      <w:pPr>
        <w:widowControl w:val="0"/>
        <w:numPr>
          <w:ilvl w:val="0"/>
          <w:numId w:val="43"/>
        </w:numPr>
        <w:tabs>
          <w:tab w:val="left" w:pos="6804"/>
        </w:tabs>
        <w:ind w:right="57"/>
        <w:jc w:val="both"/>
        <w:rPr>
          <w:rFonts w:ascii="Arial" w:hAnsi="Arial" w:cs="Arial"/>
          <w:sz w:val="20"/>
          <w:lang w:val="pt-PT"/>
        </w:rPr>
      </w:pPr>
      <w:r w:rsidRPr="006802F9">
        <w:rPr>
          <w:rFonts w:cs="Arial"/>
          <w:lang w:val="pt-PT"/>
        </w:rPr>
        <w:t>O item 13 do CPC 24 adverte para o fato de que “se forem declarados dividendos após o período contábil a que se referem as demonstrações contábeis, mas antes da data da autorização de emissão dessas demonstrações, esses dividendos não devem ser reconhecidos como passivo ao final daquele período, em função de nenhuma obrigação existir nessa data. Tais dividendos devem ser divulgados nas notas explicativas em conformidade com o Pronunciamento Técnico CPC 26 – Apresentação das Demonstrações Contábeis.”</w:t>
      </w:r>
    </w:p>
    <w:p w14:paraId="03E4BED1" w14:textId="77777777" w:rsidR="006802F9" w:rsidRPr="006802F9" w:rsidRDefault="006802F9" w:rsidP="006802F9">
      <w:pPr>
        <w:widowControl w:val="0"/>
        <w:tabs>
          <w:tab w:val="left" w:pos="6804"/>
        </w:tabs>
        <w:ind w:right="57"/>
        <w:jc w:val="both"/>
        <w:rPr>
          <w:sz w:val="23"/>
          <w:szCs w:val="23"/>
          <w:lang w:val="pt-PT"/>
        </w:rPr>
      </w:pPr>
    </w:p>
    <w:p w14:paraId="79791CEE"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A questão que se coloca é se os dividendos previstos na legislação societária brasileira (dividendo obrigatório, dividendos fixos e mínimos, JCP e dividendo intermediário) atendem às três condições para reconhecimento de um passivo na data das demonstrações contábeis, quais sejam: (i) de obrigação presente; (ii) de probabilidade provável de saída de recursos que incorporam benefícios econômicos; e (iii) de estimativa confiável passível de elaboração para chegar ao seu montante.</w:t>
      </w:r>
    </w:p>
    <w:p w14:paraId="3657E1D4" w14:textId="77777777" w:rsidR="006802F9" w:rsidRPr="006802F9" w:rsidRDefault="006802F9" w:rsidP="006802F9">
      <w:pPr>
        <w:widowControl w:val="0"/>
        <w:tabs>
          <w:tab w:val="left" w:pos="6804"/>
        </w:tabs>
        <w:ind w:left="57" w:right="57"/>
        <w:jc w:val="both"/>
        <w:rPr>
          <w:lang w:val="pt-PT"/>
        </w:rPr>
      </w:pPr>
    </w:p>
    <w:p w14:paraId="647F5628" w14:textId="77777777" w:rsidR="006802F9" w:rsidRPr="006802F9" w:rsidRDefault="006802F9" w:rsidP="006802F9">
      <w:pPr>
        <w:widowControl w:val="0"/>
        <w:tabs>
          <w:tab w:val="left" w:pos="6804"/>
        </w:tabs>
        <w:ind w:left="57" w:right="57"/>
        <w:jc w:val="both"/>
        <w:rPr>
          <w:b/>
          <w:sz w:val="28"/>
        </w:rPr>
      </w:pPr>
      <w:r w:rsidRPr="006802F9">
        <w:rPr>
          <w:b/>
          <w:sz w:val="28"/>
        </w:rPr>
        <w:lastRenderedPageBreak/>
        <w:t>Consenso</w:t>
      </w:r>
    </w:p>
    <w:p w14:paraId="04193C10" w14:textId="77777777" w:rsidR="006802F9" w:rsidRPr="006802F9" w:rsidRDefault="006802F9" w:rsidP="006802F9">
      <w:pPr>
        <w:widowControl w:val="0"/>
        <w:tabs>
          <w:tab w:val="left" w:pos="709"/>
        </w:tabs>
        <w:ind w:left="62" w:right="57"/>
        <w:jc w:val="both"/>
        <w:rPr>
          <w:rFonts w:cs="Arial"/>
          <w:lang w:val="pt-PT"/>
        </w:rPr>
      </w:pPr>
    </w:p>
    <w:p w14:paraId="5721EB22"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 xml:space="preserve">O Pronunciamento Técnico CPC 25 - </w:t>
      </w:r>
      <w:r w:rsidRPr="006802F9">
        <w:t>Provisões, Passivos Contingentes e Ativos Contingentes</w:t>
      </w:r>
      <w:r w:rsidRPr="006802F9">
        <w:rPr>
          <w:rFonts w:cs="Arial"/>
          <w:lang w:val="pt-PT"/>
        </w:rPr>
        <w:t xml:space="preserve"> estabelece que um passivo deve ser reconhecido quando três condicionantes forem observadas. Assim determina o Pronunciamento Técnico CPC 25, em seu item 14:</w:t>
      </w:r>
    </w:p>
    <w:p w14:paraId="4B464F78" w14:textId="77777777" w:rsidR="006802F9" w:rsidRPr="006802F9" w:rsidRDefault="006802F9" w:rsidP="006802F9">
      <w:pPr>
        <w:widowControl w:val="0"/>
        <w:tabs>
          <w:tab w:val="left" w:pos="709"/>
        </w:tabs>
        <w:ind w:left="62" w:right="57"/>
        <w:jc w:val="both"/>
        <w:rPr>
          <w:rFonts w:cs="Arial"/>
          <w:lang w:val="pt-PT"/>
        </w:rPr>
      </w:pPr>
    </w:p>
    <w:p w14:paraId="63637972" w14:textId="77777777" w:rsidR="006802F9" w:rsidRPr="006802F9" w:rsidRDefault="006802F9" w:rsidP="006802F9">
      <w:pPr>
        <w:widowControl w:val="0"/>
        <w:tabs>
          <w:tab w:val="left" w:pos="6804"/>
        </w:tabs>
        <w:ind w:left="851" w:right="57" w:firstLine="284"/>
        <w:jc w:val="both"/>
        <w:rPr>
          <w:rFonts w:cs="Arial"/>
          <w:lang w:val="pt-PT"/>
        </w:rPr>
      </w:pPr>
      <w:r w:rsidRPr="006802F9">
        <w:rPr>
          <w:rFonts w:ascii="Arial" w:hAnsi="Arial" w:cs="Arial"/>
          <w:sz w:val="20"/>
          <w:lang w:val="pt-PT"/>
        </w:rPr>
        <w:t>“</w:t>
      </w:r>
      <w:r w:rsidRPr="006802F9">
        <w:rPr>
          <w:lang w:val="pt-PT"/>
        </w:rPr>
        <w:t>14. Uma provis</w:t>
      </w:r>
      <w:r w:rsidRPr="006802F9">
        <w:rPr>
          <w:rFonts w:ascii="Arial" w:hAnsi="Arial" w:cs="Arial"/>
          <w:sz w:val="20"/>
          <w:lang w:val="pt-PT"/>
        </w:rPr>
        <w:t xml:space="preserve">ão </w:t>
      </w:r>
      <w:r w:rsidRPr="006802F9">
        <w:rPr>
          <w:rFonts w:cs="Arial"/>
          <w:lang w:val="pt-PT"/>
        </w:rPr>
        <w:t>deve ser reconhecida quando:</w:t>
      </w:r>
    </w:p>
    <w:p w14:paraId="7A36F5DC" w14:textId="77777777" w:rsidR="006802F9" w:rsidRPr="006802F9" w:rsidRDefault="006802F9" w:rsidP="006802F9">
      <w:pPr>
        <w:widowControl w:val="0"/>
        <w:tabs>
          <w:tab w:val="left" w:pos="6804"/>
        </w:tabs>
        <w:ind w:left="851" w:right="57" w:firstLine="283"/>
        <w:jc w:val="both"/>
        <w:rPr>
          <w:rFonts w:cs="Arial"/>
          <w:lang w:val="pt-PT"/>
        </w:rPr>
      </w:pPr>
    </w:p>
    <w:p w14:paraId="2982E4E5" w14:textId="77777777" w:rsidR="006802F9" w:rsidRPr="006802F9" w:rsidRDefault="006802F9" w:rsidP="006802F9">
      <w:pPr>
        <w:widowControl w:val="0"/>
        <w:tabs>
          <w:tab w:val="left" w:pos="6804"/>
        </w:tabs>
        <w:ind w:left="851" w:right="57" w:firstLine="283"/>
        <w:jc w:val="both"/>
        <w:rPr>
          <w:rFonts w:cs="Arial"/>
          <w:lang w:val="pt-PT"/>
        </w:rPr>
      </w:pPr>
      <w:r w:rsidRPr="006802F9">
        <w:rPr>
          <w:rFonts w:cs="Arial"/>
          <w:lang w:val="pt-PT"/>
        </w:rPr>
        <w:t>(a) a entidade tem uma obrigação presente (legal ou não formalizada) como resultado de evento passado;</w:t>
      </w:r>
    </w:p>
    <w:p w14:paraId="1D93F54B" w14:textId="77777777" w:rsidR="006802F9" w:rsidRPr="006802F9" w:rsidRDefault="006802F9" w:rsidP="006802F9">
      <w:pPr>
        <w:widowControl w:val="0"/>
        <w:tabs>
          <w:tab w:val="left" w:pos="6804"/>
        </w:tabs>
        <w:ind w:left="851" w:right="57" w:firstLine="283"/>
        <w:jc w:val="both"/>
        <w:rPr>
          <w:rFonts w:cs="Arial"/>
          <w:lang w:val="pt-PT"/>
        </w:rPr>
      </w:pPr>
    </w:p>
    <w:p w14:paraId="5035F864" w14:textId="77777777" w:rsidR="006802F9" w:rsidRPr="006802F9" w:rsidRDefault="006802F9" w:rsidP="006802F9">
      <w:pPr>
        <w:widowControl w:val="0"/>
        <w:tabs>
          <w:tab w:val="left" w:pos="6804"/>
        </w:tabs>
        <w:ind w:left="851" w:right="57" w:firstLine="283"/>
        <w:jc w:val="both"/>
        <w:rPr>
          <w:rFonts w:cs="Arial"/>
          <w:lang w:val="pt-PT"/>
        </w:rPr>
      </w:pPr>
      <w:r w:rsidRPr="006802F9">
        <w:rPr>
          <w:rFonts w:cs="Arial"/>
          <w:lang w:val="pt-PT"/>
        </w:rPr>
        <w:t>(b) seja provável que será necessária uma saída de recursos que incorporam benefícios econômicos para liquidar a obrigação; e</w:t>
      </w:r>
    </w:p>
    <w:p w14:paraId="4186EC5E" w14:textId="77777777" w:rsidR="006802F9" w:rsidRPr="006802F9" w:rsidRDefault="006802F9" w:rsidP="006802F9">
      <w:pPr>
        <w:widowControl w:val="0"/>
        <w:tabs>
          <w:tab w:val="left" w:pos="6804"/>
        </w:tabs>
        <w:ind w:left="851" w:right="57" w:firstLine="283"/>
        <w:jc w:val="both"/>
        <w:rPr>
          <w:rFonts w:cs="Arial"/>
          <w:lang w:val="pt-PT"/>
        </w:rPr>
      </w:pPr>
    </w:p>
    <w:p w14:paraId="7026BC65" w14:textId="77777777" w:rsidR="006802F9" w:rsidRPr="006802F9" w:rsidRDefault="006802F9" w:rsidP="006802F9">
      <w:pPr>
        <w:widowControl w:val="0"/>
        <w:tabs>
          <w:tab w:val="left" w:pos="6804"/>
        </w:tabs>
        <w:ind w:left="851" w:right="57" w:firstLine="283"/>
        <w:jc w:val="both"/>
        <w:rPr>
          <w:rFonts w:cs="Arial"/>
          <w:lang w:val="pt-PT"/>
        </w:rPr>
      </w:pPr>
      <w:r w:rsidRPr="006802F9">
        <w:rPr>
          <w:rFonts w:cs="Arial"/>
          <w:lang w:val="pt-PT"/>
        </w:rPr>
        <w:t>(c) possa ser feita uma estimativa confiável do valor da obrigação.</w:t>
      </w:r>
    </w:p>
    <w:p w14:paraId="19165E43" w14:textId="77777777" w:rsidR="006802F9" w:rsidRPr="006802F9" w:rsidRDefault="006802F9" w:rsidP="006802F9">
      <w:pPr>
        <w:widowControl w:val="0"/>
        <w:tabs>
          <w:tab w:val="left" w:pos="6804"/>
        </w:tabs>
        <w:ind w:left="851" w:right="57" w:firstLine="283"/>
        <w:jc w:val="both"/>
        <w:rPr>
          <w:rFonts w:cs="Arial"/>
          <w:lang w:val="pt-PT"/>
        </w:rPr>
      </w:pPr>
    </w:p>
    <w:p w14:paraId="0A2AF5A7" w14:textId="77777777" w:rsidR="006802F9" w:rsidRPr="006802F9" w:rsidRDefault="006802F9" w:rsidP="006802F9">
      <w:pPr>
        <w:widowControl w:val="0"/>
        <w:tabs>
          <w:tab w:val="left" w:pos="6804"/>
        </w:tabs>
        <w:ind w:left="851" w:right="57" w:firstLine="283"/>
        <w:jc w:val="both"/>
        <w:rPr>
          <w:lang w:val="pt-PT"/>
        </w:rPr>
      </w:pPr>
      <w:r w:rsidRPr="006802F9">
        <w:rPr>
          <w:rFonts w:cs="Arial"/>
          <w:lang w:val="pt-PT"/>
        </w:rPr>
        <w:t>Se essas condições não forem</w:t>
      </w:r>
      <w:r w:rsidRPr="006802F9">
        <w:rPr>
          <w:lang w:val="pt-PT"/>
        </w:rPr>
        <w:t xml:space="preserve"> satisfeitas, nenhuma provisão deve ser reconhecida.”</w:t>
      </w:r>
    </w:p>
    <w:p w14:paraId="2D1EBBD2" w14:textId="77777777" w:rsidR="006802F9" w:rsidRPr="006802F9" w:rsidRDefault="006802F9" w:rsidP="006802F9">
      <w:pPr>
        <w:widowControl w:val="0"/>
        <w:tabs>
          <w:tab w:val="left" w:pos="709"/>
        </w:tabs>
        <w:ind w:left="62" w:right="57"/>
        <w:jc w:val="both"/>
        <w:rPr>
          <w:rFonts w:cs="Arial"/>
          <w:lang w:val="pt-PT"/>
        </w:rPr>
      </w:pPr>
    </w:p>
    <w:p w14:paraId="0F182AF4"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Pelos itens precedentes, os dividendos intermediários, declarados por decisão dos órgãos da administração de acordo com as formalidades previstas no estatuto social e na Lei, são deliberações finais e enquadram-se no item 14 do Pronunciamento Técnico CPC 25; portanto, se não pagos devem figurar no passivo da entidade como uma obrigação.</w:t>
      </w:r>
    </w:p>
    <w:p w14:paraId="2D3486F1" w14:textId="77777777" w:rsidR="006802F9" w:rsidRPr="006802F9" w:rsidRDefault="006802F9" w:rsidP="006802F9">
      <w:pPr>
        <w:widowControl w:val="0"/>
        <w:tabs>
          <w:tab w:val="left" w:pos="709"/>
        </w:tabs>
        <w:ind w:left="62" w:right="57"/>
        <w:jc w:val="both"/>
        <w:rPr>
          <w:rFonts w:cs="Arial"/>
          <w:lang w:val="pt-PT"/>
        </w:rPr>
      </w:pPr>
    </w:p>
    <w:p w14:paraId="53299D26"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Igual entendimento deve ser dispensado aos dividendos fixos e mínimos devidos aos acionistas preferencialistas, ainda que declarados após o período contábil a que se referem as demonstrações contábeis. O caráter de exigibilidade – obrigação presente - é ainda maior nesse caso, dado que a Assembleia Geral de Acionistas não possui poder discricionário para decidir a respeito de sua distribuição ou não, servindo tão-somente para endossar o que já está disciplinado em previsões legais e estatutárias. Devem ser registrados como obrigação na data do encerramento do exercício social a que se referem as demonstrações contábeis.</w:t>
      </w:r>
    </w:p>
    <w:p w14:paraId="7E7E8D39" w14:textId="77777777" w:rsidR="006802F9" w:rsidRPr="006802F9" w:rsidRDefault="006802F9" w:rsidP="006802F9">
      <w:pPr>
        <w:widowControl w:val="0"/>
        <w:tabs>
          <w:tab w:val="left" w:pos="709"/>
        </w:tabs>
        <w:ind w:left="62" w:right="57"/>
        <w:jc w:val="both"/>
        <w:rPr>
          <w:rFonts w:cs="Arial"/>
          <w:lang w:val="pt-PT"/>
        </w:rPr>
      </w:pPr>
    </w:p>
    <w:p w14:paraId="57FCBC6A"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Quanto ao dividendo obrigatório, as previsões da legislação para sua distribuição abaixo do previsto legal ou estatutariamente, ou para sua não distribuição já disciplinam de modo incontroverso o tratamento contábil a ser dado: a parcela não distribuída deve figurar como uma retenção de lucro, via reservas de lucro. Já a parcela dos lucros destinada para distribuição como dividendo obrigatório, em proposta encaminhada à Assembleia Geral de Acionistas pelos administradores, representa de fato uma obrigação presente na data das demonstrações contábeis, ainda que os dividendos sejam também declarados após o período contábil a que se referem as demonstrações contábeis.</w:t>
      </w:r>
    </w:p>
    <w:p w14:paraId="15D52054" w14:textId="77777777" w:rsidR="006802F9" w:rsidRPr="006802F9" w:rsidRDefault="006802F9" w:rsidP="006802F9">
      <w:pPr>
        <w:widowControl w:val="0"/>
        <w:tabs>
          <w:tab w:val="left" w:pos="709"/>
        </w:tabs>
        <w:ind w:left="62" w:right="57"/>
        <w:jc w:val="both"/>
        <w:rPr>
          <w:rFonts w:cs="Arial"/>
          <w:lang w:val="pt-PT"/>
        </w:rPr>
      </w:pPr>
    </w:p>
    <w:p w14:paraId="2C45E69F"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 xml:space="preserve">Devido então a </w:t>
      </w:r>
      <w:r w:rsidRPr="006802F9">
        <w:rPr>
          <w:lang w:val="pt-PT"/>
        </w:rPr>
        <w:t>essas</w:t>
      </w:r>
      <w:r w:rsidRPr="006802F9">
        <w:rPr>
          <w:sz w:val="23"/>
          <w:szCs w:val="23"/>
          <w:lang w:val="pt-PT"/>
        </w:rPr>
        <w:t xml:space="preserve"> </w:t>
      </w:r>
      <w:r w:rsidRPr="006802F9">
        <w:rPr>
          <w:rFonts w:cs="Arial"/>
          <w:lang w:val="pt-PT"/>
        </w:rPr>
        <w:t xml:space="preserve">características especiais de nossa legislação, considera-se que o dividendo obrigatório deva ser registrado como uma obrigação na data do encerramento do exercício social a que se referem as demonstrações contábeis. Essa já vem sendo a prática adotada pelas empresas brasileiras que têm apresentado demonstrações contábeis de acordo com a prática contábil norte-americana, notadamente as que têm registro na Comissão de Valores Mobiliários daquela jurisdição </w:t>
      </w:r>
      <w:r w:rsidRPr="006802F9">
        <w:rPr>
          <w:rFonts w:cs="Arial"/>
          <w:lang w:val="pt-PT"/>
        </w:rPr>
        <w:lastRenderedPageBreak/>
        <w:t>(SEC), bem como aquelas empresas brasileiras que já vêm elaborando e divulgando demonstrações contábeis de acordo com as normas internacionais emitidas pelo IASB.</w:t>
      </w:r>
    </w:p>
    <w:p w14:paraId="10AD2CC5" w14:textId="77777777" w:rsidR="006802F9" w:rsidRPr="006802F9" w:rsidRDefault="006802F9" w:rsidP="006802F9">
      <w:pPr>
        <w:widowControl w:val="0"/>
        <w:tabs>
          <w:tab w:val="left" w:pos="709"/>
        </w:tabs>
        <w:ind w:left="62" w:right="57"/>
        <w:jc w:val="both"/>
        <w:rPr>
          <w:rFonts w:cs="Arial"/>
          <w:lang w:val="pt-PT"/>
        </w:rPr>
      </w:pPr>
    </w:p>
    <w:p w14:paraId="5E9B2E39"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Os JCP, quando imputados ao dividendo obrigatório, devem receber tratamento análogo, como  vem sendo também a prática adotada pelas empresas brasileiras. O montante de tributo retido na fonte a ser recolhido ao fisco é uma obrigação presente dissociada da obrigação de pagar dividendos. Quando essa obrigação for assumida pela companhia, e esse é o caso em que a deliberação é pelo não pagamento dos JCP aos sócios e sim por sua retenção, inclusive para futuro aumento de capital, o tributo retido na fonte não deve ser debitado ao resultado, e sim à conta para onde forem destinados esses JCP. Com isso, quando da utilização desses valores, como no caso de aumento de capital, ela só poderá ser feita pelo valor líquido efetivamente retido, ou seja, dos JCP deduzido do tributo recolhido ao governo, se esse imposto for efetivamente pago.</w:t>
      </w:r>
    </w:p>
    <w:p w14:paraId="02492471" w14:textId="77777777" w:rsidR="006802F9" w:rsidRPr="006802F9" w:rsidRDefault="006802F9" w:rsidP="006802F9">
      <w:pPr>
        <w:widowControl w:val="0"/>
        <w:tabs>
          <w:tab w:val="left" w:pos="709"/>
        </w:tabs>
        <w:ind w:left="62" w:right="57"/>
        <w:jc w:val="both"/>
        <w:rPr>
          <w:rFonts w:cs="Arial"/>
          <w:lang w:val="pt-PT"/>
        </w:rPr>
      </w:pPr>
    </w:p>
    <w:p w14:paraId="4B07AD76"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Outra questão a ser avaliada relacionada ao tema é o requerimento da Lei das Sociedades por Ações que consta no artigo 176, § 3º:</w:t>
      </w:r>
    </w:p>
    <w:p w14:paraId="00965A5F" w14:textId="77777777" w:rsidR="006802F9" w:rsidRPr="006802F9" w:rsidRDefault="006802F9" w:rsidP="006802F9">
      <w:pPr>
        <w:widowControl w:val="0"/>
        <w:tabs>
          <w:tab w:val="left" w:pos="6804"/>
        </w:tabs>
        <w:ind w:left="851" w:right="57" w:firstLine="283"/>
        <w:jc w:val="both"/>
        <w:rPr>
          <w:rFonts w:cs="Arial"/>
          <w:lang w:val="pt-PT"/>
        </w:rPr>
      </w:pPr>
    </w:p>
    <w:p w14:paraId="2315921B" w14:textId="77777777" w:rsidR="006802F9" w:rsidRPr="006802F9" w:rsidRDefault="006802F9" w:rsidP="006802F9">
      <w:pPr>
        <w:widowControl w:val="0"/>
        <w:tabs>
          <w:tab w:val="left" w:pos="6804"/>
        </w:tabs>
        <w:ind w:left="851" w:right="57" w:firstLine="283"/>
        <w:jc w:val="both"/>
        <w:rPr>
          <w:rFonts w:ascii="Arial" w:hAnsi="Arial" w:cs="Arial"/>
          <w:lang w:val="pt-PT"/>
        </w:rPr>
      </w:pPr>
      <w:r w:rsidRPr="006802F9">
        <w:rPr>
          <w:rFonts w:cs="Arial"/>
          <w:lang w:val="pt-PT"/>
        </w:rPr>
        <w:t>“As demonstrações financeiras registrarão a destinação dos lucros segundo a proposta dos órgãos da administração, no pressuposto de sua aprovação pela assembléia geral.”</w:t>
      </w:r>
    </w:p>
    <w:p w14:paraId="0D92D401" w14:textId="77777777" w:rsidR="006802F9" w:rsidRPr="006802F9" w:rsidRDefault="006802F9" w:rsidP="006802F9">
      <w:pPr>
        <w:widowControl w:val="0"/>
        <w:tabs>
          <w:tab w:val="left" w:pos="6804"/>
        </w:tabs>
        <w:ind w:left="851" w:right="57" w:firstLine="283"/>
        <w:jc w:val="both"/>
        <w:rPr>
          <w:rFonts w:cs="Arial"/>
          <w:lang w:val="pt-PT"/>
        </w:rPr>
      </w:pPr>
    </w:p>
    <w:p w14:paraId="54DBE033" w14:textId="5B77EC8F" w:rsidR="006802F9" w:rsidRPr="006802F9" w:rsidRDefault="006802F9" w:rsidP="006802F9">
      <w:pPr>
        <w:widowControl w:val="0"/>
        <w:numPr>
          <w:ilvl w:val="0"/>
          <w:numId w:val="43"/>
        </w:numPr>
        <w:tabs>
          <w:tab w:val="left" w:pos="6804"/>
        </w:tabs>
        <w:ind w:right="57"/>
        <w:jc w:val="both"/>
      </w:pPr>
      <w:r w:rsidRPr="006802F9">
        <w:t>Visando atender à conceituação de provisão, reproduzida no item 17 desta Interpretação, a parcela do dividendo que se caracterize efetivamente como obrigação presente deve figurar no passivo da entidade. Mas a parcela que exceder ao previsto legal ou estatutariamente deve ser mantida no patrimônio líquido, em conta específica, do tipo “dividendo adicional proposto”, até a deliberação definitiva que vier a ser tomada pelos sócios. Afinal, esse dividendo adicional não se caracteriza como obrigação presente na data do balanço, já que a assembl</w:t>
      </w:r>
      <w:r w:rsidR="0081782D">
        <w:t>e</w:t>
      </w:r>
      <w:r w:rsidRPr="006802F9">
        <w:t>ia dos sócios ou outro órgão competente poderá, não havendo qualquer restrição estatutária ou contratual, deliberar ou não pelo seu pagamento ou por pagamento por valor diferente do proposto.</w:t>
      </w:r>
    </w:p>
    <w:p w14:paraId="1234DEB5" w14:textId="77777777" w:rsidR="006802F9" w:rsidRPr="006802F9" w:rsidRDefault="006802F9" w:rsidP="006802F9">
      <w:pPr>
        <w:widowControl w:val="0"/>
        <w:tabs>
          <w:tab w:val="left" w:pos="6804"/>
        </w:tabs>
        <w:ind w:left="360" w:right="57"/>
        <w:jc w:val="both"/>
        <w:rPr>
          <w:lang w:val="pt-PT"/>
        </w:rPr>
      </w:pPr>
    </w:p>
    <w:p w14:paraId="11507D34" w14:textId="22BB1699" w:rsidR="006802F9" w:rsidRDefault="006802F9" w:rsidP="00EB2E14">
      <w:pPr>
        <w:widowControl w:val="0"/>
        <w:numPr>
          <w:ilvl w:val="0"/>
          <w:numId w:val="43"/>
        </w:numPr>
        <w:tabs>
          <w:tab w:val="left" w:pos="6804"/>
        </w:tabs>
        <w:ind w:right="57"/>
        <w:jc w:val="both"/>
        <w:rPr>
          <w:rFonts w:cs="Arial"/>
          <w:lang w:val="pt-PT"/>
        </w:rPr>
      </w:pPr>
      <w:r w:rsidRPr="006802F9">
        <w:rPr>
          <w:lang w:val="pt-PT"/>
        </w:rPr>
        <w:t>Conforme requerido pelos itens 12</w:t>
      </w:r>
      <w:r w:rsidRPr="006802F9">
        <w:rPr>
          <w:rFonts w:cs="Arial"/>
          <w:lang w:val="pt-PT"/>
        </w:rPr>
        <w:t xml:space="preserve"> e 13 do Pronunciamento Técnico CPC 24 – Evento Subsequente, qualquer declaração de dividendo adicional ao previsto legal ou estatutariamente ou outra forma de distribuição de resultado que ocorrer após a data do balanço e antes </w:t>
      </w:r>
      <w:r w:rsidRPr="006802F9">
        <w:rPr>
          <w:rFonts w:cs="Arial"/>
        </w:rPr>
        <w:t>da data da autorização de emissão dessas demonstrações</w:t>
      </w:r>
      <w:r w:rsidRPr="006802F9">
        <w:rPr>
          <w:rFonts w:cs="Arial"/>
          <w:lang w:val="pt-PT"/>
        </w:rPr>
        <w:t xml:space="preserve"> não gerará registro no passivo da entidade na data do balanço, por também não representar qualquer obrigação presente nessa data.</w:t>
      </w:r>
    </w:p>
    <w:p w14:paraId="57DFF740" w14:textId="77777777" w:rsidR="006802F9" w:rsidRPr="006802F9" w:rsidRDefault="006802F9" w:rsidP="006802F9">
      <w:pPr>
        <w:widowControl w:val="0"/>
        <w:tabs>
          <w:tab w:val="left" w:pos="709"/>
        </w:tabs>
        <w:ind w:left="62" w:right="57"/>
        <w:jc w:val="both"/>
        <w:rPr>
          <w:rFonts w:cs="Arial"/>
          <w:lang w:val="pt-PT"/>
        </w:rPr>
      </w:pPr>
    </w:p>
    <w:p w14:paraId="461D3767" w14:textId="77777777" w:rsidR="006802F9" w:rsidRPr="006802F9" w:rsidRDefault="006802F9" w:rsidP="006802F9">
      <w:pPr>
        <w:widowControl w:val="0"/>
        <w:tabs>
          <w:tab w:val="left" w:pos="6804"/>
        </w:tabs>
        <w:ind w:right="57"/>
        <w:jc w:val="both"/>
        <w:rPr>
          <w:rFonts w:cs="Arial"/>
          <w:b/>
          <w:sz w:val="28"/>
        </w:rPr>
      </w:pPr>
      <w:r w:rsidRPr="006802F9">
        <w:rPr>
          <w:rFonts w:cs="Arial"/>
          <w:b/>
          <w:sz w:val="28"/>
        </w:rPr>
        <w:t>Nota explicativa</w:t>
      </w:r>
    </w:p>
    <w:p w14:paraId="69E34C7F" w14:textId="77777777" w:rsidR="006802F9" w:rsidRPr="006802F9" w:rsidRDefault="006802F9" w:rsidP="006802F9">
      <w:pPr>
        <w:widowControl w:val="0"/>
        <w:tabs>
          <w:tab w:val="left" w:pos="709"/>
        </w:tabs>
        <w:ind w:left="62" w:right="57"/>
        <w:jc w:val="both"/>
        <w:rPr>
          <w:rFonts w:cs="Arial"/>
          <w:lang w:val="pt-PT"/>
        </w:rPr>
      </w:pPr>
    </w:p>
    <w:p w14:paraId="4FFA9B6C"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Consta no artigo 192 da Lei nº. 6.404/76:</w:t>
      </w:r>
    </w:p>
    <w:p w14:paraId="5C295EAA" w14:textId="77777777" w:rsidR="006802F9" w:rsidRPr="006802F9" w:rsidRDefault="006802F9" w:rsidP="006802F9">
      <w:pPr>
        <w:widowControl w:val="0"/>
        <w:tabs>
          <w:tab w:val="left" w:pos="709"/>
        </w:tabs>
        <w:ind w:left="62" w:right="57"/>
        <w:jc w:val="both"/>
        <w:rPr>
          <w:rFonts w:cs="Arial"/>
          <w:lang w:val="pt-PT"/>
        </w:rPr>
      </w:pPr>
    </w:p>
    <w:p w14:paraId="3A219732" w14:textId="77777777" w:rsidR="006802F9" w:rsidRPr="006802F9" w:rsidRDefault="006802F9" w:rsidP="006802F9">
      <w:pPr>
        <w:widowControl w:val="0"/>
        <w:tabs>
          <w:tab w:val="left" w:pos="6804"/>
        </w:tabs>
        <w:ind w:left="360" w:right="57"/>
        <w:jc w:val="both"/>
        <w:rPr>
          <w:rFonts w:cs="Arial"/>
          <w:lang w:val="pt-PT"/>
        </w:rPr>
      </w:pPr>
      <w:r w:rsidRPr="006802F9">
        <w:rPr>
          <w:rFonts w:cs="Arial"/>
          <w:lang w:val="pt-PT"/>
        </w:rPr>
        <w:t>“Juntamente com as demonstrações financeiras do exercício, os órgãos da administração da companhia apresentarão à assembleia geral ordinária, observado o disposto nos artigos 193 a 203 e no estatuto, proposta sobre a destinação a ser dada ao lucro líquido do exercício.”</w:t>
      </w:r>
    </w:p>
    <w:p w14:paraId="35B2212C" w14:textId="77777777" w:rsidR="006802F9" w:rsidRPr="006802F9" w:rsidRDefault="006802F9" w:rsidP="006802F9">
      <w:pPr>
        <w:widowControl w:val="0"/>
        <w:tabs>
          <w:tab w:val="left" w:pos="709"/>
        </w:tabs>
        <w:ind w:left="62" w:right="57"/>
        <w:jc w:val="both"/>
        <w:rPr>
          <w:rFonts w:cs="Arial"/>
          <w:lang w:val="pt-PT"/>
        </w:rPr>
      </w:pPr>
    </w:p>
    <w:p w14:paraId="0DAF5DD1"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rPr>
          <w:rFonts w:cs="Arial"/>
          <w:lang w:val="pt-PT"/>
        </w:rPr>
        <w:t xml:space="preserve">Em função do que consta no item precedente, o Comitê de Pronunciamentos Contábeis entende que a administração deve, ao elaborar as demonstrações contábeis, detalhar em nota explicativa sua </w:t>
      </w:r>
      <w:r w:rsidRPr="006802F9">
        <w:rPr>
          <w:rFonts w:cs="Arial"/>
          <w:lang w:val="pt-PT"/>
        </w:rPr>
        <w:lastRenderedPageBreak/>
        <w:t>proposta para destinação dos lucros apurados no exercício, independentemente de referida divulgação ter sido feita no Relatório da Administração.</w:t>
      </w:r>
    </w:p>
    <w:p w14:paraId="1BAEE3AF" w14:textId="77777777" w:rsidR="006802F9" w:rsidRPr="006802F9" w:rsidRDefault="006802F9" w:rsidP="006802F9">
      <w:pPr>
        <w:widowControl w:val="0"/>
        <w:tabs>
          <w:tab w:val="left" w:pos="6804"/>
        </w:tabs>
        <w:ind w:right="57"/>
        <w:jc w:val="both"/>
        <w:rPr>
          <w:rFonts w:cs="Arial"/>
          <w:lang w:val="pt-PT"/>
        </w:rPr>
      </w:pPr>
    </w:p>
    <w:p w14:paraId="1F61725D" w14:textId="77777777" w:rsidR="006802F9" w:rsidRPr="006802F9" w:rsidRDefault="006802F9" w:rsidP="006802F9">
      <w:pPr>
        <w:widowControl w:val="0"/>
        <w:tabs>
          <w:tab w:val="left" w:pos="6804"/>
        </w:tabs>
        <w:ind w:left="57" w:right="57"/>
        <w:jc w:val="both"/>
        <w:rPr>
          <w:b/>
          <w:sz w:val="28"/>
        </w:rPr>
      </w:pPr>
      <w:r w:rsidRPr="006802F9">
        <w:rPr>
          <w:b/>
          <w:sz w:val="28"/>
        </w:rPr>
        <w:t>Disposições transitórias</w:t>
      </w:r>
    </w:p>
    <w:p w14:paraId="786D1FB1" w14:textId="77777777" w:rsidR="006802F9" w:rsidRPr="006802F9" w:rsidRDefault="006802F9" w:rsidP="006802F9">
      <w:pPr>
        <w:widowControl w:val="0"/>
        <w:tabs>
          <w:tab w:val="left" w:pos="6804"/>
        </w:tabs>
        <w:ind w:right="57"/>
        <w:jc w:val="both"/>
        <w:rPr>
          <w:rFonts w:cs="Arial"/>
          <w:lang w:val="pt-PT"/>
        </w:rPr>
      </w:pPr>
    </w:p>
    <w:p w14:paraId="0D65B533" w14:textId="77777777" w:rsidR="006802F9" w:rsidRPr="006802F9" w:rsidRDefault="006802F9" w:rsidP="006802F9">
      <w:pPr>
        <w:widowControl w:val="0"/>
        <w:numPr>
          <w:ilvl w:val="0"/>
          <w:numId w:val="43"/>
        </w:numPr>
        <w:tabs>
          <w:tab w:val="left" w:pos="6804"/>
        </w:tabs>
        <w:ind w:right="57"/>
        <w:jc w:val="both"/>
        <w:rPr>
          <w:rFonts w:cs="Arial"/>
          <w:lang w:val="pt-PT"/>
        </w:rPr>
      </w:pPr>
      <w:r w:rsidRPr="006802F9">
        <w:t>Esta Interpretação Técnica substitui a ICPC 08 – Contabilização da Proposta de Pagamento de Dividendos, aprovada em 04.09.2009.</w:t>
      </w:r>
    </w:p>
    <w:p w14:paraId="11E52E96" w14:textId="77777777" w:rsidR="006802F9" w:rsidRPr="006802F9" w:rsidRDefault="006802F9" w:rsidP="006802F9">
      <w:pPr>
        <w:widowControl w:val="0"/>
        <w:tabs>
          <w:tab w:val="left" w:pos="6804"/>
        </w:tabs>
        <w:ind w:left="336" w:right="57" w:hanging="279"/>
        <w:jc w:val="center"/>
        <w:rPr>
          <w:rFonts w:ascii="Arial" w:hAnsi="Arial" w:cs="Arial"/>
          <w:sz w:val="20"/>
          <w:lang w:val="pt-PT"/>
        </w:rPr>
      </w:pPr>
    </w:p>
    <w:p w14:paraId="24C97158" w14:textId="2038E7CB" w:rsidR="00F6565E" w:rsidRPr="006802F9" w:rsidRDefault="00F6565E">
      <w:pPr>
        <w:rPr>
          <w:b/>
          <w:bCs/>
          <w:color w:val="000000"/>
          <w:lang w:val="pt-PT"/>
        </w:rPr>
      </w:pPr>
    </w:p>
    <w:sectPr w:rsidR="00F6565E" w:rsidRPr="006802F9" w:rsidSect="002D75B0">
      <w:headerReference w:type="default" r:id="rId11"/>
      <w:footerReference w:type="default" r:id="rId12"/>
      <w:headerReference w:type="first" r:id="rId13"/>
      <w:footerReference w:type="first" r:id="rId14"/>
      <w:endnotePr>
        <w:numFmt w:val="decimal"/>
      </w:endnotePr>
      <w:pgSz w:w="11907" w:h="16840" w:code="9"/>
      <w:pgMar w:top="2268" w:right="567" w:bottom="851" w:left="1134" w:header="720" w:footer="62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A97D" w14:textId="77777777" w:rsidR="00027E79" w:rsidRDefault="00027E79">
      <w:r>
        <w:separator/>
      </w:r>
    </w:p>
  </w:endnote>
  <w:endnote w:type="continuationSeparator" w:id="0">
    <w:p w14:paraId="59D4A06D" w14:textId="77777777" w:rsidR="00027E79" w:rsidRDefault="0002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125A1B54" w:rsidR="00662CE5" w:rsidRPr="00EB2E14" w:rsidRDefault="00662CE5" w:rsidP="00EB2E14">
    <w:pPr>
      <w:pStyle w:val="Rodap"/>
      <w:spacing w:before="120" w:after="120"/>
      <w:jc w:val="center"/>
      <w:rPr>
        <w:rFonts w:ascii="Arial" w:hAnsi="Arial" w:cs="Arial"/>
        <w:sz w:val="20"/>
        <w:szCs w:val="20"/>
      </w:rPr>
    </w:pPr>
    <w:r w:rsidRPr="00EB2E14">
      <w:rPr>
        <w:rFonts w:ascii="Arial" w:hAnsi="Arial" w:cs="Arial"/>
        <w:sz w:val="20"/>
        <w:szCs w:val="20"/>
      </w:rPr>
      <w:fldChar w:fldCharType="begin"/>
    </w:r>
    <w:r w:rsidRPr="00EB2E14">
      <w:rPr>
        <w:rFonts w:ascii="Arial" w:hAnsi="Arial" w:cs="Arial"/>
        <w:sz w:val="20"/>
        <w:szCs w:val="20"/>
      </w:rPr>
      <w:instrText>PAGE   \* MERGEFORMAT</w:instrText>
    </w:r>
    <w:r w:rsidRPr="00EB2E14">
      <w:rPr>
        <w:rFonts w:ascii="Arial" w:hAnsi="Arial" w:cs="Arial"/>
        <w:sz w:val="20"/>
        <w:szCs w:val="20"/>
      </w:rPr>
      <w:fldChar w:fldCharType="separate"/>
    </w:r>
    <w:r w:rsidR="00984EE8">
      <w:rPr>
        <w:rFonts w:ascii="Arial" w:hAnsi="Arial" w:cs="Arial"/>
        <w:noProof/>
        <w:sz w:val="20"/>
        <w:szCs w:val="20"/>
      </w:rPr>
      <w:t>8</w:t>
    </w:r>
    <w:r w:rsidRPr="00EB2E14">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2"/>
      <w:gridCol w:w="3402"/>
      <w:gridCol w:w="3402"/>
    </w:tblGrid>
    <w:tr w:rsidR="00662CE5" w14:paraId="090ED991" w14:textId="77777777" w:rsidTr="77F647DA">
      <w:tc>
        <w:tcPr>
          <w:tcW w:w="3402" w:type="dxa"/>
        </w:tcPr>
        <w:p w14:paraId="100A3605" w14:textId="5A24544F" w:rsidR="00662CE5" w:rsidRDefault="00662CE5" w:rsidP="002A7987">
          <w:pPr>
            <w:pStyle w:val="Cabealho"/>
          </w:pPr>
        </w:p>
      </w:tc>
      <w:tc>
        <w:tcPr>
          <w:tcW w:w="3402" w:type="dxa"/>
        </w:tcPr>
        <w:p w14:paraId="00C2E6BC" w14:textId="6F39F36D" w:rsidR="00662CE5" w:rsidRPr="00893BD4" w:rsidRDefault="00662CE5" w:rsidP="77F647DA">
          <w:pPr>
            <w:pStyle w:val="Cabealho"/>
            <w:jc w:val="center"/>
            <w:rPr>
              <w:rFonts w:asciiTheme="minorHAnsi" w:hAnsiTheme="minorHAnsi"/>
            </w:rPr>
          </w:pPr>
        </w:p>
      </w:tc>
      <w:tc>
        <w:tcPr>
          <w:tcW w:w="3402" w:type="dxa"/>
        </w:tcPr>
        <w:p w14:paraId="3670ADF3" w14:textId="557387F6" w:rsidR="00662CE5" w:rsidRDefault="00662CE5" w:rsidP="77F647DA">
          <w:pPr>
            <w:pStyle w:val="Cabealho"/>
            <w:ind w:right="-115"/>
            <w:jc w:val="right"/>
          </w:pPr>
        </w:p>
      </w:tc>
    </w:tr>
  </w:tbl>
  <w:p w14:paraId="6BBD4D3C" w14:textId="7FB81869" w:rsidR="00662CE5" w:rsidRDefault="00662CE5" w:rsidP="006659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71C83" w14:textId="77777777" w:rsidR="00027E79" w:rsidRDefault="00027E79">
      <w:r>
        <w:separator/>
      </w:r>
    </w:p>
  </w:footnote>
  <w:footnote w:type="continuationSeparator" w:id="0">
    <w:p w14:paraId="379BA8DB" w14:textId="77777777" w:rsidR="00027E79" w:rsidRDefault="0002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6722F7D5" w:rsidR="00662CE5" w:rsidRPr="007A1E4D" w:rsidRDefault="00662CE5" w:rsidP="00A87174">
    <w:pPr>
      <w:tabs>
        <w:tab w:val="center" w:pos="4419"/>
        <w:tab w:val="right" w:pos="8838"/>
      </w:tabs>
      <w:jc w:val="center"/>
    </w:pPr>
    <w:r>
      <w:rPr>
        <w:noProof/>
      </w:rPr>
      <w:drawing>
        <wp:inline distT="0" distB="0" distL="0" distR="0" wp14:anchorId="3A38279B" wp14:editId="11F1B443">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438AE494" w14:textId="77777777" w:rsidR="00662CE5" w:rsidRPr="006A4891" w:rsidRDefault="00662CE5" w:rsidP="00A87174">
    <w:pPr>
      <w:jc w:val="center"/>
      <w:rPr>
        <w:b/>
      </w:rPr>
    </w:pPr>
    <w:r w:rsidRPr="006A4891">
      <w:rPr>
        <w:b/>
      </w:rPr>
      <w:t>COMISSÃO DE VALORES MOBILIÁRIOS</w:t>
    </w:r>
  </w:p>
  <w:p w14:paraId="6B6D6F95"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Rua Sete de Setembro, 111/2-5º e 23-34º Andares, Centro, Rio de Janeiro/RJ – CEP: 20050-901 – Brasil - Tel.: (21) 3554-8686</w:t>
    </w:r>
  </w:p>
  <w:p w14:paraId="1C6E2277"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Rua Cincinato Braga, 340/2º, 3º e 4º Andares, Bela Vista, São Paulo/ SP – CEP: 01333-010 – Brasil - Tel.: (11) 2146-2000</w:t>
    </w:r>
  </w:p>
  <w:p w14:paraId="0757E454"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SCN Q.02 – Bl. A – Ed. Corporate Financial Center, S.404/4º Andar, Brasília/DF – CEP: 70712-900 – Brasil -Tel.: (61) 3327-2030/2031</w:t>
    </w:r>
  </w:p>
  <w:p w14:paraId="575BBAA3" w14:textId="263C5B16" w:rsidR="00662CE5" w:rsidRDefault="00984EE8" w:rsidP="00A87174">
    <w:pPr>
      <w:pStyle w:val="Cabealho"/>
      <w:jc w:val="center"/>
      <w:rPr>
        <w:rFonts w:ascii="Calibri" w:hAnsi="Calibri" w:cs="Calibri"/>
        <w:sz w:val="18"/>
        <w:szCs w:val="18"/>
      </w:rPr>
    </w:pPr>
    <w:hyperlink r:id="rId2" w:history="1">
      <w:r w:rsidR="00B147A5" w:rsidRPr="00C54EC0">
        <w:rPr>
          <w:rStyle w:val="Hyperlink"/>
          <w:rFonts w:ascii="Calibri" w:hAnsi="Calibri" w:cs="Calibri"/>
          <w:sz w:val="18"/>
          <w:szCs w:val="18"/>
        </w:rPr>
        <w:t>www.gov.br/cvm</w:t>
      </w:r>
    </w:hyperlink>
  </w:p>
  <w:p w14:paraId="34CE0A41" w14:textId="6021E907" w:rsidR="00662CE5" w:rsidRPr="00E57EF9" w:rsidRDefault="008C103C" w:rsidP="00E57EF9">
    <w:pPr>
      <w:pStyle w:val="Cabealho"/>
      <w:spacing w:before="240" w:after="240"/>
      <w:rPr>
        <w:rFonts w:asciiTheme="minorHAnsi" w:hAnsiTheme="minorHAnsi" w:cstheme="minorHAnsi"/>
        <w:sz w:val="20"/>
        <w:szCs w:val="20"/>
      </w:rPr>
    </w:pPr>
    <w:r w:rsidRPr="008C103C">
      <w:rPr>
        <w:rFonts w:ascii="Calibri" w:hAnsi="Calibri" w:cs="Calibri"/>
        <w:sz w:val="20"/>
        <w:szCs w:val="20"/>
      </w:rPr>
      <w:t>RESOLUÇÃO CVM Nº 14</w:t>
    </w:r>
    <w:r>
      <w:rPr>
        <w:rFonts w:ascii="Calibri" w:hAnsi="Calibri" w:cs="Calibri"/>
        <w:sz w:val="20"/>
        <w:szCs w:val="20"/>
      </w:rPr>
      <w:t>3</w:t>
    </w:r>
    <w:r w:rsidRPr="008C103C">
      <w:rPr>
        <w:rFonts w:ascii="Calibri" w:hAnsi="Calibri" w:cs="Calibri"/>
        <w:sz w:val="20"/>
        <w:szCs w:val="20"/>
      </w:rPr>
      <w:t>,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5968" w14:textId="77777777" w:rsidR="00662CE5" w:rsidRPr="007A1E4D" w:rsidRDefault="00662CE5" w:rsidP="00DE6EF6">
    <w:pPr>
      <w:tabs>
        <w:tab w:val="center" w:pos="4419"/>
        <w:tab w:val="right" w:pos="8838"/>
      </w:tabs>
      <w:jc w:val="center"/>
    </w:pPr>
    <w:r>
      <w:rPr>
        <w:noProof/>
      </w:rPr>
      <w:drawing>
        <wp:inline distT="0" distB="0" distL="0" distR="0" wp14:anchorId="51C5733A" wp14:editId="1EE25A9A">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891E63A" w14:textId="77777777" w:rsidR="00662CE5" w:rsidRPr="00DB68BE" w:rsidRDefault="00662CE5" w:rsidP="00DE6EF6">
    <w:pPr>
      <w:jc w:val="center"/>
      <w:rPr>
        <w:rFonts w:asciiTheme="minorHAnsi" w:hAnsiTheme="minorHAnsi" w:cstheme="minorHAnsi"/>
        <w:b/>
      </w:rPr>
    </w:pPr>
    <w:r w:rsidRPr="00DB68BE">
      <w:rPr>
        <w:rFonts w:asciiTheme="minorHAnsi" w:hAnsiTheme="minorHAnsi" w:cstheme="minorHAnsi"/>
        <w:b/>
      </w:rPr>
      <w:t>COMISSÃO DE VALORES MOBILIÁRIOS</w:t>
    </w:r>
  </w:p>
  <w:p w14:paraId="003A0F66"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4E6D64BD"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55BE98B4"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1C5EC373" w14:textId="24FAA05D" w:rsidR="00662CE5" w:rsidRDefault="00984EE8" w:rsidP="00DE6EF6">
    <w:pPr>
      <w:pStyle w:val="Cabealho"/>
      <w:spacing w:after="360" w:line="180" w:lineRule="exact"/>
      <w:jc w:val="center"/>
      <w:rPr>
        <w:rFonts w:asciiTheme="minorHAnsi" w:hAnsiTheme="minorHAnsi" w:cstheme="minorHAnsi"/>
        <w:sz w:val="18"/>
        <w:szCs w:val="18"/>
      </w:rPr>
    </w:pPr>
    <w:hyperlink r:id="rId2" w:history="1">
      <w:r w:rsidR="00B147A5" w:rsidRPr="00C54EC0">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54C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35BDC"/>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02F35F50"/>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4683E99"/>
    <w:multiLevelType w:val="hybridMultilevel"/>
    <w:tmpl w:val="C270F5DA"/>
    <w:lvl w:ilvl="0" w:tplc="0B4A865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86124BF"/>
    <w:multiLevelType w:val="hybridMultilevel"/>
    <w:tmpl w:val="285CA474"/>
    <w:lvl w:ilvl="0" w:tplc="5AAABA6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CB0623D"/>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0E59111A"/>
    <w:multiLevelType w:val="hybridMultilevel"/>
    <w:tmpl w:val="285CA474"/>
    <w:lvl w:ilvl="0" w:tplc="5AAABA6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83B496F"/>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19A62401"/>
    <w:multiLevelType w:val="hybridMultilevel"/>
    <w:tmpl w:val="C1405210"/>
    <w:lvl w:ilvl="0" w:tplc="C980DF56">
      <w:start w:val="1"/>
      <w:numFmt w:val="lowerLetter"/>
      <w:lvlText w:val="(%1)"/>
      <w:lvlJc w:val="left"/>
      <w:pPr>
        <w:ind w:left="897" w:hanging="512"/>
        <w:jc w:val="right"/>
      </w:pPr>
      <w:rPr>
        <w:rFonts w:hint="default"/>
        <w:w w:val="90"/>
        <w:u w:val="single" w:color="000000"/>
        <w:lang w:val="en-US" w:eastAsia="en-US" w:bidi="en-US"/>
      </w:rPr>
    </w:lvl>
    <w:lvl w:ilvl="1" w:tplc="6EF87CEA">
      <w:numFmt w:val="bullet"/>
      <w:lvlText w:val="•"/>
      <w:lvlJc w:val="left"/>
      <w:pPr>
        <w:ind w:left="1528" w:hanging="512"/>
      </w:pPr>
      <w:rPr>
        <w:rFonts w:hint="default"/>
        <w:lang w:val="en-US" w:eastAsia="en-US" w:bidi="en-US"/>
      </w:rPr>
    </w:lvl>
    <w:lvl w:ilvl="2" w:tplc="8BF25CDC">
      <w:numFmt w:val="bullet"/>
      <w:lvlText w:val="•"/>
      <w:lvlJc w:val="left"/>
      <w:pPr>
        <w:ind w:left="2156" w:hanging="512"/>
      </w:pPr>
      <w:rPr>
        <w:rFonts w:hint="default"/>
        <w:lang w:val="en-US" w:eastAsia="en-US" w:bidi="en-US"/>
      </w:rPr>
    </w:lvl>
    <w:lvl w:ilvl="3" w:tplc="B6DA71EC">
      <w:numFmt w:val="bullet"/>
      <w:lvlText w:val="•"/>
      <w:lvlJc w:val="left"/>
      <w:pPr>
        <w:ind w:left="2784" w:hanging="512"/>
      </w:pPr>
      <w:rPr>
        <w:rFonts w:hint="default"/>
        <w:lang w:val="en-US" w:eastAsia="en-US" w:bidi="en-US"/>
      </w:rPr>
    </w:lvl>
    <w:lvl w:ilvl="4" w:tplc="C6289366">
      <w:numFmt w:val="bullet"/>
      <w:lvlText w:val="•"/>
      <w:lvlJc w:val="left"/>
      <w:pPr>
        <w:ind w:left="3412" w:hanging="512"/>
      </w:pPr>
      <w:rPr>
        <w:rFonts w:hint="default"/>
        <w:lang w:val="en-US" w:eastAsia="en-US" w:bidi="en-US"/>
      </w:rPr>
    </w:lvl>
    <w:lvl w:ilvl="5" w:tplc="3C30796E">
      <w:numFmt w:val="bullet"/>
      <w:lvlText w:val="•"/>
      <w:lvlJc w:val="left"/>
      <w:pPr>
        <w:ind w:left="4040" w:hanging="512"/>
      </w:pPr>
      <w:rPr>
        <w:rFonts w:hint="default"/>
        <w:lang w:val="en-US" w:eastAsia="en-US" w:bidi="en-US"/>
      </w:rPr>
    </w:lvl>
    <w:lvl w:ilvl="6" w:tplc="075A72EE">
      <w:numFmt w:val="bullet"/>
      <w:lvlText w:val="•"/>
      <w:lvlJc w:val="left"/>
      <w:pPr>
        <w:ind w:left="4668" w:hanging="512"/>
      </w:pPr>
      <w:rPr>
        <w:rFonts w:hint="default"/>
        <w:lang w:val="en-US" w:eastAsia="en-US" w:bidi="en-US"/>
      </w:rPr>
    </w:lvl>
    <w:lvl w:ilvl="7" w:tplc="A2CE32BA">
      <w:numFmt w:val="bullet"/>
      <w:lvlText w:val="•"/>
      <w:lvlJc w:val="left"/>
      <w:pPr>
        <w:ind w:left="5296" w:hanging="512"/>
      </w:pPr>
      <w:rPr>
        <w:rFonts w:hint="default"/>
        <w:lang w:val="en-US" w:eastAsia="en-US" w:bidi="en-US"/>
      </w:rPr>
    </w:lvl>
    <w:lvl w:ilvl="8" w:tplc="5A32B72E">
      <w:numFmt w:val="bullet"/>
      <w:lvlText w:val="•"/>
      <w:lvlJc w:val="left"/>
      <w:pPr>
        <w:ind w:left="5924" w:hanging="512"/>
      </w:pPr>
      <w:rPr>
        <w:rFonts w:hint="default"/>
        <w:lang w:val="en-US" w:eastAsia="en-US" w:bidi="en-US"/>
      </w:rPr>
    </w:lvl>
  </w:abstractNum>
  <w:abstractNum w:abstractNumId="9" w15:restartNumberingAfterBreak="0">
    <w:nsid w:val="1B583726"/>
    <w:multiLevelType w:val="hybridMultilevel"/>
    <w:tmpl w:val="4F726062"/>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1D0C7A0F"/>
    <w:multiLevelType w:val="hybridMultilevel"/>
    <w:tmpl w:val="C270F5DA"/>
    <w:lvl w:ilvl="0" w:tplc="0B4A865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DE63224"/>
    <w:multiLevelType w:val="hybridMultilevel"/>
    <w:tmpl w:val="C270F5DA"/>
    <w:lvl w:ilvl="0" w:tplc="0B4A865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FDE37CE"/>
    <w:multiLevelType w:val="hybridMultilevel"/>
    <w:tmpl w:val="C270F5DA"/>
    <w:lvl w:ilvl="0" w:tplc="0B4A865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1FF77763"/>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20882792"/>
    <w:multiLevelType w:val="hybridMultilevel"/>
    <w:tmpl w:val="B5286F80"/>
    <w:lvl w:ilvl="0" w:tplc="918AD6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C102DA"/>
    <w:multiLevelType w:val="hybridMultilevel"/>
    <w:tmpl w:val="9A40259E"/>
    <w:lvl w:ilvl="0" w:tplc="CE2263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289E6358"/>
    <w:multiLevelType w:val="hybridMultilevel"/>
    <w:tmpl w:val="C270F5DA"/>
    <w:lvl w:ilvl="0" w:tplc="0B4A865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28AA3F54"/>
    <w:multiLevelType w:val="hybridMultilevel"/>
    <w:tmpl w:val="622CC0FC"/>
    <w:lvl w:ilvl="0" w:tplc="05BC6738">
      <w:start w:val="1"/>
      <w:numFmt w:val="decimal"/>
      <w:pStyle w:val="ApendiceNumerado"/>
      <w:lvlText w:val="A.%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AAD611B"/>
    <w:multiLevelType w:val="hybridMultilevel"/>
    <w:tmpl w:val="48D81110"/>
    <w:lvl w:ilvl="0" w:tplc="00BC9976">
      <w:start w:val="1"/>
      <w:numFmt w:val="lowerLetter"/>
      <w:pStyle w:val="Lista1"/>
      <w:lvlText w:val="(%1)"/>
      <w:lvlJc w:val="left"/>
      <w:pPr>
        <w:ind w:left="720" w:hanging="360"/>
      </w:pPr>
      <w:rPr>
        <w:rFonts w:asciiTheme="minorHAnsi" w:hAnsiTheme="minorHAnsi"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AD42FE7"/>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15:restartNumberingAfterBreak="0">
    <w:nsid w:val="2FFC262C"/>
    <w:multiLevelType w:val="hybridMultilevel"/>
    <w:tmpl w:val="62FE3F62"/>
    <w:lvl w:ilvl="0" w:tplc="85A48964">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15:restartNumberingAfterBreak="0">
    <w:nsid w:val="302711CD"/>
    <w:multiLevelType w:val="hybridMultilevel"/>
    <w:tmpl w:val="A2E6EFAE"/>
    <w:lvl w:ilvl="0" w:tplc="9844D8B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36627A2A"/>
    <w:multiLevelType w:val="hybridMultilevel"/>
    <w:tmpl w:val="EBB2BE88"/>
    <w:lvl w:ilvl="0" w:tplc="DD86FA9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2E0C13"/>
    <w:multiLevelType w:val="hybridMultilevel"/>
    <w:tmpl w:val="285CA474"/>
    <w:lvl w:ilvl="0" w:tplc="5AAABA6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3F1E13F2"/>
    <w:multiLevelType w:val="hybridMultilevel"/>
    <w:tmpl w:val="E24286A2"/>
    <w:lvl w:ilvl="0" w:tplc="8680492A">
      <w:start w:val="1"/>
      <w:numFmt w:val="decimal"/>
      <w:pStyle w:val="NormalNume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417DB0"/>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15:restartNumberingAfterBreak="0">
    <w:nsid w:val="448142DE"/>
    <w:multiLevelType w:val="hybridMultilevel"/>
    <w:tmpl w:val="DC98512A"/>
    <w:lvl w:ilvl="0" w:tplc="06401EC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48AA6051"/>
    <w:multiLevelType w:val="hybridMultilevel"/>
    <w:tmpl w:val="285CA474"/>
    <w:lvl w:ilvl="0" w:tplc="5AAABA6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63D3352"/>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15:restartNumberingAfterBreak="0">
    <w:nsid w:val="5687479F"/>
    <w:multiLevelType w:val="hybridMultilevel"/>
    <w:tmpl w:val="285CA474"/>
    <w:lvl w:ilvl="0" w:tplc="5AAABA6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14F5F7A"/>
    <w:multiLevelType w:val="hybridMultilevel"/>
    <w:tmpl w:val="ABAC52EC"/>
    <w:lvl w:ilvl="0" w:tplc="8814128C">
      <w:start w:val="1"/>
      <w:numFmt w:val="lowerLetter"/>
      <w:lvlText w:val="(%1)"/>
      <w:lvlJc w:val="left"/>
      <w:pPr>
        <w:ind w:left="720" w:hanging="360"/>
      </w:pPr>
      <w:rPr>
        <w:rFonts w:ascii="Arial" w:eastAsia="Times New Roman" w:hAnsi="Arial" w:cs="Arial"/>
        <w:u w:val="none"/>
      </w:rPr>
    </w:lvl>
    <w:lvl w:ilvl="1" w:tplc="A678E8C0">
      <w:start w:val="1"/>
      <w:numFmt w:val="decimal"/>
      <w:pStyle w:val="Listasegundo"/>
      <w:lvlText w:val="%2."/>
      <w:lvlJc w:val="lef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31045F"/>
    <w:multiLevelType w:val="hybridMultilevel"/>
    <w:tmpl w:val="582615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D1C2BDB"/>
    <w:multiLevelType w:val="hybridMultilevel"/>
    <w:tmpl w:val="A87ACC3C"/>
    <w:lvl w:ilvl="0" w:tplc="39CC9B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D4E0808"/>
    <w:multiLevelType w:val="hybridMultilevel"/>
    <w:tmpl w:val="C270F5DA"/>
    <w:lvl w:ilvl="0" w:tplc="0B4A865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F4C15E0"/>
    <w:multiLevelType w:val="hybridMultilevel"/>
    <w:tmpl w:val="6EE858E2"/>
    <w:lvl w:ilvl="0" w:tplc="B19A05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F708B5"/>
    <w:multiLevelType w:val="hybridMultilevel"/>
    <w:tmpl w:val="541C123A"/>
    <w:lvl w:ilvl="0" w:tplc="8814128C">
      <w:start w:val="1"/>
      <w:numFmt w:val="lowerLetter"/>
      <w:lvlText w:val="(%1)"/>
      <w:lvlJc w:val="left"/>
      <w:pPr>
        <w:ind w:left="720" w:hanging="360"/>
      </w:pPr>
      <w:rPr>
        <w:rFonts w:ascii="Arial" w:eastAsia="Times New Roman" w:hAnsi="Arial" w:cs="Arial"/>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4449BA"/>
    <w:multiLevelType w:val="hybridMultilevel"/>
    <w:tmpl w:val="1B166B6A"/>
    <w:lvl w:ilvl="0" w:tplc="57467B38">
      <w:start w:val="1"/>
      <w:numFmt w:val="decimal"/>
      <w:lvlText w:val="%1."/>
      <w:lvlJc w:val="left"/>
      <w:pPr>
        <w:tabs>
          <w:tab w:val="num" w:pos="360"/>
        </w:tabs>
        <w:ind w:left="360" w:hanging="360"/>
      </w:pPr>
      <w:rPr>
        <w:rFonts w:ascii="Times New Roman" w:hAnsi="Times New Roman" w:cs="Times New Roman" w:hint="default"/>
        <w:b w:val="0"/>
        <w:i w:val="0"/>
        <w:sz w:val="24"/>
        <w:szCs w:val="24"/>
        <w:lang w:val="pt-PT"/>
      </w:rPr>
    </w:lvl>
    <w:lvl w:ilvl="1" w:tplc="10D06F48">
      <w:start w:val="1"/>
      <w:numFmt w:val="lowerLetter"/>
      <w:lvlText w:val="(%2)"/>
      <w:lvlJc w:val="left"/>
      <w:pPr>
        <w:tabs>
          <w:tab w:val="num" w:pos="663"/>
        </w:tabs>
        <w:ind w:left="663" w:hanging="360"/>
      </w:pPr>
      <w:rPr>
        <w:rFonts w:hint="default"/>
        <w:b w:val="0"/>
        <w:i w:val="0"/>
        <w:sz w:val="20"/>
        <w:szCs w:val="20"/>
      </w:rPr>
    </w:lvl>
    <w:lvl w:ilvl="2" w:tplc="B2AAA02C">
      <w:start w:val="1"/>
      <w:numFmt w:val="lowerRoman"/>
      <w:lvlText w:val="%3."/>
      <w:lvlJc w:val="right"/>
      <w:pPr>
        <w:tabs>
          <w:tab w:val="num" w:pos="1800"/>
        </w:tabs>
        <w:ind w:left="1800" w:hanging="180"/>
      </w:pPr>
    </w:lvl>
    <w:lvl w:ilvl="3" w:tplc="21F88C34" w:tentative="1">
      <w:start w:val="1"/>
      <w:numFmt w:val="decimal"/>
      <w:lvlText w:val="%4."/>
      <w:lvlJc w:val="left"/>
      <w:pPr>
        <w:tabs>
          <w:tab w:val="num" w:pos="2520"/>
        </w:tabs>
        <w:ind w:left="2520" w:hanging="360"/>
      </w:pPr>
    </w:lvl>
    <w:lvl w:ilvl="4" w:tplc="4DCCF206" w:tentative="1">
      <w:start w:val="1"/>
      <w:numFmt w:val="lowerLetter"/>
      <w:lvlText w:val="%5."/>
      <w:lvlJc w:val="left"/>
      <w:pPr>
        <w:tabs>
          <w:tab w:val="num" w:pos="3240"/>
        </w:tabs>
        <w:ind w:left="3240" w:hanging="360"/>
      </w:pPr>
    </w:lvl>
    <w:lvl w:ilvl="5" w:tplc="959C0418" w:tentative="1">
      <w:start w:val="1"/>
      <w:numFmt w:val="lowerRoman"/>
      <w:lvlText w:val="%6."/>
      <w:lvlJc w:val="right"/>
      <w:pPr>
        <w:tabs>
          <w:tab w:val="num" w:pos="3960"/>
        </w:tabs>
        <w:ind w:left="3960" w:hanging="180"/>
      </w:pPr>
    </w:lvl>
    <w:lvl w:ilvl="6" w:tplc="6BF4DA9E" w:tentative="1">
      <w:start w:val="1"/>
      <w:numFmt w:val="decimal"/>
      <w:lvlText w:val="%7."/>
      <w:lvlJc w:val="left"/>
      <w:pPr>
        <w:tabs>
          <w:tab w:val="num" w:pos="4680"/>
        </w:tabs>
        <w:ind w:left="4680" w:hanging="360"/>
      </w:pPr>
    </w:lvl>
    <w:lvl w:ilvl="7" w:tplc="5D14290A" w:tentative="1">
      <w:start w:val="1"/>
      <w:numFmt w:val="lowerLetter"/>
      <w:lvlText w:val="%8."/>
      <w:lvlJc w:val="left"/>
      <w:pPr>
        <w:tabs>
          <w:tab w:val="num" w:pos="5400"/>
        </w:tabs>
        <w:ind w:left="5400" w:hanging="360"/>
      </w:pPr>
    </w:lvl>
    <w:lvl w:ilvl="8" w:tplc="B45CCEEA" w:tentative="1">
      <w:start w:val="1"/>
      <w:numFmt w:val="lowerRoman"/>
      <w:lvlText w:val="%9."/>
      <w:lvlJc w:val="right"/>
      <w:pPr>
        <w:tabs>
          <w:tab w:val="num" w:pos="6120"/>
        </w:tabs>
        <w:ind w:left="6120" w:hanging="180"/>
      </w:pPr>
    </w:lvl>
  </w:abstractNum>
  <w:abstractNum w:abstractNumId="37" w15:restartNumberingAfterBreak="0">
    <w:nsid w:val="78BB7F0C"/>
    <w:multiLevelType w:val="hybridMultilevel"/>
    <w:tmpl w:val="8FBCCA1C"/>
    <w:lvl w:ilvl="0" w:tplc="04160017">
      <w:start w:val="1"/>
      <w:numFmt w:val="lowerLetter"/>
      <w:lvlText w:val="%1)"/>
      <w:lvlJc w:val="left"/>
      <w:pPr>
        <w:ind w:left="777" w:hanging="360"/>
      </w:p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38" w15:restartNumberingAfterBreak="0">
    <w:nsid w:val="7DDA73C6"/>
    <w:multiLevelType w:val="hybridMultilevel"/>
    <w:tmpl w:val="58E6CCBE"/>
    <w:lvl w:ilvl="0" w:tplc="24924D5E">
      <w:start w:val="1"/>
      <w:numFmt w:val="bullet"/>
      <w:lvlText w:val=""/>
      <w:lvlJc w:val="left"/>
      <w:pPr>
        <w:ind w:left="720" w:hanging="360"/>
      </w:pPr>
      <w:rPr>
        <w:rFonts w:ascii="Symbol" w:hAnsi="Symbol" w:hint="default"/>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F2628C1"/>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15:restartNumberingAfterBreak="0">
    <w:nsid w:val="7F912E70"/>
    <w:multiLevelType w:val="hybridMultilevel"/>
    <w:tmpl w:val="6AC6D0A2"/>
    <w:lvl w:ilvl="0" w:tplc="93409F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18"/>
  </w:num>
  <w:num w:numId="3">
    <w:abstractNumId w:val="35"/>
  </w:num>
  <w:num w:numId="4">
    <w:abstractNumId w:val="30"/>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7"/>
  </w:num>
  <w:num w:numId="9">
    <w:abstractNumId w:val="31"/>
  </w:num>
  <w:num w:numId="10">
    <w:abstractNumId w:val="14"/>
  </w:num>
  <w:num w:numId="11">
    <w:abstractNumId w:val="20"/>
  </w:num>
  <w:num w:numId="12">
    <w:abstractNumId w:val="8"/>
  </w:num>
  <w:num w:numId="13">
    <w:abstractNumId w:val="32"/>
  </w:num>
  <w:num w:numId="14">
    <w:abstractNumId w:val="26"/>
  </w:num>
  <w:num w:numId="15">
    <w:abstractNumId w:val="21"/>
  </w:num>
  <w:num w:numId="16">
    <w:abstractNumId w:val="34"/>
  </w:num>
  <w:num w:numId="17">
    <w:abstractNumId w:val="40"/>
  </w:num>
  <w:num w:numId="18">
    <w:abstractNumId w:val="22"/>
  </w:num>
  <w:num w:numId="19">
    <w:abstractNumId w:val="15"/>
  </w:num>
  <w:num w:numId="20">
    <w:abstractNumId w:val="9"/>
  </w:num>
  <w:num w:numId="21">
    <w:abstractNumId w:val="38"/>
  </w:num>
  <w:num w:numId="22">
    <w:abstractNumId w:val="19"/>
  </w:num>
  <w:num w:numId="23">
    <w:abstractNumId w:val="28"/>
  </w:num>
  <w:num w:numId="24">
    <w:abstractNumId w:val="5"/>
  </w:num>
  <w:num w:numId="25">
    <w:abstractNumId w:val="13"/>
  </w:num>
  <w:num w:numId="26">
    <w:abstractNumId w:val="7"/>
  </w:num>
  <w:num w:numId="27">
    <w:abstractNumId w:val="25"/>
  </w:num>
  <w:num w:numId="28">
    <w:abstractNumId w:val="39"/>
  </w:num>
  <w:num w:numId="29">
    <w:abstractNumId w:val="1"/>
  </w:num>
  <w:num w:numId="30">
    <w:abstractNumId w:val="2"/>
  </w:num>
  <w:num w:numId="31">
    <w:abstractNumId w:val="10"/>
  </w:num>
  <w:num w:numId="32">
    <w:abstractNumId w:val="11"/>
  </w:num>
  <w:num w:numId="33">
    <w:abstractNumId w:val="16"/>
  </w:num>
  <w:num w:numId="34">
    <w:abstractNumId w:val="12"/>
  </w:num>
  <w:num w:numId="35">
    <w:abstractNumId w:val="3"/>
  </w:num>
  <w:num w:numId="36">
    <w:abstractNumId w:val="33"/>
  </w:num>
  <w:num w:numId="37">
    <w:abstractNumId w:val="0"/>
  </w:num>
  <w:num w:numId="38">
    <w:abstractNumId w:val="23"/>
  </w:num>
  <w:num w:numId="39">
    <w:abstractNumId w:val="29"/>
  </w:num>
  <w:num w:numId="40">
    <w:abstractNumId w:val="6"/>
  </w:num>
  <w:num w:numId="41">
    <w:abstractNumId w:val="27"/>
  </w:num>
  <w:num w:numId="42">
    <w:abstractNumId w:val="4"/>
  </w:num>
  <w:num w:numId="43">
    <w:abstractNumId w:val="36"/>
  </w:num>
  <w:num w:numId="44">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defaultTabStop w:val="708"/>
  <w:hyphenationZone w:val="425"/>
  <w:doNotHyphenateCap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29"/>
    <w:rsid w:val="00003D61"/>
    <w:rsid w:val="00011BC8"/>
    <w:rsid w:val="00021118"/>
    <w:rsid w:val="000228CF"/>
    <w:rsid w:val="00024966"/>
    <w:rsid w:val="00027212"/>
    <w:rsid w:val="00027E32"/>
    <w:rsid w:val="00027E79"/>
    <w:rsid w:val="00034409"/>
    <w:rsid w:val="00035503"/>
    <w:rsid w:val="000449E6"/>
    <w:rsid w:val="00045151"/>
    <w:rsid w:val="0004533E"/>
    <w:rsid w:val="00045FF1"/>
    <w:rsid w:val="0004662E"/>
    <w:rsid w:val="0005283A"/>
    <w:rsid w:val="00052BBC"/>
    <w:rsid w:val="000530E9"/>
    <w:rsid w:val="000540B6"/>
    <w:rsid w:val="0005420B"/>
    <w:rsid w:val="0006484A"/>
    <w:rsid w:val="00066A27"/>
    <w:rsid w:val="00067AC4"/>
    <w:rsid w:val="00073595"/>
    <w:rsid w:val="00073840"/>
    <w:rsid w:val="00081D98"/>
    <w:rsid w:val="000828AA"/>
    <w:rsid w:val="00082C06"/>
    <w:rsid w:val="00084160"/>
    <w:rsid w:val="00086161"/>
    <w:rsid w:val="00087C7F"/>
    <w:rsid w:val="00092202"/>
    <w:rsid w:val="00093377"/>
    <w:rsid w:val="00094207"/>
    <w:rsid w:val="00094B49"/>
    <w:rsid w:val="00096774"/>
    <w:rsid w:val="000973B6"/>
    <w:rsid w:val="000A0F77"/>
    <w:rsid w:val="000A101D"/>
    <w:rsid w:val="000A25B5"/>
    <w:rsid w:val="000A2D20"/>
    <w:rsid w:val="000A6C89"/>
    <w:rsid w:val="000B0AF5"/>
    <w:rsid w:val="000B0B16"/>
    <w:rsid w:val="000C0951"/>
    <w:rsid w:val="000C2D6E"/>
    <w:rsid w:val="000C315A"/>
    <w:rsid w:val="000C31A7"/>
    <w:rsid w:val="000C32E5"/>
    <w:rsid w:val="000C4B77"/>
    <w:rsid w:val="000C6A70"/>
    <w:rsid w:val="000D0070"/>
    <w:rsid w:val="000D6158"/>
    <w:rsid w:val="000D79FB"/>
    <w:rsid w:val="000E0198"/>
    <w:rsid w:val="000E47A5"/>
    <w:rsid w:val="000F05C4"/>
    <w:rsid w:val="000F7229"/>
    <w:rsid w:val="00105E49"/>
    <w:rsid w:val="001062E8"/>
    <w:rsid w:val="00107C1D"/>
    <w:rsid w:val="00112860"/>
    <w:rsid w:val="00113768"/>
    <w:rsid w:val="00117AAB"/>
    <w:rsid w:val="001225A4"/>
    <w:rsid w:val="00122721"/>
    <w:rsid w:val="00122E27"/>
    <w:rsid w:val="00127D63"/>
    <w:rsid w:val="00131C1E"/>
    <w:rsid w:val="00133223"/>
    <w:rsid w:val="00152433"/>
    <w:rsid w:val="00152F29"/>
    <w:rsid w:val="00153CF6"/>
    <w:rsid w:val="00156239"/>
    <w:rsid w:val="001574D4"/>
    <w:rsid w:val="001615FB"/>
    <w:rsid w:val="001624AD"/>
    <w:rsid w:val="0016292B"/>
    <w:rsid w:val="00163947"/>
    <w:rsid w:val="00164465"/>
    <w:rsid w:val="001654ED"/>
    <w:rsid w:val="00176150"/>
    <w:rsid w:val="00182AA4"/>
    <w:rsid w:val="0018464D"/>
    <w:rsid w:val="00195649"/>
    <w:rsid w:val="001A56E0"/>
    <w:rsid w:val="001A5F6C"/>
    <w:rsid w:val="001A785B"/>
    <w:rsid w:val="001B2176"/>
    <w:rsid w:val="001B390D"/>
    <w:rsid w:val="001B49AB"/>
    <w:rsid w:val="001C4E14"/>
    <w:rsid w:val="001C6016"/>
    <w:rsid w:val="001D3413"/>
    <w:rsid w:val="001D5DE1"/>
    <w:rsid w:val="001E1491"/>
    <w:rsid w:val="001E14A9"/>
    <w:rsid w:val="001E4B64"/>
    <w:rsid w:val="001F253A"/>
    <w:rsid w:val="001F590F"/>
    <w:rsid w:val="001F6177"/>
    <w:rsid w:val="00205E98"/>
    <w:rsid w:val="00210034"/>
    <w:rsid w:val="002125BE"/>
    <w:rsid w:val="00213222"/>
    <w:rsid w:val="00213C01"/>
    <w:rsid w:val="00225730"/>
    <w:rsid w:val="002259D6"/>
    <w:rsid w:val="00227D86"/>
    <w:rsid w:val="00232ED9"/>
    <w:rsid w:val="002331C8"/>
    <w:rsid w:val="0023638E"/>
    <w:rsid w:val="00252A21"/>
    <w:rsid w:val="00255ABD"/>
    <w:rsid w:val="00257E97"/>
    <w:rsid w:val="0026101A"/>
    <w:rsid w:val="00262B79"/>
    <w:rsid w:val="00262B82"/>
    <w:rsid w:val="0027124C"/>
    <w:rsid w:val="002731D4"/>
    <w:rsid w:val="0027501C"/>
    <w:rsid w:val="002868DE"/>
    <w:rsid w:val="00286E99"/>
    <w:rsid w:val="00287751"/>
    <w:rsid w:val="00287752"/>
    <w:rsid w:val="00291215"/>
    <w:rsid w:val="002939B9"/>
    <w:rsid w:val="00293F3F"/>
    <w:rsid w:val="0029591F"/>
    <w:rsid w:val="002A06C3"/>
    <w:rsid w:val="002A348B"/>
    <w:rsid w:val="002A35AC"/>
    <w:rsid w:val="002A4211"/>
    <w:rsid w:val="002A7987"/>
    <w:rsid w:val="002B014A"/>
    <w:rsid w:val="002B3EF5"/>
    <w:rsid w:val="002B460B"/>
    <w:rsid w:val="002B57C1"/>
    <w:rsid w:val="002B645A"/>
    <w:rsid w:val="002B710E"/>
    <w:rsid w:val="002C0794"/>
    <w:rsid w:val="002C18D1"/>
    <w:rsid w:val="002C35B3"/>
    <w:rsid w:val="002C7DAE"/>
    <w:rsid w:val="002D2DF1"/>
    <w:rsid w:val="002D75B0"/>
    <w:rsid w:val="002E0234"/>
    <w:rsid w:val="002E1B0E"/>
    <w:rsid w:val="002F2AE2"/>
    <w:rsid w:val="002F37D4"/>
    <w:rsid w:val="002F524A"/>
    <w:rsid w:val="003006F9"/>
    <w:rsid w:val="00301840"/>
    <w:rsid w:val="00301B25"/>
    <w:rsid w:val="00306F91"/>
    <w:rsid w:val="0031199B"/>
    <w:rsid w:val="003146A2"/>
    <w:rsid w:val="00322490"/>
    <w:rsid w:val="0032276F"/>
    <w:rsid w:val="00325987"/>
    <w:rsid w:val="00330126"/>
    <w:rsid w:val="00330ED9"/>
    <w:rsid w:val="003310C5"/>
    <w:rsid w:val="00331A34"/>
    <w:rsid w:val="00331B30"/>
    <w:rsid w:val="00332C1A"/>
    <w:rsid w:val="0033391A"/>
    <w:rsid w:val="00333DF6"/>
    <w:rsid w:val="00336A8D"/>
    <w:rsid w:val="0034046A"/>
    <w:rsid w:val="00340E75"/>
    <w:rsid w:val="003423C0"/>
    <w:rsid w:val="00346883"/>
    <w:rsid w:val="0034742C"/>
    <w:rsid w:val="0035094C"/>
    <w:rsid w:val="00353EA6"/>
    <w:rsid w:val="00363DC2"/>
    <w:rsid w:val="003640CF"/>
    <w:rsid w:val="00364326"/>
    <w:rsid w:val="00364D42"/>
    <w:rsid w:val="003676FA"/>
    <w:rsid w:val="00373160"/>
    <w:rsid w:val="00374C55"/>
    <w:rsid w:val="0038216D"/>
    <w:rsid w:val="00382276"/>
    <w:rsid w:val="00382468"/>
    <w:rsid w:val="003824A5"/>
    <w:rsid w:val="00391589"/>
    <w:rsid w:val="003957DB"/>
    <w:rsid w:val="00397608"/>
    <w:rsid w:val="003A05AE"/>
    <w:rsid w:val="003A491A"/>
    <w:rsid w:val="003A50F3"/>
    <w:rsid w:val="003A7E45"/>
    <w:rsid w:val="003B1D93"/>
    <w:rsid w:val="003B4756"/>
    <w:rsid w:val="003C095F"/>
    <w:rsid w:val="003C0D7D"/>
    <w:rsid w:val="003C13BB"/>
    <w:rsid w:val="003C3070"/>
    <w:rsid w:val="003C3C4C"/>
    <w:rsid w:val="003D08EE"/>
    <w:rsid w:val="003D1EF9"/>
    <w:rsid w:val="003D76DE"/>
    <w:rsid w:val="003E1551"/>
    <w:rsid w:val="003E20F2"/>
    <w:rsid w:val="003E41DC"/>
    <w:rsid w:val="003E538F"/>
    <w:rsid w:val="003E5561"/>
    <w:rsid w:val="003F510F"/>
    <w:rsid w:val="003F555B"/>
    <w:rsid w:val="004014D2"/>
    <w:rsid w:val="00401853"/>
    <w:rsid w:val="00403DDA"/>
    <w:rsid w:val="00404015"/>
    <w:rsid w:val="00404DF1"/>
    <w:rsid w:val="004103C3"/>
    <w:rsid w:val="00415189"/>
    <w:rsid w:val="0041561C"/>
    <w:rsid w:val="00426F86"/>
    <w:rsid w:val="00427DA7"/>
    <w:rsid w:val="00431408"/>
    <w:rsid w:val="004315D3"/>
    <w:rsid w:val="0043373A"/>
    <w:rsid w:val="0043759B"/>
    <w:rsid w:val="00437926"/>
    <w:rsid w:val="0044027C"/>
    <w:rsid w:val="00447E47"/>
    <w:rsid w:val="00453CFB"/>
    <w:rsid w:val="00465263"/>
    <w:rsid w:val="0046670E"/>
    <w:rsid w:val="0048019C"/>
    <w:rsid w:val="00485A3D"/>
    <w:rsid w:val="00485A86"/>
    <w:rsid w:val="004A0BA8"/>
    <w:rsid w:val="004A2BF0"/>
    <w:rsid w:val="004A6708"/>
    <w:rsid w:val="004B6FA3"/>
    <w:rsid w:val="004C368E"/>
    <w:rsid w:val="004C63D4"/>
    <w:rsid w:val="004D25C7"/>
    <w:rsid w:val="004D6C73"/>
    <w:rsid w:val="004E2838"/>
    <w:rsid w:val="004E5FB9"/>
    <w:rsid w:val="004F06B9"/>
    <w:rsid w:val="004F37E7"/>
    <w:rsid w:val="00502036"/>
    <w:rsid w:val="0050370A"/>
    <w:rsid w:val="00503A27"/>
    <w:rsid w:val="00504A62"/>
    <w:rsid w:val="0051356D"/>
    <w:rsid w:val="00524D05"/>
    <w:rsid w:val="0052674F"/>
    <w:rsid w:val="005275C7"/>
    <w:rsid w:val="0053227B"/>
    <w:rsid w:val="0053231C"/>
    <w:rsid w:val="00534DC1"/>
    <w:rsid w:val="005370BB"/>
    <w:rsid w:val="00541150"/>
    <w:rsid w:val="005432F8"/>
    <w:rsid w:val="005522FF"/>
    <w:rsid w:val="00553FF8"/>
    <w:rsid w:val="0056279B"/>
    <w:rsid w:val="00562A7D"/>
    <w:rsid w:val="00566416"/>
    <w:rsid w:val="00566F0A"/>
    <w:rsid w:val="0057302C"/>
    <w:rsid w:val="00574E64"/>
    <w:rsid w:val="00576C40"/>
    <w:rsid w:val="00577AF6"/>
    <w:rsid w:val="005843E3"/>
    <w:rsid w:val="0059044F"/>
    <w:rsid w:val="00593A42"/>
    <w:rsid w:val="00593DF7"/>
    <w:rsid w:val="0059420E"/>
    <w:rsid w:val="0059776F"/>
    <w:rsid w:val="005A048C"/>
    <w:rsid w:val="005A0A12"/>
    <w:rsid w:val="005A256F"/>
    <w:rsid w:val="005A65F3"/>
    <w:rsid w:val="005A76D7"/>
    <w:rsid w:val="005B3864"/>
    <w:rsid w:val="005B607A"/>
    <w:rsid w:val="005B7076"/>
    <w:rsid w:val="005C3FCB"/>
    <w:rsid w:val="005C6382"/>
    <w:rsid w:val="005D40CF"/>
    <w:rsid w:val="005D56AF"/>
    <w:rsid w:val="005D625C"/>
    <w:rsid w:val="005D6602"/>
    <w:rsid w:val="005E123B"/>
    <w:rsid w:val="005F3AE1"/>
    <w:rsid w:val="005F4EDC"/>
    <w:rsid w:val="005F6889"/>
    <w:rsid w:val="0060641A"/>
    <w:rsid w:val="00613CA9"/>
    <w:rsid w:val="006143E2"/>
    <w:rsid w:val="00615077"/>
    <w:rsid w:val="00631406"/>
    <w:rsid w:val="00631B4D"/>
    <w:rsid w:val="0063429A"/>
    <w:rsid w:val="006372D9"/>
    <w:rsid w:val="00637DD5"/>
    <w:rsid w:val="00644BFE"/>
    <w:rsid w:val="0064517E"/>
    <w:rsid w:val="006507D9"/>
    <w:rsid w:val="0065351F"/>
    <w:rsid w:val="0066134D"/>
    <w:rsid w:val="00662CE5"/>
    <w:rsid w:val="006631CF"/>
    <w:rsid w:val="00665977"/>
    <w:rsid w:val="00666427"/>
    <w:rsid w:val="00677AC2"/>
    <w:rsid w:val="00677FB4"/>
    <w:rsid w:val="006802F9"/>
    <w:rsid w:val="00680A5F"/>
    <w:rsid w:val="00687D68"/>
    <w:rsid w:val="00687D8F"/>
    <w:rsid w:val="0069110D"/>
    <w:rsid w:val="00692965"/>
    <w:rsid w:val="0069364F"/>
    <w:rsid w:val="00697DC4"/>
    <w:rsid w:val="006A048D"/>
    <w:rsid w:val="006A3F21"/>
    <w:rsid w:val="006A520C"/>
    <w:rsid w:val="006A6869"/>
    <w:rsid w:val="006B1CDB"/>
    <w:rsid w:val="006B217E"/>
    <w:rsid w:val="006B4EFA"/>
    <w:rsid w:val="006B587A"/>
    <w:rsid w:val="006B6A91"/>
    <w:rsid w:val="006B6BAF"/>
    <w:rsid w:val="006B76CB"/>
    <w:rsid w:val="006B7A40"/>
    <w:rsid w:val="006C0963"/>
    <w:rsid w:val="006C2092"/>
    <w:rsid w:val="006C4B82"/>
    <w:rsid w:val="006D0CA5"/>
    <w:rsid w:val="006D7403"/>
    <w:rsid w:val="006E179D"/>
    <w:rsid w:val="006E43BD"/>
    <w:rsid w:val="006E4967"/>
    <w:rsid w:val="006E579E"/>
    <w:rsid w:val="006E6083"/>
    <w:rsid w:val="006E69B3"/>
    <w:rsid w:val="006F153F"/>
    <w:rsid w:val="006F24D4"/>
    <w:rsid w:val="00702831"/>
    <w:rsid w:val="007116DC"/>
    <w:rsid w:val="0071173A"/>
    <w:rsid w:val="00715589"/>
    <w:rsid w:val="00716C0D"/>
    <w:rsid w:val="007216DC"/>
    <w:rsid w:val="007217F3"/>
    <w:rsid w:val="0072592E"/>
    <w:rsid w:val="00730CA2"/>
    <w:rsid w:val="00731647"/>
    <w:rsid w:val="00731734"/>
    <w:rsid w:val="00731CD7"/>
    <w:rsid w:val="00737261"/>
    <w:rsid w:val="00740D17"/>
    <w:rsid w:val="00741343"/>
    <w:rsid w:val="00741C26"/>
    <w:rsid w:val="007444FA"/>
    <w:rsid w:val="00744A2C"/>
    <w:rsid w:val="00746A60"/>
    <w:rsid w:val="007473EB"/>
    <w:rsid w:val="0075017C"/>
    <w:rsid w:val="00751A62"/>
    <w:rsid w:val="00757113"/>
    <w:rsid w:val="00762998"/>
    <w:rsid w:val="00764C6E"/>
    <w:rsid w:val="007661B3"/>
    <w:rsid w:val="0076777A"/>
    <w:rsid w:val="007735C8"/>
    <w:rsid w:val="00773614"/>
    <w:rsid w:val="00773CE2"/>
    <w:rsid w:val="00777881"/>
    <w:rsid w:val="007802B9"/>
    <w:rsid w:val="0078141D"/>
    <w:rsid w:val="00785E77"/>
    <w:rsid w:val="00786482"/>
    <w:rsid w:val="00787065"/>
    <w:rsid w:val="00787225"/>
    <w:rsid w:val="007909BB"/>
    <w:rsid w:val="007A0653"/>
    <w:rsid w:val="007B27C2"/>
    <w:rsid w:val="007B5F81"/>
    <w:rsid w:val="007B60F9"/>
    <w:rsid w:val="007D0213"/>
    <w:rsid w:val="007D2BCF"/>
    <w:rsid w:val="007D3B76"/>
    <w:rsid w:val="007D683D"/>
    <w:rsid w:val="007D6EF4"/>
    <w:rsid w:val="007D7E76"/>
    <w:rsid w:val="007E1FC7"/>
    <w:rsid w:val="007E2162"/>
    <w:rsid w:val="007E29FE"/>
    <w:rsid w:val="007E336C"/>
    <w:rsid w:val="007E4262"/>
    <w:rsid w:val="007E6F0A"/>
    <w:rsid w:val="007F377A"/>
    <w:rsid w:val="007F4297"/>
    <w:rsid w:val="00801CC7"/>
    <w:rsid w:val="0080598B"/>
    <w:rsid w:val="00807470"/>
    <w:rsid w:val="0081700C"/>
    <w:rsid w:val="0081770F"/>
    <w:rsid w:val="0081782D"/>
    <w:rsid w:val="00821AA6"/>
    <w:rsid w:val="00823D63"/>
    <w:rsid w:val="00827B05"/>
    <w:rsid w:val="008326F6"/>
    <w:rsid w:val="00835937"/>
    <w:rsid w:val="0083593F"/>
    <w:rsid w:val="00837FDE"/>
    <w:rsid w:val="00844254"/>
    <w:rsid w:val="00851335"/>
    <w:rsid w:val="00854529"/>
    <w:rsid w:val="008547B6"/>
    <w:rsid w:val="008573C6"/>
    <w:rsid w:val="00860489"/>
    <w:rsid w:val="00860EFF"/>
    <w:rsid w:val="0086225D"/>
    <w:rsid w:val="00862515"/>
    <w:rsid w:val="00862D2B"/>
    <w:rsid w:val="00864D75"/>
    <w:rsid w:val="00872B70"/>
    <w:rsid w:val="00872BF6"/>
    <w:rsid w:val="008768DC"/>
    <w:rsid w:val="00876932"/>
    <w:rsid w:val="0087770B"/>
    <w:rsid w:val="00880397"/>
    <w:rsid w:val="00880922"/>
    <w:rsid w:val="0088129B"/>
    <w:rsid w:val="0089080C"/>
    <w:rsid w:val="00890CF4"/>
    <w:rsid w:val="008911A8"/>
    <w:rsid w:val="00891DF5"/>
    <w:rsid w:val="00893286"/>
    <w:rsid w:val="00893BD4"/>
    <w:rsid w:val="00895B8B"/>
    <w:rsid w:val="00895E4F"/>
    <w:rsid w:val="008A05DE"/>
    <w:rsid w:val="008A6FBE"/>
    <w:rsid w:val="008B0CA7"/>
    <w:rsid w:val="008B1390"/>
    <w:rsid w:val="008B5758"/>
    <w:rsid w:val="008B7D16"/>
    <w:rsid w:val="008C103C"/>
    <w:rsid w:val="008C12E8"/>
    <w:rsid w:val="008C4FBD"/>
    <w:rsid w:val="008D16B4"/>
    <w:rsid w:val="008D2930"/>
    <w:rsid w:val="008E014A"/>
    <w:rsid w:val="008E1CA0"/>
    <w:rsid w:val="008E3DAC"/>
    <w:rsid w:val="008F2723"/>
    <w:rsid w:val="008F51E2"/>
    <w:rsid w:val="008F60F0"/>
    <w:rsid w:val="0090531E"/>
    <w:rsid w:val="00906FD4"/>
    <w:rsid w:val="00915202"/>
    <w:rsid w:val="00915BDA"/>
    <w:rsid w:val="009244F7"/>
    <w:rsid w:val="00925F9D"/>
    <w:rsid w:val="00926B67"/>
    <w:rsid w:val="00930032"/>
    <w:rsid w:val="00931361"/>
    <w:rsid w:val="00931D6A"/>
    <w:rsid w:val="00935F94"/>
    <w:rsid w:val="00936D36"/>
    <w:rsid w:val="009410C0"/>
    <w:rsid w:val="00943705"/>
    <w:rsid w:val="00944490"/>
    <w:rsid w:val="00944E95"/>
    <w:rsid w:val="009453AF"/>
    <w:rsid w:val="009453CB"/>
    <w:rsid w:val="0095247E"/>
    <w:rsid w:val="0095299B"/>
    <w:rsid w:val="0095348A"/>
    <w:rsid w:val="00957228"/>
    <w:rsid w:val="00960774"/>
    <w:rsid w:val="00962951"/>
    <w:rsid w:val="00966D49"/>
    <w:rsid w:val="00966DAA"/>
    <w:rsid w:val="00984EE8"/>
    <w:rsid w:val="00991D79"/>
    <w:rsid w:val="009949D4"/>
    <w:rsid w:val="00995421"/>
    <w:rsid w:val="00995A77"/>
    <w:rsid w:val="009A0545"/>
    <w:rsid w:val="009A1760"/>
    <w:rsid w:val="009B2834"/>
    <w:rsid w:val="009B3E4B"/>
    <w:rsid w:val="009C08F6"/>
    <w:rsid w:val="009C1DF2"/>
    <w:rsid w:val="009C6535"/>
    <w:rsid w:val="009C7D8C"/>
    <w:rsid w:val="009D0914"/>
    <w:rsid w:val="009D0C2B"/>
    <w:rsid w:val="009D1A89"/>
    <w:rsid w:val="009D22A8"/>
    <w:rsid w:val="009D2A0E"/>
    <w:rsid w:val="009D2F0D"/>
    <w:rsid w:val="009D301C"/>
    <w:rsid w:val="009D7498"/>
    <w:rsid w:val="009E37BE"/>
    <w:rsid w:val="009E5E33"/>
    <w:rsid w:val="009E748C"/>
    <w:rsid w:val="009E76B5"/>
    <w:rsid w:val="009F0E7A"/>
    <w:rsid w:val="009F2222"/>
    <w:rsid w:val="009F6059"/>
    <w:rsid w:val="00A00D24"/>
    <w:rsid w:val="00A053ED"/>
    <w:rsid w:val="00A06E97"/>
    <w:rsid w:val="00A11B9F"/>
    <w:rsid w:val="00A17BC0"/>
    <w:rsid w:val="00A26097"/>
    <w:rsid w:val="00A307D6"/>
    <w:rsid w:val="00A32398"/>
    <w:rsid w:val="00A4099E"/>
    <w:rsid w:val="00A56F3B"/>
    <w:rsid w:val="00A61825"/>
    <w:rsid w:val="00A6444D"/>
    <w:rsid w:val="00A64E2F"/>
    <w:rsid w:val="00A6774F"/>
    <w:rsid w:val="00A77011"/>
    <w:rsid w:val="00A77A89"/>
    <w:rsid w:val="00A830ED"/>
    <w:rsid w:val="00A85532"/>
    <w:rsid w:val="00A85970"/>
    <w:rsid w:val="00A85A4B"/>
    <w:rsid w:val="00A87174"/>
    <w:rsid w:val="00AA1991"/>
    <w:rsid w:val="00AA372B"/>
    <w:rsid w:val="00AA5E20"/>
    <w:rsid w:val="00AA7FAB"/>
    <w:rsid w:val="00AB2CB1"/>
    <w:rsid w:val="00AB300B"/>
    <w:rsid w:val="00AB4CBF"/>
    <w:rsid w:val="00AB6D5B"/>
    <w:rsid w:val="00AC5521"/>
    <w:rsid w:val="00AC6F39"/>
    <w:rsid w:val="00AD152C"/>
    <w:rsid w:val="00AD6B06"/>
    <w:rsid w:val="00AE5A55"/>
    <w:rsid w:val="00AE7822"/>
    <w:rsid w:val="00AF3232"/>
    <w:rsid w:val="00AF4D9B"/>
    <w:rsid w:val="00AF6E16"/>
    <w:rsid w:val="00B03502"/>
    <w:rsid w:val="00B04F8B"/>
    <w:rsid w:val="00B0588E"/>
    <w:rsid w:val="00B063A1"/>
    <w:rsid w:val="00B07A0C"/>
    <w:rsid w:val="00B13360"/>
    <w:rsid w:val="00B147A5"/>
    <w:rsid w:val="00B15263"/>
    <w:rsid w:val="00B2202F"/>
    <w:rsid w:val="00B23987"/>
    <w:rsid w:val="00B24C99"/>
    <w:rsid w:val="00B26E80"/>
    <w:rsid w:val="00B41054"/>
    <w:rsid w:val="00B42C30"/>
    <w:rsid w:val="00B46976"/>
    <w:rsid w:val="00B5126F"/>
    <w:rsid w:val="00B56190"/>
    <w:rsid w:val="00B629D0"/>
    <w:rsid w:val="00B62C39"/>
    <w:rsid w:val="00B74298"/>
    <w:rsid w:val="00B74408"/>
    <w:rsid w:val="00B745AD"/>
    <w:rsid w:val="00B750B9"/>
    <w:rsid w:val="00B818B9"/>
    <w:rsid w:val="00B81A66"/>
    <w:rsid w:val="00B875BB"/>
    <w:rsid w:val="00B90FD8"/>
    <w:rsid w:val="00BA3EBC"/>
    <w:rsid w:val="00BB077B"/>
    <w:rsid w:val="00BB2120"/>
    <w:rsid w:val="00BB453A"/>
    <w:rsid w:val="00BB6E8A"/>
    <w:rsid w:val="00BC1AEE"/>
    <w:rsid w:val="00BC4765"/>
    <w:rsid w:val="00BC4AA9"/>
    <w:rsid w:val="00BD3307"/>
    <w:rsid w:val="00BE23F4"/>
    <w:rsid w:val="00BE3CE3"/>
    <w:rsid w:val="00BF39A4"/>
    <w:rsid w:val="00C00283"/>
    <w:rsid w:val="00C01EFD"/>
    <w:rsid w:val="00C02386"/>
    <w:rsid w:val="00C030C3"/>
    <w:rsid w:val="00C0333C"/>
    <w:rsid w:val="00C0342A"/>
    <w:rsid w:val="00C050EB"/>
    <w:rsid w:val="00C13081"/>
    <w:rsid w:val="00C177F6"/>
    <w:rsid w:val="00C26E0D"/>
    <w:rsid w:val="00C407BB"/>
    <w:rsid w:val="00C41A48"/>
    <w:rsid w:val="00C46D91"/>
    <w:rsid w:val="00C4747B"/>
    <w:rsid w:val="00C49006"/>
    <w:rsid w:val="00C54F59"/>
    <w:rsid w:val="00C55302"/>
    <w:rsid w:val="00C66387"/>
    <w:rsid w:val="00C672BF"/>
    <w:rsid w:val="00C67C50"/>
    <w:rsid w:val="00C72DCC"/>
    <w:rsid w:val="00C739FE"/>
    <w:rsid w:val="00C73D07"/>
    <w:rsid w:val="00C74AE3"/>
    <w:rsid w:val="00C74B77"/>
    <w:rsid w:val="00C80190"/>
    <w:rsid w:val="00C8191F"/>
    <w:rsid w:val="00C8298F"/>
    <w:rsid w:val="00C83AEA"/>
    <w:rsid w:val="00C84B5E"/>
    <w:rsid w:val="00C86610"/>
    <w:rsid w:val="00C86C8C"/>
    <w:rsid w:val="00C92E2E"/>
    <w:rsid w:val="00C93800"/>
    <w:rsid w:val="00C9500C"/>
    <w:rsid w:val="00C97A47"/>
    <w:rsid w:val="00CA2D5B"/>
    <w:rsid w:val="00CB099D"/>
    <w:rsid w:val="00CB25FB"/>
    <w:rsid w:val="00CB6103"/>
    <w:rsid w:val="00CC048B"/>
    <w:rsid w:val="00CC34EF"/>
    <w:rsid w:val="00CC4A9C"/>
    <w:rsid w:val="00CD3272"/>
    <w:rsid w:val="00CD4E0D"/>
    <w:rsid w:val="00CD53C8"/>
    <w:rsid w:val="00CD64D6"/>
    <w:rsid w:val="00CE3B36"/>
    <w:rsid w:val="00CE4626"/>
    <w:rsid w:val="00CE7D5A"/>
    <w:rsid w:val="00CF00E0"/>
    <w:rsid w:val="00CF6736"/>
    <w:rsid w:val="00CF6CEF"/>
    <w:rsid w:val="00CF7321"/>
    <w:rsid w:val="00D02FA8"/>
    <w:rsid w:val="00D070F6"/>
    <w:rsid w:val="00D11055"/>
    <w:rsid w:val="00D1150C"/>
    <w:rsid w:val="00D1361B"/>
    <w:rsid w:val="00D13E79"/>
    <w:rsid w:val="00D15901"/>
    <w:rsid w:val="00D203B1"/>
    <w:rsid w:val="00D23899"/>
    <w:rsid w:val="00D300A9"/>
    <w:rsid w:val="00D32154"/>
    <w:rsid w:val="00D34727"/>
    <w:rsid w:val="00D37F0E"/>
    <w:rsid w:val="00D40910"/>
    <w:rsid w:val="00D41AB3"/>
    <w:rsid w:val="00D4283D"/>
    <w:rsid w:val="00D46F9A"/>
    <w:rsid w:val="00D5162C"/>
    <w:rsid w:val="00D64288"/>
    <w:rsid w:val="00D66E6D"/>
    <w:rsid w:val="00D67D62"/>
    <w:rsid w:val="00D70263"/>
    <w:rsid w:val="00D72FD5"/>
    <w:rsid w:val="00D7361F"/>
    <w:rsid w:val="00D76A1D"/>
    <w:rsid w:val="00D7CA91"/>
    <w:rsid w:val="00D813A0"/>
    <w:rsid w:val="00D90E77"/>
    <w:rsid w:val="00D91070"/>
    <w:rsid w:val="00D92E03"/>
    <w:rsid w:val="00D93292"/>
    <w:rsid w:val="00D95751"/>
    <w:rsid w:val="00D95C95"/>
    <w:rsid w:val="00DA08ED"/>
    <w:rsid w:val="00DA1C2D"/>
    <w:rsid w:val="00DA5C25"/>
    <w:rsid w:val="00DA7BBD"/>
    <w:rsid w:val="00DB0479"/>
    <w:rsid w:val="00DB2105"/>
    <w:rsid w:val="00DB3260"/>
    <w:rsid w:val="00DC01BB"/>
    <w:rsid w:val="00DC1873"/>
    <w:rsid w:val="00DD20B2"/>
    <w:rsid w:val="00DD37AC"/>
    <w:rsid w:val="00DD69E5"/>
    <w:rsid w:val="00DE0F49"/>
    <w:rsid w:val="00DE6EF6"/>
    <w:rsid w:val="00E00B3D"/>
    <w:rsid w:val="00E06841"/>
    <w:rsid w:val="00E1179D"/>
    <w:rsid w:val="00E11D6B"/>
    <w:rsid w:val="00E13848"/>
    <w:rsid w:val="00E14CB9"/>
    <w:rsid w:val="00E177C1"/>
    <w:rsid w:val="00E22043"/>
    <w:rsid w:val="00E24832"/>
    <w:rsid w:val="00E31A82"/>
    <w:rsid w:val="00E33232"/>
    <w:rsid w:val="00E37ADF"/>
    <w:rsid w:val="00E40E93"/>
    <w:rsid w:val="00E40F93"/>
    <w:rsid w:val="00E452C2"/>
    <w:rsid w:val="00E47EC5"/>
    <w:rsid w:val="00E57A9D"/>
    <w:rsid w:val="00E57B43"/>
    <w:rsid w:val="00E57EF9"/>
    <w:rsid w:val="00E67FBA"/>
    <w:rsid w:val="00E71038"/>
    <w:rsid w:val="00E72ABD"/>
    <w:rsid w:val="00E76F16"/>
    <w:rsid w:val="00E7795F"/>
    <w:rsid w:val="00E82E6A"/>
    <w:rsid w:val="00E82F08"/>
    <w:rsid w:val="00E83CB6"/>
    <w:rsid w:val="00E856F8"/>
    <w:rsid w:val="00E86B8E"/>
    <w:rsid w:val="00E9004F"/>
    <w:rsid w:val="00E9098F"/>
    <w:rsid w:val="00E92739"/>
    <w:rsid w:val="00E96884"/>
    <w:rsid w:val="00E96A03"/>
    <w:rsid w:val="00EA3259"/>
    <w:rsid w:val="00EA33FE"/>
    <w:rsid w:val="00EA77E9"/>
    <w:rsid w:val="00EA79A7"/>
    <w:rsid w:val="00EB2E14"/>
    <w:rsid w:val="00EC05B4"/>
    <w:rsid w:val="00EC137B"/>
    <w:rsid w:val="00EC1AC4"/>
    <w:rsid w:val="00EC36F0"/>
    <w:rsid w:val="00ED1BB0"/>
    <w:rsid w:val="00ED254C"/>
    <w:rsid w:val="00EE0F07"/>
    <w:rsid w:val="00EE2501"/>
    <w:rsid w:val="00EE2E98"/>
    <w:rsid w:val="00EE444C"/>
    <w:rsid w:val="00EE557F"/>
    <w:rsid w:val="00EE5B56"/>
    <w:rsid w:val="00EE6264"/>
    <w:rsid w:val="00EE79A1"/>
    <w:rsid w:val="00EF4E65"/>
    <w:rsid w:val="00F028A8"/>
    <w:rsid w:val="00F069B6"/>
    <w:rsid w:val="00F06B0B"/>
    <w:rsid w:val="00F07A47"/>
    <w:rsid w:val="00F07EF3"/>
    <w:rsid w:val="00F11BA4"/>
    <w:rsid w:val="00F12633"/>
    <w:rsid w:val="00F13440"/>
    <w:rsid w:val="00F1509A"/>
    <w:rsid w:val="00F16ED9"/>
    <w:rsid w:val="00F17116"/>
    <w:rsid w:val="00F21795"/>
    <w:rsid w:val="00F21B81"/>
    <w:rsid w:val="00F24556"/>
    <w:rsid w:val="00F245AA"/>
    <w:rsid w:val="00F24882"/>
    <w:rsid w:val="00F2537E"/>
    <w:rsid w:val="00F26053"/>
    <w:rsid w:val="00F27C5C"/>
    <w:rsid w:val="00F31F58"/>
    <w:rsid w:val="00F354F2"/>
    <w:rsid w:val="00F41672"/>
    <w:rsid w:val="00F427CB"/>
    <w:rsid w:val="00F44F26"/>
    <w:rsid w:val="00F4799E"/>
    <w:rsid w:val="00F52E2A"/>
    <w:rsid w:val="00F53A5C"/>
    <w:rsid w:val="00F56AF9"/>
    <w:rsid w:val="00F60EF5"/>
    <w:rsid w:val="00F633A4"/>
    <w:rsid w:val="00F6565E"/>
    <w:rsid w:val="00F7090D"/>
    <w:rsid w:val="00F70B07"/>
    <w:rsid w:val="00F71BF4"/>
    <w:rsid w:val="00F76827"/>
    <w:rsid w:val="00F80CAD"/>
    <w:rsid w:val="00F81715"/>
    <w:rsid w:val="00F86972"/>
    <w:rsid w:val="00F91953"/>
    <w:rsid w:val="00F919DD"/>
    <w:rsid w:val="00F92719"/>
    <w:rsid w:val="00F9296B"/>
    <w:rsid w:val="00F92E7A"/>
    <w:rsid w:val="00F93B36"/>
    <w:rsid w:val="00F9602D"/>
    <w:rsid w:val="00FA0F67"/>
    <w:rsid w:val="00FA214E"/>
    <w:rsid w:val="00FA2BF4"/>
    <w:rsid w:val="00FB03E0"/>
    <w:rsid w:val="00FB044B"/>
    <w:rsid w:val="00FB5218"/>
    <w:rsid w:val="00FC0FAB"/>
    <w:rsid w:val="00FC28B6"/>
    <w:rsid w:val="00FC681E"/>
    <w:rsid w:val="00FC7B4A"/>
    <w:rsid w:val="00FD0726"/>
    <w:rsid w:val="00FD169D"/>
    <w:rsid w:val="00FD3B05"/>
    <w:rsid w:val="00FD3B64"/>
    <w:rsid w:val="00FE184B"/>
    <w:rsid w:val="00FE7CD3"/>
    <w:rsid w:val="00FF0DA9"/>
    <w:rsid w:val="00FF24AB"/>
    <w:rsid w:val="00FF2AE4"/>
    <w:rsid w:val="00FF64C9"/>
    <w:rsid w:val="00FF6B2F"/>
    <w:rsid w:val="02F97C88"/>
    <w:rsid w:val="034D9C66"/>
    <w:rsid w:val="03800638"/>
    <w:rsid w:val="03AD2DD2"/>
    <w:rsid w:val="076B6053"/>
    <w:rsid w:val="078F4A7C"/>
    <w:rsid w:val="084FA0E8"/>
    <w:rsid w:val="08ABDD29"/>
    <w:rsid w:val="0907D45B"/>
    <w:rsid w:val="0A95B22A"/>
    <w:rsid w:val="0A98EAA0"/>
    <w:rsid w:val="0B711762"/>
    <w:rsid w:val="0BCBE4B9"/>
    <w:rsid w:val="0BE3FC3B"/>
    <w:rsid w:val="0CF941F2"/>
    <w:rsid w:val="0D14B3D4"/>
    <w:rsid w:val="0D44CC57"/>
    <w:rsid w:val="0ED55DD1"/>
    <w:rsid w:val="110E611A"/>
    <w:rsid w:val="11F1B443"/>
    <w:rsid w:val="1302A9B2"/>
    <w:rsid w:val="132420C2"/>
    <w:rsid w:val="13939CCA"/>
    <w:rsid w:val="13F6C314"/>
    <w:rsid w:val="1507FA93"/>
    <w:rsid w:val="153AD584"/>
    <w:rsid w:val="15613B41"/>
    <w:rsid w:val="16EF7B48"/>
    <w:rsid w:val="174F145D"/>
    <w:rsid w:val="18244511"/>
    <w:rsid w:val="18709242"/>
    <w:rsid w:val="194F9BB8"/>
    <w:rsid w:val="1B1A2ADF"/>
    <w:rsid w:val="1BE4821A"/>
    <w:rsid w:val="1C2F7337"/>
    <w:rsid w:val="1D83BCDA"/>
    <w:rsid w:val="1E26FDC3"/>
    <w:rsid w:val="1ECDB973"/>
    <w:rsid w:val="1F418966"/>
    <w:rsid w:val="20113EC8"/>
    <w:rsid w:val="20BD6B52"/>
    <w:rsid w:val="22451288"/>
    <w:rsid w:val="23295C2B"/>
    <w:rsid w:val="267B62B8"/>
    <w:rsid w:val="280D978A"/>
    <w:rsid w:val="291F1DC0"/>
    <w:rsid w:val="295AB180"/>
    <w:rsid w:val="29751758"/>
    <w:rsid w:val="2A49B8E2"/>
    <w:rsid w:val="2A8A158C"/>
    <w:rsid w:val="2B200DE4"/>
    <w:rsid w:val="2D2C5FC0"/>
    <w:rsid w:val="2EA69546"/>
    <w:rsid w:val="2EBF98D7"/>
    <w:rsid w:val="2EDF34E0"/>
    <w:rsid w:val="2F346D7F"/>
    <w:rsid w:val="2FBBBE55"/>
    <w:rsid w:val="32E40091"/>
    <w:rsid w:val="335F025E"/>
    <w:rsid w:val="3446E144"/>
    <w:rsid w:val="351079C6"/>
    <w:rsid w:val="35ACAF51"/>
    <w:rsid w:val="3736874D"/>
    <w:rsid w:val="3746A2A1"/>
    <w:rsid w:val="37CA9C05"/>
    <w:rsid w:val="387A6FF6"/>
    <w:rsid w:val="393E9915"/>
    <w:rsid w:val="399B8971"/>
    <w:rsid w:val="39B5B39F"/>
    <w:rsid w:val="39E0CDBC"/>
    <w:rsid w:val="3BDD3870"/>
    <w:rsid w:val="3D79AAB4"/>
    <w:rsid w:val="3E1D6367"/>
    <w:rsid w:val="3F456CDE"/>
    <w:rsid w:val="3FD48ABA"/>
    <w:rsid w:val="40D412CA"/>
    <w:rsid w:val="413E5F87"/>
    <w:rsid w:val="417AD75C"/>
    <w:rsid w:val="419204C1"/>
    <w:rsid w:val="4282F934"/>
    <w:rsid w:val="43F8118C"/>
    <w:rsid w:val="448CC015"/>
    <w:rsid w:val="45B21913"/>
    <w:rsid w:val="467D9A26"/>
    <w:rsid w:val="47489352"/>
    <w:rsid w:val="47507EC3"/>
    <w:rsid w:val="491D7171"/>
    <w:rsid w:val="49934A5F"/>
    <w:rsid w:val="49A5767F"/>
    <w:rsid w:val="49EA4309"/>
    <w:rsid w:val="4AC6F039"/>
    <w:rsid w:val="4B4A5687"/>
    <w:rsid w:val="4CD4D5E6"/>
    <w:rsid w:val="4E064B10"/>
    <w:rsid w:val="4F068D27"/>
    <w:rsid w:val="4F1D0796"/>
    <w:rsid w:val="4F6DDDC9"/>
    <w:rsid w:val="50EC69F6"/>
    <w:rsid w:val="51D6FC79"/>
    <w:rsid w:val="53A638E4"/>
    <w:rsid w:val="53DA5323"/>
    <w:rsid w:val="567EF56C"/>
    <w:rsid w:val="56956137"/>
    <w:rsid w:val="585AC504"/>
    <w:rsid w:val="58C2AC6E"/>
    <w:rsid w:val="5AA1A2B7"/>
    <w:rsid w:val="5B515418"/>
    <w:rsid w:val="5D91E4A5"/>
    <w:rsid w:val="5ED6504E"/>
    <w:rsid w:val="5F3E55A9"/>
    <w:rsid w:val="5F924675"/>
    <w:rsid w:val="6094087E"/>
    <w:rsid w:val="60C32E84"/>
    <w:rsid w:val="61A389FF"/>
    <w:rsid w:val="63E8F0DA"/>
    <w:rsid w:val="6437FBE9"/>
    <w:rsid w:val="650CE414"/>
    <w:rsid w:val="65320138"/>
    <w:rsid w:val="667B10DA"/>
    <w:rsid w:val="6740B4F0"/>
    <w:rsid w:val="683D4996"/>
    <w:rsid w:val="690A8D31"/>
    <w:rsid w:val="69462877"/>
    <w:rsid w:val="69C3DD62"/>
    <w:rsid w:val="6C4EBF7D"/>
    <w:rsid w:val="6EC1AF42"/>
    <w:rsid w:val="6F09FB2E"/>
    <w:rsid w:val="6F25059E"/>
    <w:rsid w:val="6FDB7A62"/>
    <w:rsid w:val="71169612"/>
    <w:rsid w:val="71686E35"/>
    <w:rsid w:val="7199B74A"/>
    <w:rsid w:val="71ACC8CA"/>
    <w:rsid w:val="74925766"/>
    <w:rsid w:val="752F4300"/>
    <w:rsid w:val="75F6A7F6"/>
    <w:rsid w:val="76FD85DA"/>
    <w:rsid w:val="776B4A04"/>
    <w:rsid w:val="778442C3"/>
    <w:rsid w:val="77F647DA"/>
    <w:rsid w:val="78388078"/>
    <w:rsid w:val="7A3E0773"/>
    <w:rsid w:val="7C490DA0"/>
    <w:rsid w:val="7CDC70AB"/>
    <w:rsid w:val="7DB55A39"/>
    <w:rsid w:val="7F8E0FD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4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1" w:unhideWhenUsed="1" w:qFormat="1"/>
    <w:lsdException w:name="heading 5" w:locked="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94"/>
    <w:rPr>
      <w:sz w:val="24"/>
      <w:szCs w:val="24"/>
      <w:lang w:eastAsia="pt-BR"/>
    </w:rPr>
  </w:style>
  <w:style w:type="paragraph" w:styleId="Ttulo1">
    <w:name w:val="heading 1"/>
    <w:basedOn w:val="Normal"/>
    <w:next w:val="Normal"/>
    <w:link w:val="Ttulo1Char"/>
    <w:uiPriority w:val="9"/>
    <w:qFormat/>
    <w:rsid w:val="0073726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9"/>
    <w:qFormat/>
    <w:rsid w:val="0073726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9"/>
    <w:qFormat/>
    <w:rsid w:val="002C0794"/>
    <w:pPr>
      <w:keepNext/>
      <w:jc w:val="center"/>
      <w:outlineLvl w:val="2"/>
    </w:pPr>
    <w:rPr>
      <w:szCs w:val="20"/>
    </w:rPr>
  </w:style>
  <w:style w:type="paragraph" w:styleId="Ttulo4">
    <w:name w:val="heading 4"/>
    <w:basedOn w:val="Normal"/>
    <w:link w:val="Ttulo4Char"/>
    <w:uiPriority w:val="1"/>
    <w:qFormat/>
    <w:locked/>
    <w:rsid w:val="00C74B77"/>
    <w:pPr>
      <w:widowControl w:val="0"/>
      <w:autoSpaceDE w:val="0"/>
      <w:autoSpaceDN w:val="0"/>
      <w:ind w:left="270"/>
      <w:outlineLvl w:val="3"/>
    </w:pPr>
    <w:rPr>
      <w:rFonts w:ascii="Arial" w:eastAsia="Arial" w:hAnsi="Arial" w:cs="Arial"/>
      <w:b/>
      <w:bCs/>
      <w:lang w:eastAsia="en-US"/>
    </w:rPr>
  </w:style>
  <w:style w:type="paragraph" w:styleId="Ttulo5">
    <w:name w:val="heading 5"/>
    <w:basedOn w:val="Normal"/>
    <w:next w:val="Normal"/>
    <w:link w:val="Ttulo5Char"/>
    <w:uiPriority w:val="9"/>
    <w:qFormat/>
    <w:rsid w:val="002C0794"/>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iPriority w:val="9"/>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737261"/>
    <w:rPr>
      <w:rFonts w:ascii="Cambria" w:hAnsi="Cambria" w:cs="Times New Roman"/>
      <w:b/>
      <w:bCs/>
      <w:color w:val="365F91"/>
      <w:sz w:val="28"/>
      <w:szCs w:val="28"/>
    </w:rPr>
  </w:style>
  <w:style w:type="character" w:customStyle="1" w:styleId="Ttulo2Char">
    <w:name w:val="Título 2 Char"/>
    <w:link w:val="Ttulo2"/>
    <w:uiPriority w:val="99"/>
    <w:semiHidden/>
    <w:locked/>
    <w:rsid w:val="00737261"/>
    <w:rPr>
      <w:rFonts w:ascii="Cambria" w:hAnsi="Cambria" w:cs="Times New Roman"/>
      <w:b/>
      <w:bCs/>
      <w:color w:val="4F81BD"/>
      <w:sz w:val="26"/>
      <w:szCs w:val="26"/>
    </w:rPr>
  </w:style>
  <w:style w:type="character" w:customStyle="1" w:styleId="Ttulo3Char">
    <w:name w:val="Título 3 Char"/>
    <w:link w:val="Ttulo3"/>
    <w:uiPriority w:val="99"/>
    <w:semiHidden/>
    <w:locked/>
    <w:rsid w:val="004E5FB9"/>
    <w:rPr>
      <w:rFonts w:ascii="Cambria" w:hAnsi="Cambria" w:cs="Times New Roman"/>
      <w:b/>
      <w:bCs/>
      <w:sz w:val="26"/>
      <w:szCs w:val="26"/>
    </w:rPr>
  </w:style>
  <w:style w:type="character" w:customStyle="1" w:styleId="Ttulo4Char">
    <w:name w:val="Título 4 Char"/>
    <w:basedOn w:val="Fontepargpadro"/>
    <w:link w:val="Ttulo4"/>
    <w:uiPriority w:val="1"/>
    <w:rsid w:val="00C74B77"/>
    <w:rPr>
      <w:rFonts w:ascii="Arial" w:eastAsia="Arial" w:hAnsi="Arial" w:cs="Arial"/>
      <w:b/>
      <w:bCs/>
      <w:sz w:val="24"/>
      <w:szCs w:val="24"/>
      <w:lang w:eastAsia="en-US"/>
    </w:rPr>
  </w:style>
  <w:style w:type="character" w:customStyle="1" w:styleId="Ttulo5Char">
    <w:name w:val="Título 5 Char"/>
    <w:link w:val="Ttulo5"/>
    <w:uiPriority w:val="9"/>
    <w:locked/>
    <w:rsid w:val="004E5FB9"/>
    <w:rPr>
      <w:rFonts w:ascii="Calibri" w:hAnsi="Calibri" w:cs="Times New Roman"/>
      <w:b/>
      <w:bCs/>
      <w:i/>
      <w:iCs/>
      <w:sz w:val="26"/>
      <w:szCs w:val="26"/>
    </w:rPr>
  </w:style>
  <w:style w:type="character" w:customStyle="1" w:styleId="Ttulo6Char">
    <w:name w:val="Título 6 Char"/>
    <w:basedOn w:val="Fontepargpadro"/>
    <w:link w:val="Ttulo6"/>
    <w:uiPriority w:val="9"/>
    <w:semiHidden/>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Cabealho">
    <w:name w:val="header"/>
    <w:basedOn w:val="Normal"/>
    <w:link w:val="CabealhoChar"/>
    <w:uiPriority w:val="99"/>
    <w:rsid w:val="002C0794"/>
    <w:pPr>
      <w:tabs>
        <w:tab w:val="center" w:pos="4252"/>
        <w:tab w:val="right" w:pos="8504"/>
      </w:tabs>
    </w:pPr>
  </w:style>
  <w:style w:type="character" w:customStyle="1" w:styleId="CabealhoChar">
    <w:name w:val="Cabeçalho Char"/>
    <w:link w:val="Cabealho"/>
    <w:uiPriority w:val="99"/>
    <w:locked/>
    <w:rsid w:val="004E5FB9"/>
    <w:rPr>
      <w:rFonts w:cs="Times New Roman"/>
      <w:sz w:val="24"/>
      <w:szCs w:val="24"/>
    </w:rPr>
  </w:style>
  <w:style w:type="paragraph" w:styleId="Rodap">
    <w:name w:val="footer"/>
    <w:basedOn w:val="Normal"/>
    <w:link w:val="RodapChar"/>
    <w:uiPriority w:val="99"/>
    <w:rsid w:val="002C0794"/>
    <w:pPr>
      <w:tabs>
        <w:tab w:val="center" w:pos="4252"/>
        <w:tab w:val="right" w:pos="8504"/>
      </w:tabs>
    </w:pPr>
  </w:style>
  <w:style w:type="character" w:customStyle="1" w:styleId="RodapChar">
    <w:name w:val="Rodapé Char"/>
    <w:link w:val="Rodap"/>
    <w:uiPriority w:val="99"/>
    <w:locked/>
    <w:rsid w:val="004E5FB9"/>
    <w:rPr>
      <w:rFonts w:cs="Times New Roman"/>
      <w:sz w:val="24"/>
      <w:szCs w:val="24"/>
    </w:rPr>
  </w:style>
  <w:style w:type="paragraph" w:styleId="NormalWeb">
    <w:name w:val="Normal (Web)"/>
    <w:basedOn w:val="Normal"/>
    <w:uiPriority w:val="99"/>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Recuodecorpodetexto2">
    <w:name w:val="Body Text Indent 2"/>
    <w:basedOn w:val="Normal"/>
    <w:link w:val="Recuodecorpodetexto2Char"/>
    <w:uiPriority w:val="99"/>
    <w:semiHidden/>
    <w:rsid w:val="002C0794"/>
    <w:pPr>
      <w:ind w:firstLine="552"/>
      <w:jc w:val="both"/>
    </w:pPr>
    <w:rPr>
      <w:szCs w:val="20"/>
    </w:rPr>
  </w:style>
  <w:style w:type="character" w:customStyle="1" w:styleId="Recuodecorpodetexto2Char">
    <w:name w:val="Recuo de corpo de texto 2 Char"/>
    <w:link w:val="Recuodecorpodetexto2"/>
    <w:uiPriority w:val="99"/>
    <w:semiHidden/>
    <w:locked/>
    <w:rsid w:val="004E5FB9"/>
    <w:rPr>
      <w:rFonts w:cs="Times New Roman"/>
      <w:sz w:val="24"/>
      <w:szCs w:val="24"/>
    </w:rPr>
  </w:style>
  <w:style w:type="paragraph" w:styleId="Recuodecorpodetexto3">
    <w:name w:val="Body Text Indent 3"/>
    <w:basedOn w:val="Normal"/>
    <w:link w:val="Recuodecorpodetexto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Recuodecorpodetexto3Char">
    <w:name w:val="Recuo de corpo de texto 3 Char"/>
    <w:link w:val="Recuodecorpodetexto3"/>
    <w:uiPriority w:val="99"/>
    <w:semiHidden/>
    <w:locked/>
    <w:rsid w:val="004E5FB9"/>
    <w:rPr>
      <w:rFonts w:cs="Times New Roman"/>
      <w:sz w:val="16"/>
      <w:szCs w:val="16"/>
    </w:rPr>
  </w:style>
  <w:style w:type="paragraph" w:styleId="Corpodetexto">
    <w:name w:val="Body Text"/>
    <w:basedOn w:val="Normal"/>
    <w:link w:val="CorpodetextoChar"/>
    <w:qFormat/>
    <w:rsid w:val="002C0794"/>
    <w:pPr>
      <w:spacing w:after="120"/>
    </w:pPr>
  </w:style>
  <w:style w:type="character" w:customStyle="1" w:styleId="CorpodetextoChar">
    <w:name w:val="Corpo de texto Char"/>
    <w:link w:val="Corpodetexto"/>
    <w:locked/>
    <w:rsid w:val="004E5FB9"/>
    <w:rPr>
      <w:rFonts w:cs="Times New Roman"/>
      <w:sz w:val="24"/>
      <w:szCs w:val="24"/>
    </w:rPr>
  </w:style>
  <w:style w:type="paragraph" w:styleId="Recuodecorpodetexto">
    <w:name w:val="Body Text Indent"/>
    <w:basedOn w:val="Normal"/>
    <w:link w:val="RecuodecorpodetextoChar"/>
    <w:uiPriority w:val="99"/>
    <w:semiHidden/>
    <w:rsid w:val="002C0794"/>
    <w:pPr>
      <w:spacing w:after="120" w:line="480" w:lineRule="auto"/>
    </w:pPr>
  </w:style>
  <w:style w:type="character" w:customStyle="1" w:styleId="RecuodecorpodetextoChar">
    <w:name w:val="Recuo de corpo de texto Char"/>
    <w:link w:val="Recuodecorpodetexto"/>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Textodebalo">
    <w:name w:val="Balloon Text"/>
    <w:basedOn w:val="Normal"/>
    <w:link w:val="TextodebaloChar"/>
    <w:semiHidden/>
    <w:rsid w:val="00E47EC5"/>
    <w:rPr>
      <w:rFonts w:ascii="Tahoma" w:hAnsi="Tahoma" w:cs="Tahoma"/>
      <w:sz w:val="16"/>
      <w:szCs w:val="16"/>
    </w:rPr>
  </w:style>
  <w:style w:type="character" w:customStyle="1" w:styleId="TextodebaloChar">
    <w:name w:val="Texto de balão Char"/>
    <w:link w:val="Textodebalo"/>
    <w:uiPriority w:val="99"/>
    <w:semiHidden/>
    <w:locked/>
    <w:rsid w:val="00E47EC5"/>
    <w:rPr>
      <w:rFonts w:ascii="Tahoma" w:hAnsi="Tahoma" w:cs="Tahoma"/>
      <w:sz w:val="16"/>
      <w:szCs w:val="16"/>
    </w:rPr>
  </w:style>
  <w:style w:type="paragraph" w:styleId="PargrafodaLista">
    <w:name w:val="List Paragraph"/>
    <w:basedOn w:val="Normal"/>
    <w:uiPriority w:val="1"/>
    <w:qFormat/>
    <w:rsid w:val="00E177C1"/>
    <w:pPr>
      <w:ind w:left="720"/>
      <w:contextualSpacing/>
      <w:jc w:val="right"/>
    </w:pPr>
    <w:rPr>
      <w:rFonts w:ascii="Calibri" w:hAnsi="Calibri"/>
      <w:sz w:val="22"/>
      <w:szCs w:val="22"/>
      <w:lang w:eastAsia="en-US"/>
    </w:rPr>
  </w:style>
  <w:style w:type="paragraph" w:styleId="Corpodetexto2">
    <w:name w:val="Body Text 2"/>
    <w:basedOn w:val="Normal"/>
    <w:link w:val="Corpodetexto2Char"/>
    <w:uiPriority w:val="99"/>
    <w:semiHidden/>
    <w:rsid w:val="00C72DCC"/>
    <w:pPr>
      <w:spacing w:after="120" w:line="480" w:lineRule="auto"/>
    </w:pPr>
  </w:style>
  <w:style w:type="character" w:customStyle="1" w:styleId="Corpodetexto2Char">
    <w:name w:val="Corpo de texto 2 Char"/>
    <w:link w:val="Corpodetexto2"/>
    <w:uiPriority w:val="99"/>
    <w:semiHidden/>
    <w:locked/>
    <w:rsid w:val="00C72DCC"/>
    <w:rPr>
      <w:rFonts w:cs="Times New Roman"/>
      <w:sz w:val="24"/>
      <w:szCs w:val="24"/>
    </w:rPr>
  </w:style>
  <w:style w:type="paragraph" w:styleId="Corpodetexto3">
    <w:name w:val="Body Text 3"/>
    <w:basedOn w:val="Normal"/>
    <w:link w:val="Corpodetexto3Char"/>
    <w:uiPriority w:val="99"/>
    <w:semiHidden/>
    <w:rsid w:val="00737261"/>
    <w:pPr>
      <w:spacing w:after="120"/>
    </w:pPr>
    <w:rPr>
      <w:sz w:val="16"/>
      <w:szCs w:val="16"/>
    </w:rPr>
  </w:style>
  <w:style w:type="character" w:customStyle="1" w:styleId="Corpodetexto3Char">
    <w:name w:val="Corpo de texto 3 Char"/>
    <w:link w:val="Corpodetexto3"/>
    <w:uiPriority w:val="99"/>
    <w:semiHidden/>
    <w:locked/>
    <w:rsid w:val="00737261"/>
    <w:rPr>
      <w:rFonts w:cs="Times New Roman"/>
      <w:sz w:val="16"/>
      <w:szCs w:val="16"/>
    </w:rPr>
  </w:style>
  <w:style w:type="character" w:styleId="Refdecomentrio">
    <w:name w:val="annotation reference"/>
    <w:uiPriority w:val="99"/>
    <w:semiHidden/>
    <w:rsid w:val="00C80190"/>
    <w:rPr>
      <w:rFonts w:cs="Times New Roman"/>
      <w:sz w:val="16"/>
      <w:szCs w:val="16"/>
    </w:rPr>
  </w:style>
  <w:style w:type="paragraph" w:styleId="Textodecomentrio">
    <w:name w:val="annotation text"/>
    <w:basedOn w:val="Normal"/>
    <w:link w:val="TextodecomentrioChar"/>
    <w:uiPriority w:val="99"/>
    <w:semiHidden/>
    <w:rsid w:val="00C80190"/>
    <w:rPr>
      <w:sz w:val="20"/>
      <w:szCs w:val="20"/>
    </w:rPr>
  </w:style>
  <w:style w:type="character" w:customStyle="1" w:styleId="TextodecomentrioChar">
    <w:name w:val="Texto de comentário Char"/>
    <w:link w:val="Textodecomentrio"/>
    <w:uiPriority w:val="99"/>
    <w:semiHidden/>
    <w:locked/>
    <w:rsid w:val="004E5FB9"/>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C80190"/>
    <w:rPr>
      <w:b/>
      <w:bCs/>
    </w:rPr>
  </w:style>
  <w:style w:type="character" w:customStyle="1" w:styleId="AssuntodocomentrioChar">
    <w:name w:val="Assunto do comentário Char"/>
    <w:link w:val="Assuntodocomentrio"/>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C74B7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rsid w:val="00C74B77"/>
    <w:rPr>
      <w:rFonts w:asciiTheme="minorHAnsi" w:eastAsiaTheme="minorHAnsi" w:hAnsiTheme="minorHAnsi" w:cstheme="minorBidi"/>
      <w:lang w:eastAsia="en-US"/>
    </w:rPr>
  </w:style>
  <w:style w:type="character" w:styleId="Refdenotaderodap">
    <w:name w:val="footnote reference"/>
    <w:basedOn w:val="Fontepargpadro"/>
    <w:semiHidden/>
    <w:unhideWhenUsed/>
    <w:rsid w:val="00C74B77"/>
    <w:rPr>
      <w:vertAlign w:val="superscript"/>
    </w:rPr>
  </w:style>
  <w:style w:type="character" w:customStyle="1" w:styleId="TextodenotadefimChar">
    <w:name w:val="Texto de nota de fim Char"/>
    <w:basedOn w:val="Fontepargpadro"/>
    <w:link w:val="Textodenotadefim"/>
    <w:uiPriority w:val="99"/>
    <w:semiHidden/>
    <w:rsid w:val="00C74B77"/>
    <w:rPr>
      <w:rFonts w:asciiTheme="minorHAnsi" w:eastAsiaTheme="minorHAnsi" w:hAnsiTheme="minorHAnsi" w:cstheme="minorBidi"/>
      <w:lang w:eastAsia="en-US"/>
    </w:rPr>
  </w:style>
  <w:style w:type="paragraph" w:styleId="Textodenotadefim">
    <w:name w:val="endnote text"/>
    <w:basedOn w:val="Normal"/>
    <w:link w:val="TextodenotadefimChar"/>
    <w:uiPriority w:val="99"/>
    <w:semiHidden/>
    <w:unhideWhenUsed/>
    <w:rsid w:val="00C74B77"/>
    <w:rPr>
      <w:rFonts w:asciiTheme="minorHAnsi" w:eastAsiaTheme="minorHAnsi" w:hAnsiTheme="minorHAnsi" w:cstheme="minorBidi"/>
      <w:sz w:val="20"/>
      <w:szCs w:val="20"/>
      <w:lang w:eastAsia="en-US"/>
    </w:rPr>
  </w:style>
  <w:style w:type="paragraph" w:styleId="TextosemFormatao">
    <w:name w:val="Plain Text"/>
    <w:basedOn w:val="Normal"/>
    <w:link w:val="TextosemFormataoChar"/>
    <w:semiHidden/>
    <w:rsid w:val="00A06E97"/>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semiHidden/>
    <w:rsid w:val="00A06E97"/>
    <w:rPr>
      <w:rFonts w:ascii="Courier New" w:hAnsi="Courier New"/>
      <w:lang w:eastAsia="en-US"/>
    </w:rPr>
  </w:style>
  <w:style w:type="character" w:styleId="Nmerodepgina">
    <w:name w:val="page number"/>
    <w:basedOn w:val="Fontepargpadro"/>
    <w:semiHidden/>
    <w:rsid w:val="00A06E97"/>
  </w:style>
  <w:style w:type="paragraph" w:customStyle="1" w:styleId="NormalNumerado">
    <w:name w:val="Normal Numerado"/>
    <w:basedOn w:val="PargrafodaLista"/>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4"/>
      </w:numPr>
      <w:ind w:left="1134"/>
    </w:pPr>
  </w:style>
  <w:style w:type="paragraph" w:customStyle="1" w:styleId="ApendiceNumerado">
    <w:name w:val="Apendice Numerado"/>
    <w:basedOn w:val="NormalNumerado"/>
    <w:qFormat/>
    <w:rsid w:val="00A06E97"/>
    <w:pPr>
      <w:numPr>
        <w:numId w:val="8"/>
      </w:numPr>
    </w:pPr>
  </w:style>
  <w:style w:type="paragraph" w:styleId="Reviso">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 w:type="paragraph" w:customStyle="1" w:styleId="IASBNormal">
    <w:name w:val="IASB Normal"/>
    <w:rsid w:val="00485A86"/>
    <w:pPr>
      <w:tabs>
        <w:tab w:val="left" w:pos="4253"/>
      </w:tabs>
      <w:spacing w:before="100" w:after="100"/>
      <w:jc w:val="both"/>
    </w:pPr>
    <w:rPr>
      <w:sz w:val="19"/>
      <w:lang w:eastAsia="pt-BR"/>
    </w:rPr>
  </w:style>
  <w:style w:type="paragraph" w:customStyle="1" w:styleId="IASBNormalnpara">
    <w:name w:val="IASB Normal npara"/>
    <w:basedOn w:val="IASBNormal"/>
    <w:rsid w:val="00485A86"/>
    <w:pPr>
      <w:tabs>
        <w:tab w:val="clear" w:pos="4253"/>
      </w:tabs>
      <w:spacing w:after="0"/>
      <w:ind w:left="782" w:hanging="782"/>
    </w:pPr>
  </w:style>
  <w:style w:type="paragraph" w:customStyle="1" w:styleId="IASBSectionTitle1Ind">
    <w:name w:val="IASB Section Title 1 Ind"/>
    <w:basedOn w:val="Normal"/>
    <w:rsid w:val="00485A86"/>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485A86"/>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485A86"/>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485A86"/>
    <w:pPr>
      <w:spacing w:before="240"/>
      <w:ind w:left="782"/>
    </w:pPr>
  </w:style>
  <w:style w:type="paragraph" w:customStyle="1" w:styleId="IASBSectionTitle3NonInd">
    <w:name w:val="IASB Section Title 3 NonInd"/>
    <w:basedOn w:val="Normal"/>
    <w:rsid w:val="00485A86"/>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485A86"/>
    <w:pPr>
      <w:spacing w:before="240"/>
      <w:ind w:left="782"/>
    </w:pPr>
  </w:style>
  <w:style w:type="paragraph" w:customStyle="1" w:styleId="IASBSectionTitle4NonInd">
    <w:name w:val="IASB Section Title 4 NonInd"/>
    <w:basedOn w:val="Normal"/>
    <w:rsid w:val="00485A86"/>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485A86"/>
    <w:pPr>
      <w:ind w:left="782"/>
    </w:pPr>
  </w:style>
  <w:style w:type="paragraph" w:customStyle="1" w:styleId="IASBSectionTitle5NonInd">
    <w:name w:val="IASB Section Title 5 NonInd"/>
    <w:basedOn w:val="Normal"/>
    <w:rsid w:val="00485A86"/>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485A86"/>
    <w:pPr>
      <w:ind w:left="782"/>
    </w:pPr>
  </w:style>
  <w:style w:type="paragraph" w:customStyle="1" w:styleId="IASBSectionTitle6NonInd">
    <w:name w:val="IASB Section Title 6 NonInd"/>
    <w:basedOn w:val="IASBSectionTitle5NonInd"/>
    <w:rsid w:val="00485A86"/>
    <w:rPr>
      <w:b w:val="0"/>
      <w:i/>
    </w:rPr>
  </w:style>
  <w:style w:type="paragraph" w:customStyle="1" w:styleId="IASBSectionTitle6Ind">
    <w:name w:val="IASB Section Title 6 Ind"/>
    <w:basedOn w:val="IASBSectionTitle6NonInd"/>
    <w:rsid w:val="00485A86"/>
    <w:pPr>
      <w:ind w:left="782"/>
    </w:pPr>
  </w:style>
  <w:style w:type="paragraph" w:customStyle="1" w:styleId="IASBTitle">
    <w:name w:val="IASB Title"/>
    <w:rsid w:val="00485A86"/>
    <w:pPr>
      <w:keepNext/>
      <w:keepLines/>
      <w:spacing w:before="300" w:after="400"/>
    </w:pPr>
    <w:rPr>
      <w:rFonts w:cs="Arial"/>
      <w:sz w:val="36"/>
      <w:lang w:eastAsia="pt-BR"/>
    </w:rPr>
  </w:style>
  <w:style w:type="paragraph" w:customStyle="1" w:styleId="IASBNormalnparaL1">
    <w:name w:val="IASB Normal nparaL1"/>
    <w:basedOn w:val="IASBNormalnpara"/>
    <w:rsid w:val="00485A86"/>
    <w:pPr>
      <w:ind w:left="1564"/>
    </w:pPr>
  </w:style>
  <w:style w:type="paragraph" w:customStyle="1" w:styleId="IASBNormalnparaP">
    <w:name w:val="IASB Normal nparaP"/>
    <w:basedOn w:val="IASBNormal"/>
    <w:rsid w:val="00485A86"/>
    <w:pPr>
      <w:ind w:left="782"/>
    </w:pPr>
  </w:style>
  <w:style w:type="paragraph" w:customStyle="1" w:styleId="IASBIdentifier">
    <w:name w:val="IASB Identifier"/>
    <w:basedOn w:val="IASBTitle"/>
    <w:rsid w:val="00485A86"/>
    <w:pPr>
      <w:spacing w:after="200"/>
    </w:pPr>
    <w:rPr>
      <w:rFonts w:ascii="Arial" w:hAnsi="Arial"/>
      <w:b/>
      <w:sz w:val="23"/>
    </w:rPr>
  </w:style>
  <w:style w:type="paragraph" w:customStyle="1" w:styleId="IASBTOCPrimary">
    <w:name w:val="IASB TOC Primary"/>
    <w:basedOn w:val="Normal"/>
    <w:rsid w:val="00485A86"/>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485A86"/>
    <w:pPr>
      <w:spacing w:before="30" w:after="30"/>
    </w:pPr>
    <w:rPr>
      <w:rFonts w:ascii="Arial" w:hAnsi="Arial" w:cs="Arial"/>
      <w:i/>
      <w:sz w:val="18"/>
      <w:szCs w:val="20"/>
    </w:rPr>
  </w:style>
  <w:style w:type="paragraph" w:customStyle="1" w:styleId="IASBTOCSecondary">
    <w:name w:val="IASB TOC Secondary"/>
    <w:basedOn w:val="Normal"/>
    <w:rsid w:val="00485A86"/>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485A86"/>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485A86"/>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485A86"/>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485A86"/>
    <w:rPr>
      <w:i/>
    </w:rPr>
  </w:style>
  <w:style w:type="paragraph" w:customStyle="1" w:styleId="IASBBlockquote">
    <w:name w:val="IASB Blockquote"/>
    <w:basedOn w:val="IASBNormal"/>
    <w:rsid w:val="00485A86"/>
    <w:pPr>
      <w:ind w:left="1565"/>
    </w:pPr>
    <w:rPr>
      <w:sz w:val="16"/>
    </w:rPr>
  </w:style>
  <w:style w:type="character" w:customStyle="1" w:styleId="IASBEduinsert">
    <w:name w:val="IASB Edu insert"/>
    <w:qFormat/>
    <w:rsid w:val="00485A86"/>
  </w:style>
  <w:style w:type="paragraph" w:customStyle="1" w:styleId="IASBNormalL1">
    <w:name w:val="IASB Normal L1"/>
    <w:basedOn w:val="IASBNormalnpara"/>
    <w:rsid w:val="00485A86"/>
  </w:style>
  <w:style w:type="paragraph" w:customStyle="1" w:styleId="IASBRubricL1">
    <w:name w:val="IASB RubricL1"/>
    <w:basedOn w:val="IASBRubric"/>
    <w:rsid w:val="00485A86"/>
    <w:pPr>
      <w:ind w:left="782" w:hanging="782"/>
      <w:jc w:val="left"/>
    </w:pPr>
  </w:style>
  <w:style w:type="paragraph" w:customStyle="1" w:styleId="IASBRubricL2">
    <w:name w:val="IASB RubricL2"/>
    <w:basedOn w:val="IASBRubricL1"/>
    <w:rsid w:val="00485A86"/>
    <w:pPr>
      <w:tabs>
        <w:tab w:val="left" w:pos="782"/>
      </w:tabs>
      <w:ind w:left="1565" w:hanging="1565"/>
    </w:pPr>
  </w:style>
  <w:style w:type="paragraph" w:customStyle="1" w:styleId="IASBRubricL3">
    <w:name w:val="IASB RubricL3"/>
    <w:basedOn w:val="IASBRubricL2"/>
    <w:rsid w:val="00485A86"/>
    <w:pPr>
      <w:tabs>
        <w:tab w:val="clear" w:pos="782"/>
        <w:tab w:val="left" w:pos="1565"/>
      </w:tabs>
      <w:ind w:left="2347" w:hanging="2347"/>
    </w:pPr>
  </w:style>
  <w:style w:type="paragraph" w:customStyle="1" w:styleId="IASBNormalnparaL2">
    <w:name w:val="IASB Normal nparaL2"/>
    <w:basedOn w:val="IASBNormalnparaL1"/>
    <w:rsid w:val="00485A86"/>
    <w:pPr>
      <w:ind w:left="2347"/>
    </w:pPr>
  </w:style>
  <w:style w:type="paragraph" w:customStyle="1" w:styleId="IASBNormalnparaL3">
    <w:name w:val="IASB Normal nparaL3"/>
    <w:basedOn w:val="IASBNormalnparaL2"/>
    <w:rsid w:val="00485A86"/>
    <w:pPr>
      <w:ind w:left="3129"/>
    </w:pPr>
  </w:style>
  <w:style w:type="paragraph" w:customStyle="1" w:styleId="IASBNormalnparaL4">
    <w:name w:val="IASB Normal nparaL4"/>
    <w:basedOn w:val="IASBNormalnparaL3"/>
    <w:rsid w:val="00485A86"/>
    <w:pPr>
      <w:ind w:left="3912"/>
    </w:pPr>
  </w:style>
  <w:style w:type="paragraph" w:customStyle="1" w:styleId="IASBNormalnparaL5">
    <w:name w:val="IASB Normal nparaL5"/>
    <w:basedOn w:val="IASBNormalnparaL4"/>
    <w:rsid w:val="00485A86"/>
    <w:pPr>
      <w:ind w:left="4694"/>
    </w:pPr>
  </w:style>
  <w:style w:type="paragraph" w:customStyle="1" w:styleId="IASBNormalnparaL1P">
    <w:name w:val="IASB Normal nparaL1P"/>
    <w:basedOn w:val="IASBNormalnparaL2"/>
    <w:rsid w:val="00485A86"/>
    <w:pPr>
      <w:ind w:left="1565" w:firstLine="0"/>
    </w:pPr>
  </w:style>
  <w:style w:type="paragraph" w:customStyle="1" w:styleId="IASBNormalnparaL2P">
    <w:name w:val="IASB Normal nparaL2P"/>
    <w:basedOn w:val="IASBNormalnparaL1P"/>
    <w:rsid w:val="00485A86"/>
    <w:pPr>
      <w:ind w:left="2347"/>
    </w:pPr>
  </w:style>
  <w:style w:type="paragraph" w:customStyle="1" w:styleId="IASBNormalnparaL3P">
    <w:name w:val="IASB Normal nparaL3P"/>
    <w:basedOn w:val="IASBNormalnparaL2P"/>
    <w:rsid w:val="00485A86"/>
    <w:pPr>
      <w:ind w:left="3130"/>
    </w:pPr>
  </w:style>
  <w:style w:type="paragraph" w:customStyle="1" w:styleId="IASBNormalnparaL4P">
    <w:name w:val="IASB Normal nparaL4P"/>
    <w:basedOn w:val="IASBNormalnparaL3P"/>
    <w:rsid w:val="00485A86"/>
    <w:pPr>
      <w:ind w:left="3912"/>
    </w:pPr>
  </w:style>
  <w:style w:type="paragraph" w:customStyle="1" w:styleId="IASBNormalnparaL5P">
    <w:name w:val="IASB Normal nparaL5P"/>
    <w:basedOn w:val="IASBNormalnparaL4P"/>
    <w:rsid w:val="00485A86"/>
    <w:pPr>
      <w:ind w:left="4751"/>
    </w:pPr>
  </w:style>
  <w:style w:type="paragraph" w:customStyle="1" w:styleId="IASBBlockquoteL1">
    <w:name w:val="IASB BlockquoteL1"/>
    <w:basedOn w:val="IASBBlockquote"/>
    <w:rsid w:val="00485A86"/>
    <w:pPr>
      <w:ind w:left="2347" w:hanging="782"/>
    </w:pPr>
  </w:style>
  <w:style w:type="paragraph" w:customStyle="1" w:styleId="IASBBlockquoteL2">
    <w:name w:val="IASB BlockquoteL2"/>
    <w:basedOn w:val="IASBBlockquoteL1"/>
    <w:rsid w:val="00485A86"/>
    <w:pPr>
      <w:ind w:left="3129"/>
    </w:pPr>
  </w:style>
  <w:style w:type="paragraph" w:customStyle="1" w:styleId="IASBNormalL2">
    <w:name w:val="IASB Normal L2"/>
    <w:basedOn w:val="IASBNormalL1"/>
    <w:rsid w:val="00485A86"/>
    <w:pPr>
      <w:ind w:left="1564"/>
    </w:pPr>
  </w:style>
  <w:style w:type="paragraph" w:customStyle="1" w:styleId="IASBTOCQuartery">
    <w:name w:val="IASB TOC Quartery"/>
    <w:basedOn w:val="IASBTOCTertiary"/>
    <w:rsid w:val="00485A86"/>
    <w:pPr>
      <w:ind w:left="851"/>
    </w:pPr>
  </w:style>
  <w:style w:type="paragraph" w:customStyle="1" w:styleId="IASBNoteTitle">
    <w:name w:val="IASB Note Title"/>
    <w:basedOn w:val="IASBTOCPrimary"/>
    <w:rsid w:val="00485A86"/>
    <w:pPr>
      <w:jc w:val="center"/>
    </w:pPr>
    <w:rPr>
      <w:b w:val="0"/>
      <w:caps w:val="0"/>
      <w:sz w:val="24"/>
    </w:rPr>
  </w:style>
  <w:style w:type="paragraph" w:customStyle="1" w:styleId="IASBNormalL1P">
    <w:name w:val="IASB Normal L1P"/>
    <w:basedOn w:val="IASBNormalL1"/>
    <w:qFormat/>
    <w:rsid w:val="00485A86"/>
    <w:pPr>
      <w:ind w:firstLine="0"/>
    </w:pPr>
  </w:style>
  <w:style w:type="paragraph" w:customStyle="1" w:styleId="IASBNormalL2P">
    <w:name w:val="IASB Normal L2P"/>
    <w:basedOn w:val="IASBNormalL1P"/>
    <w:qFormat/>
    <w:rsid w:val="00485A86"/>
    <w:pPr>
      <w:ind w:left="1565"/>
    </w:pPr>
  </w:style>
  <w:style w:type="paragraph" w:customStyle="1" w:styleId="IASBNormalnparaC">
    <w:name w:val="IASB Normal nparaC"/>
    <w:basedOn w:val="IASBNormalnpara"/>
    <w:qFormat/>
    <w:rsid w:val="00485A86"/>
    <w:pPr>
      <w:spacing w:before="0"/>
    </w:pPr>
  </w:style>
  <w:style w:type="paragraph" w:customStyle="1" w:styleId="IASBEdupara">
    <w:name w:val="IASB Edu para"/>
    <w:basedOn w:val="IASBNormal"/>
    <w:qFormat/>
    <w:rsid w:val="00485A86"/>
  </w:style>
  <w:style w:type="paragraph" w:customStyle="1" w:styleId="IASBTableBoldTNR">
    <w:name w:val="IASB Table Bold TNR"/>
    <w:basedOn w:val="Normal"/>
    <w:qFormat/>
    <w:rsid w:val="00485A86"/>
    <w:pPr>
      <w:spacing w:before="120"/>
    </w:pPr>
    <w:rPr>
      <w:b/>
      <w:sz w:val="19"/>
      <w:szCs w:val="20"/>
    </w:rPr>
  </w:style>
  <w:style w:type="paragraph" w:customStyle="1" w:styleId="IASBTableHeaderTNR">
    <w:name w:val="IASB Table Header TNR"/>
    <w:basedOn w:val="Normal"/>
    <w:qFormat/>
    <w:rsid w:val="00485A86"/>
    <w:pPr>
      <w:keepNext/>
      <w:spacing w:before="120" w:after="200" w:line="276" w:lineRule="auto"/>
    </w:pPr>
    <w:rPr>
      <w:sz w:val="19"/>
      <w:szCs w:val="20"/>
    </w:rPr>
  </w:style>
  <w:style w:type="paragraph" w:customStyle="1" w:styleId="IASBTableTNR">
    <w:name w:val="IASB Table TNR"/>
    <w:basedOn w:val="Normal"/>
    <w:qFormat/>
    <w:rsid w:val="00485A86"/>
    <w:pPr>
      <w:spacing w:before="120"/>
    </w:pPr>
    <w:rPr>
      <w:sz w:val="19"/>
      <w:szCs w:val="20"/>
    </w:rPr>
  </w:style>
  <w:style w:type="paragraph" w:customStyle="1" w:styleId="IASBTableArial">
    <w:name w:val="IASB Table Arial"/>
    <w:basedOn w:val="Normal"/>
    <w:rsid w:val="00485A86"/>
    <w:pPr>
      <w:spacing w:before="120"/>
    </w:pPr>
    <w:rPr>
      <w:rFonts w:ascii="Arial" w:hAnsi="Arial"/>
      <w:sz w:val="18"/>
      <w:szCs w:val="20"/>
    </w:rPr>
  </w:style>
  <w:style w:type="paragraph" w:customStyle="1" w:styleId="IASBTableHeaderArial">
    <w:name w:val="IASB Table Header Arial"/>
    <w:basedOn w:val="IASBTableArial"/>
    <w:qFormat/>
    <w:rsid w:val="00485A86"/>
    <w:pPr>
      <w:keepNext/>
      <w:spacing w:after="200" w:line="276" w:lineRule="auto"/>
    </w:pPr>
  </w:style>
  <w:style w:type="character" w:styleId="Refdenotadefim">
    <w:name w:val="endnote reference"/>
    <w:uiPriority w:val="99"/>
    <w:semiHidden/>
    <w:unhideWhenUsed/>
    <w:rsid w:val="00485A86"/>
    <w:rPr>
      <w:rFonts w:cs="Times New Roman"/>
      <w:vertAlign w:val="superscript"/>
      <w:lang w:val="pt-BR" w:eastAsia="pt-BR"/>
    </w:rPr>
  </w:style>
  <w:style w:type="paragraph" w:customStyle="1" w:styleId="IASBNormalL3">
    <w:name w:val="IASB Normal L3"/>
    <w:basedOn w:val="IASBNormalL2"/>
    <w:qFormat/>
    <w:rsid w:val="00485A86"/>
    <w:pPr>
      <w:ind w:left="2268" w:hanging="708"/>
    </w:pPr>
  </w:style>
  <w:style w:type="paragraph" w:customStyle="1" w:styleId="IASBNormalL3P">
    <w:name w:val="IASB Normal L3P"/>
    <w:basedOn w:val="IASBNormalL2P"/>
    <w:qFormat/>
    <w:rsid w:val="00485A86"/>
    <w:pPr>
      <w:ind w:left="2268"/>
    </w:pPr>
  </w:style>
  <w:style w:type="paragraph" w:customStyle="1" w:styleId="IASBNormalL4">
    <w:name w:val="IASB Normal L4"/>
    <w:basedOn w:val="IASBNormalL3"/>
    <w:qFormat/>
    <w:rsid w:val="00485A86"/>
    <w:pPr>
      <w:ind w:left="2977"/>
    </w:pPr>
  </w:style>
  <w:style w:type="paragraph" w:customStyle="1" w:styleId="IASBNormalL4P">
    <w:name w:val="IASB Normal L4P"/>
    <w:basedOn w:val="IASBNormalL3P"/>
    <w:qFormat/>
    <w:rsid w:val="00485A86"/>
    <w:pPr>
      <w:ind w:left="2977"/>
    </w:pPr>
  </w:style>
  <w:style w:type="paragraph" w:styleId="Ttulo">
    <w:name w:val="Title"/>
    <w:basedOn w:val="Normal"/>
    <w:link w:val="TtuloChar"/>
    <w:qFormat/>
    <w:locked/>
    <w:rsid w:val="00D46F9A"/>
    <w:pPr>
      <w:autoSpaceDE w:val="0"/>
      <w:autoSpaceDN w:val="0"/>
      <w:adjustRightInd w:val="0"/>
      <w:jc w:val="center"/>
    </w:pPr>
    <w:rPr>
      <w:b/>
      <w:bCs/>
      <w:noProof/>
      <w:color w:val="000000"/>
    </w:rPr>
  </w:style>
  <w:style w:type="character" w:customStyle="1" w:styleId="TtuloChar">
    <w:name w:val="Título Char"/>
    <w:basedOn w:val="Fontepargpadro"/>
    <w:link w:val="Ttulo"/>
    <w:rsid w:val="00D46F9A"/>
    <w:rPr>
      <w:b/>
      <w:bCs/>
      <w:noProof/>
      <w:color w:val="000000"/>
      <w:sz w:val="24"/>
      <w:szCs w:val="24"/>
      <w:lang w:eastAsia="pt-BR"/>
    </w:rPr>
  </w:style>
  <w:style w:type="paragraph" w:styleId="Textoembloco">
    <w:name w:val="Block Text"/>
    <w:basedOn w:val="Normal"/>
    <w:rsid w:val="002C7DAE"/>
    <w:pPr>
      <w:widowControl w:val="0"/>
      <w:tabs>
        <w:tab w:val="left" w:pos="6804"/>
      </w:tabs>
      <w:spacing w:before="2" w:after="2" w:line="250" w:lineRule="auto"/>
      <w:ind w:left="336" w:right="57" w:hanging="279"/>
    </w:pPr>
    <w:rPr>
      <w:rFonts w:ascii="Arial" w:hAnsi="Arial" w:cs="Arial"/>
      <w:sz w:val="20"/>
      <w:lang w:val="pt-PT"/>
    </w:rPr>
  </w:style>
  <w:style w:type="paragraph" w:customStyle="1" w:styleId="Estilo1">
    <w:name w:val="Estilo1"/>
    <w:basedOn w:val="Normal"/>
    <w:rsid w:val="002C7DAE"/>
    <w:pPr>
      <w:pBdr>
        <w:bottom w:val="single" w:sz="12" w:space="1" w:color="auto"/>
      </w:pBdr>
      <w:spacing w:before="400" w:after="200"/>
    </w:pPr>
    <w:rPr>
      <w:rFonts w:ascii="Arial" w:hAnsi="Arial" w:cs="Arial"/>
      <w:b/>
      <w:sz w:val="26"/>
    </w:rPr>
  </w:style>
  <w:style w:type="paragraph" w:customStyle="1" w:styleId="Estilo2">
    <w:name w:val="Estilo2"/>
    <w:basedOn w:val="Normal"/>
    <w:rsid w:val="002C7DAE"/>
    <w:pPr>
      <w:spacing w:before="400" w:after="200"/>
      <w:ind w:left="709"/>
    </w:pPr>
    <w:rPr>
      <w:rFonts w:ascii="Arial" w:hAnsi="Arial" w:cs="Arial"/>
      <w:b/>
      <w:sz w:val="26"/>
    </w:rPr>
  </w:style>
  <w:style w:type="paragraph" w:customStyle="1" w:styleId="itlicofrases">
    <w:name w:val="itálico frases"/>
    <w:basedOn w:val="Normal"/>
    <w:next w:val="Normal"/>
    <w:rsid w:val="002C7DAE"/>
    <w:pPr>
      <w:spacing w:before="100" w:after="100"/>
      <w:jc w:val="both"/>
    </w:pPr>
    <w:rPr>
      <w:i/>
      <w:sz w:val="19"/>
    </w:rPr>
  </w:style>
  <w:style w:type="paragraph" w:customStyle="1" w:styleId="IASBFirstTitle">
    <w:name w:val="IASB First Title"/>
    <w:basedOn w:val="Normal"/>
    <w:rsid w:val="002C7DAE"/>
    <w:pPr>
      <w:keepNext/>
      <w:keepLines/>
      <w:spacing w:before="300" w:after="500"/>
    </w:pPr>
    <w:rPr>
      <w:snapToGrid w:val="0"/>
      <w:sz w:val="44"/>
      <w:szCs w:val="20"/>
      <w:lang w:val="en-US"/>
    </w:rPr>
  </w:style>
  <w:style w:type="paragraph" w:customStyle="1" w:styleId="IASBTOCPrimaryTitle">
    <w:name w:val="IASB TOC Primary Title"/>
    <w:basedOn w:val="Normal"/>
    <w:rsid w:val="002C7DAE"/>
    <w:pPr>
      <w:spacing w:before="30" w:after="30"/>
    </w:pPr>
    <w:rPr>
      <w:rFonts w:ascii="Arial" w:hAnsi="Arial" w:cs="Arial"/>
      <w:b/>
      <w:caps/>
      <w:snapToGrid w:val="0"/>
      <w:sz w:val="22"/>
      <w:szCs w:val="20"/>
      <w:lang w:val="en-US"/>
    </w:rPr>
  </w:style>
  <w:style w:type="paragraph" w:customStyle="1" w:styleId="IASBTOC">
    <w:name w:val="IASB TOC"/>
    <w:basedOn w:val="Normal"/>
    <w:rsid w:val="002C7DAE"/>
    <w:pPr>
      <w:spacing w:before="30" w:after="30"/>
    </w:pPr>
    <w:rPr>
      <w:rFonts w:ascii="Arial" w:hAnsi="Arial" w:cs="Arial"/>
      <w:snapToGrid w:val="0"/>
      <w:sz w:val="19"/>
      <w:szCs w:val="20"/>
      <w:lang w:val="en-US"/>
    </w:rPr>
  </w:style>
  <w:style w:type="paragraph" w:customStyle="1" w:styleId="IASBSectionTitleU">
    <w:name w:val="IASB Section Title U"/>
    <w:basedOn w:val="Normal"/>
    <w:rsid w:val="002C7DAE"/>
    <w:pPr>
      <w:keepNext/>
      <w:keepLines/>
      <w:pBdr>
        <w:bottom w:val="single" w:sz="4" w:space="0" w:color="auto"/>
      </w:pBdr>
      <w:spacing w:before="400" w:after="200"/>
    </w:pPr>
    <w:rPr>
      <w:rFonts w:ascii="Arial" w:hAnsi="Arial" w:cs="Arial"/>
      <w:b/>
      <w:snapToGrid w:val="0"/>
      <w:sz w:val="26"/>
      <w:szCs w:val="20"/>
      <w:lang w:val="en-US"/>
    </w:rPr>
  </w:style>
  <w:style w:type="paragraph" w:customStyle="1" w:styleId="DaveIASBSubsectionTitle">
    <w:name w:val="Dave IASB Subsection Title"/>
    <w:basedOn w:val="Normal"/>
    <w:rsid w:val="002C7DAE"/>
    <w:pPr>
      <w:keepNext/>
      <w:keepLines/>
      <w:spacing w:before="300" w:after="200"/>
      <w:ind w:left="780"/>
    </w:pPr>
    <w:rPr>
      <w:rFonts w:ascii="Arial" w:hAnsi="Arial" w:cs="Arial"/>
      <w:b/>
      <w:snapToGrid w:val="0"/>
      <w:sz w:val="26"/>
      <w:szCs w:val="20"/>
      <w:lang w:val="en-US"/>
    </w:rPr>
  </w:style>
  <w:style w:type="paragraph" w:customStyle="1" w:styleId="IASBSubsubsectionTitle">
    <w:name w:val="IASB Subsubsection Title"/>
    <w:basedOn w:val="Normal"/>
    <w:rsid w:val="002C7DAE"/>
    <w:pPr>
      <w:keepNext/>
      <w:keepLines/>
      <w:spacing w:before="300" w:after="200"/>
      <w:ind w:left="780"/>
    </w:pPr>
    <w:rPr>
      <w:rFonts w:ascii="Arial" w:hAnsi="Arial" w:cs="Arial"/>
      <w:b/>
      <w:snapToGrid w:val="0"/>
      <w:sz w:val="22"/>
      <w:szCs w:val="20"/>
      <w:lang w:val="en-US"/>
    </w:rPr>
  </w:style>
  <w:style w:type="paragraph" w:customStyle="1" w:styleId="IASBSubsubsubsectionTitle">
    <w:name w:val="IASB Subsubsubsection Title"/>
    <w:basedOn w:val="Normal"/>
    <w:rsid w:val="002C7DAE"/>
    <w:pPr>
      <w:keepNext/>
      <w:keepLines/>
      <w:spacing w:before="300" w:after="200"/>
      <w:ind w:left="780"/>
    </w:pPr>
    <w:rPr>
      <w:rFonts w:ascii="Arial" w:hAnsi="Arial" w:cs="Arial"/>
      <w:i/>
      <w:snapToGrid w:val="0"/>
      <w:sz w:val="22"/>
      <w:szCs w:val="20"/>
      <w:lang w:val="en-US"/>
    </w:rPr>
  </w:style>
  <w:style w:type="paragraph" w:styleId="Pr-formataoHTML">
    <w:name w:val="HTML Preformatted"/>
    <w:basedOn w:val="Normal"/>
    <w:link w:val="Pr-formataoHTMLChar"/>
    <w:uiPriority w:val="99"/>
    <w:semiHidden/>
    <w:unhideWhenUsed/>
    <w:rsid w:val="002C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2C7DAE"/>
    <w:rPr>
      <w:rFonts w:ascii="Courier New" w:hAnsi="Courier New"/>
      <w:lang w:val="x-none" w:eastAsia="x-none"/>
    </w:rPr>
  </w:style>
  <w:style w:type="paragraph" w:customStyle="1" w:styleId="paragraph">
    <w:name w:val="paragraph"/>
    <w:basedOn w:val="Normal"/>
    <w:next w:val="Normal"/>
    <w:rsid w:val="002C7DAE"/>
    <w:pPr>
      <w:widowControl w:val="0"/>
      <w:ind w:left="432" w:hanging="432"/>
      <w:jc w:val="both"/>
    </w:pPr>
    <w:rPr>
      <w:sz w:val="20"/>
      <w:szCs w:val="20"/>
      <w:lang w:eastAsia="en-US"/>
    </w:rPr>
  </w:style>
  <w:style w:type="paragraph" w:customStyle="1" w:styleId="outline">
    <w:name w:val="outline"/>
    <w:basedOn w:val="Normal"/>
    <w:rsid w:val="002C7DAE"/>
    <w:pPr>
      <w:spacing w:before="100" w:beforeAutospacing="1" w:after="100" w:afterAutospacing="1"/>
    </w:pPr>
    <w:rPr>
      <w:rFonts w:eastAsia="SimSun"/>
      <w:lang w:val="en-US" w:eastAsia="ko-KR"/>
    </w:rPr>
  </w:style>
  <w:style w:type="character" w:customStyle="1" w:styleId="UnresolvedMention">
    <w:name w:val="Unresolved Mention"/>
    <w:basedOn w:val="Fontepargpadro"/>
    <w:uiPriority w:val="99"/>
    <w:semiHidden/>
    <w:unhideWhenUsed/>
    <w:rsid w:val="00B14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503">
      <w:bodyDiv w:val="1"/>
      <w:marLeft w:val="0"/>
      <w:marRight w:val="0"/>
      <w:marTop w:val="0"/>
      <w:marBottom w:val="0"/>
      <w:divBdr>
        <w:top w:val="none" w:sz="0" w:space="0" w:color="auto"/>
        <w:left w:val="none" w:sz="0" w:space="0" w:color="auto"/>
        <w:bottom w:val="none" w:sz="0" w:space="0" w:color="auto"/>
        <w:right w:val="none" w:sz="0" w:space="0" w:color="auto"/>
      </w:divBdr>
    </w:div>
    <w:div w:id="298264546">
      <w:bodyDiv w:val="1"/>
      <w:marLeft w:val="0"/>
      <w:marRight w:val="0"/>
      <w:marTop w:val="0"/>
      <w:marBottom w:val="0"/>
      <w:divBdr>
        <w:top w:val="none" w:sz="0" w:space="0" w:color="auto"/>
        <w:left w:val="none" w:sz="0" w:space="0" w:color="auto"/>
        <w:bottom w:val="none" w:sz="0" w:space="0" w:color="auto"/>
        <w:right w:val="none" w:sz="0" w:space="0" w:color="auto"/>
      </w:divBdr>
    </w:div>
    <w:div w:id="175836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F516-0AB0-4785-B4D7-BED5C8490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EBDC3-ED9A-4000-95AE-9637373DAF59}">
  <ds:schemaRefs>
    <ds:schemaRef ds:uri="http://schemas.microsoft.com/sharepoint/v3/contenttype/forms"/>
  </ds:schemaRefs>
</ds:datastoreItem>
</file>

<file path=customXml/itemProps3.xml><?xml version="1.0" encoding="utf-8"?>
<ds:datastoreItem xmlns:ds="http://schemas.openxmlformats.org/officeDocument/2006/customXml" ds:itemID="{B835B243-4EBE-4361-93DF-EFF7B71931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795b17-f7d2-4f27-ba4a-6f1f7eb48eda"/>
    <ds:schemaRef ds:uri="b69b09d8-fb11-4638-84fd-30340ac4eb29"/>
    <ds:schemaRef ds:uri="http://www.w3.org/XML/1998/namespace"/>
    <ds:schemaRef ds:uri="http://purl.org/dc/dcmitype/"/>
  </ds:schemaRefs>
</ds:datastoreItem>
</file>

<file path=customXml/itemProps4.xml><?xml version="1.0" encoding="utf-8"?>
<ds:datastoreItem xmlns:ds="http://schemas.openxmlformats.org/officeDocument/2006/customXml" ds:itemID="{58F9B651-D8B4-4939-A047-0454B489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2481</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RESOLUÇÃO CVM Nº 143, DE 15 DE JUNHO DE 2022</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143, DE 15 DE JUNHO DE 2022</dc:title>
  <dc:subject/>
  <dc:creator/>
  <cp:keywords/>
  <dc:description/>
  <cp:lastModifiedBy/>
  <cp:revision>2</cp:revision>
  <dcterms:created xsi:type="dcterms:W3CDTF">2021-02-12T18:15:00Z</dcterms:created>
  <dcterms:modified xsi:type="dcterms:W3CDTF">2022-06-14T17:41:00Z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35800</vt:r8>
  </property>
  <property fmtid="{D5CDD505-2E9C-101B-9397-08002B2CF9AE}" pid="4" name="_ExtendedDescription">
    <vt:lpwstr/>
  </property>
  <property fmtid="{D5CDD505-2E9C-101B-9397-08002B2CF9AE}" pid="5" name="ComplianceAssetId">
    <vt:lpwstr/>
  </property>
</Properties>
</file>