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938DB" w14:textId="10AF44B8" w:rsidR="00CF08C5" w:rsidRPr="006260A2" w:rsidRDefault="00765824" w:rsidP="00CF08C5">
      <w:pPr>
        <w:pStyle w:val="Corpodetexto2"/>
        <w:spacing w:before="120" w:line="312" w:lineRule="auto"/>
        <w:jc w:val="center"/>
        <w:rPr>
          <w:rFonts w:asciiTheme="minorHAnsi" w:hAnsiTheme="minorHAnsi" w:cstheme="minorHAnsi"/>
          <w:b w:val="0"/>
          <w:bCs w:val="0"/>
          <w:sz w:val="24"/>
          <w:lang w:val="pt-BR"/>
        </w:rPr>
      </w:pPr>
      <w:bookmarkStart w:id="0" w:name="_GoBack"/>
      <w:bookmarkEnd w:id="0"/>
      <w:r w:rsidRPr="00765824">
        <w:rPr>
          <w:rFonts w:asciiTheme="minorHAnsi" w:hAnsiTheme="minorHAnsi" w:cstheme="minorHAnsi"/>
          <w:b w:val="0"/>
          <w:bCs w:val="0"/>
          <w:sz w:val="24"/>
        </w:rPr>
        <w:t>RESOLUÇÃO CVM Nº 14</w:t>
      </w:r>
      <w:r>
        <w:rPr>
          <w:rFonts w:asciiTheme="minorHAnsi" w:hAnsiTheme="minorHAnsi" w:cstheme="minorHAnsi"/>
          <w:b w:val="0"/>
          <w:bCs w:val="0"/>
          <w:sz w:val="24"/>
          <w:lang w:val="pt-BR"/>
        </w:rPr>
        <w:t>5</w:t>
      </w:r>
      <w:r w:rsidRPr="00765824">
        <w:rPr>
          <w:rFonts w:asciiTheme="minorHAnsi" w:hAnsiTheme="minorHAnsi" w:cstheme="minorHAnsi"/>
          <w:b w:val="0"/>
          <w:bCs w:val="0"/>
          <w:sz w:val="24"/>
        </w:rPr>
        <w:t>, DE 15 DE JUNHO DE 2022</w:t>
      </w:r>
    </w:p>
    <w:p w14:paraId="5B546EE5" w14:textId="5E80EF59" w:rsidR="00CF08C5" w:rsidRPr="00273211" w:rsidRDefault="006260A2" w:rsidP="7F92FB91">
      <w:pPr>
        <w:pStyle w:val="Recuodecorpodetexto"/>
        <w:spacing w:before="240" w:after="240" w:line="312" w:lineRule="auto"/>
        <w:ind w:left="4746" w:firstLine="0"/>
        <w:rPr>
          <w:rFonts w:asciiTheme="minorHAnsi" w:hAnsiTheme="minorHAnsi" w:cstheme="minorBidi"/>
          <w:sz w:val="24"/>
        </w:rPr>
      </w:pPr>
      <w:r w:rsidRPr="006260A2">
        <w:rPr>
          <w:rFonts w:asciiTheme="minorHAnsi" w:hAnsiTheme="minorHAnsi" w:cstheme="minorBidi"/>
          <w:sz w:val="24"/>
        </w:rPr>
        <w:t xml:space="preserve">Ratifica a </w:t>
      </w:r>
      <w:r w:rsidR="00824ACF" w:rsidRPr="7F92FB91">
        <w:rPr>
          <w:rFonts w:asciiTheme="minorHAnsi" w:hAnsiTheme="minorHAnsi" w:cstheme="minorBidi"/>
          <w:sz w:val="24"/>
        </w:rPr>
        <w:t>Interpretação Técnica</w:t>
      </w:r>
      <w:r w:rsidR="00CF08C5" w:rsidRPr="7F92FB91">
        <w:rPr>
          <w:rFonts w:asciiTheme="minorHAnsi" w:hAnsiTheme="minorHAnsi" w:cstheme="minorBidi"/>
          <w:sz w:val="24"/>
        </w:rPr>
        <w:t xml:space="preserve"> </w:t>
      </w:r>
      <w:r w:rsidR="005D7141" w:rsidRPr="7F92FB91">
        <w:rPr>
          <w:rFonts w:asciiTheme="minorHAnsi" w:hAnsiTheme="minorHAnsi" w:cstheme="minorBidi"/>
          <w:sz w:val="24"/>
        </w:rPr>
        <w:t xml:space="preserve">ICPC </w:t>
      </w:r>
      <w:r w:rsidR="00B7430D" w:rsidRPr="7F92FB91">
        <w:rPr>
          <w:rFonts w:asciiTheme="minorHAnsi" w:hAnsiTheme="minorHAnsi" w:cstheme="minorBidi"/>
          <w:sz w:val="24"/>
        </w:rPr>
        <w:t>15</w:t>
      </w:r>
      <w:r w:rsidR="00CF08C5" w:rsidRPr="7F92FB91">
        <w:rPr>
          <w:rFonts w:asciiTheme="minorHAnsi" w:hAnsiTheme="minorHAnsi" w:cstheme="minorBidi"/>
          <w:sz w:val="24"/>
        </w:rPr>
        <w:t xml:space="preserve"> do Comitê de Pronunciamentos Contábeis</w:t>
      </w:r>
      <w:r w:rsidRPr="006260A2">
        <w:rPr>
          <w:rFonts w:asciiTheme="minorHAnsi" w:hAnsiTheme="minorHAnsi" w:cstheme="minorBidi"/>
          <w:sz w:val="24"/>
        </w:rPr>
        <w:t xml:space="preserve"> – CPC</w:t>
      </w:r>
      <w:r w:rsidR="00CF08C5" w:rsidRPr="7F92FB91">
        <w:rPr>
          <w:rFonts w:asciiTheme="minorHAnsi" w:hAnsiTheme="minorHAnsi" w:cstheme="minorBidi"/>
          <w:sz w:val="24"/>
        </w:rPr>
        <w:t xml:space="preserve">, que trata </w:t>
      </w:r>
      <w:r>
        <w:rPr>
          <w:rFonts w:asciiTheme="minorHAnsi" w:hAnsiTheme="minorHAnsi" w:cstheme="minorBidi"/>
          <w:sz w:val="24"/>
        </w:rPr>
        <w:t>d</w:t>
      </w:r>
      <w:r w:rsidR="00CF08C5" w:rsidRPr="7F92FB91">
        <w:rPr>
          <w:rFonts w:asciiTheme="minorHAnsi" w:hAnsiTheme="minorHAnsi" w:cstheme="minorBidi"/>
          <w:sz w:val="24"/>
        </w:rPr>
        <w:t xml:space="preserve">e </w:t>
      </w:r>
      <w:bookmarkStart w:id="1" w:name="_Hlk77779069"/>
      <w:r w:rsidR="00A9794D" w:rsidRPr="7F92FB91">
        <w:rPr>
          <w:rFonts w:asciiTheme="minorHAnsi" w:hAnsiTheme="minorHAnsi" w:cstheme="minorBidi"/>
          <w:sz w:val="24"/>
        </w:rPr>
        <w:t xml:space="preserve">passivo decorrente </w:t>
      </w:r>
      <w:r w:rsidR="007A61CA" w:rsidRPr="7F92FB91">
        <w:rPr>
          <w:rFonts w:asciiTheme="minorHAnsi" w:hAnsiTheme="minorHAnsi" w:cstheme="minorBidi"/>
          <w:sz w:val="24"/>
        </w:rPr>
        <w:t xml:space="preserve">de participação em mercado específico </w:t>
      </w:r>
      <w:r w:rsidR="00034866" w:rsidRPr="7F92FB91">
        <w:rPr>
          <w:rFonts w:asciiTheme="minorHAnsi" w:hAnsiTheme="minorHAnsi" w:cstheme="minorBidi"/>
          <w:sz w:val="24"/>
        </w:rPr>
        <w:t xml:space="preserve">– resíduos de equipamentos </w:t>
      </w:r>
      <w:r w:rsidR="02323626" w:rsidRPr="7F92FB91">
        <w:rPr>
          <w:rFonts w:asciiTheme="minorHAnsi" w:hAnsiTheme="minorHAnsi" w:cstheme="minorBidi"/>
          <w:sz w:val="24"/>
        </w:rPr>
        <w:t>eletro</w:t>
      </w:r>
      <w:r w:rsidR="00034866" w:rsidRPr="7F92FB91">
        <w:rPr>
          <w:rFonts w:asciiTheme="minorHAnsi" w:hAnsiTheme="minorHAnsi" w:cstheme="minorBidi"/>
          <w:sz w:val="24"/>
        </w:rPr>
        <w:t>eletrônicos</w:t>
      </w:r>
      <w:bookmarkEnd w:id="1"/>
      <w:r w:rsidR="00CF08C5" w:rsidRPr="7F92FB91">
        <w:rPr>
          <w:rFonts w:asciiTheme="minorHAnsi" w:hAnsiTheme="minorHAnsi" w:cstheme="minorBidi"/>
          <w:sz w:val="24"/>
        </w:rPr>
        <w:t>.</w:t>
      </w:r>
    </w:p>
    <w:p w14:paraId="7D45C359" w14:textId="76032FDA" w:rsidR="00CF08C5" w:rsidRPr="00273211" w:rsidRDefault="00CF08C5" w:rsidP="00CF08C5">
      <w:pPr>
        <w:pStyle w:val="Corpodetexto2"/>
        <w:spacing w:before="120" w:line="312" w:lineRule="auto"/>
        <w:ind w:firstLine="567"/>
        <w:rPr>
          <w:rFonts w:asciiTheme="minorHAnsi" w:hAnsiTheme="minorHAnsi" w:cstheme="minorHAnsi"/>
          <w:b w:val="0"/>
          <w:bCs w:val="0"/>
          <w:sz w:val="24"/>
        </w:rPr>
      </w:pPr>
      <w:r w:rsidRPr="00273211">
        <w:rPr>
          <w:rFonts w:asciiTheme="minorHAnsi" w:hAnsiTheme="minorHAnsi" w:cstheme="minorHAnsi"/>
          <w:b w:val="0"/>
          <w:bCs w:val="0"/>
          <w:sz w:val="24"/>
        </w:rPr>
        <w:t xml:space="preserve">O </w:t>
      </w:r>
      <w:r w:rsidRPr="00273211">
        <w:rPr>
          <w:rFonts w:asciiTheme="minorHAnsi" w:hAnsiTheme="minorHAnsi" w:cstheme="minorHAnsi"/>
          <w:sz w:val="24"/>
        </w:rPr>
        <w:t>PRESIDENTE DA COMISSÃO DE VALORES MOBILIÁRIOS - CVM</w:t>
      </w:r>
      <w:r w:rsidRPr="00273211">
        <w:rPr>
          <w:rFonts w:asciiTheme="minorHAnsi" w:hAnsiTheme="minorHAnsi" w:cstheme="minorHAnsi"/>
          <w:b w:val="0"/>
          <w:bCs w:val="0"/>
          <w:sz w:val="24"/>
        </w:rPr>
        <w:t xml:space="preserve"> torna público que o Colegiado, em reunião realizada em </w:t>
      </w:r>
      <w:r w:rsidR="008173AB">
        <w:rPr>
          <w:rFonts w:asciiTheme="minorHAnsi" w:hAnsiTheme="minorHAnsi" w:cstheme="minorHAnsi"/>
          <w:b w:val="0"/>
          <w:bCs w:val="0"/>
          <w:sz w:val="24"/>
          <w:lang w:val="pt-BR"/>
        </w:rPr>
        <w:t xml:space="preserve">4 </w:t>
      </w:r>
      <w:r w:rsidRPr="00273211">
        <w:rPr>
          <w:rFonts w:asciiTheme="minorHAnsi" w:hAnsiTheme="minorHAnsi" w:cstheme="minorHAnsi"/>
          <w:b w:val="0"/>
          <w:bCs w:val="0"/>
          <w:sz w:val="24"/>
        </w:rPr>
        <w:t xml:space="preserve">de </w:t>
      </w:r>
      <w:r w:rsidR="008173AB">
        <w:rPr>
          <w:rFonts w:asciiTheme="minorHAnsi" w:hAnsiTheme="minorHAnsi" w:cstheme="minorHAnsi"/>
          <w:b w:val="0"/>
          <w:bCs w:val="0"/>
          <w:sz w:val="24"/>
          <w:lang w:val="pt-BR"/>
        </w:rPr>
        <w:t xml:space="preserve">maio </w:t>
      </w:r>
      <w:r w:rsidRPr="00273211">
        <w:rPr>
          <w:rFonts w:asciiTheme="minorHAnsi" w:hAnsiTheme="minorHAnsi" w:cstheme="minorHAnsi"/>
          <w:b w:val="0"/>
          <w:bCs w:val="0"/>
          <w:sz w:val="24"/>
        </w:rPr>
        <w:t>de 202</w:t>
      </w:r>
      <w:r w:rsidR="006260A2">
        <w:rPr>
          <w:rFonts w:asciiTheme="minorHAnsi" w:hAnsiTheme="minorHAnsi" w:cstheme="minorHAnsi"/>
          <w:b w:val="0"/>
          <w:bCs w:val="0"/>
          <w:sz w:val="24"/>
          <w:lang w:val="pt-BR"/>
        </w:rPr>
        <w:t>2</w:t>
      </w:r>
      <w:r w:rsidRPr="00273211">
        <w:rPr>
          <w:rFonts w:asciiTheme="minorHAnsi" w:hAnsiTheme="minorHAnsi" w:cstheme="minorHAnsi"/>
          <w:b w:val="0"/>
          <w:bCs w:val="0"/>
          <w:sz w:val="24"/>
        </w:rPr>
        <w:t xml:space="preserve">, com fundamento nos §§ 3º e 5º do art. 177 da Lei n° 6.404, de 15 de dezembro de 1976, combinados com os incisos II e IV do § 1° do art. 22 da Lei n° 6.385, de 7 de dezembro de 1976, bem como nos arts. 5º e 14 do Decreto nº 10.139, de 28 de novembro de 2019, </w:t>
      </w:r>
      <w:r w:rsidRPr="00273211">
        <w:rPr>
          <w:rFonts w:asciiTheme="minorHAnsi" w:hAnsiTheme="minorHAnsi" w:cstheme="minorHAnsi"/>
          <w:sz w:val="24"/>
        </w:rPr>
        <w:t>APROVOU</w:t>
      </w:r>
      <w:r w:rsidRPr="00273211">
        <w:rPr>
          <w:rFonts w:asciiTheme="minorHAnsi" w:hAnsiTheme="minorHAnsi" w:cstheme="minorHAnsi"/>
          <w:b w:val="0"/>
          <w:bCs w:val="0"/>
          <w:sz w:val="24"/>
        </w:rPr>
        <w:t xml:space="preserve"> a seguinte Resolução:</w:t>
      </w:r>
    </w:p>
    <w:p w14:paraId="4EBD8632" w14:textId="22D68531" w:rsidR="00273211" w:rsidRPr="00273211" w:rsidRDefault="00273211" w:rsidP="7F92FB91">
      <w:pPr>
        <w:autoSpaceDE w:val="0"/>
        <w:autoSpaceDN w:val="0"/>
        <w:adjustRightInd w:val="0"/>
        <w:spacing w:before="360" w:line="312" w:lineRule="auto"/>
        <w:ind w:firstLine="567"/>
        <w:rPr>
          <w:rFonts w:asciiTheme="minorHAnsi" w:hAnsiTheme="minorHAnsi" w:cstheme="minorBidi"/>
          <w:sz w:val="24"/>
        </w:rPr>
      </w:pPr>
      <w:r w:rsidRPr="7F92FB91">
        <w:rPr>
          <w:rFonts w:asciiTheme="minorHAnsi" w:hAnsiTheme="minorHAnsi" w:cstheme="minorBidi"/>
          <w:sz w:val="24"/>
        </w:rPr>
        <w:t xml:space="preserve">Art. 1º  </w:t>
      </w:r>
      <w:r w:rsidR="006260A2" w:rsidRPr="006260A2">
        <w:rPr>
          <w:rFonts w:asciiTheme="minorHAnsi" w:hAnsiTheme="minorHAnsi" w:cstheme="minorBidi"/>
          <w:sz w:val="24"/>
        </w:rPr>
        <w:t xml:space="preserve">Fica ratificada a obrigatoriedade </w:t>
      </w:r>
      <w:r w:rsidRPr="7F92FB91">
        <w:rPr>
          <w:rFonts w:asciiTheme="minorHAnsi" w:hAnsiTheme="minorHAnsi" w:cstheme="minorBidi"/>
          <w:sz w:val="24"/>
        </w:rPr>
        <w:t xml:space="preserve">para as companhias abertas </w:t>
      </w:r>
      <w:r w:rsidR="006260A2">
        <w:rPr>
          <w:rFonts w:asciiTheme="minorHAnsi" w:hAnsiTheme="minorHAnsi" w:cstheme="minorBidi"/>
          <w:sz w:val="24"/>
        </w:rPr>
        <w:t>d</w:t>
      </w:r>
      <w:r w:rsidR="00824ACF" w:rsidRPr="7F92FB91">
        <w:rPr>
          <w:rFonts w:asciiTheme="minorHAnsi" w:hAnsiTheme="minorHAnsi" w:cstheme="minorBidi"/>
          <w:sz w:val="24"/>
        </w:rPr>
        <w:t>a Interpretação Técnica ICPC</w:t>
      </w:r>
      <w:r w:rsidR="00034866" w:rsidRPr="7F92FB91">
        <w:rPr>
          <w:rFonts w:asciiTheme="minorHAnsi" w:hAnsiTheme="minorHAnsi" w:cstheme="minorBidi"/>
          <w:sz w:val="24"/>
        </w:rPr>
        <w:t xml:space="preserve"> 15</w:t>
      </w:r>
      <w:r w:rsidRPr="7F92FB91">
        <w:rPr>
          <w:rFonts w:asciiTheme="minorHAnsi" w:hAnsiTheme="minorHAnsi" w:cstheme="minorBidi"/>
          <w:sz w:val="24"/>
        </w:rPr>
        <w:t xml:space="preserve"> emitid</w:t>
      </w:r>
      <w:r w:rsidR="00824ACF" w:rsidRPr="7F92FB91">
        <w:rPr>
          <w:rFonts w:asciiTheme="minorHAnsi" w:hAnsiTheme="minorHAnsi" w:cstheme="minorBidi"/>
          <w:sz w:val="24"/>
        </w:rPr>
        <w:t>a</w:t>
      </w:r>
      <w:r w:rsidRPr="7F92FB91">
        <w:rPr>
          <w:rFonts w:asciiTheme="minorHAnsi" w:hAnsiTheme="minorHAnsi" w:cstheme="minorBidi"/>
          <w:sz w:val="24"/>
        </w:rPr>
        <w:t xml:space="preserve"> pelo Comitê de Pronunciamentos Contábeis - CPC</w:t>
      </w:r>
      <w:r w:rsidR="006260A2" w:rsidRPr="006260A2">
        <w:rPr>
          <w:rFonts w:asciiTheme="minorHAnsi" w:hAnsiTheme="minorHAnsi" w:cstheme="minorBidi"/>
          <w:sz w:val="24"/>
        </w:rPr>
        <w:t xml:space="preserve">, que trata </w:t>
      </w:r>
      <w:r w:rsidR="006260A2">
        <w:rPr>
          <w:rFonts w:asciiTheme="minorHAnsi" w:hAnsiTheme="minorHAnsi" w:cstheme="minorBidi"/>
          <w:sz w:val="24"/>
        </w:rPr>
        <w:t>de</w:t>
      </w:r>
      <w:r w:rsidR="006260A2" w:rsidRPr="006260A2">
        <w:rPr>
          <w:rFonts w:asciiTheme="minorHAnsi" w:hAnsiTheme="minorHAnsi" w:cstheme="minorBidi"/>
          <w:sz w:val="24"/>
        </w:rPr>
        <w:t xml:space="preserve"> passivo decorrente de participação em mercado específico – resíduos de equipamentos eletroeletrônicos, conforme Anexo “A” à presente Resolução</w:t>
      </w:r>
      <w:r w:rsidRPr="7F92FB91">
        <w:rPr>
          <w:rFonts w:asciiTheme="minorHAnsi" w:hAnsiTheme="minorHAnsi" w:cstheme="minorBidi"/>
          <w:sz w:val="24"/>
        </w:rPr>
        <w:t>.</w:t>
      </w:r>
    </w:p>
    <w:p w14:paraId="4E2C13E3" w14:textId="533F4525"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2º  </w:t>
      </w:r>
      <w:r w:rsidRPr="00273211">
        <w:rPr>
          <w:rFonts w:asciiTheme="minorHAnsi" w:hAnsiTheme="minorHAnsi" w:cstheme="minorHAnsi"/>
          <w:color w:val="000000" w:themeColor="text1"/>
          <w:sz w:val="24"/>
        </w:rPr>
        <w:t xml:space="preserve">Fica revogada a Deliberação </w:t>
      </w:r>
      <w:r w:rsidR="00D410C6">
        <w:rPr>
          <w:rFonts w:asciiTheme="minorHAnsi" w:hAnsiTheme="minorHAnsi" w:cstheme="minorHAnsi"/>
          <w:color w:val="000000" w:themeColor="text1"/>
          <w:sz w:val="24"/>
        </w:rPr>
        <w:t xml:space="preserve">CVM nº </w:t>
      </w:r>
      <w:r w:rsidR="00D54507">
        <w:rPr>
          <w:rFonts w:asciiTheme="minorHAnsi" w:hAnsiTheme="minorHAnsi" w:cstheme="minorHAnsi"/>
          <w:color w:val="000000" w:themeColor="text1"/>
          <w:sz w:val="24"/>
        </w:rPr>
        <w:t>638</w:t>
      </w:r>
      <w:r w:rsidRPr="00273211">
        <w:rPr>
          <w:rFonts w:asciiTheme="minorHAnsi" w:hAnsiTheme="minorHAnsi" w:cstheme="minorHAnsi"/>
          <w:color w:val="000000" w:themeColor="text1"/>
          <w:sz w:val="24"/>
        </w:rPr>
        <w:t xml:space="preserve">, de </w:t>
      </w:r>
      <w:r w:rsidR="00D54507">
        <w:rPr>
          <w:rFonts w:asciiTheme="minorHAnsi" w:hAnsiTheme="minorHAnsi" w:cstheme="minorHAnsi"/>
          <w:color w:val="000000" w:themeColor="text1"/>
          <w:sz w:val="24"/>
        </w:rPr>
        <w:t>06 de agosto</w:t>
      </w:r>
      <w:r w:rsidRPr="00273211">
        <w:rPr>
          <w:rFonts w:asciiTheme="minorHAnsi" w:hAnsiTheme="minorHAnsi" w:cstheme="minorHAnsi"/>
          <w:color w:val="000000" w:themeColor="text1"/>
          <w:sz w:val="24"/>
        </w:rPr>
        <w:t xml:space="preserve"> de 20</w:t>
      </w:r>
      <w:r w:rsidR="00D54507">
        <w:rPr>
          <w:rFonts w:asciiTheme="minorHAnsi" w:hAnsiTheme="minorHAnsi" w:cstheme="minorHAnsi"/>
          <w:color w:val="000000" w:themeColor="text1"/>
          <w:sz w:val="24"/>
        </w:rPr>
        <w:t>10</w:t>
      </w:r>
      <w:r w:rsidR="006260A2" w:rsidRPr="006260A2">
        <w:rPr>
          <w:rFonts w:asciiTheme="minorHAnsi" w:hAnsiTheme="minorHAnsi" w:cstheme="minorHAnsi"/>
          <w:color w:val="000000" w:themeColor="text1"/>
          <w:sz w:val="24"/>
        </w:rPr>
        <w:t>, a partir da vigência desta Resolução</w:t>
      </w:r>
      <w:r w:rsidRPr="00273211">
        <w:rPr>
          <w:rFonts w:asciiTheme="minorHAnsi" w:hAnsiTheme="minorHAnsi" w:cstheme="minorHAnsi"/>
          <w:sz w:val="24"/>
        </w:rPr>
        <w:t>.</w:t>
      </w:r>
    </w:p>
    <w:p w14:paraId="7C1D6C73" w14:textId="71ED425F"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3º  </w:t>
      </w:r>
      <w:r w:rsidR="006260A2" w:rsidRPr="006260A2">
        <w:rPr>
          <w:rFonts w:asciiTheme="minorHAnsi" w:hAnsiTheme="minorHAnsi" w:cstheme="minorHAnsi"/>
          <w:sz w:val="24"/>
        </w:rPr>
        <w:t>Esta Resolução entra em vigor em 1º de julho de 2022</w:t>
      </w:r>
      <w:r w:rsidRPr="00273211">
        <w:rPr>
          <w:rFonts w:asciiTheme="minorHAnsi" w:hAnsiTheme="minorHAnsi" w:cstheme="minorHAnsi"/>
          <w:sz w:val="24"/>
        </w:rPr>
        <w:t>.</w:t>
      </w:r>
    </w:p>
    <w:p w14:paraId="4E886EE9" w14:textId="5FF432C1" w:rsidR="00A21437" w:rsidRPr="00A92033" w:rsidRDefault="00A21437">
      <w:pPr>
        <w:spacing w:before="0" w:after="160" w:line="259" w:lineRule="auto"/>
        <w:jc w:val="left"/>
        <w:rPr>
          <w:rFonts w:cs="Arial"/>
          <w:sz w:val="24"/>
        </w:rPr>
      </w:pPr>
    </w:p>
    <w:p w14:paraId="224E36B0" w14:textId="77777777" w:rsidR="00A92033" w:rsidRPr="00A92033" w:rsidRDefault="00A92033" w:rsidP="00A92033">
      <w:pPr>
        <w:jc w:val="center"/>
        <w:rPr>
          <w:rFonts w:asciiTheme="minorHAnsi" w:hAnsiTheme="minorHAnsi" w:cstheme="minorHAnsi"/>
          <w:i/>
          <w:iCs/>
          <w:color w:val="000000"/>
          <w:sz w:val="24"/>
        </w:rPr>
      </w:pPr>
      <w:r w:rsidRPr="00A92033">
        <w:rPr>
          <w:rFonts w:asciiTheme="minorHAnsi" w:hAnsiTheme="minorHAnsi" w:cstheme="minorHAnsi"/>
          <w:i/>
          <w:iCs/>
          <w:color w:val="000000"/>
          <w:sz w:val="24"/>
        </w:rPr>
        <w:t>Assinado eletronicamente por</w:t>
      </w:r>
    </w:p>
    <w:p w14:paraId="2D94B5D6" w14:textId="77777777" w:rsidR="00A92033" w:rsidRPr="00A92033" w:rsidRDefault="00A92033" w:rsidP="00A92033">
      <w:pPr>
        <w:jc w:val="center"/>
        <w:rPr>
          <w:rFonts w:asciiTheme="minorHAnsi" w:hAnsiTheme="minorHAnsi" w:cstheme="minorHAnsi"/>
          <w:b/>
          <w:bCs/>
          <w:color w:val="000000"/>
          <w:sz w:val="24"/>
        </w:rPr>
      </w:pPr>
      <w:r w:rsidRPr="00A92033">
        <w:rPr>
          <w:rFonts w:asciiTheme="minorHAnsi" w:hAnsiTheme="minorHAnsi" w:cstheme="minorHAnsi"/>
          <w:b/>
          <w:bCs/>
          <w:color w:val="000000"/>
          <w:sz w:val="24"/>
        </w:rPr>
        <w:t>Marcelo Barbosa</w:t>
      </w:r>
    </w:p>
    <w:p w14:paraId="3D10998D" w14:textId="77777777" w:rsidR="00A92033" w:rsidRPr="00A92033" w:rsidRDefault="00A92033" w:rsidP="00A92033">
      <w:pPr>
        <w:jc w:val="center"/>
        <w:rPr>
          <w:rFonts w:asciiTheme="minorHAnsi" w:hAnsiTheme="minorHAnsi" w:cstheme="minorHAnsi"/>
          <w:b/>
          <w:bCs/>
          <w:color w:val="000000"/>
          <w:sz w:val="24"/>
        </w:rPr>
      </w:pPr>
      <w:r w:rsidRPr="00A92033">
        <w:rPr>
          <w:rFonts w:asciiTheme="minorHAnsi" w:hAnsiTheme="minorHAnsi" w:cstheme="minorHAnsi"/>
          <w:b/>
          <w:bCs/>
          <w:color w:val="000000"/>
          <w:sz w:val="24"/>
        </w:rPr>
        <w:t>Presidente</w:t>
      </w:r>
    </w:p>
    <w:p w14:paraId="69D71F89" w14:textId="77777777" w:rsidR="00CF08C5" w:rsidRPr="00A92033" w:rsidRDefault="00CF08C5">
      <w:pPr>
        <w:spacing w:before="0" w:after="160" w:line="259" w:lineRule="auto"/>
        <w:jc w:val="left"/>
        <w:rPr>
          <w:rFonts w:cs="Arial"/>
          <w:sz w:val="24"/>
        </w:rPr>
      </w:pPr>
    </w:p>
    <w:p w14:paraId="74B88778" w14:textId="770323FC" w:rsidR="00DF62F3" w:rsidRDefault="00DF62F3">
      <w:pPr>
        <w:spacing w:before="0" w:after="160" w:line="259" w:lineRule="auto"/>
        <w:jc w:val="left"/>
        <w:rPr>
          <w:rFonts w:cs="Arial"/>
          <w:b/>
          <w:sz w:val="22"/>
          <w:szCs w:val="22"/>
          <w:lang w:val="pt-BR"/>
        </w:rPr>
      </w:pPr>
      <w:r>
        <w:rPr>
          <w:rFonts w:cs="Arial"/>
          <w:b/>
          <w:sz w:val="22"/>
          <w:szCs w:val="22"/>
          <w:lang w:val="pt-BR"/>
        </w:rPr>
        <w:br w:type="page"/>
      </w:r>
    </w:p>
    <w:p w14:paraId="092FD3B3" w14:textId="19D715A1" w:rsidR="00DC26B3" w:rsidRDefault="00DC26B3" w:rsidP="00DC26B3">
      <w:pPr>
        <w:spacing w:before="0" w:after="0"/>
        <w:jc w:val="center"/>
        <w:outlineLvl w:val="0"/>
        <w:rPr>
          <w:rFonts w:ascii="Times New Roman" w:hAnsi="Times New Roman"/>
          <w:b/>
          <w:sz w:val="24"/>
          <w:lang w:val="pt-BR"/>
        </w:rPr>
      </w:pPr>
      <w:r w:rsidRPr="00DC26B3">
        <w:rPr>
          <w:rFonts w:ascii="Times New Roman" w:hAnsi="Times New Roman"/>
          <w:b/>
          <w:sz w:val="24"/>
          <w:lang w:val="pt-BR"/>
        </w:rPr>
        <w:lastRenderedPageBreak/>
        <w:t>ANEXO “A”</w:t>
      </w:r>
    </w:p>
    <w:p w14:paraId="49E431D4" w14:textId="77777777" w:rsidR="00DC26B3" w:rsidRDefault="00DC26B3" w:rsidP="00DC26B3">
      <w:pPr>
        <w:spacing w:before="0" w:after="0"/>
        <w:jc w:val="center"/>
        <w:outlineLvl w:val="0"/>
        <w:rPr>
          <w:rFonts w:ascii="Times New Roman" w:hAnsi="Times New Roman"/>
          <w:b/>
          <w:sz w:val="24"/>
          <w:lang w:val="pt-BR"/>
        </w:rPr>
      </w:pPr>
    </w:p>
    <w:p w14:paraId="3FFF8135" w14:textId="0AD93573" w:rsidR="009A5E96" w:rsidRPr="009A5E96" w:rsidRDefault="009A5E96" w:rsidP="00DC26B3">
      <w:pPr>
        <w:spacing w:before="0" w:after="0"/>
        <w:jc w:val="center"/>
        <w:outlineLvl w:val="0"/>
        <w:rPr>
          <w:rFonts w:ascii="Times New Roman" w:hAnsi="Times New Roman"/>
          <w:b/>
          <w:sz w:val="24"/>
          <w:lang w:val="pt-BR"/>
        </w:rPr>
      </w:pPr>
      <w:r w:rsidRPr="009A5E96">
        <w:rPr>
          <w:rFonts w:ascii="Times New Roman" w:hAnsi="Times New Roman"/>
          <w:b/>
          <w:sz w:val="24"/>
          <w:lang w:val="pt-BR"/>
        </w:rPr>
        <w:t>COMITÊ DE PRONUNCIAMENTOS CONTÁBEIS</w:t>
      </w:r>
    </w:p>
    <w:p w14:paraId="480C9A75" w14:textId="77777777" w:rsidR="009A5E96" w:rsidRPr="009A5E96" w:rsidRDefault="009A5E96" w:rsidP="00DC26B3">
      <w:pPr>
        <w:spacing w:before="0" w:after="0"/>
        <w:jc w:val="center"/>
        <w:outlineLvl w:val="0"/>
        <w:rPr>
          <w:rFonts w:ascii="Times New Roman" w:hAnsi="Times New Roman"/>
          <w:b/>
          <w:sz w:val="18"/>
          <w:szCs w:val="18"/>
          <w:lang w:val="pt-BR"/>
        </w:rPr>
      </w:pPr>
    </w:p>
    <w:p w14:paraId="268E49EE" w14:textId="7C841A26" w:rsidR="009A5E96" w:rsidRDefault="009A5E96" w:rsidP="00DC26B3">
      <w:pPr>
        <w:spacing w:before="0" w:after="0"/>
        <w:jc w:val="center"/>
        <w:outlineLvl w:val="0"/>
        <w:rPr>
          <w:rFonts w:ascii="Times New Roman" w:hAnsi="Times New Roman"/>
          <w:b/>
          <w:sz w:val="24"/>
          <w:lang w:val="pt-BR"/>
        </w:rPr>
      </w:pPr>
      <w:r w:rsidRPr="00DC26B3">
        <w:rPr>
          <w:rFonts w:ascii="Times New Roman" w:hAnsi="Times New Roman"/>
          <w:b/>
          <w:sz w:val="24"/>
          <w:lang w:val="pt-BR"/>
        </w:rPr>
        <w:t>INTERPRETAÇÃO TÉCNICA ICPC 15</w:t>
      </w:r>
    </w:p>
    <w:p w14:paraId="72EC26DA" w14:textId="77777777" w:rsidR="00DC26B3" w:rsidRPr="00DC26B3" w:rsidRDefault="00DC26B3" w:rsidP="00DC26B3">
      <w:pPr>
        <w:spacing w:before="0" w:after="0"/>
        <w:jc w:val="center"/>
        <w:outlineLvl w:val="0"/>
        <w:rPr>
          <w:rFonts w:ascii="Times New Roman" w:hAnsi="Times New Roman"/>
          <w:b/>
          <w:sz w:val="24"/>
          <w:lang w:val="pt-BR"/>
        </w:rPr>
      </w:pPr>
    </w:p>
    <w:p w14:paraId="75463F2A" w14:textId="77777777" w:rsidR="009A5E96" w:rsidRPr="00DE1E2E" w:rsidRDefault="009A5E96" w:rsidP="00DC26B3">
      <w:pPr>
        <w:spacing w:before="0" w:after="0"/>
        <w:jc w:val="center"/>
        <w:outlineLvl w:val="0"/>
        <w:rPr>
          <w:rFonts w:ascii="Times New Roman" w:hAnsi="Times New Roman"/>
          <w:b/>
          <w:caps/>
          <w:sz w:val="24"/>
        </w:rPr>
      </w:pPr>
      <w:r w:rsidRPr="00DE1E2E">
        <w:rPr>
          <w:rFonts w:ascii="Times New Roman" w:hAnsi="Times New Roman"/>
          <w:b/>
          <w:caps/>
          <w:sz w:val="24"/>
        </w:rPr>
        <w:t>Passivo Decorrente de Participação em Mercado Específico – Resíduos de Equipamentos Eletroeletrônicos</w:t>
      </w:r>
    </w:p>
    <w:p w14:paraId="6B315D3F" w14:textId="77777777" w:rsidR="00351463" w:rsidRPr="00DC26B3" w:rsidRDefault="00351463" w:rsidP="00DC26B3">
      <w:pPr>
        <w:spacing w:before="0" w:after="0"/>
        <w:jc w:val="center"/>
        <w:outlineLvl w:val="0"/>
        <w:rPr>
          <w:rFonts w:ascii="Times New Roman" w:hAnsi="Times New Roman"/>
          <w:b/>
          <w:bCs/>
          <w:sz w:val="24"/>
        </w:rPr>
      </w:pPr>
    </w:p>
    <w:p w14:paraId="715D3659" w14:textId="35ED49B4" w:rsidR="009A5E96" w:rsidRPr="00DC26B3" w:rsidRDefault="009A5E96" w:rsidP="00DC26B3">
      <w:pPr>
        <w:spacing w:before="0" w:after="0"/>
        <w:jc w:val="center"/>
        <w:outlineLvl w:val="0"/>
        <w:rPr>
          <w:rFonts w:ascii="Times New Roman" w:hAnsi="Times New Roman"/>
          <w:b/>
          <w:bCs/>
          <w:sz w:val="24"/>
        </w:rPr>
      </w:pPr>
      <w:r w:rsidRPr="00DC26B3">
        <w:rPr>
          <w:rFonts w:ascii="Times New Roman" w:hAnsi="Times New Roman"/>
          <w:b/>
          <w:bCs/>
          <w:sz w:val="24"/>
        </w:rPr>
        <w:t>Correlação às Normas Internacionais de Contabilidade – IFRIC 6</w:t>
      </w:r>
    </w:p>
    <w:p w14:paraId="0B83011D" w14:textId="77777777" w:rsidR="009A5E96" w:rsidRPr="009A5E96" w:rsidRDefault="009A5E96" w:rsidP="009A5E96">
      <w:pPr>
        <w:rPr>
          <w:lang w:val="pt-BR" w:eastAsia="en-US"/>
        </w:rPr>
      </w:pPr>
    </w:p>
    <w:tbl>
      <w:tblPr>
        <w:tblW w:w="8755" w:type="dxa"/>
        <w:tblLook w:val="01E0" w:firstRow="1" w:lastRow="1" w:firstColumn="1" w:lastColumn="1" w:noHBand="0" w:noVBand="0"/>
      </w:tblPr>
      <w:tblGrid>
        <w:gridCol w:w="7196"/>
        <w:gridCol w:w="1559"/>
      </w:tblGrid>
      <w:tr w:rsidR="009A5E96" w:rsidRPr="009A5E96" w14:paraId="34297D0B" w14:textId="77777777" w:rsidTr="00C94060">
        <w:tc>
          <w:tcPr>
            <w:tcW w:w="7196" w:type="dxa"/>
          </w:tcPr>
          <w:p w14:paraId="3BCE6A83" w14:textId="77777777" w:rsidR="009A5E96" w:rsidRPr="009A5E96" w:rsidRDefault="009A5E96" w:rsidP="009A5E96">
            <w:pPr>
              <w:spacing w:before="60" w:after="60"/>
              <w:jc w:val="left"/>
              <w:rPr>
                <w:rFonts w:ascii="Times New Roman" w:hAnsi="Times New Roman"/>
                <w:bCs/>
                <w:kern w:val="36"/>
                <w:sz w:val="24"/>
                <w:lang w:val="pt-BR"/>
              </w:rPr>
            </w:pPr>
            <w:r w:rsidRPr="009A5E96">
              <w:rPr>
                <w:rFonts w:ascii="Times New Roman" w:hAnsi="Times New Roman"/>
                <w:bCs/>
                <w:kern w:val="36"/>
                <w:sz w:val="24"/>
                <w:lang w:val="pt-BR"/>
              </w:rPr>
              <w:t>Índice</w:t>
            </w:r>
          </w:p>
        </w:tc>
        <w:tc>
          <w:tcPr>
            <w:tcW w:w="1559" w:type="dxa"/>
          </w:tcPr>
          <w:p w14:paraId="78D8E72C" w14:textId="77777777" w:rsidR="009A5E96" w:rsidRPr="009A5E96" w:rsidRDefault="009A5E96" w:rsidP="009A5E96">
            <w:pPr>
              <w:spacing w:before="60" w:after="60"/>
              <w:rPr>
                <w:rFonts w:ascii="Times New Roman" w:hAnsi="Times New Roman"/>
                <w:bCs/>
                <w:kern w:val="36"/>
                <w:sz w:val="24"/>
                <w:lang w:val="pt-BR"/>
              </w:rPr>
            </w:pPr>
            <w:r w:rsidRPr="009A5E96">
              <w:rPr>
                <w:rFonts w:ascii="Times New Roman" w:hAnsi="Times New Roman"/>
                <w:bCs/>
                <w:kern w:val="36"/>
                <w:sz w:val="24"/>
                <w:lang w:val="pt-BR"/>
              </w:rPr>
              <w:t>Item</w:t>
            </w:r>
          </w:p>
        </w:tc>
      </w:tr>
      <w:tr w:rsidR="009A5E96" w:rsidRPr="009A5E96" w14:paraId="09DF04CE" w14:textId="77777777" w:rsidTr="00C94060">
        <w:tc>
          <w:tcPr>
            <w:tcW w:w="7196" w:type="dxa"/>
          </w:tcPr>
          <w:p w14:paraId="36AEE4CA" w14:textId="77777777" w:rsidR="009A5E96" w:rsidRPr="009A5E96" w:rsidRDefault="009A5E96" w:rsidP="009A5E96">
            <w:pPr>
              <w:spacing w:before="60" w:after="60"/>
              <w:jc w:val="left"/>
              <w:rPr>
                <w:rFonts w:ascii="Times New Roman" w:hAnsi="Times New Roman"/>
                <w:b/>
                <w:bCs/>
                <w:kern w:val="36"/>
                <w:sz w:val="24"/>
                <w:lang w:val="pt-BR"/>
              </w:rPr>
            </w:pPr>
            <w:r w:rsidRPr="009A5E96">
              <w:rPr>
                <w:rFonts w:ascii="Times New Roman" w:hAnsi="Times New Roman"/>
                <w:b/>
                <w:bCs/>
                <w:kern w:val="36"/>
                <w:sz w:val="24"/>
                <w:lang w:val="pt-BR"/>
              </w:rPr>
              <w:t>REFERÊNCIAS</w:t>
            </w:r>
          </w:p>
        </w:tc>
        <w:tc>
          <w:tcPr>
            <w:tcW w:w="1559" w:type="dxa"/>
          </w:tcPr>
          <w:p w14:paraId="6E8BF265" w14:textId="77777777" w:rsidR="009A5E96" w:rsidRPr="009A5E96" w:rsidRDefault="009A5E96" w:rsidP="009A5E96">
            <w:pPr>
              <w:spacing w:before="60" w:after="60"/>
              <w:jc w:val="left"/>
              <w:rPr>
                <w:rFonts w:ascii="Times New Roman" w:hAnsi="Times New Roman"/>
                <w:b/>
                <w:bCs/>
                <w:kern w:val="36"/>
                <w:sz w:val="24"/>
                <w:lang w:val="pt-BR"/>
              </w:rPr>
            </w:pPr>
          </w:p>
        </w:tc>
      </w:tr>
      <w:tr w:rsidR="009A5E96" w:rsidRPr="009A5E96" w14:paraId="306EF811" w14:textId="77777777" w:rsidTr="00C94060">
        <w:tc>
          <w:tcPr>
            <w:tcW w:w="7196" w:type="dxa"/>
          </w:tcPr>
          <w:p w14:paraId="4BC80CE8" w14:textId="77777777" w:rsidR="009A5E96" w:rsidRPr="009A5E96" w:rsidRDefault="009A5E96" w:rsidP="009A5E96">
            <w:pPr>
              <w:spacing w:before="60" w:after="60"/>
              <w:jc w:val="left"/>
              <w:rPr>
                <w:rFonts w:ascii="Times New Roman" w:hAnsi="Times New Roman"/>
                <w:b/>
                <w:bCs/>
                <w:kern w:val="36"/>
                <w:sz w:val="24"/>
                <w:lang w:val="pt-BR"/>
              </w:rPr>
            </w:pPr>
            <w:r w:rsidRPr="009A5E96">
              <w:rPr>
                <w:rFonts w:ascii="Times New Roman" w:hAnsi="Times New Roman"/>
                <w:b/>
                <w:bCs/>
                <w:kern w:val="36"/>
                <w:sz w:val="24"/>
                <w:lang w:val="pt-BR"/>
              </w:rPr>
              <w:t>INTRODUÇÃO</w:t>
            </w:r>
          </w:p>
        </w:tc>
        <w:tc>
          <w:tcPr>
            <w:tcW w:w="1559" w:type="dxa"/>
          </w:tcPr>
          <w:p w14:paraId="54A3F15A" w14:textId="77777777" w:rsidR="009A5E96" w:rsidRPr="009A5E96" w:rsidRDefault="009A5E96" w:rsidP="009A5E96">
            <w:pPr>
              <w:spacing w:before="60" w:after="60"/>
              <w:jc w:val="left"/>
              <w:rPr>
                <w:rFonts w:ascii="Times New Roman" w:hAnsi="Times New Roman"/>
                <w:b/>
                <w:bCs/>
                <w:kern w:val="36"/>
                <w:sz w:val="24"/>
                <w:lang w:val="pt-BR"/>
              </w:rPr>
            </w:pPr>
            <w:r w:rsidRPr="009A5E96">
              <w:rPr>
                <w:rFonts w:ascii="Times New Roman" w:hAnsi="Times New Roman"/>
                <w:b/>
                <w:bCs/>
                <w:kern w:val="36"/>
                <w:sz w:val="24"/>
                <w:lang w:val="pt-BR"/>
              </w:rPr>
              <w:t>IN1 – IN2</w:t>
            </w:r>
          </w:p>
        </w:tc>
      </w:tr>
      <w:tr w:rsidR="009A5E96" w:rsidRPr="009A5E96" w14:paraId="67B38CD5" w14:textId="77777777" w:rsidTr="00C94060">
        <w:tc>
          <w:tcPr>
            <w:tcW w:w="7196" w:type="dxa"/>
          </w:tcPr>
          <w:p w14:paraId="2C2F6D02" w14:textId="77777777" w:rsidR="009A5E96" w:rsidRPr="009A5E96" w:rsidRDefault="009A5E96" w:rsidP="009A5E96">
            <w:pPr>
              <w:spacing w:before="60" w:after="60"/>
              <w:jc w:val="left"/>
              <w:rPr>
                <w:rFonts w:ascii="Times New Roman" w:hAnsi="Times New Roman"/>
                <w:b/>
                <w:bCs/>
                <w:kern w:val="36"/>
                <w:sz w:val="24"/>
                <w:lang w:val="pt-BR"/>
              </w:rPr>
            </w:pPr>
            <w:r w:rsidRPr="009A5E96">
              <w:rPr>
                <w:rFonts w:ascii="Times New Roman" w:hAnsi="Times New Roman"/>
                <w:b/>
                <w:bCs/>
                <w:kern w:val="36"/>
                <w:sz w:val="24"/>
                <w:lang w:val="pt-BR"/>
              </w:rPr>
              <w:t>CONTEXTO</w:t>
            </w:r>
          </w:p>
        </w:tc>
        <w:tc>
          <w:tcPr>
            <w:tcW w:w="1559" w:type="dxa"/>
          </w:tcPr>
          <w:p w14:paraId="3275AE7C" w14:textId="77777777" w:rsidR="009A5E96" w:rsidRPr="009A5E96" w:rsidRDefault="009A5E96" w:rsidP="009A5E96">
            <w:pPr>
              <w:spacing w:before="60" w:after="60"/>
              <w:jc w:val="left"/>
              <w:rPr>
                <w:rFonts w:ascii="Times New Roman" w:hAnsi="Times New Roman"/>
                <w:b/>
                <w:bCs/>
                <w:kern w:val="36"/>
                <w:sz w:val="24"/>
                <w:lang w:val="pt-BR"/>
              </w:rPr>
            </w:pPr>
            <w:r w:rsidRPr="009A5E96">
              <w:rPr>
                <w:rFonts w:ascii="Times New Roman" w:hAnsi="Times New Roman"/>
                <w:b/>
                <w:bCs/>
                <w:kern w:val="36"/>
                <w:sz w:val="24"/>
                <w:lang w:val="pt-BR"/>
              </w:rPr>
              <w:t>1 – 5</w:t>
            </w:r>
          </w:p>
        </w:tc>
      </w:tr>
      <w:tr w:rsidR="009A5E96" w:rsidRPr="009A5E96" w14:paraId="1DE93AF3" w14:textId="77777777" w:rsidTr="00C94060">
        <w:tc>
          <w:tcPr>
            <w:tcW w:w="7196" w:type="dxa"/>
          </w:tcPr>
          <w:p w14:paraId="6E2EB3A6" w14:textId="77777777" w:rsidR="009A5E96" w:rsidRPr="009A5E96" w:rsidRDefault="009A5E96" w:rsidP="009A5E96">
            <w:pPr>
              <w:spacing w:before="60" w:after="60"/>
              <w:jc w:val="left"/>
              <w:rPr>
                <w:rFonts w:ascii="Times New Roman" w:hAnsi="Times New Roman"/>
                <w:b/>
                <w:bCs/>
                <w:kern w:val="36"/>
                <w:sz w:val="24"/>
                <w:lang w:val="pt-BR"/>
              </w:rPr>
            </w:pPr>
            <w:r w:rsidRPr="009A5E96">
              <w:rPr>
                <w:rFonts w:ascii="Times New Roman" w:hAnsi="Times New Roman"/>
                <w:b/>
                <w:bCs/>
                <w:kern w:val="36"/>
                <w:sz w:val="24"/>
                <w:lang w:val="pt-BR"/>
              </w:rPr>
              <w:t>ALCANCE</w:t>
            </w:r>
          </w:p>
        </w:tc>
        <w:tc>
          <w:tcPr>
            <w:tcW w:w="1559" w:type="dxa"/>
          </w:tcPr>
          <w:p w14:paraId="10AED334" w14:textId="77777777" w:rsidR="009A5E96" w:rsidRPr="009A5E96" w:rsidRDefault="009A5E96" w:rsidP="009A5E96">
            <w:pPr>
              <w:spacing w:before="60" w:after="60"/>
              <w:jc w:val="left"/>
              <w:rPr>
                <w:rFonts w:ascii="Times New Roman" w:hAnsi="Times New Roman"/>
                <w:b/>
                <w:bCs/>
                <w:kern w:val="36"/>
                <w:sz w:val="24"/>
                <w:lang w:val="pt-BR"/>
              </w:rPr>
            </w:pPr>
            <w:r w:rsidRPr="009A5E96">
              <w:rPr>
                <w:rFonts w:ascii="Times New Roman" w:hAnsi="Times New Roman"/>
                <w:b/>
                <w:bCs/>
                <w:kern w:val="36"/>
                <w:sz w:val="24"/>
                <w:lang w:val="pt-BR"/>
              </w:rPr>
              <w:t>6 – 7</w:t>
            </w:r>
          </w:p>
        </w:tc>
      </w:tr>
      <w:tr w:rsidR="009A5E96" w:rsidRPr="009A5E96" w14:paraId="7B40A0D4" w14:textId="77777777" w:rsidTr="00C94060">
        <w:tc>
          <w:tcPr>
            <w:tcW w:w="7196" w:type="dxa"/>
          </w:tcPr>
          <w:p w14:paraId="17873394" w14:textId="77777777" w:rsidR="009A5E96" w:rsidRPr="009A5E96" w:rsidRDefault="009A5E96" w:rsidP="009A5E96">
            <w:pPr>
              <w:spacing w:before="60" w:after="60"/>
              <w:jc w:val="left"/>
              <w:rPr>
                <w:rFonts w:ascii="Times New Roman" w:hAnsi="Times New Roman"/>
                <w:b/>
                <w:bCs/>
                <w:kern w:val="36"/>
                <w:sz w:val="24"/>
                <w:lang w:val="pt-BR"/>
              </w:rPr>
            </w:pPr>
            <w:r w:rsidRPr="009A5E96">
              <w:rPr>
                <w:rFonts w:ascii="Times New Roman" w:hAnsi="Times New Roman"/>
                <w:b/>
                <w:bCs/>
                <w:kern w:val="36"/>
                <w:sz w:val="24"/>
                <w:lang w:val="pt-BR"/>
              </w:rPr>
              <w:t>QUESTÃO</w:t>
            </w:r>
          </w:p>
        </w:tc>
        <w:tc>
          <w:tcPr>
            <w:tcW w:w="1559" w:type="dxa"/>
            <w:vAlign w:val="center"/>
          </w:tcPr>
          <w:p w14:paraId="38D26A31" w14:textId="77777777" w:rsidR="009A5E96" w:rsidRPr="009A5E96" w:rsidRDefault="009A5E96" w:rsidP="009A5E96">
            <w:pPr>
              <w:spacing w:before="60" w:after="60"/>
              <w:jc w:val="left"/>
              <w:rPr>
                <w:rFonts w:ascii="Times New Roman" w:hAnsi="Times New Roman"/>
                <w:b/>
                <w:bCs/>
                <w:kern w:val="36"/>
                <w:sz w:val="24"/>
                <w:lang w:val="pt-BR"/>
              </w:rPr>
            </w:pPr>
            <w:r w:rsidRPr="009A5E96">
              <w:rPr>
                <w:rFonts w:ascii="Times New Roman" w:hAnsi="Times New Roman"/>
                <w:b/>
                <w:bCs/>
                <w:kern w:val="36"/>
                <w:sz w:val="24"/>
                <w:lang w:val="pt-BR"/>
              </w:rPr>
              <w:t>8</w:t>
            </w:r>
          </w:p>
        </w:tc>
      </w:tr>
      <w:tr w:rsidR="009A5E96" w:rsidRPr="009A5E96" w14:paraId="4F251ADB" w14:textId="77777777" w:rsidTr="00C94060">
        <w:tc>
          <w:tcPr>
            <w:tcW w:w="7196" w:type="dxa"/>
          </w:tcPr>
          <w:p w14:paraId="7966ECB5" w14:textId="77777777" w:rsidR="009A5E96" w:rsidRPr="009A5E96" w:rsidRDefault="009A5E96" w:rsidP="009A5E96">
            <w:pPr>
              <w:spacing w:before="60" w:after="60"/>
              <w:jc w:val="left"/>
              <w:rPr>
                <w:rFonts w:ascii="Times New Roman" w:hAnsi="Times New Roman"/>
                <w:b/>
                <w:bCs/>
                <w:kern w:val="36"/>
                <w:sz w:val="24"/>
                <w:lang w:val="pt-BR"/>
              </w:rPr>
            </w:pPr>
            <w:r w:rsidRPr="009A5E96">
              <w:rPr>
                <w:rFonts w:ascii="Times New Roman" w:hAnsi="Times New Roman"/>
                <w:b/>
                <w:bCs/>
                <w:kern w:val="36"/>
                <w:sz w:val="24"/>
                <w:lang w:val="pt-BR"/>
              </w:rPr>
              <w:t>CONSENSO</w:t>
            </w:r>
          </w:p>
        </w:tc>
        <w:tc>
          <w:tcPr>
            <w:tcW w:w="1559" w:type="dxa"/>
            <w:vAlign w:val="center"/>
          </w:tcPr>
          <w:p w14:paraId="7C93DA28" w14:textId="77777777" w:rsidR="009A5E96" w:rsidRPr="009A5E96" w:rsidRDefault="009A5E96" w:rsidP="009A5E96">
            <w:pPr>
              <w:spacing w:before="60" w:after="60"/>
              <w:jc w:val="left"/>
              <w:rPr>
                <w:rFonts w:ascii="Times New Roman" w:hAnsi="Times New Roman"/>
                <w:b/>
                <w:bCs/>
                <w:kern w:val="36"/>
                <w:sz w:val="24"/>
                <w:lang w:val="pt-BR"/>
              </w:rPr>
            </w:pPr>
            <w:r w:rsidRPr="009A5E96">
              <w:rPr>
                <w:rFonts w:ascii="Times New Roman" w:hAnsi="Times New Roman"/>
                <w:b/>
                <w:bCs/>
                <w:kern w:val="36"/>
                <w:sz w:val="24"/>
                <w:lang w:val="pt-BR"/>
              </w:rPr>
              <w:t>9</w:t>
            </w:r>
          </w:p>
        </w:tc>
      </w:tr>
      <w:tr w:rsidR="009A5E96" w:rsidRPr="009A5E96" w14:paraId="1628FDF5" w14:textId="77777777" w:rsidTr="00C94060">
        <w:tc>
          <w:tcPr>
            <w:tcW w:w="7196" w:type="dxa"/>
          </w:tcPr>
          <w:p w14:paraId="5D8413CE" w14:textId="77777777" w:rsidR="009A5E96" w:rsidRPr="009A5E96" w:rsidRDefault="009A5E96" w:rsidP="009A5E96">
            <w:pPr>
              <w:spacing w:before="60" w:after="60"/>
              <w:jc w:val="left"/>
              <w:rPr>
                <w:rFonts w:ascii="Times New Roman" w:hAnsi="Times New Roman"/>
                <w:b/>
                <w:bCs/>
                <w:kern w:val="36"/>
                <w:sz w:val="24"/>
                <w:lang w:val="pt-BR"/>
              </w:rPr>
            </w:pPr>
            <w:r w:rsidRPr="009A5E96">
              <w:rPr>
                <w:rFonts w:ascii="Times New Roman" w:hAnsi="Times New Roman"/>
                <w:b/>
                <w:bCs/>
                <w:kern w:val="36"/>
                <w:sz w:val="24"/>
                <w:lang w:val="pt-BR"/>
              </w:rPr>
              <w:t>VIGÊNCIA</w:t>
            </w:r>
          </w:p>
        </w:tc>
        <w:tc>
          <w:tcPr>
            <w:tcW w:w="1559" w:type="dxa"/>
            <w:vAlign w:val="center"/>
          </w:tcPr>
          <w:p w14:paraId="2EF8B448" w14:textId="77777777" w:rsidR="009A5E96" w:rsidRPr="009A5E96" w:rsidRDefault="009A5E96" w:rsidP="009A5E96">
            <w:pPr>
              <w:spacing w:before="60" w:after="60"/>
              <w:jc w:val="left"/>
              <w:rPr>
                <w:rFonts w:ascii="Times New Roman" w:hAnsi="Times New Roman"/>
                <w:b/>
                <w:bCs/>
                <w:kern w:val="36"/>
                <w:sz w:val="24"/>
                <w:lang w:val="pt-BR"/>
              </w:rPr>
            </w:pPr>
            <w:r w:rsidRPr="009A5E96">
              <w:rPr>
                <w:rFonts w:ascii="Times New Roman" w:hAnsi="Times New Roman"/>
                <w:b/>
                <w:bCs/>
                <w:kern w:val="36"/>
                <w:sz w:val="24"/>
                <w:lang w:val="pt-BR"/>
              </w:rPr>
              <w:t>10</w:t>
            </w:r>
          </w:p>
        </w:tc>
      </w:tr>
    </w:tbl>
    <w:p w14:paraId="5379A88F" w14:textId="77777777" w:rsidR="009A5E96" w:rsidRPr="00A37E7F" w:rsidRDefault="009A5E96" w:rsidP="009A5E96">
      <w:pPr>
        <w:spacing w:before="40" w:after="40"/>
        <w:rPr>
          <w:rFonts w:ascii="Times New Roman" w:hAnsi="Times New Roman"/>
          <w:b/>
          <w:sz w:val="24"/>
          <w:lang w:val="pt-BR"/>
        </w:rPr>
      </w:pPr>
    </w:p>
    <w:p w14:paraId="7D4450FC" w14:textId="77777777" w:rsidR="009A5E96" w:rsidRPr="00A37E7F" w:rsidRDefault="009A5E96" w:rsidP="009A5E96">
      <w:pPr>
        <w:spacing w:before="40" w:after="40"/>
        <w:rPr>
          <w:rFonts w:ascii="Times New Roman" w:hAnsi="Times New Roman"/>
          <w:b/>
          <w:sz w:val="24"/>
          <w:lang w:val="pt-BR"/>
        </w:rPr>
      </w:pPr>
    </w:p>
    <w:p w14:paraId="40E3C7FC" w14:textId="77777777" w:rsidR="009A5E96" w:rsidRPr="00A37E7F" w:rsidRDefault="009A5E96" w:rsidP="009A5E96">
      <w:pPr>
        <w:widowControl w:val="0"/>
        <w:tabs>
          <w:tab w:val="left" w:pos="6804"/>
        </w:tabs>
        <w:spacing w:before="0" w:after="0"/>
        <w:ind w:left="57" w:right="57"/>
        <w:rPr>
          <w:rFonts w:ascii="Times New Roman" w:hAnsi="Times New Roman"/>
          <w:b/>
          <w:sz w:val="24"/>
          <w:lang w:val="pt-BR"/>
        </w:rPr>
      </w:pPr>
    </w:p>
    <w:p w14:paraId="7D7BF2DF" w14:textId="77777777" w:rsidR="009A5E96" w:rsidRPr="00A37E7F" w:rsidRDefault="009A5E96" w:rsidP="009A5E96">
      <w:pPr>
        <w:widowControl w:val="0"/>
        <w:tabs>
          <w:tab w:val="left" w:pos="6804"/>
        </w:tabs>
        <w:spacing w:before="0" w:after="0"/>
        <w:ind w:left="57" w:right="57"/>
        <w:rPr>
          <w:rFonts w:ascii="Times New Roman" w:hAnsi="Times New Roman"/>
          <w:b/>
          <w:sz w:val="24"/>
          <w:lang w:val="pt-BR"/>
        </w:rPr>
      </w:pPr>
    </w:p>
    <w:p w14:paraId="17215D89" w14:textId="77777777" w:rsidR="009A5E96" w:rsidRPr="00A37E7F" w:rsidRDefault="009A5E96" w:rsidP="009A5E96">
      <w:pPr>
        <w:widowControl w:val="0"/>
        <w:tabs>
          <w:tab w:val="left" w:pos="6804"/>
        </w:tabs>
        <w:spacing w:before="0" w:after="0"/>
        <w:ind w:left="57" w:right="57"/>
        <w:rPr>
          <w:rFonts w:ascii="Times New Roman" w:hAnsi="Times New Roman"/>
          <w:b/>
          <w:sz w:val="24"/>
          <w:lang w:val="pt-BR"/>
        </w:rPr>
      </w:pPr>
      <w:r w:rsidRPr="00A37E7F">
        <w:rPr>
          <w:rFonts w:ascii="Times New Roman" w:hAnsi="Times New Roman"/>
          <w:b/>
          <w:sz w:val="24"/>
          <w:lang w:val="pt-BR"/>
        </w:rPr>
        <w:t>Referências</w:t>
      </w:r>
    </w:p>
    <w:p w14:paraId="760E0272" w14:textId="77777777" w:rsidR="009A5E96" w:rsidRPr="00A37E7F" w:rsidRDefault="009A5E96" w:rsidP="009A5E96">
      <w:pPr>
        <w:widowControl w:val="0"/>
        <w:tabs>
          <w:tab w:val="left" w:pos="6804"/>
        </w:tabs>
        <w:spacing w:before="0" w:after="0"/>
        <w:ind w:left="57" w:right="57"/>
        <w:rPr>
          <w:rFonts w:ascii="Times New Roman" w:hAnsi="Times New Roman"/>
          <w:b/>
          <w:sz w:val="24"/>
          <w:lang w:val="pt-BR"/>
        </w:rPr>
      </w:pPr>
    </w:p>
    <w:p w14:paraId="1280B9AA" w14:textId="77777777" w:rsidR="009A5E96" w:rsidRPr="009A5E96" w:rsidRDefault="009A5E96" w:rsidP="009A5E96">
      <w:pPr>
        <w:widowControl w:val="0"/>
        <w:numPr>
          <w:ilvl w:val="0"/>
          <w:numId w:val="2"/>
        </w:numPr>
        <w:spacing w:before="0" w:after="0"/>
        <w:ind w:right="57"/>
        <w:rPr>
          <w:rFonts w:ascii="Times New Roman" w:hAnsi="Times New Roman"/>
          <w:color w:val="000000"/>
          <w:sz w:val="24"/>
          <w:lang w:val="pt-BR"/>
        </w:rPr>
      </w:pPr>
      <w:r w:rsidRPr="00A37E7F">
        <w:rPr>
          <w:rFonts w:ascii="Times New Roman" w:hAnsi="Times New Roman"/>
          <w:color w:val="000000"/>
          <w:sz w:val="24"/>
          <w:lang w:val="pt-BR"/>
        </w:rPr>
        <w:t>Pronunciamento Técnico CPC 23 – Políticas Contábeis, Mudança de Estimativa e Retificação de</w:t>
      </w:r>
      <w:r w:rsidRPr="009A5E96">
        <w:rPr>
          <w:rFonts w:ascii="Times New Roman" w:hAnsi="Times New Roman"/>
          <w:color w:val="000000"/>
          <w:sz w:val="24"/>
          <w:lang w:val="pt-BR"/>
        </w:rPr>
        <w:t xml:space="preserve"> Erro</w:t>
      </w:r>
    </w:p>
    <w:p w14:paraId="6F5F781C" w14:textId="77777777" w:rsidR="009A5E96" w:rsidRPr="009A5E96" w:rsidRDefault="009A5E96" w:rsidP="009A5E96">
      <w:pPr>
        <w:widowControl w:val="0"/>
        <w:numPr>
          <w:ilvl w:val="0"/>
          <w:numId w:val="2"/>
        </w:numPr>
        <w:spacing w:before="0" w:after="0"/>
        <w:ind w:right="57"/>
        <w:rPr>
          <w:rFonts w:ascii="Times New Roman" w:hAnsi="Times New Roman"/>
          <w:color w:val="000000"/>
          <w:sz w:val="24"/>
          <w:lang w:val="pt-BR"/>
        </w:rPr>
      </w:pPr>
      <w:r w:rsidRPr="009A5E96">
        <w:rPr>
          <w:rFonts w:ascii="Times New Roman" w:hAnsi="Times New Roman"/>
          <w:color w:val="000000"/>
          <w:sz w:val="24"/>
          <w:lang w:val="pt-BR"/>
        </w:rPr>
        <w:t>Pronunciamento Técnico CPC 25 – Provisões, Passivos Contingentes e Ativos Contingentes</w:t>
      </w:r>
    </w:p>
    <w:p w14:paraId="3C8FC3B5" w14:textId="77777777" w:rsidR="009A5E96" w:rsidRPr="009A5E96" w:rsidRDefault="009A5E96" w:rsidP="009A5E96">
      <w:pPr>
        <w:widowControl w:val="0"/>
        <w:spacing w:before="0" w:after="0"/>
        <w:ind w:left="360" w:right="57"/>
        <w:rPr>
          <w:rFonts w:ascii="Times New Roman" w:hAnsi="Times New Roman"/>
          <w:color w:val="000000"/>
          <w:sz w:val="24"/>
          <w:lang w:val="pt-BR"/>
        </w:rPr>
      </w:pPr>
    </w:p>
    <w:p w14:paraId="5BE047AF" w14:textId="77777777" w:rsidR="00A37E7F" w:rsidRDefault="00A37E7F">
      <w:pPr>
        <w:spacing w:before="0" w:after="160" w:line="259" w:lineRule="auto"/>
        <w:jc w:val="left"/>
        <w:rPr>
          <w:rFonts w:ascii="Times New Roman" w:hAnsi="Times New Roman"/>
          <w:b/>
          <w:sz w:val="28"/>
          <w:szCs w:val="28"/>
          <w:lang w:val="pt-BR"/>
        </w:rPr>
      </w:pPr>
      <w:r>
        <w:rPr>
          <w:rFonts w:ascii="Times New Roman" w:hAnsi="Times New Roman"/>
          <w:b/>
          <w:sz w:val="28"/>
          <w:szCs w:val="28"/>
          <w:lang w:val="pt-BR"/>
        </w:rPr>
        <w:br w:type="page"/>
      </w:r>
    </w:p>
    <w:p w14:paraId="7253C234" w14:textId="2C6939EF" w:rsidR="009A5E96" w:rsidRPr="009A5E96" w:rsidRDefault="009A5E96" w:rsidP="009A5E96">
      <w:pPr>
        <w:widowControl w:val="0"/>
        <w:tabs>
          <w:tab w:val="left" w:pos="6804"/>
        </w:tabs>
        <w:spacing w:before="0" w:after="0"/>
        <w:ind w:left="57" w:right="57"/>
        <w:rPr>
          <w:rFonts w:ascii="Times New Roman" w:hAnsi="Times New Roman"/>
          <w:b/>
          <w:sz w:val="28"/>
          <w:szCs w:val="28"/>
          <w:lang w:val="pt-BR"/>
        </w:rPr>
      </w:pPr>
      <w:r w:rsidRPr="009A5E96">
        <w:rPr>
          <w:rFonts w:ascii="Times New Roman" w:hAnsi="Times New Roman"/>
          <w:b/>
          <w:sz w:val="28"/>
          <w:szCs w:val="28"/>
          <w:lang w:val="pt-BR"/>
        </w:rPr>
        <w:lastRenderedPageBreak/>
        <w:t>Introdução</w:t>
      </w:r>
    </w:p>
    <w:p w14:paraId="124E41B9" w14:textId="77777777" w:rsidR="009A5E96" w:rsidRPr="009A5E96" w:rsidRDefault="009A5E96" w:rsidP="009A5E96">
      <w:pPr>
        <w:widowControl w:val="0"/>
        <w:tabs>
          <w:tab w:val="left" w:pos="6804"/>
        </w:tabs>
        <w:spacing w:before="0" w:after="0"/>
        <w:ind w:left="709" w:right="57" w:hanging="709"/>
        <w:rPr>
          <w:rFonts w:ascii="Times New Roman" w:hAnsi="Times New Roman"/>
          <w:color w:val="000000"/>
          <w:sz w:val="24"/>
          <w:lang w:val="pt-BR"/>
        </w:rPr>
      </w:pPr>
    </w:p>
    <w:p w14:paraId="5F3C215C" w14:textId="77777777" w:rsidR="009A5E96" w:rsidRPr="009A5E96" w:rsidRDefault="009A5E96" w:rsidP="009A5E96">
      <w:pPr>
        <w:widowControl w:val="0"/>
        <w:tabs>
          <w:tab w:val="left" w:pos="6804"/>
        </w:tabs>
        <w:spacing w:before="0" w:after="0"/>
        <w:ind w:left="709" w:right="57" w:hanging="709"/>
        <w:rPr>
          <w:rFonts w:ascii="Times New Roman" w:hAnsi="Times New Roman"/>
          <w:color w:val="000000"/>
          <w:sz w:val="24"/>
          <w:lang w:val="pt-BR"/>
        </w:rPr>
      </w:pPr>
      <w:r w:rsidRPr="009A5E96">
        <w:rPr>
          <w:rFonts w:ascii="Times New Roman" w:hAnsi="Times New Roman"/>
          <w:color w:val="000000"/>
          <w:sz w:val="24"/>
          <w:lang w:val="pt-BR"/>
        </w:rPr>
        <w:t xml:space="preserve">IN1. </w:t>
      </w:r>
      <w:r w:rsidRPr="009A5E96">
        <w:rPr>
          <w:rFonts w:ascii="Times New Roman" w:hAnsi="Times New Roman"/>
          <w:color w:val="000000"/>
          <w:sz w:val="24"/>
          <w:lang w:val="pt-BR"/>
        </w:rPr>
        <w:tab/>
        <w:t xml:space="preserve">A Interpretação IFRIC 6 foi emitida pelo </w:t>
      </w:r>
      <w:r w:rsidRPr="009A5E96">
        <w:rPr>
          <w:rFonts w:ascii="Times New Roman" w:hAnsi="Times New Roman"/>
          <w:i/>
          <w:color w:val="000000"/>
          <w:sz w:val="24"/>
          <w:lang w:val="pt-BR"/>
        </w:rPr>
        <w:t>International Accounting Standards Board</w:t>
      </w:r>
      <w:r w:rsidRPr="009A5E96">
        <w:rPr>
          <w:rFonts w:ascii="Times New Roman" w:hAnsi="Times New Roman"/>
          <w:color w:val="000000"/>
          <w:sz w:val="24"/>
          <w:lang w:val="pt-BR"/>
        </w:rPr>
        <w:t xml:space="preserve"> (IASB) para uma situação específica da União Europeia. Ocorre que muitas empresas brasileiras que têm investimentos societários naquela região precisam aplicá-la, e suas investidoras no Brasil precisam reconhecer seus efeitos para fins de equivalência patrimonial e consolidação das demonstrações contábeis. Por isso o Comitê de Pronunciamentos Contábeis (CPC) deliberou emitir a presente Interpretação em total conformidade com sua versão original.</w:t>
      </w:r>
    </w:p>
    <w:p w14:paraId="20D8A762" w14:textId="77777777" w:rsidR="009A5E96" w:rsidRPr="009A5E96" w:rsidRDefault="009A5E96" w:rsidP="009A5E96">
      <w:pPr>
        <w:widowControl w:val="0"/>
        <w:tabs>
          <w:tab w:val="left" w:pos="6804"/>
        </w:tabs>
        <w:spacing w:before="0" w:after="0"/>
        <w:ind w:left="709" w:right="57" w:hanging="709"/>
        <w:rPr>
          <w:rFonts w:ascii="Times New Roman" w:hAnsi="Times New Roman"/>
          <w:color w:val="000000"/>
          <w:sz w:val="24"/>
          <w:lang w:val="pt-BR"/>
        </w:rPr>
      </w:pPr>
    </w:p>
    <w:p w14:paraId="329A0FBA" w14:textId="77777777" w:rsidR="009A5E96" w:rsidRPr="009A5E96" w:rsidRDefault="009A5E96" w:rsidP="009A5E96">
      <w:pPr>
        <w:widowControl w:val="0"/>
        <w:tabs>
          <w:tab w:val="left" w:pos="6804"/>
        </w:tabs>
        <w:spacing w:before="0" w:after="0"/>
        <w:ind w:left="709" w:right="57" w:hanging="709"/>
        <w:rPr>
          <w:rFonts w:ascii="Times New Roman" w:hAnsi="Times New Roman"/>
          <w:color w:val="000000"/>
          <w:sz w:val="24"/>
          <w:lang w:val="pt-BR"/>
        </w:rPr>
      </w:pPr>
      <w:r w:rsidRPr="009A5E96">
        <w:rPr>
          <w:rFonts w:ascii="Times New Roman" w:hAnsi="Times New Roman"/>
          <w:color w:val="000000"/>
          <w:sz w:val="24"/>
          <w:lang w:val="pt-BR"/>
        </w:rPr>
        <w:t xml:space="preserve">IN2. </w:t>
      </w:r>
      <w:r w:rsidRPr="009A5E96">
        <w:rPr>
          <w:rFonts w:ascii="Times New Roman" w:hAnsi="Times New Roman"/>
          <w:color w:val="000000"/>
          <w:sz w:val="24"/>
          <w:lang w:val="pt-BR"/>
        </w:rPr>
        <w:tab/>
        <w:t xml:space="preserve">Além do comentado no item anterior, podem ocorrer situações que se assemelhem a essas discutidas pela Interpretação em outras regiões, inclusive no Brasil. Os princípios básicos contidos nesta Interpretação também servem como fundamento para o registro contábil dessas situações. </w:t>
      </w:r>
    </w:p>
    <w:p w14:paraId="5B5A2417" w14:textId="77777777" w:rsidR="009A5E96" w:rsidRPr="00B627B5" w:rsidRDefault="009A5E96" w:rsidP="009A5E96">
      <w:pPr>
        <w:widowControl w:val="0"/>
        <w:tabs>
          <w:tab w:val="left" w:pos="6804"/>
        </w:tabs>
        <w:spacing w:before="0" w:after="0"/>
        <w:ind w:left="57" w:right="57"/>
        <w:rPr>
          <w:rFonts w:ascii="Times New Roman" w:hAnsi="Times New Roman"/>
          <w:bCs/>
          <w:sz w:val="24"/>
          <w:lang w:val="pt-BR"/>
        </w:rPr>
      </w:pPr>
    </w:p>
    <w:p w14:paraId="2C27782C" w14:textId="77777777" w:rsidR="009A5E96" w:rsidRPr="009A5E96" w:rsidRDefault="009A5E96" w:rsidP="009A5E96">
      <w:pPr>
        <w:widowControl w:val="0"/>
        <w:tabs>
          <w:tab w:val="left" w:pos="6804"/>
        </w:tabs>
        <w:spacing w:before="0" w:after="0"/>
        <w:ind w:left="709" w:right="57" w:hanging="709"/>
        <w:rPr>
          <w:rFonts w:ascii="Times New Roman" w:hAnsi="Times New Roman"/>
          <w:color w:val="000000"/>
          <w:sz w:val="24"/>
          <w:lang w:val="pt-BR"/>
        </w:rPr>
      </w:pPr>
      <w:r w:rsidRPr="009A5E96">
        <w:rPr>
          <w:rFonts w:ascii="Times New Roman" w:hAnsi="Times New Roman"/>
          <w:b/>
          <w:sz w:val="28"/>
          <w:szCs w:val="28"/>
          <w:lang w:val="pt-BR"/>
        </w:rPr>
        <w:t>Contexto</w:t>
      </w:r>
    </w:p>
    <w:p w14:paraId="013A0675" w14:textId="77777777" w:rsidR="009A5E96" w:rsidRPr="009A5E96" w:rsidRDefault="009A5E96" w:rsidP="009A5E96">
      <w:pPr>
        <w:widowControl w:val="0"/>
        <w:tabs>
          <w:tab w:val="left" w:pos="6804"/>
        </w:tabs>
        <w:spacing w:before="0" w:after="0"/>
        <w:ind w:left="709" w:right="57" w:hanging="709"/>
        <w:rPr>
          <w:rFonts w:ascii="Times New Roman" w:hAnsi="Times New Roman"/>
          <w:color w:val="000000"/>
          <w:sz w:val="24"/>
          <w:lang w:val="pt-BR"/>
        </w:rPr>
      </w:pPr>
    </w:p>
    <w:p w14:paraId="2A165B25" w14:textId="77777777" w:rsidR="009A5E96" w:rsidRPr="009A5E96" w:rsidRDefault="009A5E96" w:rsidP="009A5E96">
      <w:pPr>
        <w:widowControl w:val="0"/>
        <w:tabs>
          <w:tab w:val="left" w:pos="6804"/>
        </w:tabs>
        <w:spacing w:before="0" w:after="0"/>
        <w:ind w:left="709" w:right="57" w:hanging="709"/>
        <w:rPr>
          <w:rFonts w:ascii="Times New Roman" w:hAnsi="Times New Roman"/>
          <w:color w:val="000000"/>
          <w:sz w:val="24"/>
          <w:lang w:val="pt-BR"/>
        </w:rPr>
      </w:pPr>
      <w:r w:rsidRPr="009A5E96">
        <w:rPr>
          <w:rFonts w:ascii="Times New Roman" w:hAnsi="Times New Roman"/>
          <w:color w:val="000000"/>
          <w:sz w:val="24"/>
          <w:lang w:val="pt-BR"/>
        </w:rPr>
        <w:t>1.</w:t>
      </w:r>
      <w:r w:rsidRPr="009A5E96">
        <w:rPr>
          <w:rFonts w:ascii="Times New Roman" w:hAnsi="Times New Roman"/>
          <w:color w:val="000000"/>
          <w:sz w:val="24"/>
          <w:lang w:val="pt-BR"/>
        </w:rPr>
        <w:tab/>
        <w:t xml:space="preserve">O item 17 do Pronunciamento Técnico CPC 25 especifica que um evento que cria obrigação é um evento passado que cria uma obrigação presente, para o qual a entidade não tenha alternativa realista senão liquidar a obrigação criada pelo evento. </w:t>
      </w:r>
    </w:p>
    <w:p w14:paraId="36B36D77" w14:textId="77777777" w:rsidR="009A5E96" w:rsidRPr="009A5E96" w:rsidRDefault="009A5E96" w:rsidP="009A5E96">
      <w:pPr>
        <w:widowControl w:val="0"/>
        <w:tabs>
          <w:tab w:val="left" w:pos="6804"/>
        </w:tabs>
        <w:spacing w:before="0" w:after="0"/>
        <w:ind w:left="709" w:right="57" w:hanging="709"/>
        <w:rPr>
          <w:rFonts w:ascii="Times New Roman" w:hAnsi="Times New Roman"/>
          <w:color w:val="000000"/>
          <w:sz w:val="24"/>
          <w:lang w:val="pt-BR"/>
        </w:rPr>
      </w:pPr>
    </w:p>
    <w:p w14:paraId="1C7B371A" w14:textId="77777777" w:rsidR="009A5E96" w:rsidRPr="009A5E96" w:rsidRDefault="009A5E96" w:rsidP="009A5E96">
      <w:pPr>
        <w:widowControl w:val="0"/>
        <w:tabs>
          <w:tab w:val="left" w:pos="6804"/>
        </w:tabs>
        <w:spacing w:before="0" w:after="0"/>
        <w:ind w:left="709" w:right="57" w:hanging="709"/>
        <w:rPr>
          <w:rFonts w:ascii="Times New Roman" w:hAnsi="Times New Roman"/>
          <w:color w:val="000000"/>
          <w:sz w:val="24"/>
          <w:lang w:val="pt-BR"/>
        </w:rPr>
      </w:pPr>
      <w:r w:rsidRPr="009A5E96">
        <w:rPr>
          <w:rFonts w:ascii="Times New Roman" w:hAnsi="Times New Roman"/>
          <w:color w:val="000000"/>
          <w:sz w:val="24"/>
          <w:lang w:val="pt-BR"/>
        </w:rPr>
        <w:t>2.</w:t>
      </w:r>
      <w:r w:rsidRPr="009A5E96">
        <w:rPr>
          <w:rFonts w:ascii="Times New Roman" w:hAnsi="Times New Roman"/>
          <w:color w:val="000000"/>
          <w:sz w:val="24"/>
          <w:lang w:val="pt-BR"/>
        </w:rPr>
        <w:tab/>
        <w:t>O item 19 do Pronunciamento Técnico CPC 25 afirma que as provisões devem ser reconhecidas apenas para “obrigações que surgem de eventos passados que existam independentemente de ações futuras da entidade”.</w:t>
      </w:r>
    </w:p>
    <w:p w14:paraId="3DFD998B" w14:textId="77777777" w:rsidR="009A5E96" w:rsidRPr="009A5E96" w:rsidRDefault="009A5E96" w:rsidP="009A5E96">
      <w:pPr>
        <w:widowControl w:val="0"/>
        <w:tabs>
          <w:tab w:val="left" w:pos="6804"/>
        </w:tabs>
        <w:spacing w:before="0" w:after="0"/>
        <w:ind w:left="709" w:right="57" w:hanging="709"/>
        <w:rPr>
          <w:rFonts w:ascii="Times New Roman" w:hAnsi="Times New Roman"/>
          <w:color w:val="000000"/>
          <w:sz w:val="24"/>
          <w:lang w:val="pt-BR"/>
        </w:rPr>
      </w:pPr>
    </w:p>
    <w:p w14:paraId="44F82CB5" w14:textId="77777777" w:rsidR="009A5E96" w:rsidRPr="009A5E96" w:rsidRDefault="009A5E96" w:rsidP="009A5E96">
      <w:pPr>
        <w:widowControl w:val="0"/>
        <w:tabs>
          <w:tab w:val="left" w:pos="6804"/>
        </w:tabs>
        <w:spacing w:before="0" w:after="0"/>
        <w:ind w:left="709" w:right="57" w:hanging="709"/>
        <w:rPr>
          <w:rFonts w:ascii="Times New Roman" w:hAnsi="Times New Roman"/>
          <w:color w:val="000000"/>
          <w:sz w:val="24"/>
          <w:lang w:val="pt-BR"/>
        </w:rPr>
      </w:pPr>
      <w:r w:rsidRPr="009A5E96">
        <w:rPr>
          <w:rFonts w:ascii="Times New Roman" w:hAnsi="Times New Roman"/>
          <w:color w:val="000000"/>
          <w:sz w:val="24"/>
          <w:lang w:val="pt-BR"/>
        </w:rPr>
        <w:t>3.</w:t>
      </w:r>
      <w:r w:rsidRPr="009A5E96">
        <w:rPr>
          <w:rFonts w:ascii="Times New Roman" w:hAnsi="Times New Roman"/>
          <w:color w:val="000000"/>
          <w:sz w:val="24"/>
          <w:lang w:val="pt-BR"/>
        </w:rPr>
        <w:tab/>
        <w:t>A Diretiva da União Europeia sobre Resíduos de Equipamentos Eletroeletrônicos, que regulamenta coleta, tratamento, recuperação e descarte ambientalmente sólido de resíduos de equipamentos naquela região, originou questões sobre quando o passivo pela desativação, segundo aquela Diretiva deve ser reconhecido. A Diretiva distingue entre resíduos “novos” e “históricos” e entre resíduos provenientes de residências privadas e resíduos de fontes diferentes de residências privadas. Resíduos novos estão relacionados a produtos vendidos após uma determinada data (13 de agosto de 2005). Todos os equipamentos residenciais vendidos antes dessa data são considerados como originários de resíduos históricos, para as finalidades da Diretiva.</w:t>
      </w:r>
    </w:p>
    <w:p w14:paraId="7FD7F2F8" w14:textId="77777777" w:rsidR="009A5E96" w:rsidRPr="009A5E96" w:rsidRDefault="009A5E96" w:rsidP="009A5E96">
      <w:pPr>
        <w:widowControl w:val="0"/>
        <w:tabs>
          <w:tab w:val="left" w:pos="6804"/>
        </w:tabs>
        <w:spacing w:before="0" w:after="0"/>
        <w:ind w:left="709" w:right="57" w:hanging="709"/>
        <w:rPr>
          <w:rFonts w:ascii="Times New Roman" w:hAnsi="Times New Roman"/>
          <w:color w:val="000000"/>
          <w:sz w:val="24"/>
          <w:lang w:val="pt-BR"/>
        </w:rPr>
      </w:pPr>
    </w:p>
    <w:p w14:paraId="1A90FE6B" w14:textId="77777777" w:rsidR="009A5E96" w:rsidRPr="009A5E96" w:rsidRDefault="009A5E96" w:rsidP="009A5E96">
      <w:pPr>
        <w:widowControl w:val="0"/>
        <w:tabs>
          <w:tab w:val="left" w:pos="6804"/>
        </w:tabs>
        <w:spacing w:before="0" w:after="0"/>
        <w:ind w:left="709" w:right="57" w:hanging="709"/>
        <w:rPr>
          <w:rFonts w:ascii="Times New Roman" w:hAnsi="Times New Roman"/>
          <w:color w:val="000000"/>
          <w:sz w:val="24"/>
          <w:lang w:val="pt-BR"/>
        </w:rPr>
      </w:pPr>
      <w:r w:rsidRPr="009A5E96">
        <w:rPr>
          <w:rFonts w:ascii="Times New Roman" w:hAnsi="Times New Roman"/>
          <w:color w:val="000000"/>
          <w:sz w:val="24"/>
          <w:lang w:val="pt-BR"/>
        </w:rPr>
        <w:t>4.</w:t>
      </w:r>
      <w:r w:rsidRPr="009A5E96">
        <w:rPr>
          <w:rFonts w:ascii="Times New Roman" w:hAnsi="Times New Roman"/>
          <w:color w:val="000000"/>
          <w:sz w:val="24"/>
          <w:lang w:val="pt-BR"/>
        </w:rPr>
        <w:tab/>
        <w:t xml:space="preserve">A Diretiva afirma que o custo de gerenciamento de resíduos para equipamentos residenciais históricos deve ser suportado pelos fabricantes desse tipo de equipamento que estiverem no mercado durante um período a ser especificado na legislação aplicável de cada país-membro (o período de mensuração). A Diretiva declara que cada país-membro estabelecerá um mecanismo para que os fabricantes contribuam com os custos de forma proporcional, “ou seja, na proporção de sua respectiva participação de mercado por tipo de equipamento”. </w:t>
      </w:r>
    </w:p>
    <w:p w14:paraId="477D1F1F" w14:textId="77777777" w:rsidR="009A5E96" w:rsidRPr="009A5E96" w:rsidRDefault="009A5E96" w:rsidP="009A5E96">
      <w:pPr>
        <w:widowControl w:val="0"/>
        <w:tabs>
          <w:tab w:val="left" w:pos="6804"/>
        </w:tabs>
        <w:spacing w:before="0" w:after="0"/>
        <w:ind w:left="709" w:right="57" w:hanging="709"/>
        <w:rPr>
          <w:rFonts w:ascii="Times New Roman" w:hAnsi="Times New Roman"/>
          <w:color w:val="000000"/>
          <w:sz w:val="24"/>
          <w:lang w:val="pt-BR"/>
        </w:rPr>
      </w:pPr>
    </w:p>
    <w:p w14:paraId="261FB058" w14:textId="77777777" w:rsidR="009A5E96" w:rsidRPr="009A5E96" w:rsidRDefault="009A5E96" w:rsidP="009A5E96">
      <w:pPr>
        <w:widowControl w:val="0"/>
        <w:tabs>
          <w:tab w:val="left" w:pos="6804"/>
        </w:tabs>
        <w:spacing w:before="0" w:after="0"/>
        <w:ind w:left="709" w:right="57" w:hanging="709"/>
        <w:rPr>
          <w:rFonts w:ascii="Times New Roman" w:hAnsi="Times New Roman"/>
          <w:color w:val="000000"/>
          <w:sz w:val="24"/>
          <w:lang w:val="pt-BR"/>
        </w:rPr>
      </w:pPr>
      <w:r w:rsidRPr="009A5E96">
        <w:rPr>
          <w:rFonts w:ascii="Times New Roman" w:hAnsi="Times New Roman"/>
          <w:color w:val="000000"/>
          <w:sz w:val="24"/>
          <w:lang w:val="pt-BR"/>
        </w:rPr>
        <w:t>5.</w:t>
      </w:r>
      <w:r w:rsidRPr="009A5E96">
        <w:rPr>
          <w:rFonts w:ascii="Times New Roman" w:hAnsi="Times New Roman"/>
          <w:color w:val="000000"/>
          <w:sz w:val="24"/>
          <w:lang w:val="pt-BR"/>
        </w:rPr>
        <w:tab/>
        <w:t xml:space="preserve">Diversos termos usados na Interpretação, tais como “participação de mercado” e “período de mensuração”, podem ser definidos de forma diferente na legislação de cada país-membro. Por exemplo, a duração do período de mensuração pode ser de um ano ou de apenas um mês. Similarmente, a mensuração da participação de mercado e as fórmulas para calcular a obrigação </w:t>
      </w:r>
      <w:r w:rsidRPr="009A5E96">
        <w:rPr>
          <w:rFonts w:ascii="Times New Roman" w:hAnsi="Times New Roman"/>
          <w:color w:val="000000"/>
          <w:sz w:val="24"/>
          <w:lang w:val="pt-BR"/>
        </w:rPr>
        <w:lastRenderedPageBreak/>
        <w:t>podem ser diferentes nas legislações de cada país. Entretanto, esses exemplos afetam somente a mensuração do passivo, que não faz parte do alcance da Interpretação.</w:t>
      </w:r>
    </w:p>
    <w:p w14:paraId="28BCEFC5" w14:textId="77777777" w:rsidR="009A5E96" w:rsidRPr="00B627B5" w:rsidRDefault="009A5E96" w:rsidP="009A5E96">
      <w:pPr>
        <w:widowControl w:val="0"/>
        <w:tabs>
          <w:tab w:val="left" w:pos="6804"/>
        </w:tabs>
        <w:spacing w:before="0" w:after="0"/>
        <w:ind w:left="709" w:right="57" w:hanging="709"/>
        <w:rPr>
          <w:rFonts w:ascii="Times New Roman" w:hAnsi="Times New Roman"/>
          <w:bCs/>
          <w:sz w:val="24"/>
          <w:lang w:val="pt-BR"/>
        </w:rPr>
      </w:pPr>
    </w:p>
    <w:p w14:paraId="73471D33" w14:textId="77777777" w:rsidR="009A5E96" w:rsidRPr="009A5E96" w:rsidRDefault="009A5E96" w:rsidP="009A5E96">
      <w:pPr>
        <w:widowControl w:val="0"/>
        <w:tabs>
          <w:tab w:val="left" w:pos="6804"/>
        </w:tabs>
        <w:spacing w:before="0" w:after="0"/>
        <w:ind w:left="709" w:right="57" w:hanging="709"/>
        <w:rPr>
          <w:rFonts w:ascii="Times New Roman" w:hAnsi="Times New Roman"/>
          <w:b/>
          <w:sz w:val="28"/>
          <w:szCs w:val="28"/>
          <w:lang w:val="pt-BR"/>
        </w:rPr>
      </w:pPr>
      <w:r w:rsidRPr="009A5E96">
        <w:rPr>
          <w:rFonts w:ascii="Times New Roman" w:hAnsi="Times New Roman"/>
          <w:b/>
          <w:sz w:val="28"/>
          <w:szCs w:val="28"/>
          <w:lang w:val="pt-BR"/>
        </w:rPr>
        <w:t>Alcance</w:t>
      </w:r>
    </w:p>
    <w:p w14:paraId="0A38160E" w14:textId="77777777" w:rsidR="009A5E96" w:rsidRPr="00B627B5" w:rsidRDefault="009A5E96" w:rsidP="009A5E96">
      <w:pPr>
        <w:widowControl w:val="0"/>
        <w:tabs>
          <w:tab w:val="left" w:pos="6804"/>
        </w:tabs>
        <w:spacing w:before="0" w:after="0"/>
        <w:ind w:left="709" w:right="57" w:hanging="709"/>
        <w:rPr>
          <w:rFonts w:ascii="Times New Roman" w:hAnsi="Times New Roman"/>
          <w:bCs/>
          <w:sz w:val="24"/>
          <w:lang w:val="pt-BR"/>
        </w:rPr>
      </w:pPr>
    </w:p>
    <w:p w14:paraId="24B2D98D" w14:textId="77777777" w:rsidR="009A5E96" w:rsidRPr="009A5E96" w:rsidRDefault="009A5E96" w:rsidP="009A5E96">
      <w:pPr>
        <w:spacing w:before="0" w:after="0"/>
        <w:ind w:left="780" w:hanging="780"/>
        <w:rPr>
          <w:rFonts w:ascii="Times New Roman" w:hAnsi="Times New Roman"/>
          <w:snapToGrid w:val="0"/>
          <w:sz w:val="24"/>
          <w:lang w:val="pt-BR"/>
        </w:rPr>
      </w:pPr>
      <w:r w:rsidRPr="009A5E96">
        <w:rPr>
          <w:rFonts w:ascii="Times New Roman" w:hAnsi="Times New Roman"/>
          <w:snapToGrid w:val="0"/>
          <w:sz w:val="24"/>
          <w:lang w:val="pt-BR"/>
        </w:rPr>
        <w:t>6.</w:t>
      </w:r>
      <w:r w:rsidRPr="009A5E96">
        <w:rPr>
          <w:rFonts w:ascii="Times New Roman" w:hAnsi="Times New Roman"/>
          <w:snapToGrid w:val="0"/>
          <w:sz w:val="24"/>
          <w:lang w:val="pt-BR"/>
        </w:rPr>
        <w:tab/>
        <w:t>Esta Interpretação fornece orientação sobre o reconhecimento, nas demonstrações contábeis de fabricantes, de passivos por gerenciamento de resíduos previstos na Diretiva da União Europeia sobre Resíduos de Equipamentos Eletroeletrônicos em relação às vendas de equipamentos residenciais históricos.</w:t>
      </w:r>
    </w:p>
    <w:p w14:paraId="7C50AE1E" w14:textId="77777777" w:rsidR="009A5E96" w:rsidRPr="009A5E96" w:rsidRDefault="009A5E96" w:rsidP="009A5E96">
      <w:pPr>
        <w:spacing w:before="0" w:after="0"/>
        <w:jc w:val="right"/>
        <w:rPr>
          <w:rFonts w:ascii="Times New Roman" w:hAnsi="Times New Roman"/>
          <w:i/>
          <w:snapToGrid w:val="0"/>
          <w:sz w:val="24"/>
          <w:lang w:val="pt-BR"/>
        </w:rPr>
      </w:pPr>
    </w:p>
    <w:p w14:paraId="3E34A212" w14:textId="77777777" w:rsidR="009A5E96" w:rsidRPr="009A5E96" w:rsidRDefault="009A5E96" w:rsidP="009A5E96">
      <w:pPr>
        <w:spacing w:before="0" w:after="0"/>
        <w:ind w:left="780" w:hanging="780"/>
        <w:rPr>
          <w:rFonts w:ascii="Times New Roman" w:hAnsi="Times New Roman"/>
          <w:snapToGrid w:val="0"/>
          <w:sz w:val="24"/>
          <w:lang w:val="pt-BR"/>
        </w:rPr>
      </w:pPr>
      <w:r w:rsidRPr="009A5E96">
        <w:rPr>
          <w:rFonts w:ascii="Times New Roman" w:hAnsi="Times New Roman"/>
          <w:snapToGrid w:val="0"/>
          <w:sz w:val="24"/>
          <w:lang w:val="pt-BR"/>
        </w:rPr>
        <w:t>7.</w:t>
      </w:r>
      <w:r w:rsidRPr="009A5E96">
        <w:rPr>
          <w:rFonts w:ascii="Times New Roman" w:hAnsi="Times New Roman"/>
          <w:snapToGrid w:val="0"/>
          <w:sz w:val="24"/>
          <w:lang w:val="pt-BR"/>
        </w:rPr>
        <w:tab/>
        <w:t xml:space="preserve">A Interpretação não trata de resíduos novos nem de perdas históricas provenientes de fontes que não sejam residências privadas. O passivo por esse gerenciamento de resíduos está adequadamente coberto pelo Pronunciamento Técnico CPC 25. Entretanto, se na legislação local os novos resíduos provenientes de residências privadas forem tratados de forma similar aos resíduos históricos provenientes de residências privadas, os princípios da Interpretação se aplicam por referência à hierarquia nos itens </w:t>
      </w:r>
      <w:smartTag w:uri="urn:schemas-microsoft-com:office:smarttags" w:element="metricconverter">
        <w:smartTagPr>
          <w:attr w:name="ProductID" w:val="10 a"/>
        </w:smartTagPr>
        <w:r w:rsidRPr="009A5E96">
          <w:rPr>
            <w:rFonts w:ascii="Times New Roman" w:hAnsi="Times New Roman"/>
            <w:snapToGrid w:val="0"/>
            <w:sz w:val="24"/>
            <w:lang w:val="pt-BR"/>
          </w:rPr>
          <w:t>10 a</w:t>
        </w:r>
      </w:smartTag>
      <w:r w:rsidRPr="009A5E96">
        <w:rPr>
          <w:rFonts w:ascii="Times New Roman" w:hAnsi="Times New Roman"/>
          <w:snapToGrid w:val="0"/>
          <w:sz w:val="24"/>
          <w:lang w:val="pt-BR"/>
        </w:rPr>
        <w:t xml:space="preserve"> 12 do Pronunciamento Técnico CPC 23.  A hierarquia do Pronunciamento Técnico CPC 23 também é relevante para outros regulamentos que impõem obrigações, de forma que é similar ao modelo de atribuição de custo especificado na referida Diretiva.</w:t>
      </w:r>
    </w:p>
    <w:p w14:paraId="043A590B" w14:textId="77777777" w:rsidR="009A5E96" w:rsidRPr="00700572" w:rsidRDefault="009A5E96" w:rsidP="009A5E96">
      <w:pPr>
        <w:widowControl w:val="0"/>
        <w:tabs>
          <w:tab w:val="left" w:pos="6804"/>
        </w:tabs>
        <w:spacing w:before="0" w:after="0"/>
        <w:ind w:left="709" w:right="57" w:hanging="709"/>
        <w:rPr>
          <w:rFonts w:ascii="Times New Roman" w:hAnsi="Times New Roman"/>
          <w:bCs/>
          <w:sz w:val="24"/>
          <w:lang w:val="pt-BR"/>
        </w:rPr>
      </w:pPr>
    </w:p>
    <w:p w14:paraId="4D76BFEE" w14:textId="77777777" w:rsidR="009A5E96" w:rsidRPr="009A5E96" w:rsidRDefault="009A5E96" w:rsidP="009A5E96">
      <w:pPr>
        <w:widowControl w:val="0"/>
        <w:tabs>
          <w:tab w:val="left" w:pos="6804"/>
        </w:tabs>
        <w:spacing w:before="0" w:after="0"/>
        <w:ind w:left="709" w:right="57" w:hanging="709"/>
        <w:rPr>
          <w:rFonts w:ascii="Times New Roman" w:hAnsi="Times New Roman"/>
          <w:b/>
          <w:sz w:val="28"/>
          <w:szCs w:val="28"/>
          <w:lang w:val="pt-BR"/>
        </w:rPr>
      </w:pPr>
      <w:r w:rsidRPr="009A5E96">
        <w:rPr>
          <w:rFonts w:ascii="Times New Roman" w:hAnsi="Times New Roman"/>
          <w:b/>
          <w:sz w:val="28"/>
          <w:szCs w:val="28"/>
          <w:lang w:val="pt-BR"/>
        </w:rPr>
        <w:t>Questão</w:t>
      </w:r>
    </w:p>
    <w:p w14:paraId="5FADEB7F" w14:textId="77777777" w:rsidR="009A5E96" w:rsidRPr="00700572" w:rsidRDefault="009A5E96" w:rsidP="009A5E96">
      <w:pPr>
        <w:spacing w:before="0" w:after="0"/>
        <w:ind w:left="780" w:hanging="780"/>
        <w:rPr>
          <w:rFonts w:ascii="Times New Roman" w:hAnsi="Times New Roman"/>
          <w:iCs/>
          <w:snapToGrid w:val="0"/>
          <w:sz w:val="24"/>
          <w:lang w:val="pt-BR"/>
        </w:rPr>
      </w:pPr>
    </w:p>
    <w:p w14:paraId="2E303F67" w14:textId="77777777" w:rsidR="009A5E96" w:rsidRPr="009A5E96" w:rsidRDefault="009A5E96" w:rsidP="009A5E96">
      <w:pPr>
        <w:spacing w:before="0" w:after="0"/>
        <w:ind w:left="780" w:hanging="780"/>
        <w:rPr>
          <w:rFonts w:ascii="Times New Roman" w:hAnsi="Times New Roman"/>
          <w:snapToGrid w:val="0"/>
          <w:sz w:val="24"/>
          <w:lang w:val="pt-BR"/>
        </w:rPr>
      </w:pPr>
      <w:r w:rsidRPr="009A5E96">
        <w:rPr>
          <w:rFonts w:ascii="Times New Roman" w:hAnsi="Times New Roman"/>
          <w:snapToGrid w:val="0"/>
          <w:sz w:val="24"/>
          <w:lang w:val="pt-BR"/>
        </w:rPr>
        <w:t>8.</w:t>
      </w:r>
      <w:r w:rsidRPr="009A5E96">
        <w:rPr>
          <w:rFonts w:ascii="Times New Roman" w:hAnsi="Times New Roman"/>
          <w:snapToGrid w:val="0"/>
          <w:sz w:val="24"/>
          <w:lang w:val="pt-BR"/>
        </w:rPr>
        <w:tab/>
        <w:t>A Interpretação foi elaborada para determinar, no contexto da desativação prevista na Diretiva da União Europeia sobre Resíduos de Equipamentos Eletroeletrônicos, o que constitui o fato gerador da obrigação, de acordo com o item 14(a) do Pronunciamento Técnico CPC 25, para o reconhecimento de provisão para custos de gerenciamento de resíduos:</w:t>
      </w:r>
    </w:p>
    <w:p w14:paraId="0BFD2B36" w14:textId="77777777" w:rsidR="009A5E96" w:rsidRPr="009A5E96" w:rsidRDefault="009A5E96" w:rsidP="009A5E96">
      <w:pPr>
        <w:spacing w:before="0" w:after="0"/>
        <w:ind w:left="780" w:hanging="780"/>
        <w:rPr>
          <w:rFonts w:ascii="Times New Roman" w:hAnsi="Times New Roman"/>
          <w:snapToGrid w:val="0"/>
          <w:sz w:val="24"/>
          <w:lang w:val="pt-BR"/>
        </w:rPr>
      </w:pPr>
    </w:p>
    <w:p w14:paraId="0A6F7376" w14:textId="77777777" w:rsidR="009A5E96" w:rsidRPr="009A5E96" w:rsidRDefault="009A5E96" w:rsidP="009A5E96">
      <w:pPr>
        <w:widowControl w:val="0"/>
        <w:numPr>
          <w:ilvl w:val="1"/>
          <w:numId w:val="2"/>
        </w:numPr>
        <w:spacing w:before="0" w:after="0"/>
        <w:ind w:right="57"/>
        <w:rPr>
          <w:rFonts w:ascii="Times New Roman" w:hAnsi="Times New Roman"/>
          <w:color w:val="000000"/>
          <w:sz w:val="24"/>
          <w:lang w:val="pt-BR"/>
        </w:rPr>
      </w:pPr>
      <w:r w:rsidRPr="009A5E96">
        <w:rPr>
          <w:rFonts w:ascii="Times New Roman" w:hAnsi="Times New Roman"/>
          <w:color w:val="000000"/>
          <w:sz w:val="24"/>
          <w:lang w:val="pt-BR"/>
        </w:rPr>
        <w:t>a fabricação ou venda de equipamentos domésticos históricos?</w:t>
      </w:r>
    </w:p>
    <w:p w14:paraId="70AD3C39" w14:textId="5FD33870" w:rsidR="009A5E96" w:rsidRPr="009A5E96" w:rsidRDefault="009A5E96" w:rsidP="009A5E96">
      <w:pPr>
        <w:widowControl w:val="0"/>
        <w:numPr>
          <w:ilvl w:val="1"/>
          <w:numId w:val="2"/>
        </w:numPr>
        <w:spacing w:before="0" w:after="0"/>
        <w:ind w:right="57"/>
        <w:rPr>
          <w:rFonts w:ascii="Times New Roman" w:hAnsi="Times New Roman"/>
          <w:color w:val="000000"/>
          <w:sz w:val="24"/>
          <w:lang w:val="pt-BR"/>
        </w:rPr>
      </w:pPr>
      <w:r w:rsidRPr="009A5E96">
        <w:rPr>
          <w:rFonts w:ascii="Times New Roman" w:hAnsi="Times New Roman"/>
          <w:color w:val="000000"/>
          <w:sz w:val="24"/>
          <w:lang w:val="pt-BR"/>
        </w:rPr>
        <w:t>a participação no mercado durante o período de mensuração?</w:t>
      </w:r>
    </w:p>
    <w:p w14:paraId="40EC460D" w14:textId="2C74E391" w:rsidR="009A5E96" w:rsidRPr="009A5E96" w:rsidRDefault="009A5E96" w:rsidP="009A5E96">
      <w:pPr>
        <w:widowControl w:val="0"/>
        <w:numPr>
          <w:ilvl w:val="1"/>
          <w:numId w:val="2"/>
        </w:numPr>
        <w:spacing w:before="0" w:after="0"/>
        <w:ind w:right="57"/>
        <w:rPr>
          <w:rFonts w:ascii="Times New Roman" w:hAnsi="Times New Roman"/>
          <w:color w:val="000000"/>
          <w:sz w:val="24"/>
          <w:lang w:val="pt-BR"/>
        </w:rPr>
      </w:pPr>
      <w:r w:rsidRPr="009A5E96">
        <w:rPr>
          <w:rFonts w:ascii="Times New Roman" w:hAnsi="Times New Roman"/>
          <w:color w:val="000000"/>
          <w:sz w:val="24"/>
          <w:lang w:val="pt-BR"/>
        </w:rPr>
        <w:t>a não ocorrência de custos na realização de atividades de gerenciamento de resíduos?</w:t>
      </w:r>
    </w:p>
    <w:p w14:paraId="43483791" w14:textId="77777777" w:rsidR="009A5E96" w:rsidRPr="00700572" w:rsidRDefault="009A5E96" w:rsidP="009A5E96">
      <w:pPr>
        <w:widowControl w:val="0"/>
        <w:tabs>
          <w:tab w:val="left" w:pos="6804"/>
        </w:tabs>
        <w:spacing w:before="0" w:after="0"/>
        <w:ind w:left="709" w:right="57" w:hanging="709"/>
        <w:rPr>
          <w:rFonts w:ascii="Times New Roman" w:hAnsi="Times New Roman"/>
          <w:bCs/>
          <w:sz w:val="24"/>
          <w:lang w:val="pt-BR"/>
        </w:rPr>
      </w:pPr>
    </w:p>
    <w:p w14:paraId="44887D28" w14:textId="77777777" w:rsidR="009A5E96" w:rsidRPr="009A5E96" w:rsidRDefault="009A5E96" w:rsidP="009A5E96">
      <w:pPr>
        <w:widowControl w:val="0"/>
        <w:tabs>
          <w:tab w:val="left" w:pos="6804"/>
        </w:tabs>
        <w:spacing w:before="0" w:after="0"/>
        <w:ind w:left="709" w:right="57" w:hanging="709"/>
        <w:rPr>
          <w:rFonts w:ascii="Times New Roman" w:hAnsi="Times New Roman"/>
          <w:sz w:val="24"/>
          <w:lang w:val="pt-BR"/>
        </w:rPr>
      </w:pPr>
      <w:r w:rsidRPr="009A5E96">
        <w:rPr>
          <w:rFonts w:ascii="Times New Roman" w:hAnsi="Times New Roman"/>
          <w:b/>
          <w:sz w:val="28"/>
          <w:szCs w:val="28"/>
          <w:lang w:val="pt-BR"/>
        </w:rPr>
        <w:t>Consenso</w:t>
      </w:r>
    </w:p>
    <w:p w14:paraId="43364C4F" w14:textId="77777777" w:rsidR="009A5E96" w:rsidRPr="009A5E96" w:rsidRDefault="009A5E96" w:rsidP="00700572">
      <w:pPr>
        <w:spacing w:before="0" w:after="0"/>
        <w:rPr>
          <w:rFonts w:ascii="Times New Roman" w:hAnsi="Times New Roman"/>
          <w:i/>
          <w:snapToGrid w:val="0"/>
          <w:sz w:val="24"/>
          <w:lang w:val="pt-BR"/>
        </w:rPr>
      </w:pPr>
    </w:p>
    <w:p w14:paraId="151A584E" w14:textId="3D8DE699" w:rsidR="009A5E96" w:rsidRDefault="009A5E96" w:rsidP="009A5E96">
      <w:pPr>
        <w:spacing w:before="0" w:after="0"/>
        <w:ind w:left="780" w:hanging="780"/>
        <w:rPr>
          <w:rFonts w:ascii="Times New Roman" w:hAnsi="Times New Roman"/>
          <w:snapToGrid w:val="0"/>
          <w:sz w:val="24"/>
          <w:lang w:val="pt-BR"/>
        </w:rPr>
      </w:pPr>
      <w:r w:rsidRPr="009A5E96">
        <w:rPr>
          <w:rFonts w:ascii="Times New Roman" w:hAnsi="Times New Roman"/>
          <w:snapToGrid w:val="0"/>
          <w:sz w:val="24"/>
          <w:lang w:val="pt-BR"/>
        </w:rPr>
        <w:t>9.</w:t>
      </w:r>
      <w:r w:rsidRPr="009A5E96">
        <w:rPr>
          <w:rFonts w:ascii="Times New Roman" w:hAnsi="Times New Roman"/>
          <w:snapToGrid w:val="0"/>
          <w:sz w:val="24"/>
          <w:lang w:val="pt-BR"/>
        </w:rPr>
        <w:tab/>
        <w:t>A participação no mercado durante o período de mensuração é o fato gerador da obrigação, de acordo com o item 14(a) do Pronunciamento Técnico CPC 25. Como consequência, o passivo por custos de gerenciamento de resíduos para equipamentos domésticos históricos não surge quando os produtos são fabricados ou vendidos. Como a obrigação por equipamentos domésticos históricos está vinculada à participação no mercado durante o período de mensuração e, não, à produção ou venda dos itens a serem alienados, não há nenhuma obrigação, exceto e até que exista uma participação de mercado durante o período de mensuração. A época do fato gerador também pode ser independente do período específico no qual as atividades para realizar o gerenciamento de resíduos são empreendidas e os custos relacionados incorridos.</w:t>
      </w:r>
    </w:p>
    <w:p w14:paraId="07D44DEF" w14:textId="77777777" w:rsidR="00700572" w:rsidRPr="009A5E96" w:rsidRDefault="00700572" w:rsidP="009A5E96">
      <w:pPr>
        <w:spacing w:before="0" w:after="0"/>
        <w:ind w:left="780" w:hanging="780"/>
        <w:rPr>
          <w:rFonts w:ascii="Times New Roman" w:hAnsi="Times New Roman"/>
          <w:snapToGrid w:val="0"/>
          <w:sz w:val="24"/>
          <w:lang w:val="pt-BR"/>
        </w:rPr>
      </w:pPr>
    </w:p>
    <w:p w14:paraId="79B80F3E" w14:textId="77777777" w:rsidR="00AC4B32" w:rsidRDefault="00AC4B32">
      <w:pPr>
        <w:spacing w:before="0" w:after="160" w:line="259" w:lineRule="auto"/>
        <w:jc w:val="left"/>
        <w:rPr>
          <w:rFonts w:ascii="Times New Roman" w:hAnsi="Times New Roman"/>
          <w:b/>
          <w:sz w:val="28"/>
          <w:szCs w:val="28"/>
          <w:lang w:val="pt-BR"/>
        </w:rPr>
      </w:pPr>
      <w:r>
        <w:rPr>
          <w:rFonts w:ascii="Times New Roman" w:hAnsi="Times New Roman"/>
          <w:b/>
          <w:sz w:val="28"/>
          <w:szCs w:val="28"/>
          <w:lang w:val="pt-BR"/>
        </w:rPr>
        <w:br w:type="page"/>
      </w:r>
    </w:p>
    <w:p w14:paraId="4021780F" w14:textId="78AC013A" w:rsidR="009A5E96" w:rsidRPr="009A5E96" w:rsidRDefault="009A5E96" w:rsidP="009A5E96">
      <w:pPr>
        <w:widowControl w:val="0"/>
        <w:tabs>
          <w:tab w:val="left" w:pos="6804"/>
        </w:tabs>
        <w:spacing w:before="0" w:after="0"/>
        <w:ind w:left="709" w:right="57" w:hanging="709"/>
        <w:rPr>
          <w:rFonts w:ascii="Times New Roman" w:hAnsi="Times New Roman"/>
          <w:b/>
          <w:sz w:val="28"/>
          <w:szCs w:val="28"/>
          <w:lang w:val="pt-BR"/>
        </w:rPr>
      </w:pPr>
      <w:r w:rsidRPr="009A5E96">
        <w:rPr>
          <w:rFonts w:ascii="Times New Roman" w:hAnsi="Times New Roman"/>
          <w:b/>
          <w:sz w:val="28"/>
          <w:szCs w:val="28"/>
          <w:lang w:val="pt-BR"/>
        </w:rPr>
        <w:lastRenderedPageBreak/>
        <w:t>Vigência</w:t>
      </w:r>
    </w:p>
    <w:p w14:paraId="5F07BA21" w14:textId="77777777" w:rsidR="009A5E96" w:rsidRPr="009A5E96" w:rsidRDefault="009A5E96" w:rsidP="00700572">
      <w:pPr>
        <w:spacing w:before="0" w:after="0"/>
        <w:rPr>
          <w:rFonts w:ascii="Times New Roman" w:hAnsi="Times New Roman"/>
          <w:i/>
          <w:snapToGrid w:val="0"/>
          <w:sz w:val="24"/>
          <w:lang w:val="pt-BR"/>
        </w:rPr>
      </w:pPr>
    </w:p>
    <w:p w14:paraId="467C664B" w14:textId="77777777" w:rsidR="009A5E96" w:rsidRPr="009A5E96" w:rsidRDefault="009A5E96" w:rsidP="009A5E96">
      <w:pPr>
        <w:spacing w:before="0" w:after="0"/>
        <w:ind w:left="780" w:hanging="780"/>
        <w:rPr>
          <w:rFonts w:ascii="Times New Roman" w:hAnsi="Times New Roman"/>
          <w:i/>
          <w:snapToGrid w:val="0"/>
          <w:sz w:val="24"/>
          <w:lang w:val="pt-BR"/>
        </w:rPr>
      </w:pPr>
      <w:r w:rsidRPr="009A5E96">
        <w:rPr>
          <w:rFonts w:ascii="Times New Roman" w:hAnsi="Times New Roman"/>
          <w:snapToGrid w:val="0"/>
          <w:sz w:val="24"/>
          <w:lang w:val="pt-BR"/>
        </w:rPr>
        <w:t>10.</w:t>
      </w:r>
      <w:r w:rsidRPr="009A5E96">
        <w:rPr>
          <w:rFonts w:ascii="Times New Roman" w:hAnsi="Times New Roman"/>
          <w:snapToGrid w:val="0"/>
          <w:sz w:val="24"/>
          <w:lang w:val="pt-BR"/>
        </w:rPr>
        <w:tab/>
        <w:t>Esta Interpretação deve ser aplicada em conjunto com a adoção inicial do Pronunciamento Técnico CPC 25.</w:t>
      </w:r>
      <w:r w:rsidRPr="009A5E96">
        <w:rPr>
          <w:rFonts w:ascii="Times New Roman" w:hAnsi="Times New Roman"/>
          <w:i/>
          <w:snapToGrid w:val="0"/>
          <w:sz w:val="24"/>
          <w:lang w:val="pt-BR"/>
        </w:rPr>
        <w:t xml:space="preserve"> </w:t>
      </w:r>
    </w:p>
    <w:p w14:paraId="2D6D3113" w14:textId="77777777" w:rsidR="009A5E96" w:rsidRPr="009A5E96" w:rsidRDefault="009A5E96" w:rsidP="009A5E96">
      <w:pPr>
        <w:widowControl w:val="0"/>
        <w:tabs>
          <w:tab w:val="left" w:pos="6804"/>
        </w:tabs>
        <w:spacing w:before="0" w:after="0"/>
        <w:ind w:left="709" w:right="57" w:hanging="709"/>
        <w:rPr>
          <w:rFonts w:ascii="Times New Roman" w:hAnsi="Times New Roman"/>
          <w:color w:val="000000"/>
          <w:sz w:val="24"/>
          <w:lang w:val="pt-BR"/>
        </w:rPr>
      </w:pPr>
    </w:p>
    <w:p w14:paraId="2C5A7000" w14:textId="286C3877" w:rsidR="00C578D8" w:rsidRDefault="00C578D8">
      <w:pPr>
        <w:rPr>
          <w:lang w:val="pt-BR"/>
        </w:rPr>
      </w:pPr>
    </w:p>
    <w:p w14:paraId="5ABEFC5B" w14:textId="77777777" w:rsidR="00273211" w:rsidRPr="0096648A" w:rsidRDefault="00273211">
      <w:pPr>
        <w:rPr>
          <w:lang w:val="pt-BR"/>
        </w:rPr>
      </w:pPr>
    </w:p>
    <w:sectPr w:rsidR="00273211" w:rsidRPr="0096648A" w:rsidSect="00A21437">
      <w:headerReference w:type="default" r:id="rId11"/>
      <w:footerReference w:type="even" r:id="rId12"/>
      <w:footerReference w:type="default" r:id="rId13"/>
      <w:headerReference w:type="first" r:id="rId14"/>
      <w:footerReference w:type="first" r:id="rId15"/>
      <w:pgSz w:w="11907" w:h="16840" w:code="9"/>
      <w:pgMar w:top="2268" w:right="567" w:bottom="851" w:left="1134" w:header="720" w:footer="6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94DAA9" w14:textId="77777777" w:rsidR="00311835" w:rsidRDefault="00311835" w:rsidP="0096648A">
      <w:pPr>
        <w:spacing w:before="0" w:after="0"/>
      </w:pPr>
      <w:r>
        <w:separator/>
      </w:r>
    </w:p>
  </w:endnote>
  <w:endnote w:type="continuationSeparator" w:id="0">
    <w:p w14:paraId="3D30DE6C" w14:textId="77777777" w:rsidR="00311835" w:rsidRDefault="00311835" w:rsidP="009664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3"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Optimum">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FDD0" w14:textId="77777777" w:rsidR="00D76E29" w:rsidRDefault="0084434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3FD24D" w14:textId="77777777" w:rsidR="00D76E29" w:rsidRDefault="00765824">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Cs w:val="20"/>
      </w:rPr>
      <w:id w:val="233443539"/>
      <w:docPartObj>
        <w:docPartGallery w:val="Page Numbers (Bottom of Page)"/>
        <w:docPartUnique/>
      </w:docPartObj>
    </w:sdtPr>
    <w:sdtEndPr/>
    <w:sdtContent>
      <w:p w14:paraId="4E8AE55F" w14:textId="51EC6E1F" w:rsidR="00AB3649" w:rsidRPr="00AB3649" w:rsidRDefault="00AB3649">
        <w:pPr>
          <w:pStyle w:val="Rodap"/>
          <w:jc w:val="center"/>
          <w:rPr>
            <w:rFonts w:asciiTheme="minorHAnsi" w:hAnsiTheme="minorHAnsi" w:cstheme="minorHAnsi"/>
            <w:szCs w:val="20"/>
          </w:rPr>
        </w:pPr>
        <w:r w:rsidRPr="00AB3649">
          <w:rPr>
            <w:rFonts w:asciiTheme="minorHAnsi" w:hAnsiTheme="minorHAnsi" w:cstheme="minorHAnsi"/>
            <w:szCs w:val="20"/>
          </w:rPr>
          <w:fldChar w:fldCharType="begin"/>
        </w:r>
        <w:r w:rsidRPr="00AB3649">
          <w:rPr>
            <w:rFonts w:asciiTheme="minorHAnsi" w:hAnsiTheme="minorHAnsi" w:cstheme="minorHAnsi"/>
            <w:szCs w:val="20"/>
          </w:rPr>
          <w:instrText>PAGE   \* MERGEFORMAT</w:instrText>
        </w:r>
        <w:r w:rsidRPr="00AB3649">
          <w:rPr>
            <w:rFonts w:asciiTheme="minorHAnsi" w:hAnsiTheme="minorHAnsi" w:cstheme="minorHAnsi"/>
            <w:szCs w:val="20"/>
          </w:rPr>
          <w:fldChar w:fldCharType="separate"/>
        </w:r>
        <w:r w:rsidR="00765824" w:rsidRPr="00765824">
          <w:rPr>
            <w:rFonts w:asciiTheme="minorHAnsi" w:hAnsiTheme="minorHAnsi" w:cstheme="minorHAnsi"/>
            <w:noProof/>
            <w:szCs w:val="20"/>
            <w:lang w:val="pt-BR"/>
          </w:rPr>
          <w:t>2</w:t>
        </w:r>
        <w:r w:rsidRPr="00AB3649">
          <w:rPr>
            <w:rFonts w:asciiTheme="minorHAnsi" w:hAnsiTheme="minorHAnsi" w:cstheme="minorHAnsi"/>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8FC6" w14:textId="69271736" w:rsidR="00A21437" w:rsidRPr="00A21437" w:rsidRDefault="00A21437">
    <w:pPr>
      <w:pStyle w:val="Rodap"/>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7E311" w14:textId="77777777" w:rsidR="00311835" w:rsidRDefault="00311835" w:rsidP="0096648A">
      <w:pPr>
        <w:spacing w:before="0" w:after="0"/>
      </w:pPr>
      <w:r>
        <w:separator/>
      </w:r>
    </w:p>
  </w:footnote>
  <w:footnote w:type="continuationSeparator" w:id="0">
    <w:p w14:paraId="73915D2D" w14:textId="77777777" w:rsidR="00311835" w:rsidRDefault="00311835" w:rsidP="0096648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2A5FC" w14:textId="77777777" w:rsidR="00A21437" w:rsidRPr="007A1E4D" w:rsidRDefault="00A21437" w:rsidP="00A21437">
    <w:pPr>
      <w:tabs>
        <w:tab w:val="center" w:pos="4419"/>
        <w:tab w:val="right" w:pos="8838"/>
      </w:tabs>
      <w:spacing w:before="0" w:after="0"/>
      <w:jc w:val="center"/>
    </w:pPr>
    <w:r>
      <w:rPr>
        <w:noProof/>
        <w:lang w:val="pt-BR"/>
      </w:rPr>
      <w:drawing>
        <wp:inline distT="0" distB="0" distL="0" distR="0" wp14:anchorId="7D04D14D" wp14:editId="3CDE6438">
          <wp:extent cx="628650" cy="628650"/>
          <wp:effectExtent l="0" t="0" r="0" b="0"/>
          <wp:docPr id="1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7236B8A5" w14:textId="77777777" w:rsidR="00A21437" w:rsidRPr="00A21437" w:rsidRDefault="00A21437" w:rsidP="00A21437">
    <w:pPr>
      <w:spacing w:before="0" w:after="0"/>
      <w:jc w:val="center"/>
      <w:rPr>
        <w:rFonts w:asciiTheme="minorHAnsi" w:hAnsiTheme="minorHAnsi" w:cstheme="minorHAnsi"/>
        <w:b/>
        <w:sz w:val="24"/>
      </w:rPr>
    </w:pPr>
    <w:r w:rsidRPr="00A21437">
      <w:rPr>
        <w:rFonts w:asciiTheme="minorHAnsi" w:hAnsiTheme="minorHAnsi" w:cstheme="minorHAnsi"/>
        <w:b/>
        <w:sz w:val="24"/>
      </w:rPr>
      <w:t>COMISSÃO DE VALORES MOBILIÁRIOS</w:t>
    </w:r>
  </w:p>
  <w:p w14:paraId="385674C6"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Sete de Setembro, 111/2-5º e 23-34º Andares, Centro, Rio de Janeiro/RJ – CEP: 20050-901 – Brasil - Tel.: (21) 3554-8686</w:t>
    </w:r>
  </w:p>
  <w:p w14:paraId="67CA99E2"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Cincinato Braga, 340/2º, 3º e 4º Andares, Bela Vista, São Paulo/ SP – CEP: 01333-010 – Brasil - Tel.: (11) 2146-2000</w:t>
    </w:r>
  </w:p>
  <w:p w14:paraId="627E57A7"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SCN Q.02 – Bl. A – Ed. Corporate Financial Center, S.404/4º Andar, Brasília/DF – CEP: 70712-900 – Brasil -Tel.: (61) 3327-2030/2031</w:t>
    </w:r>
  </w:p>
  <w:p w14:paraId="23F598BB" w14:textId="240864E4" w:rsidR="00A21437" w:rsidRDefault="00765824" w:rsidP="00A21437">
    <w:pPr>
      <w:pStyle w:val="Cabealho"/>
      <w:spacing w:before="0" w:after="0"/>
      <w:jc w:val="center"/>
      <w:rPr>
        <w:rFonts w:asciiTheme="minorHAnsi" w:hAnsiTheme="minorHAnsi" w:cstheme="minorHAnsi"/>
        <w:sz w:val="18"/>
        <w:szCs w:val="18"/>
      </w:rPr>
    </w:pPr>
    <w:hyperlink r:id="rId2" w:history="1">
      <w:r w:rsidR="00E653D2" w:rsidRPr="00836193">
        <w:rPr>
          <w:rStyle w:val="Hyperlink"/>
          <w:rFonts w:asciiTheme="minorHAnsi" w:hAnsiTheme="minorHAnsi" w:cstheme="minorHAnsi"/>
          <w:sz w:val="18"/>
          <w:szCs w:val="18"/>
        </w:rPr>
        <w:t>www.gov.br/cvm</w:t>
      </w:r>
    </w:hyperlink>
  </w:p>
  <w:p w14:paraId="18930FD4" w14:textId="0FBEEC5D" w:rsidR="00D76E29" w:rsidRPr="00A21437" w:rsidRDefault="00765824" w:rsidP="00A21437">
    <w:pPr>
      <w:pStyle w:val="Cabealho"/>
      <w:spacing w:before="240" w:after="240"/>
      <w:rPr>
        <w:rFonts w:asciiTheme="minorHAnsi" w:hAnsiTheme="minorHAnsi" w:cstheme="minorHAnsi"/>
      </w:rPr>
    </w:pPr>
    <w:r w:rsidRPr="00765824">
      <w:rPr>
        <w:rFonts w:asciiTheme="minorHAnsi" w:hAnsiTheme="minorHAnsi" w:cstheme="minorHAnsi"/>
        <w:szCs w:val="20"/>
      </w:rPr>
      <w:t>RESOLUÇÃO CVM Nº 14</w:t>
    </w:r>
    <w:r>
      <w:rPr>
        <w:rFonts w:asciiTheme="minorHAnsi" w:hAnsiTheme="minorHAnsi" w:cstheme="minorHAnsi"/>
        <w:szCs w:val="20"/>
      </w:rPr>
      <w:t>5</w:t>
    </w:r>
    <w:r w:rsidRPr="00765824">
      <w:rPr>
        <w:rFonts w:asciiTheme="minorHAnsi" w:hAnsiTheme="minorHAnsi" w:cstheme="minorHAnsi"/>
        <w:szCs w:val="20"/>
      </w:rPr>
      <w:t>, DE 15 DE JUNHO DE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1AFD" w14:textId="77777777" w:rsidR="00DF62F3" w:rsidRPr="007A1E4D" w:rsidRDefault="00DF62F3" w:rsidP="00DF62F3">
    <w:pPr>
      <w:tabs>
        <w:tab w:val="center" w:pos="4419"/>
        <w:tab w:val="right" w:pos="8838"/>
      </w:tabs>
      <w:jc w:val="center"/>
    </w:pPr>
    <w:r>
      <w:rPr>
        <w:noProof/>
        <w:lang w:val="pt-BR"/>
      </w:rPr>
      <w:drawing>
        <wp:inline distT="0" distB="0" distL="0" distR="0" wp14:anchorId="03F737A4" wp14:editId="3E1E4ECB">
          <wp:extent cx="628650" cy="628650"/>
          <wp:effectExtent l="0" t="0" r="0" b="0"/>
          <wp:docPr id="130328818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19B1390C" w14:textId="77777777" w:rsidR="00DF62F3" w:rsidRPr="00DF62F3" w:rsidRDefault="00DF62F3" w:rsidP="00DF62F3">
    <w:pPr>
      <w:spacing w:before="0" w:after="0"/>
      <w:jc w:val="center"/>
      <w:rPr>
        <w:rFonts w:asciiTheme="minorHAnsi" w:hAnsiTheme="minorHAnsi" w:cstheme="minorHAnsi"/>
        <w:b/>
        <w:sz w:val="24"/>
      </w:rPr>
    </w:pPr>
    <w:r w:rsidRPr="00DF62F3">
      <w:rPr>
        <w:rFonts w:asciiTheme="minorHAnsi" w:hAnsiTheme="minorHAnsi" w:cstheme="minorHAnsi"/>
        <w:b/>
        <w:sz w:val="24"/>
      </w:rPr>
      <w:t>COMISSÃO DE VALORES MOBILIÁRIOS</w:t>
    </w:r>
  </w:p>
  <w:p w14:paraId="3EE652BB"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Sete de Setembro, 111/2-5º e 23-34º Andares, Centro, Rio de Janeiro/RJ – CEP: 20050-901 – Brasil - Tel.: (21) 3554-8686</w:t>
    </w:r>
  </w:p>
  <w:p w14:paraId="2500B3D1"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Cincinato Braga, 340/2º, 3º e 4º Andares, Bela Vista, São Paulo/ SP – CEP: 01333-010 – Brasil - Tel.: (11) 2146-2000</w:t>
    </w:r>
  </w:p>
  <w:p w14:paraId="26FF1146"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SCN Q.02 – Bl. A – Ed. Corporate Financial Center, S.404/4º Andar, Brasília/DF – CEP: 70712-900 – Brasil -Tel.: (61) 3327-2030/2031</w:t>
    </w:r>
  </w:p>
  <w:p w14:paraId="50D54C72" w14:textId="411AEB93" w:rsidR="00D76E29" w:rsidRDefault="00765824" w:rsidP="00DF62F3">
    <w:pPr>
      <w:pStyle w:val="Cabealho"/>
      <w:spacing w:before="0" w:after="360"/>
      <w:jc w:val="center"/>
      <w:rPr>
        <w:rFonts w:asciiTheme="minorHAnsi" w:hAnsiTheme="minorHAnsi" w:cstheme="minorHAnsi"/>
        <w:sz w:val="18"/>
        <w:szCs w:val="18"/>
      </w:rPr>
    </w:pPr>
    <w:hyperlink r:id="rId2" w:history="1">
      <w:r w:rsidR="00E653D2" w:rsidRPr="00836193">
        <w:rPr>
          <w:rStyle w:val="Hyperlink"/>
          <w:rFonts w:asciiTheme="minorHAnsi" w:hAnsiTheme="minorHAnsi" w:cstheme="minorHAnsi"/>
          <w:sz w:val="18"/>
          <w:szCs w:val="18"/>
        </w:rPr>
        <w:t>www.gov.br/cvm</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64CBF"/>
    <w:multiLevelType w:val="singleLevel"/>
    <w:tmpl w:val="2456485C"/>
    <w:lvl w:ilvl="0">
      <w:start w:val="1"/>
      <w:numFmt w:val="bullet"/>
      <w:pStyle w:val="15-BulletNvel1"/>
      <w:lvlText w:val=""/>
      <w:lvlJc w:val="left"/>
      <w:pPr>
        <w:tabs>
          <w:tab w:val="num" w:pos="360"/>
        </w:tabs>
        <w:ind w:left="360" w:hanging="360"/>
      </w:pPr>
      <w:rPr>
        <w:rFonts w:ascii="Wingdings" w:hAnsi="Wingdings" w:hint="default"/>
        <w:b w:val="0"/>
        <w:i w:val="0"/>
        <w:sz w:val="14"/>
      </w:rPr>
    </w:lvl>
  </w:abstractNum>
  <w:abstractNum w:abstractNumId="1" w15:restartNumberingAfterBreak="0">
    <w:nsid w:val="7DDA73C6"/>
    <w:multiLevelType w:val="hybridMultilevel"/>
    <w:tmpl w:val="C9683082"/>
    <w:lvl w:ilvl="0" w:tplc="04160001">
      <w:start w:val="1"/>
      <w:numFmt w:val="bullet"/>
      <w:lvlText w:val=""/>
      <w:lvlJc w:val="left"/>
      <w:pPr>
        <w:ind w:left="720" w:hanging="360"/>
      </w:pPr>
      <w:rPr>
        <w:rFonts w:ascii="Symbol" w:hAnsi="Symbol" w:hint="default"/>
      </w:rPr>
    </w:lvl>
    <w:lvl w:ilvl="1" w:tplc="04160001">
      <w:start w:val="1"/>
      <w:numFmt w:val="bullet"/>
      <w:lvlText w:val=""/>
      <w:lvlJc w:val="left"/>
      <w:pPr>
        <w:ind w:left="1440" w:hanging="360"/>
      </w:pPr>
      <w:rPr>
        <w:rFonts w:ascii="Symbol" w:hAnsi="Symbo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8A"/>
    <w:rsid w:val="00034866"/>
    <w:rsid w:val="00195A8D"/>
    <w:rsid w:val="00273211"/>
    <w:rsid w:val="00275BD2"/>
    <w:rsid w:val="00311835"/>
    <w:rsid w:val="00351463"/>
    <w:rsid w:val="005D7141"/>
    <w:rsid w:val="006260A2"/>
    <w:rsid w:val="00700572"/>
    <w:rsid w:val="00765824"/>
    <w:rsid w:val="007A61CA"/>
    <w:rsid w:val="008173AB"/>
    <w:rsid w:val="00824ACF"/>
    <w:rsid w:val="0084434F"/>
    <w:rsid w:val="0096648A"/>
    <w:rsid w:val="009A5E96"/>
    <w:rsid w:val="009D3457"/>
    <w:rsid w:val="009F72FC"/>
    <w:rsid w:val="00A21437"/>
    <w:rsid w:val="00A37E7F"/>
    <w:rsid w:val="00A92033"/>
    <w:rsid w:val="00A9794D"/>
    <w:rsid w:val="00AB3649"/>
    <w:rsid w:val="00AC4B32"/>
    <w:rsid w:val="00B627B5"/>
    <w:rsid w:val="00B7430D"/>
    <w:rsid w:val="00C578D8"/>
    <w:rsid w:val="00C72039"/>
    <w:rsid w:val="00CF08C5"/>
    <w:rsid w:val="00CF424B"/>
    <w:rsid w:val="00D410C6"/>
    <w:rsid w:val="00D54507"/>
    <w:rsid w:val="00DC26B3"/>
    <w:rsid w:val="00DE1E2E"/>
    <w:rsid w:val="00DF62F3"/>
    <w:rsid w:val="00E653D2"/>
    <w:rsid w:val="02323626"/>
    <w:rsid w:val="7D3D13BE"/>
    <w:rsid w:val="7DA455F3"/>
    <w:rsid w:val="7F92FB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7B0E1952"/>
  <w15:chartTrackingRefBased/>
  <w15:docId w15:val="{A039BEE3-6F4A-46C4-9423-3667D036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8A"/>
    <w:pPr>
      <w:spacing w:before="120" w:after="120" w:line="240" w:lineRule="auto"/>
      <w:jc w:val="both"/>
    </w:pPr>
    <w:rPr>
      <w:rFonts w:ascii="Arial" w:eastAsia="Times New Roman" w:hAnsi="Arial" w:cs="Times New Roman"/>
      <w:sz w:val="20"/>
      <w:szCs w:val="24"/>
      <w:lang w:val="pt-PT" w:eastAsia="pt-BR"/>
    </w:rPr>
  </w:style>
  <w:style w:type="paragraph" w:styleId="Ttulo1">
    <w:name w:val="heading 1"/>
    <w:basedOn w:val="Normal"/>
    <w:link w:val="Ttulo1Char"/>
    <w:qFormat/>
    <w:rsid w:val="0096648A"/>
    <w:pPr>
      <w:keepNext/>
      <w:spacing w:before="0" w:after="0"/>
      <w:outlineLvl w:val="0"/>
    </w:pPr>
    <w:rPr>
      <w:rFonts w:ascii="Times New Roman" w:hAnsi="Times New Roman"/>
      <w:b/>
      <w:bCs/>
      <w:kern w:val="36"/>
      <w:sz w:val="28"/>
      <w:szCs w:val="28"/>
      <w:lang w:val="pt-BR"/>
    </w:rPr>
  </w:style>
  <w:style w:type="paragraph" w:styleId="Ttulo2">
    <w:name w:val="heading 2"/>
    <w:basedOn w:val="Normal"/>
    <w:next w:val="Normal"/>
    <w:link w:val="Ttulo2Char"/>
    <w:qFormat/>
    <w:rsid w:val="0096648A"/>
    <w:pPr>
      <w:keepNext/>
      <w:spacing w:before="240" w:after="60"/>
      <w:outlineLvl w:val="1"/>
    </w:pPr>
    <w:rPr>
      <w:rFonts w:cs="Arial"/>
      <w:b/>
      <w:bCs/>
      <w:i/>
      <w:iCs/>
      <w:sz w:val="28"/>
      <w:szCs w:val="28"/>
    </w:rPr>
  </w:style>
  <w:style w:type="paragraph" w:styleId="Ttulo3">
    <w:name w:val="heading 3"/>
    <w:basedOn w:val="Normal"/>
    <w:next w:val="Normal"/>
    <w:link w:val="Ttulo3Char"/>
    <w:qFormat/>
    <w:rsid w:val="0096648A"/>
    <w:pPr>
      <w:keepNext/>
      <w:spacing w:before="240" w:after="60"/>
      <w:outlineLvl w:val="2"/>
    </w:pPr>
    <w:rPr>
      <w:rFonts w:cs="Arial"/>
      <w:b/>
      <w:bCs/>
      <w:sz w:val="26"/>
      <w:szCs w:val="26"/>
    </w:rPr>
  </w:style>
  <w:style w:type="paragraph" w:styleId="Ttulo4">
    <w:name w:val="heading 4"/>
    <w:basedOn w:val="Normal"/>
    <w:next w:val="Normal"/>
    <w:link w:val="Ttulo4Char"/>
    <w:qFormat/>
    <w:rsid w:val="0096648A"/>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96648A"/>
    <w:pPr>
      <w:spacing w:before="240" w:after="60"/>
      <w:outlineLvl w:val="4"/>
    </w:pPr>
    <w:rPr>
      <w:b/>
      <w:bCs/>
      <w:i/>
      <w:iCs/>
      <w:sz w:val="26"/>
      <w:szCs w:val="26"/>
    </w:rPr>
  </w:style>
  <w:style w:type="paragraph" w:styleId="Ttulo6">
    <w:name w:val="heading 6"/>
    <w:basedOn w:val="Normal"/>
    <w:next w:val="Normal"/>
    <w:link w:val="Ttulo6Char"/>
    <w:qFormat/>
    <w:rsid w:val="0096648A"/>
    <w:pPr>
      <w:keepNext/>
      <w:outlineLvl w:val="5"/>
    </w:pPr>
    <w:rPr>
      <w:rFonts w:ascii="Times New Roman" w:hAnsi="Times New Roman"/>
      <w:b/>
      <w:caps/>
      <w:sz w:val="22"/>
      <w:szCs w:val="20"/>
      <w:lang w:val="pt-BR" w:eastAsia="en-US"/>
    </w:rPr>
  </w:style>
  <w:style w:type="paragraph" w:styleId="Ttulo7">
    <w:name w:val="heading 7"/>
    <w:basedOn w:val="Normal"/>
    <w:next w:val="Normal"/>
    <w:link w:val="Ttulo7Char"/>
    <w:qFormat/>
    <w:rsid w:val="0096648A"/>
    <w:pPr>
      <w:spacing w:before="240" w:after="60"/>
      <w:jc w:val="left"/>
      <w:outlineLvl w:val="6"/>
    </w:pPr>
    <w:rPr>
      <w:rFonts w:ascii="Times New Roman" w:hAnsi="Times New Roman"/>
      <w:sz w:val="24"/>
      <w:lang w:val="pt-BR"/>
    </w:rPr>
  </w:style>
  <w:style w:type="paragraph" w:styleId="Ttulo8">
    <w:name w:val="heading 8"/>
    <w:basedOn w:val="Normal"/>
    <w:next w:val="Normal"/>
    <w:link w:val="Ttulo8Char"/>
    <w:qFormat/>
    <w:rsid w:val="0096648A"/>
    <w:pPr>
      <w:spacing w:before="240" w:after="60"/>
      <w:outlineLvl w:val="7"/>
    </w:pPr>
    <w:rPr>
      <w:rFonts w:ascii="Cambria" w:hAnsi="Cambria"/>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648A"/>
    <w:rPr>
      <w:rFonts w:ascii="Times New Roman" w:eastAsia="Times New Roman" w:hAnsi="Times New Roman" w:cs="Times New Roman"/>
      <w:b/>
      <w:bCs/>
      <w:kern w:val="36"/>
      <w:sz w:val="28"/>
      <w:szCs w:val="28"/>
      <w:lang w:eastAsia="pt-BR"/>
    </w:rPr>
  </w:style>
  <w:style w:type="character" w:customStyle="1" w:styleId="Ttulo2Char">
    <w:name w:val="Título 2 Char"/>
    <w:basedOn w:val="Fontepargpadro"/>
    <w:link w:val="Ttulo2"/>
    <w:rsid w:val="0096648A"/>
    <w:rPr>
      <w:rFonts w:ascii="Arial" w:eastAsia="Times New Roman" w:hAnsi="Arial" w:cs="Arial"/>
      <w:b/>
      <w:bCs/>
      <w:i/>
      <w:iCs/>
      <w:sz w:val="28"/>
      <w:szCs w:val="28"/>
      <w:lang w:val="pt-PT" w:eastAsia="pt-BR"/>
    </w:rPr>
  </w:style>
  <w:style w:type="character" w:customStyle="1" w:styleId="Ttulo3Char">
    <w:name w:val="Título 3 Char"/>
    <w:basedOn w:val="Fontepargpadro"/>
    <w:link w:val="Ttulo3"/>
    <w:rsid w:val="0096648A"/>
    <w:rPr>
      <w:rFonts w:ascii="Arial" w:eastAsia="Times New Roman" w:hAnsi="Arial" w:cs="Arial"/>
      <w:b/>
      <w:bCs/>
      <w:sz w:val="26"/>
      <w:szCs w:val="26"/>
      <w:lang w:val="pt-PT" w:eastAsia="pt-BR"/>
    </w:rPr>
  </w:style>
  <w:style w:type="character" w:customStyle="1" w:styleId="Ttulo4Char">
    <w:name w:val="Título 4 Char"/>
    <w:basedOn w:val="Fontepargpadro"/>
    <w:link w:val="Ttulo4"/>
    <w:rsid w:val="0096648A"/>
    <w:rPr>
      <w:rFonts w:ascii="Times New Roman" w:eastAsia="Times New Roman" w:hAnsi="Times New Roman" w:cs="Times New Roman"/>
      <w:b/>
      <w:bCs/>
      <w:sz w:val="28"/>
      <w:szCs w:val="28"/>
      <w:lang w:val="pt-PT" w:eastAsia="pt-BR"/>
    </w:rPr>
  </w:style>
  <w:style w:type="character" w:customStyle="1" w:styleId="Ttulo5Char">
    <w:name w:val="Título 5 Char"/>
    <w:basedOn w:val="Fontepargpadro"/>
    <w:link w:val="Ttulo5"/>
    <w:rsid w:val="0096648A"/>
    <w:rPr>
      <w:rFonts w:ascii="Arial" w:eastAsia="Times New Roman" w:hAnsi="Arial" w:cs="Times New Roman"/>
      <w:b/>
      <w:bCs/>
      <w:i/>
      <w:iCs/>
      <w:sz w:val="26"/>
      <w:szCs w:val="26"/>
      <w:lang w:val="pt-PT" w:eastAsia="pt-BR"/>
    </w:rPr>
  </w:style>
  <w:style w:type="character" w:customStyle="1" w:styleId="Ttulo6Char">
    <w:name w:val="Título 6 Char"/>
    <w:basedOn w:val="Fontepargpadro"/>
    <w:link w:val="Ttulo6"/>
    <w:rsid w:val="0096648A"/>
    <w:rPr>
      <w:rFonts w:ascii="Times New Roman" w:eastAsia="Times New Roman" w:hAnsi="Times New Roman" w:cs="Times New Roman"/>
      <w:b/>
      <w:caps/>
      <w:szCs w:val="20"/>
    </w:rPr>
  </w:style>
  <w:style w:type="character" w:customStyle="1" w:styleId="Ttulo7Char">
    <w:name w:val="Título 7 Char"/>
    <w:basedOn w:val="Fontepargpadro"/>
    <w:link w:val="Ttulo7"/>
    <w:rsid w:val="0096648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96648A"/>
    <w:rPr>
      <w:rFonts w:ascii="Cambria" w:eastAsia="Times New Roman" w:hAnsi="Cambria" w:cs="Times New Roman"/>
      <w:i/>
      <w:iCs/>
      <w:sz w:val="24"/>
      <w:szCs w:val="24"/>
      <w:lang w:val="pt-PT" w:eastAsia="pt-BR"/>
    </w:rPr>
  </w:style>
  <w:style w:type="paragraph" w:styleId="Textodebalo">
    <w:name w:val="Balloon Text"/>
    <w:basedOn w:val="Normal"/>
    <w:link w:val="TextodebaloChar"/>
    <w:uiPriority w:val="99"/>
    <w:semiHidden/>
    <w:rsid w:val="0096648A"/>
    <w:rPr>
      <w:rFonts w:ascii="Tahoma" w:hAnsi="Tahoma"/>
      <w:sz w:val="16"/>
      <w:szCs w:val="16"/>
      <w:lang w:eastAsia="x-none"/>
    </w:rPr>
  </w:style>
  <w:style w:type="character" w:customStyle="1" w:styleId="TextodebaloChar">
    <w:name w:val="Texto de balão Char"/>
    <w:basedOn w:val="Fontepargpadro"/>
    <w:link w:val="Textodebalo"/>
    <w:uiPriority w:val="99"/>
    <w:semiHidden/>
    <w:rsid w:val="0096648A"/>
    <w:rPr>
      <w:rFonts w:ascii="Tahoma" w:eastAsia="Times New Roman" w:hAnsi="Tahoma" w:cs="Times New Roman"/>
      <w:sz w:val="16"/>
      <w:szCs w:val="16"/>
      <w:lang w:val="pt-PT" w:eastAsia="x-none"/>
    </w:rPr>
  </w:style>
  <w:style w:type="character" w:customStyle="1" w:styleId="BalloonTextChar">
    <w:name w:val="Balloon Text Char"/>
    <w:semiHidden/>
    <w:rsid w:val="0096648A"/>
    <w:rPr>
      <w:rFonts w:ascii="Lucida Grande" w:hAnsi="Lucida Grande"/>
      <w:sz w:val="18"/>
      <w:szCs w:val="18"/>
    </w:rPr>
  </w:style>
  <w:style w:type="paragraph" w:styleId="Textoembloco">
    <w:name w:val="Block Text"/>
    <w:basedOn w:val="Normal"/>
    <w:link w:val="TextoemblocoChar"/>
    <w:uiPriority w:val="99"/>
    <w:rsid w:val="0096648A"/>
    <w:pPr>
      <w:widowControl w:val="0"/>
      <w:tabs>
        <w:tab w:val="left" w:pos="6804"/>
      </w:tabs>
      <w:spacing w:before="2" w:after="2" w:line="250" w:lineRule="auto"/>
      <w:ind w:left="336" w:right="57" w:hanging="279"/>
      <w:jc w:val="left"/>
    </w:pPr>
    <w:rPr>
      <w:lang w:eastAsia="x-none"/>
    </w:rPr>
  </w:style>
  <w:style w:type="paragraph" w:styleId="Cabealho">
    <w:name w:val="header"/>
    <w:basedOn w:val="Normal"/>
    <w:link w:val="CabealhoChar"/>
    <w:uiPriority w:val="99"/>
    <w:rsid w:val="0096648A"/>
    <w:pPr>
      <w:tabs>
        <w:tab w:val="center" w:pos="4320"/>
        <w:tab w:val="right" w:pos="8640"/>
      </w:tabs>
    </w:pPr>
    <w:rPr>
      <w:lang w:eastAsia="x-none"/>
    </w:rPr>
  </w:style>
  <w:style w:type="character" w:customStyle="1" w:styleId="CabealhoChar">
    <w:name w:val="Cabeçalho Char"/>
    <w:basedOn w:val="Fontepargpadro"/>
    <w:link w:val="Cabealho"/>
    <w:uiPriority w:val="99"/>
    <w:rsid w:val="0096648A"/>
    <w:rPr>
      <w:rFonts w:ascii="Arial" w:eastAsia="Times New Roman" w:hAnsi="Arial" w:cs="Times New Roman"/>
      <w:sz w:val="20"/>
      <w:szCs w:val="24"/>
      <w:lang w:val="pt-PT" w:eastAsia="x-none"/>
    </w:rPr>
  </w:style>
  <w:style w:type="paragraph" w:styleId="Rodap">
    <w:name w:val="footer"/>
    <w:basedOn w:val="Normal"/>
    <w:link w:val="RodapChar"/>
    <w:rsid w:val="0096648A"/>
    <w:pPr>
      <w:tabs>
        <w:tab w:val="center" w:pos="4320"/>
        <w:tab w:val="right" w:pos="8640"/>
      </w:tabs>
    </w:pPr>
    <w:rPr>
      <w:lang w:eastAsia="x-none"/>
    </w:rPr>
  </w:style>
  <w:style w:type="character" w:customStyle="1" w:styleId="RodapChar">
    <w:name w:val="Rodapé Char"/>
    <w:basedOn w:val="Fontepargpadro"/>
    <w:link w:val="Rodap"/>
    <w:rsid w:val="0096648A"/>
    <w:rPr>
      <w:rFonts w:ascii="Arial" w:eastAsia="Times New Roman" w:hAnsi="Arial" w:cs="Times New Roman"/>
      <w:sz w:val="20"/>
      <w:szCs w:val="24"/>
      <w:lang w:val="pt-PT" w:eastAsia="x-none"/>
    </w:rPr>
  </w:style>
  <w:style w:type="character" w:styleId="Refdecomentrio">
    <w:name w:val="annotation reference"/>
    <w:uiPriority w:val="99"/>
    <w:semiHidden/>
    <w:rsid w:val="0096648A"/>
    <w:rPr>
      <w:sz w:val="16"/>
    </w:rPr>
  </w:style>
  <w:style w:type="paragraph" w:styleId="Textodecomentrio">
    <w:name w:val="annotation text"/>
    <w:basedOn w:val="Normal"/>
    <w:link w:val="TextodecomentrioChar"/>
    <w:uiPriority w:val="99"/>
    <w:semiHidden/>
    <w:rsid w:val="0096648A"/>
    <w:pPr>
      <w:spacing w:before="0" w:after="0"/>
    </w:pPr>
    <w:rPr>
      <w:rFonts w:ascii="Times New Roman" w:hAnsi="Times New Roman"/>
      <w:szCs w:val="20"/>
      <w:lang w:val="x-none" w:eastAsia="en-US"/>
    </w:rPr>
  </w:style>
  <w:style w:type="character" w:customStyle="1" w:styleId="TextodecomentrioChar">
    <w:name w:val="Texto de comentário Char"/>
    <w:basedOn w:val="Fontepargpadro"/>
    <w:link w:val="Textodecomentrio"/>
    <w:uiPriority w:val="99"/>
    <w:semiHidden/>
    <w:rsid w:val="0096648A"/>
    <w:rPr>
      <w:rFonts w:ascii="Times New Roman" w:eastAsia="Times New Roman" w:hAnsi="Times New Roman" w:cs="Times New Roman"/>
      <w:sz w:val="20"/>
      <w:szCs w:val="20"/>
      <w:lang w:val="x-none"/>
    </w:rPr>
  </w:style>
  <w:style w:type="paragraph" w:customStyle="1" w:styleId="Recuonormal1">
    <w:name w:val="Recuo normal1"/>
    <w:basedOn w:val="Normal"/>
    <w:rsid w:val="0096648A"/>
    <w:pPr>
      <w:spacing w:before="0" w:after="0"/>
      <w:ind w:left="720"/>
    </w:pPr>
    <w:rPr>
      <w:rFonts w:ascii="Times New Roman" w:hAnsi="Times New Roman"/>
      <w:sz w:val="22"/>
      <w:szCs w:val="20"/>
      <w:lang w:val="pt-BR" w:eastAsia="en-US"/>
    </w:rPr>
  </w:style>
  <w:style w:type="paragraph" w:styleId="NormalWeb">
    <w:name w:val="Normal (Web)"/>
    <w:basedOn w:val="Normal"/>
    <w:semiHidden/>
    <w:rsid w:val="0096648A"/>
    <w:pPr>
      <w:spacing w:before="100" w:beforeAutospacing="1" w:after="100" w:afterAutospacing="1"/>
      <w:jc w:val="left"/>
    </w:pPr>
    <w:rPr>
      <w:rFonts w:ascii="Arial Unicode MS" w:eastAsia="Arial Unicode MS" w:hAnsi="Arial Unicode MS" w:cs="Arial Unicode MS"/>
      <w:color w:val="000000"/>
      <w:sz w:val="24"/>
      <w:lang w:val="pt-BR"/>
    </w:rPr>
  </w:style>
  <w:style w:type="paragraph" w:styleId="Assuntodocomentrio">
    <w:name w:val="annotation subject"/>
    <w:basedOn w:val="Textodecomentrio"/>
    <w:next w:val="Textodecomentrio"/>
    <w:link w:val="AssuntodocomentrioChar"/>
    <w:uiPriority w:val="99"/>
    <w:semiHidden/>
    <w:rsid w:val="0096648A"/>
    <w:pPr>
      <w:spacing w:before="120" w:after="120"/>
    </w:pPr>
    <w:rPr>
      <w:rFonts w:ascii="Arial" w:hAnsi="Arial"/>
      <w:b/>
      <w:bCs/>
      <w:lang w:val="pt-PT"/>
    </w:rPr>
  </w:style>
  <w:style w:type="character" w:customStyle="1" w:styleId="AssuntodocomentrioChar">
    <w:name w:val="Assunto do comentário Char"/>
    <w:basedOn w:val="TextodecomentrioChar"/>
    <w:link w:val="Assuntodocomentrio"/>
    <w:uiPriority w:val="99"/>
    <w:semiHidden/>
    <w:rsid w:val="0096648A"/>
    <w:rPr>
      <w:rFonts w:ascii="Arial" w:eastAsia="Times New Roman" w:hAnsi="Arial" w:cs="Times New Roman"/>
      <w:b/>
      <w:bCs/>
      <w:sz w:val="20"/>
      <w:szCs w:val="20"/>
      <w:lang w:val="pt-PT"/>
    </w:rPr>
  </w:style>
  <w:style w:type="paragraph" w:styleId="Corpodetexto">
    <w:name w:val="Body Text"/>
    <w:basedOn w:val="Normal"/>
    <w:link w:val="CorpodetextoChar"/>
    <w:rsid w:val="0096648A"/>
    <w:pPr>
      <w:spacing w:before="0" w:after="0"/>
    </w:pPr>
    <w:rPr>
      <w:rFonts w:ascii="Times New Roman" w:hAnsi="Times New Roman"/>
      <w:sz w:val="22"/>
      <w:szCs w:val="22"/>
      <w:lang w:val="pt-BR"/>
    </w:rPr>
  </w:style>
  <w:style w:type="character" w:customStyle="1" w:styleId="CorpodetextoChar">
    <w:name w:val="Corpo de texto Char"/>
    <w:basedOn w:val="Fontepargpadro"/>
    <w:link w:val="Corpodetexto"/>
    <w:rsid w:val="0096648A"/>
    <w:rPr>
      <w:rFonts w:ascii="Times New Roman" w:eastAsia="Times New Roman" w:hAnsi="Times New Roman" w:cs="Times New Roman"/>
      <w:lang w:eastAsia="pt-BR"/>
    </w:rPr>
  </w:style>
  <w:style w:type="character" w:customStyle="1" w:styleId="grame">
    <w:name w:val="grame"/>
    <w:basedOn w:val="Fontepargpadro"/>
    <w:rsid w:val="0096648A"/>
  </w:style>
  <w:style w:type="character" w:customStyle="1" w:styleId="spelle">
    <w:name w:val="spelle"/>
    <w:basedOn w:val="Fontepargpadro"/>
    <w:rsid w:val="0096648A"/>
  </w:style>
  <w:style w:type="character" w:styleId="Refdenotaderodap">
    <w:name w:val="footnote reference"/>
    <w:semiHidden/>
    <w:rsid w:val="0096648A"/>
    <w:rPr>
      <w:rFonts w:ascii="Times New Roman" w:hAnsi="Times New Roman" w:cs="Times New Roman" w:hint="default"/>
      <w:b/>
      <w:bCs/>
      <w:strike w:val="0"/>
      <w:dstrike w:val="0"/>
      <w:color w:val="000000"/>
      <w:u w:val="none"/>
      <w:effect w:val="none"/>
      <w:vertAlign w:val="superscript"/>
    </w:rPr>
  </w:style>
  <w:style w:type="paragraph" w:styleId="Textodenotaderodap">
    <w:name w:val="footnote text"/>
    <w:basedOn w:val="Normal"/>
    <w:link w:val="TextodenotaderodapChar"/>
    <w:semiHidden/>
    <w:rsid w:val="0096648A"/>
    <w:pPr>
      <w:spacing w:before="0" w:after="0"/>
    </w:pPr>
    <w:rPr>
      <w:rFonts w:ascii="Times New Roman" w:hAnsi="Times New Roman"/>
      <w:szCs w:val="20"/>
      <w:lang w:val="pt-BR"/>
    </w:rPr>
  </w:style>
  <w:style w:type="character" w:customStyle="1" w:styleId="TextodenotaderodapChar">
    <w:name w:val="Texto de nota de rodapé Char"/>
    <w:basedOn w:val="Fontepargpadro"/>
    <w:link w:val="Textodenotaderodap"/>
    <w:semiHidden/>
    <w:rsid w:val="0096648A"/>
    <w:rPr>
      <w:rFonts w:ascii="Times New Roman" w:eastAsia="Times New Roman" w:hAnsi="Times New Roman" w:cs="Times New Roman"/>
      <w:sz w:val="20"/>
      <w:szCs w:val="20"/>
      <w:lang w:eastAsia="pt-BR"/>
    </w:rPr>
  </w:style>
  <w:style w:type="paragraph" w:customStyle="1" w:styleId="paragraph">
    <w:name w:val="paragraph"/>
    <w:basedOn w:val="Normal"/>
    <w:next w:val="Normal"/>
    <w:rsid w:val="0096648A"/>
    <w:pPr>
      <w:widowControl w:val="0"/>
      <w:spacing w:before="0" w:after="0"/>
      <w:ind w:left="432" w:hanging="432"/>
    </w:pPr>
    <w:rPr>
      <w:rFonts w:ascii="Times New Roman" w:hAnsi="Times New Roman"/>
      <w:szCs w:val="20"/>
      <w:lang w:val="pt-BR" w:eastAsia="en-US"/>
    </w:rPr>
  </w:style>
  <w:style w:type="character" w:styleId="Nmerodepgina">
    <w:name w:val="page number"/>
    <w:basedOn w:val="Fontepargpadro"/>
    <w:rsid w:val="0096648A"/>
  </w:style>
  <w:style w:type="paragraph" w:customStyle="1" w:styleId="Normal1">
    <w:name w:val="Normal1"/>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outline">
    <w:name w:val="outline"/>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paragraph2">
    <w:name w:val="paragraph2"/>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styleId="Recuodecorpodetexto">
    <w:name w:val="Body Text Indent"/>
    <w:basedOn w:val="Normal"/>
    <w:link w:val="RecuodecorpodetextoChar"/>
    <w:semiHidden/>
    <w:rsid w:val="0096648A"/>
    <w:pPr>
      <w:tabs>
        <w:tab w:val="left" w:pos="720"/>
      </w:tabs>
      <w:spacing w:before="0" w:after="0"/>
      <w:ind w:left="720" w:hanging="360"/>
    </w:pPr>
    <w:rPr>
      <w:rFonts w:ascii="Times New Roman" w:hAnsi="Times New Roman"/>
      <w:lang w:val="pt-BR" w:eastAsia="en-US"/>
    </w:rPr>
  </w:style>
  <w:style w:type="character" w:customStyle="1" w:styleId="RecuodecorpodetextoChar">
    <w:name w:val="Recuo de corpo de texto Char"/>
    <w:basedOn w:val="Fontepargpadro"/>
    <w:link w:val="Recuodecorpodetexto"/>
    <w:semiHidden/>
    <w:rsid w:val="0096648A"/>
    <w:rPr>
      <w:rFonts w:ascii="Times New Roman" w:eastAsia="Times New Roman" w:hAnsi="Times New Roman" w:cs="Times New Roman"/>
      <w:sz w:val="20"/>
      <w:szCs w:val="24"/>
    </w:rPr>
  </w:style>
  <w:style w:type="paragraph" w:styleId="Recuodecorpodetexto2">
    <w:name w:val="Body Text Indent 2"/>
    <w:basedOn w:val="Normal"/>
    <w:link w:val="Recuodecorpodetexto2Char"/>
    <w:semiHidden/>
    <w:rsid w:val="0096648A"/>
    <w:pPr>
      <w:spacing w:before="0" w:line="480" w:lineRule="auto"/>
      <w:ind w:left="283"/>
      <w:jc w:val="left"/>
    </w:pPr>
    <w:rPr>
      <w:rFonts w:ascii="Times New Roman" w:eastAsia="SimSun" w:hAnsi="Times New Roman"/>
      <w:sz w:val="24"/>
      <w:lang w:val="en-US" w:eastAsia="zh-CN"/>
    </w:rPr>
  </w:style>
  <w:style w:type="character" w:customStyle="1" w:styleId="Recuodecorpodetexto2Char">
    <w:name w:val="Recuo de corpo de texto 2 Char"/>
    <w:basedOn w:val="Fontepargpadro"/>
    <w:link w:val="Recuodecorpodetexto2"/>
    <w:semiHidden/>
    <w:rsid w:val="0096648A"/>
    <w:rPr>
      <w:rFonts w:ascii="Times New Roman" w:eastAsia="SimSun" w:hAnsi="Times New Roman" w:cs="Times New Roman"/>
      <w:sz w:val="24"/>
      <w:szCs w:val="24"/>
      <w:lang w:val="en-US" w:eastAsia="zh-CN"/>
    </w:rPr>
  </w:style>
  <w:style w:type="paragraph" w:customStyle="1" w:styleId="15-BulletNvel1">
    <w:name w:val="15 - «Bullet» Nível 1"/>
    <w:basedOn w:val="Normal"/>
    <w:rsid w:val="0096648A"/>
    <w:pPr>
      <w:numPr>
        <w:numId w:val="1"/>
      </w:numPr>
      <w:tabs>
        <w:tab w:val="clear" w:pos="360"/>
      </w:tabs>
      <w:spacing w:before="0" w:after="0" w:line="260" w:lineRule="atLeast"/>
    </w:pPr>
    <w:rPr>
      <w:rFonts w:ascii="Times New Roman" w:hAnsi="Times New Roman"/>
      <w:sz w:val="22"/>
      <w:szCs w:val="20"/>
      <w:lang w:val="en-US" w:eastAsia="en-US"/>
    </w:rPr>
  </w:style>
  <w:style w:type="character" w:styleId="Hyperlink">
    <w:name w:val="Hyperlink"/>
    <w:semiHidden/>
    <w:rsid w:val="0096648A"/>
    <w:rPr>
      <w:color w:val="008000"/>
      <w:u w:val="single"/>
    </w:rPr>
  </w:style>
  <w:style w:type="paragraph" w:customStyle="1" w:styleId="IASBNormal">
    <w:name w:val="IASB Normal"/>
    <w:rsid w:val="0096648A"/>
    <w:pPr>
      <w:spacing w:before="100" w:after="100" w:line="240" w:lineRule="auto"/>
      <w:jc w:val="both"/>
    </w:pPr>
    <w:rPr>
      <w:rFonts w:ascii="Times New Roman" w:eastAsia="Times New Roman" w:hAnsi="Times New Roman" w:cs="Times New Roman"/>
      <w:sz w:val="19"/>
      <w:szCs w:val="20"/>
      <w:lang w:val="en-US"/>
    </w:rPr>
  </w:style>
  <w:style w:type="paragraph" w:customStyle="1" w:styleId="IASBNormalArial">
    <w:name w:val="IASB Normal Arial"/>
    <w:basedOn w:val="IASBNormal"/>
    <w:rsid w:val="0096648A"/>
    <w:pPr>
      <w:spacing w:before="200"/>
    </w:pPr>
    <w:rPr>
      <w:rFonts w:ascii="Arial" w:hAnsi="Arial" w:cs="Arial"/>
    </w:rPr>
  </w:style>
  <w:style w:type="paragraph" w:customStyle="1" w:styleId="IASBTitle">
    <w:name w:val="IASB Title"/>
    <w:basedOn w:val="IASBNormal"/>
    <w:rsid w:val="0096648A"/>
    <w:pPr>
      <w:keepNext/>
      <w:keepLines/>
      <w:spacing w:before="300" w:after="400"/>
      <w:jc w:val="left"/>
    </w:pPr>
    <w:rPr>
      <w:rFonts w:ascii="Arial" w:hAnsi="Arial" w:cs="Arial"/>
      <w:b/>
      <w:sz w:val="36"/>
    </w:rPr>
  </w:style>
  <w:style w:type="paragraph" w:customStyle="1" w:styleId="IASBSectionTitleU">
    <w:name w:val="IASB Section Title U"/>
    <w:basedOn w:val="IASBTitle"/>
    <w:rsid w:val="0096648A"/>
    <w:pPr>
      <w:pBdr>
        <w:bottom w:val="single" w:sz="4" w:space="0" w:color="auto"/>
      </w:pBdr>
      <w:spacing w:before="400" w:after="200"/>
    </w:pPr>
    <w:rPr>
      <w:sz w:val="26"/>
    </w:rPr>
  </w:style>
  <w:style w:type="paragraph" w:customStyle="1" w:styleId="IASBNote">
    <w:name w:val="IASB Note"/>
    <w:basedOn w:val="IASBNormal"/>
    <w:rsid w:val="0096648A"/>
    <w:rPr>
      <w:i/>
    </w:rPr>
  </w:style>
  <w:style w:type="paragraph" w:customStyle="1" w:styleId="IASBFootnoteText">
    <w:name w:val="IASB Footnote Text"/>
    <w:basedOn w:val="IASBNormal"/>
    <w:rsid w:val="0096648A"/>
    <w:pPr>
      <w:spacing w:before="0" w:after="60"/>
      <w:ind w:left="284" w:hanging="284"/>
    </w:pPr>
    <w:rPr>
      <w:sz w:val="16"/>
    </w:rPr>
  </w:style>
  <w:style w:type="paragraph" w:customStyle="1" w:styleId="DaveIASBSubsectionTitle">
    <w:name w:val="Dave IASB Subsection Title"/>
    <w:basedOn w:val="IASBTitle"/>
    <w:rsid w:val="0096648A"/>
    <w:pPr>
      <w:spacing w:after="200"/>
      <w:ind w:left="780"/>
    </w:pPr>
    <w:rPr>
      <w:sz w:val="26"/>
    </w:rPr>
  </w:style>
  <w:style w:type="paragraph" w:styleId="MapadoDocumento">
    <w:name w:val="Document Map"/>
    <w:basedOn w:val="Normal"/>
    <w:link w:val="MapadoDocumentoChar"/>
    <w:semiHidden/>
    <w:rsid w:val="0096648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96648A"/>
    <w:rPr>
      <w:rFonts w:ascii="Tahoma" w:eastAsia="Times New Roman" w:hAnsi="Tahoma" w:cs="Tahoma"/>
      <w:sz w:val="20"/>
      <w:szCs w:val="24"/>
      <w:shd w:val="clear" w:color="auto" w:fill="000080"/>
      <w:lang w:val="pt-PT" w:eastAsia="pt-BR"/>
    </w:rPr>
  </w:style>
  <w:style w:type="paragraph" w:customStyle="1" w:styleId="ZchnZchnCharCharZchnZchnCharCharZchnZchnCharCharZchnZchn1CharCharZchnZchnCharChar">
    <w:name w:val="Zchn Zchn Char Char Zchn Zchn Char Char Zchn Zchn Char Char Zchn Zchn1 Char Char Zchn Zchn Char Char"/>
    <w:basedOn w:val="Normal"/>
    <w:rsid w:val="0096648A"/>
    <w:pPr>
      <w:spacing w:before="0" w:after="160" w:line="240" w:lineRule="exact"/>
      <w:jc w:val="left"/>
    </w:pPr>
    <w:rPr>
      <w:rFonts w:ascii="Verdana" w:eastAsia="SimSun" w:hAnsi="Verdana"/>
      <w:szCs w:val="20"/>
      <w:lang w:val="pt-BR" w:eastAsia="es-AR"/>
    </w:rPr>
  </w:style>
  <w:style w:type="paragraph" w:styleId="Corpodetexto3">
    <w:name w:val="Body Text 3"/>
    <w:basedOn w:val="Normal"/>
    <w:link w:val="Corpodetexto3Char"/>
    <w:semiHidden/>
    <w:rsid w:val="0096648A"/>
    <w:rPr>
      <w:sz w:val="16"/>
      <w:szCs w:val="16"/>
    </w:rPr>
  </w:style>
  <w:style w:type="character" w:customStyle="1" w:styleId="Corpodetexto3Char">
    <w:name w:val="Corpo de texto 3 Char"/>
    <w:basedOn w:val="Fontepargpadro"/>
    <w:link w:val="Corpodetexto3"/>
    <w:semiHidden/>
    <w:rsid w:val="0096648A"/>
    <w:rPr>
      <w:rFonts w:ascii="Arial" w:eastAsia="Times New Roman" w:hAnsi="Arial" w:cs="Times New Roman"/>
      <w:sz w:val="16"/>
      <w:szCs w:val="16"/>
      <w:lang w:val="pt-PT" w:eastAsia="pt-BR"/>
    </w:rPr>
  </w:style>
  <w:style w:type="character" w:customStyle="1" w:styleId="CharChar">
    <w:name w:val="Char Char"/>
    <w:semiHidden/>
    <w:rsid w:val="0096648A"/>
    <w:rPr>
      <w:rFonts w:ascii="Cambria" w:eastAsia="Times New Roman" w:hAnsi="Cambria" w:cs="Times New Roman"/>
      <w:i/>
      <w:iCs/>
      <w:sz w:val="24"/>
      <w:szCs w:val="24"/>
      <w:lang w:val="pt-PT" w:eastAsia="pt-BR"/>
    </w:rPr>
  </w:style>
  <w:style w:type="table" w:styleId="Tabelacomgrade">
    <w:name w:val="Table Grid"/>
    <w:basedOn w:val="Tabelanormal"/>
    <w:rsid w:val="0096648A"/>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2">
    <w:name w:val="level2"/>
    <w:basedOn w:val="Normal"/>
    <w:rsid w:val="0096648A"/>
    <w:pPr>
      <w:spacing w:after="60"/>
      <w:jc w:val="left"/>
    </w:pPr>
    <w:rPr>
      <w:rFonts w:ascii="Verdana" w:hAnsi="Verdana"/>
      <w:b/>
      <w:bCs/>
      <w:color w:val="585775"/>
      <w:sz w:val="28"/>
      <w:szCs w:val="28"/>
      <w:lang w:val="en-US" w:eastAsia="en-US"/>
    </w:rPr>
  </w:style>
  <w:style w:type="paragraph" w:styleId="Corpodetexto2">
    <w:name w:val="Body Text 2"/>
    <w:basedOn w:val="Normal"/>
    <w:link w:val="Corpodetexto2Char"/>
    <w:rsid w:val="0096648A"/>
    <w:pPr>
      <w:spacing w:before="40" w:after="40"/>
    </w:pPr>
    <w:rPr>
      <w:rFonts w:ascii="Times New Roman" w:hAnsi="Times New Roman"/>
      <w:b/>
      <w:bCs/>
      <w:sz w:val="22"/>
      <w:lang w:val="x-none" w:eastAsia="x-none"/>
    </w:rPr>
  </w:style>
  <w:style w:type="character" w:customStyle="1" w:styleId="Corpodetexto2Char">
    <w:name w:val="Corpo de texto 2 Char"/>
    <w:basedOn w:val="Fontepargpadro"/>
    <w:link w:val="Corpodetexto2"/>
    <w:rsid w:val="0096648A"/>
    <w:rPr>
      <w:rFonts w:ascii="Times New Roman" w:eastAsia="Times New Roman" w:hAnsi="Times New Roman" w:cs="Times New Roman"/>
      <w:b/>
      <w:bCs/>
      <w:szCs w:val="24"/>
      <w:lang w:val="x-none" w:eastAsia="x-none"/>
    </w:rPr>
  </w:style>
  <w:style w:type="paragraph" w:customStyle="1" w:styleId="ListParagraph1">
    <w:name w:val="List Paragraph1"/>
    <w:basedOn w:val="Normal"/>
    <w:qFormat/>
    <w:rsid w:val="0096648A"/>
    <w:pPr>
      <w:spacing w:before="0" w:after="200" w:line="276" w:lineRule="auto"/>
      <w:ind w:left="720"/>
      <w:jc w:val="left"/>
    </w:pPr>
    <w:rPr>
      <w:rFonts w:ascii="Calibri" w:eastAsia="Calibri" w:hAnsi="Calibri"/>
      <w:sz w:val="22"/>
      <w:szCs w:val="22"/>
      <w:lang w:val="en-US" w:eastAsia="en-US"/>
    </w:rPr>
  </w:style>
  <w:style w:type="paragraph" w:customStyle="1" w:styleId="marcador">
    <w:name w:val="marcador"/>
    <w:basedOn w:val="Normal"/>
    <w:rsid w:val="0096648A"/>
    <w:pPr>
      <w:spacing w:before="0" w:after="0"/>
      <w:jc w:val="left"/>
    </w:pPr>
    <w:rPr>
      <w:sz w:val="24"/>
      <w:lang w:val="pt-BR"/>
    </w:rPr>
  </w:style>
  <w:style w:type="paragraph" w:customStyle="1" w:styleId="Default">
    <w:name w:val="Default"/>
    <w:rsid w:val="009664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NDES">
    <w:name w:val="BNDES"/>
    <w:basedOn w:val="Normal"/>
    <w:rsid w:val="0096648A"/>
    <w:pPr>
      <w:spacing w:before="0" w:after="0"/>
    </w:pPr>
    <w:rPr>
      <w:rFonts w:ascii="Optimum" w:hAnsi="Optimum"/>
      <w:sz w:val="24"/>
      <w:lang w:val="pt-BR"/>
    </w:rPr>
  </w:style>
  <w:style w:type="character" w:customStyle="1" w:styleId="hps">
    <w:name w:val="hps"/>
    <w:uiPriority w:val="99"/>
    <w:rsid w:val="0096648A"/>
    <w:rPr>
      <w:rFonts w:ascii="Times New Roman" w:hAnsi="Times New Roman" w:cs="Times New Roman" w:hint="default"/>
    </w:rPr>
  </w:style>
  <w:style w:type="paragraph" w:customStyle="1" w:styleId="Style20">
    <w:name w:val="Style20"/>
    <w:basedOn w:val="Normal"/>
    <w:uiPriority w:val="99"/>
    <w:rsid w:val="0096648A"/>
    <w:pPr>
      <w:widowControl w:val="0"/>
      <w:autoSpaceDE w:val="0"/>
      <w:autoSpaceDN w:val="0"/>
      <w:adjustRightInd w:val="0"/>
      <w:spacing w:before="0" w:after="0"/>
      <w:jc w:val="left"/>
    </w:pPr>
    <w:rPr>
      <w:rFonts w:ascii="Cambria" w:hAnsi="Cambria"/>
      <w:sz w:val="24"/>
      <w:lang w:val="pt-BR"/>
    </w:rPr>
  </w:style>
  <w:style w:type="paragraph" w:customStyle="1" w:styleId="IASBNormalnpara">
    <w:name w:val="IASB Normal npara"/>
    <w:basedOn w:val="Normal"/>
    <w:rsid w:val="0096648A"/>
    <w:pPr>
      <w:spacing w:before="100" w:after="0"/>
      <w:ind w:left="782" w:hanging="782"/>
    </w:pPr>
    <w:rPr>
      <w:rFonts w:ascii="Times New Roman" w:hAnsi="Times New Roman"/>
      <w:sz w:val="19"/>
      <w:szCs w:val="20"/>
      <w:lang w:val="en-US" w:eastAsia="en-US"/>
    </w:rPr>
  </w:style>
  <w:style w:type="paragraph" w:customStyle="1" w:styleId="IASBNormalnparaL1">
    <w:name w:val="IASB Normal nparaL1"/>
    <w:basedOn w:val="IASBNormalnpara"/>
    <w:rsid w:val="0096648A"/>
    <w:pPr>
      <w:ind w:left="1564"/>
    </w:pPr>
  </w:style>
  <w:style w:type="character" w:customStyle="1" w:styleId="tw4winMark">
    <w:name w:val="tw4winMark"/>
    <w:rsid w:val="0096648A"/>
    <w:rPr>
      <w:rFonts w:ascii="Courier New" w:hAnsi="Courier New" w:cs="Courier New" w:hint="default"/>
      <w:vanish/>
      <w:webHidden w:val="0"/>
      <w:color w:val="800080"/>
      <w:vertAlign w:val="subscript"/>
      <w:specVanish w:val="0"/>
    </w:rPr>
  </w:style>
  <w:style w:type="paragraph" w:styleId="PargrafodaLista">
    <w:name w:val="List Paragraph"/>
    <w:basedOn w:val="Normal"/>
    <w:uiPriority w:val="34"/>
    <w:qFormat/>
    <w:rsid w:val="0096648A"/>
    <w:pPr>
      <w:ind w:left="708"/>
    </w:pPr>
  </w:style>
  <w:style w:type="character" w:customStyle="1" w:styleId="TextoemblocoChar">
    <w:name w:val="Texto em bloco Char"/>
    <w:link w:val="Textoembloco"/>
    <w:uiPriority w:val="99"/>
    <w:locked/>
    <w:rsid w:val="0096648A"/>
    <w:rPr>
      <w:rFonts w:ascii="Arial" w:eastAsia="Times New Roman" w:hAnsi="Arial" w:cs="Times New Roman"/>
      <w:sz w:val="20"/>
      <w:szCs w:val="24"/>
      <w:lang w:val="pt-PT" w:eastAsia="x-none"/>
    </w:rPr>
  </w:style>
  <w:style w:type="character" w:customStyle="1" w:styleId="UnresolvedMention">
    <w:name w:val="Unresolved Mention"/>
    <w:basedOn w:val="Fontepargpadro"/>
    <w:uiPriority w:val="99"/>
    <w:semiHidden/>
    <w:unhideWhenUsed/>
    <w:rsid w:val="00E653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275BA7DCC295C4B97EFA222803C2E43" ma:contentTypeVersion="13" ma:contentTypeDescription="Create a new document." ma:contentTypeScope="" ma:versionID="dcf61a52a6102d6a804c287eb92f5667">
  <xsd:schema xmlns:xsd="http://www.w3.org/2001/XMLSchema" xmlns:xs="http://www.w3.org/2001/XMLSchema" xmlns:p="http://schemas.microsoft.com/office/2006/metadata/properties" xmlns:ns2="b69b09d8-fb11-4638-84fd-30340ac4eb29" xmlns:ns3="7b795b17-f7d2-4f27-ba4a-6f1f7eb48eda" targetNamespace="http://schemas.microsoft.com/office/2006/metadata/properties" ma:root="true" ma:fieldsID="26b38a98324d2badd97bb04ded0657e9" ns2:_="" ns3:_="">
    <xsd:import namespace="b69b09d8-fb11-4638-84fd-30340ac4eb29"/>
    <xsd:import namespace="7b795b17-f7d2-4f27-ba4a-6f1f7eb48e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09d8-fb11-4638-84fd-30340ac4eb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795b17-f7d2-4f27-ba4a-6f1f7eb48e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7A24C-C491-418F-ACFB-1D308BF91414}">
  <ds:schemaRefs>
    <ds:schemaRef ds:uri="http://schemas.microsoft.com/sharepoint/v3/contenttype/forms"/>
  </ds:schemaRefs>
</ds:datastoreItem>
</file>

<file path=customXml/itemProps2.xml><?xml version="1.0" encoding="utf-8"?>
<ds:datastoreItem xmlns:ds="http://schemas.openxmlformats.org/officeDocument/2006/customXml" ds:itemID="{1209D101-4663-45BD-8E7B-E90E3701D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09d8-fb11-4638-84fd-30340ac4eb29"/>
    <ds:schemaRef ds:uri="7b795b17-f7d2-4f27-ba4a-6f1f7eb48e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539F9D-2FE4-4FF9-AA47-BD409D3CE893}">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7b795b17-f7d2-4f27-ba4a-6f1f7eb48eda"/>
    <ds:schemaRef ds:uri="b69b09d8-fb11-4638-84fd-30340ac4eb29"/>
    <ds:schemaRef ds:uri="http://purl.org/dc/dcmitype/"/>
  </ds:schemaRefs>
</ds:datastoreItem>
</file>

<file path=customXml/itemProps4.xml><?xml version="1.0" encoding="utf-8"?>
<ds:datastoreItem xmlns:ds="http://schemas.openxmlformats.org/officeDocument/2006/customXml" ds:itemID="{011ACB1B-0E75-4357-986D-E6BE557EC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1165</Words>
  <Characters>6292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CVM Nº 145, DE 15 DE JUNHO DE 2022</dc:title>
  <dc:subject/>
  <dc:creator>CVM</dc:creator>
  <cp:keywords/>
  <dc:description/>
  <cp:lastModifiedBy>Renata dos Santos Leitão</cp:lastModifiedBy>
  <cp:revision>30</cp:revision>
  <dcterms:created xsi:type="dcterms:W3CDTF">2021-07-21T15:16:00Z</dcterms:created>
  <dcterms:modified xsi:type="dcterms:W3CDTF">2022-06-14T17:44:00Z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0x0101006275BA7DCC295C4B97EFA222803C2E43</vt:lpwstr>
  </property>
  <property fmtid="{D5CDD505-2E9C-101B-9397-08002B2CF9AE}" pid="3" name="Order">
    <vt:r8>35900</vt:r8>
  </property>
  <property fmtid="{D5CDD505-2E9C-101B-9397-08002B2CF9AE}" pid="4" name="_ExtendedDescription">
    <vt:lpwstr/>
  </property>
  <property fmtid="{D5CDD505-2E9C-101B-9397-08002B2CF9AE}" pid="5" name="ComplianceAssetId">
    <vt:lpwstr/>
  </property>
</Properties>
</file>