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FC66" w14:textId="4612C4FD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464035CAC2574F9AA7BD38C7C2E2FC0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43348">
            <w:t>163</w:t>
          </w:r>
          <w:r w:rsidR="002D274F" w:rsidRPr="00C1691E">
            <w:t xml:space="preserve">, de </w:t>
          </w:r>
          <w:r w:rsidR="00C43348">
            <w:t>13</w:t>
          </w:r>
          <w:r w:rsidR="002D274F">
            <w:t xml:space="preserve"> de JULHO</w:t>
          </w:r>
          <w:r w:rsidR="002D274F" w:rsidRPr="00C1691E">
            <w:t xml:space="preserve"> de </w:t>
          </w:r>
          <w:r w:rsidR="002D274F">
            <w:t>2022</w:t>
          </w:r>
        </w:sdtContent>
      </w:sdt>
    </w:p>
    <w:p w14:paraId="4D89BA82" w14:textId="7B2DD62D" w:rsidR="00841BBF" w:rsidRPr="00C82C89" w:rsidRDefault="008E1BFF" w:rsidP="00C82C89">
      <w:pPr>
        <w:pStyle w:val="Ementa"/>
      </w:pPr>
      <w:r w:rsidRPr="008E1BFF">
        <w:t>Dispõe sobre a oferta pública de distribuição</w:t>
      </w:r>
      <w:r w:rsidR="00980658">
        <w:t xml:space="preserve"> de nota promissória</w:t>
      </w:r>
      <w:r w:rsidR="00581DDC">
        <w:t xml:space="preserve"> e revoga a Instrução CVM nº 566, de 31 de julho de 2015</w:t>
      </w:r>
      <w:r w:rsidRPr="008E1BFF">
        <w:t>.</w:t>
      </w:r>
    </w:p>
    <w:p w14:paraId="178B0CBB" w14:textId="3FC1E988" w:rsidR="00894689" w:rsidRPr="00C1691E" w:rsidRDefault="006E1797" w:rsidP="000D7E62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C43348">
        <w:t>7</w:t>
      </w:r>
      <w:r w:rsidR="002D274F">
        <w:t xml:space="preserve"> de ju</w:t>
      </w:r>
      <w:r w:rsidR="00C43348">
        <w:t>l</w:t>
      </w:r>
      <w:r w:rsidR="002D274F">
        <w:t>ho de 2022</w:t>
      </w:r>
      <w:r w:rsidR="00894689">
        <w:t xml:space="preserve">, com fundamento </w:t>
      </w:r>
      <w:r w:rsidR="005A7D20" w:rsidRPr="005A7D20">
        <w:t>no Decreto n</w:t>
      </w:r>
      <w:r w:rsidR="00236870">
        <w:t>º</w:t>
      </w:r>
      <w:r w:rsidR="005A7D20" w:rsidRPr="005A7D20">
        <w:t xml:space="preserve"> 2.044, de 31 de dezembro de 1908, na Convenção para Adoção de uma Lei Uniforme sobre Letras de Câmbio e Notas Promissórias, promulgada pelo Decreto nº 57.663, de 24 de janeiro de 1966, e nos </w:t>
      </w:r>
      <w:proofErr w:type="spellStart"/>
      <w:r w:rsidR="005A7D20" w:rsidRPr="005A7D20">
        <w:t>arts</w:t>
      </w:r>
      <w:proofErr w:type="spellEnd"/>
      <w:r w:rsidR="005A7D20" w:rsidRPr="005A7D20">
        <w:t>. 2º, inciso VI, §§ 2º e 3º, e 8º, I, da Lei nº 6.385, de 7 de dezembro de 1976</w:t>
      </w:r>
      <w:r w:rsidR="00894689">
        <w:t xml:space="preserve">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11FC83CB" w14:textId="4066370E" w:rsidR="00236870" w:rsidRDefault="00380585" w:rsidP="00545535">
      <w:pPr>
        <w:pStyle w:val="Captulo"/>
      </w:pPr>
      <w:r>
        <w:t>CAPÍTULO i – ÂMBITO E REGRAS GERAIS</w:t>
      </w:r>
    </w:p>
    <w:p w14:paraId="4C741D80" w14:textId="34E6B6B8" w:rsidR="00ED1FB4" w:rsidRDefault="00ED1FB4" w:rsidP="00ED1FB4">
      <w:r w:rsidRPr="00ED1FB4">
        <w:t>Art. 1</w:t>
      </w:r>
      <w:proofErr w:type="gramStart"/>
      <w:r w:rsidRPr="00ED1FB4">
        <w:t xml:space="preserve">º  </w:t>
      </w:r>
      <w:r w:rsidR="004E43BE" w:rsidRPr="004E43BE">
        <w:t>Esta</w:t>
      </w:r>
      <w:proofErr w:type="gramEnd"/>
      <w:r w:rsidR="004E43BE" w:rsidRPr="004E43BE">
        <w:t xml:space="preserve"> </w:t>
      </w:r>
      <w:r w:rsidR="00980658">
        <w:t>Resolução</w:t>
      </w:r>
      <w:r w:rsidR="00980658" w:rsidRPr="004E43BE">
        <w:t xml:space="preserve"> </w:t>
      </w:r>
      <w:r w:rsidR="004E43BE" w:rsidRPr="004E43BE">
        <w:t xml:space="preserve">dispõe </w:t>
      </w:r>
      <w:r w:rsidR="00380DD1">
        <w:t>sobre a oferta pública de distribuição de nota promissória</w:t>
      </w:r>
      <w:r w:rsidR="00D24CB5">
        <w:t>.</w:t>
      </w:r>
    </w:p>
    <w:p w14:paraId="72213BA8" w14:textId="0D28EB30" w:rsidR="009E621A" w:rsidRDefault="00841BBF" w:rsidP="00234730">
      <w:r>
        <w:t>Art. 2</w:t>
      </w:r>
      <w:proofErr w:type="gramStart"/>
      <w:r>
        <w:t xml:space="preserve">º  </w:t>
      </w:r>
      <w:r w:rsidR="00234730" w:rsidRPr="00234730">
        <w:t>As</w:t>
      </w:r>
      <w:proofErr w:type="gramEnd"/>
      <w:r w:rsidR="00234730" w:rsidRPr="00234730">
        <w:t xml:space="preserve"> companhias e as sociedades limitadas podem emitir, para distribuição pública, nota promissória que confira a seus titulares direito de crédito contra a emitente, observadas as características dos títulos previstas nesta </w:t>
      </w:r>
      <w:r w:rsidR="00CE72E4">
        <w:t>Resolução</w:t>
      </w:r>
      <w:r w:rsidR="00234730" w:rsidRPr="00234730">
        <w:t>.</w:t>
      </w:r>
    </w:p>
    <w:p w14:paraId="054D3822" w14:textId="60B63DF6" w:rsidR="00234730" w:rsidRDefault="006446B5" w:rsidP="00234730">
      <w:r w:rsidRPr="006446B5">
        <w:t xml:space="preserve">Parágrafo único. </w:t>
      </w:r>
      <w:r w:rsidR="00236870">
        <w:t xml:space="preserve"> </w:t>
      </w:r>
      <w:r w:rsidRPr="006446B5">
        <w:t xml:space="preserve">As cooperativas que tenham por atividade a produção, comercialização, beneficiamento ou industrialização de produtos ou insumos agropecuários, ou de máquinas e implementos utilizados na atividade agropecuária também podem emitir nota promissória para distribuição pública, observadas as características dos títulos previstas nesta </w:t>
      </w:r>
      <w:r w:rsidR="00CE72E4">
        <w:t>Resolução</w:t>
      </w:r>
      <w:r w:rsidRPr="006446B5">
        <w:t>.</w:t>
      </w:r>
    </w:p>
    <w:p w14:paraId="7FFA8D78" w14:textId="2D05EC70" w:rsidR="009E621A" w:rsidRDefault="00C82C89" w:rsidP="00ED1FB4">
      <w:r>
        <w:t>Art. 3</w:t>
      </w:r>
      <w:proofErr w:type="gramStart"/>
      <w:r>
        <w:t>º</w:t>
      </w:r>
      <w:r w:rsidR="009E621A">
        <w:t xml:space="preserve">  </w:t>
      </w:r>
      <w:r w:rsidR="006446B5" w:rsidRPr="006446B5">
        <w:t>As</w:t>
      </w:r>
      <w:proofErr w:type="gramEnd"/>
      <w:r w:rsidR="006446B5" w:rsidRPr="006446B5">
        <w:t xml:space="preserve"> notas promissórias devem ser integralizadas no ato de sua emissão e subscrição, à vista e em moeda corrente</w:t>
      </w:r>
      <w:r w:rsidR="006446B5">
        <w:t>.</w:t>
      </w:r>
    </w:p>
    <w:p w14:paraId="4A123518" w14:textId="334C6590" w:rsidR="009E621A" w:rsidRDefault="00C82C89" w:rsidP="00ED1FB4">
      <w:r>
        <w:t>Art. 4</w:t>
      </w:r>
      <w:proofErr w:type="gramStart"/>
      <w:r>
        <w:t>º</w:t>
      </w:r>
      <w:r w:rsidR="009E621A">
        <w:t xml:space="preserve">  </w:t>
      </w:r>
      <w:r w:rsidR="00BC79E7" w:rsidRPr="00BC79E7">
        <w:t>A</w:t>
      </w:r>
      <w:proofErr w:type="gramEnd"/>
      <w:r w:rsidR="00BC79E7" w:rsidRPr="00BC79E7">
        <w:t xml:space="preserve"> nota promissória deve circular por endosso em preto, de que conste obrigatoriamente a cláusula “sem garantia” dada pelo endossante.</w:t>
      </w:r>
    </w:p>
    <w:p w14:paraId="29694969" w14:textId="34D28A48" w:rsidR="00BC79E7" w:rsidRDefault="00E26A03" w:rsidP="00BC79E7">
      <w:r>
        <w:t xml:space="preserve">Parágrafo único. </w:t>
      </w:r>
      <w:r w:rsidR="00BC79E7">
        <w:t xml:space="preserve"> Enquanto objeto de depósito centralizado, a circulação das notas promissórias se opera pelos registros escriturais efetuados nas contas de depósito mantidas junto ao depositário central, que endossará a cártula ao credor definitivo, por ocasião da extinção do depósito centralizado.</w:t>
      </w:r>
    </w:p>
    <w:p w14:paraId="378BC757" w14:textId="4A73FE07" w:rsidR="00C3231A" w:rsidRDefault="00C3231A" w:rsidP="00ED1FB4">
      <w:r>
        <w:t>Art. 5</w:t>
      </w:r>
      <w:proofErr w:type="gramStart"/>
      <w:r>
        <w:t xml:space="preserve">º </w:t>
      </w:r>
      <w:r w:rsidR="00236870">
        <w:t xml:space="preserve"> </w:t>
      </w:r>
      <w:r w:rsidR="00D45716" w:rsidRPr="00D45716">
        <w:t>O</w:t>
      </w:r>
      <w:proofErr w:type="gramEnd"/>
      <w:r w:rsidR="00D45716" w:rsidRPr="00D45716">
        <w:t xml:space="preserve"> prazo de vencimento da nota promissória deve ser de no máximo 360 (trezentos e sessenta) dias a contar da data de sua emissão, havendo, obrigatoriamente, apenas uma data de vencimento por série</w:t>
      </w:r>
      <w:r w:rsidR="00D45716">
        <w:t>.</w:t>
      </w:r>
    </w:p>
    <w:p w14:paraId="699E9D00" w14:textId="7B87B758" w:rsidR="00EE5829" w:rsidRDefault="00EE5829" w:rsidP="00EE5829">
      <w:r>
        <w:lastRenderedPageBreak/>
        <w:t>§ 1</w:t>
      </w:r>
      <w:proofErr w:type="gramStart"/>
      <w:r w:rsidR="00236870">
        <w:t>º</w:t>
      </w:r>
      <w:r>
        <w:t xml:space="preserve"> </w:t>
      </w:r>
      <w:r w:rsidR="00236870">
        <w:t xml:space="preserve"> </w:t>
      </w:r>
      <w:r>
        <w:t>Não</w:t>
      </w:r>
      <w:proofErr w:type="gramEnd"/>
      <w:r>
        <w:t xml:space="preserve"> estão sujeitas ao prazo máximo de vencimento a que se refere o </w:t>
      </w:r>
      <w:r w:rsidRPr="00273E16">
        <w:rPr>
          <w:b/>
        </w:rPr>
        <w:t>caput</w:t>
      </w:r>
      <w:r>
        <w:t xml:space="preserve"> as notas promissórias que, cumulativamente:</w:t>
      </w:r>
    </w:p>
    <w:p w14:paraId="04BBFE89" w14:textId="1D3566BF" w:rsidR="00EE5829" w:rsidRDefault="00EE5829" w:rsidP="00EE5829">
      <w:r>
        <w:t xml:space="preserve">I – </w:t>
      </w:r>
      <w:proofErr w:type="gramStart"/>
      <w:r>
        <w:t>tenham</w:t>
      </w:r>
      <w:proofErr w:type="gramEnd"/>
      <w:r>
        <w:t xml:space="preserve"> sido objeto de oferta pública de distribuição </w:t>
      </w:r>
      <w:r w:rsidR="00CE4762">
        <w:t xml:space="preserve">direcionada exclusivamente a investidores </w:t>
      </w:r>
      <w:r w:rsidR="00E50105">
        <w:t>profissionais</w:t>
      </w:r>
      <w:r>
        <w:t>, conforme regulamentação específica; e</w:t>
      </w:r>
    </w:p>
    <w:p w14:paraId="1CABB515" w14:textId="33761F1B" w:rsidR="007E3184" w:rsidRDefault="00EE5829" w:rsidP="00EE5829">
      <w:r>
        <w:t xml:space="preserve">II – </w:t>
      </w:r>
      <w:proofErr w:type="gramStart"/>
      <w:r>
        <w:t>contem</w:t>
      </w:r>
      <w:proofErr w:type="gramEnd"/>
      <w:r>
        <w:t xml:space="preserve"> com a presença de agente contratado para representar e zelar pela proteção dos interesses e direitos da comunhão dos titulares das notas promissórias, submetido à norma específica que dispõe sobre o exercício da função de agente fiduciário.</w:t>
      </w:r>
    </w:p>
    <w:p w14:paraId="4C860C8A" w14:textId="2002A211" w:rsidR="00F561FC" w:rsidRDefault="00F561FC" w:rsidP="00F561FC">
      <w:r>
        <w:t>§ 2</w:t>
      </w:r>
      <w:proofErr w:type="gramStart"/>
      <w:r>
        <w:t xml:space="preserve">º </w:t>
      </w:r>
      <w:r w:rsidR="00355F07">
        <w:t xml:space="preserve"> </w:t>
      </w:r>
      <w:r>
        <w:t>A</w:t>
      </w:r>
      <w:proofErr w:type="gramEnd"/>
      <w:r>
        <w:t xml:space="preserve"> nota promissória deve prever o resgate e </w:t>
      </w:r>
      <w:r w:rsidR="00355F07">
        <w:t xml:space="preserve">a </w:t>
      </w:r>
      <w:r>
        <w:t>liquidação do título em moeda corrente na data de vencimento.</w:t>
      </w:r>
    </w:p>
    <w:p w14:paraId="724EA490" w14:textId="689BB1AF" w:rsidR="00F561FC" w:rsidRDefault="00F561FC" w:rsidP="00F561FC">
      <w:r>
        <w:t>§ 3</w:t>
      </w:r>
      <w:proofErr w:type="gramStart"/>
      <w:r>
        <w:t xml:space="preserve">º </w:t>
      </w:r>
      <w:r w:rsidR="00355F07">
        <w:t xml:space="preserve"> </w:t>
      </w:r>
      <w:r>
        <w:t>O</w:t>
      </w:r>
      <w:proofErr w:type="gramEnd"/>
      <w:r>
        <w:t xml:space="preserve"> emissor pode, havendo previsão expressa no título, resgatar antecipadamente a nota promissória.</w:t>
      </w:r>
    </w:p>
    <w:p w14:paraId="42F407B4" w14:textId="01058DA6" w:rsidR="00F561FC" w:rsidRDefault="00F561FC" w:rsidP="00F561FC">
      <w:r>
        <w:t>§ 4</w:t>
      </w:r>
      <w:proofErr w:type="gramStart"/>
      <w:r>
        <w:t xml:space="preserve">º </w:t>
      </w:r>
      <w:r w:rsidR="00355F07">
        <w:t xml:space="preserve"> </w:t>
      </w:r>
      <w:r>
        <w:t>O</w:t>
      </w:r>
      <w:proofErr w:type="gramEnd"/>
      <w:r>
        <w:t xml:space="preserve"> resgate da nota promissória implica a extinção do título, sendo vedada sua manutenção em tesouraria.</w:t>
      </w:r>
    </w:p>
    <w:p w14:paraId="77BDEF5C" w14:textId="20102F62" w:rsidR="00EE5829" w:rsidRDefault="00F561FC" w:rsidP="00F561FC">
      <w:r>
        <w:t>§ 5</w:t>
      </w:r>
      <w:proofErr w:type="gramStart"/>
      <w:r>
        <w:t xml:space="preserve">º </w:t>
      </w:r>
      <w:r w:rsidR="00355F07">
        <w:t xml:space="preserve"> </w:t>
      </w:r>
      <w:r>
        <w:t>O</w:t>
      </w:r>
      <w:proofErr w:type="gramEnd"/>
      <w:r>
        <w:t xml:space="preserve"> resgate parcial é efetivado mediante sorteio ou leilão.</w:t>
      </w:r>
    </w:p>
    <w:p w14:paraId="70AE4080" w14:textId="305AAB1C" w:rsidR="00C82C89" w:rsidRDefault="00C82C89" w:rsidP="00ED1FB4">
      <w:r>
        <w:t xml:space="preserve">Art. </w:t>
      </w:r>
      <w:r w:rsidR="00C3231A">
        <w:t>6</w:t>
      </w:r>
      <w:proofErr w:type="gramStart"/>
      <w:r>
        <w:t xml:space="preserve">º  </w:t>
      </w:r>
      <w:r w:rsidR="00F561FC" w:rsidRPr="00F561FC">
        <w:t>O</w:t>
      </w:r>
      <w:proofErr w:type="gramEnd"/>
      <w:r w:rsidR="00F561FC" w:rsidRPr="00F561FC">
        <w:t xml:space="preserve"> estatuto ou contrato social do emissor deve dispor sobre a competência para autorizar a emissão de nota promissória para oferta pública de distribuição.</w:t>
      </w:r>
    </w:p>
    <w:p w14:paraId="67ED6B54" w14:textId="0938166C" w:rsidR="006E2484" w:rsidRDefault="006E2484" w:rsidP="00ED1FB4">
      <w:r>
        <w:t>Art. 7</w:t>
      </w:r>
      <w:proofErr w:type="gramStart"/>
      <w:r>
        <w:t xml:space="preserve">º  </w:t>
      </w:r>
      <w:r w:rsidR="00211201" w:rsidRPr="00211201">
        <w:t>A</w:t>
      </w:r>
      <w:proofErr w:type="gramEnd"/>
      <w:r w:rsidR="00211201" w:rsidRPr="00211201">
        <w:t xml:space="preserve"> autorização a que se refere o art. 6</w:t>
      </w:r>
      <w:r w:rsidR="00236870">
        <w:t>º</w:t>
      </w:r>
      <w:r w:rsidR="00211201" w:rsidRPr="00211201">
        <w:t xml:space="preserve"> deve dispor sobre:</w:t>
      </w:r>
    </w:p>
    <w:p w14:paraId="067AAA3F" w14:textId="77777777" w:rsidR="000D5D0B" w:rsidRDefault="000D5D0B" w:rsidP="000D5D0B">
      <w:r>
        <w:t xml:space="preserve">I – </w:t>
      </w:r>
      <w:proofErr w:type="gramStart"/>
      <w:r>
        <w:t>o</w:t>
      </w:r>
      <w:proofErr w:type="gramEnd"/>
      <w:r>
        <w:t xml:space="preserve"> valor da emissão, e a sua divisão em séries, se for o caso;</w:t>
      </w:r>
    </w:p>
    <w:p w14:paraId="368058C5" w14:textId="77777777" w:rsidR="000D5D0B" w:rsidRDefault="000D5D0B" w:rsidP="000D5D0B">
      <w:r>
        <w:t xml:space="preserve">II – </w:t>
      </w:r>
      <w:proofErr w:type="gramStart"/>
      <w:r>
        <w:t>a</w:t>
      </w:r>
      <w:proofErr w:type="gramEnd"/>
      <w:r>
        <w:t xml:space="preserve"> quantidade e o valor nominal da nota promissória;</w:t>
      </w:r>
    </w:p>
    <w:p w14:paraId="75BFD4D0" w14:textId="77777777" w:rsidR="000D5D0B" w:rsidRDefault="000D5D0B" w:rsidP="000D5D0B">
      <w:r>
        <w:t>III – as condições de remuneração e de atualização monetária, se houver;</w:t>
      </w:r>
    </w:p>
    <w:p w14:paraId="491DB3EA" w14:textId="77777777" w:rsidR="000D5D0B" w:rsidRDefault="000D5D0B" w:rsidP="000D5D0B">
      <w:r>
        <w:t xml:space="preserve">IV – </w:t>
      </w:r>
      <w:proofErr w:type="gramStart"/>
      <w:r>
        <w:t>o</w:t>
      </w:r>
      <w:proofErr w:type="gramEnd"/>
      <w:r>
        <w:t xml:space="preserve"> prazo de vencimento dos títulos;</w:t>
      </w:r>
    </w:p>
    <w:p w14:paraId="79EC8D75" w14:textId="77777777" w:rsidR="000D5D0B" w:rsidRDefault="000D5D0B" w:rsidP="000D5D0B">
      <w:r>
        <w:t xml:space="preserve">V – </w:t>
      </w:r>
      <w:proofErr w:type="gramStart"/>
      <w:r>
        <w:t>as</w:t>
      </w:r>
      <w:proofErr w:type="gramEnd"/>
      <w:r>
        <w:t xml:space="preserve"> garantias, se houver;</w:t>
      </w:r>
    </w:p>
    <w:p w14:paraId="10C15D3B" w14:textId="77777777" w:rsidR="000D5D0B" w:rsidRDefault="000D5D0B" w:rsidP="000D5D0B">
      <w:r>
        <w:t xml:space="preserve">VI – </w:t>
      </w:r>
      <w:proofErr w:type="gramStart"/>
      <w:r>
        <w:t>o</w:t>
      </w:r>
      <w:proofErr w:type="gramEnd"/>
      <w:r>
        <w:t xml:space="preserve"> local de pagamento;</w:t>
      </w:r>
    </w:p>
    <w:p w14:paraId="6F422E1B" w14:textId="77777777" w:rsidR="000D5D0B" w:rsidRDefault="000D5D0B" w:rsidP="000D5D0B">
      <w:r>
        <w:t>VII – a designação das entidades administradoras de mercado organizado em que serão negociadas, se for o caso; e</w:t>
      </w:r>
    </w:p>
    <w:p w14:paraId="6B13D017" w14:textId="7C46F4A2" w:rsidR="00211201" w:rsidRDefault="000D5D0B" w:rsidP="000D5D0B">
      <w:r>
        <w:t>VIII – a contratação de prestação de serviços, tais como custódia e liquidação, conforme o caso.</w:t>
      </w:r>
    </w:p>
    <w:p w14:paraId="4D51F91A" w14:textId="268D497B" w:rsidR="00257AB2" w:rsidRDefault="00600B2C" w:rsidP="00257AB2">
      <w:pPr>
        <w:pStyle w:val="Captulo"/>
      </w:pPr>
      <w:r w:rsidRPr="00600B2C">
        <w:lastRenderedPageBreak/>
        <w:t>CAPÍTULO II – DISTRIBUIÇÃO PÚBLICA</w:t>
      </w:r>
    </w:p>
    <w:p w14:paraId="0526D10B" w14:textId="77777777" w:rsidR="00257AB2" w:rsidRDefault="00600B2C" w:rsidP="00257AB2">
      <w:pPr>
        <w:pStyle w:val="Seo"/>
      </w:pPr>
      <w:r w:rsidRPr="00600B2C">
        <w:t>Seção I – Regras Gerais</w:t>
      </w:r>
    </w:p>
    <w:p w14:paraId="2FD2D1CD" w14:textId="6537655F" w:rsidR="00257AB2" w:rsidRDefault="00600B2C" w:rsidP="00600B2C">
      <w:r w:rsidRPr="00600B2C">
        <w:t>Art. 8</w:t>
      </w:r>
      <w:proofErr w:type="gramStart"/>
      <w:r w:rsidR="00236870">
        <w:t>º</w:t>
      </w:r>
      <w:r w:rsidRPr="00600B2C">
        <w:t xml:space="preserve">  Ressalvado</w:t>
      </w:r>
      <w:proofErr w:type="gramEnd"/>
      <w:r w:rsidRPr="00600B2C">
        <w:t xml:space="preserve"> o disposto nesta </w:t>
      </w:r>
      <w:r w:rsidR="00D5719F">
        <w:t>Resolução</w:t>
      </w:r>
      <w:r w:rsidRPr="00600B2C">
        <w:t>, a oferta pública de distribuição de nota promissória deve ser realizada com observância do disposto na regulamentação específica sobre ofertas públicas de valores mobiliários.</w:t>
      </w:r>
    </w:p>
    <w:p w14:paraId="4E89734A" w14:textId="79DD8EFD" w:rsidR="00DE6329" w:rsidRDefault="00C54C35" w:rsidP="00600B2C">
      <w:r>
        <w:t>Art. 9</w:t>
      </w:r>
      <w:proofErr w:type="gramStart"/>
      <w:r>
        <w:t>º</w:t>
      </w:r>
      <w:r w:rsidR="00B067A8">
        <w:t xml:space="preserve">  </w:t>
      </w:r>
      <w:r w:rsidR="00984178">
        <w:t>Quando</w:t>
      </w:r>
      <w:proofErr w:type="gramEnd"/>
      <w:r w:rsidR="00984178">
        <w:t xml:space="preserve"> destinada exclusivamente a investidores qualificados, </w:t>
      </w:r>
      <w:r w:rsidR="008E4905">
        <w:t>conforme definidos em reg</w:t>
      </w:r>
      <w:r w:rsidR="004D7735">
        <w:t>ra</w:t>
      </w:r>
      <w:r w:rsidR="008E4905">
        <w:t xml:space="preserve"> específica, </w:t>
      </w:r>
      <w:r w:rsidR="00984178">
        <w:t>a</w:t>
      </w:r>
      <w:r w:rsidR="00B067A8">
        <w:t xml:space="preserve"> oferta pública de distribuição de nota promissória</w:t>
      </w:r>
      <w:r w:rsidR="00DE6329">
        <w:t>:</w:t>
      </w:r>
    </w:p>
    <w:p w14:paraId="641E4A0C" w14:textId="23A86C1E" w:rsidR="00C54C35" w:rsidRDefault="00DE6329" w:rsidP="00600B2C">
      <w:r>
        <w:t xml:space="preserve">I – </w:t>
      </w:r>
      <w:proofErr w:type="gramStart"/>
      <w:r w:rsidR="00B067A8">
        <w:t>está</w:t>
      </w:r>
      <w:proofErr w:type="gramEnd"/>
      <w:r w:rsidR="00B067A8">
        <w:t xml:space="preserve"> sujeita ao rito automático de registro</w:t>
      </w:r>
      <w:r>
        <w:t>;</w:t>
      </w:r>
      <w:r w:rsidR="009604BE">
        <w:t xml:space="preserve"> e</w:t>
      </w:r>
    </w:p>
    <w:p w14:paraId="02DD220C" w14:textId="4B98C81D" w:rsidR="00DE6329" w:rsidRDefault="00DE6329" w:rsidP="00600B2C">
      <w:r>
        <w:t>II</w:t>
      </w:r>
      <w:r w:rsidR="00C337FF">
        <w:t xml:space="preserve"> – </w:t>
      </w:r>
      <w:proofErr w:type="gramStart"/>
      <w:r w:rsidR="00C337FF">
        <w:t>não</w:t>
      </w:r>
      <w:proofErr w:type="gramEnd"/>
      <w:r w:rsidR="00C337FF">
        <w:t xml:space="preserve"> requer a disponibilização de prospecto, mas de </w:t>
      </w:r>
      <w:r w:rsidR="00387038">
        <w:t>lâmina</w:t>
      </w:r>
      <w:r w:rsidR="00303436">
        <w:t xml:space="preserve"> da oferta </w:t>
      </w:r>
      <w:r w:rsidR="00EB4A20">
        <w:t>que siga o modelo e os requisitos de tópicos abordados na ordem apresentada no Anexo A</w:t>
      </w:r>
      <w:r w:rsidR="009604BE">
        <w:t>.</w:t>
      </w:r>
    </w:p>
    <w:p w14:paraId="594BC014" w14:textId="73CDCB8E" w:rsidR="00086D6E" w:rsidRDefault="00086D6E" w:rsidP="00600B2C">
      <w:r>
        <w:t>Art. 10.</w:t>
      </w:r>
      <w:r w:rsidR="00DE15EF">
        <w:t xml:space="preserve">  </w:t>
      </w:r>
      <w:r w:rsidR="00442165">
        <w:t xml:space="preserve">Nas ofertas de que trata o art. 9º, a revenda das notas promissórias </w:t>
      </w:r>
      <w:r w:rsidR="005A636E">
        <w:t>somente pode ser destinada ao público investidor em geral</w:t>
      </w:r>
      <w:r w:rsidR="003571A2">
        <w:t xml:space="preserve"> após decorridos 6 (seis) meses da data de encerramento da oferta.</w:t>
      </w:r>
    </w:p>
    <w:p w14:paraId="2A1E3665" w14:textId="2942B5A3" w:rsidR="00204135" w:rsidRPr="008C50EB" w:rsidRDefault="00204135" w:rsidP="00600B2C">
      <w:r>
        <w:t xml:space="preserve">Parágrafo único.  O intermediário é responsável por verificar o </w:t>
      </w:r>
      <w:r w:rsidR="008C50EB">
        <w:t xml:space="preserve">cumprimento do </w:t>
      </w:r>
      <w:r>
        <w:t xml:space="preserve">disposto </w:t>
      </w:r>
      <w:r w:rsidR="008C50EB">
        <w:t xml:space="preserve">no </w:t>
      </w:r>
      <w:r w:rsidR="008C50EB">
        <w:rPr>
          <w:b/>
          <w:bCs/>
        </w:rPr>
        <w:t>caput</w:t>
      </w:r>
      <w:r w:rsidR="008C50EB">
        <w:t>.</w:t>
      </w:r>
    </w:p>
    <w:p w14:paraId="1A44CF22" w14:textId="266394A4" w:rsidR="00257AB2" w:rsidRDefault="00600B2C" w:rsidP="00600B2C">
      <w:r w:rsidRPr="00600B2C">
        <w:t xml:space="preserve">Art. </w:t>
      </w:r>
      <w:r w:rsidR="00C743A5">
        <w:t>11</w:t>
      </w:r>
      <w:r w:rsidRPr="00600B2C">
        <w:t>.  Ficam dispensados da contratação de instituição intermediária os emissores com grande exposição ao mercado, conforme definido em regulamentação específica, que realizarem oferta pública de distribuição de nota promissória, desde que:</w:t>
      </w:r>
    </w:p>
    <w:p w14:paraId="69BDE3BB" w14:textId="3FF86ACF" w:rsidR="00257AB2" w:rsidRDefault="00600B2C" w:rsidP="00600B2C">
      <w:r w:rsidRPr="00600B2C">
        <w:t xml:space="preserve">I – </w:t>
      </w:r>
      <w:proofErr w:type="gramStart"/>
      <w:r w:rsidRPr="00600B2C">
        <w:t>as</w:t>
      </w:r>
      <w:proofErr w:type="gramEnd"/>
      <w:r w:rsidRPr="00600B2C">
        <w:t xml:space="preserve"> notas promissórias assim ofertadas tenham prazo de vencimento igual ou inferior a 90 </w:t>
      </w:r>
      <w:r w:rsidR="00015719">
        <w:t xml:space="preserve">(noventa) </w:t>
      </w:r>
      <w:r w:rsidRPr="00600B2C">
        <w:t>dias; e</w:t>
      </w:r>
    </w:p>
    <w:p w14:paraId="05302342" w14:textId="77794F09" w:rsidR="00257AB2" w:rsidRDefault="00600B2C" w:rsidP="00600B2C">
      <w:r w:rsidRPr="00600B2C">
        <w:t xml:space="preserve">II – </w:t>
      </w:r>
      <w:proofErr w:type="gramStart"/>
      <w:r w:rsidRPr="00600B2C">
        <w:t>a</w:t>
      </w:r>
      <w:proofErr w:type="gramEnd"/>
      <w:r w:rsidRPr="00600B2C">
        <w:t xml:space="preserve"> oferta se destine exclusivamente a investidores profissionais, conforme definido</w:t>
      </w:r>
      <w:r w:rsidR="004D7735">
        <w:t>s</w:t>
      </w:r>
      <w:r w:rsidRPr="00600B2C">
        <w:t xml:space="preserve"> em regra específica.</w:t>
      </w:r>
    </w:p>
    <w:p w14:paraId="62303E33" w14:textId="4C2F8EEB" w:rsidR="00257AB2" w:rsidRDefault="005F05BB" w:rsidP="00600B2C">
      <w:r>
        <w:t>Parágrafo único.</w:t>
      </w:r>
      <w:r w:rsidR="00600B2C" w:rsidRPr="00600B2C">
        <w:t xml:space="preserve">  O emissor é responsável por verificar o cumprimento do disposto no inciso II do </w:t>
      </w:r>
      <w:r w:rsidR="00600B2C" w:rsidRPr="00600B2C">
        <w:rPr>
          <w:b/>
        </w:rPr>
        <w:t>caput</w:t>
      </w:r>
      <w:r w:rsidR="00600B2C" w:rsidRPr="00600B2C">
        <w:t>.</w:t>
      </w:r>
    </w:p>
    <w:p w14:paraId="4D90DC2B" w14:textId="506CFE3F" w:rsidR="00071EAF" w:rsidRDefault="00071EAF" w:rsidP="00071EAF">
      <w:r>
        <w:t xml:space="preserve">Art. 12.  Nas ofertas de que trata o art. 11, a revenda das notas promissórias </w:t>
      </w:r>
      <w:r w:rsidR="003724CB">
        <w:t>é restrita</w:t>
      </w:r>
      <w:r w:rsidR="002277E0">
        <w:t xml:space="preserve"> a investidores profissionais</w:t>
      </w:r>
      <w:r>
        <w:t>.</w:t>
      </w:r>
    </w:p>
    <w:p w14:paraId="495B33F0" w14:textId="1D1275B4" w:rsidR="00071EAF" w:rsidRPr="008C50EB" w:rsidRDefault="00071EAF" w:rsidP="00071EAF">
      <w:r>
        <w:t xml:space="preserve">Parágrafo único.  O intermediário é responsável por verificar o cumprimento do disposto no </w:t>
      </w:r>
      <w:r>
        <w:rPr>
          <w:b/>
          <w:bCs/>
        </w:rPr>
        <w:t>caput</w:t>
      </w:r>
      <w:r>
        <w:t>.</w:t>
      </w:r>
    </w:p>
    <w:p w14:paraId="079A24E2" w14:textId="4D90D976" w:rsidR="00600B2C" w:rsidRPr="00600B2C" w:rsidRDefault="00600B2C" w:rsidP="00257AB2">
      <w:pPr>
        <w:pStyle w:val="Seo"/>
      </w:pPr>
      <w:r w:rsidRPr="00600B2C">
        <w:lastRenderedPageBreak/>
        <w:t>Seção I</w:t>
      </w:r>
      <w:r w:rsidR="00380585">
        <w:t>I</w:t>
      </w:r>
      <w:r w:rsidRPr="00600B2C">
        <w:t xml:space="preserve"> – Responsabilidades</w:t>
      </w:r>
    </w:p>
    <w:p w14:paraId="1A3B6709" w14:textId="5E325E68" w:rsidR="00C82C89" w:rsidRDefault="00C82C89" w:rsidP="00ED1FB4">
      <w:r w:rsidRPr="006E1797">
        <w:t xml:space="preserve">Art. </w:t>
      </w:r>
      <w:r w:rsidR="002D4E4E">
        <w:t>13</w:t>
      </w:r>
      <w:r w:rsidR="00C43348">
        <w:t>.</w:t>
      </w:r>
      <w:r w:rsidR="002D4E4E" w:rsidRPr="006E1797">
        <w:t xml:space="preserve"> </w:t>
      </w:r>
      <w:r w:rsidR="001B72FE" w:rsidRPr="001B72FE">
        <w:t xml:space="preserve">Considera-se infração grave, para os efeitos do § 3º do artigo 11 da Lei n° 6.385, de 7 de dezembro de 1976, a realização das ofertas públicas de distribuição de notas promissórias em condições diversas das constantes dos </w:t>
      </w:r>
      <w:proofErr w:type="spellStart"/>
      <w:r w:rsidR="001B72FE" w:rsidRPr="001B72FE">
        <w:t>arts</w:t>
      </w:r>
      <w:proofErr w:type="spellEnd"/>
      <w:r w:rsidR="001B72FE" w:rsidRPr="001B72FE">
        <w:t>. 3</w:t>
      </w:r>
      <w:r w:rsidR="00380585">
        <w:t>º</w:t>
      </w:r>
      <w:r w:rsidR="001B72FE" w:rsidRPr="001B72FE">
        <w:t>, 4</w:t>
      </w:r>
      <w:r w:rsidR="00380585">
        <w:t>º</w:t>
      </w:r>
      <w:r w:rsidR="000F6C36">
        <w:t xml:space="preserve"> e</w:t>
      </w:r>
      <w:r w:rsidR="001B72FE" w:rsidRPr="001B72FE">
        <w:t xml:space="preserve"> 5</w:t>
      </w:r>
      <w:r w:rsidR="00380585">
        <w:t>º</w:t>
      </w:r>
      <w:r w:rsidR="001B72FE" w:rsidRPr="001B72FE">
        <w:t xml:space="preserve"> desta </w:t>
      </w:r>
      <w:r w:rsidR="00B558E4">
        <w:t>Resolução</w:t>
      </w:r>
      <w:r w:rsidR="001B72FE" w:rsidRPr="001B72FE">
        <w:t>.</w:t>
      </w:r>
    </w:p>
    <w:p w14:paraId="5CE051EB" w14:textId="3638BAFE" w:rsidR="002D4E4E" w:rsidRDefault="002D4E4E" w:rsidP="00ED1FB4">
      <w:r>
        <w:t xml:space="preserve">Art. 14.  Fica revogada a </w:t>
      </w:r>
      <w:r w:rsidR="002335E8">
        <w:t>Instrução</w:t>
      </w:r>
      <w:r>
        <w:t xml:space="preserve"> CVM nº </w:t>
      </w:r>
      <w:r w:rsidR="00EE6E1A">
        <w:t>566, de 31 de julho de 2015</w:t>
      </w:r>
      <w:r w:rsidR="004A24F6">
        <w:t>.</w:t>
      </w:r>
    </w:p>
    <w:p w14:paraId="0BE64095" w14:textId="4D5C9552" w:rsidR="00330CAD" w:rsidRDefault="009B69B0" w:rsidP="00330CAD">
      <w:r>
        <w:t xml:space="preserve">Art. </w:t>
      </w:r>
      <w:r w:rsidR="002D4E4E">
        <w:t xml:space="preserve">15.  </w:t>
      </w:r>
      <w:r w:rsidR="00330CAD">
        <w:t>Esta R</w:t>
      </w:r>
      <w:r w:rsidR="00F361C6">
        <w:t xml:space="preserve">esolução entra em vigor em </w:t>
      </w:r>
      <w:r w:rsidR="00E06C36">
        <w:t>2</w:t>
      </w:r>
      <w:r w:rsidR="00AF0AF0">
        <w:t xml:space="preserve"> de </w:t>
      </w:r>
      <w:r w:rsidR="00E06C36">
        <w:t>janeiro</w:t>
      </w:r>
      <w:r w:rsidR="00AF0AF0">
        <w:t xml:space="preserve"> de 202</w:t>
      </w:r>
      <w:r w:rsidR="00380585">
        <w:t>3</w:t>
      </w:r>
      <w:r w:rsidR="002D4E4E">
        <w:t>.</w:t>
      </w:r>
    </w:p>
    <w:p w14:paraId="0BD5867D" w14:textId="77777777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199517B8" w14:textId="284995A7" w:rsidR="00E25581" w:rsidRPr="00E25581" w:rsidRDefault="00FE287E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790E6541" w14:textId="77777777" w:rsidR="00257AB2" w:rsidRDefault="00E25581" w:rsidP="00E25581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4F585E9D" w14:textId="48FE9F95" w:rsidR="002D4E4E" w:rsidRDefault="002D4E4E">
      <w:pPr>
        <w:spacing w:before="0" w:after="200" w:line="276" w:lineRule="auto"/>
        <w:ind w:firstLine="0"/>
        <w:jc w:val="left"/>
      </w:pPr>
      <w:r>
        <w:br w:type="page"/>
      </w:r>
    </w:p>
    <w:p w14:paraId="7B521C04" w14:textId="3E4B49C6" w:rsidR="00862C50" w:rsidRPr="00862C50" w:rsidRDefault="00862C50" w:rsidP="00862C50">
      <w:pPr>
        <w:pStyle w:val="Captulo"/>
      </w:pPr>
      <w:r w:rsidRPr="00862C50">
        <w:lastRenderedPageBreak/>
        <w:t xml:space="preserve">ANEXO </w:t>
      </w:r>
      <w:r w:rsidR="000D3845">
        <w:t>A</w:t>
      </w:r>
      <w:r w:rsidR="00C67EA3">
        <w:t xml:space="preserve"> </w:t>
      </w:r>
      <w:r w:rsidR="00C67EA3" w:rsidRPr="00C67EA3">
        <w:t xml:space="preserve">À RESOLUÇÃO CVM Nº </w:t>
      </w:r>
      <w:r w:rsidR="00C67EA3">
        <w:t>163</w:t>
      </w:r>
      <w:r w:rsidR="00C67EA3" w:rsidRPr="00C67EA3">
        <w:t xml:space="preserve">, DE </w:t>
      </w:r>
      <w:r w:rsidR="00C67EA3">
        <w:t>13</w:t>
      </w:r>
      <w:r w:rsidR="00C67EA3" w:rsidRPr="00C67EA3">
        <w:t xml:space="preserve"> DE </w:t>
      </w:r>
      <w:r w:rsidR="00C67EA3">
        <w:t>JULH</w:t>
      </w:r>
      <w:r w:rsidR="00C67EA3" w:rsidRPr="00C67EA3">
        <w:t>O DE 202</w:t>
      </w:r>
      <w:r w:rsidR="00C67EA3">
        <w:t>2</w:t>
      </w:r>
    </w:p>
    <w:p w14:paraId="1809B2A0" w14:textId="65011F15" w:rsidR="00862C50" w:rsidRPr="00862C50" w:rsidRDefault="00F76CF1" w:rsidP="00862C50">
      <w:pPr>
        <w:spacing w:before="0" w:after="200" w:line="276" w:lineRule="auto"/>
        <w:ind w:firstLine="0"/>
        <w:jc w:val="center"/>
        <w:rPr>
          <w:i/>
          <w:iCs/>
        </w:rPr>
      </w:pPr>
      <w:r>
        <w:rPr>
          <w:i/>
          <w:iCs/>
        </w:rPr>
        <w:t>Lâmina</w:t>
      </w:r>
      <w:r w:rsidR="00862C50" w:rsidRPr="00862C50">
        <w:rPr>
          <w:i/>
          <w:iCs/>
        </w:rPr>
        <w:t xml:space="preserve"> </w:t>
      </w:r>
      <w:r>
        <w:rPr>
          <w:i/>
          <w:iCs/>
        </w:rPr>
        <w:t>da</w:t>
      </w:r>
      <w:r w:rsidR="00862C50" w:rsidRPr="00862C50">
        <w:rPr>
          <w:i/>
          <w:iCs/>
        </w:rPr>
        <w:t xml:space="preserve"> Oferta Pública de Distribuição de Notas Promissórias</w:t>
      </w:r>
    </w:p>
    <w:p w14:paraId="471670A0" w14:textId="77777777" w:rsidR="00862C50" w:rsidRPr="00862C50" w:rsidRDefault="00862C50" w:rsidP="00862C50">
      <w:pPr>
        <w:spacing w:before="0" w:after="200" w:line="276" w:lineRule="auto"/>
        <w:ind w:firstLine="0"/>
        <w:jc w:val="left"/>
      </w:pPr>
    </w:p>
    <w:p w14:paraId="42EB956C" w14:textId="77777777" w:rsidR="00862C50" w:rsidRPr="00862C50" w:rsidRDefault="00862C50" w:rsidP="00322D82">
      <w:pPr>
        <w:numPr>
          <w:ilvl w:val="0"/>
          <w:numId w:val="6"/>
        </w:numPr>
        <w:tabs>
          <w:tab w:val="clear" w:pos="720"/>
          <w:tab w:val="num" w:pos="993"/>
        </w:tabs>
        <w:spacing w:before="0" w:after="200" w:line="276" w:lineRule="auto"/>
        <w:ind w:left="993" w:hanging="1004"/>
        <w:jc w:val="left"/>
        <w:rPr>
          <w:b/>
          <w:bCs/>
        </w:rPr>
      </w:pPr>
      <w:r w:rsidRPr="00862C50">
        <w:rPr>
          <w:b/>
          <w:bCs/>
        </w:rPr>
        <w:t>Avisos</w:t>
      </w:r>
    </w:p>
    <w:p w14:paraId="678BE554" w14:textId="42412EDC" w:rsidR="00862C50" w:rsidRPr="00862C50" w:rsidRDefault="00652140" w:rsidP="00273E16">
      <w:pPr>
        <w:tabs>
          <w:tab w:val="num" w:pos="993"/>
        </w:tabs>
        <w:spacing w:before="0" w:after="200" w:line="276" w:lineRule="auto"/>
        <w:ind w:left="993" w:hanging="1004"/>
      </w:pPr>
      <w:r>
        <w:tab/>
      </w:r>
      <w:r w:rsidR="00862C50" w:rsidRPr="00862C50">
        <w:t xml:space="preserve">“O REGISTRO DA PRESENTE DISTRIBUIÇÃO NÃO IMPLICA, POR PARTE DA CVM, GARANTIA DE VERACIDADE DAS INFORMAÇÕES PRESTADAS OU JULGAMENTO SOBRE A QUALIDADE DO EMISSOR, BEM COMO SOBRE AS NOTAS PROMISSÓRIAS A SEREM DISTRIBUÍDAS.” </w:t>
      </w:r>
    </w:p>
    <w:p w14:paraId="2F777154" w14:textId="3D937A0A" w:rsidR="00862C50" w:rsidRPr="00862C50" w:rsidRDefault="00652140" w:rsidP="00322D82">
      <w:pPr>
        <w:tabs>
          <w:tab w:val="num" w:pos="993"/>
        </w:tabs>
        <w:spacing w:before="0" w:after="200" w:line="276" w:lineRule="auto"/>
        <w:ind w:left="993" w:hanging="1004"/>
        <w:jc w:val="left"/>
      </w:pPr>
      <w:r>
        <w:tab/>
      </w:r>
      <w:r w:rsidR="00862C50" w:rsidRPr="00862C50">
        <w:t>E, se for o caso:</w:t>
      </w:r>
    </w:p>
    <w:p w14:paraId="79417F5A" w14:textId="59AF8523" w:rsidR="00862C50" w:rsidRPr="00862C50" w:rsidRDefault="00652140" w:rsidP="00273E16">
      <w:pPr>
        <w:tabs>
          <w:tab w:val="num" w:pos="993"/>
        </w:tabs>
        <w:spacing w:before="0" w:after="200" w:line="276" w:lineRule="auto"/>
        <w:ind w:left="993" w:hanging="1004"/>
      </w:pPr>
      <w:r>
        <w:tab/>
      </w:r>
      <w:r w:rsidR="00862C50" w:rsidRPr="00862C50">
        <w:t>“AS NOTAS PROMISSÓRIAS OBJETO DA PRESENTE OFERTA NÃO SERÃO NEGOCIADAS EM BOLSA DE VALORES OU EM SISTEMA DE MERCADO DE BALCÃO, NÃO PODENDO SER ASSEGURADA A DISPONIBILIDADE DE INFORMAÇÕES SOBRE OS PREÇOS PRATICADOS OU SOBRE OS NEGÓCIOS REALIZADOS POSTERIORMENTE À SUA OFERTA.”</w:t>
      </w:r>
    </w:p>
    <w:p w14:paraId="31ED51BC" w14:textId="77777777" w:rsidR="00862C50" w:rsidRPr="00862C50" w:rsidRDefault="00862C50" w:rsidP="00322D82">
      <w:pPr>
        <w:numPr>
          <w:ilvl w:val="0"/>
          <w:numId w:val="6"/>
        </w:numPr>
        <w:tabs>
          <w:tab w:val="clear" w:pos="720"/>
          <w:tab w:val="num" w:pos="993"/>
        </w:tabs>
        <w:spacing w:before="0" w:after="200" w:line="276" w:lineRule="auto"/>
        <w:ind w:left="993" w:hanging="1004"/>
        <w:jc w:val="left"/>
        <w:rPr>
          <w:b/>
          <w:bCs/>
        </w:rPr>
      </w:pPr>
      <w:r w:rsidRPr="00862C50">
        <w:rPr>
          <w:b/>
          <w:bCs/>
        </w:rPr>
        <w:t>Principais Características da Operação:</w:t>
      </w:r>
    </w:p>
    <w:p w14:paraId="786566EB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Identificação do emissor (denominação, endereço de sua sede e página na rede mundial de computadores);</w:t>
      </w:r>
    </w:p>
    <w:p w14:paraId="652A4C77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Ato societário que tenha autorizado a emissão do título;</w:t>
      </w:r>
    </w:p>
    <w:p w14:paraId="22C45E41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Código ISIN;</w:t>
      </w:r>
    </w:p>
    <w:p w14:paraId="6260A21A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Valor da Emissão;</w:t>
      </w:r>
    </w:p>
    <w:p w14:paraId="3037AC05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Número de séries;</w:t>
      </w:r>
    </w:p>
    <w:p w14:paraId="62CEF6DC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Quantidade;</w:t>
      </w:r>
    </w:p>
    <w:p w14:paraId="38E134DB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Valor nominal unitário;</w:t>
      </w:r>
    </w:p>
    <w:p w14:paraId="32B594B8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Procedimentos de subscrição e integralização;</w:t>
      </w:r>
    </w:p>
    <w:p w14:paraId="7B17248B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Forma de precificação;</w:t>
      </w:r>
    </w:p>
    <w:p w14:paraId="41E1D032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Condições de remuneração;</w:t>
      </w:r>
    </w:p>
    <w:p w14:paraId="0EFCF6FE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Prazo de vencimento;</w:t>
      </w:r>
    </w:p>
    <w:p w14:paraId="199C262C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lastRenderedPageBreak/>
        <w:t>Regime de colocação;</w:t>
      </w:r>
    </w:p>
    <w:p w14:paraId="16712CCB" w14:textId="2D4A9C79" w:rsidR="00862C50" w:rsidRPr="00862C50" w:rsidRDefault="00862C50" w:rsidP="00273E16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</w:pPr>
      <w:r w:rsidRPr="00862C50">
        <w:t>Garantias, se houver, e declaração da instituição líder da distribuição de que verificou a regularidade de sua constituição, suficiência e exequibilidade</w:t>
      </w:r>
      <w:r w:rsidR="00380585">
        <w:t>;</w:t>
      </w:r>
    </w:p>
    <w:p w14:paraId="0ED0342D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Hipóteses de vencimento antecipado e condições de resgate;</w:t>
      </w:r>
    </w:p>
    <w:p w14:paraId="646E6050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Procedimento de rateio;</w:t>
      </w:r>
    </w:p>
    <w:p w14:paraId="7971BF37" w14:textId="77777777" w:rsid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Local de negociação, se houver;</w:t>
      </w:r>
    </w:p>
    <w:p w14:paraId="0EC8EC7E" w14:textId="697F4D1C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Agente de notas ou o agente a que se refere o inciso II do § 1º do art. 5º, se houver;</w:t>
      </w:r>
    </w:p>
    <w:p w14:paraId="2E67B4BA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Classificação de risco, se houver;</w:t>
      </w:r>
    </w:p>
    <w:p w14:paraId="5B8D176A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Identificação das instituições integrantes do consórcio de distribuição; e</w:t>
      </w:r>
    </w:p>
    <w:p w14:paraId="4EC82129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4820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Destinação dos recursos.</w:t>
      </w:r>
    </w:p>
    <w:p w14:paraId="6EAD120F" w14:textId="77777777" w:rsidR="00862C50" w:rsidRPr="00862C50" w:rsidRDefault="00862C50" w:rsidP="00322D82">
      <w:pPr>
        <w:numPr>
          <w:ilvl w:val="0"/>
          <w:numId w:val="6"/>
        </w:numPr>
        <w:tabs>
          <w:tab w:val="clear" w:pos="720"/>
          <w:tab w:val="num" w:pos="993"/>
        </w:tabs>
        <w:spacing w:before="0" w:after="200" w:line="276" w:lineRule="auto"/>
        <w:ind w:left="993" w:hanging="1004"/>
        <w:jc w:val="left"/>
        <w:rPr>
          <w:b/>
          <w:bCs/>
        </w:rPr>
      </w:pPr>
      <w:r w:rsidRPr="00862C50">
        <w:rPr>
          <w:b/>
          <w:bCs/>
        </w:rPr>
        <w:t>Descrição sumária das atividades do emissor.</w:t>
      </w:r>
    </w:p>
    <w:p w14:paraId="009AC66F" w14:textId="77777777" w:rsidR="00862C50" w:rsidRPr="00862C50" w:rsidRDefault="00862C50" w:rsidP="00273E16">
      <w:pPr>
        <w:numPr>
          <w:ilvl w:val="0"/>
          <w:numId w:val="6"/>
        </w:numPr>
        <w:tabs>
          <w:tab w:val="clear" w:pos="720"/>
          <w:tab w:val="num" w:pos="993"/>
        </w:tabs>
        <w:spacing w:before="0" w:after="200" w:line="276" w:lineRule="auto"/>
        <w:ind w:left="993" w:hanging="1004"/>
        <w:rPr>
          <w:b/>
          <w:bCs/>
        </w:rPr>
      </w:pPr>
      <w:r w:rsidRPr="00862C50">
        <w:rPr>
          <w:b/>
          <w:bCs/>
        </w:rPr>
        <w:t>Identificação dos garantidores, devendo ser informado seu tipo societário e características gerais de seu negócio.</w:t>
      </w:r>
    </w:p>
    <w:p w14:paraId="321E2E8A" w14:textId="3E4BFB43" w:rsidR="00C75B72" w:rsidRPr="00C75B72" w:rsidRDefault="00862C50" w:rsidP="00322D82">
      <w:pPr>
        <w:numPr>
          <w:ilvl w:val="0"/>
          <w:numId w:val="6"/>
        </w:numPr>
        <w:tabs>
          <w:tab w:val="clear" w:pos="720"/>
          <w:tab w:val="num" w:pos="993"/>
        </w:tabs>
        <w:spacing w:before="0" w:after="200" w:line="276" w:lineRule="auto"/>
        <w:ind w:left="993" w:hanging="1004"/>
        <w:jc w:val="left"/>
        <w:rPr>
          <w:b/>
          <w:bCs/>
        </w:rPr>
      </w:pPr>
      <w:r w:rsidRPr="00862C50">
        <w:rPr>
          <w:b/>
          <w:bCs/>
        </w:rPr>
        <w:t>Informações financeiras selecionadas</w:t>
      </w:r>
      <w:r w:rsidR="007862D5">
        <w:rPr>
          <w:b/>
          <w:bCs/>
        </w:rPr>
        <w:t xml:space="preserve"> </w:t>
      </w:r>
      <w:r w:rsidR="00230FDD">
        <w:rPr>
          <w:rStyle w:val="Refdenotaderodap"/>
          <w:b/>
          <w:bCs/>
        </w:rPr>
        <w:footnoteReference w:id="1"/>
      </w:r>
    </w:p>
    <w:p w14:paraId="470262B3" w14:textId="77777777" w:rsidR="00862C50" w:rsidRPr="00862C50" w:rsidRDefault="00862C50" w:rsidP="00322D82">
      <w:pPr>
        <w:numPr>
          <w:ilvl w:val="1"/>
          <w:numId w:val="6"/>
        </w:numPr>
        <w:tabs>
          <w:tab w:val="clear" w:pos="720"/>
          <w:tab w:val="num" w:pos="-1985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Principais contas do Ativo/Passivo</w:t>
      </w:r>
    </w:p>
    <w:p w14:paraId="4191369B" w14:textId="77777777" w:rsidR="00862C50" w:rsidRPr="00862C50" w:rsidRDefault="00862C50" w:rsidP="00322D82">
      <w:pPr>
        <w:numPr>
          <w:ilvl w:val="2"/>
          <w:numId w:val="6"/>
        </w:numPr>
        <w:tabs>
          <w:tab w:val="num" w:pos="993"/>
        </w:tabs>
        <w:spacing w:before="0" w:after="200" w:line="276" w:lineRule="auto"/>
        <w:ind w:left="993" w:hanging="1004"/>
        <w:jc w:val="left"/>
      </w:pPr>
      <w:r w:rsidRPr="00862C50">
        <w:t>Ativo</w:t>
      </w:r>
    </w:p>
    <w:p w14:paraId="7AE8C061" w14:textId="77777777" w:rsidR="00862C50" w:rsidRPr="00862C50" w:rsidRDefault="00862C50" w:rsidP="00322D82">
      <w:pPr>
        <w:numPr>
          <w:ilvl w:val="3"/>
          <w:numId w:val="6"/>
        </w:numPr>
        <w:tabs>
          <w:tab w:val="num" w:pos="993"/>
        </w:tabs>
        <w:spacing w:before="0" w:after="200" w:line="276" w:lineRule="auto"/>
        <w:ind w:left="993" w:hanging="1004"/>
        <w:jc w:val="left"/>
      </w:pPr>
      <w:r w:rsidRPr="00862C50">
        <w:t>Total do ativo circulante</w:t>
      </w:r>
    </w:p>
    <w:p w14:paraId="4E2954E7" w14:textId="77777777" w:rsidR="00862C50" w:rsidRPr="00862C50" w:rsidRDefault="00862C50" w:rsidP="00322D82">
      <w:pPr>
        <w:numPr>
          <w:ilvl w:val="3"/>
          <w:numId w:val="6"/>
        </w:numPr>
        <w:tabs>
          <w:tab w:val="num" w:pos="993"/>
        </w:tabs>
        <w:spacing w:before="0" w:after="200" w:line="276" w:lineRule="auto"/>
        <w:ind w:left="993" w:hanging="1004"/>
        <w:jc w:val="left"/>
      </w:pPr>
      <w:r w:rsidRPr="00862C50">
        <w:t xml:space="preserve">Total do ativo não circulante </w:t>
      </w:r>
    </w:p>
    <w:p w14:paraId="22AB11F0" w14:textId="77777777" w:rsidR="00862C50" w:rsidRPr="00862C50" w:rsidRDefault="00862C50" w:rsidP="00322D82">
      <w:pPr>
        <w:numPr>
          <w:ilvl w:val="4"/>
          <w:numId w:val="6"/>
        </w:numPr>
        <w:tabs>
          <w:tab w:val="clear" w:pos="1440"/>
          <w:tab w:val="num" w:pos="-1985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Realizável a longo prazo</w:t>
      </w:r>
    </w:p>
    <w:p w14:paraId="17DBECDF" w14:textId="77777777" w:rsidR="00862C50" w:rsidRPr="00862C50" w:rsidRDefault="00862C50" w:rsidP="00322D82">
      <w:pPr>
        <w:numPr>
          <w:ilvl w:val="4"/>
          <w:numId w:val="6"/>
        </w:numPr>
        <w:tabs>
          <w:tab w:val="clear" w:pos="1440"/>
          <w:tab w:val="num" w:pos="-1985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Demais contas do ativo não circulante</w:t>
      </w:r>
    </w:p>
    <w:p w14:paraId="6B1AE1D4" w14:textId="77777777" w:rsidR="00862C50" w:rsidRPr="00862C50" w:rsidRDefault="00862C50" w:rsidP="00322D82">
      <w:pPr>
        <w:numPr>
          <w:ilvl w:val="3"/>
          <w:numId w:val="6"/>
        </w:numPr>
        <w:tabs>
          <w:tab w:val="num" w:pos="993"/>
        </w:tabs>
        <w:spacing w:before="0" w:after="200" w:line="276" w:lineRule="auto"/>
        <w:ind w:left="993" w:hanging="1004"/>
        <w:jc w:val="left"/>
      </w:pPr>
      <w:r w:rsidRPr="00862C50">
        <w:lastRenderedPageBreak/>
        <w:t>Total do ativo</w:t>
      </w:r>
    </w:p>
    <w:p w14:paraId="0156726A" w14:textId="77777777" w:rsidR="00862C50" w:rsidRPr="00862C50" w:rsidRDefault="00862C50" w:rsidP="00322D82">
      <w:pPr>
        <w:numPr>
          <w:ilvl w:val="2"/>
          <w:numId w:val="6"/>
        </w:numPr>
        <w:tabs>
          <w:tab w:val="num" w:pos="993"/>
        </w:tabs>
        <w:spacing w:before="0" w:after="200" w:line="276" w:lineRule="auto"/>
        <w:ind w:left="993" w:hanging="1004"/>
        <w:jc w:val="left"/>
      </w:pPr>
      <w:r w:rsidRPr="00862C50">
        <w:t>Passivo</w:t>
      </w:r>
    </w:p>
    <w:p w14:paraId="6C6FEB4D" w14:textId="77777777" w:rsidR="00862C50" w:rsidRPr="00862C50" w:rsidRDefault="00862C50" w:rsidP="00322D82">
      <w:pPr>
        <w:numPr>
          <w:ilvl w:val="3"/>
          <w:numId w:val="6"/>
        </w:numPr>
        <w:tabs>
          <w:tab w:val="clear" w:pos="1080"/>
          <w:tab w:val="num" w:pos="-1985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Total do passivo circulante</w:t>
      </w:r>
    </w:p>
    <w:p w14:paraId="1CA2DBEB" w14:textId="77777777" w:rsidR="00862C50" w:rsidRPr="00862C50" w:rsidRDefault="00862C50" w:rsidP="00322D82">
      <w:pPr>
        <w:numPr>
          <w:ilvl w:val="3"/>
          <w:numId w:val="6"/>
        </w:numPr>
        <w:tabs>
          <w:tab w:val="clear" w:pos="1080"/>
          <w:tab w:val="num" w:pos="-1985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Total do passivo não circulante</w:t>
      </w:r>
    </w:p>
    <w:p w14:paraId="2EDB7773" w14:textId="77777777" w:rsidR="00862C50" w:rsidRPr="00862C50" w:rsidRDefault="00862C50" w:rsidP="00322D82">
      <w:pPr>
        <w:numPr>
          <w:ilvl w:val="3"/>
          <w:numId w:val="6"/>
        </w:numPr>
        <w:tabs>
          <w:tab w:val="clear" w:pos="1080"/>
          <w:tab w:val="num" w:pos="-1985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Passivo total</w:t>
      </w:r>
    </w:p>
    <w:p w14:paraId="34824FA5" w14:textId="77777777" w:rsidR="00862C50" w:rsidRPr="00862C50" w:rsidRDefault="00862C50" w:rsidP="00322D82">
      <w:pPr>
        <w:numPr>
          <w:ilvl w:val="3"/>
          <w:numId w:val="6"/>
        </w:numPr>
        <w:tabs>
          <w:tab w:val="clear" w:pos="1080"/>
          <w:tab w:val="num" w:pos="-1985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Total do patrimônio líquido</w:t>
      </w:r>
    </w:p>
    <w:p w14:paraId="063630C1" w14:textId="77777777" w:rsidR="00862C50" w:rsidRPr="00862C50" w:rsidRDefault="00862C50" w:rsidP="00322D82">
      <w:pPr>
        <w:numPr>
          <w:ilvl w:val="3"/>
          <w:numId w:val="6"/>
        </w:numPr>
        <w:tabs>
          <w:tab w:val="clear" w:pos="1080"/>
          <w:tab w:val="num" w:pos="-1985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Total do passivo mais patrimônio líquido</w:t>
      </w:r>
    </w:p>
    <w:p w14:paraId="67F91E59" w14:textId="77777777" w:rsidR="00862C50" w:rsidRPr="00862C50" w:rsidRDefault="00862C50" w:rsidP="00322D82">
      <w:pPr>
        <w:numPr>
          <w:ilvl w:val="2"/>
          <w:numId w:val="6"/>
        </w:numPr>
        <w:tabs>
          <w:tab w:val="num" w:pos="993"/>
        </w:tabs>
        <w:spacing w:before="0" w:after="200" w:line="276" w:lineRule="auto"/>
        <w:ind w:left="993" w:hanging="1004"/>
        <w:jc w:val="left"/>
      </w:pPr>
      <w:r w:rsidRPr="00862C50">
        <w:t>Principais contas da demonstração de resultado</w:t>
      </w:r>
    </w:p>
    <w:p w14:paraId="5B0E2C0C" w14:textId="77777777" w:rsidR="00862C50" w:rsidRPr="00862C50" w:rsidRDefault="00862C50" w:rsidP="00322D82">
      <w:pPr>
        <w:numPr>
          <w:ilvl w:val="3"/>
          <w:numId w:val="6"/>
        </w:numPr>
        <w:tabs>
          <w:tab w:val="num" w:pos="993"/>
        </w:tabs>
        <w:spacing w:before="0" w:after="200" w:line="276" w:lineRule="auto"/>
        <w:ind w:left="993" w:hanging="1004"/>
        <w:jc w:val="left"/>
      </w:pPr>
      <w:r w:rsidRPr="00862C50">
        <w:t>Receita líquida</w:t>
      </w:r>
    </w:p>
    <w:p w14:paraId="49BCC1E5" w14:textId="77777777" w:rsidR="00862C50" w:rsidRPr="00862C50" w:rsidRDefault="00862C50" w:rsidP="00322D82">
      <w:pPr>
        <w:numPr>
          <w:ilvl w:val="3"/>
          <w:numId w:val="6"/>
        </w:numPr>
        <w:tabs>
          <w:tab w:val="num" w:pos="993"/>
        </w:tabs>
        <w:spacing w:before="0" w:after="200" w:line="276" w:lineRule="auto"/>
        <w:ind w:left="993" w:hanging="1004"/>
        <w:jc w:val="left"/>
      </w:pPr>
      <w:r w:rsidRPr="00862C50">
        <w:t>Custo produtos/mercadorias/serviços vendidos/prestados</w:t>
      </w:r>
    </w:p>
    <w:p w14:paraId="6967397E" w14:textId="77777777" w:rsidR="00862C50" w:rsidRPr="00862C50" w:rsidRDefault="00862C50" w:rsidP="00322D82">
      <w:pPr>
        <w:numPr>
          <w:ilvl w:val="3"/>
          <w:numId w:val="6"/>
        </w:numPr>
        <w:tabs>
          <w:tab w:val="num" w:pos="993"/>
        </w:tabs>
        <w:spacing w:before="0" w:after="200" w:line="276" w:lineRule="auto"/>
        <w:ind w:left="993" w:hanging="1004"/>
        <w:jc w:val="left"/>
      </w:pPr>
      <w:r w:rsidRPr="00862C50">
        <w:t>Lucro bruto</w:t>
      </w:r>
    </w:p>
    <w:p w14:paraId="381585AB" w14:textId="77777777" w:rsidR="00862C50" w:rsidRPr="00862C50" w:rsidRDefault="00862C50" w:rsidP="00322D82">
      <w:pPr>
        <w:numPr>
          <w:ilvl w:val="3"/>
          <w:numId w:val="6"/>
        </w:numPr>
        <w:tabs>
          <w:tab w:val="num" w:pos="993"/>
        </w:tabs>
        <w:spacing w:before="0" w:after="200" w:line="276" w:lineRule="auto"/>
        <w:ind w:left="993" w:hanging="1004"/>
        <w:jc w:val="left"/>
      </w:pPr>
      <w:r w:rsidRPr="00862C50">
        <w:t>Resultado antes do resultado financeiro e dos tributos</w:t>
      </w:r>
    </w:p>
    <w:p w14:paraId="2CB5C45E" w14:textId="77777777" w:rsidR="00862C50" w:rsidRPr="00862C50" w:rsidRDefault="00862C50" w:rsidP="00322D82">
      <w:pPr>
        <w:numPr>
          <w:ilvl w:val="3"/>
          <w:numId w:val="6"/>
        </w:numPr>
        <w:tabs>
          <w:tab w:val="num" w:pos="993"/>
        </w:tabs>
        <w:spacing w:before="0" w:after="200" w:line="276" w:lineRule="auto"/>
        <w:ind w:left="993" w:hanging="1004"/>
        <w:jc w:val="left"/>
      </w:pPr>
      <w:r w:rsidRPr="00862C50">
        <w:t>Lucro ou prejuízo líquido do período</w:t>
      </w:r>
    </w:p>
    <w:p w14:paraId="543B1C6B" w14:textId="77777777" w:rsidR="00862C50" w:rsidRPr="00862C50" w:rsidRDefault="00862C50" w:rsidP="00322D82">
      <w:pPr>
        <w:numPr>
          <w:ilvl w:val="2"/>
          <w:numId w:val="6"/>
        </w:numPr>
        <w:tabs>
          <w:tab w:val="num" w:pos="993"/>
        </w:tabs>
        <w:spacing w:before="0" w:after="200" w:line="276" w:lineRule="auto"/>
        <w:ind w:left="993" w:hanging="1004"/>
        <w:jc w:val="left"/>
      </w:pPr>
      <w:r w:rsidRPr="00862C50">
        <w:t>Principais contas da demonstração do resultado abrangente</w:t>
      </w:r>
    </w:p>
    <w:p w14:paraId="7ABE1FA4" w14:textId="77777777" w:rsidR="00862C50" w:rsidRPr="00862C50" w:rsidRDefault="00862C50" w:rsidP="00322D82">
      <w:pPr>
        <w:numPr>
          <w:ilvl w:val="3"/>
          <w:numId w:val="6"/>
        </w:numPr>
        <w:tabs>
          <w:tab w:val="clear" w:pos="1080"/>
          <w:tab w:val="num" w:pos="-1985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Itens que não serão reclassificados subsequentemente ao resultado</w:t>
      </w:r>
    </w:p>
    <w:p w14:paraId="6AD0D08F" w14:textId="77777777" w:rsidR="00862C50" w:rsidRPr="00862C50" w:rsidRDefault="00862C50" w:rsidP="00322D82">
      <w:pPr>
        <w:numPr>
          <w:ilvl w:val="3"/>
          <w:numId w:val="6"/>
        </w:numPr>
        <w:tabs>
          <w:tab w:val="clear" w:pos="1080"/>
          <w:tab w:val="num" w:pos="-1985"/>
          <w:tab w:val="num" w:pos="993"/>
        </w:tabs>
        <w:spacing w:before="0" w:after="200" w:line="276" w:lineRule="auto"/>
        <w:ind w:left="993" w:hanging="1004"/>
        <w:jc w:val="left"/>
      </w:pPr>
      <w:r w:rsidRPr="00862C50">
        <w:t>Itens que serão reclassificados subsequentemente ao resultado</w:t>
      </w:r>
    </w:p>
    <w:p w14:paraId="67DDF30F" w14:textId="77777777" w:rsidR="00862C50" w:rsidRPr="00862C50" w:rsidRDefault="00862C50" w:rsidP="00273E16">
      <w:pPr>
        <w:numPr>
          <w:ilvl w:val="1"/>
          <w:numId w:val="6"/>
        </w:numPr>
        <w:tabs>
          <w:tab w:val="clear" w:pos="720"/>
          <w:tab w:val="num" w:pos="993"/>
        </w:tabs>
        <w:spacing w:before="0" w:after="200" w:line="276" w:lineRule="auto"/>
        <w:ind w:left="993" w:hanging="1004"/>
      </w:pPr>
      <w:r w:rsidRPr="00862C50">
        <w:t>Identificação do auditor independente, ou, caso as demonstrações não tenham sido auditadas, explicitar essa condição.</w:t>
      </w:r>
    </w:p>
    <w:p w14:paraId="48C2830E" w14:textId="77777777" w:rsidR="00862C50" w:rsidRPr="00862C50" w:rsidRDefault="00862C50" w:rsidP="00322D82">
      <w:pPr>
        <w:numPr>
          <w:ilvl w:val="0"/>
          <w:numId w:val="6"/>
        </w:numPr>
        <w:tabs>
          <w:tab w:val="clear" w:pos="720"/>
          <w:tab w:val="num" w:pos="993"/>
        </w:tabs>
        <w:spacing w:before="0" w:after="200" w:line="276" w:lineRule="auto"/>
        <w:ind w:left="993" w:hanging="1004"/>
        <w:jc w:val="left"/>
        <w:rPr>
          <w:b/>
          <w:bCs/>
        </w:rPr>
      </w:pPr>
      <w:r w:rsidRPr="00862C50">
        <w:rPr>
          <w:b/>
          <w:bCs/>
        </w:rPr>
        <w:t>Descrição dos fatores de risco da operação.</w:t>
      </w:r>
    </w:p>
    <w:p w14:paraId="692A8C8C" w14:textId="77777777" w:rsidR="00862C50" w:rsidRPr="00862C50" w:rsidRDefault="00862C50" w:rsidP="00273E16">
      <w:pPr>
        <w:numPr>
          <w:ilvl w:val="0"/>
          <w:numId w:val="6"/>
        </w:numPr>
        <w:tabs>
          <w:tab w:val="clear" w:pos="720"/>
          <w:tab w:val="num" w:pos="993"/>
        </w:tabs>
        <w:spacing w:before="0" w:after="200" w:line="276" w:lineRule="auto"/>
        <w:ind w:left="993" w:hanging="1004"/>
        <w:rPr>
          <w:b/>
          <w:bCs/>
        </w:rPr>
      </w:pPr>
      <w:r w:rsidRPr="00862C50">
        <w:rPr>
          <w:b/>
          <w:bCs/>
        </w:rPr>
        <w:t xml:space="preserve">Descrição do relacionamento da ofertante com as instituições intermediárias que integram o consórcio. </w:t>
      </w:r>
    </w:p>
    <w:p w14:paraId="205EB63F" w14:textId="77777777" w:rsidR="00862C50" w:rsidRPr="00862C50" w:rsidRDefault="00862C50" w:rsidP="00322D82">
      <w:pPr>
        <w:numPr>
          <w:ilvl w:val="0"/>
          <w:numId w:val="6"/>
        </w:numPr>
        <w:tabs>
          <w:tab w:val="clear" w:pos="720"/>
          <w:tab w:val="num" w:pos="993"/>
        </w:tabs>
        <w:spacing w:before="0" w:after="200" w:line="276" w:lineRule="auto"/>
        <w:ind w:left="993" w:hanging="1004"/>
        <w:jc w:val="left"/>
        <w:rPr>
          <w:b/>
          <w:bCs/>
        </w:rPr>
      </w:pPr>
      <w:r w:rsidRPr="00862C50">
        <w:rPr>
          <w:b/>
          <w:bCs/>
        </w:rPr>
        <w:t>Declaração do ofertante e da instituição líder sobre a veracidade, consistência, qualidade e suficiência das informações prestadas.</w:t>
      </w:r>
    </w:p>
    <w:p w14:paraId="6B3CEBA5" w14:textId="471E1FC4" w:rsidR="00ED1FB4" w:rsidRPr="006E1797" w:rsidRDefault="00ED1FB4" w:rsidP="00652140">
      <w:pPr>
        <w:tabs>
          <w:tab w:val="num" w:pos="709"/>
        </w:tabs>
        <w:spacing w:before="0" w:after="200" w:line="276" w:lineRule="auto"/>
        <w:ind w:left="709" w:hanging="720"/>
        <w:jc w:val="left"/>
      </w:pPr>
    </w:p>
    <w:sectPr w:rsidR="00ED1FB4" w:rsidRPr="006E1797" w:rsidSect="00B46388">
      <w:headerReference w:type="default" r:id="rId11"/>
      <w:headerReference w:type="first" r:id="rId12"/>
      <w:pgSz w:w="11906" w:h="16838" w:code="9"/>
      <w:pgMar w:top="226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11C2" w14:textId="77777777" w:rsidR="008C77C2" w:rsidRDefault="008C77C2" w:rsidP="00ED1FB4">
      <w:r>
        <w:separator/>
      </w:r>
    </w:p>
  </w:endnote>
  <w:endnote w:type="continuationSeparator" w:id="0">
    <w:p w14:paraId="5EAA08F3" w14:textId="77777777" w:rsidR="008C77C2" w:rsidRDefault="008C77C2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86B8" w14:textId="77777777" w:rsidR="008C77C2" w:rsidRDefault="008C77C2" w:rsidP="00ED1FB4">
      <w:r>
        <w:separator/>
      </w:r>
    </w:p>
  </w:footnote>
  <w:footnote w:type="continuationSeparator" w:id="0">
    <w:p w14:paraId="48273EF2" w14:textId="77777777" w:rsidR="008C77C2" w:rsidRDefault="008C77C2" w:rsidP="00ED1FB4">
      <w:r>
        <w:continuationSeparator/>
      </w:r>
    </w:p>
  </w:footnote>
  <w:footnote w:id="1">
    <w:p w14:paraId="03F3094B" w14:textId="77777777" w:rsidR="00230FDD" w:rsidRDefault="00230FDD" w:rsidP="00230FDD">
      <w:pPr>
        <w:pStyle w:val="Textodenotaderodap"/>
      </w:pPr>
      <w:r>
        <w:rPr>
          <w:rStyle w:val="Refdenotaderodap"/>
        </w:rPr>
        <w:footnoteRef/>
      </w:r>
      <w:r>
        <w:t xml:space="preserve"> As informações devem compreender </w:t>
      </w:r>
      <w:r w:rsidRPr="00862C50">
        <w:t>os três últimos exercícios sociais e informações trimestrais do exercício em curso. As contas patrimoniais do trimestre em curso devem ser comparadas com as contas patrimoniais do final do exercício social imediatamente anterior, e as contas de resultado e de resultado abrangente do trimestre em curso (acumulados no exercício social corrente) devem ser comparadas com as do trimestre do exercício social anterior (acumulados no ano)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103F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10503463" wp14:editId="6FF662A6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B22AC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2EDD58A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7925B352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365D46BB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336F3ABE" w14:textId="77777777" w:rsidR="005D2C60" w:rsidRDefault="00D56FC5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4D2D5773" w14:textId="1EE5AA7B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4DD78D85C81F45C081D8ABA2FAC2E9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3348">
          <w:rPr>
            <w:caps/>
          </w:rPr>
          <w:t>163, de 13 de JULHO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DCF6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5A336C58" wp14:editId="01D0577F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7C79E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5A1FB14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3229D95A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0A84162F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853BD4E" w14:textId="77777777" w:rsidR="009B69B0" w:rsidRDefault="00D56FC5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A73C4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6" w15:restartNumberingAfterBreak="0">
    <w:nsid w:val="77426FCF"/>
    <w:multiLevelType w:val="multilevel"/>
    <w:tmpl w:val="02FE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965623447">
    <w:abstractNumId w:val="5"/>
  </w:num>
  <w:num w:numId="2" w16cid:durableId="1036229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088253">
    <w:abstractNumId w:val="2"/>
  </w:num>
  <w:num w:numId="4" w16cid:durableId="1624380843">
    <w:abstractNumId w:val="1"/>
  </w:num>
  <w:num w:numId="5" w16cid:durableId="1380126996">
    <w:abstractNumId w:val="0"/>
  </w:num>
  <w:num w:numId="6" w16cid:durableId="10843006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23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97"/>
    <w:rsid w:val="00015719"/>
    <w:rsid w:val="00032276"/>
    <w:rsid w:val="00071EAF"/>
    <w:rsid w:val="00082BE8"/>
    <w:rsid w:val="00086D6E"/>
    <w:rsid w:val="000C4038"/>
    <w:rsid w:val="000D3845"/>
    <w:rsid w:val="000D5D0B"/>
    <w:rsid w:val="000D7E62"/>
    <w:rsid w:val="000E2607"/>
    <w:rsid w:val="000F6C36"/>
    <w:rsid w:val="00102277"/>
    <w:rsid w:val="0011423A"/>
    <w:rsid w:val="001234F3"/>
    <w:rsid w:val="00123674"/>
    <w:rsid w:val="00137C04"/>
    <w:rsid w:val="001A072F"/>
    <w:rsid w:val="001B72FE"/>
    <w:rsid w:val="001B78B5"/>
    <w:rsid w:val="001C5172"/>
    <w:rsid w:val="001E0083"/>
    <w:rsid w:val="001F0414"/>
    <w:rsid w:val="001F6A07"/>
    <w:rsid w:val="00204135"/>
    <w:rsid w:val="00211201"/>
    <w:rsid w:val="00226D58"/>
    <w:rsid w:val="002277E0"/>
    <w:rsid w:val="00230FDD"/>
    <w:rsid w:val="002335E8"/>
    <w:rsid w:val="00234730"/>
    <w:rsid w:val="00236870"/>
    <w:rsid w:val="00236E6F"/>
    <w:rsid w:val="0024614E"/>
    <w:rsid w:val="00257AB2"/>
    <w:rsid w:val="00261C2E"/>
    <w:rsid w:val="00266595"/>
    <w:rsid w:val="002706B9"/>
    <w:rsid w:val="002725FB"/>
    <w:rsid w:val="00273E16"/>
    <w:rsid w:val="00287109"/>
    <w:rsid w:val="002D274F"/>
    <w:rsid w:val="002D4E4E"/>
    <w:rsid w:val="002E4CF6"/>
    <w:rsid w:val="002F1D96"/>
    <w:rsid w:val="002F4DC4"/>
    <w:rsid w:val="00303436"/>
    <w:rsid w:val="00322D82"/>
    <w:rsid w:val="0032504C"/>
    <w:rsid w:val="00327A6E"/>
    <w:rsid w:val="00330CAD"/>
    <w:rsid w:val="00355F07"/>
    <w:rsid w:val="003571A2"/>
    <w:rsid w:val="00372404"/>
    <w:rsid w:val="003724CB"/>
    <w:rsid w:val="00380585"/>
    <w:rsid w:val="00380DD1"/>
    <w:rsid w:val="00387038"/>
    <w:rsid w:val="003D47A9"/>
    <w:rsid w:val="0041797C"/>
    <w:rsid w:val="00431A3E"/>
    <w:rsid w:val="00434398"/>
    <w:rsid w:val="004409C8"/>
    <w:rsid w:val="00442165"/>
    <w:rsid w:val="004649CE"/>
    <w:rsid w:val="00471BD8"/>
    <w:rsid w:val="004A24F6"/>
    <w:rsid w:val="004C55E5"/>
    <w:rsid w:val="004D68A2"/>
    <w:rsid w:val="004D7735"/>
    <w:rsid w:val="004E43BE"/>
    <w:rsid w:val="004E7B30"/>
    <w:rsid w:val="00507ACC"/>
    <w:rsid w:val="00545535"/>
    <w:rsid w:val="00547A76"/>
    <w:rsid w:val="00560D57"/>
    <w:rsid w:val="00563E93"/>
    <w:rsid w:val="00581DDC"/>
    <w:rsid w:val="00583BFC"/>
    <w:rsid w:val="005A636E"/>
    <w:rsid w:val="005A7D20"/>
    <w:rsid w:val="005B74BD"/>
    <w:rsid w:val="005C12BE"/>
    <w:rsid w:val="005D2C60"/>
    <w:rsid w:val="005F05BB"/>
    <w:rsid w:val="00600B2C"/>
    <w:rsid w:val="00615840"/>
    <w:rsid w:val="00626B63"/>
    <w:rsid w:val="006270DF"/>
    <w:rsid w:val="00641277"/>
    <w:rsid w:val="0064338C"/>
    <w:rsid w:val="006446B5"/>
    <w:rsid w:val="00650297"/>
    <w:rsid w:val="00652140"/>
    <w:rsid w:val="0065401B"/>
    <w:rsid w:val="0065602B"/>
    <w:rsid w:val="00657B55"/>
    <w:rsid w:val="00674578"/>
    <w:rsid w:val="006E1563"/>
    <w:rsid w:val="006E1797"/>
    <w:rsid w:val="006E2484"/>
    <w:rsid w:val="006E713E"/>
    <w:rsid w:val="00710D5B"/>
    <w:rsid w:val="00715938"/>
    <w:rsid w:val="007258C1"/>
    <w:rsid w:val="00727062"/>
    <w:rsid w:val="00733B38"/>
    <w:rsid w:val="0076791B"/>
    <w:rsid w:val="007862D5"/>
    <w:rsid w:val="007B0927"/>
    <w:rsid w:val="007E0DD4"/>
    <w:rsid w:val="007E3184"/>
    <w:rsid w:val="0081067E"/>
    <w:rsid w:val="008126CE"/>
    <w:rsid w:val="00814816"/>
    <w:rsid w:val="00825622"/>
    <w:rsid w:val="00830DF2"/>
    <w:rsid w:val="00841BBF"/>
    <w:rsid w:val="00862C50"/>
    <w:rsid w:val="00891B0C"/>
    <w:rsid w:val="00894689"/>
    <w:rsid w:val="008A33DC"/>
    <w:rsid w:val="008B1164"/>
    <w:rsid w:val="008C50EB"/>
    <w:rsid w:val="008C77C2"/>
    <w:rsid w:val="008D13BF"/>
    <w:rsid w:val="008E1BFF"/>
    <w:rsid w:val="008E4905"/>
    <w:rsid w:val="009010FE"/>
    <w:rsid w:val="00916A1E"/>
    <w:rsid w:val="00956E3B"/>
    <w:rsid w:val="009604BE"/>
    <w:rsid w:val="009768AB"/>
    <w:rsid w:val="00980658"/>
    <w:rsid w:val="00984178"/>
    <w:rsid w:val="00990B1B"/>
    <w:rsid w:val="0099379A"/>
    <w:rsid w:val="009B69B0"/>
    <w:rsid w:val="009C742F"/>
    <w:rsid w:val="009E134C"/>
    <w:rsid w:val="009E621A"/>
    <w:rsid w:val="009F467D"/>
    <w:rsid w:val="00A44C46"/>
    <w:rsid w:val="00A60EDE"/>
    <w:rsid w:val="00A959BA"/>
    <w:rsid w:val="00AA3AA7"/>
    <w:rsid w:val="00AA5C81"/>
    <w:rsid w:val="00AB3882"/>
    <w:rsid w:val="00AB6116"/>
    <w:rsid w:val="00AC7E32"/>
    <w:rsid w:val="00AF0AF0"/>
    <w:rsid w:val="00AF0E51"/>
    <w:rsid w:val="00AF616B"/>
    <w:rsid w:val="00B0602C"/>
    <w:rsid w:val="00B067A8"/>
    <w:rsid w:val="00B06DAA"/>
    <w:rsid w:val="00B148B7"/>
    <w:rsid w:val="00B24AF8"/>
    <w:rsid w:val="00B35CFD"/>
    <w:rsid w:val="00B46388"/>
    <w:rsid w:val="00B53897"/>
    <w:rsid w:val="00B558E4"/>
    <w:rsid w:val="00B6004C"/>
    <w:rsid w:val="00B72262"/>
    <w:rsid w:val="00B736A0"/>
    <w:rsid w:val="00B8156A"/>
    <w:rsid w:val="00BC4CA4"/>
    <w:rsid w:val="00BC6747"/>
    <w:rsid w:val="00BC79E7"/>
    <w:rsid w:val="00BD4C27"/>
    <w:rsid w:val="00BE325C"/>
    <w:rsid w:val="00C1691E"/>
    <w:rsid w:val="00C24B4C"/>
    <w:rsid w:val="00C3231A"/>
    <w:rsid w:val="00C337FF"/>
    <w:rsid w:val="00C43348"/>
    <w:rsid w:val="00C4662B"/>
    <w:rsid w:val="00C54C35"/>
    <w:rsid w:val="00C67EA3"/>
    <w:rsid w:val="00C743A5"/>
    <w:rsid w:val="00C75B72"/>
    <w:rsid w:val="00C82C89"/>
    <w:rsid w:val="00CC6B71"/>
    <w:rsid w:val="00CE4762"/>
    <w:rsid w:val="00CE72E4"/>
    <w:rsid w:val="00CF7653"/>
    <w:rsid w:val="00D013CB"/>
    <w:rsid w:val="00D06349"/>
    <w:rsid w:val="00D16995"/>
    <w:rsid w:val="00D21117"/>
    <w:rsid w:val="00D24CB5"/>
    <w:rsid w:val="00D265BC"/>
    <w:rsid w:val="00D4180E"/>
    <w:rsid w:val="00D45716"/>
    <w:rsid w:val="00D56FC5"/>
    <w:rsid w:val="00D5719F"/>
    <w:rsid w:val="00DA5D26"/>
    <w:rsid w:val="00DC5820"/>
    <w:rsid w:val="00DE15EF"/>
    <w:rsid w:val="00DE6329"/>
    <w:rsid w:val="00DF03C8"/>
    <w:rsid w:val="00E06C36"/>
    <w:rsid w:val="00E136DD"/>
    <w:rsid w:val="00E25581"/>
    <w:rsid w:val="00E26A03"/>
    <w:rsid w:val="00E40225"/>
    <w:rsid w:val="00E50105"/>
    <w:rsid w:val="00E55733"/>
    <w:rsid w:val="00E9766F"/>
    <w:rsid w:val="00EA436F"/>
    <w:rsid w:val="00EB4A20"/>
    <w:rsid w:val="00ED1FB4"/>
    <w:rsid w:val="00EE5829"/>
    <w:rsid w:val="00EE6E1A"/>
    <w:rsid w:val="00EF0E36"/>
    <w:rsid w:val="00F20544"/>
    <w:rsid w:val="00F361C6"/>
    <w:rsid w:val="00F561FC"/>
    <w:rsid w:val="00F62D54"/>
    <w:rsid w:val="00F76CF1"/>
    <w:rsid w:val="00F9385A"/>
    <w:rsid w:val="00F96F59"/>
    <w:rsid w:val="00FA29E1"/>
    <w:rsid w:val="00FB25BB"/>
    <w:rsid w:val="00FC2A14"/>
    <w:rsid w:val="00FE287E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3FCD99"/>
  <w15:docId w15:val="{7E8E22D8-E7A1-4951-B067-45583C42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Reviso">
    <w:name w:val="Revision"/>
    <w:hidden/>
    <w:uiPriority w:val="99"/>
    <w:semiHidden/>
    <w:rsid w:val="00471BD8"/>
    <w:pPr>
      <w:spacing w:after="0" w:line="240" w:lineRule="auto"/>
    </w:pPr>
    <w:rPr>
      <w:rFonts w:cs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368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8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870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8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870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035CAC2574F9AA7BD38C7C2E2F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0CD14-FAC5-4CE2-A805-94091A7A8AB6}"/>
      </w:docPartPr>
      <w:docPartBody>
        <w:p w:rsidR="005F3D6C" w:rsidRDefault="00A61CB6">
          <w:pPr>
            <w:pStyle w:val="464035CAC2574F9AA7BD38C7C2E2FC0D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4DD78D85C81F45C081D8ABA2FAC2E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80FCF-21A3-49C5-A6D6-BCE6DD493C64}"/>
      </w:docPartPr>
      <w:docPartBody>
        <w:p w:rsidR="005F3D6C" w:rsidRDefault="00A61CB6">
          <w:pPr>
            <w:pStyle w:val="4DD78D85C81F45C081D8ABA2FAC2E9E1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B6"/>
    <w:rsid w:val="001B5006"/>
    <w:rsid w:val="00376119"/>
    <w:rsid w:val="004263EC"/>
    <w:rsid w:val="00586E61"/>
    <w:rsid w:val="005F3D6C"/>
    <w:rsid w:val="005F7C2A"/>
    <w:rsid w:val="00625CBE"/>
    <w:rsid w:val="00804242"/>
    <w:rsid w:val="00A05DD3"/>
    <w:rsid w:val="00A61CB6"/>
    <w:rsid w:val="00D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464035CAC2574F9AA7BD38C7C2E2FC0D">
    <w:name w:val="464035CAC2574F9AA7BD38C7C2E2FC0D"/>
  </w:style>
  <w:style w:type="paragraph" w:customStyle="1" w:styleId="4DD78D85C81F45C081D8ABA2FAC2E9E1">
    <w:name w:val="4DD78D85C81F45C081D8ABA2FAC2E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Props1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CC66A-111D-42EA-8CE7-1FF8E4A7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8BCBE-A9FA-48A1-B5E9-CE7BF60987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29E20E-5821-45D3-AC26-57F50D549409}">
  <ds:schemaRefs>
    <ds:schemaRef ds:uri="http://schemas.openxmlformats.org/package/2006/metadata/core-properties"/>
    <ds:schemaRef ds:uri="http://schemas.microsoft.com/office/2006/documentManagement/types"/>
    <ds:schemaRef ds:uri="15cb24ba-756a-4ce4-ac9a-5f0544b55546"/>
    <ds:schemaRef ds:uri="http://purl.org/dc/elements/1.1/"/>
    <ds:schemaRef ds:uri="53adeefc-49af-490c-b6df-0a140ad55ab3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1392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163, de 13 de JULHO de 2022</vt:lpstr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163, de 13 de JULHO de 2022</dc:title>
  <dc:creator>Raphael Souza</dc:creator>
  <cp:lastModifiedBy>Raphael Acácio Gomes dos Santos de Souza</cp:lastModifiedBy>
  <cp:revision>2</cp:revision>
  <dcterms:created xsi:type="dcterms:W3CDTF">2022-07-12T15:55:00Z</dcterms:created>
  <dcterms:modified xsi:type="dcterms:W3CDTF">2022-07-12T15:55:00Z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