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FC66" w14:textId="6A448C12" w:rsidR="00841BBF" w:rsidRPr="00C1691E" w:rsidRDefault="00841BBF" w:rsidP="00C1691E">
      <w:pPr>
        <w:pStyle w:val="TtulodaResoluo"/>
      </w:pPr>
      <w:bookmarkStart w:id="0" w:name="_GoBack"/>
      <w:bookmarkEnd w:id="0"/>
      <w:r w:rsidRPr="00C1691E">
        <w:t xml:space="preserve">Resolução </w:t>
      </w:r>
      <w:r w:rsidRPr="00B335E2">
        <w:t xml:space="preserve">CVM nº </w:t>
      </w:r>
      <w:sdt>
        <w:sdtPr>
          <w:alias w:val="Título"/>
          <w:tag w:val=""/>
          <w:id w:val="253094646"/>
          <w:placeholder>
            <w:docPart w:val="464035CAC2574F9AA7BD38C7C2E2FC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18D" w:rsidRPr="00B335E2">
            <w:t>165</w:t>
          </w:r>
          <w:r w:rsidR="009B69B0" w:rsidRPr="00B335E2">
            <w:t xml:space="preserve">, de </w:t>
          </w:r>
          <w:r w:rsidR="00B335E2">
            <w:t>18</w:t>
          </w:r>
          <w:r w:rsidR="0096318D" w:rsidRPr="00B335E2">
            <w:t xml:space="preserve"> DE AGOSTO DE 2022</w:t>
          </w:r>
        </w:sdtContent>
      </w:sdt>
    </w:p>
    <w:p w14:paraId="4D89BA82" w14:textId="2F80EF5A" w:rsidR="00841BBF" w:rsidRPr="00C82C89" w:rsidRDefault="0096318D" w:rsidP="00C82C89">
      <w:pPr>
        <w:pStyle w:val="Ementa"/>
      </w:pPr>
      <w:r w:rsidRPr="0096318D">
        <w:t xml:space="preserve">Equipara os Certificados de Recebíveis </w:t>
      </w:r>
      <w:r>
        <w:t>a que se refere a</w:t>
      </w:r>
      <w:r w:rsidRPr="0096318D">
        <w:t xml:space="preserve"> Lei nº 14.43</w:t>
      </w:r>
      <w:r w:rsidR="00471E89">
        <w:t>0, de 3 de agosto de 2022, aos certificados de recebíveis imobiliários e do a</w:t>
      </w:r>
      <w:r w:rsidRPr="0096318D">
        <w:t>gronegócio para fins de aplicação da Instrução CVM nº 476, de 16 de janeiro de 2009</w:t>
      </w:r>
      <w:r w:rsidR="00C82C89">
        <w:t>.</w:t>
      </w:r>
    </w:p>
    <w:p w14:paraId="6E2CDF74" w14:textId="16CB513D" w:rsidR="00551881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</w:t>
      </w:r>
      <w:r w:rsidR="00471E89">
        <w:t xml:space="preserve"> 16 de agosto de 2022</w:t>
      </w:r>
      <w:r w:rsidR="00894689">
        <w:t xml:space="preserve">, com fundamento no disposto nos </w:t>
      </w:r>
      <w:r w:rsidR="00551881" w:rsidRPr="00551881">
        <w:t>art. 2º, § 3º, da Lei nº 6.385, de 7 de dezembro de 1976</w:t>
      </w:r>
      <w:r w:rsidR="00551881">
        <w:t>,</w:t>
      </w:r>
      <w:r w:rsidR="00551881" w:rsidRPr="00551881">
        <w:t xml:space="preserve"> e no art. 19 da Lei nº 14.430, de 3 de agosto de 2022</w:t>
      </w:r>
      <w:r w:rsidR="00894689">
        <w:t xml:space="preserve">, </w:t>
      </w:r>
      <w:r w:rsidR="00551881">
        <w:t>e considerando que:</w:t>
      </w:r>
    </w:p>
    <w:p w14:paraId="33054899" w14:textId="5E689AD8" w:rsidR="0095437C" w:rsidRDefault="0095437C" w:rsidP="0095437C">
      <w:r>
        <w:t xml:space="preserve">a) a Lei nº 14.430, </w:t>
      </w:r>
      <w:r w:rsidR="00A2654E" w:rsidRPr="00551881">
        <w:t>de 3 de agosto de 2022</w:t>
      </w:r>
      <w:r>
        <w:t>, criou o marco legal da securitização e instituiu os Certificados de Recebíveis;</w:t>
      </w:r>
    </w:p>
    <w:p w14:paraId="6CBEED78" w14:textId="3F2CCA98" w:rsidR="0095437C" w:rsidRDefault="0095437C" w:rsidP="0095437C">
      <w:r>
        <w:t>b) a mesma Lei nº 14.</w:t>
      </w:r>
      <w:r w:rsidR="007A1A38">
        <w:t>430, de 2022, alterou as Leis nº</w:t>
      </w:r>
      <w:r>
        <w:t xml:space="preserve"> 9.514, de 20 de novembro de 1997, e </w:t>
      </w:r>
      <w:r w:rsidR="007A1A38">
        <w:t xml:space="preserve">nº </w:t>
      </w:r>
      <w:r>
        <w:t xml:space="preserve">11.076, de 30 de dezembro de 2004, de forma a consolidar as regras gerais aplicáveis às companhias </w:t>
      </w:r>
      <w:proofErr w:type="spellStart"/>
      <w:r>
        <w:t>securitizadoras</w:t>
      </w:r>
      <w:proofErr w:type="spellEnd"/>
      <w:r>
        <w:t xml:space="preserve"> e suas emissões, incluindo os </w:t>
      </w:r>
      <w:r w:rsidR="00A2654E">
        <w:t>certificados de r</w:t>
      </w:r>
      <w:r>
        <w:t>ece</w:t>
      </w:r>
      <w:r w:rsidR="00A2654E">
        <w:t>bíveis i</w:t>
      </w:r>
      <w:r>
        <w:t xml:space="preserve">mobiliários ("CRI") e </w:t>
      </w:r>
      <w:r w:rsidR="00A2654E">
        <w:t>certificados de recebíveis do a</w:t>
      </w:r>
      <w:r>
        <w:t>gronegócio ("CRA</w:t>
      </w:r>
      <w:r w:rsidR="00AD59D6">
        <w:t>”</w:t>
      </w:r>
      <w:r>
        <w:t>);</w:t>
      </w:r>
    </w:p>
    <w:p w14:paraId="73A91744" w14:textId="79FDAB08" w:rsidR="0095437C" w:rsidRDefault="0095437C" w:rsidP="0095437C">
      <w:r>
        <w:t xml:space="preserve">c) o art. 1º, § 1º, inciso V, da Instrução CVM nº 476, de 16 de janeiro de 2009, dispõe que a Instrução se aplica exclusivamente às ofertas públicas de CRI e CRA emitidos por companhias </w:t>
      </w:r>
      <w:proofErr w:type="spellStart"/>
      <w:r>
        <w:t>securitizadoras</w:t>
      </w:r>
      <w:proofErr w:type="spellEnd"/>
      <w:r>
        <w:t xml:space="preserve"> registradas na CVM como companhias abertas;</w:t>
      </w:r>
    </w:p>
    <w:p w14:paraId="38EE8384" w14:textId="57488454" w:rsidR="0095437C" w:rsidRDefault="0095437C" w:rsidP="0095437C">
      <w:r>
        <w:t xml:space="preserve">d) a CVM não espera um volume significativo de ofertas públicas de Certificados de Recebíveis registradas sob a égide da Instrução CVM nº 400, de </w:t>
      </w:r>
      <w:r w:rsidR="00AD59D6">
        <w:t>29 de dezembro de 2003</w:t>
      </w:r>
      <w:r>
        <w:t>, tendo em vista o possível público alvo de investidores profissionais;</w:t>
      </w:r>
    </w:p>
    <w:p w14:paraId="31382384" w14:textId="77777777" w:rsidR="0095437C" w:rsidRDefault="0095437C" w:rsidP="0095437C">
      <w:r>
        <w:t>e) somente com a entrada em vigor da Resolução CVM nº 160, de 13 de julho de 2022, será possível a oferta pública de Certificados de Recebíveis com o rito de registro automático;</w:t>
      </w:r>
    </w:p>
    <w:p w14:paraId="51B73A25" w14:textId="77777777" w:rsidR="0095437C" w:rsidRDefault="0095437C" w:rsidP="0095437C">
      <w:r>
        <w:t>f) a natureza jurídica equivalente entre os Certificados de Recebíveis criados pela Lei nº 14.430, de 2022, e os CRI e CRA;</w:t>
      </w:r>
    </w:p>
    <w:p w14:paraId="7D3E8A4F" w14:textId="77777777" w:rsidR="0095437C" w:rsidRDefault="0095437C" w:rsidP="0095437C">
      <w:r>
        <w:t>g) as disposições da Resolução CVM nº 60, de 21 de dezembro de 2021, para as ofertas públicas de operações de securitização, o que inclui os Certificados de Recebíveis; e</w:t>
      </w:r>
    </w:p>
    <w:p w14:paraId="79659FF5" w14:textId="634CF5FA" w:rsidR="00551881" w:rsidRDefault="0095437C" w:rsidP="0095437C">
      <w:r>
        <w:t>h) o potencial benefício para diferentes setores da atividade econômica, que não só o imobiliário e agronegócio, com a imediata possibilidade de se permitir as ofertas públicas com esforços restritos de Certificados de Recebíveis, nos termos da Instrução CVM nº 476, de 2009;</w:t>
      </w:r>
    </w:p>
    <w:p w14:paraId="37C4E4D2" w14:textId="4AB67C3B" w:rsidR="006E1797" w:rsidRDefault="00FA29E1" w:rsidP="00ED1FB4">
      <w:r w:rsidRPr="00551881">
        <w:lastRenderedPageBreak/>
        <w:t>APROVOU</w:t>
      </w:r>
      <w:r w:rsidR="00894689">
        <w:t xml:space="preserve"> a seguinte Resolução:</w:t>
      </w:r>
    </w:p>
    <w:p w14:paraId="4C741D80" w14:textId="1176C8F9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135273" w:rsidRPr="00135273">
        <w:t>Ficam</w:t>
      </w:r>
      <w:proofErr w:type="gramEnd"/>
      <w:r w:rsidR="00135273" w:rsidRPr="00135273">
        <w:t xml:space="preserve"> equiparados os Certificados de Recebíveis</w:t>
      </w:r>
      <w:r w:rsidR="00135273">
        <w:t xml:space="preserve"> a que se refere a</w:t>
      </w:r>
      <w:r w:rsidR="00135273" w:rsidRPr="00135273">
        <w:t xml:space="preserve"> Lei nº 14.430, de 2022, aos CRI e CRA para fins de aplicação da Instrução CVM nº 476, de 2009, até a entrada em vigor da Resolução CVM nº 160, de 2022.</w:t>
      </w:r>
    </w:p>
    <w:p w14:paraId="67AA5040" w14:textId="55A4904F" w:rsidR="00B35CFD" w:rsidRDefault="0065401B" w:rsidP="00303CB3">
      <w:r>
        <w:t xml:space="preserve">Art. </w:t>
      </w:r>
      <w:r w:rsidR="00303CB3">
        <w:t>2</w:t>
      </w:r>
      <w:proofErr w:type="gramStart"/>
      <w:r w:rsidR="00303CB3">
        <w:t xml:space="preserve">º </w:t>
      </w:r>
      <w:r w:rsidR="00A0010F">
        <w:t xml:space="preserve"> </w:t>
      </w:r>
      <w:r w:rsidR="00303CB3">
        <w:t>Esta</w:t>
      </w:r>
      <w:proofErr w:type="gramEnd"/>
      <w:r w:rsidR="00303CB3">
        <w:t xml:space="preserve"> Resolução entra em vigor em 1º de setembro de 2022. </w:t>
      </w:r>
    </w:p>
    <w:p w14:paraId="071EF9E4" w14:textId="77777777" w:rsidR="00303CB3" w:rsidRDefault="00303CB3" w:rsidP="00E25581">
      <w:pPr>
        <w:spacing w:before="0" w:after="0" w:line="240" w:lineRule="auto"/>
        <w:ind w:firstLine="0"/>
        <w:jc w:val="center"/>
        <w:rPr>
          <w:i/>
        </w:rPr>
      </w:pPr>
    </w:p>
    <w:p w14:paraId="0BD5867D" w14:textId="43008C9B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27FC9705" w14:textId="77777777" w:rsidR="00303CB3" w:rsidRPr="00303CB3" w:rsidRDefault="00303CB3" w:rsidP="00E25581">
      <w:pPr>
        <w:spacing w:before="0" w:after="0" w:line="240" w:lineRule="auto"/>
        <w:ind w:firstLine="0"/>
        <w:jc w:val="center"/>
        <w:rPr>
          <w:b/>
        </w:rPr>
      </w:pPr>
      <w:r w:rsidRPr="00303CB3">
        <w:rPr>
          <w:b/>
        </w:rPr>
        <w:t>João Pedro Nascimento</w:t>
      </w:r>
    </w:p>
    <w:p w14:paraId="07BBAB10" w14:textId="0BA9B8A9" w:rsid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303CB3">
        <w:rPr>
          <w:b/>
        </w:rPr>
        <w:t>Presidente</w:t>
      </w:r>
    </w:p>
    <w:sectPr w:rsidR="00E25581" w:rsidSect="00B463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1611" w14:textId="77777777" w:rsidR="00226D58" w:rsidRDefault="00226D58" w:rsidP="00ED1FB4">
      <w:r>
        <w:separator/>
      </w:r>
    </w:p>
  </w:endnote>
  <w:endnote w:type="continuationSeparator" w:id="0">
    <w:p w14:paraId="642CF92D" w14:textId="77777777" w:rsidR="00226D58" w:rsidRDefault="00226D58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43CC" w14:textId="77777777" w:rsidR="00B46388" w:rsidRDefault="00B46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0A2F" w14:textId="77777777" w:rsidR="00B46388" w:rsidRDefault="00B46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7D06" w14:textId="77777777" w:rsidR="00B46388" w:rsidRDefault="00B46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CB34" w14:textId="77777777" w:rsidR="00226D58" w:rsidRDefault="00226D58" w:rsidP="00ED1FB4">
      <w:r>
        <w:separator/>
      </w:r>
    </w:p>
  </w:footnote>
  <w:footnote w:type="continuationSeparator" w:id="0">
    <w:p w14:paraId="18C115FF" w14:textId="77777777" w:rsidR="00226D58" w:rsidRDefault="00226D58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0A40" w14:textId="77777777" w:rsidR="00B46388" w:rsidRDefault="00B46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103F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10503463" wp14:editId="6FF662A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B22A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2EDD58A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925B35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65D46BB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6F3ABE" w14:textId="77777777" w:rsidR="005D2C60" w:rsidRDefault="00E60303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D2D5773" w14:textId="41F891E5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4DD78D85C81F45C081D8ABA2FAC2E9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5E2">
          <w:rPr>
            <w:caps/>
          </w:rPr>
          <w:t>165, de 18 DE AGOSTO DE 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DCF6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336C58" wp14:editId="01D0577F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7C79E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5A1FB14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229D95A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0A84162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853BD4E" w14:textId="77777777" w:rsidR="009B69B0" w:rsidRDefault="00E60303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7"/>
    <w:rsid w:val="00032276"/>
    <w:rsid w:val="00082BE8"/>
    <w:rsid w:val="000C4038"/>
    <w:rsid w:val="000E2607"/>
    <w:rsid w:val="00102277"/>
    <w:rsid w:val="00135273"/>
    <w:rsid w:val="00137C04"/>
    <w:rsid w:val="001C5172"/>
    <w:rsid w:val="001E0083"/>
    <w:rsid w:val="00226D58"/>
    <w:rsid w:val="00236E6F"/>
    <w:rsid w:val="0024614E"/>
    <w:rsid w:val="00266595"/>
    <w:rsid w:val="00287109"/>
    <w:rsid w:val="002F1D96"/>
    <w:rsid w:val="002F4DC4"/>
    <w:rsid w:val="00303CB3"/>
    <w:rsid w:val="00327A6E"/>
    <w:rsid w:val="003D47A9"/>
    <w:rsid w:val="0041797C"/>
    <w:rsid w:val="00431A3E"/>
    <w:rsid w:val="004659AC"/>
    <w:rsid w:val="00471E89"/>
    <w:rsid w:val="004C55E5"/>
    <w:rsid w:val="004D68A2"/>
    <w:rsid w:val="00507ACC"/>
    <w:rsid w:val="00547A76"/>
    <w:rsid w:val="00551881"/>
    <w:rsid w:val="00583BFC"/>
    <w:rsid w:val="005C12BE"/>
    <w:rsid w:val="005D2C60"/>
    <w:rsid w:val="006270DF"/>
    <w:rsid w:val="0064338C"/>
    <w:rsid w:val="0065401B"/>
    <w:rsid w:val="0065602B"/>
    <w:rsid w:val="00657B55"/>
    <w:rsid w:val="00674578"/>
    <w:rsid w:val="006E1563"/>
    <w:rsid w:val="006E1797"/>
    <w:rsid w:val="006E2484"/>
    <w:rsid w:val="007258C1"/>
    <w:rsid w:val="00727062"/>
    <w:rsid w:val="0076791B"/>
    <w:rsid w:val="007A1A38"/>
    <w:rsid w:val="0081067E"/>
    <w:rsid w:val="00814816"/>
    <w:rsid w:val="00825622"/>
    <w:rsid w:val="00841BBF"/>
    <w:rsid w:val="00894689"/>
    <w:rsid w:val="008B1164"/>
    <w:rsid w:val="008D13BF"/>
    <w:rsid w:val="009010FE"/>
    <w:rsid w:val="00916A1E"/>
    <w:rsid w:val="0095437C"/>
    <w:rsid w:val="00956E3B"/>
    <w:rsid w:val="0096318D"/>
    <w:rsid w:val="009768AB"/>
    <w:rsid w:val="00990B1B"/>
    <w:rsid w:val="0099379A"/>
    <w:rsid w:val="009B69B0"/>
    <w:rsid w:val="009E621A"/>
    <w:rsid w:val="00A0010F"/>
    <w:rsid w:val="00A2654E"/>
    <w:rsid w:val="00A44C46"/>
    <w:rsid w:val="00A60EDE"/>
    <w:rsid w:val="00AB6116"/>
    <w:rsid w:val="00AC7E32"/>
    <w:rsid w:val="00AD59D6"/>
    <w:rsid w:val="00AF0E51"/>
    <w:rsid w:val="00AF616B"/>
    <w:rsid w:val="00B335E2"/>
    <w:rsid w:val="00B35CFD"/>
    <w:rsid w:val="00B46388"/>
    <w:rsid w:val="00B53897"/>
    <w:rsid w:val="00B72262"/>
    <w:rsid w:val="00B736A0"/>
    <w:rsid w:val="00BC6747"/>
    <w:rsid w:val="00C1691E"/>
    <w:rsid w:val="00C24B4C"/>
    <w:rsid w:val="00C3231A"/>
    <w:rsid w:val="00C82C89"/>
    <w:rsid w:val="00CC6B71"/>
    <w:rsid w:val="00D013CB"/>
    <w:rsid w:val="00D06349"/>
    <w:rsid w:val="00D16995"/>
    <w:rsid w:val="00D21117"/>
    <w:rsid w:val="00DA5D26"/>
    <w:rsid w:val="00DC5820"/>
    <w:rsid w:val="00DF03C8"/>
    <w:rsid w:val="00E136DD"/>
    <w:rsid w:val="00E25581"/>
    <w:rsid w:val="00E55733"/>
    <w:rsid w:val="00E60303"/>
    <w:rsid w:val="00EA436F"/>
    <w:rsid w:val="00ED1FB4"/>
    <w:rsid w:val="00FA29E1"/>
    <w:rsid w:val="00FB25BB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CD99"/>
  <w15:docId w15:val="{7E8E22D8-E7A1-4951-B067-45583C4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4035CAC2574F9AA7BD38C7C2E2F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CD14-FAC5-4CE2-A805-94091A7A8AB6}"/>
      </w:docPartPr>
      <w:docPartBody>
        <w:p w:rsidR="005F3D6C" w:rsidRDefault="00A61CB6">
          <w:pPr>
            <w:pStyle w:val="464035CAC2574F9AA7BD38C7C2E2FC0D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DD78D85C81F45C081D8ABA2FAC2E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0FCF-21A3-49C5-A6D6-BCE6DD493C64}"/>
      </w:docPartPr>
      <w:docPartBody>
        <w:p w:rsidR="005F3D6C" w:rsidRDefault="00A61CB6">
          <w:pPr>
            <w:pStyle w:val="4DD78D85C81F45C081D8ABA2FAC2E9E1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6"/>
    <w:rsid w:val="005F3D6C"/>
    <w:rsid w:val="005F7C2A"/>
    <w:rsid w:val="00A05DD3"/>
    <w:rsid w:val="00A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64035CAC2574F9AA7BD38C7C2E2FC0D">
    <w:name w:val="464035CAC2574F9AA7BD38C7C2E2FC0D"/>
  </w:style>
  <w:style w:type="paragraph" w:customStyle="1" w:styleId="4DD78D85C81F45C081D8ABA2FAC2E9E1">
    <w:name w:val="4DD78D85C81F45C081D8ABA2FAC2E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3" ma:contentTypeDescription="Create a new document." ma:contentTypeScope="" ma:versionID="d971a4d6ef23a54b50c0aa36f9994c6e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beb9fa652f09bd38cd7f270082fc2d3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8C6C-0229-4209-982B-8E58D7A22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purl.org/dc/terms/"/>
    <ds:schemaRef ds:uri="http://schemas.openxmlformats.org/package/2006/metadata/core-properties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07d275-fe71-4d9d-b733-955bb29c3f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58750E-DE9F-42F2-9902-A356A0E4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165, de 18 DE AGOSTO DE 2022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165, de 18 DE AGOSTO DE 2022</dc:title>
  <dc:creator>Raphael Souza</dc:creator>
  <cp:lastModifiedBy>Mônica Pinheiro Regis de Brito</cp:lastModifiedBy>
  <cp:revision>2</cp:revision>
  <dcterms:created xsi:type="dcterms:W3CDTF">2022-08-18T18:17:00Z</dcterms:created>
  <dcterms:modified xsi:type="dcterms:W3CDTF">2022-08-18T18:17:00Z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