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6F3D" w14:textId="12E09DDA" w:rsidR="00893D49" w:rsidRPr="0097459F" w:rsidRDefault="00893D49" w:rsidP="00581FA2">
      <w:pPr>
        <w:pStyle w:val="TtulodaResoluo"/>
        <w:rPr>
          <w:b/>
        </w:rPr>
      </w:pPr>
      <w:bookmarkStart w:id="0" w:name="_Toc57836184"/>
      <w:bookmarkStart w:id="1" w:name="_Toc114818957"/>
      <w:bookmarkStart w:id="2" w:name="_Toc126226283"/>
      <w:r w:rsidRPr="0097459F">
        <w:t xml:space="preserve">RESOLUÇÃO CVM Nº </w:t>
      </w:r>
      <w:r w:rsidR="00A01063" w:rsidRPr="0097459F">
        <w:t xml:space="preserve">175, </w:t>
      </w:r>
      <w:r w:rsidRPr="0097459F">
        <w:t xml:space="preserve">DE </w:t>
      </w:r>
      <w:r w:rsidR="008F775D" w:rsidRPr="0097459F">
        <w:t>23</w:t>
      </w:r>
      <w:r w:rsidR="00A01063" w:rsidRPr="0097459F">
        <w:t xml:space="preserve"> </w:t>
      </w:r>
      <w:r w:rsidRPr="0097459F">
        <w:t xml:space="preserve">DE </w:t>
      </w:r>
      <w:r w:rsidR="00A01063" w:rsidRPr="0097459F">
        <w:t xml:space="preserve">DEZEMBRO </w:t>
      </w:r>
      <w:r w:rsidRPr="0097459F">
        <w:t xml:space="preserve">DE </w:t>
      </w:r>
      <w:bookmarkEnd w:id="0"/>
      <w:r w:rsidR="00544AA8" w:rsidRPr="0097459F">
        <w:rPr>
          <w:rFonts w:cstheme="minorHAnsi"/>
        </w:rPr>
        <w:t>2022</w:t>
      </w:r>
      <w:bookmarkEnd w:id="1"/>
      <w:bookmarkEnd w:id="2"/>
    </w:p>
    <w:p w14:paraId="086E4C5B" w14:textId="5EB24447" w:rsidR="00893D49" w:rsidRPr="0097459F" w:rsidRDefault="00893D49" w:rsidP="00581FA2">
      <w:pPr>
        <w:pStyle w:val="Ementa"/>
      </w:pPr>
      <w:r w:rsidRPr="0097459F">
        <w:t>Dispõe sobre a constituição, o funcionamento e a divulgação de informações dos fundos de investimento, bem como sobre a prestação de serviços para os fundos</w:t>
      </w:r>
      <w:r w:rsidR="0070514A" w:rsidRPr="0097459F">
        <w:rPr>
          <w:rFonts w:cstheme="minorHAnsi"/>
        </w:rPr>
        <w:t>, e revoga as normas que especifica</w:t>
      </w:r>
      <w:r w:rsidR="00C3047F" w:rsidRPr="0097459F">
        <w:t>.</w:t>
      </w:r>
    </w:p>
    <w:p w14:paraId="0A7406B2" w14:textId="77777777" w:rsidR="00893D49" w:rsidRPr="0097459F" w:rsidRDefault="00893D49" w:rsidP="00C20BBD">
      <w:pPr>
        <w:pStyle w:val="Captulo"/>
        <w:rPr>
          <w:rFonts w:asciiTheme="minorHAnsi" w:hAnsiTheme="minorHAnsi"/>
        </w:rPr>
      </w:pPr>
      <w:bookmarkStart w:id="3" w:name="_Toc114818958"/>
      <w:bookmarkStart w:id="4" w:name="_Toc57836185"/>
      <w:bookmarkStart w:id="5" w:name="_Toc126226284"/>
      <w:r w:rsidRPr="0097459F">
        <w:rPr>
          <w:rFonts w:asciiTheme="minorHAnsi" w:hAnsiTheme="minorHAnsi"/>
        </w:rPr>
        <w:t>SUMÁRIO</w:t>
      </w:r>
      <w:bookmarkEnd w:id="3"/>
      <w:bookmarkEnd w:id="4"/>
      <w:bookmarkEnd w:id="5"/>
    </w:p>
    <w:p w14:paraId="16423559" w14:textId="4E1F34A7" w:rsidR="00705553" w:rsidRPr="00705553" w:rsidRDefault="00893D49">
      <w:pPr>
        <w:pStyle w:val="Sumrio1"/>
        <w:rPr>
          <w:rFonts w:ascii="Calibri" w:eastAsiaTheme="minorEastAsia" w:hAnsi="Calibri" w:cstheme="minorBidi"/>
          <w:sz w:val="22"/>
          <w:szCs w:val="22"/>
        </w:rPr>
      </w:pPr>
      <w:r w:rsidRPr="0097459F">
        <w:rPr>
          <w:rFonts w:ascii="Calibri" w:hAnsi="Calibri"/>
          <w:color w:val="000000" w:themeColor="text1"/>
          <w:shd w:val="clear" w:color="auto" w:fill="E6E6E6"/>
        </w:rPr>
        <w:fldChar w:fldCharType="begin"/>
      </w:r>
      <w:r w:rsidRPr="0097459F">
        <w:rPr>
          <w:rFonts w:ascii="Calibri" w:hAnsi="Calibri"/>
          <w:color w:val="000000" w:themeColor="text1"/>
        </w:rPr>
        <w:instrText xml:space="preserve"> TOC \o "1-3" \h \z \u </w:instrText>
      </w:r>
      <w:r w:rsidRPr="0097459F">
        <w:rPr>
          <w:rFonts w:ascii="Calibri" w:hAnsi="Calibri"/>
          <w:color w:val="000000" w:themeColor="text1"/>
          <w:shd w:val="clear" w:color="auto" w:fill="E6E6E6"/>
        </w:rPr>
        <w:fldChar w:fldCharType="separate"/>
      </w:r>
      <w:hyperlink w:anchor="_Toc126226283" w:history="1">
        <w:r w:rsidR="00705553" w:rsidRPr="00705553">
          <w:rPr>
            <w:rStyle w:val="Hyperlink"/>
            <w:rFonts w:ascii="Calibri" w:hAnsi="Calibri"/>
          </w:rPr>
          <w:t>RESOLUÇÃO CVM Nº 175, DE 23 DE DEZEMBRO DE 2022</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_Toc126226283 \h </w:instrText>
        </w:r>
        <w:r w:rsidR="00705553" w:rsidRPr="00705553">
          <w:rPr>
            <w:rFonts w:ascii="Calibri" w:hAnsi="Calibri"/>
            <w:webHidden/>
          </w:rPr>
        </w:r>
        <w:r w:rsidR="00705553" w:rsidRPr="00705553">
          <w:rPr>
            <w:rFonts w:ascii="Calibri" w:hAnsi="Calibri"/>
            <w:webHidden/>
          </w:rPr>
          <w:fldChar w:fldCharType="separate"/>
        </w:r>
        <w:r w:rsidR="000E0035">
          <w:rPr>
            <w:rFonts w:ascii="Calibri" w:hAnsi="Calibri"/>
            <w:webHidden/>
          </w:rPr>
          <w:t>1</w:t>
        </w:r>
        <w:r w:rsidR="00705553" w:rsidRPr="00705553">
          <w:rPr>
            <w:rFonts w:ascii="Calibri" w:hAnsi="Calibri"/>
            <w:webHidden/>
          </w:rPr>
          <w:fldChar w:fldCharType="end"/>
        </w:r>
      </w:hyperlink>
    </w:p>
    <w:p w14:paraId="050550BB" w14:textId="251E1EFF" w:rsidR="00705553" w:rsidRPr="00705553" w:rsidRDefault="000E0035">
      <w:pPr>
        <w:pStyle w:val="Sumrio2"/>
        <w:rPr>
          <w:rFonts w:ascii="Calibri" w:eastAsiaTheme="minorEastAsia" w:hAnsi="Calibri" w:cstheme="minorBidi"/>
          <w:b w:val="0"/>
          <w:bCs w:val="0"/>
          <w:sz w:val="22"/>
          <w:szCs w:val="22"/>
        </w:rPr>
      </w:pPr>
      <w:hyperlink w:anchor="_Toc126226284" w:history="1">
        <w:r w:rsidR="00705553" w:rsidRPr="00705553">
          <w:rPr>
            <w:rStyle w:val="Hyperlink"/>
            <w:rFonts w:ascii="Calibri" w:hAnsi="Calibri"/>
          </w:rPr>
          <w:t>SUMÁRIO</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_Toc126226284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w:t>
        </w:r>
        <w:r w:rsidR="00705553" w:rsidRPr="00705553">
          <w:rPr>
            <w:rFonts w:ascii="Calibri" w:hAnsi="Calibri"/>
            <w:webHidden/>
          </w:rPr>
          <w:fldChar w:fldCharType="end"/>
        </w:r>
      </w:hyperlink>
    </w:p>
    <w:p w14:paraId="37F6CEA8" w14:textId="50FD58D7" w:rsidR="00705553" w:rsidRPr="00705553" w:rsidRDefault="000E0035">
      <w:pPr>
        <w:pStyle w:val="Sumrio2"/>
        <w:rPr>
          <w:rFonts w:ascii="Calibri" w:eastAsiaTheme="minorEastAsia" w:hAnsi="Calibri" w:cstheme="minorBidi"/>
          <w:b w:val="0"/>
          <w:bCs w:val="0"/>
          <w:sz w:val="22"/>
          <w:szCs w:val="22"/>
        </w:rPr>
      </w:pPr>
      <w:hyperlink w:anchor="_Toc126226285" w:history="1">
        <w:r w:rsidR="00705553" w:rsidRPr="00705553">
          <w:rPr>
            <w:rStyle w:val="Hyperlink"/>
            <w:rFonts w:ascii="Calibri" w:hAnsi="Calibri"/>
          </w:rPr>
          <w:t>CAPÍTULO I – ÂMBITO E FINALIDADE</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_Toc126226285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6</w:t>
        </w:r>
        <w:r w:rsidR="00705553" w:rsidRPr="00705553">
          <w:rPr>
            <w:rFonts w:ascii="Calibri" w:hAnsi="Calibri"/>
            <w:webHidden/>
          </w:rPr>
          <w:fldChar w:fldCharType="end"/>
        </w:r>
      </w:hyperlink>
    </w:p>
    <w:p w14:paraId="1262C9C4" w14:textId="758AC87A" w:rsidR="00705553" w:rsidRPr="00705553" w:rsidRDefault="000E0035">
      <w:pPr>
        <w:pStyle w:val="Sumrio2"/>
        <w:rPr>
          <w:rFonts w:ascii="Calibri" w:eastAsiaTheme="minorEastAsia" w:hAnsi="Calibri" w:cstheme="minorBidi"/>
          <w:b w:val="0"/>
          <w:bCs w:val="0"/>
          <w:sz w:val="22"/>
          <w:szCs w:val="22"/>
        </w:rPr>
      </w:pPr>
      <w:hyperlink w:anchor="_Toc126226286" w:history="1">
        <w:r w:rsidR="00705553" w:rsidRPr="00705553">
          <w:rPr>
            <w:rStyle w:val="Hyperlink"/>
            <w:rFonts w:ascii="Calibri" w:hAnsi="Calibri"/>
          </w:rPr>
          <w:t>CAPÍTULO II – DEFINIÇÕES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_Toc126226286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6</w:t>
        </w:r>
        <w:r w:rsidR="00705553" w:rsidRPr="00705553">
          <w:rPr>
            <w:rFonts w:ascii="Calibri" w:hAnsi="Calibri"/>
            <w:webHidden/>
          </w:rPr>
          <w:fldChar w:fldCharType="end"/>
        </w:r>
      </w:hyperlink>
    </w:p>
    <w:p w14:paraId="72E329A9" w14:textId="118259CB" w:rsidR="00705553" w:rsidRPr="00705553" w:rsidRDefault="000E0035">
      <w:pPr>
        <w:pStyle w:val="Sumrio2"/>
        <w:rPr>
          <w:rFonts w:ascii="Calibri" w:eastAsiaTheme="minorEastAsia" w:hAnsi="Calibri" w:cstheme="minorBidi"/>
          <w:b w:val="0"/>
          <w:bCs w:val="0"/>
          <w:sz w:val="22"/>
          <w:szCs w:val="22"/>
        </w:rPr>
      </w:pPr>
      <w:hyperlink w:anchor="_Toc126226287" w:history="1">
        <w:r w:rsidR="00705553" w:rsidRPr="00705553">
          <w:rPr>
            <w:rStyle w:val="Hyperlink"/>
            <w:rFonts w:ascii="Calibri" w:hAnsi="Calibri"/>
          </w:rPr>
          <w:t>CAPÍTULO III – CARACTERÍSTICAS, CONSTITUIÇÃO E COMUNICAÇÃO</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_Toc126226287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10</w:t>
        </w:r>
        <w:r w:rsidR="00705553" w:rsidRPr="00705553">
          <w:rPr>
            <w:rFonts w:ascii="Calibri" w:hAnsi="Calibri"/>
            <w:webHidden/>
          </w:rPr>
          <w:fldChar w:fldCharType="end"/>
        </w:r>
      </w:hyperlink>
    </w:p>
    <w:p w14:paraId="0FC220D9" w14:textId="422FE2D6" w:rsidR="00705553" w:rsidRPr="00705553" w:rsidRDefault="000E0035">
      <w:pPr>
        <w:pStyle w:val="Sumrio3"/>
        <w:rPr>
          <w:rFonts w:ascii="Calibri" w:eastAsiaTheme="minorEastAsia" w:hAnsi="Calibri" w:cstheme="minorBidi"/>
          <w:noProof/>
          <w:sz w:val="22"/>
          <w:szCs w:val="22"/>
        </w:rPr>
      </w:pPr>
      <w:hyperlink w:anchor="_Toc126226288" w:history="1">
        <w:r w:rsidR="00705553" w:rsidRPr="00705553">
          <w:rPr>
            <w:rStyle w:val="Hyperlink"/>
            <w:rFonts w:ascii="Calibri" w:hAnsi="Calibri"/>
            <w:noProof/>
          </w:rPr>
          <w:t>Seção I – Características Gerais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_Toc126226288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10</w:t>
        </w:r>
        <w:r w:rsidR="00705553" w:rsidRPr="00705553">
          <w:rPr>
            <w:rFonts w:ascii="Calibri" w:hAnsi="Calibri"/>
            <w:noProof/>
            <w:webHidden/>
          </w:rPr>
          <w:fldChar w:fldCharType="end"/>
        </w:r>
      </w:hyperlink>
    </w:p>
    <w:p w14:paraId="2572E067" w14:textId="14F414DD" w:rsidR="00705553" w:rsidRPr="00705553" w:rsidRDefault="000E0035">
      <w:pPr>
        <w:pStyle w:val="Sumrio3"/>
        <w:rPr>
          <w:rFonts w:ascii="Calibri" w:eastAsiaTheme="minorEastAsia" w:hAnsi="Calibri" w:cstheme="minorBidi"/>
          <w:noProof/>
          <w:sz w:val="22"/>
          <w:szCs w:val="22"/>
        </w:rPr>
      </w:pPr>
      <w:hyperlink w:anchor="_Toc126226289" w:history="1">
        <w:r w:rsidR="00705553" w:rsidRPr="00705553">
          <w:rPr>
            <w:rStyle w:val="Hyperlink"/>
            <w:rFonts w:ascii="Calibri" w:hAnsi="Calibri"/>
            <w:noProof/>
          </w:rPr>
          <w:t>Seção II – Constituição e Registro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_Toc126226289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11</w:t>
        </w:r>
        <w:r w:rsidR="00705553" w:rsidRPr="00705553">
          <w:rPr>
            <w:rFonts w:ascii="Calibri" w:hAnsi="Calibri"/>
            <w:noProof/>
            <w:webHidden/>
          </w:rPr>
          <w:fldChar w:fldCharType="end"/>
        </w:r>
      </w:hyperlink>
    </w:p>
    <w:p w14:paraId="43179267" w14:textId="5C67728D" w:rsidR="00705553" w:rsidRPr="00705553" w:rsidRDefault="000E0035">
      <w:pPr>
        <w:pStyle w:val="Sumrio3"/>
        <w:rPr>
          <w:rFonts w:ascii="Calibri" w:eastAsiaTheme="minorEastAsia" w:hAnsi="Calibri" w:cstheme="minorBidi"/>
          <w:noProof/>
          <w:sz w:val="22"/>
          <w:szCs w:val="22"/>
        </w:rPr>
      </w:pPr>
      <w:hyperlink w:anchor="_Toc126226290" w:history="1">
        <w:r w:rsidR="00705553" w:rsidRPr="00705553">
          <w:rPr>
            <w:rStyle w:val="Hyperlink"/>
            <w:rFonts w:ascii="Calibri" w:hAnsi="Calibri"/>
            <w:noProof/>
          </w:rPr>
          <w:t>Seção III – Comunicação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_Toc126226290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13</w:t>
        </w:r>
        <w:r w:rsidR="00705553" w:rsidRPr="00705553">
          <w:rPr>
            <w:rFonts w:ascii="Calibri" w:hAnsi="Calibri"/>
            <w:noProof/>
            <w:webHidden/>
          </w:rPr>
          <w:fldChar w:fldCharType="end"/>
        </w:r>
      </w:hyperlink>
    </w:p>
    <w:p w14:paraId="7A586217" w14:textId="7D875769" w:rsidR="00705553" w:rsidRPr="00705553" w:rsidRDefault="000E0035">
      <w:pPr>
        <w:pStyle w:val="Sumrio2"/>
        <w:rPr>
          <w:rFonts w:ascii="Calibri" w:eastAsiaTheme="minorEastAsia" w:hAnsi="Calibri" w:cstheme="minorBidi"/>
          <w:b w:val="0"/>
          <w:bCs w:val="0"/>
          <w:sz w:val="22"/>
          <w:szCs w:val="22"/>
        </w:rPr>
      </w:pPr>
      <w:hyperlink w:anchor="_Toc126226291" w:history="1">
        <w:r w:rsidR="00705553" w:rsidRPr="00705553">
          <w:rPr>
            <w:rStyle w:val="Hyperlink"/>
            <w:rFonts w:ascii="Calibri" w:hAnsi="Calibri"/>
          </w:rPr>
          <w:t>CAPÍTULO IV – COTAS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_Toc126226291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14</w:t>
        </w:r>
        <w:r w:rsidR="00705553" w:rsidRPr="00705553">
          <w:rPr>
            <w:rFonts w:ascii="Calibri" w:hAnsi="Calibri"/>
            <w:webHidden/>
          </w:rPr>
          <w:fldChar w:fldCharType="end"/>
        </w:r>
      </w:hyperlink>
    </w:p>
    <w:p w14:paraId="2BB8030B" w14:textId="1AD70FC1" w:rsidR="00705553" w:rsidRPr="00705553" w:rsidRDefault="000E0035">
      <w:pPr>
        <w:pStyle w:val="Sumrio3"/>
        <w:rPr>
          <w:rFonts w:ascii="Calibri" w:eastAsiaTheme="minorEastAsia" w:hAnsi="Calibri" w:cstheme="minorBidi"/>
          <w:noProof/>
          <w:sz w:val="22"/>
          <w:szCs w:val="22"/>
        </w:rPr>
      </w:pPr>
      <w:hyperlink w:anchor="_Toc126226292" w:history="1">
        <w:r w:rsidR="00705553" w:rsidRPr="00705553">
          <w:rPr>
            <w:rStyle w:val="Hyperlink"/>
            <w:rFonts w:ascii="Calibri" w:hAnsi="Calibri"/>
            <w:noProof/>
          </w:rPr>
          <w:t>Seção I – Disposições Gerais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_Toc126226292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14</w:t>
        </w:r>
        <w:r w:rsidR="00705553" w:rsidRPr="00705553">
          <w:rPr>
            <w:rFonts w:ascii="Calibri" w:hAnsi="Calibri"/>
            <w:noProof/>
            <w:webHidden/>
          </w:rPr>
          <w:fldChar w:fldCharType="end"/>
        </w:r>
      </w:hyperlink>
    </w:p>
    <w:p w14:paraId="4D598C0C" w14:textId="34CC2E5C" w:rsidR="00705553" w:rsidRPr="00705553" w:rsidRDefault="000E0035">
      <w:pPr>
        <w:pStyle w:val="Sumrio3"/>
        <w:rPr>
          <w:rFonts w:ascii="Calibri" w:eastAsiaTheme="minorEastAsia" w:hAnsi="Calibri" w:cstheme="minorBidi"/>
          <w:noProof/>
          <w:sz w:val="22"/>
          <w:szCs w:val="22"/>
        </w:rPr>
      </w:pPr>
      <w:hyperlink w:anchor="_Toc126226293" w:history="1">
        <w:r w:rsidR="00705553" w:rsidRPr="00705553">
          <w:rPr>
            <w:rStyle w:val="Hyperlink"/>
            <w:rFonts w:ascii="Calibri" w:hAnsi="Calibri"/>
            <w:noProof/>
          </w:rPr>
          <w:t>Seção II – Emissão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_Toc126226293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16</w:t>
        </w:r>
        <w:r w:rsidR="00705553" w:rsidRPr="00705553">
          <w:rPr>
            <w:rFonts w:ascii="Calibri" w:hAnsi="Calibri"/>
            <w:noProof/>
            <w:webHidden/>
          </w:rPr>
          <w:fldChar w:fldCharType="end"/>
        </w:r>
      </w:hyperlink>
    </w:p>
    <w:p w14:paraId="7F5E7409" w14:textId="6A2868EF" w:rsidR="00705553" w:rsidRPr="00705553" w:rsidRDefault="000E0035">
      <w:pPr>
        <w:pStyle w:val="Sumrio3"/>
        <w:rPr>
          <w:rFonts w:ascii="Calibri" w:eastAsiaTheme="minorEastAsia" w:hAnsi="Calibri" w:cstheme="minorBidi"/>
          <w:noProof/>
          <w:sz w:val="22"/>
          <w:szCs w:val="22"/>
        </w:rPr>
      </w:pPr>
      <w:hyperlink w:anchor="_Toc126226294" w:history="1">
        <w:r w:rsidR="00705553" w:rsidRPr="00705553">
          <w:rPr>
            <w:rStyle w:val="Hyperlink"/>
            <w:rFonts w:ascii="Calibri" w:hAnsi="Calibri" w:cstheme="minorHAnsi"/>
            <w:noProof/>
          </w:rPr>
          <w:t xml:space="preserve">Seção III – </w:t>
        </w:r>
        <w:r w:rsidR="00705553" w:rsidRPr="00705553">
          <w:rPr>
            <w:rStyle w:val="Hyperlink"/>
            <w:rFonts w:ascii="Calibri" w:hAnsi="Calibri"/>
            <w:noProof/>
          </w:rPr>
          <w:t>Distribuição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_Toc126226294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16</w:t>
        </w:r>
        <w:r w:rsidR="00705553" w:rsidRPr="00705553">
          <w:rPr>
            <w:rFonts w:ascii="Calibri" w:hAnsi="Calibri"/>
            <w:noProof/>
            <w:webHidden/>
          </w:rPr>
          <w:fldChar w:fldCharType="end"/>
        </w:r>
      </w:hyperlink>
    </w:p>
    <w:p w14:paraId="659668A4" w14:textId="00855C67" w:rsidR="00705553" w:rsidRPr="00705553" w:rsidRDefault="000E0035">
      <w:pPr>
        <w:pStyle w:val="Sumrio3"/>
        <w:rPr>
          <w:rFonts w:ascii="Calibri" w:eastAsiaTheme="minorEastAsia" w:hAnsi="Calibri" w:cstheme="minorBidi"/>
          <w:noProof/>
          <w:sz w:val="22"/>
          <w:szCs w:val="22"/>
        </w:rPr>
      </w:pPr>
      <w:hyperlink w:anchor="_Toc126226295" w:history="1">
        <w:r w:rsidR="00705553" w:rsidRPr="00705553">
          <w:rPr>
            <w:rStyle w:val="Hyperlink"/>
            <w:rFonts w:ascii="Calibri" w:hAnsi="Calibri" w:cstheme="minorHAnsi"/>
            <w:noProof/>
          </w:rPr>
          <w:t xml:space="preserve">Subseção I – </w:t>
        </w:r>
        <w:r w:rsidR="00705553" w:rsidRPr="00705553">
          <w:rPr>
            <w:rStyle w:val="Hyperlink"/>
            <w:rFonts w:ascii="Calibri" w:hAnsi="Calibri"/>
            <w:noProof/>
          </w:rPr>
          <w:t>Disposições</w:t>
        </w:r>
        <w:r w:rsidR="00705553" w:rsidRPr="00705553">
          <w:rPr>
            <w:rStyle w:val="Hyperlink"/>
            <w:rFonts w:ascii="Calibri" w:hAnsi="Calibri" w:cstheme="minorHAnsi"/>
            <w:noProof/>
          </w:rPr>
          <w:t xml:space="preserve"> Gerais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_Toc126226295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16</w:t>
        </w:r>
        <w:r w:rsidR="00705553" w:rsidRPr="00705553">
          <w:rPr>
            <w:rFonts w:ascii="Calibri" w:hAnsi="Calibri"/>
            <w:noProof/>
            <w:webHidden/>
          </w:rPr>
          <w:fldChar w:fldCharType="end"/>
        </w:r>
      </w:hyperlink>
    </w:p>
    <w:p w14:paraId="563940A8" w14:textId="20DE7258" w:rsidR="00705553" w:rsidRPr="00705553" w:rsidRDefault="000E0035">
      <w:pPr>
        <w:pStyle w:val="Sumrio3"/>
        <w:rPr>
          <w:rFonts w:ascii="Calibri" w:eastAsiaTheme="minorEastAsia" w:hAnsi="Calibri" w:cstheme="minorBidi"/>
          <w:noProof/>
          <w:sz w:val="22"/>
          <w:szCs w:val="22"/>
        </w:rPr>
      </w:pPr>
      <w:hyperlink w:anchor="_Toc126226296" w:history="1">
        <w:r w:rsidR="00705553" w:rsidRPr="00705553">
          <w:rPr>
            <w:rStyle w:val="Hyperlink"/>
            <w:rFonts w:ascii="Calibri" w:hAnsi="Calibri" w:cstheme="minorHAnsi"/>
            <w:noProof/>
          </w:rPr>
          <w:t>Subseção</w:t>
        </w:r>
        <w:r w:rsidR="00705553" w:rsidRPr="00705553">
          <w:rPr>
            <w:rStyle w:val="Hyperlink"/>
            <w:rFonts w:ascii="Calibri" w:hAnsi="Calibri"/>
            <w:noProof/>
          </w:rPr>
          <w:t xml:space="preserve"> II – Regime Aberto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_Toc126226296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17</w:t>
        </w:r>
        <w:r w:rsidR="00705553" w:rsidRPr="00705553">
          <w:rPr>
            <w:rFonts w:ascii="Calibri" w:hAnsi="Calibri"/>
            <w:noProof/>
            <w:webHidden/>
          </w:rPr>
          <w:fldChar w:fldCharType="end"/>
        </w:r>
      </w:hyperlink>
    </w:p>
    <w:p w14:paraId="6D724824" w14:textId="649F7246" w:rsidR="00705553" w:rsidRPr="00705553" w:rsidRDefault="000E0035">
      <w:pPr>
        <w:pStyle w:val="Sumrio3"/>
        <w:rPr>
          <w:rFonts w:ascii="Calibri" w:eastAsiaTheme="minorEastAsia" w:hAnsi="Calibri" w:cstheme="minorBidi"/>
          <w:noProof/>
          <w:sz w:val="22"/>
          <w:szCs w:val="22"/>
        </w:rPr>
      </w:pPr>
      <w:hyperlink w:anchor="_Toc126226297" w:history="1">
        <w:r w:rsidR="00705553" w:rsidRPr="00705553">
          <w:rPr>
            <w:rStyle w:val="Hyperlink"/>
            <w:rFonts w:ascii="Calibri" w:hAnsi="Calibri"/>
            <w:noProof/>
          </w:rPr>
          <w:t>Subseção III – Regime Fechado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_Toc126226297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17</w:t>
        </w:r>
        <w:r w:rsidR="00705553" w:rsidRPr="00705553">
          <w:rPr>
            <w:rFonts w:ascii="Calibri" w:hAnsi="Calibri"/>
            <w:noProof/>
            <w:webHidden/>
          </w:rPr>
          <w:fldChar w:fldCharType="end"/>
        </w:r>
      </w:hyperlink>
    </w:p>
    <w:p w14:paraId="5446887C" w14:textId="34050587" w:rsidR="00705553" w:rsidRPr="00705553" w:rsidRDefault="000E0035">
      <w:pPr>
        <w:pStyle w:val="Sumrio3"/>
        <w:rPr>
          <w:rFonts w:ascii="Calibri" w:eastAsiaTheme="minorEastAsia" w:hAnsi="Calibri" w:cstheme="minorBidi"/>
          <w:noProof/>
          <w:sz w:val="22"/>
          <w:szCs w:val="22"/>
        </w:rPr>
      </w:pPr>
      <w:hyperlink w:anchor="_Toc126226298" w:history="1">
        <w:r w:rsidR="00705553" w:rsidRPr="00705553">
          <w:rPr>
            <w:rStyle w:val="Hyperlink"/>
            <w:rFonts w:ascii="Calibri" w:hAnsi="Calibri"/>
            <w:noProof/>
          </w:rPr>
          <w:t>Subseção IV – Subscrição e Integralização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_Toc126226298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18</w:t>
        </w:r>
        <w:r w:rsidR="00705553" w:rsidRPr="00705553">
          <w:rPr>
            <w:rFonts w:ascii="Calibri" w:hAnsi="Calibri"/>
            <w:noProof/>
            <w:webHidden/>
          </w:rPr>
          <w:fldChar w:fldCharType="end"/>
        </w:r>
      </w:hyperlink>
    </w:p>
    <w:p w14:paraId="30EEDD2E" w14:textId="26206889" w:rsidR="00705553" w:rsidRPr="00705553" w:rsidRDefault="000E0035">
      <w:pPr>
        <w:pStyle w:val="Sumrio3"/>
        <w:rPr>
          <w:rFonts w:ascii="Calibri" w:eastAsiaTheme="minorEastAsia" w:hAnsi="Calibri" w:cstheme="minorBidi"/>
          <w:noProof/>
          <w:sz w:val="22"/>
          <w:szCs w:val="22"/>
        </w:rPr>
      </w:pPr>
      <w:hyperlink w:anchor="_Toc126226299" w:history="1">
        <w:r w:rsidR="00705553" w:rsidRPr="00705553">
          <w:rPr>
            <w:rStyle w:val="Hyperlink"/>
            <w:rFonts w:ascii="Calibri" w:hAnsi="Calibri"/>
            <w:noProof/>
          </w:rPr>
          <w:t>Subseção V – Investimento por Conta e Ordem</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_Toc126226299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20</w:t>
        </w:r>
        <w:r w:rsidR="00705553" w:rsidRPr="00705553">
          <w:rPr>
            <w:rFonts w:ascii="Calibri" w:hAnsi="Calibri"/>
            <w:noProof/>
            <w:webHidden/>
          </w:rPr>
          <w:fldChar w:fldCharType="end"/>
        </w:r>
      </w:hyperlink>
    </w:p>
    <w:p w14:paraId="56A80946" w14:textId="5BA27CD9" w:rsidR="00705553" w:rsidRPr="00705553" w:rsidRDefault="000E0035">
      <w:pPr>
        <w:pStyle w:val="Sumrio3"/>
        <w:rPr>
          <w:rFonts w:ascii="Calibri" w:eastAsiaTheme="minorEastAsia" w:hAnsi="Calibri" w:cstheme="minorBidi"/>
          <w:noProof/>
          <w:sz w:val="22"/>
          <w:szCs w:val="22"/>
        </w:rPr>
      </w:pPr>
      <w:hyperlink w:anchor="_Toc126226300" w:history="1">
        <w:r w:rsidR="00705553" w:rsidRPr="00705553">
          <w:rPr>
            <w:rStyle w:val="Hyperlink"/>
            <w:rFonts w:ascii="Calibri" w:hAnsi="Calibri"/>
            <w:noProof/>
          </w:rPr>
          <w:t>Subseção VI – Participação Política de Investidor por Conta e Ordem</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_Toc126226300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23</w:t>
        </w:r>
        <w:r w:rsidR="00705553" w:rsidRPr="00705553">
          <w:rPr>
            <w:rFonts w:ascii="Calibri" w:hAnsi="Calibri"/>
            <w:noProof/>
            <w:webHidden/>
          </w:rPr>
          <w:fldChar w:fldCharType="end"/>
        </w:r>
      </w:hyperlink>
    </w:p>
    <w:p w14:paraId="07789AEC" w14:textId="238410D9" w:rsidR="00705553" w:rsidRPr="00705553" w:rsidRDefault="000E0035">
      <w:pPr>
        <w:pStyle w:val="Sumrio3"/>
        <w:rPr>
          <w:rFonts w:ascii="Calibri" w:eastAsiaTheme="minorEastAsia" w:hAnsi="Calibri" w:cstheme="minorBidi"/>
          <w:noProof/>
          <w:sz w:val="22"/>
          <w:szCs w:val="22"/>
        </w:rPr>
      </w:pPr>
      <w:hyperlink w:anchor="_Toc126226301" w:history="1">
        <w:r w:rsidR="00705553" w:rsidRPr="00705553">
          <w:rPr>
            <w:rStyle w:val="Hyperlink"/>
            <w:rFonts w:ascii="Calibri" w:hAnsi="Calibri"/>
            <w:noProof/>
          </w:rPr>
          <w:t>Seção IV – Resgate e Amortização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_Toc126226301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23</w:t>
        </w:r>
        <w:r w:rsidR="00705553" w:rsidRPr="00705553">
          <w:rPr>
            <w:rFonts w:ascii="Calibri" w:hAnsi="Calibri"/>
            <w:noProof/>
            <w:webHidden/>
          </w:rPr>
          <w:fldChar w:fldCharType="end"/>
        </w:r>
      </w:hyperlink>
    </w:p>
    <w:p w14:paraId="38DC1711" w14:textId="04CC3F90" w:rsidR="00705553" w:rsidRPr="00705553" w:rsidRDefault="000E0035">
      <w:pPr>
        <w:pStyle w:val="Sumrio3"/>
        <w:rPr>
          <w:rFonts w:ascii="Calibri" w:eastAsiaTheme="minorEastAsia" w:hAnsi="Calibri" w:cstheme="minorBidi"/>
          <w:noProof/>
          <w:sz w:val="22"/>
          <w:szCs w:val="22"/>
        </w:rPr>
      </w:pPr>
      <w:hyperlink w:anchor="_Toc126226302" w:history="1">
        <w:r w:rsidR="00705553" w:rsidRPr="00705553">
          <w:rPr>
            <w:rStyle w:val="Hyperlink"/>
            <w:rFonts w:ascii="Calibri" w:hAnsi="Calibri"/>
            <w:bCs/>
            <w:noProof/>
          </w:rPr>
          <w:t>Seção V –</w:t>
        </w:r>
        <w:r w:rsidR="00705553" w:rsidRPr="00705553">
          <w:rPr>
            <w:rStyle w:val="Hyperlink"/>
            <w:rFonts w:ascii="Calibri" w:hAnsi="Calibri"/>
            <w:noProof/>
          </w:rPr>
          <w:t xml:space="preserve"> Negociação com </w:t>
        </w:r>
        <w:r w:rsidR="00705553" w:rsidRPr="00705553">
          <w:rPr>
            <w:rStyle w:val="Hyperlink"/>
            <w:rFonts w:ascii="Calibri" w:hAnsi="Calibri"/>
            <w:bCs/>
            <w:noProof/>
          </w:rPr>
          <w:t>Uso Indevido de Informação Privilegiada</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_Toc126226302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26</w:t>
        </w:r>
        <w:r w:rsidR="00705553" w:rsidRPr="00705553">
          <w:rPr>
            <w:rFonts w:ascii="Calibri" w:hAnsi="Calibri"/>
            <w:noProof/>
            <w:webHidden/>
          </w:rPr>
          <w:fldChar w:fldCharType="end"/>
        </w:r>
      </w:hyperlink>
    </w:p>
    <w:p w14:paraId="6E6DBE04" w14:textId="1D2BD781" w:rsidR="00705553" w:rsidRPr="00705553" w:rsidRDefault="000E0035">
      <w:pPr>
        <w:pStyle w:val="Sumrio2"/>
        <w:rPr>
          <w:rFonts w:ascii="Calibri" w:eastAsiaTheme="minorEastAsia" w:hAnsi="Calibri" w:cstheme="minorBidi"/>
          <w:b w:val="0"/>
          <w:bCs w:val="0"/>
          <w:sz w:val="22"/>
          <w:szCs w:val="22"/>
        </w:rPr>
      </w:pPr>
      <w:hyperlink w:anchor="_Toc126226303" w:history="1">
        <w:r w:rsidR="00705553" w:rsidRPr="00705553">
          <w:rPr>
            <w:rStyle w:val="Hyperlink"/>
            <w:rFonts w:ascii="Calibri" w:hAnsi="Calibri"/>
          </w:rPr>
          <w:t>CAPÍTULO V – DOCUMENTOS E INFORMAÇÕES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_Toc126226303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28</w:t>
        </w:r>
        <w:r w:rsidR="00705553" w:rsidRPr="00705553">
          <w:rPr>
            <w:rFonts w:ascii="Calibri" w:hAnsi="Calibri"/>
            <w:webHidden/>
          </w:rPr>
          <w:fldChar w:fldCharType="end"/>
        </w:r>
      </w:hyperlink>
    </w:p>
    <w:p w14:paraId="031F8D4D" w14:textId="6918A3FA" w:rsidR="00705553" w:rsidRPr="00705553" w:rsidRDefault="000E0035">
      <w:pPr>
        <w:pStyle w:val="Sumrio3"/>
        <w:rPr>
          <w:rFonts w:ascii="Calibri" w:eastAsiaTheme="minorEastAsia" w:hAnsi="Calibri" w:cstheme="minorBidi"/>
          <w:noProof/>
          <w:sz w:val="22"/>
          <w:szCs w:val="22"/>
        </w:rPr>
      </w:pPr>
      <w:hyperlink w:anchor="_Toc126226304" w:history="1">
        <w:r w:rsidR="00705553" w:rsidRPr="00705553">
          <w:rPr>
            <w:rStyle w:val="Hyperlink"/>
            <w:rFonts w:ascii="Calibri" w:hAnsi="Calibri"/>
            <w:noProof/>
          </w:rPr>
          <w:t>Seção I – Disposições Gerais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_Toc126226304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28</w:t>
        </w:r>
        <w:r w:rsidR="00705553" w:rsidRPr="00705553">
          <w:rPr>
            <w:rFonts w:ascii="Calibri" w:hAnsi="Calibri"/>
            <w:noProof/>
            <w:webHidden/>
          </w:rPr>
          <w:fldChar w:fldCharType="end"/>
        </w:r>
      </w:hyperlink>
    </w:p>
    <w:p w14:paraId="6C7C8189" w14:textId="490A0CE4" w:rsidR="00705553" w:rsidRPr="00705553" w:rsidRDefault="000E0035">
      <w:pPr>
        <w:pStyle w:val="Sumrio3"/>
        <w:rPr>
          <w:rFonts w:ascii="Calibri" w:eastAsiaTheme="minorEastAsia" w:hAnsi="Calibri" w:cstheme="minorBidi"/>
          <w:noProof/>
          <w:sz w:val="22"/>
          <w:szCs w:val="22"/>
        </w:rPr>
      </w:pPr>
      <w:hyperlink w:anchor="_Toc126226305" w:history="1">
        <w:r w:rsidR="00705553" w:rsidRPr="00705553">
          <w:rPr>
            <w:rStyle w:val="Hyperlink"/>
            <w:rFonts w:ascii="Calibri" w:hAnsi="Calibri"/>
            <w:noProof/>
          </w:rPr>
          <w:t>Seção II – Regulamento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_Toc126226305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29</w:t>
        </w:r>
        <w:r w:rsidR="00705553" w:rsidRPr="00705553">
          <w:rPr>
            <w:rFonts w:ascii="Calibri" w:hAnsi="Calibri"/>
            <w:noProof/>
            <w:webHidden/>
          </w:rPr>
          <w:fldChar w:fldCharType="end"/>
        </w:r>
      </w:hyperlink>
    </w:p>
    <w:p w14:paraId="7F82584F" w14:textId="2C44E0CC" w:rsidR="00705553" w:rsidRPr="00705553" w:rsidRDefault="000E0035">
      <w:pPr>
        <w:pStyle w:val="Sumrio3"/>
        <w:rPr>
          <w:rFonts w:ascii="Calibri" w:eastAsiaTheme="minorEastAsia" w:hAnsi="Calibri" w:cstheme="minorBidi"/>
          <w:noProof/>
          <w:sz w:val="22"/>
          <w:szCs w:val="22"/>
        </w:rPr>
      </w:pPr>
      <w:hyperlink w:anchor="_Toc126226306" w:history="1">
        <w:r w:rsidR="00705553" w:rsidRPr="00705553">
          <w:rPr>
            <w:rStyle w:val="Hyperlink"/>
            <w:rFonts w:ascii="Calibri" w:hAnsi="Calibri"/>
            <w:noProof/>
          </w:rPr>
          <w:t>Seção III – Material de Divulgação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_Toc126226306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33</w:t>
        </w:r>
        <w:r w:rsidR="00705553" w:rsidRPr="00705553">
          <w:rPr>
            <w:rFonts w:ascii="Calibri" w:hAnsi="Calibri"/>
            <w:noProof/>
            <w:webHidden/>
          </w:rPr>
          <w:fldChar w:fldCharType="end"/>
        </w:r>
      </w:hyperlink>
    </w:p>
    <w:p w14:paraId="4682C310" w14:textId="24225F6C" w:rsidR="00705553" w:rsidRPr="00705553" w:rsidRDefault="000E0035">
      <w:pPr>
        <w:pStyle w:val="Sumrio2"/>
        <w:rPr>
          <w:rFonts w:ascii="Calibri" w:eastAsiaTheme="minorEastAsia" w:hAnsi="Calibri" w:cstheme="minorBidi"/>
          <w:b w:val="0"/>
          <w:bCs w:val="0"/>
          <w:sz w:val="22"/>
          <w:szCs w:val="22"/>
        </w:rPr>
      </w:pPr>
      <w:hyperlink w:anchor="_Toc126226307" w:history="1">
        <w:r w:rsidR="00705553" w:rsidRPr="00705553">
          <w:rPr>
            <w:rStyle w:val="Hyperlink"/>
            <w:rFonts w:ascii="Calibri" w:hAnsi="Calibri"/>
          </w:rPr>
          <w:t>CAPÍTULO VI – DIVULGAÇÃO DE INFORMAÇÕES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_Toc126226307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35</w:t>
        </w:r>
        <w:r w:rsidR="00705553" w:rsidRPr="00705553">
          <w:rPr>
            <w:rFonts w:ascii="Calibri" w:hAnsi="Calibri"/>
            <w:webHidden/>
          </w:rPr>
          <w:fldChar w:fldCharType="end"/>
        </w:r>
      </w:hyperlink>
    </w:p>
    <w:p w14:paraId="21821A1A" w14:textId="5FEFB62A" w:rsidR="00705553" w:rsidRPr="00705553" w:rsidRDefault="000E0035">
      <w:pPr>
        <w:pStyle w:val="Sumrio3"/>
        <w:rPr>
          <w:rFonts w:ascii="Calibri" w:eastAsiaTheme="minorEastAsia" w:hAnsi="Calibri" w:cstheme="minorBidi"/>
          <w:noProof/>
          <w:sz w:val="22"/>
          <w:szCs w:val="22"/>
        </w:rPr>
      </w:pPr>
      <w:hyperlink w:anchor="_Toc126226308" w:history="1">
        <w:r w:rsidR="00705553" w:rsidRPr="00705553">
          <w:rPr>
            <w:rStyle w:val="Hyperlink"/>
            <w:rFonts w:ascii="Calibri" w:hAnsi="Calibri"/>
            <w:noProof/>
          </w:rPr>
          <w:t>Seção I – Disposições Gerais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_Toc126226308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35</w:t>
        </w:r>
        <w:r w:rsidR="00705553" w:rsidRPr="00705553">
          <w:rPr>
            <w:rFonts w:ascii="Calibri" w:hAnsi="Calibri"/>
            <w:noProof/>
            <w:webHidden/>
          </w:rPr>
          <w:fldChar w:fldCharType="end"/>
        </w:r>
      </w:hyperlink>
    </w:p>
    <w:p w14:paraId="17301065" w14:textId="6213855A" w:rsidR="00705553" w:rsidRPr="00705553" w:rsidRDefault="000E0035">
      <w:pPr>
        <w:pStyle w:val="Sumrio3"/>
        <w:rPr>
          <w:rFonts w:ascii="Calibri" w:eastAsiaTheme="minorEastAsia" w:hAnsi="Calibri" w:cstheme="minorBidi"/>
          <w:noProof/>
          <w:sz w:val="22"/>
          <w:szCs w:val="22"/>
        </w:rPr>
      </w:pPr>
      <w:hyperlink w:anchor="_Toc126226309" w:history="1">
        <w:r w:rsidR="00705553" w:rsidRPr="00705553">
          <w:rPr>
            <w:rStyle w:val="Hyperlink"/>
            <w:rFonts w:ascii="Calibri" w:hAnsi="Calibri" w:cstheme="minorHAnsi"/>
            <w:noProof/>
          </w:rPr>
          <w:t>Seção II – Fatos Relevantes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_Toc126226309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36</w:t>
        </w:r>
        <w:r w:rsidR="00705553" w:rsidRPr="00705553">
          <w:rPr>
            <w:rFonts w:ascii="Calibri" w:hAnsi="Calibri"/>
            <w:noProof/>
            <w:webHidden/>
          </w:rPr>
          <w:fldChar w:fldCharType="end"/>
        </w:r>
      </w:hyperlink>
    </w:p>
    <w:p w14:paraId="29F1A7F8" w14:textId="045C6907" w:rsidR="00705553" w:rsidRPr="00705553" w:rsidRDefault="000E0035">
      <w:pPr>
        <w:pStyle w:val="Sumrio3"/>
        <w:rPr>
          <w:rFonts w:ascii="Calibri" w:eastAsiaTheme="minorEastAsia" w:hAnsi="Calibri" w:cstheme="minorBidi"/>
          <w:noProof/>
          <w:sz w:val="22"/>
          <w:szCs w:val="22"/>
        </w:rPr>
      </w:pPr>
      <w:hyperlink w:anchor="_Toc126226310" w:history="1">
        <w:r w:rsidR="00705553" w:rsidRPr="00705553">
          <w:rPr>
            <w:rStyle w:val="Hyperlink"/>
            <w:rFonts w:ascii="Calibri" w:hAnsi="Calibri"/>
            <w:noProof/>
          </w:rPr>
          <w:t>Seção III – Demonstrações Contábeis e Relatórios de Auditoria</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_Toc126226310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37</w:t>
        </w:r>
        <w:r w:rsidR="00705553" w:rsidRPr="00705553">
          <w:rPr>
            <w:rFonts w:ascii="Calibri" w:hAnsi="Calibri"/>
            <w:noProof/>
            <w:webHidden/>
          </w:rPr>
          <w:fldChar w:fldCharType="end"/>
        </w:r>
      </w:hyperlink>
    </w:p>
    <w:p w14:paraId="36C58E31" w14:textId="77DBF442" w:rsidR="00705553" w:rsidRPr="00705553" w:rsidRDefault="000E0035">
      <w:pPr>
        <w:pStyle w:val="Sumrio2"/>
        <w:rPr>
          <w:rFonts w:ascii="Calibri" w:eastAsiaTheme="minorEastAsia" w:hAnsi="Calibri" w:cstheme="minorBidi"/>
          <w:b w:val="0"/>
          <w:bCs w:val="0"/>
          <w:sz w:val="22"/>
          <w:szCs w:val="22"/>
        </w:rPr>
      </w:pPr>
      <w:hyperlink w:anchor="_Toc126226311" w:history="1">
        <w:r w:rsidR="00705553" w:rsidRPr="00705553">
          <w:rPr>
            <w:rStyle w:val="Hyperlink"/>
            <w:rFonts w:ascii="Calibri" w:hAnsi="Calibri"/>
          </w:rPr>
          <w:t>CAPÍTULO VII – ASSEMBLEIA DE COTISTAS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_Toc126226311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38</w:t>
        </w:r>
        <w:r w:rsidR="00705553" w:rsidRPr="00705553">
          <w:rPr>
            <w:rFonts w:ascii="Calibri" w:hAnsi="Calibri"/>
            <w:webHidden/>
          </w:rPr>
          <w:fldChar w:fldCharType="end"/>
        </w:r>
      </w:hyperlink>
    </w:p>
    <w:p w14:paraId="53ECB103" w14:textId="64101313" w:rsidR="00705553" w:rsidRPr="00705553" w:rsidRDefault="000E0035">
      <w:pPr>
        <w:pStyle w:val="Sumrio3"/>
        <w:rPr>
          <w:rFonts w:ascii="Calibri" w:eastAsiaTheme="minorEastAsia" w:hAnsi="Calibri" w:cstheme="minorBidi"/>
          <w:noProof/>
          <w:sz w:val="22"/>
          <w:szCs w:val="22"/>
        </w:rPr>
      </w:pPr>
      <w:hyperlink w:anchor="_Toc126226312" w:history="1">
        <w:r w:rsidR="00705553" w:rsidRPr="00705553">
          <w:rPr>
            <w:rStyle w:val="Hyperlink"/>
            <w:rFonts w:ascii="Calibri" w:hAnsi="Calibri"/>
            <w:noProof/>
          </w:rPr>
          <w:t>Seção I – Competência</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_Toc126226312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38</w:t>
        </w:r>
        <w:r w:rsidR="00705553" w:rsidRPr="00705553">
          <w:rPr>
            <w:rFonts w:ascii="Calibri" w:hAnsi="Calibri"/>
            <w:noProof/>
            <w:webHidden/>
          </w:rPr>
          <w:fldChar w:fldCharType="end"/>
        </w:r>
      </w:hyperlink>
    </w:p>
    <w:p w14:paraId="3A4F974F" w14:textId="640DD03B" w:rsidR="00705553" w:rsidRPr="00705553" w:rsidRDefault="000E0035">
      <w:pPr>
        <w:pStyle w:val="Sumrio3"/>
        <w:rPr>
          <w:rFonts w:ascii="Calibri" w:eastAsiaTheme="minorEastAsia" w:hAnsi="Calibri" w:cstheme="minorBidi"/>
          <w:noProof/>
          <w:sz w:val="22"/>
          <w:szCs w:val="22"/>
        </w:rPr>
      </w:pPr>
      <w:hyperlink w:anchor="_Toc126226313" w:history="1">
        <w:r w:rsidR="00705553" w:rsidRPr="00705553">
          <w:rPr>
            <w:rStyle w:val="Hyperlink"/>
            <w:rFonts w:ascii="Calibri" w:hAnsi="Calibri"/>
            <w:noProof/>
          </w:rPr>
          <w:t>Seção II – Convocação e Instalação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_Toc126226313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39</w:t>
        </w:r>
        <w:r w:rsidR="00705553" w:rsidRPr="00705553">
          <w:rPr>
            <w:rFonts w:ascii="Calibri" w:hAnsi="Calibri"/>
            <w:noProof/>
            <w:webHidden/>
          </w:rPr>
          <w:fldChar w:fldCharType="end"/>
        </w:r>
      </w:hyperlink>
    </w:p>
    <w:p w14:paraId="1A6C75A9" w14:textId="1EE5A6BB" w:rsidR="00705553" w:rsidRPr="00705553" w:rsidRDefault="000E0035">
      <w:pPr>
        <w:pStyle w:val="Sumrio3"/>
        <w:rPr>
          <w:rFonts w:ascii="Calibri" w:eastAsiaTheme="minorEastAsia" w:hAnsi="Calibri" w:cstheme="minorBidi"/>
          <w:noProof/>
          <w:sz w:val="22"/>
          <w:szCs w:val="22"/>
        </w:rPr>
      </w:pPr>
      <w:hyperlink w:anchor="_Toc126226314" w:history="1">
        <w:r w:rsidR="00705553" w:rsidRPr="00705553">
          <w:rPr>
            <w:rStyle w:val="Hyperlink"/>
            <w:rFonts w:ascii="Calibri" w:hAnsi="Calibri"/>
            <w:noProof/>
          </w:rPr>
          <w:t>Seção III – Deliberações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_Toc126226314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40</w:t>
        </w:r>
        <w:r w:rsidR="00705553" w:rsidRPr="00705553">
          <w:rPr>
            <w:rFonts w:ascii="Calibri" w:hAnsi="Calibri"/>
            <w:noProof/>
            <w:webHidden/>
          </w:rPr>
          <w:fldChar w:fldCharType="end"/>
        </w:r>
      </w:hyperlink>
    </w:p>
    <w:p w14:paraId="4DEAA491" w14:textId="2BE7C812" w:rsidR="00705553" w:rsidRPr="00705553" w:rsidRDefault="000E0035">
      <w:pPr>
        <w:pStyle w:val="Sumrio2"/>
        <w:rPr>
          <w:rFonts w:ascii="Calibri" w:eastAsiaTheme="minorEastAsia" w:hAnsi="Calibri" w:cstheme="minorBidi"/>
          <w:b w:val="0"/>
          <w:bCs w:val="0"/>
          <w:sz w:val="22"/>
          <w:szCs w:val="22"/>
        </w:rPr>
      </w:pPr>
      <w:hyperlink w:anchor="_Toc126226315" w:history="1">
        <w:r w:rsidR="00705553" w:rsidRPr="00705553">
          <w:rPr>
            <w:rStyle w:val="Hyperlink"/>
            <w:rFonts w:ascii="Calibri" w:hAnsi="Calibri"/>
          </w:rPr>
          <w:t>CAPÍTULO VIII – PRESTAÇÃO DE SERVIÇOS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_Toc126226315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42</w:t>
        </w:r>
        <w:r w:rsidR="00705553" w:rsidRPr="00705553">
          <w:rPr>
            <w:rFonts w:ascii="Calibri" w:hAnsi="Calibri"/>
            <w:webHidden/>
          </w:rPr>
          <w:fldChar w:fldCharType="end"/>
        </w:r>
      </w:hyperlink>
    </w:p>
    <w:p w14:paraId="3DB83627" w14:textId="0B3C20CC" w:rsidR="00705553" w:rsidRPr="00705553" w:rsidRDefault="000E0035">
      <w:pPr>
        <w:pStyle w:val="Sumrio3"/>
        <w:rPr>
          <w:rFonts w:ascii="Calibri" w:eastAsiaTheme="minorEastAsia" w:hAnsi="Calibri" w:cstheme="minorBidi"/>
          <w:noProof/>
          <w:sz w:val="22"/>
          <w:szCs w:val="22"/>
        </w:rPr>
      </w:pPr>
      <w:hyperlink w:anchor="_Toc126226316" w:history="1">
        <w:r w:rsidR="00705553" w:rsidRPr="00705553">
          <w:rPr>
            <w:rStyle w:val="Hyperlink"/>
            <w:rFonts w:ascii="Calibri" w:hAnsi="Calibri"/>
            <w:noProof/>
          </w:rPr>
          <w:t>Seção I – Disposições Gerais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_Toc126226316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42</w:t>
        </w:r>
        <w:r w:rsidR="00705553" w:rsidRPr="00705553">
          <w:rPr>
            <w:rFonts w:ascii="Calibri" w:hAnsi="Calibri"/>
            <w:noProof/>
            <w:webHidden/>
          </w:rPr>
          <w:fldChar w:fldCharType="end"/>
        </w:r>
      </w:hyperlink>
    </w:p>
    <w:p w14:paraId="5F024A16" w14:textId="7CB1F45E" w:rsidR="00705553" w:rsidRPr="00705553" w:rsidRDefault="000E0035">
      <w:pPr>
        <w:pStyle w:val="Sumrio3"/>
        <w:rPr>
          <w:rFonts w:ascii="Calibri" w:eastAsiaTheme="minorEastAsia" w:hAnsi="Calibri" w:cstheme="minorBidi"/>
          <w:noProof/>
          <w:sz w:val="22"/>
          <w:szCs w:val="22"/>
        </w:rPr>
      </w:pPr>
      <w:hyperlink w:anchor="_Toc126226317" w:history="1">
        <w:r w:rsidR="00705553" w:rsidRPr="00705553">
          <w:rPr>
            <w:rStyle w:val="Hyperlink"/>
            <w:rFonts w:ascii="Calibri" w:hAnsi="Calibri"/>
            <w:noProof/>
          </w:rPr>
          <w:t>Seção II – Serviços Essenciais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_Toc126226317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43</w:t>
        </w:r>
        <w:r w:rsidR="00705553" w:rsidRPr="00705553">
          <w:rPr>
            <w:rFonts w:ascii="Calibri" w:hAnsi="Calibri"/>
            <w:noProof/>
            <w:webHidden/>
          </w:rPr>
          <w:fldChar w:fldCharType="end"/>
        </w:r>
      </w:hyperlink>
    </w:p>
    <w:p w14:paraId="75E1189D" w14:textId="4C403564" w:rsidR="00705553" w:rsidRPr="00705553" w:rsidRDefault="000E0035">
      <w:pPr>
        <w:pStyle w:val="Sumrio3"/>
        <w:rPr>
          <w:rFonts w:ascii="Calibri" w:eastAsiaTheme="minorEastAsia" w:hAnsi="Calibri" w:cstheme="minorBidi"/>
          <w:noProof/>
          <w:sz w:val="22"/>
          <w:szCs w:val="22"/>
        </w:rPr>
      </w:pPr>
      <w:hyperlink w:anchor="_Toc126226318" w:history="1">
        <w:r w:rsidR="00705553" w:rsidRPr="00705553">
          <w:rPr>
            <w:rStyle w:val="Hyperlink"/>
            <w:rFonts w:ascii="Calibri" w:hAnsi="Calibri" w:cstheme="minorHAnsi"/>
            <w:noProof/>
          </w:rPr>
          <w:t>Subseção I – Funções do Administrador</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_Toc126226318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43</w:t>
        </w:r>
        <w:r w:rsidR="00705553" w:rsidRPr="00705553">
          <w:rPr>
            <w:rFonts w:ascii="Calibri" w:hAnsi="Calibri"/>
            <w:noProof/>
            <w:webHidden/>
          </w:rPr>
          <w:fldChar w:fldCharType="end"/>
        </w:r>
      </w:hyperlink>
    </w:p>
    <w:p w14:paraId="577A2B15" w14:textId="69C8D866" w:rsidR="00705553" w:rsidRPr="00705553" w:rsidRDefault="000E0035">
      <w:pPr>
        <w:pStyle w:val="Sumrio3"/>
        <w:rPr>
          <w:rFonts w:ascii="Calibri" w:eastAsiaTheme="minorEastAsia" w:hAnsi="Calibri" w:cstheme="minorBidi"/>
          <w:noProof/>
          <w:sz w:val="22"/>
          <w:szCs w:val="22"/>
        </w:rPr>
      </w:pPr>
      <w:hyperlink w:anchor="_Toc126226319" w:history="1">
        <w:r w:rsidR="00705553" w:rsidRPr="00705553">
          <w:rPr>
            <w:rStyle w:val="Hyperlink"/>
            <w:rFonts w:ascii="Calibri" w:hAnsi="Calibri" w:cstheme="minorHAnsi"/>
            <w:noProof/>
          </w:rPr>
          <w:t>Subseção II – Funções do Gestor</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_Toc126226319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44</w:t>
        </w:r>
        <w:r w:rsidR="00705553" w:rsidRPr="00705553">
          <w:rPr>
            <w:rFonts w:ascii="Calibri" w:hAnsi="Calibri"/>
            <w:noProof/>
            <w:webHidden/>
          </w:rPr>
          <w:fldChar w:fldCharType="end"/>
        </w:r>
      </w:hyperlink>
    </w:p>
    <w:p w14:paraId="04D39BC6" w14:textId="229112DA" w:rsidR="00705553" w:rsidRPr="00705553" w:rsidRDefault="000E0035">
      <w:pPr>
        <w:pStyle w:val="Sumrio3"/>
        <w:rPr>
          <w:rFonts w:ascii="Calibri" w:eastAsiaTheme="minorEastAsia" w:hAnsi="Calibri" w:cstheme="minorBidi"/>
          <w:noProof/>
          <w:sz w:val="22"/>
          <w:szCs w:val="22"/>
        </w:rPr>
      </w:pPr>
      <w:hyperlink w:anchor="_Toc126226320" w:history="1">
        <w:r w:rsidR="00705553" w:rsidRPr="00705553">
          <w:rPr>
            <w:rStyle w:val="Hyperlink"/>
            <w:rFonts w:ascii="Calibri" w:hAnsi="Calibri" w:cstheme="minorHAnsi"/>
            <w:noProof/>
          </w:rPr>
          <w:t>Subseção III – Negociação de Ativos em Mercados Organizados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45</w:t>
        </w:r>
        <w:r w:rsidR="00705553" w:rsidRPr="00705553">
          <w:rPr>
            <w:rFonts w:ascii="Calibri" w:hAnsi="Calibri"/>
            <w:noProof/>
            <w:webHidden/>
          </w:rPr>
          <w:fldChar w:fldCharType="end"/>
        </w:r>
      </w:hyperlink>
    </w:p>
    <w:p w14:paraId="450BB7EC" w14:textId="67028F66" w:rsidR="00705553" w:rsidRPr="00705553" w:rsidRDefault="000E0035">
      <w:pPr>
        <w:pStyle w:val="Sumrio3"/>
        <w:rPr>
          <w:rFonts w:ascii="Calibri" w:eastAsiaTheme="minorEastAsia" w:hAnsi="Calibri" w:cstheme="minorBidi"/>
          <w:noProof/>
          <w:sz w:val="22"/>
          <w:szCs w:val="22"/>
        </w:rPr>
      </w:pPr>
      <w:hyperlink w:anchor="_Toc126226321" w:history="1">
        <w:r w:rsidR="00705553" w:rsidRPr="00705553">
          <w:rPr>
            <w:rStyle w:val="Hyperlink"/>
            <w:rFonts w:ascii="Calibri" w:hAnsi="Calibri" w:cstheme="minorHAnsi"/>
            <w:noProof/>
          </w:rPr>
          <w:t>Subseção IV – Limites de Composição e Concentração da Carteira</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_Toc126226321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45</w:t>
        </w:r>
        <w:r w:rsidR="00705553" w:rsidRPr="00705553">
          <w:rPr>
            <w:rFonts w:ascii="Calibri" w:hAnsi="Calibri"/>
            <w:noProof/>
            <w:webHidden/>
          </w:rPr>
          <w:fldChar w:fldCharType="end"/>
        </w:r>
      </w:hyperlink>
    </w:p>
    <w:p w14:paraId="6D9BAD07" w14:textId="19DA4368" w:rsidR="00705553" w:rsidRPr="00705553" w:rsidRDefault="000E0035">
      <w:pPr>
        <w:pStyle w:val="Sumrio3"/>
        <w:rPr>
          <w:rFonts w:ascii="Calibri" w:eastAsiaTheme="minorEastAsia" w:hAnsi="Calibri" w:cstheme="minorBidi"/>
          <w:noProof/>
          <w:sz w:val="22"/>
          <w:szCs w:val="22"/>
        </w:rPr>
      </w:pPr>
      <w:hyperlink w:anchor="_Toc126226322" w:history="1">
        <w:r w:rsidR="00705553" w:rsidRPr="00705553">
          <w:rPr>
            <w:rStyle w:val="Hyperlink"/>
            <w:rFonts w:ascii="Calibri" w:hAnsi="Calibri"/>
            <w:bCs/>
            <w:noProof/>
          </w:rPr>
          <w:t>Subseção V</w:t>
        </w:r>
        <w:r w:rsidR="00705553" w:rsidRPr="00705553">
          <w:rPr>
            <w:rStyle w:val="Hyperlink"/>
            <w:rFonts w:ascii="Calibri" w:hAnsi="Calibri"/>
            <w:noProof/>
          </w:rPr>
          <w:t>– Gestão de Liquidez</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_Toc126226322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46</w:t>
        </w:r>
        <w:r w:rsidR="00705553" w:rsidRPr="00705553">
          <w:rPr>
            <w:rFonts w:ascii="Calibri" w:hAnsi="Calibri"/>
            <w:noProof/>
            <w:webHidden/>
          </w:rPr>
          <w:fldChar w:fldCharType="end"/>
        </w:r>
      </w:hyperlink>
    </w:p>
    <w:p w14:paraId="0849CCA6" w14:textId="142E33F8" w:rsidR="00705553" w:rsidRPr="00705553" w:rsidRDefault="000E0035">
      <w:pPr>
        <w:pStyle w:val="Sumrio3"/>
        <w:rPr>
          <w:rFonts w:ascii="Calibri" w:eastAsiaTheme="minorEastAsia" w:hAnsi="Calibri" w:cstheme="minorBidi"/>
          <w:noProof/>
          <w:sz w:val="22"/>
          <w:szCs w:val="22"/>
        </w:rPr>
      </w:pPr>
      <w:hyperlink w:anchor="_Toc126226323" w:history="1">
        <w:r w:rsidR="00705553" w:rsidRPr="00705553">
          <w:rPr>
            <w:rStyle w:val="Hyperlink"/>
            <w:rFonts w:ascii="Calibri" w:hAnsi="Calibri" w:cstheme="minorHAnsi"/>
            <w:noProof/>
          </w:rPr>
          <w:t>Subseção VI – Direito de Voto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_Toc126226323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47</w:t>
        </w:r>
        <w:r w:rsidR="00705553" w:rsidRPr="00705553">
          <w:rPr>
            <w:rFonts w:ascii="Calibri" w:hAnsi="Calibri"/>
            <w:noProof/>
            <w:webHidden/>
          </w:rPr>
          <w:fldChar w:fldCharType="end"/>
        </w:r>
      </w:hyperlink>
    </w:p>
    <w:p w14:paraId="123CAD63" w14:textId="6761FF86" w:rsidR="00705553" w:rsidRPr="00705553" w:rsidRDefault="000E0035">
      <w:pPr>
        <w:pStyle w:val="Sumrio3"/>
        <w:rPr>
          <w:rFonts w:ascii="Calibri" w:eastAsiaTheme="minorEastAsia" w:hAnsi="Calibri" w:cstheme="minorBidi"/>
          <w:noProof/>
          <w:sz w:val="22"/>
          <w:szCs w:val="22"/>
        </w:rPr>
      </w:pPr>
      <w:hyperlink w:anchor="_Toc126226324" w:history="1">
        <w:r w:rsidR="00705553" w:rsidRPr="00705553">
          <w:rPr>
            <w:rStyle w:val="Hyperlink"/>
            <w:rFonts w:ascii="Calibri" w:hAnsi="Calibri" w:cstheme="minorHAnsi"/>
            <w:noProof/>
          </w:rPr>
          <w:t>Subseção VII – Contratação de Agência de Classificação de Risco de Crédito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_Toc126226324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48</w:t>
        </w:r>
        <w:r w:rsidR="00705553" w:rsidRPr="00705553">
          <w:rPr>
            <w:rFonts w:ascii="Calibri" w:hAnsi="Calibri"/>
            <w:noProof/>
            <w:webHidden/>
          </w:rPr>
          <w:fldChar w:fldCharType="end"/>
        </w:r>
      </w:hyperlink>
    </w:p>
    <w:p w14:paraId="3CD46178" w14:textId="22262FE4" w:rsidR="00705553" w:rsidRPr="00705553" w:rsidRDefault="000E0035">
      <w:pPr>
        <w:pStyle w:val="Sumrio3"/>
        <w:rPr>
          <w:rFonts w:ascii="Calibri" w:eastAsiaTheme="minorEastAsia" w:hAnsi="Calibri" w:cstheme="minorBidi"/>
          <w:noProof/>
          <w:sz w:val="22"/>
          <w:szCs w:val="22"/>
        </w:rPr>
      </w:pPr>
      <w:hyperlink w:anchor="_Toc126226325" w:history="1">
        <w:r w:rsidR="00705553" w:rsidRPr="00705553">
          <w:rPr>
            <w:rStyle w:val="Hyperlink"/>
            <w:rFonts w:ascii="Calibri" w:hAnsi="Calibri" w:cstheme="minorHAnsi"/>
            <w:noProof/>
          </w:rPr>
          <w:t>Subseção VIII – Constituição de Conselhos Consultivos e Comitês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_Toc126226325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48</w:t>
        </w:r>
        <w:r w:rsidR="00705553" w:rsidRPr="00705553">
          <w:rPr>
            <w:rFonts w:ascii="Calibri" w:hAnsi="Calibri"/>
            <w:noProof/>
            <w:webHidden/>
          </w:rPr>
          <w:fldChar w:fldCharType="end"/>
        </w:r>
      </w:hyperlink>
    </w:p>
    <w:p w14:paraId="3AABFC68" w14:textId="067578D3" w:rsidR="00705553" w:rsidRPr="00705553" w:rsidRDefault="000E0035">
      <w:pPr>
        <w:pStyle w:val="Sumrio3"/>
        <w:rPr>
          <w:rFonts w:ascii="Calibri" w:eastAsiaTheme="minorEastAsia" w:hAnsi="Calibri" w:cstheme="minorBidi"/>
          <w:noProof/>
          <w:sz w:val="22"/>
          <w:szCs w:val="22"/>
        </w:rPr>
      </w:pPr>
      <w:hyperlink w:anchor="_Toc126226326" w:history="1">
        <w:r w:rsidR="00705553" w:rsidRPr="00705553">
          <w:rPr>
            <w:rStyle w:val="Hyperlink"/>
            <w:rFonts w:ascii="Calibri" w:hAnsi="Calibri"/>
            <w:noProof/>
          </w:rPr>
          <w:t>Seção III – Remuneração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_Toc126226326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49</w:t>
        </w:r>
        <w:r w:rsidR="00705553" w:rsidRPr="00705553">
          <w:rPr>
            <w:rFonts w:ascii="Calibri" w:hAnsi="Calibri"/>
            <w:noProof/>
            <w:webHidden/>
          </w:rPr>
          <w:fldChar w:fldCharType="end"/>
        </w:r>
      </w:hyperlink>
    </w:p>
    <w:p w14:paraId="72FEE404" w14:textId="620B2715" w:rsidR="00705553" w:rsidRPr="00705553" w:rsidRDefault="000E0035">
      <w:pPr>
        <w:pStyle w:val="Sumrio3"/>
        <w:rPr>
          <w:rFonts w:ascii="Calibri" w:eastAsiaTheme="minorEastAsia" w:hAnsi="Calibri" w:cstheme="minorBidi"/>
          <w:noProof/>
          <w:sz w:val="22"/>
          <w:szCs w:val="22"/>
        </w:rPr>
      </w:pPr>
      <w:hyperlink w:anchor="_Toc126226327" w:history="1">
        <w:r w:rsidR="00705553" w:rsidRPr="00705553">
          <w:rPr>
            <w:rStyle w:val="Hyperlink"/>
            <w:rFonts w:ascii="Calibri" w:hAnsi="Calibri"/>
            <w:noProof/>
          </w:rPr>
          <w:t>Seção IV – Vedações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_Toc126226327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50</w:t>
        </w:r>
        <w:r w:rsidR="00705553" w:rsidRPr="00705553">
          <w:rPr>
            <w:rFonts w:ascii="Calibri" w:hAnsi="Calibri"/>
            <w:noProof/>
            <w:webHidden/>
          </w:rPr>
          <w:fldChar w:fldCharType="end"/>
        </w:r>
      </w:hyperlink>
    </w:p>
    <w:p w14:paraId="377E5D2C" w14:textId="204F2404" w:rsidR="00705553" w:rsidRPr="00705553" w:rsidRDefault="000E0035">
      <w:pPr>
        <w:pStyle w:val="Sumrio3"/>
        <w:rPr>
          <w:rFonts w:ascii="Calibri" w:eastAsiaTheme="minorEastAsia" w:hAnsi="Calibri" w:cstheme="minorBidi"/>
          <w:noProof/>
          <w:sz w:val="22"/>
          <w:szCs w:val="22"/>
        </w:rPr>
      </w:pPr>
      <w:hyperlink w:anchor="_Toc126226328" w:history="1">
        <w:r w:rsidR="00705553" w:rsidRPr="00705553">
          <w:rPr>
            <w:rStyle w:val="Hyperlink"/>
            <w:rFonts w:ascii="Calibri" w:hAnsi="Calibri"/>
            <w:noProof/>
          </w:rPr>
          <w:t>Seção V – Obrigações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_Toc126226328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51</w:t>
        </w:r>
        <w:r w:rsidR="00705553" w:rsidRPr="00705553">
          <w:rPr>
            <w:rFonts w:ascii="Calibri" w:hAnsi="Calibri"/>
            <w:noProof/>
            <w:webHidden/>
          </w:rPr>
          <w:fldChar w:fldCharType="end"/>
        </w:r>
      </w:hyperlink>
    </w:p>
    <w:p w14:paraId="05C9343C" w14:textId="13B61196" w:rsidR="00705553" w:rsidRPr="00705553" w:rsidRDefault="000E0035">
      <w:pPr>
        <w:pStyle w:val="Sumrio3"/>
        <w:rPr>
          <w:rFonts w:ascii="Calibri" w:eastAsiaTheme="minorEastAsia" w:hAnsi="Calibri" w:cstheme="minorBidi"/>
          <w:noProof/>
          <w:sz w:val="22"/>
          <w:szCs w:val="22"/>
        </w:rPr>
      </w:pPr>
      <w:hyperlink w:anchor="_Toc126226329" w:history="1">
        <w:r w:rsidR="00705553" w:rsidRPr="00705553">
          <w:rPr>
            <w:rStyle w:val="Hyperlink"/>
            <w:rFonts w:ascii="Calibri" w:hAnsi="Calibri"/>
            <w:noProof/>
          </w:rPr>
          <w:t>Seção VI – Normas de Conduta</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_Toc126226329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52</w:t>
        </w:r>
        <w:r w:rsidR="00705553" w:rsidRPr="00705553">
          <w:rPr>
            <w:rFonts w:ascii="Calibri" w:hAnsi="Calibri"/>
            <w:noProof/>
            <w:webHidden/>
          </w:rPr>
          <w:fldChar w:fldCharType="end"/>
        </w:r>
      </w:hyperlink>
    </w:p>
    <w:p w14:paraId="12E58DB5" w14:textId="46DF22F5" w:rsidR="00705553" w:rsidRPr="00705553" w:rsidRDefault="000E0035">
      <w:pPr>
        <w:pStyle w:val="Sumrio3"/>
        <w:rPr>
          <w:rFonts w:ascii="Calibri" w:eastAsiaTheme="minorEastAsia" w:hAnsi="Calibri" w:cstheme="minorBidi"/>
          <w:noProof/>
          <w:sz w:val="22"/>
          <w:szCs w:val="22"/>
        </w:rPr>
      </w:pPr>
      <w:hyperlink w:anchor="_Toc126226330" w:history="1">
        <w:r w:rsidR="00705553" w:rsidRPr="00705553">
          <w:rPr>
            <w:rStyle w:val="Hyperlink"/>
            <w:rFonts w:ascii="Calibri" w:hAnsi="Calibri"/>
            <w:noProof/>
          </w:rPr>
          <w:t>Seção VII – Substituição de Prestador de Serviço Essencial</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_Toc126226330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53</w:t>
        </w:r>
        <w:r w:rsidR="00705553" w:rsidRPr="00705553">
          <w:rPr>
            <w:rFonts w:ascii="Calibri" w:hAnsi="Calibri"/>
            <w:noProof/>
            <w:webHidden/>
          </w:rPr>
          <w:fldChar w:fldCharType="end"/>
        </w:r>
      </w:hyperlink>
    </w:p>
    <w:p w14:paraId="0B7A1D2B" w14:textId="19557590" w:rsidR="00705553" w:rsidRPr="00705553" w:rsidRDefault="000E0035">
      <w:pPr>
        <w:pStyle w:val="Sumrio2"/>
        <w:rPr>
          <w:rFonts w:ascii="Calibri" w:eastAsiaTheme="minorEastAsia" w:hAnsi="Calibri" w:cstheme="minorBidi"/>
          <w:b w:val="0"/>
          <w:bCs w:val="0"/>
          <w:sz w:val="22"/>
          <w:szCs w:val="22"/>
        </w:rPr>
      </w:pPr>
      <w:hyperlink w:anchor="_Toc126226331" w:history="1">
        <w:r w:rsidR="00705553" w:rsidRPr="00705553">
          <w:rPr>
            <w:rStyle w:val="Hyperlink"/>
            <w:rFonts w:ascii="Calibri" w:hAnsi="Calibri"/>
          </w:rPr>
          <w:t>CAPÍTULO IX – CARTEIRA</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_Toc126226331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54</w:t>
        </w:r>
        <w:r w:rsidR="00705553" w:rsidRPr="00705553">
          <w:rPr>
            <w:rFonts w:ascii="Calibri" w:hAnsi="Calibri"/>
            <w:webHidden/>
          </w:rPr>
          <w:fldChar w:fldCharType="end"/>
        </w:r>
      </w:hyperlink>
    </w:p>
    <w:p w14:paraId="66BDA7E0" w14:textId="5512AE80" w:rsidR="00705553" w:rsidRPr="00705553" w:rsidRDefault="000E0035">
      <w:pPr>
        <w:pStyle w:val="Sumrio2"/>
        <w:rPr>
          <w:rFonts w:ascii="Calibri" w:eastAsiaTheme="minorEastAsia" w:hAnsi="Calibri" w:cstheme="minorBidi"/>
          <w:b w:val="0"/>
          <w:bCs w:val="0"/>
          <w:sz w:val="22"/>
          <w:szCs w:val="22"/>
        </w:rPr>
      </w:pPr>
      <w:hyperlink w:anchor="_Toc126226332" w:history="1">
        <w:r w:rsidR="00705553" w:rsidRPr="00705553">
          <w:rPr>
            <w:rStyle w:val="Hyperlink"/>
            <w:rFonts w:ascii="Calibri" w:hAnsi="Calibri"/>
          </w:rPr>
          <w:t>CAPÍTULO X – CLASSES RESTRITAS E PREVIDENCIÁRIAS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_Toc126226332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55</w:t>
        </w:r>
        <w:r w:rsidR="00705553" w:rsidRPr="00705553">
          <w:rPr>
            <w:rFonts w:ascii="Calibri" w:hAnsi="Calibri"/>
            <w:webHidden/>
          </w:rPr>
          <w:fldChar w:fldCharType="end"/>
        </w:r>
      </w:hyperlink>
    </w:p>
    <w:p w14:paraId="14DE317E" w14:textId="2071D13E" w:rsidR="00705553" w:rsidRPr="00705553" w:rsidRDefault="000E0035">
      <w:pPr>
        <w:pStyle w:val="Sumrio3"/>
        <w:rPr>
          <w:rFonts w:ascii="Calibri" w:eastAsiaTheme="minorEastAsia" w:hAnsi="Calibri" w:cstheme="minorBidi"/>
          <w:noProof/>
          <w:sz w:val="22"/>
          <w:szCs w:val="22"/>
        </w:rPr>
      </w:pPr>
      <w:hyperlink w:anchor="_Toc126226333" w:history="1">
        <w:r w:rsidR="00705553" w:rsidRPr="00705553">
          <w:rPr>
            <w:rStyle w:val="Hyperlink"/>
            <w:rFonts w:ascii="Calibri" w:hAnsi="Calibri"/>
            <w:noProof/>
          </w:rPr>
          <w:t>Seção I – Classes Restritas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_Toc126226333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55</w:t>
        </w:r>
        <w:r w:rsidR="00705553" w:rsidRPr="00705553">
          <w:rPr>
            <w:rFonts w:ascii="Calibri" w:hAnsi="Calibri"/>
            <w:noProof/>
            <w:webHidden/>
          </w:rPr>
          <w:fldChar w:fldCharType="end"/>
        </w:r>
      </w:hyperlink>
    </w:p>
    <w:p w14:paraId="2B1D5E94" w14:textId="293F4472" w:rsidR="00705553" w:rsidRPr="00705553" w:rsidRDefault="000E0035">
      <w:pPr>
        <w:pStyle w:val="Sumrio3"/>
        <w:rPr>
          <w:rFonts w:ascii="Calibri" w:eastAsiaTheme="minorEastAsia" w:hAnsi="Calibri" w:cstheme="minorBidi"/>
          <w:noProof/>
          <w:sz w:val="22"/>
          <w:szCs w:val="22"/>
        </w:rPr>
      </w:pPr>
      <w:hyperlink w:anchor="_Toc126226334" w:history="1">
        <w:r w:rsidR="00705553" w:rsidRPr="00705553">
          <w:rPr>
            <w:rStyle w:val="Hyperlink"/>
            <w:rFonts w:ascii="Calibri" w:hAnsi="Calibri"/>
            <w:noProof/>
          </w:rPr>
          <w:t xml:space="preserve">Seção II – </w:t>
        </w:r>
        <w:r w:rsidR="00705553" w:rsidRPr="00705553">
          <w:rPr>
            <w:rStyle w:val="Hyperlink"/>
            <w:rFonts w:ascii="Calibri" w:hAnsi="Calibri" w:cstheme="minorHAnsi"/>
            <w:noProof/>
          </w:rPr>
          <w:t>Classes Exclusivas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_Toc126226334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56</w:t>
        </w:r>
        <w:r w:rsidR="00705553" w:rsidRPr="00705553">
          <w:rPr>
            <w:rFonts w:ascii="Calibri" w:hAnsi="Calibri"/>
            <w:noProof/>
            <w:webHidden/>
          </w:rPr>
          <w:fldChar w:fldCharType="end"/>
        </w:r>
      </w:hyperlink>
    </w:p>
    <w:p w14:paraId="20C22943" w14:textId="3600F7F2" w:rsidR="00705553" w:rsidRPr="00705553" w:rsidRDefault="000E0035">
      <w:pPr>
        <w:pStyle w:val="Sumrio3"/>
        <w:rPr>
          <w:rFonts w:ascii="Calibri" w:eastAsiaTheme="minorEastAsia" w:hAnsi="Calibri" w:cstheme="minorBidi"/>
          <w:noProof/>
          <w:sz w:val="22"/>
          <w:szCs w:val="22"/>
        </w:rPr>
      </w:pPr>
      <w:hyperlink w:anchor="_Toc126226335" w:history="1">
        <w:r w:rsidR="00705553" w:rsidRPr="00705553">
          <w:rPr>
            <w:rStyle w:val="Hyperlink"/>
            <w:rFonts w:ascii="Calibri" w:hAnsi="Calibri"/>
            <w:noProof/>
          </w:rPr>
          <w:t>Seção III – Classes Previdenciárias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_Toc126226335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56</w:t>
        </w:r>
        <w:r w:rsidR="00705553" w:rsidRPr="00705553">
          <w:rPr>
            <w:rFonts w:ascii="Calibri" w:hAnsi="Calibri"/>
            <w:noProof/>
            <w:webHidden/>
          </w:rPr>
          <w:fldChar w:fldCharType="end"/>
        </w:r>
      </w:hyperlink>
    </w:p>
    <w:p w14:paraId="53B5AC7B" w14:textId="2DD0A5C0" w:rsidR="00705553" w:rsidRPr="00705553" w:rsidRDefault="000E0035">
      <w:pPr>
        <w:pStyle w:val="Sumrio2"/>
        <w:rPr>
          <w:rFonts w:ascii="Calibri" w:eastAsiaTheme="minorEastAsia" w:hAnsi="Calibri" w:cstheme="minorBidi"/>
          <w:b w:val="0"/>
          <w:bCs w:val="0"/>
          <w:sz w:val="22"/>
          <w:szCs w:val="22"/>
        </w:rPr>
      </w:pPr>
      <w:hyperlink w:anchor="_Toc126226336" w:history="1">
        <w:r w:rsidR="00705553" w:rsidRPr="00705553">
          <w:rPr>
            <w:rStyle w:val="Hyperlink"/>
            <w:rFonts w:ascii="Calibri" w:hAnsi="Calibri"/>
          </w:rPr>
          <w:t>CAPÍTULO XI – ENCARGOS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_Toc126226336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57</w:t>
        </w:r>
        <w:r w:rsidR="00705553" w:rsidRPr="00705553">
          <w:rPr>
            <w:rFonts w:ascii="Calibri" w:hAnsi="Calibri"/>
            <w:webHidden/>
          </w:rPr>
          <w:fldChar w:fldCharType="end"/>
        </w:r>
      </w:hyperlink>
    </w:p>
    <w:p w14:paraId="7BA6CCE9" w14:textId="42961883" w:rsidR="00705553" w:rsidRPr="00705553" w:rsidRDefault="000E0035">
      <w:pPr>
        <w:pStyle w:val="Sumrio2"/>
        <w:rPr>
          <w:rFonts w:ascii="Calibri" w:eastAsiaTheme="minorEastAsia" w:hAnsi="Calibri" w:cstheme="minorBidi"/>
          <w:b w:val="0"/>
          <w:bCs w:val="0"/>
          <w:sz w:val="22"/>
          <w:szCs w:val="22"/>
        </w:rPr>
      </w:pPr>
      <w:hyperlink w:anchor="_Toc126226337" w:history="1">
        <w:r w:rsidR="00705553" w:rsidRPr="00705553">
          <w:rPr>
            <w:rStyle w:val="Hyperlink"/>
            <w:rFonts w:ascii="Calibri" w:hAnsi="Calibri"/>
          </w:rPr>
          <w:t>CAPÍTULO XII – INCORPORAÇÃO, FUSÃO, CISÃO E TRANSFORMAÇÃO</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_Toc126226337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59</w:t>
        </w:r>
        <w:r w:rsidR="00705553" w:rsidRPr="00705553">
          <w:rPr>
            <w:rFonts w:ascii="Calibri" w:hAnsi="Calibri"/>
            <w:webHidden/>
          </w:rPr>
          <w:fldChar w:fldCharType="end"/>
        </w:r>
      </w:hyperlink>
    </w:p>
    <w:p w14:paraId="49100BDE" w14:textId="492CC414" w:rsidR="00705553" w:rsidRPr="00705553" w:rsidRDefault="000E0035">
      <w:pPr>
        <w:pStyle w:val="Sumrio2"/>
        <w:rPr>
          <w:rFonts w:ascii="Calibri" w:eastAsiaTheme="minorEastAsia" w:hAnsi="Calibri" w:cstheme="minorBidi"/>
          <w:b w:val="0"/>
          <w:bCs w:val="0"/>
          <w:sz w:val="22"/>
          <w:szCs w:val="22"/>
        </w:rPr>
      </w:pPr>
      <w:hyperlink w:anchor="_Toc126226338" w:history="1">
        <w:r w:rsidR="00705553" w:rsidRPr="00705553">
          <w:rPr>
            <w:rStyle w:val="Hyperlink"/>
            <w:rFonts w:ascii="Calibri" w:hAnsi="Calibri"/>
          </w:rPr>
          <w:t>CAPÍTULO XIII – PATRIMÔNIO LÍQUIDO NEGATIVO COM LIMITAÇÃO DE RESPONSABILIDADE</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_Toc126226338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60</w:t>
        </w:r>
        <w:r w:rsidR="00705553" w:rsidRPr="00705553">
          <w:rPr>
            <w:rFonts w:ascii="Calibri" w:hAnsi="Calibri"/>
            <w:webHidden/>
          </w:rPr>
          <w:fldChar w:fldCharType="end"/>
        </w:r>
      </w:hyperlink>
    </w:p>
    <w:p w14:paraId="07A41BFE" w14:textId="084146B5" w:rsidR="00705553" w:rsidRPr="00705553" w:rsidRDefault="000E0035">
      <w:pPr>
        <w:pStyle w:val="Sumrio2"/>
        <w:rPr>
          <w:rFonts w:ascii="Calibri" w:eastAsiaTheme="minorEastAsia" w:hAnsi="Calibri" w:cstheme="minorBidi"/>
          <w:b w:val="0"/>
          <w:bCs w:val="0"/>
          <w:sz w:val="22"/>
          <w:szCs w:val="22"/>
        </w:rPr>
      </w:pPr>
      <w:hyperlink w:anchor="_Toc126226339" w:history="1">
        <w:r w:rsidR="00705553" w:rsidRPr="00705553">
          <w:rPr>
            <w:rStyle w:val="Hyperlink"/>
            <w:rFonts w:ascii="Calibri" w:hAnsi="Calibri"/>
          </w:rPr>
          <w:t>CAPÍTULO XIV – LIQUIDAÇÃO E ENCERRAMENTO</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_Toc126226339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63</w:t>
        </w:r>
        <w:r w:rsidR="00705553" w:rsidRPr="00705553">
          <w:rPr>
            <w:rFonts w:ascii="Calibri" w:hAnsi="Calibri"/>
            <w:webHidden/>
          </w:rPr>
          <w:fldChar w:fldCharType="end"/>
        </w:r>
      </w:hyperlink>
    </w:p>
    <w:p w14:paraId="3DD298AB" w14:textId="4720CDDD" w:rsidR="00705553" w:rsidRPr="00705553" w:rsidRDefault="000E0035">
      <w:pPr>
        <w:pStyle w:val="Sumrio3"/>
        <w:rPr>
          <w:rFonts w:ascii="Calibri" w:eastAsiaTheme="minorEastAsia" w:hAnsi="Calibri" w:cstheme="minorBidi"/>
          <w:noProof/>
          <w:sz w:val="22"/>
          <w:szCs w:val="22"/>
        </w:rPr>
      </w:pPr>
      <w:hyperlink w:anchor="_Toc126226340" w:history="1">
        <w:r w:rsidR="00705553" w:rsidRPr="00705553">
          <w:rPr>
            <w:rStyle w:val="Hyperlink"/>
            <w:rFonts w:ascii="Calibri" w:hAnsi="Calibri"/>
            <w:noProof/>
          </w:rPr>
          <w:t>Seção I – Liquidação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_Toc126226340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63</w:t>
        </w:r>
        <w:r w:rsidR="00705553" w:rsidRPr="00705553">
          <w:rPr>
            <w:rFonts w:ascii="Calibri" w:hAnsi="Calibri"/>
            <w:noProof/>
            <w:webHidden/>
          </w:rPr>
          <w:fldChar w:fldCharType="end"/>
        </w:r>
      </w:hyperlink>
    </w:p>
    <w:p w14:paraId="5337B734" w14:textId="532CCD96" w:rsidR="00705553" w:rsidRPr="00705553" w:rsidRDefault="000E0035">
      <w:pPr>
        <w:pStyle w:val="Sumrio3"/>
        <w:rPr>
          <w:rFonts w:ascii="Calibri" w:eastAsiaTheme="minorEastAsia" w:hAnsi="Calibri" w:cstheme="minorBidi"/>
          <w:noProof/>
          <w:sz w:val="22"/>
          <w:szCs w:val="22"/>
        </w:rPr>
      </w:pPr>
      <w:hyperlink w:anchor="_Toc126226341" w:history="1">
        <w:r w:rsidR="00705553" w:rsidRPr="00705553">
          <w:rPr>
            <w:rStyle w:val="Hyperlink"/>
            <w:rFonts w:ascii="Calibri" w:hAnsi="Calibri"/>
            <w:noProof/>
          </w:rPr>
          <w:t>Seção II – Encerramento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_Toc126226341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65</w:t>
        </w:r>
        <w:r w:rsidR="00705553" w:rsidRPr="00705553">
          <w:rPr>
            <w:rFonts w:ascii="Calibri" w:hAnsi="Calibri"/>
            <w:noProof/>
            <w:webHidden/>
          </w:rPr>
          <w:fldChar w:fldCharType="end"/>
        </w:r>
      </w:hyperlink>
    </w:p>
    <w:p w14:paraId="1B7C32FD" w14:textId="0ABBFE3E" w:rsidR="00705553" w:rsidRPr="00705553" w:rsidRDefault="000E0035">
      <w:pPr>
        <w:pStyle w:val="Sumrio2"/>
        <w:rPr>
          <w:rFonts w:ascii="Calibri" w:eastAsiaTheme="minorEastAsia" w:hAnsi="Calibri" w:cstheme="minorBidi"/>
          <w:b w:val="0"/>
          <w:bCs w:val="0"/>
          <w:sz w:val="22"/>
          <w:szCs w:val="22"/>
        </w:rPr>
      </w:pPr>
      <w:hyperlink w:anchor="_Toc126226342" w:history="1">
        <w:r w:rsidR="00705553" w:rsidRPr="00705553">
          <w:rPr>
            <w:rStyle w:val="Hyperlink"/>
            <w:rFonts w:ascii="Calibri" w:hAnsi="Calibri"/>
          </w:rPr>
          <w:t>CAPÍTULO XV – MANUTENÇÃO DE ARQUIVOS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_Toc126226342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65</w:t>
        </w:r>
        <w:r w:rsidR="00705553" w:rsidRPr="00705553">
          <w:rPr>
            <w:rFonts w:ascii="Calibri" w:hAnsi="Calibri"/>
            <w:webHidden/>
          </w:rPr>
          <w:fldChar w:fldCharType="end"/>
        </w:r>
      </w:hyperlink>
    </w:p>
    <w:p w14:paraId="06BCD95F" w14:textId="7159F499" w:rsidR="00705553" w:rsidRPr="00705553" w:rsidRDefault="000E0035">
      <w:pPr>
        <w:pStyle w:val="Sumrio2"/>
        <w:rPr>
          <w:rFonts w:ascii="Calibri" w:eastAsiaTheme="minorEastAsia" w:hAnsi="Calibri" w:cstheme="minorBidi"/>
          <w:b w:val="0"/>
          <w:bCs w:val="0"/>
          <w:sz w:val="22"/>
          <w:szCs w:val="22"/>
        </w:rPr>
      </w:pPr>
      <w:hyperlink w:anchor="_Toc126226343" w:history="1">
        <w:r w:rsidR="00705553" w:rsidRPr="00705553">
          <w:rPr>
            <w:rStyle w:val="Hyperlink"/>
            <w:rFonts w:ascii="Calibri" w:hAnsi="Calibri"/>
          </w:rPr>
          <w:t>CAPÍTULO XVI – PENALIDADES E MULTA COMINATÓRIA</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_Toc126226343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65</w:t>
        </w:r>
        <w:r w:rsidR="00705553" w:rsidRPr="00705553">
          <w:rPr>
            <w:rFonts w:ascii="Calibri" w:hAnsi="Calibri"/>
            <w:webHidden/>
          </w:rPr>
          <w:fldChar w:fldCharType="end"/>
        </w:r>
      </w:hyperlink>
    </w:p>
    <w:p w14:paraId="15EBD39A" w14:textId="4010EA71" w:rsidR="00705553" w:rsidRPr="00705553" w:rsidRDefault="000E0035">
      <w:pPr>
        <w:pStyle w:val="Sumrio2"/>
        <w:rPr>
          <w:rFonts w:ascii="Calibri" w:eastAsiaTheme="minorEastAsia" w:hAnsi="Calibri" w:cstheme="minorBidi"/>
          <w:b w:val="0"/>
          <w:bCs w:val="0"/>
          <w:sz w:val="22"/>
          <w:szCs w:val="22"/>
        </w:rPr>
      </w:pPr>
      <w:hyperlink w:anchor="_Toc126226344" w:history="1">
        <w:r w:rsidR="00705553" w:rsidRPr="00705553">
          <w:rPr>
            <w:rStyle w:val="Hyperlink"/>
            <w:rFonts w:ascii="Calibri" w:hAnsi="Calibri"/>
          </w:rPr>
          <w:t>CAPÍTULO XVII – DISPOSIÇÕES FINAIS E TRANSITÓRIAS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_Toc126226344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67</w:t>
        </w:r>
        <w:r w:rsidR="00705553" w:rsidRPr="00705553">
          <w:rPr>
            <w:rFonts w:ascii="Calibri" w:hAnsi="Calibri"/>
            <w:webHidden/>
          </w:rPr>
          <w:fldChar w:fldCharType="end"/>
        </w:r>
      </w:hyperlink>
    </w:p>
    <w:p w14:paraId="1321765E" w14:textId="3EFCD28C" w:rsidR="00705553" w:rsidRPr="00705553" w:rsidRDefault="000E0035">
      <w:pPr>
        <w:pStyle w:val="Sumrio1"/>
        <w:rPr>
          <w:rFonts w:ascii="Calibri" w:eastAsiaTheme="minorEastAsia" w:hAnsi="Calibri" w:cstheme="minorBidi"/>
          <w:sz w:val="22"/>
          <w:szCs w:val="22"/>
        </w:rPr>
      </w:pPr>
      <w:hyperlink w:anchor="_Toc126226345" w:history="1">
        <w:r w:rsidR="00705553" w:rsidRPr="00705553">
          <w:rPr>
            <w:rStyle w:val="Hyperlink"/>
            <w:rFonts w:ascii="Calibri" w:hAnsi="Calibri" w:cs="Calibri"/>
          </w:rPr>
          <w:t>ANEXO NORMATIVO I – FUNDOS DE INVESTIMENTO FINANCEIRO</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_Toc126226345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73</w:t>
        </w:r>
        <w:r w:rsidR="00705553" w:rsidRPr="00705553">
          <w:rPr>
            <w:rFonts w:ascii="Calibri" w:hAnsi="Calibri"/>
            <w:webHidden/>
          </w:rPr>
          <w:fldChar w:fldCharType="end"/>
        </w:r>
      </w:hyperlink>
    </w:p>
    <w:p w14:paraId="05C6A934" w14:textId="4360C2A0" w:rsidR="00705553" w:rsidRPr="00705553" w:rsidRDefault="000E0035">
      <w:pPr>
        <w:pStyle w:val="Sumrio2"/>
        <w:rPr>
          <w:rFonts w:ascii="Calibri" w:eastAsiaTheme="minorEastAsia" w:hAnsi="Calibri" w:cstheme="minorBidi"/>
          <w:b w:val="0"/>
          <w:bCs w:val="0"/>
          <w:sz w:val="22"/>
          <w:szCs w:val="22"/>
        </w:rPr>
      </w:pPr>
      <w:hyperlink w:anchor="_Toc126226346" w:history="1">
        <w:r w:rsidR="00705553" w:rsidRPr="00705553">
          <w:rPr>
            <w:rStyle w:val="Hyperlink"/>
            <w:rFonts w:ascii="Calibri" w:hAnsi="Calibri"/>
          </w:rPr>
          <w:t>CAPÍTULO I – ÂMBITO E FINALIDADE</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_Toc126226346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73</w:t>
        </w:r>
        <w:r w:rsidR="00705553" w:rsidRPr="00705553">
          <w:rPr>
            <w:rFonts w:ascii="Calibri" w:hAnsi="Calibri"/>
            <w:webHidden/>
          </w:rPr>
          <w:fldChar w:fldCharType="end"/>
        </w:r>
      </w:hyperlink>
    </w:p>
    <w:p w14:paraId="3155D415" w14:textId="024AB797" w:rsidR="00705553" w:rsidRPr="00705553" w:rsidRDefault="000E0035">
      <w:pPr>
        <w:pStyle w:val="Sumrio2"/>
        <w:rPr>
          <w:rFonts w:ascii="Calibri" w:eastAsiaTheme="minorEastAsia" w:hAnsi="Calibri" w:cstheme="minorBidi"/>
          <w:b w:val="0"/>
          <w:bCs w:val="0"/>
          <w:sz w:val="22"/>
          <w:szCs w:val="22"/>
        </w:rPr>
      </w:pPr>
      <w:hyperlink w:anchor="_Toc126226347" w:history="1">
        <w:r w:rsidR="00705553" w:rsidRPr="00705553">
          <w:rPr>
            <w:rStyle w:val="Hyperlink"/>
            <w:rFonts w:ascii="Calibri" w:hAnsi="Calibri"/>
          </w:rPr>
          <w:t>CAPÍTULO II – DEFINIÇÕES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_Toc126226347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73</w:t>
        </w:r>
        <w:r w:rsidR="00705553" w:rsidRPr="00705553">
          <w:rPr>
            <w:rFonts w:ascii="Calibri" w:hAnsi="Calibri"/>
            <w:webHidden/>
          </w:rPr>
          <w:fldChar w:fldCharType="end"/>
        </w:r>
      </w:hyperlink>
    </w:p>
    <w:p w14:paraId="44B5F934" w14:textId="31F85AE7" w:rsidR="00705553" w:rsidRPr="00705553" w:rsidRDefault="000E0035">
      <w:pPr>
        <w:pStyle w:val="Sumrio2"/>
        <w:rPr>
          <w:rFonts w:ascii="Calibri" w:eastAsiaTheme="minorEastAsia" w:hAnsi="Calibri" w:cstheme="minorBidi"/>
          <w:b w:val="0"/>
          <w:bCs w:val="0"/>
          <w:sz w:val="22"/>
          <w:szCs w:val="22"/>
        </w:rPr>
      </w:pPr>
      <w:hyperlink w:anchor="_Toc126226348" w:history="1">
        <w:r w:rsidR="00705553" w:rsidRPr="00705553">
          <w:rPr>
            <w:rStyle w:val="Hyperlink"/>
            <w:rFonts w:ascii="Calibri" w:hAnsi="Calibri"/>
          </w:rPr>
          <w:t>CAPÍTULO III – CARACTERÍSTICAS E CONSTITUIÇÃO</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_Toc126226348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76</w:t>
        </w:r>
        <w:r w:rsidR="00705553" w:rsidRPr="00705553">
          <w:rPr>
            <w:rFonts w:ascii="Calibri" w:hAnsi="Calibri"/>
            <w:webHidden/>
          </w:rPr>
          <w:fldChar w:fldCharType="end"/>
        </w:r>
      </w:hyperlink>
    </w:p>
    <w:p w14:paraId="142615FC" w14:textId="417464D7" w:rsidR="00705553" w:rsidRPr="00705553" w:rsidRDefault="000E0035">
      <w:pPr>
        <w:pStyle w:val="Sumrio2"/>
        <w:rPr>
          <w:rFonts w:ascii="Calibri" w:eastAsiaTheme="minorEastAsia" w:hAnsi="Calibri" w:cstheme="minorBidi"/>
          <w:b w:val="0"/>
          <w:bCs w:val="0"/>
          <w:sz w:val="22"/>
          <w:szCs w:val="22"/>
        </w:rPr>
      </w:pPr>
      <w:hyperlink w:anchor="_Toc126226349" w:history="1">
        <w:r w:rsidR="00705553" w:rsidRPr="00705553">
          <w:rPr>
            <w:rStyle w:val="Hyperlink"/>
            <w:rFonts w:ascii="Calibri" w:hAnsi="Calibri"/>
          </w:rPr>
          <w:t>CAPÍTULO IV – COTAS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_Toc126226349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77</w:t>
        </w:r>
        <w:r w:rsidR="00705553" w:rsidRPr="00705553">
          <w:rPr>
            <w:rFonts w:ascii="Calibri" w:hAnsi="Calibri"/>
            <w:webHidden/>
          </w:rPr>
          <w:fldChar w:fldCharType="end"/>
        </w:r>
      </w:hyperlink>
    </w:p>
    <w:p w14:paraId="14263313" w14:textId="1A598A89" w:rsidR="00705553" w:rsidRPr="00705553" w:rsidRDefault="000E0035">
      <w:pPr>
        <w:pStyle w:val="Sumrio3"/>
        <w:rPr>
          <w:rFonts w:ascii="Calibri" w:eastAsiaTheme="minorEastAsia" w:hAnsi="Calibri" w:cstheme="minorBidi"/>
          <w:noProof/>
          <w:sz w:val="22"/>
          <w:szCs w:val="22"/>
        </w:rPr>
      </w:pPr>
      <w:hyperlink w:anchor="_Toc126226350" w:history="1">
        <w:r w:rsidR="00705553" w:rsidRPr="00705553">
          <w:rPr>
            <w:rStyle w:val="Hyperlink"/>
            <w:rFonts w:ascii="Calibri" w:hAnsi="Calibri"/>
            <w:noProof/>
          </w:rPr>
          <w:t>Seção I – Disposições Gerais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_Toc126226350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77</w:t>
        </w:r>
        <w:r w:rsidR="00705553" w:rsidRPr="00705553">
          <w:rPr>
            <w:rFonts w:ascii="Calibri" w:hAnsi="Calibri"/>
            <w:noProof/>
            <w:webHidden/>
          </w:rPr>
          <w:fldChar w:fldCharType="end"/>
        </w:r>
      </w:hyperlink>
    </w:p>
    <w:p w14:paraId="1882212B" w14:textId="264DC93C" w:rsidR="00705553" w:rsidRPr="00705553" w:rsidRDefault="000E0035">
      <w:pPr>
        <w:pStyle w:val="Sumrio3"/>
        <w:rPr>
          <w:rFonts w:ascii="Calibri" w:eastAsiaTheme="minorEastAsia" w:hAnsi="Calibri" w:cstheme="minorBidi"/>
          <w:noProof/>
          <w:sz w:val="22"/>
          <w:szCs w:val="22"/>
        </w:rPr>
      </w:pPr>
      <w:hyperlink w:anchor="_Toc126226351" w:history="1">
        <w:r w:rsidR="00705553" w:rsidRPr="00705553">
          <w:rPr>
            <w:rStyle w:val="Hyperlink"/>
            <w:rFonts w:ascii="Calibri" w:hAnsi="Calibri"/>
            <w:noProof/>
          </w:rPr>
          <w:t>Seção II – Distribuição e Subscrição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_Toc126226351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78</w:t>
        </w:r>
        <w:r w:rsidR="00705553" w:rsidRPr="00705553">
          <w:rPr>
            <w:rFonts w:ascii="Calibri" w:hAnsi="Calibri"/>
            <w:noProof/>
            <w:webHidden/>
          </w:rPr>
          <w:fldChar w:fldCharType="end"/>
        </w:r>
      </w:hyperlink>
    </w:p>
    <w:p w14:paraId="533F2A1D" w14:textId="2206E97C" w:rsidR="00705553" w:rsidRPr="00705553" w:rsidRDefault="000E0035">
      <w:pPr>
        <w:pStyle w:val="Sumrio2"/>
        <w:rPr>
          <w:rFonts w:ascii="Calibri" w:eastAsiaTheme="minorEastAsia" w:hAnsi="Calibri" w:cstheme="minorBidi"/>
          <w:b w:val="0"/>
          <w:bCs w:val="0"/>
          <w:sz w:val="22"/>
          <w:szCs w:val="22"/>
        </w:rPr>
      </w:pPr>
      <w:hyperlink w:anchor="_Toc126226352" w:history="1">
        <w:r w:rsidR="00705553" w:rsidRPr="00705553">
          <w:rPr>
            <w:rStyle w:val="Hyperlink"/>
            <w:rFonts w:ascii="Calibri" w:hAnsi="Calibri"/>
          </w:rPr>
          <w:t>CAPÍTULO V – DOCUMENTOS E INFORMAÇÕES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_Toc126226352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79</w:t>
        </w:r>
        <w:r w:rsidR="00705553" w:rsidRPr="00705553">
          <w:rPr>
            <w:rFonts w:ascii="Calibri" w:hAnsi="Calibri"/>
            <w:webHidden/>
          </w:rPr>
          <w:fldChar w:fldCharType="end"/>
        </w:r>
      </w:hyperlink>
    </w:p>
    <w:p w14:paraId="393F7CEB" w14:textId="428340A5" w:rsidR="00705553" w:rsidRPr="00705553" w:rsidRDefault="000E0035">
      <w:pPr>
        <w:pStyle w:val="Sumrio3"/>
        <w:rPr>
          <w:rFonts w:ascii="Calibri" w:eastAsiaTheme="minorEastAsia" w:hAnsi="Calibri" w:cstheme="minorBidi"/>
          <w:noProof/>
          <w:sz w:val="22"/>
          <w:szCs w:val="22"/>
        </w:rPr>
      </w:pPr>
      <w:hyperlink w:anchor="_Toc126226353" w:history="1">
        <w:r w:rsidR="00705553" w:rsidRPr="00705553">
          <w:rPr>
            <w:rStyle w:val="Hyperlink"/>
            <w:rFonts w:ascii="Calibri" w:hAnsi="Calibri"/>
            <w:noProof/>
          </w:rPr>
          <w:t>Seção I – Disposições Gerais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_Toc126226353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79</w:t>
        </w:r>
        <w:r w:rsidR="00705553" w:rsidRPr="00705553">
          <w:rPr>
            <w:rFonts w:ascii="Calibri" w:hAnsi="Calibri"/>
            <w:noProof/>
            <w:webHidden/>
          </w:rPr>
          <w:fldChar w:fldCharType="end"/>
        </w:r>
      </w:hyperlink>
    </w:p>
    <w:p w14:paraId="53A809CE" w14:textId="6B4C6D30" w:rsidR="00705553" w:rsidRPr="00705553" w:rsidRDefault="000E0035">
      <w:pPr>
        <w:pStyle w:val="Sumrio3"/>
        <w:rPr>
          <w:rFonts w:ascii="Calibri" w:eastAsiaTheme="minorEastAsia" w:hAnsi="Calibri" w:cstheme="minorBidi"/>
          <w:noProof/>
          <w:sz w:val="22"/>
          <w:szCs w:val="22"/>
        </w:rPr>
      </w:pPr>
      <w:hyperlink w:anchor="_Toc126226354" w:history="1">
        <w:r w:rsidR="00705553" w:rsidRPr="00705553">
          <w:rPr>
            <w:rStyle w:val="Hyperlink"/>
            <w:rFonts w:ascii="Calibri" w:hAnsi="Calibri"/>
            <w:noProof/>
          </w:rPr>
          <w:t>Seção II – Lâmina de Informações Básicas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_Toc126226354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79</w:t>
        </w:r>
        <w:r w:rsidR="00705553" w:rsidRPr="00705553">
          <w:rPr>
            <w:rFonts w:ascii="Calibri" w:hAnsi="Calibri"/>
            <w:noProof/>
            <w:webHidden/>
          </w:rPr>
          <w:fldChar w:fldCharType="end"/>
        </w:r>
      </w:hyperlink>
    </w:p>
    <w:p w14:paraId="708CF3C8" w14:textId="6CA6A511" w:rsidR="00705553" w:rsidRPr="00705553" w:rsidRDefault="000E0035">
      <w:pPr>
        <w:pStyle w:val="Sumrio3"/>
        <w:rPr>
          <w:rFonts w:ascii="Calibri" w:eastAsiaTheme="minorEastAsia" w:hAnsi="Calibri" w:cstheme="minorBidi"/>
          <w:noProof/>
          <w:sz w:val="22"/>
          <w:szCs w:val="22"/>
        </w:rPr>
      </w:pPr>
      <w:hyperlink w:anchor="_Toc126226355" w:history="1">
        <w:r w:rsidR="00705553" w:rsidRPr="00705553">
          <w:rPr>
            <w:rStyle w:val="Hyperlink"/>
            <w:rFonts w:ascii="Calibri" w:hAnsi="Calibri"/>
            <w:noProof/>
          </w:rPr>
          <w:t>Seção III – Regulamento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_Toc126226355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79</w:t>
        </w:r>
        <w:r w:rsidR="00705553" w:rsidRPr="00705553">
          <w:rPr>
            <w:rFonts w:ascii="Calibri" w:hAnsi="Calibri"/>
            <w:noProof/>
            <w:webHidden/>
          </w:rPr>
          <w:fldChar w:fldCharType="end"/>
        </w:r>
      </w:hyperlink>
    </w:p>
    <w:p w14:paraId="6A713897" w14:textId="2F7F8C01" w:rsidR="00705553" w:rsidRPr="00705553" w:rsidRDefault="000E0035">
      <w:pPr>
        <w:pStyle w:val="Sumrio3"/>
        <w:rPr>
          <w:rFonts w:ascii="Calibri" w:eastAsiaTheme="minorEastAsia" w:hAnsi="Calibri" w:cstheme="minorBidi"/>
          <w:noProof/>
          <w:sz w:val="22"/>
          <w:szCs w:val="22"/>
        </w:rPr>
      </w:pPr>
      <w:hyperlink w:anchor="_Toc126226356" w:history="1">
        <w:r w:rsidR="00705553" w:rsidRPr="00705553">
          <w:rPr>
            <w:rStyle w:val="Hyperlink"/>
            <w:rFonts w:ascii="Calibri" w:hAnsi="Calibri"/>
            <w:noProof/>
          </w:rPr>
          <w:t>Seção IV – Material de Divulgação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_Toc126226356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81</w:t>
        </w:r>
        <w:r w:rsidR="00705553" w:rsidRPr="00705553">
          <w:rPr>
            <w:rFonts w:ascii="Calibri" w:hAnsi="Calibri"/>
            <w:noProof/>
            <w:webHidden/>
          </w:rPr>
          <w:fldChar w:fldCharType="end"/>
        </w:r>
      </w:hyperlink>
    </w:p>
    <w:p w14:paraId="1494D94B" w14:textId="455473D0" w:rsidR="00705553" w:rsidRPr="00705553" w:rsidRDefault="000E0035">
      <w:pPr>
        <w:pStyle w:val="Sumrio2"/>
        <w:rPr>
          <w:rFonts w:ascii="Calibri" w:eastAsiaTheme="minorEastAsia" w:hAnsi="Calibri" w:cstheme="minorBidi"/>
          <w:b w:val="0"/>
          <w:bCs w:val="0"/>
          <w:sz w:val="22"/>
          <w:szCs w:val="22"/>
        </w:rPr>
      </w:pPr>
      <w:hyperlink w:anchor="_Toc126226357" w:history="1">
        <w:r w:rsidR="00705553" w:rsidRPr="00705553">
          <w:rPr>
            <w:rStyle w:val="Hyperlink"/>
            <w:rFonts w:ascii="Calibri" w:hAnsi="Calibri"/>
          </w:rPr>
          <w:t>CAPÍTULO VI – DIVULGAÇÃO DE INFORMAÇÕES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_Toc126226357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81</w:t>
        </w:r>
        <w:r w:rsidR="00705553" w:rsidRPr="00705553">
          <w:rPr>
            <w:rFonts w:ascii="Calibri" w:hAnsi="Calibri"/>
            <w:webHidden/>
          </w:rPr>
          <w:fldChar w:fldCharType="end"/>
        </w:r>
      </w:hyperlink>
    </w:p>
    <w:p w14:paraId="2D60BCF5" w14:textId="19F8E6FA" w:rsidR="00705553" w:rsidRPr="00705553" w:rsidRDefault="000E0035">
      <w:pPr>
        <w:pStyle w:val="Sumrio2"/>
        <w:rPr>
          <w:rFonts w:ascii="Calibri" w:eastAsiaTheme="minorEastAsia" w:hAnsi="Calibri" w:cstheme="minorBidi"/>
          <w:b w:val="0"/>
          <w:bCs w:val="0"/>
          <w:sz w:val="22"/>
          <w:szCs w:val="22"/>
        </w:rPr>
      </w:pPr>
      <w:hyperlink w:anchor="_Toc126226358" w:history="1">
        <w:r w:rsidR="00705553" w:rsidRPr="00705553">
          <w:rPr>
            <w:rStyle w:val="Hyperlink"/>
            <w:rFonts w:ascii="Calibri" w:hAnsi="Calibri"/>
          </w:rPr>
          <w:t>CAPÍTULO VII – PRESTAÇÃO DE SERVIÇOS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_Toc126226358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85</w:t>
        </w:r>
        <w:r w:rsidR="00705553" w:rsidRPr="00705553">
          <w:rPr>
            <w:rFonts w:ascii="Calibri" w:hAnsi="Calibri"/>
            <w:webHidden/>
          </w:rPr>
          <w:fldChar w:fldCharType="end"/>
        </w:r>
      </w:hyperlink>
    </w:p>
    <w:p w14:paraId="733DCB02" w14:textId="32574449" w:rsidR="00705553" w:rsidRPr="00705553" w:rsidRDefault="000E0035">
      <w:pPr>
        <w:pStyle w:val="Sumrio3"/>
        <w:rPr>
          <w:rFonts w:ascii="Calibri" w:eastAsiaTheme="minorEastAsia" w:hAnsi="Calibri" w:cstheme="minorBidi"/>
          <w:noProof/>
          <w:sz w:val="22"/>
          <w:szCs w:val="22"/>
        </w:rPr>
      </w:pPr>
      <w:hyperlink w:anchor="_Toc126226359" w:history="1">
        <w:r w:rsidR="00705553" w:rsidRPr="00705553">
          <w:rPr>
            <w:rStyle w:val="Hyperlink"/>
            <w:rFonts w:ascii="Calibri" w:hAnsi="Calibri"/>
            <w:noProof/>
          </w:rPr>
          <w:t>Seção I – Obrigações do Administrador, Gestor e Custodiante</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_Toc126226359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85</w:t>
        </w:r>
        <w:r w:rsidR="00705553" w:rsidRPr="00705553">
          <w:rPr>
            <w:rFonts w:ascii="Calibri" w:hAnsi="Calibri"/>
            <w:noProof/>
            <w:webHidden/>
          </w:rPr>
          <w:fldChar w:fldCharType="end"/>
        </w:r>
      </w:hyperlink>
    </w:p>
    <w:p w14:paraId="24A1FAEC" w14:textId="2A17653C" w:rsidR="00705553" w:rsidRPr="00705553" w:rsidRDefault="000E0035">
      <w:pPr>
        <w:pStyle w:val="Sumrio3"/>
        <w:rPr>
          <w:rFonts w:ascii="Calibri" w:eastAsiaTheme="minorEastAsia" w:hAnsi="Calibri" w:cstheme="minorBidi"/>
          <w:noProof/>
          <w:sz w:val="22"/>
          <w:szCs w:val="22"/>
        </w:rPr>
      </w:pPr>
      <w:hyperlink w:anchor="_Toc126226360" w:history="1">
        <w:r w:rsidR="00705553" w:rsidRPr="00705553">
          <w:rPr>
            <w:rStyle w:val="Hyperlink"/>
            <w:rFonts w:ascii="Calibri" w:hAnsi="Calibri"/>
            <w:noProof/>
          </w:rPr>
          <w:t>Seção II – Taxa de Performance</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_Toc126226360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86</w:t>
        </w:r>
        <w:r w:rsidR="00705553" w:rsidRPr="00705553">
          <w:rPr>
            <w:rFonts w:ascii="Calibri" w:hAnsi="Calibri"/>
            <w:noProof/>
            <w:webHidden/>
          </w:rPr>
          <w:fldChar w:fldCharType="end"/>
        </w:r>
      </w:hyperlink>
    </w:p>
    <w:p w14:paraId="7523F87D" w14:textId="59A08CE8" w:rsidR="00705553" w:rsidRPr="00705553" w:rsidRDefault="000E0035">
      <w:pPr>
        <w:pStyle w:val="Sumrio3"/>
        <w:rPr>
          <w:rFonts w:ascii="Calibri" w:eastAsiaTheme="minorEastAsia" w:hAnsi="Calibri" w:cstheme="minorBidi"/>
          <w:noProof/>
          <w:sz w:val="22"/>
          <w:szCs w:val="22"/>
        </w:rPr>
      </w:pPr>
      <w:hyperlink w:anchor="_Toc126226361" w:history="1">
        <w:r w:rsidR="00705553" w:rsidRPr="00705553">
          <w:rPr>
            <w:rStyle w:val="Hyperlink"/>
            <w:rFonts w:ascii="Calibri" w:hAnsi="Calibri"/>
            <w:noProof/>
          </w:rPr>
          <w:t>Seção III – Vedações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_Toc126226361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89</w:t>
        </w:r>
        <w:r w:rsidR="00705553" w:rsidRPr="00705553">
          <w:rPr>
            <w:rFonts w:ascii="Calibri" w:hAnsi="Calibri"/>
            <w:noProof/>
            <w:webHidden/>
          </w:rPr>
          <w:fldChar w:fldCharType="end"/>
        </w:r>
      </w:hyperlink>
    </w:p>
    <w:p w14:paraId="0000BB91" w14:textId="6A83232B" w:rsidR="00705553" w:rsidRPr="00705553" w:rsidRDefault="000E0035">
      <w:pPr>
        <w:pStyle w:val="Sumrio2"/>
        <w:rPr>
          <w:rFonts w:ascii="Calibri" w:eastAsiaTheme="minorEastAsia" w:hAnsi="Calibri" w:cstheme="minorBidi"/>
          <w:b w:val="0"/>
          <w:bCs w:val="0"/>
          <w:sz w:val="22"/>
          <w:szCs w:val="22"/>
        </w:rPr>
      </w:pPr>
      <w:hyperlink w:anchor="_Toc126226362" w:history="1">
        <w:r w:rsidR="00705553" w:rsidRPr="00705553">
          <w:rPr>
            <w:rStyle w:val="Hyperlink"/>
            <w:rFonts w:ascii="Calibri" w:hAnsi="Calibri"/>
          </w:rPr>
          <w:t>CAPÍTULO VIII – CARTEIRA</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_Toc126226362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90</w:t>
        </w:r>
        <w:r w:rsidR="00705553" w:rsidRPr="00705553">
          <w:rPr>
            <w:rFonts w:ascii="Calibri" w:hAnsi="Calibri"/>
            <w:webHidden/>
          </w:rPr>
          <w:fldChar w:fldCharType="end"/>
        </w:r>
      </w:hyperlink>
    </w:p>
    <w:p w14:paraId="3728495F" w14:textId="60A81127" w:rsidR="00705553" w:rsidRPr="00705553" w:rsidRDefault="000E0035">
      <w:pPr>
        <w:pStyle w:val="Sumrio3"/>
        <w:rPr>
          <w:rFonts w:ascii="Calibri" w:eastAsiaTheme="minorEastAsia" w:hAnsi="Calibri" w:cstheme="minorBidi"/>
          <w:noProof/>
          <w:sz w:val="22"/>
          <w:szCs w:val="22"/>
        </w:rPr>
      </w:pPr>
      <w:hyperlink w:anchor="_Toc126226363" w:history="1">
        <w:r w:rsidR="00705553" w:rsidRPr="00705553">
          <w:rPr>
            <w:rStyle w:val="Hyperlink"/>
            <w:rFonts w:ascii="Calibri" w:hAnsi="Calibri"/>
            <w:noProof/>
          </w:rPr>
          <w:t>Seção I – Disposições Gerais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_Toc126226363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90</w:t>
        </w:r>
        <w:r w:rsidR="00705553" w:rsidRPr="00705553">
          <w:rPr>
            <w:rFonts w:ascii="Calibri" w:hAnsi="Calibri"/>
            <w:noProof/>
            <w:webHidden/>
          </w:rPr>
          <w:fldChar w:fldCharType="end"/>
        </w:r>
      </w:hyperlink>
    </w:p>
    <w:p w14:paraId="1F9394FC" w14:textId="624CB8CA" w:rsidR="00705553" w:rsidRPr="00705553" w:rsidRDefault="000E0035">
      <w:pPr>
        <w:pStyle w:val="Sumrio3"/>
        <w:rPr>
          <w:rFonts w:ascii="Calibri" w:eastAsiaTheme="minorEastAsia" w:hAnsi="Calibri" w:cstheme="minorBidi"/>
          <w:noProof/>
          <w:sz w:val="22"/>
          <w:szCs w:val="22"/>
        </w:rPr>
      </w:pPr>
      <w:hyperlink w:anchor="_Toc126226364" w:history="1">
        <w:r w:rsidR="00705553" w:rsidRPr="00705553">
          <w:rPr>
            <w:rStyle w:val="Hyperlink"/>
            <w:rFonts w:ascii="Calibri" w:hAnsi="Calibri"/>
            <w:noProof/>
          </w:rPr>
          <w:t>Seção II – Ativos Financeiros no Brasil</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_Toc126226364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90</w:t>
        </w:r>
        <w:r w:rsidR="00705553" w:rsidRPr="00705553">
          <w:rPr>
            <w:rFonts w:ascii="Calibri" w:hAnsi="Calibri"/>
            <w:noProof/>
            <w:webHidden/>
          </w:rPr>
          <w:fldChar w:fldCharType="end"/>
        </w:r>
      </w:hyperlink>
    </w:p>
    <w:p w14:paraId="7BC75625" w14:textId="7BE9864E" w:rsidR="00705553" w:rsidRPr="00705553" w:rsidRDefault="000E0035">
      <w:pPr>
        <w:pStyle w:val="Sumrio3"/>
        <w:rPr>
          <w:rFonts w:ascii="Calibri" w:eastAsiaTheme="minorEastAsia" w:hAnsi="Calibri" w:cstheme="minorBidi"/>
          <w:noProof/>
          <w:sz w:val="22"/>
          <w:szCs w:val="22"/>
        </w:rPr>
      </w:pPr>
      <w:hyperlink w:anchor="_Toc126226365" w:history="1">
        <w:r w:rsidR="00705553" w:rsidRPr="00705553">
          <w:rPr>
            <w:rStyle w:val="Hyperlink"/>
            <w:rFonts w:ascii="Calibri" w:hAnsi="Calibri"/>
            <w:noProof/>
          </w:rPr>
          <w:t>Seção III – Ativos Financeiros no Exterior</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_Toc126226365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91</w:t>
        </w:r>
        <w:r w:rsidR="00705553" w:rsidRPr="00705553">
          <w:rPr>
            <w:rFonts w:ascii="Calibri" w:hAnsi="Calibri"/>
            <w:noProof/>
            <w:webHidden/>
          </w:rPr>
          <w:fldChar w:fldCharType="end"/>
        </w:r>
      </w:hyperlink>
    </w:p>
    <w:p w14:paraId="2940B80A" w14:textId="4867F28E" w:rsidR="00705553" w:rsidRPr="00705553" w:rsidRDefault="000E0035">
      <w:pPr>
        <w:pStyle w:val="Sumrio3"/>
        <w:rPr>
          <w:rFonts w:ascii="Calibri" w:eastAsiaTheme="minorEastAsia" w:hAnsi="Calibri" w:cstheme="minorBidi"/>
          <w:noProof/>
          <w:sz w:val="22"/>
          <w:szCs w:val="22"/>
        </w:rPr>
      </w:pPr>
      <w:hyperlink w:anchor="_Toc126226366" w:history="1">
        <w:r w:rsidR="00705553" w:rsidRPr="00705553">
          <w:rPr>
            <w:rStyle w:val="Hyperlink"/>
            <w:rFonts w:ascii="Calibri" w:hAnsi="Calibri"/>
            <w:noProof/>
          </w:rPr>
          <w:t>Seção IV – Limites por Emissor</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_Toc126226366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96</w:t>
        </w:r>
        <w:r w:rsidR="00705553" w:rsidRPr="00705553">
          <w:rPr>
            <w:rFonts w:ascii="Calibri" w:hAnsi="Calibri"/>
            <w:noProof/>
            <w:webHidden/>
          </w:rPr>
          <w:fldChar w:fldCharType="end"/>
        </w:r>
      </w:hyperlink>
    </w:p>
    <w:p w14:paraId="32E10F02" w14:textId="2AF29A51" w:rsidR="00705553" w:rsidRPr="00705553" w:rsidRDefault="000E0035">
      <w:pPr>
        <w:pStyle w:val="Sumrio3"/>
        <w:rPr>
          <w:rFonts w:ascii="Calibri" w:eastAsiaTheme="minorEastAsia" w:hAnsi="Calibri" w:cstheme="minorBidi"/>
          <w:noProof/>
          <w:sz w:val="22"/>
          <w:szCs w:val="22"/>
        </w:rPr>
      </w:pPr>
      <w:hyperlink w:anchor="_Toc126226367" w:history="1">
        <w:r w:rsidR="00705553" w:rsidRPr="00705553">
          <w:rPr>
            <w:rStyle w:val="Hyperlink"/>
            <w:rFonts w:ascii="Calibri" w:hAnsi="Calibri"/>
            <w:noProof/>
          </w:rPr>
          <w:t>Seção V – Limites por Modalidade de Ativo Financeiro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_Toc126226367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99</w:t>
        </w:r>
        <w:r w:rsidR="00705553" w:rsidRPr="00705553">
          <w:rPr>
            <w:rFonts w:ascii="Calibri" w:hAnsi="Calibri"/>
            <w:noProof/>
            <w:webHidden/>
          </w:rPr>
          <w:fldChar w:fldCharType="end"/>
        </w:r>
      </w:hyperlink>
    </w:p>
    <w:p w14:paraId="7F097C1E" w14:textId="60D20D4C" w:rsidR="00705553" w:rsidRPr="00705553" w:rsidRDefault="000E0035">
      <w:pPr>
        <w:pStyle w:val="Sumrio3"/>
        <w:rPr>
          <w:rFonts w:ascii="Calibri" w:eastAsiaTheme="minorEastAsia" w:hAnsi="Calibri" w:cstheme="minorBidi"/>
          <w:noProof/>
          <w:sz w:val="22"/>
          <w:szCs w:val="22"/>
        </w:rPr>
      </w:pPr>
      <w:hyperlink w:anchor="_Toc126226368" w:history="1">
        <w:r w:rsidR="00705553" w:rsidRPr="00705553">
          <w:rPr>
            <w:rStyle w:val="Hyperlink"/>
            <w:rFonts w:ascii="Calibri" w:hAnsi="Calibri"/>
            <w:noProof/>
          </w:rPr>
          <w:t>Seção VI – Deveres Quanto aos Limites de Concentração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_Toc126226368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102</w:t>
        </w:r>
        <w:r w:rsidR="00705553" w:rsidRPr="00705553">
          <w:rPr>
            <w:rFonts w:ascii="Calibri" w:hAnsi="Calibri"/>
            <w:noProof/>
            <w:webHidden/>
          </w:rPr>
          <w:fldChar w:fldCharType="end"/>
        </w:r>
      </w:hyperlink>
    </w:p>
    <w:p w14:paraId="29EB742D" w14:textId="5C73126A" w:rsidR="00705553" w:rsidRPr="00705553" w:rsidRDefault="000E0035">
      <w:pPr>
        <w:pStyle w:val="Sumrio3"/>
        <w:rPr>
          <w:rFonts w:ascii="Calibri" w:eastAsiaTheme="minorEastAsia" w:hAnsi="Calibri" w:cstheme="minorBidi"/>
          <w:noProof/>
          <w:sz w:val="22"/>
          <w:szCs w:val="22"/>
        </w:rPr>
      </w:pPr>
      <w:hyperlink w:anchor="_Toc126226369" w:history="1">
        <w:r w:rsidR="00705553" w:rsidRPr="00705553">
          <w:rPr>
            <w:rStyle w:val="Hyperlink"/>
            <w:rFonts w:ascii="Calibri" w:hAnsi="Calibri"/>
            <w:noProof/>
          </w:rPr>
          <w:t>Seção VII – Tipificação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_Toc126226369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103</w:t>
        </w:r>
        <w:r w:rsidR="00705553" w:rsidRPr="00705553">
          <w:rPr>
            <w:rFonts w:ascii="Calibri" w:hAnsi="Calibri"/>
            <w:noProof/>
            <w:webHidden/>
          </w:rPr>
          <w:fldChar w:fldCharType="end"/>
        </w:r>
      </w:hyperlink>
    </w:p>
    <w:p w14:paraId="48D49DC4" w14:textId="34A1ED23" w:rsidR="00705553" w:rsidRPr="00705553" w:rsidRDefault="000E0035">
      <w:pPr>
        <w:pStyle w:val="Sumrio3"/>
        <w:rPr>
          <w:rFonts w:ascii="Calibri" w:eastAsiaTheme="minorEastAsia" w:hAnsi="Calibri" w:cstheme="minorBidi"/>
          <w:noProof/>
          <w:sz w:val="22"/>
          <w:szCs w:val="22"/>
        </w:rPr>
      </w:pPr>
      <w:hyperlink w:anchor="_Toc126226370" w:history="1">
        <w:r w:rsidR="00705553" w:rsidRPr="00705553">
          <w:rPr>
            <w:rStyle w:val="Hyperlink"/>
            <w:rFonts w:ascii="Calibri" w:hAnsi="Calibri"/>
            <w:noProof/>
          </w:rPr>
          <w:t>Subseção I – Fundos de Renda Fixa</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_Toc126226370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103</w:t>
        </w:r>
        <w:r w:rsidR="00705553" w:rsidRPr="00705553">
          <w:rPr>
            <w:rFonts w:ascii="Calibri" w:hAnsi="Calibri"/>
            <w:noProof/>
            <w:webHidden/>
          </w:rPr>
          <w:fldChar w:fldCharType="end"/>
        </w:r>
      </w:hyperlink>
    </w:p>
    <w:p w14:paraId="1FB5439E" w14:textId="52A02369" w:rsidR="00705553" w:rsidRPr="00705553" w:rsidRDefault="000E0035">
      <w:pPr>
        <w:pStyle w:val="Sumrio3"/>
        <w:rPr>
          <w:rFonts w:ascii="Calibri" w:eastAsiaTheme="minorEastAsia" w:hAnsi="Calibri" w:cstheme="minorBidi"/>
          <w:noProof/>
          <w:sz w:val="22"/>
          <w:szCs w:val="22"/>
        </w:rPr>
      </w:pPr>
      <w:hyperlink w:anchor="_Toc126226371" w:history="1">
        <w:r w:rsidR="00705553" w:rsidRPr="00705553">
          <w:rPr>
            <w:rStyle w:val="Hyperlink"/>
            <w:rFonts w:ascii="Calibri" w:hAnsi="Calibri"/>
            <w:noProof/>
          </w:rPr>
          <w:t>Subseção II – Fundos de Ações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_Toc126226371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107</w:t>
        </w:r>
        <w:r w:rsidR="00705553" w:rsidRPr="00705553">
          <w:rPr>
            <w:rFonts w:ascii="Calibri" w:hAnsi="Calibri"/>
            <w:noProof/>
            <w:webHidden/>
          </w:rPr>
          <w:fldChar w:fldCharType="end"/>
        </w:r>
      </w:hyperlink>
    </w:p>
    <w:p w14:paraId="07EFCEF5" w14:textId="6CDD07D5" w:rsidR="00705553" w:rsidRPr="00705553" w:rsidRDefault="000E0035">
      <w:pPr>
        <w:pStyle w:val="Sumrio3"/>
        <w:rPr>
          <w:rFonts w:ascii="Calibri" w:eastAsiaTheme="minorEastAsia" w:hAnsi="Calibri" w:cstheme="minorBidi"/>
          <w:noProof/>
          <w:sz w:val="22"/>
          <w:szCs w:val="22"/>
        </w:rPr>
      </w:pPr>
      <w:hyperlink w:anchor="_Toc126226372" w:history="1">
        <w:r w:rsidR="00705553" w:rsidRPr="00705553">
          <w:rPr>
            <w:rStyle w:val="Hyperlink"/>
            <w:rFonts w:ascii="Calibri" w:hAnsi="Calibri"/>
            <w:noProof/>
          </w:rPr>
          <w:t>Subseção III – Fundos Cambiais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_Toc126226372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110</w:t>
        </w:r>
        <w:r w:rsidR="00705553" w:rsidRPr="00705553">
          <w:rPr>
            <w:rFonts w:ascii="Calibri" w:hAnsi="Calibri"/>
            <w:noProof/>
            <w:webHidden/>
          </w:rPr>
          <w:fldChar w:fldCharType="end"/>
        </w:r>
      </w:hyperlink>
    </w:p>
    <w:p w14:paraId="15E33638" w14:textId="03D2DD7C" w:rsidR="00705553" w:rsidRPr="00705553" w:rsidRDefault="000E0035">
      <w:pPr>
        <w:pStyle w:val="Sumrio3"/>
        <w:rPr>
          <w:rFonts w:ascii="Calibri" w:eastAsiaTheme="minorEastAsia" w:hAnsi="Calibri" w:cstheme="minorBidi"/>
          <w:noProof/>
          <w:sz w:val="22"/>
          <w:szCs w:val="22"/>
        </w:rPr>
      </w:pPr>
      <w:hyperlink w:anchor="_Toc126226373" w:history="1">
        <w:r w:rsidR="00705553" w:rsidRPr="00705553">
          <w:rPr>
            <w:rStyle w:val="Hyperlink"/>
            <w:rFonts w:ascii="Calibri" w:hAnsi="Calibri"/>
            <w:noProof/>
          </w:rPr>
          <w:t>Subseção IV – Fundos Multimercado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_Toc126226373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111</w:t>
        </w:r>
        <w:r w:rsidR="00705553" w:rsidRPr="00705553">
          <w:rPr>
            <w:rFonts w:ascii="Calibri" w:hAnsi="Calibri"/>
            <w:noProof/>
            <w:webHidden/>
          </w:rPr>
          <w:fldChar w:fldCharType="end"/>
        </w:r>
      </w:hyperlink>
    </w:p>
    <w:p w14:paraId="48A3B213" w14:textId="2D703620" w:rsidR="00705553" w:rsidRPr="00705553" w:rsidRDefault="000E0035">
      <w:pPr>
        <w:pStyle w:val="Sumrio3"/>
        <w:rPr>
          <w:rFonts w:ascii="Calibri" w:eastAsiaTheme="minorEastAsia" w:hAnsi="Calibri" w:cstheme="minorBidi"/>
          <w:noProof/>
          <w:sz w:val="22"/>
          <w:szCs w:val="22"/>
        </w:rPr>
      </w:pPr>
      <w:hyperlink w:anchor="_Toc126226374" w:history="1">
        <w:r w:rsidR="00705553" w:rsidRPr="00705553">
          <w:rPr>
            <w:rStyle w:val="Hyperlink"/>
            <w:rFonts w:ascii="Calibri" w:hAnsi="Calibri"/>
            <w:noProof/>
          </w:rPr>
          <w:t xml:space="preserve">Subseção V – </w:t>
        </w:r>
        <w:r w:rsidR="00705553" w:rsidRPr="00705553">
          <w:rPr>
            <w:rStyle w:val="Hyperlink"/>
            <w:rFonts w:ascii="Calibri" w:hAnsi="Calibri" w:cstheme="minorHAnsi"/>
            <w:noProof/>
          </w:rPr>
          <w:t>Fundos Incentivados em Infraestrutura</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_Toc126226374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111</w:t>
        </w:r>
        <w:r w:rsidR="00705553" w:rsidRPr="00705553">
          <w:rPr>
            <w:rFonts w:ascii="Calibri" w:hAnsi="Calibri"/>
            <w:noProof/>
            <w:webHidden/>
          </w:rPr>
          <w:fldChar w:fldCharType="end"/>
        </w:r>
      </w:hyperlink>
    </w:p>
    <w:p w14:paraId="4AF3516D" w14:textId="5C54910B" w:rsidR="00705553" w:rsidRPr="00705553" w:rsidRDefault="000E0035">
      <w:pPr>
        <w:pStyle w:val="Sumrio3"/>
        <w:rPr>
          <w:rFonts w:ascii="Calibri" w:eastAsiaTheme="minorEastAsia" w:hAnsi="Calibri" w:cstheme="minorBidi"/>
          <w:noProof/>
          <w:sz w:val="22"/>
          <w:szCs w:val="22"/>
        </w:rPr>
      </w:pPr>
      <w:hyperlink w:anchor="_Toc126226375" w:history="1">
        <w:r w:rsidR="00705553" w:rsidRPr="00705553">
          <w:rPr>
            <w:rStyle w:val="Hyperlink"/>
            <w:rFonts w:ascii="Calibri" w:hAnsi="Calibri" w:cstheme="minorHAnsi"/>
            <w:noProof/>
          </w:rPr>
          <w:t xml:space="preserve">Subseção VI – Fundo Destinado à Garantia de Locação </w:t>
        </w:r>
        <w:r w:rsidR="0035326A">
          <w:rPr>
            <w:rStyle w:val="Hyperlink"/>
            <w:rFonts w:ascii="Calibri" w:hAnsi="Calibri" w:cstheme="minorHAnsi"/>
            <w:noProof/>
          </w:rPr>
          <w:t>I</w:t>
        </w:r>
        <w:r w:rsidR="00705553" w:rsidRPr="00705553">
          <w:rPr>
            <w:rStyle w:val="Hyperlink"/>
            <w:rFonts w:ascii="Calibri" w:hAnsi="Calibri" w:cstheme="minorHAnsi"/>
            <w:noProof/>
          </w:rPr>
          <w:t>mobiliária</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_Toc126226375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112</w:t>
        </w:r>
        <w:r w:rsidR="00705553" w:rsidRPr="00705553">
          <w:rPr>
            <w:rFonts w:ascii="Calibri" w:hAnsi="Calibri"/>
            <w:noProof/>
            <w:webHidden/>
          </w:rPr>
          <w:fldChar w:fldCharType="end"/>
        </w:r>
      </w:hyperlink>
    </w:p>
    <w:p w14:paraId="7387AA38" w14:textId="321726EB" w:rsidR="00705553" w:rsidRPr="00705553" w:rsidRDefault="000E0035">
      <w:pPr>
        <w:pStyle w:val="Sumrio3"/>
        <w:rPr>
          <w:rFonts w:ascii="Calibri" w:eastAsiaTheme="minorEastAsia" w:hAnsi="Calibri" w:cstheme="minorBidi"/>
          <w:noProof/>
          <w:sz w:val="22"/>
          <w:szCs w:val="22"/>
        </w:rPr>
      </w:pPr>
      <w:hyperlink w:anchor="_Toc126226376" w:history="1">
        <w:r w:rsidR="00705553" w:rsidRPr="00705553">
          <w:rPr>
            <w:rStyle w:val="Hyperlink"/>
            <w:rFonts w:ascii="Calibri" w:hAnsi="Calibri" w:cstheme="minorHAnsi"/>
            <w:noProof/>
          </w:rPr>
          <w:t>Subseção VII – Concentração em Crédito Privado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_Toc126226376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114</w:t>
        </w:r>
        <w:r w:rsidR="00705553" w:rsidRPr="00705553">
          <w:rPr>
            <w:rFonts w:ascii="Calibri" w:hAnsi="Calibri"/>
            <w:noProof/>
            <w:webHidden/>
          </w:rPr>
          <w:fldChar w:fldCharType="end"/>
        </w:r>
      </w:hyperlink>
    </w:p>
    <w:p w14:paraId="369A2E90" w14:textId="5ECE2005" w:rsidR="00705553" w:rsidRPr="00705553" w:rsidRDefault="000E0035">
      <w:pPr>
        <w:pStyle w:val="Sumrio3"/>
        <w:rPr>
          <w:rFonts w:ascii="Calibri" w:eastAsiaTheme="minorEastAsia" w:hAnsi="Calibri" w:cstheme="minorBidi"/>
          <w:noProof/>
          <w:sz w:val="22"/>
          <w:szCs w:val="22"/>
        </w:rPr>
      </w:pPr>
      <w:hyperlink w:anchor="_Toc126226377" w:history="1">
        <w:r w:rsidR="00705553" w:rsidRPr="00705553">
          <w:rPr>
            <w:rStyle w:val="Hyperlink"/>
            <w:rFonts w:ascii="Calibri" w:hAnsi="Calibri"/>
            <w:noProof/>
          </w:rPr>
          <w:t xml:space="preserve">Seção </w:t>
        </w:r>
        <w:r w:rsidR="00705553" w:rsidRPr="00705553">
          <w:rPr>
            <w:rStyle w:val="Hyperlink"/>
            <w:rFonts w:ascii="Calibri" w:hAnsi="Calibri" w:cstheme="minorHAnsi"/>
            <w:noProof/>
          </w:rPr>
          <w:t xml:space="preserve">VIII – </w:t>
        </w:r>
        <w:r w:rsidR="00705553" w:rsidRPr="00705553">
          <w:rPr>
            <w:rStyle w:val="Hyperlink"/>
            <w:rFonts w:ascii="Calibri" w:hAnsi="Calibri"/>
            <w:noProof/>
          </w:rPr>
          <w:t>Investimento em Cotas</w:t>
        </w:r>
        <w:r w:rsidR="00705553" w:rsidRPr="00705553">
          <w:rPr>
            <w:rStyle w:val="Hyperlink"/>
            <w:rFonts w:ascii="Calibri" w:hAnsi="Calibri" w:cstheme="minorHAnsi"/>
            <w:noProof/>
          </w:rPr>
          <w:t xml:space="preserve"> de Outros Fundos de Investimento Financeiro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_Toc126226377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115</w:t>
        </w:r>
        <w:r w:rsidR="00705553" w:rsidRPr="00705553">
          <w:rPr>
            <w:rFonts w:ascii="Calibri" w:hAnsi="Calibri"/>
            <w:noProof/>
            <w:webHidden/>
          </w:rPr>
          <w:fldChar w:fldCharType="end"/>
        </w:r>
      </w:hyperlink>
    </w:p>
    <w:p w14:paraId="53F92CD8" w14:textId="7104768C" w:rsidR="00705553" w:rsidRPr="00705553" w:rsidRDefault="000E0035">
      <w:pPr>
        <w:pStyle w:val="Sumrio3"/>
        <w:rPr>
          <w:rFonts w:ascii="Calibri" w:eastAsiaTheme="minorEastAsia" w:hAnsi="Calibri" w:cstheme="minorBidi"/>
          <w:noProof/>
          <w:sz w:val="22"/>
          <w:szCs w:val="22"/>
        </w:rPr>
      </w:pPr>
      <w:hyperlink w:anchor="_Toc126226378" w:history="1">
        <w:r w:rsidR="00705553" w:rsidRPr="00705553">
          <w:rPr>
            <w:rStyle w:val="Hyperlink"/>
            <w:rFonts w:ascii="Calibri" w:hAnsi="Calibri"/>
            <w:noProof/>
          </w:rPr>
          <w:t>Seção IX – Exposição a Risco de Capital</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_Toc126226378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115</w:t>
        </w:r>
        <w:r w:rsidR="00705553" w:rsidRPr="00705553">
          <w:rPr>
            <w:rFonts w:ascii="Calibri" w:hAnsi="Calibri"/>
            <w:noProof/>
            <w:webHidden/>
          </w:rPr>
          <w:fldChar w:fldCharType="end"/>
        </w:r>
      </w:hyperlink>
    </w:p>
    <w:p w14:paraId="193A2ED7" w14:textId="0F8DB780" w:rsidR="00705553" w:rsidRPr="00705553" w:rsidRDefault="000E0035">
      <w:pPr>
        <w:pStyle w:val="Sumrio2"/>
        <w:rPr>
          <w:rFonts w:ascii="Calibri" w:eastAsiaTheme="minorEastAsia" w:hAnsi="Calibri" w:cstheme="minorBidi"/>
          <w:b w:val="0"/>
          <w:bCs w:val="0"/>
          <w:sz w:val="22"/>
          <w:szCs w:val="22"/>
        </w:rPr>
      </w:pPr>
      <w:hyperlink w:anchor="_Toc126226379" w:history="1">
        <w:r w:rsidR="00705553" w:rsidRPr="00705553">
          <w:rPr>
            <w:rStyle w:val="Hyperlink"/>
            <w:rFonts w:ascii="Calibri" w:hAnsi="Calibri"/>
          </w:rPr>
          <w:t>CAPÍTULO IX – CLASSES RESTRITAS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_Toc126226379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116</w:t>
        </w:r>
        <w:r w:rsidR="00705553" w:rsidRPr="00705553">
          <w:rPr>
            <w:rFonts w:ascii="Calibri" w:hAnsi="Calibri"/>
            <w:webHidden/>
          </w:rPr>
          <w:fldChar w:fldCharType="end"/>
        </w:r>
      </w:hyperlink>
    </w:p>
    <w:p w14:paraId="6823B5CF" w14:textId="0F985F7D" w:rsidR="00705553" w:rsidRPr="00705553" w:rsidRDefault="000E0035">
      <w:pPr>
        <w:pStyle w:val="Sumrio2"/>
        <w:rPr>
          <w:rFonts w:ascii="Calibri" w:eastAsiaTheme="minorEastAsia" w:hAnsi="Calibri" w:cstheme="minorBidi"/>
          <w:b w:val="0"/>
          <w:bCs w:val="0"/>
          <w:sz w:val="22"/>
          <w:szCs w:val="22"/>
        </w:rPr>
      </w:pPr>
      <w:hyperlink w:anchor="_Toc126226380" w:history="1">
        <w:r w:rsidR="00705553" w:rsidRPr="00705553">
          <w:rPr>
            <w:rStyle w:val="Hyperlink"/>
            <w:rFonts w:ascii="Calibri" w:hAnsi="Calibri"/>
          </w:rPr>
          <w:t>CAPÍTULO X – ENCARGOS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_Toc126226380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117</w:t>
        </w:r>
        <w:r w:rsidR="00705553" w:rsidRPr="00705553">
          <w:rPr>
            <w:rFonts w:ascii="Calibri" w:hAnsi="Calibri"/>
            <w:webHidden/>
          </w:rPr>
          <w:fldChar w:fldCharType="end"/>
        </w:r>
      </w:hyperlink>
    </w:p>
    <w:p w14:paraId="3D02BFE2" w14:textId="3E62BB40" w:rsidR="00705553" w:rsidRPr="00705553" w:rsidRDefault="000E0035">
      <w:pPr>
        <w:pStyle w:val="Sumrio2"/>
        <w:rPr>
          <w:rFonts w:ascii="Calibri" w:eastAsiaTheme="minorEastAsia" w:hAnsi="Calibri" w:cstheme="minorBidi"/>
          <w:b w:val="0"/>
          <w:bCs w:val="0"/>
          <w:sz w:val="22"/>
          <w:szCs w:val="22"/>
        </w:rPr>
      </w:pPr>
      <w:hyperlink w:anchor="_Toc126226381" w:history="1">
        <w:r w:rsidR="00705553" w:rsidRPr="00705553">
          <w:rPr>
            <w:rStyle w:val="Hyperlink"/>
            <w:rFonts w:ascii="Calibri" w:hAnsi="Calibri"/>
          </w:rPr>
          <w:t>CAPÍTULO XI – LIQUIDAÇÃO</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_Toc126226381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117</w:t>
        </w:r>
        <w:r w:rsidR="00705553" w:rsidRPr="00705553">
          <w:rPr>
            <w:rFonts w:ascii="Calibri" w:hAnsi="Calibri"/>
            <w:webHidden/>
          </w:rPr>
          <w:fldChar w:fldCharType="end"/>
        </w:r>
      </w:hyperlink>
    </w:p>
    <w:p w14:paraId="2D881A58" w14:textId="28526967" w:rsidR="00705553" w:rsidRPr="00705553" w:rsidRDefault="000E0035">
      <w:pPr>
        <w:pStyle w:val="Sumrio2"/>
        <w:rPr>
          <w:rFonts w:ascii="Calibri" w:eastAsiaTheme="minorEastAsia" w:hAnsi="Calibri" w:cstheme="minorBidi"/>
          <w:b w:val="0"/>
          <w:bCs w:val="0"/>
          <w:sz w:val="22"/>
          <w:szCs w:val="22"/>
        </w:rPr>
      </w:pPr>
      <w:hyperlink w:anchor="_Toc126226382" w:history="1">
        <w:r w:rsidR="00705553" w:rsidRPr="00705553">
          <w:rPr>
            <w:rStyle w:val="Hyperlink"/>
            <w:rFonts w:ascii="Calibri" w:hAnsi="Calibri"/>
          </w:rPr>
          <w:t>CAPÍTULO XII – PENALIDADES E MULTA COMINATÓRIA</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_Toc126226382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118</w:t>
        </w:r>
        <w:r w:rsidR="00705553" w:rsidRPr="00705553">
          <w:rPr>
            <w:rFonts w:ascii="Calibri" w:hAnsi="Calibri"/>
            <w:webHidden/>
          </w:rPr>
          <w:fldChar w:fldCharType="end"/>
        </w:r>
      </w:hyperlink>
    </w:p>
    <w:p w14:paraId="59676242" w14:textId="7EA06951" w:rsidR="00705553" w:rsidRPr="00705553" w:rsidRDefault="000E0035">
      <w:pPr>
        <w:pStyle w:val="Sumrio1"/>
        <w:rPr>
          <w:rFonts w:ascii="Calibri" w:eastAsiaTheme="minorEastAsia" w:hAnsi="Calibri" w:cstheme="minorBidi"/>
          <w:sz w:val="22"/>
          <w:szCs w:val="22"/>
        </w:rPr>
      </w:pPr>
      <w:hyperlink w:anchor="_Toc126226383" w:history="1">
        <w:r w:rsidR="00705553" w:rsidRPr="00705553">
          <w:rPr>
            <w:rStyle w:val="Hyperlink"/>
            <w:rFonts w:ascii="Calibri" w:hAnsi="Calibri"/>
          </w:rPr>
          <w:t>ANEXO NORMATIVO II – FUNDOS DE INVESTIMENTO EM DIREITOS CREDITÓRIOS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_Toc126226383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119</w:t>
        </w:r>
        <w:r w:rsidR="00705553" w:rsidRPr="00705553">
          <w:rPr>
            <w:rFonts w:ascii="Calibri" w:hAnsi="Calibri"/>
            <w:webHidden/>
          </w:rPr>
          <w:fldChar w:fldCharType="end"/>
        </w:r>
      </w:hyperlink>
    </w:p>
    <w:p w14:paraId="6E3151F8" w14:textId="5F40969D" w:rsidR="00705553" w:rsidRPr="00705553" w:rsidRDefault="000E0035">
      <w:pPr>
        <w:pStyle w:val="Sumrio2"/>
        <w:rPr>
          <w:rFonts w:ascii="Calibri" w:eastAsiaTheme="minorEastAsia" w:hAnsi="Calibri" w:cstheme="minorBidi"/>
          <w:b w:val="0"/>
          <w:bCs w:val="0"/>
          <w:sz w:val="22"/>
          <w:szCs w:val="22"/>
        </w:rPr>
      </w:pPr>
      <w:hyperlink w:anchor="_Toc126226384" w:history="1">
        <w:r w:rsidR="00705553" w:rsidRPr="00705553">
          <w:rPr>
            <w:rStyle w:val="Hyperlink"/>
            <w:rFonts w:ascii="Calibri" w:hAnsi="Calibri"/>
          </w:rPr>
          <w:t>CAPÍTULO I – ÂMBITO e FINALIDADE</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_Toc126226384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119</w:t>
        </w:r>
        <w:r w:rsidR="00705553" w:rsidRPr="00705553">
          <w:rPr>
            <w:rFonts w:ascii="Calibri" w:hAnsi="Calibri"/>
            <w:webHidden/>
          </w:rPr>
          <w:fldChar w:fldCharType="end"/>
        </w:r>
      </w:hyperlink>
    </w:p>
    <w:p w14:paraId="752288AF" w14:textId="410A7E2F" w:rsidR="00705553" w:rsidRPr="00705553" w:rsidRDefault="000E0035">
      <w:pPr>
        <w:pStyle w:val="Sumrio2"/>
        <w:rPr>
          <w:rFonts w:ascii="Calibri" w:eastAsiaTheme="minorEastAsia" w:hAnsi="Calibri" w:cstheme="minorBidi"/>
          <w:b w:val="0"/>
          <w:bCs w:val="0"/>
          <w:sz w:val="22"/>
          <w:szCs w:val="22"/>
        </w:rPr>
      </w:pPr>
      <w:hyperlink w:anchor="_Toc126226385" w:history="1">
        <w:r w:rsidR="00705553" w:rsidRPr="00705553">
          <w:rPr>
            <w:rStyle w:val="Hyperlink"/>
            <w:rFonts w:ascii="Calibri" w:hAnsi="Calibri"/>
          </w:rPr>
          <w:t>CAPÍTULO II – DEFINIÇÕES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_Toc126226385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119</w:t>
        </w:r>
        <w:r w:rsidR="00705553" w:rsidRPr="00705553">
          <w:rPr>
            <w:rFonts w:ascii="Calibri" w:hAnsi="Calibri"/>
            <w:webHidden/>
          </w:rPr>
          <w:fldChar w:fldCharType="end"/>
        </w:r>
      </w:hyperlink>
    </w:p>
    <w:p w14:paraId="48E28980" w14:textId="3750E702" w:rsidR="00705553" w:rsidRPr="00705553" w:rsidRDefault="000E0035">
      <w:pPr>
        <w:pStyle w:val="Sumrio2"/>
        <w:rPr>
          <w:rFonts w:ascii="Calibri" w:eastAsiaTheme="minorEastAsia" w:hAnsi="Calibri" w:cstheme="minorBidi"/>
          <w:b w:val="0"/>
          <w:bCs w:val="0"/>
          <w:sz w:val="22"/>
          <w:szCs w:val="22"/>
        </w:rPr>
      </w:pPr>
      <w:hyperlink w:anchor="_Toc126226386" w:history="1">
        <w:r w:rsidR="00705553" w:rsidRPr="00705553">
          <w:rPr>
            <w:rStyle w:val="Hyperlink"/>
            <w:rFonts w:ascii="Calibri" w:hAnsi="Calibri"/>
          </w:rPr>
          <w:t>CAPÍTULO III – CARACTERÍSTICAS E CONSTITUIÇÃO</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_Toc126226386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122</w:t>
        </w:r>
        <w:r w:rsidR="00705553" w:rsidRPr="00705553">
          <w:rPr>
            <w:rFonts w:ascii="Calibri" w:hAnsi="Calibri"/>
            <w:webHidden/>
          </w:rPr>
          <w:fldChar w:fldCharType="end"/>
        </w:r>
      </w:hyperlink>
    </w:p>
    <w:p w14:paraId="35C1CAF1" w14:textId="642ABE85" w:rsidR="00705553" w:rsidRPr="00705553" w:rsidRDefault="000E0035">
      <w:pPr>
        <w:pStyle w:val="Sumrio2"/>
        <w:rPr>
          <w:rFonts w:ascii="Calibri" w:eastAsiaTheme="minorEastAsia" w:hAnsi="Calibri" w:cstheme="minorBidi"/>
          <w:b w:val="0"/>
          <w:bCs w:val="0"/>
          <w:sz w:val="22"/>
          <w:szCs w:val="22"/>
        </w:rPr>
      </w:pPr>
      <w:hyperlink w:anchor="_Toc126226387" w:history="1">
        <w:r w:rsidR="00705553" w:rsidRPr="00705553">
          <w:rPr>
            <w:rStyle w:val="Hyperlink"/>
            <w:rFonts w:ascii="Calibri" w:hAnsi="Calibri"/>
          </w:rPr>
          <w:t>CAPÍTULO IV – COTAS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_Toc126226387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124</w:t>
        </w:r>
        <w:r w:rsidR="00705553" w:rsidRPr="00705553">
          <w:rPr>
            <w:rFonts w:ascii="Calibri" w:hAnsi="Calibri"/>
            <w:webHidden/>
          </w:rPr>
          <w:fldChar w:fldCharType="end"/>
        </w:r>
      </w:hyperlink>
    </w:p>
    <w:p w14:paraId="6693586A" w14:textId="4B245352" w:rsidR="00705553" w:rsidRPr="00705553" w:rsidRDefault="000E0035">
      <w:pPr>
        <w:pStyle w:val="Sumrio3"/>
        <w:rPr>
          <w:rFonts w:ascii="Calibri" w:eastAsiaTheme="minorEastAsia" w:hAnsi="Calibri" w:cstheme="minorBidi"/>
          <w:noProof/>
          <w:sz w:val="22"/>
          <w:szCs w:val="22"/>
        </w:rPr>
      </w:pPr>
      <w:hyperlink w:anchor="_Toc126226388" w:history="1">
        <w:r w:rsidR="00705553" w:rsidRPr="00705553">
          <w:rPr>
            <w:rStyle w:val="Hyperlink"/>
            <w:rFonts w:ascii="Calibri" w:hAnsi="Calibri"/>
            <w:noProof/>
          </w:rPr>
          <w:t>Seção I – Emissão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_Toc126226388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124</w:t>
        </w:r>
        <w:r w:rsidR="00705553" w:rsidRPr="00705553">
          <w:rPr>
            <w:rFonts w:ascii="Calibri" w:hAnsi="Calibri"/>
            <w:noProof/>
            <w:webHidden/>
          </w:rPr>
          <w:fldChar w:fldCharType="end"/>
        </w:r>
      </w:hyperlink>
    </w:p>
    <w:p w14:paraId="3DB3C4AF" w14:textId="6E053FFC" w:rsidR="00705553" w:rsidRPr="00705553" w:rsidRDefault="000E0035">
      <w:pPr>
        <w:pStyle w:val="Sumrio3"/>
        <w:rPr>
          <w:rFonts w:ascii="Calibri" w:eastAsiaTheme="minorEastAsia" w:hAnsi="Calibri" w:cstheme="minorBidi"/>
          <w:noProof/>
          <w:sz w:val="22"/>
          <w:szCs w:val="22"/>
        </w:rPr>
      </w:pPr>
      <w:hyperlink w:anchor="_Toc126226389" w:history="1">
        <w:r w:rsidR="00705553" w:rsidRPr="00705553">
          <w:rPr>
            <w:rStyle w:val="Hyperlink"/>
            <w:rFonts w:ascii="Calibri" w:hAnsi="Calibri"/>
            <w:noProof/>
          </w:rPr>
          <w:t>Seção II – Distribuição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_Toc126226389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124</w:t>
        </w:r>
        <w:r w:rsidR="00705553" w:rsidRPr="00705553">
          <w:rPr>
            <w:rFonts w:ascii="Calibri" w:hAnsi="Calibri"/>
            <w:noProof/>
            <w:webHidden/>
          </w:rPr>
          <w:fldChar w:fldCharType="end"/>
        </w:r>
      </w:hyperlink>
    </w:p>
    <w:p w14:paraId="348D2FD0" w14:textId="43C15874" w:rsidR="00705553" w:rsidRPr="00705553" w:rsidRDefault="000E0035">
      <w:pPr>
        <w:pStyle w:val="Sumrio3"/>
        <w:rPr>
          <w:rFonts w:ascii="Calibri" w:eastAsiaTheme="minorEastAsia" w:hAnsi="Calibri" w:cstheme="minorBidi"/>
          <w:noProof/>
          <w:sz w:val="22"/>
          <w:szCs w:val="22"/>
        </w:rPr>
      </w:pPr>
      <w:hyperlink w:anchor="_Toc126226390" w:history="1">
        <w:r w:rsidR="00705553" w:rsidRPr="00705553">
          <w:rPr>
            <w:rStyle w:val="Hyperlink"/>
            <w:rFonts w:ascii="Calibri" w:hAnsi="Calibri"/>
            <w:noProof/>
          </w:rPr>
          <w:t>Seção III – Subscrição e Integralização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_Toc126226390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125</w:t>
        </w:r>
        <w:r w:rsidR="00705553" w:rsidRPr="00705553">
          <w:rPr>
            <w:rFonts w:ascii="Calibri" w:hAnsi="Calibri"/>
            <w:noProof/>
            <w:webHidden/>
          </w:rPr>
          <w:fldChar w:fldCharType="end"/>
        </w:r>
      </w:hyperlink>
    </w:p>
    <w:p w14:paraId="277007EB" w14:textId="07CD775B" w:rsidR="00705553" w:rsidRPr="00705553" w:rsidRDefault="000E0035">
      <w:pPr>
        <w:pStyle w:val="Sumrio3"/>
        <w:rPr>
          <w:rFonts w:ascii="Calibri" w:eastAsiaTheme="minorEastAsia" w:hAnsi="Calibri" w:cstheme="minorBidi"/>
          <w:noProof/>
          <w:sz w:val="22"/>
          <w:szCs w:val="22"/>
        </w:rPr>
      </w:pPr>
      <w:hyperlink w:anchor="_Toc126226391" w:history="1">
        <w:r w:rsidR="00705553" w:rsidRPr="00705553">
          <w:rPr>
            <w:rStyle w:val="Hyperlink"/>
            <w:rFonts w:ascii="Calibri" w:hAnsi="Calibri"/>
            <w:noProof/>
          </w:rPr>
          <w:t>Seção IV – Resgate e Amortização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_Toc126226391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126</w:t>
        </w:r>
        <w:r w:rsidR="00705553" w:rsidRPr="00705553">
          <w:rPr>
            <w:rFonts w:ascii="Calibri" w:hAnsi="Calibri"/>
            <w:noProof/>
            <w:webHidden/>
          </w:rPr>
          <w:fldChar w:fldCharType="end"/>
        </w:r>
      </w:hyperlink>
    </w:p>
    <w:p w14:paraId="0FEC958B" w14:textId="759012DB" w:rsidR="00705553" w:rsidRPr="00705553" w:rsidRDefault="000E0035">
      <w:pPr>
        <w:pStyle w:val="Sumrio2"/>
        <w:rPr>
          <w:rFonts w:ascii="Calibri" w:eastAsiaTheme="minorEastAsia" w:hAnsi="Calibri" w:cstheme="minorBidi"/>
          <w:b w:val="0"/>
          <w:bCs w:val="0"/>
          <w:sz w:val="22"/>
          <w:szCs w:val="22"/>
        </w:rPr>
      </w:pPr>
      <w:hyperlink w:anchor="_Toc126226392" w:history="1">
        <w:r w:rsidR="00705553" w:rsidRPr="00705553">
          <w:rPr>
            <w:rStyle w:val="Hyperlink"/>
            <w:rFonts w:ascii="Calibri" w:hAnsi="Calibri"/>
          </w:rPr>
          <w:t>CAPÍTULO V – DOCUMENTOS E INFORMAÇÕES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_Toc126226392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126</w:t>
        </w:r>
        <w:r w:rsidR="00705553" w:rsidRPr="00705553">
          <w:rPr>
            <w:rFonts w:ascii="Calibri" w:hAnsi="Calibri"/>
            <w:webHidden/>
          </w:rPr>
          <w:fldChar w:fldCharType="end"/>
        </w:r>
      </w:hyperlink>
    </w:p>
    <w:p w14:paraId="0231C0CE" w14:textId="5D3DC7A0" w:rsidR="00705553" w:rsidRPr="00705553" w:rsidRDefault="000E0035">
      <w:pPr>
        <w:pStyle w:val="Sumrio3"/>
        <w:rPr>
          <w:rFonts w:ascii="Calibri" w:eastAsiaTheme="minorEastAsia" w:hAnsi="Calibri" w:cstheme="minorBidi"/>
          <w:noProof/>
          <w:sz w:val="22"/>
          <w:szCs w:val="22"/>
        </w:rPr>
      </w:pPr>
      <w:hyperlink w:anchor="_Toc126226393" w:history="1">
        <w:r w:rsidR="00705553" w:rsidRPr="00705553">
          <w:rPr>
            <w:rStyle w:val="Hyperlink"/>
            <w:rFonts w:ascii="Calibri" w:hAnsi="Calibri"/>
            <w:noProof/>
          </w:rPr>
          <w:t>Seção I – Lâmina de Informações Básicas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_Toc126226393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126</w:t>
        </w:r>
        <w:r w:rsidR="00705553" w:rsidRPr="00705553">
          <w:rPr>
            <w:rFonts w:ascii="Calibri" w:hAnsi="Calibri"/>
            <w:noProof/>
            <w:webHidden/>
          </w:rPr>
          <w:fldChar w:fldCharType="end"/>
        </w:r>
      </w:hyperlink>
    </w:p>
    <w:p w14:paraId="49BE4101" w14:textId="3BAF401D" w:rsidR="00705553" w:rsidRPr="00705553" w:rsidRDefault="000E0035">
      <w:pPr>
        <w:pStyle w:val="Sumrio3"/>
        <w:rPr>
          <w:rFonts w:ascii="Calibri" w:eastAsiaTheme="minorEastAsia" w:hAnsi="Calibri" w:cstheme="minorBidi"/>
          <w:noProof/>
          <w:sz w:val="22"/>
          <w:szCs w:val="22"/>
        </w:rPr>
      </w:pPr>
      <w:hyperlink w:anchor="_Toc126226394" w:history="1">
        <w:r w:rsidR="00705553" w:rsidRPr="00705553">
          <w:rPr>
            <w:rStyle w:val="Hyperlink"/>
            <w:rFonts w:ascii="Calibri" w:hAnsi="Calibri"/>
            <w:noProof/>
          </w:rPr>
          <w:t>Seção II – Regulamento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_Toc126226394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127</w:t>
        </w:r>
        <w:r w:rsidR="00705553" w:rsidRPr="00705553">
          <w:rPr>
            <w:rFonts w:ascii="Calibri" w:hAnsi="Calibri"/>
            <w:noProof/>
            <w:webHidden/>
          </w:rPr>
          <w:fldChar w:fldCharType="end"/>
        </w:r>
      </w:hyperlink>
    </w:p>
    <w:p w14:paraId="22D0969D" w14:textId="7E79E934" w:rsidR="00705553" w:rsidRPr="00705553" w:rsidRDefault="000E0035">
      <w:pPr>
        <w:pStyle w:val="Sumrio3"/>
        <w:rPr>
          <w:rFonts w:ascii="Calibri" w:eastAsiaTheme="minorEastAsia" w:hAnsi="Calibri" w:cstheme="minorBidi"/>
          <w:noProof/>
          <w:sz w:val="22"/>
          <w:szCs w:val="22"/>
        </w:rPr>
      </w:pPr>
      <w:hyperlink w:anchor="_Toc126226395" w:history="1">
        <w:r w:rsidR="00705553" w:rsidRPr="00705553">
          <w:rPr>
            <w:rStyle w:val="Hyperlink"/>
            <w:rFonts w:ascii="Calibri" w:hAnsi="Calibri"/>
            <w:noProof/>
          </w:rPr>
          <w:t>Seção III – Material de Divulgação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_Toc126226395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129</w:t>
        </w:r>
        <w:r w:rsidR="00705553" w:rsidRPr="00705553">
          <w:rPr>
            <w:rFonts w:ascii="Calibri" w:hAnsi="Calibri"/>
            <w:noProof/>
            <w:webHidden/>
          </w:rPr>
          <w:fldChar w:fldCharType="end"/>
        </w:r>
      </w:hyperlink>
    </w:p>
    <w:p w14:paraId="372EC7F2" w14:textId="2F012915" w:rsidR="00705553" w:rsidRPr="00705553" w:rsidRDefault="000E0035">
      <w:pPr>
        <w:pStyle w:val="Sumrio2"/>
        <w:rPr>
          <w:rFonts w:ascii="Calibri" w:eastAsiaTheme="minorEastAsia" w:hAnsi="Calibri" w:cstheme="minorBidi"/>
          <w:b w:val="0"/>
          <w:bCs w:val="0"/>
          <w:sz w:val="22"/>
          <w:szCs w:val="22"/>
        </w:rPr>
      </w:pPr>
      <w:hyperlink w:anchor="_Toc126226396" w:history="1">
        <w:r w:rsidR="00705553" w:rsidRPr="00705553">
          <w:rPr>
            <w:rStyle w:val="Hyperlink"/>
            <w:rFonts w:ascii="Calibri" w:hAnsi="Calibri"/>
          </w:rPr>
          <w:t>CAPÍTULO VI – INFORMAÇÕES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_Toc126226396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130</w:t>
        </w:r>
        <w:r w:rsidR="00705553" w:rsidRPr="00705553">
          <w:rPr>
            <w:rFonts w:ascii="Calibri" w:hAnsi="Calibri"/>
            <w:webHidden/>
          </w:rPr>
          <w:fldChar w:fldCharType="end"/>
        </w:r>
      </w:hyperlink>
    </w:p>
    <w:p w14:paraId="18B970A0" w14:textId="29194B3A" w:rsidR="00705553" w:rsidRPr="00705553" w:rsidRDefault="000E0035">
      <w:pPr>
        <w:pStyle w:val="Sumrio2"/>
        <w:rPr>
          <w:rFonts w:ascii="Calibri" w:eastAsiaTheme="minorEastAsia" w:hAnsi="Calibri" w:cstheme="minorBidi"/>
          <w:b w:val="0"/>
          <w:bCs w:val="0"/>
          <w:sz w:val="22"/>
          <w:szCs w:val="22"/>
        </w:rPr>
      </w:pPr>
      <w:hyperlink w:anchor="_Toc126226397" w:history="1">
        <w:r w:rsidR="00705553" w:rsidRPr="00705553">
          <w:rPr>
            <w:rStyle w:val="Hyperlink"/>
            <w:rFonts w:ascii="Calibri" w:hAnsi="Calibri"/>
          </w:rPr>
          <w:t>CAPÍTULO VII – ASSEMBLEIAS DE COTISTAS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_Toc126226397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133</w:t>
        </w:r>
        <w:r w:rsidR="00705553" w:rsidRPr="00705553">
          <w:rPr>
            <w:rFonts w:ascii="Calibri" w:hAnsi="Calibri"/>
            <w:webHidden/>
          </w:rPr>
          <w:fldChar w:fldCharType="end"/>
        </w:r>
      </w:hyperlink>
    </w:p>
    <w:p w14:paraId="1D225835" w14:textId="06785256" w:rsidR="00705553" w:rsidRPr="00705553" w:rsidRDefault="000E0035">
      <w:pPr>
        <w:pStyle w:val="Sumrio2"/>
        <w:rPr>
          <w:rFonts w:ascii="Calibri" w:eastAsiaTheme="minorEastAsia" w:hAnsi="Calibri" w:cstheme="minorBidi"/>
          <w:b w:val="0"/>
          <w:bCs w:val="0"/>
          <w:sz w:val="22"/>
          <w:szCs w:val="22"/>
        </w:rPr>
      </w:pPr>
      <w:hyperlink w:anchor="_Toc126226398" w:history="1">
        <w:r w:rsidR="00705553" w:rsidRPr="00705553">
          <w:rPr>
            <w:rStyle w:val="Hyperlink"/>
            <w:rFonts w:ascii="Calibri" w:hAnsi="Calibri"/>
          </w:rPr>
          <w:t>CAPÍTULO VIII – PRESTAÇÃO DE SERVIÇOS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_Toc126226398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133</w:t>
        </w:r>
        <w:r w:rsidR="00705553" w:rsidRPr="00705553">
          <w:rPr>
            <w:rFonts w:ascii="Calibri" w:hAnsi="Calibri"/>
            <w:webHidden/>
          </w:rPr>
          <w:fldChar w:fldCharType="end"/>
        </w:r>
      </w:hyperlink>
    </w:p>
    <w:p w14:paraId="499EB7EE" w14:textId="5502784D" w:rsidR="00705553" w:rsidRPr="00705553" w:rsidRDefault="000E0035">
      <w:pPr>
        <w:pStyle w:val="Sumrio3"/>
        <w:rPr>
          <w:rFonts w:ascii="Calibri" w:eastAsiaTheme="minorEastAsia" w:hAnsi="Calibri" w:cstheme="minorBidi"/>
          <w:noProof/>
          <w:sz w:val="22"/>
          <w:szCs w:val="22"/>
        </w:rPr>
      </w:pPr>
      <w:hyperlink w:anchor="_Toc126226399" w:history="1">
        <w:r w:rsidR="00705553" w:rsidRPr="00705553">
          <w:rPr>
            <w:rStyle w:val="Hyperlink"/>
            <w:rFonts w:ascii="Calibri" w:hAnsi="Calibri"/>
            <w:noProof/>
          </w:rPr>
          <w:t>Seção I – Administração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_Toc126226399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133</w:t>
        </w:r>
        <w:r w:rsidR="00705553" w:rsidRPr="00705553">
          <w:rPr>
            <w:rFonts w:ascii="Calibri" w:hAnsi="Calibri"/>
            <w:noProof/>
            <w:webHidden/>
          </w:rPr>
          <w:fldChar w:fldCharType="end"/>
        </w:r>
      </w:hyperlink>
    </w:p>
    <w:p w14:paraId="6902F4A8" w14:textId="2DB1F02C" w:rsidR="00705553" w:rsidRPr="00705553" w:rsidRDefault="000E0035">
      <w:pPr>
        <w:pStyle w:val="Sumrio3"/>
        <w:rPr>
          <w:rFonts w:ascii="Calibri" w:eastAsiaTheme="minorEastAsia" w:hAnsi="Calibri" w:cstheme="minorBidi"/>
          <w:noProof/>
          <w:sz w:val="22"/>
          <w:szCs w:val="22"/>
        </w:rPr>
      </w:pPr>
      <w:hyperlink w:anchor="_Toc126226400" w:history="1">
        <w:r w:rsidR="00705553" w:rsidRPr="00705553">
          <w:rPr>
            <w:rStyle w:val="Hyperlink"/>
            <w:rFonts w:ascii="Calibri" w:hAnsi="Calibri"/>
            <w:noProof/>
          </w:rPr>
          <w:t>Seção II – Gestão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_Toc126226400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135</w:t>
        </w:r>
        <w:r w:rsidR="00705553" w:rsidRPr="00705553">
          <w:rPr>
            <w:rFonts w:ascii="Calibri" w:hAnsi="Calibri"/>
            <w:noProof/>
            <w:webHidden/>
          </w:rPr>
          <w:fldChar w:fldCharType="end"/>
        </w:r>
      </w:hyperlink>
    </w:p>
    <w:p w14:paraId="3170D103" w14:textId="210DA2AA" w:rsidR="00705553" w:rsidRPr="00705553" w:rsidRDefault="000E0035">
      <w:pPr>
        <w:pStyle w:val="Sumrio3"/>
        <w:rPr>
          <w:rFonts w:ascii="Calibri" w:eastAsiaTheme="minorEastAsia" w:hAnsi="Calibri" w:cstheme="minorBidi"/>
          <w:noProof/>
          <w:sz w:val="22"/>
          <w:szCs w:val="22"/>
        </w:rPr>
      </w:pPr>
      <w:hyperlink w:anchor="_Toc126226401" w:history="1">
        <w:r w:rsidR="00705553" w:rsidRPr="00705553">
          <w:rPr>
            <w:rStyle w:val="Hyperlink"/>
            <w:rFonts w:ascii="Calibri" w:hAnsi="Calibri"/>
            <w:noProof/>
          </w:rPr>
          <w:t>Seção III – Verificação do Lastro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_Toc126226401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137</w:t>
        </w:r>
        <w:r w:rsidR="00705553" w:rsidRPr="00705553">
          <w:rPr>
            <w:rFonts w:ascii="Calibri" w:hAnsi="Calibri"/>
            <w:noProof/>
            <w:webHidden/>
          </w:rPr>
          <w:fldChar w:fldCharType="end"/>
        </w:r>
      </w:hyperlink>
    </w:p>
    <w:p w14:paraId="500F1CDB" w14:textId="09098B45" w:rsidR="00705553" w:rsidRPr="00705553" w:rsidRDefault="000E0035">
      <w:pPr>
        <w:pStyle w:val="Sumrio3"/>
        <w:rPr>
          <w:rFonts w:ascii="Calibri" w:eastAsiaTheme="minorEastAsia" w:hAnsi="Calibri" w:cstheme="minorBidi"/>
          <w:noProof/>
          <w:sz w:val="22"/>
          <w:szCs w:val="22"/>
        </w:rPr>
      </w:pPr>
      <w:hyperlink w:anchor="_Toc126226402" w:history="1">
        <w:r w:rsidR="00705553" w:rsidRPr="00705553">
          <w:rPr>
            <w:rStyle w:val="Hyperlink"/>
            <w:rFonts w:ascii="Calibri" w:hAnsi="Calibri"/>
            <w:noProof/>
          </w:rPr>
          <w:t>Seção IV – Custódia</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_Toc126226402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138</w:t>
        </w:r>
        <w:r w:rsidR="00705553" w:rsidRPr="00705553">
          <w:rPr>
            <w:rFonts w:ascii="Calibri" w:hAnsi="Calibri"/>
            <w:noProof/>
            <w:webHidden/>
          </w:rPr>
          <w:fldChar w:fldCharType="end"/>
        </w:r>
      </w:hyperlink>
    </w:p>
    <w:p w14:paraId="6ED2E34F" w14:textId="35D499C8" w:rsidR="00705553" w:rsidRPr="00705553" w:rsidRDefault="000E0035">
      <w:pPr>
        <w:pStyle w:val="Sumrio3"/>
        <w:rPr>
          <w:rFonts w:ascii="Calibri" w:eastAsiaTheme="minorEastAsia" w:hAnsi="Calibri" w:cstheme="minorBidi"/>
          <w:noProof/>
          <w:sz w:val="22"/>
          <w:szCs w:val="22"/>
        </w:rPr>
      </w:pPr>
      <w:hyperlink w:anchor="_Toc126226403" w:history="1">
        <w:r w:rsidR="00705553" w:rsidRPr="00705553">
          <w:rPr>
            <w:rStyle w:val="Hyperlink"/>
            <w:rFonts w:ascii="Calibri" w:hAnsi="Calibri"/>
            <w:noProof/>
          </w:rPr>
          <w:t>Seção V – Vedações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_Toc126226403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139</w:t>
        </w:r>
        <w:r w:rsidR="00705553" w:rsidRPr="00705553">
          <w:rPr>
            <w:rFonts w:ascii="Calibri" w:hAnsi="Calibri"/>
            <w:noProof/>
            <w:webHidden/>
          </w:rPr>
          <w:fldChar w:fldCharType="end"/>
        </w:r>
      </w:hyperlink>
    </w:p>
    <w:p w14:paraId="2B67412A" w14:textId="35761C67" w:rsidR="00705553" w:rsidRPr="00705553" w:rsidRDefault="000E0035">
      <w:pPr>
        <w:pStyle w:val="Sumrio2"/>
        <w:rPr>
          <w:rFonts w:ascii="Calibri" w:eastAsiaTheme="minorEastAsia" w:hAnsi="Calibri" w:cstheme="minorBidi"/>
          <w:b w:val="0"/>
          <w:bCs w:val="0"/>
          <w:sz w:val="22"/>
          <w:szCs w:val="22"/>
        </w:rPr>
      </w:pPr>
      <w:hyperlink w:anchor="_Toc126226404" w:history="1">
        <w:r w:rsidR="00705553" w:rsidRPr="00705553">
          <w:rPr>
            <w:rStyle w:val="Hyperlink"/>
            <w:rFonts w:ascii="Calibri" w:hAnsi="Calibri"/>
          </w:rPr>
          <w:t>CAPÍTULO IX – CARTEIRA</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_Toc126226404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140</w:t>
        </w:r>
        <w:r w:rsidR="00705553" w:rsidRPr="00705553">
          <w:rPr>
            <w:rFonts w:ascii="Calibri" w:hAnsi="Calibri"/>
            <w:webHidden/>
          </w:rPr>
          <w:fldChar w:fldCharType="end"/>
        </w:r>
      </w:hyperlink>
    </w:p>
    <w:p w14:paraId="333BBEA7" w14:textId="37A3D643" w:rsidR="00705553" w:rsidRPr="00705553" w:rsidRDefault="000E0035">
      <w:pPr>
        <w:pStyle w:val="Sumrio3"/>
        <w:rPr>
          <w:rFonts w:ascii="Calibri" w:eastAsiaTheme="minorEastAsia" w:hAnsi="Calibri" w:cstheme="minorBidi"/>
          <w:noProof/>
          <w:sz w:val="22"/>
          <w:szCs w:val="22"/>
        </w:rPr>
      </w:pPr>
      <w:hyperlink w:anchor="_Toc126226405" w:history="1">
        <w:r w:rsidR="00705553" w:rsidRPr="00705553">
          <w:rPr>
            <w:rStyle w:val="Hyperlink"/>
            <w:rFonts w:ascii="Calibri" w:hAnsi="Calibri"/>
            <w:noProof/>
          </w:rPr>
          <w:t>Seção I – Enquadramento e Concentração</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_Toc126226405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140</w:t>
        </w:r>
        <w:r w:rsidR="00705553" w:rsidRPr="00705553">
          <w:rPr>
            <w:rFonts w:ascii="Calibri" w:hAnsi="Calibri"/>
            <w:noProof/>
            <w:webHidden/>
          </w:rPr>
          <w:fldChar w:fldCharType="end"/>
        </w:r>
      </w:hyperlink>
    </w:p>
    <w:p w14:paraId="160DD0B5" w14:textId="24F20680" w:rsidR="00705553" w:rsidRPr="00705553" w:rsidRDefault="000E0035">
      <w:pPr>
        <w:pStyle w:val="Sumrio3"/>
        <w:rPr>
          <w:rFonts w:ascii="Calibri" w:eastAsiaTheme="minorEastAsia" w:hAnsi="Calibri" w:cstheme="minorBidi"/>
          <w:noProof/>
          <w:sz w:val="22"/>
          <w:szCs w:val="22"/>
        </w:rPr>
      </w:pPr>
      <w:hyperlink w:anchor="_Toc126226406" w:history="1">
        <w:r w:rsidR="00705553" w:rsidRPr="00705553">
          <w:rPr>
            <w:rStyle w:val="Hyperlink"/>
            <w:rFonts w:ascii="Calibri" w:hAnsi="Calibri"/>
            <w:noProof/>
          </w:rPr>
          <w:t>Seção II – Investimento em Cotas</w:t>
        </w:r>
        <w:r w:rsidR="00705553" w:rsidRPr="00705553">
          <w:rPr>
            <w:rFonts w:ascii="Calibri" w:hAnsi="Calibri"/>
            <w:noProof/>
            <w:webHidden/>
          </w:rPr>
          <w:tab/>
        </w:r>
        <w:r w:rsidR="00705553" w:rsidRPr="00705553">
          <w:rPr>
            <w:rFonts w:ascii="Calibri" w:hAnsi="Calibri"/>
            <w:noProof/>
            <w:webHidden/>
          </w:rPr>
          <w:fldChar w:fldCharType="begin"/>
        </w:r>
        <w:r w:rsidR="00705553" w:rsidRPr="00705553">
          <w:rPr>
            <w:rFonts w:ascii="Calibri" w:hAnsi="Calibri"/>
            <w:noProof/>
            <w:webHidden/>
          </w:rPr>
          <w:instrText xml:space="preserve"> PAGEREF _Toc126226406 \h </w:instrText>
        </w:r>
        <w:r w:rsidR="00705553" w:rsidRPr="00705553">
          <w:rPr>
            <w:rFonts w:ascii="Calibri" w:hAnsi="Calibri"/>
            <w:noProof/>
            <w:webHidden/>
          </w:rPr>
        </w:r>
        <w:r w:rsidR="00705553" w:rsidRPr="00705553">
          <w:rPr>
            <w:rFonts w:ascii="Calibri" w:hAnsi="Calibri"/>
            <w:noProof/>
            <w:webHidden/>
          </w:rPr>
          <w:fldChar w:fldCharType="separate"/>
        </w:r>
        <w:r>
          <w:rPr>
            <w:rFonts w:ascii="Calibri" w:hAnsi="Calibri"/>
            <w:noProof/>
            <w:webHidden/>
          </w:rPr>
          <w:t>142</w:t>
        </w:r>
        <w:r w:rsidR="00705553" w:rsidRPr="00705553">
          <w:rPr>
            <w:rFonts w:ascii="Calibri" w:hAnsi="Calibri"/>
            <w:noProof/>
            <w:webHidden/>
          </w:rPr>
          <w:fldChar w:fldCharType="end"/>
        </w:r>
      </w:hyperlink>
    </w:p>
    <w:p w14:paraId="2B0C6089" w14:textId="5DAFC3D3" w:rsidR="00705553" w:rsidRPr="00705553" w:rsidRDefault="000E0035">
      <w:pPr>
        <w:pStyle w:val="Sumrio2"/>
        <w:rPr>
          <w:rFonts w:ascii="Calibri" w:eastAsiaTheme="minorEastAsia" w:hAnsi="Calibri" w:cstheme="minorBidi"/>
          <w:b w:val="0"/>
          <w:bCs w:val="0"/>
          <w:sz w:val="22"/>
          <w:szCs w:val="22"/>
        </w:rPr>
      </w:pPr>
      <w:hyperlink w:anchor="_Toc126226407" w:history="1">
        <w:r w:rsidR="00705553" w:rsidRPr="00705553">
          <w:rPr>
            <w:rStyle w:val="Hyperlink"/>
            <w:rFonts w:ascii="Calibri" w:hAnsi="Calibri"/>
          </w:rPr>
          <w:t>CAPÍTULO X – CLASSES RESTRITAS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_Toc126226407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143</w:t>
        </w:r>
        <w:r w:rsidR="00705553" w:rsidRPr="00705553">
          <w:rPr>
            <w:rFonts w:ascii="Calibri" w:hAnsi="Calibri"/>
            <w:webHidden/>
          </w:rPr>
          <w:fldChar w:fldCharType="end"/>
        </w:r>
      </w:hyperlink>
    </w:p>
    <w:p w14:paraId="14E024C4" w14:textId="64F71075" w:rsidR="00705553" w:rsidRPr="00705553" w:rsidRDefault="000E0035">
      <w:pPr>
        <w:pStyle w:val="Sumrio2"/>
        <w:rPr>
          <w:rFonts w:ascii="Calibri" w:eastAsiaTheme="minorEastAsia" w:hAnsi="Calibri" w:cstheme="minorBidi"/>
          <w:b w:val="0"/>
          <w:bCs w:val="0"/>
          <w:sz w:val="22"/>
          <w:szCs w:val="22"/>
        </w:rPr>
      </w:pPr>
      <w:hyperlink w:anchor="_Toc126226408" w:history="1">
        <w:r w:rsidR="00705553" w:rsidRPr="00705553">
          <w:rPr>
            <w:rStyle w:val="Hyperlink"/>
            <w:rFonts w:ascii="Calibri" w:hAnsi="Calibri"/>
          </w:rPr>
          <w:t>CAPÍTULO XI – ENCARGOS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_Toc126226408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144</w:t>
        </w:r>
        <w:r w:rsidR="00705553" w:rsidRPr="00705553">
          <w:rPr>
            <w:rFonts w:ascii="Calibri" w:hAnsi="Calibri"/>
            <w:webHidden/>
          </w:rPr>
          <w:fldChar w:fldCharType="end"/>
        </w:r>
      </w:hyperlink>
    </w:p>
    <w:p w14:paraId="75EF2122" w14:textId="18A87B89" w:rsidR="00705553" w:rsidRPr="00705553" w:rsidRDefault="000E0035">
      <w:pPr>
        <w:pStyle w:val="Sumrio2"/>
        <w:rPr>
          <w:rFonts w:ascii="Calibri" w:eastAsiaTheme="minorEastAsia" w:hAnsi="Calibri" w:cstheme="minorBidi"/>
          <w:b w:val="0"/>
          <w:bCs w:val="0"/>
          <w:sz w:val="22"/>
          <w:szCs w:val="22"/>
        </w:rPr>
      </w:pPr>
      <w:hyperlink w:anchor="_Toc126226409" w:history="1">
        <w:r w:rsidR="00705553" w:rsidRPr="00705553">
          <w:rPr>
            <w:rStyle w:val="Hyperlink"/>
            <w:rFonts w:ascii="Calibri" w:hAnsi="Calibri"/>
          </w:rPr>
          <w:t>CAPÍTULO XII – LIQUIDAÇÃO</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_Toc126226409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144</w:t>
        </w:r>
        <w:r w:rsidR="00705553" w:rsidRPr="00705553">
          <w:rPr>
            <w:rFonts w:ascii="Calibri" w:hAnsi="Calibri"/>
            <w:webHidden/>
          </w:rPr>
          <w:fldChar w:fldCharType="end"/>
        </w:r>
      </w:hyperlink>
    </w:p>
    <w:p w14:paraId="71D6FC73" w14:textId="6930427D" w:rsidR="00705553" w:rsidRPr="00705553" w:rsidRDefault="000E0035">
      <w:pPr>
        <w:pStyle w:val="Sumrio2"/>
        <w:rPr>
          <w:rFonts w:ascii="Calibri" w:eastAsiaTheme="minorEastAsia" w:hAnsi="Calibri" w:cstheme="minorBidi"/>
          <w:b w:val="0"/>
          <w:bCs w:val="0"/>
          <w:sz w:val="22"/>
          <w:szCs w:val="22"/>
        </w:rPr>
      </w:pPr>
      <w:hyperlink w:anchor="_Toc126226410" w:history="1">
        <w:r w:rsidR="00705553" w:rsidRPr="00705553">
          <w:rPr>
            <w:rStyle w:val="Hyperlink"/>
            <w:rFonts w:ascii="Calibri" w:hAnsi="Calibri"/>
          </w:rPr>
          <w:t>CAPÍTULO XIII – PENALIDADES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_Toc126226410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145</w:t>
        </w:r>
        <w:r w:rsidR="00705553" w:rsidRPr="00705553">
          <w:rPr>
            <w:rFonts w:ascii="Calibri" w:hAnsi="Calibri"/>
            <w:webHidden/>
          </w:rPr>
          <w:fldChar w:fldCharType="end"/>
        </w:r>
      </w:hyperlink>
    </w:p>
    <w:p w14:paraId="5F9FC595" w14:textId="1CD80A14" w:rsidR="00705553" w:rsidRPr="00705553" w:rsidRDefault="000E0035">
      <w:pPr>
        <w:pStyle w:val="Sumrio2"/>
        <w:rPr>
          <w:rFonts w:ascii="Calibri" w:eastAsiaTheme="minorEastAsia" w:hAnsi="Calibri" w:cstheme="minorBidi"/>
          <w:b w:val="0"/>
          <w:bCs w:val="0"/>
          <w:sz w:val="22"/>
          <w:szCs w:val="22"/>
        </w:rPr>
      </w:pPr>
      <w:hyperlink w:anchor="_Toc126226411" w:history="1">
        <w:r w:rsidR="00705553" w:rsidRPr="00705553">
          <w:rPr>
            <w:rStyle w:val="Hyperlink"/>
            <w:rFonts w:ascii="Calibri" w:hAnsi="Calibri"/>
          </w:rPr>
          <w:t>CAPÍTULO XIV – DISPOSIÇÕES FINAIS E TRANSITÓRIAS</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_Toc126226411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145</w:t>
        </w:r>
        <w:r w:rsidR="00705553" w:rsidRPr="00705553">
          <w:rPr>
            <w:rFonts w:ascii="Calibri" w:hAnsi="Calibri"/>
            <w:webHidden/>
          </w:rPr>
          <w:fldChar w:fldCharType="end"/>
        </w:r>
      </w:hyperlink>
    </w:p>
    <w:p w14:paraId="0F6BBE12" w14:textId="603C43D5" w:rsidR="00705553" w:rsidRPr="00705553" w:rsidRDefault="000E0035">
      <w:pPr>
        <w:pStyle w:val="Sumrio1"/>
        <w:rPr>
          <w:rFonts w:ascii="Calibri" w:eastAsiaTheme="minorEastAsia" w:hAnsi="Calibri" w:cstheme="minorBidi"/>
          <w:sz w:val="22"/>
          <w:szCs w:val="22"/>
        </w:rPr>
      </w:pPr>
      <w:hyperlink w:anchor="_Toc126226412" w:history="1">
        <w:r w:rsidR="00705553" w:rsidRPr="00705553">
          <w:rPr>
            <w:rStyle w:val="Hyperlink"/>
            <w:rFonts w:ascii="Calibri" w:hAnsi="Calibri"/>
          </w:rPr>
          <w:t>SUPLEMENTO A – TERMO DE CIÊNCIA E ASSUNÇÃO DE RESPONSABILIDADE ILIMITADA</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_Toc126226412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146</w:t>
        </w:r>
        <w:r w:rsidR="00705553" w:rsidRPr="00705553">
          <w:rPr>
            <w:rFonts w:ascii="Calibri" w:hAnsi="Calibri"/>
            <w:webHidden/>
          </w:rPr>
          <w:fldChar w:fldCharType="end"/>
        </w:r>
      </w:hyperlink>
    </w:p>
    <w:p w14:paraId="33678352" w14:textId="292AA458" w:rsidR="00705553" w:rsidRPr="00705553" w:rsidRDefault="000E0035">
      <w:pPr>
        <w:pStyle w:val="Sumrio1"/>
        <w:rPr>
          <w:rFonts w:ascii="Calibri" w:eastAsiaTheme="minorEastAsia" w:hAnsi="Calibri" w:cstheme="minorBidi"/>
          <w:sz w:val="22"/>
          <w:szCs w:val="22"/>
        </w:rPr>
      </w:pPr>
      <w:hyperlink w:anchor="_Toc126226413" w:history="1">
        <w:r w:rsidR="00705553" w:rsidRPr="00705553">
          <w:rPr>
            <w:rStyle w:val="Hyperlink"/>
            <w:rFonts w:ascii="Calibri" w:hAnsi="Calibri"/>
          </w:rPr>
          <w:t>SUPLEMENTO B – LÂMINA DE INFORMAÇÕES BÁSICAS – FIF</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_Toc126226413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147</w:t>
        </w:r>
        <w:r w:rsidR="00705553" w:rsidRPr="00705553">
          <w:rPr>
            <w:rFonts w:ascii="Calibri" w:hAnsi="Calibri"/>
            <w:webHidden/>
          </w:rPr>
          <w:fldChar w:fldCharType="end"/>
        </w:r>
      </w:hyperlink>
    </w:p>
    <w:p w14:paraId="25259EE8" w14:textId="7A12FC0B" w:rsidR="00705553" w:rsidRPr="00705553" w:rsidRDefault="000E0035">
      <w:pPr>
        <w:pStyle w:val="Sumrio1"/>
        <w:rPr>
          <w:rFonts w:ascii="Calibri" w:eastAsiaTheme="minorEastAsia" w:hAnsi="Calibri" w:cstheme="minorBidi"/>
          <w:sz w:val="22"/>
          <w:szCs w:val="22"/>
        </w:rPr>
      </w:pPr>
      <w:hyperlink w:anchor="_Toc126226414" w:history="1">
        <w:r w:rsidR="00705553" w:rsidRPr="00705553">
          <w:rPr>
            <w:rStyle w:val="Hyperlink"/>
            <w:rFonts w:ascii="Calibri" w:hAnsi="Calibri"/>
          </w:rPr>
          <w:t>SUPLEMENTO C – DEMONSTRAÇÃO DE DESEMPENHO – FIF</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_Toc126226414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155</w:t>
        </w:r>
        <w:r w:rsidR="00705553" w:rsidRPr="00705553">
          <w:rPr>
            <w:rFonts w:ascii="Calibri" w:hAnsi="Calibri"/>
            <w:webHidden/>
          </w:rPr>
          <w:fldChar w:fldCharType="end"/>
        </w:r>
      </w:hyperlink>
    </w:p>
    <w:p w14:paraId="2F4DF403" w14:textId="7D467CF6" w:rsidR="00705553" w:rsidRPr="00705553" w:rsidRDefault="000E0035">
      <w:pPr>
        <w:pStyle w:val="Sumrio1"/>
        <w:rPr>
          <w:rFonts w:ascii="Calibri" w:eastAsiaTheme="minorEastAsia" w:hAnsi="Calibri" w:cstheme="minorBidi"/>
          <w:sz w:val="22"/>
          <w:szCs w:val="22"/>
        </w:rPr>
      </w:pPr>
      <w:hyperlink w:anchor="_Toc126226415" w:history="1">
        <w:r w:rsidR="00705553" w:rsidRPr="00705553">
          <w:rPr>
            <w:rStyle w:val="Hyperlink"/>
            <w:rFonts w:ascii="Calibri" w:hAnsi="Calibri"/>
          </w:rPr>
          <w:t>SUPLEMENTO D – PERFIL MENSAL – FIF</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_Toc126226415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160</w:t>
        </w:r>
        <w:r w:rsidR="00705553" w:rsidRPr="00705553">
          <w:rPr>
            <w:rFonts w:ascii="Calibri" w:hAnsi="Calibri"/>
            <w:webHidden/>
          </w:rPr>
          <w:fldChar w:fldCharType="end"/>
        </w:r>
      </w:hyperlink>
    </w:p>
    <w:p w14:paraId="5C96E6BD" w14:textId="4EAEE3D1" w:rsidR="00705553" w:rsidRPr="00705553" w:rsidRDefault="000E0035">
      <w:pPr>
        <w:pStyle w:val="Sumrio1"/>
        <w:rPr>
          <w:rFonts w:ascii="Calibri" w:eastAsiaTheme="minorEastAsia" w:hAnsi="Calibri" w:cstheme="minorBidi"/>
          <w:sz w:val="22"/>
          <w:szCs w:val="22"/>
        </w:rPr>
      </w:pPr>
      <w:hyperlink w:anchor="_Toc126226416" w:history="1">
        <w:r w:rsidR="00705553" w:rsidRPr="00705553">
          <w:rPr>
            <w:rStyle w:val="Hyperlink"/>
            <w:rFonts w:ascii="Calibri" w:hAnsi="Calibri"/>
          </w:rPr>
          <w:t>SUPLEMENTO E – LÂMINA DE INFORMAÇÕES BÁSICAS – FIDC</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_Toc126226416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166</w:t>
        </w:r>
        <w:r w:rsidR="00705553" w:rsidRPr="00705553">
          <w:rPr>
            <w:rFonts w:ascii="Calibri" w:hAnsi="Calibri"/>
            <w:webHidden/>
          </w:rPr>
          <w:fldChar w:fldCharType="end"/>
        </w:r>
      </w:hyperlink>
    </w:p>
    <w:p w14:paraId="241EBDB9" w14:textId="48C73EA9" w:rsidR="00705553" w:rsidRPr="00705553" w:rsidRDefault="000E0035">
      <w:pPr>
        <w:pStyle w:val="Sumrio1"/>
        <w:rPr>
          <w:rFonts w:ascii="Calibri" w:eastAsiaTheme="minorEastAsia" w:hAnsi="Calibri" w:cstheme="minorBidi"/>
          <w:sz w:val="22"/>
          <w:szCs w:val="22"/>
        </w:rPr>
      </w:pPr>
      <w:hyperlink w:anchor="_Toc126226417" w:history="1">
        <w:r w:rsidR="00705553" w:rsidRPr="00705553">
          <w:rPr>
            <w:rStyle w:val="Hyperlink"/>
            <w:rFonts w:ascii="Calibri" w:hAnsi="Calibri"/>
          </w:rPr>
          <w:t>SUPLEMENTO F – LÂMINA DE INFORMAÇÕES BÁSICAS DE CLASSES DE INVESTIMENTO EM COTAS DE FIDC</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_Toc126226417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170</w:t>
        </w:r>
        <w:r w:rsidR="00705553" w:rsidRPr="00705553">
          <w:rPr>
            <w:rFonts w:ascii="Calibri" w:hAnsi="Calibri"/>
            <w:webHidden/>
          </w:rPr>
          <w:fldChar w:fldCharType="end"/>
        </w:r>
      </w:hyperlink>
    </w:p>
    <w:p w14:paraId="4A612C9C" w14:textId="24479A68" w:rsidR="00705553" w:rsidRDefault="000E0035">
      <w:pPr>
        <w:pStyle w:val="Sumrio1"/>
        <w:rPr>
          <w:rFonts w:eastAsiaTheme="minorEastAsia" w:cstheme="minorBidi"/>
          <w:sz w:val="22"/>
          <w:szCs w:val="22"/>
        </w:rPr>
      </w:pPr>
      <w:hyperlink w:anchor="_Toc126226418" w:history="1">
        <w:r w:rsidR="00705553" w:rsidRPr="00705553">
          <w:rPr>
            <w:rStyle w:val="Hyperlink"/>
            <w:rFonts w:ascii="Calibri" w:hAnsi="Calibri"/>
          </w:rPr>
          <w:t>SUPLEMENTO G - INFORME MENSAL – FIDC</w:t>
        </w:r>
        <w:r w:rsidR="00705553" w:rsidRPr="00705553">
          <w:rPr>
            <w:rFonts w:ascii="Calibri" w:hAnsi="Calibri"/>
            <w:webHidden/>
          </w:rPr>
          <w:tab/>
        </w:r>
        <w:r w:rsidR="00705553" w:rsidRPr="00705553">
          <w:rPr>
            <w:rFonts w:ascii="Calibri" w:hAnsi="Calibri"/>
            <w:webHidden/>
          </w:rPr>
          <w:fldChar w:fldCharType="begin"/>
        </w:r>
        <w:r w:rsidR="00705553" w:rsidRPr="00705553">
          <w:rPr>
            <w:rFonts w:ascii="Calibri" w:hAnsi="Calibri"/>
            <w:webHidden/>
          </w:rPr>
          <w:instrText xml:space="preserve"> PAGEREF _Toc126226418 \h </w:instrText>
        </w:r>
        <w:r w:rsidR="00705553" w:rsidRPr="00705553">
          <w:rPr>
            <w:rFonts w:ascii="Calibri" w:hAnsi="Calibri"/>
            <w:webHidden/>
          </w:rPr>
        </w:r>
        <w:r w:rsidR="00705553" w:rsidRPr="00705553">
          <w:rPr>
            <w:rFonts w:ascii="Calibri" w:hAnsi="Calibri"/>
            <w:webHidden/>
          </w:rPr>
          <w:fldChar w:fldCharType="separate"/>
        </w:r>
        <w:r>
          <w:rPr>
            <w:rFonts w:ascii="Calibri" w:hAnsi="Calibri"/>
            <w:webHidden/>
          </w:rPr>
          <w:t>173</w:t>
        </w:r>
        <w:r w:rsidR="00705553" w:rsidRPr="00705553">
          <w:rPr>
            <w:rFonts w:ascii="Calibri" w:hAnsi="Calibri"/>
            <w:webHidden/>
          </w:rPr>
          <w:fldChar w:fldCharType="end"/>
        </w:r>
      </w:hyperlink>
    </w:p>
    <w:p w14:paraId="3499568E" w14:textId="77777777" w:rsidR="00705553" w:rsidRDefault="00893D49" w:rsidP="00C20BBD">
      <w:pPr>
        <w:pStyle w:val="Sumrio1"/>
        <w:ind w:firstLine="567"/>
        <w:rPr>
          <w:color w:val="2B579A"/>
          <w:shd w:val="clear" w:color="auto" w:fill="E6E6E6"/>
        </w:rPr>
      </w:pPr>
      <w:r w:rsidRPr="0097459F">
        <w:rPr>
          <w:color w:val="2B579A"/>
          <w:shd w:val="clear" w:color="auto" w:fill="E6E6E6"/>
        </w:rPr>
        <w:fldChar w:fldCharType="end"/>
      </w:r>
    </w:p>
    <w:p w14:paraId="40D8D9A4" w14:textId="2E9566E6" w:rsidR="00893D49" w:rsidRPr="0097459F" w:rsidRDefault="00893D49" w:rsidP="00C20BBD">
      <w:pPr>
        <w:pStyle w:val="Sumrio1"/>
        <w:ind w:firstLine="567"/>
      </w:pPr>
      <w:r w:rsidRPr="0097459F">
        <w:br w:type="page"/>
      </w:r>
    </w:p>
    <w:p w14:paraId="5A224470" w14:textId="55F8F37B" w:rsidR="00893D49" w:rsidRPr="0097459F" w:rsidRDefault="4AF9F487" w:rsidP="00C20BBD">
      <w:pPr>
        <w:pStyle w:val="Normalalteradora"/>
      </w:pPr>
      <w:r w:rsidRPr="0097459F">
        <w:lastRenderedPageBreak/>
        <w:t xml:space="preserve">O </w:t>
      </w:r>
      <w:r w:rsidRPr="0097459F">
        <w:rPr>
          <w:b/>
          <w:bCs/>
        </w:rPr>
        <w:t xml:space="preserve">PRESIDENTE DA COMISSÃO DE VALORES MOBILIÁRIOS </w:t>
      </w:r>
      <w:r w:rsidR="00ED6C12" w:rsidRPr="0097459F">
        <w:rPr>
          <w:b/>
          <w:bCs/>
        </w:rPr>
        <w:t>–</w:t>
      </w:r>
      <w:r w:rsidRPr="0097459F">
        <w:rPr>
          <w:b/>
          <w:bCs/>
        </w:rPr>
        <w:t xml:space="preserve"> CVM</w:t>
      </w:r>
      <w:r w:rsidRPr="0097459F">
        <w:t xml:space="preserve"> torna público que o Colegiado, em reunião realizada em </w:t>
      </w:r>
      <w:r w:rsidR="00E66FAE" w:rsidRPr="0097459F">
        <w:t xml:space="preserve">14 de dezembro de 2022, </w:t>
      </w:r>
      <w:r w:rsidRPr="0097459F">
        <w:rPr>
          <w:rFonts w:eastAsia="Calibri"/>
          <w:spacing w:val="2"/>
        </w:rPr>
        <w:t>com</w:t>
      </w:r>
      <w:r w:rsidRPr="0097459F">
        <w:t xml:space="preserve"> </w:t>
      </w:r>
      <w:r w:rsidRPr="0097459F">
        <w:rPr>
          <w:rFonts w:eastAsia="Calibri"/>
        </w:rPr>
        <w:t>fundamento</w:t>
      </w:r>
      <w:r w:rsidRPr="0097459F">
        <w:t xml:space="preserve"> no disposto nos arts. 2º, inciso V, 8º, inciso I, 19 e 23, § 2º, da Lei nº 6.385, de 7 de dezembro de </w:t>
      </w:r>
      <w:r w:rsidRPr="0097459F">
        <w:rPr>
          <w:rFonts w:eastAsia="Calibri"/>
          <w:spacing w:val="2"/>
        </w:rPr>
        <w:t>1976</w:t>
      </w:r>
      <w:r w:rsidRPr="0097459F">
        <w:t xml:space="preserve">, </w:t>
      </w:r>
      <w:r w:rsidR="1BFE5355" w:rsidRPr="0097459F">
        <w:t>n</w:t>
      </w:r>
      <w:r w:rsidRPr="0097459F">
        <w:rPr>
          <w:shd w:val="clear" w:color="auto" w:fill="FFFFFF"/>
        </w:rPr>
        <w:t>a Lei n</w:t>
      </w:r>
      <w:r w:rsidR="1BFE5355" w:rsidRPr="0097459F">
        <w:rPr>
          <w:shd w:val="clear" w:color="auto" w:fill="FFFFFF"/>
        </w:rPr>
        <w:t>º 8.167, de 16 de janeiro de 1991</w:t>
      </w:r>
      <w:r w:rsidR="1F88B109" w:rsidRPr="0097459F">
        <w:rPr>
          <w:shd w:val="clear" w:color="auto" w:fill="FFFFFF"/>
        </w:rPr>
        <w:t>, n</w:t>
      </w:r>
      <w:r w:rsidRPr="0097459F">
        <w:t>a Lei nº 8.313, de 23 de dezembro de 1991,</w:t>
      </w:r>
      <w:r w:rsidR="1F88B109" w:rsidRPr="0097459F">
        <w:t xml:space="preserve"> </w:t>
      </w:r>
      <w:r w:rsidR="1BFE5355" w:rsidRPr="0097459F">
        <w:t xml:space="preserve">na Lei nº 8.668, de 25 de junho de 1993, </w:t>
      </w:r>
      <w:r w:rsidR="1F88B109" w:rsidRPr="0097459F">
        <w:t xml:space="preserve">na Lei nº 9.491, de 9 de setembro de 1997, </w:t>
      </w:r>
      <w:r w:rsidR="00E66FAE" w:rsidRPr="0097459F">
        <w:t>na Lei nº 9.635, de 15 de maio de 1998</w:t>
      </w:r>
      <w:r w:rsidR="35CADAAF" w:rsidRPr="0097459F">
        <w:t xml:space="preserve">, na Medida Provisória no 2.228-1, de 6 de setembro de 2001, </w:t>
      </w:r>
      <w:r w:rsidR="00ED6C12" w:rsidRPr="0097459F">
        <w:t xml:space="preserve">nos arts. 1.368-C a 1.368-F da Lei nº 10.406, de 10 de janeiro de 2002, </w:t>
      </w:r>
      <w:r w:rsidR="1BFE5355" w:rsidRPr="0097459F">
        <w:t xml:space="preserve">na </w:t>
      </w:r>
      <w:r w:rsidR="35CADAAF" w:rsidRPr="0097459F">
        <w:rPr>
          <w:shd w:val="clear" w:color="auto" w:fill="FFFFFF"/>
        </w:rPr>
        <w:t xml:space="preserve">Lei nº 10.735, de </w:t>
      </w:r>
      <w:r w:rsidR="1BFE5355" w:rsidRPr="0097459F">
        <w:rPr>
          <w:shd w:val="clear" w:color="auto" w:fill="FFFFFF"/>
        </w:rPr>
        <w:t xml:space="preserve">11 de setembro de 2003, </w:t>
      </w:r>
      <w:r w:rsidR="35CADAAF" w:rsidRPr="0097459F">
        <w:t xml:space="preserve">na Lei nº 10.973, de 2 de dezembro de 2004, </w:t>
      </w:r>
      <w:r w:rsidR="1BFE5355" w:rsidRPr="0097459F">
        <w:t>na Lei nº 11.196, de 21 de novembro de 2005, na Lei nº 11.478, de 29 de maio de 2007</w:t>
      </w:r>
      <w:r w:rsidR="35CADAAF" w:rsidRPr="0097459F">
        <w:t xml:space="preserve">, </w:t>
      </w:r>
      <w:r w:rsidR="1BFE5355" w:rsidRPr="0097459F">
        <w:t xml:space="preserve">na Lei nº 12.431, de 24 de junho de 2011, </w:t>
      </w:r>
      <w:r w:rsidR="1F88B109" w:rsidRPr="0097459F">
        <w:t>na Resolução CMN nº 1.787, de 1º de fevereiro de 1991, na Resolução CMN nº 2.424, de 1º de outubro de 1997,</w:t>
      </w:r>
      <w:r w:rsidR="3658C652" w:rsidRPr="0097459F">
        <w:t xml:space="preserve"> </w:t>
      </w:r>
      <w:r w:rsidR="35CADAAF" w:rsidRPr="0097459F">
        <w:t xml:space="preserve">e </w:t>
      </w:r>
      <w:r w:rsidRPr="0097459F">
        <w:t xml:space="preserve">na Resolução CMN nº 2.907, de 29 de novembro de 2001, </w:t>
      </w:r>
      <w:r w:rsidRPr="0097459F">
        <w:rPr>
          <w:b/>
          <w:bCs/>
        </w:rPr>
        <w:t>APROVOU</w:t>
      </w:r>
      <w:r w:rsidRPr="0097459F">
        <w:t xml:space="preserve"> a seguinte Resolução:</w:t>
      </w:r>
    </w:p>
    <w:p w14:paraId="6FA8710C" w14:textId="77777777" w:rsidR="00893D49" w:rsidRPr="0097459F" w:rsidRDefault="00893D49" w:rsidP="00C20BBD">
      <w:pPr>
        <w:pStyle w:val="Captulo"/>
        <w:rPr>
          <w:rFonts w:asciiTheme="minorHAnsi" w:hAnsiTheme="minorHAnsi"/>
        </w:rPr>
      </w:pPr>
      <w:bookmarkStart w:id="6" w:name="_Toc53594426"/>
      <w:bookmarkStart w:id="7" w:name="_Toc53595451"/>
      <w:bookmarkStart w:id="8" w:name="_Toc53594178"/>
      <w:bookmarkStart w:id="9" w:name="_Toc114818959"/>
      <w:bookmarkStart w:id="10" w:name="_Toc57836186"/>
      <w:bookmarkStart w:id="11" w:name="_Toc126226285"/>
      <w:r w:rsidRPr="0097459F">
        <w:rPr>
          <w:rFonts w:asciiTheme="minorHAnsi" w:hAnsiTheme="minorHAnsi"/>
        </w:rPr>
        <w:t>CAPÍTULO I – ÂMBITO E FINALIDADE</w:t>
      </w:r>
      <w:bookmarkEnd w:id="6"/>
      <w:bookmarkEnd w:id="7"/>
      <w:bookmarkEnd w:id="8"/>
      <w:bookmarkEnd w:id="9"/>
      <w:bookmarkEnd w:id="10"/>
      <w:bookmarkEnd w:id="11"/>
    </w:p>
    <w:p w14:paraId="6EB07ED5" w14:textId="6E33BC35" w:rsidR="00F734EE" w:rsidRPr="0097459F" w:rsidRDefault="00F734EE" w:rsidP="00C20BBD">
      <w:pPr>
        <w:ind w:firstLine="567"/>
        <w:jc w:val="center"/>
        <w:rPr>
          <w:rFonts w:asciiTheme="minorHAnsi" w:hAnsiTheme="minorHAnsi" w:cstheme="minorHAnsi"/>
          <w:sz w:val="24"/>
          <w:szCs w:val="24"/>
        </w:rPr>
      </w:pPr>
      <w:r w:rsidRPr="0097459F">
        <w:rPr>
          <w:rFonts w:asciiTheme="minorHAnsi" w:hAnsiTheme="minorHAnsi" w:cstheme="minorHAnsi"/>
          <w:b/>
          <w:sz w:val="24"/>
          <w:szCs w:val="24"/>
        </w:rPr>
        <w:t>Seção I – Abrangência</w:t>
      </w:r>
    </w:p>
    <w:p w14:paraId="2C05DCEF" w14:textId="4A99E55B" w:rsidR="00893D49" w:rsidRPr="0097459F" w:rsidRDefault="00893D49" w:rsidP="00C20BBD">
      <w:pPr>
        <w:pStyle w:val="Normalalteradora"/>
      </w:pPr>
      <w:r w:rsidRPr="0097459F">
        <w:t>Art. 1º  Esta Resolução dispõe sobre a constituição, o funcionamento e a divulgação de informações dos fundos de investimento, bem como sobre a prestação de serviços para os fundos.</w:t>
      </w:r>
    </w:p>
    <w:p w14:paraId="5A091B12" w14:textId="01B70C19" w:rsidR="00F734EE" w:rsidRPr="0097459F" w:rsidRDefault="00F734EE" w:rsidP="00C20BBD">
      <w:pPr>
        <w:ind w:firstLine="567"/>
        <w:jc w:val="center"/>
        <w:rPr>
          <w:rFonts w:asciiTheme="minorHAnsi" w:hAnsiTheme="minorHAnsi" w:cstheme="minorHAnsi"/>
          <w:sz w:val="24"/>
          <w:szCs w:val="24"/>
        </w:rPr>
      </w:pPr>
      <w:r w:rsidRPr="0097459F">
        <w:rPr>
          <w:rFonts w:asciiTheme="minorHAnsi" w:hAnsiTheme="minorHAnsi" w:cstheme="minorHAnsi"/>
          <w:b/>
          <w:sz w:val="24"/>
          <w:szCs w:val="24"/>
        </w:rPr>
        <w:t>Seção II – Parte Geral e Anexos Normativos</w:t>
      </w:r>
    </w:p>
    <w:p w14:paraId="77F99529" w14:textId="17AA544E" w:rsidR="00893D49" w:rsidRPr="0097459F" w:rsidRDefault="00F734EE" w:rsidP="00C20BBD">
      <w:pPr>
        <w:pStyle w:val="Normalalteradora"/>
        <w:rPr>
          <w:rFonts w:cstheme="minorHAnsi"/>
        </w:rPr>
      </w:pPr>
      <w:r w:rsidRPr="0097459F">
        <w:rPr>
          <w:rFonts w:cstheme="minorHAnsi"/>
        </w:rPr>
        <w:t>Art. 2</w:t>
      </w:r>
      <w:r w:rsidR="00893D49" w:rsidRPr="0097459F">
        <w:rPr>
          <w:rFonts w:cstheme="minorHAnsi"/>
        </w:rPr>
        <w:t xml:space="preserve">º  As regras estabelecidas nesta </w:t>
      </w:r>
      <w:r w:rsidR="00B45383" w:rsidRPr="0097459F">
        <w:rPr>
          <w:rFonts w:cstheme="minorHAnsi"/>
        </w:rPr>
        <w:t xml:space="preserve">parte </w:t>
      </w:r>
      <w:r w:rsidR="00DD0F93" w:rsidRPr="0097459F">
        <w:rPr>
          <w:rFonts w:cstheme="minorHAnsi"/>
        </w:rPr>
        <w:t>g</w:t>
      </w:r>
      <w:r w:rsidRPr="0097459F">
        <w:rPr>
          <w:rFonts w:cstheme="minorHAnsi"/>
        </w:rPr>
        <w:t>eral da Resolução</w:t>
      </w:r>
      <w:r w:rsidR="00B45383" w:rsidRPr="0097459F">
        <w:rPr>
          <w:rFonts w:cstheme="minorHAnsi"/>
        </w:rPr>
        <w:t xml:space="preserve"> </w:t>
      </w:r>
      <w:r w:rsidR="00893D49" w:rsidRPr="0097459F">
        <w:rPr>
          <w:rFonts w:cstheme="minorHAnsi"/>
        </w:rPr>
        <w:t>são aplicáveis a todas as categorias de fundos</w:t>
      </w:r>
      <w:r w:rsidR="00B160C2" w:rsidRPr="0097459F">
        <w:rPr>
          <w:rFonts w:cstheme="minorHAnsi"/>
        </w:rPr>
        <w:t xml:space="preserve"> disciplinadas nesta Resolução</w:t>
      </w:r>
      <w:r w:rsidR="00893D49" w:rsidRPr="0097459F">
        <w:rPr>
          <w:rFonts w:cstheme="minorHAnsi"/>
        </w:rPr>
        <w:t xml:space="preserve">, sem prejuízo </w:t>
      </w:r>
      <w:r w:rsidR="00306401" w:rsidRPr="0097459F">
        <w:rPr>
          <w:rFonts w:cstheme="minorHAnsi"/>
        </w:rPr>
        <w:t xml:space="preserve">das regras </w:t>
      </w:r>
      <w:r w:rsidR="0053607A" w:rsidRPr="0097459F">
        <w:rPr>
          <w:rFonts w:cstheme="minorHAnsi"/>
        </w:rPr>
        <w:t xml:space="preserve">específicas </w:t>
      </w:r>
      <w:r w:rsidR="00893D49" w:rsidRPr="0097459F">
        <w:rPr>
          <w:rFonts w:cstheme="minorHAnsi"/>
        </w:rPr>
        <w:t>dispost</w:t>
      </w:r>
      <w:r w:rsidR="00306401" w:rsidRPr="0097459F">
        <w:rPr>
          <w:rFonts w:cstheme="minorHAnsi"/>
        </w:rPr>
        <w:t>as</w:t>
      </w:r>
      <w:r w:rsidR="00893D49" w:rsidRPr="0097459F">
        <w:rPr>
          <w:rFonts w:cstheme="minorHAnsi"/>
        </w:rPr>
        <w:t xml:space="preserve"> nos Anexos Normativos, conforme o </w:t>
      </w:r>
      <w:r w:rsidRPr="0097459F">
        <w:rPr>
          <w:rFonts w:cstheme="minorHAnsi"/>
        </w:rPr>
        <w:t>parágrafo único</w:t>
      </w:r>
      <w:r w:rsidR="00893D49" w:rsidRPr="0097459F">
        <w:rPr>
          <w:rFonts w:cstheme="minorHAnsi"/>
        </w:rPr>
        <w:t>.</w:t>
      </w:r>
    </w:p>
    <w:p w14:paraId="3CDC4C04" w14:textId="3566D20E" w:rsidR="00893D49" w:rsidRPr="0097459F" w:rsidRDefault="00F734EE" w:rsidP="00C20BBD">
      <w:pPr>
        <w:pStyle w:val="Normalalteradora"/>
        <w:rPr>
          <w:rFonts w:cstheme="minorHAnsi"/>
        </w:rPr>
      </w:pPr>
      <w:r w:rsidRPr="0097459F">
        <w:t>Parágrafo único.</w:t>
      </w:r>
      <w:r w:rsidR="00893D49" w:rsidRPr="0097459F">
        <w:t xml:space="preserve">  As regras </w:t>
      </w:r>
      <w:r w:rsidR="00E72C8B" w:rsidRPr="0097459F">
        <w:t xml:space="preserve">dispostas nesta parte </w:t>
      </w:r>
      <w:r w:rsidR="00DD0F93" w:rsidRPr="0097459F">
        <w:t>g</w:t>
      </w:r>
      <w:r w:rsidRPr="0097459F">
        <w:t>eral</w:t>
      </w:r>
      <w:r w:rsidR="00E72C8B" w:rsidRPr="0097459F">
        <w:t xml:space="preserve"> da Resolução </w:t>
      </w:r>
      <w:r w:rsidR="00893D49" w:rsidRPr="0097459F">
        <w:t xml:space="preserve">são complementadas pelas regras específicas aplicáveis a cada categoria de fundo, </w:t>
      </w:r>
      <w:r w:rsidR="00E72C8B" w:rsidRPr="0097459F">
        <w:t>conforme dispostas nos</w:t>
      </w:r>
      <w:r w:rsidR="00893D49" w:rsidRPr="0097459F">
        <w:t xml:space="preserve"> Anexos Normativos e demais regulamentações aplicáveis</w:t>
      </w:r>
      <w:r w:rsidR="00E72C8B" w:rsidRPr="0097459F">
        <w:t xml:space="preserve">, </w:t>
      </w:r>
      <w:r w:rsidR="00544AA8" w:rsidRPr="0097459F">
        <w:t>prevalecendo</w:t>
      </w:r>
      <w:r w:rsidR="00986612" w:rsidRPr="0097459F">
        <w:t>, em caso de conflito,</w:t>
      </w:r>
      <w:r w:rsidR="00544AA8" w:rsidRPr="0097459F">
        <w:t xml:space="preserve"> </w:t>
      </w:r>
      <w:r w:rsidR="00E72C8B" w:rsidRPr="0097459F">
        <w:t xml:space="preserve">a </w:t>
      </w:r>
      <w:r w:rsidR="00544AA8" w:rsidRPr="0097459F">
        <w:t>regra</w:t>
      </w:r>
      <w:r w:rsidR="00E72C8B" w:rsidRPr="0097459F">
        <w:t xml:space="preserve"> específica sobre a regra geral</w:t>
      </w:r>
      <w:r w:rsidR="00893D49" w:rsidRPr="0097459F">
        <w:t>.</w:t>
      </w:r>
    </w:p>
    <w:p w14:paraId="6A5D14AF" w14:textId="77777777" w:rsidR="00893D49" w:rsidRPr="0097459F" w:rsidRDefault="00893D49" w:rsidP="00C20BBD">
      <w:pPr>
        <w:pStyle w:val="Captulo"/>
        <w:rPr>
          <w:rFonts w:asciiTheme="minorHAnsi" w:hAnsiTheme="minorHAnsi" w:cstheme="minorHAnsi"/>
        </w:rPr>
      </w:pPr>
      <w:bookmarkStart w:id="12" w:name="_Toc53594427"/>
      <w:bookmarkStart w:id="13" w:name="_Toc53595452"/>
      <w:bookmarkStart w:id="14" w:name="_Toc53594179"/>
      <w:bookmarkStart w:id="15" w:name="_Toc114818960"/>
      <w:bookmarkStart w:id="16" w:name="_Toc57836187"/>
      <w:bookmarkStart w:id="17" w:name="_Toc126226286"/>
      <w:r w:rsidRPr="0097459F">
        <w:rPr>
          <w:rFonts w:asciiTheme="minorHAnsi" w:hAnsiTheme="minorHAnsi" w:cstheme="minorHAnsi"/>
        </w:rPr>
        <w:t>CAPÍTULO II – DEFINIÇÕES</w:t>
      </w:r>
      <w:bookmarkEnd w:id="12"/>
      <w:bookmarkEnd w:id="13"/>
      <w:bookmarkEnd w:id="14"/>
      <w:bookmarkEnd w:id="15"/>
      <w:bookmarkEnd w:id="16"/>
      <w:bookmarkEnd w:id="17"/>
    </w:p>
    <w:p w14:paraId="0FEF789C" w14:textId="0DE977B3" w:rsidR="00893D49" w:rsidRPr="0097459F" w:rsidRDefault="00893D49" w:rsidP="00C20BBD">
      <w:pPr>
        <w:pStyle w:val="Normalalteradora"/>
        <w:rPr>
          <w:rFonts w:cstheme="minorHAnsi"/>
        </w:rPr>
      </w:pPr>
      <w:r w:rsidRPr="0097459F">
        <w:rPr>
          <w:rFonts w:cstheme="minorHAnsi"/>
        </w:rPr>
        <w:t xml:space="preserve">Art. </w:t>
      </w:r>
      <w:r w:rsidR="00F734EE" w:rsidRPr="0097459F">
        <w:rPr>
          <w:rFonts w:cstheme="minorHAnsi"/>
        </w:rPr>
        <w:t>3º</w:t>
      </w:r>
      <w:r w:rsidRPr="0097459F">
        <w:rPr>
          <w:rFonts w:cstheme="minorHAnsi"/>
        </w:rPr>
        <w:t xml:space="preserve">  Para os efeitos desta Resolução, entende-se por:</w:t>
      </w:r>
    </w:p>
    <w:p w14:paraId="2A38AEAA" w14:textId="5A3FA6A8" w:rsidR="00893D49" w:rsidRPr="0097459F" w:rsidRDefault="00893D49" w:rsidP="00C20BBD">
      <w:pPr>
        <w:pStyle w:val="Normalalteradora"/>
        <w:rPr>
          <w:rFonts w:cstheme="minorHAnsi"/>
        </w:rPr>
      </w:pPr>
      <w:r w:rsidRPr="0097459F">
        <w:rPr>
          <w:rFonts w:cstheme="minorHAnsi"/>
        </w:rPr>
        <w:lastRenderedPageBreak/>
        <w:t xml:space="preserve">I – administrador (do fundo): pessoa jurídica autorizada pela CVM para o exercício profissional de administração de carteiras de valores mobiliários, na categoria de </w:t>
      </w:r>
      <w:r w:rsidR="00222400" w:rsidRPr="0097459F">
        <w:rPr>
          <w:rFonts w:cstheme="minorHAnsi"/>
        </w:rPr>
        <w:t>“</w:t>
      </w:r>
      <w:r w:rsidRPr="0097459F">
        <w:rPr>
          <w:rFonts w:cstheme="minorHAnsi"/>
        </w:rPr>
        <w:t>administrador fiduciário</w:t>
      </w:r>
      <w:r w:rsidR="00222400" w:rsidRPr="0097459F">
        <w:rPr>
          <w:rFonts w:cstheme="minorHAnsi"/>
        </w:rPr>
        <w:t>”</w:t>
      </w:r>
      <w:r w:rsidRPr="0097459F">
        <w:rPr>
          <w:rFonts w:cstheme="minorHAnsi"/>
        </w:rPr>
        <w:t xml:space="preserve">, e responsável pela administração do fundo; </w:t>
      </w:r>
    </w:p>
    <w:p w14:paraId="5B918A7F" w14:textId="77777777" w:rsidR="00893D49" w:rsidRPr="0097459F" w:rsidRDefault="00893D49" w:rsidP="00C20BBD">
      <w:pPr>
        <w:pStyle w:val="Normalalteradora"/>
        <w:rPr>
          <w:rFonts w:cstheme="minorHAnsi"/>
        </w:rPr>
      </w:pPr>
      <w:r w:rsidRPr="0097459F">
        <w:rPr>
          <w:rFonts w:cstheme="minorHAnsi"/>
        </w:rPr>
        <w:t>II – agência de classificação de risco de crédito: pessoa jurídica registrada ou reconhecida pela CVM que exerce profissionalmente a atividade de classificação de risco de crédito no âmbito do mercado de valores mobiliários;</w:t>
      </w:r>
    </w:p>
    <w:p w14:paraId="797B02B3" w14:textId="74E5FEF8" w:rsidR="00893D49" w:rsidRPr="0097459F" w:rsidRDefault="00893D49" w:rsidP="00C20BBD">
      <w:pPr>
        <w:pStyle w:val="Normalalteradora"/>
        <w:rPr>
          <w:rFonts w:cstheme="minorHAnsi"/>
        </w:rPr>
      </w:pPr>
      <w:r w:rsidRPr="0097459F">
        <w:rPr>
          <w:rFonts w:cstheme="minorHAnsi"/>
        </w:rPr>
        <w:t>III – amortização (de cotas): pagamento uniforme realizado a todos os cotistas de determinada classe</w:t>
      </w:r>
      <w:r w:rsidR="00A46003" w:rsidRPr="0097459F">
        <w:rPr>
          <w:rFonts w:cstheme="minorHAnsi"/>
        </w:rPr>
        <w:t xml:space="preserve"> ou subclasse</w:t>
      </w:r>
      <w:r w:rsidRPr="0097459F">
        <w:rPr>
          <w:rFonts w:cstheme="minorHAnsi"/>
        </w:rPr>
        <w:t xml:space="preserve">, de parcela do valor de suas cotas, sem redução do número de cotas emitidas, efetuado em conformidade com o disposto no regulamento ou com deliberação da assembleia de cotistas; </w:t>
      </w:r>
    </w:p>
    <w:p w14:paraId="7F2381B0" w14:textId="02B77D18" w:rsidR="00893D49" w:rsidRPr="0097459F" w:rsidRDefault="00893D49" w:rsidP="00C20BBD">
      <w:pPr>
        <w:pStyle w:val="Normalalteradora"/>
        <w:rPr>
          <w:rFonts w:cstheme="minorHAnsi"/>
        </w:rPr>
      </w:pPr>
      <w:r w:rsidRPr="0097459F">
        <w:rPr>
          <w:rFonts w:cstheme="minorHAnsi"/>
        </w:rPr>
        <w:t>IV – anexos (descritivos de classes): partes do regulamento do fundo essenciais à constituição de classes de cotas, que regem o funcionamento das classes de modo complementar ao disciplinado pelo regulamento;</w:t>
      </w:r>
    </w:p>
    <w:p w14:paraId="24125867" w14:textId="05F9AAD2" w:rsidR="004A654C" w:rsidRPr="0097459F" w:rsidRDefault="004A654C" w:rsidP="00C20BBD">
      <w:pPr>
        <w:pStyle w:val="Normalalteradora"/>
        <w:rPr>
          <w:rFonts w:cstheme="minorHAnsi"/>
        </w:rPr>
      </w:pPr>
      <w:r w:rsidRPr="0097459F">
        <w:rPr>
          <w:rFonts w:cstheme="minorHAnsi"/>
        </w:rPr>
        <w:t>V – apêndices (descritivos de subclasses): partes do anexo da classe que disciplinam as características específicas de cada subclasse de cotas, se houver;</w:t>
      </w:r>
    </w:p>
    <w:p w14:paraId="3637204A" w14:textId="7904869F" w:rsidR="00893D49" w:rsidRPr="0097459F" w:rsidRDefault="00893D49" w:rsidP="00C20BBD">
      <w:pPr>
        <w:pStyle w:val="Normalalteradora"/>
        <w:rPr>
          <w:rFonts w:cstheme="minorHAnsi"/>
        </w:rPr>
      </w:pPr>
      <w:r w:rsidRPr="0097459F">
        <w:rPr>
          <w:rFonts w:cstheme="minorHAnsi"/>
        </w:rPr>
        <w:t xml:space="preserve">VI – assembleia especial de cotistas: assembleia para a qual são convocados somente os cotistas de determinada classe </w:t>
      </w:r>
      <w:r w:rsidR="00A8038C" w:rsidRPr="0097459F">
        <w:rPr>
          <w:rFonts w:cstheme="minorHAnsi"/>
        </w:rPr>
        <w:t xml:space="preserve">ou subclasse </w:t>
      </w:r>
      <w:r w:rsidRPr="0097459F">
        <w:rPr>
          <w:rFonts w:cstheme="minorHAnsi"/>
        </w:rPr>
        <w:t>de cotas;</w:t>
      </w:r>
    </w:p>
    <w:p w14:paraId="227FF09C" w14:textId="77777777" w:rsidR="00893D49" w:rsidRPr="0097459F" w:rsidRDefault="00893D49" w:rsidP="00C20BBD">
      <w:pPr>
        <w:pStyle w:val="Normalalteradora"/>
        <w:rPr>
          <w:rFonts w:cstheme="minorHAnsi"/>
        </w:rPr>
      </w:pPr>
      <w:r w:rsidRPr="0097459F">
        <w:rPr>
          <w:rFonts w:cstheme="minorHAnsi"/>
        </w:rPr>
        <w:t>VII – assembleia geral de cotistas: assembleia para a qual são convocados todos os cotistas do fundo;</w:t>
      </w:r>
    </w:p>
    <w:p w14:paraId="56E98BD3" w14:textId="76F06A5D" w:rsidR="00C8389D" w:rsidRPr="0097459F" w:rsidRDefault="00C8389D" w:rsidP="00C20BBD">
      <w:pPr>
        <w:pStyle w:val="Normalalteradora"/>
      </w:pPr>
      <w:r w:rsidRPr="0097459F">
        <w:t>VII</w:t>
      </w:r>
      <w:r w:rsidR="00865461" w:rsidRPr="0097459F">
        <w:t>I</w:t>
      </w:r>
      <w:r w:rsidRPr="0097459F">
        <w:t xml:space="preserve"> </w:t>
      </w:r>
      <w:r w:rsidR="00865461" w:rsidRPr="0097459F">
        <w:t>–</w:t>
      </w:r>
      <w:r w:rsidRPr="0097459F">
        <w:t xml:space="preserve"> categoria (do fundo): </w:t>
      </w:r>
      <w:r w:rsidR="004A1543" w:rsidRPr="0097459F">
        <w:rPr>
          <w:rStyle w:val="normaltextrun"/>
          <w:rFonts w:ascii="Calibri" w:hAnsi="Calibri" w:cs="Calibri"/>
          <w:color w:val="000000" w:themeColor="text1"/>
        </w:rPr>
        <w:t>classificação</w:t>
      </w:r>
      <w:r w:rsidRPr="0097459F">
        <w:rPr>
          <w:rStyle w:val="normaltextrun"/>
          <w:rFonts w:ascii="Calibri" w:hAnsi="Calibri" w:cs="Calibri"/>
          <w:color w:val="000000" w:themeColor="text1"/>
        </w:rPr>
        <w:t xml:space="preserve"> decorrente da política de investimentos do fundo, conforme previstas nos </w:t>
      </w:r>
      <w:r w:rsidR="00B50BB9" w:rsidRPr="0097459F">
        <w:rPr>
          <w:rStyle w:val="normaltextrun"/>
          <w:rFonts w:ascii="Calibri" w:hAnsi="Calibri" w:cs="Calibri"/>
          <w:color w:val="000000" w:themeColor="text1"/>
        </w:rPr>
        <w:t>A</w:t>
      </w:r>
      <w:r w:rsidRPr="0097459F">
        <w:rPr>
          <w:rStyle w:val="normaltextrun"/>
          <w:rFonts w:ascii="Calibri" w:hAnsi="Calibri" w:cs="Calibri"/>
          <w:color w:val="000000" w:themeColor="text1"/>
        </w:rPr>
        <w:t xml:space="preserve">nexos </w:t>
      </w:r>
      <w:r w:rsidR="00B50BB9" w:rsidRPr="0097459F">
        <w:rPr>
          <w:rStyle w:val="normaltextrun"/>
          <w:rFonts w:ascii="Calibri" w:hAnsi="Calibri" w:cs="Calibri"/>
          <w:color w:val="000000" w:themeColor="text1"/>
        </w:rPr>
        <w:t>N</w:t>
      </w:r>
      <w:r w:rsidRPr="0097459F">
        <w:rPr>
          <w:rStyle w:val="normaltextrun"/>
          <w:rFonts w:ascii="Calibri" w:hAnsi="Calibri" w:cs="Calibri"/>
          <w:color w:val="000000" w:themeColor="text1"/>
        </w:rPr>
        <w:t xml:space="preserve">ormativos, observado que cada </w:t>
      </w:r>
      <w:r w:rsidR="00B50BB9" w:rsidRPr="0097459F">
        <w:rPr>
          <w:rStyle w:val="normaltextrun"/>
          <w:rFonts w:ascii="Calibri" w:hAnsi="Calibri" w:cs="Calibri"/>
          <w:color w:val="000000" w:themeColor="text1"/>
        </w:rPr>
        <w:t>A</w:t>
      </w:r>
      <w:r w:rsidRPr="0097459F">
        <w:rPr>
          <w:rStyle w:val="normaltextrun"/>
          <w:rFonts w:ascii="Calibri" w:hAnsi="Calibri" w:cs="Calibri"/>
          <w:color w:val="000000" w:themeColor="text1"/>
        </w:rPr>
        <w:t xml:space="preserve">nexo </w:t>
      </w:r>
      <w:r w:rsidR="00B50BB9" w:rsidRPr="0097459F">
        <w:rPr>
          <w:rStyle w:val="normaltextrun"/>
          <w:rFonts w:ascii="Calibri" w:hAnsi="Calibri" w:cs="Calibri"/>
          <w:color w:val="000000" w:themeColor="text1"/>
        </w:rPr>
        <w:t>N</w:t>
      </w:r>
      <w:r w:rsidR="004A1543" w:rsidRPr="0097459F">
        <w:rPr>
          <w:rStyle w:val="normaltextrun"/>
          <w:rFonts w:ascii="Calibri" w:hAnsi="Calibri" w:cs="Calibri"/>
          <w:color w:val="000000" w:themeColor="text1"/>
        </w:rPr>
        <w:t xml:space="preserve">ormativo </w:t>
      </w:r>
      <w:r w:rsidRPr="0097459F">
        <w:rPr>
          <w:rStyle w:val="normaltextrun"/>
          <w:rFonts w:ascii="Calibri" w:hAnsi="Calibri" w:cs="Calibri"/>
          <w:color w:val="000000" w:themeColor="text1"/>
        </w:rPr>
        <w:t>disciplina uma única categoria</w:t>
      </w:r>
      <w:r w:rsidR="004A1543" w:rsidRPr="0097459F">
        <w:rPr>
          <w:rStyle w:val="normaltextrun"/>
          <w:rFonts w:ascii="Calibri" w:hAnsi="Calibri" w:cs="Calibri"/>
          <w:color w:val="000000" w:themeColor="text1"/>
        </w:rPr>
        <w:t>;</w:t>
      </w:r>
    </w:p>
    <w:p w14:paraId="56EA8479" w14:textId="3CD0C00B" w:rsidR="00893D49" w:rsidRPr="0097459F" w:rsidRDefault="00865461" w:rsidP="00C20BBD">
      <w:pPr>
        <w:pStyle w:val="Normalalteradora"/>
        <w:rPr>
          <w:rFonts w:cstheme="minorHAnsi"/>
        </w:rPr>
      </w:pPr>
      <w:r w:rsidRPr="0097459F">
        <w:rPr>
          <w:rFonts w:cstheme="minorHAnsi"/>
        </w:rPr>
        <w:t>I</w:t>
      </w:r>
      <w:r w:rsidR="00893D49" w:rsidRPr="0097459F">
        <w:rPr>
          <w:rFonts w:cstheme="minorHAnsi"/>
        </w:rPr>
        <w:t xml:space="preserve">X – classe aberta e classe fechada: termos definidos no § </w:t>
      </w:r>
      <w:r w:rsidR="002574EE" w:rsidRPr="0097459F">
        <w:rPr>
          <w:rFonts w:cstheme="minorHAnsi"/>
        </w:rPr>
        <w:t xml:space="preserve">7º </w:t>
      </w:r>
      <w:r w:rsidR="00893D49" w:rsidRPr="0097459F">
        <w:rPr>
          <w:rFonts w:cstheme="minorHAnsi"/>
        </w:rPr>
        <w:t xml:space="preserve">do art. </w:t>
      </w:r>
      <w:r w:rsidR="00AC216E" w:rsidRPr="0097459F">
        <w:rPr>
          <w:rFonts w:cstheme="minorHAnsi"/>
        </w:rPr>
        <w:t>5º</w:t>
      </w:r>
      <w:r w:rsidR="00893D49" w:rsidRPr="0097459F">
        <w:rPr>
          <w:rFonts w:cstheme="minorHAnsi"/>
        </w:rPr>
        <w:t>;</w:t>
      </w:r>
    </w:p>
    <w:p w14:paraId="7DE8EEF8" w14:textId="1E7B808F" w:rsidR="00A8038C" w:rsidRPr="0097459F" w:rsidRDefault="00B723C5" w:rsidP="00C20BBD">
      <w:pPr>
        <w:pStyle w:val="Normalalteradora"/>
        <w:rPr>
          <w:rFonts w:cstheme="minorHAnsi"/>
        </w:rPr>
      </w:pPr>
      <w:r w:rsidRPr="0097459F">
        <w:rPr>
          <w:rFonts w:cstheme="minorHAnsi"/>
        </w:rPr>
        <w:t>X</w:t>
      </w:r>
      <w:r w:rsidR="00A8038C" w:rsidRPr="0097459F">
        <w:rPr>
          <w:rFonts w:cstheme="minorHAnsi"/>
        </w:rPr>
        <w:t xml:space="preserve"> – classe exclusiva: termo definido no art. </w:t>
      </w:r>
      <w:r w:rsidR="006F5042" w:rsidRPr="0097459F">
        <w:rPr>
          <w:rFonts w:cstheme="minorHAnsi"/>
        </w:rPr>
        <w:t>115</w:t>
      </w:r>
      <w:r w:rsidR="00A8038C" w:rsidRPr="0097459F">
        <w:rPr>
          <w:rFonts w:cstheme="minorHAnsi"/>
        </w:rPr>
        <w:t>;</w:t>
      </w:r>
    </w:p>
    <w:p w14:paraId="400EA874" w14:textId="22602A0A" w:rsidR="00F80DF6" w:rsidRPr="0097459F" w:rsidRDefault="00B723C5" w:rsidP="00C20BBD">
      <w:pPr>
        <w:pStyle w:val="Normalalteradora"/>
        <w:rPr>
          <w:rFonts w:cstheme="minorHAnsi"/>
        </w:rPr>
      </w:pPr>
      <w:r w:rsidRPr="0097459F">
        <w:rPr>
          <w:rFonts w:cstheme="minorHAnsi"/>
        </w:rPr>
        <w:t>XI</w:t>
      </w:r>
      <w:r w:rsidR="00F80DF6" w:rsidRPr="0097459F">
        <w:rPr>
          <w:rFonts w:cstheme="minorHAnsi"/>
        </w:rPr>
        <w:t xml:space="preserve"> – classe previdenciária: termo definido no art. </w:t>
      </w:r>
      <w:r w:rsidR="006F5042" w:rsidRPr="0097459F">
        <w:rPr>
          <w:rFonts w:cstheme="minorHAnsi"/>
        </w:rPr>
        <w:t>116</w:t>
      </w:r>
      <w:r w:rsidR="00F80DF6" w:rsidRPr="0097459F">
        <w:rPr>
          <w:rFonts w:cstheme="minorHAnsi"/>
        </w:rPr>
        <w:t>;</w:t>
      </w:r>
    </w:p>
    <w:p w14:paraId="27E9BBEC" w14:textId="0E64B9D3" w:rsidR="00F80DF6" w:rsidRPr="0097459F" w:rsidRDefault="00B723C5" w:rsidP="00C20BBD">
      <w:pPr>
        <w:pStyle w:val="Normalalteradora"/>
        <w:rPr>
          <w:rFonts w:cstheme="minorHAnsi"/>
        </w:rPr>
      </w:pPr>
      <w:r w:rsidRPr="0097459F">
        <w:rPr>
          <w:rFonts w:cstheme="minorHAnsi"/>
        </w:rPr>
        <w:t>XI</w:t>
      </w:r>
      <w:r w:rsidR="00865461" w:rsidRPr="0097459F">
        <w:rPr>
          <w:rFonts w:cstheme="minorHAnsi"/>
        </w:rPr>
        <w:t>I</w:t>
      </w:r>
      <w:r w:rsidR="00F80DF6" w:rsidRPr="0097459F">
        <w:rPr>
          <w:rFonts w:cstheme="minorHAnsi"/>
        </w:rPr>
        <w:t xml:space="preserve"> – classe restrita: termo definido no art. </w:t>
      </w:r>
      <w:r w:rsidR="006F5042" w:rsidRPr="0097459F">
        <w:rPr>
          <w:rFonts w:cstheme="minorHAnsi"/>
        </w:rPr>
        <w:t>111</w:t>
      </w:r>
      <w:r w:rsidR="00F80DF6" w:rsidRPr="0097459F">
        <w:rPr>
          <w:rFonts w:cstheme="minorHAnsi"/>
        </w:rPr>
        <w:t>;</w:t>
      </w:r>
    </w:p>
    <w:p w14:paraId="6C249834" w14:textId="2624C58D" w:rsidR="00893D49" w:rsidRPr="0097459F" w:rsidRDefault="00893D49" w:rsidP="00C20BBD">
      <w:pPr>
        <w:pStyle w:val="Normalalteradora"/>
        <w:rPr>
          <w:rFonts w:cstheme="minorHAnsi"/>
        </w:rPr>
      </w:pPr>
      <w:r w:rsidRPr="0097459F">
        <w:rPr>
          <w:rFonts w:cstheme="minorHAnsi"/>
        </w:rPr>
        <w:t>XII</w:t>
      </w:r>
      <w:r w:rsidR="00865461" w:rsidRPr="0097459F">
        <w:rPr>
          <w:rFonts w:cstheme="minorHAnsi"/>
        </w:rPr>
        <w:t>I</w:t>
      </w:r>
      <w:r w:rsidRPr="0097459F">
        <w:rPr>
          <w:rFonts w:cstheme="minorHAnsi"/>
        </w:rPr>
        <w:t xml:space="preserve"> – cotas: termo definido no art. 14;</w:t>
      </w:r>
    </w:p>
    <w:p w14:paraId="650DF2E4" w14:textId="4C182BB0" w:rsidR="009F753F" w:rsidRPr="0097459F" w:rsidRDefault="00865461" w:rsidP="00C20BBD">
      <w:pPr>
        <w:pStyle w:val="Normalalteradora"/>
        <w:rPr>
          <w:rFonts w:cstheme="minorHAnsi"/>
        </w:rPr>
      </w:pPr>
      <w:r w:rsidRPr="0097459F">
        <w:rPr>
          <w:rFonts w:cstheme="minorHAnsi"/>
        </w:rPr>
        <w:t>XIV</w:t>
      </w:r>
      <w:r w:rsidR="00893D49" w:rsidRPr="0097459F">
        <w:rPr>
          <w:rFonts w:cstheme="minorHAnsi"/>
        </w:rPr>
        <w:t xml:space="preserve"> – cotista: aquele que detém cotas de um fundo de investimento, inscrito no registro de cotistas </w:t>
      </w:r>
      <w:r w:rsidR="005B31DC" w:rsidRPr="0097459F">
        <w:rPr>
          <w:rFonts w:cstheme="minorHAnsi"/>
        </w:rPr>
        <w:t>de sua classe de cotas</w:t>
      </w:r>
      <w:r w:rsidR="00893D49" w:rsidRPr="0097459F">
        <w:rPr>
          <w:rFonts w:cstheme="minorHAnsi"/>
        </w:rPr>
        <w:t>, o que pode se dar por meio de sistemas informatizados;</w:t>
      </w:r>
    </w:p>
    <w:p w14:paraId="52EFE353" w14:textId="18C58875" w:rsidR="00893D49" w:rsidRPr="0097459F" w:rsidRDefault="00B723C5" w:rsidP="00C20BBD">
      <w:pPr>
        <w:pStyle w:val="Normalalteradora"/>
        <w:rPr>
          <w:rFonts w:cstheme="minorHAnsi"/>
        </w:rPr>
      </w:pPr>
      <w:r w:rsidRPr="0097459F">
        <w:rPr>
          <w:rFonts w:cstheme="minorHAnsi"/>
        </w:rPr>
        <w:lastRenderedPageBreak/>
        <w:t>X</w:t>
      </w:r>
      <w:r w:rsidR="00865461" w:rsidRPr="0097459F">
        <w:rPr>
          <w:rFonts w:cstheme="minorHAnsi"/>
        </w:rPr>
        <w:t>V</w:t>
      </w:r>
      <w:r w:rsidRPr="0097459F">
        <w:rPr>
          <w:rFonts w:cstheme="minorHAnsi"/>
        </w:rPr>
        <w:t xml:space="preserve"> </w:t>
      </w:r>
      <w:r w:rsidR="00865461" w:rsidRPr="0097459F">
        <w:rPr>
          <w:rFonts w:cstheme="minorHAnsi"/>
        </w:rPr>
        <w:t>–</w:t>
      </w:r>
      <w:r w:rsidR="00286A59" w:rsidRPr="0097459F">
        <w:rPr>
          <w:rFonts w:cstheme="minorHAnsi"/>
        </w:rPr>
        <w:t xml:space="preserve"> </w:t>
      </w:r>
      <w:r w:rsidR="002F69BE" w:rsidRPr="0097459F">
        <w:rPr>
          <w:rFonts w:cstheme="minorHAnsi"/>
        </w:rPr>
        <w:t>c</w:t>
      </w:r>
      <w:r w:rsidR="009F753F" w:rsidRPr="0097459F">
        <w:rPr>
          <w:rFonts w:cstheme="minorHAnsi"/>
        </w:rPr>
        <w:t xml:space="preserve">otista </w:t>
      </w:r>
      <w:r w:rsidR="00D04201" w:rsidRPr="0097459F">
        <w:rPr>
          <w:rFonts w:cstheme="minorHAnsi"/>
        </w:rPr>
        <w:t>efetivo</w:t>
      </w:r>
      <w:r w:rsidR="009F753F" w:rsidRPr="0097459F">
        <w:rPr>
          <w:rFonts w:cstheme="minorHAnsi"/>
        </w:rPr>
        <w:t xml:space="preserve">: </w:t>
      </w:r>
      <w:r w:rsidR="00286A59" w:rsidRPr="0097459F">
        <w:rPr>
          <w:rFonts w:cstheme="minorHAnsi"/>
        </w:rPr>
        <w:t xml:space="preserve">cotista que ingressa na classe por meio de </w:t>
      </w:r>
      <w:r w:rsidR="0093120B" w:rsidRPr="0097459F">
        <w:rPr>
          <w:rFonts w:cstheme="minorHAnsi"/>
        </w:rPr>
        <w:t>subscrição</w:t>
      </w:r>
      <w:r w:rsidR="00286A59" w:rsidRPr="0097459F">
        <w:rPr>
          <w:rFonts w:cstheme="minorHAnsi"/>
        </w:rPr>
        <w:t xml:space="preserve"> por conta e ordem</w:t>
      </w:r>
      <w:r w:rsidR="0093120B" w:rsidRPr="0097459F">
        <w:rPr>
          <w:rFonts w:cstheme="minorHAnsi"/>
        </w:rPr>
        <w:t xml:space="preserve"> do distribuidor</w:t>
      </w:r>
      <w:r w:rsidR="002F69BE" w:rsidRPr="0097459F">
        <w:rPr>
          <w:rFonts w:cstheme="minorHAnsi"/>
        </w:rPr>
        <w:t>;</w:t>
      </w:r>
    </w:p>
    <w:p w14:paraId="04CF21CC" w14:textId="1BF33D3A" w:rsidR="00FB196B" w:rsidRPr="0097459F" w:rsidRDefault="00FB196B" w:rsidP="00C20BBD">
      <w:pPr>
        <w:pStyle w:val="Normalalteradora"/>
        <w:rPr>
          <w:rFonts w:cstheme="minorHAnsi"/>
        </w:rPr>
      </w:pPr>
      <w:r w:rsidRPr="0097459F">
        <w:rPr>
          <w:rFonts w:cstheme="minorHAnsi"/>
        </w:rPr>
        <w:t>X</w:t>
      </w:r>
      <w:r w:rsidR="00865461" w:rsidRPr="0097459F">
        <w:rPr>
          <w:rFonts w:cstheme="minorHAnsi"/>
        </w:rPr>
        <w:t>VI</w:t>
      </w:r>
      <w:r w:rsidRPr="0097459F">
        <w:rPr>
          <w:rFonts w:cstheme="minorHAnsi"/>
        </w:rPr>
        <w:t xml:space="preserve"> – custódia: atividade cujo escopo está definido em norma específica que dispõe sobre a prestação de serviços de custódia de valores mobiliários;</w:t>
      </w:r>
    </w:p>
    <w:p w14:paraId="57F0B84C" w14:textId="7B113B6F" w:rsidR="00893D49" w:rsidRPr="0097459F" w:rsidRDefault="00893D49" w:rsidP="00C20BBD">
      <w:pPr>
        <w:pStyle w:val="Normalalteradora"/>
        <w:rPr>
          <w:rFonts w:cstheme="minorHAnsi"/>
        </w:rPr>
      </w:pPr>
      <w:r w:rsidRPr="0097459F">
        <w:rPr>
          <w:rFonts w:cstheme="minorHAnsi"/>
        </w:rPr>
        <w:t>X</w:t>
      </w:r>
      <w:r w:rsidR="00865461" w:rsidRPr="0097459F">
        <w:rPr>
          <w:rFonts w:cstheme="minorHAnsi"/>
        </w:rPr>
        <w:t>VII</w:t>
      </w:r>
      <w:r w:rsidRPr="0097459F">
        <w:rPr>
          <w:rFonts w:cstheme="minorHAnsi"/>
        </w:rPr>
        <w:t xml:space="preserve"> – data da </w:t>
      </w:r>
      <w:r w:rsidR="00D04201" w:rsidRPr="0097459F">
        <w:rPr>
          <w:rFonts w:cstheme="minorHAnsi"/>
        </w:rPr>
        <w:t>integralização</w:t>
      </w:r>
      <w:r w:rsidRPr="0097459F">
        <w:rPr>
          <w:rFonts w:cstheme="minorHAnsi"/>
        </w:rPr>
        <w:t>: a data da efetiva disponibilização,</w:t>
      </w:r>
      <w:r w:rsidRPr="0097459F" w:rsidDel="00EE1051">
        <w:rPr>
          <w:rFonts w:cstheme="minorHAnsi"/>
        </w:rPr>
        <w:t xml:space="preserve"> </w:t>
      </w:r>
      <w:r w:rsidRPr="0097459F">
        <w:rPr>
          <w:rFonts w:cstheme="minorHAnsi"/>
        </w:rPr>
        <w:t xml:space="preserve">para </w:t>
      </w:r>
      <w:r w:rsidR="005B31DC" w:rsidRPr="0097459F">
        <w:rPr>
          <w:rFonts w:cstheme="minorHAnsi"/>
        </w:rPr>
        <w:t>a classe</w:t>
      </w:r>
      <w:r w:rsidRPr="0097459F">
        <w:rPr>
          <w:rFonts w:cstheme="minorHAnsi"/>
        </w:rPr>
        <w:t xml:space="preserve">, dos recursos investidos pelo </w:t>
      </w:r>
      <w:r w:rsidR="00A5022C" w:rsidRPr="0097459F">
        <w:rPr>
          <w:rFonts w:cstheme="minorHAnsi"/>
        </w:rPr>
        <w:t xml:space="preserve">investidor </w:t>
      </w:r>
      <w:r w:rsidRPr="0097459F">
        <w:rPr>
          <w:rFonts w:cstheme="minorHAnsi"/>
        </w:rPr>
        <w:t>ou pelo distribuidor que atue por conta e ordem de seus clientes;</w:t>
      </w:r>
    </w:p>
    <w:p w14:paraId="48DB30F2" w14:textId="2FA285CE" w:rsidR="00893D49" w:rsidRPr="0097459F" w:rsidRDefault="00893D49" w:rsidP="00C20BBD">
      <w:pPr>
        <w:pStyle w:val="Normalalteradora"/>
        <w:rPr>
          <w:rFonts w:cstheme="minorHAnsi"/>
        </w:rPr>
      </w:pPr>
      <w:r w:rsidRPr="0097459F">
        <w:rPr>
          <w:rFonts w:cstheme="minorHAnsi"/>
        </w:rPr>
        <w:t>XV</w:t>
      </w:r>
      <w:r w:rsidR="00865461" w:rsidRPr="0097459F">
        <w:rPr>
          <w:rFonts w:cstheme="minorHAnsi"/>
        </w:rPr>
        <w:t>III</w:t>
      </w:r>
      <w:r w:rsidRPr="0097459F">
        <w:rPr>
          <w:rFonts w:cstheme="minorHAnsi"/>
        </w:rPr>
        <w:t xml:space="preserve"> – data de conversão de cotas: a data aferida consoante o prazo indicado no regulamento para apuração do valor da cota para efeito da aplicação e do pagamento do resgate ou amortização;</w:t>
      </w:r>
    </w:p>
    <w:p w14:paraId="1BF19EFD" w14:textId="5D676F3C" w:rsidR="00893D49" w:rsidRPr="0097459F" w:rsidRDefault="00893D49" w:rsidP="00C20BBD">
      <w:pPr>
        <w:pStyle w:val="Normalalteradora"/>
        <w:rPr>
          <w:rFonts w:cstheme="minorHAnsi"/>
        </w:rPr>
      </w:pPr>
      <w:r w:rsidRPr="0097459F">
        <w:rPr>
          <w:rFonts w:cstheme="minorHAnsi"/>
        </w:rPr>
        <w:t>X</w:t>
      </w:r>
      <w:r w:rsidR="00865461" w:rsidRPr="0097459F">
        <w:rPr>
          <w:rFonts w:cstheme="minorHAnsi"/>
        </w:rPr>
        <w:t>IX</w:t>
      </w:r>
      <w:r w:rsidRPr="0097459F">
        <w:rPr>
          <w:rFonts w:cstheme="minorHAnsi"/>
        </w:rPr>
        <w:t xml:space="preserve"> – data de pagamento de resgate: a data do efetivo pagamento, </w:t>
      </w:r>
      <w:r w:rsidR="005B31DC" w:rsidRPr="0097459F">
        <w:rPr>
          <w:rFonts w:cstheme="minorHAnsi"/>
        </w:rPr>
        <w:t>pela classe</w:t>
      </w:r>
      <w:r w:rsidRPr="0097459F">
        <w:rPr>
          <w:rFonts w:cstheme="minorHAnsi"/>
        </w:rPr>
        <w:t>, do valor líquido devido ao cotista que efetuou pedido de resgate;</w:t>
      </w:r>
    </w:p>
    <w:p w14:paraId="1F6D190B" w14:textId="03CADDC2" w:rsidR="00893D49" w:rsidRPr="0097459F" w:rsidRDefault="00865461" w:rsidP="00C20BBD">
      <w:pPr>
        <w:pStyle w:val="Normalalteradora"/>
        <w:rPr>
          <w:rFonts w:cstheme="minorHAnsi"/>
        </w:rPr>
      </w:pPr>
      <w:r w:rsidRPr="0097459F">
        <w:rPr>
          <w:rFonts w:cstheme="minorHAnsi"/>
        </w:rPr>
        <w:t>XX</w:t>
      </w:r>
      <w:r w:rsidR="00893D49" w:rsidRPr="0097459F">
        <w:rPr>
          <w:rFonts w:cstheme="minorHAnsi"/>
        </w:rPr>
        <w:t xml:space="preserve"> – data do pedido de resgate: a data em que o cotista solicita o resgate de parte ou da totalidade das cotas de sua propriedade; </w:t>
      </w:r>
    </w:p>
    <w:p w14:paraId="37667943" w14:textId="5C4C7C7C" w:rsidR="00893D49" w:rsidRPr="0097459F" w:rsidRDefault="00865461" w:rsidP="00C20BBD">
      <w:pPr>
        <w:pStyle w:val="Normalalteradora"/>
        <w:rPr>
          <w:rFonts w:cstheme="minorHAnsi"/>
        </w:rPr>
      </w:pPr>
      <w:r w:rsidRPr="0097459F">
        <w:rPr>
          <w:rFonts w:cstheme="minorHAnsi"/>
        </w:rPr>
        <w:t>XXI</w:t>
      </w:r>
      <w:r w:rsidR="00893D49" w:rsidRPr="0097459F">
        <w:rPr>
          <w:rFonts w:cstheme="minorHAnsi"/>
        </w:rPr>
        <w:t xml:space="preserve"> – distribuidor: intermediário contratado pelo gestor, em nome do fundo, para realizar a distribuição de cotas;</w:t>
      </w:r>
    </w:p>
    <w:p w14:paraId="7146D701" w14:textId="2923BE78" w:rsidR="00893D49" w:rsidRPr="0097459F" w:rsidRDefault="00893D49" w:rsidP="00C20BBD">
      <w:pPr>
        <w:pStyle w:val="Normalalteradora"/>
        <w:rPr>
          <w:rFonts w:cstheme="minorHAnsi"/>
        </w:rPr>
      </w:pPr>
      <w:bookmarkStart w:id="18" w:name="_Hlk48278737"/>
      <w:r w:rsidRPr="0097459F">
        <w:rPr>
          <w:rFonts w:cstheme="minorHAnsi"/>
        </w:rPr>
        <w:t>XX</w:t>
      </w:r>
      <w:r w:rsidR="00865461" w:rsidRPr="0097459F">
        <w:rPr>
          <w:rFonts w:cstheme="minorHAnsi"/>
        </w:rPr>
        <w:t>II</w:t>
      </w:r>
      <w:r w:rsidRPr="0097459F">
        <w:rPr>
          <w:rFonts w:cstheme="minorHAnsi"/>
        </w:rPr>
        <w:t xml:space="preserve"> – encargos do fundo: despesas específicas que podem ser debitadas diretamente da classe de cotas</w:t>
      </w:r>
      <w:r w:rsidR="004F0CEE" w:rsidRPr="0097459F">
        <w:rPr>
          <w:rFonts w:cstheme="minorHAnsi"/>
        </w:rPr>
        <w:t>,</w:t>
      </w:r>
      <w:r w:rsidRPr="0097459F">
        <w:rPr>
          <w:rFonts w:cstheme="minorHAnsi"/>
        </w:rPr>
        <w:t xml:space="preserve"> não </w:t>
      </w:r>
      <w:r w:rsidR="004F0CEE" w:rsidRPr="0097459F">
        <w:rPr>
          <w:rFonts w:cstheme="minorHAnsi"/>
        </w:rPr>
        <w:t xml:space="preserve">estando </w:t>
      </w:r>
      <w:r w:rsidRPr="0097459F">
        <w:rPr>
          <w:rFonts w:cstheme="minorHAnsi"/>
        </w:rPr>
        <w:t>inclusas nas taxas destinadas aos prestadores de serviços</w:t>
      </w:r>
      <w:r w:rsidR="00B71EF2" w:rsidRPr="0097459F">
        <w:rPr>
          <w:rFonts w:cstheme="minorHAnsi"/>
        </w:rPr>
        <w:t xml:space="preserve"> essenciais</w:t>
      </w:r>
      <w:r w:rsidRPr="0097459F">
        <w:rPr>
          <w:rFonts w:cstheme="minorHAnsi"/>
        </w:rPr>
        <w:t>;</w:t>
      </w:r>
      <w:bookmarkEnd w:id="18"/>
    </w:p>
    <w:p w14:paraId="45B32F22" w14:textId="34698BAE" w:rsidR="00893D49" w:rsidRPr="0097459F" w:rsidRDefault="00893D49" w:rsidP="00C20BBD">
      <w:pPr>
        <w:pStyle w:val="Normalalteradora"/>
        <w:rPr>
          <w:rFonts w:cstheme="minorHAnsi"/>
        </w:rPr>
      </w:pPr>
      <w:r w:rsidRPr="0097459F">
        <w:rPr>
          <w:rFonts w:cstheme="minorHAnsi"/>
        </w:rPr>
        <w:t>XX</w:t>
      </w:r>
      <w:r w:rsidR="00865461" w:rsidRPr="0097459F">
        <w:rPr>
          <w:rFonts w:cstheme="minorHAnsi"/>
        </w:rPr>
        <w:t>III</w:t>
      </w:r>
      <w:r w:rsidRPr="0097459F">
        <w:rPr>
          <w:rFonts w:cstheme="minorHAnsi"/>
        </w:rPr>
        <w:t xml:space="preserve"> – escrituração: atividade cujo escopo está definido em norma específica que dispõe sobre a prestação de serviços de escrituração de valores mobiliários;</w:t>
      </w:r>
    </w:p>
    <w:p w14:paraId="0624093E" w14:textId="4F17A8EA" w:rsidR="00893D49" w:rsidRPr="0097459F" w:rsidRDefault="00893D49" w:rsidP="00C20BBD">
      <w:pPr>
        <w:pStyle w:val="Normalalteradora"/>
        <w:rPr>
          <w:rFonts w:cstheme="minorHAnsi"/>
        </w:rPr>
      </w:pPr>
      <w:r w:rsidRPr="0097459F">
        <w:rPr>
          <w:rFonts w:cstheme="minorHAnsi"/>
        </w:rPr>
        <w:t>XX</w:t>
      </w:r>
      <w:r w:rsidR="00865461" w:rsidRPr="0097459F">
        <w:rPr>
          <w:rFonts w:cstheme="minorHAnsi"/>
        </w:rPr>
        <w:t>IV</w:t>
      </w:r>
      <w:r w:rsidRPr="0097459F">
        <w:rPr>
          <w:rFonts w:cstheme="minorHAnsi"/>
        </w:rPr>
        <w:t xml:space="preserve"> – exposição a risco de capital:  exposição da classe de cotas ao risco de seu patrimônio líquido ficar negativo em decorrência de aplicações de sua carteira de ativos;</w:t>
      </w:r>
    </w:p>
    <w:p w14:paraId="2F83337E" w14:textId="4DC4207C" w:rsidR="00893D49" w:rsidRPr="0097459F" w:rsidRDefault="00893D49" w:rsidP="00C20BBD">
      <w:pPr>
        <w:pStyle w:val="Normalalteradora"/>
        <w:rPr>
          <w:rFonts w:cstheme="minorHAnsi"/>
        </w:rPr>
      </w:pPr>
      <w:r w:rsidRPr="0097459F">
        <w:rPr>
          <w:rFonts w:cstheme="minorHAnsi"/>
        </w:rPr>
        <w:t>XX</w:t>
      </w:r>
      <w:r w:rsidR="00865461" w:rsidRPr="0097459F">
        <w:rPr>
          <w:rFonts w:cstheme="minorHAnsi"/>
        </w:rPr>
        <w:t>V</w:t>
      </w:r>
      <w:r w:rsidRPr="0097459F">
        <w:rPr>
          <w:rFonts w:cstheme="minorHAnsi"/>
        </w:rPr>
        <w:t xml:space="preserve"> – fundo (de investimento): termo definido no art. </w:t>
      </w:r>
      <w:r w:rsidR="00AC216E" w:rsidRPr="0097459F">
        <w:rPr>
          <w:rFonts w:cstheme="minorHAnsi"/>
        </w:rPr>
        <w:t>4º</w:t>
      </w:r>
      <w:r w:rsidRPr="0097459F">
        <w:rPr>
          <w:rFonts w:cstheme="minorHAnsi"/>
        </w:rPr>
        <w:t>;</w:t>
      </w:r>
    </w:p>
    <w:p w14:paraId="5E6B8881" w14:textId="227F85E7" w:rsidR="00893D49" w:rsidRPr="0097459F" w:rsidRDefault="00893D49" w:rsidP="00C20BBD">
      <w:pPr>
        <w:pStyle w:val="Normalalteradora"/>
        <w:rPr>
          <w:rFonts w:cstheme="minorHAnsi"/>
        </w:rPr>
      </w:pPr>
      <w:r w:rsidRPr="0097459F">
        <w:rPr>
          <w:rFonts w:cstheme="minorHAnsi"/>
        </w:rPr>
        <w:t>XXV</w:t>
      </w:r>
      <w:r w:rsidR="00865461" w:rsidRPr="0097459F">
        <w:rPr>
          <w:rFonts w:cstheme="minorHAnsi"/>
        </w:rPr>
        <w:t>I</w:t>
      </w:r>
      <w:r w:rsidRPr="0097459F">
        <w:rPr>
          <w:rFonts w:cstheme="minorHAnsi"/>
        </w:rPr>
        <w:t xml:space="preserve"> – gestão (da carteira</w:t>
      </w:r>
      <w:r w:rsidR="00C46EE6" w:rsidRPr="0097459F">
        <w:rPr>
          <w:rFonts w:cstheme="minorHAnsi"/>
        </w:rPr>
        <w:t xml:space="preserve"> de ativos</w:t>
      </w:r>
      <w:r w:rsidRPr="0097459F">
        <w:rPr>
          <w:rFonts w:cstheme="minorHAnsi"/>
        </w:rPr>
        <w:t xml:space="preserve">): gestão </w:t>
      </w:r>
      <w:r w:rsidR="00D84912" w:rsidRPr="0097459F">
        <w:rPr>
          <w:rFonts w:cstheme="minorHAnsi"/>
        </w:rPr>
        <w:t>dos ativos integrantes da carteira</w:t>
      </w:r>
      <w:r w:rsidRPr="0097459F">
        <w:rPr>
          <w:rFonts w:cstheme="minorHAnsi"/>
        </w:rPr>
        <w:t xml:space="preserve">, conforme estabelecido </w:t>
      </w:r>
      <w:r w:rsidR="00A135EA" w:rsidRPr="0097459F">
        <w:rPr>
          <w:rFonts w:cstheme="minorHAnsi"/>
        </w:rPr>
        <w:t>no Regulamento</w:t>
      </w:r>
      <w:r w:rsidRPr="0097459F">
        <w:rPr>
          <w:rFonts w:cstheme="minorHAnsi"/>
        </w:rPr>
        <w:t>;</w:t>
      </w:r>
    </w:p>
    <w:p w14:paraId="5E60B0A0" w14:textId="710AA7D7" w:rsidR="00893D49" w:rsidRPr="0097459F" w:rsidRDefault="00893D49" w:rsidP="00C20BBD">
      <w:pPr>
        <w:pStyle w:val="Normalalteradora"/>
      </w:pPr>
      <w:r w:rsidRPr="0097459F">
        <w:t>XXV</w:t>
      </w:r>
      <w:r w:rsidR="00865461" w:rsidRPr="0097459F">
        <w:t>II</w:t>
      </w:r>
      <w:r w:rsidRPr="0097459F">
        <w:t xml:space="preserve"> – gestor (do fundo): pessoa natural ou jurídica autorizada pela CVM para o exercício de administração de carteiras de valores mobiliários, na categoria “gestor de recursos”, cuja atribuição é realizar a gestão da carteira de ativos;</w:t>
      </w:r>
    </w:p>
    <w:p w14:paraId="3E64E25F" w14:textId="3D05AC01" w:rsidR="00893D49" w:rsidRPr="0097459F" w:rsidRDefault="00893D49" w:rsidP="00C20BBD">
      <w:pPr>
        <w:pStyle w:val="Normalalteradora"/>
        <w:rPr>
          <w:rFonts w:cstheme="minorHAnsi"/>
        </w:rPr>
      </w:pPr>
      <w:r w:rsidRPr="0097459F">
        <w:rPr>
          <w:rFonts w:cstheme="minorHAnsi"/>
        </w:rPr>
        <w:lastRenderedPageBreak/>
        <w:t>XXVII</w:t>
      </w:r>
      <w:r w:rsidR="00865461" w:rsidRPr="0097459F">
        <w:rPr>
          <w:rFonts w:cstheme="minorHAnsi"/>
        </w:rPr>
        <w:t>I</w:t>
      </w:r>
      <w:r w:rsidRPr="0097459F">
        <w:rPr>
          <w:rFonts w:cstheme="minorHAnsi"/>
        </w:rPr>
        <w:t xml:space="preserve"> – intermediário: instituição habilitada a atuar como integrante do sistema de distribuição, por conta própria e de terceiros, na negociação de valores mobiliários em mercados regulamentados de valores mobiliários; </w:t>
      </w:r>
    </w:p>
    <w:p w14:paraId="0F52737F" w14:textId="7E18C630" w:rsidR="00C032E0" w:rsidRPr="0097459F" w:rsidRDefault="00C032E0" w:rsidP="00C20BBD">
      <w:pPr>
        <w:pStyle w:val="Normalalteradora"/>
        <w:rPr>
          <w:rFonts w:cstheme="minorHAnsi"/>
        </w:rPr>
      </w:pPr>
      <w:r w:rsidRPr="0097459F">
        <w:rPr>
          <w:rFonts w:cstheme="minorHAnsi"/>
        </w:rPr>
        <w:t xml:space="preserve">XXIX </w:t>
      </w:r>
      <w:r w:rsidR="00175AE0" w:rsidRPr="0097459F">
        <w:rPr>
          <w:rFonts w:cstheme="minorHAnsi"/>
        </w:rPr>
        <w:t>–</w:t>
      </w:r>
      <w:r w:rsidRPr="0097459F">
        <w:rPr>
          <w:rFonts w:cstheme="minorHAnsi"/>
        </w:rPr>
        <w:t xml:space="preserve"> </w:t>
      </w:r>
      <w:r w:rsidR="008A78A1" w:rsidRPr="0097459F">
        <w:t>partes</w:t>
      </w:r>
      <w:r w:rsidR="00175AE0">
        <w:t xml:space="preserve"> </w:t>
      </w:r>
      <w:r w:rsidR="008A78A1" w:rsidRPr="0097459F">
        <w:t>relacionadas: tal como definidas pelas regras contábeis expedidas pela CVM que tratam dessa matéria;</w:t>
      </w:r>
    </w:p>
    <w:p w14:paraId="3F4D3346" w14:textId="38E117FC" w:rsidR="00893D49" w:rsidRPr="0097459F" w:rsidRDefault="002C3305" w:rsidP="00C20BBD">
      <w:pPr>
        <w:pStyle w:val="Normalalteradora"/>
        <w:rPr>
          <w:rFonts w:cstheme="minorHAnsi"/>
        </w:rPr>
      </w:pPr>
      <w:r w:rsidRPr="0097459F">
        <w:rPr>
          <w:rFonts w:cstheme="minorHAnsi"/>
        </w:rPr>
        <w:t>XXX</w:t>
      </w:r>
      <w:r w:rsidR="00893D49" w:rsidRPr="0097459F">
        <w:rPr>
          <w:rFonts w:cstheme="minorHAnsi"/>
        </w:rPr>
        <w:t xml:space="preserve"> – prestadores de serviços essenciais: administrador e gestor</w:t>
      </w:r>
      <w:r w:rsidR="00C959D1" w:rsidRPr="0097459F">
        <w:t xml:space="preserve"> </w:t>
      </w:r>
      <w:r w:rsidR="00B723C5" w:rsidRPr="0097459F">
        <w:t>do fundo</w:t>
      </w:r>
      <w:r w:rsidR="00893D49" w:rsidRPr="0097459F">
        <w:rPr>
          <w:rFonts w:cstheme="minorHAnsi"/>
        </w:rPr>
        <w:t>;</w:t>
      </w:r>
    </w:p>
    <w:p w14:paraId="0FB4D954" w14:textId="5A565F29" w:rsidR="00893D49" w:rsidRPr="0097459F" w:rsidRDefault="002C3305" w:rsidP="00C20BBD">
      <w:pPr>
        <w:pStyle w:val="Normalalteradora"/>
        <w:rPr>
          <w:rFonts w:cstheme="minorHAnsi"/>
        </w:rPr>
      </w:pPr>
      <w:r w:rsidRPr="0097459F">
        <w:rPr>
          <w:rFonts w:cstheme="minorHAnsi"/>
        </w:rPr>
        <w:t>XXXI</w:t>
      </w:r>
      <w:r w:rsidR="00893D49" w:rsidRPr="0097459F">
        <w:rPr>
          <w:rFonts w:cstheme="minorHAnsi"/>
        </w:rPr>
        <w:t xml:space="preserve"> – regulamento</w:t>
      </w:r>
      <w:r w:rsidR="00625F94" w:rsidRPr="0097459F">
        <w:rPr>
          <w:rFonts w:cstheme="minorHAnsi"/>
        </w:rPr>
        <w:t xml:space="preserve"> (do fundo)</w:t>
      </w:r>
      <w:r w:rsidR="00893D49" w:rsidRPr="0097459F">
        <w:rPr>
          <w:rFonts w:cstheme="minorHAnsi"/>
        </w:rPr>
        <w:t xml:space="preserve">: é o documento </w:t>
      </w:r>
      <w:r w:rsidR="00625F94" w:rsidRPr="0097459F">
        <w:rPr>
          <w:rFonts w:cstheme="minorHAnsi"/>
        </w:rPr>
        <w:t xml:space="preserve">que rege a </w:t>
      </w:r>
      <w:r w:rsidR="00893D49" w:rsidRPr="0097459F">
        <w:rPr>
          <w:rFonts w:cstheme="minorHAnsi"/>
        </w:rPr>
        <w:t xml:space="preserve">constituição </w:t>
      </w:r>
      <w:r w:rsidR="00625F94" w:rsidRPr="0097459F">
        <w:rPr>
          <w:rFonts w:cstheme="minorHAnsi"/>
        </w:rPr>
        <w:t xml:space="preserve">e o funcionamento </w:t>
      </w:r>
      <w:r w:rsidR="00893D49" w:rsidRPr="0097459F">
        <w:rPr>
          <w:rFonts w:cstheme="minorHAnsi"/>
        </w:rPr>
        <w:t xml:space="preserve">do fundo de investimento </w:t>
      </w:r>
      <w:r w:rsidR="00286A59" w:rsidRPr="0097459F">
        <w:rPr>
          <w:rFonts w:cstheme="minorHAnsi"/>
        </w:rPr>
        <w:t xml:space="preserve">e </w:t>
      </w:r>
      <w:r w:rsidR="00893D49" w:rsidRPr="0097459F">
        <w:rPr>
          <w:rFonts w:cstheme="minorHAnsi"/>
        </w:rPr>
        <w:t xml:space="preserve">contém, no mínimo, as disposições obrigatórias previstas nesta Resolução; </w:t>
      </w:r>
    </w:p>
    <w:p w14:paraId="1FE194E0" w14:textId="24913ED4" w:rsidR="00C44DD7" w:rsidRPr="0097459F" w:rsidRDefault="000C62AD" w:rsidP="00C20BBD">
      <w:pPr>
        <w:pStyle w:val="Normalalteradora"/>
      </w:pPr>
      <w:r w:rsidRPr="0097459F">
        <w:t>XXX</w:t>
      </w:r>
      <w:r w:rsidR="002C3305" w:rsidRPr="0097459F">
        <w:t>II</w:t>
      </w:r>
      <w:r w:rsidR="00C44DD7" w:rsidRPr="0097459F">
        <w:t xml:space="preserve"> – Superintendência competente</w:t>
      </w:r>
      <w:r w:rsidR="00F42C23" w:rsidRPr="0097459F">
        <w:t xml:space="preserve">: superintendência </w:t>
      </w:r>
      <w:r w:rsidR="00C44DD7" w:rsidRPr="0097459F">
        <w:t>responsável pelo registro</w:t>
      </w:r>
      <w:r w:rsidR="002D32D5" w:rsidRPr="0097459F">
        <w:t>,</w:t>
      </w:r>
      <w:r w:rsidR="00C44DD7" w:rsidRPr="0097459F">
        <w:t xml:space="preserve"> supervisão </w:t>
      </w:r>
      <w:r w:rsidR="00A711DF" w:rsidRPr="0097459F">
        <w:t xml:space="preserve">e </w:t>
      </w:r>
      <w:r w:rsidR="008F150C" w:rsidRPr="0097459F">
        <w:t>demais</w:t>
      </w:r>
      <w:r w:rsidR="00A711DF" w:rsidRPr="0097459F">
        <w:t xml:space="preserve"> matérias relacionadas</w:t>
      </w:r>
      <w:r w:rsidR="006E4357" w:rsidRPr="0097459F">
        <w:t xml:space="preserve"> </w:t>
      </w:r>
      <w:r w:rsidR="008F150C" w:rsidRPr="0097459F">
        <w:t>ao</w:t>
      </w:r>
      <w:r w:rsidR="002D32D5" w:rsidRPr="0097459F">
        <w:t xml:space="preserve"> fundo de investimento</w:t>
      </w:r>
      <w:r w:rsidR="00C44DD7" w:rsidRPr="0097459F">
        <w:t xml:space="preserve">, nos termos </w:t>
      </w:r>
      <w:r w:rsidR="00982E60" w:rsidRPr="0097459F">
        <w:t>d</w:t>
      </w:r>
      <w:r w:rsidR="00C44DD7" w:rsidRPr="0097459F">
        <w:t>o Regimento Interno da CVM;</w:t>
      </w:r>
    </w:p>
    <w:p w14:paraId="28021747" w14:textId="64F71AA1" w:rsidR="00893D49" w:rsidRPr="0097459F" w:rsidRDefault="00893D49" w:rsidP="00C20BBD">
      <w:pPr>
        <w:pStyle w:val="Normalalteradora"/>
        <w:rPr>
          <w:rFonts w:cstheme="minorHAnsi"/>
        </w:rPr>
      </w:pPr>
      <w:r w:rsidRPr="0097459F">
        <w:rPr>
          <w:rFonts w:cstheme="minorHAnsi"/>
        </w:rPr>
        <w:t>XXX</w:t>
      </w:r>
      <w:r w:rsidR="002D32D5" w:rsidRPr="0097459F">
        <w:rPr>
          <w:rFonts w:cstheme="minorHAnsi"/>
        </w:rPr>
        <w:t>I</w:t>
      </w:r>
      <w:r w:rsidR="002C3305" w:rsidRPr="0097459F">
        <w:rPr>
          <w:rFonts w:cstheme="minorHAnsi"/>
        </w:rPr>
        <w:t>II</w:t>
      </w:r>
      <w:r w:rsidRPr="0097459F">
        <w:rPr>
          <w:rFonts w:cstheme="minorHAnsi"/>
        </w:rPr>
        <w:t xml:space="preserve"> – taxa de administração: taxa </w:t>
      </w:r>
      <w:r w:rsidR="00515C72" w:rsidRPr="0097459F">
        <w:rPr>
          <w:rFonts w:cstheme="minorHAnsi"/>
        </w:rPr>
        <w:t xml:space="preserve">cobrada </w:t>
      </w:r>
      <w:r w:rsidR="00306401" w:rsidRPr="0097459F">
        <w:rPr>
          <w:rFonts w:cstheme="minorHAnsi"/>
        </w:rPr>
        <w:t>do fundo</w:t>
      </w:r>
      <w:r w:rsidRPr="0097459F">
        <w:rPr>
          <w:rFonts w:cstheme="minorHAnsi"/>
        </w:rPr>
        <w:t xml:space="preserve"> para remunerar o administrador e os prestadores dos serviços por ele contratados </w:t>
      </w:r>
      <w:r w:rsidR="00601332" w:rsidRPr="0097459F">
        <w:rPr>
          <w:rFonts w:cstheme="minorHAnsi"/>
        </w:rPr>
        <w:t xml:space="preserve">e </w:t>
      </w:r>
      <w:r w:rsidR="00473E56" w:rsidRPr="0097459F">
        <w:rPr>
          <w:rFonts w:cstheme="minorHAnsi"/>
        </w:rPr>
        <w:t>que não constituam encargos do</w:t>
      </w:r>
      <w:r w:rsidRPr="0097459F">
        <w:rPr>
          <w:rFonts w:cstheme="minorHAnsi"/>
        </w:rPr>
        <w:t xml:space="preserve"> fundo;</w:t>
      </w:r>
    </w:p>
    <w:p w14:paraId="25F470FC" w14:textId="2381F124" w:rsidR="00833799" w:rsidRPr="0097459F" w:rsidRDefault="00833799" w:rsidP="00833799">
      <w:pPr>
        <w:pStyle w:val="Normalalteradora"/>
        <w:rPr>
          <w:rFonts w:cstheme="minorHAnsi"/>
        </w:rPr>
      </w:pPr>
      <w:r w:rsidRPr="0097459F">
        <w:rPr>
          <w:rFonts w:cstheme="minorHAnsi"/>
        </w:rPr>
        <w:t>XXX</w:t>
      </w:r>
      <w:r>
        <w:rPr>
          <w:rFonts w:cstheme="minorHAnsi"/>
        </w:rPr>
        <w:t>I</w:t>
      </w:r>
      <w:r w:rsidRPr="0097459F">
        <w:rPr>
          <w:rFonts w:cstheme="minorHAnsi"/>
        </w:rPr>
        <w:t>V – taxa de gestão: taxa cobrada do fundo para remunerar o gestor e os prestadores dos serviços por ele contratados e que não constituam encargos do fundo;</w:t>
      </w:r>
    </w:p>
    <w:p w14:paraId="7343B543" w14:textId="46DE3DF4" w:rsidR="00893D49" w:rsidRPr="0097459F" w:rsidRDefault="002C3305" w:rsidP="00C20BBD">
      <w:pPr>
        <w:pStyle w:val="Normalalteradora"/>
        <w:rPr>
          <w:rFonts w:cstheme="minorHAnsi"/>
        </w:rPr>
      </w:pPr>
      <w:r w:rsidRPr="0097459F">
        <w:rPr>
          <w:rFonts w:cstheme="minorHAnsi"/>
        </w:rPr>
        <w:t>XXXV</w:t>
      </w:r>
      <w:r w:rsidR="00893D49" w:rsidRPr="0097459F">
        <w:rPr>
          <w:rFonts w:cstheme="minorHAnsi"/>
        </w:rPr>
        <w:t xml:space="preserve"> – taxa de </w:t>
      </w:r>
      <w:r w:rsidR="00494D99" w:rsidRPr="0097459F">
        <w:rPr>
          <w:rFonts w:cstheme="minorHAnsi"/>
        </w:rPr>
        <w:t>ingresso</w:t>
      </w:r>
      <w:r w:rsidR="00893D49" w:rsidRPr="0097459F">
        <w:rPr>
          <w:rFonts w:cstheme="minorHAnsi"/>
        </w:rPr>
        <w:t xml:space="preserve">: taxa paga pelo cotista ao </w:t>
      </w:r>
      <w:r w:rsidR="00026DEE" w:rsidRPr="0097459F">
        <w:rPr>
          <w:rFonts w:cstheme="minorHAnsi"/>
        </w:rPr>
        <w:t xml:space="preserve">patrimônio </w:t>
      </w:r>
      <w:r w:rsidR="00611ED4" w:rsidRPr="0097459F">
        <w:rPr>
          <w:rFonts w:cstheme="minorHAnsi"/>
        </w:rPr>
        <w:t>da classe</w:t>
      </w:r>
      <w:r w:rsidR="00026DEE" w:rsidRPr="0097459F">
        <w:rPr>
          <w:rFonts w:cstheme="minorHAnsi"/>
        </w:rPr>
        <w:t xml:space="preserve"> ao </w:t>
      </w:r>
      <w:r w:rsidR="00893D49" w:rsidRPr="0097459F">
        <w:rPr>
          <w:rFonts w:cstheme="minorHAnsi"/>
        </w:rPr>
        <w:t xml:space="preserve">aplicar recursos em </w:t>
      </w:r>
      <w:r w:rsidR="00494D99" w:rsidRPr="0097459F">
        <w:rPr>
          <w:rFonts w:cstheme="minorHAnsi"/>
        </w:rPr>
        <w:t>uma classe de cotas</w:t>
      </w:r>
      <w:r w:rsidR="00893D49" w:rsidRPr="0097459F">
        <w:rPr>
          <w:rFonts w:cstheme="minorHAnsi"/>
        </w:rPr>
        <w:t>, conforme previsão do regulamento;</w:t>
      </w:r>
    </w:p>
    <w:p w14:paraId="661401D3" w14:textId="494D17AC" w:rsidR="00893D49" w:rsidRPr="0097459F" w:rsidRDefault="002C3305" w:rsidP="00C20BBD">
      <w:pPr>
        <w:pStyle w:val="Normalalteradora"/>
        <w:rPr>
          <w:rFonts w:cstheme="minorHAnsi"/>
        </w:rPr>
      </w:pPr>
      <w:bookmarkStart w:id="19" w:name="_Hlk49439247"/>
      <w:r w:rsidRPr="0097459F">
        <w:rPr>
          <w:rFonts w:cstheme="minorHAnsi"/>
        </w:rPr>
        <w:t>XXXVI</w:t>
      </w:r>
      <w:r w:rsidR="00893D49" w:rsidRPr="0097459F">
        <w:rPr>
          <w:rFonts w:cstheme="minorHAnsi"/>
        </w:rPr>
        <w:t xml:space="preserve"> – taxa de saída: taxa paga pelo cotista</w:t>
      </w:r>
      <w:r w:rsidR="00026DEE" w:rsidRPr="0097459F">
        <w:rPr>
          <w:rFonts w:cstheme="minorHAnsi"/>
        </w:rPr>
        <w:t xml:space="preserve"> ao patrimônio </w:t>
      </w:r>
      <w:r w:rsidR="00C8389D" w:rsidRPr="0097459F">
        <w:rPr>
          <w:rFonts w:cstheme="minorHAnsi"/>
        </w:rPr>
        <w:t>da classe</w:t>
      </w:r>
      <w:r w:rsidR="00893D49" w:rsidRPr="0097459F">
        <w:rPr>
          <w:rFonts w:cstheme="minorHAnsi"/>
        </w:rPr>
        <w:t xml:space="preserve"> ao resgatar recursos de </w:t>
      </w:r>
      <w:r w:rsidR="001B7CA2" w:rsidRPr="0097459F">
        <w:rPr>
          <w:rFonts w:cstheme="minorHAnsi"/>
        </w:rPr>
        <w:t>uma classe de cotas</w:t>
      </w:r>
      <w:r w:rsidR="00893D49" w:rsidRPr="0097459F">
        <w:rPr>
          <w:rFonts w:cstheme="minorHAnsi"/>
        </w:rPr>
        <w:t>, conforme previsão do regulamento;</w:t>
      </w:r>
    </w:p>
    <w:p w14:paraId="1516D521" w14:textId="437F0CC6" w:rsidR="00D710D4" w:rsidRPr="0097459F" w:rsidRDefault="002C3305" w:rsidP="00C20BBD">
      <w:pPr>
        <w:pStyle w:val="Normalalteradora"/>
      </w:pPr>
      <w:r w:rsidRPr="0097459F">
        <w:t>XXXVII</w:t>
      </w:r>
      <w:r w:rsidR="00D710D4" w:rsidRPr="0097459F">
        <w:t xml:space="preserve"> – taxa máxima de distribuição de cotas: </w:t>
      </w:r>
      <w:r w:rsidR="00C422FD" w:rsidRPr="0097459F">
        <w:t xml:space="preserve">taxa </w:t>
      </w:r>
      <w:r w:rsidR="00515C72" w:rsidRPr="0097459F">
        <w:t>cobrada do fundo</w:t>
      </w:r>
      <w:r w:rsidR="00C422FD" w:rsidRPr="0097459F">
        <w:t>, representativa do montante total para remunera</w:t>
      </w:r>
      <w:r w:rsidR="002639E8" w:rsidRPr="0097459F">
        <w:t>ção dos distribuidores, expressa</w:t>
      </w:r>
      <w:r w:rsidR="00C422FD" w:rsidRPr="0097459F">
        <w:t xml:space="preserve"> em percentual anual do patrimônio líquido (base 252 dias)</w:t>
      </w:r>
      <w:r w:rsidR="00B41BC3" w:rsidRPr="0097459F">
        <w:t>;</w:t>
      </w:r>
    </w:p>
    <w:bookmarkEnd w:id="19"/>
    <w:p w14:paraId="40211692" w14:textId="6A3CFDBA" w:rsidR="00893D49" w:rsidRPr="0097459F" w:rsidRDefault="002C3305" w:rsidP="00C20BBD">
      <w:pPr>
        <w:pStyle w:val="Normalalteradora"/>
        <w:rPr>
          <w:rFonts w:cstheme="minorHAnsi"/>
        </w:rPr>
      </w:pPr>
      <w:r w:rsidRPr="0097459F">
        <w:rPr>
          <w:rFonts w:cstheme="minorHAnsi"/>
        </w:rPr>
        <w:t>XXXVIII</w:t>
      </w:r>
      <w:r w:rsidR="00893D49" w:rsidRPr="0097459F">
        <w:rPr>
          <w:rFonts w:cstheme="minorHAnsi"/>
        </w:rPr>
        <w:t xml:space="preserve"> – valor da cota (do dia): termo definido no art. 14, §§ </w:t>
      </w:r>
      <w:r w:rsidR="00143D5E" w:rsidRPr="0097459F">
        <w:rPr>
          <w:rFonts w:cstheme="minorHAnsi"/>
        </w:rPr>
        <w:t xml:space="preserve">1º </w:t>
      </w:r>
      <w:r w:rsidR="00893D49" w:rsidRPr="0097459F">
        <w:rPr>
          <w:rFonts w:cstheme="minorHAnsi"/>
        </w:rPr>
        <w:t xml:space="preserve">e </w:t>
      </w:r>
      <w:r w:rsidR="00143D5E" w:rsidRPr="0097459F">
        <w:rPr>
          <w:rFonts w:cstheme="minorHAnsi"/>
        </w:rPr>
        <w:t>2º</w:t>
      </w:r>
      <w:r w:rsidR="00893D49" w:rsidRPr="0097459F">
        <w:rPr>
          <w:rFonts w:cstheme="minorHAnsi"/>
        </w:rPr>
        <w:t>, conforme o caso;</w:t>
      </w:r>
    </w:p>
    <w:p w14:paraId="506BBF8C" w14:textId="18C57796" w:rsidR="00893D49" w:rsidRPr="0097459F" w:rsidRDefault="005E67F3" w:rsidP="00C20BBD">
      <w:pPr>
        <w:pStyle w:val="Normalalteradora"/>
        <w:rPr>
          <w:rFonts w:cstheme="minorHAnsi"/>
        </w:rPr>
      </w:pPr>
      <w:r w:rsidRPr="0097459F">
        <w:rPr>
          <w:rFonts w:cstheme="minorHAnsi"/>
        </w:rPr>
        <w:t>XXXIX</w:t>
      </w:r>
      <w:r w:rsidR="00893D49" w:rsidRPr="0097459F">
        <w:rPr>
          <w:rFonts w:cstheme="minorHAnsi"/>
        </w:rPr>
        <w:t xml:space="preserve"> – vínculo familiar: ascendentes, descendentes ou parentes afins, civis e colaterais até o segundo grau;</w:t>
      </w:r>
    </w:p>
    <w:p w14:paraId="50A035E6" w14:textId="4E078877" w:rsidR="00893D49" w:rsidRPr="0097459F" w:rsidRDefault="005E67F3" w:rsidP="00C20BBD">
      <w:pPr>
        <w:pStyle w:val="Normalalteradora"/>
        <w:rPr>
          <w:rFonts w:cstheme="minorHAnsi"/>
        </w:rPr>
      </w:pPr>
      <w:r w:rsidRPr="0097459F">
        <w:rPr>
          <w:rFonts w:cstheme="minorHAnsi"/>
        </w:rPr>
        <w:t>XL</w:t>
      </w:r>
      <w:r w:rsidR="00893D49" w:rsidRPr="0097459F">
        <w:rPr>
          <w:rFonts w:cstheme="minorHAnsi"/>
        </w:rPr>
        <w:t xml:space="preserve"> – vínculo societário familiar: vínculo decorrente da participação direta ou indireta em veículo de investimento constituído com o objetivo de consolidar patrimônio de um grupo de pessoas que tenham vínculo familiar</w:t>
      </w:r>
      <w:r w:rsidR="00007E56" w:rsidRPr="0097459F">
        <w:rPr>
          <w:rFonts w:cstheme="minorHAnsi"/>
        </w:rPr>
        <w:t>; e</w:t>
      </w:r>
      <w:bookmarkStart w:id="20" w:name="_Hlk37660981"/>
      <w:bookmarkStart w:id="21" w:name="_Hlk42691773"/>
    </w:p>
    <w:p w14:paraId="4BF8551B" w14:textId="31D9A29F" w:rsidR="00091CBC" w:rsidRPr="0097459F" w:rsidRDefault="005E67F3" w:rsidP="00C20BBD">
      <w:pPr>
        <w:spacing w:before="120" w:after="120" w:line="312" w:lineRule="auto"/>
        <w:ind w:firstLine="567"/>
        <w:jc w:val="both"/>
        <w:rPr>
          <w:rFonts w:cstheme="minorHAnsi"/>
          <w:sz w:val="24"/>
          <w:szCs w:val="24"/>
        </w:rPr>
      </w:pPr>
      <w:r w:rsidRPr="0097459F">
        <w:rPr>
          <w:rFonts w:asciiTheme="minorHAnsi" w:eastAsia="Times New Roman" w:hAnsiTheme="minorHAnsi" w:cstheme="minorHAnsi"/>
          <w:sz w:val="24"/>
          <w:szCs w:val="24"/>
          <w:lang w:eastAsia="pt-BR"/>
        </w:rPr>
        <w:lastRenderedPageBreak/>
        <w:t>XLI</w:t>
      </w:r>
      <w:r w:rsidR="00091CBC" w:rsidRPr="0097459F">
        <w:rPr>
          <w:rFonts w:asciiTheme="minorHAnsi" w:eastAsia="Times New Roman" w:hAnsiTheme="minorHAnsi" w:cstheme="minorHAnsi"/>
          <w:sz w:val="24"/>
          <w:szCs w:val="24"/>
          <w:lang w:eastAsia="pt-BR"/>
        </w:rPr>
        <w:t xml:space="preserve"> </w:t>
      </w:r>
      <w:r w:rsidR="00007E56" w:rsidRPr="0097459F">
        <w:rPr>
          <w:rFonts w:asciiTheme="minorHAnsi" w:eastAsia="Times New Roman" w:hAnsiTheme="minorHAnsi" w:cstheme="minorHAnsi"/>
          <w:sz w:val="24"/>
          <w:szCs w:val="24"/>
          <w:lang w:eastAsia="pt-BR"/>
        </w:rPr>
        <w:t>–</w:t>
      </w:r>
      <w:r w:rsidR="00091CBC" w:rsidRPr="0097459F">
        <w:rPr>
          <w:rFonts w:asciiTheme="minorHAnsi" w:eastAsia="Times New Roman" w:hAnsiTheme="minorHAnsi" w:cstheme="minorHAnsi"/>
          <w:sz w:val="24"/>
          <w:szCs w:val="24"/>
          <w:lang w:eastAsia="pt-BR"/>
        </w:rPr>
        <w:t xml:space="preserve"> vínculo por interesse único e indissociável: vínculo decorrente de controle comum</w:t>
      </w:r>
      <w:r w:rsidR="00E66FAE" w:rsidRPr="0097459F">
        <w:rPr>
          <w:rFonts w:asciiTheme="minorHAnsi" w:eastAsia="Times New Roman" w:hAnsiTheme="minorHAnsi" w:cstheme="minorHAnsi"/>
          <w:sz w:val="24"/>
          <w:szCs w:val="24"/>
          <w:lang w:eastAsia="pt-BR"/>
        </w:rPr>
        <w:t xml:space="preserve">, conforme definido nas normas contábeis, </w:t>
      </w:r>
      <w:r w:rsidR="00091CBC" w:rsidRPr="0097459F">
        <w:rPr>
          <w:rFonts w:asciiTheme="minorHAnsi" w:eastAsia="Times New Roman" w:hAnsiTheme="minorHAnsi" w:cstheme="minorHAnsi"/>
          <w:sz w:val="24"/>
          <w:szCs w:val="24"/>
          <w:lang w:eastAsia="pt-BR"/>
        </w:rPr>
        <w:t>ou de acordo que obrigue os cotistas a votar</w:t>
      </w:r>
      <w:r w:rsidR="00312C1C" w:rsidRPr="0097459F">
        <w:rPr>
          <w:rFonts w:asciiTheme="minorHAnsi" w:eastAsia="Times New Roman" w:hAnsiTheme="minorHAnsi" w:cstheme="minorHAnsi"/>
          <w:sz w:val="24"/>
          <w:szCs w:val="24"/>
          <w:lang w:eastAsia="pt-BR"/>
        </w:rPr>
        <w:t>em</w:t>
      </w:r>
      <w:r w:rsidR="00091CBC" w:rsidRPr="0097459F">
        <w:rPr>
          <w:rFonts w:asciiTheme="minorHAnsi" w:eastAsia="Times New Roman" w:hAnsiTheme="minorHAnsi" w:cstheme="minorHAnsi"/>
          <w:sz w:val="24"/>
          <w:szCs w:val="24"/>
          <w:lang w:eastAsia="pt-BR"/>
        </w:rPr>
        <w:t xml:space="preserve"> em conjunto nas assembleias.</w:t>
      </w:r>
    </w:p>
    <w:p w14:paraId="18F3A10A" w14:textId="104F1C7A" w:rsidR="00403D3B" w:rsidRPr="0097459F" w:rsidRDefault="04E4BC49" w:rsidP="00C20BBD">
      <w:pPr>
        <w:pStyle w:val="Normalalteradora"/>
      </w:pPr>
      <w:r w:rsidRPr="0097459F">
        <w:t>Parágrafo único</w:t>
      </w:r>
      <w:r w:rsidR="0648B55E" w:rsidRPr="0097459F">
        <w:t>.</w:t>
      </w:r>
      <w:r w:rsidRPr="0097459F">
        <w:t xml:space="preserve"> </w:t>
      </w:r>
      <w:r w:rsidR="1F743F34" w:rsidRPr="0097459F">
        <w:t xml:space="preserve"> </w:t>
      </w:r>
      <w:r w:rsidRPr="0097459F">
        <w:t>Para fins do correto entendimento desta Resolução:</w:t>
      </w:r>
    </w:p>
    <w:p w14:paraId="51FC440D" w14:textId="5D3AEC75" w:rsidR="000B5C69" w:rsidRPr="0097459F" w:rsidRDefault="000B5C69" w:rsidP="00C20BBD">
      <w:pPr>
        <w:pStyle w:val="Normalalteradora"/>
        <w:rPr>
          <w:rFonts w:cstheme="minorHAnsi"/>
        </w:rPr>
      </w:pPr>
      <w:r w:rsidRPr="0097459F">
        <w:rPr>
          <w:rFonts w:cstheme="minorHAnsi"/>
        </w:rPr>
        <w:t xml:space="preserve">I – as referências a “fundo” ou a “fundo de investimento” </w:t>
      </w:r>
      <w:r w:rsidR="00A33BF6" w:rsidRPr="0097459F">
        <w:rPr>
          <w:rFonts w:cstheme="minorHAnsi"/>
        </w:rPr>
        <w:t xml:space="preserve">alcançam </w:t>
      </w:r>
      <w:r w:rsidR="00ED357E" w:rsidRPr="0097459F">
        <w:rPr>
          <w:rFonts w:cstheme="minorHAnsi"/>
        </w:rPr>
        <w:t>tod</w:t>
      </w:r>
      <w:r w:rsidR="00A33BF6" w:rsidRPr="0097459F">
        <w:rPr>
          <w:rFonts w:cstheme="minorHAnsi"/>
        </w:rPr>
        <w:t>as</w:t>
      </w:r>
      <w:r w:rsidR="00ED357E" w:rsidRPr="0097459F">
        <w:rPr>
          <w:rFonts w:cstheme="minorHAnsi"/>
        </w:rPr>
        <w:t xml:space="preserve"> as suas</w:t>
      </w:r>
      <w:r w:rsidR="00A33BF6" w:rsidRPr="0097459F">
        <w:rPr>
          <w:rFonts w:cstheme="minorHAnsi"/>
        </w:rPr>
        <w:t xml:space="preserve"> classes de cotas</w:t>
      </w:r>
      <w:r w:rsidRPr="0097459F">
        <w:rPr>
          <w:rFonts w:cstheme="minorHAnsi"/>
        </w:rPr>
        <w:t>;</w:t>
      </w:r>
    </w:p>
    <w:p w14:paraId="6AB430C4" w14:textId="1EBD9982" w:rsidR="00403D3B" w:rsidRPr="0097459F" w:rsidRDefault="00403D3B" w:rsidP="00C20BBD">
      <w:pPr>
        <w:pStyle w:val="Normalalteradora"/>
        <w:rPr>
          <w:rFonts w:cstheme="minorHAnsi"/>
        </w:rPr>
      </w:pPr>
      <w:r w:rsidRPr="0097459F">
        <w:rPr>
          <w:rFonts w:cstheme="minorHAnsi"/>
        </w:rPr>
        <w:t>I</w:t>
      </w:r>
      <w:r w:rsidR="000B5C69" w:rsidRPr="0097459F">
        <w:rPr>
          <w:rFonts w:cstheme="minorHAnsi"/>
        </w:rPr>
        <w:t>I</w:t>
      </w:r>
      <w:r w:rsidRPr="0097459F">
        <w:rPr>
          <w:rFonts w:cstheme="minorHAnsi"/>
        </w:rPr>
        <w:t xml:space="preserve"> </w:t>
      </w:r>
      <w:r w:rsidR="00146F39" w:rsidRPr="0097459F">
        <w:rPr>
          <w:rFonts w:cstheme="minorHAnsi"/>
        </w:rPr>
        <w:t>–</w:t>
      </w:r>
      <w:r w:rsidRPr="0097459F">
        <w:rPr>
          <w:rFonts w:cstheme="minorHAnsi"/>
        </w:rPr>
        <w:t xml:space="preserve"> as</w:t>
      </w:r>
      <w:r w:rsidR="00146F39" w:rsidRPr="0097459F">
        <w:rPr>
          <w:rFonts w:cstheme="minorHAnsi"/>
        </w:rPr>
        <w:t xml:space="preserve"> </w:t>
      </w:r>
      <w:r w:rsidRPr="0097459F">
        <w:rPr>
          <w:rFonts w:cstheme="minorHAnsi"/>
        </w:rPr>
        <w:t xml:space="preserve">referências </w:t>
      </w:r>
      <w:r w:rsidR="00007E56" w:rsidRPr="0097459F">
        <w:rPr>
          <w:rFonts w:cstheme="minorHAnsi"/>
        </w:rPr>
        <w:t>a</w:t>
      </w:r>
      <w:r w:rsidRPr="0097459F">
        <w:rPr>
          <w:rFonts w:cstheme="minorHAnsi"/>
        </w:rPr>
        <w:t xml:space="preserve"> </w:t>
      </w:r>
      <w:r w:rsidR="000B5C69" w:rsidRPr="0097459F">
        <w:rPr>
          <w:rFonts w:cstheme="minorHAnsi"/>
        </w:rPr>
        <w:t>“</w:t>
      </w:r>
      <w:r w:rsidRPr="0097459F">
        <w:rPr>
          <w:rFonts w:cstheme="minorHAnsi"/>
        </w:rPr>
        <w:t>classe</w:t>
      </w:r>
      <w:r w:rsidR="000B5C69" w:rsidRPr="0097459F">
        <w:rPr>
          <w:rFonts w:cstheme="minorHAnsi"/>
        </w:rPr>
        <w:t>”</w:t>
      </w:r>
      <w:r w:rsidRPr="0097459F">
        <w:rPr>
          <w:rFonts w:cstheme="minorHAnsi"/>
        </w:rPr>
        <w:t xml:space="preserve"> e </w:t>
      </w:r>
      <w:r w:rsidR="00007E56" w:rsidRPr="0097459F">
        <w:rPr>
          <w:rFonts w:cstheme="minorHAnsi"/>
        </w:rPr>
        <w:t>a</w:t>
      </w:r>
      <w:r w:rsidRPr="0097459F">
        <w:rPr>
          <w:rFonts w:cstheme="minorHAnsi"/>
        </w:rPr>
        <w:t xml:space="preserve"> </w:t>
      </w:r>
      <w:r w:rsidR="00007E56" w:rsidRPr="0097459F">
        <w:rPr>
          <w:rFonts w:cstheme="minorHAnsi"/>
        </w:rPr>
        <w:t>“</w:t>
      </w:r>
      <w:r w:rsidRPr="0097459F">
        <w:rPr>
          <w:rFonts w:cstheme="minorHAnsi"/>
        </w:rPr>
        <w:t>classe de cotas</w:t>
      </w:r>
      <w:r w:rsidR="000B5C69" w:rsidRPr="0097459F">
        <w:rPr>
          <w:rFonts w:cstheme="minorHAnsi"/>
        </w:rPr>
        <w:t>”</w:t>
      </w:r>
      <w:r w:rsidRPr="0097459F">
        <w:rPr>
          <w:rFonts w:cstheme="minorHAnsi"/>
        </w:rPr>
        <w:t xml:space="preserve"> alcançam os fundos de investimento que emitem cotas em classe única; e </w:t>
      </w:r>
    </w:p>
    <w:p w14:paraId="0D1A5A4A" w14:textId="6629A28D" w:rsidR="00403D3B" w:rsidRPr="0097459F" w:rsidRDefault="00403D3B" w:rsidP="00C20BBD">
      <w:pPr>
        <w:pStyle w:val="Normalalteradora"/>
        <w:rPr>
          <w:rFonts w:cstheme="minorHAnsi"/>
        </w:rPr>
      </w:pPr>
      <w:r w:rsidRPr="0097459F">
        <w:rPr>
          <w:rFonts w:cstheme="minorHAnsi"/>
        </w:rPr>
        <w:t>I</w:t>
      </w:r>
      <w:r w:rsidR="000B5C69" w:rsidRPr="0097459F">
        <w:rPr>
          <w:rFonts w:cstheme="minorHAnsi"/>
        </w:rPr>
        <w:t>I</w:t>
      </w:r>
      <w:r w:rsidRPr="0097459F">
        <w:rPr>
          <w:rFonts w:cstheme="minorHAnsi"/>
        </w:rPr>
        <w:t xml:space="preserve">I </w:t>
      </w:r>
      <w:r w:rsidR="00146F39" w:rsidRPr="0097459F">
        <w:rPr>
          <w:rFonts w:cstheme="minorHAnsi"/>
        </w:rPr>
        <w:t>–</w:t>
      </w:r>
      <w:r w:rsidRPr="0097459F">
        <w:rPr>
          <w:rFonts w:cstheme="minorHAnsi"/>
        </w:rPr>
        <w:t xml:space="preserve"> as</w:t>
      </w:r>
      <w:r w:rsidR="00146F39" w:rsidRPr="0097459F">
        <w:rPr>
          <w:rFonts w:cstheme="minorHAnsi"/>
        </w:rPr>
        <w:t xml:space="preserve"> </w:t>
      </w:r>
      <w:r w:rsidRPr="0097459F">
        <w:rPr>
          <w:rFonts w:cstheme="minorHAnsi"/>
        </w:rPr>
        <w:t xml:space="preserve">referências a </w:t>
      </w:r>
      <w:r w:rsidR="000B5C69" w:rsidRPr="0097459F">
        <w:rPr>
          <w:rFonts w:cstheme="minorHAnsi"/>
        </w:rPr>
        <w:t>“</w:t>
      </w:r>
      <w:r w:rsidRPr="0097459F">
        <w:rPr>
          <w:rFonts w:cstheme="minorHAnsi"/>
        </w:rPr>
        <w:t>regulamento</w:t>
      </w:r>
      <w:r w:rsidR="000B5C69" w:rsidRPr="0097459F">
        <w:rPr>
          <w:rFonts w:cstheme="minorHAnsi"/>
        </w:rPr>
        <w:t>”</w:t>
      </w:r>
      <w:r w:rsidRPr="0097459F">
        <w:rPr>
          <w:rFonts w:cstheme="minorHAnsi"/>
        </w:rPr>
        <w:t xml:space="preserve"> e a </w:t>
      </w:r>
      <w:r w:rsidR="000B5C69" w:rsidRPr="0097459F">
        <w:rPr>
          <w:rFonts w:cstheme="minorHAnsi"/>
        </w:rPr>
        <w:t>“</w:t>
      </w:r>
      <w:r w:rsidRPr="0097459F">
        <w:rPr>
          <w:rFonts w:cstheme="minorHAnsi"/>
        </w:rPr>
        <w:t>regulamento do fundo</w:t>
      </w:r>
      <w:r w:rsidR="000B5C69" w:rsidRPr="0097459F">
        <w:rPr>
          <w:rFonts w:cstheme="minorHAnsi"/>
        </w:rPr>
        <w:t>”</w:t>
      </w:r>
      <w:r w:rsidRPr="0097459F">
        <w:rPr>
          <w:rFonts w:cstheme="minorHAnsi"/>
        </w:rPr>
        <w:t xml:space="preserve"> alcançam</w:t>
      </w:r>
      <w:r w:rsidR="00D5554A" w:rsidRPr="0097459F">
        <w:rPr>
          <w:rFonts w:cstheme="minorHAnsi"/>
        </w:rPr>
        <w:t xml:space="preserve"> </w:t>
      </w:r>
      <w:r w:rsidRPr="0097459F">
        <w:rPr>
          <w:rFonts w:cstheme="minorHAnsi"/>
        </w:rPr>
        <w:t>os anexos descritivos das classes de cotas e os ap</w:t>
      </w:r>
      <w:r w:rsidR="00D5554A" w:rsidRPr="0097459F">
        <w:rPr>
          <w:rFonts w:cstheme="minorHAnsi"/>
        </w:rPr>
        <w:t xml:space="preserve">êndices das </w:t>
      </w:r>
      <w:r w:rsidRPr="0097459F">
        <w:rPr>
          <w:rFonts w:cstheme="minorHAnsi"/>
        </w:rPr>
        <w:t>subclasses.</w:t>
      </w:r>
    </w:p>
    <w:p w14:paraId="2D40A2CE" w14:textId="77777777" w:rsidR="00893D49" w:rsidRPr="0097459F" w:rsidRDefault="00893D49" w:rsidP="00C20BBD">
      <w:pPr>
        <w:pStyle w:val="Captulo"/>
        <w:rPr>
          <w:rFonts w:asciiTheme="minorHAnsi" w:hAnsiTheme="minorHAnsi" w:cstheme="minorHAnsi"/>
        </w:rPr>
      </w:pPr>
      <w:bookmarkStart w:id="22" w:name="3"/>
      <w:bookmarkStart w:id="23" w:name="_Toc53594428"/>
      <w:bookmarkStart w:id="24" w:name="_Toc53595453"/>
      <w:bookmarkStart w:id="25" w:name="_Toc53594180"/>
      <w:bookmarkStart w:id="26" w:name="_Toc114818961"/>
      <w:bookmarkStart w:id="27" w:name="_Toc57836188"/>
      <w:bookmarkStart w:id="28" w:name="_Toc126226287"/>
      <w:bookmarkEnd w:id="20"/>
      <w:bookmarkEnd w:id="21"/>
      <w:bookmarkEnd w:id="22"/>
      <w:r w:rsidRPr="0097459F">
        <w:rPr>
          <w:rFonts w:asciiTheme="minorHAnsi" w:hAnsiTheme="minorHAnsi" w:cstheme="minorHAnsi"/>
        </w:rPr>
        <w:t>CAPÍTULO III – CARACTERÍSTICAS, CONSTITUIÇÃO E COMUNICAÇÃO</w:t>
      </w:r>
      <w:bookmarkEnd w:id="23"/>
      <w:bookmarkEnd w:id="24"/>
      <w:bookmarkEnd w:id="25"/>
      <w:bookmarkEnd w:id="26"/>
      <w:bookmarkEnd w:id="27"/>
      <w:bookmarkEnd w:id="28"/>
    </w:p>
    <w:p w14:paraId="23B2820B" w14:textId="77777777" w:rsidR="00893D49" w:rsidRPr="0097459F" w:rsidRDefault="00893D49" w:rsidP="00C20BBD">
      <w:pPr>
        <w:pStyle w:val="seo0"/>
        <w:rPr>
          <w:rFonts w:asciiTheme="minorHAnsi" w:hAnsiTheme="minorHAnsi"/>
        </w:rPr>
      </w:pPr>
      <w:bookmarkStart w:id="29" w:name="_Toc53594429"/>
      <w:bookmarkStart w:id="30" w:name="_Toc53595454"/>
      <w:bookmarkStart w:id="31" w:name="_Toc53594181"/>
      <w:bookmarkStart w:id="32" w:name="_Toc114818962"/>
      <w:bookmarkStart w:id="33" w:name="_Toc57836189"/>
      <w:bookmarkStart w:id="34" w:name="_Toc126226288"/>
      <w:r w:rsidRPr="0097459F">
        <w:rPr>
          <w:rFonts w:asciiTheme="minorHAnsi" w:hAnsiTheme="minorHAnsi"/>
        </w:rPr>
        <w:t>Seção I – Características Gerais</w:t>
      </w:r>
      <w:bookmarkEnd w:id="29"/>
      <w:bookmarkEnd w:id="30"/>
      <w:bookmarkEnd w:id="31"/>
      <w:bookmarkEnd w:id="32"/>
      <w:bookmarkEnd w:id="33"/>
      <w:bookmarkEnd w:id="34"/>
    </w:p>
    <w:p w14:paraId="1233A53C" w14:textId="69451FF8" w:rsidR="00893D49" w:rsidRPr="0097459F" w:rsidRDefault="00893D49" w:rsidP="00C20BBD">
      <w:pPr>
        <w:pStyle w:val="Normalalteradora"/>
        <w:rPr>
          <w:rFonts w:cstheme="minorHAnsi"/>
        </w:rPr>
      </w:pPr>
      <w:r w:rsidRPr="0097459F">
        <w:rPr>
          <w:rFonts w:cstheme="minorHAnsi"/>
        </w:rPr>
        <w:t xml:space="preserve">Art. </w:t>
      </w:r>
      <w:r w:rsidR="00312C1C" w:rsidRPr="0097459F">
        <w:rPr>
          <w:rFonts w:cstheme="minorHAnsi"/>
        </w:rPr>
        <w:t>4</w:t>
      </w:r>
      <w:r w:rsidRPr="0097459F">
        <w:rPr>
          <w:rFonts w:cstheme="minorHAnsi"/>
        </w:rPr>
        <w:t>º  O fundo de investimento é uma comunhão de recursos, constituído sob a forma de condomínio de natureza especial, destinado à aplicação em ativos financeiros, bens e direitos, de acordo com a regra específica aplicável à categoria do fundo.</w:t>
      </w:r>
    </w:p>
    <w:p w14:paraId="42C6E505" w14:textId="1087DDB2" w:rsidR="00893D49" w:rsidRPr="0097459F" w:rsidRDefault="00893D49" w:rsidP="00C20BBD">
      <w:pPr>
        <w:pStyle w:val="Normalalteradora"/>
        <w:rPr>
          <w:rFonts w:cstheme="minorHAnsi"/>
        </w:rPr>
      </w:pPr>
      <w:r w:rsidRPr="0097459F">
        <w:rPr>
          <w:rFonts w:cstheme="minorHAnsi"/>
        </w:rPr>
        <w:t xml:space="preserve">Art. </w:t>
      </w:r>
      <w:r w:rsidR="00312C1C" w:rsidRPr="0097459F">
        <w:rPr>
          <w:rFonts w:cstheme="minorHAnsi"/>
        </w:rPr>
        <w:t>5</w:t>
      </w:r>
      <w:r w:rsidRPr="0097459F">
        <w:rPr>
          <w:rFonts w:cstheme="minorHAnsi"/>
        </w:rPr>
        <w:t>º  O regulamento do fundo de investimento pode prever a existência de diferentes classes de cotas, com direitos e obrigações distintos, devendo o administrador constituir um patrimônio segregado para cada classe de cotas.</w:t>
      </w:r>
    </w:p>
    <w:p w14:paraId="70F6228B" w14:textId="63A8497D" w:rsidR="003B03EB" w:rsidRPr="0097459F" w:rsidRDefault="66656AB2" w:rsidP="00C20BBD">
      <w:pPr>
        <w:pStyle w:val="Normalalteradora"/>
      </w:pPr>
      <w:r w:rsidRPr="0097459F">
        <w:t>§</w:t>
      </w:r>
      <w:r w:rsidR="00F50172" w:rsidRPr="0097459F">
        <w:t xml:space="preserve"> </w:t>
      </w:r>
      <w:r w:rsidRPr="0097459F">
        <w:t>1º  Todas as classes devem pertencer à mesma categoria do fundo, não sendo</w:t>
      </w:r>
      <w:r w:rsidR="4EB9C067" w:rsidRPr="0097459F">
        <w:t xml:space="preserve"> </w:t>
      </w:r>
      <w:r w:rsidRPr="0097459F">
        <w:t xml:space="preserve">permitida a </w:t>
      </w:r>
      <w:r w:rsidR="00C075E8" w:rsidRPr="0097459F">
        <w:t xml:space="preserve">constituição </w:t>
      </w:r>
      <w:r w:rsidRPr="0097459F">
        <w:t xml:space="preserve">de classes de cotas que alterem o tratamento tributário </w:t>
      </w:r>
      <w:r w:rsidR="003B03EB" w:rsidRPr="0097459F">
        <w:t xml:space="preserve">aplicável em relação ao </w:t>
      </w:r>
      <w:r w:rsidRPr="0097459F">
        <w:t>fundo</w:t>
      </w:r>
      <w:r w:rsidR="656622FC" w:rsidRPr="0097459F">
        <w:t xml:space="preserve"> </w:t>
      </w:r>
      <w:r w:rsidR="43A139DC" w:rsidRPr="0097459F">
        <w:t>ou</w:t>
      </w:r>
      <w:r w:rsidR="4EB9C067" w:rsidRPr="0097459F">
        <w:t xml:space="preserve"> </w:t>
      </w:r>
      <w:r w:rsidR="003B03EB" w:rsidRPr="0097459F">
        <w:t xml:space="preserve">às </w:t>
      </w:r>
      <w:r w:rsidR="656622FC" w:rsidRPr="0097459F">
        <w:t>demais classes</w:t>
      </w:r>
      <w:r w:rsidR="003B03EB" w:rsidRPr="0097459F">
        <w:t xml:space="preserve"> existentes</w:t>
      </w:r>
      <w:r w:rsidRPr="0097459F">
        <w:t>.</w:t>
      </w:r>
    </w:p>
    <w:p w14:paraId="135248DB" w14:textId="39779FA9" w:rsidR="00893D49" w:rsidRPr="0097459F" w:rsidRDefault="00893D49" w:rsidP="00C20BBD">
      <w:pPr>
        <w:pStyle w:val="Normalalteradora"/>
        <w:rPr>
          <w:rFonts w:eastAsiaTheme="minorEastAsia"/>
        </w:rPr>
      </w:pPr>
      <w:bookmarkStart w:id="35" w:name="_Hlk47180541"/>
      <w:r w:rsidRPr="0097459F">
        <w:rPr>
          <w:rFonts w:eastAsiaTheme="minorEastAsia"/>
        </w:rPr>
        <w:t xml:space="preserve">§ 2º  Cada patrimônio segregado responde somente por obrigações </w:t>
      </w:r>
      <w:r w:rsidR="004E66B5" w:rsidRPr="0097459F">
        <w:rPr>
          <w:rFonts w:eastAsiaTheme="minorEastAsia"/>
        </w:rPr>
        <w:t xml:space="preserve">referentes </w:t>
      </w:r>
      <w:r w:rsidRPr="0097459F">
        <w:rPr>
          <w:rFonts w:eastAsiaTheme="minorEastAsia"/>
        </w:rPr>
        <w:t>à respectiva classe de cotas.</w:t>
      </w:r>
    </w:p>
    <w:bookmarkEnd w:id="35"/>
    <w:p w14:paraId="41BE6FD8" w14:textId="7983B1D1" w:rsidR="00B35BA2" w:rsidRPr="0097459F" w:rsidRDefault="00893D49" w:rsidP="00C20BBD">
      <w:pPr>
        <w:pStyle w:val="Normalalteradora"/>
        <w:rPr>
          <w:rFonts w:eastAsiaTheme="minorEastAsia"/>
        </w:rPr>
      </w:pPr>
      <w:r w:rsidRPr="0097459F">
        <w:rPr>
          <w:rFonts w:eastAsiaTheme="minorEastAsia"/>
        </w:rPr>
        <w:t xml:space="preserve">§ 3º  O fundo que não contar com diferentes classes de cotas </w:t>
      </w:r>
      <w:r w:rsidR="00273C0F" w:rsidRPr="0097459F">
        <w:rPr>
          <w:rFonts w:eastAsiaTheme="minorEastAsia"/>
        </w:rPr>
        <w:t xml:space="preserve">deve efetuar </w:t>
      </w:r>
      <w:r w:rsidRPr="0097459F">
        <w:rPr>
          <w:rFonts w:eastAsiaTheme="minorEastAsia"/>
        </w:rPr>
        <w:t>emissões de cotas em classe única, preservada a possibilidade de serem constituídas subclasses</w:t>
      </w:r>
      <w:r w:rsidR="00AD5192" w:rsidRPr="0097459F">
        <w:rPr>
          <w:rFonts w:eastAsiaTheme="minorEastAsia"/>
        </w:rPr>
        <w:t>.</w:t>
      </w:r>
    </w:p>
    <w:p w14:paraId="7FA6020F" w14:textId="0F7ADAD0" w:rsidR="00583911" w:rsidRPr="0097459F" w:rsidRDefault="00583911" w:rsidP="00C20BBD">
      <w:pPr>
        <w:pStyle w:val="Normalalteradora"/>
      </w:pPr>
      <w:r w:rsidRPr="0097459F">
        <w:rPr>
          <w:rFonts w:eastAsiaTheme="minorEastAsia"/>
        </w:rPr>
        <w:t xml:space="preserve">§ 4º </w:t>
      </w:r>
      <w:r w:rsidR="00A01063" w:rsidRPr="0097459F">
        <w:rPr>
          <w:rFonts w:eastAsiaTheme="minorEastAsia"/>
        </w:rPr>
        <w:t xml:space="preserve"> </w:t>
      </w:r>
      <w:r w:rsidRPr="0097459F">
        <w:rPr>
          <w:rFonts w:eastAsiaTheme="minorEastAsia"/>
        </w:rPr>
        <w:t xml:space="preserve">É </w:t>
      </w:r>
      <w:r w:rsidRPr="0097459F">
        <w:rPr>
          <w:rFonts w:cstheme="minorHAnsi"/>
        </w:rPr>
        <w:t>vedada a afetação ou a vinculação, a qualquer título, de parcela do patrimônio de uma classe de cotas a qualquer subclasse</w:t>
      </w:r>
      <w:r w:rsidR="008837E0" w:rsidRPr="0097459F">
        <w:rPr>
          <w:rFonts w:cstheme="minorHAnsi"/>
        </w:rPr>
        <w:t>.</w:t>
      </w:r>
    </w:p>
    <w:p w14:paraId="46F5C1D2" w14:textId="489ED52C" w:rsidR="00DA398B" w:rsidRPr="0097459F" w:rsidRDefault="00DA398B" w:rsidP="00C20BBD">
      <w:pPr>
        <w:pStyle w:val="Normalalteradora"/>
      </w:pPr>
      <w:r w:rsidRPr="0097459F">
        <w:rPr>
          <w:rFonts w:cstheme="minorHAnsi"/>
        </w:rPr>
        <w:lastRenderedPageBreak/>
        <w:t xml:space="preserve">§ </w:t>
      </w:r>
      <w:r w:rsidR="00C73D23" w:rsidRPr="0097459F">
        <w:rPr>
          <w:rFonts w:cstheme="minorHAnsi"/>
        </w:rPr>
        <w:t>5</w:t>
      </w:r>
      <w:r w:rsidRPr="0097459F">
        <w:rPr>
          <w:rFonts w:cstheme="minorHAnsi"/>
        </w:rPr>
        <w:t xml:space="preserve">º  </w:t>
      </w:r>
      <w:r w:rsidRPr="0097459F">
        <w:t>As subclasses de cotas podem ser diferenciadas exclusivamente por:</w:t>
      </w:r>
    </w:p>
    <w:p w14:paraId="0309A747" w14:textId="048525E0" w:rsidR="00DA398B" w:rsidRPr="0097459F" w:rsidRDefault="00DA398B" w:rsidP="00C20BBD">
      <w:pPr>
        <w:pStyle w:val="Normalalteradora"/>
      </w:pPr>
      <w:r w:rsidRPr="0097459F">
        <w:t>I – público-alvo;</w:t>
      </w:r>
    </w:p>
    <w:p w14:paraId="79386339" w14:textId="2F5F711B" w:rsidR="00DA398B" w:rsidRPr="0097459F" w:rsidRDefault="00DA398B" w:rsidP="00C20BBD">
      <w:pPr>
        <w:pStyle w:val="Normalalteradora"/>
      </w:pPr>
      <w:r w:rsidRPr="0097459F">
        <w:t xml:space="preserve">II </w:t>
      </w:r>
      <w:r w:rsidR="00B17F7B" w:rsidRPr="0097459F">
        <w:t>–</w:t>
      </w:r>
      <w:r w:rsidRPr="0097459F">
        <w:t xml:space="preserve"> prazos e condições de aplicação, amortização e resgate; e</w:t>
      </w:r>
    </w:p>
    <w:p w14:paraId="20F46345" w14:textId="77777777" w:rsidR="00C73D23" w:rsidRPr="0097459F" w:rsidRDefault="00604234" w:rsidP="00C20BBD">
      <w:pPr>
        <w:pStyle w:val="Normalalteradora"/>
      </w:pPr>
      <w:r w:rsidRPr="0097459F">
        <w:t>I</w:t>
      </w:r>
      <w:r w:rsidR="00DA398B" w:rsidRPr="0097459F">
        <w:t>II – taxas de administração, gestão, máxima de distribuição, ingresso e saída</w:t>
      </w:r>
      <w:r w:rsidR="00C73D23" w:rsidRPr="0097459F">
        <w:t>.</w:t>
      </w:r>
    </w:p>
    <w:p w14:paraId="21765827" w14:textId="50EBFE81" w:rsidR="00E471B0" w:rsidRPr="0097459F" w:rsidRDefault="00E471B0" w:rsidP="00C20BBD">
      <w:pPr>
        <w:pStyle w:val="Normalalteradora"/>
        <w:rPr>
          <w:rFonts w:cstheme="minorHAnsi"/>
        </w:rPr>
      </w:pPr>
      <w:r w:rsidRPr="0097459F">
        <w:rPr>
          <w:rFonts w:cstheme="minorHAnsi"/>
        </w:rPr>
        <w:t xml:space="preserve">§ </w:t>
      </w:r>
      <w:r w:rsidR="00C73D23" w:rsidRPr="0097459F">
        <w:rPr>
          <w:rFonts w:cstheme="minorHAnsi"/>
        </w:rPr>
        <w:t>6</w:t>
      </w:r>
      <w:r w:rsidRPr="0097459F">
        <w:rPr>
          <w:rFonts w:cstheme="minorHAnsi"/>
        </w:rPr>
        <w:t xml:space="preserve">º  As subclasses de classes restritas podem ser diferenciadas </w:t>
      </w:r>
      <w:r w:rsidR="00072EA2" w:rsidRPr="0097459F">
        <w:rPr>
          <w:rFonts w:cstheme="minorHAnsi"/>
        </w:rPr>
        <w:t xml:space="preserve">no regulamento </w:t>
      </w:r>
      <w:r w:rsidRPr="0097459F">
        <w:rPr>
          <w:rFonts w:cstheme="minorHAnsi"/>
        </w:rPr>
        <w:t xml:space="preserve">por </w:t>
      </w:r>
      <w:r w:rsidR="0051107D" w:rsidRPr="0097459F">
        <w:rPr>
          <w:rFonts w:cstheme="minorHAnsi"/>
        </w:rPr>
        <w:t xml:space="preserve">outros </w:t>
      </w:r>
      <w:r w:rsidR="00B073AF" w:rsidRPr="0097459F">
        <w:rPr>
          <w:rFonts w:cstheme="minorHAnsi"/>
        </w:rPr>
        <w:t xml:space="preserve">direitos econômicos e </w:t>
      </w:r>
      <w:r w:rsidRPr="0097459F">
        <w:rPr>
          <w:rFonts w:cstheme="minorHAnsi"/>
        </w:rPr>
        <w:t>direitos políticos.</w:t>
      </w:r>
    </w:p>
    <w:p w14:paraId="5DB0B41B" w14:textId="7F124236" w:rsidR="00893D49" w:rsidRPr="0097459F" w:rsidRDefault="4AF9F487" w:rsidP="00C20BBD">
      <w:pPr>
        <w:pStyle w:val="Normalalteradora"/>
      </w:pPr>
      <w:r w:rsidRPr="0097459F">
        <w:t xml:space="preserve">§ </w:t>
      </w:r>
      <w:r w:rsidR="4519D6B8" w:rsidRPr="0097459F">
        <w:t xml:space="preserve">7º </w:t>
      </w:r>
      <w:r w:rsidR="0008193C" w:rsidRPr="0097459F">
        <w:t xml:space="preserve"> </w:t>
      </w:r>
      <w:r w:rsidRPr="0097459F">
        <w:t>Denominam-se:</w:t>
      </w:r>
    </w:p>
    <w:p w14:paraId="5EFA599B" w14:textId="03806BC6" w:rsidR="00893D49" w:rsidRPr="0097459F" w:rsidRDefault="00893D49" w:rsidP="00C20BBD">
      <w:pPr>
        <w:pStyle w:val="Normalalteradora"/>
        <w:rPr>
          <w:rFonts w:cstheme="minorHAnsi"/>
        </w:rPr>
      </w:pPr>
      <w:r w:rsidRPr="0097459F">
        <w:rPr>
          <w:rFonts w:cstheme="minorHAnsi"/>
        </w:rPr>
        <w:t>I – aberta: a classe cujo regulamento admite que as cotas sejam resgatadas; e</w:t>
      </w:r>
    </w:p>
    <w:p w14:paraId="454C7B6E" w14:textId="77777777" w:rsidR="00893D49" w:rsidRPr="0097459F" w:rsidRDefault="00893D49" w:rsidP="00C20BBD">
      <w:pPr>
        <w:pStyle w:val="Normalalteradora"/>
        <w:rPr>
          <w:rFonts w:cstheme="minorHAnsi"/>
        </w:rPr>
      </w:pPr>
      <w:r w:rsidRPr="0097459F">
        <w:rPr>
          <w:rFonts w:cstheme="minorHAnsi"/>
        </w:rPr>
        <w:t>II – fechada: a classe cujo regulamento não admite o resgate de cotas.</w:t>
      </w:r>
    </w:p>
    <w:p w14:paraId="74EB1707" w14:textId="13B1BEB3" w:rsidR="00893D49" w:rsidRPr="0097459F" w:rsidRDefault="00893D49" w:rsidP="00C20BBD">
      <w:pPr>
        <w:pStyle w:val="Normalalteradora"/>
        <w:rPr>
          <w:rFonts w:cstheme="minorHAnsi"/>
        </w:rPr>
      </w:pPr>
      <w:r w:rsidRPr="0097459F">
        <w:rPr>
          <w:rFonts w:cstheme="minorHAnsi"/>
        </w:rPr>
        <w:t xml:space="preserve">Art. </w:t>
      </w:r>
      <w:r w:rsidR="0008193C" w:rsidRPr="0097459F">
        <w:rPr>
          <w:rFonts w:cstheme="minorHAnsi"/>
        </w:rPr>
        <w:t>6º</w:t>
      </w:r>
      <w:r w:rsidRPr="0097459F">
        <w:rPr>
          <w:rFonts w:cstheme="minorHAnsi"/>
        </w:rPr>
        <w:t xml:space="preserve">  Da denominação do fundo deve constar </w:t>
      </w:r>
      <w:r w:rsidR="00503340" w:rsidRPr="0097459F">
        <w:rPr>
          <w:rFonts w:cstheme="minorHAnsi"/>
        </w:rPr>
        <w:t xml:space="preserve">a expressão “Fundo de Investimento”, acrescida de </w:t>
      </w:r>
      <w:r w:rsidRPr="0097459F">
        <w:rPr>
          <w:rFonts w:cstheme="minorHAnsi"/>
        </w:rPr>
        <w:t>referência a sua categoria.</w:t>
      </w:r>
    </w:p>
    <w:p w14:paraId="79DF6AD0" w14:textId="5FC073D7" w:rsidR="00893D49" w:rsidRPr="0097459F" w:rsidRDefault="00893D49" w:rsidP="00C20BBD">
      <w:pPr>
        <w:pStyle w:val="Normalalteradora"/>
        <w:rPr>
          <w:rFonts w:cstheme="minorHAnsi"/>
        </w:rPr>
      </w:pPr>
      <w:r w:rsidRPr="0097459F">
        <w:rPr>
          <w:rFonts w:cstheme="minorHAnsi"/>
        </w:rPr>
        <w:t xml:space="preserve">§ 1º  Caso o fundo conte com diferentes classes de cotas, cada classe deve possuir denominação própria, </w:t>
      </w:r>
      <w:r w:rsidR="00305DE1" w:rsidRPr="0097459F">
        <w:rPr>
          <w:rFonts w:cstheme="minorHAnsi"/>
        </w:rPr>
        <w:t>acrescida de referência a sua categoria</w:t>
      </w:r>
      <w:r w:rsidRPr="0097459F">
        <w:rPr>
          <w:rFonts w:cstheme="minorHAnsi"/>
        </w:rPr>
        <w:t>.</w:t>
      </w:r>
    </w:p>
    <w:p w14:paraId="0B11B6C2" w14:textId="611D22AE" w:rsidR="00893D49" w:rsidRPr="0097459F" w:rsidRDefault="00893D49" w:rsidP="00C20BBD">
      <w:pPr>
        <w:pStyle w:val="Normalalteradora"/>
        <w:rPr>
          <w:rFonts w:cstheme="minorHAnsi"/>
        </w:rPr>
      </w:pPr>
      <w:r w:rsidRPr="0097459F">
        <w:rPr>
          <w:rFonts w:cstheme="minorHAnsi"/>
        </w:rPr>
        <w:t xml:space="preserve">§ 2º  À denominação do fundo e de suas classes não podem ser acrescidos termos ou expressões que induzam </w:t>
      </w:r>
      <w:r w:rsidR="00515C72" w:rsidRPr="0097459F">
        <w:rPr>
          <w:rFonts w:cstheme="minorHAnsi"/>
        </w:rPr>
        <w:t xml:space="preserve">à </w:t>
      </w:r>
      <w:r w:rsidRPr="0097459F">
        <w:rPr>
          <w:rFonts w:cstheme="minorHAnsi"/>
        </w:rPr>
        <w:t>interpretação indevida quanto a seus objetivos, políticas de investimentos, público-alvo ou eventual tratamento tributário específico a que estejam sujeitos o fundo</w:t>
      </w:r>
      <w:r w:rsidR="00EC19E5" w:rsidRPr="0097459F">
        <w:rPr>
          <w:rFonts w:cstheme="minorHAnsi"/>
        </w:rPr>
        <w:t>, as classes</w:t>
      </w:r>
      <w:r w:rsidRPr="0097459F">
        <w:rPr>
          <w:rFonts w:cstheme="minorHAnsi"/>
        </w:rPr>
        <w:t xml:space="preserve"> ou </w:t>
      </w:r>
      <w:r w:rsidR="00EC19E5" w:rsidRPr="0097459F">
        <w:rPr>
          <w:rFonts w:cstheme="minorHAnsi"/>
        </w:rPr>
        <w:t xml:space="preserve">os </w:t>
      </w:r>
      <w:r w:rsidRPr="0097459F">
        <w:rPr>
          <w:rFonts w:cstheme="minorHAnsi"/>
        </w:rPr>
        <w:t>cotistas.</w:t>
      </w:r>
    </w:p>
    <w:p w14:paraId="419CFA6E" w14:textId="707E3E23" w:rsidR="00893D49" w:rsidRPr="0097459F" w:rsidRDefault="4AF9F487" w:rsidP="00C20BBD">
      <w:pPr>
        <w:pStyle w:val="Normalalteradora"/>
      </w:pPr>
      <w:r w:rsidRPr="0097459F">
        <w:t xml:space="preserve">§ 3º  Caso o regulamento limite a responsabilidade dos cotistas ao valor por eles subscrito, à denominação </w:t>
      </w:r>
      <w:r w:rsidR="665BB298" w:rsidRPr="0097459F">
        <w:t xml:space="preserve">da classe </w:t>
      </w:r>
      <w:r w:rsidRPr="0097459F">
        <w:t xml:space="preserve">deve ser acrescido o sufixo “Responsabilidade </w:t>
      </w:r>
      <w:r w:rsidR="72280D2F" w:rsidRPr="0097459F">
        <w:t>Limitada</w:t>
      </w:r>
      <w:r w:rsidRPr="0097459F">
        <w:t>”.</w:t>
      </w:r>
    </w:p>
    <w:p w14:paraId="3E403284" w14:textId="5C0DB72A" w:rsidR="00893D49" w:rsidRPr="0097459F" w:rsidRDefault="00893D49" w:rsidP="00C20BBD">
      <w:pPr>
        <w:pStyle w:val="Seo"/>
        <w:rPr>
          <w:rFonts w:asciiTheme="minorHAnsi" w:hAnsiTheme="minorHAnsi"/>
        </w:rPr>
      </w:pPr>
      <w:bookmarkStart w:id="36" w:name="_Toc53594430"/>
      <w:bookmarkStart w:id="37" w:name="_Toc53595455"/>
      <w:bookmarkStart w:id="38" w:name="_Toc53594182"/>
      <w:bookmarkStart w:id="39" w:name="_Toc114818963"/>
      <w:bookmarkStart w:id="40" w:name="_Toc57836190"/>
      <w:bookmarkStart w:id="41" w:name="_Toc126226289"/>
      <w:r w:rsidRPr="0097459F">
        <w:rPr>
          <w:rFonts w:asciiTheme="minorHAnsi" w:hAnsiTheme="minorHAnsi"/>
        </w:rPr>
        <w:t>Seção II – Constituição e Registro</w:t>
      </w:r>
      <w:bookmarkEnd w:id="36"/>
      <w:bookmarkEnd w:id="37"/>
      <w:bookmarkEnd w:id="38"/>
      <w:bookmarkEnd w:id="39"/>
      <w:bookmarkEnd w:id="40"/>
      <w:bookmarkEnd w:id="41"/>
      <w:r w:rsidRPr="0097459F">
        <w:rPr>
          <w:rFonts w:asciiTheme="minorHAnsi" w:hAnsiTheme="minorHAnsi"/>
        </w:rPr>
        <w:t xml:space="preserve"> </w:t>
      </w:r>
    </w:p>
    <w:p w14:paraId="3FDEC2A7" w14:textId="1FDF3A78" w:rsidR="00893D49" w:rsidRPr="0097459F" w:rsidRDefault="00893D49" w:rsidP="00C20BBD">
      <w:pPr>
        <w:pStyle w:val="Normalalteradora"/>
        <w:rPr>
          <w:rFonts w:cstheme="minorHAnsi"/>
        </w:rPr>
      </w:pPr>
      <w:bookmarkStart w:id="42" w:name="_Hlk37229134"/>
      <w:r w:rsidRPr="0097459F">
        <w:rPr>
          <w:rFonts w:cstheme="minorHAnsi"/>
        </w:rPr>
        <w:t xml:space="preserve">Art. </w:t>
      </w:r>
      <w:r w:rsidR="0008193C" w:rsidRPr="0097459F">
        <w:rPr>
          <w:rFonts w:cstheme="minorHAnsi"/>
        </w:rPr>
        <w:t>7</w:t>
      </w:r>
      <w:r w:rsidRPr="0097459F">
        <w:rPr>
          <w:rFonts w:cstheme="minorHAnsi"/>
        </w:rPr>
        <w:t xml:space="preserve">º  O fundo de investimento </w:t>
      </w:r>
      <w:r w:rsidR="00273C0F" w:rsidRPr="0097459F">
        <w:rPr>
          <w:rFonts w:cstheme="minorHAnsi"/>
        </w:rPr>
        <w:t xml:space="preserve">deve ser </w:t>
      </w:r>
      <w:r w:rsidRPr="0097459F">
        <w:rPr>
          <w:rFonts w:cstheme="minorHAnsi"/>
        </w:rPr>
        <w:t>constituído por deliberação conjunta dos prestadores de serviços essenciais, a quem incumbe aprovar, no mesmo ato, o seu regulamento.</w:t>
      </w:r>
    </w:p>
    <w:bookmarkEnd w:id="42"/>
    <w:p w14:paraId="5FDE4C32" w14:textId="7DFE1502" w:rsidR="00893D49" w:rsidRPr="0097459F" w:rsidRDefault="00893D49" w:rsidP="00C20BBD">
      <w:pPr>
        <w:pStyle w:val="Normalalteradora"/>
        <w:rPr>
          <w:rFonts w:cstheme="minorHAnsi"/>
        </w:rPr>
      </w:pPr>
      <w:r w:rsidRPr="0097459F">
        <w:rPr>
          <w:rFonts w:cstheme="minorHAnsi"/>
        </w:rPr>
        <w:t xml:space="preserve">Art. </w:t>
      </w:r>
      <w:r w:rsidR="00AC6F0B" w:rsidRPr="0097459F">
        <w:rPr>
          <w:rFonts w:cstheme="minorHAnsi"/>
        </w:rPr>
        <w:t>8º</w:t>
      </w:r>
      <w:r w:rsidRPr="0097459F">
        <w:rPr>
          <w:rFonts w:cstheme="minorHAnsi"/>
        </w:rPr>
        <w:t xml:space="preserve">  O funcionamento do fundo depende do seu prévio registro na CVM.</w:t>
      </w:r>
    </w:p>
    <w:p w14:paraId="6E1DF799" w14:textId="1E4D5E34" w:rsidR="00893D49" w:rsidRPr="0097459F" w:rsidRDefault="00893D49" w:rsidP="00C20BBD">
      <w:pPr>
        <w:pStyle w:val="Normalalteradora"/>
        <w:rPr>
          <w:rFonts w:cstheme="minorHAnsi"/>
        </w:rPr>
      </w:pPr>
      <w:r w:rsidRPr="0097459F">
        <w:rPr>
          <w:rFonts w:cstheme="minorHAnsi"/>
        </w:rPr>
        <w:t xml:space="preserve">§ 1º  O registro de funcionamento </w:t>
      </w:r>
      <w:r w:rsidR="00AC6F0B" w:rsidRPr="0097459F">
        <w:rPr>
          <w:rFonts w:cstheme="minorHAnsi"/>
        </w:rPr>
        <w:t xml:space="preserve">é </w:t>
      </w:r>
      <w:r w:rsidRPr="0097459F">
        <w:rPr>
          <w:rFonts w:cstheme="minorHAnsi"/>
        </w:rPr>
        <w:t>automaticamente concedido em decorrência do envio de documentos e informações pelo administrador por meio de sistema eletrônico, conforme especificado no art. 10 e nas regras específicas de cada categoria de fundo.</w:t>
      </w:r>
    </w:p>
    <w:p w14:paraId="0EB095D5" w14:textId="2698860E" w:rsidR="00893D49" w:rsidRPr="0097459F" w:rsidRDefault="00893D49" w:rsidP="00C20BBD">
      <w:pPr>
        <w:pStyle w:val="Normalalteradora"/>
        <w:rPr>
          <w:rFonts w:cstheme="minorHAnsi"/>
        </w:rPr>
      </w:pPr>
      <w:r w:rsidRPr="0097459F">
        <w:rPr>
          <w:rFonts w:cstheme="minorHAnsi"/>
        </w:rPr>
        <w:lastRenderedPageBreak/>
        <w:t xml:space="preserve">§ 2º  Caso o fundo tenha mais de uma classe de cotas, cada classe deve obter seu </w:t>
      </w:r>
      <w:r w:rsidR="00515C72" w:rsidRPr="0097459F">
        <w:rPr>
          <w:rFonts w:cstheme="minorHAnsi"/>
        </w:rPr>
        <w:t xml:space="preserve">próprio </w:t>
      </w:r>
      <w:r w:rsidRPr="0097459F">
        <w:rPr>
          <w:rFonts w:cstheme="minorHAnsi"/>
        </w:rPr>
        <w:t xml:space="preserve">registro de funcionamento, o qual pode ser requerido à CVM </w:t>
      </w:r>
      <w:r w:rsidR="00EC19E5" w:rsidRPr="0097459F">
        <w:rPr>
          <w:rFonts w:cstheme="minorHAnsi"/>
        </w:rPr>
        <w:t xml:space="preserve">concomitantemente ou </w:t>
      </w:r>
      <w:r w:rsidRPr="0097459F">
        <w:rPr>
          <w:rFonts w:cstheme="minorHAnsi"/>
        </w:rPr>
        <w:t>após a obtenção do registro do fundo.</w:t>
      </w:r>
    </w:p>
    <w:p w14:paraId="2770B990" w14:textId="7219E3A2" w:rsidR="00893D49" w:rsidRPr="0097459F" w:rsidRDefault="00893D49" w:rsidP="00C20BBD">
      <w:pPr>
        <w:pStyle w:val="Normalalteradora"/>
        <w:rPr>
          <w:rFonts w:cstheme="minorHAnsi"/>
        </w:rPr>
      </w:pPr>
      <w:r w:rsidRPr="0097459F">
        <w:rPr>
          <w:rFonts w:cstheme="minorHAnsi"/>
        </w:rPr>
        <w:t>§ 3º  Após 90 (noventa) dias do início de atividades, a classe de cotas que mantiver, a qualquer tempo, patrimônio líquido diário inferior a R$ 1.000.000,00 (um milhão de reais) pelo período de 90 (noventa) dias consecutivos deve ser imediatamente liquidada ou incorporada a outra classe de cotas pelo administrador.</w:t>
      </w:r>
    </w:p>
    <w:p w14:paraId="2A8B9118" w14:textId="7D6899EF" w:rsidR="00893D49" w:rsidRPr="0097459F" w:rsidRDefault="00893D49" w:rsidP="00C20BBD">
      <w:pPr>
        <w:pStyle w:val="Normalalteradora"/>
        <w:rPr>
          <w:rFonts w:cstheme="minorHAnsi"/>
        </w:rPr>
      </w:pPr>
      <w:r w:rsidRPr="0097459F">
        <w:rPr>
          <w:rFonts w:cstheme="minorHAnsi"/>
        </w:rPr>
        <w:t xml:space="preserve">§ 4º  </w:t>
      </w:r>
      <w:r w:rsidR="007B42B5" w:rsidRPr="0097459F">
        <w:rPr>
          <w:rFonts w:cstheme="minorHAnsi"/>
        </w:rPr>
        <w:t xml:space="preserve">Na </w:t>
      </w:r>
      <w:r w:rsidRPr="0097459F">
        <w:rPr>
          <w:rFonts w:cstheme="minorHAnsi"/>
        </w:rPr>
        <w:t>hipótese de o administrador não adotar as medidas dispostas no</w:t>
      </w:r>
      <w:r w:rsidRPr="0097459F">
        <w:rPr>
          <w:rFonts w:cstheme="minorHAnsi"/>
          <w:bCs/>
        </w:rPr>
        <w:t xml:space="preserve"> § 3º</w:t>
      </w:r>
      <w:r w:rsidR="007B42B5" w:rsidRPr="0097459F">
        <w:rPr>
          <w:rFonts w:cstheme="minorHAnsi"/>
          <w:bCs/>
        </w:rPr>
        <w:t xml:space="preserve">, </w:t>
      </w:r>
      <w:r w:rsidR="007B42B5" w:rsidRPr="0097459F">
        <w:rPr>
          <w:rFonts w:cstheme="minorHAnsi"/>
        </w:rPr>
        <w:t>a Superintendência competente pode cancelar o registro de funcionamento da classe de cotas</w:t>
      </w:r>
      <w:r w:rsidRPr="0097459F">
        <w:rPr>
          <w:rFonts w:cstheme="minorHAnsi"/>
        </w:rPr>
        <w:t>.</w:t>
      </w:r>
    </w:p>
    <w:p w14:paraId="52F2C4ED" w14:textId="3AB97D0A" w:rsidR="00F50735" w:rsidRPr="0097459F" w:rsidRDefault="00F50735" w:rsidP="00C20BBD">
      <w:pPr>
        <w:pStyle w:val="Normalalteradora"/>
        <w:rPr>
          <w:rFonts w:cstheme="minorHAnsi"/>
        </w:rPr>
      </w:pPr>
      <w:r w:rsidRPr="0097459F">
        <w:rPr>
          <w:rFonts w:cstheme="minorHAnsi"/>
        </w:rPr>
        <w:t>§ 5º  A Superintendência competente pode dispensar a liquidação ou incorporação da classe de cotas referidas no § 3º, desde que:</w:t>
      </w:r>
    </w:p>
    <w:p w14:paraId="4679A56B" w14:textId="5B495532" w:rsidR="00F50735" w:rsidRPr="0097459F" w:rsidRDefault="00F50735" w:rsidP="00C20BBD">
      <w:pPr>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 </w:t>
      </w:r>
      <w:r w:rsidR="00FA3DA0" w:rsidRPr="0097459F">
        <w:rPr>
          <w:rFonts w:asciiTheme="minorHAnsi" w:eastAsia="Times New Roman" w:hAnsiTheme="minorHAnsi" w:cstheme="minorHAnsi"/>
          <w:sz w:val="24"/>
          <w:szCs w:val="24"/>
          <w:lang w:eastAsia="pt-BR"/>
        </w:rPr>
        <w:t>–</w:t>
      </w:r>
      <w:r w:rsidRPr="0097459F">
        <w:rPr>
          <w:rFonts w:asciiTheme="minorHAnsi" w:eastAsia="Times New Roman" w:hAnsiTheme="minorHAnsi" w:cstheme="minorHAnsi"/>
          <w:sz w:val="24"/>
          <w:szCs w:val="24"/>
          <w:lang w:eastAsia="pt-BR"/>
        </w:rPr>
        <w:t xml:space="preserve"> a</w:t>
      </w:r>
      <w:r w:rsidR="00FA3DA0" w:rsidRPr="0097459F">
        <w:rPr>
          <w:rFonts w:asciiTheme="minorHAnsi" w:eastAsia="Times New Roman" w:hAnsiTheme="minorHAnsi" w:cstheme="minorHAnsi"/>
          <w:sz w:val="24"/>
          <w:szCs w:val="24"/>
          <w:lang w:eastAsia="pt-BR"/>
        </w:rPr>
        <w:t xml:space="preserve"> </w:t>
      </w:r>
      <w:r w:rsidRPr="0097459F">
        <w:rPr>
          <w:rFonts w:asciiTheme="minorHAnsi" w:eastAsia="Times New Roman" w:hAnsiTheme="minorHAnsi" w:cstheme="minorHAnsi"/>
          <w:sz w:val="24"/>
          <w:szCs w:val="24"/>
          <w:lang w:eastAsia="pt-BR"/>
        </w:rPr>
        <w:t xml:space="preserve">dispensa seja objeto de pedido circunstanciado </w:t>
      </w:r>
      <w:r w:rsidR="001E3B2A" w:rsidRPr="0097459F">
        <w:rPr>
          <w:rFonts w:asciiTheme="minorHAnsi" w:eastAsia="Times New Roman" w:hAnsiTheme="minorHAnsi" w:cstheme="minorHAnsi"/>
          <w:sz w:val="24"/>
          <w:szCs w:val="24"/>
          <w:lang w:eastAsia="pt-BR"/>
        </w:rPr>
        <w:t xml:space="preserve">de </w:t>
      </w:r>
      <w:r w:rsidRPr="0097459F">
        <w:rPr>
          <w:rFonts w:asciiTheme="minorHAnsi" w:eastAsia="Times New Roman" w:hAnsiTheme="minorHAnsi" w:cstheme="minorHAnsi"/>
          <w:sz w:val="24"/>
          <w:szCs w:val="24"/>
          <w:lang w:eastAsia="pt-BR"/>
        </w:rPr>
        <w:t xml:space="preserve">prestador de serviço </w:t>
      </w:r>
      <w:r w:rsidR="001E3B2A" w:rsidRPr="0097459F">
        <w:rPr>
          <w:rFonts w:asciiTheme="minorHAnsi" w:eastAsia="Times New Roman" w:hAnsiTheme="minorHAnsi" w:cstheme="minorHAnsi"/>
          <w:sz w:val="24"/>
          <w:szCs w:val="24"/>
          <w:lang w:eastAsia="pt-BR"/>
        </w:rPr>
        <w:t>essencial</w:t>
      </w:r>
      <w:r w:rsidRPr="0097459F">
        <w:rPr>
          <w:rFonts w:asciiTheme="minorHAnsi" w:eastAsia="Times New Roman" w:hAnsiTheme="minorHAnsi" w:cstheme="minorHAnsi"/>
          <w:sz w:val="24"/>
          <w:szCs w:val="24"/>
          <w:lang w:eastAsia="pt-BR"/>
        </w:rPr>
        <w:t>;</w:t>
      </w:r>
    </w:p>
    <w:p w14:paraId="43CBD43C" w14:textId="383599F6" w:rsidR="00F50735" w:rsidRPr="0097459F" w:rsidRDefault="00F50735" w:rsidP="00C20BBD">
      <w:pPr>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II </w:t>
      </w:r>
      <w:r w:rsidR="00FA3DA0" w:rsidRPr="0097459F">
        <w:rPr>
          <w:rFonts w:asciiTheme="minorHAnsi" w:eastAsia="Times New Roman" w:hAnsiTheme="minorHAnsi" w:cstheme="minorHAnsi"/>
          <w:sz w:val="24"/>
          <w:szCs w:val="24"/>
          <w:lang w:eastAsia="pt-BR"/>
        </w:rPr>
        <w:t>–</w:t>
      </w:r>
      <w:r w:rsidRPr="0097459F">
        <w:rPr>
          <w:rFonts w:asciiTheme="minorHAnsi" w:eastAsia="Times New Roman" w:hAnsiTheme="minorHAnsi" w:cstheme="minorHAnsi"/>
          <w:sz w:val="24"/>
          <w:szCs w:val="24"/>
          <w:lang w:eastAsia="pt-BR"/>
        </w:rPr>
        <w:t xml:space="preserve"> a dispensa seja aprovada pela </w:t>
      </w:r>
      <w:r w:rsidR="0038373E" w:rsidRPr="0097459F">
        <w:rPr>
          <w:rFonts w:asciiTheme="minorHAnsi" w:eastAsia="Times New Roman" w:hAnsiTheme="minorHAnsi" w:cstheme="minorHAnsi"/>
          <w:sz w:val="24"/>
          <w:szCs w:val="24"/>
          <w:lang w:eastAsia="pt-BR"/>
        </w:rPr>
        <w:t>maioria simples</w:t>
      </w:r>
      <w:r w:rsidRPr="0097459F">
        <w:rPr>
          <w:rFonts w:asciiTheme="minorHAnsi" w:eastAsia="Times New Roman" w:hAnsiTheme="minorHAnsi" w:cstheme="minorHAnsi"/>
          <w:sz w:val="24"/>
          <w:szCs w:val="24"/>
          <w:lang w:eastAsia="pt-BR"/>
        </w:rPr>
        <w:t xml:space="preserve"> dos cotistas </w:t>
      </w:r>
      <w:r w:rsidR="0038373E" w:rsidRPr="0097459F">
        <w:rPr>
          <w:rFonts w:asciiTheme="minorHAnsi" w:eastAsia="Times New Roman" w:hAnsiTheme="minorHAnsi" w:cstheme="minorHAnsi"/>
          <w:sz w:val="24"/>
          <w:szCs w:val="24"/>
          <w:lang w:eastAsia="pt-BR"/>
        </w:rPr>
        <w:t>presentes</w:t>
      </w:r>
      <w:r w:rsidRPr="0097459F">
        <w:rPr>
          <w:rFonts w:asciiTheme="minorHAnsi" w:eastAsia="Times New Roman" w:hAnsiTheme="minorHAnsi" w:cstheme="minorHAnsi"/>
          <w:sz w:val="24"/>
          <w:szCs w:val="24"/>
          <w:lang w:eastAsia="pt-BR"/>
        </w:rPr>
        <w:t xml:space="preserve"> em assembleia;</w:t>
      </w:r>
    </w:p>
    <w:p w14:paraId="695BB1E3" w14:textId="31A7F7F8" w:rsidR="00F50735" w:rsidRPr="0097459F" w:rsidRDefault="00F50735" w:rsidP="00C20BBD">
      <w:pPr>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III </w:t>
      </w:r>
      <w:r w:rsidR="00FA3DA0" w:rsidRPr="0097459F">
        <w:rPr>
          <w:rFonts w:asciiTheme="minorHAnsi" w:eastAsia="Times New Roman" w:hAnsiTheme="minorHAnsi" w:cstheme="minorHAnsi"/>
          <w:sz w:val="24"/>
          <w:szCs w:val="24"/>
          <w:lang w:eastAsia="pt-BR"/>
        </w:rPr>
        <w:t>–</w:t>
      </w:r>
      <w:r w:rsidRPr="0097459F">
        <w:rPr>
          <w:rFonts w:asciiTheme="minorHAnsi" w:eastAsia="Times New Roman" w:hAnsiTheme="minorHAnsi" w:cstheme="minorHAnsi"/>
          <w:sz w:val="24"/>
          <w:szCs w:val="24"/>
          <w:lang w:eastAsia="pt-BR"/>
        </w:rPr>
        <w:t xml:space="preserve"> ocorra comprovação de situação excepcional que impeça a liquidação de todos os ativos remanescentes na carteira</w:t>
      </w:r>
      <w:r w:rsidR="00D40B2C" w:rsidRPr="0097459F">
        <w:rPr>
          <w:rFonts w:asciiTheme="minorHAnsi" w:eastAsia="Times New Roman" w:hAnsiTheme="minorHAnsi" w:cstheme="minorHAnsi"/>
          <w:sz w:val="24"/>
          <w:szCs w:val="24"/>
          <w:lang w:eastAsia="pt-BR"/>
        </w:rPr>
        <w:t xml:space="preserve"> relativa à classe em questão</w:t>
      </w:r>
      <w:r w:rsidR="00FD01A8" w:rsidRPr="0097459F">
        <w:rPr>
          <w:rFonts w:asciiTheme="minorHAnsi" w:eastAsia="Times New Roman" w:hAnsiTheme="minorHAnsi" w:cstheme="minorHAnsi"/>
          <w:sz w:val="24"/>
          <w:szCs w:val="24"/>
          <w:lang w:eastAsia="pt-BR"/>
        </w:rPr>
        <w:t>; e</w:t>
      </w:r>
    </w:p>
    <w:p w14:paraId="0AA4BA42" w14:textId="6A69E246" w:rsidR="00FD01A8" w:rsidRPr="0097459F" w:rsidRDefault="00FD01A8" w:rsidP="00C20BBD">
      <w:pPr>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IV – as cotas da classe não sejam mais ofertadas publicamente.</w:t>
      </w:r>
    </w:p>
    <w:p w14:paraId="63A0D3AB" w14:textId="5E50AAE1" w:rsidR="00C73D23" w:rsidRPr="0097459F" w:rsidRDefault="00893D49" w:rsidP="00C20BBD">
      <w:pPr>
        <w:pStyle w:val="Normalalteradora"/>
        <w:rPr>
          <w:rFonts w:cstheme="minorHAnsi"/>
        </w:rPr>
      </w:pPr>
      <w:r w:rsidRPr="0097459F">
        <w:rPr>
          <w:rFonts w:cstheme="minorHAnsi"/>
        </w:rPr>
        <w:t xml:space="preserve">Art. </w:t>
      </w:r>
      <w:r w:rsidR="00AC6F0B" w:rsidRPr="0097459F">
        <w:rPr>
          <w:rFonts w:cstheme="minorHAnsi"/>
        </w:rPr>
        <w:t>9º</w:t>
      </w:r>
      <w:r w:rsidRPr="0097459F">
        <w:rPr>
          <w:rFonts w:cstheme="minorHAnsi"/>
        </w:rPr>
        <w:t xml:space="preserve">  </w:t>
      </w:r>
      <w:r w:rsidR="00660F44" w:rsidRPr="0097459F">
        <w:rPr>
          <w:rFonts w:cstheme="minorHAnsi"/>
        </w:rPr>
        <w:t>A Superintendência competente pode indeferir o pedido de</w:t>
      </w:r>
      <w:r w:rsidRPr="0097459F">
        <w:rPr>
          <w:rFonts w:cstheme="minorHAnsi"/>
        </w:rPr>
        <w:t xml:space="preserve"> registro de funcionamento </w:t>
      </w:r>
      <w:r w:rsidR="00660F44" w:rsidRPr="0097459F">
        <w:rPr>
          <w:rFonts w:cstheme="minorHAnsi"/>
        </w:rPr>
        <w:t xml:space="preserve">de </w:t>
      </w:r>
      <w:r w:rsidR="00C20E87" w:rsidRPr="0097459F">
        <w:rPr>
          <w:rFonts w:cstheme="minorHAnsi"/>
        </w:rPr>
        <w:t xml:space="preserve">fundo, </w:t>
      </w:r>
      <w:r w:rsidR="00670513" w:rsidRPr="0097459F">
        <w:rPr>
          <w:rFonts w:cstheme="minorHAnsi"/>
        </w:rPr>
        <w:t>classe</w:t>
      </w:r>
      <w:r w:rsidR="00660F44" w:rsidRPr="0097459F">
        <w:rPr>
          <w:rFonts w:cstheme="minorHAnsi"/>
        </w:rPr>
        <w:t xml:space="preserve"> </w:t>
      </w:r>
      <w:r w:rsidR="00C20E87" w:rsidRPr="0097459F">
        <w:rPr>
          <w:rFonts w:cstheme="minorHAnsi"/>
        </w:rPr>
        <w:t xml:space="preserve">e subclasse </w:t>
      </w:r>
      <w:r w:rsidR="00660F44" w:rsidRPr="0097459F">
        <w:rPr>
          <w:rFonts w:cstheme="minorHAnsi"/>
        </w:rPr>
        <w:t>de cotas</w:t>
      </w:r>
      <w:r w:rsidRPr="0097459F">
        <w:rPr>
          <w:rFonts w:cstheme="minorHAnsi"/>
        </w:rPr>
        <w:t xml:space="preserve"> cujo administrador esteja em atraso por mais de 60 (sessenta) dias no cumprimento dos prazos de entrega das informações periódicas previstas na regulamentação</w:t>
      </w:r>
      <w:r w:rsidR="00C20E87" w:rsidRPr="0097459F">
        <w:rPr>
          <w:rFonts w:cstheme="minorHAnsi"/>
        </w:rPr>
        <w:t xml:space="preserve"> de fundos de investimento</w:t>
      </w:r>
      <w:r w:rsidRPr="0097459F">
        <w:rPr>
          <w:rFonts w:cstheme="minorHAnsi"/>
        </w:rPr>
        <w:t>.</w:t>
      </w:r>
    </w:p>
    <w:p w14:paraId="74AB627E" w14:textId="5670872C" w:rsidR="00893D49" w:rsidRPr="0097459F" w:rsidRDefault="007F36DE" w:rsidP="00C20BBD">
      <w:pPr>
        <w:pStyle w:val="Normalalteradora"/>
        <w:rPr>
          <w:rFonts w:cstheme="minorHAnsi"/>
        </w:rPr>
      </w:pPr>
      <w:r w:rsidRPr="0097459F">
        <w:rPr>
          <w:rFonts w:cstheme="minorHAnsi"/>
        </w:rPr>
        <w:t>Parágrafo único.</w:t>
      </w:r>
      <w:r w:rsidR="00893D49" w:rsidRPr="0097459F">
        <w:rPr>
          <w:rFonts w:cstheme="minorHAnsi"/>
        </w:rPr>
        <w:t xml:space="preserve">  Na análise </w:t>
      </w:r>
      <w:r w:rsidRPr="0097459F">
        <w:rPr>
          <w:rFonts w:cstheme="minorHAnsi"/>
        </w:rPr>
        <w:t>da matéria prevista no</w:t>
      </w:r>
      <w:r w:rsidR="00893D49" w:rsidRPr="0097459F">
        <w:rPr>
          <w:rFonts w:cstheme="minorHAnsi"/>
        </w:rPr>
        <w:t xml:space="preserve"> </w:t>
      </w:r>
      <w:r w:rsidR="00893D49" w:rsidRPr="0097459F">
        <w:rPr>
          <w:rFonts w:cstheme="minorHAnsi"/>
          <w:b/>
        </w:rPr>
        <w:t>caput</w:t>
      </w:r>
      <w:r w:rsidR="00893D49" w:rsidRPr="0097459F">
        <w:rPr>
          <w:rFonts w:cstheme="minorHAnsi"/>
        </w:rPr>
        <w:t xml:space="preserve">, a </w:t>
      </w:r>
      <w:r w:rsidR="00670513" w:rsidRPr="0097459F">
        <w:rPr>
          <w:rFonts w:cstheme="minorHAnsi"/>
        </w:rPr>
        <w:t>Superintendência competente</w:t>
      </w:r>
      <w:r w:rsidR="00893D49" w:rsidRPr="0097459F">
        <w:rPr>
          <w:rFonts w:cstheme="minorHAnsi"/>
        </w:rPr>
        <w:t xml:space="preserve"> </w:t>
      </w:r>
      <w:r w:rsidR="00636C77" w:rsidRPr="0097459F">
        <w:rPr>
          <w:rFonts w:cstheme="minorHAnsi"/>
        </w:rPr>
        <w:t xml:space="preserve">deve </w:t>
      </w:r>
      <w:r w:rsidR="00893D49" w:rsidRPr="0097459F">
        <w:rPr>
          <w:rFonts w:cstheme="minorHAnsi"/>
        </w:rPr>
        <w:t xml:space="preserve">considerar, </w:t>
      </w:r>
      <w:r w:rsidR="00D40B2C" w:rsidRPr="0097459F">
        <w:rPr>
          <w:rFonts w:cstheme="minorHAnsi"/>
        </w:rPr>
        <w:t xml:space="preserve">entre </w:t>
      </w:r>
      <w:r w:rsidR="00893D49" w:rsidRPr="0097459F">
        <w:rPr>
          <w:rFonts w:cstheme="minorHAnsi"/>
        </w:rPr>
        <w:t>outros fatores:</w:t>
      </w:r>
    </w:p>
    <w:p w14:paraId="6DEE729C" w14:textId="5BA52395" w:rsidR="00893D49" w:rsidRPr="0097459F" w:rsidRDefault="00893D49" w:rsidP="00C20BBD">
      <w:pPr>
        <w:pStyle w:val="Normalalteradora"/>
        <w:rPr>
          <w:rFonts w:cstheme="minorHAnsi"/>
        </w:rPr>
      </w:pPr>
      <w:r w:rsidRPr="0097459F">
        <w:rPr>
          <w:rFonts w:cstheme="minorHAnsi"/>
        </w:rPr>
        <w:t xml:space="preserve">I – se houve alteração de prestador de serviço essencial após o início do atraso a que se refere o </w:t>
      </w:r>
      <w:r w:rsidR="00FE0BD7" w:rsidRPr="0097459F">
        <w:rPr>
          <w:rFonts w:cstheme="minorHAnsi"/>
          <w:b/>
        </w:rPr>
        <w:t>caput</w:t>
      </w:r>
      <w:r w:rsidRPr="0097459F">
        <w:rPr>
          <w:rFonts w:cstheme="minorHAnsi"/>
        </w:rPr>
        <w:t>;</w:t>
      </w:r>
    </w:p>
    <w:p w14:paraId="6FAFBEBC" w14:textId="1D81C40C" w:rsidR="00893D49" w:rsidRPr="0097459F" w:rsidRDefault="00893D49" w:rsidP="00C20BBD">
      <w:pPr>
        <w:pStyle w:val="Normalalteradora"/>
        <w:rPr>
          <w:rFonts w:cstheme="minorHAnsi"/>
        </w:rPr>
      </w:pPr>
      <w:r w:rsidRPr="0097459F">
        <w:rPr>
          <w:rFonts w:cstheme="minorHAnsi"/>
        </w:rPr>
        <w:t xml:space="preserve">II – se o atraso decorre de indisponibilidade de informações por parte de </w:t>
      </w:r>
      <w:r w:rsidR="00C20E87" w:rsidRPr="0097459F">
        <w:rPr>
          <w:rFonts w:cstheme="minorHAnsi"/>
        </w:rPr>
        <w:t>outros fundos</w:t>
      </w:r>
      <w:r w:rsidR="00F6762C" w:rsidRPr="0097459F">
        <w:rPr>
          <w:rFonts w:cstheme="minorHAnsi"/>
        </w:rPr>
        <w:t xml:space="preserve"> </w:t>
      </w:r>
      <w:r w:rsidRPr="0097459F">
        <w:rPr>
          <w:rFonts w:cstheme="minorHAnsi"/>
        </w:rPr>
        <w:t xml:space="preserve">ou </w:t>
      </w:r>
      <w:r w:rsidR="00F6762C" w:rsidRPr="0097459F">
        <w:rPr>
          <w:rFonts w:cstheme="minorHAnsi"/>
        </w:rPr>
        <w:t xml:space="preserve">outros </w:t>
      </w:r>
      <w:r w:rsidRPr="0097459F">
        <w:rPr>
          <w:rFonts w:cstheme="minorHAnsi"/>
        </w:rPr>
        <w:t xml:space="preserve">emissores de valores mobiliários nos quais </w:t>
      </w:r>
      <w:r w:rsidR="00F6762C" w:rsidRPr="0097459F">
        <w:rPr>
          <w:rFonts w:cstheme="minorHAnsi"/>
        </w:rPr>
        <w:t>a classe</w:t>
      </w:r>
      <w:r w:rsidRPr="0097459F">
        <w:rPr>
          <w:rFonts w:cstheme="minorHAnsi"/>
        </w:rPr>
        <w:t xml:space="preserve"> invista, sem que o administrador tenha dado causa a essa indisponibilidade ou tenha meios para saná-la; e</w:t>
      </w:r>
    </w:p>
    <w:p w14:paraId="44351A13" w14:textId="78DB7484" w:rsidR="00893D49" w:rsidRPr="0097459F" w:rsidRDefault="00893D49" w:rsidP="00C20BBD">
      <w:pPr>
        <w:pStyle w:val="Normalalteradora"/>
        <w:rPr>
          <w:rFonts w:cstheme="minorHAnsi"/>
        </w:rPr>
      </w:pPr>
      <w:r w:rsidRPr="0097459F">
        <w:rPr>
          <w:rFonts w:cstheme="minorHAnsi"/>
        </w:rPr>
        <w:lastRenderedPageBreak/>
        <w:t xml:space="preserve">III – a quantidade de </w:t>
      </w:r>
      <w:r w:rsidR="0038373E" w:rsidRPr="0097459F">
        <w:rPr>
          <w:rFonts w:cstheme="minorHAnsi"/>
        </w:rPr>
        <w:t xml:space="preserve">fundos </w:t>
      </w:r>
      <w:r w:rsidR="00F6762C" w:rsidRPr="0097459F">
        <w:rPr>
          <w:rFonts w:cstheme="minorHAnsi"/>
        </w:rPr>
        <w:t>administrad</w:t>
      </w:r>
      <w:r w:rsidR="0038373E" w:rsidRPr="0097459F">
        <w:rPr>
          <w:rFonts w:cstheme="minorHAnsi"/>
        </w:rPr>
        <w:t>o</w:t>
      </w:r>
      <w:r w:rsidR="00F6762C" w:rsidRPr="0097459F">
        <w:rPr>
          <w:rFonts w:cstheme="minorHAnsi"/>
        </w:rPr>
        <w:t xml:space="preserve">s </w:t>
      </w:r>
      <w:r w:rsidRPr="0097459F">
        <w:rPr>
          <w:rFonts w:cstheme="minorHAnsi"/>
        </w:rPr>
        <w:t>pelo requerente que tenham informações periódicas em atraso.</w:t>
      </w:r>
    </w:p>
    <w:p w14:paraId="69B9BAE3" w14:textId="77777777" w:rsidR="00893D49" w:rsidRPr="0097459F" w:rsidRDefault="00893D49" w:rsidP="00C20BBD">
      <w:pPr>
        <w:pStyle w:val="Normalalteradora"/>
        <w:rPr>
          <w:rFonts w:cstheme="minorHAnsi"/>
        </w:rPr>
      </w:pPr>
      <w:r w:rsidRPr="0097459F">
        <w:rPr>
          <w:rFonts w:cstheme="minorHAnsi"/>
        </w:rPr>
        <w:t xml:space="preserve">Art. 10.  O pedido de registro de funcionamento do fundo e, se for o caso, de cada classe de cotas, deve ser instruído com os seguintes documentos e informações: </w:t>
      </w:r>
    </w:p>
    <w:p w14:paraId="15437FE4" w14:textId="144D6E08" w:rsidR="00893D49" w:rsidRPr="0097459F" w:rsidRDefault="00893D49" w:rsidP="00C20BBD">
      <w:pPr>
        <w:pStyle w:val="Normalalteradora"/>
        <w:rPr>
          <w:rFonts w:cstheme="minorHAnsi"/>
        </w:rPr>
      </w:pPr>
      <w:r w:rsidRPr="0097459F">
        <w:rPr>
          <w:rFonts w:cstheme="minorHAnsi"/>
        </w:rPr>
        <w:t>I – regulamento do fundo e, se existirem diferentes classes de cotas, seus anexos</w:t>
      </w:r>
      <w:r w:rsidR="00F6762C" w:rsidRPr="0097459F">
        <w:rPr>
          <w:rFonts w:cstheme="minorHAnsi"/>
        </w:rPr>
        <w:t xml:space="preserve">, o que inclui </w:t>
      </w:r>
      <w:r w:rsidR="00AD05E0" w:rsidRPr="0097459F">
        <w:rPr>
          <w:rFonts w:cstheme="minorHAnsi"/>
        </w:rPr>
        <w:t>apêndices</w:t>
      </w:r>
      <w:r w:rsidR="00F6762C" w:rsidRPr="0097459F">
        <w:rPr>
          <w:rFonts w:cstheme="minorHAnsi"/>
        </w:rPr>
        <w:t xml:space="preserve"> </w:t>
      </w:r>
      <w:r w:rsidR="002639E8" w:rsidRPr="0097459F">
        <w:rPr>
          <w:rFonts w:cstheme="minorHAnsi"/>
        </w:rPr>
        <w:t xml:space="preserve">descritivos </w:t>
      </w:r>
      <w:r w:rsidR="00F6762C" w:rsidRPr="0097459F">
        <w:rPr>
          <w:rFonts w:cstheme="minorHAnsi"/>
        </w:rPr>
        <w:t>de subclasses, se for o caso</w:t>
      </w:r>
      <w:r w:rsidRPr="0097459F">
        <w:rPr>
          <w:rFonts w:cstheme="minorHAnsi"/>
        </w:rPr>
        <w:t>;</w:t>
      </w:r>
    </w:p>
    <w:p w14:paraId="598E171B" w14:textId="06230219" w:rsidR="00893D49" w:rsidRPr="0097459F" w:rsidRDefault="00893D49" w:rsidP="00C20BBD">
      <w:pPr>
        <w:pStyle w:val="Normalalteradora"/>
        <w:rPr>
          <w:rFonts w:cstheme="minorHAnsi"/>
        </w:rPr>
      </w:pPr>
      <w:r w:rsidRPr="0097459F">
        <w:rPr>
          <w:rFonts w:cstheme="minorHAnsi"/>
        </w:rPr>
        <w:t xml:space="preserve">II – </w:t>
      </w:r>
      <w:r w:rsidR="00F6762C" w:rsidRPr="0097459F">
        <w:rPr>
          <w:rFonts w:cstheme="minorHAnsi"/>
        </w:rPr>
        <w:t xml:space="preserve">instrumento de deliberação de que trata o art. </w:t>
      </w:r>
      <w:r w:rsidR="00B447CE" w:rsidRPr="0097459F">
        <w:rPr>
          <w:rFonts w:cstheme="minorHAnsi"/>
        </w:rPr>
        <w:t>7º</w:t>
      </w:r>
      <w:r w:rsidR="00F6762C" w:rsidRPr="0097459F">
        <w:rPr>
          <w:rFonts w:cstheme="minorHAnsi"/>
        </w:rPr>
        <w:t xml:space="preserve">, que deve incluir </w:t>
      </w:r>
      <w:r w:rsidR="00086B20" w:rsidRPr="0097459F">
        <w:rPr>
          <w:rFonts w:cstheme="minorHAnsi"/>
        </w:rPr>
        <w:t xml:space="preserve">declarações </w:t>
      </w:r>
      <w:r w:rsidRPr="0097459F">
        <w:rPr>
          <w:rFonts w:cstheme="minorHAnsi"/>
        </w:rPr>
        <w:t>dos prestadores de serviços essenciais de que o regulamento está plenamente aderente à legislação vigente;</w:t>
      </w:r>
    </w:p>
    <w:p w14:paraId="3B195960" w14:textId="6F6B8F77" w:rsidR="00893D49" w:rsidRPr="0097459F" w:rsidRDefault="00893D49" w:rsidP="00C20BBD">
      <w:pPr>
        <w:pStyle w:val="Normalalteradora"/>
        <w:rPr>
          <w:rFonts w:cstheme="minorHAnsi"/>
        </w:rPr>
      </w:pPr>
      <w:r w:rsidRPr="0097459F">
        <w:rPr>
          <w:rFonts w:cstheme="minorHAnsi"/>
        </w:rPr>
        <w:t xml:space="preserve">III – identificação dos prestadores de serviços contratados por cada prestador de serviço essencial em nome do fundo, informando resumidamente os serviços a serem prestados, </w:t>
      </w:r>
      <w:r w:rsidR="00A56D94" w:rsidRPr="0097459F">
        <w:rPr>
          <w:rFonts w:cstheme="minorHAnsi"/>
        </w:rPr>
        <w:t>as</w:t>
      </w:r>
      <w:r w:rsidR="00774EAC" w:rsidRPr="0097459F">
        <w:rPr>
          <w:rFonts w:cstheme="minorHAnsi"/>
        </w:rPr>
        <w:t xml:space="preserve"> </w:t>
      </w:r>
      <w:r w:rsidR="00A56D94" w:rsidRPr="0097459F">
        <w:rPr>
          <w:rFonts w:cstheme="minorHAnsi"/>
        </w:rPr>
        <w:t>classes</w:t>
      </w:r>
      <w:r w:rsidR="00774EAC" w:rsidRPr="0097459F">
        <w:rPr>
          <w:rFonts w:cstheme="minorHAnsi"/>
        </w:rPr>
        <w:t xml:space="preserve"> de cota que </w:t>
      </w:r>
      <w:r w:rsidR="00A56D94" w:rsidRPr="0097459F">
        <w:rPr>
          <w:rFonts w:cstheme="minorHAnsi"/>
        </w:rPr>
        <w:t>serão</w:t>
      </w:r>
      <w:r w:rsidR="00774EAC" w:rsidRPr="0097459F">
        <w:rPr>
          <w:rFonts w:cstheme="minorHAnsi"/>
        </w:rPr>
        <w:t xml:space="preserve"> </w:t>
      </w:r>
      <w:r w:rsidR="00A56D94" w:rsidRPr="0097459F">
        <w:rPr>
          <w:rFonts w:cstheme="minorHAnsi"/>
        </w:rPr>
        <w:t xml:space="preserve">servidas, </w:t>
      </w:r>
      <w:r w:rsidRPr="0097459F">
        <w:rPr>
          <w:rFonts w:cstheme="minorHAnsi"/>
        </w:rPr>
        <w:t>nome e CNPJ ou CPF, conforme o caso;</w:t>
      </w:r>
      <w:r w:rsidR="008500B6" w:rsidRPr="0097459F">
        <w:rPr>
          <w:rFonts w:cstheme="minorHAnsi"/>
        </w:rPr>
        <w:t xml:space="preserve"> e</w:t>
      </w:r>
    </w:p>
    <w:p w14:paraId="02015D22" w14:textId="7086F6A2" w:rsidR="00893D49" w:rsidRPr="0097459F" w:rsidRDefault="002574EE" w:rsidP="00C20BBD">
      <w:pPr>
        <w:pStyle w:val="Normalalteradora"/>
        <w:rPr>
          <w:rFonts w:cstheme="minorHAnsi"/>
        </w:rPr>
      </w:pPr>
      <w:r w:rsidRPr="0097459F">
        <w:rPr>
          <w:rFonts w:cstheme="minorHAnsi"/>
        </w:rPr>
        <w:t>I</w:t>
      </w:r>
      <w:r w:rsidR="00893D49" w:rsidRPr="0097459F">
        <w:rPr>
          <w:rFonts w:cstheme="minorHAnsi"/>
        </w:rPr>
        <w:t>V – no caso de classe fechada, patrimônio inicial mínimo.</w:t>
      </w:r>
    </w:p>
    <w:p w14:paraId="095E91C2" w14:textId="1312B896" w:rsidR="00893D49" w:rsidRPr="0097459F" w:rsidRDefault="00893D49" w:rsidP="00C20BBD">
      <w:pPr>
        <w:pStyle w:val="Normalalteradora"/>
        <w:rPr>
          <w:rFonts w:cstheme="minorHAnsi"/>
        </w:rPr>
      </w:pPr>
      <w:r w:rsidRPr="0097459F">
        <w:rPr>
          <w:rFonts w:cstheme="minorHAnsi"/>
        </w:rPr>
        <w:t xml:space="preserve">Parágrafo único.  A disponibilização do regulamento na página da CVM na </w:t>
      </w:r>
      <w:r w:rsidR="00C20E87" w:rsidRPr="0097459F">
        <w:rPr>
          <w:rFonts w:cstheme="minorHAnsi"/>
        </w:rPr>
        <w:t>rede mundial de computadores</w:t>
      </w:r>
      <w:r w:rsidRPr="0097459F">
        <w:rPr>
          <w:rFonts w:cstheme="minorHAnsi"/>
        </w:rPr>
        <w:t xml:space="preserve"> é condição suficiente para garantir a sua publicidade e a oponibilidade de efeitos em relação a terceiros.</w:t>
      </w:r>
    </w:p>
    <w:p w14:paraId="77131A41" w14:textId="66F96970" w:rsidR="00724477" w:rsidRPr="0097459F" w:rsidRDefault="00893D49" w:rsidP="00C20BBD">
      <w:pPr>
        <w:pStyle w:val="Normalalteradora"/>
        <w:rPr>
          <w:rFonts w:cstheme="minorHAnsi"/>
        </w:rPr>
      </w:pPr>
      <w:bookmarkStart w:id="43" w:name="_DV_M74"/>
      <w:bookmarkEnd w:id="43"/>
      <w:r w:rsidRPr="0097459F">
        <w:rPr>
          <w:rFonts w:cstheme="minorHAnsi"/>
        </w:rPr>
        <w:t xml:space="preserve">Art. 11.  A </w:t>
      </w:r>
      <w:r w:rsidR="00F42C23" w:rsidRPr="0097459F">
        <w:rPr>
          <w:rFonts w:cstheme="minorHAnsi"/>
        </w:rPr>
        <w:t>Superintendência competente</w:t>
      </w:r>
      <w:r w:rsidR="00A8428E" w:rsidRPr="0097459F">
        <w:rPr>
          <w:rFonts w:cstheme="minorHAnsi"/>
        </w:rPr>
        <w:t xml:space="preserve"> </w:t>
      </w:r>
      <w:r w:rsidR="007248E1" w:rsidRPr="0097459F">
        <w:rPr>
          <w:rFonts w:cstheme="minorHAnsi"/>
        </w:rPr>
        <w:t xml:space="preserve">deve </w:t>
      </w:r>
      <w:r w:rsidRPr="0097459F">
        <w:rPr>
          <w:rFonts w:cstheme="minorHAnsi"/>
        </w:rPr>
        <w:t>cancelar o registro de funcionamento:</w:t>
      </w:r>
    </w:p>
    <w:p w14:paraId="0FE6D25F" w14:textId="59C09BA9" w:rsidR="00000D94" w:rsidRPr="0097459F" w:rsidRDefault="00893D49" w:rsidP="00C20BBD">
      <w:pPr>
        <w:pStyle w:val="Normalalteradora"/>
        <w:rPr>
          <w:rFonts w:cstheme="minorHAnsi"/>
        </w:rPr>
      </w:pPr>
      <w:r w:rsidRPr="0097459F">
        <w:rPr>
          <w:rFonts w:cstheme="minorHAnsi"/>
        </w:rPr>
        <w:t xml:space="preserve">I – da classe aberta que não houver atendido ao disposto no § 3º do art. </w:t>
      </w:r>
      <w:r w:rsidR="004B5B01" w:rsidRPr="0097459F">
        <w:rPr>
          <w:rFonts w:cstheme="minorHAnsi"/>
        </w:rPr>
        <w:t>8º</w:t>
      </w:r>
      <w:r w:rsidRPr="0097459F">
        <w:rPr>
          <w:rFonts w:cstheme="minorHAnsi"/>
        </w:rPr>
        <w:t>;</w:t>
      </w:r>
      <w:r w:rsidR="001C77C6" w:rsidRPr="0097459F">
        <w:rPr>
          <w:rFonts w:cstheme="minorHAnsi"/>
        </w:rPr>
        <w:t xml:space="preserve"> e</w:t>
      </w:r>
    </w:p>
    <w:p w14:paraId="1AA4E47D" w14:textId="0352CE91" w:rsidR="00000D94" w:rsidRPr="0097459F" w:rsidRDefault="00893D49" w:rsidP="00C20BBD">
      <w:pPr>
        <w:pStyle w:val="Normalalteradora"/>
      </w:pPr>
      <w:r w:rsidRPr="0097459F">
        <w:t>II – da classe fechada, quando após o decurso do prazo de distribuição de cotas constitutivas da classe, não for subscrito o patrimônio inicial mínimo.</w:t>
      </w:r>
    </w:p>
    <w:p w14:paraId="59D2CCD8" w14:textId="6B51532A" w:rsidR="00893D49" w:rsidRPr="00330293" w:rsidRDefault="00893D49" w:rsidP="00424614">
      <w:pPr>
        <w:pStyle w:val="Seo"/>
      </w:pPr>
      <w:bookmarkStart w:id="44" w:name="_Toc53594431"/>
      <w:bookmarkStart w:id="45" w:name="_Toc53595456"/>
      <w:bookmarkStart w:id="46" w:name="_Toc53594183"/>
      <w:bookmarkStart w:id="47" w:name="_Toc57836191"/>
      <w:bookmarkStart w:id="48" w:name="_Toc126226290"/>
      <w:r w:rsidRPr="00330293">
        <w:t>Seção III – Comunicação</w:t>
      </w:r>
      <w:bookmarkEnd w:id="44"/>
      <w:bookmarkEnd w:id="45"/>
      <w:bookmarkEnd w:id="46"/>
      <w:bookmarkEnd w:id="47"/>
      <w:bookmarkEnd w:id="48"/>
    </w:p>
    <w:p w14:paraId="07095A56" w14:textId="5B40C48E" w:rsidR="00893D49" w:rsidRPr="0097459F" w:rsidRDefault="00893D49" w:rsidP="00C20BBD">
      <w:pPr>
        <w:pStyle w:val="Normalalteradora"/>
        <w:rPr>
          <w:rFonts w:cstheme="minorHAnsi"/>
        </w:rPr>
      </w:pPr>
      <w:r w:rsidRPr="0097459F">
        <w:rPr>
          <w:rFonts w:cstheme="minorHAnsi"/>
        </w:rPr>
        <w:t xml:space="preserve">Art. 12.  As informações ou documentos para os quais essa Resolução exija </w:t>
      </w:r>
      <w:r w:rsidR="00345E25" w:rsidRPr="0097459F">
        <w:rPr>
          <w:rFonts w:cstheme="minorHAnsi"/>
        </w:rPr>
        <w:t xml:space="preserve">“encaminhamento”, </w:t>
      </w:r>
      <w:r w:rsidRPr="0097459F">
        <w:rPr>
          <w:rFonts w:cstheme="minorHAnsi"/>
        </w:rPr>
        <w:t xml:space="preserve">“comunicação”, “acesso”, “envio”, “divulgação” ou “disponibilização” devem ser </w:t>
      </w:r>
      <w:r w:rsidR="00F70356" w:rsidRPr="0097459F">
        <w:rPr>
          <w:rFonts w:cstheme="minorHAnsi"/>
        </w:rPr>
        <w:t xml:space="preserve">passíveis de acesso </w:t>
      </w:r>
      <w:r w:rsidRPr="0097459F">
        <w:rPr>
          <w:rFonts w:cstheme="minorHAnsi"/>
        </w:rPr>
        <w:t xml:space="preserve">por meio eletrônico </w:t>
      </w:r>
      <w:r w:rsidR="00345E25" w:rsidRPr="0097459F">
        <w:rPr>
          <w:rFonts w:cstheme="minorHAnsi"/>
        </w:rPr>
        <w:t xml:space="preserve">pelos </w:t>
      </w:r>
      <w:r w:rsidRPr="0097459F">
        <w:rPr>
          <w:rFonts w:cstheme="minorHAnsi"/>
        </w:rPr>
        <w:t>cotistas</w:t>
      </w:r>
      <w:r w:rsidR="00345E25" w:rsidRPr="0097459F">
        <w:rPr>
          <w:rFonts w:cstheme="minorHAnsi"/>
        </w:rPr>
        <w:t xml:space="preserve"> e demais destinatários especificados nesta Resolução</w:t>
      </w:r>
      <w:r w:rsidRPr="0097459F">
        <w:rPr>
          <w:rFonts w:cstheme="minorHAnsi"/>
        </w:rPr>
        <w:t>.</w:t>
      </w:r>
    </w:p>
    <w:p w14:paraId="0CDB4460" w14:textId="2E0C9DDD" w:rsidR="00893D49" w:rsidRPr="0097459F" w:rsidRDefault="00893D49" w:rsidP="00C20BBD">
      <w:pPr>
        <w:pStyle w:val="Normalalteradora"/>
        <w:rPr>
          <w:rFonts w:cstheme="minorHAnsi"/>
        </w:rPr>
      </w:pPr>
      <w:r w:rsidRPr="0097459F">
        <w:rPr>
          <w:rFonts w:cstheme="minorHAnsi"/>
        </w:rPr>
        <w:t xml:space="preserve">§ 1º  A obrigação prevista no </w:t>
      </w:r>
      <w:r w:rsidRPr="0097459F">
        <w:rPr>
          <w:rFonts w:cstheme="minorHAnsi"/>
          <w:b/>
        </w:rPr>
        <w:t xml:space="preserve">caput </w:t>
      </w:r>
      <w:r w:rsidRPr="0097459F">
        <w:rPr>
          <w:rFonts w:cstheme="minorHAnsi"/>
        </w:rPr>
        <w:t xml:space="preserve">é considerada cumprida na data </w:t>
      </w:r>
      <w:r w:rsidR="006716EF" w:rsidRPr="0097459F">
        <w:rPr>
          <w:rFonts w:cstheme="minorHAnsi"/>
        </w:rPr>
        <w:t xml:space="preserve">em </w:t>
      </w:r>
      <w:r w:rsidR="00F70356" w:rsidRPr="0097459F">
        <w:rPr>
          <w:rFonts w:cstheme="minorHAnsi"/>
        </w:rPr>
        <w:t>que</w:t>
      </w:r>
      <w:r w:rsidR="006716EF" w:rsidRPr="0097459F">
        <w:rPr>
          <w:rFonts w:cstheme="minorHAnsi"/>
        </w:rPr>
        <w:t xml:space="preserve"> a informação ou documento</w:t>
      </w:r>
      <w:r w:rsidRPr="0097459F">
        <w:rPr>
          <w:rFonts w:cstheme="minorHAnsi"/>
        </w:rPr>
        <w:t xml:space="preserve"> </w:t>
      </w:r>
      <w:r w:rsidR="006716EF" w:rsidRPr="0097459F">
        <w:rPr>
          <w:rFonts w:cstheme="minorHAnsi"/>
        </w:rPr>
        <w:t>é</w:t>
      </w:r>
      <w:r w:rsidR="00C02A98" w:rsidRPr="0097459F">
        <w:rPr>
          <w:rFonts w:cstheme="minorHAnsi"/>
        </w:rPr>
        <w:t xml:space="preserve"> tornada acessível</w:t>
      </w:r>
      <w:r w:rsidR="006716EF" w:rsidRPr="0097459F">
        <w:rPr>
          <w:rFonts w:cstheme="minorHAnsi"/>
        </w:rPr>
        <w:t xml:space="preserve"> </w:t>
      </w:r>
      <w:r w:rsidR="00C02A98" w:rsidRPr="0097459F">
        <w:rPr>
          <w:rFonts w:cstheme="minorHAnsi"/>
        </w:rPr>
        <w:t xml:space="preserve">para os </w:t>
      </w:r>
      <w:r w:rsidRPr="0097459F">
        <w:rPr>
          <w:rFonts w:cstheme="minorHAnsi"/>
        </w:rPr>
        <w:t>cotistas.</w:t>
      </w:r>
    </w:p>
    <w:p w14:paraId="52DAD404" w14:textId="17753DB5" w:rsidR="00893D49" w:rsidRPr="0097459F" w:rsidRDefault="00893D49" w:rsidP="00C20BBD">
      <w:pPr>
        <w:pStyle w:val="Normalalteradora"/>
        <w:rPr>
          <w:rFonts w:cstheme="minorHAnsi"/>
        </w:rPr>
      </w:pPr>
      <w:r w:rsidRPr="0097459F">
        <w:rPr>
          <w:rFonts w:cstheme="minorHAnsi"/>
        </w:rPr>
        <w:lastRenderedPageBreak/>
        <w:t>§ 2º  O regulamento pode prever o envio de correspondências por meio físico aos cotistas que fizerem tal solicitação, hipótese na qual deve especificar se os custos de envio serão suportados pelo fundo ou pelos cotistas que optarem por tal recebimento.</w:t>
      </w:r>
    </w:p>
    <w:p w14:paraId="30047FAF" w14:textId="6C8A10C6" w:rsidR="00893D49" w:rsidRPr="0097459F" w:rsidRDefault="00893D49" w:rsidP="00C20BBD">
      <w:pPr>
        <w:pStyle w:val="Normalalteradora"/>
        <w:rPr>
          <w:rFonts w:cstheme="minorHAnsi"/>
        </w:rPr>
      </w:pPr>
      <w:r w:rsidRPr="0097459F">
        <w:rPr>
          <w:rFonts w:cstheme="minorHAnsi"/>
        </w:rPr>
        <w:t xml:space="preserve">§ 3º  Nas hipóteses em que esta Resolução exija “atestado”, “ciência”, “manifestação” ou “concordância” dos cotistas, admite-se que estas se materializem por meio </w:t>
      </w:r>
      <w:r w:rsidR="001C77C6" w:rsidRPr="0097459F">
        <w:rPr>
          <w:rFonts w:cstheme="minorHAnsi"/>
        </w:rPr>
        <w:t>eletrônico</w:t>
      </w:r>
      <w:r w:rsidRPr="0097459F">
        <w:rPr>
          <w:rFonts w:cstheme="minorHAnsi"/>
        </w:rPr>
        <w:t>, observado que:</w:t>
      </w:r>
    </w:p>
    <w:p w14:paraId="37A33B6F" w14:textId="17A40EB0" w:rsidR="00893D49" w:rsidRPr="0097459F" w:rsidRDefault="00893D49" w:rsidP="00C20BBD">
      <w:pPr>
        <w:pStyle w:val="Normalalteradora"/>
        <w:rPr>
          <w:rFonts w:cstheme="minorHAnsi"/>
        </w:rPr>
      </w:pPr>
      <w:r w:rsidRPr="0097459F">
        <w:rPr>
          <w:rFonts w:cstheme="minorHAnsi"/>
        </w:rPr>
        <w:t>I – os procedimentos aplicáveis devem estar disciplinados no regulamento do fundo e serem passíveis de verificação; e</w:t>
      </w:r>
    </w:p>
    <w:p w14:paraId="0C2BE985" w14:textId="77777777" w:rsidR="00893D49" w:rsidRPr="0097459F" w:rsidRDefault="00893D49" w:rsidP="00C20BBD">
      <w:pPr>
        <w:pStyle w:val="Normalalteradora"/>
        <w:rPr>
          <w:rFonts w:cstheme="minorHAnsi"/>
        </w:rPr>
      </w:pPr>
      <w:r w:rsidRPr="0097459F">
        <w:rPr>
          <w:rFonts w:cstheme="minorHAnsi"/>
        </w:rPr>
        <w:t>II  – toda manifestação dos cotistas deve ser armazenada pelo administrador.</w:t>
      </w:r>
    </w:p>
    <w:p w14:paraId="0BAA3EC7" w14:textId="1611D8FA" w:rsidR="00893D49" w:rsidRPr="0097459F" w:rsidRDefault="00893D49" w:rsidP="00C20BBD">
      <w:pPr>
        <w:pStyle w:val="Normalalteradora"/>
        <w:rPr>
          <w:rFonts w:cstheme="minorHAnsi"/>
        </w:rPr>
      </w:pPr>
      <w:r w:rsidRPr="0097459F">
        <w:rPr>
          <w:rFonts w:cstheme="minorHAnsi"/>
        </w:rPr>
        <w:t xml:space="preserve">Art. 13.  Caso o cotista não tenha comunicado ao administrador a atualização de seu endereço </w:t>
      </w:r>
      <w:r w:rsidR="008B247A" w:rsidRPr="0097459F">
        <w:rPr>
          <w:rFonts w:cstheme="minorHAnsi"/>
        </w:rPr>
        <w:t xml:space="preserve">físico </w:t>
      </w:r>
      <w:r w:rsidR="00F91CA6" w:rsidRPr="0097459F">
        <w:rPr>
          <w:rFonts w:cstheme="minorHAnsi"/>
        </w:rPr>
        <w:t>ou</w:t>
      </w:r>
      <w:r w:rsidR="008B247A" w:rsidRPr="0097459F">
        <w:rPr>
          <w:rFonts w:cstheme="minorHAnsi"/>
        </w:rPr>
        <w:t xml:space="preserve"> </w:t>
      </w:r>
      <w:r w:rsidRPr="0097459F">
        <w:rPr>
          <w:rFonts w:cstheme="minorHAnsi"/>
        </w:rPr>
        <w:t xml:space="preserve">eletrônico, o administrador fica exonerado do dever de envio das informações e comunicações previstas nesta Resolução ou no </w:t>
      </w:r>
      <w:r w:rsidR="0059377A" w:rsidRPr="0097459F">
        <w:rPr>
          <w:rFonts w:cstheme="minorHAnsi"/>
        </w:rPr>
        <w:t>regulamento do fundo</w:t>
      </w:r>
      <w:r w:rsidRPr="0097459F">
        <w:rPr>
          <w:rFonts w:cstheme="minorHAnsi"/>
        </w:rPr>
        <w:t xml:space="preserve">, a partir da </w:t>
      </w:r>
      <w:r w:rsidR="00797B77" w:rsidRPr="0097459F">
        <w:rPr>
          <w:rFonts w:cstheme="minorHAnsi"/>
        </w:rPr>
        <w:t xml:space="preserve">primeira </w:t>
      </w:r>
      <w:r w:rsidRPr="0097459F">
        <w:rPr>
          <w:rFonts w:cstheme="minorHAnsi"/>
        </w:rPr>
        <w:t>correspondência que houver sido devolvida por incorreção no endereço declarado.</w:t>
      </w:r>
    </w:p>
    <w:p w14:paraId="1D371942" w14:textId="0F171429" w:rsidR="00893D49" w:rsidRPr="0097459F" w:rsidRDefault="4AF9F487" w:rsidP="00C20BBD">
      <w:pPr>
        <w:pStyle w:val="Normalalteradora"/>
      </w:pPr>
      <w:r w:rsidRPr="0097459F">
        <w:t xml:space="preserve">Parágrafo único.  O administrador deve </w:t>
      </w:r>
      <w:r w:rsidR="1AEF6B79" w:rsidRPr="0097459F">
        <w:t xml:space="preserve">preservar </w:t>
      </w:r>
      <w:r w:rsidRPr="0097459F">
        <w:t xml:space="preserve">a correspondência devolvida ou seu registro eletrônico enquanto o cotista não </w:t>
      </w:r>
      <w:r w:rsidR="302B4970" w:rsidRPr="0097459F">
        <w:t>efetuar o</w:t>
      </w:r>
      <w:r w:rsidRPr="0097459F">
        <w:t xml:space="preserve"> resgate </w:t>
      </w:r>
      <w:r w:rsidR="2B922AB0" w:rsidRPr="0097459F">
        <w:t xml:space="preserve">ou amortização </w:t>
      </w:r>
      <w:r w:rsidRPr="0097459F">
        <w:t>total de suas cotas</w:t>
      </w:r>
      <w:r w:rsidR="004158AE" w:rsidRPr="0097459F">
        <w:t xml:space="preserve">, sem prejuízo do disposto no art. </w:t>
      </w:r>
      <w:r w:rsidR="00143D5E" w:rsidRPr="0097459F">
        <w:t>130</w:t>
      </w:r>
      <w:r w:rsidRPr="0097459F">
        <w:t>.</w:t>
      </w:r>
    </w:p>
    <w:p w14:paraId="65D0BEF5" w14:textId="77777777" w:rsidR="00893D49" w:rsidRPr="0097459F" w:rsidRDefault="00893D49" w:rsidP="00C20BBD">
      <w:pPr>
        <w:pStyle w:val="Captulo"/>
        <w:rPr>
          <w:rFonts w:asciiTheme="minorHAnsi" w:hAnsiTheme="minorHAnsi"/>
        </w:rPr>
      </w:pPr>
      <w:bookmarkStart w:id="49" w:name="_Toc53594432"/>
      <w:bookmarkStart w:id="50" w:name="_Toc53595457"/>
      <w:bookmarkStart w:id="51" w:name="_Toc53594184"/>
      <w:bookmarkStart w:id="52" w:name="_Toc114818964"/>
      <w:bookmarkStart w:id="53" w:name="_Toc57836192"/>
      <w:bookmarkStart w:id="54" w:name="_Toc126226291"/>
      <w:r w:rsidRPr="0097459F">
        <w:rPr>
          <w:rFonts w:asciiTheme="minorHAnsi" w:hAnsiTheme="minorHAnsi"/>
        </w:rPr>
        <w:t>CAPÍTULO IV – COTAS</w:t>
      </w:r>
      <w:bookmarkEnd w:id="49"/>
      <w:bookmarkEnd w:id="50"/>
      <w:bookmarkEnd w:id="51"/>
      <w:bookmarkEnd w:id="52"/>
      <w:bookmarkEnd w:id="53"/>
      <w:bookmarkEnd w:id="54"/>
    </w:p>
    <w:p w14:paraId="143AAFDF" w14:textId="77777777" w:rsidR="00893D49" w:rsidRPr="0097459F" w:rsidRDefault="00893D49" w:rsidP="00C20BBD">
      <w:pPr>
        <w:pStyle w:val="Seo"/>
        <w:rPr>
          <w:rFonts w:asciiTheme="minorHAnsi" w:hAnsiTheme="minorHAnsi"/>
        </w:rPr>
      </w:pPr>
      <w:bookmarkStart w:id="55" w:name="_Toc53594433"/>
      <w:bookmarkStart w:id="56" w:name="_Toc53595458"/>
      <w:bookmarkStart w:id="57" w:name="_Toc53594185"/>
      <w:bookmarkStart w:id="58" w:name="_Toc114818965"/>
      <w:bookmarkStart w:id="59" w:name="_Toc57836193"/>
      <w:bookmarkStart w:id="60" w:name="_Toc126226292"/>
      <w:r w:rsidRPr="0097459F">
        <w:rPr>
          <w:rFonts w:asciiTheme="minorHAnsi" w:hAnsiTheme="minorHAnsi"/>
        </w:rPr>
        <w:t>Seção I – Disposições Gerais</w:t>
      </w:r>
      <w:bookmarkEnd w:id="55"/>
      <w:bookmarkEnd w:id="56"/>
      <w:bookmarkEnd w:id="57"/>
      <w:bookmarkEnd w:id="58"/>
      <w:bookmarkEnd w:id="59"/>
      <w:bookmarkEnd w:id="60"/>
    </w:p>
    <w:p w14:paraId="2A79C2F3" w14:textId="7C04FF9E" w:rsidR="00893D49" w:rsidRPr="0097459F" w:rsidRDefault="00893D49" w:rsidP="00C20BBD">
      <w:pPr>
        <w:pStyle w:val="Normalalteradora"/>
        <w:rPr>
          <w:rFonts w:cstheme="minorHAnsi"/>
        </w:rPr>
      </w:pPr>
      <w:r w:rsidRPr="0097459F">
        <w:rPr>
          <w:rFonts w:cstheme="minorHAnsi"/>
        </w:rPr>
        <w:t xml:space="preserve">Art. 14.  </w:t>
      </w:r>
      <w:r w:rsidR="001C77C6" w:rsidRPr="0097459F">
        <w:rPr>
          <w:rFonts w:cstheme="minorHAnsi"/>
        </w:rPr>
        <w:t>As cotas são escriturais, nominativas e correspondem a frações do patrimônio da classe</w:t>
      </w:r>
      <w:r w:rsidR="0059377A" w:rsidRPr="0097459F">
        <w:rPr>
          <w:rFonts w:cstheme="minorHAnsi"/>
        </w:rPr>
        <w:t xml:space="preserve"> de cotas</w:t>
      </w:r>
      <w:r w:rsidR="001C77C6" w:rsidRPr="0097459F">
        <w:rPr>
          <w:rFonts w:cstheme="minorHAnsi"/>
        </w:rPr>
        <w:t>, conferindo direitos e obrigações aos cotistas, conforme previsto</w:t>
      </w:r>
      <w:r w:rsidR="000E0D99" w:rsidRPr="0097459F">
        <w:rPr>
          <w:rFonts w:cstheme="minorHAnsi"/>
        </w:rPr>
        <w:t>s</w:t>
      </w:r>
      <w:r w:rsidR="001C77C6" w:rsidRPr="0097459F">
        <w:rPr>
          <w:rFonts w:cstheme="minorHAnsi"/>
        </w:rPr>
        <w:t xml:space="preserve"> no regulamento.</w:t>
      </w:r>
    </w:p>
    <w:p w14:paraId="63B35A49" w14:textId="166F2519" w:rsidR="00893D49" w:rsidRPr="0097459F" w:rsidRDefault="00070724" w:rsidP="00C20BBD">
      <w:pPr>
        <w:pStyle w:val="Normalalteradora"/>
        <w:rPr>
          <w:rFonts w:cstheme="minorHAnsi"/>
        </w:rPr>
      </w:pPr>
      <w:r w:rsidRPr="0097459F">
        <w:rPr>
          <w:rFonts w:cstheme="minorHAnsi"/>
        </w:rPr>
        <w:t>§ 1º  O</w:t>
      </w:r>
      <w:r w:rsidR="00893D49" w:rsidRPr="0097459F">
        <w:rPr>
          <w:rFonts w:cstheme="minorHAnsi"/>
        </w:rPr>
        <w:t xml:space="preserve"> valor da cota resulta da divisão do valor do patrimônio líquido da respectiva classe pelo número de cotas da mesma classe.</w:t>
      </w:r>
    </w:p>
    <w:p w14:paraId="108F1359" w14:textId="58E03ED5" w:rsidR="001C77C6" w:rsidRPr="0097459F" w:rsidRDefault="594F75F2" w:rsidP="2889066B">
      <w:pPr>
        <w:pStyle w:val="Normalalteradora"/>
      </w:pPr>
      <w:r w:rsidRPr="0097459F">
        <w:t xml:space="preserve">§ </w:t>
      </w:r>
      <w:r w:rsidR="00BE2765" w:rsidRPr="0097459F">
        <w:t>2</w:t>
      </w:r>
      <w:r w:rsidR="00576D4F" w:rsidRPr="0097459F">
        <w:t xml:space="preserve">º  Caso </w:t>
      </w:r>
      <w:r w:rsidR="00070724" w:rsidRPr="0097459F">
        <w:t>a classe</w:t>
      </w:r>
      <w:r w:rsidR="00A233EA" w:rsidRPr="0097459F">
        <w:t xml:space="preserve"> tenha</w:t>
      </w:r>
      <w:r w:rsidR="00576D4F" w:rsidRPr="0097459F">
        <w:t xml:space="preserve"> subclasses, o valor da cota de cada subclasse resulta da divisão do valor do patrimônio líquido </w:t>
      </w:r>
      <w:r w:rsidR="00C128C4" w:rsidRPr="0097459F">
        <w:t>atribuído à</w:t>
      </w:r>
      <w:r w:rsidR="00576D4F" w:rsidRPr="0097459F">
        <w:t xml:space="preserve"> respectiva subclasse pelo número de cotas da mesma subclasse.</w:t>
      </w:r>
    </w:p>
    <w:p w14:paraId="729B85B9" w14:textId="131DE11D" w:rsidR="00893D49" w:rsidRPr="0097459F" w:rsidRDefault="00893D49" w:rsidP="00C20BBD">
      <w:pPr>
        <w:pStyle w:val="Normalalteradora"/>
        <w:rPr>
          <w:rFonts w:cstheme="minorHAnsi"/>
        </w:rPr>
      </w:pPr>
      <w:r w:rsidRPr="0097459F">
        <w:rPr>
          <w:rFonts w:cstheme="minorHAnsi"/>
        </w:rPr>
        <w:t xml:space="preserve">Art. 15.  O administrador </w:t>
      </w:r>
      <w:r w:rsidR="009D2E6E" w:rsidRPr="0097459F">
        <w:rPr>
          <w:rFonts w:cstheme="minorHAnsi"/>
        </w:rPr>
        <w:t xml:space="preserve">ou </w:t>
      </w:r>
      <w:r w:rsidRPr="0097459F">
        <w:rPr>
          <w:rFonts w:cstheme="minorHAnsi"/>
        </w:rPr>
        <w:t>a instituição contratada para realizar a escrituração de cotas</w:t>
      </w:r>
      <w:r w:rsidR="009D2E6E" w:rsidRPr="0097459F">
        <w:rPr>
          <w:rFonts w:cstheme="minorHAnsi"/>
        </w:rPr>
        <w:t>, se houver,</w:t>
      </w:r>
      <w:r w:rsidRPr="0097459F">
        <w:rPr>
          <w:rFonts w:cstheme="minorHAnsi"/>
        </w:rPr>
        <w:t xml:space="preserve"> são responsáveis, nas suas respectivas esferas de atuação, pela inscrição do nome do titular </w:t>
      </w:r>
      <w:r w:rsidR="009D2E6E" w:rsidRPr="0097459F">
        <w:rPr>
          <w:rFonts w:cstheme="minorHAnsi"/>
        </w:rPr>
        <w:t xml:space="preserve">ou, no caso de distribuição por conta e ordem, das informações de que trata o art. 34, </w:t>
      </w:r>
      <w:r w:rsidR="005F4939" w:rsidRPr="0097459F">
        <w:rPr>
          <w:rFonts w:cstheme="minorHAnsi"/>
        </w:rPr>
        <w:t>§ 1º</w:t>
      </w:r>
      <w:r w:rsidR="009D2E6E" w:rsidRPr="0097459F">
        <w:rPr>
          <w:rFonts w:cstheme="minorHAnsi"/>
        </w:rPr>
        <w:t xml:space="preserve">, </w:t>
      </w:r>
      <w:r w:rsidRPr="0097459F">
        <w:rPr>
          <w:rFonts w:cstheme="minorHAnsi"/>
        </w:rPr>
        <w:t>no registro de cotistas do fundo.</w:t>
      </w:r>
    </w:p>
    <w:p w14:paraId="7B592D4B" w14:textId="3B2BCFEA" w:rsidR="00F719E0" w:rsidRPr="0097459F" w:rsidRDefault="7393F8A8" w:rsidP="00C20BBD">
      <w:pPr>
        <w:pStyle w:val="Normalalteradora"/>
      </w:pPr>
      <w:r w:rsidRPr="0097459F">
        <w:lastRenderedPageBreak/>
        <w:t xml:space="preserve">Parágrafo único.  Para fins do disposto no </w:t>
      </w:r>
      <w:r w:rsidRPr="0097459F">
        <w:rPr>
          <w:b/>
          <w:bCs/>
        </w:rPr>
        <w:t>caput</w:t>
      </w:r>
      <w:r w:rsidRPr="0097459F">
        <w:t xml:space="preserve">, o administrador e </w:t>
      </w:r>
      <w:r w:rsidR="35804DDA" w:rsidRPr="0097459F">
        <w:t>o escriturador devem</w:t>
      </w:r>
      <w:r w:rsidRPr="0097459F">
        <w:t xml:space="preserve"> compartilhar as informações do registro de cotistas, bem como </w:t>
      </w:r>
      <w:r w:rsidR="000E0D99" w:rsidRPr="0097459F">
        <w:t xml:space="preserve">informações </w:t>
      </w:r>
      <w:r w:rsidRPr="0097459F">
        <w:t>referentes a eventuais direitos, gravames ou outros registros existentes sobre as cotas.</w:t>
      </w:r>
    </w:p>
    <w:p w14:paraId="5365F6ED" w14:textId="0B07976D" w:rsidR="00893D49" w:rsidRPr="0097459F" w:rsidRDefault="00893D49" w:rsidP="00C20BBD">
      <w:pPr>
        <w:pStyle w:val="Normalalteradora"/>
        <w:rPr>
          <w:rFonts w:cstheme="minorHAnsi"/>
        </w:rPr>
      </w:pPr>
      <w:r w:rsidRPr="0097459F">
        <w:rPr>
          <w:rFonts w:cstheme="minorHAnsi"/>
        </w:rPr>
        <w:t>Art. 16.  A cota de classe aberta não pode ser objeto de cessão ou transferência</w:t>
      </w:r>
      <w:r w:rsidR="00F86E34" w:rsidRPr="0097459F">
        <w:rPr>
          <w:rFonts w:cstheme="minorHAnsi"/>
        </w:rPr>
        <w:t xml:space="preserve"> de titularidade</w:t>
      </w:r>
      <w:r w:rsidRPr="0097459F">
        <w:rPr>
          <w:rFonts w:cstheme="minorHAnsi"/>
        </w:rPr>
        <w:t>,</w:t>
      </w:r>
      <w:r w:rsidR="00F86E34" w:rsidRPr="0097459F">
        <w:rPr>
          <w:rFonts w:cstheme="minorHAnsi"/>
        </w:rPr>
        <w:t xml:space="preserve"> </w:t>
      </w:r>
      <w:r w:rsidRPr="0097459F">
        <w:rPr>
          <w:rFonts w:cstheme="minorHAnsi"/>
        </w:rPr>
        <w:t>exceto nos casos de:</w:t>
      </w:r>
    </w:p>
    <w:p w14:paraId="09BED185" w14:textId="31DD615C" w:rsidR="00893D49" w:rsidRPr="0097459F" w:rsidRDefault="00893D49" w:rsidP="00C20BBD">
      <w:pPr>
        <w:pStyle w:val="Normalalteradora"/>
        <w:rPr>
          <w:rFonts w:cstheme="minorHAnsi"/>
        </w:rPr>
      </w:pPr>
      <w:r w:rsidRPr="0097459F">
        <w:rPr>
          <w:rFonts w:cstheme="minorHAnsi"/>
        </w:rPr>
        <w:t>I – decisão judicial ou arbitral;</w:t>
      </w:r>
    </w:p>
    <w:p w14:paraId="7878929C" w14:textId="02C3CFC1" w:rsidR="00893D49" w:rsidRPr="0097459F" w:rsidRDefault="00893D49" w:rsidP="00C20BBD">
      <w:pPr>
        <w:pStyle w:val="Normalalteradora"/>
        <w:rPr>
          <w:rFonts w:cstheme="minorHAnsi"/>
        </w:rPr>
      </w:pPr>
      <w:r w:rsidRPr="0097459F">
        <w:rPr>
          <w:rFonts w:cstheme="minorHAnsi"/>
        </w:rPr>
        <w:t>II – operações de cessão fiduciária;</w:t>
      </w:r>
    </w:p>
    <w:p w14:paraId="449D6CD3" w14:textId="2D05C687" w:rsidR="00893D49" w:rsidRPr="0097459F" w:rsidRDefault="00893D49" w:rsidP="00C20BBD">
      <w:pPr>
        <w:pStyle w:val="Normalalteradora"/>
        <w:rPr>
          <w:rFonts w:cstheme="minorHAnsi"/>
        </w:rPr>
      </w:pPr>
      <w:r w:rsidRPr="0097459F">
        <w:rPr>
          <w:rFonts w:cstheme="minorHAnsi"/>
        </w:rPr>
        <w:t xml:space="preserve">III – execução de garantia; </w:t>
      </w:r>
    </w:p>
    <w:p w14:paraId="6664A1C2" w14:textId="519DF15A" w:rsidR="00893D49" w:rsidRPr="0097459F" w:rsidRDefault="00893D49" w:rsidP="00C20BBD">
      <w:pPr>
        <w:pStyle w:val="Normalalteradora"/>
        <w:rPr>
          <w:rFonts w:cstheme="minorHAnsi"/>
        </w:rPr>
      </w:pPr>
      <w:r w:rsidRPr="0097459F">
        <w:rPr>
          <w:rFonts w:cstheme="minorHAnsi"/>
        </w:rPr>
        <w:t xml:space="preserve">IV – sucessão universal; </w:t>
      </w:r>
    </w:p>
    <w:p w14:paraId="3D9E77C7" w14:textId="78404378" w:rsidR="00893D49" w:rsidRPr="0097459F" w:rsidRDefault="00893D49" w:rsidP="00C20BBD">
      <w:pPr>
        <w:pStyle w:val="Normalalteradora"/>
        <w:rPr>
          <w:rFonts w:cstheme="minorHAnsi"/>
        </w:rPr>
      </w:pPr>
      <w:r w:rsidRPr="0097459F">
        <w:rPr>
          <w:rFonts w:cstheme="minorHAnsi"/>
        </w:rPr>
        <w:t>V – dissolução de sociedade conjugal ou união estável por via judicial ou escritura pública que disponha sobre a partilha de bens;</w:t>
      </w:r>
    </w:p>
    <w:p w14:paraId="797B664F" w14:textId="5E983E19" w:rsidR="00E46FAF" w:rsidRPr="0097459F" w:rsidRDefault="00893D49" w:rsidP="00C20BBD">
      <w:pPr>
        <w:pStyle w:val="Normalalteradora"/>
      </w:pPr>
      <w:r w:rsidRPr="0097459F">
        <w:t xml:space="preserve">VI – </w:t>
      </w:r>
      <w:r w:rsidR="0090204B" w:rsidRPr="0097459F">
        <w:t>substituição do administrador fiduciário</w:t>
      </w:r>
      <w:r w:rsidRPr="0097459F">
        <w:t xml:space="preserve"> ou portabilidade</w:t>
      </w:r>
      <w:r w:rsidR="00E46FAF" w:rsidRPr="0097459F">
        <w:t xml:space="preserve"> de planos de previdência;</w:t>
      </w:r>
    </w:p>
    <w:p w14:paraId="0365E124" w14:textId="53DB7B22" w:rsidR="00893D49" w:rsidRPr="0097459F" w:rsidRDefault="00070724" w:rsidP="00C20BBD">
      <w:pPr>
        <w:pStyle w:val="Normalalteradora"/>
        <w:rPr>
          <w:rFonts w:cstheme="minorHAnsi"/>
        </w:rPr>
      </w:pPr>
      <w:r w:rsidRPr="0097459F">
        <w:rPr>
          <w:rFonts w:cstheme="minorHAnsi"/>
        </w:rPr>
        <w:t>VII</w:t>
      </w:r>
      <w:r w:rsidR="00856AA9" w:rsidRPr="0097459F">
        <w:rPr>
          <w:rFonts w:cstheme="minorHAnsi"/>
        </w:rPr>
        <w:t xml:space="preserve"> – </w:t>
      </w:r>
      <w:r w:rsidR="00077F3C" w:rsidRPr="0097459F">
        <w:rPr>
          <w:rFonts w:cstheme="minorHAnsi"/>
        </w:rPr>
        <w:t>i</w:t>
      </w:r>
      <w:r w:rsidR="00856AA9" w:rsidRPr="0097459F">
        <w:rPr>
          <w:rFonts w:cstheme="minorHAnsi"/>
        </w:rPr>
        <w:t>ntegraliza</w:t>
      </w:r>
      <w:r w:rsidR="00077F3C" w:rsidRPr="0097459F">
        <w:rPr>
          <w:rFonts w:cstheme="minorHAnsi"/>
        </w:rPr>
        <w:t>ção de</w:t>
      </w:r>
      <w:r w:rsidR="00856AA9" w:rsidRPr="0097459F">
        <w:rPr>
          <w:rFonts w:cstheme="minorHAnsi"/>
        </w:rPr>
        <w:t xml:space="preserve"> participações acionárias </w:t>
      </w:r>
      <w:r w:rsidR="0066038D" w:rsidRPr="0097459F">
        <w:rPr>
          <w:rFonts w:cstheme="minorHAnsi"/>
        </w:rPr>
        <w:t xml:space="preserve">em companhias </w:t>
      </w:r>
      <w:r w:rsidR="00856AA9" w:rsidRPr="0097459F">
        <w:rPr>
          <w:rFonts w:cstheme="minorHAnsi"/>
        </w:rPr>
        <w:t>ou no capital social de sociedades limitadas;</w:t>
      </w:r>
    </w:p>
    <w:p w14:paraId="7F9BDAB5" w14:textId="4D728CC1" w:rsidR="00B95092" w:rsidRPr="0097459F" w:rsidRDefault="00070724" w:rsidP="00C20BBD">
      <w:pPr>
        <w:pStyle w:val="Normalalteradora"/>
        <w:rPr>
          <w:rFonts w:cstheme="minorHAnsi"/>
        </w:rPr>
      </w:pPr>
      <w:r w:rsidRPr="0097459F">
        <w:rPr>
          <w:rFonts w:cstheme="minorHAnsi"/>
        </w:rPr>
        <w:t>VII</w:t>
      </w:r>
      <w:r w:rsidR="00F44292" w:rsidRPr="0097459F">
        <w:rPr>
          <w:rFonts w:cstheme="minorHAnsi"/>
        </w:rPr>
        <w:t>I</w:t>
      </w:r>
      <w:r w:rsidR="00B95092" w:rsidRPr="0097459F">
        <w:rPr>
          <w:rFonts w:cstheme="minorHAnsi"/>
        </w:rPr>
        <w:t xml:space="preserve"> </w:t>
      </w:r>
      <w:r w:rsidR="00BE2765" w:rsidRPr="0097459F">
        <w:rPr>
          <w:rFonts w:cstheme="minorHAnsi"/>
        </w:rPr>
        <w:t>–</w:t>
      </w:r>
      <w:r w:rsidR="00077F3C" w:rsidRPr="0097459F">
        <w:rPr>
          <w:rFonts w:cstheme="minorHAnsi"/>
        </w:rPr>
        <w:t xml:space="preserve"> </w:t>
      </w:r>
      <w:r w:rsidR="00B95092" w:rsidRPr="0097459F">
        <w:rPr>
          <w:rFonts w:cstheme="minorHAnsi"/>
        </w:rPr>
        <w:t>integraliza</w:t>
      </w:r>
      <w:r w:rsidR="00077F3C" w:rsidRPr="0097459F">
        <w:rPr>
          <w:rFonts w:cstheme="minorHAnsi"/>
        </w:rPr>
        <w:t>ção de</w:t>
      </w:r>
      <w:r w:rsidR="00B95092" w:rsidRPr="0097459F">
        <w:rPr>
          <w:rFonts w:cstheme="minorHAnsi"/>
        </w:rPr>
        <w:t xml:space="preserve"> cotas de outr</w:t>
      </w:r>
      <w:r w:rsidR="00FB0FCD" w:rsidRPr="0097459F">
        <w:rPr>
          <w:rFonts w:cstheme="minorHAnsi"/>
        </w:rPr>
        <w:t>a</w:t>
      </w:r>
      <w:r w:rsidR="00B95092" w:rsidRPr="0097459F">
        <w:rPr>
          <w:rFonts w:cstheme="minorHAnsi"/>
        </w:rPr>
        <w:t>s classes</w:t>
      </w:r>
      <w:r w:rsidR="00FB7069" w:rsidRPr="0097459F">
        <w:rPr>
          <w:rFonts w:cstheme="minorHAnsi"/>
        </w:rPr>
        <w:t>, passando</w:t>
      </w:r>
      <w:r w:rsidR="00B95092" w:rsidRPr="0097459F">
        <w:rPr>
          <w:rFonts w:cstheme="minorHAnsi"/>
        </w:rPr>
        <w:t xml:space="preserve"> assim </w:t>
      </w:r>
      <w:r w:rsidR="00856AA9" w:rsidRPr="0097459F">
        <w:rPr>
          <w:rFonts w:cstheme="minorHAnsi"/>
        </w:rPr>
        <w:t>à</w:t>
      </w:r>
      <w:r w:rsidR="00B95092" w:rsidRPr="0097459F">
        <w:rPr>
          <w:rFonts w:cstheme="minorHAnsi"/>
        </w:rPr>
        <w:t xml:space="preserve"> propriedade da classe cujas cotas foram integralizadas</w:t>
      </w:r>
      <w:r w:rsidR="00856AA9" w:rsidRPr="0097459F">
        <w:rPr>
          <w:rFonts w:cstheme="minorHAnsi"/>
        </w:rPr>
        <w:t>; e</w:t>
      </w:r>
    </w:p>
    <w:p w14:paraId="399EB0F7" w14:textId="7DE80C59" w:rsidR="00856AA9" w:rsidRDefault="00070724" w:rsidP="00C20BBD">
      <w:pPr>
        <w:pStyle w:val="Normalalteradora"/>
      </w:pPr>
      <w:r w:rsidRPr="0097459F">
        <w:t>I</w:t>
      </w:r>
      <w:r w:rsidR="2B993B23" w:rsidRPr="0097459F">
        <w:t>X</w:t>
      </w:r>
      <w:r w:rsidR="3BF44A73" w:rsidRPr="0097459F">
        <w:t xml:space="preserve"> –</w:t>
      </w:r>
      <w:r w:rsidR="00077F3C" w:rsidRPr="0097459F">
        <w:t xml:space="preserve"> </w:t>
      </w:r>
      <w:r w:rsidR="3BF44A73" w:rsidRPr="0097459F">
        <w:t xml:space="preserve">resgate ou amortização de cotas em </w:t>
      </w:r>
      <w:r w:rsidR="00886F0A" w:rsidRPr="0097459F">
        <w:t>cotas de outras classes</w:t>
      </w:r>
      <w:r w:rsidR="3BF44A73" w:rsidRPr="0097459F">
        <w:t xml:space="preserve">, passando assim </w:t>
      </w:r>
      <w:r w:rsidR="002E3033" w:rsidRPr="0097459F">
        <w:t xml:space="preserve">essas últimas cotas </w:t>
      </w:r>
      <w:r w:rsidR="3BF44A73" w:rsidRPr="0097459F">
        <w:t xml:space="preserve">à propriedade do </w:t>
      </w:r>
      <w:r w:rsidR="002E3033" w:rsidRPr="0097459F">
        <w:t xml:space="preserve">investidor </w:t>
      </w:r>
      <w:r w:rsidR="3BF44A73" w:rsidRPr="0097459F">
        <w:t>cujas cotas foram resgatadas</w:t>
      </w:r>
      <w:r w:rsidR="000E0D99" w:rsidRPr="0097459F">
        <w:t xml:space="preserve"> ou amortizadas</w:t>
      </w:r>
      <w:r w:rsidR="3BF44A73" w:rsidRPr="0097459F">
        <w:t>.</w:t>
      </w:r>
    </w:p>
    <w:p w14:paraId="4A2EA4D2" w14:textId="0E88C242" w:rsidR="001C07A7" w:rsidRPr="00DD4A5D" w:rsidRDefault="001C07A7" w:rsidP="00DD4A5D">
      <w:pPr>
        <w:pStyle w:val="Normalalteradora"/>
        <w:rPr>
          <w:rFonts w:cstheme="minorHAnsi"/>
        </w:rPr>
      </w:pPr>
      <w:r>
        <w:t xml:space="preserve">Parágrafo único.  </w:t>
      </w:r>
      <w:r w:rsidR="00DD4A5D" w:rsidRPr="00921B56">
        <w:rPr>
          <w:rFonts w:cstheme="minorHAnsi"/>
        </w:rPr>
        <w:t>Nos casos previstos nos incisos VII a IX, o valor das cotas deve estar respaldado em laudo de avaliação elaborado por avaliador independente.</w:t>
      </w:r>
    </w:p>
    <w:p w14:paraId="767ADF5E" w14:textId="5C7F48A2" w:rsidR="00893D49" w:rsidRPr="0097459F" w:rsidRDefault="00893D49" w:rsidP="00C20BBD">
      <w:pPr>
        <w:pStyle w:val="Normalalteradora"/>
        <w:rPr>
          <w:rFonts w:cstheme="minorHAnsi"/>
        </w:rPr>
      </w:pPr>
      <w:r w:rsidRPr="0097459F">
        <w:rPr>
          <w:rFonts w:cstheme="minorHAnsi"/>
        </w:rPr>
        <w:t xml:space="preserve">Art. 17.  </w:t>
      </w:r>
      <w:r w:rsidR="0059377A" w:rsidRPr="0097459F">
        <w:rPr>
          <w:rFonts w:cstheme="minorHAnsi"/>
        </w:rPr>
        <w:t>Sem prejuízo da portabilidade das cotas pelos seus titulares, a</w:t>
      </w:r>
      <w:r w:rsidRPr="0097459F">
        <w:rPr>
          <w:rFonts w:cstheme="minorHAnsi"/>
        </w:rPr>
        <w:t>s cotas de classe fechada e seus direitos de subscrição podem ser transferidos</w:t>
      </w:r>
      <w:r w:rsidR="0059377A" w:rsidRPr="0097459F">
        <w:rPr>
          <w:rFonts w:cstheme="minorHAnsi"/>
        </w:rPr>
        <w:t>,</w:t>
      </w:r>
      <w:r w:rsidRPr="0097459F">
        <w:rPr>
          <w:rFonts w:cstheme="minorHAnsi"/>
        </w:rPr>
        <w:t xml:space="preserve"> </w:t>
      </w:r>
      <w:r w:rsidR="0059377A" w:rsidRPr="0097459F">
        <w:rPr>
          <w:rFonts w:cstheme="minorHAnsi"/>
        </w:rPr>
        <w:t xml:space="preserve">seja por meio de </w:t>
      </w:r>
      <w:r w:rsidRPr="0097459F">
        <w:rPr>
          <w:rFonts w:cstheme="minorHAnsi"/>
        </w:rPr>
        <w:t xml:space="preserve">termo de cessão e transferência, assinado pelo cedente e pelo cessionário, ou por meio de negociação </w:t>
      </w:r>
      <w:r w:rsidR="0059377A" w:rsidRPr="0097459F">
        <w:rPr>
          <w:rFonts w:cstheme="minorHAnsi"/>
        </w:rPr>
        <w:t xml:space="preserve">em </w:t>
      </w:r>
      <w:r w:rsidRPr="0097459F">
        <w:rPr>
          <w:rFonts w:cstheme="minorHAnsi"/>
        </w:rPr>
        <w:t>mercado organizado.</w:t>
      </w:r>
    </w:p>
    <w:p w14:paraId="62D80950" w14:textId="1AA9B0EE" w:rsidR="00893D49" w:rsidRPr="0097459F" w:rsidRDefault="00893D49" w:rsidP="00C20BBD">
      <w:pPr>
        <w:pStyle w:val="Normalalteradora"/>
        <w:rPr>
          <w:rFonts w:cstheme="minorHAnsi"/>
        </w:rPr>
      </w:pPr>
      <w:r w:rsidRPr="0097459F">
        <w:rPr>
          <w:rFonts w:cstheme="minorHAnsi"/>
        </w:rPr>
        <w:t>§ 1º  A transferência de titularidade das cotas de classe fechada fica condicionada à verificação, pelo administrador, do atendimento das formalidades estabelecidas no regulamento</w:t>
      </w:r>
      <w:r w:rsidR="00C959D1" w:rsidRPr="0097459F">
        <w:t>,</w:t>
      </w:r>
      <w:r w:rsidR="004C1956" w:rsidRPr="0097459F">
        <w:rPr>
          <w:rFonts w:cstheme="minorHAnsi"/>
        </w:rPr>
        <w:t xml:space="preserve"> </w:t>
      </w:r>
      <w:r w:rsidRPr="0097459F">
        <w:rPr>
          <w:rFonts w:cstheme="minorHAnsi"/>
        </w:rPr>
        <w:t>nesta Resolução e demais regulamentações específicas.</w:t>
      </w:r>
    </w:p>
    <w:p w14:paraId="14EA3F1F" w14:textId="78F3A0FA" w:rsidR="00893D49" w:rsidRPr="0097459F" w:rsidRDefault="00893D49" w:rsidP="00C20BBD">
      <w:pPr>
        <w:pStyle w:val="Normalalteradora"/>
        <w:rPr>
          <w:rFonts w:cstheme="minorHAnsi"/>
        </w:rPr>
      </w:pPr>
      <w:r w:rsidRPr="0097459F">
        <w:rPr>
          <w:rFonts w:cstheme="minorHAnsi"/>
        </w:rPr>
        <w:lastRenderedPageBreak/>
        <w:t>§ 2º  Na hipótese de transferência por meio de negociação em mercado organizado, cabe ao intermediário verificar o atendimento das formalidades estabelecidas no regulamento e nesta Resolução</w:t>
      </w:r>
      <w:r w:rsidR="001C2DA5" w:rsidRPr="0097459F">
        <w:rPr>
          <w:rFonts w:cstheme="minorHAnsi"/>
        </w:rPr>
        <w:t xml:space="preserve"> e demais regulamentações específicas</w:t>
      </w:r>
      <w:r w:rsidRPr="0097459F">
        <w:rPr>
          <w:rFonts w:cstheme="minorHAnsi"/>
        </w:rPr>
        <w:t>.</w:t>
      </w:r>
    </w:p>
    <w:p w14:paraId="798441CE" w14:textId="02C235A8" w:rsidR="00893D49" w:rsidRPr="0097459F" w:rsidRDefault="00893D49" w:rsidP="00C20BBD">
      <w:pPr>
        <w:pStyle w:val="Normalalteradora"/>
        <w:rPr>
          <w:rFonts w:cstheme="minorHAnsi"/>
        </w:rPr>
      </w:pPr>
      <w:bookmarkStart w:id="61" w:name="_Hlk44234943"/>
      <w:r w:rsidRPr="0097459F">
        <w:rPr>
          <w:rFonts w:cstheme="minorHAnsi"/>
        </w:rPr>
        <w:t xml:space="preserve">Art. 18.  O regulamento pode </w:t>
      </w:r>
      <w:r w:rsidR="00E676EA" w:rsidRPr="0097459F">
        <w:rPr>
          <w:rFonts w:cstheme="minorHAnsi"/>
        </w:rPr>
        <w:t xml:space="preserve">prever que </w:t>
      </w:r>
      <w:r w:rsidRPr="0097459F">
        <w:rPr>
          <w:rFonts w:cstheme="minorHAnsi"/>
        </w:rPr>
        <w:t xml:space="preserve">a responsabilidade do cotista </w:t>
      </w:r>
      <w:r w:rsidR="00273C0F" w:rsidRPr="0097459F">
        <w:rPr>
          <w:rFonts w:cstheme="minorHAnsi"/>
        </w:rPr>
        <w:t xml:space="preserve">é </w:t>
      </w:r>
      <w:r w:rsidR="00E676EA" w:rsidRPr="0097459F">
        <w:rPr>
          <w:rFonts w:cstheme="minorHAnsi"/>
        </w:rPr>
        <w:t xml:space="preserve">limitada ao </w:t>
      </w:r>
      <w:r w:rsidRPr="0097459F">
        <w:rPr>
          <w:rFonts w:cstheme="minorHAnsi"/>
        </w:rPr>
        <w:t xml:space="preserve">valor por ele subscrito. </w:t>
      </w:r>
    </w:p>
    <w:p w14:paraId="61DD68DB" w14:textId="534874EB" w:rsidR="00893D49" w:rsidRPr="0097459F" w:rsidRDefault="00893D49" w:rsidP="00C20BBD">
      <w:pPr>
        <w:pStyle w:val="Normalalteradora"/>
        <w:rPr>
          <w:rFonts w:cstheme="minorHAnsi"/>
        </w:rPr>
      </w:pPr>
      <w:r w:rsidRPr="0097459F">
        <w:rPr>
          <w:rFonts w:cstheme="minorHAnsi"/>
        </w:rPr>
        <w:t xml:space="preserve">Parágrafo único.  Caso o regulamento </w:t>
      </w:r>
      <w:r w:rsidR="00CF5080" w:rsidRPr="0097459F">
        <w:rPr>
          <w:rFonts w:cstheme="minorHAnsi"/>
        </w:rPr>
        <w:t xml:space="preserve">não </w:t>
      </w:r>
      <w:r w:rsidRPr="0097459F">
        <w:rPr>
          <w:rFonts w:cstheme="minorHAnsi"/>
        </w:rPr>
        <w:t>limite a responsabilidade do cotista, os cotistas respondem por eventual patrimônio líquido negativo, sem prejuízo da responsabilidade</w:t>
      </w:r>
      <w:bookmarkEnd w:id="61"/>
      <w:r w:rsidR="00B56C26" w:rsidRPr="0097459F">
        <w:rPr>
          <w:rFonts w:cstheme="minorHAnsi"/>
        </w:rPr>
        <w:t xml:space="preserve"> do prestador de serviço </w:t>
      </w:r>
      <w:r w:rsidR="00B56C26" w:rsidRPr="0097459F">
        <w:rPr>
          <w:rFonts w:cstheme="minorHAnsi"/>
          <w:shd w:val="clear" w:color="auto" w:fill="FFFFFF"/>
        </w:rPr>
        <w:t>pelos prejuízos que causar quando proceder com dolo</w:t>
      </w:r>
      <w:r w:rsidR="00B56C26" w:rsidRPr="0097459F">
        <w:rPr>
          <w:shd w:val="clear" w:color="auto" w:fill="FFFFFF"/>
        </w:rPr>
        <w:t xml:space="preserve"> ou </w:t>
      </w:r>
      <w:r w:rsidR="00B56C26" w:rsidRPr="0097459F">
        <w:rPr>
          <w:rFonts w:cstheme="minorHAnsi"/>
          <w:shd w:val="clear" w:color="auto" w:fill="FFFFFF"/>
        </w:rPr>
        <w:t>má-fé</w:t>
      </w:r>
      <w:r w:rsidRPr="0097459F">
        <w:rPr>
          <w:rFonts w:cstheme="minorHAnsi"/>
        </w:rPr>
        <w:t>.</w:t>
      </w:r>
    </w:p>
    <w:p w14:paraId="060C7E7E" w14:textId="77777777" w:rsidR="00893D49" w:rsidRPr="0097459F" w:rsidRDefault="00893D49" w:rsidP="00C20BBD">
      <w:pPr>
        <w:pStyle w:val="Seo"/>
        <w:rPr>
          <w:rFonts w:asciiTheme="minorHAnsi" w:hAnsiTheme="minorHAnsi"/>
        </w:rPr>
      </w:pPr>
      <w:bookmarkStart w:id="62" w:name="_Toc53594434"/>
      <w:bookmarkStart w:id="63" w:name="_Toc53595459"/>
      <w:bookmarkStart w:id="64" w:name="_Toc53594186"/>
      <w:bookmarkStart w:id="65" w:name="_Toc114818966"/>
      <w:bookmarkStart w:id="66" w:name="_Toc57836194"/>
      <w:bookmarkStart w:id="67" w:name="_Toc126226293"/>
      <w:r w:rsidRPr="0097459F">
        <w:rPr>
          <w:rFonts w:asciiTheme="minorHAnsi" w:hAnsiTheme="minorHAnsi"/>
        </w:rPr>
        <w:t>Seção II – Emissão</w:t>
      </w:r>
      <w:bookmarkEnd w:id="62"/>
      <w:bookmarkEnd w:id="63"/>
      <w:bookmarkEnd w:id="64"/>
      <w:bookmarkEnd w:id="65"/>
      <w:bookmarkEnd w:id="66"/>
      <w:bookmarkEnd w:id="67"/>
    </w:p>
    <w:p w14:paraId="285D4E97" w14:textId="75B937DB" w:rsidR="00893D49" w:rsidRPr="0097459F" w:rsidRDefault="4AF9F487" w:rsidP="00C20BBD">
      <w:pPr>
        <w:pStyle w:val="Normalalteradora"/>
      </w:pPr>
      <w:r w:rsidRPr="0097459F">
        <w:t xml:space="preserve">Art. 19.  Na emissão </w:t>
      </w:r>
      <w:r w:rsidR="12D1B484" w:rsidRPr="0097459F">
        <w:t xml:space="preserve">de </w:t>
      </w:r>
      <w:r w:rsidRPr="0097459F">
        <w:t xml:space="preserve">cotas de classe aberta deve ser utilizado o valor da cota do dia ou do dia seguinte ao da data da </w:t>
      </w:r>
      <w:r w:rsidR="4F38BA48" w:rsidRPr="0097459F">
        <w:t>integralizaç</w:t>
      </w:r>
      <w:r w:rsidR="26F087A8" w:rsidRPr="0097459F">
        <w:t>ão</w:t>
      </w:r>
      <w:r w:rsidRPr="0097459F">
        <w:t>, segundo o disposto no regulamento.</w:t>
      </w:r>
    </w:p>
    <w:p w14:paraId="6B6EB291" w14:textId="6F752384" w:rsidR="008A7DB7" w:rsidRPr="0097459F" w:rsidRDefault="008A7DB7" w:rsidP="00C20BBD">
      <w:pPr>
        <w:pStyle w:val="Normalalteradora"/>
        <w:rPr>
          <w:rFonts w:cstheme="minorHAnsi"/>
        </w:rPr>
      </w:pPr>
      <w:r w:rsidRPr="0097459F">
        <w:rPr>
          <w:rFonts w:cstheme="minorHAnsi"/>
        </w:rPr>
        <w:t xml:space="preserve">Art. </w:t>
      </w:r>
      <w:r w:rsidR="00C907E6" w:rsidRPr="0097459F">
        <w:rPr>
          <w:rFonts w:cstheme="minorHAnsi"/>
        </w:rPr>
        <w:t>20</w:t>
      </w:r>
      <w:r w:rsidRPr="0097459F">
        <w:rPr>
          <w:rFonts w:cstheme="minorHAnsi"/>
        </w:rPr>
        <w:t>.  Na emissão de cotas de classe fechada deve ser utilizado o valor definido ou calculado conforme definido na assembleia de cotistas que deliberou a emissão.</w:t>
      </w:r>
    </w:p>
    <w:p w14:paraId="782055ED" w14:textId="4755E47C" w:rsidR="008A7DB7" w:rsidRPr="0097459F" w:rsidRDefault="008A7DB7" w:rsidP="00C20BBD">
      <w:pPr>
        <w:pStyle w:val="Normalalteradora"/>
        <w:rPr>
          <w:rFonts w:cstheme="minorHAnsi"/>
        </w:rPr>
      </w:pPr>
      <w:r w:rsidRPr="0097459F">
        <w:rPr>
          <w:rFonts w:cstheme="minorHAnsi"/>
        </w:rPr>
        <w:t xml:space="preserve">§ 1º  O regulamento pode estabelecer </w:t>
      </w:r>
      <w:r w:rsidR="006C7DF3" w:rsidRPr="0097459F">
        <w:rPr>
          <w:rFonts w:cstheme="minorHAnsi"/>
        </w:rPr>
        <w:t>método para o cálculo d</w:t>
      </w:r>
      <w:r w:rsidRPr="0097459F">
        <w:rPr>
          <w:rFonts w:cstheme="minorHAnsi"/>
        </w:rPr>
        <w:t>o valor de emissão</w:t>
      </w:r>
      <w:r w:rsidR="006C4989" w:rsidRPr="0097459F">
        <w:rPr>
          <w:rFonts w:cstheme="minorHAnsi"/>
        </w:rPr>
        <w:t>, que deve ser consistente e passível de verificação</w:t>
      </w:r>
      <w:r w:rsidR="00BD6F8B" w:rsidRPr="0097459F">
        <w:rPr>
          <w:rFonts w:cstheme="minorHAnsi"/>
        </w:rPr>
        <w:t>, o que dispensa a definição na assembleia</w:t>
      </w:r>
      <w:r w:rsidRPr="0097459F">
        <w:rPr>
          <w:rFonts w:cstheme="minorHAnsi"/>
        </w:rPr>
        <w:t>.</w:t>
      </w:r>
    </w:p>
    <w:p w14:paraId="44B25A27" w14:textId="04743FA1" w:rsidR="008A7DB7" w:rsidRPr="0097459F" w:rsidRDefault="008A7DB7" w:rsidP="00C20BBD">
      <w:pPr>
        <w:pStyle w:val="Normalalteradora"/>
        <w:rPr>
          <w:rFonts w:cstheme="minorHAnsi"/>
        </w:rPr>
      </w:pPr>
      <w:r w:rsidRPr="0097459F">
        <w:rPr>
          <w:rFonts w:cstheme="minorHAnsi"/>
        </w:rPr>
        <w:t xml:space="preserve">§ 2º  </w:t>
      </w:r>
      <w:r w:rsidR="006C4989" w:rsidRPr="0097459F">
        <w:rPr>
          <w:rFonts w:cstheme="minorHAnsi"/>
        </w:rPr>
        <w:t xml:space="preserve">Caso a emissão seja uma decisão do gestor, nos termos do art. </w:t>
      </w:r>
      <w:r w:rsidR="00541B67" w:rsidRPr="0097459F">
        <w:rPr>
          <w:rFonts w:cstheme="minorHAnsi"/>
        </w:rPr>
        <w:t>48</w:t>
      </w:r>
      <w:r w:rsidR="006C4989" w:rsidRPr="0097459F">
        <w:rPr>
          <w:rFonts w:cstheme="minorHAnsi"/>
        </w:rPr>
        <w:t>, § 2º, VI</w:t>
      </w:r>
      <w:r w:rsidR="00E12589">
        <w:rPr>
          <w:rFonts w:cstheme="minorHAnsi"/>
        </w:rPr>
        <w:t>I</w:t>
      </w:r>
      <w:r w:rsidR="006C4989" w:rsidRPr="0097459F">
        <w:rPr>
          <w:rFonts w:cstheme="minorHAnsi"/>
        </w:rPr>
        <w:t xml:space="preserve">, deve ser utilizado </w:t>
      </w:r>
      <w:r w:rsidR="00412EAD" w:rsidRPr="0097459F">
        <w:rPr>
          <w:rFonts w:cstheme="minorHAnsi"/>
        </w:rPr>
        <w:t xml:space="preserve">o </w:t>
      </w:r>
      <w:r w:rsidR="006C4989" w:rsidRPr="0097459F">
        <w:rPr>
          <w:rFonts w:cstheme="minorHAnsi"/>
        </w:rPr>
        <w:t>método previsto no regulamento</w:t>
      </w:r>
      <w:r w:rsidR="00BD6F8B" w:rsidRPr="0097459F">
        <w:rPr>
          <w:rFonts w:cstheme="minorHAnsi"/>
        </w:rPr>
        <w:t>, conforme</w:t>
      </w:r>
      <w:r w:rsidR="00412EAD" w:rsidRPr="0097459F">
        <w:rPr>
          <w:rFonts w:cstheme="minorHAnsi"/>
        </w:rPr>
        <w:t xml:space="preserve"> previsto no § 1º</w:t>
      </w:r>
      <w:r w:rsidR="00541B67" w:rsidRPr="0097459F">
        <w:rPr>
          <w:rFonts w:cstheme="minorHAnsi"/>
        </w:rPr>
        <w:t xml:space="preserve"> deste artigo</w:t>
      </w:r>
      <w:r w:rsidR="006C4989" w:rsidRPr="0097459F">
        <w:rPr>
          <w:rFonts w:cstheme="minorHAnsi"/>
        </w:rPr>
        <w:t>.</w:t>
      </w:r>
    </w:p>
    <w:p w14:paraId="1E9CADC8" w14:textId="77777777" w:rsidR="00893D49" w:rsidRPr="0097459F" w:rsidRDefault="00893D49" w:rsidP="00C20BBD">
      <w:pPr>
        <w:pStyle w:val="Seo"/>
        <w:rPr>
          <w:rFonts w:asciiTheme="minorHAnsi" w:hAnsiTheme="minorHAnsi" w:cstheme="minorHAnsi"/>
        </w:rPr>
      </w:pPr>
      <w:bookmarkStart w:id="68" w:name="_Toc53594435"/>
      <w:bookmarkStart w:id="69" w:name="_Toc53595460"/>
      <w:bookmarkStart w:id="70" w:name="_Toc53594187"/>
      <w:bookmarkStart w:id="71" w:name="_Toc114818967"/>
      <w:bookmarkStart w:id="72" w:name="_Toc57836195"/>
      <w:bookmarkStart w:id="73" w:name="_Toc126226294"/>
      <w:r w:rsidRPr="0097459F">
        <w:rPr>
          <w:rFonts w:asciiTheme="minorHAnsi" w:hAnsiTheme="minorHAnsi" w:cstheme="minorHAnsi"/>
        </w:rPr>
        <w:t xml:space="preserve">Seção III – </w:t>
      </w:r>
      <w:r w:rsidRPr="0097459F">
        <w:rPr>
          <w:rFonts w:asciiTheme="minorHAnsi" w:hAnsiTheme="minorHAnsi"/>
        </w:rPr>
        <w:t>Distribuição</w:t>
      </w:r>
      <w:bookmarkEnd w:id="68"/>
      <w:bookmarkEnd w:id="69"/>
      <w:bookmarkEnd w:id="70"/>
      <w:bookmarkEnd w:id="71"/>
      <w:bookmarkEnd w:id="72"/>
      <w:bookmarkEnd w:id="73"/>
    </w:p>
    <w:p w14:paraId="7BC38A99" w14:textId="77777777" w:rsidR="00893D49" w:rsidRPr="0097459F" w:rsidRDefault="00893D49" w:rsidP="00C20BBD">
      <w:pPr>
        <w:pStyle w:val="Seo"/>
        <w:rPr>
          <w:rFonts w:asciiTheme="minorHAnsi" w:hAnsiTheme="minorHAnsi" w:cstheme="minorHAnsi"/>
        </w:rPr>
      </w:pPr>
      <w:bookmarkStart w:id="74" w:name="_Toc53594436"/>
      <w:bookmarkStart w:id="75" w:name="_Toc53595461"/>
      <w:bookmarkStart w:id="76" w:name="_Toc53594188"/>
      <w:bookmarkStart w:id="77" w:name="_Toc114818968"/>
      <w:bookmarkStart w:id="78" w:name="_Toc57836196"/>
      <w:bookmarkStart w:id="79" w:name="_Toc126226295"/>
      <w:r w:rsidRPr="0097459F">
        <w:rPr>
          <w:rFonts w:asciiTheme="minorHAnsi" w:hAnsiTheme="minorHAnsi" w:cstheme="minorHAnsi"/>
        </w:rPr>
        <w:t xml:space="preserve">Subseção I – </w:t>
      </w:r>
      <w:r w:rsidRPr="0097459F">
        <w:rPr>
          <w:rFonts w:asciiTheme="minorHAnsi" w:hAnsiTheme="minorHAnsi"/>
        </w:rPr>
        <w:t>Disposições</w:t>
      </w:r>
      <w:r w:rsidRPr="0097459F">
        <w:rPr>
          <w:rFonts w:asciiTheme="minorHAnsi" w:hAnsiTheme="minorHAnsi" w:cstheme="minorHAnsi"/>
        </w:rPr>
        <w:t xml:space="preserve"> Gerais</w:t>
      </w:r>
      <w:bookmarkEnd w:id="74"/>
      <w:bookmarkEnd w:id="75"/>
      <w:bookmarkEnd w:id="76"/>
      <w:bookmarkEnd w:id="77"/>
      <w:bookmarkEnd w:id="78"/>
      <w:bookmarkEnd w:id="79"/>
    </w:p>
    <w:p w14:paraId="17A91196" w14:textId="5949AA7B" w:rsidR="00893D49" w:rsidRPr="0097459F" w:rsidRDefault="4AF9F487" w:rsidP="00C20BBD">
      <w:pPr>
        <w:pStyle w:val="Normalalteradora"/>
      </w:pPr>
      <w:r w:rsidRPr="0097459F">
        <w:t>Art. 2</w:t>
      </w:r>
      <w:r w:rsidR="00C907E6" w:rsidRPr="0097459F">
        <w:t>1</w:t>
      </w:r>
      <w:r w:rsidRPr="0097459F">
        <w:t xml:space="preserve">.  A distribuição de cotas deve ser realizada por instituições habilitadas a atuar como integrantes do sistema de distribuição, </w:t>
      </w:r>
      <w:r w:rsidRPr="0097459F">
        <w:rPr>
          <w:rFonts w:eastAsia="Calibri"/>
          <w:color w:val="000000" w:themeColor="text1"/>
        </w:rPr>
        <w:t xml:space="preserve">ressalvadas as dispensas previstas </w:t>
      </w:r>
      <w:r w:rsidR="009840B3" w:rsidRPr="0097459F">
        <w:rPr>
          <w:rFonts w:eastAsia="Calibri"/>
          <w:color w:val="000000" w:themeColor="text1"/>
        </w:rPr>
        <w:t>em</w:t>
      </w:r>
      <w:r w:rsidRPr="0097459F">
        <w:rPr>
          <w:rFonts w:eastAsia="Calibri"/>
          <w:color w:val="000000" w:themeColor="text1"/>
        </w:rPr>
        <w:t xml:space="preserve"> regulamentações específicas</w:t>
      </w:r>
      <w:r w:rsidRPr="0097459F">
        <w:t>.</w:t>
      </w:r>
    </w:p>
    <w:p w14:paraId="4C1460A9" w14:textId="7DC3EDED" w:rsidR="00893D49" w:rsidRPr="0097459F" w:rsidRDefault="00893D49" w:rsidP="00C20BBD">
      <w:pPr>
        <w:pStyle w:val="Normalalteradora"/>
        <w:rPr>
          <w:rFonts w:cstheme="minorHAnsi"/>
        </w:rPr>
      </w:pPr>
      <w:r w:rsidRPr="0097459F">
        <w:rPr>
          <w:rFonts w:cstheme="minorHAnsi"/>
        </w:rPr>
        <w:t xml:space="preserve">§ 1º  A distribuição referida no </w:t>
      </w:r>
      <w:r w:rsidRPr="0097459F">
        <w:rPr>
          <w:rFonts w:cstheme="minorHAnsi"/>
          <w:b/>
        </w:rPr>
        <w:t>caput</w:t>
      </w:r>
      <w:r w:rsidRPr="0097459F">
        <w:rPr>
          <w:rFonts w:cstheme="minorHAnsi"/>
        </w:rPr>
        <w:t xml:space="preserve"> pode ser realizada exclusivamente por meios eletrônicos.</w:t>
      </w:r>
    </w:p>
    <w:p w14:paraId="44CD23F0" w14:textId="36668E9A" w:rsidR="00893D49" w:rsidRPr="0097459F" w:rsidRDefault="00893D49" w:rsidP="00C20BBD">
      <w:pPr>
        <w:pStyle w:val="Normalalteradora"/>
        <w:rPr>
          <w:rFonts w:cstheme="minorHAnsi"/>
        </w:rPr>
      </w:pPr>
      <w:r w:rsidRPr="0097459F">
        <w:rPr>
          <w:rFonts w:cstheme="minorHAnsi"/>
        </w:rPr>
        <w:t xml:space="preserve">§ 2º  O </w:t>
      </w:r>
      <w:r w:rsidR="00A05307" w:rsidRPr="0097459F">
        <w:rPr>
          <w:rFonts w:cstheme="minorHAnsi"/>
        </w:rPr>
        <w:t xml:space="preserve">gestor </w:t>
      </w:r>
      <w:r w:rsidRPr="0097459F">
        <w:rPr>
          <w:rFonts w:cstheme="minorHAnsi"/>
        </w:rPr>
        <w:t>é obrigado a:</w:t>
      </w:r>
    </w:p>
    <w:p w14:paraId="1B855296" w14:textId="23C16E9A" w:rsidR="00B11BBD" w:rsidRPr="0097459F" w:rsidRDefault="4AF9F487" w:rsidP="00C20BBD">
      <w:pPr>
        <w:pStyle w:val="Normalalteradora"/>
      </w:pPr>
      <w:r w:rsidRPr="0097459F">
        <w:t xml:space="preserve">I – fornecer aos distribuidores todo o material de divulgação </w:t>
      </w:r>
      <w:r w:rsidR="55B3092A" w:rsidRPr="0097459F">
        <w:t>da classe</w:t>
      </w:r>
      <w:r w:rsidRPr="0097459F">
        <w:t xml:space="preserve"> exigido pela regulamentação em vigor, respondendo pela </w:t>
      </w:r>
      <w:r w:rsidR="5F778061" w:rsidRPr="0097459F">
        <w:t>suficiência, veracidade, precisão, consistência e atualidade</w:t>
      </w:r>
      <w:r w:rsidR="5F778061" w:rsidRPr="0097459F">
        <w:rPr>
          <w:rStyle w:val="Refdecomentrio"/>
          <w:rFonts w:ascii="Times New Roman" w:eastAsia="Calibri" w:hAnsi="Times New Roman" w:cs="Times New Roman"/>
          <w:sz w:val="24"/>
          <w:szCs w:val="24"/>
          <w:lang w:eastAsia="en-US"/>
        </w:rPr>
        <w:t xml:space="preserve"> </w:t>
      </w:r>
      <w:r w:rsidRPr="0097459F">
        <w:t>das informações contidas no referido material;</w:t>
      </w:r>
      <w:r w:rsidR="6F96DD84" w:rsidRPr="0097459F">
        <w:t xml:space="preserve"> e</w:t>
      </w:r>
    </w:p>
    <w:p w14:paraId="4EB491DB" w14:textId="7733245A" w:rsidR="00893D49" w:rsidRPr="0097459F" w:rsidRDefault="00893D49" w:rsidP="00C20BBD">
      <w:pPr>
        <w:pStyle w:val="Normalalteradora"/>
        <w:rPr>
          <w:rFonts w:cstheme="minorHAnsi"/>
        </w:rPr>
      </w:pPr>
      <w:r w:rsidRPr="0097459F">
        <w:rPr>
          <w:rFonts w:cstheme="minorHAnsi"/>
        </w:rPr>
        <w:lastRenderedPageBreak/>
        <w:t xml:space="preserve">II – informar aos distribuidores qualquer alteração que ocorra </w:t>
      </w:r>
      <w:r w:rsidR="00A05307" w:rsidRPr="0097459F">
        <w:rPr>
          <w:rFonts w:cstheme="minorHAnsi"/>
        </w:rPr>
        <w:t>na classe</w:t>
      </w:r>
      <w:r w:rsidRPr="0097459F">
        <w:rPr>
          <w:rFonts w:cstheme="minorHAnsi"/>
        </w:rPr>
        <w:t xml:space="preserve">, especialmente se decorrente da mudança do regulamento, hipótese em que o </w:t>
      </w:r>
      <w:r w:rsidR="007A74CE" w:rsidRPr="0097459F">
        <w:rPr>
          <w:rFonts w:cstheme="minorHAnsi"/>
        </w:rPr>
        <w:t xml:space="preserve">gestor </w:t>
      </w:r>
      <w:r w:rsidR="00273C0F" w:rsidRPr="0097459F">
        <w:rPr>
          <w:rFonts w:cstheme="minorHAnsi"/>
        </w:rPr>
        <w:t xml:space="preserve">deve </w:t>
      </w:r>
      <w:r w:rsidRPr="0097459F">
        <w:rPr>
          <w:rFonts w:cstheme="minorHAnsi"/>
        </w:rPr>
        <w:t xml:space="preserve">imediatamente </w:t>
      </w:r>
      <w:r w:rsidR="00273C0F" w:rsidRPr="0097459F">
        <w:rPr>
          <w:rFonts w:cstheme="minorHAnsi"/>
        </w:rPr>
        <w:t>enviar</w:t>
      </w:r>
      <w:r w:rsidRPr="0097459F">
        <w:rPr>
          <w:rFonts w:cstheme="minorHAnsi"/>
        </w:rPr>
        <w:t xml:space="preserve"> o material de divulgação </w:t>
      </w:r>
      <w:r w:rsidR="00565F65" w:rsidRPr="0097459F">
        <w:rPr>
          <w:rFonts w:cstheme="minorHAnsi"/>
        </w:rPr>
        <w:t>atualizado aos</w:t>
      </w:r>
      <w:r w:rsidRPr="0097459F">
        <w:rPr>
          <w:rFonts w:cstheme="minorHAnsi"/>
        </w:rPr>
        <w:t xml:space="preserve"> distribuidores contratados</w:t>
      </w:r>
      <w:r w:rsidR="00565F65" w:rsidRPr="0097459F">
        <w:rPr>
          <w:rFonts w:cstheme="minorHAnsi"/>
        </w:rPr>
        <w:t xml:space="preserve"> para que o substituam</w:t>
      </w:r>
      <w:r w:rsidR="00A340D2" w:rsidRPr="0097459F">
        <w:rPr>
          <w:rFonts w:cstheme="minorHAnsi"/>
        </w:rPr>
        <w:t>.</w:t>
      </w:r>
    </w:p>
    <w:p w14:paraId="5C559048" w14:textId="480BEAF4" w:rsidR="00893D49" w:rsidRPr="009827B9" w:rsidRDefault="00893D49" w:rsidP="00EB3D96">
      <w:pPr>
        <w:pStyle w:val="Seo"/>
      </w:pPr>
      <w:bookmarkStart w:id="80" w:name="_Toc53594437"/>
      <w:bookmarkStart w:id="81" w:name="_Toc53595462"/>
      <w:bookmarkStart w:id="82" w:name="_Toc53594189"/>
      <w:bookmarkStart w:id="83" w:name="_Toc114818970"/>
      <w:bookmarkStart w:id="84" w:name="_Toc57836197"/>
      <w:bookmarkStart w:id="85" w:name="_Toc126226296"/>
      <w:r w:rsidRPr="002F65FD">
        <w:rPr>
          <w:rFonts w:cstheme="minorHAnsi"/>
        </w:rPr>
        <w:t>Subseção</w:t>
      </w:r>
      <w:r w:rsidRPr="002F65FD">
        <w:t xml:space="preserve"> II – Regime Aberto</w:t>
      </w:r>
      <w:bookmarkEnd w:id="80"/>
      <w:bookmarkEnd w:id="81"/>
      <w:bookmarkEnd w:id="82"/>
      <w:bookmarkEnd w:id="83"/>
      <w:bookmarkEnd w:id="84"/>
      <w:bookmarkEnd w:id="85"/>
    </w:p>
    <w:p w14:paraId="598CFE39" w14:textId="59E03AF8" w:rsidR="00893D49" w:rsidRPr="0097459F" w:rsidRDefault="00893D49" w:rsidP="00C20BBD">
      <w:pPr>
        <w:pStyle w:val="Normalalteradora"/>
        <w:rPr>
          <w:rFonts w:cstheme="minorHAnsi"/>
        </w:rPr>
      </w:pPr>
      <w:r w:rsidRPr="0097459F">
        <w:rPr>
          <w:rFonts w:cstheme="minorHAnsi"/>
        </w:rPr>
        <w:t xml:space="preserve">Art. </w:t>
      </w:r>
      <w:r w:rsidR="00D04111" w:rsidRPr="0097459F">
        <w:rPr>
          <w:rFonts w:cstheme="minorHAnsi"/>
        </w:rPr>
        <w:t>2</w:t>
      </w:r>
      <w:r w:rsidRPr="0097459F">
        <w:rPr>
          <w:rFonts w:cstheme="minorHAnsi"/>
        </w:rPr>
        <w:t>2.  A distribuição de cotas de classe aberta independe de prévio registro na CVM.</w:t>
      </w:r>
    </w:p>
    <w:p w14:paraId="1101AD9F" w14:textId="56D93A86" w:rsidR="00893D49" w:rsidRPr="0097459F" w:rsidRDefault="4AF9F487" w:rsidP="00C20BBD">
      <w:pPr>
        <w:pStyle w:val="Normalalteradora"/>
      </w:pPr>
      <w:r w:rsidRPr="0097459F">
        <w:t xml:space="preserve">Parágrafo único.  É </w:t>
      </w:r>
      <w:r w:rsidR="00E873AC" w:rsidRPr="0097459F">
        <w:t xml:space="preserve">opcional </w:t>
      </w:r>
      <w:r w:rsidRPr="0097459F">
        <w:t xml:space="preserve">a intermediação de instituição integrante do sistema de distribuição de valores mobiliários na aquisição de cotas </w:t>
      </w:r>
      <w:r w:rsidR="00E873AC" w:rsidRPr="0097459F">
        <w:t xml:space="preserve">por </w:t>
      </w:r>
      <w:r w:rsidRPr="0097459F">
        <w:t xml:space="preserve">classes </w:t>
      </w:r>
      <w:r w:rsidR="335E2172" w:rsidRPr="0097459F">
        <w:t xml:space="preserve">abertas </w:t>
      </w:r>
      <w:r w:rsidR="297487FC" w:rsidRPr="0097459F">
        <w:t>de outros fundos</w:t>
      </w:r>
      <w:r w:rsidRPr="0097459F">
        <w:t>, desde que</w:t>
      </w:r>
      <w:r w:rsidR="1C781EDD" w:rsidRPr="0097459F">
        <w:t xml:space="preserve"> um dos</w:t>
      </w:r>
      <w:r w:rsidRPr="0097459F">
        <w:t xml:space="preserve"> </w:t>
      </w:r>
      <w:r w:rsidR="1C781EDD" w:rsidRPr="0097459F">
        <w:t>prestadores de serviços essenciais</w:t>
      </w:r>
      <w:r w:rsidR="5B8F2B69" w:rsidRPr="0097459F">
        <w:t xml:space="preserve"> </w:t>
      </w:r>
      <w:r w:rsidR="335E2172" w:rsidRPr="0097459F">
        <w:t>da classe investida</w:t>
      </w:r>
      <w:r w:rsidRPr="0097459F">
        <w:t xml:space="preserve"> fique responsável pelas atividades de prevenção à lavagem de dinheiro e ao financiamento do terrorismo </w:t>
      </w:r>
      <w:r w:rsidR="5B8F2B69" w:rsidRPr="0097459F">
        <w:t xml:space="preserve">e proliferação de armas de destruição em massa </w:t>
      </w:r>
      <w:r w:rsidRPr="0097459F">
        <w:t>– PLD</w:t>
      </w:r>
      <w:r w:rsidR="5B8F2B69" w:rsidRPr="0097459F">
        <w:t>/</w:t>
      </w:r>
      <w:r w:rsidRPr="0097459F">
        <w:t>FT</w:t>
      </w:r>
      <w:r w:rsidR="5B8F2B69" w:rsidRPr="0097459F">
        <w:t>P</w:t>
      </w:r>
      <w:r w:rsidRPr="0097459F">
        <w:t>.</w:t>
      </w:r>
    </w:p>
    <w:p w14:paraId="086E693C" w14:textId="5E3DCDE9" w:rsidR="00893D49" w:rsidRPr="0097459F" w:rsidRDefault="00893D49" w:rsidP="00C20BBD">
      <w:pPr>
        <w:pStyle w:val="Normalalteradora"/>
        <w:rPr>
          <w:rFonts w:cstheme="minorHAnsi"/>
        </w:rPr>
      </w:pPr>
      <w:r w:rsidRPr="0097459F">
        <w:rPr>
          <w:rFonts w:cstheme="minorHAnsi"/>
        </w:rPr>
        <w:t>Art. 2</w:t>
      </w:r>
      <w:r w:rsidR="00D04111" w:rsidRPr="0097459F">
        <w:rPr>
          <w:rFonts w:cstheme="minorHAnsi"/>
        </w:rPr>
        <w:t>3</w:t>
      </w:r>
      <w:r w:rsidRPr="0097459F">
        <w:rPr>
          <w:rFonts w:cstheme="minorHAnsi"/>
        </w:rPr>
        <w:t xml:space="preserve">.  É facultado ao </w:t>
      </w:r>
      <w:r w:rsidR="00007278" w:rsidRPr="0097459F">
        <w:rPr>
          <w:rFonts w:cstheme="minorHAnsi"/>
        </w:rPr>
        <w:t xml:space="preserve">gestor </w:t>
      </w:r>
      <w:r w:rsidRPr="0097459F">
        <w:rPr>
          <w:rFonts w:cstheme="minorHAnsi"/>
        </w:rPr>
        <w:t xml:space="preserve">suspender, a qualquer momento, novas aplicações </w:t>
      </w:r>
      <w:r w:rsidR="002A0892" w:rsidRPr="0097459F">
        <w:rPr>
          <w:rFonts w:cstheme="minorHAnsi"/>
        </w:rPr>
        <w:t xml:space="preserve">em </w:t>
      </w:r>
      <w:r w:rsidRPr="0097459F">
        <w:rPr>
          <w:rFonts w:cstheme="minorHAnsi"/>
        </w:rPr>
        <w:t xml:space="preserve">classe </w:t>
      </w:r>
      <w:r w:rsidR="00007278" w:rsidRPr="0097459F">
        <w:rPr>
          <w:rFonts w:cstheme="minorHAnsi"/>
        </w:rPr>
        <w:t xml:space="preserve">ou subclasse </w:t>
      </w:r>
      <w:r w:rsidRPr="0097459F">
        <w:rPr>
          <w:rFonts w:cstheme="minorHAnsi"/>
        </w:rPr>
        <w:t>aberta, desde que tal suspensão se aplique indistintamente a novos investidores e cotistas atuais.</w:t>
      </w:r>
    </w:p>
    <w:p w14:paraId="0EC7C651" w14:textId="77777777" w:rsidR="00893D49" w:rsidRPr="0097459F" w:rsidRDefault="00893D49" w:rsidP="00C20BBD">
      <w:pPr>
        <w:pStyle w:val="Normalalteradora"/>
        <w:rPr>
          <w:rFonts w:cstheme="minorHAnsi"/>
        </w:rPr>
      </w:pPr>
      <w:r w:rsidRPr="0097459F">
        <w:rPr>
          <w:rFonts w:cstheme="minorHAnsi"/>
        </w:rPr>
        <w:t>§ 1º  A suspensão do recebimento de novas aplicações em um dia não impede a reabertura posterior para aplicações.</w:t>
      </w:r>
    </w:p>
    <w:p w14:paraId="210FC8A6" w14:textId="4EAAFEAC" w:rsidR="00893D49" w:rsidRPr="0097459F" w:rsidRDefault="00893D49" w:rsidP="00C20BBD">
      <w:pPr>
        <w:pStyle w:val="Normalalteradora"/>
        <w:rPr>
          <w:rFonts w:cstheme="minorHAnsi"/>
        </w:rPr>
      </w:pPr>
      <w:r w:rsidRPr="0097459F">
        <w:rPr>
          <w:rFonts w:cstheme="minorHAnsi"/>
        </w:rPr>
        <w:t xml:space="preserve">§ 2º  O </w:t>
      </w:r>
      <w:r w:rsidR="00007278" w:rsidRPr="0097459F">
        <w:rPr>
          <w:rFonts w:cstheme="minorHAnsi"/>
        </w:rPr>
        <w:t xml:space="preserve">gestor </w:t>
      </w:r>
      <w:r w:rsidRPr="0097459F">
        <w:rPr>
          <w:rFonts w:cstheme="minorHAnsi"/>
        </w:rPr>
        <w:t xml:space="preserve">deve comunicar imediatamente aos distribuidores sobre a eventual existência de </w:t>
      </w:r>
      <w:r w:rsidR="00C20E87" w:rsidRPr="0097459F">
        <w:rPr>
          <w:rFonts w:cstheme="minorHAnsi"/>
        </w:rPr>
        <w:t xml:space="preserve">fundos, </w:t>
      </w:r>
      <w:r w:rsidRPr="0097459F">
        <w:rPr>
          <w:rFonts w:cstheme="minorHAnsi"/>
        </w:rPr>
        <w:t xml:space="preserve">classes </w:t>
      </w:r>
      <w:r w:rsidR="00C20E87" w:rsidRPr="0097459F">
        <w:rPr>
          <w:rFonts w:cstheme="minorHAnsi"/>
        </w:rPr>
        <w:t xml:space="preserve">e </w:t>
      </w:r>
      <w:r w:rsidR="00007278" w:rsidRPr="0097459F">
        <w:rPr>
          <w:rFonts w:cstheme="minorHAnsi"/>
        </w:rPr>
        <w:t xml:space="preserve">subclasses </w:t>
      </w:r>
      <w:r w:rsidRPr="0097459F">
        <w:rPr>
          <w:rFonts w:cstheme="minorHAnsi"/>
        </w:rPr>
        <w:t>de cotas que não estejam admitindo captação.</w:t>
      </w:r>
    </w:p>
    <w:p w14:paraId="75915D1F" w14:textId="28376591" w:rsidR="00893D49" w:rsidRPr="0097459F" w:rsidRDefault="00893D49" w:rsidP="00C20BBD">
      <w:pPr>
        <w:pStyle w:val="Normalalteradora"/>
        <w:rPr>
          <w:rFonts w:cstheme="minorHAnsi"/>
        </w:rPr>
      </w:pPr>
      <w:r w:rsidRPr="0097459F">
        <w:rPr>
          <w:rFonts w:cstheme="minorHAnsi"/>
        </w:rPr>
        <w:t xml:space="preserve">§ 3º  No caso de </w:t>
      </w:r>
      <w:r w:rsidR="00C20E87" w:rsidRPr="0097459F">
        <w:rPr>
          <w:rFonts w:cstheme="minorHAnsi"/>
        </w:rPr>
        <w:t xml:space="preserve">fundos, </w:t>
      </w:r>
      <w:r w:rsidR="00042C1C" w:rsidRPr="0097459F">
        <w:rPr>
          <w:rFonts w:cstheme="minorHAnsi"/>
        </w:rPr>
        <w:t xml:space="preserve">classes </w:t>
      </w:r>
      <w:r w:rsidR="00C20E87" w:rsidRPr="0097459F">
        <w:rPr>
          <w:rFonts w:cstheme="minorHAnsi"/>
        </w:rPr>
        <w:t xml:space="preserve">e subclasses </w:t>
      </w:r>
      <w:r w:rsidRPr="0097459F">
        <w:rPr>
          <w:rFonts w:cstheme="minorHAnsi"/>
        </w:rPr>
        <w:t xml:space="preserve">destinadas exclusivamente a investidores profissionais, o </w:t>
      </w:r>
      <w:r w:rsidR="00007278" w:rsidRPr="0097459F">
        <w:rPr>
          <w:rFonts w:cstheme="minorHAnsi"/>
        </w:rPr>
        <w:t xml:space="preserve">gestor </w:t>
      </w:r>
      <w:r w:rsidRPr="0097459F">
        <w:rPr>
          <w:rFonts w:cstheme="minorHAnsi"/>
        </w:rPr>
        <w:t>está autorizado a suspender novas aplicações apenas para novos investidores.</w:t>
      </w:r>
    </w:p>
    <w:p w14:paraId="6BB4EE2C" w14:textId="233E6F00" w:rsidR="009376B5" w:rsidRPr="0097459F" w:rsidRDefault="009376B5" w:rsidP="00C20BBD">
      <w:pPr>
        <w:pStyle w:val="Seo"/>
        <w:rPr>
          <w:rFonts w:asciiTheme="minorHAnsi" w:hAnsiTheme="minorHAnsi"/>
        </w:rPr>
      </w:pPr>
      <w:bookmarkStart w:id="86" w:name="_Toc114818972"/>
      <w:bookmarkStart w:id="87" w:name="_Toc57836198"/>
      <w:bookmarkStart w:id="88" w:name="_Toc126226297"/>
      <w:r w:rsidRPr="0097459F">
        <w:rPr>
          <w:rFonts w:asciiTheme="minorHAnsi" w:hAnsiTheme="minorHAnsi"/>
        </w:rPr>
        <w:t>Subseção III – Regime Fechado</w:t>
      </w:r>
      <w:bookmarkEnd w:id="86"/>
      <w:bookmarkEnd w:id="87"/>
      <w:bookmarkEnd w:id="88"/>
    </w:p>
    <w:p w14:paraId="109D3654" w14:textId="6FA8F769" w:rsidR="00893D49" w:rsidRPr="0097459F" w:rsidRDefault="00893D49" w:rsidP="00C20BBD">
      <w:pPr>
        <w:pStyle w:val="Normalalteradora"/>
      </w:pPr>
      <w:r w:rsidRPr="0097459F">
        <w:t xml:space="preserve">Art. </w:t>
      </w:r>
      <w:r w:rsidR="3253E593" w:rsidRPr="0097459F">
        <w:t>24</w:t>
      </w:r>
      <w:r w:rsidRPr="0097459F">
        <w:t>.  A distribuição de cotas de classe fechada deve observar a regulamentação específica sobre ofertas públicas de distribuição</w:t>
      </w:r>
      <w:r w:rsidR="00180794" w:rsidRPr="0097459F">
        <w:t xml:space="preserve"> de valores mobiliários</w:t>
      </w:r>
      <w:r w:rsidRPr="0097459F">
        <w:t>.</w:t>
      </w:r>
    </w:p>
    <w:p w14:paraId="7A39F09B" w14:textId="2FCEB91A" w:rsidR="00893D49" w:rsidRPr="0097459F" w:rsidDel="00FC555E" w:rsidRDefault="00893D49" w:rsidP="00C20BBD">
      <w:pPr>
        <w:pStyle w:val="Normalalteradora"/>
      </w:pPr>
      <w:r w:rsidRPr="0097459F">
        <w:t xml:space="preserve">Art. </w:t>
      </w:r>
      <w:r w:rsidR="25BF91A0" w:rsidRPr="0097459F">
        <w:t>25</w:t>
      </w:r>
      <w:r w:rsidRPr="0097459F">
        <w:t>.  A assembleia de cotistas que deliberar a emissão de novas cotas de classe fechada pode dispor sobre a quantidade mínima de cotas que deve ser subscrita para que a distribuição seja efetivada, e o tratamento a ser dado no caso de a quantidade mínima não ser alcançada.</w:t>
      </w:r>
    </w:p>
    <w:p w14:paraId="1BD05E13" w14:textId="25DE4E71" w:rsidR="00893D49" w:rsidRPr="0097459F" w:rsidRDefault="00893D49" w:rsidP="00C20BBD">
      <w:pPr>
        <w:pStyle w:val="Normalalteradora"/>
      </w:pPr>
      <w:r w:rsidRPr="0097459F">
        <w:t xml:space="preserve">Art. </w:t>
      </w:r>
      <w:r w:rsidR="5EA8778A" w:rsidRPr="0097459F">
        <w:t>26</w:t>
      </w:r>
      <w:r w:rsidRPr="0097459F">
        <w:t xml:space="preserve">.  Não </w:t>
      </w:r>
      <w:r w:rsidR="00273C0F" w:rsidRPr="0097459F">
        <w:t>é</w:t>
      </w:r>
      <w:r w:rsidRPr="0097459F">
        <w:t xml:space="preserve"> admitida nova distribuição de cotas </w:t>
      </w:r>
      <w:r w:rsidR="00EE24DC" w:rsidRPr="0097459F">
        <w:t xml:space="preserve">de classe fechada </w:t>
      </w:r>
      <w:r w:rsidRPr="0097459F">
        <w:t>antes de encerrada a distribuição anterior de cotas da mesma classe</w:t>
      </w:r>
      <w:r w:rsidR="00CF5F52" w:rsidRPr="0097459F">
        <w:t xml:space="preserve"> ou subclasse</w:t>
      </w:r>
      <w:r w:rsidRPr="0097459F">
        <w:t xml:space="preserve">. </w:t>
      </w:r>
    </w:p>
    <w:p w14:paraId="039CE1DC" w14:textId="40FABFAE" w:rsidR="00180794" w:rsidRPr="0097459F" w:rsidRDefault="00893D49" w:rsidP="00C20BBD">
      <w:pPr>
        <w:pStyle w:val="Normalalteradora"/>
      </w:pPr>
      <w:r w:rsidRPr="0097459F">
        <w:lastRenderedPageBreak/>
        <w:t xml:space="preserve">Art. </w:t>
      </w:r>
      <w:r w:rsidR="60132A30" w:rsidRPr="0097459F">
        <w:t>27</w:t>
      </w:r>
      <w:r w:rsidRPr="0097459F">
        <w:t xml:space="preserve">.  As importâncias recebidas na integralização de cotas durante o processo de distribuição de cotas de classe fechada devem ser depositadas em </w:t>
      </w:r>
      <w:r w:rsidR="0062534D" w:rsidRPr="0097459F">
        <w:t>instituição integrante do Sistema de Pagamentos Brasileiro – SPB ou aplicadas</w:t>
      </w:r>
      <w:r w:rsidR="009C7F0F" w:rsidRPr="0097459F">
        <w:t xml:space="preserve"> em valores mobiliários ou</w:t>
      </w:r>
      <w:r w:rsidR="0079552D" w:rsidRPr="0097459F">
        <w:t xml:space="preserve"> outros</w:t>
      </w:r>
      <w:r w:rsidR="0062534D" w:rsidRPr="0097459F">
        <w:t xml:space="preserve"> ativos financeiros </w:t>
      </w:r>
      <w:r w:rsidR="00086B20" w:rsidRPr="0097459F">
        <w:t xml:space="preserve">compatíveis </w:t>
      </w:r>
      <w:r w:rsidR="0062534D" w:rsidRPr="0097459F">
        <w:t xml:space="preserve">com as </w:t>
      </w:r>
      <w:r w:rsidR="00A711DF" w:rsidRPr="0097459F">
        <w:t xml:space="preserve">características </w:t>
      </w:r>
      <w:r w:rsidR="0062534D" w:rsidRPr="0097459F">
        <w:t>da classe.</w:t>
      </w:r>
    </w:p>
    <w:p w14:paraId="10321AC1" w14:textId="66C70068" w:rsidR="00893D49" w:rsidRPr="0097459F" w:rsidRDefault="00893D49" w:rsidP="00C20BBD">
      <w:pPr>
        <w:pStyle w:val="Normalalteradora"/>
        <w:rPr>
          <w:rFonts w:cstheme="minorHAnsi"/>
        </w:rPr>
      </w:pPr>
      <w:r w:rsidRPr="0097459F">
        <w:rPr>
          <w:rFonts w:cstheme="minorHAnsi"/>
        </w:rPr>
        <w:t xml:space="preserve">§ 1º  No caso de classe de cotas já em funcionamento, os valores relativos à nova distribuição de cotas devem ser escriturados separadamente das demais aplicações, até o encerramento da distribuição. </w:t>
      </w:r>
    </w:p>
    <w:p w14:paraId="6D391063" w14:textId="6A05E9EC" w:rsidR="00893D49" w:rsidRPr="0097459F" w:rsidRDefault="00893D49" w:rsidP="00C20BBD">
      <w:pPr>
        <w:pStyle w:val="Normalalteradora"/>
        <w:rPr>
          <w:rFonts w:cstheme="minorHAnsi"/>
        </w:rPr>
      </w:pPr>
      <w:r w:rsidRPr="0097459F">
        <w:rPr>
          <w:rFonts w:cstheme="minorHAnsi"/>
        </w:rPr>
        <w:t xml:space="preserve">§ 2º </w:t>
      </w:r>
      <w:r w:rsidR="00CF48C4" w:rsidRPr="0097459F">
        <w:rPr>
          <w:rFonts w:cstheme="minorHAnsi"/>
        </w:rPr>
        <w:t xml:space="preserve"> </w:t>
      </w:r>
      <w:r w:rsidRPr="0097459F">
        <w:rPr>
          <w:rFonts w:cstheme="minorHAnsi"/>
        </w:rPr>
        <w:t xml:space="preserve">Assim que </w:t>
      </w:r>
      <w:r w:rsidR="003B6585" w:rsidRPr="0097459F">
        <w:rPr>
          <w:rFonts w:cstheme="minorHAnsi"/>
        </w:rPr>
        <w:t xml:space="preserve">subscrito </w:t>
      </w:r>
      <w:r w:rsidRPr="0097459F">
        <w:rPr>
          <w:rFonts w:cstheme="minorHAnsi"/>
        </w:rPr>
        <w:t>o valor mínimo previsto para a distribuição de cotas, os recursos podem ser investidos na forma prevista no regulamento.</w:t>
      </w:r>
    </w:p>
    <w:p w14:paraId="037CCD72" w14:textId="537A196F" w:rsidR="00881758" w:rsidRPr="0097459F" w:rsidRDefault="0079552D" w:rsidP="00C20BBD">
      <w:pPr>
        <w:pStyle w:val="Normalalteradora"/>
        <w:rPr>
          <w:rFonts w:cstheme="minorHAnsi"/>
        </w:rPr>
      </w:pPr>
      <w:r w:rsidRPr="0097459F">
        <w:rPr>
          <w:rFonts w:cstheme="minorHAnsi"/>
        </w:rPr>
        <w:t>§</w:t>
      </w:r>
      <w:r w:rsidR="00CF48C4" w:rsidRPr="0097459F">
        <w:rPr>
          <w:rFonts w:cstheme="minorHAnsi"/>
        </w:rPr>
        <w:t xml:space="preserve"> </w:t>
      </w:r>
      <w:r w:rsidRPr="0097459F">
        <w:rPr>
          <w:rFonts w:cstheme="minorHAnsi"/>
        </w:rPr>
        <w:t xml:space="preserve">3º </w:t>
      </w:r>
      <w:r w:rsidR="00CF48C4" w:rsidRPr="0097459F">
        <w:rPr>
          <w:rFonts w:cstheme="minorHAnsi"/>
        </w:rPr>
        <w:t xml:space="preserve"> </w:t>
      </w:r>
      <w:r w:rsidRPr="0097459F">
        <w:rPr>
          <w:rFonts w:cstheme="minorHAnsi"/>
        </w:rPr>
        <w:t>O regulamento deve prever que tipo</w:t>
      </w:r>
      <w:r w:rsidR="004477B3" w:rsidRPr="0097459F">
        <w:rPr>
          <w:rFonts w:cstheme="minorHAnsi"/>
        </w:rPr>
        <w:t>s</w:t>
      </w:r>
      <w:r w:rsidRPr="0097459F">
        <w:rPr>
          <w:rFonts w:cstheme="minorHAnsi"/>
        </w:rPr>
        <w:t xml:space="preserve"> de investimentos podem ser realizados para a finalidade prevista no </w:t>
      </w:r>
      <w:r w:rsidRPr="0097459F">
        <w:rPr>
          <w:rFonts w:cstheme="minorHAnsi"/>
          <w:b/>
        </w:rPr>
        <w:t>caput</w:t>
      </w:r>
      <w:r w:rsidRPr="0097459F">
        <w:rPr>
          <w:rFonts w:cstheme="minorHAnsi"/>
        </w:rPr>
        <w:t>, e</w:t>
      </w:r>
      <w:r w:rsidR="00086B20" w:rsidRPr="0097459F">
        <w:rPr>
          <w:rFonts w:cstheme="minorHAnsi"/>
        </w:rPr>
        <w:t>,</w:t>
      </w:r>
      <w:r w:rsidRPr="0097459F">
        <w:rPr>
          <w:rFonts w:cstheme="minorHAnsi"/>
        </w:rPr>
        <w:t xml:space="preserve"> em caso de possibilidade de aplicação em renda variável e derivativos, o material de distribuiç</w:t>
      </w:r>
      <w:r w:rsidR="004477B3" w:rsidRPr="0097459F">
        <w:rPr>
          <w:rFonts w:cstheme="minorHAnsi"/>
        </w:rPr>
        <w:t>ão deve dar destaque a essa informação para ciência dos investidores.</w:t>
      </w:r>
    </w:p>
    <w:p w14:paraId="4136A199" w14:textId="7F97A864" w:rsidR="00893D49" w:rsidRPr="0097459F" w:rsidRDefault="00893D49" w:rsidP="00C20BBD">
      <w:pPr>
        <w:pStyle w:val="Seo"/>
        <w:rPr>
          <w:rFonts w:asciiTheme="minorHAnsi" w:hAnsiTheme="minorHAnsi"/>
        </w:rPr>
      </w:pPr>
      <w:bookmarkStart w:id="89" w:name="_Toc53594439"/>
      <w:bookmarkStart w:id="90" w:name="_Toc53595464"/>
      <w:bookmarkStart w:id="91" w:name="_Toc53594191"/>
      <w:bookmarkStart w:id="92" w:name="_Toc114818973"/>
      <w:bookmarkStart w:id="93" w:name="_Toc57836199"/>
      <w:bookmarkStart w:id="94" w:name="_Toc126226298"/>
      <w:r w:rsidRPr="0097459F">
        <w:rPr>
          <w:rFonts w:asciiTheme="minorHAnsi" w:hAnsiTheme="minorHAnsi"/>
        </w:rPr>
        <w:t>Subseção IV – Subscrição e Integralização</w:t>
      </w:r>
      <w:bookmarkEnd w:id="89"/>
      <w:bookmarkEnd w:id="90"/>
      <w:bookmarkEnd w:id="91"/>
      <w:bookmarkEnd w:id="92"/>
      <w:bookmarkEnd w:id="93"/>
      <w:bookmarkEnd w:id="94"/>
    </w:p>
    <w:p w14:paraId="2D5A33AE" w14:textId="1F0217A6" w:rsidR="00900697" w:rsidRPr="0097459F" w:rsidRDefault="00893D49" w:rsidP="00C20BBD">
      <w:pPr>
        <w:pStyle w:val="Normalalteradora"/>
      </w:pPr>
      <w:r w:rsidRPr="0097459F">
        <w:t xml:space="preserve">Art. </w:t>
      </w:r>
      <w:r w:rsidR="2678FACC" w:rsidRPr="0097459F">
        <w:t>28</w:t>
      </w:r>
      <w:r w:rsidRPr="0097459F">
        <w:t xml:space="preserve">.  Quando do ingresso do cotista </w:t>
      </w:r>
      <w:r w:rsidR="00C959D1" w:rsidRPr="0097459F">
        <w:t>no fundo</w:t>
      </w:r>
      <w:r w:rsidRPr="0097459F">
        <w:t xml:space="preserve">, o </w:t>
      </w:r>
      <w:r w:rsidR="00A64C52" w:rsidRPr="0097459F">
        <w:t>agente</w:t>
      </w:r>
      <w:r w:rsidR="007754B4" w:rsidRPr="0097459F">
        <w:t xml:space="preserve"> que tiver realizado a distribuição</w:t>
      </w:r>
      <w:r w:rsidRPr="0097459F">
        <w:t xml:space="preserve"> </w:t>
      </w:r>
      <w:r w:rsidR="00A64C52" w:rsidRPr="0097459F">
        <w:t xml:space="preserve">de cotas </w:t>
      </w:r>
      <w:r w:rsidR="00CF5F52" w:rsidRPr="0097459F">
        <w:t xml:space="preserve">deve </w:t>
      </w:r>
      <w:r w:rsidRPr="0097459F">
        <w:t xml:space="preserve">disponibilizar a versão vigente do regulamento, </w:t>
      </w:r>
      <w:r w:rsidR="006902CE" w:rsidRPr="0097459F">
        <w:t xml:space="preserve">o que inclui </w:t>
      </w:r>
      <w:r w:rsidRPr="0097459F">
        <w:t xml:space="preserve">o anexo </w:t>
      </w:r>
      <w:r w:rsidR="006902CE" w:rsidRPr="0097459F">
        <w:t>da</w:t>
      </w:r>
      <w:r w:rsidR="00CF5F52" w:rsidRPr="0097459F">
        <w:t xml:space="preserve"> classe investida</w:t>
      </w:r>
      <w:r w:rsidR="00355386" w:rsidRPr="0097459F">
        <w:t xml:space="preserve"> e o apêndice </w:t>
      </w:r>
      <w:r w:rsidR="006902CE" w:rsidRPr="0097459F">
        <w:t xml:space="preserve">da </w:t>
      </w:r>
      <w:r w:rsidR="00355386" w:rsidRPr="0097459F">
        <w:t>subclasse investida</w:t>
      </w:r>
      <w:r w:rsidR="00CF5F52" w:rsidRPr="0097459F">
        <w:t>, se for o caso</w:t>
      </w:r>
      <w:r w:rsidR="006902CE" w:rsidRPr="0097459F">
        <w:t>.</w:t>
      </w:r>
    </w:p>
    <w:p w14:paraId="67E23954" w14:textId="3008BD2B" w:rsidR="00893D49" w:rsidRPr="0097459F" w:rsidRDefault="00900697" w:rsidP="00C20BBD">
      <w:pPr>
        <w:pStyle w:val="Normalalteradora"/>
        <w:rPr>
          <w:rFonts w:cstheme="minorHAnsi"/>
        </w:rPr>
      </w:pPr>
      <w:r w:rsidRPr="0097459F">
        <w:rPr>
          <w:rFonts w:cstheme="minorHAnsi"/>
        </w:rPr>
        <w:t xml:space="preserve">Parágrafo único.  Sem prejuízo do disposto no </w:t>
      </w:r>
      <w:r w:rsidRPr="0097459F">
        <w:rPr>
          <w:rFonts w:cstheme="minorHAnsi"/>
          <w:b/>
        </w:rPr>
        <w:t>caput</w:t>
      </w:r>
      <w:r w:rsidRPr="0097459F">
        <w:rPr>
          <w:rFonts w:cstheme="minorHAnsi"/>
        </w:rPr>
        <w:t xml:space="preserve">, o administrador </w:t>
      </w:r>
      <w:r w:rsidR="00D76102" w:rsidRPr="0097459F">
        <w:rPr>
          <w:rFonts w:cstheme="minorHAnsi"/>
        </w:rPr>
        <w:t>deve</w:t>
      </w:r>
      <w:r w:rsidRPr="0097459F">
        <w:rPr>
          <w:rFonts w:cstheme="minorHAnsi"/>
        </w:rPr>
        <w:t xml:space="preserve"> manter </w:t>
      </w:r>
      <w:r w:rsidR="008837E0" w:rsidRPr="0097459F">
        <w:rPr>
          <w:rFonts w:cstheme="minorHAnsi"/>
        </w:rPr>
        <w:t xml:space="preserve">o regulamento </w:t>
      </w:r>
      <w:r w:rsidRPr="0097459F">
        <w:rPr>
          <w:rFonts w:cstheme="minorHAnsi"/>
        </w:rPr>
        <w:t xml:space="preserve">disponível ao cotista, </w:t>
      </w:r>
      <w:r w:rsidR="00886AB1" w:rsidRPr="0097459F">
        <w:rPr>
          <w:rFonts w:cstheme="minorHAnsi"/>
        </w:rPr>
        <w:t>o que inclui</w:t>
      </w:r>
      <w:r w:rsidRPr="0097459F">
        <w:rPr>
          <w:rFonts w:cstheme="minorHAnsi"/>
        </w:rPr>
        <w:t xml:space="preserve"> os anexos </w:t>
      </w:r>
      <w:r w:rsidR="00886AB1" w:rsidRPr="0097459F">
        <w:rPr>
          <w:rFonts w:cstheme="minorHAnsi"/>
        </w:rPr>
        <w:t xml:space="preserve">e apêndices </w:t>
      </w:r>
      <w:r w:rsidRPr="0097459F">
        <w:rPr>
          <w:rFonts w:cstheme="minorHAnsi"/>
        </w:rPr>
        <w:t xml:space="preserve">pertinentes às classes e subclasses </w:t>
      </w:r>
      <w:r w:rsidR="00886AB1" w:rsidRPr="0097459F">
        <w:rPr>
          <w:rFonts w:cstheme="minorHAnsi"/>
        </w:rPr>
        <w:t>nas quais o cotista ingressar</w:t>
      </w:r>
      <w:r w:rsidR="00302E3D" w:rsidRPr="0097459F">
        <w:rPr>
          <w:rFonts w:cstheme="minorHAnsi"/>
        </w:rPr>
        <w:t>.</w:t>
      </w:r>
    </w:p>
    <w:p w14:paraId="6CBE480B" w14:textId="43C97FD7" w:rsidR="00893D49" w:rsidRPr="0097459F" w:rsidRDefault="00893D49" w:rsidP="00C20BBD">
      <w:pPr>
        <w:pStyle w:val="Normalalteradora"/>
      </w:pPr>
      <w:r w:rsidRPr="0097459F">
        <w:t xml:space="preserve">Art. </w:t>
      </w:r>
      <w:r w:rsidR="07E0BC07" w:rsidRPr="0097459F">
        <w:t>29</w:t>
      </w:r>
      <w:r w:rsidRPr="0097459F">
        <w:t xml:space="preserve">.  Por meio de um termo de adesão e ciência de risco, ao ingressar </w:t>
      </w:r>
      <w:r w:rsidR="00C959D1" w:rsidRPr="0097459F">
        <w:t>no fundo</w:t>
      </w:r>
      <w:r w:rsidRPr="0097459F">
        <w:t xml:space="preserve"> todo cotista deve atestar que:</w:t>
      </w:r>
    </w:p>
    <w:p w14:paraId="5ADEC9DA" w14:textId="2AAC8443" w:rsidR="00893D49" w:rsidRPr="0097459F" w:rsidRDefault="00893D49" w:rsidP="00C20BBD">
      <w:pPr>
        <w:pStyle w:val="Normalalteradora"/>
        <w:rPr>
          <w:rFonts w:cstheme="minorHAnsi"/>
        </w:rPr>
      </w:pPr>
      <w:r w:rsidRPr="0097459F">
        <w:rPr>
          <w:rFonts w:cstheme="minorHAnsi"/>
        </w:rPr>
        <w:t>I – teve acesso ao inteiro teor do regulamento</w:t>
      </w:r>
      <w:r w:rsidR="00355386" w:rsidRPr="0097459F">
        <w:rPr>
          <w:rFonts w:cstheme="minorHAnsi"/>
        </w:rPr>
        <w:t xml:space="preserve"> e, se for o caso, ao anexo </w:t>
      </w:r>
      <w:r w:rsidR="006902CE" w:rsidRPr="0097459F">
        <w:rPr>
          <w:rFonts w:cstheme="minorHAnsi"/>
        </w:rPr>
        <w:t xml:space="preserve">da </w:t>
      </w:r>
      <w:r w:rsidR="00355386" w:rsidRPr="0097459F">
        <w:rPr>
          <w:rFonts w:cstheme="minorHAnsi"/>
        </w:rPr>
        <w:t xml:space="preserve">classe investida e ao apêndice </w:t>
      </w:r>
      <w:r w:rsidR="006902CE" w:rsidRPr="0097459F">
        <w:rPr>
          <w:rFonts w:cstheme="minorHAnsi"/>
        </w:rPr>
        <w:t>da</w:t>
      </w:r>
      <w:r w:rsidR="00355386" w:rsidRPr="0097459F">
        <w:rPr>
          <w:rFonts w:cstheme="minorHAnsi"/>
        </w:rPr>
        <w:t xml:space="preserve"> subclasse investida</w:t>
      </w:r>
      <w:r w:rsidRPr="0097459F">
        <w:rPr>
          <w:rFonts w:cstheme="minorHAnsi"/>
        </w:rPr>
        <w:t>; e</w:t>
      </w:r>
    </w:p>
    <w:p w14:paraId="2FF293C7" w14:textId="77777777" w:rsidR="00893D49" w:rsidRPr="0097459F" w:rsidRDefault="00893D49" w:rsidP="00C20BBD">
      <w:pPr>
        <w:pStyle w:val="Normalalteradora"/>
        <w:rPr>
          <w:rFonts w:cstheme="minorHAnsi"/>
        </w:rPr>
      </w:pPr>
      <w:r w:rsidRPr="0097459F">
        <w:rPr>
          <w:rFonts w:cstheme="minorHAnsi"/>
        </w:rPr>
        <w:t>II – tem ciência:</w:t>
      </w:r>
    </w:p>
    <w:p w14:paraId="081BFC22" w14:textId="30D58C2D" w:rsidR="00893D49" w:rsidRPr="0097459F" w:rsidRDefault="00893D49" w:rsidP="00C20BBD">
      <w:pPr>
        <w:pStyle w:val="Normalalteradora"/>
        <w:rPr>
          <w:rFonts w:cstheme="minorHAnsi"/>
        </w:rPr>
      </w:pPr>
      <w:r w:rsidRPr="0097459F">
        <w:rPr>
          <w:rFonts w:cstheme="minorHAnsi"/>
        </w:rPr>
        <w:t xml:space="preserve">a) dos fatores de risco relativos à classe </w:t>
      </w:r>
      <w:r w:rsidR="007B42B5" w:rsidRPr="0097459F">
        <w:rPr>
          <w:rFonts w:cstheme="minorHAnsi"/>
        </w:rPr>
        <w:t>e</w:t>
      </w:r>
      <w:r w:rsidR="005C6519" w:rsidRPr="0097459F">
        <w:rPr>
          <w:rFonts w:cstheme="minorHAnsi"/>
        </w:rPr>
        <w:t>, se for o caso,</w:t>
      </w:r>
      <w:r w:rsidR="007B42B5" w:rsidRPr="0097459F">
        <w:rPr>
          <w:rFonts w:cstheme="minorHAnsi"/>
        </w:rPr>
        <w:t xml:space="preserve"> subclasse </w:t>
      </w:r>
      <w:r w:rsidRPr="0097459F">
        <w:rPr>
          <w:rFonts w:cstheme="minorHAnsi"/>
        </w:rPr>
        <w:t>de cotas;</w:t>
      </w:r>
    </w:p>
    <w:p w14:paraId="34A458BA" w14:textId="77777777" w:rsidR="00893D49" w:rsidRPr="0097459F" w:rsidRDefault="00893D49" w:rsidP="00C20BBD">
      <w:pPr>
        <w:pStyle w:val="Normalalteradora"/>
        <w:rPr>
          <w:rFonts w:cstheme="minorHAnsi"/>
        </w:rPr>
      </w:pPr>
      <w:r w:rsidRPr="0097459F">
        <w:rPr>
          <w:rFonts w:cstheme="minorHAnsi"/>
        </w:rPr>
        <w:t>b) de que não há qualquer garantia contra eventuais perdas patrimoniais que possam ser incorridas pela classe de cotas;</w:t>
      </w:r>
    </w:p>
    <w:p w14:paraId="005A6672" w14:textId="59116A47" w:rsidR="004E6ECA" w:rsidRPr="0097459F" w:rsidRDefault="00893D49" w:rsidP="00C20BBD">
      <w:pPr>
        <w:pStyle w:val="Normalalteradora"/>
      </w:pPr>
      <w:r w:rsidRPr="0097459F">
        <w:lastRenderedPageBreak/>
        <w:t xml:space="preserve">c) de que a concessão </w:t>
      </w:r>
      <w:r w:rsidR="004630C3" w:rsidRPr="0097459F">
        <w:t xml:space="preserve">do </w:t>
      </w:r>
      <w:r w:rsidRPr="0097459F">
        <w:t xml:space="preserve">registro </w:t>
      </w:r>
      <w:r w:rsidR="006A23E5" w:rsidRPr="0097459F">
        <w:t>de funcionamento</w:t>
      </w:r>
      <w:r w:rsidRPr="0097459F">
        <w:t xml:space="preserve"> não implica, por parte da CVM, garantia de veracidade das informações prestadas ou de adequação do regulamento à legislação vigente ou julgamento sobre a qualidade </w:t>
      </w:r>
      <w:r w:rsidR="006A23E5" w:rsidRPr="0097459F">
        <w:t>do fundo</w:t>
      </w:r>
      <w:r w:rsidRPr="0097459F">
        <w:t xml:space="preserve"> ou de </w:t>
      </w:r>
      <w:r w:rsidR="00886AB1" w:rsidRPr="0097459F">
        <w:t>seus</w:t>
      </w:r>
      <w:r w:rsidRPr="0097459F">
        <w:t xml:space="preserve"> prestadores de serviços;</w:t>
      </w:r>
    </w:p>
    <w:p w14:paraId="1FECB023" w14:textId="35BD55C3" w:rsidR="00893D49" w:rsidRPr="0097459F" w:rsidRDefault="00266435" w:rsidP="00C20BBD">
      <w:pPr>
        <w:pStyle w:val="Normalalteradora"/>
      </w:pPr>
      <w:r w:rsidRPr="0097459F">
        <w:t>d</w:t>
      </w:r>
      <w:r w:rsidR="004E6ECA" w:rsidRPr="0097459F">
        <w:t xml:space="preserve">) se for o caso, de que a integralização de cotas ocorrerá </w:t>
      </w:r>
      <w:r w:rsidR="00763D43" w:rsidRPr="0097459F">
        <w:t>por meio de chamadas de capital</w:t>
      </w:r>
      <w:r w:rsidR="007D27E2" w:rsidRPr="0097459F">
        <w:t xml:space="preserve">, nos termos do art. </w:t>
      </w:r>
      <w:r w:rsidR="00541B67" w:rsidRPr="0097459F">
        <w:t xml:space="preserve">30, parágrafo único; </w:t>
      </w:r>
      <w:r w:rsidR="00893D49" w:rsidRPr="0097459F">
        <w:t>e</w:t>
      </w:r>
    </w:p>
    <w:p w14:paraId="69E9EB83" w14:textId="1E1FCE19" w:rsidR="00FB0FCD" w:rsidRPr="0097459F" w:rsidRDefault="00601362" w:rsidP="00C20BBD">
      <w:pPr>
        <w:pStyle w:val="Normalalteradora"/>
        <w:rPr>
          <w:rFonts w:cstheme="minorHAnsi"/>
        </w:rPr>
      </w:pPr>
      <w:r w:rsidRPr="0097459F">
        <w:t>e</w:t>
      </w:r>
      <w:r w:rsidR="00893D49" w:rsidRPr="0097459F">
        <w:t xml:space="preserve">) quando aplicável, de que as estratégias de investimento podem resultar em perdas superiores ao capital aplicado e, caso a responsabilidade do cotista não esteja limitada ao valor por ele subscrito, a consequente </w:t>
      </w:r>
      <w:r w:rsidR="00355386" w:rsidRPr="0097459F">
        <w:t xml:space="preserve">possibilidade de o </w:t>
      </w:r>
      <w:r w:rsidR="00893D49" w:rsidRPr="0097459F">
        <w:t xml:space="preserve">cotista </w:t>
      </w:r>
      <w:r w:rsidR="00355386" w:rsidRPr="0097459F">
        <w:t xml:space="preserve">ter que </w:t>
      </w:r>
      <w:r w:rsidR="00893D49" w:rsidRPr="0097459F">
        <w:t xml:space="preserve">aportar recursos adicionais para cobrir o patrimônio </w:t>
      </w:r>
      <w:r w:rsidR="00A711DF" w:rsidRPr="0097459F">
        <w:t xml:space="preserve">líquido </w:t>
      </w:r>
      <w:r w:rsidR="00893D49" w:rsidRPr="0097459F">
        <w:t>negativo.</w:t>
      </w:r>
    </w:p>
    <w:p w14:paraId="3D50552D" w14:textId="77777777" w:rsidR="00893D49" w:rsidRPr="0097459F" w:rsidRDefault="00893D49" w:rsidP="00C20BBD">
      <w:pPr>
        <w:pStyle w:val="Normalalteradora"/>
        <w:rPr>
          <w:rFonts w:cstheme="minorHAnsi"/>
        </w:rPr>
      </w:pPr>
      <w:r w:rsidRPr="0097459F">
        <w:rPr>
          <w:rFonts w:cstheme="minorHAnsi"/>
        </w:rPr>
        <w:t>§ 1º  O termo de adesão deve:</w:t>
      </w:r>
    </w:p>
    <w:p w14:paraId="4DE06734" w14:textId="3EF9DBE1" w:rsidR="00893D49" w:rsidRPr="0097459F" w:rsidRDefault="00893D49" w:rsidP="00C20BBD">
      <w:pPr>
        <w:pStyle w:val="Normalalteradora"/>
        <w:rPr>
          <w:rFonts w:cstheme="minorHAnsi"/>
        </w:rPr>
      </w:pPr>
      <w:r w:rsidRPr="0097459F">
        <w:rPr>
          <w:rFonts w:cstheme="minorHAnsi"/>
        </w:rPr>
        <w:t>I – conter no máximo 5.000 (cinco mil) caracteres;</w:t>
      </w:r>
    </w:p>
    <w:p w14:paraId="34E41726" w14:textId="5AD4F6F9" w:rsidR="00893D49" w:rsidRPr="0097459F" w:rsidRDefault="00893D49" w:rsidP="00C20BBD">
      <w:pPr>
        <w:pStyle w:val="Normalalteradora"/>
        <w:rPr>
          <w:rFonts w:cstheme="minorHAnsi"/>
        </w:rPr>
      </w:pPr>
      <w:r w:rsidRPr="0097459F">
        <w:rPr>
          <w:rFonts w:cstheme="minorHAnsi"/>
        </w:rPr>
        <w:t xml:space="preserve">II – observar as orientações dispostas no art. </w:t>
      </w:r>
      <w:r w:rsidR="00541B67" w:rsidRPr="0097459F">
        <w:rPr>
          <w:rFonts w:cstheme="minorHAnsi"/>
        </w:rPr>
        <w:t>47</w:t>
      </w:r>
      <w:r w:rsidRPr="0097459F">
        <w:rPr>
          <w:rFonts w:cstheme="minorHAnsi"/>
        </w:rPr>
        <w:t>, § 1º; e</w:t>
      </w:r>
    </w:p>
    <w:p w14:paraId="2D58DDCE" w14:textId="7909B26F" w:rsidR="00893D49" w:rsidRPr="0097459F" w:rsidRDefault="00893D49" w:rsidP="00C20BBD">
      <w:pPr>
        <w:pStyle w:val="Normalalteradora"/>
      </w:pPr>
      <w:r w:rsidRPr="0097459F">
        <w:t xml:space="preserve">III – conter a identificação </w:t>
      </w:r>
      <w:r w:rsidR="005325CB" w:rsidRPr="0097459F">
        <w:t xml:space="preserve">de até </w:t>
      </w:r>
      <w:r w:rsidRPr="0097459F">
        <w:t xml:space="preserve">5 (cinco) principais fatores de risco inerentes à composição da carteira </w:t>
      </w:r>
      <w:r w:rsidR="00A711DF" w:rsidRPr="0097459F">
        <w:t>de ativos</w:t>
      </w:r>
      <w:r w:rsidRPr="0097459F">
        <w:t>.</w:t>
      </w:r>
    </w:p>
    <w:p w14:paraId="4541E8E0" w14:textId="690E394C" w:rsidR="00893D49" w:rsidRPr="0097459F" w:rsidRDefault="00893D49" w:rsidP="00C20BBD">
      <w:pPr>
        <w:pStyle w:val="Normalalteradora"/>
        <w:rPr>
          <w:rFonts w:cstheme="minorHAnsi"/>
        </w:rPr>
      </w:pPr>
      <w:r w:rsidRPr="0097459F">
        <w:rPr>
          <w:rFonts w:cstheme="minorHAnsi"/>
        </w:rPr>
        <w:t xml:space="preserve">§ 2º  Caso o cotista efetue um resgate total e volte a investir na mesma classe </w:t>
      </w:r>
      <w:r w:rsidR="00F227E3" w:rsidRPr="0097459F">
        <w:rPr>
          <w:rFonts w:cstheme="minorHAnsi"/>
        </w:rPr>
        <w:t xml:space="preserve">ou subclasse </w:t>
      </w:r>
      <w:r w:rsidRPr="0097459F">
        <w:rPr>
          <w:rFonts w:cstheme="minorHAnsi"/>
        </w:rPr>
        <w:t xml:space="preserve">em intervalo de tempo durante o qual não ocorra alteração do regulamento que impacte a classe </w:t>
      </w:r>
      <w:r w:rsidR="00F227E3" w:rsidRPr="0097459F">
        <w:rPr>
          <w:rFonts w:cstheme="minorHAnsi"/>
        </w:rPr>
        <w:t xml:space="preserve">ou subclasse </w:t>
      </w:r>
      <w:r w:rsidRPr="0097459F">
        <w:rPr>
          <w:rFonts w:cstheme="minorHAnsi"/>
        </w:rPr>
        <w:t xml:space="preserve">investida, é dispensada a formalização de novo termo, sendo considerado válido o termo formalizado pelo cotista em seu último ingresso. </w:t>
      </w:r>
    </w:p>
    <w:p w14:paraId="61B9167D" w14:textId="357584D5" w:rsidR="00ED0447" w:rsidRPr="0097459F" w:rsidRDefault="00ED0447" w:rsidP="00C20BBD">
      <w:pPr>
        <w:pStyle w:val="Normalalteradora"/>
        <w:rPr>
          <w:rFonts w:cstheme="minorHAnsi"/>
        </w:rPr>
      </w:pPr>
      <w:r w:rsidRPr="0097459F">
        <w:rPr>
          <w:rFonts w:ascii="Calibri" w:hAnsi="Calibri" w:cs="Calibri"/>
        </w:rPr>
        <w:t>§ 3º  Caso o regulamento do fundo não limite a responsabilidade do cotista ao valor por ele subscritos, o cotista deve atestar que tem ciência dos riscos decorrentes da responsabilidade ilimitada</w:t>
      </w:r>
      <w:r w:rsidR="00F521CF" w:rsidRPr="0097459F">
        <w:rPr>
          <w:rFonts w:ascii="Calibri" w:hAnsi="Calibri" w:cs="Calibri"/>
        </w:rPr>
        <w:t>, nos termos do Suplemento A</w:t>
      </w:r>
      <w:r w:rsidRPr="0097459F">
        <w:rPr>
          <w:rFonts w:ascii="Calibri" w:hAnsi="Calibri" w:cs="Calibri"/>
        </w:rPr>
        <w:t>.</w:t>
      </w:r>
    </w:p>
    <w:p w14:paraId="19E638A4" w14:textId="51277157" w:rsidR="00893D49" w:rsidRPr="0097459F" w:rsidRDefault="00893D49" w:rsidP="00C20BBD">
      <w:pPr>
        <w:pStyle w:val="Normalalteradora"/>
        <w:tabs>
          <w:tab w:val="left" w:pos="851"/>
        </w:tabs>
      </w:pPr>
      <w:r w:rsidRPr="0097459F">
        <w:t xml:space="preserve">Art. </w:t>
      </w:r>
      <w:r w:rsidRPr="0097459F" w:rsidDel="00D93A9D">
        <w:t>30</w:t>
      </w:r>
      <w:r w:rsidRPr="0097459F">
        <w:t xml:space="preserve">.  A integralização </w:t>
      </w:r>
      <w:r w:rsidR="00083680" w:rsidRPr="0097459F">
        <w:t xml:space="preserve">de </w:t>
      </w:r>
      <w:r w:rsidRPr="0097459F">
        <w:t>cotas deve ser realizada em moeda corrente nacional, ressalvadas as hipóteses especificamente aplicáveis a determinadas categorias de fundo</w:t>
      </w:r>
      <w:r w:rsidR="000B5C96" w:rsidRPr="0097459F">
        <w:t>.</w:t>
      </w:r>
    </w:p>
    <w:p w14:paraId="0D6A1ABF" w14:textId="57C94807" w:rsidR="00763D43" w:rsidRPr="0097459F" w:rsidRDefault="7770B900" w:rsidP="00C20BBD">
      <w:pPr>
        <w:pStyle w:val="Normalalteradora"/>
      </w:pPr>
      <w:r w:rsidRPr="0097459F">
        <w:t>Parágrafo único.  O documento de aceitação da oferta de cotas de classe fechada</w:t>
      </w:r>
      <w:r w:rsidR="6A6C4EB3" w:rsidRPr="0097459F">
        <w:t xml:space="preserve"> </w:t>
      </w:r>
      <w:r w:rsidRPr="0097459F">
        <w:t>pode</w:t>
      </w:r>
      <w:r w:rsidR="298F4EDE" w:rsidRPr="0097459F">
        <w:t xml:space="preserve"> conter obrigação d</w:t>
      </w:r>
      <w:r w:rsidRPr="0097459F">
        <w:t xml:space="preserve">o investidor </w:t>
      </w:r>
      <w:r w:rsidR="0ED94E53" w:rsidRPr="0097459F">
        <w:t>de</w:t>
      </w:r>
      <w:r w:rsidRPr="0097459F">
        <w:t xml:space="preserve"> integralizar o valor do capital </w:t>
      </w:r>
      <w:r w:rsidR="499DE0B9" w:rsidRPr="0097459F">
        <w:t xml:space="preserve">subscrito </w:t>
      </w:r>
      <w:r w:rsidR="1D212447" w:rsidRPr="0097459F">
        <w:t>de acordo com</w:t>
      </w:r>
      <w:r w:rsidRPr="0097459F">
        <w:t xml:space="preserve"> chamadas</w:t>
      </w:r>
      <w:r w:rsidR="2E3486A9" w:rsidRPr="0097459F">
        <w:t xml:space="preserve"> realizadas pelo gestor</w:t>
      </w:r>
      <w:r w:rsidRPr="0097459F">
        <w:t xml:space="preserve">, </w:t>
      </w:r>
      <w:r w:rsidR="4DA03E91" w:rsidRPr="0097459F">
        <w:t>observados</w:t>
      </w:r>
      <w:r w:rsidRPr="0097459F">
        <w:t xml:space="preserve"> prazos</w:t>
      </w:r>
      <w:r w:rsidR="194B1D3E" w:rsidRPr="0097459F">
        <w:t xml:space="preserve"> </w:t>
      </w:r>
      <w:r w:rsidRPr="0097459F">
        <w:t xml:space="preserve">e demais </w:t>
      </w:r>
      <w:r w:rsidR="530D9199" w:rsidRPr="0097459F">
        <w:t xml:space="preserve">condições </w:t>
      </w:r>
      <w:r w:rsidRPr="0097459F">
        <w:t>estabelecid</w:t>
      </w:r>
      <w:r w:rsidR="580EA53B" w:rsidRPr="0097459F">
        <w:t>a</w:t>
      </w:r>
      <w:r w:rsidRPr="0097459F">
        <w:t xml:space="preserve">s no </w:t>
      </w:r>
      <w:r w:rsidR="00A711DF" w:rsidRPr="0097459F">
        <w:t xml:space="preserve">referido </w:t>
      </w:r>
      <w:r w:rsidR="00C26AB7" w:rsidRPr="0097459F">
        <w:t>documento</w:t>
      </w:r>
      <w:r w:rsidR="00893D49" w:rsidRPr="0097459F">
        <w:t>.</w:t>
      </w:r>
    </w:p>
    <w:p w14:paraId="2E333C9C" w14:textId="0108A799" w:rsidR="00893D49" w:rsidRPr="0097459F" w:rsidRDefault="00893D49" w:rsidP="00C20BBD">
      <w:pPr>
        <w:pStyle w:val="Normalalteradora"/>
      </w:pPr>
      <w:r w:rsidRPr="0097459F">
        <w:lastRenderedPageBreak/>
        <w:t>Art. 3</w:t>
      </w:r>
      <w:r w:rsidRPr="0097459F" w:rsidDel="00D93A9D">
        <w:t>1</w:t>
      </w:r>
      <w:r w:rsidRPr="0097459F">
        <w:t xml:space="preserve">.  O administrador deve informar a data da primeira integralização de cada classe de cotas, por meio de sistema eletrônico disponível na rede mundial de computadores, no prazo de </w:t>
      </w:r>
      <w:r w:rsidR="002E73ED" w:rsidRPr="0097459F">
        <w:t>5 (</w:t>
      </w:r>
      <w:r w:rsidRPr="0097459F">
        <w:t>cinco</w:t>
      </w:r>
      <w:r w:rsidR="002E73ED" w:rsidRPr="0097459F">
        <w:t>)</w:t>
      </w:r>
      <w:r w:rsidRPr="0097459F">
        <w:t xml:space="preserve"> dias úteis.</w:t>
      </w:r>
    </w:p>
    <w:p w14:paraId="7EA8E743" w14:textId="06CEC442" w:rsidR="00893D49" w:rsidRPr="0097459F" w:rsidRDefault="00893D49" w:rsidP="00C20BBD">
      <w:pPr>
        <w:pStyle w:val="Normalalteradora"/>
      </w:pPr>
      <w:r w:rsidRPr="0097459F">
        <w:t xml:space="preserve">Art. 32.  Sem prejuízo de eventuais sanções, a </w:t>
      </w:r>
      <w:r w:rsidR="00CE6F36" w:rsidRPr="0097459F">
        <w:t>Superintendência competente</w:t>
      </w:r>
      <w:r w:rsidRPr="0097459F">
        <w:t xml:space="preserve"> pode suspender a emissão, subscrição e distribuição de cotas realizada em desacordo com esta </w:t>
      </w:r>
      <w:r w:rsidR="00C007FB" w:rsidRPr="0097459F">
        <w:t>Resolução</w:t>
      </w:r>
      <w:r w:rsidR="002E73ED" w:rsidRPr="0097459F">
        <w:t xml:space="preserve">, </w:t>
      </w:r>
      <w:r w:rsidR="00492EAA" w:rsidRPr="0097459F">
        <w:t xml:space="preserve">observada, ainda, a regulamentação específica sobre </w:t>
      </w:r>
      <w:r w:rsidR="002E73ED" w:rsidRPr="0097459F">
        <w:t>ofertas públicas</w:t>
      </w:r>
      <w:r w:rsidR="00492EAA" w:rsidRPr="0097459F">
        <w:t xml:space="preserve"> de distribuição de valores mobiliários</w:t>
      </w:r>
      <w:r w:rsidRPr="0097459F">
        <w:t>.</w:t>
      </w:r>
    </w:p>
    <w:p w14:paraId="30BCF731" w14:textId="36EEAC66" w:rsidR="00893D49" w:rsidRPr="0097459F" w:rsidRDefault="00893D49" w:rsidP="00C20BBD">
      <w:pPr>
        <w:pStyle w:val="Seo"/>
        <w:rPr>
          <w:rFonts w:asciiTheme="minorHAnsi" w:hAnsiTheme="minorHAnsi"/>
        </w:rPr>
      </w:pPr>
      <w:bookmarkStart w:id="95" w:name="_Toc53594440"/>
      <w:bookmarkStart w:id="96" w:name="_Toc53595465"/>
      <w:bookmarkStart w:id="97" w:name="_Toc53594192"/>
      <w:bookmarkStart w:id="98" w:name="_Toc114818974"/>
      <w:bookmarkStart w:id="99" w:name="_Toc57836200"/>
      <w:bookmarkStart w:id="100" w:name="_Toc126226299"/>
      <w:r w:rsidRPr="0097459F">
        <w:rPr>
          <w:rFonts w:asciiTheme="minorHAnsi" w:hAnsiTheme="minorHAnsi"/>
        </w:rPr>
        <w:t xml:space="preserve">Subseção V – </w:t>
      </w:r>
      <w:r w:rsidR="00437ADC" w:rsidRPr="0097459F">
        <w:rPr>
          <w:rFonts w:asciiTheme="minorHAnsi" w:hAnsiTheme="minorHAnsi"/>
        </w:rPr>
        <w:t xml:space="preserve">Investimento </w:t>
      </w:r>
      <w:r w:rsidRPr="0097459F">
        <w:rPr>
          <w:rFonts w:asciiTheme="minorHAnsi" w:hAnsiTheme="minorHAnsi"/>
        </w:rPr>
        <w:t>por Conta e Ordem</w:t>
      </w:r>
      <w:bookmarkEnd w:id="95"/>
      <w:bookmarkEnd w:id="96"/>
      <w:bookmarkEnd w:id="97"/>
      <w:bookmarkEnd w:id="98"/>
      <w:bookmarkEnd w:id="99"/>
      <w:bookmarkEnd w:id="100"/>
    </w:p>
    <w:p w14:paraId="2B72826B" w14:textId="1B83184E" w:rsidR="00AD74DC" w:rsidRPr="0097459F" w:rsidRDefault="00893D49" w:rsidP="00C20BBD">
      <w:pPr>
        <w:pStyle w:val="Normalalteradora"/>
      </w:pPr>
      <w:r w:rsidRPr="0097459F">
        <w:t xml:space="preserve">Art. </w:t>
      </w:r>
      <w:r w:rsidRPr="0097459F" w:rsidDel="001F7633">
        <w:t>33</w:t>
      </w:r>
      <w:r w:rsidRPr="0097459F">
        <w:t>.  O gestor</w:t>
      </w:r>
      <w:r w:rsidR="00CE6F36" w:rsidRPr="0097459F">
        <w:t xml:space="preserve"> </w:t>
      </w:r>
      <w:r w:rsidRPr="0097459F">
        <w:t xml:space="preserve">pode </w:t>
      </w:r>
      <w:r w:rsidR="000E4282" w:rsidRPr="0097459F">
        <w:t xml:space="preserve">contratar </w:t>
      </w:r>
      <w:r w:rsidRPr="0097459F">
        <w:t xml:space="preserve">o distribuidor </w:t>
      </w:r>
      <w:r w:rsidR="000E4282" w:rsidRPr="0097459F">
        <w:t>para</w:t>
      </w:r>
      <w:r w:rsidRPr="0097459F">
        <w:t xml:space="preserve"> realizar a </w:t>
      </w:r>
      <w:r w:rsidR="000E4282" w:rsidRPr="0097459F">
        <w:t>distribuiç</w:t>
      </w:r>
      <w:r w:rsidR="009C3D5A" w:rsidRPr="0097459F">
        <w:t xml:space="preserve">ão e </w:t>
      </w:r>
      <w:r w:rsidRPr="0097459F">
        <w:t xml:space="preserve">subscrição de cotas </w:t>
      </w:r>
      <w:r w:rsidR="00C959D1" w:rsidRPr="0097459F">
        <w:t>do fundo</w:t>
      </w:r>
      <w:r w:rsidRPr="0097459F">
        <w:t xml:space="preserve"> por conta e ordem </w:t>
      </w:r>
      <w:r w:rsidR="008F4E6A" w:rsidRPr="0097459F">
        <w:t>dos investidores</w:t>
      </w:r>
      <w:r w:rsidRPr="0097459F">
        <w:t>.</w:t>
      </w:r>
    </w:p>
    <w:p w14:paraId="7D0641D7" w14:textId="2B544412" w:rsidR="000E4282" w:rsidRPr="0097459F" w:rsidRDefault="00893D49" w:rsidP="00C20BBD">
      <w:pPr>
        <w:pStyle w:val="Normalalteradora"/>
      </w:pPr>
      <w:r w:rsidRPr="0097459F">
        <w:t xml:space="preserve">Art. 34.  </w:t>
      </w:r>
      <w:r w:rsidR="00255A04" w:rsidRPr="0097459F">
        <w:t xml:space="preserve">O </w:t>
      </w:r>
      <w:r w:rsidRPr="0097459F">
        <w:t xml:space="preserve">distribuidor </w:t>
      </w:r>
      <w:r w:rsidR="00255A04" w:rsidRPr="0097459F">
        <w:t xml:space="preserve">por conta e ordem </w:t>
      </w:r>
      <w:r w:rsidRPr="0097459F">
        <w:t xml:space="preserve">deve </w:t>
      </w:r>
      <w:r w:rsidR="00255A04" w:rsidRPr="0097459F">
        <w:t xml:space="preserve">manter </w:t>
      </w:r>
      <w:r w:rsidRPr="0097459F">
        <w:t xml:space="preserve">registro complementar de cotistas, específico para cada classe </w:t>
      </w:r>
      <w:r w:rsidR="00CF66DF" w:rsidRPr="0097459F">
        <w:t xml:space="preserve">e, se houver, subclasse </w:t>
      </w:r>
      <w:r w:rsidRPr="0097459F">
        <w:t>de cotas em que ocorra subscrição</w:t>
      </w:r>
      <w:r w:rsidR="00D16C1E" w:rsidRPr="0097459F">
        <w:t xml:space="preserve"> por co</w:t>
      </w:r>
      <w:r w:rsidR="00125B86" w:rsidRPr="0097459F">
        <w:t>n</w:t>
      </w:r>
      <w:r w:rsidR="00D16C1E" w:rsidRPr="0097459F">
        <w:t>ta e ordem</w:t>
      </w:r>
      <w:r w:rsidRPr="0097459F">
        <w:t>, de forma que</w:t>
      </w:r>
      <w:r w:rsidR="42EA7860" w:rsidRPr="0097459F">
        <w:rPr>
          <w:rFonts w:ascii="Calibri" w:eastAsia="Calibri" w:hAnsi="Calibri"/>
          <w:color w:val="000000" w:themeColor="text1"/>
        </w:rPr>
        <w:t xml:space="preserve"> a titularidade das cotas </w:t>
      </w:r>
      <w:r w:rsidR="42EA7860" w:rsidRPr="0097459F">
        <w:rPr>
          <w:rFonts w:ascii="Calibri" w:eastAsia="Calibri" w:hAnsi="Calibri" w:cs="Calibri"/>
          <w:color w:val="000000" w:themeColor="text1"/>
        </w:rPr>
        <w:t xml:space="preserve">seja inscrita </w:t>
      </w:r>
      <w:r w:rsidR="42EA7860" w:rsidRPr="0097459F">
        <w:t>no registro em nome dos investidores, atr</w:t>
      </w:r>
      <w:r w:rsidR="2547C05D" w:rsidRPr="0097459F">
        <w:t>i</w:t>
      </w:r>
      <w:r w:rsidR="42EA7860" w:rsidRPr="0097459F">
        <w:t xml:space="preserve">buído a cada cotista um código de investidor e </w:t>
      </w:r>
      <w:r w:rsidR="0CF83466" w:rsidRPr="0097459F">
        <w:t xml:space="preserve">sendo </w:t>
      </w:r>
      <w:r w:rsidR="42EA7860" w:rsidRPr="0097459F">
        <w:t>informado tal código ao administrador</w:t>
      </w:r>
      <w:r w:rsidR="002E73ED" w:rsidRPr="0097459F">
        <w:t>.</w:t>
      </w:r>
    </w:p>
    <w:p w14:paraId="05628494" w14:textId="7BD974E1" w:rsidR="00893D49" w:rsidRPr="0097459F" w:rsidRDefault="368F9022" w:rsidP="00C20BBD">
      <w:pPr>
        <w:pStyle w:val="Normalalteradora"/>
      </w:pPr>
      <w:r w:rsidRPr="0097459F">
        <w:t>§ 1º  O</w:t>
      </w:r>
      <w:r w:rsidR="00893D49" w:rsidRPr="0097459F">
        <w:t xml:space="preserve"> administrador ou</w:t>
      </w:r>
      <w:r w:rsidR="006B7A16" w:rsidRPr="0097459F">
        <w:t xml:space="preserve"> a</w:t>
      </w:r>
      <w:r w:rsidR="00893D49" w:rsidRPr="0097459F">
        <w:t xml:space="preserve"> instituição contratada para realizar a escrituração de cotas </w:t>
      </w:r>
      <w:r w:rsidR="06243B39" w:rsidRPr="0097459F">
        <w:t xml:space="preserve">deve </w:t>
      </w:r>
      <w:r w:rsidR="003A6AC4" w:rsidRPr="0097459F">
        <w:t>inscrevê</w:t>
      </w:r>
      <w:r w:rsidR="006B7A16" w:rsidRPr="0097459F">
        <w:t>-</w:t>
      </w:r>
      <w:r w:rsidR="59A9DB45" w:rsidRPr="0097459F">
        <w:t>l</w:t>
      </w:r>
      <w:r w:rsidR="04AFB46A" w:rsidRPr="0097459F">
        <w:t>as</w:t>
      </w:r>
      <w:r w:rsidR="00893D49" w:rsidRPr="0097459F">
        <w:t xml:space="preserve"> no registro de cotistas </w:t>
      </w:r>
      <w:r w:rsidR="00CF66DF" w:rsidRPr="0097459F">
        <w:t>da classe e, se houver, subclasse de cotas,</w:t>
      </w:r>
      <w:r w:rsidR="00893D49" w:rsidRPr="0097459F">
        <w:t xml:space="preserve"> </w:t>
      </w:r>
      <w:r w:rsidR="04AFB46A" w:rsidRPr="0097459F">
        <w:t>adota</w:t>
      </w:r>
      <w:r w:rsidR="773CC797" w:rsidRPr="0097459F">
        <w:t>ndo</w:t>
      </w:r>
      <w:r w:rsidR="00893D49" w:rsidRPr="0097459F">
        <w:t>, na identificação do titular, o nome do distribuidor</w:t>
      </w:r>
      <w:r w:rsidR="00A62230" w:rsidRPr="0097459F">
        <w:t xml:space="preserve"> por conta e ordem</w:t>
      </w:r>
      <w:r w:rsidR="00893D49" w:rsidRPr="0097459F">
        <w:t xml:space="preserve">, acrescido do código de </w:t>
      </w:r>
      <w:r w:rsidR="006B7A16" w:rsidRPr="0097459F">
        <w:t>investidor</w:t>
      </w:r>
      <w:r w:rsidR="00A62230" w:rsidRPr="0097459F">
        <w:t xml:space="preserve"> referido no </w:t>
      </w:r>
      <w:r w:rsidR="005F4939" w:rsidRPr="0097459F">
        <w:rPr>
          <w:b/>
        </w:rPr>
        <w:t>caput</w:t>
      </w:r>
      <w:r w:rsidR="00893D49" w:rsidRPr="0097459F">
        <w:t>.</w:t>
      </w:r>
    </w:p>
    <w:p w14:paraId="602716D3" w14:textId="38257C84" w:rsidR="001C46EA" w:rsidRPr="0097459F" w:rsidRDefault="008404F1" w:rsidP="00C20BBD">
      <w:pPr>
        <w:pStyle w:val="Normalalteradora"/>
        <w:rPr>
          <w:rFonts w:cstheme="minorHAnsi"/>
        </w:rPr>
      </w:pPr>
      <w:r w:rsidRPr="0097459F">
        <w:rPr>
          <w:rFonts w:cstheme="minorHAnsi"/>
        </w:rPr>
        <w:t>§ 2º</w:t>
      </w:r>
      <w:r w:rsidR="00893D49" w:rsidRPr="0097459F">
        <w:rPr>
          <w:rFonts w:cstheme="minorHAnsi"/>
        </w:rPr>
        <w:t xml:space="preserve">  Os distribuidores que atuem por conta e ordem de clientes devem estar autorizados a prestar os serviços de escrituração de valores mobiliários, nos termos de norma específica, ou providenciar o depósito das cotas </w:t>
      </w:r>
      <w:r w:rsidR="001C46EA" w:rsidRPr="0097459F">
        <w:rPr>
          <w:rFonts w:cstheme="minorHAnsi"/>
        </w:rPr>
        <w:t xml:space="preserve">em </w:t>
      </w:r>
      <w:r w:rsidR="00626441" w:rsidRPr="0097459F">
        <w:rPr>
          <w:rFonts w:cstheme="minorHAnsi"/>
        </w:rPr>
        <w:t xml:space="preserve">central </w:t>
      </w:r>
      <w:r w:rsidR="001C46EA" w:rsidRPr="0097459F">
        <w:rPr>
          <w:rFonts w:cstheme="minorHAnsi"/>
        </w:rPr>
        <w:t>depositária de valores mobiliários ou</w:t>
      </w:r>
      <w:r w:rsidR="00213805" w:rsidRPr="0097459F">
        <w:rPr>
          <w:rFonts w:cstheme="minorHAnsi"/>
        </w:rPr>
        <w:t xml:space="preserve"> seu registro </w:t>
      </w:r>
      <w:r w:rsidR="00893D49" w:rsidRPr="0097459F">
        <w:rPr>
          <w:rFonts w:cstheme="minorHAnsi"/>
        </w:rPr>
        <w:t>em mercado organizado</w:t>
      </w:r>
      <w:r w:rsidR="000E088E" w:rsidRPr="0097459F">
        <w:rPr>
          <w:rFonts w:cstheme="minorHAnsi"/>
        </w:rPr>
        <w:t xml:space="preserve">, </w:t>
      </w:r>
      <w:r w:rsidR="00B92682" w:rsidRPr="0097459F">
        <w:rPr>
          <w:rFonts w:cstheme="minorHAnsi"/>
        </w:rPr>
        <w:t>de modo a possibilitar a identificação d</w:t>
      </w:r>
      <w:r w:rsidR="000E088E" w:rsidRPr="0097459F">
        <w:rPr>
          <w:rFonts w:cstheme="minorHAnsi"/>
        </w:rPr>
        <w:t xml:space="preserve">o cotista </w:t>
      </w:r>
      <w:r w:rsidR="00D04201" w:rsidRPr="0097459F">
        <w:rPr>
          <w:rFonts w:cstheme="minorHAnsi"/>
        </w:rPr>
        <w:t>efetivo</w:t>
      </w:r>
      <w:r w:rsidR="00893D49" w:rsidRPr="0097459F">
        <w:rPr>
          <w:rFonts w:cstheme="minorHAnsi"/>
        </w:rPr>
        <w:t>.</w:t>
      </w:r>
    </w:p>
    <w:p w14:paraId="5B8D6C07" w14:textId="0861D461" w:rsidR="007E7BE3" w:rsidRPr="0097459F" w:rsidRDefault="001C46EA" w:rsidP="00C20BBD">
      <w:pPr>
        <w:pStyle w:val="Normalalteradora"/>
      </w:pPr>
      <w:r w:rsidRPr="0097459F">
        <w:t>A</w:t>
      </w:r>
      <w:r w:rsidR="00893D49" w:rsidRPr="0097459F">
        <w:t xml:space="preserve">rt. </w:t>
      </w:r>
      <w:r w:rsidR="00893D49" w:rsidRPr="0097459F" w:rsidDel="001F7633">
        <w:t>35</w:t>
      </w:r>
      <w:r w:rsidR="00893D49" w:rsidRPr="0097459F">
        <w:t>.  As aplicações</w:t>
      </w:r>
      <w:r w:rsidR="00BB6499" w:rsidRPr="0097459F">
        <w:t>, amortizações</w:t>
      </w:r>
      <w:r w:rsidR="00893D49" w:rsidRPr="0097459F">
        <w:t xml:space="preserve"> e resgates realizados por meio de distribuidores que estejam atuando por conta e ordem de clientes devem ser efetuados de forma segregada, de modo que os bens e direitos integrantes do patrimônio de cada um dos clientes, bem como seus frutos e rendimentos, não se comuniquem </w:t>
      </w:r>
      <w:r w:rsidR="00A303C2" w:rsidRPr="0097459F">
        <w:t xml:space="preserve">entre si </w:t>
      </w:r>
      <w:r w:rsidR="007754B4" w:rsidRPr="0097459F">
        <w:t>ou</w:t>
      </w:r>
      <w:r w:rsidR="00A303C2" w:rsidRPr="0097459F">
        <w:t xml:space="preserve"> </w:t>
      </w:r>
      <w:r w:rsidR="00893D49" w:rsidRPr="0097459F">
        <w:t>com o patrimônio do distribuidor.</w:t>
      </w:r>
    </w:p>
    <w:p w14:paraId="4ED3E004" w14:textId="567E321F" w:rsidR="00A303C2" w:rsidRPr="0097459F" w:rsidRDefault="00893D49" w:rsidP="00C20BBD">
      <w:pPr>
        <w:pStyle w:val="Normalalteradora"/>
        <w:rPr>
          <w:rFonts w:cstheme="minorHAnsi"/>
        </w:rPr>
      </w:pPr>
      <w:r w:rsidRPr="0097459F">
        <w:rPr>
          <w:rFonts w:cstheme="minorHAnsi"/>
        </w:rPr>
        <w:t xml:space="preserve">Parágrafo único. </w:t>
      </w:r>
      <w:r w:rsidR="001F7633" w:rsidRPr="0097459F">
        <w:rPr>
          <w:rFonts w:cstheme="minorHAnsi"/>
        </w:rPr>
        <w:t xml:space="preserve"> </w:t>
      </w:r>
      <w:r w:rsidRPr="0097459F">
        <w:rPr>
          <w:rFonts w:cstheme="minorHAnsi"/>
        </w:rPr>
        <w:t xml:space="preserve">Os bens e direitos de clientes não respondem direta ou indiretamente por qualquer obrigação </w:t>
      </w:r>
      <w:r w:rsidR="00A303C2" w:rsidRPr="0097459F">
        <w:rPr>
          <w:rFonts w:cstheme="minorHAnsi"/>
        </w:rPr>
        <w:t>dos</w:t>
      </w:r>
      <w:r w:rsidRPr="0097459F">
        <w:rPr>
          <w:rFonts w:cstheme="minorHAnsi"/>
        </w:rPr>
        <w:t xml:space="preserve"> distribuidores</w:t>
      </w:r>
      <w:r w:rsidR="00492EAA" w:rsidRPr="0097459F">
        <w:rPr>
          <w:rFonts w:cstheme="minorHAnsi"/>
        </w:rPr>
        <w:t xml:space="preserve"> por conta e ordem</w:t>
      </w:r>
      <w:r w:rsidRPr="0097459F">
        <w:rPr>
          <w:rFonts w:cstheme="minorHAnsi"/>
        </w:rPr>
        <w:t>, sendo vedad</w:t>
      </w:r>
      <w:r w:rsidR="00492EAA" w:rsidRPr="0097459F">
        <w:rPr>
          <w:rFonts w:cstheme="minorHAnsi"/>
        </w:rPr>
        <w:t>o</w:t>
      </w:r>
      <w:r w:rsidRPr="0097459F">
        <w:rPr>
          <w:rFonts w:cstheme="minorHAnsi"/>
        </w:rPr>
        <w:t xml:space="preserve"> </w:t>
      </w:r>
      <w:r w:rsidR="00CB5D9D" w:rsidRPr="0097459F">
        <w:rPr>
          <w:rFonts w:cstheme="minorHAnsi"/>
        </w:rPr>
        <w:t xml:space="preserve">aos distribuidores </w:t>
      </w:r>
      <w:r w:rsidR="00492EAA" w:rsidRPr="0097459F">
        <w:rPr>
          <w:rFonts w:cstheme="minorHAnsi"/>
        </w:rPr>
        <w:t>deles dispor sem prévio consentimento do cliente</w:t>
      </w:r>
      <w:r w:rsidRPr="0097459F">
        <w:rPr>
          <w:rFonts w:cstheme="minorHAnsi"/>
        </w:rPr>
        <w:t xml:space="preserve">. </w:t>
      </w:r>
    </w:p>
    <w:p w14:paraId="200DBCB0" w14:textId="40673A9B" w:rsidR="00893D49" w:rsidRPr="0097459F" w:rsidRDefault="00893D49" w:rsidP="00C20BBD">
      <w:pPr>
        <w:pStyle w:val="Normalalteradora"/>
      </w:pPr>
      <w:r w:rsidRPr="0097459F">
        <w:lastRenderedPageBreak/>
        <w:t>Art. 3</w:t>
      </w:r>
      <w:r w:rsidRPr="0097459F" w:rsidDel="00387D4A">
        <w:t>6</w:t>
      </w:r>
      <w:r w:rsidRPr="0097459F">
        <w:t>.  Os distribuidores que estejam atuando por conta e ordem de clientes assumem todos os ônus e responsabilidades relacionadas aos clientes, inclusive quanto a seu cadastramento, identificação e demais procedimentos que, na forma desta Resolução, caberiam originalmente ao administrador, em especial no que se refere:</w:t>
      </w:r>
    </w:p>
    <w:p w14:paraId="4A0C7CB6" w14:textId="2AF8F3E7" w:rsidR="00893D49" w:rsidRPr="0097459F" w:rsidRDefault="00893D49" w:rsidP="00C20BBD">
      <w:pPr>
        <w:pStyle w:val="Normalalteradora"/>
        <w:rPr>
          <w:rFonts w:cstheme="minorHAnsi"/>
        </w:rPr>
      </w:pPr>
      <w:r w:rsidRPr="0097459F">
        <w:rPr>
          <w:rFonts w:cstheme="minorHAnsi"/>
        </w:rPr>
        <w:t>I – ao fornecimento de regulamentos</w:t>
      </w:r>
      <w:bookmarkStart w:id="101" w:name="_DV_M195"/>
      <w:bookmarkEnd w:id="101"/>
      <w:r w:rsidRPr="0097459F">
        <w:rPr>
          <w:rFonts w:cstheme="minorHAnsi"/>
        </w:rPr>
        <w:t xml:space="preserve">, termos de adesão e ciência de riscos, notas de investimento e extratos </w:t>
      </w:r>
      <w:r w:rsidR="00387D4A" w:rsidRPr="0097459F">
        <w:rPr>
          <w:rFonts w:cstheme="minorHAnsi"/>
        </w:rPr>
        <w:t>que sejam</w:t>
      </w:r>
      <w:r w:rsidRPr="0097459F">
        <w:rPr>
          <w:rFonts w:cstheme="minorHAnsi"/>
        </w:rPr>
        <w:t xml:space="preserve"> encaminhados pelos administradores aos distribuidores para tal finalidade; </w:t>
      </w:r>
      <w:bookmarkStart w:id="102" w:name="_DV_M194"/>
      <w:bookmarkEnd w:id="102"/>
    </w:p>
    <w:p w14:paraId="5C19249D" w14:textId="7290F9FA" w:rsidR="00893D49" w:rsidRPr="0097459F" w:rsidRDefault="00893D49" w:rsidP="00C20BBD">
      <w:pPr>
        <w:pStyle w:val="Normalalteradora"/>
        <w:rPr>
          <w:rFonts w:cstheme="minorHAnsi"/>
        </w:rPr>
      </w:pPr>
      <w:r w:rsidRPr="0097459F">
        <w:rPr>
          <w:rFonts w:cstheme="minorHAnsi"/>
        </w:rPr>
        <w:t>II – à responsabilidade de dar ciência ao</w:t>
      </w:r>
      <w:r w:rsidR="008D3EF2" w:rsidRPr="0097459F">
        <w:rPr>
          <w:rFonts w:cstheme="minorHAnsi"/>
        </w:rPr>
        <w:t>s</w:t>
      </w:r>
      <w:r w:rsidRPr="0097459F">
        <w:rPr>
          <w:rFonts w:cstheme="minorHAnsi"/>
        </w:rPr>
        <w:t xml:space="preserve"> </w:t>
      </w:r>
      <w:r w:rsidR="00171646" w:rsidRPr="0097459F">
        <w:rPr>
          <w:rFonts w:cstheme="minorHAnsi"/>
        </w:rPr>
        <w:t>investidores</w:t>
      </w:r>
      <w:r w:rsidR="008D3EF2" w:rsidRPr="0097459F">
        <w:rPr>
          <w:rFonts w:cstheme="minorHAnsi"/>
        </w:rPr>
        <w:t xml:space="preserve"> </w:t>
      </w:r>
      <w:r w:rsidRPr="0097459F">
        <w:rPr>
          <w:rFonts w:cstheme="minorHAnsi"/>
        </w:rPr>
        <w:t>de que a distribuição é feita por conta e ordem;</w:t>
      </w:r>
    </w:p>
    <w:p w14:paraId="18E267F4" w14:textId="76D3DB24" w:rsidR="00893D49" w:rsidRPr="0097459F" w:rsidRDefault="00196664" w:rsidP="00C20BBD">
      <w:pPr>
        <w:pStyle w:val="Normalalteradora"/>
        <w:rPr>
          <w:rFonts w:cstheme="minorHAnsi"/>
        </w:rPr>
      </w:pPr>
      <w:r w:rsidRPr="0097459F">
        <w:rPr>
          <w:rFonts w:cstheme="minorHAnsi"/>
        </w:rPr>
        <w:t xml:space="preserve">III </w:t>
      </w:r>
      <w:r w:rsidR="00893D49" w:rsidRPr="0097459F">
        <w:rPr>
          <w:rFonts w:cstheme="minorHAnsi"/>
        </w:rPr>
        <w:t xml:space="preserve">– ao controle e à manutenção de registros internos referentes à compatibilidade entre as movimentações dos recursos dos clientes e sua capacidade financeira e atividades econômicas, nos termos </w:t>
      </w:r>
      <w:r w:rsidR="00C007FB" w:rsidRPr="0097459F">
        <w:rPr>
          <w:rFonts w:cstheme="minorHAnsi"/>
        </w:rPr>
        <w:t>da regulamentação específica</w:t>
      </w:r>
      <w:r w:rsidR="00893D49" w:rsidRPr="0097459F">
        <w:rPr>
          <w:rFonts w:cstheme="minorHAnsi"/>
        </w:rPr>
        <w:t xml:space="preserve"> </w:t>
      </w:r>
      <w:r w:rsidR="00C007FB" w:rsidRPr="0097459F">
        <w:rPr>
          <w:rFonts w:cstheme="minorHAnsi"/>
        </w:rPr>
        <w:t>sobre prevenção à lavagem de dinheiro, ao financiamento do terrorismo e ao financiamento da proliferação de armas de destruição em massa – PLD/FTP</w:t>
      </w:r>
      <w:r w:rsidR="00893D49" w:rsidRPr="0097459F">
        <w:rPr>
          <w:rFonts w:cstheme="minorHAnsi"/>
        </w:rPr>
        <w:t>;</w:t>
      </w:r>
    </w:p>
    <w:p w14:paraId="40BACB84" w14:textId="6B47F459" w:rsidR="00893D49" w:rsidRPr="0097459F" w:rsidRDefault="00C402F4" w:rsidP="2889066B">
      <w:pPr>
        <w:pStyle w:val="Normalalteradora"/>
      </w:pPr>
      <w:r w:rsidRPr="0097459F">
        <w:t>I</w:t>
      </w:r>
      <w:r w:rsidR="00893D49" w:rsidRPr="0097459F">
        <w:t>V – à regularidade e guarda da documentação cadastral dos clientes, nos termos da regulamentação em vigor, bem como pelo cumprimento de todas as exigências legais quanto à referida documentação cadastral;</w:t>
      </w:r>
    </w:p>
    <w:p w14:paraId="591E528E" w14:textId="54E57563" w:rsidR="00893D49" w:rsidRPr="0097459F" w:rsidRDefault="00893D49" w:rsidP="00C20BBD">
      <w:pPr>
        <w:pStyle w:val="Normalalteradora"/>
        <w:rPr>
          <w:rFonts w:cstheme="minorHAnsi"/>
        </w:rPr>
      </w:pPr>
      <w:r w:rsidRPr="0097459F">
        <w:rPr>
          <w:rFonts w:cstheme="minorHAnsi"/>
        </w:rPr>
        <w:t xml:space="preserve">V – à prestação de informação diretamente à CVM sobre os dados cadastrais dos </w:t>
      </w:r>
      <w:r w:rsidR="004F5EE5" w:rsidRPr="0097459F">
        <w:rPr>
          <w:rFonts w:cstheme="minorHAnsi"/>
        </w:rPr>
        <w:t xml:space="preserve">cotistas </w:t>
      </w:r>
      <w:r w:rsidR="00F56DC6" w:rsidRPr="0097459F">
        <w:rPr>
          <w:rFonts w:cstheme="minorHAnsi"/>
        </w:rPr>
        <w:t>efetivos</w:t>
      </w:r>
      <w:r w:rsidRPr="0097459F">
        <w:rPr>
          <w:rFonts w:cstheme="minorHAnsi"/>
        </w:rPr>
        <w:t>, quando esta informação for solicitada;</w:t>
      </w:r>
    </w:p>
    <w:p w14:paraId="7B51F5FD" w14:textId="7A7E556E" w:rsidR="00893D49" w:rsidRPr="0097459F" w:rsidRDefault="00893D49" w:rsidP="00C20BBD">
      <w:pPr>
        <w:pStyle w:val="Normalalteradora"/>
        <w:rPr>
          <w:rFonts w:cstheme="minorHAnsi"/>
        </w:rPr>
      </w:pPr>
      <w:r w:rsidRPr="0097459F">
        <w:rPr>
          <w:rFonts w:cstheme="minorHAnsi"/>
        </w:rPr>
        <w:t xml:space="preserve">VI – à comunicação aos </w:t>
      </w:r>
      <w:r w:rsidR="00E4366F" w:rsidRPr="0097459F">
        <w:rPr>
          <w:rFonts w:cstheme="minorHAnsi"/>
        </w:rPr>
        <w:t xml:space="preserve">cotistas </w:t>
      </w:r>
      <w:r w:rsidR="00F56DC6" w:rsidRPr="0097459F">
        <w:rPr>
          <w:rFonts w:cstheme="minorHAnsi"/>
        </w:rPr>
        <w:t>efetivos</w:t>
      </w:r>
      <w:r w:rsidR="00E4366F" w:rsidRPr="0097459F">
        <w:rPr>
          <w:rFonts w:cstheme="minorHAnsi"/>
        </w:rPr>
        <w:t xml:space="preserve"> </w:t>
      </w:r>
      <w:r w:rsidRPr="0097459F">
        <w:rPr>
          <w:rFonts w:cstheme="minorHAnsi"/>
        </w:rPr>
        <w:t>sobre a convocação de assembleias de cotistas e sobre suas deliberações, de acordo com as instruções e informações que, com antecedência suficiente e tempestivamente, receberem dos administradores, observado, ainda, o disposto no art. 38;</w:t>
      </w:r>
    </w:p>
    <w:p w14:paraId="1256D40A" w14:textId="5F318EE6" w:rsidR="00893D49" w:rsidRPr="0097459F" w:rsidRDefault="00893D49" w:rsidP="00C20BBD">
      <w:pPr>
        <w:pStyle w:val="Normalalteradora"/>
        <w:rPr>
          <w:rFonts w:cstheme="minorHAnsi"/>
        </w:rPr>
      </w:pPr>
      <w:r w:rsidRPr="0097459F">
        <w:rPr>
          <w:rFonts w:cstheme="minorHAnsi"/>
        </w:rPr>
        <w:t xml:space="preserve">VII – à manutenção de serviço de atendimento aos </w:t>
      </w:r>
      <w:r w:rsidR="00E4366F" w:rsidRPr="0097459F">
        <w:rPr>
          <w:rFonts w:cstheme="minorHAnsi"/>
        </w:rPr>
        <w:t xml:space="preserve">cotistas </w:t>
      </w:r>
      <w:r w:rsidR="00492EAA" w:rsidRPr="0097459F">
        <w:rPr>
          <w:rFonts w:cstheme="minorHAnsi"/>
        </w:rPr>
        <w:t>efetivos</w:t>
      </w:r>
      <w:r w:rsidRPr="0097459F">
        <w:rPr>
          <w:rFonts w:cstheme="minorHAnsi"/>
        </w:rPr>
        <w:t>, para esclarecimento de dúvidas e pelo recebimento de reclamações;</w:t>
      </w:r>
    </w:p>
    <w:p w14:paraId="2811311E" w14:textId="59269228" w:rsidR="00893D49" w:rsidRPr="0097459F" w:rsidRDefault="00C402F4" w:rsidP="00C20BBD">
      <w:pPr>
        <w:pStyle w:val="Normalalteradora"/>
        <w:rPr>
          <w:rFonts w:cstheme="minorHAnsi"/>
        </w:rPr>
      </w:pPr>
      <w:r w:rsidRPr="0097459F">
        <w:rPr>
          <w:rFonts w:cstheme="minorHAnsi"/>
        </w:rPr>
        <w:t xml:space="preserve">VIII </w:t>
      </w:r>
      <w:r w:rsidR="00893D49" w:rsidRPr="0097459F">
        <w:rPr>
          <w:rFonts w:cstheme="minorHAnsi"/>
        </w:rPr>
        <w:t xml:space="preserve">– ao zelo para que o </w:t>
      </w:r>
      <w:r w:rsidR="00171646" w:rsidRPr="0097459F">
        <w:rPr>
          <w:rFonts w:cstheme="minorHAnsi"/>
        </w:rPr>
        <w:t xml:space="preserve">cotista </w:t>
      </w:r>
      <w:r w:rsidR="00D04201" w:rsidRPr="0097459F">
        <w:rPr>
          <w:rFonts w:cstheme="minorHAnsi"/>
        </w:rPr>
        <w:t xml:space="preserve">efetivo </w:t>
      </w:r>
      <w:r w:rsidR="00893D49" w:rsidRPr="0097459F">
        <w:rPr>
          <w:rFonts w:cstheme="minorHAnsi"/>
        </w:rPr>
        <w:t xml:space="preserve">tenha pleno acesso a todos os documentos e informações previstos nesta Resolução, em igualdade de condições com os demais cotistas </w:t>
      </w:r>
      <w:r w:rsidR="00171646" w:rsidRPr="0097459F">
        <w:rPr>
          <w:rFonts w:cstheme="minorHAnsi"/>
        </w:rPr>
        <w:t>da classe</w:t>
      </w:r>
      <w:r w:rsidR="00893D49" w:rsidRPr="0097459F">
        <w:rPr>
          <w:rFonts w:cstheme="minorHAnsi"/>
        </w:rPr>
        <w:t xml:space="preserve"> objeto da aplicação;</w:t>
      </w:r>
    </w:p>
    <w:p w14:paraId="36960931" w14:textId="5D23BB27" w:rsidR="00893D49" w:rsidRPr="0097459F" w:rsidRDefault="00C402F4" w:rsidP="00C20BBD">
      <w:pPr>
        <w:pStyle w:val="Normalalteradora"/>
        <w:rPr>
          <w:rFonts w:cstheme="minorHAnsi"/>
        </w:rPr>
      </w:pPr>
      <w:r w:rsidRPr="0097459F">
        <w:rPr>
          <w:rFonts w:cstheme="minorHAnsi"/>
        </w:rPr>
        <w:t>I</w:t>
      </w:r>
      <w:r w:rsidR="00893D49" w:rsidRPr="0097459F">
        <w:rPr>
          <w:rFonts w:cstheme="minorHAnsi"/>
        </w:rPr>
        <w:t>X – à manutenção de informações atualizadas que permitam a identificação</w:t>
      </w:r>
      <w:r w:rsidR="00E4366F" w:rsidRPr="0097459F">
        <w:rPr>
          <w:rFonts w:cstheme="minorHAnsi"/>
        </w:rPr>
        <w:t xml:space="preserve"> dos cotistas finais</w:t>
      </w:r>
      <w:r w:rsidR="00893D49" w:rsidRPr="0097459F">
        <w:rPr>
          <w:rFonts w:cstheme="minorHAnsi"/>
        </w:rPr>
        <w:t xml:space="preserve">, a qualquer tempo, bem como do registro atualizado de todas as aplicações e resgates realizados em nome de cada um dos </w:t>
      </w:r>
      <w:r w:rsidR="00171646" w:rsidRPr="0097459F">
        <w:rPr>
          <w:rFonts w:cstheme="minorHAnsi"/>
        </w:rPr>
        <w:t xml:space="preserve">cotistas </w:t>
      </w:r>
      <w:r w:rsidR="00492EAA" w:rsidRPr="0097459F">
        <w:rPr>
          <w:rFonts w:cstheme="minorHAnsi"/>
        </w:rPr>
        <w:t>efetivos</w:t>
      </w:r>
      <w:r w:rsidR="00893D49" w:rsidRPr="0097459F">
        <w:rPr>
          <w:rFonts w:cstheme="minorHAnsi"/>
        </w:rPr>
        <w:t xml:space="preserve">; e </w:t>
      </w:r>
    </w:p>
    <w:p w14:paraId="34EB669B" w14:textId="590C4717" w:rsidR="00893D49" w:rsidRPr="0097459F" w:rsidRDefault="00893D49" w:rsidP="00C20BBD">
      <w:pPr>
        <w:pStyle w:val="Normalalteradora"/>
        <w:rPr>
          <w:rFonts w:cstheme="minorHAnsi"/>
        </w:rPr>
      </w:pPr>
      <w:r w:rsidRPr="0097459F">
        <w:rPr>
          <w:rFonts w:cstheme="minorHAnsi"/>
        </w:rPr>
        <w:lastRenderedPageBreak/>
        <w:t>X – à obrigação de efetuar a retenção e o recolhimento dos tributos incidentes nas aplicações</w:t>
      </w:r>
      <w:r w:rsidR="00BB6499" w:rsidRPr="0097459F">
        <w:rPr>
          <w:rFonts w:cstheme="minorHAnsi"/>
        </w:rPr>
        <w:t>, amortizações</w:t>
      </w:r>
      <w:r w:rsidRPr="0097459F">
        <w:rPr>
          <w:rFonts w:cstheme="minorHAnsi"/>
        </w:rPr>
        <w:t xml:space="preserve"> </w:t>
      </w:r>
      <w:r w:rsidR="00BB6499" w:rsidRPr="0097459F">
        <w:rPr>
          <w:rFonts w:cstheme="minorHAnsi"/>
        </w:rPr>
        <w:t>e</w:t>
      </w:r>
      <w:r w:rsidRPr="0097459F">
        <w:rPr>
          <w:rFonts w:cstheme="minorHAnsi"/>
        </w:rPr>
        <w:t xml:space="preserve"> resgates </w:t>
      </w:r>
      <w:r w:rsidR="00FB4704" w:rsidRPr="0097459F">
        <w:rPr>
          <w:rFonts w:cstheme="minorHAnsi"/>
        </w:rPr>
        <w:t>de cotas</w:t>
      </w:r>
      <w:r w:rsidRPr="0097459F">
        <w:rPr>
          <w:rFonts w:cstheme="minorHAnsi"/>
        </w:rPr>
        <w:t>, conforme determinar a legislação tributária.</w:t>
      </w:r>
    </w:p>
    <w:p w14:paraId="45CC1EED" w14:textId="7ACE006B" w:rsidR="00893D49" w:rsidRPr="0097459F" w:rsidRDefault="00893D49" w:rsidP="00C20BBD">
      <w:pPr>
        <w:pStyle w:val="Normalalteradora"/>
        <w:rPr>
          <w:rFonts w:cstheme="minorHAnsi"/>
        </w:rPr>
      </w:pPr>
      <w:r w:rsidRPr="0097459F">
        <w:rPr>
          <w:rFonts w:cstheme="minorHAnsi"/>
        </w:rPr>
        <w:t>Parágrafo único.  Para os efeitos do inciso VI, serão considerados, para fins de antecedência suficiente e tempestiva a ser observada pelo administrador, os seguintes prazos mínimos:</w:t>
      </w:r>
    </w:p>
    <w:p w14:paraId="42CB430A" w14:textId="2F5FD837" w:rsidR="00893D49" w:rsidRPr="0097459F" w:rsidRDefault="00893D49" w:rsidP="00C20BBD">
      <w:pPr>
        <w:pStyle w:val="Normalalteradora"/>
        <w:rPr>
          <w:rFonts w:cstheme="minorHAnsi"/>
        </w:rPr>
      </w:pPr>
      <w:r w:rsidRPr="0097459F">
        <w:rPr>
          <w:rFonts w:cstheme="minorHAnsi"/>
        </w:rPr>
        <w:t>I – 17 (dezessete) dias de antecedência da realização da assembleia quando a convocação se der por via física; e</w:t>
      </w:r>
    </w:p>
    <w:p w14:paraId="0AD7A16A" w14:textId="1DB55D72" w:rsidR="00893D49" w:rsidRPr="0097459F" w:rsidRDefault="00893D49" w:rsidP="00C20BBD">
      <w:pPr>
        <w:pStyle w:val="Normalalteradora"/>
        <w:rPr>
          <w:rFonts w:cstheme="minorHAnsi"/>
        </w:rPr>
      </w:pPr>
      <w:r w:rsidRPr="0097459F">
        <w:rPr>
          <w:rFonts w:cstheme="minorHAnsi"/>
        </w:rPr>
        <w:t xml:space="preserve">II – </w:t>
      </w:r>
      <w:r w:rsidR="00C959D1" w:rsidRPr="0097459F">
        <w:t>15 (quinze</w:t>
      </w:r>
      <w:r w:rsidRPr="0097459F">
        <w:rPr>
          <w:rFonts w:cstheme="minorHAnsi"/>
        </w:rPr>
        <w:t xml:space="preserve">) dias de antecedência da realização da assembleia quando a convocação se der por meio eletrônico. </w:t>
      </w:r>
    </w:p>
    <w:p w14:paraId="0D581DA0" w14:textId="2818CCF7" w:rsidR="00893D49" w:rsidRPr="0097459F" w:rsidRDefault="00893D49" w:rsidP="00C20BBD">
      <w:pPr>
        <w:pStyle w:val="Normalalteradora"/>
      </w:pPr>
      <w:r w:rsidRPr="0097459F">
        <w:t xml:space="preserve">Art. </w:t>
      </w:r>
      <w:r w:rsidRPr="0097459F" w:rsidDel="0064142C">
        <w:t>37</w:t>
      </w:r>
      <w:r w:rsidRPr="0097459F">
        <w:t>.  O administrador deve disponibilizar ao distribuidor que estiver atuando por conta e ordem de clientes, por meio eletrônico, os seguintes documentos:</w:t>
      </w:r>
    </w:p>
    <w:p w14:paraId="08754CDC" w14:textId="25757A26" w:rsidR="00893D49" w:rsidRPr="0097459F" w:rsidRDefault="00893D49" w:rsidP="00C20BBD">
      <w:pPr>
        <w:pStyle w:val="Normalalteradora"/>
        <w:rPr>
          <w:rFonts w:cstheme="minorHAnsi"/>
        </w:rPr>
      </w:pPr>
      <w:r w:rsidRPr="0097459F">
        <w:rPr>
          <w:rFonts w:cstheme="minorHAnsi"/>
        </w:rPr>
        <w:t>I – nota de investimento que ateste a efetiva realização do investimento a cada nova aplicação realizada por clientes do distribuidor, em até 5 (cinco) dias da data de sua realização; e</w:t>
      </w:r>
    </w:p>
    <w:p w14:paraId="17123D36" w14:textId="17B39C7F" w:rsidR="00893D49" w:rsidRPr="0097459F" w:rsidRDefault="00893D49" w:rsidP="00C20BBD">
      <w:pPr>
        <w:pStyle w:val="Normalalteradora"/>
      </w:pPr>
      <w:r w:rsidRPr="0097459F">
        <w:t>II – mensalmente, extratos individualizados dos clientes do distribuidor, em até 10 (dez) dias após o final do mês anterior.</w:t>
      </w:r>
    </w:p>
    <w:p w14:paraId="31C2F751" w14:textId="6F02FF03" w:rsidR="00893D49" w:rsidRPr="0097459F" w:rsidRDefault="00893D49" w:rsidP="00C20BBD">
      <w:pPr>
        <w:pStyle w:val="Normalalteradora"/>
        <w:rPr>
          <w:rFonts w:cstheme="minorHAnsi"/>
        </w:rPr>
      </w:pPr>
      <w:r w:rsidRPr="0097459F">
        <w:rPr>
          <w:rFonts w:cstheme="minorHAnsi"/>
        </w:rPr>
        <w:t xml:space="preserve">§ 1º  A nota de investimento e o extrato mensal devem ser disponibilizados com a identificação </w:t>
      </w:r>
      <w:r w:rsidR="00F17D9A" w:rsidRPr="0097459F">
        <w:rPr>
          <w:rFonts w:cstheme="minorHAnsi"/>
        </w:rPr>
        <w:t>dos prestadores de serviços essenciais</w:t>
      </w:r>
      <w:r w:rsidRPr="0097459F">
        <w:rPr>
          <w:rFonts w:cstheme="minorHAnsi"/>
        </w:rPr>
        <w:t xml:space="preserve"> e conter:</w:t>
      </w:r>
    </w:p>
    <w:p w14:paraId="1F96A8D5" w14:textId="3DE3F133" w:rsidR="00893D49" w:rsidRPr="0097459F" w:rsidRDefault="00893D49" w:rsidP="00C20BBD">
      <w:pPr>
        <w:pStyle w:val="Normalalteradora"/>
        <w:rPr>
          <w:rFonts w:cstheme="minorHAnsi"/>
        </w:rPr>
      </w:pPr>
      <w:r w:rsidRPr="0097459F">
        <w:rPr>
          <w:rFonts w:cstheme="minorHAnsi"/>
        </w:rPr>
        <w:t xml:space="preserve">I – o código de </w:t>
      </w:r>
      <w:r w:rsidR="00213805" w:rsidRPr="0097459F">
        <w:rPr>
          <w:rFonts w:cstheme="minorHAnsi"/>
        </w:rPr>
        <w:t>investidor</w:t>
      </w:r>
      <w:r w:rsidR="00F85B82" w:rsidRPr="0097459F">
        <w:rPr>
          <w:rFonts w:cstheme="minorHAnsi"/>
        </w:rPr>
        <w:t>, conforme</w:t>
      </w:r>
      <w:r w:rsidR="00213805" w:rsidRPr="0097459F">
        <w:rPr>
          <w:rFonts w:cstheme="minorHAnsi"/>
        </w:rPr>
        <w:t xml:space="preserve"> referido no </w:t>
      </w:r>
      <w:r w:rsidR="00200729" w:rsidRPr="0097459F">
        <w:rPr>
          <w:rFonts w:cstheme="minorHAnsi"/>
          <w:b/>
        </w:rPr>
        <w:t>caput</w:t>
      </w:r>
      <w:r w:rsidR="00213805" w:rsidRPr="0097459F">
        <w:rPr>
          <w:rFonts w:cstheme="minorHAnsi"/>
        </w:rPr>
        <w:t xml:space="preserve"> do art. 34</w:t>
      </w:r>
      <w:r w:rsidRPr="0097459F">
        <w:rPr>
          <w:rFonts w:cstheme="minorHAnsi"/>
        </w:rPr>
        <w:t>;</w:t>
      </w:r>
    </w:p>
    <w:p w14:paraId="71D7B503" w14:textId="5ED2F910" w:rsidR="00893D49" w:rsidRPr="0097459F" w:rsidRDefault="00893D49" w:rsidP="00C20BBD">
      <w:pPr>
        <w:pStyle w:val="Normalalteradora"/>
        <w:rPr>
          <w:rFonts w:cstheme="minorHAnsi"/>
        </w:rPr>
      </w:pPr>
      <w:r w:rsidRPr="0097459F">
        <w:rPr>
          <w:rFonts w:cstheme="minorHAnsi"/>
        </w:rPr>
        <w:t xml:space="preserve">II – a denominação e </w:t>
      </w:r>
      <w:r w:rsidR="00200729" w:rsidRPr="0097459F">
        <w:rPr>
          <w:rFonts w:cstheme="minorHAnsi"/>
        </w:rPr>
        <w:t xml:space="preserve">o </w:t>
      </w:r>
      <w:r w:rsidRPr="0097459F">
        <w:rPr>
          <w:rFonts w:cstheme="minorHAnsi"/>
        </w:rPr>
        <w:t xml:space="preserve">número de inscrição no CNPJ do fundo </w:t>
      </w:r>
      <w:r w:rsidR="0009093F" w:rsidRPr="0097459F">
        <w:rPr>
          <w:rFonts w:cstheme="minorHAnsi"/>
        </w:rPr>
        <w:t>e</w:t>
      </w:r>
      <w:r w:rsidR="00685F11" w:rsidRPr="0097459F">
        <w:rPr>
          <w:rFonts w:cstheme="minorHAnsi"/>
        </w:rPr>
        <w:t>, caso o fundo possua diferentes classes de cotas,</w:t>
      </w:r>
      <w:r w:rsidR="0009093F" w:rsidRPr="0097459F">
        <w:rPr>
          <w:rFonts w:cstheme="minorHAnsi"/>
        </w:rPr>
        <w:t xml:space="preserve"> </w:t>
      </w:r>
      <w:r w:rsidR="00C742C1" w:rsidRPr="0097459F">
        <w:rPr>
          <w:rFonts w:cstheme="minorHAnsi"/>
        </w:rPr>
        <w:t xml:space="preserve">a denominação </w:t>
      </w:r>
      <w:r w:rsidRPr="0097459F">
        <w:rPr>
          <w:rFonts w:cstheme="minorHAnsi"/>
        </w:rPr>
        <w:t>d</w:t>
      </w:r>
      <w:r w:rsidR="00F3345F" w:rsidRPr="0097459F">
        <w:rPr>
          <w:rFonts w:cstheme="minorHAnsi"/>
        </w:rPr>
        <w:t>e tod</w:t>
      </w:r>
      <w:r w:rsidRPr="0097459F">
        <w:rPr>
          <w:rFonts w:cstheme="minorHAnsi"/>
        </w:rPr>
        <w:t>a classe investida</w:t>
      </w:r>
      <w:r w:rsidR="00F85B82" w:rsidRPr="0097459F">
        <w:rPr>
          <w:rFonts w:cstheme="minorHAnsi"/>
        </w:rPr>
        <w:t>,</w:t>
      </w:r>
      <w:r w:rsidR="00C742C1" w:rsidRPr="0097459F">
        <w:rPr>
          <w:rFonts w:cstheme="minorHAnsi"/>
        </w:rPr>
        <w:t xml:space="preserve"> suas inscrições no CNPJ</w:t>
      </w:r>
      <w:r w:rsidR="00F85B82" w:rsidRPr="0097459F">
        <w:rPr>
          <w:rFonts w:cstheme="minorHAnsi"/>
        </w:rPr>
        <w:t xml:space="preserve"> e, se for o caso, especificação da</w:t>
      </w:r>
      <w:r w:rsidR="006C0C0A" w:rsidRPr="0097459F">
        <w:rPr>
          <w:rFonts w:cstheme="minorHAnsi"/>
        </w:rPr>
        <w:t>s</w:t>
      </w:r>
      <w:r w:rsidR="00F85B82" w:rsidRPr="0097459F">
        <w:rPr>
          <w:rFonts w:cstheme="minorHAnsi"/>
        </w:rPr>
        <w:t xml:space="preserve"> subclasse</w:t>
      </w:r>
      <w:r w:rsidR="006C0C0A" w:rsidRPr="0097459F">
        <w:rPr>
          <w:rFonts w:cstheme="minorHAnsi"/>
        </w:rPr>
        <w:t>s</w:t>
      </w:r>
      <w:r w:rsidR="00F85B82" w:rsidRPr="0097459F">
        <w:rPr>
          <w:rFonts w:cstheme="minorHAnsi"/>
        </w:rPr>
        <w:t xml:space="preserve"> investida</w:t>
      </w:r>
      <w:r w:rsidR="006C0C0A" w:rsidRPr="0097459F">
        <w:rPr>
          <w:rFonts w:cstheme="minorHAnsi"/>
        </w:rPr>
        <w:t>s</w:t>
      </w:r>
      <w:r w:rsidRPr="0097459F">
        <w:rPr>
          <w:rFonts w:cstheme="minorHAnsi"/>
        </w:rPr>
        <w:t>;</w:t>
      </w:r>
    </w:p>
    <w:p w14:paraId="7B4838C9" w14:textId="046822CD" w:rsidR="00893D49" w:rsidRPr="0097459F" w:rsidRDefault="00893D49" w:rsidP="00C20BBD">
      <w:pPr>
        <w:pStyle w:val="Normalalteradora"/>
        <w:rPr>
          <w:rFonts w:cstheme="minorHAnsi"/>
        </w:rPr>
      </w:pPr>
      <w:r w:rsidRPr="0097459F">
        <w:rPr>
          <w:rFonts w:cstheme="minorHAnsi"/>
        </w:rPr>
        <w:t xml:space="preserve">III – a quantidade de cotas subscritas e </w:t>
      </w:r>
      <w:r w:rsidR="006D5819" w:rsidRPr="0097459F">
        <w:rPr>
          <w:rFonts w:cstheme="minorHAnsi"/>
        </w:rPr>
        <w:t xml:space="preserve">o </w:t>
      </w:r>
      <w:r w:rsidRPr="0097459F">
        <w:rPr>
          <w:rFonts w:cstheme="minorHAnsi"/>
        </w:rPr>
        <w:t xml:space="preserve">valor investido, discriminado por classe </w:t>
      </w:r>
      <w:r w:rsidR="0009093F" w:rsidRPr="0097459F">
        <w:rPr>
          <w:rFonts w:cstheme="minorHAnsi"/>
        </w:rPr>
        <w:t>e</w:t>
      </w:r>
      <w:r w:rsidR="00685F11" w:rsidRPr="0097459F">
        <w:rPr>
          <w:rFonts w:cstheme="minorHAnsi"/>
        </w:rPr>
        <w:t>, se for o caso,</w:t>
      </w:r>
      <w:r w:rsidR="0009093F" w:rsidRPr="0097459F">
        <w:rPr>
          <w:rFonts w:cstheme="minorHAnsi"/>
        </w:rPr>
        <w:t xml:space="preserve"> subclasse </w:t>
      </w:r>
      <w:r w:rsidRPr="0097459F">
        <w:rPr>
          <w:rFonts w:cstheme="minorHAnsi"/>
        </w:rPr>
        <w:t>de cotas</w:t>
      </w:r>
      <w:r w:rsidR="00200729" w:rsidRPr="0097459F">
        <w:rPr>
          <w:rFonts w:cstheme="minorHAnsi"/>
        </w:rPr>
        <w:t>; e</w:t>
      </w:r>
    </w:p>
    <w:p w14:paraId="1CB76B3C" w14:textId="1CE97052" w:rsidR="00893D49" w:rsidRPr="0097459F" w:rsidRDefault="00F3345F" w:rsidP="00C20BBD">
      <w:pPr>
        <w:pStyle w:val="Normalalteradora"/>
        <w:rPr>
          <w:rFonts w:cstheme="minorHAnsi"/>
        </w:rPr>
      </w:pPr>
      <w:r w:rsidRPr="0097459F">
        <w:rPr>
          <w:rFonts w:cstheme="minorHAnsi"/>
        </w:rPr>
        <w:t xml:space="preserve">IV </w:t>
      </w:r>
      <w:r w:rsidR="00200729" w:rsidRPr="0097459F">
        <w:rPr>
          <w:rFonts w:cstheme="minorHAnsi"/>
        </w:rPr>
        <w:t>–</w:t>
      </w:r>
      <w:r w:rsidR="00893D49" w:rsidRPr="0097459F">
        <w:rPr>
          <w:rFonts w:cstheme="minorHAnsi"/>
        </w:rPr>
        <w:t>a</w:t>
      </w:r>
      <w:r w:rsidR="00200729" w:rsidRPr="0097459F">
        <w:rPr>
          <w:rFonts w:cstheme="minorHAnsi"/>
        </w:rPr>
        <w:t xml:space="preserve"> </w:t>
      </w:r>
      <w:r w:rsidR="00893D49" w:rsidRPr="0097459F">
        <w:rPr>
          <w:rFonts w:cstheme="minorHAnsi"/>
        </w:rPr>
        <w:t>data da subscrição.</w:t>
      </w:r>
    </w:p>
    <w:p w14:paraId="4399AC25" w14:textId="5820C3DC" w:rsidR="00893D49" w:rsidRPr="0097459F" w:rsidRDefault="00893D49" w:rsidP="00C20BBD">
      <w:pPr>
        <w:pStyle w:val="Normalalteradora"/>
      </w:pPr>
      <w:r w:rsidRPr="0097459F">
        <w:t xml:space="preserve">§ </w:t>
      </w:r>
      <w:r w:rsidR="00200729" w:rsidRPr="0097459F">
        <w:t>2</w:t>
      </w:r>
      <w:r w:rsidRPr="0097459F">
        <w:t>º  O extrato mensal deve informar ainda o valor atualizado da posição do cliente em cada classe e, se for o caso, subclasse de cotas.</w:t>
      </w:r>
    </w:p>
    <w:p w14:paraId="02EE9579" w14:textId="0F35F133" w:rsidR="000B5C29" w:rsidRPr="0097459F" w:rsidRDefault="00893D49" w:rsidP="00C20BBD">
      <w:pPr>
        <w:pStyle w:val="Normalalteradora"/>
        <w:rPr>
          <w:rFonts w:cstheme="minorHAnsi"/>
        </w:rPr>
      </w:pPr>
      <w:r w:rsidRPr="0097459F">
        <w:rPr>
          <w:rFonts w:cstheme="minorHAnsi"/>
        </w:rPr>
        <w:lastRenderedPageBreak/>
        <w:t xml:space="preserve">§ </w:t>
      </w:r>
      <w:r w:rsidR="00F77377" w:rsidRPr="0097459F">
        <w:rPr>
          <w:rFonts w:cstheme="minorHAnsi"/>
        </w:rPr>
        <w:t>3</w:t>
      </w:r>
      <w:r w:rsidRPr="0097459F">
        <w:rPr>
          <w:rFonts w:cstheme="minorHAnsi"/>
        </w:rPr>
        <w:t xml:space="preserve">º  O </w:t>
      </w:r>
      <w:r w:rsidR="008858A0" w:rsidRPr="0097459F">
        <w:rPr>
          <w:rFonts w:cstheme="minorHAnsi"/>
        </w:rPr>
        <w:t xml:space="preserve">gestor </w:t>
      </w:r>
      <w:r w:rsidRPr="0097459F">
        <w:rPr>
          <w:rFonts w:cstheme="minorHAnsi"/>
        </w:rPr>
        <w:t>e o distribuidor que estiver atuando por conta e ordem podem adotar medidas adicionais às acima definidas com o objetivo de fornecer ao cliente a segurança necessária de que o investimento foi realizado nos termos demandados</w:t>
      </w:r>
      <w:r w:rsidR="00F3345F" w:rsidRPr="0097459F">
        <w:rPr>
          <w:rFonts w:cstheme="minorHAnsi"/>
        </w:rPr>
        <w:t xml:space="preserve"> pelo cliente</w:t>
      </w:r>
      <w:r w:rsidRPr="0097459F">
        <w:rPr>
          <w:rFonts w:cstheme="minorHAnsi"/>
        </w:rPr>
        <w:t>.</w:t>
      </w:r>
    </w:p>
    <w:p w14:paraId="260F4044" w14:textId="4FE80A93" w:rsidR="00AD6112" w:rsidRPr="0097459F" w:rsidRDefault="00AD6112" w:rsidP="00C20BBD">
      <w:pPr>
        <w:pStyle w:val="Seo"/>
        <w:rPr>
          <w:rFonts w:cstheme="minorHAnsi"/>
        </w:rPr>
      </w:pPr>
      <w:bookmarkStart w:id="103" w:name="_Toc126226300"/>
      <w:r w:rsidRPr="0097459F">
        <w:rPr>
          <w:rFonts w:asciiTheme="minorHAnsi" w:hAnsiTheme="minorHAnsi"/>
        </w:rPr>
        <w:t>Subseção</w:t>
      </w:r>
      <w:r w:rsidRPr="0097459F">
        <w:t xml:space="preserve"> V</w:t>
      </w:r>
      <w:r w:rsidR="00F77377" w:rsidRPr="0097459F">
        <w:t>I</w:t>
      </w:r>
      <w:r w:rsidRPr="0097459F">
        <w:t xml:space="preserve"> – </w:t>
      </w:r>
      <w:r w:rsidR="00D62C1D" w:rsidRPr="0097459F">
        <w:t xml:space="preserve">Participação Política </w:t>
      </w:r>
      <w:r w:rsidR="006C458A" w:rsidRPr="0097459F">
        <w:t>de Investidor</w:t>
      </w:r>
      <w:r w:rsidRPr="0097459F">
        <w:t xml:space="preserve"> por Conta e Ordem</w:t>
      </w:r>
      <w:bookmarkEnd w:id="103"/>
    </w:p>
    <w:p w14:paraId="0976612A" w14:textId="66E07D4C" w:rsidR="00893D49" w:rsidRPr="0097459F" w:rsidRDefault="00893D49" w:rsidP="00C20BBD">
      <w:pPr>
        <w:pStyle w:val="Normalalteradora"/>
      </w:pPr>
      <w:r w:rsidRPr="0097459F">
        <w:t xml:space="preserve">Art. </w:t>
      </w:r>
      <w:r w:rsidRPr="0097459F" w:rsidDel="00F77377">
        <w:t>38</w:t>
      </w:r>
      <w:r w:rsidRPr="0097459F">
        <w:t xml:space="preserve">.  Previamente à realização das assembleias de cotistas, o distribuidor que </w:t>
      </w:r>
      <w:r w:rsidR="00234CCF" w:rsidRPr="0097459F">
        <w:t xml:space="preserve">estiver </w:t>
      </w:r>
      <w:r w:rsidRPr="0097459F">
        <w:t xml:space="preserve">atuando por conta e ordem de clientes deve fornecer ao </w:t>
      </w:r>
      <w:r w:rsidR="00E4366F" w:rsidRPr="0097459F">
        <w:t>c</w:t>
      </w:r>
      <w:r w:rsidR="00D452A9" w:rsidRPr="0097459F">
        <w:t xml:space="preserve">otista </w:t>
      </w:r>
      <w:r w:rsidR="00D04201" w:rsidRPr="0097459F">
        <w:t>efetivo</w:t>
      </w:r>
      <w:r w:rsidR="00E4366F" w:rsidRPr="0097459F">
        <w:t xml:space="preserve"> </w:t>
      </w:r>
      <w:r w:rsidRPr="0097459F">
        <w:t>que assim desejar declaração da quantidade de cotas por ele detidas</w:t>
      </w:r>
      <w:r w:rsidR="00626441" w:rsidRPr="0097459F">
        <w:t>,</w:t>
      </w:r>
      <w:r w:rsidRPr="0097459F">
        <w:t xml:space="preserve"> </w:t>
      </w:r>
      <w:r w:rsidR="00234CCF" w:rsidRPr="0097459F">
        <w:t xml:space="preserve">especificando </w:t>
      </w:r>
      <w:r w:rsidRPr="0097459F">
        <w:t>o fundo, a classe</w:t>
      </w:r>
      <w:r w:rsidR="00234CCF" w:rsidRPr="0097459F">
        <w:t xml:space="preserve"> e</w:t>
      </w:r>
      <w:r w:rsidRPr="0097459F">
        <w:t xml:space="preserve">, se for o caso, </w:t>
      </w:r>
      <w:r w:rsidR="00234CCF" w:rsidRPr="0097459F">
        <w:t xml:space="preserve">a subclasse, o </w:t>
      </w:r>
      <w:r w:rsidRPr="0097459F">
        <w:t xml:space="preserve">nome ou denominação social do cliente, o código </w:t>
      </w:r>
      <w:r w:rsidR="00D452A9" w:rsidRPr="0097459F">
        <w:t xml:space="preserve">de investidor </w:t>
      </w:r>
      <w:r w:rsidRPr="0097459F">
        <w:t xml:space="preserve">e o número da sua inscrição no Cadastro de Pessoas Físicas – CPF ou no Cadastro Nacional da Pessoa Jurídica – CNPJ, constituindo tal documento prova hábil da titularidade das cotas para </w:t>
      </w:r>
      <w:r w:rsidR="00AD6112" w:rsidRPr="0097459F">
        <w:t>fins de participação na assembleia</w:t>
      </w:r>
      <w:r w:rsidRPr="0097459F">
        <w:t>.</w:t>
      </w:r>
    </w:p>
    <w:p w14:paraId="3DE1A9A4" w14:textId="4596DD43" w:rsidR="000246C1" w:rsidRPr="0097459F" w:rsidRDefault="0099618B" w:rsidP="00C20BBD">
      <w:pPr>
        <w:pStyle w:val="Normalalteradora"/>
      </w:pPr>
      <w:r w:rsidRPr="0097459F">
        <w:t>§ 1º</w:t>
      </w:r>
      <w:r w:rsidR="00893D49" w:rsidRPr="0097459F">
        <w:t xml:space="preserve">  O distribuidor atuando por conta e ordem de clientes pode comparecer e votar nas assembleias de cotistas representando os interesses de seus clientes, desde que </w:t>
      </w:r>
      <w:r w:rsidR="005A4228" w:rsidRPr="0097459F">
        <w:t>possua</w:t>
      </w:r>
      <w:r w:rsidR="00893D49" w:rsidRPr="0097459F">
        <w:t xml:space="preserve"> </w:t>
      </w:r>
      <w:r w:rsidR="002826AB" w:rsidRPr="0097459F">
        <w:t xml:space="preserve">mandato </w:t>
      </w:r>
      <w:r w:rsidR="00893D49" w:rsidRPr="0097459F">
        <w:t>com poderes específicos</w:t>
      </w:r>
      <w:r w:rsidR="005A4228" w:rsidRPr="0097459F">
        <w:t xml:space="preserve"> para essa representação</w:t>
      </w:r>
      <w:r w:rsidR="00437ADC" w:rsidRPr="0097459F">
        <w:t xml:space="preserve">, ficando </w:t>
      </w:r>
      <w:r w:rsidR="000246C1" w:rsidRPr="0097459F">
        <w:t xml:space="preserve">dispensado de apresentar </w:t>
      </w:r>
      <w:r w:rsidR="00437ADC" w:rsidRPr="0097459F">
        <w:t xml:space="preserve">o instrumento </w:t>
      </w:r>
      <w:r w:rsidR="00F85B82" w:rsidRPr="0097459F">
        <w:t>do mandato</w:t>
      </w:r>
      <w:r w:rsidR="000246C1" w:rsidRPr="0097459F">
        <w:t xml:space="preserve"> nas assembleias de cotistas, sendo, nesta hipótese, </w:t>
      </w:r>
      <w:r w:rsidR="000F5671" w:rsidRPr="0097459F">
        <w:t xml:space="preserve">de </w:t>
      </w:r>
      <w:r w:rsidR="000246C1" w:rsidRPr="0097459F">
        <w:t xml:space="preserve">sua única e exclusiva responsabilidade </w:t>
      </w:r>
      <w:r w:rsidR="00437ADC" w:rsidRPr="0097459F">
        <w:t>manter</w:t>
      </w:r>
      <w:r w:rsidR="00DE6005" w:rsidRPr="0097459F">
        <w:t xml:space="preserve"> </w:t>
      </w:r>
      <w:r w:rsidR="002826AB" w:rsidRPr="0097459F">
        <w:t>o instrumento</w:t>
      </w:r>
      <w:r w:rsidR="00437ADC" w:rsidRPr="0097459F">
        <w:t xml:space="preserve"> em seus arquivos</w:t>
      </w:r>
      <w:r w:rsidR="005854D2" w:rsidRPr="0097459F">
        <w:t>.</w:t>
      </w:r>
    </w:p>
    <w:p w14:paraId="08736096" w14:textId="30D6984E" w:rsidR="005854D2" w:rsidRPr="0097459F" w:rsidRDefault="005854D2" w:rsidP="00C20BBD">
      <w:pPr>
        <w:pStyle w:val="Normalalteradora"/>
      </w:pPr>
      <w:r w:rsidRPr="0097459F">
        <w:t xml:space="preserve">§ </w:t>
      </w:r>
      <w:r w:rsidR="00C402F4" w:rsidRPr="0097459F">
        <w:t xml:space="preserve">2º  </w:t>
      </w:r>
      <w:r w:rsidRPr="0097459F">
        <w:t xml:space="preserve">Quando da instalação da assembleia de cotistas, o distribuidor </w:t>
      </w:r>
      <w:r w:rsidR="00D452A9" w:rsidRPr="0097459F">
        <w:t xml:space="preserve">por conta e ordem </w:t>
      </w:r>
      <w:r w:rsidRPr="0097459F">
        <w:t>que estiver</w:t>
      </w:r>
      <w:r w:rsidR="00D452A9" w:rsidRPr="0097459F">
        <w:t xml:space="preserve"> representando </w:t>
      </w:r>
      <w:r w:rsidRPr="0097459F">
        <w:t xml:space="preserve">seus clientes deve fornecer ao administrador uma relação contendo </w:t>
      </w:r>
      <w:r w:rsidR="00CB5D9D" w:rsidRPr="0097459F">
        <w:t>os</w:t>
      </w:r>
      <w:r w:rsidRPr="0097459F">
        <w:t xml:space="preserve"> códigos de </w:t>
      </w:r>
      <w:r w:rsidR="00D452A9" w:rsidRPr="0097459F">
        <w:t>investidores</w:t>
      </w:r>
      <w:r w:rsidRPr="0097459F">
        <w:t xml:space="preserve">, cabendo </w:t>
      </w:r>
      <w:r w:rsidR="00512F24" w:rsidRPr="0097459F">
        <w:t>à mesa da assembleia</w:t>
      </w:r>
      <w:r w:rsidRPr="0097459F">
        <w:t xml:space="preserve"> </w:t>
      </w:r>
      <w:r w:rsidR="00302E3D" w:rsidRPr="0097459F">
        <w:t>utilizar a relação para fins de</w:t>
      </w:r>
      <w:r w:rsidR="71D4D0F5" w:rsidRPr="0097459F">
        <w:t xml:space="preserve"> apuração de</w:t>
      </w:r>
      <w:r w:rsidR="00302E3D" w:rsidRPr="0097459F">
        <w:t xml:space="preserve"> quóruns de insta</w:t>
      </w:r>
      <w:r w:rsidR="00BE1B0C" w:rsidRPr="0097459F">
        <w:t>la</w:t>
      </w:r>
      <w:r w:rsidR="00302E3D" w:rsidRPr="0097459F">
        <w:t>ção e deliberação,</w:t>
      </w:r>
      <w:r w:rsidRPr="0097459F">
        <w:t xml:space="preserve"> a</w:t>
      </w:r>
      <w:r w:rsidR="00302E3D" w:rsidRPr="0097459F">
        <w:t xml:space="preserve">ssim como </w:t>
      </w:r>
      <w:r w:rsidR="00512F24" w:rsidRPr="0097459F">
        <w:t xml:space="preserve">ao administrador </w:t>
      </w:r>
      <w:r w:rsidR="00302E3D" w:rsidRPr="0097459F">
        <w:t>arquiv</w:t>
      </w:r>
      <w:r w:rsidR="00626441" w:rsidRPr="0097459F">
        <w:t>á</w:t>
      </w:r>
      <w:r w:rsidR="00302E3D" w:rsidRPr="0097459F">
        <w:t>-la</w:t>
      </w:r>
      <w:r w:rsidRPr="0097459F">
        <w:t>.</w:t>
      </w:r>
    </w:p>
    <w:p w14:paraId="3F4EFB60" w14:textId="3214D804" w:rsidR="00BC068E" w:rsidRPr="0097459F" w:rsidRDefault="00893D49" w:rsidP="00C20BBD">
      <w:pPr>
        <w:pStyle w:val="Normalalteradora"/>
      </w:pPr>
      <w:r w:rsidRPr="0097459F">
        <w:t xml:space="preserve">Art. </w:t>
      </w:r>
      <w:r w:rsidRPr="0097459F" w:rsidDel="006042C4">
        <w:t>39</w:t>
      </w:r>
      <w:r w:rsidRPr="0097459F">
        <w:t>.  O contrato firmado entre o gestor</w:t>
      </w:r>
      <w:r w:rsidR="00C959D1" w:rsidRPr="0097459F">
        <w:t>, em nome do fundo,</w:t>
      </w:r>
      <w:r w:rsidRPr="0097459F">
        <w:t xml:space="preserve"> e o distribuidor </w:t>
      </w:r>
      <w:r w:rsidR="00234CCF" w:rsidRPr="0097459F">
        <w:t xml:space="preserve">que atue por conta e ordem </w:t>
      </w:r>
      <w:r w:rsidRPr="0097459F">
        <w:t xml:space="preserve">deve prever que na hipótese de sua </w:t>
      </w:r>
      <w:r w:rsidR="002826AB" w:rsidRPr="0097459F">
        <w:t>extinção</w:t>
      </w:r>
      <w:r w:rsidRPr="0097459F">
        <w:t xml:space="preserve">, os clientes que sejam cotistas até a data </w:t>
      </w:r>
      <w:r w:rsidR="006C0C0A" w:rsidRPr="0097459F">
        <w:t>d</w:t>
      </w:r>
      <w:r w:rsidR="002826AB" w:rsidRPr="0097459F">
        <w:t>a extinção</w:t>
      </w:r>
      <w:r w:rsidR="00437ADC" w:rsidRPr="0097459F">
        <w:t xml:space="preserve"> </w:t>
      </w:r>
      <w:r w:rsidR="00D76102" w:rsidRPr="0097459F">
        <w:t>podem</w:t>
      </w:r>
      <w:r w:rsidR="00D452A9" w:rsidRPr="0097459F">
        <w:t xml:space="preserve"> manter </w:t>
      </w:r>
      <w:r w:rsidRPr="0097459F">
        <w:t xml:space="preserve">o seu investimento por conta e ordem </w:t>
      </w:r>
      <w:r w:rsidR="00703636" w:rsidRPr="0097459F">
        <w:t>enquanto perdurar</w:t>
      </w:r>
      <w:r w:rsidRPr="0097459F">
        <w:t>, desde que</w:t>
      </w:r>
      <w:r w:rsidR="00E30740" w:rsidRPr="0097459F">
        <w:t>:</w:t>
      </w:r>
    </w:p>
    <w:p w14:paraId="773B16FB" w14:textId="288F1733" w:rsidR="00893D49" w:rsidRPr="0097459F" w:rsidRDefault="00C86757" w:rsidP="00C20BBD">
      <w:pPr>
        <w:pStyle w:val="Normalalteradora"/>
        <w:rPr>
          <w:rFonts w:cstheme="minorHAnsi"/>
        </w:rPr>
      </w:pPr>
      <w:r w:rsidRPr="0097459F">
        <w:rPr>
          <w:rFonts w:cstheme="minorHAnsi"/>
        </w:rPr>
        <w:t xml:space="preserve">I </w:t>
      </w:r>
      <w:r w:rsidR="00E35A17" w:rsidRPr="0097459F">
        <w:rPr>
          <w:rFonts w:cstheme="minorHAnsi"/>
        </w:rPr>
        <w:t>–</w:t>
      </w:r>
      <w:r w:rsidRPr="0097459F">
        <w:rPr>
          <w:rFonts w:cstheme="minorHAnsi"/>
        </w:rPr>
        <w:t xml:space="preserve"> </w:t>
      </w:r>
      <w:r w:rsidR="00893D49" w:rsidRPr="0097459F">
        <w:rPr>
          <w:rFonts w:cstheme="minorHAnsi"/>
        </w:rPr>
        <w:t xml:space="preserve">o distribuidor mantenha, em relação a tais clientes, todos os direitos e obrigações definidos na </w:t>
      </w:r>
      <w:r w:rsidR="004E07E9" w:rsidRPr="0097459F">
        <w:rPr>
          <w:rFonts w:cstheme="minorHAnsi"/>
        </w:rPr>
        <w:t xml:space="preserve">Subseção </w:t>
      </w:r>
      <w:r w:rsidR="00893D49" w:rsidRPr="0097459F">
        <w:rPr>
          <w:rFonts w:cstheme="minorHAnsi"/>
        </w:rPr>
        <w:t>V, pelo período em que tais clientes mantiverem o investimento</w:t>
      </w:r>
      <w:r w:rsidRPr="0097459F">
        <w:rPr>
          <w:rFonts w:cstheme="minorHAnsi"/>
        </w:rPr>
        <w:t>; ou</w:t>
      </w:r>
    </w:p>
    <w:p w14:paraId="315C74E5" w14:textId="29D59262" w:rsidR="00685F11" w:rsidRPr="0097459F" w:rsidRDefault="006006A0" w:rsidP="00C20BBD">
      <w:pPr>
        <w:spacing w:before="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II </w:t>
      </w:r>
      <w:r w:rsidR="00E35A17" w:rsidRPr="0097459F">
        <w:rPr>
          <w:rFonts w:asciiTheme="minorHAnsi" w:eastAsia="Times New Roman" w:hAnsiTheme="minorHAnsi" w:cstheme="minorHAnsi"/>
          <w:sz w:val="24"/>
          <w:szCs w:val="24"/>
          <w:lang w:eastAsia="pt-BR"/>
        </w:rPr>
        <w:t xml:space="preserve">– </w:t>
      </w:r>
      <w:r w:rsidRPr="0097459F">
        <w:rPr>
          <w:rFonts w:asciiTheme="minorHAnsi" w:eastAsia="Times New Roman" w:hAnsiTheme="minorHAnsi" w:cstheme="minorHAnsi"/>
          <w:sz w:val="24"/>
          <w:szCs w:val="24"/>
          <w:lang w:eastAsia="pt-BR"/>
        </w:rPr>
        <w:t>o gestor assuma, caso habilitado, ou co</w:t>
      </w:r>
      <w:r w:rsidR="00C86757" w:rsidRPr="0097459F">
        <w:rPr>
          <w:rFonts w:asciiTheme="minorHAnsi" w:eastAsia="Times New Roman" w:hAnsiTheme="minorHAnsi" w:cstheme="minorHAnsi"/>
          <w:sz w:val="24"/>
          <w:szCs w:val="24"/>
          <w:lang w:eastAsia="pt-BR"/>
        </w:rPr>
        <w:t>ntrate distribuidor habilitado a assumir</w:t>
      </w:r>
      <w:r w:rsidRPr="0097459F">
        <w:rPr>
          <w:rFonts w:asciiTheme="minorHAnsi" w:eastAsia="Times New Roman" w:hAnsiTheme="minorHAnsi" w:cstheme="minorHAnsi"/>
          <w:sz w:val="24"/>
          <w:szCs w:val="24"/>
          <w:lang w:eastAsia="pt-BR"/>
        </w:rPr>
        <w:t xml:space="preserve"> todos os direitos e obrigações definidos na S</w:t>
      </w:r>
      <w:r w:rsidR="00BC068E" w:rsidRPr="0097459F">
        <w:rPr>
          <w:rFonts w:asciiTheme="minorHAnsi" w:eastAsia="Times New Roman" w:hAnsiTheme="minorHAnsi" w:cstheme="minorHAnsi"/>
          <w:sz w:val="24"/>
          <w:szCs w:val="24"/>
          <w:lang w:eastAsia="pt-BR"/>
        </w:rPr>
        <w:t>ubs</w:t>
      </w:r>
      <w:r w:rsidRPr="0097459F">
        <w:rPr>
          <w:rFonts w:asciiTheme="minorHAnsi" w:eastAsia="Times New Roman" w:hAnsiTheme="minorHAnsi" w:cstheme="minorHAnsi"/>
          <w:sz w:val="24"/>
          <w:szCs w:val="24"/>
          <w:lang w:eastAsia="pt-BR"/>
        </w:rPr>
        <w:t xml:space="preserve">eção V, pelo período em que </w:t>
      </w:r>
      <w:r w:rsidR="00E30740" w:rsidRPr="0097459F">
        <w:rPr>
          <w:rFonts w:asciiTheme="minorHAnsi" w:eastAsia="Times New Roman" w:hAnsiTheme="minorHAnsi" w:cstheme="minorHAnsi"/>
          <w:sz w:val="24"/>
          <w:szCs w:val="24"/>
          <w:lang w:eastAsia="pt-BR"/>
        </w:rPr>
        <w:t>for mantido o investimento</w:t>
      </w:r>
      <w:r w:rsidRPr="0097459F">
        <w:rPr>
          <w:rFonts w:asciiTheme="minorHAnsi" w:eastAsia="Times New Roman" w:hAnsiTheme="minorHAnsi" w:cstheme="minorHAnsi"/>
          <w:sz w:val="24"/>
          <w:szCs w:val="24"/>
          <w:lang w:eastAsia="pt-BR"/>
        </w:rPr>
        <w:t>.</w:t>
      </w:r>
    </w:p>
    <w:p w14:paraId="30ED90E6" w14:textId="6EA9BA1D" w:rsidR="00893D49" w:rsidRPr="0097459F" w:rsidRDefault="00893D49" w:rsidP="00C20BBD">
      <w:pPr>
        <w:pStyle w:val="Seo"/>
        <w:rPr>
          <w:rFonts w:asciiTheme="minorHAnsi" w:hAnsiTheme="minorHAnsi"/>
        </w:rPr>
      </w:pPr>
      <w:bookmarkStart w:id="104" w:name="_Toc53594441"/>
      <w:bookmarkStart w:id="105" w:name="_Toc53595466"/>
      <w:bookmarkStart w:id="106" w:name="_Toc53594193"/>
      <w:bookmarkStart w:id="107" w:name="_Toc114818975"/>
      <w:bookmarkStart w:id="108" w:name="_Toc57836201"/>
      <w:bookmarkStart w:id="109" w:name="_Toc126226301"/>
      <w:r w:rsidRPr="0097459F">
        <w:rPr>
          <w:rFonts w:asciiTheme="minorHAnsi" w:hAnsiTheme="minorHAnsi"/>
        </w:rPr>
        <w:t>Seção IV – Resgate e Amortização</w:t>
      </w:r>
      <w:bookmarkEnd w:id="104"/>
      <w:bookmarkEnd w:id="105"/>
      <w:bookmarkEnd w:id="106"/>
      <w:bookmarkEnd w:id="107"/>
      <w:bookmarkEnd w:id="108"/>
      <w:bookmarkEnd w:id="109"/>
    </w:p>
    <w:p w14:paraId="24DC88D2" w14:textId="27656CEF" w:rsidR="00893D49" w:rsidRPr="0097459F" w:rsidRDefault="00893D49" w:rsidP="00C20BBD">
      <w:pPr>
        <w:pStyle w:val="Normalalteradora"/>
      </w:pPr>
      <w:r w:rsidRPr="0097459F">
        <w:t xml:space="preserve">Art. </w:t>
      </w:r>
      <w:r w:rsidRPr="0097459F" w:rsidDel="00AB79B7">
        <w:t>40</w:t>
      </w:r>
      <w:r w:rsidRPr="0097459F">
        <w:t>.  O resgate de cotas obedece às seguintes regras:</w:t>
      </w:r>
    </w:p>
    <w:p w14:paraId="3B799BC8" w14:textId="77777777" w:rsidR="00893D49" w:rsidRPr="0097459F" w:rsidRDefault="00893D49" w:rsidP="00C20BBD">
      <w:pPr>
        <w:pStyle w:val="Normalalteradora"/>
        <w:rPr>
          <w:rFonts w:cstheme="minorHAnsi"/>
        </w:rPr>
      </w:pPr>
      <w:r w:rsidRPr="0097459F">
        <w:rPr>
          <w:rFonts w:cstheme="minorHAnsi"/>
        </w:rPr>
        <w:lastRenderedPageBreak/>
        <w:t>I – o regulamento deve estabelecer os prazos entre a data do pedido de resgate, a data de conversão de cotas e a data do pagamento do resgate;</w:t>
      </w:r>
    </w:p>
    <w:p w14:paraId="435A2A0A" w14:textId="1206348B" w:rsidR="00893D49" w:rsidRPr="0097459F" w:rsidRDefault="00893D49" w:rsidP="00C20BBD">
      <w:pPr>
        <w:pStyle w:val="Normalalteradora"/>
        <w:rPr>
          <w:rFonts w:cstheme="minorHAnsi"/>
        </w:rPr>
      </w:pPr>
      <w:r w:rsidRPr="0097459F">
        <w:rPr>
          <w:rFonts w:cstheme="minorHAnsi"/>
        </w:rPr>
        <w:t>II – a conversão de cotas deve se dar pelo valor da cota do dia na data de conversão;</w:t>
      </w:r>
    </w:p>
    <w:p w14:paraId="750B8810" w14:textId="11C99FAB" w:rsidR="00893D49" w:rsidRPr="0097459F" w:rsidRDefault="00893D49" w:rsidP="00C20BBD">
      <w:pPr>
        <w:pStyle w:val="Normalalteradora"/>
        <w:rPr>
          <w:rFonts w:cstheme="minorHAnsi"/>
        </w:rPr>
      </w:pPr>
      <w:r w:rsidRPr="0097459F">
        <w:rPr>
          <w:rFonts w:cstheme="minorHAnsi"/>
        </w:rPr>
        <w:t xml:space="preserve">III – o pagamento do resgate deve ser efetuado por meio </w:t>
      </w:r>
      <w:r w:rsidR="002826AB" w:rsidRPr="0097459F">
        <w:rPr>
          <w:rFonts w:cstheme="minorHAnsi"/>
        </w:rPr>
        <w:t xml:space="preserve">do </w:t>
      </w:r>
      <w:r w:rsidR="003D1898" w:rsidRPr="0097459F">
        <w:rPr>
          <w:rFonts w:cstheme="minorHAnsi"/>
        </w:rPr>
        <w:t xml:space="preserve">Sistema de Pagamentos </w:t>
      </w:r>
      <w:r w:rsidR="00B62A85" w:rsidRPr="0097459F">
        <w:rPr>
          <w:rFonts w:cstheme="minorHAnsi"/>
        </w:rPr>
        <w:t xml:space="preserve">Brasileiro </w:t>
      </w:r>
      <w:r w:rsidR="003D1898" w:rsidRPr="0097459F">
        <w:rPr>
          <w:rFonts w:cstheme="minorHAnsi"/>
        </w:rPr>
        <w:t>– SP</w:t>
      </w:r>
      <w:r w:rsidR="00B62A85" w:rsidRPr="0097459F">
        <w:rPr>
          <w:rFonts w:cstheme="minorHAnsi"/>
        </w:rPr>
        <w:t>B</w:t>
      </w:r>
      <w:r w:rsidRPr="0097459F">
        <w:rPr>
          <w:rFonts w:cstheme="minorHAnsi"/>
        </w:rPr>
        <w:t xml:space="preserve">, no prazo estabelecido no regulamento, que não pode ser superior a </w:t>
      </w:r>
      <w:r w:rsidR="000739E8" w:rsidRPr="0097459F">
        <w:rPr>
          <w:rFonts w:cstheme="minorHAnsi"/>
        </w:rPr>
        <w:t>5 (</w:t>
      </w:r>
      <w:r w:rsidRPr="0097459F">
        <w:rPr>
          <w:rFonts w:cstheme="minorHAnsi"/>
        </w:rPr>
        <w:t>cinco</w:t>
      </w:r>
      <w:r w:rsidR="000739E8" w:rsidRPr="0097459F">
        <w:rPr>
          <w:rFonts w:cstheme="minorHAnsi"/>
        </w:rPr>
        <w:t>)</w:t>
      </w:r>
      <w:r w:rsidRPr="0097459F">
        <w:rPr>
          <w:rFonts w:cstheme="minorHAnsi"/>
        </w:rPr>
        <w:t xml:space="preserve"> dias úteis, contado</w:t>
      </w:r>
      <w:r w:rsidR="00BB6499" w:rsidRPr="0097459F">
        <w:rPr>
          <w:rFonts w:cstheme="minorHAnsi"/>
        </w:rPr>
        <w:t>s</w:t>
      </w:r>
      <w:r w:rsidRPr="0097459F">
        <w:rPr>
          <w:rFonts w:cstheme="minorHAnsi"/>
        </w:rPr>
        <w:t xml:space="preserve"> da data da conversão de cotas, ressalvadas as hipóteses previstas </w:t>
      </w:r>
      <w:r w:rsidR="007267ED" w:rsidRPr="0097459F">
        <w:rPr>
          <w:rFonts w:cstheme="minorHAnsi"/>
        </w:rPr>
        <w:t>em</w:t>
      </w:r>
      <w:r w:rsidRPr="0097459F">
        <w:rPr>
          <w:rFonts w:cstheme="minorHAnsi"/>
        </w:rPr>
        <w:t xml:space="preserve"> regulamentações específicas;</w:t>
      </w:r>
    </w:p>
    <w:p w14:paraId="566FC420" w14:textId="4A4DB9C3" w:rsidR="00893D49" w:rsidRPr="0097459F" w:rsidRDefault="00893D49" w:rsidP="00C20BBD">
      <w:pPr>
        <w:pStyle w:val="Normalalteradora"/>
        <w:rPr>
          <w:rFonts w:cstheme="minorHAnsi"/>
        </w:rPr>
      </w:pPr>
      <w:r w:rsidRPr="0097459F">
        <w:rPr>
          <w:rFonts w:cstheme="minorHAnsi"/>
        </w:rPr>
        <w:t>IV – o regulamento pode estabelecer prazo de carência para resgate, com ou sem rendimento; e</w:t>
      </w:r>
    </w:p>
    <w:p w14:paraId="18C3D246" w14:textId="4344AAF2" w:rsidR="00893D49" w:rsidRPr="0097459F" w:rsidRDefault="00893D49" w:rsidP="00C20BBD">
      <w:pPr>
        <w:pStyle w:val="Normalalteradora"/>
        <w:rPr>
          <w:rFonts w:cstheme="minorHAnsi"/>
        </w:rPr>
      </w:pPr>
      <w:r w:rsidRPr="0097459F">
        <w:rPr>
          <w:rFonts w:cstheme="minorHAnsi"/>
        </w:rPr>
        <w:t xml:space="preserve">V – salvo na hipótese de iliquidez excepcional de que trata o art. </w:t>
      </w:r>
      <w:r w:rsidR="009840B3" w:rsidRPr="0097459F">
        <w:rPr>
          <w:rFonts w:cstheme="minorHAnsi"/>
        </w:rPr>
        <w:t>44</w:t>
      </w:r>
      <w:r w:rsidRPr="0097459F">
        <w:rPr>
          <w:rFonts w:cstheme="minorHAnsi"/>
        </w:rPr>
        <w:t>, é devida ao cotista uma multa de 0,5% (meio por cento</w:t>
      </w:r>
      <w:r w:rsidR="0060191B" w:rsidRPr="0097459F">
        <w:rPr>
          <w:rFonts w:cstheme="minorHAnsi"/>
        </w:rPr>
        <w:t>)</w:t>
      </w:r>
      <w:r w:rsidRPr="0097459F">
        <w:rPr>
          <w:rFonts w:cstheme="minorHAnsi"/>
        </w:rPr>
        <w:t xml:space="preserve"> do valor de resgate, a ser paga pelo administrador, por dia de atraso no pagamento do resgate de cotas.</w:t>
      </w:r>
    </w:p>
    <w:p w14:paraId="0FEC6EC3" w14:textId="3E4F94E7" w:rsidR="00A74D1F" w:rsidRPr="0097459F" w:rsidRDefault="00926D22" w:rsidP="00C20BBD">
      <w:pPr>
        <w:pStyle w:val="Normalalteradora"/>
      </w:pPr>
      <w:r w:rsidRPr="0097459F">
        <w:t xml:space="preserve">Art. </w:t>
      </w:r>
      <w:r w:rsidR="4B21761D" w:rsidRPr="0097459F">
        <w:t>41</w:t>
      </w:r>
      <w:r w:rsidRPr="0097459F">
        <w:t>.</w:t>
      </w:r>
      <w:r w:rsidR="00A74D1F" w:rsidRPr="0097459F">
        <w:t xml:space="preserve">  O regulamento pode prever a existência de barreiras aos resgates, por meio das quais</w:t>
      </w:r>
      <w:r w:rsidR="006D4A0A" w:rsidRPr="0097459F">
        <w:t xml:space="preserve"> o gestor pode, a seu critério e</w:t>
      </w:r>
      <w:r w:rsidR="00A74D1F" w:rsidRPr="0097459F">
        <w:t xml:space="preserve"> de acordo com </w:t>
      </w:r>
      <w:r w:rsidR="00610DE6" w:rsidRPr="0097459F">
        <w:t>parâmetros</w:t>
      </w:r>
      <w:r w:rsidR="00A74D1F" w:rsidRPr="0097459F">
        <w:t xml:space="preserve"> </w:t>
      </w:r>
      <w:r w:rsidR="00610DE6" w:rsidRPr="0097459F">
        <w:t>estabelecido</w:t>
      </w:r>
      <w:r w:rsidR="00A74D1F" w:rsidRPr="0097459F">
        <w:t>s no regulamento, limitar os pedidos de resgate a uma fração do patrimônio líquido da classe</w:t>
      </w:r>
      <w:r w:rsidR="006264D4" w:rsidRPr="0097459F">
        <w:t>, sem prejuízo do tratamento equitativo entre os cotistas</w:t>
      </w:r>
      <w:r w:rsidR="00A74D1F" w:rsidRPr="0097459F">
        <w:t>.</w:t>
      </w:r>
    </w:p>
    <w:p w14:paraId="30663CC8" w14:textId="77777777" w:rsidR="00A74D1F" w:rsidRPr="0097459F" w:rsidRDefault="00A74D1F" w:rsidP="00C20BBD">
      <w:pPr>
        <w:pStyle w:val="Normalalteradora"/>
        <w:rPr>
          <w:rFonts w:cstheme="minorHAnsi"/>
        </w:rPr>
      </w:pPr>
      <w:r w:rsidRPr="0097459F">
        <w:rPr>
          <w:rFonts w:cstheme="minorHAnsi"/>
        </w:rPr>
        <w:t xml:space="preserve">§ </w:t>
      </w:r>
      <w:r w:rsidR="00926D22" w:rsidRPr="0097459F">
        <w:rPr>
          <w:rFonts w:cstheme="minorHAnsi"/>
        </w:rPr>
        <w:t>1</w:t>
      </w:r>
      <w:r w:rsidRPr="0097459F">
        <w:rPr>
          <w:rFonts w:cstheme="minorHAnsi"/>
        </w:rPr>
        <w:t>º  Em relação ao estabelecimento de barreiras aos resgates:</w:t>
      </w:r>
    </w:p>
    <w:p w14:paraId="109C7D35" w14:textId="77777777" w:rsidR="006C0C0A" w:rsidRPr="0097459F" w:rsidRDefault="00A74D1F" w:rsidP="00C20BBD">
      <w:pPr>
        <w:pStyle w:val="Normalalteradora"/>
        <w:rPr>
          <w:rFonts w:cstheme="minorHAnsi"/>
        </w:rPr>
      </w:pPr>
      <w:r w:rsidRPr="0097459F">
        <w:rPr>
          <w:rFonts w:cstheme="minorHAnsi"/>
        </w:rPr>
        <w:t xml:space="preserve">I </w:t>
      </w:r>
      <w:r w:rsidR="00F55BF3" w:rsidRPr="0097459F">
        <w:rPr>
          <w:rFonts w:cstheme="minorHAnsi"/>
        </w:rPr>
        <w:t>–</w:t>
      </w:r>
      <w:r w:rsidRPr="0097459F">
        <w:rPr>
          <w:rFonts w:cstheme="minorHAnsi"/>
        </w:rPr>
        <w:t xml:space="preserve"> nas classes destinadas ao público em geral, os parâmetros de liquidez que auto</w:t>
      </w:r>
      <w:r w:rsidR="00610DE6" w:rsidRPr="0097459F">
        <w:rPr>
          <w:rFonts w:cstheme="minorHAnsi"/>
        </w:rPr>
        <w:t>rizam a adoção do mecanismo</w:t>
      </w:r>
      <w:r w:rsidRPr="0097459F">
        <w:rPr>
          <w:rFonts w:cstheme="minorHAnsi"/>
        </w:rPr>
        <w:t xml:space="preserve"> devem levar em consideração</w:t>
      </w:r>
      <w:r w:rsidR="00610DE6" w:rsidRPr="0097459F">
        <w:rPr>
          <w:rFonts w:cstheme="minorHAnsi"/>
        </w:rPr>
        <w:t>,</w:t>
      </w:r>
      <w:r w:rsidRPr="0097459F">
        <w:rPr>
          <w:rFonts w:cstheme="minorHAnsi"/>
        </w:rPr>
        <w:t xml:space="preserve"> </w:t>
      </w:r>
      <w:r w:rsidR="00610DE6" w:rsidRPr="0097459F">
        <w:rPr>
          <w:rFonts w:cstheme="minorHAnsi"/>
        </w:rPr>
        <w:t xml:space="preserve">no mínimo, </w:t>
      </w:r>
      <w:r w:rsidRPr="0097459F">
        <w:rPr>
          <w:rFonts w:cstheme="minorHAnsi"/>
        </w:rPr>
        <w:t>a representatividade do</w:t>
      </w:r>
      <w:r w:rsidR="004C1854" w:rsidRPr="0097459F">
        <w:rPr>
          <w:rFonts w:cstheme="minorHAnsi"/>
        </w:rPr>
        <w:t>s</w:t>
      </w:r>
      <w:r w:rsidRPr="0097459F">
        <w:rPr>
          <w:rFonts w:cstheme="minorHAnsi"/>
        </w:rPr>
        <w:t xml:space="preserve"> resgate</w:t>
      </w:r>
      <w:r w:rsidR="004C1854" w:rsidRPr="0097459F">
        <w:rPr>
          <w:rFonts w:cstheme="minorHAnsi"/>
        </w:rPr>
        <w:t>s</w:t>
      </w:r>
      <w:r w:rsidRPr="0097459F">
        <w:rPr>
          <w:rFonts w:cstheme="minorHAnsi"/>
        </w:rPr>
        <w:t xml:space="preserve"> solicitado</w:t>
      </w:r>
      <w:r w:rsidR="004C1854" w:rsidRPr="0097459F">
        <w:rPr>
          <w:rFonts w:cstheme="minorHAnsi"/>
        </w:rPr>
        <w:t>s</w:t>
      </w:r>
      <w:r w:rsidRPr="0097459F">
        <w:rPr>
          <w:rFonts w:cstheme="minorHAnsi"/>
        </w:rPr>
        <w:t xml:space="preserve"> em relação ao patrimônio líquido da classe; e</w:t>
      </w:r>
    </w:p>
    <w:p w14:paraId="54012EC4" w14:textId="5773CD6C" w:rsidR="006264D4" w:rsidRPr="0097459F" w:rsidRDefault="00A74D1F" w:rsidP="00C20BBD">
      <w:pPr>
        <w:pStyle w:val="Normalalteradora"/>
        <w:rPr>
          <w:rFonts w:cstheme="minorHAnsi"/>
        </w:rPr>
      </w:pPr>
      <w:r w:rsidRPr="0097459F">
        <w:rPr>
          <w:rFonts w:cstheme="minorHAnsi"/>
        </w:rPr>
        <w:t xml:space="preserve">II – nas classes restritas, o regulamento pode </w:t>
      </w:r>
      <w:r w:rsidR="00610DE6" w:rsidRPr="0097459F">
        <w:rPr>
          <w:rFonts w:cstheme="minorHAnsi"/>
        </w:rPr>
        <w:t>dispor</w:t>
      </w:r>
      <w:r w:rsidRPr="0097459F">
        <w:rPr>
          <w:rFonts w:cstheme="minorHAnsi"/>
        </w:rPr>
        <w:t xml:space="preserve"> </w:t>
      </w:r>
      <w:r w:rsidR="00610DE6" w:rsidRPr="0097459F">
        <w:rPr>
          <w:rFonts w:cstheme="minorHAnsi"/>
        </w:rPr>
        <w:t xml:space="preserve">livremente acerca dos </w:t>
      </w:r>
      <w:r w:rsidRPr="0097459F">
        <w:rPr>
          <w:rFonts w:cstheme="minorHAnsi"/>
        </w:rPr>
        <w:t xml:space="preserve">parâmetros </w:t>
      </w:r>
      <w:r w:rsidR="00610DE6" w:rsidRPr="0097459F">
        <w:rPr>
          <w:rFonts w:cstheme="minorHAnsi"/>
        </w:rPr>
        <w:t>de liquidez</w:t>
      </w:r>
      <w:r w:rsidRPr="0097459F">
        <w:rPr>
          <w:rFonts w:cstheme="minorHAnsi"/>
        </w:rPr>
        <w:t>.</w:t>
      </w:r>
    </w:p>
    <w:p w14:paraId="19B06B3E" w14:textId="10184C22" w:rsidR="00511839" w:rsidRPr="0097459F" w:rsidRDefault="00511839" w:rsidP="00C20BBD">
      <w:pPr>
        <w:pStyle w:val="Normalalteradora"/>
      </w:pPr>
      <w:r w:rsidRPr="0097459F">
        <w:t xml:space="preserve">§ </w:t>
      </w:r>
      <w:r w:rsidR="004D60F5" w:rsidRPr="0097459F">
        <w:t>2</w:t>
      </w:r>
      <w:r w:rsidRPr="0097459F">
        <w:t xml:space="preserve">º  Caso </w:t>
      </w:r>
      <w:r w:rsidR="006D4A0A" w:rsidRPr="0097459F">
        <w:t>o gestor utilize</w:t>
      </w:r>
      <w:r w:rsidRPr="0097459F">
        <w:t xml:space="preserve"> barreiras aos resgates, </w:t>
      </w:r>
      <w:r w:rsidR="006D4A0A" w:rsidRPr="0097459F">
        <w:t xml:space="preserve">deve </w:t>
      </w:r>
      <w:r w:rsidR="006C0C0A" w:rsidRPr="0097459F">
        <w:t xml:space="preserve">imediatamente </w:t>
      </w:r>
      <w:r w:rsidR="006D4A0A" w:rsidRPr="0097459F">
        <w:t>informar a</w:t>
      </w:r>
      <w:r w:rsidRPr="0097459F">
        <w:t>o administrador</w:t>
      </w:r>
      <w:r w:rsidR="006C0C0A" w:rsidRPr="0097459F">
        <w:t>,</w:t>
      </w:r>
      <w:r w:rsidRPr="0097459F">
        <w:t xml:space="preserve"> </w:t>
      </w:r>
      <w:r w:rsidR="006C0C0A" w:rsidRPr="0097459F">
        <w:t xml:space="preserve">tanto por ocasião do estabelecimento da barreira quanto de sua remoção, </w:t>
      </w:r>
      <w:r w:rsidR="006D4A0A" w:rsidRPr="0097459F">
        <w:t>para que este</w:t>
      </w:r>
      <w:r w:rsidR="006F7C82" w:rsidRPr="0097459F">
        <w:t xml:space="preserve"> imediatamente</w:t>
      </w:r>
      <w:r w:rsidRPr="0097459F">
        <w:t xml:space="preserve"> </w:t>
      </w:r>
      <w:r w:rsidR="006F7C82" w:rsidRPr="0097459F">
        <w:t>divulgue</w:t>
      </w:r>
      <w:r w:rsidRPr="0097459F">
        <w:t xml:space="preserve"> fato relevante.</w:t>
      </w:r>
    </w:p>
    <w:p w14:paraId="2B668852" w14:textId="09D58AC1" w:rsidR="00893D49" w:rsidRPr="0097459F" w:rsidRDefault="00926D22" w:rsidP="00C20BBD">
      <w:pPr>
        <w:pStyle w:val="Normalalteradora"/>
      </w:pPr>
      <w:r w:rsidRPr="0097459F">
        <w:t xml:space="preserve">Art. </w:t>
      </w:r>
      <w:r w:rsidR="3D8C1219" w:rsidRPr="0097459F">
        <w:t>42</w:t>
      </w:r>
      <w:r w:rsidRPr="0097459F">
        <w:t>.</w:t>
      </w:r>
      <w:r w:rsidR="00893D49" w:rsidRPr="0097459F">
        <w:t xml:space="preserve">  </w:t>
      </w:r>
      <w:r w:rsidR="003D1898" w:rsidRPr="0097459F">
        <w:t xml:space="preserve">As </w:t>
      </w:r>
      <w:r w:rsidR="00893D49" w:rsidRPr="0097459F">
        <w:t xml:space="preserve">classes abertas podem realizar o resgate compulsório de </w:t>
      </w:r>
      <w:r w:rsidR="003D1898" w:rsidRPr="0097459F">
        <w:t xml:space="preserve">suas </w:t>
      </w:r>
      <w:r w:rsidR="00893D49" w:rsidRPr="0097459F">
        <w:t>cotas, desde que:</w:t>
      </w:r>
    </w:p>
    <w:p w14:paraId="178870CE" w14:textId="45411335" w:rsidR="00893D49" w:rsidRPr="0097459F" w:rsidRDefault="00893D49" w:rsidP="00C20BBD">
      <w:pPr>
        <w:pStyle w:val="Normalalteradora"/>
        <w:rPr>
          <w:rFonts w:cstheme="minorHAnsi"/>
        </w:rPr>
      </w:pPr>
      <w:r w:rsidRPr="0097459F">
        <w:rPr>
          <w:rFonts w:cstheme="minorHAnsi"/>
        </w:rPr>
        <w:t>I – o regulamento ou a assembleia de cotistas assim autorize</w:t>
      </w:r>
      <w:r w:rsidR="004C1854" w:rsidRPr="0097459F">
        <w:rPr>
          <w:rFonts w:cstheme="minorHAnsi"/>
        </w:rPr>
        <w:t>,</w:t>
      </w:r>
      <w:r w:rsidRPr="0097459F">
        <w:rPr>
          <w:rFonts w:cstheme="minorHAnsi"/>
        </w:rPr>
        <w:t xml:space="preserve"> </w:t>
      </w:r>
      <w:r w:rsidR="004C1854" w:rsidRPr="0097459F">
        <w:rPr>
          <w:rFonts w:cstheme="minorHAnsi"/>
        </w:rPr>
        <w:t xml:space="preserve">bem como </w:t>
      </w:r>
      <w:r w:rsidRPr="0097459F">
        <w:rPr>
          <w:rFonts w:cstheme="minorHAnsi"/>
        </w:rPr>
        <w:t xml:space="preserve">determine claramente a forma e condições por meio do qual referido procedimento </w:t>
      </w:r>
      <w:r w:rsidR="00273C0F" w:rsidRPr="0097459F">
        <w:rPr>
          <w:rFonts w:cstheme="minorHAnsi"/>
        </w:rPr>
        <w:t xml:space="preserve">deve ser </w:t>
      </w:r>
      <w:r w:rsidR="00B91271" w:rsidRPr="0097459F">
        <w:rPr>
          <w:rFonts w:cstheme="minorHAnsi"/>
        </w:rPr>
        <w:t>realizado</w:t>
      </w:r>
      <w:r w:rsidRPr="0097459F">
        <w:rPr>
          <w:rFonts w:cstheme="minorHAnsi"/>
        </w:rPr>
        <w:t>;</w:t>
      </w:r>
    </w:p>
    <w:p w14:paraId="685C5F75" w14:textId="559AAF2D" w:rsidR="00893D49" w:rsidRPr="0097459F" w:rsidRDefault="00893D49" w:rsidP="00C20BBD">
      <w:pPr>
        <w:pStyle w:val="Normalalteradora"/>
        <w:rPr>
          <w:rFonts w:cstheme="minorHAnsi"/>
        </w:rPr>
      </w:pPr>
      <w:r w:rsidRPr="0097459F">
        <w:rPr>
          <w:rFonts w:cstheme="minorHAnsi"/>
        </w:rPr>
        <w:t xml:space="preserve">II – </w:t>
      </w:r>
      <w:r w:rsidR="00B91271" w:rsidRPr="0097459F">
        <w:rPr>
          <w:rFonts w:cstheme="minorHAnsi"/>
        </w:rPr>
        <w:t xml:space="preserve">o resgate compulsório </w:t>
      </w:r>
      <w:r w:rsidRPr="0097459F">
        <w:rPr>
          <w:rFonts w:cstheme="minorHAnsi"/>
        </w:rPr>
        <w:t>seja realizado de forma equânime, simultânea e proporcional entre todos os cotistas da mesma classe</w:t>
      </w:r>
      <w:r w:rsidR="003D1898" w:rsidRPr="0097459F">
        <w:rPr>
          <w:rFonts w:cstheme="minorHAnsi"/>
        </w:rPr>
        <w:t xml:space="preserve"> e subclasse</w:t>
      </w:r>
      <w:r w:rsidRPr="0097459F">
        <w:rPr>
          <w:rFonts w:cstheme="minorHAnsi"/>
        </w:rPr>
        <w:t>; e</w:t>
      </w:r>
    </w:p>
    <w:p w14:paraId="3AC6F66D" w14:textId="37E30037" w:rsidR="00893D49" w:rsidRPr="0097459F" w:rsidRDefault="00893D49" w:rsidP="00C20BBD">
      <w:pPr>
        <w:pStyle w:val="Normalalteradora"/>
        <w:rPr>
          <w:rFonts w:cstheme="minorHAnsi"/>
        </w:rPr>
      </w:pPr>
      <w:r w:rsidRPr="0097459F">
        <w:rPr>
          <w:rFonts w:cstheme="minorHAnsi"/>
        </w:rPr>
        <w:lastRenderedPageBreak/>
        <w:t>III – não seja cobrada taxa de saída.</w:t>
      </w:r>
    </w:p>
    <w:p w14:paraId="7DE89527" w14:textId="03C8FCF7" w:rsidR="00893D49" w:rsidRPr="0097459F" w:rsidRDefault="00893D49" w:rsidP="00C20BBD">
      <w:pPr>
        <w:pStyle w:val="Normalalteradora"/>
        <w:rPr>
          <w:rFonts w:cstheme="minorHAnsi"/>
        </w:rPr>
      </w:pPr>
      <w:r w:rsidRPr="0097459F">
        <w:rPr>
          <w:rFonts w:cstheme="minorHAnsi"/>
        </w:rPr>
        <w:t xml:space="preserve">Art. </w:t>
      </w:r>
      <w:r w:rsidR="002A1094" w:rsidRPr="0097459F">
        <w:rPr>
          <w:rFonts w:cstheme="minorHAnsi"/>
        </w:rPr>
        <w:t>43</w:t>
      </w:r>
      <w:r w:rsidRPr="0097459F">
        <w:rPr>
          <w:rFonts w:cstheme="minorHAnsi"/>
        </w:rPr>
        <w:t>.  A amortização de cotas deve ocorrer conforme disposto no regulamento ou deliberado pela assembleia de cotistas.</w:t>
      </w:r>
    </w:p>
    <w:p w14:paraId="6E387654" w14:textId="2EEF8C5B" w:rsidR="00285916" w:rsidRPr="0097459F" w:rsidRDefault="00893D49" w:rsidP="00C20BBD">
      <w:pPr>
        <w:pStyle w:val="Normalalteradora"/>
      </w:pPr>
      <w:r w:rsidRPr="0097459F">
        <w:t xml:space="preserve">Art. </w:t>
      </w:r>
      <w:r w:rsidR="002A1094" w:rsidRPr="0097459F">
        <w:t>44</w:t>
      </w:r>
      <w:r w:rsidRPr="0097459F">
        <w:t>.  No caso de fechamento dos mercados e em casos excepcionais de iliquidez dos ativos componentes da carteira, inclusive em decorrência de pedidos de resgates incompatíveis com a liquidez existente, ou que possam implicar alteração do tratamento tributário do fundo ou do conjunto dos cotistas, em prejuízo destes últimos, o administrador</w:t>
      </w:r>
      <w:r w:rsidR="00FC1163" w:rsidRPr="0097459F">
        <w:t>,</w:t>
      </w:r>
      <w:r w:rsidRPr="0097459F">
        <w:t xml:space="preserve"> </w:t>
      </w:r>
      <w:r w:rsidR="00257147" w:rsidRPr="0097459F">
        <w:t>o gestor</w:t>
      </w:r>
      <w:r w:rsidR="00FC1163" w:rsidRPr="0097459F">
        <w:t xml:space="preserve"> ou ambos, de acordo com o disposto no Regulamento,</w:t>
      </w:r>
      <w:r w:rsidR="00257147" w:rsidRPr="0097459F">
        <w:t xml:space="preserve"> </w:t>
      </w:r>
      <w:r w:rsidRPr="0097459F">
        <w:t>pode</w:t>
      </w:r>
      <w:r w:rsidR="00257147" w:rsidRPr="0097459F">
        <w:t>m</w:t>
      </w:r>
      <w:r w:rsidRPr="0097459F">
        <w:t xml:space="preserve"> declarar o fechamento da classe de cotas para a realização de resgates.</w:t>
      </w:r>
    </w:p>
    <w:p w14:paraId="76BBE49F" w14:textId="25CCE860" w:rsidR="00893D49" w:rsidRPr="0097459F" w:rsidRDefault="00893D49" w:rsidP="00C20BBD">
      <w:pPr>
        <w:pStyle w:val="Normalalteradora"/>
      </w:pPr>
      <w:r w:rsidRPr="0097459F">
        <w:rPr>
          <w:rFonts w:cstheme="minorHAnsi"/>
        </w:rPr>
        <w:t xml:space="preserve">§ 1º  Caso </w:t>
      </w:r>
      <w:r w:rsidR="005E763A" w:rsidRPr="0097459F">
        <w:rPr>
          <w:rFonts w:cstheme="minorHAnsi"/>
        </w:rPr>
        <w:t>seja declarado</w:t>
      </w:r>
      <w:r w:rsidRPr="0097459F">
        <w:rPr>
          <w:rFonts w:cstheme="minorHAnsi"/>
        </w:rPr>
        <w:t xml:space="preserve"> o fechamento para a realização de resgates nos termos do </w:t>
      </w:r>
      <w:r w:rsidRPr="0097459F">
        <w:rPr>
          <w:rFonts w:cstheme="minorHAnsi"/>
          <w:b/>
        </w:rPr>
        <w:t>caput</w:t>
      </w:r>
      <w:r w:rsidRPr="0097459F">
        <w:rPr>
          <w:rFonts w:cstheme="minorHAnsi"/>
        </w:rPr>
        <w:t xml:space="preserve">, </w:t>
      </w:r>
      <w:r w:rsidR="00CE5967" w:rsidRPr="0097459F">
        <w:rPr>
          <w:rFonts w:cstheme="minorHAnsi"/>
        </w:rPr>
        <w:t>o</w:t>
      </w:r>
      <w:r w:rsidR="005E763A" w:rsidRPr="0097459F">
        <w:rPr>
          <w:rFonts w:cstheme="minorHAnsi"/>
        </w:rPr>
        <w:t xml:space="preserve"> administrador </w:t>
      </w:r>
      <w:r w:rsidRPr="0097459F">
        <w:rPr>
          <w:rFonts w:cstheme="minorHAnsi"/>
        </w:rPr>
        <w:t>deve proceder à imediata divulgação de fato relevante, tanto por ocasião do fechamento, quanto da reabertura da classe.</w:t>
      </w:r>
    </w:p>
    <w:p w14:paraId="213EA38C" w14:textId="4A3DD1E7" w:rsidR="00893D49" w:rsidRPr="0097459F" w:rsidRDefault="00893D49" w:rsidP="00C20BBD">
      <w:pPr>
        <w:pStyle w:val="Normalalteradora"/>
        <w:rPr>
          <w:rFonts w:cstheme="minorHAnsi"/>
        </w:rPr>
      </w:pPr>
      <w:r w:rsidRPr="0097459F">
        <w:rPr>
          <w:rFonts w:cstheme="minorHAnsi"/>
        </w:rPr>
        <w:t xml:space="preserve">§ 2º  Todos os pedidos de resgate que estejam pendentes de </w:t>
      </w:r>
      <w:r w:rsidR="005E763A" w:rsidRPr="0097459F">
        <w:rPr>
          <w:rFonts w:cstheme="minorHAnsi"/>
        </w:rPr>
        <w:t xml:space="preserve">conversão </w:t>
      </w:r>
      <w:r w:rsidRPr="0097459F">
        <w:rPr>
          <w:rFonts w:cstheme="minorHAnsi"/>
        </w:rPr>
        <w:t xml:space="preserve">quando do fechamento </w:t>
      </w:r>
      <w:r w:rsidR="00C14C47" w:rsidRPr="0097459F">
        <w:rPr>
          <w:rFonts w:cstheme="minorHAnsi"/>
        </w:rPr>
        <w:t xml:space="preserve">para resgates </w:t>
      </w:r>
      <w:r w:rsidRPr="0097459F">
        <w:rPr>
          <w:rFonts w:cstheme="minorHAnsi"/>
        </w:rPr>
        <w:t>devem ser cancelados.</w:t>
      </w:r>
    </w:p>
    <w:p w14:paraId="7B14E807" w14:textId="201C1C54" w:rsidR="00893D49" w:rsidRPr="0097459F" w:rsidRDefault="4AF9F487" w:rsidP="00C20BBD">
      <w:pPr>
        <w:pStyle w:val="Normalalteradora"/>
      </w:pPr>
      <w:r w:rsidRPr="0097459F">
        <w:t xml:space="preserve">§ 3º  Caso a classe permaneça fechada </w:t>
      </w:r>
      <w:r w:rsidR="037C11FD" w:rsidRPr="0097459F">
        <w:t xml:space="preserve">para resgates </w:t>
      </w:r>
      <w:r w:rsidRPr="0097459F">
        <w:t xml:space="preserve">por período superior a </w:t>
      </w:r>
      <w:r w:rsidR="00893D49" w:rsidRPr="0097459F">
        <w:t>5 (</w:t>
      </w:r>
      <w:r w:rsidRPr="0097459F">
        <w:t>cinco</w:t>
      </w:r>
      <w:r w:rsidR="00893D49" w:rsidRPr="0097459F">
        <w:t>)</w:t>
      </w:r>
      <w:r w:rsidRPr="0097459F">
        <w:t xml:space="preserve"> dias </w:t>
      </w:r>
      <w:r w:rsidR="5AAB6BB3" w:rsidRPr="0097459F">
        <w:t>úteis</w:t>
      </w:r>
      <w:r w:rsidRPr="0097459F">
        <w:t xml:space="preserve">, o administrador deve convocar no prazo máximo de </w:t>
      </w:r>
      <w:r w:rsidR="00893D49" w:rsidRPr="0097459F">
        <w:t>1 (</w:t>
      </w:r>
      <w:r w:rsidRPr="0097459F">
        <w:t>um</w:t>
      </w:r>
      <w:r w:rsidR="00893D49" w:rsidRPr="0097459F">
        <w:t>)</w:t>
      </w:r>
      <w:r w:rsidRPr="0097459F">
        <w:t xml:space="preserve"> dia, para realização em até </w:t>
      </w:r>
      <w:r w:rsidR="00893D49" w:rsidRPr="0097459F">
        <w:t>15 (</w:t>
      </w:r>
      <w:r w:rsidRPr="0097459F">
        <w:t>quinze</w:t>
      </w:r>
      <w:r w:rsidR="00893D49" w:rsidRPr="0097459F">
        <w:t>)</w:t>
      </w:r>
      <w:r w:rsidR="03AD9FB5" w:rsidRPr="0097459F">
        <w:t xml:space="preserve"> dias</w:t>
      </w:r>
      <w:r w:rsidRPr="0097459F">
        <w:t xml:space="preserve">, assembleia de cotistas </w:t>
      </w:r>
      <w:r w:rsidR="1E7CEC6D" w:rsidRPr="0097459F">
        <w:t>da classe afetada</w:t>
      </w:r>
      <w:r w:rsidR="006C0C0A" w:rsidRPr="0097459F">
        <w:t>,</w:t>
      </w:r>
      <w:r w:rsidR="1E7CEC6D" w:rsidRPr="0097459F">
        <w:t xml:space="preserve"> </w:t>
      </w:r>
      <w:r w:rsidRPr="0097459F">
        <w:t>para deliberar sobre as seguintes possibilidades</w:t>
      </w:r>
      <w:r w:rsidR="2B9D2C89" w:rsidRPr="0097459F">
        <w:t xml:space="preserve">, </w:t>
      </w:r>
      <w:r w:rsidR="29DA99FD" w:rsidRPr="0097459F">
        <w:t xml:space="preserve">que </w:t>
      </w:r>
      <w:r w:rsidR="182330A0" w:rsidRPr="0097459F">
        <w:t xml:space="preserve">podem </w:t>
      </w:r>
      <w:r w:rsidR="29DA99FD" w:rsidRPr="0097459F">
        <w:t>ser adotadas de modo isolado</w:t>
      </w:r>
      <w:r w:rsidR="2B9D2C89" w:rsidRPr="0097459F">
        <w:t xml:space="preserve"> ou conjuntamente</w:t>
      </w:r>
      <w:r w:rsidRPr="0097459F">
        <w:t>:</w:t>
      </w:r>
    </w:p>
    <w:p w14:paraId="293D279B" w14:textId="1B817C6B" w:rsidR="00DC56F6" w:rsidRPr="0097459F" w:rsidRDefault="002B1835" w:rsidP="00C20BBD">
      <w:pPr>
        <w:pStyle w:val="Normalalteradora"/>
        <w:rPr>
          <w:rFonts w:cstheme="minorHAnsi"/>
        </w:rPr>
      </w:pPr>
      <w:r w:rsidRPr="0097459F">
        <w:rPr>
          <w:rFonts w:cstheme="minorHAnsi"/>
        </w:rPr>
        <w:t xml:space="preserve">I </w:t>
      </w:r>
      <w:r w:rsidR="00893D49" w:rsidRPr="0097459F">
        <w:rPr>
          <w:rFonts w:cstheme="minorHAnsi"/>
        </w:rPr>
        <w:t>– reabertura ou manutenção do fechamento para resgate;</w:t>
      </w:r>
    </w:p>
    <w:p w14:paraId="1563ED66" w14:textId="220CC622" w:rsidR="00893D49" w:rsidRPr="0097459F" w:rsidRDefault="002B1835" w:rsidP="00C20BBD">
      <w:pPr>
        <w:pStyle w:val="Normalalteradora"/>
        <w:rPr>
          <w:rFonts w:cstheme="minorHAnsi"/>
        </w:rPr>
      </w:pPr>
      <w:r w:rsidRPr="0097459F">
        <w:rPr>
          <w:rFonts w:cstheme="minorHAnsi"/>
        </w:rPr>
        <w:t xml:space="preserve">II </w:t>
      </w:r>
      <w:r w:rsidR="00893D49" w:rsidRPr="0097459F">
        <w:rPr>
          <w:rFonts w:cstheme="minorHAnsi"/>
        </w:rPr>
        <w:t>– cisão do fundo</w:t>
      </w:r>
      <w:r w:rsidR="00A04BA7" w:rsidRPr="0097459F">
        <w:rPr>
          <w:rFonts w:cstheme="minorHAnsi"/>
        </w:rPr>
        <w:t xml:space="preserve"> ou da classe</w:t>
      </w:r>
      <w:r w:rsidR="00893D49" w:rsidRPr="0097459F">
        <w:rPr>
          <w:rFonts w:cstheme="minorHAnsi"/>
        </w:rPr>
        <w:t>;</w:t>
      </w:r>
    </w:p>
    <w:p w14:paraId="7DE99BA8" w14:textId="5F19DCE4" w:rsidR="007C6DC7" w:rsidRPr="0097459F" w:rsidRDefault="002B1835" w:rsidP="00C20BBD">
      <w:pPr>
        <w:pStyle w:val="Normalalteradora"/>
        <w:rPr>
          <w:rFonts w:cstheme="minorHAnsi"/>
        </w:rPr>
      </w:pPr>
      <w:r w:rsidRPr="0097459F">
        <w:rPr>
          <w:rFonts w:cstheme="minorHAnsi"/>
        </w:rPr>
        <w:t xml:space="preserve">III </w:t>
      </w:r>
      <w:r w:rsidR="00893D49" w:rsidRPr="0097459F">
        <w:rPr>
          <w:rFonts w:cstheme="minorHAnsi"/>
        </w:rPr>
        <w:t>– liquidação</w:t>
      </w:r>
      <w:r w:rsidR="007C6DC7" w:rsidRPr="0097459F">
        <w:rPr>
          <w:rFonts w:cstheme="minorHAnsi"/>
        </w:rPr>
        <w:t>; e</w:t>
      </w:r>
    </w:p>
    <w:p w14:paraId="359720D8" w14:textId="5FDD10C7" w:rsidR="00893D49" w:rsidRPr="0097459F" w:rsidRDefault="007C6DC7" w:rsidP="00C20BBD">
      <w:pPr>
        <w:pStyle w:val="Normalalteradora"/>
        <w:rPr>
          <w:rFonts w:cstheme="minorHAnsi"/>
        </w:rPr>
      </w:pPr>
      <w:r w:rsidRPr="0097459F">
        <w:rPr>
          <w:rFonts w:cstheme="minorHAnsi"/>
        </w:rPr>
        <w:t>IV – desde que de comum acordo com o</w:t>
      </w:r>
      <w:r w:rsidR="000739E8" w:rsidRPr="0097459F">
        <w:rPr>
          <w:rFonts w:cstheme="minorHAnsi"/>
        </w:rPr>
        <w:t>s</w:t>
      </w:r>
      <w:r w:rsidRPr="0097459F">
        <w:rPr>
          <w:rFonts w:cstheme="minorHAnsi"/>
        </w:rPr>
        <w:t xml:space="preserve"> cotista</w:t>
      </w:r>
      <w:r w:rsidR="000739E8" w:rsidRPr="0097459F">
        <w:rPr>
          <w:rFonts w:cstheme="minorHAnsi"/>
        </w:rPr>
        <w:t>s</w:t>
      </w:r>
      <w:r w:rsidRPr="0097459F">
        <w:rPr>
          <w:rFonts w:cstheme="minorHAnsi"/>
        </w:rPr>
        <w:t xml:space="preserve"> que </w:t>
      </w:r>
      <w:r w:rsidR="000739E8" w:rsidRPr="0097459F">
        <w:rPr>
          <w:rFonts w:cstheme="minorHAnsi"/>
        </w:rPr>
        <w:t xml:space="preserve">terão </w:t>
      </w:r>
      <w:r w:rsidRPr="0097459F">
        <w:rPr>
          <w:rFonts w:cstheme="minorHAnsi"/>
        </w:rPr>
        <w:t>as cotas resgatadas, manifestada na assembleia ou fora dela, resgate de cotas em ativos</w:t>
      </w:r>
      <w:r w:rsidR="001B3AD7" w:rsidRPr="0097459F">
        <w:rPr>
          <w:rFonts w:cstheme="minorHAnsi"/>
        </w:rPr>
        <w:t xml:space="preserve"> da classe.</w:t>
      </w:r>
    </w:p>
    <w:p w14:paraId="787F6926" w14:textId="6344D1E6" w:rsidR="001A5C2F" w:rsidRPr="0097459F" w:rsidRDefault="002B1835" w:rsidP="00C20BBD">
      <w:pPr>
        <w:pStyle w:val="Normalalteradora"/>
        <w:rPr>
          <w:rFonts w:cstheme="minorHAnsi"/>
        </w:rPr>
      </w:pPr>
      <w:r w:rsidRPr="0097459F">
        <w:rPr>
          <w:rFonts w:cstheme="minorHAnsi"/>
        </w:rPr>
        <w:t>§ 4º  No caso de assembleia de cotistas de fundo que emita cotas em classe única, em acréscimo às possibilidades previstas no § 3º</w:t>
      </w:r>
      <w:r w:rsidR="007C7899" w:rsidRPr="0097459F">
        <w:rPr>
          <w:rFonts w:cstheme="minorHAnsi"/>
        </w:rPr>
        <w:t xml:space="preserve"> deste artigo</w:t>
      </w:r>
      <w:r w:rsidRPr="0097459F">
        <w:rPr>
          <w:rFonts w:cstheme="minorHAnsi"/>
        </w:rPr>
        <w:t>, pode ser deliberada a substituição do administrador, do gestor ou de ambos.</w:t>
      </w:r>
    </w:p>
    <w:p w14:paraId="1508124E" w14:textId="3E444A5F" w:rsidR="00FF6A69" w:rsidRPr="0097459F" w:rsidRDefault="00FF6A69" w:rsidP="00C20BBD">
      <w:pPr>
        <w:pStyle w:val="Normalalteradora"/>
        <w:rPr>
          <w:rFonts w:eastAsia="Calibri" w:cstheme="minorHAnsi"/>
        </w:rPr>
      </w:pPr>
      <w:r w:rsidRPr="0097459F">
        <w:rPr>
          <w:rFonts w:eastAsia="Calibri" w:cstheme="minorHAnsi"/>
        </w:rPr>
        <w:t>§ 5º  Desde que a possibilidade esteja prevista no regulamento, alternativamente à convocação da assembleia prevista no § 3º</w:t>
      </w:r>
      <w:r w:rsidR="007C7899" w:rsidRPr="0097459F">
        <w:rPr>
          <w:rFonts w:eastAsia="Calibri" w:cstheme="minorHAnsi"/>
        </w:rPr>
        <w:t xml:space="preserve"> deste artigo</w:t>
      </w:r>
      <w:r w:rsidRPr="0097459F">
        <w:rPr>
          <w:rFonts w:eastAsia="Calibri" w:cstheme="minorHAnsi"/>
        </w:rPr>
        <w:t xml:space="preserve">, a seu exclusivo critério e sob sua responsabilidade, o gestor pode </w:t>
      </w:r>
      <w:r w:rsidRPr="0097459F">
        <w:rPr>
          <w:rFonts w:eastAsia="Calibri" w:cstheme="minorHAnsi"/>
        </w:rPr>
        <w:lastRenderedPageBreak/>
        <w:t>cindir do patrimônio da classe os ativos excepcionalmente ilíquidos, para sua ut</w:t>
      </w:r>
      <w:r w:rsidR="002D1663" w:rsidRPr="0097459F">
        <w:rPr>
          <w:rFonts w:eastAsia="Calibri" w:cstheme="minorHAnsi"/>
        </w:rPr>
        <w:t>i</w:t>
      </w:r>
      <w:r w:rsidRPr="0097459F">
        <w:rPr>
          <w:rFonts w:eastAsia="Calibri" w:cstheme="minorHAnsi"/>
        </w:rPr>
        <w:t>lização na integralização de cotas de uma nova classe fechada ou de uma nova subclasse de classe fechada já existente.</w:t>
      </w:r>
    </w:p>
    <w:p w14:paraId="4088A5B5" w14:textId="0D071A79" w:rsidR="00CB2F2F" w:rsidRPr="0097459F" w:rsidRDefault="1C8122DA" w:rsidP="00C20BBD">
      <w:pPr>
        <w:pStyle w:val="Normalalteradora"/>
        <w:rPr>
          <w:rFonts w:eastAsia="Calibri"/>
        </w:rPr>
      </w:pPr>
      <w:r w:rsidRPr="0097459F">
        <w:rPr>
          <w:rFonts w:eastAsia="Calibri"/>
        </w:rPr>
        <w:t>§ 6º</w:t>
      </w:r>
      <w:r w:rsidR="004B305B" w:rsidRPr="0097459F">
        <w:rPr>
          <w:rFonts w:eastAsia="Calibri"/>
        </w:rPr>
        <w:t xml:space="preserve"> </w:t>
      </w:r>
      <w:r w:rsidRPr="0097459F">
        <w:rPr>
          <w:rFonts w:eastAsia="Calibri"/>
        </w:rPr>
        <w:t xml:space="preserve"> </w:t>
      </w:r>
      <w:r w:rsidR="00ED068E" w:rsidRPr="0097459F">
        <w:rPr>
          <w:rFonts w:eastAsia="Calibri"/>
        </w:rPr>
        <w:t>A</w:t>
      </w:r>
      <w:r w:rsidRPr="0097459F">
        <w:rPr>
          <w:rFonts w:eastAsia="Calibri"/>
        </w:rPr>
        <w:t xml:space="preserve"> cisão </w:t>
      </w:r>
      <w:r w:rsidR="00ED068E" w:rsidRPr="0097459F">
        <w:rPr>
          <w:rFonts w:eastAsia="Calibri"/>
        </w:rPr>
        <w:t xml:space="preserve">referida </w:t>
      </w:r>
      <w:r w:rsidRPr="0097459F">
        <w:rPr>
          <w:rFonts w:eastAsia="Calibri"/>
        </w:rPr>
        <w:t>no § 5</w:t>
      </w:r>
      <w:r w:rsidR="00ED068E" w:rsidRPr="0097459F">
        <w:rPr>
          <w:rFonts w:eastAsia="Calibri"/>
        </w:rPr>
        <w:t xml:space="preserve">º </w:t>
      </w:r>
      <w:r w:rsidR="004B305B" w:rsidRPr="0097459F">
        <w:rPr>
          <w:rFonts w:eastAsia="Calibri"/>
        </w:rPr>
        <w:t xml:space="preserve">deste artigo </w:t>
      </w:r>
      <w:r w:rsidR="00ED068E" w:rsidRPr="0097459F">
        <w:rPr>
          <w:rFonts w:eastAsia="Calibri"/>
        </w:rPr>
        <w:t>não pode resultar em aumento dos encargos atribuídos à classe de cotas.</w:t>
      </w:r>
    </w:p>
    <w:p w14:paraId="385A5225" w14:textId="13338365" w:rsidR="00893D49" w:rsidRPr="0097459F" w:rsidRDefault="00893D49" w:rsidP="00C20BBD">
      <w:pPr>
        <w:pStyle w:val="Normalalteradora"/>
        <w:rPr>
          <w:rFonts w:cstheme="minorHAnsi"/>
        </w:rPr>
      </w:pPr>
      <w:r w:rsidRPr="0097459F">
        <w:rPr>
          <w:rFonts w:cstheme="minorHAnsi"/>
        </w:rPr>
        <w:t xml:space="preserve">§ </w:t>
      </w:r>
      <w:r w:rsidR="004B305B" w:rsidRPr="0097459F">
        <w:rPr>
          <w:rFonts w:cstheme="minorHAnsi"/>
        </w:rPr>
        <w:t>7</w:t>
      </w:r>
      <w:r w:rsidR="001B3AD7" w:rsidRPr="0097459F">
        <w:rPr>
          <w:rFonts w:cstheme="minorHAnsi"/>
        </w:rPr>
        <w:t xml:space="preserve">º  </w:t>
      </w:r>
      <w:r w:rsidRPr="0097459F">
        <w:rPr>
          <w:rFonts w:cstheme="minorHAnsi"/>
        </w:rPr>
        <w:t>A classe deve permanecer fechada para aplicações enquanto perdurar o período de suspensão de resgates.</w:t>
      </w:r>
    </w:p>
    <w:p w14:paraId="7C0E35E0" w14:textId="2DBFB48D" w:rsidR="00893D49" w:rsidRPr="0097459F" w:rsidRDefault="00893D49" w:rsidP="00C20BBD">
      <w:pPr>
        <w:pStyle w:val="Normalalteradora"/>
        <w:rPr>
          <w:rFonts w:cstheme="minorHAnsi"/>
        </w:rPr>
      </w:pPr>
      <w:r w:rsidRPr="0097459F">
        <w:rPr>
          <w:rFonts w:cstheme="minorHAnsi"/>
        </w:rPr>
        <w:t xml:space="preserve">§ </w:t>
      </w:r>
      <w:r w:rsidR="004B305B" w:rsidRPr="0097459F">
        <w:rPr>
          <w:rFonts w:cstheme="minorHAnsi"/>
        </w:rPr>
        <w:t>8</w:t>
      </w:r>
      <w:r w:rsidR="001B3AD7" w:rsidRPr="0097459F">
        <w:rPr>
          <w:rFonts w:cstheme="minorHAnsi"/>
        </w:rPr>
        <w:t xml:space="preserve">º  </w:t>
      </w:r>
      <w:r w:rsidRPr="0097459F">
        <w:rPr>
          <w:rFonts w:cstheme="minorHAnsi"/>
        </w:rPr>
        <w:t>O fechamento para resgate deve ser imediatamente comunicado à CVM</w:t>
      </w:r>
      <w:r w:rsidR="005F1E9A" w:rsidRPr="0097459F">
        <w:rPr>
          <w:rFonts w:cstheme="minorHAnsi"/>
        </w:rPr>
        <w:t xml:space="preserve"> pelo gestor</w:t>
      </w:r>
      <w:r w:rsidRPr="0097459F">
        <w:rPr>
          <w:rFonts w:cstheme="minorHAnsi"/>
        </w:rPr>
        <w:t>.</w:t>
      </w:r>
    </w:p>
    <w:p w14:paraId="35723A75" w14:textId="23F2AFF7" w:rsidR="00C94674" w:rsidRPr="0097459F" w:rsidRDefault="00893D49" w:rsidP="00C20BBD">
      <w:pPr>
        <w:pStyle w:val="Normalalteradora"/>
        <w:rPr>
          <w:rFonts w:cstheme="minorHAnsi"/>
        </w:rPr>
      </w:pPr>
      <w:r w:rsidRPr="0097459F">
        <w:t xml:space="preserve">§ </w:t>
      </w:r>
      <w:r w:rsidR="004B305B" w:rsidRPr="0097459F">
        <w:rPr>
          <w:rFonts w:cstheme="minorHAnsi"/>
        </w:rPr>
        <w:t>9</w:t>
      </w:r>
      <w:r w:rsidR="001B3AD7" w:rsidRPr="0097459F">
        <w:t xml:space="preserve">º  </w:t>
      </w:r>
      <w:r w:rsidRPr="0097459F">
        <w:t xml:space="preserve">Cabe ao </w:t>
      </w:r>
      <w:r w:rsidR="009272AC" w:rsidRPr="0097459F">
        <w:t xml:space="preserve">gestor </w:t>
      </w:r>
      <w:r w:rsidRPr="0097459F">
        <w:t>tomar as providências necessárias para que a liquidação física de ativos, conforme hipóteses previstas em regras específicas, não resulte no fechamento da classe para resgates.</w:t>
      </w:r>
    </w:p>
    <w:p w14:paraId="46E64E6F" w14:textId="4A9DE44C" w:rsidR="009B2D26" w:rsidRPr="0097459F" w:rsidRDefault="2EAB3B9A" w:rsidP="00C20BBD">
      <w:pPr>
        <w:pStyle w:val="Seo"/>
        <w:rPr>
          <w:bCs/>
        </w:rPr>
      </w:pPr>
      <w:bookmarkStart w:id="110" w:name="_Toc126226302"/>
      <w:r w:rsidRPr="0097459F">
        <w:rPr>
          <w:bCs/>
        </w:rPr>
        <w:t>Seção V</w:t>
      </w:r>
      <w:r w:rsidR="009B2D26" w:rsidRPr="0097459F">
        <w:rPr>
          <w:bCs/>
        </w:rPr>
        <w:t xml:space="preserve"> –</w:t>
      </w:r>
      <w:r w:rsidR="009B2D26" w:rsidRPr="0097459F">
        <w:t xml:space="preserve"> </w:t>
      </w:r>
      <w:r w:rsidR="00ED068E" w:rsidRPr="0097459F">
        <w:t xml:space="preserve">Negociação com </w:t>
      </w:r>
      <w:r w:rsidR="00E67A03" w:rsidRPr="0097459F">
        <w:rPr>
          <w:bCs/>
        </w:rPr>
        <w:t>Uso Indevido de Informação Privilegiada</w:t>
      </w:r>
      <w:bookmarkEnd w:id="110"/>
    </w:p>
    <w:p w14:paraId="255DE26A" w14:textId="28593F3A" w:rsidR="00E6266C" w:rsidRPr="0097459F" w:rsidRDefault="00E6266C" w:rsidP="00C20BBD">
      <w:pPr>
        <w:pStyle w:val="Normalalteradora"/>
      </w:pPr>
      <w:r w:rsidRPr="0097459F">
        <w:t xml:space="preserve">Art. </w:t>
      </w:r>
      <w:r w:rsidR="002A1094" w:rsidRPr="0097459F">
        <w:t>45</w:t>
      </w:r>
      <w:r w:rsidRPr="0097459F">
        <w:t>.</w:t>
      </w:r>
      <w:r w:rsidR="004B305B" w:rsidRPr="0097459F">
        <w:t xml:space="preserve"> </w:t>
      </w:r>
      <w:r w:rsidRPr="0097459F">
        <w:t xml:space="preserve"> É vedada a utilização de informação relevante ainda não divulgada, por qualquer pessoa que a ela tenha tido acesso, com a finalidade de auferir vantagem, para si ou para outrem, mediante negociação de cotas</w:t>
      </w:r>
      <w:r w:rsidR="00FF25DD" w:rsidRPr="0097459F">
        <w:t xml:space="preserve"> em mercados organizados</w:t>
      </w:r>
      <w:r w:rsidRPr="0097459F">
        <w:t>.</w:t>
      </w:r>
    </w:p>
    <w:p w14:paraId="4F15D431" w14:textId="1FF787C2" w:rsidR="00E6266C" w:rsidRPr="0097459F" w:rsidRDefault="00E6266C" w:rsidP="00C20BBD">
      <w:pPr>
        <w:pStyle w:val="Normalalteradora"/>
      </w:pPr>
      <w:r w:rsidRPr="0097459F">
        <w:t xml:space="preserve">§ 1º </w:t>
      </w:r>
      <w:r w:rsidR="00CF352F" w:rsidRPr="0097459F">
        <w:t xml:space="preserve"> </w:t>
      </w:r>
      <w:r w:rsidRPr="0097459F">
        <w:t xml:space="preserve">Para fins de caracterização do ilícito de que trata o </w:t>
      </w:r>
      <w:r w:rsidRPr="0097459F">
        <w:rPr>
          <w:b/>
        </w:rPr>
        <w:t>caput</w:t>
      </w:r>
      <w:r w:rsidRPr="0097459F">
        <w:t>, presume-se que:</w:t>
      </w:r>
    </w:p>
    <w:p w14:paraId="7CDDC9C4" w14:textId="381F49C2" w:rsidR="00E6266C" w:rsidRPr="0097459F" w:rsidRDefault="00E6266C" w:rsidP="00C20BBD">
      <w:pPr>
        <w:pStyle w:val="Normalalteradora"/>
      </w:pPr>
      <w:r w:rsidRPr="0097459F">
        <w:t>I – a pessoa que negociou cotas dispondo de informação relevante ainda não divulgada fez uso de tal informação na referida negociação;</w:t>
      </w:r>
    </w:p>
    <w:p w14:paraId="128BC5BC" w14:textId="07EBB8B9" w:rsidR="00E6266C" w:rsidRPr="0097459F" w:rsidRDefault="00E6266C" w:rsidP="00C20BBD">
      <w:pPr>
        <w:pStyle w:val="Normalalteradora"/>
        <w:rPr>
          <w:highlight w:val="yellow"/>
        </w:rPr>
      </w:pPr>
      <w:r w:rsidRPr="0097459F">
        <w:t xml:space="preserve">II – os diretores do gestor que </w:t>
      </w:r>
      <w:r w:rsidR="004D7A6B" w:rsidRPr="0097459F">
        <w:t>participam de decisões</w:t>
      </w:r>
      <w:r w:rsidR="005A6A63" w:rsidRPr="0097459F">
        <w:t xml:space="preserve"> relacionadas </w:t>
      </w:r>
      <w:r w:rsidR="004D7A6B" w:rsidRPr="0097459F">
        <w:t>à</w:t>
      </w:r>
      <w:r w:rsidRPr="0097459F">
        <w:t xml:space="preserve"> gestão da carteira de ativos têm acesso a toda informação relevante ainda não divulgada a respeito </w:t>
      </w:r>
      <w:r w:rsidR="00822F60" w:rsidRPr="0097459F">
        <w:t>do fundo</w:t>
      </w:r>
      <w:r w:rsidRPr="0097459F">
        <w:t>;</w:t>
      </w:r>
    </w:p>
    <w:p w14:paraId="667A223A" w14:textId="20DBE7AF" w:rsidR="00822F60" w:rsidRPr="0097459F" w:rsidRDefault="2012416E" w:rsidP="00C20BBD">
      <w:pPr>
        <w:pStyle w:val="Normalalteradora"/>
      </w:pPr>
      <w:r w:rsidRPr="0097459F">
        <w:t>III – o diretor do administrador que é responsável pelo fundo</w:t>
      </w:r>
      <w:r w:rsidR="00AE3736" w:rsidRPr="0097459F">
        <w:t>, no âmbito de sua esfera de atuação,</w:t>
      </w:r>
      <w:r w:rsidRPr="0097459F">
        <w:t xml:space="preserve"> tem acesso a </w:t>
      </w:r>
      <w:r w:rsidR="1D65D2FF" w:rsidRPr="0097459F">
        <w:t xml:space="preserve">informações </w:t>
      </w:r>
      <w:r w:rsidRPr="0097459F">
        <w:t>relevante</w:t>
      </w:r>
      <w:r w:rsidR="1D65D2FF" w:rsidRPr="0097459F">
        <w:t>s</w:t>
      </w:r>
      <w:r w:rsidRPr="0097459F">
        <w:t xml:space="preserve"> ainda não divulgada</w:t>
      </w:r>
      <w:r w:rsidR="00AE3736" w:rsidRPr="0097459F">
        <w:t>s</w:t>
      </w:r>
      <w:r w:rsidRPr="0097459F">
        <w:t xml:space="preserve"> a respeito </w:t>
      </w:r>
      <w:r w:rsidR="2AF25C5A" w:rsidRPr="0097459F">
        <w:t>do fundo</w:t>
      </w:r>
      <w:r w:rsidRPr="0097459F">
        <w:t>;</w:t>
      </w:r>
    </w:p>
    <w:p w14:paraId="201797FC" w14:textId="21A16F81" w:rsidR="00E6266C" w:rsidRPr="0097459F" w:rsidRDefault="00822F60" w:rsidP="00C20BBD">
      <w:pPr>
        <w:pStyle w:val="Normalalteradora"/>
      </w:pPr>
      <w:r w:rsidRPr="0097459F">
        <w:t xml:space="preserve">IV </w:t>
      </w:r>
      <w:r w:rsidR="00E6266C" w:rsidRPr="0097459F">
        <w:t xml:space="preserve">– os cotistas que </w:t>
      </w:r>
      <w:r w:rsidR="00AE3736" w:rsidRPr="0097459F">
        <w:t>participem d</w:t>
      </w:r>
      <w:r w:rsidR="00E6266C" w:rsidRPr="0097459F">
        <w:t xml:space="preserve">as decisões </w:t>
      </w:r>
      <w:r w:rsidR="00AE3736" w:rsidRPr="0097459F">
        <w:t>relacionadas à</w:t>
      </w:r>
      <w:r w:rsidRPr="0097459F">
        <w:t xml:space="preserve"> gestão</w:t>
      </w:r>
      <w:r w:rsidR="00E6266C" w:rsidRPr="0097459F">
        <w:t xml:space="preserve"> </w:t>
      </w:r>
      <w:r w:rsidR="00AE3736" w:rsidRPr="0097459F">
        <w:t xml:space="preserve">da carteira de ativos </w:t>
      </w:r>
      <w:r w:rsidR="00E6266C" w:rsidRPr="0097459F">
        <w:t xml:space="preserve">têm acesso a toda informação relevante ainda não divulgada a respeito </w:t>
      </w:r>
      <w:r w:rsidRPr="0097459F">
        <w:t>da classe</w:t>
      </w:r>
      <w:r w:rsidR="0094489E" w:rsidRPr="0097459F">
        <w:t xml:space="preserve"> da qual s</w:t>
      </w:r>
      <w:r w:rsidR="00956740" w:rsidRPr="0097459F">
        <w:t>ão co</w:t>
      </w:r>
      <w:r w:rsidR="0094489E" w:rsidRPr="0097459F">
        <w:t>tistas</w:t>
      </w:r>
      <w:r w:rsidR="00E6266C" w:rsidRPr="0097459F">
        <w:t>;</w:t>
      </w:r>
    </w:p>
    <w:p w14:paraId="442E5A27" w14:textId="75337865" w:rsidR="00E6266C" w:rsidRPr="0097459F" w:rsidRDefault="00E6266C" w:rsidP="00C20BBD">
      <w:pPr>
        <w:pStyle w:val="Normalalteradora"/>
      </w:pPr>
      <w:r w:rsidRPr="0097459F">
        <w:t>V</w:t>
      </w:r>
      <w:r w:rsidR="00822F60" w:rsidRPr="0097459F">
        <w:t xml:space="preserve"> </w:t>
      </w:r>
      <w:r w:rsidRPr="0097459F">
        <w:t>– as pessoa</w:t>
      </w:r>
      <w:r w:rsidR="00822F60" w:rsidRPr="0097459F">
        <w:t xml:space="preserve">s listadas nos incisos II, III e IV </w:t>
      </w:r>
      <w:r w:rsidR="00054E05" w:rsidRPr="0097459F">
        <w:t>deste § 1º</w:t>
      </w:r>
      <w:r w:rsidRPr="0097459F">
        <w:t>, bem como aqueles que tenham relação comercial, profissional ou de confiança com o fundo, ao terem tido acesso à informação relevante ainda não divulgada ao mercado</w:t>
      </w:r>
      <w:r w:rsidR="00AE3736" w:rsidRPr="0097459F">
        <w:t>,</w:t>
      </w:r>
      <w:r w:rsidRPr="0097459F">
        <w:t xml:space="preserve"> sabem que se trata de informação privilegiada;</w:t>
      </w:r>
      <w:r w:rsidR="00070B7E" w:rsidRPr="0097459F">
        <w:t xml:space="preserve"> e</w:t>
      </w:r>
    </w:p>
    <w:p w14:paraId="599588B6" w14:textId="501B6DE6" w:rsidR="00E6266C" w:rsidRPr="0097459F" w:rsidRDefault="00E6266C" w:rsidP="00C20BBD">
      <w:pPr>
        <w:pStyle w:val="Normalalteradora"/>
      </w:pPr>
      <w:r w:rsidRPr="0097459F">
        <w:lastRenderedPageBreak/>
        <w:t>V</w:t>
      </w:r>
      <w:r w:rsidR="00822F60" w:rsidRPr="0097459F">
        <w:t>I</w:t>
      </w:r>
      <w:r w:rsidRPr="0097459F">
        <w:t xml:space="preserve"> – o prestador de serviços que se afasta </w:t>
      </w:r>
      <w:r w:rsidR="00822F60" w:rsidRPr="0097459F">
        <w:t xml:space="preserve">ou é afastado do fundo </w:t>
      </w:r>
      <w:r w:rsidRPr="0097459F">
        <w:t>dispondo de informação relevante e ainda não divulgada se vale de tal informação caso negocie cotas no período de 3 (três) meses contados do seu afastamento</w:t>
      </w:r>
      <w:r w:rsidR="00FD50CC" w:rsidRPr="0097459F">
        <w:t>.</w:t>
      </w:r>
    </w:p>
    <w:p w14:paraId="01EA7773" w14:textId="29234BE1" w:rsidR="00E6266C" w:rsidRPr="0097459F" w:rsidRDefault="00E6266C" w:rsidP="00C20BBD">
      <w:pPr>
        <w:pStyle w:val="Normalalteradora"/>
      </w:pPr>
      <w:r w:rsidRPr="0097459F">
        <w:t>§ 2º</w:t>
      </w:r>
      <w:r w:rsidR="00FD50CC" w:rsidRPr="0097459F">
        <w:t xml:space="preserve"> </w:t>
      </w:r>
      <w:r w:rsidRPr="0097459F">
        <w:t xml:space="preserve"> As presunções previstas no § 1º:</w:t>
      </w:r>
    </w:p>
    <w:p w14:paraId="6BCBB4D6" w14:textId="77777777" w:rsidR="00E6266C" w:rsidRPr="0097459F" w:rsidRDefault="00E6266C" w:rsidP="00C20BBD">
      <w:pPr>
        <w:pStyle w:val="Normalalteradora"/>
      </w:pPr>
      <w:r w:rsidRPr="0097459F">
        <w:t xml:space="preserve">I – são relativas e devem ser analisadas em conjunto com outros elementos que indiquem se o ilícito previsto no </w:t>
      </w:r>
      <w:r w:rsidRPr="0097459F">
        <w:rPr>
          <w:b/>
        </w:rPr>
        <w:t>caput</w:t>
      </w:r>
      <w:r w:rsidRPr="0097459F">
        <w:t xml:space="preserve"> foi ou não, de fato, praticado; e</w:t>
      </w:r>
    </w:p>
    <w:p w14:paraId="05A4319D" w14:textId="1454DB17" w:rsidR="009B2D26" w:rsidRPr="0097459F" w:rsidRDefault="00E6266C" w:rsidP="00C20BBD">
      <w:pPr>
        <w:pStyle w:val="Normalalteradora"/>
      </w:pPr>
      <w:r w:rsidRPr="0097459F">
        <w:t>II – podem, se for o caso, ser utilizadas de forma combinada.</w:t>
      </w:r>
    </w:p>
    <w:p w14:paraId="1665B80E" w14:textId="3D8C7434" w:rsidR="003B38CD" w:rsidRPr="0097459F" w:rsidRDefault="003B38CD" w:rsidP="00C20BBD">
      <w:pPr>
        <w:pStyle w:val="Normalalteradora"/>
      </w:pPr>
      <w:r w:rsidRPr="0097459F">
        <w:t xml:space="preserve">§ </w:t>
      </w:r>
      <w:r w:rsidR="00C6014D" w:rsidRPr="0097459F">
        <w:t>3</w:t>
      </w:r>
      <w:r w:rsidRPr="0097459F">
        <w:t xml:space="preserve">º </w:t>
      </w:r>
      <w:r w:rsidR="00A25979" w:rsidRPr="0097459F">
        <w:t xml:space="preserve"> </w:t>
      </w:r>
      <w:r w:rsidRPr="0097459F">
        <w:t xml:space="preserve">A proibição de que trata o </w:t>
      </w:r>
      <w:r w:rsidRPr="0097459F">
        <w:rPr>
          <w:b/>
        </w:rPr>
        <w:t>caput</w:t>
      </w:r>
      <w:r w:rsidRPr="0097459F">
        <w:t xml:space="preserve"> não se aplica a subscrições de novas cotas, sem prejuízo da incidência das regras que dispõem sobre a divulgação de informações no contexto da emissão e distribuição de cotas.</w:t>
      </w:r>
    </w:p>
    <w:p w14:paraId="1D6B51FF" w14:textId="5B5EF8B4" w:rsidR="009B2D26" w:rsidRPr="0097459F" w:rsidRDefault="009B2D26" w:rsidP="00C20BBD">
      <w:pPr>
        <w:pStyle w:val="Normalalteradora"/>
        <w:rPr>
          <w:rFonts w:cstheme="minorHAnsi"/>
        </w:rPr>
      </w:pPr>
      <w:r w:rsidRPr="0097459F">
        <w:rPr>
          <w:rFonts w:cstheme="minorHAnsi"/>
        </w:rPr>
        <w:t xml:space="preserve">Art. </w:t>
      </w:r>
      <w:r w:rsidR="002A1094" w:rsidRPr="0097459F">
        <w:rPr>
          <w:rFonts w:cstheme="minorHAnsi"/>
        </w:rPr>
        <w:t>46</w:t>
      </w:r>
      <w:r w:rsidRPr="0097459F">
        <w:rPr>
          <w:rFonts w:cstheme="minorHAnsi"/>
        </w:rPr>
        <w:t>.</w:t>
      </w:r>
      <w:r w:rsidR="00A25979" w:rsidRPr="0097459F">
        <w:rPr>
          <w:rFonts w:cstheme="minorHAnsi"/>
        </w:rPr>
        <w:t xml:space="preserve"> </w:t>
      </w:r>
      <w:r w:rsidRPr="0097459F">
        <w:rPr>
          <w:rFonts w:cstheme="minorHAnsi"/>
        </w:rPr>
        <w:t xml:space="preserve"> </w:t>
      </w:r>
      <w:r w:rsidR="00F30203" w:rsidRPr="0097459F">
        <w:rPr>
          <w:rFonts w:cstheme="minorHAnsi"/>
        </w:rPr>
        <w:t>As pessoas referidas no inciso V</w:t>
      </w:r>
      <w:r w:rsidRPr="0097459F">
        <w:rPr>
          <w:rFonts w:cstheme="minorHAnsi"/>
        </w:rPr>
        <w:t xml:space="preserve"> </w:t>
      </w:r>
      <w:r w:rsidR="00F30203" w:rsidRPr="0097459F">
        <w:rPr>
          <w:rFonts w:cstheme="minorHAnsi"/>
        </w:rPr>
        <w:t>d</w:t>
      </w:r>
      <w:r w:rsidRPr="0097459F">
        <w:rPr>
          <w:rFonts w:cstheme="minorHAnsi"/>
        </w:rPr>
        <w:t xml:space="preserve">o § 1º do art. </w:t>
      </w:r>
      <w:r w:rsidR="0098016B" w:rsidRPr="0097459F">
        <w:rPr>
          <w:rFonts w:cstheme="minorHAnsi"/>
        </w:rPr>
        <w:t>45</w:t>
      </w:r>
      <w:r w:rsidRPr="0097459F">
        <w:rPr>
          <w:rFonts w:cstheme="minorHAnsi"/>
        </w:rPr>
        <w:t xml:space="preserve"> pode</w:t>
      </w:r>
      <w:r w:rsidR="00F30203" w:rsidRPr="0097459F">
        <w:rPr>
          <w:rFonts w:cstheme="minorHAnsi"/>
        </w:rPr>
        <w:t>m</w:t>
      </w:r>
      <w:r w:rsidRPr="0097459F">
        <w:rPr>
          <w:rFonts w:cstheme="minorHAnsi"/>
        </w:rPr>
        <w:t xml:space="preserve"> formalizar plano individual de investimento </w:t>
      </w:r>
      <w:r w:rsidR="0042438F" w:rsidRPr="0097459F">
        <w:rPr>
          <w:rFonts w:cstheme="minorHAnsi"/>
        </w:rPr>
        <w:t>e</w:t>
      </w:r>
      <w:r w:rsidRPr="0097459F">
        <w:rPr>
          <w:rFonts w:cstheme="minorHAnsi"/>
        </w:rPr>
        <w:t xml:space="preserve"> desinvestimento, com o objetivo de afastar a aplicabilidade daquelas presunções.</w:t>
      </w:r>
    </w:p>
    <w:p w14:paraId="3935716A" w14:textId="7E97EB18" w:rsidR="009B2D26" w:rsidRPr="0097459F" w:rsidRDefault="009B2D26" w:rsidP="00C20BBD">
      <w:pPr>
        <w:pStyle w:val="Normalalteradora"/>
        <w:rPr>
          <w:rFonts w:cstheme="minorHAnsi"/>
        </w:rPr>
      </w:pPr>
      <w:r w:rsidRPr="0097459F">
        <w:rPr>
          <w:rFonts w:cstheme="minorHAnsi"/>
        </w:rPr>
        <w:t xml:space="preserve">§ 1º </w:t>
      </w:r>
      <w:r w:rsidR="00A25979" w:rsidRPr="0097459F">
        <w:rPr>
          <w:rFonts w:cstheme="minorHAnsi"/>
        </w:rPr>
        <w:t xml:space="preserve"> </w:t>
      </w:r>
      <w:r w:rsidRPr="0097459F">
        <w:rPr>
          <w:rFonts w:cstheme="minorHAnsi"/>
        </w:rPr>
        <w:t>O plano de investimento ou desinvestimento deve:</w:t>
      </w:r>
    </w:p>
    <w:p w14:paraId="524CB7D0" w14:textId="77777777" w:rsidR="009B2D26" w:rsidRPr="0097459F" w:rsidRDefault="009B2D26" w:rsidP="00C20BBD">
      <w:pPr>
        <w:pStyle w:val="Normalalteradora"/>
        <w:rPr>
          <w:rFonts w:cstheme="minorHAnsi"/>
        </w:rPr>
      </w:pPr>
      <w:r w:rsidRPr="0097459F">
        <w:rPr>
          <w:rFonts w:cstheme="minorHAnsi"/>
        </w:rPr>
        <w:t xml:space="preserve">I – ser formalizado por escrito; </w:t>
      </w:r>
    </w:p>
    <w:p w14:paraId="64348B44" w14:textId="48BFCF2F" w:rsidR="009B2D26" w:rsidRPr="0097459F" w:rsidRDefault="009B2D26" w:rsidP="00C20BBD">
      <w:pPr>
        <w:pStyle w:val="Normalalteradora"/>
        <w:rPr>
          <w:rFonts w:cstheme="minorHAnsi"/>
        </w:rPr>
      </w:pPr>
      <w:r w:rsidRPr="0097459F">
        <w:rPr>
          <w:rFonts w:cstheme="minorHAnsi"/>
        </w:rPr>
        <w:t xml:space="preserve">II – ser passível de verificação, inclusive no que diz respeito à sua </w:t>
      </w:r>
      <w:r w:rsidR="0042438F" w:rsidRPr="0097459F">
        <w:rPr>
          <w:rFonts w:cstheme="minorHAnsi"/>
        </w:rPr>
        <w:t>formalização</w:t>
      </w:r>
      <w:r w:rsidRPr="0097459F">
        <w:rPr>
          <w:rFonts w:cstheme="minorHAnsi"/>
        </w:rPr>
        <w:t xml:space="preserve"> e à realização de qualquer alteração em seu conteúdo; </w:t>
      </w:r>
    </w:p>
    <w:p w14:paraId="4ECF8E56" w14:textId="3A0FBEB8" w:rsidR="009B2D26" w:rsidRPr="0097459F" w:rsidRDefault="009B2D26" w:rsidP="00C20BBD">
      <w:pPr>
        <w:pStyle w:val="Normalalteradora"/>
        <w:rPr>
          <w:rFonts w:cstheme="minorHAnsi"/>
        </w:rPr>
      </w:pPr>
      <w:r w:rsidRPr="0097459F">
        <w:rPr>
          <w:rFonts w:cstheme="minorHAnsi"/>
        </w:rPr>
        <w:t>III – estabelecer, em caráter irrevogável e irretratável, as datas ou os eventos e os valores ou as quantidades dos negócios a serem realizados pelos participantes, podendo inclusive se valer de metodologias consistentes e passíveis de verificação para a determinação de tais valores ou quantidades de negócios; e</w:t>
      </w:r>
    </w:p>
    <w:p w14:paraId="0B9462E5" w14:textId="4EA6DE60" w:rsidR="009B2D26" w:rsidRPr="0097459F" w:rsidRDefault="009B2D26" w:rsidP="00C20BBD">
      <w:pPr>
        <w:pStyle w:val="Normalalteradora"/>
        <w:rPr>
          <w:rFonts w:cstheme="minorHAnsi"/>
        </w:rPr>
      </w:pPr>
      <w:r w:rsidRPr="0097459F">
        <w:rPr>
          <w:rFonts w:cstheme="minorHAnsi"/>
        </w:rPr>
        <w:t xml:space="preserve">IV – prever prazo mínimo de 3 (três) meses para que o próprio plano, suas eventuais modificações e </w:t>
      </w:r>
      <w:r w:rsidR="00A25979" w:rsidRPr="0097459F">
        <w:rPr>
          <w:rFonts w:cstheme="minorHAnsi"/>
        </w:rPr>
        <w:t xml:space="preserve">seu </w:t>
      </w:r>
      <w:r w:rsidRPr="0097459F">
        <w:rPr>
          <w:rFonts w:cstheme="minorHAnsi"/>
        </w:rPr>
        <w:t xml:space="preserve">cancelamento produzam efeitos. </w:t>
      </w:r>
    </w:p>
    <w:p w14:paraId="56A2A303" w14:textId="2A49B8CC" w:rsidR="009B2D26" w:rsidRPr="0097459F" w:rsidRDefault="009B2D26" w:rsidP="00C20BBD">
      <w:pPr>
        <w:pStyle w:val="Normalalteradora"/>
        <w:rPr>
          <w:rFonts w:cstheme="minorHAnsi"/>
        </w:rPr>
      </w:pPr>
      <w:r w:rsidRPr="0097459F">
        <w:rPr>
          <w:rFonts w:cstheme="minorHAnsi"/>
        </w:rPr>
        <w:t>§ 2º</w:t>
      </w:r>
      <w:r w:rsidR="00A25979" w:rsidRPr="0097459F">
        <w:rPr>
          <w:rFonts w:cstheme="minorHAnsi"/>
        </w:rPr>
        <w:t xml:space="preserve"> </w:t>
      </w:r>
      <w:r w:rsidRPr="0097459F">
        <w:rPr>
          <w:rFonts w:cstheme="minorHAnsi"/>
        </w:rPr>
        <w:t xml:space="preserve"> É vedado </w:t>
      </w:r>
      <w:r w:rsidR="00E23908" w:rsidRPr="0097459F">
        <w:rPr>
          <w:rFonts w:cstheme="minorHAnsi"/>
        </w:rPr>
        <w:t xml:space="preserve">às pessoas indicadas no </w:t>
      </w:r>
      <w:r w:rsidR="00E23908" w:rsidRPr="0097459F">
        <w:rPr>
          <w:rFonts w:cstheme="minorHAnsi"/>
          <w:b/>
        </w:rPr>
        <w:t>caput</w:t>
      </w:r>
      <w:r w:rsidRPr="0097459F">
        <w:rPr>
          <w:rFonts w:cstheme="minorHAnsi"/>
        </w:rPr>
        <w:t>:</w:t>
      </w:r>
    </w:p>
    <w:p w14:paraId="3854904B" w14:textId="200B239C" w:rsidR="009B2D26" w:rsidRPr="0097459F" w:rsidRDefault="009B2D26" w:rsidP="00C20BBD">
      <w:pPr>
        <w:pStyle w:val="Normalalteradora"/>
        <w:rPr>
          <w:rFonts w:cstheme="minorHAnsi"/>
        </w:rPr>
      </w:pPr>
      <w:r w:rsidRPr="0097459F">
        <w:rPr>
          <w:rFonts w:cstheme="minorHAnsi"/>
        </w:rPr>
        <w:t xml:space="preserve">I – manter simultaneamente em vigor mais de um plano relativamente </w:t>
      </w:r>
      <w:r w:rsidR="0042438F" w:rsidRPr="0097459F">
        <w:rPr>
          <w:rFonts w:cstheme="minorHAnsi"/>
        </w:rPr>
        <w:t>à mesma classe de cotas</w:t>
      </w:r>
      <w:r w:rsidRPr="0097459F">
        <w:rPr>
          <w:rFonts w:cstheme="minorHAnsi"/>
        </w:rPr>
        <w:t xml:space="preserve">; e </w:t>
      </w:r>
    </w:p>
    <w:p w14:paraId="1F305DCC" w14:textId="289D1BD4" w:rsidR="009B2D26" w:rsidRPr="0097459F" w:rsidRDefault="009B2D26" w:rsidP="00C20BBD">
      <w:pPr>
        <w:pStyle w:val="Normalalteradora"/>
        <w:rPr>
          <w:rFonts w:cstheme="minorHAnsi"/>
        </w:rPr>
      </w:pPr>
      <w:r w:rsidRPr="0097459F">
        <w:rPr>
          <w:rFonts w:cstheme="minorHAnsi"/>
        </w:rPr>
        <w:t>II – realizar operações que anulem ou mitiguem os efeitos econômicos das operações a serem determinadas pelo plano</w:t>
      </w:r>
      <w:r w:rsidR="007A0A79" w:rsidRPr="0097459F">
        <w:rPr>
          <w:rFonts w:cstheme="minorHAnsi"/>
        </w:rPr>
        <w:t>, sem prejuízo de o plano poder contar com operações com derivativos que possam produzir efeitos análogos</w:t>
      </w:r>
      <w:r w:rsidR="00F30203" w:rsidRPr="0097459F">
        <w:rPr>
          <w:rFonts w:cstheme="minorHAnsi"/>
        </w:rPr>
        <w:t>.</w:t>
      </w:r>
    </w:p>
    <w:p w14:paraId="1D8B18B4" w14:textId="2FEA734F" w:rsidR="009B2D26" w:rsidRPr="0097459F" w:rsidRDefault="009B2D26" w:rsidP="00C20BBD">
      <w:pPr>
        <w:pStyle w:val="Normalalteradora"/>
        <w:rPr>
          <w:rFonts w:cstheme="minorHAnsi"/>
        </w:rPr>
      </w:pPr>
      <w:r w:rsidRPr="0097459F">
        <w:rPr>
          <w:rFonts w:cstheme="minorHAnsi"/>
        </w:rPr>
        <w:lastRenderedPageBreak/>
        <w:t xml:space="preserve">§ 3º </w:t>
      </w:r>
      <w:r w:rsidR="002A594E" w:rsidRPr="0097459F">
        <w:rPr>
          <w:rFonts w:cstheme="minorHAnsi"/>
        </w:rPr>
        <w:t xml:space="preserve"> </w:t>
      </w:r>
      <w:r w:rsidRPr="0097459F">
        <w:rPr>
          <w:rFonts w:cstheme="minorHAnsi"/>
        </w:rPr>
        <w:t xml:space="preserve">A adoção de plano de investimento </w:t>
      </w:r>
      <w:r w:rsidR="00F30203" w:rsidRPr="0097459F">
        <w:rPr>
          <w:rFonts w:cstheme="minorHAnsi"/>
        </w:rPr>
        <w:t>e</w:t>
      </w:r>
      <w:r w:rsidRPr="0097459F">
        <w:rPr>
          <w:rFonts w:cstheme="minorHAnsi"/>
        </w:rPr>
        <w:t xml:space="preserve"> desinvestimento: </w:t>
      </w:r>
    </w:p>
    <w:p w14:paraId="7C3F70B4" w14:textId="46CB031C" w:rsidR="009B2D26" w:rsidRPr="0097459F" w:rsidRDefault="009B2D26" w:rsidP="00C20BBD">
      <w:pPr>
        <w:pStyle w:val="Normalalteradora"/>
        <w:rPr>
          <w:rFonts w:cstheme="minorHAnsi"/>
        </w:rPr>
      </w:pPr>
      <w:r w:rsidRPr="0097459F">
        <w:rPr>
          <w:rFonts w:cstheme="minorHAnsi"/>
        </w:rPr>
        <w:t xml:space="preserve">I – pelas pessoas referidas no inciso II do § 1º do art. </w:t>
      </w:r>
      <w:r w:rsidR="0098016B" w:rsidRPr="0097459F">
        <w:rPr>
          <w:rFonts w:cstheme="minorHAnsi"/>
        </w:rPr>
        <w:t>45</w:t>
      </w:r>
      <w:r w:rsidRPr="0097459F">
        <w:rPr>
          <w:rFonts w:cstheme="minorHAnsi"/>
        </w:rPr>
        <w:t xml:space="preserve"> deve ser formalizada por escrito perante os diretores responsáveis pela gestão e pelo cumprimento de regras, políticas, procedimentos e controles internos </w:t>
      </w:r>
      <w:r w:rsidR="007A0A79" w:rsidRPr="0097459F">
        <w:rPr>
          <w:rFonts w:cstheme="minorHAnsi"/>
        </w:rPr>
        <w:t>do gestor</w:t>
      </w:r>
      <w:r w:rsidRPr="0097459F">
        <w:rPr>
          <w:rFonts w:cstheme="minorHAnsi"/>
        </w:rPr>
        <w:t>;</w:t>
      </w:r>
    </w:p>
    <w:p w14:paraId="2B00B0DD" w14:textId="7DB218BF" w:rsidR="009B2D26" w:rsidRPr="0097459F" w:rsidRDefault="009B2D26" w:rsidP="00C20BBD">
      <w:pPr>
        <w:pStyle w:val="Normalalteradora"/>
        <w:rPr>
          <w:rFonts w:cstheme="minorHAnsi"/>
        </w:rPr>
      </w:pPr>
      <w:r w:rsidRPr="0097459F">
        <w:rPr>
          <w:rFonts w:cstheme="minorHAnsi"/>
        </w:rPr>
        <w:t>II – pela</w:t>
      </w:r>
      <w:r w:rsidR="007A0A79" w:rsidRPr="0097459F">
        <w:rPr>
          <w:rFonts w:cstheme="minorHAnsi"/>
        </w:rPr>
        <w:t>s demais</w:t>
      </w:r>
      <w:r w:rsidRPr="0097459F">
        <w:rPr>
          <w:rFonts w:cstheme="minorHAnsi"/>
        </w:rPr>
        <w:t xml:space="preserve"> pessoa</w:t>
      </w:r>
      <w:r w:rsidR="007A0A79" w:rsidRPr="0097459F">
        <w:rPr>
          <w:rFonts w:cstheme="minorHAnsi"/>
        </w:rPr>
        <w:t>s</w:t>
      </w:r>
      <w:r w:rsidRPr="0097459F">
        <w:rPr>
          <w:rFonts w:cstheme="minorHAnsi"/>
        </w:rPr>
        <w:t xml:space="preserve"> referida</w:t>
      </w:r>
      <w:r w:rsidR="007A0A79" w:rsidRPr="0097459F">
        <w:rPr>
          <w:rFonts w:cstheme="minorHAnsi"/>
        </w:rPr>
        <w:t>s</w:t>
      </w:r>
      <w:r w:rsidRPr="0097459F">
        <w:rPr>
          <w:rFonts w:cstheme="minorHAnsi"/>
        </w:rPr>
        <w:t xml:space="preserve"> no inciso </w:t>
      </w:r>
      <w:r w:rsidR="007A0A79" w:rsidRPr="0097459F">
        <w:rPr>
          <w:rFonts w:cstheme="minorHAnsi"/>
        </w:rPr>
        <w:t>V</w:t>
      </w:r>
      <w:r w:rsidRPr="0097459F">
        <w:rPr>
          <w:rFonts w:cstheme="minorHAnsi"/>
        </w:rPr>
        <w:t xml:space="preserve"> do § 1º do art. </w:t>
      </w:r>
      <w:r w:rsidR="0098016B" w:rsidRPr="0097459F">
        <w:rPr>
          <w:rFonts w:cstheme="minorHAnsi"/>
        </w:rPr>
        <w:t>45</w:t>
      </w:r>
      <w:r w:rsidRPr="0097459F">
        <w:rPr>
          <w:rFonts w:cstheme="minorHAnsi"/>
        </w:rPr>
        <w:t xml:space="preserve"> deve ser formalizada por escrito perante os diretores responsáveis pelo cumprimento de regras, políticas, procedimentos e controles internos da administradora fiduciária.</w:t>
      </w:r>
    </w:p>
    <w:p w14:paraId="503EB328" w14:textId="0EEC65E4" w:rsidR="00893D49" w:rsidRPr="0097459F" w:rsidRDefault="00893D49" w:rsidP="00C20BBD">
      <w:pPr>
        <w:pStyle w:val="Captulo"/>
        <w:rPr>
          <w:rFonts w:cstheme="minorHAnsi"/>
        </w:rPr>
      </w:pPr>
      <w:bookmarkStart w:id="111" w:name="_Toc53594442"/>
      <w:bookmarkStart w:id="112" w:name="_Toc53595467"/>
      <w:bookmarkStart w:id="113" w:name="_Toc53594194"/>
      <w:bookmarkStart w:id="114" w:name="_Toc57836202"/>
      <w:bookmarkStart w:id="115" w:name="_Toc126226303"/>
      <w:r w:rsidRPr="0097459F">
        <w:rPr>
          <w:rFonts w:cstheme="minorHAnsi"/>
        </w:rPr>
        <w:t>CAPÍTULO V – DOCUMENTOS E INFORMAÇÕES</w:t>
      </w:r>
      <w:bookmarkEnd w:id="111"/>
      <w:bookmarkEnd w:id="112"/>
      <w:bookmarkEnd w:id="113"/>
      <w:bookmarkEnd w:id="114"/>
      <w:bookmarkEnd w:id="115"/>
    </w:p>
    <w:p w14:paraId="106BD628" w14:textId="77777777" w:rsidR="00893D49" w:rsidRPr="0097459F" w:rsidRDefault="00893D49" w:rsidP="00C20BBD">
      <w:pPr>
        <w:pStyle w:val="Seo"/>
        <w:rPr>
          <w:rFonts w:asciiTheme="minorHAnsi" w:hAnsiTheme="minorHAnsi"/>
        </w:rPr>
      </w:pPr>
      <w:bookmarkStart w:id="116" w:name="_Toc53594443"/>
      <w:bookmarkStart w:id="117" w:name="_Toc53595468"/>
      <w:bookmarkStart w:id="118" w:name="_Toc53594195"/>
      <w:bookmarkStart w:id="119" w:name="_Toc114818976"/>
      <w:bookmarkStart w:id="120" w:name="_Toc57836203"/>
      <w:bookmarkStart w:id="121" w:name="_Toc126226304"/>
      <w:r w:rsidRPr="0097459F">
        <w:rPr>
          <w:rFonts w:asciiTheme="minorHAnsi" w:hAnsiTheme="minorHAnsi"/>
        </w:rPr>
        <w:t xml:space="preserve">Seção I – </w:t>
      </w:r>
      <w:bookmarkStart w:id="122" w:name="_DV_C24"/>
      <w:r w:rsidRPr="0097459F">
        <w:rPr>
          <w:rFonts w:asciiTheme="minorHAnsi" w:hAnsiTheme="minorHAnsi"/>
        </w:rPr>
        <w:t>Disposições Gerais</w:t>
      </w:r>
      <w:bookmarkEnd w:id="116"/>
      <w:bookmarkEnd w:id="117"/>
      <w:bookmarkEnd w:id="118"/>
      <w:bookmarkEnd w:id="119"/>
      <w:bookmarkEnd w:id="120"/>
      <w:bookmarkEnd w:id="121"/>
      <w:bookmarkEnd w:id="122"/>
    </w:p>
    <w:p w14:paraId="41588BCA" w14:textId="6F0BF22A" w:rsidR="00CE5967" w:rsidRPr="0097459F" w:rsidRDefault="00893D49" w:rsidP="00C20BBD">
      <w:pPr>
        <w:pStyle w:val="NormalWeb"/>
        <w:spacing w:before="0" w:beforeAutospacing="0" w:after="0" w:afterAutospacing="0" w:line="312" w:lineRule="auto"/>
        <w:ind w:firstLine="567"/>
        <w:jc w:val="both"/>
        <w:rPr>
          <w:rFonts w:asciiTheme="minorHAnsi" w:hAnsiTheme="minorHAnsi" w:cstheme="minorHAnsi"/>
        </w:rPr>
      </w:pPr>
      <w:bookmarkStart w:id="123" w:name="_DV_C25"/>
      <w:r w:rsidRPr="0097459F">
        <w:rPr>
          <w:rFonts w:asciiTheme="minorHAnsi" w:hAnsiTheme="minorHAnsi" w:cstheme="minorHAnsi"/>
        </w:rPr>
        <w:t xml:space="preserve">Art. </w:t>
      </w:r>
      <w:r w:rsidR="002A1094" w:rsidRPr="0097459F">
        <w:rPr>
          <w:rFonts w:asciiTheme="minorHAnsi" w:hAnsiTheme="minorHAnsi" w:cstheme="minorHAnsi"/>
        </w:rPr>
        <w:t>47</w:t>
      </w:r>
      <w:r w:rsidRPr="0097459F">
        <w:rPr>
          <w:rFonts w:asciiTheme="minorHAnsi" w:hAnsiTheme="minorHAnsi" w:cstheme="minorHAnsi"/>
        </w:rPr>
        <w:t xml:space="preserve">.  A divulgação de informações sobre </w:t>
      </w:r>
      <w:r w:rsidR="00CE5967" w:rsidRPr="0097459F">
        <w:rPr>
          <w:rFonts w:asciiTheme="minorHAnsi" w:hAnsiTheme="minorHAnsi" w:cstheme="minorHAnsi"/>
        </w:rPr>
        <w:t>a classe de cotas</w:t>
      </w:r>
      <w:r w:rsidR="00961816" w:rsidRPr="0097459F">
        <w:rPr>
          <w:rFonts w:asciiTheme="minorHAnsi" w:hAnsiTheme="minorHAnsi" w:cstheme="minorHAnsi"/>
        </w:rPr>
        <w:t xml:space="preserve"> </w:t>
      </w:r>
      <w:r w:rsidRPr="0097459F">
        <w:rPr>
          <w:rFonts w:asciiTheme="minorHAnsi" w:hAnsiTheme="minorHAnsi" w:cstheme="minorHAnsi"/>
        </w:rPr>
        <w:t>deve ser abrangente, equitativa e simultânea para todos os cotistas</w:t>
      </w:r>
      <w:r w:rsidR="003972CB" w:rsidRPr="0097459F">
        <w:rPr>
          <w:rFonts w:asciiTheme="minorHAnsi" w:hAnsiTheme="minorHAnsi" w:cstheme="minorHAnsi"/>
        </w:rPr>
        <w:t xml:space="preserve"> da classe</w:t>
      </w:r>
      <w:r w:rsidRPr="0097459F">
        <w:rPr>
          <w:rFonts w:asciiTheme="minorHAnsi" w:hAnsiTheme="minorHAnsi" w:cstheme="minorHAnsi"/>
        </w:rPr>
        <w:t xml:space="preserve">, inclusive, mas não limitadamente, por meio da disponibilização dos seguintes </w:t>
      </w:r>
      <w:r w:rsidR="00CE5967" w:rsidRPr="0097459F">
        <w:rPr>
          <w:rFonts w:asciiTheme="minorHAnsi" w:hAnsiTheme="minorHAnsi" w:cstheme="minorHAnsi"/>
        </w:rPr>
        <w:t>documentos e informações</w:t>
      </w:r>
      <w:r w:rsidRPr="0097459F">
        <w:rPr>
          <w:rFonts w:asciiTheme="minorHAnsi" w:hAnsiTheme="minorHAnsi" w:cstheme="minorHAnsi"/>
        </w:rPr>
        <w:t xml:space="preserve"> nos canais eletrônicos e nas páginas na rede mundial de computadores do administrador, do gestor, do distribuidor, enquanto a distribuição estiver em curso, e da entidade administradora do mercado organizado em que as cotas sejam admitidas à negociação: </w:t>
      </w:r>
    </w:p>
    <w:p w14:paraId="657C30E9" w14:textId="77777777" w:rsidR="00893D49" w:rsidRPr="0097459F" w:rsidRDefault="00893D49" w:rsidP="00C20BBD">
      <w:pPr>
        <w:pStyle w:val="Normalalteradora"/>
        <w:rPr>
          <w:rFonts w:cstheme="minorHAnsi"/>
        </w:rPr>
      </w:pPr>
      <w:r w:rsidRPr="0097459F">
        <w:rPr>
          <w:rFonts w:cstheme="minorHAnsi"/>
        </w:rPr>
        <w:t>I – regulamento atualizado; e</w:t>
      </w:r>
    </w:p>
    <w:p w14:paraId="686D4783" w14:textId="3ED99323" w:rsidR="00893D49" w:rsidRPr="0097459F" w:rsidRDefault="00893D49" w:rsidP="00C20BBD">
      <w:pPr>
        <w:pStyle w:val="Normalalteradora"/>
        <w:rPr>
          <w:rFonts w:cstheme="minorHAnsi"/>
        </w:rPr>
      </w:pPr>
      <w:r w:rsidRPr="0097459F">
        <w:rPr>
          <w:rFonts w:cstheme="minorHAnsi"/>
        </w:rPr>
        <w:t>II – descrição da tributação aplicável</w:t>
      </w:r>
      <w:r w:rsidR="00CE5967" w:rsidRPr="0097459F">
        <w:rPr>
          <w:rFonts w:cstheme="minorHAnsi"/>
        </w:rPr>
        <w:t xml:space="preserve"> </w:t>
      </w:r>
      <w:r w:rsidR="00D03612" w:rsidRPr="0097459F">
        <w:rPr>
          <w:rFonts w:cstheme="minorHAnsi"/>
        </w:rPr>
        <w:t>ao fundo</w:t>
      </w:r>
      <w:r w:rsidRPr="0097459F">
        <w:rPr>
          <w:rFonts w:cstheme="minorHAnsi"/>
        </w:rPr>
        <w:t>.</w:t>
      </w:r>
    </w:p>
    <w:p w14:paraId="435D69DF" w14:textId="471A8C3F" w:rsidR="00893D49" w:rsidRPr="0097459F" w:rsidRDefault="4AF9F487" w:rsidP="00C20BBD">
      <w:pPr>
        <w:pStyle w:val="Normalalteradora"/>
      </w:pPr>
      <w:r w:rsidRPr="0097459F">
        <w:t xml:space="preserve">§ 1º  As informações referidas no </w:t>
      </w:r>
      <w:r w:rsidRPr="0097459F">
        <w:rPr>
          <w:b/>
          <w:bCs/>
        </w:rPr>
        <w:t>caput</w:t>
      </w:r>
      <w:r w:rsidRPr="0097459F">
        <w:t xml:space="preserve"> devem ser:</w:t>
      </w:r>
    </w:p>
    <w:p w14:paraId="71B35E75" w14:textId="509CA999" w:rsidR="00893D49" w:rsidRPr="0097459F" w:rsidRDefault="00893D49" w:rsidP="00C20BBD">
      <w:pPr>
        <w:pStyle w:val="Normalalteradora"/>
        <w:rPr>
          <w:rFonts w:cstheme="minorHAnsi"/>
        </w:rPr>
      </w:pPr>
      <w:r w:rsidRPr="0097459F">
        <w:rPr>
          <w:rFonts w:cstheme="minorHAnsi"/>
        </w:rPr>
        <w:t>I –</w:t>
      </w:r>
      <w:r w:rsidR="00A15FC1" w:rsidRPr="0097459F">
        <w:rPr>
          <w:rFonts w:cstheme="minorHAnsi"/>
        </w:rPr>
        <w:t xml:space="preserve"> </w:t>
      </w:r>
      <w:r w:rsidR="00A15FC1" w:rsidRPr="0097459F">
        <w:rPr>
          <w:bCs/>
        </w:rPr>
        <w:t xml:space="preserve">suficientes, verdadeiras, precisas, consistentes e atuais, </w:t>
      </w:r>
      <w:r w:rsidR="00A15FC1" w:rsidRPr="0097459F">
        <w:t xml:space="preserve">permitindo aos investidores uma tomada de decisão fundamentada a respeito </w:t>
      </w:r>
      <w:r w:rsidR="00D03612" w:rsidRPr="0097459F">
        <w:t>do investimento</w:t>
      </w:r>
      <w:r w:rsidR="005460CC" w:rsidRPr="0097459F">
        <w:rPr>
          <w:rFonts w:cstheme="minorHAnsi"/>
        </w:rPr>
        <w:t>;</w:t>
      </w:r>
    </w:p>
    <w:p w14:paraId="093BB587" w14:textId="77777777" w:rsidR="00893D49" w:rsidRPr="0097459F" w:rsidRDefault="00893D49" w:rsidP="00C20BBD">
      <w:pPr>
        <w:pStyle w:val="Normalalteradora"/>
        <w:rPr>
          <w:rFonts w:cstheme="minorHAnsi"/>
        </w:rPr>
      </w:pPr>
      <w:r w:rsidRPr="0097459F">
        <w:rPr>
          <w:rFonts w:cstheme="minorHAnsi"/>
        </w:rPr>
        <w:t>II – escritas em linguagem simples, clara, objetiva e concisa; e</w:t>
      </w:r>
    </w:p>
    <w:p w14:paraId="52AFBBCE" w14:textId="77777777" w:rsidR="00893D49" w:rsidRPr="0097459F" w:rsidRDefault="00893D49" w:rsidP="00C20BBD">
      <w:pPr>
        <w:pStyle w:val="Normalalteradora"/>
        <w:rPr>
          <w:rFonts w:cstheme="minorHAnsi"/>
        </w:rPr>
      </w:pPr>
      <w:r w:rsidRPr="0097459F">
        <w:rPr>
          <w:rFonts w:cstheme="minorHAnsi"/>
        </w:rPr>
        <w:t>III – úteis à avaliação do investimento.</w:t>
      </w:r>
    </w:p>
    <w:p w14:paraId="3AC4BDC8" w14:textId="77777777" w:rsidR="00893D49" w:rsidRPr="0097459F" w:rsidRDefault="00893D49" w:rsidP="00C20BBD">
      <w:pPr>
        <w:pStyle w:val="Normalalteradora"/>
        <w:rPr>
          <w:rFonts w:cstheme="minorHAnsi"/>
        </w:rPr>
      </w:pPr>
      <w:r w:rsidRPr="0097459F">
        <w:rPr>
          <w:rFonts w:cstheme="minorHAnsi"/>
        </w:rPr>
        <w:t xml:space="preserve">§ 2º  As informações referidas no </w:t>
      </w:r>
      <w:r w:rsidRPr="0097459F">
        <w:rPr>
          <w:rFonts w:cstheme="minorHAnsi"/>
          <w:b/>
        </w:rPr>
        <w:t>caput</w:t>
      </w:r>
      <w:r w:rsidRPr="0097459F">
        <w:rPr>
          <w:rFonts w:cstheme="minorHAnsi"/>
        </w:rPr>
        <w:t xml:space="preserve"> não podem assegurar ou sugerir a existência de garantia de resultados futuros ou isenção de risco para o investidor.</w:t>
      </w:r>
    </w:p>
    <w:p w14:paraId="28B1635F" w14:textId="77777777" w:rsidR="00893D49" w:rsidRPr="0097459F" w:rsidRDefault="00893D49" w:rsidP="00C20BBD">
      <w:pPr>
        <w:pStyle w:val="Normalalteradora"/>
        <w:rPr>
          <w:rFonts w:cstheme="minorHAnsi"/>
        </w:rPr>
      </w:pPr>
      <w:r w:rsidRPr="0097459F">
        <w:rPr>
          <w:rFonts w:cstheme="minorHAnsi"/>
        </w:rPr>
        <w:t>§ 3º  Informações factuais devem vir acompanhadas da indicação de suas fontes e ser diferenciadas de interpretações, opiniões, projeções e estimativas.</w:t>
      </w:r>
    </w:p>
    <w:p w14:paraId="383DF274" w14:textId="3BC5ECE7" w:rsidR="00893D49" w:rsidRPr="0097459F" w:rsidRDefault="4AF9F487" w:rsidP="00C20BBD">
      <w:pPr>
        <w:pStyle w:val="Normalalteradora"/>
      </w:pPr>
      <w:r w:rsidRPr="0097459F">
        <w:lastRenderedPageBreak/>
        <w:t xml:space="preserve">§ 4º  Caso as informações divulgadas ou quaisquer materiais de divulgação apresentem incorreções ou impropriedades que possam induzir o investidor </w:t>
      </w:r>
      <w:r w:rsidR="00A15FC1" w:rsidRPr="0097459F">
        <w:t xml:space="preserve">em </w:t>
      </w:r>
      <w:r w:rsidRPr="0097459F">
        <w:t xml:space="preserve">erro de avaliação, a </w:t>
      </w:r>
      <w:r w:rsidR="4E303387" w:rsidRPr="0097459F">
        <w:t xml:space="preserve">Superintendência competente </w:t>
      </w:r>
      <w:r w:rsidRPr="0097459F">
        <w:t>pode exigir:</w:t>
      </w:r>
    </w:p>
    <w:p w14:paraId="3B8B15CC" w14:textId="77777777" w:rsidR="00893D49" w:rsidRPr="0097459F" w:rsidRDefault="00893D49" w:rsidP="00C20BBD">
      <w:pPr>
        <w:pStyle w:val="Normalalteradora"/>
        <w:rPr>
          <w:rFonts w:cstheme="minorHAnsi"/>
        </w:rPr>
      </w:pPr>
      <w:r w:rsidRPr="0097459F">
        <w:rPr>
          <w:rFonts w:cstheme="minorHAnsi"/>
        </w:rPr>
        <w:t>I – a cessação da divulgação da informação; e</w:t>
      </w:r>
    </w:p>
    <w:p w14:paraId="61CFFBCA" w14:textId="77777777" w:rsidR="00893D49" w:rsidRPr="0097459F" w:rsidRDefault="00893D49" w:rsidP="00C20BBD">
      <w:pPr>
        <w:pStyle w:val="Normalalteradora"/>
        <w:rPr>
          <w:rFonts w:cstheme="minorHAnsi"/>
        </w:rPr>
      </w:pPr>
      <w:r w:rsidRPr="0097459F">
        <w:rPr>
          <w:rFonts w:cstheme="minorHAnsi"/>
        </w:rPr>
        <w:t>II – a veiculação, com igual destaque e pelo mesmo veículo utilizado para divulgar a informação original, de retificações e esclarecimentos, devendo constar, de forma expressa, que a informação está sendo republicada por determinação da CVM.</w:t>
      </w:r>
      <w:bookmarkEnd w:id="123"/>
    </w:p>
    <w:p w14:paraId="02FB5592" w14:textId="77777777" w:rsidR="00893D49" w:rsidRPr="0097459F" w:rsidRDefault="00893D49" w:rsidP="00C20BBD">
      <w:pPr>
        <w:pStyle w:val="Seo"/>
        <w:rPr>
          <w:rFonts w:asciiTheme="minorHAnsi" w:hAnsiTheme="minorHAnsi"/>
        </w:rPr>
      </w:pPr>
      <w:bookmarkStart w:id="124" w:name="_Toc53594444"/>
      <w:bookmarkStart w:id="125" w:name="_Toc53595469"/>
      <w:bookmarkStart w:id="126" w:name="_Toc53594196"/>
      <w:bookmarkStart w:id="127" w:name="_Toc114818977"/>
      <w:bookmarkStart w:id="128" w:name="_Toc57836204"/>
      <w:bookmarkStart w:id="129" w:name="_Toc126226305"/>
      <w:r w:rsidRPr="0097459F">
        <w:rPr>
          <w:rFonts w:asciiTheme="minorHAnsi" w:hAnsiTheme="minorHAnsi"/>
        </w:rPr>
        <w:t>Seção II – Regulamento</w:t>
      </w:r>
      <w:bookmarkEnd w:id="124"/>
      <w:bookmarkEnd w:id="125"/>
      <w:bookmarkEnd w:id="126"/>
      <w:bookmarkEnd w:id="127"/>
      <w:bookmarkEnd w:id="128"/>
      <w:bookmarkEnd w:id="129"/>
    </w:p>
    <w:p w14:paraId="7F0E65B4" w14:textId="1CC75467" w:rsidR="00893D49" w:rsidRPr="0097459F" w:rsidRDefault="00893D49" w:rsidP="00C20BBD">
      <w:pPr>
        <w:pStyle w:val="Normalalteradora"/>
        <w:rPr>
          <w:rFonts w:cstheme="minorHAnsi"/>
        </w:rPr>
      </w:pPr>
      <w:r w:rsidRPr="0097459F">
        <w:rPr>
          <w:rFonts w:cstheme="minorHAnsi"/>
        </w:rPr>
        <w:t xml:space="preserve">Art. </w:t>
      </w:r>
      <w:r w:rsidR="002A1094" w:rsidRPr="0097459F">
        <w:rPr>
          <w:rFonts w:cstheme="minorHAnsi"/>
        </w:rPr>
        <w:t>48</w:t>
      </w:r>
      <w:r w:rsidRPr="0097459F">
        <w:rPr>
          <w:rFonts w:cstheme="minorHAnsi"/>
        </w:rPr>
        <w:t>.  O fundo de investimento é regido pelo regulamento e</w:t>
      </w:r>
      <w:r w:rsidR="00BE3CE9" w:rsidRPr="0097459F">
        <w:rPr>
          <w:rFonts w:cstheme="minorHAnsi"/>
        </w:rPr>
        <w:t>, se for o caso,</w:t>
      </w:r>
      <w:r w:rsidRPr="0097459F">
        <w:rPr>
          <w:rFonts w:cstheme="minorHAnsi"/>
        </w:rPr>
        <w:t xml:space="preserve"> </w:t>
      </w:r>
      <w:r w:rsidR="00C41638" w:rsidRPr="0097459F">
        <w:rPr>
          <w:rFonts w:cstheme="minorHAnsi"/>
        </w:rPr>
        <w:t>su</w:t>
      </w:r>
      <w:r w:rsidRPr="0097459F">
        <w:rPr>
          <w:rFonts w:cstheme="minorHAnsi"/>
        </w:rPr>
        <w:t>as classes de cotas</w:t>
      </w:r>
      <w:r w:rsidR="00C41638" w:rsidRPr="0097459F">
        <w:rPr>
          <w:rFonts w:cstheme="minorHAnsi"/>
        </w:rPr>
        <w:t xml:space="preserve"> </w:t>
      </w:r>
      <w:r w:rsidRPr="0097459F">
        <w:rPr>
          <w:rFonts w:cstheme="minorHAnsi"/>
        </w:rPr>
        <w:t>são complementarmente regidas por anexos ao regulamento.</w:t>
      </w:r>
    </w:p>
    <w:p w14:paraId="666095EA" w14:textId="5F2A54FD" w:rsidR="00893D49" w:rsidRPr="0097459F" w:rsidRDefault="00893D49" w:rsidP="00C20BBD">
      <w:pPr>
        <w:pStyle w:val="Normalalteradora"/>
        <w:rPr>
          <w:rFonts w:cstheme="minorHAnsi"/>
        </w:rPr>
      </w:pPr>
      <w:r w:rsidRPr="0097459F">
        <w:rPr>
          <w:rFonts w:cstheme="minorHAnsi"/>
        </w:rPr>
        <w:t xml:space="preserve">§ 1º  </w:t>
      </w:r>
      <w:bookmarkStart w:id="130" w:name="_Hlk42692361"/>
      <w:r w:rsidR="00C41638" w:rsidRPr="0097459F">
        <w:rPr>
          <w:rFonts w:cstheme="minorHAnsi"/>
        </w:rPr>
        <w:t>A parte geral do</w:t>
      </w:r>
      <w:r w:rsidRPr="0097459F">
        <w:rPr>
          <w:rFonts w:cstheme="minorHAnsi"/>
        </w:rPr>
        <w:t xml:space="preserve"> regulamento</w:t>
      </w:r>
      <w:r w:rsidR="00C41638" w:rsidRPr="0097459F">
        <w:rPr>
          <w:rFonts w:cstheme="minorHAnsi"/>
        </w:rPr>
        <w:t>, comum a todas as classes de cotas,</w:t>
      </w:r>
      <w:r w:rsidRPr="0097459F">
        <w:rPr>
          <w:rFonts w:cstheme="minorHAnsi"/>
        </w:rPr>
        <w:t xml:space="preserve"> deve dispor sobre:</w:t>
      </w:r>
      <w:bookmarkEnd w:id="130"/>
    </w:p>
    <w:p w14:paraId="22641597" w14:textId="484C33A2" w:rsidR="00893D49" w:rsidRPr="0097459F" w:rsidRDefault="00893D49" w:rsidP="00C20BBD">
      <w:pPr>
        <w:pStyle w:val="Normalalteradora"/>
      </w:pPr>
      <w:r w:rsidRPr="0097459F">
        <w:t xml:space="preserve">I – identificação e qualificação dos prestadores de serviços, com informação </w:t>
      </w:r>
      <w:r w:rsidR="009936E1" w:rsidRPr="0097459F">
        <w:t>sobre os seus registros na CVM;</w:t>
      </w:r>
    </w:p>
    <w:p w14:paraId="749D04B0" w14:textId="16281BF0" w:rsidR="00893D49" w:rsidRPr="0097459F" w:rsidRDefault="00893D49" w:rsidP="00C20BBD">
      <w:pPr>
        <w:pStyle w:val="Normalalteradora"/>
        <w:rPr>
          <w:rFonts w:cstheme="minorHAnsi"/>
        </w:rPr>
      </w:pPr>
      <w:r w:rsidRPr="0097459F">
        <w:rPr>
          <w:rFonts w:cstheme="minorHAnsi"/>
        </w:rPr>
        <w:t>II –</w:t>
      </w:r>
      <w:r w:rsidR="004E0545" w:rsidRPr="0097459F">
        <w:rPr>
          <w:rFonts w:cstheme="minorHAnsi"/>
        </w:rPr>
        <w:t xml:space="preserve"> </w:t>
      </w:r>
      <w:r w:rsidRPr="0097459F">
        <w:rPr>
          <w:rFonts w:cstheme="minorHAnsi"/>
        </w:rPr>
        <w:t>responsabilidade</w:t>
      </w:r>
      <w:r w:rsidR="00C959D1" w:rsidRPr="0097459F">
        <w:t xml:space="preserve">, bem como parâmetros de sua aferição, </w:t>
      </w:r>
      <w:r w:rsidRPr="0097459F">
        <w:rPr>
          <w:rFonts w:cstheme="minorHAnsi"/>
        </w:rPr>
        <w:t xml:space="preserve">dos prestadores de serviços, perante o </w:t>
      </w:r>
      <w:r w:rsidR="00293C9C" w:rsidRPr="0097459F">
        <w:rPr>
          <w:rFonts w:cstheme="minorHAnsi"/>
        </w:rPr>
        <w:t xml:space="preserve">fundo </w:t>
      </w:r>
      <w:r w:rsidRPr="0097459F">
        <w:rPr>
          <w:rFonts w:cstheme="minorHAnsi"/>
        </w:rPr>
        <w:t>e entre si;</w:t>
      </w:r>
    </w:p>
    <w:p w14:paraId="45472579" w14:textId="73D5A36E" w:rsidR="00877ADF" w:rsidRPr="0097459F" w:rsidRDefault="00C402F4" w:rsidP="00C20BBD">
      <w:pPr>
        <w:pStyle w:val="Normalalteradora"/>
        <w:rPr>
          <w:rFonts w:cstheme="minorHAnsi"/>
        </w:rPr>
      </w:pPr>
      <w:r w:rsidRPr="0097459F">
        <w:t>III</w:t>
      </w:r>
      <w:r w:rsidRPr="0097459F">
        <w:rPr>
          <w:rFonts w:cstheme="minorHAnsi"/>
        </w:rPr>
        <w:t xml:space="preserve"> </w:t>
      </w:r>
      <w:r w:rsidR="00877ADF" w:rsidRPr="0097459F">
        <w:rPr>
          <w:rFonts w:cstheme="minorHAnsi"/>
        </w:rPr>
        <w:t>– definição sobre se o fundo conta com classe única de cotas ou diferentes classes de cotas</w:t>
      </w:r>
      <w:r w:rsidR="000C5D29" w:rsidRPr="0097459F">
        <w:rPr>
          <w:rFonts w:cstheme="minorHAnsi"/>
        </w:rPr>
        <w:t xml:space="preserve"> e, caso conte com classes diferentes, definição </w:t>
      </w:r>
      <w:r w:rsidR="00BE3CE9" w:rsidRPr="0097459F">
        <w:rPr>
          <w:rFonts w:cstheme="minorHAnsi"/>
        </w:rPr>
        <w:t>das despesas</w:t>
      </w:r>
      <w:r w:rsidR="000C5D29" w:rsidRPr="0097459F">
        <w:rPr>
          <w:rFonts w:cstheme="minorHAnsi"/>
        </w:rPr>
        <w:t xml:space="preserve"> que são comuns às classes</w:t>
      </w:r>
      <w:r w:rsidR="00877ADF" w:rsidRPr="0097459F">
        <w:rPr>
          <w:rFonts w:cstheme="minorHAnsi"/>
        </w:rPr>
        <w:t>;</w:t>
      </w:r>
    </w:p>
    <w:p w14:paraId="75C36141" w14:textId="4292B267" w:rsidR="00E74C20" w:rsidRPr="0097459F" w:rsidRDefault="001B3AD7" w:rsidP="00C20BBD">
      <w:pPr>
        <w:pStyle w:val="Normalalteradora"/>
        <w:rPr>
          <w:rFonts w:cstheme="minorHAnsi"/>
        </w:rPr>
      </w:pPr>
      <w:r w:rsidRPr="0097459F">
        <w:rPr>
          <w:rFonts w:cstheme="minorHAnsi"/>
        </w:rPr>
        <w:t>I</w:t>
      </w:r>
      <w:r w:rsidR="00877ADF" w:rsidRPr="0097459F">
        <w:rPr>
          <w:rFonts w:cstheme="minorHAnsi"/>
        </w:rPr>
        <w:t xml:space="preserve">V – forma de rateio </w:t>
      </w:r>
      <w:r w:rsidR="00BE3CE9" w:rsidRPr="0097459F">
        <w:rPr>
          <w:rFonts w:cstheme="minorHAnsi"/>
        </w:rPr>
        <w:t>das despesas</w:t>
      </w:r>
      <w:r w:rsidR="00877ADF" w:rsidRPr="0097459F">
        <w:rPr>
          <w:rFonts w:cstheme="minorHAnsi"/>
        </w:rPr>
        <w:t xml:space="preserve"> em comum</w:t>
      </w:r>
      <w:r w:rsidR="00D5554A" w:rsidRPr="0097459F">
        <w:rPr>
          <w:rFonts w:cstheme="minorHAnsi"/>
        </w:rPr>
        <w:t xml:space="preserve"> entre as classes</w:t>
      </w:r>
      <w:r w:rsidR="00465358" w:rsidRPr="0097459F">
        <w:rPr>
          <w:rFonts w:cstheme="minorHAnsi"/>
        </w:rPr>
        <w:t>,</w:t>
      </w:r>
      <w:r w:rsidR="000C5D29" w:rsidRPr="0097459F">
        <w:rPr>
          <w:rFonts w:cstheme="minorHAnsi"/>
        </w:rPr>
        <w:t xml:space="preserve"> </w:t>
      </w:r>
      <w:r w:rsidR="00E34C3B" w:rsidRPr="0097459F">
        <w:rPr>
          <w:rFonts w:cstheme="minorHAnsi"/>
        </w:rPr>
        <w:t xml:space="preserve">se for o caso, </w:t>
      </w:r>
      <w:r w:rsidR="00877ADF" w:rsidRPr="0097459F">
        <w:rPr>
          <w:rFonts w:cstheme="minorHAnsi"/>
        </w:rPr>
        <w:t xml:space="preserve">que deve ser passível de verificação e não implicar transferência </w:t>
      </w:r>
      <w:r w:rsidR="00063A4E" w:rsidRPr="0097459F">
        <w:rPr>
          <w:rFonts w:cstheme="minorHAnsi"/>
        </w:rPr>
        <w:t>i</w:t>
      </w:r>
      <w:r w:rsidR="00877ADF" w:rsidRPr="0097459F">
        <w:rPr>
          <w:rFonts w:cstheme="minorHAnsi"/>
        </w:rPr>
        <w:t>ndevida de riqueza entre as classes;</w:t>
      </w:r>
    </w:p>
    <w:p w14:paraId="355E5DA4" w14:textId="173BEE01" w:rsidR="00770B8C" w:rsidRPr="0097459F" w:rsidRDefault="00541B67" w:rsidP="00C20BBD">
      <w:pPr>
        <w:pStyle w:val="Normalalteradora"/>
        <w:rPr>
          <w:rFonts w:cstheme="minorHAnsi"/>
        </w:rPr>
      </w:pPr>
      <w:r w:rsidRPr="0097459F">
        <w:rPr>
          <w:rFonts w:cstheme="minorHAnsi"/>
        </w:rPr>
        <w:t>V</w:t>
      </w:r>
      <w:r w:rsidR="00770B8C" w:rsidRPr="0097459F">
        <w:rPr>
          <w:rFonts w:cstheme="minorHAnsi"/>
        </w:rPr>
        <w:t xml:space="preserve"> </w:t>
      </w:r>
      <w:r w:rsidR="008A22CE">
        <w:rPr>
          <w:rFonts w:cstheme="minorHAnsi"/>
        </w:rPr>
        <w:t>–</w:t>
      </w:r>
      <w:r w:rsidR="00770B8C" w:rsidRPr="0097459F">
        <w:rPr>
          <w:rFonts w:cstheme="minorHAnsi"/>
        </w:rPr>
        <w:t xml:space="preserve"> forma de rateio das </w:t>
      </w:r>
      <w:r w:rsidR="00620953" w:rsidRPr="0097459F">
        <w:rPr>
          <w:rFonts w:cstheme="minorHAnsi"/>
        </w:rPr>
        <w:t>contingências que recaiam sobre o fundo</w:t>
      </w:r>
      <w:r w:rsidR="00C3083D" w:rsidRPr="0097459F">
        <w:rPr>
          <w:rFonts w:cstheme="minorHAnsi"/>
        </w:rPr>
        <w:t>,</w:t>
      </w:r>
      <w:r w:rsidR="00620953" w:rsidRPr="0097459F">
        <w:rPr>
          <w:rFonts w:cstheme="minorHAnsi"/>
        </w:rPr>
        <w:t xml:space="preserve"> não sobre o patrimônio de alguma</w:t>
      </w:r>
      <w:r w:rsidR="00C3083D" w:rsidRPr="0097459F">
        <w:rPr>
          <w:rFonts w:cstheme="minorHAnsi"/>
        </w:rPr>
        <w:t>(s)</w:t>
      </w:r>
      <w:r w:rsidR="00620953" w:rsidRPr="0097459F">
        <w:rPr>
          <w:rFonts w:cstheme="minorHAnsi"/>
        </w:rPr>
        <w:t xml:space="preserve"> classe</w:t>
      </w:r>
      <w:r w:rsidR="00C3083D" w:rsidRPr="0097459F">
        <w:rPr>
          <w:rFonts w:cstheme="minorHAnsi"/>
        </w:rPr>
        <w:t>(s)</w:t>
      </w:r>
      <w:r w:rsidR="00620953" w:rsidRPr="0097459F">
        <w:rPr>
          <w:rFonts w:cstheme="minorHAnsi"/>
        </w:rPr>
        <w:t xml:space="preserve"> em específico, </w:t>
      </w:r>
      <w:r w:rsidR="000B29B2" w:rsidRPr="0097459F">
        <w:rPr>
          <w:rFonts w:cstheme="minorHAnsi"/>
        </w:rPr>
        <w:t xml:space="preserve">que </w:t>
      </w:r>
      <w:r w:rsidR="00770B8C" w:rsidRPr="0097459F">
        <w:rPr>
          <w:rFonts w:cstheme="minorHAnsi"/>
        </w:rPr>
        <w:t>deve ser passível de verificação e não implicar transferência indevida de riqueza entre as classes;</w:t>
      </w:r>
    </w:p>
    <w:p w14:paraId="68CB64B8" w14:textId="2791D5BD" w:rsidR="00893D49" w:rsidRDefault="00E567AB" w:rsidP="2889066B">
      <w:pPr>
        <w:pStyle w:val="Normalalteradora"/>
      </w:pPr>
      <w:r w:rsidRPr="0097459F">
        <w:t>V</w:t>
      </w:r>
      <w:r w:rsidR="00541B67" w:rsidRPr="0097459F">
        <w:t>I</w:t>
      </w:r>
      <w:r w:rsidRPr="0097459F">
        <w:t xml:space="preserve"> </w:t>
      </w:r>
      <w:r w:rsidR="00893D49" w:rsidRPr="0097459F">
        <w:t xml:space="preserve">– prazo de duração, </w:t>
      </w:r>
      <w:r w:rsidR="00BE3CE9" w:rsidRPr="0097459F">
        <w:t>que pode ser</w:t>
      </w:r>
      <w:r w:rsidR="00893D49" w:rsidRPr="0097459F">
        <w:t xml:space="preserve"> indeterminado;</w:t>
      </w:r>
      <w:r w:rsidR="00626162">
        <w:t xml:space="preserve"> </w:t>
      </w:r>
    </w:p>
    <w:p w14:paraId="5EE682AA" w14:textId="72D83B64" w:rsidR="007C6F59" w:rsidRDefault="007C6F59" w:rsidP="007C6F59">
      <w:pPr>
        <w:pStyle w:val="Normalalteradora"/>
      </w:pPr>
      <w:r w:rsidRPr="383EF10B">
        <w:t>V</w:t>
      </w:r>
      <w:r>
        <w:t>I</w:t>
      </w:r>
      <w:r w:rsidRPr="383EF10B">
        <w:t>I – taxas de administração e de gestão, que devem ser expressas em:</w:t>
      </w:r>
    </w:p>
    <w:p w14:paraId="4C2F8D99" w14:textId="77777777" w:rsidR="007C6F59" w:rsidRDefault="007C6F59" w:rsidP="007C6F59">
      <w:pPr>
        <w:pStyle w:val="Normalalteradora"/>
        <w:rPr>
          <w:rFonts w:cstheme="minorHAnsi"/>
        </w:rPr>
      </w:pPr>
      <w:r>
        <w:rPr>
          <w:rFonts w:cstheme="minorHAnsi"/>
        </w:rPr>
        <w:t xml:space="preserve">a) um </w:t>
      </w:r>
      <w:r w:rsidRPr="00893D49">
        <w:rPr>
          <w:rFonts w:cstheme="minorHAnsi"/>
        </w:rPr>
        <w:t xml:space="preserve">percentual anual </w:t>
      </w:r>
      <w:r>
        <w:rPr>
          <w:rFonts w:cstheme="minorHAnsi"/>
        </w:rPr>
        <w:t xml:space="preserve">fixo </w:t>
      </w:r>
      <w:r w:rsidRPr="00893D49">
        <w:rPr>
          <w:rFonts w:cstheme="minorHAnsi"/>
        </w:rPr>
        <w:t>do patrimônio líquido (base 252 dias)</w:t>
      </w:r>
      <w:r>
        <w:rPr>
          <w:rFonts w:cstheme="minorHAnsi"/>
        </w:rPr>
        <w:t>; ou</w:t>
      </w:r>
    </w:p>
    <w:p w14:paraId="5757F841" w14:textId="77777777" w:rsidR="007C6F59" w:rsidRPr="000B0804" w:rsidRDefault="007C6F59" w:rsidP="007C6F59">
      <w:pPr>
        <w:pStyle w:val="Normalalteradora"/>
        <w:rPr>
          <w:rFonts w:cstheme="minorHAnsi"/>
        </w:rPr>
      </w:pPr>
      <w:r>
        <w:rPr>
          <w:rFonts w:cstheme="minorHAnsi"/>
        </w:rPr>
        <w:t xml:space="preserve">b) </w:t>
      </w:r>
      <w:r w:rsidRPr="000B0804">
        <w:rPr>
          <w:rFonts w:cstheme="minorHAnsi"/>
        </w:rPr>
        <w:t>um valor nominal em moeda corrente nacional, que pode variar em função de faixas de valores do patrimônio líquido;</w:t>
      </w:r>
      <w:r>
        <w:rPr>
          <w:rFonts w:cstheme="minorHAnsi"/>
        </w:rPr>
        <w:t xml:space="preserve"> e</w:t>
      </w:r>
    </w:p>
    <w:p w14:paraId="1B2722EF" w14:textId="64DBAF00" w:rsidR="00180895" w:rsidRPr="0097459F" w:rsidRDefault="00180895" w:rsidP="2889066B">
      <w:pPr>
        <w:pStyle w:val="Normalalteradora"/>
      </w:pPr>
    </w:p>
    <w:p w14:paraId="2602684C" w14:textId="6FEE6056" w:rsidR="000B29B2" w:rsidRPr="0097459F" w:rsidRDefault="00877ADF" w:rsidP="00C20BBD">
      <w:pPr>
        <w:pStyle w:val="Normalalteradora"/>
        <w:rPr>
          <w:rFonts w:cstheme="minorHAnsi"/>
        </w:rPr>
      </w:pPr>
      <w:r w:rsidRPr="541C429A">
        <w:t>VI</w:t>
      </w:r>
      <w:r w:rsidR="00E567AB" w:rsidRPr="541C429A">
        <w:t>I</w:t>
      </w:r>
      <w:r w:rsidR="00541B67" w:rsidRPr="541C429A">
        <w:t>I</w:t>
      </w:r>
      <w:r w:rsidRPr="541C429A">
        <w:t xml:space="preserve"> </w:t>
      </w:r>
      <w:r w:rsidR="00893D49" w:rsidRPr="541C429A">
        <w:t>– exercício social</w:t>
      </w:r>
      <w:r w:rsidR="00106C54" w:rsidRPr="541C429A">
        <w:t>.</w:t>
      </w:r>
    </w:p>
    <w:p w14:paraId="40DD4733" w14:textId="2992D0A5" w:rsidR="00C41638" w:rsidRPr="0097459F" w:rsidRDefault="00C41638" w:rsidP="5E153155">
      <w:pPr>
        <w:pStyle w:val="Normalalteradora"/>
        <w:ind w:firstLine="709"/>
      </w:pPr>
      <w:r w:rsidRPr="5E153155">
        <w:t xml:space="preserve">§ </w:t>
      </w:r>
      <w:r w:rsidR="00DB3374" w:rsidRPr="5E153155">
        <w:t>2</w:t>
      </w:r>
      <w:r w:rsidRPr="5E153155">
        <w:t xml:space="preserve">º  </w:t>
      </w:r>
      <w:r w:rsidR="00B20E37" w:rsidRPr="5E153155">
        <w:t>O</w:t>
      </w:r>
      <w:r w:rsidRPr="5E153155">
        <w:t xml:space="preserve">s anexos </w:t>
      </w:r>
      <w:r w:rsidR="00A661FD" w:rsidRPr="5E153155">
        <w:t>descritivos de classes</w:t>
      </w:r>
      <w:r w:rsidRPr="5E153155">
        <w:t>, cada qual relativo a uma classe em específico,</w:t>
      </w:r>
      <w:r w:rsidR="003718D5" w:rsidRPr="5E153155">
        <w:t xml:space="preserve"> deve</w:t>
      </w:r>
      <w:r w:rsidR="00392633" w:rsidRPr="5E153155">
        <w:t>m</w:t>
      </w:r>
      <w:r w:rsidRPr="5E153155">
        <w:t xml:space="preserve"> dispor sobre:</w:t>
      </w:r>
    </w:p>
    <w:p w14:paraId="46807740" w14:textId="3DA695C0" w:rsidR="003F27D8" w:rsidRPr="0097459F" w:rsidRDefault="003F27D8" w:rsidP="00C20BBD">
      <w:pPr>
        <w:pStyle w:val="Normalalteradora"/>
        <w:rPr>
          <w:rFonts w:cstheme="minorHAnsi"/>
        </w:rPr>
      </w:pPr>
      <w:r w:rsidRPr="0097459F">
        <w:rPr>
          <w:rFonts w:cstheme="minorHAnsi"/>
        </w:rPr>
        <w:t xml:space="preserve">I – </w:t>
      </w:r>
      <w:r w:rsidR="006945A0" w:rsidRPr="0097459F">
        <w:rPr>
          <w:rFonts w:cstheme="minorHAnsi"/>
        </w:rPr>
        <w:t xml:space="preserve">o </w:t>
      </w:r>
      <w:r w:rsidR="00183365" w:rsidRPr="0097459F">
        <w:rPr>
          <w:rFonts w:cstheme="minorHAnsi"/>
        </w:rPr>
        <w:t>público-alvo;</w:t>
      </w:r>
    </w:p>
    <w:p w14:paraId="31C4BF2A" w14:textId="6B765A4B" w:rsidR="00712E4A" w:rsidRPr="0097459F" w:rsidRDefault="560D6504" w:rsidP="00C20BBD">
      <w:pPr>
        <w:pStyle w:val="Normalalteradora"/>
      </w:pPr>
      <w:r w:rsidRPr="0097459F">
        <w:t>I</w:t>
      </w:r>
      <w:r w:rsidR="4AD127E6" w:rsidRPr="0097459F">
        <w:t>I</w:t>
      </w:r>
      <w:r w:rsidRPr="0097459F">
        <w:t xml:space="preserve"> – </w:t>
      </w:r>
      <w:r w:rsidR="3A7700DC" w:rsidRPr="0097459F">
        <w:t xml:space="preserve">a </w:t>
      </w:r>
      <w:r w:rsidRPr="0097459F">
        <w:t>responsabilidade dos cotistas, determinando se está limitada ao valor por eles subscrito ou se é ilimitada;</w:t>
      </w:r>
    </w:p>
    <w:p w14:paraId="4BE70A96" w14:textId="7C32DED6" w:rsidR="003F27D8" w:rsidRPr="0097459F" w:rsidRDefault="009D3DF9" w:rsidP="00C20BBD">
      <w:pPr>
        <w:pStyle w:val="Normalalteradora"/>
        <w:rPr>
          <w:rFonts w:cstheme="minorHAnsi"/>
        </w:rPr>
      </w:pPr>
      <w:r w:rsidRPr="0097459F">
        <w:rPr>
          <w:rFonts w:cstheme="minorHAnsi"/>
        </w:rPr>
        <w:t>II</w:t>
      </w:r>
      <w:r w:rsidR="003F27D8" w:rsidRPr="0097459F">
        <w:rPr>
          <w:rFonts w:cstheme="minorHAnsi"/>
        </w:rPr>
        <w:t xml:space="preserve">I – </w:t>
      </w:r>
      <w:r w:rsidR="006945A0" w:rsidRPr="0097459F">
        <w:rPr>
          <w:rFonts w:cstheme="minorHAnsi"/>
        </w:rPr>
        <w:t xml:space="preserve">o </w:t>
      </w:r>
      <w:r w:rsidR="003F27D8" w:rsidRPr="0097459F">
        <w:rPr>
          <w:rFonts w:cstheme="minorHAnsi"/>
        </w:rPr>
        <w:t xml:space="preserve">regime </w:t>
      </w:r>
      <w:r w:rsidR="00F57D07" w:rsidRPr="0097459F">
        <w:rPr>
          <w:rFonts w:cstheme="minorHAnsi"/>
        </w:rPr>
        <w:t>da classe</w:t>
      </w:r>
      <w:r w:rsidR="003F27D8" w:rsidRPr="0097459F">
        <w:rPr>
          <w:rFonts w:cstheme="minorHAnsi"/>
        </w:rPr>
        <w:t>, se abert</w:t>
      </w:r>
      <w:r w:rsidR="00F57D07" w:rsidRPr="0097459F">
        <w:rPr>
          <w:rFonts w:cstheme="minorHAnsi"/>
        </w:rPr>
        <w:t>a</w:t>
      </w:r>
      <w:r w:rsidR="003F27D8" w:rsidRPr="0097459F">
        <w:rPr>
          <w:rFonts w:cstheme="minorHAnsi"/>
        </w:rPr>
        <w:t xml:space="preserve"> ou fechad</w:t>
      </w:r>
      <w:r w:rsidR="00F57D07" w:rsidRPr="0097459F">
        <w:rPr>
          <w:rFonts w:cstheme="minorHAnsi"/>
        </w:rPr>
        <w:t>a</w:t>
      </w:r>
      <w:r w:rsidR="003F27D8" w:rsidRPr="0097459F">
        <w:rPr>
          <w:rFonts w:cstheme="minorHAnsi"/>
        </w:rPr>
        <w:t>;</w:t>
      </w:r>
    </w:p>
    <w:p w14:paraId="798E053D" w14:textId="22E6A007" w:rsidR="003F27D8" w:rsidRPr="0097459F" w:rsidRDefault="009D3DF9" w:rsidP="00C20BBD">
      <w:pPr>
        <w:pStyle w:val="Normalalteradora"/>
        <w:rPr>
          <w:rFonts w:cstheme="minorHAnsi"/>
        </w:rPr>
      </w:pPr>
      <w:r w:rsidRPr="0097459F">
        <w:rPr>
          <w:rFonts w:cstheme="minorHAnsi"/>
        </w:rPr>
        <w:t>I</w:t>
      </w:r>
      <w:r w:rsidR="003F27D8" w:rsidRPr="0097459F">
        <w:rPr>
          <w:rFonts w:cstheme="minorHAnsi"/>
        </w:rPr>
        <w:t xml:space="preserve">V – </w:t>
      </w:r>
      <w:r w:rsidR="006945A0" w:rsidRPr="0097459F">
        <w:rPr>
          <w:rFonts w:cstheme="minorHAnsi"/>
        </w:rPr>
        <w:t xml:space="preserve">o </w:t>
      </w:r>
      <w:r w:rsidR="003F27D8" w:rsidRPr="0097459F">
        <w:rPr>
          <w:rFonts w:cstheme="minorHAnsi"/>
        </w:rPr>
        <w:t xml:space="preserve">prazo de duração, </w:t>
      </w:r>
      <w:r w:rsidR="00EA1CFA" w:rsidRPr="0097459F">
        <w:rPr>
          <w:rFonts w:cstheme="minorHAnsi"/>
        </w:rPr>
        <w:t>que pode ser indeterminado e deve ser</w:t>
      </w:r>
      <w:r w:rsidR="00E567AB" w:rsidRPr="0097459F">
        <w:rPr>
          <w:rFonts w:cstheme="minorHAnsi"/>
        </w:rPr>
        <w:t xml:space="preserve"> compatível com </w:t>
      </w:r>
      <w:r w:rsidR="00724649" w:rsidRPr="0097459F">
        <w:rPr>
          <w:rFonts w:cstheme="minorHAnsi"/>
        </w:rPr>
        <w:t>o prazo de</w:t>
      </w:r>
      <w:r w:rsidR="00E567AB" w:rsidRPr="0097459F">
        <w:rPr>
          <w:rFonts w:cstheme="minorHAnsi"/>
        </w:rPr>
        <w:t xml:space="preserve"> duração do fundo</w:t>
      </w:r>
      <w:r w:rsidR="00183365" w:rsidRPr="0097459F">
        <w:rPr>
          <w:rFonts w:cstheme="minorHAnsi"/>
        </w:rPr>
        <w:t>;</w:t>
      </w:r>
    </w:p>
    <w:p w14:paraId="568E58AE" w14:textId="4ED80BA8" w:rsidR="00677D7B" w:rsidRPr="0097459F" w:rsidRDefault="00541B67" w:rsidP="00C20BBD">
      <w:pPr>
        <w:pStyle w:val="Normalalteradora"/>
        <w:rPr>
          <w:rFonts w:cstheme="minorHAnsi"/>
        </w:rPr>
      </w:pPr>
      <w:r w:rsidRPr="0097459F">
        <w:rPr>
          <w:rFonts w:cstheme="minorHAnsi"/>
        </w:rPr>
        <w:t>V</w:t>
      </w:r>
      <w:r w:rsidR="00677D7B" w:rsidRPr="0097459F">
        <w:rPr>
          <w:rFonts w:cstheme="minorHAnsi"/>
        </w:rPr>
        <w:t xml:space="preserve">  – a categoria</w:t>
      </w:r>
      <w:r w:rsidR="00F219C3" w:rsidRPr="0097459F">
        <w:rPr>
          <w:rFonts w:cstheme="minorHAnsi"/>
        </w:rPr>
        <w:t xml:space="preserve">, nos termos do inciso </w:t>
      </w:r>
      <w:r w:rsidR="0098016B" w:rsidRPr="0097459F">
        <w:rPr>
          <w:rFonts w:cstheme="minorHAnsi"/>
        </w:rPr>
        <w:t>VIII</w:t>
      </w:r>
      <w:r w:rsidR="00F219C3" w:rsidRPr="0097459F">
        <w:rPr>
          <w:rFonts w:cstheme="minorHAnsi"/>
        </w:rPr>
        <w:t xml:space="preserve"> do art. </w:t>
      </w:r>
      <w:r w:rsidR="0027588D" w:rsidRPr="0097459F">
        <w:rPr>
          <w:rFonts w:cstheme="minorHAnsi"/>
        </w:rPr>
        <w:t>3</w:t>
      </w:r>
      <w:r w:rsidR="00F219C3" w:rsidRPr="0097459F">
        <w:rPr>
          <w:rFonts w:cstheme="minorHAnsi"/>
        </w:rPr>
        <w:t>º desta Resolução</w:t>
      </w:r>
      <w:r w:rsidR="00677D7B" w:rsidRPr="0097459F">
        <w:rPr>
          <w:rFonts w:cstheme="minorHAnsi"/>
        </w:rPr>
        <w:t>;</w:t>
      </w:r>
    </w:p>
    <w:p w14:paraId="586BF2D0" w14:textId="23449C72" w:rsidR="003F27D8" w:rsidRPr="0097459F" w:rsidRDefault="003F27D8" w:rsidP="00C20BBD">
      <w:pPr>
        <w:pStyle w:val="Normalalteradora"/>
        <w:rPr>
          <w:rFonts w:cstheme="minorHAnsi"/>
        </w:rPr>
      </w:pPr>
      <w:r w:rsidRPr="0097459F">
        <w:rPr>
          <w:rFonts w:cstheme="minorHAnsi"/>
        </w:rPr>
        <w:t>V</w:t>
      </w:r>
      <w:r w:rsidR="00541B67" w:rsidRPr="0097459F">
        <w:rPr>
          <w:rFonts w:cstheme="minorHAnsi"/>
        </w:rPr>
        <w:t>I</w:t>
      </w:r>
      <w:r w:rsidRPr="0097459F">
        <w:rPr>
          <w:rFonts w:cstheme="minorHAnsi"/>
        </w:rPr>
        <w:t xml:space="preserve"> – </w:t>
      </w:r>
      <w:r w:rsidR="006945A0" w:rsidRPr="0097459F">
        <w:rPr>
          <w:rFonts w:cstheme="minorHAnsi"/>
        </w:rPr>
        <w:t xml:space="preserve">a </w:t>
      </w:r>
      <w:r w:rsidRPr="0097459F">
        <w:rPr>
          <w:rFonts w:cstheme="minorHAnsi"/>
        </w:rPr>
        <w:t>política de investimento</w:t>
      </w:r>
      <w:r w:rsidR="006945A0" w:rsidRPr="0097459F">
        <w:rPr>
          <w:rFonts w:cstheme="minorHAnsi"/>
        </w:rPr>
        <w:t>s</w:t>
      </w:r>
      <w:r w:rsidRPr="0097459F">
        <w:rPr>
          <w:rFonts w:cstheme="minorHAnsi"/>
        </w:rPr>
        <w:t>, aderente à categoria;</w:t>
      </w:r>
    </w:p>
    <w:p w14:paraId="53C9F0D1" w14:textId="253CF5FE" w:rsidR="0041391A" w:rsidRPr="0097459F" w:rsidRDefault="0041391A" w:rsidP="00C20BBD">
      <w:pPr>
        <w:pStyle w:val="Normalalteradora"/>
      </w:pPr>
      <w:r w:rsidRPr="0097459F">
        <w:t>VI</w:t>
      </w:r>
      <w:r w:rsidR="00541B67" w:rsidRPr="0097459F">
        <w:t>I</w:t>
      </w:r>
      <w:r w:rsidRPr="0097459F">
        <w:t xml:space="preserve"> – </w:t>
      </w:r>
      <w:r w:rsidR="006945A0" w:rsidRPr="0097459F">
        <w:t xml:space="preserve">a </w:t>
      </w:r>
      <w:r w:rsidRPr="0097459F">
        <w:t xml:space="preserve">possibilidade ou não de futuras emissões de cotas de classe fechada e, se for o caso, autorização </w:t>
      </w:r>
      <w:r w:rsidR="00CF35AF" w:rsidRPr="0097459F">
        <w:t xml:space="preserve">e eventuais condições </w:t>
      </w:r>
      <w:r w:rsidRPr="0097459F">
        <w:t xml:space="preserve">para a emissão de novas cotas a critério do gestor, </w:t>
      </w:r>
      <w:r w:rsidR="00DD7B7B" w:rsidRPr="0097459F">
        <w:t xml:space="preserve">inclusive quanto à existência ou não de direito de preferência para os cotistas, </w:t>
      </w:r>
      <w:r w:rsidR="0089279F" w:rsidRPr="0097459F">
        <w:t>sem necessidade</w:t>
      </w:r>
      <w:r w:rsidRPr="0097459F">
        <w:t xml:space="preserve"> de aprovação em assembleia de cotistas;</w:t>
      </w:r>
    </w:p>
    <w:p w14:paraId="4CC05CCD" w14:textId="06BC0120" w:rsidR="003F27D8" w:rsidRPr="0097459F" w:rsidRDefault="003F27D8" w:rsidP="00C20BBD">
      <w:pPr>
        <w:pStyle w:val="Normalalteradora"/>
        <w:rPr>
          <w:rFonts w:cstheme="minorHAnsi"/>
        </w:rPr>
      </w:pPr>
      <w:r w:rsidRPr="0097459F">
        <w:rPr>
          <w:rFonts w:cstheme="minorHAnsi"/>
        </w:rPr>
        <w:t>V</w:t>
      </w:r>
      <w:r w:rsidR="009D3DF9" w:rsidRPr="0097459F">
        <w:rPr>
          <w:rFonts w:cstheme="minorHAnsi"/>
        </w:rPr>
        <w:t>II</w:t>
      </w:r>
      <w:r w:rsidR="00541B67" w:rsidRPr="0097459F">
        <w:rPr>
          <w:rFonts w:cstheme="minorHAnsi"/>
        </w:rPr>
        <w:t>I</w:t>
      </w:r>
      <w:r w:rsidRPr="0097459F">
        <w:rPr>
          <w:rFonts w:cstheme="minorHAnsi"/>
        </w:rPr>
        <w:t xml:space="preserve"> – </w:t>
      </w:r>
      <w:r w:rsidR="006945A0" w:rsidRPr="0097459F">
        <w:rPr>
          <w:rFonts w:cstheme="minorHAnsi"/>
        </w:rPr>
        <w:t xml:space="preserve">as </w:t>
      </w:r>
      <w:r w:rsidRPr="0097459F">
        <w:rPr>
          <w:rFonts w:cstheme="minorHAnsi"/>
        </w:rPr>
        <w:t>condições para a aplicação e o resgate de cotas nas classes abertas, inclusive no que se refere a feriados estaduais e municipais;</w:t>
      </w:r>
    </w:p>
    <w:p w14:paraId="13AC1641" w14:textId="5B2724C7" w:rsidR="00B57B47" w:rsidRPr="0097459F" w:rsidRDefault="00541B67" w:rsidP="00C20BBD">
      <w:pPr>
        <w:pStyle w:val="Normalalteradora"/>
        <w:rPr>
          <w:rFonts w:cstheme="minorHAnsi"/>
        </w:rPr>
      </w:pPr>
      <w:r w:rsidRPr="0097459F">
        <w:rPr>
          <w:rFonts w:cstheme="minorHAnsi"/>
        </w:rPr>
        <w:t xml:space="preserve">IX </w:t>
      </w:r>
      <w:r w:rsidR="00B57B47" w:rsidRPr="0097459F">
        <w:rPr>
          <w:rFonts w:cstheme="minorHAnsi"/>
        </w:rPr>
        <w:t xml:space="preserve">– condições para a utilização de barreiras aos resgates, </w:t>
      </w:r>
      <w:r w:rsidR="00197530" w:rsidRPr="0097459F">
        <w:rPr>
          <w:rFonts w:cstheme="minorHAnsi"/>
        </w:rPr>
        <w:t>contendo no mínimo</w:t>
      </w:r>
      <w:r w:rsidR="00B57B47" w:rsidRPr="0097459F">
        <w:rPr>
          <w:rFonts w:cstheme="minorHAnsi"/>
        </w:rPr>
        <w:t xml:space="preserve"> </w:t>
      </w:r>
      <w:r w:rsidR="00197530" w:rsidRPr="0097459F">
        <w:rPr>
          <w:rFonts w:cstheme="minorHAnsi"/>
        </w:rPr>
        <w:t>os parâmetros de liquidez que autorizam o gestor a utilizar a medida;</w:t>
      </w:r>
    </w:p>
    <w:p w14:paraId="6E25C1AC" w14:textId="4422EEAC" w:rsidR="00F15E68" w:rsidRPr="0097459F" w:rsidRDefault="00541B67" w:rsidP="00C20BBD">
      <w:pPr>
        <w:pStyle w:val="Normalalteradora"/>
        <w:rPr>
          <w:rFonts w:cstheme="minorHAnsi"/>
        </w:rPr>
      </w:pPr>
      <w:r w:rsidRPr="0097459F">
        <w:rPr>
          <w:rFonts w:cstheme="minorHAnsi"/>
        </w:rPr>
        <w:t xml:space="preserve">X </w:t>
      </w:r>
      <w:r w:rsidR="00F15E68" w:rsidRPr="0097459F">
        <w:rPr>
          <w:rFonts w:cstheme="minorHAnsi"/>
        </w:rPr>
        <w:t xml:space="preserve">– </w:t>
      </w:r>
      <w:r w:rsidR="006945A0" w:rsidRPr="0097459F">
        <w:rPr>
          <w:rFonts w:cstheme="minorHAnsi"/>
        </w:rPr>
        <w:t xml:space="preserve">os </w:t>
      </w:r>
      <w:r w:rsidR="00F15E68" w:rsidRPr="0097459F">
        <w:rPr>
          <w:rFonts w:cstheme="minorHAnsi"/>
        </w:rPr>
        <w:t>procedimentos aplicáveis à amortização e resgate compulsórios de cotas;</w:t>
      </w:r>
    </w:p>
    <w:p w14:paraId="0989E672" w14:textId="1D8F5237" w:rsidR="00475D68" w:rsidRPr="0097459F" w:rsidRDefault="00475D68" w:rsidP="00C20BBD">
      <w:pPr>
        <w:pStyle w:val="Normalalteradora"/>
        <w:rPr>
          <w:rFonts w:cstheme="minorHAnsi"/>
        </w:rPr>
      </w:pPr>
      <w:r w:rsidRPr="0097459F">
        <w:rPr>
          <w:rFonts w:cstheme="minorHAnsi"/>
        </w:rPr>
        <w:t>X</w:t>
      </w:r>
      <w:r w:rsidR="00541B67" w:rsidRPr="0097459F">
        <w:rPr>
          <w:rFonts w:cstheme="minorHAnsi"/>
        </w:rPr>
        <w:t>I</w:t>
      </w:r>
      <w:r w:rsidRPr="0097459F">
        <w:rPr>
          <w:rFonts w:cstheme="minorHAnsi"/>
        </w:rPr>
        <w:t xml:space="preserve"> – </w:t>
      </w:r>
      <w:r w:rsidR="006945A0" w:rsidRPr="0097459F">
        <w:rPr>
          <w:rFonts w:cstheme="minorHAnsi"/>
        </w:rPr>
        <w:t xml:space="preserve">a </w:t>
      </w:r>
      <w:r w:rsidRPr="0097459F">
        <w:rPr>
          <w:rFonts w:cstheme="minorHAnsi"/>
        </w:rPr>
        <w:t>taxa máxima de distribuição;</w:t>
      </w:r>
    </w:p>
    <w:p w14:paraId="0AB50BCD" w14:textId="27F93ED6" w:rsidR="003F27D8" w:rsidRPr="0097459F" w:rsidRDefault="003F27D8" w:rsidP="00C20BBD">
      <w:pPr>
        <w:pStyle w:val="Normalalteradora"/>
        <w:rPr>
          <w:rFonts w:cstheme="minorHAnsi"/>
        </w:rPr>
      </w:pPr>
      <w:r w:rsidRPr="0097459F">
        <w:rPr>
          <w:rFonts w:cstheme="minorHAnsi"/>
        </w:rPr>
        <w:t>X</w:t>
      </w:r>
      <w:r w:rsidR="009D3DF9" w:rsidRPr="0097459F">
        <w:rPr>
          <w:rFonts w:cstheme="minorHAnsi"/>
        </w:rPr>
        <w:t>I</w:t>
      </w:r>
      <w:r w:rsidR="00541B67" w:rsidRPr="0097459F">
        <w:rPr>
          <w:rFonts w:cstheme="minorHAnsi"/>
        </w:rPr>
        <w:t>I</w:t>
      </w:r>
      <w:r w:rsidRPr="0097459F">
        <w:rPr>
          <w:rFonts w:cstheme="minorHAnsi"/>
        </w:rPr>
        <w:t xml:space="preserve"> – taxas de ingresso e de saída, se houver;</w:t>
      </w:r>
    </w:p>
    <w:p w14:paraId="5E927D74" w14:textId="4E1A9376" w:rsidR="003F27D8" w:rsidRPr="0097459F" w:rsidRDefault="003F27D8" w:rsidP="00C20BBD">
      <w:pPr>
        <w:pStyle w:val="Normalalteradora"/>
        <w:rPr>
          <w:rFonts w:cstheme="minorHAnsi"/>
        </w:rPr>
      </w:pPr>
      <w:r w:rsidRPr="0097459F">
        <w:rPr>
          <w:rFonts w:cstheme="minorHAnsi"/>
        </w:rPr>
        <w:t>X</w:t>
      </w:r>
      <w:r w:rsidR="009D3DF9" w:rsidRPr="0097459F">
        <w:rPr>
          <w:rFonts w:cstheme="minorHAnsi"/>
        </w:rPr>
        <w:t>I</w:t>
      </w:r>
      <w:r w:rsidRPr="0097459F">
        <w:rPr>
          <w:rFonts w:cstheme="minorHAnsi"/>
        </w:rPr>
        <w:t>I</w:t>
      </w:r>
      <w:r w:rsidR="00541B67" w:rsidRPr="0097459F">
        <w:rPr>
          <w:rFonts w:cstheme="minorHAnsi"/>
        </w:rPr>
        <w:t>I</w:t>
      </w:r>
      <w:r w:rsidRPr="0097459F">
        <w:rPr>
          <w:rFonts w:cstheme="minorHAnsi"/>
        </w:rPr>
        <w:t xml:space="preserve"> – </w:t>
      </w:r>
      <w:r w:rsidR="006945A0" w:rsidRPr="0097459F">
        <w:rPr>
          <w:rFonts w:cstheme="minorHAnsi"/>
        </w:rPr>
        <w:t xml:space="preserve">a </w:t>
      </w:r>
      <w:r w:rsidRPr="0097459F">
        <w:rPr>
          <w:rFonts w:cstheme="minorHAnsi"/>
        </w:rPr>
        <w:t>distribuição de resultados, se for o caso, compreendendo os p</w:t>
      </w:r>
      <w:r w:rsidR="007F26B6" w:rsidRPr="0097459F">
        <w:rPr>
          <w:rFonts w:cstheme="minorHAnsi"/>
        </w:rPr>
        <w:t>razos e condições de pagamento;</w:t>
      </w:r>
    </w:p>
    <w:p w14:paraId="34E3BE02" w14:textId="426B1314" w:rsidR="003F27D8" w:rsidRPr="0097459F" w:rsidRDefault="00541B67" w:rsidP="00C20BBD">
      <w:pPr>
        <w:pStyle w:val="Normalalteradora"/>
        <w:rPr>
          <w:rFonts w:cstheme="minorHAnsi"/>
        </w:rPr>
      </w:pPr>
      <w:r w:rsidRPr="0097459F">
        <w:rPr>
          <w:rFonts w:cstheme="minorHAnsi"/>
        </w:rPr>
        <w:lastRenderedPageBreak/>
        <w:t xml:space="preserve">XIV </w:t>
      </w:r>
      <w:r w:rsidR="003F27D8" w:rsidRPr="0097459F">
        <w:rPr>
          <w:rFonts w:cstheme="minorHAnsi"/>
        </w:rPr>
        <w:t xml:space="preserve">– </w:t>
      </w:r>
      <w:r w:rsidR="006945A0" w:rsidRPr="0097459F">
        <w:rPr>
          <w:rFonts w:cstheme="minorHAnsi"/>
        </w:rPr>
        <w:t xml:space="preserve">o </w:t>
      </w:r>
      <w:r w:rsidR="003F27D8" w:rsidRPr="0097459F">
        <w:rPr>
          <w:rFonts w:cstheme="minorHAnsi"/>
        </w:rPr>
        <w:t xml:space="preserve">intervalo para </w:t>
      </w:r>
      <w:r w:rsidR="000A0ADE" w:rsidRPr="0097459F">
        <w:rPr>
          <w:rFonts w:cstheme="minorHAnsi"/>
        </w:rPr>
        <w:t>a atualização do valor da cota</w:t>
      </w:r>
      <w:r w:rsidR="00492061" w:rsidRPr="0097459F">
        <w:rPr>
          <w:rFonts w:cstheme="minorHAnsi"/>
        </w:rPr>
        <w:t xml:space="preserve"> da classe aberta</w:t>
      </w:r>
      <w:r w:rsidR="0031538B" w:rsidRPr="0097459F">
        <w:rPr>
          <w:rFonts w:cstheme="minorHAnsi"/>
        </w:rPr>
        <w:t>, que deve ser compatível com o prazo de resgate</w:t>
      </w:r>
      <w:r w:rsidR="003F27D8" w:rsidRPr="0097459F">
        <w:rPr>
          <w:rFonts w:cstheme="minorHAnsi"/>
        </w:rPr>
        <w:t>;</w:t>
      </w:r>
    </w:p>
    <w:p w14:paraId="47AC4B31" w14:textId="57294C28" w:rsidR="003F27D8" w:rsidRPr="0097459F" w:rsidRDefault="00541B67" w:rsidP="00C20BBD">
      <w:pPr>
        <w:pStyle w:val="Normalalteradora"/>
        <w:rPr>
          <w:rFonts w:cstheme="minorHAnsi"/>
        </w:rPr>
      </w:pPr>
      <w:r w:rsidRPr="0097459F">
        <w:rPr>
          <w:rFonts w:cstheme="minorHAnsi"/>
        </w:rPr>
        <w:t xml:space="preserve">XV </w:t>
      </w:r>
      <w:r w:rsidR="003F27D8" w:rsidRPr="0097459F">
        <w:rPr>
          <w:rFonts w:cstheme="minorHAnsi"/>
        </w:rPr>
        <w:t xml:space="preserve">– </w:t>
      </w:r>
      <w:r w:rsidR="006945A0" w:rsidRPr="0097459F">
        <w:rPr>
          <w:rFonts w:cstheme="minorHAnsi"/>
        </w:rPr>
        <w:t xml:space="preserve">a </w:t>
      </w:r>
      <w:r w:rsidR="003F27D8" w:rsidRPr="0097459F">
        <w:rPr>
          <w:rFonts w:cstheme="minorHAnsi"/>
        </w:rPr>
        <w:t xml:space="preserve">forma de comunicação que </w:t>
      </w:r>
      <w:r w:rsidR="00273C0F" w:rsidRPr="0097459F">
        <w:rPr>
          <w:rFonts w:cstheme="minorHAnsi"/>
        </w:rPr>
        <w:t xml:space="preserve">deve ser </w:t>
      </w:r>
      <w:r w:rsidR="003F27D8" w:rsidRPr="0097459F">
        <w:rPr>
          <w:rFonts w:cstheme="minorHAnsi"/>
        </w:rPr>
        <w:t>utilizada pelo administrador, em conformidade com o disposto no art. 12;</w:t>
      </w:r>
    </w:p>
    <w:p w14:paraId="37CD7E81" w14:textId="531D56FC" w:rsidR="003F27D8" w:rsidRDefault="003F27D8" w:rsidP="00C20BBD">
      <w:pPr>
        <w:pStyle w:val="Normalalteradora"/>
        <w:rPr>
          <w:rFonts w:cstheme="minorHAnsi"/>
        </w:rPr>
      </w:pPr>
      <w:r w:rsidRPr="0097459F">
        <w:rPr>
          <w:rFonts w:cstheme="minorHAnsi"/>
        </w:rPr>
        <w:t>X</w:t>
      </w:r>
      <w:r w:rsidR="009D3DF9" w:rsidRPr="0097459F">
        <w:rPr>
          <w:rFonts w:cstheme="minorHAnsi"/>
        </w:rPr>
        <w:t>V</w:t>
      </w:r>
      <w:r w:rsidR="00541B67" w:rsidRPr="0097459F">
        <w:rPr>
          <w:rFonts w:cstheme="minorHAnsi"/>
        </w:rPr>
        <w:t>I</w:t>
      </w:r>
      <w:r w:rsidRPr="0097459F">
        <w:rPr>
          <w:rFonts w:cstheme="minorHAnsi"/>
        </w:rPr>
        <w:t xml:space="preserve"> – </w:t>
      </w:r>
      <w:r w:rsidR="006945A0" w:rsidRPr="0097459F">
        <w:rPr>
          <w:rFonts w:cstheme="minorHAnsi"/>
        </w:rPr>
        <w:t xml:space="preserve">os </w:t>
      </w:r>
      <w:r w:rsidRPr="0097459F">
        <w:rPr>
          <w:rFonts w:cstheme="minorHAnsi"/>
        </w:rPr>
        <w:t>procedimentos aplicáveis às manifestações de vontade dos cotistas por meio eletrônico, observado o disposto no art. 12, § 3º, I;</w:t>
      </w:r>
    </w:p>
    <w:p w14:paraId="139B3EEB" w14:textId="77777777" w:rsidR="00DD4A5D" w:rsidRPr="00893D49" w:rsidRDefault="00DD4A5D" w:rsidP="00DD4A5D">
      <w:pPr>
        <w:pStyle w:val="Normalalteradora"/>
        <w:rPr>
          <w:rFonts w:cstheme="minorHAnsi"/>
        </w:rPr>
      </w:pPr>
      <w:bookmarkStart w:id="131" w:name="_Hlk42692273"/>
      <w:r w:rsidRPr="00893D49">
        <w:rPr>
          <w:rFonts w:cstheme="minorHAnsi"/>
        </w:rPr>
        <w:t>X</w:t>
      </w:r>
      <w:r>
        <w:rPr>
          <w:rFonts w:cstheme="minorHAnsi"/>
        </w:rPr>
        <w:t>V</w:t>
      </w:r>
      <w:r w:rsidRPr="00893D49">
        <w:rPr>
          <w:rFonts w:cstheme="minorHAnsi"/>
        </w:rPr>
        <w:t>I</w:t>
      </w:r>
      <w:r>
        <w:rPr>
          <w:rFonts w:cstheme="minorHAnsi"/>
        </w:rPr>
        <w:t>I</w:t>
      </w:r>
      <w:r w:rsidRPr="00893D49">
        <w:rPr>
          <w:rFonts w:cstheme="minorHAnsi"/>
        </w:rPr>
        <w:t xml:space="preserve"> – </w:t>
      </w:r>
      <w:r>
        <w:rPr>
          <w:rFonts w:cstheme="minorHAnsi"/>
        </w:rPr>
        <w:t xml:space="preserve">os </w:t>
      </w:r>
      <w:r w:rsidRPr="00893D49">
        <w:rPr>
          <w:rFonts w:cstheme="minorHAnsi"/>
        </w:rPr>
        <w:t xml:space="preserve">eventos que obrigam o administrador a verificar se o patrimônio líquido </w:t>
      </w:r>
      <w:r>
        <w:rPr>
          <w:rFonts w:cstheme="minorHAnsi"/>
        </w:rPr>
        <w:t xml:space="preserve">da classe </w:t>
      </w:r>
      <w:r w:rsidRPr="00893D49">
        <w:rPr>
          <w:rFonts w:cstheme="minorHAnsi"/>
        </w:rPr>
        <w:t>está negativo;</w:t>
      </w:r>
      <w:bookmarkEnd w:id="131"/>
      <w:r w:rsidRPr="00893D49">
        <w:rPr>
          <w:rFonts w:cstheme="minorHAnsi"/>
        </w:rPr>
        <w:t xml:space="preserve"> e</w:t>
      </w:r>
    </w:p>
    <w:p w14:paraId="279ED698" w14:textId="2EE60FC9" w:rsidR="00DD4A5D" w:rsidRPr="00DD4A5D" w:rsidRDefault="00DD4A5D" w:rsidP="00DD4A5D">
      <w:pPr>
        <w:pStyle w:val="Normalalteradora"/>
      </w:pPr>
      <w:r w:rsidRPr="00893D49">
        <w:rPr>
          <w:rFonts w:cstheme="minorHAnsi"/>
        </w:rPr>
        <w:t>X</w:t>
      </w:r>
      <w:r>
        <w:rPr>
          <w:rFonts w:cstheme="minorHAnsi"/>
        </w:rPr>
        <w:t>V</w:t>
      </w:r>
      <w:r w:rsidRPr="00893D49">
        <w:rPr>
          <w:rFonts w:cstheme="minorHAnsi"/>
        </w:rPr>
        <w:t>II</w:t>
      </w:r>
      <w:r>
        <w:rPr>
          <w:rFonts w:cstheme="minorHAnsi"/>
        </w:rPr>
        <w:t>I</w:t>
      </w:r>
      <w:r w:rsidRPr="00893D49">
        <w:rPr>
          <w:rFonts w:cstheme="minorHAnsi"/>
        </w:rPr>
        <w:t xml:space="preserve"> – </w:t>
      </w:r>
      <w:r>
        <w:rPr>
          <w:rFonts w:cstheme="minorHAnsi"/>
        </w:rPr>
        <w:t xml:space="preserve">os </w:t>
      </w:r>
      <w:r w:rsidRPr="00893D49">
        <w:rPr>
          <w:rFonts w:cstheme="minorHAnsi"/>
        </w:rPr>
        <w:t xml:space="preserve">procedimentos </w:t>
      </w:r>
      <w:r>
        <w:rPr>
          <w:rFonts w:cstheme="minorHAnsi"/>
        </w:rPr>
        <w:t>aplicáveis à</w:t>
      </w:r>
      <w:r w:rsidRPr="00893D49">
        <w:rPr>
          <w:rFonts w:cstheme="minorHAnsi"/>
        </w:rPr>
        <w:t xml:space="preserve"> liquidação</w:t>
      </w:r>
      <w:r>
        <w:rPr>
          <w:rFonts w:cstheme="minorHAnsi"/>
        </w:rPr>
        <w:t xml:space="preserve"> da classe</w:t>
      </w:r>
      <w:r w:rsidRPr="00893D49">
        <w:rPr>
          <w:rFonts w:cstheme="minorHAnsi"/>
        </w:rPr>
        <w:t>, o que pode incluir hipóteses de liquidação antecipada.</w:t>
      </w:r>
    </w:p>
    <w:p w14:paraId="663C2464" w14:textId="6E555FBD" w:rsidR="00D97C0B" w:rsidRDefault="00392633" w:rsidP="00C20BBD">
      <w:pPr>
        <w:pStyle w:val="Normalalteradora"/>
        <w:rPr>
          <w:rFonts w:cstheme="minorHAnsi"/>
        </w:rPr>
      </w:pPr>
      <w:r w:rsidRPr="0097459F">
        <w:rPr>
          <w:rFonts w:cstheme="minorHAnsi"/>
        </w:rPr>
        <w:t xml:space="preserve">§ </w:t>
      </w:r>
      <w:r w:rsidR="009D3DF9" w:rsidRPr="0097459F">
        <w:rPr>
          <w:rFonts w:cstheme="minorHAnsi"/>
        </w:rPr>
        <w:t>3</w:t>
      </w:r>
      <w:r w:rsidRPr="0097459F">
        <w:rPr>
          <w:rFonts w:cstheme="minorHAnsi"/>
        </w:rPr>
        <w:t>º  Na classe de cotas que possua subclasses, os apêndices das subclasses, cada qual relativo a uma subclasse em específico, devem dispor sobre as particularidades d</w:t>
      </w:r>
      <w:r w:rsidR="00820176" w:rsidRPr="0097459F">
        <w:rPr>
          <w:rFonts w:cstheme="minorHAnsi"/>
        </w:rPr>
        <w:t>as respectivas</w:t>
      </w:r>
      <w:r w:rsidRPr="0097459F">
        <w:rPr>
          <w:rFonts w:cstheme="minorHAnsi"/>
        </w:rPr>
        <w:t xml:space="preserve"> </w:t>
      </w:r>
      <w:r w:rsidR="00E34C3B" w:rsidRPr="0097459F">
        <w:rPr>
          <w:rFonts w:cstheme="minorHAnsi"/>
        </w:rPr>
        <w:t>subclasse</w:t>
      </w:r>
      <w:r w:rsidR="00820176" w:rsidRPr="0097459F">
        <w:rPr>
          <w:rFonts w:cstheme="minorHAnsi"/>
        </w:rPr>
        <w:t>s</w:t>
      </w:r>
      <w:r w:rsidR="00E34C3B" w:rsidRPr="0097459F">
        <w:rPr>
          <w:rFonts w:cstheme="minorHAnsi"/>
        </w:rPr>
        <w:t>, conforme previstas nesta Resolução</w:t>
      </w:r>
      <w:r w:rsidR="00C402F4" w:rsidRPr="0097459F">
        <w:rPr>
          <w:rFonts w:cstheme="minorHAnsi"/>
        </w:rPr>
        <w:t xml:space="preserve"> e seus Anexos Normativos</w:t>
      </w:r>
      <w:r w:rsidRPr="0097459F">
        <w:rPr>
          <w:rFonts w:cstheme="minorHAnsi"/>
        </w:rPr>
        <w:t>.</w:t>
      </w:r>
    </w:p>
    <w:p w14:paraId="68E9C8FC" w14:textId="63249139" w:rsidR="00A17210" w:rsidRPr="0097459F" w:rsidRDefault="00556B2D" w:rsidP="00C20BBD">
      <w:pPr>
        <w:pStyle w:val="Normalalteradora"/>
      </w:pPr>
      <w:r w:rsidRPr="0097459F">
        <w:rPr>
          <w:rFonts w:cstheme="minorHAnsi"/>
        </w:rPr>
        <w:t xml:space="preserve">Art. </w:t>
      </w:r>
      <w:r w:rsidR="002A1094" w:rsidRPr="0097459F">
        <w:rPr>
          <w:rFonts w:cstheme="minorHAnsi"/>
        </w:rPr>
        <w:t>49</w:t>
      </w:r>
      <w:r w:rsidRPr="0097459F">
        <w:rPr>
          <w:rFonts w:cstheme="minorHAnsi"/>
        </w:rPr>
        <w:t xml:space="preserve">.  </w:t>
      </w:r>
      <w:r w:rsidR="00D11CC7" w:rsidRPr="0097459F">
        <w:t xml:space="preserve">O regulamento do fundo e o anexo descritivo </w:t>
      </w:r>
      <w:r w:rsidRPr="0097459F">
        <w:t xml:space="preserve">da classe de cotas </w:t>
      </w:r>
      <w:r w:rsidR="00D11CC7" w:rsidRPr="0097459F">
        <w:t xml:space="preserve">cuja denominação </w:t>
      </w:r>
      <w:r w:rsidRPr="0097459F">
        <w:t xml:space="preserve">contenha referência a fatores ambientais, sociais e de governança, tais como </w:t>
      </w:r>
      <w:r w:rsidR="00116B36" w:rsidRPr="0097459F">
        <w:t xml:space="preserve">“ESG”, “ASG”, </w:t>
      </w:r>
      <w:r w:rsidRPr="0097459F">
        <w:t xml:space="preserve">“ambiental”, “verde”, “social”, “sustentável” ou quaisquer outros termos correlatos às finanças sustentáveis, </w:t>
      </w:r>
      <w:r w:rsidR="00A17210" w:rsidRPr="0097459F">
        <w:t>deve</w:t>
      </w:r>
      <w:r w:rsidR="00D11CC7" w:rsidRPr="0097459F">
        <w:t xml:space="preserve"> estabelecer</w:t>
      </w:r>
      <w:r w:rsidR="00A17210" w:rsidRPr="0097459F">
        <w:t>:</w:t>
      </w:r>
    </w:p>
    <w:p w14:paraId="3614F64F" w14:textId="4A1134CD" w:rsidR="000F4838" w:rsidRPr="0097459F" w:rsidRDefault="000F4838" w:rsidP="00C20BBD">
      <w:pPr>
        <w:pStyle w:val="Normalalteradora"/>
      </w:pPr>
      <w:r w:rsidRPr="0097459F">
        <w:t xml:space="preserve">I </w:t>
      </w:r>
      <w:r w:rsidR="003D73C1" w:rsidRPr="0097459F">
        <w:t>–</w:t>
      </w:r>
      <w:r w:rsidRPr="0097459F">
        <w:t xml:space="preserve"> </w:t>
      </w:r>
      <w:r w:rsidRPr="0097459F">
        <w:rPr>
          <w:rFonts w:cstheme="minorHAnsi"/>
        </w:rPr>
        <w:t>quais os benefícios ambientais, sociais ou de governança esperados</w:t>
      </w:r>
      <w:r w:rsidRPr="0097459F">
        <w:t xml:space="preserve"> e como a política de investimento busca originá-los;</w:t>
      </w:r>
    </w:p>
    <w:p w14:paraId="4E906A9A" w14:textId="76B74D81" w:rsidR="00A74E73" w:rsidRPr="0097459F" w:rsidRDefault="00A17210" w:rsidP="00C20BBD">
      <w:pPr>
        <w:pStyle w:val="Normalalteradora"/>
      </w:pPr>
      <w:r w:rsidRPr="0097459F">
        <w:t>I</w:t>
      </w:r>
      <w:r w:rsidR="000F4838" w:rsidRPr="0097459F">
        <w:t>I</w:t>
      </w:r>
      <w:r w:rsidRPr="0097459F">
        <w:t xml:space="preserve"> </w:t>
      </w:r>
      <w:r w:rsidR="003D0B5D" w:rsidRPr="0097459F">
        <w:t>–</w:t>
      </w:r>
      <w:r w:rsidRPr="0097459F">
        <w:t xml:space="preserve"> </w:t>
      </w:r>
      <w:r w:rsidR="00D11CC7" w:rsidRPr="0097459F">
        <w:t>quais metodologias, princípios ou diretrizes são seguidas para a qualificação do fundo ou da classe, conforme sua denominação</w:t>
      </w:r>
      <w:r w:rsidR="00745557" w:rsidRPr="0097459F">
        <w:t>;</w:t>
      </w:r>
    </w:p>
    <w:p w14:paraId="2478204F" w14:textId="2B529DA3" w:rsidR="00556B2D" w:rsidRPr="0097459F" w:rsidRDefault="00A74E73" w:rsidP="00C20BBD">
      <w:pPr>
        <w:pStyle w:val="Normalalteradora"/>
      </w:pPr>
      <w:r w:rsidRPr="0097459F">
        <w:t>II</w:t>
      </w:r>
      <w:r w:rsidR="000F4838" w:rsidRPr="0097459F">
        <w:t>I</w:t>
      </w:r>
      <w:r w:rsidRPr="0097459F">
        <w:t xml:space="preserve"> </w:t>
      </w:r>
      <w:r w:rsidR="003D0B5D" w:rsidRPr="0097459F">
        <w:t>–</w:t>
      </w:r>
      <w:r w:rsidRPr="0097459F">
        <w:t xml:space="preserve"> </w:t>
      </w:r>
      <w:r w:rsidR="00D11CC7" w:rsidRPr="0097459F">
        <w:t xml:space="preserve">qual a entidade responsável </w:t>
      </w:r>
      <w:r w:rsidR="00EB6EB4" w:rsidRPr="0097459F">
        <w:t xml:space="preserve">por certificar </w:t>
      </w:r>
      <w:r w:rsidR="00745557" w:rsidRPr="0097459F">
        <w:t xml:space="preserve">ou emitir parecer de segunda opinião sobre a qualificação, </w:t>
      </w:r>
      <w:r w:rsidR="00F64AFA" w:rsidRPr="0097459F">
        <w:t xml:space="preserve">se houver, </w:t>
      </w:r>
      <w:r w:rsidR="00745557" w:rsidRPr="0097459F">
        <w:t>bem como informações sobre a sua independência em relação ao fundo</w:t>
      </w:r>
      <w:r w:rsidR="00D11CC7" w:rsidRPr="0097459F">
        <w:t>;</w:t>
      </w:r>
      <w:r w:rsidR="003D0B5D" w:rsidRPr="0097459F">
        <w:t xml:space="preserve"> e</w:t>
      </w:r>
    </w:p>
    <w:p w14:paraId="43902B3A" w14:textId="08B2D05C" w:rsidR="002E670A" w:rsidRPr="0097459F" w:rsidRDefault="00745557" w:rsidP="00C20BBD">
      <w:pPr>
        <w:pStyle w:val="Normalalteradora"/>
      </w:pPr>
      <w:r w:rsidRPr="0097459F">
        <w:t xml:space="preserve">IV </w:t>
      </w:r>
      <w:r w:rsidR="00D11CC7" w:rsidRPr="0097459F">
        <w:t>–</w:t>
      </w:r>
      <w:r w:rsidR="00B7720E" w:rsidRPr="0097459F">
        <w:rPr>
          <w:rFonts w:cstheme="minorHAnsi"/>
        </w:rPr>
        <w:t xml:space="preserve"> </w:t>
      </w:r>
      <w:r w:rsidR="002E670A" w:rsidRPr="0097459F">
        <w:t xml:space="preserve">especificação sobre a forma, o conteúdo e a periodicidade de divulgação de relatório sobre os resultados ambientais, sociais e de governança </w:t>
      </w:r>
      <w:r w:rsidR="002500EA" w:rsidRPr="0097459F">
        <w:t xml:space="preserve">alcançados pela política de investimento no </w:t>
      </w:r>
      <w:r w:rsidR="00755E72" w:rsidRPr="0097459F">
        <w:t>período</w:t>
      </w:r>
      <w:r w:rsidR="002E670A" w:rsidRPr="0097459F">
        <w:t xml:space="preserve">, assim como a identificação </w:t>
      </w:r>
      <w:r w:rsidRPr="0097459F">
        <w:t>do agente</w:t>
      </w:r>
      <w:r w:rsidR="002E670A" w:rsidRPr="0097459F">
        <w:t xml:space="preserve"> responsável pela elaboração do relatório.</w:t>
      </w:r>
    </w:p>
    <w:p w14:paraId="38E90519" w14:textId="77777777" w:rsidR="002500EA" w:rsidRPr="0097459F" w:rsidRDefault="002500EA" w:rsidP="00C20BBD">
      <w:pPr>
        <w:pStyle w:val="Normalalteradora"/>
      </w:pPr>
      <w:r w:rsidRPr="0097459F">
        <w:t>Parágrafo único.  Caso a polí</w:t>
      </w:r>
      <w:r w:rsidR="000F4838" w:rsidRPr="0097459F">
        <w:t>tica de investimento</w:t>
      </w:r>
      <w:r w:rsidRPr="0097459F">
        <w:t xml:space="preserve"> </w:t>
      </w:r>
      <w:r w:rsidR="000F4838" w:rsidRPr="0097459F">
        <w:t>integre fatores ambientais, sociais e de governança à</w:t>
      </w:r>
      <w:r w:rsidR="00F4597C" w:rsidRPr="0097459F">
        <w:t xml:space="preserve">s atividades relacionadas </w:t>
      </w:r>
      <w:r w:rsidR="000F4838" w:rsidRPr="0097459F">
        <w:t xml:space="preserve">à gestão da carteira, mas </w:t>
      </w:r>
      <w:r w:rsidRPr="0097459F">
        <w:t>não busque originar benef</w:t>
      </w:r>
      <w:r w:rsidR="007D45DD" w:rsidRPr="0097459F">
        <w:t>ícios socioambientais</w:t>
      </w:r>
      <w:r w:rsidRPr="0097459F">
        <w:t xml:space="preserve">, </w:t>
      </w:r>
      <w:r w:rsidR="007D45DD" w:rsidRPr="0097459F">
        <w:t xml:space="preserve">fica </w:t>
      </w:r>
      <w:r w:rsidR="007D45DD" w:rsidRPr="0097459F">
        <w:lastRenderedPageBreak/>
        <w:t xml:space="preserve">vedada a utilização dos termos referidos no </w:t>
      </w:r>
      <w:r w:rsidR="007D45DD" w:rsidRPr="0097459F">
        <w:rPr>
          <w:b/>
        </w:rPr>
        <w:t>caput</w:t>
      </w:r>
      <w:r w:rsidR="000F4838" w:rsidRPr="0097459F">
        <w:t xml:space="preserve">, devendo o regulamento dispor acerca da </w:t>
      </w:r>
      <w:r w:rsidR="007C0FDC" w:rsidRPr="0097459F">
        <w:t>integração</w:t>
      </w:r>
      <w:r w:rsidR="000F4838" w:rsidRPr="0097459F">
        <w:t xml:space="preserve"> </w:t>
      </w:r>
      <w:r w:rsidR="007C0FDC" w:rsidRPr="0097459F">
        <w:t>d</w:t>
      </w:r>
      <w:r w:rsidR="000F4838" w:rsidRPr="0097459F">
        <w:t>os referidos fatores à política de investimento.</w:t>
      </w:r>
    </w:p>
    <w:p w14:paraId="74075BA7" w14:textId="27FF14F4" w:rsidR="00893D49" w:rsidRPr="0097459F" w:rsidRDefault="00893D49" w:rsidP="00C20BBD">
      <w:pPr>
        <w:pStyle w:val="Normalalteradora"/>
        <w:rPr>
          <w:rFonts w:cstheme="minorHAnsi"/>
        </w:rPr>
      </w:pPr>
      <w:r w:rsidRPr="0097459F">
        <w:rPr>
          <w:rFonts w:cstheme="minorHAnsi"/>
        </w:rPr>
        <w:t xml:space="preserve">Art. </w:t>
      </w:r>
      <w:r w:rsidR="002A1094" w:rsidRPr="0097459F">
        <w:rPr>
          <w:rFonts w:cstheme="minorHAnsi"/>
        </w:rPr>
        <w:t>50</w:t>
      </w:r>
      <w:r w:rsidRPr="0097459F">
        <w:rPr>
          <w:rFonts w:cstheme="minorHAnsi"/>
        </w:rPr>
        <w:t xml:space="preserve">.  As alterações do regulamento dependem da prévia aprovação da assembleia de cotistas, salvo nas hipóteses previstas no art. </w:t>
      </w:r>
      <w:r w:rsidR="0098016B" w:rsidRPr="0097459F">
        <w:rPr>
          <w:rFonts w:cstheme="minorHAnsi"/>
        </w:rPr>
        <w:t>52</w:t>
      </w:r>
      <w:r w:rsidRPr="0097459F">
        <w:rPr>
          <w:rFonts w:cstheme="minorHAnsi"/>
        </w:rPr>
        <w:t>.</w:t>
      </w:r>
    </w:p>
    <w:p w14:paraId="29F8774C" w14:textId="417D9DE2" w:rsidR="00A61C12" w:rsidRPr="0097459F" w:rsidRDefault="00893D49" w:rsidP="00C20BBD">
      <w:pPr>
        <w:pStyle w:val="Normalalteradora"/>
        <w:rPr>
          <w:rFonts w:cstheme="minorHAnsi"/>
        </w:rPr>
      </w:pPr>
      <w:r w:rsidRPr="0097459F">
        <w:rPr>
          <w:rFonts w:cstheme="minorHAnsi"/>
        </w:rPr>
        <w:t xml:space="preserve">Parágrafo único.  </w:t>
      </w:r>
      <w:r w:rsidR="00A61C12" w:rsidRPr="0097459F">
        <w:rPr>
          <w:rFonts w:cstheme="minorHAnsi"/>
        </w:rPr>
        <w:t>S</w:t>
      </w:r>
      <w:r w:rsidRPr="0097459F">
        <w:rPr>
          <w:rFonts w:cstheme="minorHAnsi"/>
        </w:rPr>
        <w:t>alvo se aprovadas pela unanimidade dos cotistas reunidos em assembleia, as alterações de regulamento são eficazes</w:t>
      </w:r>
      <w:r w:rsidR="00A61C12" w:rsidRPr="0097459F">
        <w:rPr>
          <w:rFonts w:cstheme="minorHAnsi"/>
        </w:rPr>
        <w:t>:</w:t>
      </w:r>
    </w:p>
    <w:p w14:paraId="5954192A" w14:textId="45819264" w:rsidR="00893D49" w:rsidRPr="0097459F" w:rsidRDefault="00A61C12" w:rsidP="00C20BBD">
      <w:pPr>
        <w:pStyle w:val="Normalalteradora"/>
        <w:rPr>
          <w:rFonts w:cstheme="minorHAnsi"/>
        </w:rPr>
      </w:pPr>
      <w:r w:rsidRPr="0097459F">
        <w:rPr>
          <w:rFonts w:cstheme="minorHAnsi"/>
        </w:rPr>
        <w:t>I – no caso de classes abertas, com relação às matérias a seguir,</w:t>
      </w:r>
      <w:r w:rsidR="00893D49" w:rsidRPr="0097459F">
        <w:rPr>
          <w:rFonts w:cstheme="minorHAnsi"/>
        </w:rPr>
        <w:t xml:space="preserve"> apenas a partir do decurso de, no mínimo, 30 (trinta) dias, ou do prazo para pagamento de resgate estabelecido no regulamento, o que for maior, e após a disponibilização do resumo de que trata o art. </w:t>
      </w:r>
      <w:r w:rsidR="00A429A3" w:rsidRPr="0097459F">
        <w:rPr>
          <w:rFonts w:cstheme="minorHAnsi"/>
        </w:rPr>
        <w:t>79</w:t>
      </w:r>
      <w:r w:rsidR="00893D49" w:rsidRPr="0097459F">
        <w:rPr>
          <w:rFonts w:cstheme="minorHAnsi"/>
        </w:rPr>
        <w:t>:</w:t>
      </w:r>
    </w:p>
    <w:p w14:paraId="0A565812" w14:textId="4F18C856" w:rsidR="00893D49" w:rsidRPr="0097459F" w:rsidRDefault="00A61C12" w:rsidP="00C20BBD">
      <w:pPr>
        <w:pStyle w:val="Normalalteradora"/>
        <w:rPr>
          <w:rFonts w:cstheme="minorHAnsi"/>
        </w:rPr>
      </w:pPr>
      <w:r w:rsidRPr="0097459F">
        <w:rPr>
          <w:rFonts w:cstheme="minorHAnsi"/>
        </w:rPr>
        <w:t>a)</w:t>
      </w:r>
      <w:r w:rsidR="00893D49" w:rsidRPr="0097459F">
        <w:rPr>
          <w:rFonts w:cstheme="minorHAnsi"/>
        </w:rPr>
        <w:t xml:space="preserve"> aumento ou alteração do cálculo das taxas de administração, de gestão, </w:t>
      </w:r>
      <w:r w:rsidRPr="0097459F">
        <w:rPr>
          <w:rFonts w:cstheme="minorHAnsi"/>
        </w:rPr>
        <w:t xml:space="preserve">máxima de distribuição, </w:t>
      </w:r>
      <w:r w:rsidR="00BC0406" w:rsidRPr="0097459F">
        <w:rPr>
          <w:rFonts w:cstheme="minorHAnsi"/>
        </w:rPr>
        <w:t>de ingresso ou de saída;</w:t>
      </w:r>
    </w:p>
    <w:p w14:paraId="2D7D6F06" w14:textId="33D04323" w:rsidR="00893D49" w:rsidRPr="0097459F" w:rsidRDefault="00A61C12" w:rsidP="00C20BBD">
      <w:pPr>
        <w:pStyle w:val="Normalalteradora"/>
        <w:rPr>
          <w:rFonts w:cstheme="minorHAnsi"/>
        </w:rPr>
      </w:pPr>
      <w:r w:rsidRPr="0097459F">
        <w:rPr>
          <w:rFonts w:cstheme="minorHAnsi"/>
        </w:rPr>
        <w:t>b)</w:t>
      </w:r>
      <w:r w:rsidR="00893D49" w:rsidRPr="0097459F">
        <w:rPr>
          <w:rFonts w:cstheme="minorHAnsi"/>
        </w:rPr>
        <w:t xml:space="preserve"> alteração da política de investimento;</w:t>
      </w:r>
    </w:p>
    <w:p w14:paraId="401913C5" w14:textId="0FF20A21" w:rsidR="00893D49" w:rsidRPr="0097459F" w:rsidRDefault="00A61C12" w:rsidP="00C20BBD">
      <w:pPr>
        <w:pStyle w:val="Normalalteradora"/>
        <w:rPr>
          <w:rFonts w:cstheme="minorHAnsi"/>
        </w:rPr>
      </w:pPr>
      <w:r w:rsidRPr="0097459F">
        <w:rPr>
          <w:rFonts w:cstheme="minorHAnsi"/>
        </w:rPr>
        <w:t>c)</w:t>
      </w:r>
      <w:r w:rsidR="00893D49" w:rsidRPr="0097459F">
        <w:rPr>
          <w:rFonts w:cstheme="minorHAnsi"/>
        </w:rPr>
        <w:t xml:space="preserve"> mudança nas condições de resgate; ou</w:t>
      </w:r>
    </w:p>
    <w:p w14:paraId="675417DB" w14:textId="7603B877" w:rsidR="00A61C12" w:rsidRPr="0097459F" w:rsidRDefault="00A61C12" w:rsidP="00C20BBD">
      <w:pPr>
        <w:pStyle w:val="Normalalteradora"/>
        <w:rPr>
          <w:rFonts w:cstheme="minorHAnsi"/>
        </w:rPr>
      </w:pPr>
      <w:r w:rsidRPr="0097459F">
        <w:rPr>
          <w:rFonts w:cstheme="minorHAnsi"/>
        </w:rPr>
        <w:t>d)</w:t>
      </w:r>
      <w:r w:rsidR="00893D49" w:rsidRPr="0097459F">
        <w:rPr>
          <w:rFonts w:cstheme="minorHAnsi"/>
        </w:rPr>
        <w:t xml:space="preserve"> incorporação, cisão, fusão ou transformação que acarrete alteração, para os cotistas envolvidos, das condições elencadas </w:t>
      </w:r>
      <w:r w:rsidRPr="0097459F">
        <w:rPr>
          <w:rFonts w:cstheme="minorHAnsi"/>
        </w:rPr>
        <w:t xml:space="preserve">nas alíneas </w:t>
      </w:r>
      <w:r w:rsidR="00893D49" w:rsidRPr="0097459F">
        <w:rPr>
          <w:rFonts w:cstheme="minorHAnsi"/>
        </w:rPr>
        <w:t>anteriores</w:t>
      </w:r>
      <w:r w:rsidRPr="0097459F">
        <w:rPr>
          <w:rFonts w:cstheme="minorHAnsi"/>
        </w:rPr>
        <w:t>; e</w:t>
      </w:r>
    </w:p>
    <w:p w14:paraId="1D183733" w14:textId="2C7B55C6" w:rsidR="00893D49" w:rsidRPr="0097459F" w:rsidRDefault="00A61C12" w:rsidP="00C20BBD">
      <w:pPr>
        <w:pStyle w:val="Normalalteradora"/>
        <w:rPr>
          <w:rFonts w:cstheme="minorHAnsi"/>
        </w:rPr>
      </w:pPr>
      <w:r w:rsidRPr="0097459F">
        <w:rPr>
          <w:rFonts w:cstheme="minorHAnsi"/>
        </w:rPr>
        <w:t xml:space="preserve">II – no caso de classe fechada, com relação à incorporação, cisão, fusão ou transformação, apenas a partir do decurso do prazo para pagamento do reembolso aos cotistas, nos termos do § 2º do art. </w:t>
      </w:r>
      <w:r w:rsidR="005A2B11" w:rsidRPr="0097459F">
        <w:rPr>
          <w:rFonts w:cstheme="minorHAnsi"/>
        </w:rPr>
        <w:t>119</w:t>
      </w:r>
      <w:r w:rsidRPr="0097459F">
        <w:rPr>
          <w:rFonts w:cstheme="minorHAnsi"/>
        </w:rPr>
        <w:t>.</w:t>
      </w:r>
    </w:p>
    <w:p w14:paraId="28DC4279" w14:textId="261E8566" w:rsidR="00893D49" w:rsidRPr="0097459F" w:rsidRDefault="00893D49" w:rsidP="00C20BBD">
      <w:pPr>
        <w:pStyle w:val="Normalalteradora"/>
        <w:rPr>
          <w:rFonts w:cstheme="minorHAnsi"/>
        </w:rPr>
      </w:pPr>
      <w:r w:rsidRPr="0097459F">
        <w:rPr>
          <w:rFonts w:cstheme="minorHAnsi"/>
        </w:rPr>
        <w:t xml:space="preserve">Art. </w:t>
      </w:r>
      <w:r w:rsidR="002A1094" w:rsidRPr="0097459F">
        <w:rPr>
          <w:rFonts w:cstheme="minorHAnsi"/>
        </w:rPr>
        <w:t>51</w:t>
      </w:r>
      <w:r w:rsidRPr="0097459F">
        <w:rPr>
          <w:rFonts w:cstheme="minorHAnsi"/>
        </w:rPr>
        <w:t>.  O administrador deve encaminhar</w:t>
      </w:r>
      <w:r w:rsidR="00B57B47" w:rsidRPr="0097459F">
        <w:rPr>
          <w:rFonts w:cstheme="minorHAnsi"/>
        </w:rPr>
        <w:t xml:space="preserve"> exemplar do novo regulamento, consolidando as alterações efetuadas</w:t>
      </w:r>
      <w:r w:rsidRPr="0097459F">
        <w:rPr>
          <w:rFonts w:cstheme="minorHAnsi"/>
        </w:rPr>
        <w:t xml:space="preserve">, por meio de sistema eletrônico disponibilizado pela CVM na </w:t>
      </w:r>
      <w:r w:rsidR="005F1E9A" w:rsidRPr="0097459F">
        <w:rPr>
          <w:rFonts w:cstheme="minorHAnsi"/>
        </w:rPr>
        <w:t>rede mundial de computadores</w:t>
      </w:r>
      <w:r w:rsidRPr="0097459F">
        <w:rPr>
          <w:rFonts w:cstheme="minorHAnsi"/>
        </w:rPr>
        <w:t>, na data do início da vigência das alterações deliberadas em assembleia</w:t>
      </w:r>
      <w:bookmarkStart w:id="132" w:name="_DV_C84"/>
      <w:r w:rsidRPr="0097459F">
        <w:rPr>
          <w:rFonts w:cstheme="minorHAnsi"/>
        </w:rPr>
        <w:t>.</w:t>
      </w:r>
      <w:bookmarkEnd w:id="132"/>
    </w:p>
    <w:p w14:paraId="107D9003" w14:textId="7C831E9D" w:rsidR="00CB7346" w:rsidRPr="0097459F" w:rsidRDefault="00CB7346" w:rsidP="00C20BBD">
      <w:pPr>
        <w:pStyle w:val="Normalalteradora"/>
        <w:rPr>
          <w:rFonts w:cstheme="minorHAnsi"/>
        </w:rPr>
      </w:pPr>
      <w:r w:rsidRPr="0097459F">
        <w:rPr>
          <w:rFonts w:cstheme="minorHAnsi"/>
        </w:rPr>
        <w:t xml:space="preserve">Parágrafo único.  Caso a alteração tenha sido deliberada em assembleia especial de cotistas, </w:t>
      </w:r>
      <w:r w:rsidR="005D16B4" w:rsidRPr="0097459F">
        <w:rPr>
          <w:rFonts w:cstheme="minorHAnsi"/>
        </w:rPr>
        <w:t>pode</w:t>
      </w:r>
      <w:r w:rsidRPr="0097459F">
        <w:rPr>
          <w:rFonts w:cstheme="minorHAnsi"/>
        </w:rPr>
        <w:t xml:space="preserve"> ser encaminhado somente o anexo descritivo da classe impactada</w:t>
      </w:r>
      <w:r w:rsidR="005D16B4" w:rsidRPr="0097459F">
        <w:rPr>
          <w:rFonts w:cstheme="minorHAnsi"/>
        </w:rPr>
        <w:t>, para os cotistas da mesma classe</w:t>
      </w:r>
      <w:r w:rsidRPr="0097459F">
        <w:rPr>
          <w:rFonts w:cstheme="minorHAnsi"/>
        </w:rPr>
        <w:t>.</w:t>
      </w:r>
    </w:p>
    <w:p w14:paraId="24EED9B3" w14:textId="711496BE" w:rsidR="00893D49" w:rsidRPr="0097459F" w:rsidRDefault="00893D49" w:rsidP="00C20BBD">
      <w:pPr>
        <w:pStyle w:val="Normalalteradora"/>
        <w:rPr>
          <w:rFonts w:cstheme="minorHAnsi"/>
        </w:rPr>
      </w:pPr>
      <w:r w:rsidRPr="0097459F">
        <w:rPr>
          <w:rFonts w:cstheme="minorHAnsi"/>
        </w:rPr>
        <w:t xml:space="preserve">Art. </w:t>
      </w:r>
      <w:r w:rsidR="002A1094" w:rsidRPr="0097459F">
        <w:rPr>
          <w:rFonts w:cstheme="minorHAnsi"/>
        </w:rPr>
        <w:t>52</w:t>
      </w:r>
      <w:r w:rsidRPr="0097459F">
        <w:rPr>
          <w:rFonts w:cstheme="minorHAnsi"/>
        </w:rPr>
        <w:t>.  O regulamento pode ser alterado, independentemente da assembleia de cotistas, sempre que tal alteração:</w:t>
      </w:r>
    </w:p>
    <w:p w14:paraId="7A227546" w14:textId="299D1358" w:rsidR="00893D49" w:rsidRPr="0097459F" w:rsidRDefault="00893D49" w:rsidP="00C20BBD">
      <w:pPr>
        <w:pStyle w:val="Normalalteradora"/>
        <w:rPr>
          <w:rFonts w:cstheme="minorHAnsi"/>
        </w:rPr>
      </w:pPr>
      <w:r w:rsidRPr="0097459F">
        <w:rPr>
          <w:rFonts w:cstheme="minorHAnsi"/>
        </w:rPr>
        <w:t xml:space="preserve">I – decorrer exclusivamente da necessidade de atendimento a normas legais ou regulamentares, exigências expressas da CVM, de entidade administradora de mercados organizados em que as cotas do </w:t>
      </w:r>
      <w:r w:rsidRPr="0097459F">
        <w:rPr>
          <w:rFonts w:cstheme="minorHAnsi"/>
        </w:rPr>
        <w:lastRenderedPageBreak/>
        <w:t>fundo sejam admitidas à negociação ou de entidade autorreguladora, nos termos da legislação aplicável e de convênio com a CVM;</w:t>
      </w:r>
    </w:p>
    <w:p w14:paraId="16FA090D" w14:textId="4AA7C5CD" w:rsidR="00893D49" w:rsidRPr="0097459F" w:rsidRDefault="00893D49" w:rsidP="00C20BBD">
      <w:pPr>
        <w:pStyle w:val="Normalalteradora"/>
        <w:rPr>
          <w:rFonts w:cstheme="minorHAnsi"/>
        </w:rPr>
      </w:pPr>
      <w:r w:rsidRPr="0097459F">
        <w:rPr>
          <w:rFonts w:cstheme="minorHAnsi"/>
        </w:rPr>
        <w:t xml:space="preserve">II – for necessária em virtude da atualização dos dados cadastrais de prestadores de serviços </w:t>
      </w:r>
      <w:r w:rsidR="00F860AE" w:rsidRPr="0097459F">
        <w:rPr>
          <w:rFonts w:cstheme="minorHAnsi"/>
        </w:rPr>
        <w:t>da classe</w:t>
      </w:r>
      <w:r w:rsidRPr="0097459F">
        <w:rPr>
          <w:rFonts w:cstheme="minorHAnsi"/>
        </w:rPr>
        <w:t xml:space="preserve">, tais como alteração na razão social, endereço, página na rede mundial de computadores e telefone; </w:t>
      </w:r>
      <w:r w:rsidR="00C04940" w:rsidRPr="0097459F">
        <w:rPr>
          <w:rFonts w:cstheme="minorHAnsi"/>
        </w:rPr>
        <w:t>ou</w:t>
      </w:r>
    </w:p>
    <w:p w14:paraId="1139ECB3" w14:textId="56FCA255" w:rsidR="00893D49" w:rsidRPr="0097459F" w:rsidRDefault="00893D49" w:rsidP="00C20BBD">
      <w:pPr>
        <w:pStyle w:val="Normalalteradora"/>
        <w:rPr>
          <w:rFonts w:cstheme="minorHAnsi"/>
        </w:rPr>
      </w:pPr>
      <w:r w:rsidRPr="0097459F">
        <w:rPr>
          <w:rFonts w:cstheme="minorHAnsi"/>
        </w:rPr>
        <w:t xml:space="preserve">III – envolver redução </w:t>
      </w:r>
      <w:r w:rsidR="00EA18CE" w:rsidRPr="0097459F">
        <w:rPr>
          <w:rFonts w:cstheme="minorHAnsi"/>
        </w:rPr>
        <w:t xml:space="preserve">de </w:t>
      </w:r>
      <w:r w:rsidRPr="0097459F">
        <w:rPr>
          <w:rFonts w:cstheme="minorHAnsi"/>
        </w:rPr>
        <w:t>taxa devida a prestador de serviços.</w:t>
      </w:r>
    </w:p>
    <w:p w14:paraId="763A529C" w14:textId="0BDBA3F3" w:rsidR="00893D49" w:rsidRPr="0097459F" w:rsidRDefault="00893D49" w:rsidP="00C20BBD">
      <w:pPr>
        <w:pStyle w:val="Normalalteradora"/>
        <w:rPr>
          <w:rFonts w:cstheme="minorHAnsi"/>
        </w:rPr>
      </w:pPr>
      <w:r w:rsidRPr="0097459F">
        <w:rPr>
          <w:rFonts w:cstheme="minorHAnsi"/>
        </w:rPr>
        <w:t>§ 1º  As alterações referidas nos incisos I e II devem ser comunicadas aos cotistas, no prazo de até 30 (trinta) dias</w:t>
      </w:r>
      <w:r w:rsidR="00344255" w:rsidRPr="0097459F">
        <w:rPr>
          <w:rFonts w:cstheme="minorHAnsi"/>
        </w:rPr>
        <w:t>,</w:t>
      </w:r>
      <w:r w:rsidRPr="0097459F">
        <w:rPr>
          <w:rFonts w:cstheme="minorHAnsi"/>
        </w:rPr>
        <w:t xml:space="preserve"> contado da data em que tiverem sido implementadas.</w:t>
      </w:r>
    </w:p>
    <w:p w14:paraId="368024BB" w14:textId="77777777" w:rsidR="00893D49" w:rsidRPr="0097459F" w:rsidRDefault="00893D49" w:rsidP="00C20BBD">
      <w:pPr>
        <w:pStyle w:val="Normalalteradora"/>
        <w:rPr>
          <w:rFonts w:cstheme="minorHAnsi"/>
        </w:rPr>
      </w:pPr>
      <w:r w:rsidRPr="0097459F">
        <w:rPr>
          <w:rFonts w:cstheme="minorHAnsi"/>
        </w:rPr>
        <w:t>§ 2º  A alteração referida no inciso III deve ser imediatamente comunicada aos cotistas.</w:t>
      </w:r>
    </w:p>
    <w:p w14:paraId="6D0DEFB9" w14:textId="0DDA5587" w:rsidR="00893D49" w:rsidRPr="0097459F" w:rsidRDefault="00893D49" w:rsidP="00C20BBD">
      <w:pPr>
        <w:pStyle w:val="Normalalteradora"/>
        <w:rPr>
          <w:rFonts w:cstheme="minorHAnsi"/>
        </w:rPr>
      </w:pPr>
      <w:r w:rsidRPr="0097459F">
        <w:rPr>
          <w:rFonts w:cstheme="minorHAnsi"/>
        </w:rPr>
        <w:t xml:space="preserve">Art. </w:t>
      </w:r>
      <w:r w:rsidR="00DF12C4" w:rsidRPr="0097459F">
        <w:rPr>
          <w:rFonts w:cstheme="minorHAnsi"/>
        </w:rPr>
        <w:t>53</w:t>
      </w:r>
      <w:r w:rsidRPr="0097459F">
        <w:rPr>
          <w:rFonts w:cstheme="minorHAnsi"/>
        </w:rPr>
        <w:t>.  O administrador</w:t>
      </w:r>
      <w:r w:rsidR="00D41CC6" w:rsidRPr="0097459F">
        <w:rPr>
          <w:rFonts w:cstheme="minorHAnsi"/>
        </w:rPr>
        <w:t xml:space="preserve"> </w:t>
      </w:r>
      <w:r w:rsidRPr="0097459F">
        <w:rPr>
          <w:rFonts w:cstheme="minorHAnsi"/>
        </w:rPr>
        <w:t>tem o prazo de até 30 (trinta) dias, salvo determinação</w:t>
      </w:r>
      <w:r w:rsidR="007A179B" w:rsidRPr="0097459F">
        <w:rPr>
          <w:rFonts w:cstheme="minorHAnsi"/>
        </w:rPr>
        <w:t xml:space="preserve"> da CVM</w:t>
      </w:r>
      <w:r w:rsidRPr="0097459F">
        <w:rPr>
          <w:rFonts w:cstheme="minorHAnsi"/>
        </w:rPr>
        <w:t xml:space="preserve"> em contrário, para proceder às alterações determinadas pela CVM, contado do recebimento </w:t>
      </w:r>
      <w:r w:rsidR="00D41CC6" w:rsidRPr="0097459F">
        <w:rPr>
          <w:rFonts w:cstheme="minorHAnsi"/>
        </w:rPr>
        <w:t>d</w:t>
      </w:r>
      <w:r w:rsidRPr="0097459F">
        <w:rPr>
          <w:rFonts w:cstheme="minorHAnsi"/>
        </w:rPr>
        <w:t>as referidas exigências.</w:t>
      </w:r>
    </w:p>
    <w:p w14:paraId="4AB28B96" w14:textId="77777777" w:rsidR="00893D49" w:rsidRPr="0097459F" w:rsidRDefault="00893D49" w:rsidP="00C20BBD">
      <w:pPr>
        <w:pStyle w:val="Seo"/>
        <w:rPr>
          <w:rFonts w:asciiTheme="minorHAnsi" w:hAnsiTheme="minorHAnsi"/>
        </w:rPr>
      </w:pPr>
      <w:bookmarkStart w:id="133" w:name="_Toc53594445"/>
      <w:bookmarkStart w:id="134" w:name="_Toc53595470"/>
      <w:bookmarkStart w:id="135" w:name="_Toc53594197"/>
      <w:bookmarkStart w:id="136" w:name="_Toc114818978"/>
      <w:bookmarkStart w:id="137" w:name="_Toc57836205"/>
      <w:bookmarkStart w:id="138" w:name="_Toc126226306"/>
      <w:r w:rsidRPr="0097459F">
        <w:rPr>
          <w:rFonts w:asciiTheme="minorHAnsi" w:hAnsiTheme="minorHAnsi"/>
        </w:rPr>
        <w:t>Seção III – Material de Divulgação</w:t>
      </w:r>
      <w:bookmarkEnd w:id="133"/>
      <w:bookmarkEnd w:id="134"/>
      <w:bookmarkEnd w:id="135"/>
      <w:bookmarkEnd w:id="136"/>
      <w:bookmarkEnd w:id="137"/>
      <w:bookmarkEnd w:id="138"/>
    </w:p>
    <w:p w14:paraId="3EA1CB3D" w14:textId="40999DE6" w:rsidR="00893D49" w:rsidRPr="0097459F" w:rsidRDefault="00893D49" w:rsidP="00C20BBD">
      <w:pPr>
        <w:pStyle w:val="Normalalteradora"/>
        <w:rPr>
          <w:rFonts w:cstheme="minorHAnsi"/>
        </w:rPr>
      </w:pPr>
      <w:r w:rsidRPr="0097459F">
        <w:rPr>
          <w:rFonts w:cstheme="minorHAnsi"/>
        </w:rPr>
        <w:t xml:space="preserve">Art. </w:t>
      </w:r>
      <w:r w:rsidR="00DF12C4" w:rsidRPr="0097459F">
        <w:rPr>
          <w:rFonts w:cstheme="minorHAnsi"/>
        </w:rPr>
        <w:t>54</w:t>
      </w:r>
      <w:r w:rsidRPr="0097459F">
        <w:rPr>
          <w:rFonts w:cstheme="minorHAnsi"/>
        </w:rPr>
        <w:t xml:space="preserve">.  Qualquer material de divulgação </w:t>
      </w:r>
      <w:r w:rsidR="00C959D1" w:rsidRPr="0097459F">
        <w:t>do fundo</w:t>
      </w:r>
      <w:r w:rsidRPr="0097459F">
        <w:rPr>
          <w:rFonts w:cstheme="minorHAnsi"/>
        </w:rPr>
        <w:t xml:space="preserve"> deve:</w:t>
      </w:r>
    </w:p>
    <w:p w14:paraId="5FFEC384" w14:textId="77777777" w:rsidR="00893D49" w:rsidRPr="0097459F" w:rsidRDefault="00893D49" w:rsidP="00C20BBD">
      <w:pPr>
        <w:pStyle w:val="Normalalteradora"/>
        <w:rPr>
          <w:rFonts w:cstheme="minorHAnsi"/>
        </w:rPr>
      </w:pPr>
      <w:r w:rsidRPr="0097459F">
        <w:rPr>
          <w:rFonts w:cstheme="minorHAnsi"/>
        </w:rPr>
        <w:t>I – ser consistente com o regulamento;</w:t>
      </w:r>
    </w:p>
    <w:p w14:paraId="4B9F8F6C" w14:textId="6D86E231" w:rsidR="00893D49" w:rsidRPr="0097459F" w:rsidRDefault="00893D49" w:rsidP="00C20BBD">
      <w:pPr>
        <w:pStyle w:val="Normalalteradora"/>
        <w:rPr>
          <w:rFonts w:cstheme="minorHAnsi"/>
        </w:rPr>
      </w:pPr>
      <w:r w:rsidRPr="0097459F">
        <w:rPr>
          <w:rFonts w:cstheme="minorHAnsi"/>
        </w:rPr>
        <w:t xml:space="preserve">II – ser elaborado em linguagem serena e moderada, advertindo seus leitores </w:t>
      </w:r>
      <w:r w:rsidR="000D0BFF" w:rsidRPr="0097459F">
        <w:rPr>
          <w:rFonts w:cstheme="minorHAnsi"/>
        </w:rPr>
        <w:t>para os riscos do investimento;</w:t>
      </w:r>
    </w:p>
    <w:p w14:paraId="434DEE5D" w14:textId="3123E28D" w:rsidR="00893D49" w:rsidRPr="0097459F" w:rsidRDefault="00893D49" w:rsidP="00C20BBD">
      <w:pPr>
        <w:pStyle w:val="Normalalteradora"/>
        <w:rPr>
          <w:rFonts w:cstheme="minorHAnsi"/>
        </w:rPr>
      </w:pPr>
      <w:r w:rsidRPr="0097459F">
        <w:rPr>
          <w:rFonts w:cstheme="minorHAnsi"/>
        </w:rPr>
        <w:t>III – ser identificado como material de divulgação;</w:t>
      </w:r>
    </w:p>
    <w:p w14:paraId="1FBE2E3E" w14:textId="5A702B81" w:rsidR="00893D49" w:rsidRPr="0097459F" w:rsidRDefault="00893D49" w:rsidP="00C20BBD">
      <w:pPr>
        <w:pStyle w:val="Normalalteradora"/>
        <w:rPr>
          <w:rFonts w:cstheme="minorHAnsi"/>
        </w:rPr>
      </w:pPr>
      <w:r w:rsidRPr="0097459F">
        <w:rPr>
          <w:rFonts w:cstheme="minorHAnsi"/>
        </w:rPr>
        <w:t xml:space="preserve">IV – mencionar a existência do regulamento, </w:t>
      </w:r>
      <w:r w:rsidR="00D5554A" w:rsidRPr="0097459F">
        <w:rPr>
          <w:rFonts w:cstheme="minorHAnsi"/>
        </w:rPr>
        <w:t xml:space="preserve">anexos e apêndices, conforme o caso, </w:t>
      </w:r>
      <w:r w:rsidRPr="0097459F">
        <w:rPr>
          <w:rFonts w:cstheme="minorHAnsi"/>
        </w:rPr>
        <w:t xml:space="preserve">bem como os endereços na </w:t>
      </w:r>
      <w:r w:rsidR="005F1E9A" w:rsidRPr="0097459F">
        <w:rPr>
          <w:rFonts w:cstheme="minorHAnsi"/>
        </w:rPr>
        <w:t xml:space="preserve">rede mundial de computadores </w:t>
      </w:r>
      <w:r w:rsidRPr="0097459F">
        <w:rPr>
          <w:rFonts w:cstheme="minorHAnsi"/>
        </w:rPr>
        <w:t>nos quais o</w:t>
      </w:r>
      <w:r w:rsidR="00D5554A" w:rsidRPr="0097459F">
        <w:rPr>
          <w:rFonts w:cstheme="minorHAnsi"/>
        </w:rPr>
        <w:t>s</w:t>
      </w:r>
      <w:r w:rsidRPr="0097459F">
        <w:rPr>
          <w:rFonts w:cstheme="minorHAnsi"/>
        </w:rPr>
        <w:t xml:space="preserve"> documento</w:t>
      </w:r>
      <w:r w:rsidR="00D5554A" w:rsidRPr="0097459F">
        <w:rPr>
          <w:rFonts w:cstheme="minorHAnsi"/>
        </w:rPr>
        <w:t>s</w:t>
      </w:r>
      <w:r w:rsidRPr="0097459F">
        <w:rPr>
          <w:rFonts w:cstheme="minorHAnsi"/>
        </w:rPr>
        <w:t xml:space="preserve"> pode</w:t>
      </w:r>
      <w:r w:rsidR="00D5554A" w:rsidRPr="0097459F">
        <w:rPr>
          <w:rFonts w:cstheme="minorHAnsi"/>
        </w:rPr>
        <w:t>m</w:t>
      </w:r>
      <w:r w:rsidRPr="0097459F">
        <w:rPr>
          <w:rFonts w:cstheme="minorHAnsi"/>
        </w:rPr>
        <w:t xml:space="preserve"> ser obtido</w:t>
      </w:r>
      <w:r w:rsidR="00D5554A" w:rsidRPr="0097459F">
        <w:rPr>
          <w:rFonts w:cstheme="minorHAnsi"/>
        </w:rPr>
        <w:t>s</w:t>
      </w:r>
      <w:r w:rsidRPr="0097459F">
        <w:rPr>
          <w:rFonts w:cstheme="minorHAnsi"/>
        </w:rPr>
        <w:t>;</w:t>
      </w:r>
      <w:r w:rsidR="00D551A9">
        <w:rPr>
          <w:rFonts w:cstheme="minorHAnsi"/>
        </w:rPr>
        <w:t xml:space="preserve"> e</w:t>
      </w:r>
    </w:p>
    <w:p w14:paraId="2E171027" w14:textId="273D7DBC" w:rsidR="00294B10" w:rsidRPr="0097459F" w:rsidRDefault="00893D49" w:rsidP="00C20BBD">
      <w:pPr>
        <w:pStyle w:val="Normalalteradora"/>
        <w:rPr>
          <w:rFonts w:cstheme="minorHAnsi"/>
        </w:rPr>
      </w:pPr>
      <w:r w:rsidRPr="0097459F">
        <w:rPr>
          <w:rFonts w:cstheme="minorHAnsi"/>
        </w:rPr>
        <w:t xml:space="preserve">V – observar o disposto nos §§ 1º, 2º e 3º do art. </w:t>
      </w:r>
      <w:r w:rsidR="005A2B11" w:rsidRPr="0097459F">
        <w:rPr>
          <w:rFonts w:cstheme="minorHAnsi"/>
        </w:rPr>
        <w:t>47</w:t>
      </w:r>
      <w:r w:rsidR="00C959D1" w:rsidRPr="0097459F">
        <w:t>.</w:t>
      </w:r>
    </w:p>
    <w:p w14:paraId="5FBDAADD" w14:textId="001FB0B5" w:rsidR="00893D49" w:rsidRPr="0097459F" w:rsidRDefault="00893D49" w:rsidP="00C20BBD">
      <w:pPr>
        <w:pStyle w:val="Normalalteradora"/>
        <w:rPr>
          <w:rFonts w:cstheme="minorHAnsi"/>
        </w:rPr>
      </w:pPr>
      <w:r w:rsidRPr="0097459F">
        <w:rPr>
          <w:rFonts w:cstheme="minorHAnsi"/>
        </w:rPr>
        <w:t xml:space="preserve">Art. </w:t>
      </w:r>
      <w:r w:rsidR="00DF12C4" w:rsidRPr="0097459F">
        <w:rPr>
          <w:rFonts w:cstheme="minorHAnsi"/>
        </w:rPr>
        <w:t>55</w:t>
      </w:r>
      <w:r w:rsidRPr="0097459F">
        <w:rPr>
          <w:rFonts w:cstheme="minorHAnsi"/>
        </w:rPr>
        <w:t xml:space="preserve">.  Qualquer </w:t>
      </w:r>
      <w:r w:rsidR="009A5EF0" w:rsidRPr="0097459F">
        <w:rPr>
          <w:rFonts w:cstheme="minorHAnsi"/>
        </w:rPr>
        <w:t xml:space="preserve">material </w:t>
      </w:r>
      <w:r w:rsidR="00C871AC" w:rsidRPr="0097459F">
        <w:rPr>
          <w:rFonts w:cstheme="minorHAnsi"/>
        </w:rPr>
        <w:t>que divulgue</w:t>
      </w:r>
      <w:r w:rsidR="009A5EF0" w:rsidRPr="0097459F">
        <w:rPr>
          <w:rFonts w:cstheme="minorHAnsi"/>
        </w:rPr>
        <w:t xml:space="preserve"> </w:t>
      </w:r>
      <w:r w:rsidRPr="0097459F">
        <w:rPr>
          <w:rFonts w:cstheme="minorHAnsi"/>
        </w:rPr>
        <w:t xml:space="preserve">informação sobre os resultados </w:t>
      </w:r>
      <w:r w:rsidR="00D5554A" w:rsidRPr="0097459F">
        <w:rPr>
          <w:rFonts w:cstheme="minorHAnsi"/>
        </w:rPr>
        <w:t>da classe</w:t>
      </w:r>
      <w:r w:rsidRPr="0097459F">
        <w:rPr>
          <w:rFonts w:cstheme="minorHAnsi"/>
        </w:rPr>
        <w:t xml:space="preserve"> só pode ser </w:t>
      </w:r>
      <w:r w:rsidR="00C871AC" w:rsidRPr="0097459F">
        <w:rPr>
          <w:rFonts w:cstheme="minorHAnsi"/>
        </w:rPr>
        <w:t>utilizado</w:t>
      </w:r>
      <w:r w:rsidRPr="0097459F">
        <w:rPr>
          <w:rFonts w:cstheme="minorHAnsi"/>
        </w:rPr>
        <w:t>, por qualquer meio, após um período</w:t>
      </w:r>
      <w:r w:rsidR="00D41CC6" w:rsidRPr="0097459F">
        <w:rPr>
          <w:rFonts w:cstheme="minorHAnsi"/>
        </w:rPr>
        <w:t xml:space="preserve"> </w:t>
      </w:r>
      <w:r w:rsidRPr="0097459F">
        <w:rPr>
          <w:rFonts w:cstheme="minorHAnsi"/>
        </w:rPr>
        <w:t>de 6 (seis) meses, a partir da data da primeira emissão de cotas da</w:t>
      </w:r>
      <w:r w:rsidR="001C3AE5" w:rsidRPr="0097459F">
        <w:rPr>
          <w:rFonts w:cstheme="minorHAnsi"/>
        </w:rPr>
        <w:t xml:space="preserve"> </w:t>
      </w:r>
      <w:r w:rsidRPr="0097459F">
        <w:rPr>
          <w:rFonts w:cstheme="minorHAnsi"/>
        </w:rPr>
        <w:t>classe a ser divulgada.</w:t>
      </w:r>
    </w:p>
    <w:p w14:paraId="3C5BD2E2" w14:textId="1CBEA416" w:rsidR="00BC12BA" w:rsidRPr="0097459F" w:rsidRDefault="00BC12BA" w:rsidP="00C20BBD">
      <w:pPr>
        <w:pStyle w:val="Normalalteradora"/>
      </w:pPr>
      <w:r w:rsidRPr="0097459F">
        <w:t xml:space="preserve">Parágrafo único. </w:t>
      </w:r>
      <w:r w:rsidR="009D3DF9" w:rsidRPr="0097459F">
        <w:t xml:space="preserve"> </w:t>
      </w:r>
      <w:r w:rsidRPr="0097459F">
        <w:t xml:space="preserve">A restrição prevista no </w:t>
      </w:r>
      <w:r w:rsidRPr="0097459F">
        <w:rPr>
          <w:b/>
        </w:rPr>
        <w:t>caput</w:t>
      </w:r>
      <w:r w:rsidRPr="0097459F">
        <w:t xml:space="preserve"> </w:t>
      </w:r>
      <w:r w:rsidR="00735C7F" w:rsidRPr="0097459F">
        <w:t xml:space="preserve">não </w:t>
      </w:r>
      <w:r w:rsidRPr="0097459F">
        <w:t>se aplica a classes ou subclasses exclusivamente destinadas a investidores profissionais.</w:t>
      </w:r>
    </w:p>
    <w:p w14:paraId="0A50CAB0" w14:textId="79007826" w:rsidR="00893D49" w:rsidRPr="0097459F" w:rsidRDefault="00893D49" w:rsidP="00C20BBD">
      <w:pPr>
        <w:pStyle w:val="Normalalteradora"/>
        <w:rPr>
          <w:rFonts w:cstheme="minorHAnsi"/>
        </w:rPr>
      </w:pPr>
      <w:r w:rsidRPr="0097459F">
        <w:rPr>
          <w:rFonts w:cstheme="minorHAnsi"/>
        </w:rPr>
        <w:lastRenderedPageBreak/>
        <w:t xml:space="preserve">Art. </w:t>
      </w:r>
      <w:r w:rsidR="00B7720E" w:rsidRPr="0097459F">
        <w:rPr>
          <w:rFonts w:cstheme="minorHAnsi"/>
        </w:rPr>
        <w:t>56</w:t>
      </w:r>
      <w:r w:rsidRPr="0097459F">
        <w:rPr>
          <w:rFonts w:cstheme="minorHAnsi"/>
        </w:rPr>
        <w:t>.  Toda informação divulgada</w:t>
      </w:r>
      <w:r w:rsidR="005D16B4" w:rsidRPr="0097459F">
        <w:rPr>
          <w:rFonts w:cstheme="minorHAnsi"/>
        </w:rPr>
        <w:t>,</w:t>
      </w:r>
      <w:r w:rsidRPr="0097459F">
        <w:rPr>
          <w:rFonts w:cstheme="minorHAnsi"/>
        </w:rPr>
        <w:t xml:space="preserve"> por qualquer meio, na qual seja incluída referência à rentab</w:t>
      </w:r>
      <w:r w:rsidR="000D0BFF" w:rsidRPr="0097459F">
        <w:rPr>
          <w:rFonts w:cstheme="minorHAnsi"/>
        </w:rPr>
        <w:t>ilidade, deve obrigatoriamente:</w:t>
      </w:r>
    </w:p>
    <w:p w14:paraId="587C72B7" w14:textId="2CECAD9F" w:rsidR="00893D49" w:rsidRPr="0097459F" w:rsidRDefault="00893D49" w:rsidP="00C20BBD">
      <w:pPr>
        <w:pStyle w:val="Normalalteradora"/>
        <w:rPr>
          <w:rFonts w:cstheme="minorHAnsi"/>
        </w:rPr>
      </w:pPr>
      <w:r w:rsidRPr="0097459F">
        <w:rPr>
          <w:rFonts w:cstheme="minorHAnsi"/>
        </w:rPr>
        <w:t xml:space="preserve">I – mencionar a data do início </w:t>
      </w:r>
      <w:r w:rsidR="001C3AE5" w:rsidRPr="0097459F">
        <w:rPr>
          <w:rFonts w:cstheme="minorHAnsi"/>
        </w:rPr>
        <w:t>do</w:t>
      </w:r>
      <w:r w:rsidRPr="0097459F">
        <w:rPr>
          <w:rFonts w:cstheme="minorHAnsi"/>
        </w:rPr>
        <w:t xml:space="preserve"> funcionamento</w:t>
      </w:r>
      <w:r w:rsidR="001C3AE5" w:rsidRPr="0097459F">
        <w:rPr>
          <w:rFonts w:cstheme="minorHAnsi"/>
        </w:rPr>
        <w:t xml:space="preserve"> da classe divulgada</w:t>
      </w:r>
      <w:r w:rsidR="000D0BFF" w:rsidRPr="0097459F">
        <w:rPr>
          <w:rFonts w:cstheme="minorHAnsi"/>
        </w:rPr>
        <w:t>;</w:t>
      </w:r>
    </w:p>
    <w:p w14:paraId="3949B9D6" w14:textId="3EF62B54" w:rsidR="00893D49" w:rsidRPr="0097459F" w:rsidRDefault="00893D49" w:rsidP="00C20BBD">
      <w:pPr>
        <w:pStyle w:val="Normalalteradora"/>
        <w:rPr>
          <w:rFonts w:cstheme="minorHAnsi"/>
        </w:rPr>
      </w:pPr>
      <w:r w:rsidRPr="0097459F">
        <w:rPr>
          <w:rFonts w:cstheme="minorHAnsi"/>
        </w:rPr>
        <w:t xml:space="preserve">II – contemplar, adicionalmente à informação divulgada, a rentabilidade mensal e a rentabilidade acumulada nos últimos 12 (doze) meses, não sendo obrigatória, neste caso, a discriminação mês a mês, ou no período decorrido desde a sua constituição, se inferior, observado, ainda, o disposto no art. </w:t>
      </w:r>
      <w:r w:rsidR="005A2B11" w:rsidRPr="0097459F">
        <w:rPr>
          <w:rFonts w:cstheme="minorHAnsi"/>
        </w:rPr>
        <w:t>57</w:t>
      </w:r>
      <w:r w:rsidRPr="0097459F">
        <w:rPr>
          <w:rFonts w:cstheme="minorHAnsi"/>
        </w:rPr>
        <w:t>;</w:t>
      </w:r>
    </w:p>
    <w:p w14:paraId="5C6B1B09" w14:textId="12464D83" w:rsidR="00893D49" w:rsidRPr="0097459F" w:rsidRDefault="00893D49" w:rsidP="00C20BBD">
      <w:pPr>
        <w:pStyle w:val="Normalalteradora"/>
        <w:rPr>
          <w:rFonts w:cstheme="minorHAnsi"/>
        </w:rPr>
      </w:pPr>
      <w:r w:rsidRPr="0097459F">
        <w:rPr>
          <w:rFonts w:cstheme="minorHAnsi"/>
        </w:rPr>
        <w:t>III – ser acompanhada do valor do patrimônio líquido médio mensal dos últimos 12 (doze) meses ou desde a sua</w:t>
      </w:r>
      <w:r w:rsidR="000D0BFF" w:rsidRPr="0097459F">
        <w:rPr>
          <w:rFonts w:cstheme="minorHAnsi"/>
        </w:rPr>
        <w:t xml:space="preserve"> constituição, se mais recente;</w:t>
      </w:r>
    </w:p>
    <w:p w14:paraId="13F90F60" w14:textId="4A90E8F0" w:rsidR="00893D49" w:rsidRPr="0097459F" w:rsidRDefault="00893D49" w:rsidP="00C20BBD">
      <w:pPr>
        <w:pStyle w:val="Normalalteradora"/>
        <w:rPr>
          <w:rFonts w:cstheme="minorHAnsi"/>
        </w:rPr>
      </w:pPr>
      <w:r w:rsidRPr="0097459F">
        <w:rPr>
          <w:rFonts w:cstheme="minorHAnsi"/>
        </w:rPr>
        <w:t>IV – divulgar a</w:t>
      </w:r>
      <w:r w:rsidR="00593694" w:rsidRPr="0097459F">
        <w:rPr>
          <w:rFonts w:cstheme="minorHAnsi"/>
        </w:rPr>
        <w:t>s</w:t>
      </w:r>
      <w:r w:rsidRPr="0097459F">
        <w:rPr>
          <w:rFonts w:cstheme="minorHAnsi"/>
        </w:rPr>
        <w:t xml:space="preserve"> taxa</w:t>
      </w:r>
      <w:r w:rsidR="00593694" w:rsidRPr="0097459F">
        <w:rPr>
          <w:rFonts w:cstheme="minorHAnsi"/>
        </w:rPr>
        <w:t>s</w:t>
      </w:r>
      <w:r w:rsidRPr="0097459F">
        <w:rPr>
          <w:rFonts w:cstheme="minorHAnsi"/>
        </w:rPr>
        <w:t xml:space="preserve"> de administração</w:t>
      </w:r>
      <w:bookmarkStart w:id="139" w:name="_Hlk49411865"/>
      <w:r w:rsidR="00B10265" w:rsidRPr="0097459F">
        <w:rPr>
          <w:rFonts w:cstheme="minorHAnsi"/>
        </w:rPr>
        <w:t>,</w:t>
      </w:r>
      <w:r w:rsidR="00465358" w:rsidRPr="0097459F">
        <w:rPr>
          <w:rFonts w:cstheme="minorHAnsi"/>
        </w:rPr>
        <w:t xml:space="preserve"> de</w:t>
      </w:r>
      <w:r w:rsidR="00593694" w:rsidRPr="0097459F">
        <w:rPr>
          <w:rFonts w:cstheme="minorHAnsi"/>
        </w:rPr>
        <w:t xml:space="preserve"> gestão</w:t>
      </w:r>
      <w:r w:rsidR="00465358" w:rsidRPr="0097459F">
        <w:rPr>
          <w:rFonts w:cstheme="minorHAnsi"/>
        </w:rPr>
        <w:t xml:space="preserve"> e máxima de distribuição</w:t>
      </w:r>
      <w:r w:rsidR="00857FDF" w:rsidRPr="0097459F">
        <w:rPr>
          <w:rFonts w:cstheme="minorHAnsi"/>
        </w:rPr>
        <w:t>, observado que, na hipótese de a taxa</w:t>
      </w:r>
      <w:r w:rsidR="00E61FFB" w:rsidRPr="0097459F">
        <w:rPr>
          <w:rFonts w:cstheme="minorHAnsi"/>
        </w:rPr>
        <w:t xml:space="preserve"> </w:t>
      </w:r>
      <w:r w:rsidR="00857FDF" w:rsidRPr="0097459F">
        <w:rPr>
          <w:rFonts w:cstheme="minorHAnsi"/>
        </w:rPr>
        <w:t xml:space="preserve">ser calculada na forma do art. </w:t>
      </w:r>
      <w:r w:rsidR="005A2B11" w:rsidRPr="0097459F">
        <w:rPr>
          <w:rFonts w:cstheme="minorHAnsi"/>
        </w:rPr>
        <w:t>48</w:t>
      </w:r>
      <w:r w:rsidR="00857FDF" w:rsidRPr="0097459F">
        <w:rPr>
          <w:rFonts w:cstheme="minorHAnsi"/>
        </w:rPr>
        <w:t xml:space="preserve">, § 1º, </w:t>
      </w:r>
      <w:r w:rsidR="005A2B11" w:rsidRPr="0097459F">
        <w:rPr>
          <w:rFonts w:cstheme="minorHAnsi"/>
        </w:rPr>
        <w:t>VII</w:t>
      </w:r>
      <w:r w:rsidR="00857FDF" w:rsidRPr="0097459F">
        <w:rPr>
          <w:rFonts w:cstheme="minorHAnsi"/>
        </w:rPr>
        <w:t xml:space="preserve">, “b”, a informação </w:t>
      </w:r>
      <w:r w:rsidR="0026287C" w:rsidRPr="0097459F">
        <w:rPr>
          <w:rFonts w:cstheme="minorHAnsi"/>
        </w:rPr>
        <w:t>deve consistir</w:t>
      </w:r>
      <w:r w:rsidR="00857FDF" w:rsidRPr="0097459F">
        <w:rPr>
          <w:rFonts w:cstheme="minorHAnsi"/>
        </w:rPr>
        <w:t xml:space="preserve"> </w:t>
      </w:r>
      <w:r w:rsidR="00F57D07" w:rsidRPr="0097459F">
        <w:rPr>
          <w:rFonts w:cstheme="minorHAnsi"/>
        </w:rPr>
        <w:t>n</w:t>
      </w:r>
      <w:r w:rsidR="00857FDF" w:rsidRPr="0097459F">
        <w:rPr>
          <w:rFonts w:cstheme="minorHAnsi"/>
        </w:rPr>
        <w:t>o percentual do patrim</w:t>
      </w:r>
      <w:r w:rsidR="0026287C" w:rsidRPr="0097459F">
        <w:rPr>
          <w:rFonts w:cstheme="minorHAnsi"/>
        </w:rPr>
        <w:t xml:space="preserve">ônio líquido correspondente </w:t>
      </w:r>
      <w:r w:rsidR="00C7413B" w:rsidRPr="0097459F">
        <w:rPr>
          <w:rFonts w:cstheme="minorHAnsi"/>
        </w:rPr>
        <w:t xml:space="preserve">ao valor da </w:t>
      </w:r>
      <w:r w:rsidR="00857FDF" w:rsidRPr="0097459F">
        <w:rPr>
          <w:rFonts w:cstheme="minorHAnsi"/>
        </w:rPr>
        <w:t>taxa debitada da classe</w:t>
      </w:r>
      <w:r w:rsidR="0031538B" w:rsidRPr="0097459F">
        <w:rPr>
          <w:rFonts w:cstheme="minorHAnsi"/>
        </w:rPr>
        <w:t>, na mesma data</w:t>
      </w:r>
      <w:r w:rsidRPr="0097459F">
        <w:rPr>
          <w:rFonts w:cstheme="minorHAnsi"/>
        </w:rPr>
        <w:t>;</w:t>
      </w:r>
      <w:bookmarkEnd w:id="139"/>
      <w:r w:rsidRPr="0097459F">
        <w:rPr>
          <w:rFonts w:cstheme="minorHAnsi"/>
        </w:rPr>
        <w:t xml:space="preserve"> e</w:t>
      </w:r>
    </w:p>
    <w:p w14:paraId="54CF86F4" w14:textId="2695D6AB" w:rsidR="00893D49" w:rsidRPr="0097459F" w:rsidRDefault="00893D49" w:rsidP="00C20BBD">
      <w:pPr>
        <w:pStyle w:val="Normalalteradora"/>
        <w:rPr>
          <w:rFonts w:cstheme="minorHAnsi"/>
        </w:rPr>
      </w:pPr>
      <w:r w:rsidRPr="0097459F">
        <w:rPr>
          <w:rFonts w:cstheme="minorHAnsi"/>
        </w:rPr>
        <w:t xml:space="preserve">V – destacar o público-alvo da classe </w:t>
      </w:r>
      <w:r w:rsidR="00B1389F" w:rsidRPr="0097459F">
        <w:rPr>
          <w:rFonts w:cstheme="minorHAnsi"/>
        </w:rPr>
        <w:t xml:space="preserve">ou subclasse </w:t>
      </w:r>
      <w:r w:rsidRPr="0097459F">
        <w:rPr>
          <w:rFonts w:cstheme="minorHAnsi"/>
        </w:rPr>
        <w:t>de cotas</w:t>
      </w:r>
      <w:r w:rsidR="00B1389F" w:rsidRPr="0097459F">
        <w:rPr>
          <w:rFonts w:cstheme="minorHAnsi"/>
        </w:rPr>
        <w:t xml:space="preserve"> que estiver sendo divulgada</w:t>
      </w:r>
      <w:r w:rsidRPr="0097459F">
        <w:rPr>
          <w:rFonts w:cstheme="minorHAnsi"/>
        </w:rPr>
        <w:t xml:space="preserve">, assim como as restrições quanto à captação, se houver, </w:t>
      </w:r>
      <w:r w:rsidR="00F57D07" w:rsidRPr="0097459F">
        <w:rPr>
          <w:rFonts w:cstheme="minorHAnsi"/>
        </w:rPr>
        <w:t>ressaltando</w:t>
      </w:r>
      <w:r w:rsidRPr="0097459F">
        <w:rPr>
          <w:rFonts w:cstheme="minorHAnsi"/>
        </w:rPr>
        <w:t xml:space="preserve"> eventual impossibilidade, permanente ou temporária, de acesso por parte do público em geral.</w:t>
      </w:r>
    </w:p>
    <w:p w14:paraId="38791782" w14:textId="78681199" w:rsidR="00893D49" w:rsidRPr="0097459F" w:rsidRDefault="4AF9F487" w:rsidP="00C20BBD">
      <w:pPr>
        <w:pStyle w:val="Normalalteradora"/>
      </w:pPr>
      <w:r w:rsidRPr="0097459F">
        <w:t xml:space="preserve">§ 1º  Caso o </w:t>
      </w:r>
      <w:r w:rsidR="396FD02D" w:rsidRPr="0097459F">
        <w:t xml:space="preserve">gestor </w:t>
      </w:r>
      <w:r w:rsidRPr="0097459F">
        <w:t>contrate os serviços de empresa de classificação de risco, todo o material de divulgação</w:t>
      </w:r>
      <w:r w:rsidR="4E4E64FE" w:rsidRPr="0097459F">
        <w:t xml:space="preserve"> deve apresentar</w:t>
      </w:r>
      <w:r w:rsidRPr="0097459F">
        <w:t xml:space="preserve"> o grau mais recente conferido à classe </w:t>
      </w:r>
      <w:r w:rsidR="2BE93389" w:rsidRPr="0097459F">
        <w:t xml:space="preserve">ou subclasse </w:t>
      </w:r>
      <w:r w:rsidRPr="0097459F">
        <w:t xml:space="preserve">de cotas a que se referir </w:t>
      </w:r>
      <w:r w:rsidR="1CCB6BBC" w:rsidRPr="0097459F">
        <w:t>o material</w:t>
      </w:r>
      <w:r w:rsidRPr="0097459F">
        <w:t>, bem como a indicação de como obter maiores informaç</w:t>
      </w:r>
      <w:r w:rsidR="000D0BFF" w:rsidRPr="0097459F">
        <w:t>ões sobre a avaliação efetuada.</w:t>
      </w:r>
    </w:p>
    <w:p w14:paraId="18879A0A" w14:textId="7BBEFD97" w:rsidR="00893D49" w:rsidRPr="0097459F" w:rsidRDefault="00893D49" w:rsidP="00C20BBD">
      <w:pPr>
        <w:pStyle w:val="Normalalteradora"/>
        <w:rPr>
          <w:rFonts w:cstheme="minorHAnsi"/>
        </w:rPr>
      </w:pPr>
      <w:r w:rsidRPr="0097459F">
        <w:rPr>
          <w:rFonts w:cstheme="minorHAnsi"/>
        </w:rPr>
        <w:t xml:space="preserve">§ 2º  Caso ocorra mudança significativa na política de investimentos, o </w:t>
      </w:r>
      <w:r w:rsidR="00B1389F" w:rsidRPr="0097459F">
        <w:rPr>
          <w:rFonts w:cstheme="minorHAnsi"/>
        </w:rPr>
        <w:t xml:space="preserve">material </w:t>
      </w:r>
      <w:r w:rsidRPr="0097459F">
        <w:rPr>
          <w:rFonts w:cstheme="minorHAnsi"/>
        </w:rPr>
        <w:t>pode divulgar, adicional e separadamente à divulgação referida no inciso II</w:t>
      </w:r>
      <w:r w:rsidR="009D3DF9" w:rsidRPr="0097459F">
        <w:rPr>
          <w:rFonts w:cstheme="minorHAnsi"/>
        </w:rPr>
        <w:t xml:space="preserve"> do </w:t>
      </w:r>
      <w:r w:rsidR="009D3DF9" w:rsidRPr="0097459F">
        <w:rPr>
          <w:rFonts w:cstheme="minorHAnsi"/>
          <w:b/>
        </w:rPr>
        <w:t>caput</w:t>
      </w:r>
      <w:r w:rsidRPr="0097459F">
        <w:rPr>
          <w:rFonts w:cstheme="minorHAnsi"/>
        </w:rPr>
        <w:t xml:space="preserve">, a rentabilidade relativa ao período posterior à mudança, informando as razões dessa dupla divulgação. </w:t>
      </w:r>
    </w:p>
    <w:p w14:paraId="252D33DF" w14:textId="3C8A835C"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57</w:t>
      </w:r>
      <w:r w:rsidRPr="0097459F">
        <w:rPr>
          <w:rFonts w:cstheme="minorHAnsi"/>
        </w:rPr>
        <w:t>.  A divulgação de rentabilidade em qualquer material de divulgação deve ser acompanhada de comparação, no mesmo período, com índice de mercado compatível com a política de investimento, se houver.</w:t>
      </w:r>
    </w:p>
    <w:p w14:paraId="3DFD2F46" w14:textId="2E4A307A" w:rsidR="00465358" w:rsidRPr="0097459F" w:rsidRDefault="00465358" w:rsidP="00C20BBD">
      <w:pPr>
        <w:pStyle w:val="Normalalteradora"/>
        <w:rPr>
          <w:rFonts w:cstheme="minorHAnsi"/>
        </w:rPr>
      </w:pPr>
      <w:r w:rsidRPr="0097459F">
        <w:rPr>
          <w:rFonts w:cstheme="minorHAnsi"/>
        </w:rPr>
        <w:t xml:space="preserve">Parágrafo único.  A comparação prevista no </w:t>
      </w:r>
      <w:r w:rsidRPr="0097459F">
        <w:rPr>
          <w:rFonts w:cstheme="minorHAnsi"/>
          <w:b/>
        </w:rPr>
        <w:t>caput</w:t>
      </w:r>
      <w:r w:rsidRPr="0097459F">
        <w:rPr>
          <w:rFonts w:cstheme="minorHAnsi"/>
        </w:rPr>
        <w:t xml:space="preserve"> é facultativa caso a classe seja exclusivamente destinada a investidores profissionais.</w:t>
      </w:r>
    </w:p>
    <w:p w14:paraId="522BBB5E" w14:textId="0A69912B"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58</w:t>
      </w:r>
      <w:r w:rsidRPr="0097459F">
        <w:rPr>
          <w:rFonts w:cstheme="minorHAnsi"/>
        </w:rPr>
        <w:t xml:space="preserve">.  No caso de divulgação de informações que tenham por base análise comparativa com </w:t>
      </w:r>
      <w:r w:rsidR="001C3AE5" w:rsidRPr="0097459F">
        <w:rPr>
          <w:rFonts w:cstheme="minorHAnsi"/>
        </w:rPr>
        <w:t xml:space="preserve">outras </w:t>
      </w:r>
      <w:r w:rsidRPr="0097459F">
        <w:rPr>
          <w:rFonts w:cstheme="minorHAnsi"/>
        </w:rPr>
        <w:t xml:space="preserve">classes </w:t>
      </w:r>
      <w:r w:rsidR="00DF4A22" w:rsidRPr="0097459F">
        <w:rPr>
          <w:rFonts w:cstheme="minorHAnsi"/>
        </w:rPr>
        <w:t xml:space="preserve">ou subclasses </w:t>
      </w:r>
      <w:r w:rsidRPr="0097459F">
        <w:rPr>
          <w:rFonts w:cstheme="minorHAnsi"/>
        </w:rPr>
        <w:t xml:space="preserve">de cotas, devem ser informados simultaneamente as datas, os períodos, a fonte das informações utilizadas, os critérios de comparação adotados e </w:t>
      </w:r>
      <w:r w:rsidR="00B10265" w:rsidRPr="0097459F">
        <w:rPr>
          <w:rFonts w:cstheme="minorHAnsi"/>
        </w:rPr>
        <w:t xml:space="preserve">eventuais outros elementos que </w:t>
      </w:r>
      <w:r w:rsidR="00B10265" w:rsidRPr="0097459F">
        <w:rPr>
          <w:rFonts w:cstheme="minorHAnsi"/>
        </w:rPr>
        <w:lastRenderedPageBreak/>
        <w:t>o prestador de serviços essenciais considere</w:t>
      </w:r>
      <w:r w:rsidRPr="0097459F">
        <w:rPr>
          <w:rFonts w:cstheme="minorHAnsi"/>
        </w:rPr>
        <w:t xml:space="preserve"> </w:t>
      </w:r>
      <w:r w:rsidR="00B10265" w:rsidRPr="0097459F">
        <w:rPr>
          <w:rFonts w:cstheme="minorHAnsi"/>
        </w:rPr>
        <w:t xml:space="preserve">relevantes </w:t>
      </w:r>
      <w:r w:rsidRPr="0097459F">
        <w:rPr>
          <w:rFonts w:cstheme="minorHAnsi"/>
        </w:rPr>
        <w:t>para possibilitar uma adequada avaliação dos dados comparativos divulgados.</w:t>
      </w:r>
    </w:p>
    <w:p w14:paraId="72BFD851" w14:textId="3268105C"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59</w:t>
      </w:r>
      <w:r w:rsidRPr="0097459F">
        <w:rPr>
          <w:rFonts w:cstheme="minorHAnsi"/>
        </w:rPr>
        <w:t>.  Sempre que o material de divulgação apresentar informações referentes à rentabilidade ocorrida em períodos anteriores, deve ser incluída advertência, com de</w:t>
      </w:r>
      <w:r w:rsidR="00492295" w:rsidRPr="0097459F">
        <w:rPr>
          <w:rFonts w:cstheme="minorHAnsi"/>
        </w:rPr>
        <w:t>staque, de que:</w:t>
      </w:r>
    </w:p>
    <w:p w14:paraId="31CC499B" w14:textId="77777777" w:rsidR="008B10AE" w:rsidRPr="0097459F" w:rsidRDefault="00893D49" w:rsidP="00C20BBD">
      <w:pPr>
        <w:pStyle w:val="Normalalteradora"/>
        <w:rPr>
          <w:rFonts w:cstheme="minorHAnsi"/>
        </w:rPr>
      </w:pPr>
      <w:r w:rsidRPr="0097459F">
        <w:rPr>
          <w:rFonts w:cstheme="minorHAnsi"/>
        </w:rPr>
        <w:t xml:space="preserve">I – a rentabilidade obtida no passado não representa garantia de resultados futuros; e </w:t>
      </w:r>
    </w:p>
    <w:p w14:paraId="0DF50E6B" w14:textId="3509EE43" w:rsidR="00AD5FA6" w:rsidRPr="0097459F" w:rsidRDefault="00893D49" w:rsidP="00C20BBD">
      <w:pPr>
        <w:pStyle w:val="Normalalteradora"/>
        <w:rPr>
          <w:rFonts w:cstheme="minorHAnsi"/>
        </w:rPr>
      </w:pPr>
      <w:r w:rsidRPr="0097459F">
        <w:rPr>
          <w:rFonts w:cstheme="minorHAnsi"/>
        </w:rPr>
        <w:t>II – os investimentos em fundos não são garantidos pelo administrador, pelo gestor</w:t>
      </w:r>
      <w:r w:rsidR="000A1479" w:rsidRPr="0097459F">
        <w:rPr>
          <w:rFonts w:cstheme="minorHAnsi"/>
        </w:rPr>
        <w:t>,</w:t>
      </w:r>
      <w:r w:rsidRPr="0097459F">
        <w:rPr>
          <w:rFonts w:cstheme="minorHAnsi"/>
        </w:rPr>
        <w:t xml:space="preserve"> por qualquer mecanismo de seguro ou pelo </w:t>
      </w:r>
      <w:r w:rsidR="00B10265" w:rsidRPr="0097459F">
        <w:rPr>
          <w:rFonts w:cstheme="minorHAnsi"/>
        </w:rPr>
        <w:t xml:space="preserve">Fundo Garantidor </w:t>
      </w:r>
      <w:r w:rsidRPr="0097459F">
        <w:rPr>
          <w:rFonts w:cstheme="minorHAnsi"/>
        </w:rPr>
        <w:t xml:space="preserve">de </w:t>
      </w:r>
      <w:r w:rsidR="00B10265" w:rsidRPr="0097459F">
        <w:rPr>
          <w:rFonts w:cstheme="minorHAnsi"/>
        </w:rPr>
        <w:t xml:space="preserve">Crédito </w:t>
      </w:r>
      <w:r w:rsidR="00DF4A22" w:rsidRPr="0097459F">
        <w:rPr>
          <w:rFonts w:cstheme="minorHAnsi"/>
        </w:rPr>
        <w:t>–</w:t>
      </w:r>
      <w:r w:rsidR="001C3AE5" w:rsidRPr="0097459F">
        <w:rPr>
          <w:rFonts w:cstheme="minorHAnsi"/>
        </w:rPr>
        <w:t xml:space="preserve"> FGC</w:t>
      </w:r>
      <w:r w:rsidRPr="0097459F">
        <w:rPr>
          <w:rFonts w:cstheme="minorHAnsi"/>
        </w:rPr>
        <w:t>.</w:t>
      </w:r>
    </w:p>
    <w:p w14:paraId="548BCEC5" w14:textId="7C99A2B8" w:rsidR="00F4578A" w:rsidRPr="0097459F" w:rsidRDefault="00F4578A" w:rsidP="00C20BBD">
      <w:pPr>
        <w:pStyle w:val="Normalalteradora"/>
      </w:pPr>
      <w:r w:rsidRPr="0097459F">
        <w:rPr>
          <w:rFonts w:cstheme="minorHAnsi"/>
        </w:rPr>
        <w:t xml:space="preserve">Art. </w:t>
      </w:r>
      <w:r w:rsidR="00B7720E" w:rsidRPr="0097459F">
        <w:rPr>
          <w:rFonts w:cstheme="minorHAnsi"/>
        </w:rPr>
        <w:t>60</w:t>
      </w:r>
      <w:r w:rsidRPr="0097459F">
        <w:rPr>
          <w:rFonts w:cstheme="minorHAnsi"/>
        </w:rPr>
        <w:t xml:space="preserve">.  </w:t>
      </w:r>
      <w:r w:rsidR="00556B2D" w:rsidRPr="0097459F">
        <w:t>O</w:t>
      </w:r>
      <w:r w:rsidRPr="0097459F">
        <w:t xml:space="preserve"> material de divulgação </w:t>
      </w:r>
      <w:r w:rsidR="00F4597C" w:rsidRPr="0097459F">
        <w:t>que contiver menção a fatores ambientais, sociais ou de governança</w:t>
      </w:r>
      <w:r w:rsidR="00F4597C" w:rsidRPr="0097459F" w:rsidDel="00F4597C">
        <w:t xml:space="preserve"> </w:t>
      </w:r>
      <w:r w:rsidRPr="0097459F">
        <w:t>deve informar, de modo objetivo, se o fundo ou a classe:</w:t>
      </w:r>
    </w:p>
    <w:p w14:paraId="128833D6" w14:textId="5EE9A01C" w:rsidR="00F4578A" w:rsidRPr="0097459F" w:rsidRDefault="00F4578A" w:rsidP="00C20BBD">
      <w:pPr>
        <w:pStyle w:val="Normalalteradora"/>
      </w:pPr>
      <w:r w:rsidRPr="0097459F">
        <w:t xml:space="preserve">I – possui uma política de investimentos que busca originar </w:t>
      </w:r>
      <w:r w:rsidR="00F4597C" w:rsidRPr="0097459F">
        <w:t xml:space="preserve">benefício </w:t>
      </w:r>
      <w:r w:rsidRPr="0097459F">
        <w:t>socioambienta</w:t>
      </w:r>
      <w:r w:rsidR="00EB6EB4" w:rsidRPr="0097459F">
        <w:t>l</w:t>
      </w:r>
      <w:r w:rsidRPr="0097459F">
        <w:t>; ou</w:t>
      </w:r>
    </w:p>
    <w:p w14:paraId="590644E6" w14:textId="32141495" w:rsidR="00F4578A" w:rsidRPr="0097459F" w:rsidRDefault="00F4578A" w:rsidP="00C20BBD">
      <w:pPr>
        <w:pStyle w:val="Normalalteradora"/>
      </w:pPr>
      <w:r w:rsidRPr="0097459F">
        <w:t xml:space="preserve">II – integra os fatores socioambientais à </w:t>
      </w:r>
      <w:r w:rsidR="00EB6EB4" w:rsidRPr="0097459F">
        <w:t>política de investimentos</w:t>
      </w:r>
      <w:r w:rsidRPr="0097459F">
        <w:t>, sem</w:t>
      </w:r>
      <w:r w:rsidR="4212B93B" w:rsidRPr="0097459F">
        <w:t>,</w:t>
      </w:r>
      <w:r w:rsidR="00C402F4" w:rsidRPr="0097459F">
        <w:t xml:space="preserve"> </w:t>
      </w:r>
      <w:r w:rsidRPr="0097459F">
        <w:t>contudo</w:t>
      </w:r>
      <w:r w:rsidR="1282AF15" w:rsidRPr="0097459F">
        <w:t>,</w:t>
      </w:r>
      <w:r w:rsidRPr="0097459F">
        <w:t xml:space="preserve"> buscar a originação de </w:t>
      </w:r>
      <w:r w:rsidR="00F4597C" w:rsidRPr="0097459F">
        <w:t xml:space="preserve">benefício </w:t>
      </w:r>
      <w:r w:rsidRPr="0097459F">
        <w:t>socioambienta</w:t>
      </w:r>
      <w:r w:rsidR="000D35ED" w:rsidRPr="0097459F">
        <w:t>l</w:t>
      </w:r>
      <w:r w:rsidRPr="0097459F">
        <w:t>.</w:t>
      </w:r>
    </w:p>
    <w:p w14:paraId="7B243C5D" w14:textId="50F4B8FC" w:rsidR="00893D49" w:rsidRPr="0097459F" w:rsidRDefault="00893D49" w:rsidP="00C20BBD">
      <w:pPr>
        <w:pStyle w:val="Captulo"/>
        <w:rPr>
          <w:rFonts w:asciiTheme="minorHAnsi" w:hAnsiTheme="minorHAnsi"/>
        </w:rPr>
      </w:pPr>
      <w:bookmarkStart w:id="140" w:name="_Toc53594446"/>
      <w:bookmarkStart w:id="141" w:name="_Toc53595471"/>
      <w:bookmarkStart w:id="142" w:name="_Toc53594198"/>
      <w:bookmarkStart w:id="143" w:name="_Toc114818979"/>
      <w:bookmarkStart w:id="144" w:name="_Toc57836206"/>
      <w:bookmarkStart w:id="145" w:name="_Toc126226307"/>
      <w:r w:rsidRPr="0097459F">
        <w:rPr>
          <w:rFonts w:asciiTheme="minorHAnsi" w:hAnsiTheme="minorHAnsi"/>
        </w:rPr>
        <w:t>CAPÍTULO VI – DIVULGAÇÃO DE INFORMAÇÕES</w:t>
      </w:r>
      <w:bookmarkEnd w:id="140"/>
      <w:bookmarkEnd w:id="141"/>
      <w:bookmarkEnd w:id="142"/>
      <w:bookmarkEnd w:id="143"/>
      <w:bookmarkEnd w:id="144"/>
      <w:bookmarkEnd w:id="145"/>
    </w:p>
    <w:p w14:paraId="382CB04D" w14:textId="77777777" w:rsidR="00893D49" w:rsidRPr="0097459F" w:rsidRDefault="00893D49" w:rsidP="00C20BBD">
      <w:pPr>
        <w:pStyle w:val="Seo"/>
        <w:rPr>
          <w:rFonts w:asciiTheme="minorHAnsi" w:hAnsiTheme="minorHAnsi"/>
          <w:b w:val="0"/>
        </w:rPr>
      </w:pPr>
      <w:bookmarkStart w:id="146" w:name="_Toc53594447"/>
      <w:bookmarkStart w:id="147" w:name="_Toc53595472"/>
      <w:bookmarkStart w:id="148" w:name="_Toc53594199"/>
      <w:bookmarkStart w:id="149" w:name="_Toc114818980"/>
      <w:bookmarkStart w:id="150" w:name="_Toc57836207"/>
      <w:bookmarkStart w:id="151" w:name="_Toc126226308"/>
      <w:r w:rsidRPr="0097459F">
        <w:rPr>
          <w:rFonts w:asciiTheme="minorHAnsi" w:hAnsiTheme="minorHAnsi"/>
        </w:rPr>
        <w:t>Seção I – Disposições Gerais</w:t>
      </w:r>
      <w:bookmarkEnd w:id="146"/>
      <w:bookmarkEnd w:id="147"/>
      <w:bookmarkEnd w:id="148"/>
      <w:bookmarkEnd w:id="149"/>
      <w:bookmarkEnd w:id="150"/>
      <w:bookmarkEnd w:id="151"/>
    </w:p>
    <w:p w14:paraId="66D907E6" w14:textId="3BE78176" w:rsidR="007830FB" w:rsidRPr="0097459F" w:rsidRDefault="007830FB" w:rsidP="00C20BBD">
      <w:pPr>
        <w:pStyle w:val="Normalalteradora"/>
      </w:pPr>
      <w:r w:rsidRPr="0097459F">
        <w:t xml:space="preserve">Art. </w:t>
      </w:r>
      <w:r w:rsidR="00B7720E" w:rsidRPr="0097459F">
        <w:t>61</w:t>
      </w:r>
      <w:r w:rsidRPr="0097459F">
        <w:t xml:space="preserve">.  As informações periódicas e eventuais </w:t>
      </w:r>
      <w:r w:rsidR="00A02E6B" w:rsidRPr="0097459F">
        <w:t>do fundo</w:t>
      </w:r>
      <w:r w:rsidRPr="0097459F">
        <w:t xml:space="preserve"> devem ser divulgadas na página do </w:t>
      </w:r>
      <w:r w:rsidR="00B10265" w:rsidRPr="0097459F">
        <w:t>fundo, d</w:t>
      </w:r>
      <w:r w:rsidR="05A003BA" w:rsidRPr="0097459F">
        <w:t>o</w:t>
      </w:r>
      <w:r w:rsidR="00B10265" w:rsidRPr="0097459F">
        <w:t xml:space="preserve"> administrador ou d</w:t>
      </w:r>
      <w:r w:rsidR="3CA8D539" w:rsidRPr="0097459F">
        <w:t>o</w:t>
      </w:r>
      <w:r w:rsidR="00B10265" w:rsidRPr="0097459F">
        <w:t xml:space="preserve"> gestor, conforme previsto no regulamento,</w:t>
      </w:r>
      <w:r w:rsidRPr="0097459F">
        <w:t xml:space="preserve"> na rede mundial de computadores, em lugar de destaque e disponível para acesso gratuito do público em geral, assim como mantidas disponíveis para os cotistas.</w:t>
      </w:r>
    </w:p>
    <w:p w14:paraId="5CF183E4" w14:textId="6EA7E3DB" w:rsidR="002024A8" w:rsidRPr="0097459F" w:rsidRDefault="002024A8" w:rsidP="00C20BBD">
      <w:pPr>
        <w:pStyle w:val="Normalalteradora"/>
        <w:rPr>
          <w:rFonts w:cstheme="minorHAnsi"/>
        </w:rPr>
      </w:pPr>
      <w:r w:rsidRPr="0097459F">
        <w:rPr>
          <w:rFonts w:cstheme="minorHAnsi"/>
        </w:rPr>
        <w:t xml:space="preserve">Art. </w:t>
      </w:r>
      <w:r w:rsidR="00B7720E" w:rsidRPr="0097459F">
        <w:rPr>
          <w:rFonts w:cstheme="minorHAnsi"/>
        </w:rPr>
        <w:t>62</w:t>
      </w:r>
      <w:r w:rsidRPr="0097459F">
        <w:rPr>
          <w:rFonts w:cstheme="minorHAnsi"/>
        </w:rPr>
        <w:t xml:space="preserve">.  A Superintendência competente pode determinar que as informações periódicas e eventuais </w:t>
      </w:r>
      <w:r w:rsidR="00DB2521" w:rsidRPr="0097459F">
        <w:rPr>
          <w:rFonts w:cstheme="minorHAnsi"/>
        </w:rPr>
        <w:t>e</w:t>
      </w:r>
      <w:r w:rsidRPr="0097459F">
        <w:rPr>
          <w:rFonts w:cstheme="minorHAnsi"/>
        </w:rPr>
        <w:t xml:space="preserve"> aquelas relativas à distribuição de cotas sejam apresentadas por meio eletrônico ou da página da CVM na rede mundial de computadores, de acordo com a estrutura de banco de dados e programas especificados pela Superintendência.</w:t>
      </w:r>
    </w:p>
    <w:p w14:paraId="779B4871" w14:textId="0D562849" w:rsidR="00893D49" w:rsidRPr="0097459F" w:rsidRDefault="00893D49" w:rsidP="00C20BBD">
      <w:pPr>
        <w:autoSpaceDE w:val="0"/>
        <w:autoSpaceDN w:val="0"/>
        <w:adjustRightInd w:val="0"/>
        <w:spacing w:before="120" w:after="120" w:line="312" w:lineRule="auto"/>
        <w:ind w:firstLine="567"/>
        <w:jc w:val="both"/>
        <w:rPr>
          <w:rFonts w:cstheme="minorHAnsi"/>
          <w:sz w:val="24"/>
          <w:szCs w:val="24"/>
        </w:rPr>
      </w:pPr>
      <w:r w:rsidRPr="0097459F">
        <w:rPr>
          <w:rFonts w:asciiTheme="minorHAnsi" w:hAnsiTheme="minorHAnsi"/>
          <w:sz w:val="24"/>
          <w:szCs w:val="24"/>
        </w:rPr>
        <w:t xml:space="preserve">Art. </w:t>
      </w:r>
      <w:r w:rsidR="00B7720E" w:rsidRPr="0097459F">
        <w:rPr>
          <w:rFonts w:asciiTheme="minorHAnsi" w:hAnsiTheme="minorHAnsi"/>
          <w:sz w:val="24"/>
          <w:szCs w:val="24"/>
        </w:rPr>
        <w:t>63</w:t>
      </w:r>
      <w:r w:rsidRPr="0097459F">
        <w:rPr>
          <w:rFonts w:asciiTheme="minorHAnsi" w:hAnsiTheme="minorHAnsi"/>
          <w:sz w:val="24"/>
          <w:szCs w:val="24"/>
        </w:rPr>
        <w:t xml:space="preserve">.  Caso </w:t>
      </w:r>
      <w:r w:rsidR="001C3AE5" w:rsidRPr="0097459F">
        <w:rPr>
          <w:rFonts w:asciiTheme="minorHAnsi" w:eastAsia="Times New Roman" w:hAnsiTheme="minorHAnsi" w:cstheme="minorHAnsi"/>
          <w:sz w:val="24"/>
          <w:szCs w:val="24"/>
          <w:lang w:eastAsia="pt-BR"/>
        </w:rPr>
        <w:t>sejam divulgadas</w:t>
      </w:r>
      <w:r w:rsidRPr="0097459F">
        <w:rPr>
          <w:rFonts w:asciiTheme="minorHAnsi" w:hAnsiTheme="minorHAnsi"/>
          <w:sz w:val="24"/>
          <w:szCs w:val="24"/>
        </w:rPr>
        <w:t xml:space="preserve"> a terceiros informações referentes à composição da carteira, a mesma informação deve ser colocada à disposição dos cotistas na mesma periodicidade, ressalvadas as hipóteses de divulgação de informações aos prestadores de serviços, necessárias para a execução de suas atividades, bem como aos órgãos reguladores, </w:t>
      </w:r>
      <w:r w:rsidR="000A1479" w:rsidRPr="0097459F">
        <w:rPr>
          <w:rFonts w:asciiTheme="minorHAnsi" w:eastAsia="Times New Roman" w:hAnsiTheme="minorHAnsi" w:cstheme="minorHAnsi"/>
          <w:sz w:val="24"/>
          <w:szCs w:val="24"/>
          <w:lang w:eastAsia="pt-BR"/>
        </w:rPr>
        <w:t>entidades autorreguladoras</w:t>
      </w:r>
      <w:r w:rsidR="000A1479" w:rsidRPr="0097459F">
        <w:rPr>
          <w:rFonts w:asciiTheme="minorHAnsi" w:hAnsiTheme="minorHAnsi"/>
          <w:sz w:val="24"/>
          <w:szCs w:val="24"/>
        </w:rPr>
        <w:t xml:space="preserve"> </w:t>
      </w:r>
      <w:r w:rsidRPr="0097459F">
        <w:rPr>
          <w:rFonts w:asciiTheme="minorHAnsi" w:hAnsiTheme="minorHAnsi"/>
          <w:sz w:val="24"/>
          <w:szCs w:val="24"/>
        </w:rPr>
        <w:t xml:space="preserve">e entidades de classe, quanto </w:t>
      </w:r>
      <w:r w:rsidRPr="0097459F">
        <w:rPr>
          <w:rFonts w:asciiTheme="minorHAnsi" w:hAnsiTheme="minorHAnsi"/>
          <w:sz w:val="24"/>
          <w:szCs w:val="24"/>
        </w:rPr>
        <w:lastRenderedPageBreak/>
        <w:t>aos seus associados, no atendimento a solicitações legais, regulamentares e estatutárias por eles formuladas.</w:t>
      </w:r>
    </w:p>
    <w:p w14:paraId="2BE5A5F7" w14:textId="3E9F0FCA" w:rsidR="00893D49" w:rsidRPr="0097459F" w:rsidRDefault="00893D49" w:rsidP="00C20BBD">
      <w:pPr>
        <w:pStyle w:val="Seo"/>
        <w:rPr>
          <w:rFonts w:asciiTheme="minorHAnsi" w:hAnsiTheme="minorHAnsi" w:cstheme="minorHAnsi"/>
        </w:rPr>
      </w:pPr>
      <w:bookmarkStart w:id="152" w:name="_Toc53594448"/>
      <w:bookmarkStart w:id="153" w:name="_Toc53595473"/>
      <w:bookmarkStart w:id="154" w:name="_Toc53594200"/>
      <w:bookmarkStart w:id="155" w:name="_Toc114818981"/>
      <w:bookmarkStart w:id="156" w:name="_Toc57836208"/>
      <w:bookmarkStart w:id="157" w:name="_Toc126226309"/>
      <w:r w:rsidRPr="0097459F">
        <w:rPr>
          <w:rFonts w:asciiTheme="minorHAnsi" w:hAnsiTheme="minorHAnsi" w:cstheme="minorHAnsi"/>
        </w:rPr>
        <w:t>Seção II –</w:t>
      </w:r>
      <w:r w:rsidR="0074032E" w:rsidRPr="0097459F">
        <w:rPr>
          <w:rFonts w:asciiTheme="minorHAnsi" w:hAnsiTheme="minorHAnsi" w:cstheme="minorHAnsi"/>
        </w:rPr>
        <w:t xml:space="preserve"> </w:t>
      </w:r>
      <w:r w:rsidRPr="0097459F">
        <w:rPr>
          <w:rFonts w:asciiTheme="minorHAnsi" w:hAnsiTheme="minorHAnsi" w:cstheme="minorHAnsi"/>
        </w:rPr>
        <w:t>Fatos Relevantes</w:t>
      </w:r>
      <w:bookmarkEnd w:id="152"/>
      <w:bookmarkEnd w:id="153"/>
      <w:bookmarkEnd w:id="154"/>
      <w:bookmarkEnd w:id="155"/>
      <w:bookmarkEnd w:id="156"/>
      <w:bookmarkEnd w:id="157"/>
    </w:p>
    <w:p w14:paraId="241CBC10" w14:textId="5B71FA23"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64</w:t>
      </w:r>
      <w:r w:rsidRPr="0097459F">
        <w:rPr>
          <w:rFonts w:cstheme="minorHAnsi"/>
        </w:rPr>
        <w:t xml:space="preserve">.  O </w:t>
      </w:r>
      <w:r w:rsidRPr="0097459F">
        <w:t xml:space="preserve">administrador </w:t>
      </w:r>
      <w:r w:rsidRPr="0097459F">
        <w:rPr>
          <w:rFonts w:cstheme="minorHAnsi"/>
        </w:rPr>
        <w:t xml:space="preserve">é obrigado a divulgar qualquer fato relevante ocorrido ou relacionado ao funcionamento </w:t>
      </w:r>
      <w:r w:rsidR="00C959D1" w:rsidRPr="0097459F">
        <w:rPr>
          <w:rFonts w:cstheme="minorHAnsi"/>
        </w:rPr>
        <w:t>do fundo</w:t>
      </w:r>
      <w:r w:rsidR="00106F12" w:rsidRPr="0097459F">
        <w:rPr>
          <w:rFonts w:cstheme="minorHAnsi"/>
        </w:rPr>
        <w:t xml:space="preserve">, </w:t>
      </w:r>
      <w:r w:rsidR="001C3AE5" w:rsidRPr="0097459F">
        <w:rPr>
          <w:rFonts w:cstheme="minorHAnsi"/>
        </w:rPr>
        <w:t>da classe</w:t>
      </w:r>
      <w:r w:rsidRPr="0097459F">
        <w:rPr>
          <w:rFonts w:cstheme="minorHAnsi"/>
        </w:rPr>
        <w:t xml:space="preserve"> ou aos ativos integrantes da carteira</w:t>
      </w:r>
      <w:r w:rsidR="00DB479C" w:rsidRPr="0097459F">
        <w:rPr>
          <w:rFonts w:cstheme="minorHAnsi"/>
        </w:rPr>
        <w:t xml:space="preserve">, </w:t>
      </w:r>
      <w:r w:rsidR="000A1A2D" w:rsidRPr="0097459F">
        <w:rPr>
          <w:rFonts w:cstheme="minorHAnsi"/>
        </w:rPr>
        <w:t xml:space="preserve">assim que dele tiver conhecimento, </w:t>
      </w:r>
      <w:r w:rsidR="00106F12" w:rsidRPr="0097459F">
        <w:rPr>
          <w:rFonts w:cstheme="minorHAnsi"/>
        </w:rPr>
        <w:t>observado que é</w:t>
      </w:r>
      <w:r w:rsidR="00DB479C" w:rsidRPr="0097459F">
        <w:rPr>
          <w:rFonts w:cstheme="minorHAnsi"/>
        </w:rPr>
        <w:t xml:space="preserve"> responsabilidade do</w:t>
      </w:r>
      <w:r w:rsidR="00FE182F" w:rsidRPr="0097459F">
        <w:rPr>
          <w:rFonts w:cstheme="minorHAnsi"/>
        </w:rPr>
        <w:t>s demais prestadores de serviços</w:t>
      </w:r>
      <w:r w:rsidR="00DB479C" w:rsidRPr="0097459F">
        <w:rPr>
          <w:rFonts w:cstheme="minorHAnsi"/>
        </w:rPr>
        <w:t xml:space="preserve"> </w:t>
      </w:r>
      <w:r w:rsidR="00FE182F" w:rsidRPr="0097459F">
        <w:rPr>
          <w:rFonts w:cstheme="minorHAnsi"/>
        </w:rPr>
        <w:t xml:space="preserve">informar </w:t>
      </w:r>
      <w:r w:rsidR="000A1A2D" w:rsidRPr="0097459F">
        <w:rPr>
          <w:rFonts w:cstheme="minorHAnsi"/>
        </w:rPr>
        <w:t xml:space="preserve">imediatamente </w:t>
      </w:r>
      <w:r w:rsidR="00FE182F" w:rsidRPr="0097459F">
        <w:rPr>
          <w:rFonts w:cstheme="minorHAnsi"/>
        </w:rPr>
        <w:t xml:space="preserve">ao administrador sobre os fatos relevantes de </w:t>
      </w:r>
      <w:r w:rsidR="00437129" w:rsidRPr="0097459F">
        <w:rPr>
          <w:rFonts w:cstheme="minorHAnsi"/>
        </w:rPr>
        <w:t>que venha</w:t>
      </w:r>
      <w:r w:rsidR="00FE182F" w:rsidRPr="0097459F">
        <w:rPr>
          <w:rFonts w:cstheme="minorHAnsi"/>
        </w:rPr>
        <w:t>m</w:t>
      </w:r>
      <w:r w:rsidR="00437129" w:rsidRPr="0097459F">
        <w:rPr>
          <w:rFonts w:cstheme="minorHAnsi"/>
        </w:rPr>
        <w:t xml:space="preserve"> a ter conhecimento</w:t>
      </w:r>
      <w:r w:rsidRPr="0097459F">
        <w:rPr>
          <w:rFonts w:cstheme="minorHAnsi"/>
        </w:rPr>
        <w:t>.</w:t>
      </w:r>
    </w:p>
    <w:p w14:paraId="7D6788A7" w14:textId="4953A20F" w:rsidR="00893D49" w:rsidRPr="0097459F" w:rsidRDefault="00893D49" w:rsidP="00C20BBD">
      <w:pPr>
        <w:pStyle w:val="Normalalteradora"/>
        <w:rPr>
          <w:rFonts w:cstheme="minorHAnsi"/>
        </w:rPr>
      </w:pPr>
      <w:r w:rsidRPr="0097459F">
        <w:rPr>
          <w:rFonts w:cstheme="minorHAnsi"/>
        </w:rPr>
        <w:t>§ 1º  Considera-se relevante qualquer fato que possa influir de modo ponderável no valor das cotas ou na decisão dos investidores de adquirir, resgatar, alienar ou manter cotas.</w:t>
      </w:r>
    </w:p>
    <w:p w14:paraId="07F25C84" w14:textId="27ECB645" w:rsidR="00893D49" w:rsidRPr="0097459F" w:rsidRDefault="00893D49" w:rsidP="00C20BBD">
      <w:pPr>
        <w:pStyle w:val="Normalalteradora"/>
      </w:pPr>
      <w:r w:rsidRPr="0097459F">
        <w:t xml:space="preserve">§ 2º  Qualquer fato relevante ocorrido ou relacionado ao funcionamento </w:t>
      </w:r>
      <w:r w:rsidR="00C959D1" w:rsidRPr="0097459F">
        <w:t>do fundo</w:t>
      </w:r>
      <w:r w:rsidR="00106F12" w:rsidRPr="0097459F">
        <w:t xml:space="preserve">, </w:t>
      </w:r>
      <w:r w:rsidR="004A7EC5" w:rsidRPr="0097459F">
        <w:t>da classe</w:t>
      </w:r>
      <w:r w:rsidRPr="0097459F">
        <w:t xml:space="preserve"> ou aos ativos da carteira deve ser:</w:t>
      </w:r>
    </w:p>
    <w:p w14:paraId="77D3F284" w14:textId="1E0E9B6E" w:rsidR="00893D49" w:rsidRPr="0097459F" w:rsidRDefault="00893D49" w:rsidP="00C20BBD">
      <w:pPr>
        <w:pStyle w:val="Normalalteradora"/>
        <w:rPr>
          <w:rFonts w:cstheme="minorHAnsi"/>
        </w:rPr>
      </w:pPr>
      <w:r w:rsidRPr="0097459F">
        <w:rPr>
          <w:rFonts w:cstheme="minorHAnsi"/>
        </w:rPr>
        <w:t xml:space="preserve">I – comunicado a todos os cotistas </w:t>
      </w:r>
      <w:r w:rsidR="004A7EC5" w:rsidRPr="0097459F">
        <w:rPr>
          <w:rFonts w:cstheme="minorHAnsi"/>
        </w:rPr>
        <w:t>da classe afetada</w:t>
      </w:r>
      <w:r w:rsidRPr="0097459F">
        <w:rPr>
          <w:rFonts w:cstheme="minorHAnsi"/>
        </w:rPr>
        <w:t>;</w:t>
      </w:r>
    </w:p>
    <w:p w14:paraId="190BA57F" w14:textId="1989EA2B" w:rsidR="00893D49" w:rsidRPr="0097459F" w:rsidRDefault="00893D49" w:rsidP="00C20BBD">
      <w:pPr>
        <w:pStyle w:val="Normalalteradora"/>
        <w:rPr>
          <w:rFonts w:cstheme="minorHAnsi"/>
        </w:rPr>
      </w:pPr>
      <w:r w:rsidRPr="0097459F">
        <w:rPr>
          <w:rFonts w:cstheme="minorHAnsi"/>
        </w:rPr>
        <w:t>II – informado à</w:t>
      </w:r>
      <w:r w:rsidR="00437129" w:rsidRPr="0097459F">
        <w:rPr>
          <w:rFonts w:cstheme="minorHAnsi"/>
        </w:rPr>
        <w:t>s</w:t>
      </w:r>
      <w:r w:rsidRPr="0097459F">
        <w:rPr>
          <w:rFonts w:cstheme="minorHAnsi"/>
        </w:rPr>
        <w:t xml:space="preserve"> entidade</w:t>
      </w:r>
      <w:r w:rsidR="00437129" w:rsidRPr="0097459F">
        <w:rPr>
          <w:rFonts w:cstheme="minorHAnsi"/>
        </w:rPr>
        <w:t>s</w:t>
      </w:r>
      <w:r w:rsidRPr="0097459F">
        <w:rPr>
          <w:rFonts w:cstheme="minorHAnsi"/>
        </w:rPr>
        <w:t xml:space="preserve"> administradora</w:t>
      </w:r>
      <w:r w:rsidR="00437129" w:rsidRPr="0097459F">
        <w:rPr>
          <w:rFonts w:cstheme="minorHAnsi"/>
        </w:rPr>
        <w:t>s</w:t>
      </w:r>
      <w:r w:rsidRPr="0097459F">
        <w:rPr>
          <w:rFonts w:cstheme="minorHAnsi"/>
        </w:rPr>
        <w:t xml:space="preserve"> de mercado</w:t>
      </w:r>
      <w:r w:rsidR="002660F8" w:rsidRPr="0097459F">
        <w:rPr>
          <w:rFonts w:cstheme="minorHAnsi"/>
        </w:rPr>
        <w:t>s</w:t>
      </w:r>
      <w:r w:rsidRPr="0097459F">
        <w:rPr>
          <w:rFonts w:cstheme="minorHAnsi"/>
        </w:rPr>
        <w:t xml:space="preserve"> organizado</w:t>
      </w:r>
      <w:r w:rsidR="002660F8" w:rsidRPr="0097459F">
        <w:rPr>
          <w:rFonts w:cstheme="minorHAnsi"/>
        </w:rPr>
        <w:t>s</w:t>
      </w:r>
      <w:r w:rsidRPr="0097459F">
        <w:rPr>
          <w:rFonts w:cstheme="minorHAnsi"/>
        </w:rPr>
        <w:t xml:space="preserve"> onde as cotas estejam admitidas à negociação</w:t>
      </w:r>
      <w:r w:rsidR="004A7EC5" w:rsidRPr="0097459F">
        <w:rPr>
          <w:rFonts w:cstheme="minorHAnsi"/>
        </w:rPr>
        <w:t>, se for o caso;</w:t>
      </w:r>
    </w:p>
    <w:p w14:paraId="6ED8B035" w14:textId="4473E98C" w:rsidR="00893D49" w:rsidRPr="0097459F" w:rsidRDefault="00893D49" w:rsidP="00C20BBD">
      <w:pPr>
        <w:pStyle w:val="Normalalteradora"/>
        <w:rPr>
          <w:rFonts w:cstheme="minorHAnsi"/>
        </w:rPr>
      </w:pPr>
      <w:r w:rsidRPr="0097459F">
        <w:rPr>
          <w:rFonts w:cstheme="minorHAnsi"/>
        </w:rPr>
        <w:t>III – divulgado por meio da página da CVM na rede mundial de computadores; e</w:t>
      </w:r>
    </w:p>
    <w:p w14:paraId="48EA33A6" w14:textId="2C4BC5E1" w:rsidR="00B837F0" w:rsidRPr="0097459F" w:rsidRDefault="00893D49" w:rsidP="00C20BBD">
      <w:pPr>
        <w:pStyle w:val="Normalalteradora"/>
        <w:rPr>
          <w:rFonts w:cstheme="minorHAnsi"/>
        </w:rPr>
      </w:pPr>
      <w:r w:rsidRPr="0097459F">
        <w:rPr>
          <w:rFonts w:cstheme="minorHAnsi"/>
        </w:rPr>
        <w:t>IV – mantido nas páginas do</w:t>
      </w:r>
      <w:r w:rsidR="002660F8" w:rsidRPr="0097459F">
        <w:rPr>
          <w:rFonts w:cstheme="minorHAnsi"/>
        </w:rPr>
        <w:t>s prestadores de serviço</w:t>
      </w:r>
      <w:r w:rsidR="00EE4B80" w:rsidRPr="0097459F">
        <w:rPr>
          <w:rFonts w:cstheme="minorHAnsi"/>
        </w:rPr>
        <w:t>s</w:t>
      </w:r>
      <w:r w:rsidR="002660F8" w:rsidRPr="0097459F">
        <w:rPr>
          <w:rFonts w:cstheme="minorHAnsi"/>
        </w:rPr>
        <w:t xml:space="preserve"> essenciais</w:t>
      </w:r>
      <w:r w:rsidR="00EE4B80" w:rsidRPr="0097459F">
        <w:rPr>
          <w:rFonts w:cstheme="minorHAnsi"/>
        </w:rPr>
        <w:t xml:space="preserve"> </w:t>
      </w:r>
      <w:r w:rsidRPr="0097459F">
        <w:rPr>
          <w:rFonts w:cstheme="minorHAnsi"/>
        </w:rPr>
        <w:t>e</w:t>
      </w:r>
      <w:r w:rsidR="00E922C2" w:rsidRPr="0097459F">
        <w:rPr>
          <w:rFonts w:cstheme="minorHAnsi"/>
        </w:rPr>
        <w:t>, ao menos enquanto a distribuição estiver em curso,</w:t>
      </w:r>
      <w:r w:rsidRPr="0097459F">
        <w:rPr>
          <w:rFonts w:cstheme="minorHAnsi"/>
        </w:rPr>
        <w:t xml:space="preserve"> do distribuidor de cotas na rede mundial de computadores.</w:t>
      </w:r>
    </w:p>
    <w:p w14:paraId="23EA344E" w14:textId="78868D99" w:rsidR="00B837F0" w:rsidRPr="0097459F" w:rsidRDefault="00B837F0" w:rsidP="00C20BBD">
      <w:pPr>
        <w:pStyle w:val="Normalalteradora"/>
      </w:pPr>
      <w:r w:rsidRPr="0097459F">
        <w:t xml:space="preserve">§ </w:t>
      </w:r>
      <w:r w:rsidR="00B7720E" w:rsidRPr="0097459F">
        <w:t xml:space="preserve">3º </w:t>
      </w:r>
      <w:r w:rsidR="0074032E" w:rsidRPr="0097459F">
        <w:t xml:space="preserve"> </w:t>
      </w:r>
      <w:r w:rsidRPr="0097459F">
        <w:t xml:space="preserve">São exemplos </w:t>
      </w:r>
      <w:r w:rsidR="008632EB" w:rsidRPr="0097459F">
        <w:t>de</w:t>
      </w:r>
      <w:r w:rsidRPr="0097459F">
        <w:t xml:space="preserve"> fatos </w:t>
      </w:r>
      <w:r w:rsidR="00106F12" w:rsidRPr="0097459F">
        <w:t xml:space="preserve">potencialmente </w:t>
      </w:r>
      <w:r w:rsidRPr="0097459F">
        <w:t>relevantes:</w:t>
      </w:r>
    </w:p>
    <w:p w14:paraId="6981D8C4" w14:textId="7B85191C" w:rsidR="00B837F0" w:rsidRPr="0097459F" w:rsidRDefault="00B837F0" w:rsidP="00C20BBD">
      <w:pPr>
        <w:pStyle w:val="Normalalteradora"/>
      </w:pPr>
      <w:r w:rsidRPr="0097459F">
        <w:t>I – alteração no tratamento tributário conferido ao fundo, à classe ou aos cotistas;</w:t>
      </w:r>
    </w:p>
    <w:p w14:paraId="5865813C" w14:textId="5EF15125" w:rsidR="00B837F0" w:rsidRPr="0097459F" w:rsidRDefault="00B7720E" w:rsidP="00C20BBD">
      <w:pPr>
        <w:pStyle w:val="Normalalteradora"/>
      </w:pPr>
      <w:r w:rsidRPr="0097459F">
        <w:t>II</w:t>
      </w:r>
      <w:r w:rsidR="00B837F0" w:rsidRPr="0097459F">
        <w:t>– contratação de formador de mercado e o término da prestação desse serviço;</w:t>
      </w:r>
    </w:p>
    <w:p w14:paraId="6E0DC771" w14:textId="56397E42" w:rsidR="008632EB" w:rsidRPr="0097459F" w:rsidRDefault="00B7720E" w:rsidP="00C20BBD">
      <w:pPr>
        <w:pStyle w:val="Normalalteradora"/>
      </w:pPr>
      <w:r w:rsidRPr="0097459F">
        <w:t xml:space="preserve">III </w:t>
      </w:r>
      <w:r w:rsidR="0074032E" w:rsidRPr="0097459F">
        <w:t>–</w:t>
      </w:r>
      <w:r w:rsidR="00B837F0" w:rsidRPr="0097459F">
        <w:t xml:space="preserve"> contratação de agência de classificação de risco</w:t>
      </w:r>
      <w:r w:rsidR="008632EB" w:rsidRPr="0097459F">
        <w:t>, caso não estabelecida no regulamento;</w:t>
      </w:r>
    </w:p>
    <w:p w14:paraId="6B564022" w14:textId="51C507EE" w:rsidR="00B7235B" w:rsidRPr="0097459F" w:rsidRDefault="00EB425C" w:rsidP="00C20BBD">
      <w:pPr>
        <w:pStyle w:val="Normalalteradora"/>
      </w:pPr>
      <w:r w:rsidRPr="0097459F" w:rsidDel="005C3CC8">
        <w:t>I</w:t>
      </w:r>
      <w:r w:rsidRPr="0097459F" w:rsidDel="008632EB">
        <w:t>V</w:t>
      </w:r>
      <w:r w:rsidR="0074032E" w:rsidRPr="0097459F">
        <w:t xml:space="preserve"> </w:t>
      </w:r>
      <w:r w:rsidRPr="0097459F" w:rsidDel="008632EB">
        <w:t>– mudança na classificação de risco atribuída à classe ou subclasse de cotas;</w:t>
      </w:r>
    </w:p>
    <w:p w14:paraId="19E59BEB" w14:textId="1680EECF" w:rsidR="00B837F0" w:rsidRPr="0097459F" w:rsidRDefault="00B837F0" w:rsidP="00C20BBD">
      <w:pPr>
        <w:pStyle w:val="Normalalteradora"/>
      </w:pPr>
      <w:r w:rsidRPr="0097459F">
        <w:t>V – alteração de prestador de serviço essencial;</w:t>
      </w:r>
    </w:p>
    <w:p w14:paraId="21A58285" w14:textId="28831AE8" w:rsidR="00CD4FC5" w:rsidRPr="0097459F" w:rsidRDefault="00B837F0" w:rsidP="00C20BBD">
      <w:pPr>
        <w:pStyle w:val="Normalalteradora"/>
      </w:pPr>
      <w:r w:rsidRPr="0097459F">
        <w:t>V</w:t>
      </w:r>
      <w:r w:rsidR="005C3CC8" w:rsidRPr="0097459F">
        <w:t>I</w:t>
      </w:r>
      <w:r w:rsidRPr="0097459F">
        <w:t xml:space="preserve"> – fusão, incorporação, cisão</w:t>
      </w:r>
      <w:r w:rsidR="002918EE" w:rsidRPr="0097459F">
        <w:t xml:space="preserve"> ou</w:t>
      </w:r>
      <w:r w:rsidRPr="0097459F">
        <w:t xml:space="preserve"> transformação da classe de cotas;</w:t>
      </w:r>
    </w:p>
    <w:p w14:paraId="2E2A94E8" w14:textId="52526342" w:rsidR="00B837F0" w:rsidRPr="0097459F" w:rsidRDefault="00B837F0" w:rsidP="00C20BBD">
      <w:pPr>
        <w:pStyle w:val="Normalalteradora"/>
      </w:pPr>
      <w:r w:rsidRPr="0097459F">
        <w:t>VI</w:t>
      </w:r>
      <w:r w:rsidR="005C3CC8" w:rsidRPr="0097459F">
        <w:t>I</w:t>
      </w:r>
      <w:r w:rsidRPr="0097459F">
        <w:t xml:space="preserve"> – alteração do mercado organizado em que seja admitida a negociação de cotas;</w:t>
      </w:r>
    </w:p>
    <w:p w14:paraId="0BB8321A" w14:textId="040FC761" w:rsidR="00B837F0" w:rsidRPr="0097459F" w:rsidRDefault="008632EB" w:rsidP="00C20BBD">
      <w:pPr>
        <w:pStyle w:val="Normalalteradora"/>
      </w:pPr>
      <w:r w:rsidRPr="0097459F">
        <w:t>VII</w:t>
      </w:r>
      <w:r w:rsidR="00B837F0" w:rsidRPr="0097459F">
        <w:t>I – cancelamento da admissão das cotas à negociação em mercado organizado;</w:t>
      </w:r>
      <w:r w:rsidR="00B7720E" w:rsidRPr="0097459F">
        <w:t xml:space="preserve"> e</w:t>
      </w:r>
    </w:p>
    <w:p w14:paraId="1D283D04" w14:textId="2AA29D35" w:rsidR="002E6A1A" w:rsidRPr="0097459F" w:rsidRDefault="00B7720E" w:rsidP="00C20BBD">
      <w:pPr>
        <w:pStyle w:val="Normalalteradora"/>
      </w:pPr>
      <w:r w:rsidRPr="0097459F">
        <w:lastRenderedPageBreak/>
        <w:t>I</w:t>
      </w:r>
      <w:r w:rsidR="00B837F0" w:rsidRPr="0097459F">
        <w:t>X – emissão de cotas de classe fechada.</w:t>
      </w:r>
    </w:p>
    <w:p w14:paraId="7A66ED98" w14:textId="7DDD8478" w:rsidR="002E6A1A" w:rsidRPr="0097459F" w:rsidRDefault="002E6A1A" w:rsidP="00C20BBD">
      <w:pPr>
        <w:pStyle w:val="Normalalteradora"/>
      </w:pPr>
      <w:r w:rsidRPr="0097459F">
        <w:t xml:space="preserve">Art. </w:t>
      </w:r>
      <w:r w:rsidR="00B7720E" w:rsidRPr="0097459F">
        <w:t>65</w:t>
      </w:r>
      <w:r w:rsidRPr="0097459F">
        <w:t xml:space="preserve">.  Ressalvado o disposto no parágrafo único, os fatos relevantes podem, excepcionalmente, deixar de ser divulgados se o gestor </w:t>
      </w:r>
      <w:r w:rsidR="002918EE" w:rsidRPr="0097459F">
        <w:t xml:space="preserve">e o administrador, em conjunto, </w:t>
      </w:r>
      <w:r w:rsidRPr="0097459F">
        <w:t>entender</w:t>
      </w:r>
      <w:r w:rsidR="002918EE" w:rsidRPr="0097459F">
        <w:t>em</w:t>
      </w:r>
      <w:r w:rsidRPr="0097459F">
        <w:t xml:space="preserve"> que sua revelação porá em risco interesse legítimo d</w:t>
      </w:r>
      <w:r w:rsidR="002918EE" w:rsidRPr="0097459F">
        <w:t xml:space="preserve">o fundo, </w:t>
      </w:r>
      <w:r w:rsidRPr="0097459F">
        <w:t>da classe de cotas</w:t>
      </w:r>
      <w:r w:rsidR="002918EE" w:rsidRPr="0097459F">
        <w:t xml:space="preserve"> ou dos cotistas</w:t>
      </w:r>
      <w:r w:rsidRPr="0097459F">
        <w:t>.</w:t>
      </w:r>
    </w:p>
    <w:p w14:paraId="09ECCE81" w14:textId="47F5CF79" w:rsidR="00893D49" w:rsidRPr="0097459F" w:rsidRDefault="002E6A1A" w:rsidP="00C20BBD">
      <w:pPr>
        <w:pStyle w:val="Normalalteradora"/>
        <w:rPr>
          <w:rFonts w:cstheme="minorHAnsi"/>
        </w:rPr>
      </w:pPr>
      <w:r w:rsidRPr="0097459F">
        <w:t>Parágrafo único.</w:t>
      </w:r>
      <w:r w:rsidR="00B46618" w:rsidRPr="0097459F">
        <w:t xml:space="preserve"> </w:t>
      </w:r>
      <w:r w:rsidRPr="0097459F">
        <w:t xml:space="preserve"> O administrador fica obrigado a divulgar imediatamente fato relevante na hipótese de a informação escapar ao controle ou se ocorrer oscilação atípica na cotação, preço ou quantidade negociada de cotas.</w:t>
      </w:r>
    </w:p>
    <w:p w14:paraId="5CBAD80B" w14:textId="77777777" w:rsidR="00893D49" w:rsidRPr="0097459F" w:rsidRDefault="00893D49" w:rsidP="00C20BBD">
      <w:pPr>
        <w:pStyle w:val="Seo"/>
        <w:rPr>
          <w:rFonts w:asciiTheme="minorHAnsi" w:hAnsiTheme="minorHAnsi"/>
        </w:rPr>
      </w:pPr>
      <w:bookmarkStart w:id="158" w:name="_Toc53594449"/>
      <w:bookmarkStart w:id="159" w:name="_Toc53595474"/>
      <w:bookmarkStart w:id="160" w:name="_Toc53594201"/>
      <w:bookmarkStart w:id="161" w:name="_Toc114818982"/>
      <w:bookmarkStart w:id="162" w:name="_Toc57836209"/>
      <w:bookmarkStart w:id="163" w:name="_Toc126226310"/>
      <w:r w:rsidRPr="0097459F">
        <w:rPr>
          <w:rFonts w:asciiTheme="minorHAnsi" w:hAnsiTheme="minorHAnsi"/>
        </w:rPr>
        <w:t>Seção III – Demonstrações Contábeis e Relatórios de Auditoria</w:t>
      </w:r>
      <w:bookmarkEnd w:id="158"/>
      <w:bookmarkEnd w:id="159"/>
      <w:bookmarkEnd w:id="160"/>
      <w:bookmarkEnd w:id="161"/>
      <w:bookmarkEnd w:id="162"/>
      <w:bookmarkEnd w:id="163"/>
    </w:p>
    <w:p w14:paraId="1DDA6B4E" w14:textId="6E703A21" w:rsidR="002A2E61"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66</w:t>
      </w:r>
      <w:r w:rsidRPr="0097459F">
        <w:rPr>
          <w:rFonts w:cstheme="minorHAnsi"/>
        </w:rPr>
        <w:t xml:space="preserve">.  O fundo de investimento e suas classes de cotas devem ter escrituração contábil próprias, devendo as suas contas e demonstrações contábeis </w:t>
      </w:r>
      <w:r w:rsidR="002660F8" w:rsidRPr="0097459F">
        <w:t>ser</w:t>
      </w:r>
      <w:r w:rsidRPr="0097459F">
        <w:rPr>
          <w:rFonts w:cstheme="minorHAnsi"/>
        </w:rPr>
        <w:t xml:space="preserve"> segregadas entre si, assim como segregadas das demonstrações contábeis </w:t>
      </w:r>
      <w:r w:rsidR="002660F8" w:rsidRPr="0097459F">
        <w:rPr>
          <w:rFonts w:cstheme="minorHAnsi"/>
        </w:rPr>
        <w:t>dos prestadores de serviço essenciais</w:t>
      </w:r>
      <w:r w:rsidRPr="0097459F">
        <w:rPr>
          <w:rFonts w:cstheme="minorHAnsi"/>
        </w:rPr>
        <w:t>.</w:t>
      </w:r>
    </w:p>
    <w:p w14:paraId="01819B5F" w14:textId="395869E8"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67</w:t>
      </w:r>
      <w:r w:rsidRPr="0097459F">
        <w:rPr>
          <w:rFonts w:cstheme="minorHAnsi"/>
        </w:rPr>
        <w:t xml:space="preserve">.  O exercício </w:t>
      </w:r>
      <w:r w:rsidR="008C6940" w:rsidRPr="0097459F">
        <w:rPr>
          <w:rFonts w:cstheme="minorHAnsi"/>
        </w:rPr>
        <w:t xml:space="preserve">social </w:t>
      </w:r>
      <w:r w:rsidRPr="0097459F">
        <w:rPr>
          <w:rFonts w:cstheme="minorHAnsi"/>
        </w:rPr>
        <w:t>do fundo de investimento deve ser encerrado a cada 12 (doze) meses, quando devem ser levantadas as demonstrações contábeis do fundo e</w:t>
      </w:r>
      <w:r w:rsidR="00E4068E" w:rsidRPr="0097459F">
        <w:rPr>
          <w:rFonts w:cstheme="minorHAnsi"/>
        </w:rPr>
        <w:t>, se houver,</w:t>
      </w:r>
      <w:r w:rsidRPr="0097459F">
        <w:rPr>
          <w:rFonts w:cstheme="minorHAnsi"/>
        </w:rPr>
        <w:t xml:space="preserve"> de suas classes de cotas</w:t>
      </w:r>
      <w:r w:rsidR="00E4068E" w:rsidRPr="0097459F">
        <w:rPr>
          <w:rFonts w:cstheme="minorHAnsi"/>
        </w:rPr>
        <w:t>, todas</w:t>
      </w:r>
      <w:r w:rsidRPr="0097459F">
        <w:rPr>
          <w:rFonts w:cstheme="minorHAnsi"/>
        </w:rPr>
        <w:t xml:space="preserve"> relativas ao </w:t>
      </w:r>
      <w:r w:rsidR="005B2C99" w:rsidRPr="0097459F">
        <w:rPr>
          <w:rFonts w:cstheme="minorHAnsi"/>
        </w:rPr>
        <w:t xml:space="preserve">mesmo </w:t>
      </w:r>
      <w:r w:rsidRPr="0097459F">
        <w:rPr>
          <w:rFonts w:cstheme="minorHAnsi"/>
        </w:rPr>
        <w:t>período findo.</w:t>
      </w:r>
    </w:p>
    <w:p w14:paraId="11C09100" w14:textId="25445362" w:rsidR="001E366C" w:rsidRPr="0097459F" w:rsidRDefault="670B385F" w:rsidP="00C20BBD">
      <w:pPr>
        <w:pStyle w:val="Normalalteradora"/>
      </w:pPr>
      <w:r w:rsidRPr="0097459F">
        <w:t>§ 1º  As demonstrações contábeis dos fundos que contam com diferentes classes são compostas</w:t>
      </w:r>
      <w:r w:rsidR="005E1642" w:rsidRPr="0097459F">
        <w:t>,</w:t>
      </w:r>
      <w:r w:rsidRPr="0097459F">
        <w:t xml:space="preserve"> no mínimo</w:t>
      </w:r>
      <w:r w:rsidR="005E1642" w:rsidRPr="0097459F">
        <w:t>,</w:t>
      </w:r>
      <w:r w:rsidRPr="0097459F">
        <w:t xml:space="preserve"> pelo balanço patrimonial</w:t>
      </w:r>
      <w:r w:rsidR="00F224B7" w:rsidRPr="0097459F">
        <w:t>, demonstrativo do resultado do exercício</w:t>
      </w:r>
      <w:r w:rsidRPr="0097459F">
        <w:t xml:space="preserve"> e demonstrativo de fluxo de caixa, inexistindo obrigação de levantar demonstrações contábeis consolidadas.</w:t>
      </w:r>
    </w:p>
    <w:p w14:paraId="5575F3B4" w14:textId="743D9D82" w:rsidR="00E4068E" w:rsidRPr="0097459F" w:rsidRDefault="00166193" w:rsidP="00C20BBD">
      <w:pPr>
        <w:pStyle w:val="Normalalteradora"/>
        <w:rPr>
          <w:rFonts w:cstheme="minorHAnsi"/>
        </w:rPr>
      </w:pPr>
      <w:r w:rsidRPr="0097459F">
        <w:rPr>
          <w:rFonts w:cstheme="minorHAnsi"/>
        </w:rPr>
        <w:t>§ 2º</w:t>
      </w:r>
      <w:r w:rsidR="00893D49" w:rsidRPr="0097459F">
        <w:rPr>
          <w:rFonts w:cstheme="minorHAnsi"/>
        </w:rPr>
        <w:t xml:space="preserve">  A data do encerramento do exercício </w:t>
      </w:r>
      <w:r w:rsidR="00D026E0" w:rsidRPr="0097459F">
        <w:rPr>
          <w:rFonts w:cstheme="minorHAnsi"/>
        </w:rPr>
        <w:t xml:space="preserve">social </w:t>
      </w:r>
      <w:r w:rsidR="00893D49" w:rsidRPr="0097459F">
        <w:rPr>
          <w:rFonts w:cstheme="minorHAnsi"/>
        </w:rPr>
        <w:t>do fundo deve coincidir com o fim de um dos meses do calendário civil.</w:t>
      </w:r>
    </w:p>
    <w:p w14:paraId="6637C6DE" w14:textId="588A3C47"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68</w:t>
      </w:r>
      <w:r w:rsidRPr="0097459F">
        <w:rPr>
          <w:rFonts w:cstheme="minorHAnsi"/>
        </w:rPr>
        <w:t xml:space="preserve">.  A elaboração </w:t>
      </w:r>
      <w:r w:rsidR="00FD6451" w:rsidRPr="0097459F">
        <w:rPr>
          <w:rFonts w:cstheme="minorHAnsi"/>
        </w:rPr>
        <w:t xml:space="preserve">e </w:t>
      </w:r>
      <w:r w:rsidR="002660F8" w:rsidRPr="0097459F">
        <w:rPr>
          <w:rFonts w:cstheme="minorHAnsi"/>
        </w:rPr>
        <w:t xml:space="preserve">a </w:t>
      </w:r>
      <w:r w:rsidR="00FD6451" w:rsidRPr="0097459F">
        <w:rPr>
          <w:rFonts w:cstheme="minorHAnsi"/>
        </w:rPr>
        <w:t xml:space="preserve">divulgação </w:t>
      </w:r>
      <w:r w:rsidRPr="0097459F">
        <w:rPr>
          <w:rFonts w:cstheme="minorHAnsi"/>
        </w:rPr>
        <w:t xml:space="preserve">das demonstrações contábeis </w:t>
      </w:r>
      <w:r w:rsidR="002660F8" w:rsidRPr="0097459F">
        <w:rPr>
          <w:rFonts w:cstheme="minorHAnsi"/>
        </w:rPr>
        <w:t xml:space="preserve">devem </w:t>
      </w:r>
      <w:r w:rsidRPr="0097459F">
        <w:rPr>
          <w:rFonts w:cstheme="minorHAnsi"/>
        </w:rPr>
        <w:t xml:space="preserve">observar as regras específicas </w:t>
      </w:r>
      <w:r w:rsidR="00166193" w:rsidRPr="0097459F">
        <w:rPr>
          <w:rFonts w:cstheme="minorHAnsi"/>
        </w:rPr>
        <w:t xml:space="preserve">editadas </w:t>
      </w:r>
      <w:r w:rsidRPr="0097459F">
        <w:rPr>
          <w:rFonts w:cstheme="minorHAnsi"/>
        </w:rPr>
        <w:t xml:space="preserve">pela CVM, conforme a categoria </w:t>
      </w:r>
      <w:r w:rsidR="001E366C" w:rsidRPr="0097459F">
        <w:rPr>
          <w:rFonts w:cstheme="minorHAnsi"/>
        </w:rPr>
        <w:t xml:space="preserve">do </w:t>
      </w:r>
      <w:r w:rsidRPr="0097459F">
        <w:rPr>
          <w:rFonts w:cstheme="minorHAnsi"/>
        </w:rPr>
        <w:t>fundo de investimento</w:t>
      </w:r>
      <w:r w:rsidR="002660F8" w:rsidRPr="0097459F">
        <w:rPr>
          <w:rFonts w:cstheme="minorHAnsi"/>
        </w:rPr>
        <w:t>.</w:t>
      </w:r>
    </w:p>
    <w:p w14:paraId="04D52E0F" w14:textId="5C75B64E" w:rsidR="00893D49" w:rsidRPr="0097459F" w:rsidRDefault="00893D49" w:rsidP="00C20BBD">
      <w:pPr>
        <w:pStyle w:val="Normalalteradora"/>
        <w:rPr>
          <w:rFonts w:cstheme="minorHAnsi"/>
        </w:rPr>
      </w:pPr>
      <w:bookmarkStart w:id="164" w:name="_Hlk45618172"/>
      <w:r w:rsidRPr="0097459F">
        <w:rPr>
          <w:rFonts w:cstheme="minorHAnsi"/>
        </w:rPr>
        <w:t xml:space="preserve">Art. </w:t>
      </w:r>
      <w:r w:rsidR="00B7720E" w:rsidRPr="0097459F">
        <w:rPr>
          <w:rFonts w:cstheme="minorHAnsi"/>
        </w:rPr>
        <w:t>69</w:t>
      </w:r>
      <w:r w:rsidRPr="0097459F">
        <w:rPr>
          <w:rFonts w:cstheme="minorHAnsi"/>
        </w:rPr>
        <w:t xml:space="preserve">.  As demonstrações contábeis </w:t>
      </w:r>
      <w:r w:rsidR="00C959D1" w:rsidRPr="0097459F">
        <w:t>do fundo de investimento e de suas</w:t>
      </w:r>
      <w:r w:rsidRPr="0097459F">
        <w:rPr>
          <w:rFonts w:cstheme="minorHAnsi"/>
        </w:rPr>
        <w:t xml:space="preserve"> classes de cotas devem ser auditadas anualmente por auditor independente registrado na CVM, observadas as normas que disciplinam o exercício dessa atividade.</w:t>
      </w:r>
    </w:p>
    <w:bookmarkEnd w:id="164"/>
    <w:p w14:paraId="0154AF26" w14:textId="2B14412B" w:rsidR="00893D49" w:rsidRPr="0097459F" w:rsidRDefault="00C959D1" w:rsidP="00C20BBD">
      <w:pPr>
        <w:pStyle w:val="Normalalteradora"/>
        <w:rPr>
          <w:rFonts w:cstheme="minorHAnsi"/>
        </w:rPr>
      </w:pPr>
      <w:r w:rsidRPr="0097459F">
        <w:t>Parágrafo único.</w:t>
      </w:r>
      <w:r w:rsidR="00893D49" w:rsidRPr="0097459F">
        <w:rPr>
          <w:rFonts w:cstheme="minorHAnsi"/>
        </w:rPr>
        <w:t xml:space="preserve">  A auditoria das demonstrações contábeis não é obrigatória para </w:t>
      </w:r>
      <w:r w:rsidRPr="0097459F">
        <w:t>fundos</w:t>
      </w:r>
      <w:r w:rsidR="0035770C" w:rsidRPr="0097459F">
        <w:t xml:space="preserve"> e </w:t>
      </w:r>
      <w:r w:rsidR="004A7EC5" w:rsidRPr="0097459F">
        <w:rPr>
          <w:rFonts w:cstheme="minorHAnsi"/>
        </w:rPr>
        <w:t xml:space="preserve">classes </w:t>
      </w:r>
      <w:r w:rsidR="00893D49" w:rsidRPr="0097459F">
        <w:rPr>
          <w:rFonts w:cstheme="minorHAnsi"/>
        </w:rPr>
        <w:t>em atividade há menos de 90 (noventa) dias.</w:t>
      </w:r>
    </w:p>
    <w:p w14:paraId="28CFF30A" w14:textId="77777777" w:rsidR="00893D49" w:rsidRPr="0097459F" w:rsidRDefault="00893D49" w:rsidP="00C20BBD">
      <w:pPr>
        <w:pStyle w:val="Captulo"/>
        <w:rPr>
          <w:rFonts w:asciiTheme="minorHAnsi" w:hAnsiTheme="minorHAnsi"/>
        </w:rPr>
      </w:pPr>
      <w:bookmarkStart w:id="165" w:name="_Toc53594450"/>
      <w:bookmarkStart w:id="166" w:name="_Toc53595475"/>
      <w:bookmarkStart w:id="167" w:name="_Toc53594202"/>
      <w:bookmarkStart w:id="168" w:name="_Toc114818983"/>
      <w:bookmarkStart w:id="169" w:name="_Toc57836210"/>
      <w:bookmarkStart w:id="170" w:name="_Toc126226311"/>
      <w:r w:rsidRPr="0097459F">
        <w:rPr>
          <w:rFonts w:asciiTheme="minorHAnsi" w:hAnsiTheme="minorHAnsi"/>
        </w:rPr>
        <w:lastRenderedPageBreak/>
        <w:t>CAPÍTULO VII – ASSEMBLEIA DE COTISTAS</w:t>
      </w:r>
      <w:bookmarkEnd w:id="165"/>
      <w:bookmarkEnd w:id="166"/>
      <w:bookmarkEnd w:id="167"/>
      <w:bookmarkEnd w:id="168"/>
      <w:bookmarkEnd w:id="169"/>
      <w:bookmarkEnd w:id="170"/>
    </w:p>
    <w:p w14:paraId="4CAB7CE2" w14:textId="77777777" w:rsidR="00893D49" w:rsidRPr="0097459F" w:rsidRDefault="00893D49" w:rsidP="00C20BBD">
      <w:pPr>
        <w:pStyle w:val="Seo"/>
        <w:rPr>
          <w:rFonts w:asciiTheme="minorHAnsi" w:hAnsiTheme="minorHAnsi"/>
        </w:rPr>
      </w:pPr>
      <w:bookmarkStart w:id="171" w:name="_Toc53594451"/>
      <w:bookmarkStart w:id="172" w:name="_Toc53595476"/>
      <w:bookmarkStart w:id="173" w:name="_Toc53594203"/>
      <w:bookmarkStart w:id="174" w:name="_Toc114818984"/>
      <w:bookmarkStart w:id="175" w:name="_Toc57836211"/>
      <w:bookmarkStart w:id="176" w:name="_Toc126226312"/>
      <w:r w:rsidRPr="0097459F">
        <w:rPr>
          <w:rFonts w:asciiTheme="minorHAnsi" w:hAnsiTheme="minorHAnsi"/>
        </w:rPr>
        <w:t>Seção I – Competência</w:t>
      </w:r>
      <w:bookmarkEnd w:id="171"/>
      <w:bookmarkEnd w:id="172"/>
      <w:bookmarkEnd w:id="173"/>
      <w:bookmarkEnd w:id="174"/>
      <w:bookmarkEnd w:id="175"/>
      <w:bookmarkEnd w:id="176"/>
    </w:p>
    <w:p w14:paraId="69E2BC8F" w14:textId="6D6D09C3" w:rsidR="00893D49" w:rsidRPr="0097459F" w:rsidRDefault="00893D49" w:rsidP="00C20BBD">
      <w:pPr>
        <w:pStyle w:val="Normalalteradora"/>
        <w:rPr>
          <w:rFonts w:cstheme="minorHAnsi"/>
        </w:rPr>
      </w:pPr>
      <w:bookmarkStart w:id="177" w:name="_Hlk42692640"/>
      <w:r w:rsidRPr="0097459F">
        <w:rPr>
          <w:rFonts w:cstheme="minorHAnsi"/>
        </w:rPr>
        <w:t xml:space="preserve">Art. </w:t>
      </w:r>
      <w:r w:rsidR="00B7720E" w:rsidRPr="0097459F">
        <w:rPr>
          <w:rFonts w:cstheme="minorHAnsi"/>
        </w:rPr>
        <w:t>70</w:t>
      </w:r>
      <w:r w:rsidRPr="0097459F">
        <w:rPr>
          <w:rFonts w:cstheme="minorHAnsi"/>
        </w:rPr>
        <w:t>.  Compete privativamente à assembleia de cotistas deliberar sobre:</w:t>
      </w:r>
    </w:p>
    <w:p w14:paraId="613DDFAE" w14:textId="72527F6B" w:rsidR="00D83A4E" w:rsidRPr="0097459F" w:rsidRDefault="00893D49" w:rsidP="00C20BBD">
      <w:pPr>
        <w:pStyle w:val="Normalalteradora"/>
        <w:rPr>
          <w:rFonts w:cstheme="minorHAnsi"/>
        </w:rPr>
      </w:pPr>
      <w:r w:rsidRPr="0097459F">
        <w:rPr>
          <w:rFonts w:cstheme="minorHAnsi"/>
        </w:rPr>
        <w:t>I – as demonstrações contábeis</w:t>
      </w:r>
      <w:r w:rsidR="002E4495" w:rsidRPr="0097459F">
        <w:rPr>
          <w:rFonts w:cstheme="minorHAnsi"/>
        </w:rPr>
        <w:t>, nos termos do art.</w:t>
      </w:r>
      <w:r w:rsidR="00B03A5F" w:rsidRPr="0097459F">
        <w:rPr>
          <w:rFonts w:cstheme="minorHAnsi"/>
        </w:rPr>
        <w:t xml:space="preserve"> </w:t>
      </w:r>
      <w:r w:rsidR="005A2B11" w:rsidRPr="0097459F">
        <w:rPr>
          <w:rFonts w:cstheme="minorHAnsi"/>
        </w:rPr>
        <w:t>71</w:t>
      </w:r>
      <w:r w:rsidRPr="0097459F">
        <w:rPr>
          <w:rFonts w:cstheme="minorHAnsi"/>
        </w:rPr>
        <w:t>;</w:t>
      </w:r>
    </w:p>
    <w:p w14:paraId="5B4203CD" w14:textId="041E8363" w:rsidR="00893D49" w:rsidRPr="0097459F" w:rsidRDefault="00893D49" w:rsidP="00C20BBD">
      <w:pPr>
        <w:pStyle w:val="Normalalteradora"/>
        <w:rPr>
          <w:rFonts w:cstheme="minorHAnsi"/>
        </w:rPr>
      </w:pPr>
      <w:r w:rsidRPr="0097459F">
        <w:rPr>
          <w:rFonts w:cstheme="minorHAnsi"/>
        </w:rPr>
        <w:t>II – a substituição de prestador de serviço essencia</w:t>
      </w:r>
      <w:r w:rsidR="00DC3469" w:rsidRPr="0097459F">
        <w:rPr>
          <w:rFonts w:cstheme="minorHAnsi"/>
        </w:rPr>
        <w:t>l</w:t>
      </w:r>
      <w:r w:rsidRPr="0097459F">
        <w:rPr>
          <w:rFonts w:cstheme="minorHAnsi"/>
        </w:rPr>
        <w:t>;</w:t>
      </w:r>
    </w:p>
    <w:p w14:paraId="12850DE1" w14:textId="36E036CA" w:rsidR="00D83A4E" w:rsidRPr="0097459F" w:rsidRDefault="00D83A4E" w:rsidP="00C20BBD">
      <w:pPr>
        <w:pStyle w:val="Normalalteradora"/>
      </w:pPr>
      <w:r w:rsidRPr="0097459F">
        <w:t>I</w:t>
      </w:r>
      <w:r w:rsidR="00207A6E" w:rsidRPr="0097459F">
        <w:t>II</w:t>
      </w:r>
      <w:r w:rsidRPr="0097459F">
        <w:t xml:space="preserve"> – a emissão de novas cotas, na classe fechada</w:t>
      </w:r>
      <w:r w:rsidR="002E4495" w:rsidRPr="0097459F">
        <w:t xml:space="preserve">, hipótese na qual </w:t>
      </w:r>
      <w:r w:rsidR="00D76102" w:rsidRPr="0097459F">
        <w:t>deve</w:t>
      </w:r>
      <w:r w:rsidR="002E4495" w:rsidRPr="0097459F">
        <w:t xml:space="preserve"> definir se os cotistas possuirão direito de preferência na subscrição das novas cotas</w:t>
      </w:r>
      <w:r w:rsidR="00DD7B7B" w:rsidRPr="0097459F">
        <w:t xml:space="preserve">, sem prejuízo </w:t>
      </w:r>
      <w:r w:rsidR="114CA530" w:rsidRPr="0097459F">
        <w:t>do disposto no art. 48, § 2º</w:t>
      </w:r>
      <w:r w:rsidR="095ABBA8" w:rsidRPr="0097459F">
        <w:t>, inciso VII</w:t>
      </w:r>
      <w:r w:rsidR="00A20957" w:rsidRPr="0097459F">
        <w:t>;</w:t>
      </w:r>
    </w:p>
    <w:p w14:paraId="34BFFEBA" w14:textId="75C38371" w:rsidR="00B829F7" w:rsidRPr="0097459F" w:rsidRDefault="09E5518C" w:rsidP="00C20BBD">
      <w:pPr>
        <w:pStyle w:val="Normalalteradora"/>
      </w:pPr>
      <w:r w:rsidRPr="0097459F">
        <w:t xml:space="preserve">IV </w:t>
      </w:r>
      <w:r w:rsidR="4AF9F487" w:rsidRPr="0097459F">
        <w:t xml:space="preserve">– a fusão, a incorporação, a cisão, </w:t>
      </w:r>
      <w:r w:rsidR="7FA58F11" w:rsidRPr="0097459F">
        <w:t xml:space="preserve">total ou parcial, </w:t>
      </w:r>
      <w:r w:rsidR="4AF9F487" w:rsidRPr="0097459F">
        <w:t xml:space="preserve">a transformação ou a liquidação </w:t>
      </w:r>
      <w:r w:rsidR="00B829F7" w:rsidRPr="0097459F">
        <w:t xml:space="preserve">do fundo ou </w:t>
      </w:r>
      <w:r w:rsidR="0BA6F88F" w:rsidRPr="0097459F">
        <w:t>da classe</w:t>
      </w:r>
      <w:r w:rsidR="00B829F7" w:rsidRPr="0097459F">
        <w:t xml:space="preserve"> de cotas</w:t>
      </w:r>
      <w:r w:rsidR="005A2B11" w:rsidRPr="0097459F">
        <w:t>;</w:t>
      </w:r>
    </w:p>
    <w:p w14:paraId="12AF87B6" w14:textId="786E3062" w:rsidR="00893D49" w:rsidRPr="0097459F" w:rsidRDefault="00893D49" w:rsidP="00C20BBD">
      <w:pPr>
        <w:pStyle w:val="Normalalteradora"/>
        <w:rPr>
          <w:rFonts w:cstheme="minorHAnsi"/>
        </w:rPr>
      </w:pPr>
      <w:r w:rsidRPr="0097459F">
        <w:rPr>
          <w:rFonts w:cstheme="minorHAnsi"/>
        </w:rPr>
        <w:t xml:space="preserve">V – a alteração do regulamento, ressalvado o disposto no art. </w:t>
      </w:r>
      <w:r w:rsidR="0098016B" w:rsidRPr="0097459F">
        <w:rPr>
          <w:rFonts w:cstheme="minorHAnsi"/>
        </w:rPr>
        <w:t>52</w:t>
      </w:r>
      <w:r w:rsidRPr="0097459F">
        <w:rPr>
          <w:rFonts w:cstheme="minorHAnsi"/>
        </w:rPr>
        <w:t>;</w:t>
      </w:r>
    </w:p>
    <w:p w14:paraId="643A69FF" w14:textId="55C8ACF8" w:rsidR="00D124B3" w:rsidRPr="0097459F" w:rsidRDefault="00D124B3" w:rsidP="00C20BBD">
      <w:pPr>
        <w:pStyle w:val="Normalalteradora"/>
        <w:rPr>
          <w:rFonts w:cstheme="minorHAnsi"/>
        </w:rPr>
      </w:pPr>
      <w:r w:rsidRPr="0097459F">
        <w:rPr>
          <w:rFonts w:cstheme="minorHAnsi"/>
        </w:rPr>
        <w:t>V</w:t>
      </w:r>
      <w:r w:rsidR="00207A6E" w:rsidRPr="0097459F">
        <w:rPr>
          <w:rFonts w:cstheme="minorHAnsi"/>
        </w:rPr>
        <w:t>I</w:t>
      </w:r>
      <w:r w:rsidRPr="0097459F">
        <w:rPr>
          <w:rFonts w:cstheme="minorHAnsi"/>
        </w:rPr>
        <w:t xml:space="preserve"> – o plano de resolução de patrimônio líquido negativo</w:t>
      </w:r>
      <w:r w:rsidR="004D0035" w:rsidRPr="0097459F">
        <w:rPr>
          <w:rFonts w:cstheme="minorHAnsi"/>
        </w:rPr>
        <w:t xml:space="preserve">, nos termos do art. </w:t>
      </w:r>
      <w:r w:rsidR="00E24209" w:rsidRPr="0097459F">
        <w:rPr>
          <w:rFonts w:cstheme="minorHAnsi"/>
        </w:rPr>
        <w:t>122</w:t>
      </w:r>
      <w:r w:rsidR="00F46EEE" w:rsidRPr="0097459F">
        <w:rPr>
          <w:rFonts w:cstheme="minorHAnsi"/>
        </w:rPr>
        <w:t>; e</w:t>
      </w:r>
    </w:p>
    <w:p w14:paraId="72F60484" w14:textId="63385D52" w:rsidR="00893D49" w:rsidRPr="0097459F" w:rsidRDefault="00893D49" w:rsidP="00C20BBD">
      <w:pPr>
        <w:pStyle w:val="Normalalteradora"/>
        <w:rPr>
          <w:rFonts w:cstheme="minorHAnsi"/>
        </w:rPr>
      </w:pPr>
      <w:r w:rsidRPr="0097459F">
        <w:rPr>
          <w:rFonts w:cstheme="minorHAnsi"/>
        </w:rPr>
        <w:t>V</w:t>
      </w:r>
      <w:r w:rsidR="00273D37" w:rsidRPr="0097459F">
        <w:rPr>
          <w:rFonts w:cstheme="minorHAnsi"/>
        </w:rPr>
        <w:t>II</w:t>
      </w:r>
      <w:r w:rsidRPr="0097459F">
        <w:rPr>
          <w:rFonts w:cstheme="minorHAnsi"/>
        </w:rPr>
        <w:t xml:space="preserve"> – o pedido de declaração judicial de insolvência</w:t>
      </w:r>
      <w:r w:rsidR="007C214B" w:rsidRPr="0097459F">
        <w:rPr>
          <w:rFonts w:cstheme="minorHAnsi"/>
        </w:rPr>
        <w:t xml:space="preserve"> da classe de cotas</w:t>
      </w:r>
      <w:r w:rsidR="00F46EEE" w:rsidRPr="0097459F">
        <w:rPr>
          <w:rFonts w:cstheme="minorHAnsi"/>
        </w:rPr>
        <w:t>.</w:t>
      </w:r>
    </w:p>
    <w:p w14:paraId="7C956A5A" w14:textId="52A2C4B7" w:rsidR="00207A6E" w:rsidRPr="0097459F" w:rsidRDefault="00207A6E" w:rsidP="00C20BBD">
      <w:pPr>
        <w:pStyle w:val="Normalalteradora"/>
        <w:rPr>
          <w:rFonts w:cstheme="minorHAnsi"/>
        </w:rPr>
      </w:pPr>
      <w:r w:rsidRPr="0097459F">
        <w:rPr>
          <w:rFonts w:cstheme="minorHAnsi"/>
        </w:rPr>
        <w:t xml:space="preserve">§ </w:t>
      </w:r>
      <w:r w:rsidR="001166EA" w:rsidRPr="0097459F">
        <w:rPr>
          <w:rFonts w:cstheme="minorHAnsi"/>
        </w:rPr>
        <w:t>1</w:t>
      </w:r>
      <w:r w:rsidRPr="0097459F">
        <w:rPr>
          <w:rFonts w:cstheme="minorHAnsi"/>
        </w:rPr>
        <w:t xml:space="preserve">º  Caso </w:t>
      </w:r>
      <w:r w:rsidR="004D0035" w:rsidRPr="0097459F">
        <w:rPr>
          <w:rFonts w:cstheme="minorHAnsi"/>
        </w:rPr>
        <w:t xml:space="preserve">o fundo possua diferentes classes de cotas e </w:t>
      </w:r>
      <w:r w:rsidRPr="0097459F">
        <w:rPr>
          <w:rFonts w:cstheme="minorHAnsi"/>
        </w:rPr>
        <w:t xml:space="preserve">os cotistas de uma determinada classe deliberem substituir prestador de serviço essencial, tal classe </w:t>
      </w:r>
      <w:r w:rsidR="00D76102" w:rsidRPr="0097459F">
        <w:rPr>
          <w:rFonts w:cstheme="minorHAnsi"/>
        </w:rPr>
        <w:t>deve</w:t>
      </w:r>
      <w:r w:rsidRPr="0097459F">
        <w:rPr>
          <w:rFonts w:cstheme="minorHAnsi"/>
        </w:rPr>
        <w:t xml:space="preserve"> ser cindida do fundo.</w:t>
      </w:r>
    </w:p>
    <w:p w14:paraId="0121B755" w14:textId="2AF37B86" w:rsidR="00207A6E" w:rsidRPr="0097459F" w:rsidRDefault="00207A6E" w:rsidP="00C20BBD">
      <w:pPr>
        <w:pStyle w:val="Normalalteradora"/>
        <w:rPr>
          <w:rFonts w:cstheme="minorHAnsi"/>
        </w:rPr>
      </w:pPr>
      <w:r w:rsidRPr="0097459F">
        <w:rPr>
          <w:rFonts w:cstheme="minorHAnsi"/>
        </w:rPr>
        <w:t>§</w:t>
      </w:r>
      <w:r w:rsidR="001166EA" w:rsidRPr="0097459F">
        <w:rPr>
          <w:rFonts w:cstheme="minorHAnsi"/>
        </w:rPr>
        <w:t xml:space="preserve"> 2</w:t>
      </w:r>
      <w:r w:rsidRPr="0097459F">
        <w:rPr>
          <w:rFonts w:cstheme="minorHAnsi"/>
        </w:rPr>
        <w:t>º  Para fins da presente Resolução, considera-se que a cisão é total quando toda a classe de cotas é cindida do fundo de investimento e parcial quando somente uma parcela da classe de cotas é cindida do fundo.</w:t>
      </w:r>
    </w:p>
    <w:p w14:paraId="5A2603B8" w14:textId="2AB5D214" w:rsidR="00207A6E" w:rsidRPr="0097459F" w:rsidRDefault="00207A6E" w:rsidP="00C20BBD">
      <w:pPr>
        <w:pStyle w:val="Normalalteradora"/>
        <w:rPr>
          <w:rFonts w:cstheme="minorHAnsi"/>
        </w:rPr>
      </w:pPr>
      <w:r w:rsidRPr="0097459F">
        <w:rPr>
          <w:rFonts w:cstheme="minorHAnsi"/>
        </w:rPr>
        <w:t xml:space="preserve">§ </w:t>
      </w:r>
      <w:r w:rsidR="001166EA" w:rsidRPr="0097459F">
        <w:rPr>
          <w:rFonts w:cstheme="minorHAnsi"/>
        </w:rPr>
        <w:t>3</w:t>
      </w:r>
      <w:r w:rsidRPr="0097459F">
        <w:rPr>
          <w:rFonts w:cstheme="minorHAnsi"/>
        </w:rPr>
        <w:t>º  A alteração do r</w:t>
      </w:r>
      <w:r w:rsidR="00972C47" w:rsidRPr="0097459F">
        <w:rPr>
          <w:rFonts w:cstheme="minorHAnsi"/>
        </w:rPr>
        <w:t>egulamento no tocante a matéria</w:t>
      </w:r>
      <w:r w:rsidRPr="0097459F">
        <w:rPr>
          <w:rFonts w:cstheme="minorHAnsi"/>
        </w:rPr>
        <w:t xml:space="preserve"> que </w:t>
      </w:r>
      <w:r w:rsidR="00972C47" w:rsidRPr="0097459F">
        <w:rPr>
          <w:rFonts w:cstheme="minorHAnsi"/>
        </w:rPr>
        <w:t>seja comum</w:t>
      </w:r>
      <w:r w:rsidRPr="0097459F">
        <w:rPr>
          <w:rFonts w:cstheme="minorHAnsi"/>
        </w:rPr>
        <w:t xml:space="preserve"> a todas as classes de cotas deve ser deliberada pela assembleia geral de cotistas.</w:t>
      </w:r>
    </w:p>
    <w:bookmarkEnd w:id="177"/>
    <w:p w14:paraId="4A634192" w14:textId="2112C211" w:rsidR="006A02C2" w:rsidRPr="0097459F" w:rsidRDefault="006A02C2" w:rsidP="00C20BBD">
      <w:pPr>
        <w:pStyle w:val="Normalalteradora"/>
        <w:rPr>
          <w:rFonts w:cstheme="minorHAnsi"/>
        </w:rPr>
      </w:pPr>
      <w:r w:rsidRPr="0097459F">
        <w:rPr>
          <w:rFonts w:cstheme="minorHAnsi"/>
        </w:rPr>
        <w:t xml:space="preserve">Art. </w:t>
      </w:r>
      <w:r w:rsidR="00B7720E" w:rsidRPr="0097459F">
        <w:rPr>
          <w:rFonts w:cstheme="minorHAnsi"/>
        </w:rPr>
        <w:t>71</w:t>
      </w:r>
      <w:r w:rsidRPr="0097459F">
        <w:rPr>
          <w:rFonts w:cstheme="minorHAnsi"/>
        </w:rPr>
        <w:t xml:space="preserve">.  Anualmente, a assembleia </w:t>
      </w:r>
      <w:r w:rsidR="007C214B" w:rsidRPr="0097459F">
        <w:rPr>
          <w:rFonts w:cstheme="minorHAnsi"/>
        </w:rPr>
        <w:t xml:space="preserve">especial </w:t>
      </w:r>
      <w:r w:rsidRPr="0097459F">
        <w:rPr>
          <w:rFonts w:cstheme="minorHAnsi"/>
        </w:rPr>
        <w:t>de cotistas deve deliberar sobre as demonstrações contábeis da classe de cotas</w:t>
      </w:r>
      <w:r w:rsidR="007C214B" w:rsidRPr="0097459F">
        <w:rPr>
          <w:rFonts w:cstheme="minorHAnsi"/>
        </w:rPr>
        <w:t>, assim como a assembleia geral de cotistas deve deliberar sobre as demonstrações contábeis do fundo</w:t>
      </w:r>
      <w:r w:rsidRPr="0097459F">
        <w:rPr>
          <w:rFonts w:cstheme="minorHAnsi"/>
        </w:rPr>
        <w:t>, no prazo previsto nas regras específicas de cada categoria de fundo de investimento.</w:t>
      </w:r>
    </w:p>
    <w:p w14:paraId="4C3385D5" w14:textId="04571F9B" w:rsidR="006A02C2" w:rsidRPr="0097459F" w:rsidRDefault="006A02C2" w:rsidP="00C20BBD">
      <w:pPr>
        <w:pStyle w:val="Normalalteradora"/>
      </w:pPr>
      <w:r w:rsidRPr="0097459F">
        <w:t xml:space="preserve">§ </w:t>
      </w:r>
      <w:r w:rsidR="00B7720E" w:rsidRPr="0097459F">
        <w:t xml:space="preserve">1º  </w:t>
      </w:r>
      <w:r w:rsidRPr="0097459F">
        <w:t>A assembleia de cotistas somente pode ser realizada no mínimo 15 (quinze) dias após estarem disponíveis aos cotistas as demonstrações contábeis relativas ao exercício encerrado, contendo parecer do auditor independente.</w:t>
      </w:r>
    </w:p>
    <w:p w14:paraId="29AC9DC1" w14:textId="7FB27A21" w:rsidR="003A439C" w:rsidRPr="0097459F" w:rsidRDefault="003A439C" w:rsidP="00C20BBD">
      <w:pPr>
        <w:pStyle w:val="Normalalteradora"/>
        <w:rPr>
          <w:rFonts w:cstheme="minorHAnsi"/>
        </w:rPr>
      </w:pPr>
      <w:r w:rsidRPr="0097459F">
        <w:rPr>
          <w:rFonts w:cstheme="minorHAnsi"/>
        </w:rPr>
        <w:lastRenderedPageBreak/>
        <w:t xml:space="preserve">§ </w:t>
      </w:r>
      <w:r w:rsidR="00B7720E" w:rsidRPr="0097459F">
        <w:rPr>
          <w:rFonts w:cstheme="minorHAnsi"/>
        </w:rPr>
        <w:t xml:space="preserve">2º  </w:t>
      </w:r>
      <w:r w:rsidRPr="0097459F">
        <w:rPr>
          <w:rFonts w:cstheme="minorHAnsi"/>
        </w:rPr>
        <w:t xml:space="preserve">A assembleia de cotistas a que comparecerem todos os cotistas pode dispensar o prazo estabelecido no § </w:t>
      </w:r>
      <w:r w:rsidR="002F3174">
        <w:rPr>
          <w:rFonts w:cstheme="minorHAnsi"/>
        </w:rPr>
        <w:t>1</w:t>
      </w:r>
      <w:r w:rsidRPr="0097459F">
        <w:rPr>
          <w:rFonts w:cstheme="minorHAnsi"/>
        </w:rPr>
        <w:t>º.</w:t>
      </w:r>
    </w:p>
    <w:p w14:paraId="0ABE6E4C" w14:textId="548F485D" w:rsidR="003A439C" w:rsidRPr="0097459F" w:rsidRDefault="003A439C" w:rsidP="00C20BBD">
      <w:pPr>
        <w:pStyle w:val="Normalalteradora"/>
        <w:rPr>
          <w:rFonts w:cstheme="minorHAnsi"/>
        </w:rPr>
      </w:pPr>
      <w:r w:rsidRPr="0097459F">
        <w:rPr>
          <w:rFonts w:cstheme="minorHAnsi"/>
        </w:rPr>
        <w:t xml:space="preserve">§ </w:t>
      </w:r>
      <w:r w:rsidR="00B7720E" w:rsidRPr="0097459F">
        <w:rPr>
          <w:rFonts w:cstheme="minorHAnsi"/>
        </w:rPr>
        <w:t xml:space="preserve">3º  </w:t>
      </w:r>
      <w:r w:rsidRPr="0097459F">
        <w:rPr>
          <w:rFonts w:cstheme="minorHAnsi"/>
        </w:rPr>
        <w:t>As demonstrações contábeis cujo relatório de auditoria não contiver opinião modificada podem ser consideradas automaticamente aprovadas caso a assembleia de cotistas não seja instalada</w:t>
      </w:r>
      <w:r w:rsidR="00A42927" w:rsidRPr="0097459F">
        <w:rPr>
          <w:rFonts w:cstheme="minorHAnsi"/>
        </w:rPr>
        <w:t xml:space="preserve"> em virtude d</w:t>
      </w:r>
      <w:r w:rsidR="00112D34" w:rsidRPr="0097459F">
        <w:rPr>
          <w:rFonts w:cstheme="minorHAnsi"/>
        </w:rPr>
        <w:t>e</w:t>
      </w:r>
      <w:r w:rsidR="00A42927" w:rsidRPr="0097459F">
        <w:rPr>
          <w:rFonts w:cstheme="minorHAnsi"/>
        </w:rPr>
        <w:t xml:space="preserve"> não comparecimento d</w:t>
      </w:r>
      <w:r w:rsidR="00112D34" w:rsidRPr="0097459F">
        <w:rPr>
          <w:rFonts w:cstheme="minorHAnsi"/>
        </w:rPr>
        <w:t>os</w:t>
      </w:r>
      <w:r w:rsidR="00A42927" w:rsidRPr="0097459F">
        <w:rPr>
          <w:rFonts w:cstheme="minorHAnsi"/>
        </w:rPr>
        <w:t xml:space="preserve"> cotista</w:t>
      </w:r>
      <w:r w:rsidR="00112D34" w:rsidRPr="0097459F">
        <w:rPr>
          <w:rFonts w:cstheme="minorHAnsi"/>
        </w:rPr>
        <w:t>s</w:t>
      </w:r>
      <w:r w:rsidRPr="0097459F">
        <w:rPr>
          <w:rFonts w:cstheme="minorHAnsi"/>
        </w:rPr>
        <w:t>.</w:t>
      </w:r>
    </w:p>
    <w:p w14:paraId="0D4D53C0" w14:textId="63708FFC" w:rsidR="00893D49" w:rsidRPr="0097459F" w:rsidRDefault="00893D49" w:rsidP="00C20BBD">
      <w:pPr>
        <w:pStyle w:val="Seo"/>
        <w:rPr>
          <w:rFonts w:asciiTheme="minorHAnsi" w:hAnsiTheme="minorHAnsi"/>
        </w:rPr>
      </w:pPr>
      <w:bookmarkStart w:id="178" w:name="_Toc53594452"/>
      <w:bookmarkStart w:id="179" w:name="_Toc53595477"/>
      <w:bookmarkStart w:id="180" w:name="_Toc53594204"/>
      <w:bookmarkStart w:id="181" w:name="_Toc114818985"/>
      <w:bookmarkStart w:id="182" w:name="_Toc57836212"/>
      <w:bookmarkStart w:id="183" w:name="_Toc126226313"/>
      <w:r w:rsidRPr="0097459F">
        <w:rPr>
          <w:rFonts w:asciiTheme="minorHAnsi" w:hAnsiTheme="minorHAnsi"/>
        </w:rPr>
        <w:t>Seção II – Convocação e Instalação</w:t>
      </w:r>
      <w:bookmarkEnd w:id="178"/>
      <w:bookmarkEnd w:id="179"/>
      <w:bookmarkEnd w:id="180"/>
      <w:bookmarkEnd w:id="181"/>
      <w:bookmarkEnd w:id="182"/>
      <w:bookmarkEnd w:id="183"/>
    </w:p>
    <w:p w14:paraId="6A92B0B5" w14:textId="333F2530"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72</w:t>
      </w:r>
      <w:r w:rsidRPr="0097459F">
        <w:rPr>
          <w:rFonts w:cstheme="minorHAnsi"/>
        </w:rPr>
        <w:t xml:space="preserve">.  A convocação da assembleia de cotistas deve ser encaminhada a cada cotista </w:t>
      </w:r>
      <w:r w:rsidR="002F5944" w:rsidRPr="0097459F">
        <w:rPr>
          <w:rFonts w:cstheme="minorHAnsi"/>
        </w:rPr>
        <w:t xml:space="preserve">da classe convocada </w:t>
      </w:r>
      <w:r w:rsidRPr="0097459F">
        <w:rPr>
          <w:rFonts w:cstheme="minorHAnsi"/>
        </w:rPr>
        <w:t>e disponibilizada nas páginas do administrador</w:t>
      </w:r>
      <w:r w:rsidR="00F047DB" w:rsidRPr="0097459F">
        <w:rPr>
          <w:rFonts w:cstheme="minorHAnsi"/>
        </w:rPr>
        <w:t>, gestor</w:t>
      </w:r>
      <w:r w:rsidRPr="0097459F">
        <w:rPr>
          <w:rFonts w:cstheme="minorHAnsi"/>
        </w:rPr>
        <w:t xml:space="preserve"> e</w:t>
      </w:r>
      <w:r w:rsidR="00BE7767" w:rsidRPr="0097459F">
        <w:rPr>
          <w:rFonts w:cstheme="minorHAnsi"/>
        </w:rPr>
        <w:t>,</w:t>
      </w:r>
      <w:r w:rsidR="008C308B" w:rsidRPr="0097459F">
        <w:rPr>
          <w:rFonts w:cstheme="minorHAnsi"/>
        </w:rPr>
        <w:t xml:space="preserve"> </w:t>
      </w:r>
      <w:r w:rsidR="006416DC" w:rsidRPr="0097459F">
        <w:rPr>
          <w:rFonts w:cstheme="minorHAnsi"/>
        </w:rPr>
        <w:t>caso a</w:t>
      </w:r>
      <w:r w:rsidR="00BE7767" w:rsidRPr="0097459F">
        <w:rPr>
          <w:rFonts w:cstheme="minorHAnsi"/>
        </w:rPr>
        <w:t xml:space="preserve"> distribuição de cotas</w:t>
      </w:r>
      <w:r w:rsidR="006416DC" w:rsidRPr="0097459F">
        <w:rPr>
          <w:rFonts w:cstheme="minorHAnsi"/>
        </w:rPr>
        <w:t xml:space="preserve"> esteja em andamento</w:t>
      </w:r>
      <w:r w:rsidR="00BE7767" w:rsidRPr="0097459F">
        <w:rPr>
          <w:rFonts w:cstheme="minorHAnsi"/>
        </w:rPr>
        <w:t>,</w:t>
      </w:r>
      <w:r w:rsidRPr="0097459F">
        <w:rPr>
          <w:rFonts w:cstheme="minorHAnsi"/>
        </w:rPr>
        <w:t xml:space="preserve"> dos distribuidores na rede mundial de computadores.</w:t>
      </w:r>
    </w:p>
    <w:p w14:paraId="1892064B" w14:textId="74C94F0C" w:rsidR="00893D49" w:rsidRPr="0097459F" w:rsidRDefault="00893D49" w:rsidP="00C20BBD">
      <w:pPr>
        <w:pStyle w:val="Normalalteradora"/>
        <w:rPr>
          <w:rFonts w:cstheme="minorHAnsi"/>
        </w:rPr>
      </w:pPr>
      <w:r w:rsidRPr="0097459F">
        <w:rPr>
          <w:rFonts w:cstheme="minorHAnsi"/>
        </w:rPr>
        <w:t xml:space="preserve">§ 1º  A convocação </w:t>
      </w:r>
      <w:r w:rsidR="00BE7767" w:rsidRPr="0097459F">
        <w:rPr>
          <w:rFonts w:cstheme="minorHAnsi"/>
        </w:rPr>
        <w:t xml:space="preserve">da </w:t>
      </w:r>
      <w:r w:rsidRPr="0097459F">
        <w:rPr>
          <w:rFonts w:cstheme="minorHAnsi"/>
        </w:rPr>
        <w:t>assembleia de cotistas deve enumerar, expressamente, na ordem do dia, todas as matérias a serem deliberadas, não se admitindo que sob a rubrica de assuntos gerais haja matérias que dependam de deliberação da assembleia.</w:t>
      </w:r>
    </w:p>
    <w:p w14:paraId="35082C5C" w14:textId="6E006880" w:rsidR="00893D49" w:rsidRPr="0097459F" w:rsidRDefault="00893D49" w:rsidP="00C20BBD">
      <w:pPr>
        <w:pStyle w:val="Normalalteradora"/>
        <w:rPr>
          <w:rFonts w:cstheme="minorHAnsi"/>
        </w:rPr>
      </w:pPr>
      <w:r w:rsidRPr="0097459F">
        <w:rPr>
          <w:rFonts w:cstheme="minorHAnsi"/>
        </w:rPr>
        <w:t xml:space="preserve">§ 2º  Caso seja admitida a participação do cotista por meio de sistema eletrônico, a convocação deve conter informações detalhando as regras e os procedimentos </w:t>
      </w:r>
      <w:r w:rsidR="00AC76AB" w:rsidRPr="0097459F">
        <w:rPr>
          <w:rFonts w:cstheme="minorHAnsi"/>
        </w:rPr>
        <w:t>para viabilizar</w:t>
      </w:r>
      <w:r w:rsidRPr="0097459F">
        <w:rPr>
          <w:rFonts w:cstheme="minorHAnsi"/>
        </w:rPr>
        <w:t xml:space="preserve"> </w:t>
      </w:r>
      <w:r w:rsidR="00AC76AB" w:rsidRPr="0097459F">
        <w:rPr>
          <w:rFonts w:cstheme="minorHAnsi"/>
        </w:rPr>
        <w:t xml:space="preserve">a participação e votação </w:t>
      </w:r>
      <w:r w:rsidR="00112D34" w:rsidRPr="0097459F">
        <w:rPr>
          <w:rFonts w:cstheme="minorHAnsi"/>
        </w:rPr>
        <w:t>a</w:t>
      </w:r>
      <w:r w:rsidRPr="0097459F">
        <w:rPr>
          <w:rFonts w:cstheme="minorHAnsi"/>
        </w:rPr>
        <w:t xml:space="preserve"> distância, incluindo </w:t>
      </w:r>
      <w:r w:rsidR="00AC76AB" w:rsidRPr="0097459F">
        <w:rPr>
          <w:rFonts w:cstheme="minorHAnsi"/>
        </w:rPr>
        <w:t xml:space="preserve">as </w:t>
      </w:r>
      <w:r w:rsidRPr="0097459F">
        <w:rPr>
          <w:rFonts w:cstheme="minorHAnsi"/>
        </w:rPr>
        <w:t>informações necessárias e suficientes para acesso e util</w:t>
      </w:r>
      <w:r w:rsidR="00AC76AB" w:rsidRPr="0097459F">
        <w:rPr>
          <w:rFonts w:cstheme="minorHAnsi"/>
        </w:rPr>
        <w:t>ização do sistema</w:t>
      </w:r>
      <w:r w:rsidRPr="0097459F">
        <w:rPr>
          <w:rFonts w:cstheme="minorHAnsi"/>
        </w:rPr>
        <w:t xml:space="preserve">, assim como se a assembleia será realizada parcial ou exclusivamente de modo </w:t>
      </w:r>
      <w:r w:rsidR="002202E7" w:rsidRPr="0097459F">
        <w:rPr>
          <w:rFonts w:cstheme="minorHAnsi"/>
        </w:rPr>
        <w:t>eletrônico</w:t>
      </w:r>
      <w:r w:rsidRPr="0097459F">
        <w:rPr>
          <w:rFonts w:cstheme="minorHAnsi"/>
        </w:rPr>
        <w:t>.</w:t>
      </w:r>
    </w:p>
    <w:p w14:paraId="159A9958" w14:textId="03C11F85" w:rsidR="00893D49" w:rsidRPr="0097459F" w:rsidRDefault="00893D49" w:rsidP="00C20BBD">
      <w:pPr>
        <w:pStyle w:val="Normalalteradora"/>
        <w:rPr>
          <w:rFonts w:cstheme="minorHAnsi"/>
        </w:rPr>
      </w:pPr>
      <w:r w:rsidRPr="0097459F">
        <w:rPr>
          <w:rFonts w:cstheme="minorHAnsi"/>
        </w:rPr>
        <w:t>§ 3º  As informações requeridas na convocação, conforme dispostas no § 2º, podem ser divulgadas de forma resumida, com indicação dos endereços na rede mundial de computadores onde a informação completa deve estar disponível a todos os investidores.</w:t>
      </w:r>
    </w:p>
    <w:p w14:paraId="66F9893A" w14:textId="4A4A1AB2" w:rsidR="00893D49" w:rsidRPr="0097459F" w:rsidRDefault="00893D49" w:rsidP="00C20BBD">
      <w:pPr>
        <w:pStyle w:val="Normalalteradora"/>
        <w:rPr>
          <w:rFonts w:cstheme="minorHAnsi"/>
        </w:rPr>
      </w:pPr>
      <w:r w:rsidRPr="0097459F">
        <w:rPr>
          <w:rFonts w:cstheme="minorHAnsi"/>
        </w:rPr>
        <w:t>§ 4º  A convocação da assembleia de cotistas deve ser feita com 10 (dez) dias de antecedência, no mínimo, da data de sua realização</w:t>
      </w:r>
      <w:r w:rsidR="00F56705" w:rsidRPr="0097459F">
        <w:rPr>
          <w:rFonts w:cstheme="minorHAnsi"/>
        </w:rPr>
        <w:t>, sem prejuízo de regras específicas, aplicáveis ao fundo em função de sua categoria</w:t>
      </w:r>
      <w:r w:rsidRPr="0097459F">
        <w:rPr>
          <w:rFonts w:cstheme="minorHAnsi"/>
        </w:rPr>
        <w:t>.</w:t>
      </w:r>
    </w:p>
    <w:p w14:paraId="0E12621F" w14:textId="4C5E055F" w:rsidR="00893D49" w:rsidRPr="0097459F" w:rsidRDefault="00893D49" w:rsidP="00C20BBD">
      <w:pPr>
        <w:pStyle w:val="Normalalteradora"/>
        <w:rPr>
          <w:rFonts w:cstheme="minorHAnsi"/>
        </w:rPr>
      </w:pPr>
      <w:r w:rsidRPr="0097459F">
        <w:rPr>
          <w:rFonts w:cstheme="minorHAnsi"/>
        </w:rPr>
        <w:t xml:space="preserve">§ 5º  Da convocação devem constar, obrigatoriamente, dia, hora e local em que será realizada a assembleia de cotistas, sem prejuízo da possibilidade de a assembleia ser parcial ou exclusivamente </w:t>
      </w:r>
      <w:r w:rsidR="002202E7" w:rsidRPr="0097459F">
        <w:rPr>
          <w:rFonts w:cstheme="minorHAnsi"/>
        </w:rPr>
        <w:t>eletrônica</w:t>
      </w:r>
      <w:r w:rsidRPr="0097459F">
        <w:rPr>
          <w:rFonts w:cstheme="minorHAnsi"/>
        </w:rPr>
        <w:t>.</w:t>
      </w:r>
    </w:p>
    <w:p w14:paraId="724AEFE3" w14:textId="11AE5101" w:rsidR="00893D49" w:rsidRPr="0097459F" w:rsidRDefault="00893D49" w:rsidP="00C20BBD">
      <w:pPr>
        <w:pStyle w:val="Normalalteradora"/>
        <w:rPr>
          <w:rFonts w:cstheme="minorHAnsi"/>
        </w:rPr>
      </w:pPr>
      <w:r w:rsidRPr="0097459F">
        <w:rPr>
          <w:rFonts w:cstheme="minorHAnsi"/>
        </w:rPr>
        <w:t>§ 6º  O aviso de convocação deve indicar a página na rede mundial de computadores em que o cotista pode acessar os documentos pertinentes à proposta a ser submetida à apreciação da assembleia.</w:t>
      </w:r>
    </w:p>
    <w:p w14:paraId="3FE1D33F" w14:textId="77777777" w:rsidR="00893D49" w:rsidRPr="0097459F" w:rsidRDefault="00893D49" w:rsidP="00C20BBD">
      <w:pPr>
        <w:pStyle w:val="Normalalteradora"/>
        <w:rPr>
          <w:rFonts w:cstheme="minorHAnsi"/>
        </w:rPr>
      </w:pPr>
      <w:r w:rsidRPr="0097459F">
        <w:rPr>
          <w:rFonts w:cstheme="minorHAnsi"/>
        </w:rPr>
        <w:t>§ 7º  A presença da totalidade dos cotistas supre a falta de convocação.</w:t>
      </w:r>
    </w:p>
    <w:p w14:paraId="75126C3B" w14:textId="0578A46E" w:rsidR="00DD4A5D" w:rsidRPr="0097459F" w:rsidRDefault="00DD4A5D" w:rsidP="00DD4A5D">
      <w:pPr>
        <w:pStyle w:val="Normalalteradora"/>
        <w:rPr>
          <w:rFonts w:cstheme="minorHAnsi"/>
        </w:rPr>
      </w:pPr>
      <w:r w:rsidRPr="00893D49">
        <w:rPr>
          <w:rFonts w:cstheme="minorHAnsi"/>
        </w:rPr>
        <w:lastRenderedPageBreak/>
        <w:t xml:space="preserve">Art. </w:t>
      </w:r>
      <w:r>
        <w:rPr>
          <w:rFonts w:cstheme="minorHAnsi"/>
        </w:rPr>
        <w:t>73</w:t>
      </w:r>
      <w:r w:rsidRPr="00893D49">
        <w:rPr>
          <w:rFonts w:cstheme="minorHAnsi"/>
        </w:rPr>
        <w:t xml:space="preserve">.  </w:t>
      </w:r>
      <w:r>
        <w:rPr>
          <w:rFonts w:cstheme="minorHAnsi"/>
        </w:rPr>
        <w:t>O</w:t>
      </w:r>
      <w:r w:rsidRPr="00893D49">
        <w:rPr>
          <w:rFonts w:cstheme="minorHAnsi"/>
        </w:rPr>
        <w:t xml:space="preserve">s prestadores de serviços essenciais, o cotista ou grupo de cotistas que detenha, no mínimo, 5% (cinco por cento) do total de cotas emitidas, podem convocar, a qualquer tempo, assembleia de cotistas para deliberar sobre ordem do dia de interesse do fundo, da classe ou </w:t>
      </w:r>
      <w:r>
        <w:rPr>
          <w:rFonts w:cstheme="minorHAnsi"/>
        </w:rPr>
        <w:t>da comunhão de</w:t>
      </w:r>
      <w:r w:rsidRPr="00893D49">
        <w:rPr>
          <w:rFonts w:cstheme="minorHAnsi"/>
        </w:rPr>
        <w:t xml:space="preserve"> cotistas.</w:t>
      </w:r>
    </w:p>
    <w:p w14:paraId="657F307B" w14:textId="015BA27F" w:rsidR="00577378" w:rsidRPr="0097459F" w:rsidRDefault="00577378" w:rsidP="00C20BBD">
      <w:pPr>
        <w:pStyle w:val="Normalalteradora"/>
        <w:rPr>
          <w:rFonts w:cstheme="minorHAnsi"/>
        </w:rPr>
      </w:pPr>
      <w:r w:rsidRPr="0097459F">
        <w:rPr>
          <w:rFonts w:cstheme="minorHAnsi"/>
        </w:rPr>
        <w:t>§ 1º</w:t>
      </w:r>
      <w:r w:rsidR="00893D49" w:rsidRPr="0097459F">
        <w:rPr>
          <w:rFonts w:cstheme="minorHAnsi"/>
        </w:rPr>
        <w:t xml:space="preserve"> </w:t>
      </w:r>
      <w:r w:rsidRPr="0097459F">
        <w:rPr>
          <w:rFonts w:cstheme="minorHAnsi"/>
        </w:rPr>
        <w:t xml:space="preserve"> </w:t>
      </w:r>
      <w:r w:rsidR="002847BB" w:rsidRPr="0097459F">
        <w:rPr>
          <w:rFonts w:cstheme="minorHAnsi"/>
        </w:rPr>
        <w:t xml:space="preserve">O pedido de </w:t>
      </w:r>
      <w:r w:rsidR="00893D49" w:rsidRPr="0097459F">
        <w:rPr>
          <w:rFonts w:cstheme="minorHAnsi"/>
        </w:rPr>
        <w:t xml:space="preserve">convocação </w:t>
      </w:r>
      <w:r w:rsidR="002847BB" w:rsidRPr="0097459F">
        <w:rPr>
          <w:rFonts w:cstheme="minorHAnsi"/>
        </w:rPr>
        <w:t xml:space="preserve">pelo gestor ou por cotistas </w:t>
      </w:r>
      <w:r w:rsidR="00893D49" w:rsidRPr="0097459F">
        <w:rPr>
          <w:rFonts w:cstheme="minorHAnsi"/>
        </w:rPr>
        <w:t>deve ser dirigida ao administrador, que deve, no prazo máximo de 30 (trinta) dias contado do recebimento, convocar a assembleia de cotistas</w:t>
      </w:r>
      <w:r w:rsidR="008023EC" w:rsidRPr="0097459F">
        <w:rPr>
          <w:rFonts w:cstheme="minorHAnsi"/>
        </w:rPr>
        <w:t>.</w:t>
      </w:r>
    </w:p>
    <w:p w14:paraId="295C22CA" w14:textId="3E6B0EF8" w:rsidR="00893D49" w:rsidRPr="0097459F" w:rsidRDefault="00577378" w:rsidP="00C20BBD">
      <w:pPr>
        <w:pStyle w:val="Normalalteradora"/>
        <w:rPr>
          <w:rFonts w:cstheme="minorHAnsi"/>
        </w:rPr>
      </w:pPr>
      <w:r w:rsidRPr="0097459F">
        <w:rPr>
          <w:rFonts w:cstheme="minorHAnsi"/>
        </w:rPr>
        <w:t>§ 2º  A</w:t>
      </w:r>
      <w:r w:rsidR="000740FD" w:rsidRPr="0097459F">
        <w:rPr>
          <w:rFonts w:cstheme="minorHAnsi"/>
        </w:rPr>
        <w:t xml:space="preserve"> convocação e a realização da assembleia </w:t>
      </w:r>
      <w:r w:rsidR="008023EC" w:rsidRPr="0097459F">
        <w:rPr>
          <w:rFonts w:cstheme="minorHAnsi"/>
        </w:rPr>
        <w:t>devem ser</w:t>
      </w:r>
      <w:r w:rsidR="000740FD" w:rsidRPr="0097459F">
        <w:rPr>
          <w:rFonts w:cstheme="minorHAnsi"/>
        </w:rPr>
        <w:t xml:space="preserve"> custeadas</w:t>
      </w:r>
      <w:r w:rsidR="00893D49" w:rsidRPr="0097459F">
        <w:rPr>
          <w:rFonts w:cstheme="minorHAnsi"/>
        </w:rPr>
        <w:t xml:space="preserve"> </w:t>
      </w:r>
      <w:r w:rsidR="008023EC" w:rsidRPr="0097459F">
        <w:rPr>
          <w:rFonts w:cstheme="minorHAnsi"/>
        </w:rPr>
        <w:t>pel</w:t>
      </w:r>
      <w:r w:rsidR="00893D49" w:rsidRPr="0097459F">
        <w:rPr>
          <w:rFonts w:cstheme="minorHAnsi"/>
        </w:rPr>
        <w:t>os requerentes, salvo se a assembleia assim convocada deliberar em contrário.</w:t>
      </w:r>
    </w:p>
    <w:p w14:paraId="4EAF5B53" w14:textId="293128B5"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74</w:t>
      </w:r>
      <w:r w:rsidRPr="0097459F">
        <w:rPr>
          <w:rFonts w:cstheme="minorHAnsi"/>
        </w:rPr>
        <w:t>.  A assembleia de cotistas se instala com a presença de qualquer número de cotistas.</w:t>
      </w:r>
    </w:p>
    <w:p w14:paraId="384F64FB" w14:textId="6F5C41DE"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75</w:t>
      </w:r>
      <w:r w:rsidRPr="0097459F">
        <w:rPr>
          <w:rFonts w:cstheme="minorHAnsi"/>
        </w:rPr>
        <w:t>.  A assembleia de cotistas pode ser realizada:</w:t>
      </w:r>
    </w:p>
    <w:p w14:paraId="58E1C540" w14:textId="51D1967B" w:rsidR="00893D49" w:rsidRPr="0097459F" w:rsidRDefault="00893D49" w:rsidP="00C20BBD">
      <w:pPr>
        <w:pStyle w:val="Normalalteradora"/>
        <w:rPr>
          <w:rFonts w:cstheme="minorHAnsi"/>
        </w:rPr>
      </w:pPr>
      <w:r w:rsidRPr="0097459F">
        <w:rPr>
          <w:rFonts w:cstheme="minorHAnsi"/>
        </w:rPr>
        <w:t xml:space="preserve">I – de modo exclusivamente </w:t>
      </w:r>
      <w:r w:rsidR="003C45C6" w:rsidRPr="0097459F">
        <w:rPr>
          <w:rFonts w:cstheme="minorHAnsi"/>
        </w:rPr>
        <w:t>eletrônico</w:t>
      </w:r>
      <w:r w:rsidRPr="0097459F">
        <w:rPr>
          <w:rFonts w:cstheme="minorHAnsi"/>
        </w:rPr>
        <w:t>, caso os cotistas somente possam participar e votar por meio de comunicação escrita ou sistema eletrônico; ou</w:t>
      </w:r>
    </w:p>
    <w:p w14:paraId="685920CF" w14:textId="41F3BC16" w:rsidR="00893D49" w:rsidRPr="0097459F" w:rsidRDefault="00893D49" w:rsidP="00C20BBD">
      <w:pPr>
        <w:pStyle w:val="Normalalteradora"/>
        <w:rPr>
          <w:rFonts w:cstheme="minorHAnsi"/>
        </w:rPr>
      </w:pPr>
      <w:r w:rsidRPr="0097459F">
        <w:rPr>
          <w:rFonts w:cstheme="minorHAnsi"/>
        </w:rPr>
        <w:t xml:space="preserve">II – de modo parcialmente </w:t>
      </w:r>
      <w:r w:rsidR="003C45C6" w:rsidRPr="0097459F">
        <w:rPr>
          <w:rFonts w:cstheme="minorHAnsi"/>
        </w:rPr>
        <w:t>eletrônico</w:t>
      </w:r>
      <w:r w:rsidRPr="0097459F">
        <w:rPr>
          <w:rFonts w:cstheme="minorHAnsi"/>
        </w:rPr>
        <w:t xml:space="preserve">, caso os cotistas possam participar e votar tanto presencialmente quanto </w:t>
      </w:r>
      <w:r w:rsidR="00017B20" w:rsidRPr="0097459F">
        <w:rPr>
          <w:rFonts w:cstheme="minorHAnsi"/>
        </w:rPr>
        <w:t>a</w:t>
      </w:r>
      <w:r w:rsidR="00BE7767" w:rsidRPr="0097459F">
        <w:rPr>
          <w:rFonts w:cstheme="minorHAnsi"/>
        </w:rPr>
        <w:t xml:space="preserve"> </w:t>
      </w:r>
      <w:r w:rsidRPr="0097459F">
        <w:rPr>
          <w:rFonts w:cstheme="minorHAnsi"/>
        </w:rPr>
        <w:t>distância por meio de comunicação escrita ou sistema eletrônico.</w:t>
      </w:r>
    </w:p>
    <w:p w14:paraId="3E4C8901" w14:textId="1BE6DBA7" w:rsidR="00893D49" w:rsidRPr="0097459F" w:rsidRDefault="00893D49" w:rsidP="00C20BBD">
      <w:pPr>
        <w:pStyle w:val="Normalalteradora"/>
        <w:rPr>
          <w:rFonts w:cstheme="minorHAnsi"/>
        </w:rPr>
      </w:pPr>
      <w:r w:rsidRPr="0097459F">
        <w:rPr>
          <w:rFonts w:cstheme="minorHAnsi"/>
        </w:rPr>
        <w:t xml:space="preserve">§ 1º  A assembleia realizada exclusivamente de modo </w:t>
      </w:r>
      <w:r w:rsidR="003C45C6" w:rsidRPr="0097459F">
        <w:rPr>
          <w:rFonts w:cstheme="minorHAnsi"/>
        </w:rPr>
        <w:t xml:space="preserve">eletrônico </w:t>
      </w:r>
      <w:r w:rsidR="00017B20" w:rsidRPr="0097459F">
        <w:rPr>
          <w:rFonts w:cstheme="minorHAnsi"/>
        </w:rPr>
        <w:t>é</w:t>
      </w:r>
      <w:r w:rsidRPr="0097459F">
        <w:rPr>
          <w:rFonts w:cstheme="minorHAnsi"/>
        </w:rPr>
        <w:t xml:space="preserve"> considerada como ocorrida na sede do administrador.</w:t>
      </w:r>
    </w:p>
    <w:p w14:paraId="1930C31B" w14:textId="5ED7A4E6" w:rsidR="00893D49" w:rsidRPr="0097459F" w:rsidRDefault="00893D49" w:rsidP="00C20BBD">
      <w:pPr>
        <w:pStyle w:val="Normalalteradora"/>
        <w:rPr>
          <w:rFonts w:cstheme="minorHAnsi"/>
        </w:rPr>
      </w:pPr>
      <w:r w:rsidRPr="0097459F">
        <w:rPr>
          <w:rFonts w:cstheme="minorHAnsi"/>
        </w:rPr>
        <w:t xml:space="preserve">§ 2º  No caso de utilização de </w:t>
      </w:r>
      <w:r w:rsidR="005F7283" w:rsidRPr="0097459F">
        <w:rPr>
          <w:rFonts w:cstheme="minorHAnsi"/>
        </w:rPr>
        <w:t xml:space="preserve">modo </w:t>
      </w:r>
      <w:r w:rsidRPr="0097459F">
        <w:rPr>
          <w:rFonts w:cstheme="minorHAnsi"/>
        </w:rPr>
        <w:t>eletrônico, o administrador deve adotar meios para garantir a autenticidade e a segurança na transmissão de informações, particularmente os votos, que devem ser proferidos por meio de assinatura eletrônica ou outros meios eficazes para assegurar a identificação do cotista.</w:t>
      </w:r>
    </w:p>
    <w:p w14:paraId="7EB9B12E" w14:textId="77777777" w:rsidR="00893D49" w:rsidRPr="0097459F" w:rsidRDefault="00893D49" w:rsidP="00C20BBD">
      <w:pPr>
        <w:pStyle w:val="Normalalteradora"/>
        <w:rPr>
          <w:rFonts w:cstheme="minorHAnsi"/>
        </w:rPr>
      </w:pPr>
      <w:r w:rsidRPr="0097459F">
        <w:rPr>
          <w:rFonts w:cstheme="minorHAnsi"/>
        </w:rPr>
        <w:t>§ 3º  Os cotistas podem votar por meio de comunicação escrita ou eletrônica, desde que recebida pelo administrador antes do início da assembleia, observado o disposto no regulamento.</w:t>
      </w:r>
    </w:p>
    <w:p w14:paraId="34CF31C4" w14:textId="77777777" w:rsidR="00893D49" w:rsidRPr="0097459F" w:rsidRDefault="00893D49" w:rsidP="00C20BBD">
      <w:pPr>
        <w:pStyle w:val="Seo"/>
        <w:rPr>
          <w:rFonts w:asciiTheme="minorHAnsi" w:hAnsiTheme="minorHAnsi"/>
        </w:rPr>
      </w:pPr>
      <w:bookmarkStart w:id="184" w:name="_Toc53594453"/>
      <w:bookmarkStart w:id="185" w:name="_Toc53595478"/>
      <w:bookmarkStart w:id="186" w:name="_Toc53594205"/>
      <w:bookmarkStart w:id="187" w:name="_Toc114818986"/>
      <w:bookmarkStart w:id="188" w:name="_Toc57836213"/>
      <w:bookmarkStart w:id="189" w:name="_Toc126226314"/>
      <w:r w:rsidRPr="0097459F">
        <w:rPr>
          <w:rFonts w:asciiTheme="minorHAnsi" w:hAnsiTheme="minorHAnsi"/>
        </w:rPr>
        <w:t>Seção III – Deliberações</w:t>
      </w:r>
      <w:bookmarkEnd w:id="184"/>
      <w:bookmarkEnd w:id="185"/>
      <w:bookmarkEnd w:id="186"/>
      <w:bookmarkEnd w:id="187"/>
      <w:bookmarkEnd w:id="188"/>
      <w:bookmarkEnd w:id="189"/>
    </w:p>
    <w:p w14:paraId="0BB4F004" w14:textId="1165C7B9"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76</w:t>
      </w:r>
      <w:r w:rsidRPr="0097459F">
        <w:rPr>
          <w:rFonts w:cstheme="minorHAnsi"/>
        </w:rPr>
        <w:t>.  As deliberações da assembleia de cotistas são tomadas por maioria de votos</w:t>
      </w:r>
      <w:r w:rsidR="00C27AF6" w:rsidRPr="0097459F">
        <w:rPr>
          <w:rFonts w:cstheme="minorHAnsi"/>
        </w:rPr>
        <w:t xml:space="preserve"> dos presentes</w:t>
      </w:r>
      <w:r w:rsidRPr="0097459F">
        <w:rPr>
          <w:rFonts w:cstheme="minorHAnsi"/>
        </w:rPr>
        <w:t>.</w:t>
      </w:r>
    </w:p>
    <w:p w14:paraId="0A70A85A" w14:textId="40143160" w:rsidR="00F468A8" w:rsidRPr="0097459F" w:rsidRDefault="00F468A8" w:rsidP="00C20BBD">
      <w:pPr>
        <w:pStyle w:val="Normalalteradora"/>
        <w:rPr>
          <w:rFonts w:cstheme="minorHAnsi"/>
        </w:rPr>
      </w:pPr>
      <w:r w:rsidRPr="0097459F">
        <w:rPr>
          <w:rFonts w:cstheme="minorHAnsi"/>
        </w:rPr>
        <w:t xml:space="preserve">§ 1º  O regulamento pode estabelecer quórum qualificado para as deliberações, inclusive as relativas às matérias previstas no art. </w:t>
      </w:r>
      <w:r w:rsidR="002574EE" w:rsidRPr="0097459F">
        <w:rPr>
          <w:rFonts w:cstheme="minorHAnsi"/>
        </w:rPr>
        <w:t>70</w:t>
      </w:r>
      <w:r w:rsidRPr="0097459F">
        <w:rPr>
          <w:rFonts w:cstheme="minorHAnsi"/>
        </w:rPr>
        <w:t>.</w:t>
      </w:r>
    </w:p>
    <w:p w14:paraId="1EF74762" w14:textId="18C9F817" w:rsidR="00F468A8" w:rsidRPr="0097459F" w:rsidRDefault="00F468A8" w:rsidP="00C20BBD">
      <w:pPr>
        <w:pStyle w:val="Normalalteradora"/>
        <w:rPr>
          <w:rFonts w:cstheme="minorHAnsi"/>
        </w:rPr>
      </w:pPr>
      <w:r w:rsidRPr="0097459F">
        <w:rPr>
          <w:rFonts w:cstheme="minorHAnsi"/>
        </w:rPr>
        <w:lastRenderedPageBreak/>
        <w:t xml:space="preserve">§ </w:t>
      </w:r>
      <w:r w:rsidRPr="0097459F" w:rsidDel="006A5791">
        <w:rPr>
          <w:rFonts w:cstheme="minorHAnsi"/>
        </w:rPr>
        <w:t>2</w:t>
      </w:r>
      <w:r w:rsidRPr="0097459F">
        <w:rPr>
          <w:rFonts w:cstheme="minorHAnsi"/>
        </w:rPr>
        <w:t xml:space="preserve">º  Na hipótese de </w:t>
      </w:r>
      <w:r w:rsidR="009C74D8" w:rsidRPr="0097459F">
        <w:rPr>
          <w:rFonts w:cstheme="minorHAnsi"/>
        </w:rPr>
        <w:t xml:space="preserve">deliberação que possa resultar na </w:t>
      </w:r>
      <w:r w:rsidRPr="0097459F">
        <w:rPr>
          <w:rFonts w:cstheme="minorHAnsi"/>
        </w:rPr>
        <w:t xml:space="preserve">destituição ou substituição de prestador de serviço essencial </w:t>
      </w:r>
      <w:r w:rsidR="008B6C99" w:rsidRPr="0097459F">
        <w:rPr>
          <w:rFonts w:cstheme="minorHAnsi"/>
        </w:rPr>
        <w:t>da</w:t>
      </w:r>
      <w:r w:rsidRPr="0097459F">
        <w:rPr>
          <w:rFonts w:cstheme="minorHAnsi"/>
        </w:rPr>
        <w:t xml:space="preserve"> classe aberta, o quórum qualificado a que se refere o § 1º não pode ultrapassar cotas representativas da metade do patrimônio líquido </w:t>
      </w:r>
      <w:r w:rsidR="008B6C99" w:rsidRPr="0097459F">
        <w:rPr>
          <w:rFonts w:cstheme="minorHAnsi"/>
        </w:rPr>
        <w:t>da classe</w:t>
      </w:r>
      <w:r w:rsidRPr="0097459F">
        <w:rPr>
          <w:rFonts w:cstheme="minorHAnsi"/>
        </w:rPr>
        <w:t>.</w:t>
      </w:r>
    </w:p>
    <w:p w14:paraId="76CD7C3A" w14:textId="46885B4F" w:rsidR="00F468A8" w:rsidRPr="0097459F" w:rsidRDefault="00F468A8" w:rsidP="00C20BBD">
      <w:pPr>
        <w:pStyle w:val="Normalalteradora"/>
        <w:rPr>
          <w:rFonts w:cstheme="minorHAnsi"/>
        </w:rPr>
      </w:pPr>
      <w:r w:rsidRPr="0097459F">
        <w:rPr>
          <w:rFonts w:cstheme="minorHAnsi"/>
        </w:rPr>
        <w:t xml:space="preserve">§ 3º  </w:t>
      </w:r>
      <w:r w:rsidR="0012084C" w:rsidRPr="0097459F">
        <w:rPr>
          <w:rFonts w:cstheme="minorHAnsi"/>
        </w:rPr>
        <w:t>Sem prejuízo da possibilidade prevista n</w:t>
      </w:r>
      <w:r w:rsidR="0012084C" w:rsidRPr="0097459F">
        <w:t xml:space="preserve">o art. </w:t>
      </w:r>
      <w:r w:rsidR="002574EE" w:rsidRPr="0097459F">
        <w:t>5</w:t>
      </w:r>
      <w:r w:rsidR="0012084C" w:rsidRPr="0097459F">
        <w:t>º, § 6º,</w:t>
      </w:r>
      <w:r w:rsidR="0012084C" w:rsidRPr="0097459F">
        <w:rPr>
          <w:rFonts w:cstheme="minorHAnsi"/>
        </w:rPr>
        <w:t xml:space="preserve"> </w:t>
      </w:r>
      <w:r w:rsidR="0012084C" w:rsidRPr="0097459F">
        <w:t>p</w:t>
      </w:r>
      <w:r w:rsidRPr="0097459F">
        <w:rPr>
          <w:rFonts w:cstheme="minorHAnsi"/>
        </w:rPr>
        <w:t>ara os efeitos de cômputo de quórum e manifestações de voto, na assembleia de cotistas a cada cotista cabe uma quantidade de votos representativa de sua participação no fundo, classe ou subclasse, conforme o caso.</w:t>
      </w:r>
    </w:p>
    <w:p w14:paraId="181BB5A8" w14:textId="4529DFE2" w:rsidR="00E8125C" w:rsidRPr="0097459F" w:rsidRDefault="00E8125C" w:rsidP="00C20BBD">
      <w:pPr>
        <w:pStyle w:val="Normalalteradora"/>
      </w:pPr>
      <w:r w:rsidRPr="0097459F">
        <w:t>§ 4º  Na classe restrita</w:t>
      </w:r>
      <w:r w:rsidR="006C388E" w:rsidRPr="0097459F">
        <w:t xml:space="preserve"> que possua subclasses</w:t>
      </w:r>
      <w:r w:rsidRPr="0097459F">
        <w:t>, o regulamento pode dispor livremente sobre a forma de cálculo d</w:t>
      </w:r>
      <w:r w:rsidR="00EF67EF" w:rsidRPr="0097459F">
        <w:t>a quantidade de</w:t>
      </w:r>
      <w:r w:rsidRPr="0097459F">
        <w:t xml:space="preserve"> votos atribuíd</w:t>
      </w:r>
      <w:r w:rsidR="00EF67EF" w:rsidRPr="0097459F">
        <w:t>a</w:t>
      </w:r>
      <w:r w:rsidRPr="0097459F">
        <w:t xml:space="preserve"> </w:t>
      </w:r>
      <w:r w:rsidR="00C21A67" w:rsidRPr="0097459F">
        <w:t>às diferentes subclasses</w:t>
      </w:r>
      <w:r w:rsidRPr="0097459F">
        <w:t xml:space="preserve">, desde que </w:t>
      </w:r>
      <w:r w:rsidR="006C388E" w:rsidRPr="0097459F">
        <w:t xml:space="preserve">a participação de </w:t>
      </w:r>
      <w:r w:rsidRPr="0097459F">
        <w:t xml:space="preserve">cotistas da mesma subclasse </w:t>
      </w:r>
      <w:r w:rsidR="006C388E" w:rsidRPr="0097459F">
        <w:t>seja equitativa.</w:t>
      </w:r>
    </w:p>
    <w:p w14:paraId="37688BB1" w14:textId="6B6BB9D4" w:rsidR="00893D49" w:rsidRPr="0097459F" w:rsidRDefault="00893D49" w:rsidP="00C20BBD">
      <w:pPr>
        <w:pStyle w:val="Normalalteradora"/>
        <w:rPr>
          <w:rFonts w:cstheme="minorHAnsi"/>
        </w:rPr>
      </w:pPr>
      <w:r w:rsidRPr="0097459F">
        <w:rPr>
          <w:rFonts w:cstheme="minorHAnsi"/>
        </w:rPr>
        <w:t xml:space="preserve">§ </w:t>
      </w:r>
      <w:r w:rsidR="00E8125C" w:rsidRPr="0097459F">
        <w:rPr>
          <w:rFonts w:cstheme="minorHAnsi"/>
        </w:rPr>
        <w:t>5</w:t>
      </w:r>
      <w:r w:rsidR="008B6C99" w:rsidRPr="0097459F">
        <w:rPr>
          <w:rFonts w:cstheme="minorHAnsi"/>
        </w:rPr>
        <w:t xml:space="preserve">º  </w:t>
      </w:r>
      <w:r w:rsidRPr="0097459F">
        <w:rPr>
          <w:rFonts w:cstheme="minorHAnsi"/>
        </w:rPr>
        <w:t>O regulamento pode dispor sobre a possibilidade de as deliberações da assembleia serem adotadas mediante processo de consulta formal, sem necessidade de reunião dos cotistas.</w:t>
      </w:r>
    </w:p>
    <w:p w14:paraId="40C3CEA8" w14:textId="4967D4CB" w:rsidR="00893D49" w:rsidRPr="0097459F" w:rsidRDefault="00893D49" w:rsidP="00C20BBD">
      <w:pPr>
        <w:pStyle w:val="Normalalteradora"/>
        <w:rPr>
          <w:rFonts w:cstheme="minorHAnsi"/>
        </w:rPr>
      </w:pPr>
      <w:r w:rsidRPr="0097459F">
        <w:rPr>
          <w:rFonts w:cstheme="minorHAnsi"/>
        </w:rPr>
        <w:t xml:space="preserve">§ </w:t>
      </w:r>
      <w:r w:rsidR="00E8125C" w:rsidRPr="0097459F">
        <w:rPr>
          <w:rFonts w:cstheme="minorHAnsi"/>
        </w:rPr>
        <w:t>6</w:t>
      </w:r>
      <w:r w:rsidR="008B6C99" w:rsidRPr="0097459F">
        <w:rPr>
          <w:rFonts w:cstheme="minorHAnsi"/>
        </w:rPr>
        <w:t xml:space="preserve">º  </w:t>
      </w:r>
      <w:r w:rsidRPr="0097459F">
        <w:rPr>
          <w:rFonts w:cstheme="minorHAnsi"/>
        </w:rPr>
        <w:t xml:space="preserve">Na hipótese a que se refere o § </w:t>
      </w:r>
      <w:r w:rsidR="00A1190E" w:rsidRPr="0097459F">
        <w:rPr>
          <w:rFonts w:cstheme="minorHAnsi"/>
        </w:rPr>
        <w:t>5</w:t>
      </w:r>
      <w:r w:rsidR="008B6C99" w:rsidRPr="0097459F">
        <w:rPr>
          <w:rFonts w:cstheme="minorHAnsi"/>
        </w:rPr>
        <w:t>º</w:t>
      </w:r>
      <w:r w:rsidRPr="0097459F">
        <w:rPr>
          <w:rFonts w:cstheme="minorHAnsi"/>
        </w:rPr>
        <w:t xml:space="preserve">, deve ser concedido aos cotistas o prazo mínimo de </w:t>
      </w:r>
      <w:r w:rsidR="002267F0" w:rsidRPr="0097459F">
        <w:rPr>
          <w:rFonts w:cstheme="minorHAnsi"/>
        </w:rPr>
        <w:t xml:space="preserve">10 </w:t>
      </w:r>
      <w:r w:rsidRPr="0097459F">
        <w:rPr>
          <w:rFonts w:cstheme="minorHAnsi"/>
        </w:rPr>
        <w:t>(</w:t>
      </w:r>
      <w:r w:rsidR="002267F0" w:rsidRPr="0097459F">
        <w:rPr>
          <w:rFonts w:cstheme="minorHAnsi"/>
        </w:rPr>
        <w:t>dez</w:t>
      </w:r>
      <w:r w:rsidRPr="0097459F">
        <w:rPr>
          <w:rFonts w:cstheme="minorHAnsi"/>
        </w:rPr>
        <w:t>) dias para manifestação</w:t>
      </w:r>
      <w:r w:rsidR="005F7283" w:rsidRPr="0097459F">
        <w:rPr>
          <w:rFonts w:cstheme="minorHAnsi"/>
        </w:rPr>
        <w:t xml:space="preserve">, contado da consulta por meio eletrônico, ou de </w:t>
      </w:r>
      <w:r w:rsidR="002446D6" w:rsidRPr="0097459F">
        <w:rPr>
          <w:rFonts w:cstheme="minorHAnsi"/>
        </w:rPr>
        <w:t>15</w:t>
      </w:r>
      <w:r w:rsidR="005F7283" w:rsidRPr="0097459F">
        <w:rPr>
          <w:rFonts w:cstheme="minorHAnsi"/>
        </w:rPr>
        <w:t xml:space="preserve"> (</w:t>
      </w:r>
      <w:r w:rsidR="002446D6" w:rsidRPr="0097459F">
        <w:rPr>
          <w:rFonts w:cstheme="minorHAnsi"/>
        </w:rPr>
        <w:t>quinze</w:t>
      </w:r>
      <w:r w:rsidR="005F7283" w:rsidRPr="0097459F">
        <w:rPr>
          <w:rFonts w:cstheme="minorHAnsi"/>
        </w:rPr>
        <w:t>) dias, contado da consulta por meio físico</w:t>
      </w:r>
      <w:r w:rsidRPr="0097459F">
        <w:rPr>
          <w:rFonts w:cstheme="minorHAnsi"/>
        </w:rPr>
        <w:t>.</w:t>
      </w:r>
    </w:p>
    <w:p w14:paraId="412679EB" w14:textId="46E48E2C"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77</w:t>
      </w:r>
      <w:r w:rsidRPr="0097459F">
        <w:rPr>
          <w:rFonts w:cstheme="minorHAnsi"/>
        </w:rPr>
        <w:t>.  Somente podem votar na assembleia geral ou especial os cotistas inscritos no registro de cotistas na data da convocação</w:t>
      </w:r>
      <w:r w:rsidR="009147B9" w:rsidRPr="0097459F">
        <w:rPr>
          <w:rFonts w:cstheme="minorHAnsi"/>
        </w:rPr>
        <w:t xml:space="preserve"> </w:t>
      </w:r>
      <w:r w:rsidRPr="0097459F">
        <w:rPr>
          <w:rFonts w:cstheme="minorHAnsi"/>
        </w:rPr>
        <w:t xml:space="preserve">da assembleia, seus representantes legais ou procuradores legalmente constituídos. </w:t>
      </w:r>
    </w:p>
    <w:p w14:paraId="4EB0BB2E" w14:textId="5ABA4E89" w:rsidR="00EF67EF" w:rsidRPr="0097459F" w:rsidRDefault="00EF67EF" w:rsidP="00C20BBD">
      <w:pPr>
        <w:pStyle w:val="Normalalteradora"/>
        <w:rPr>
          <w:rFonts w:cstheme="minorHAnsi"/>
        </w:rPr>
      </w:pPr>
      <w:r w:rsidRPr="0097459F">
        <w:rPr>
          <w:rFonts w:cstheme="minorHAnsi"/>
        </w:rPr>
        <w:t>§ 1º  As deliberações da assembleia especial de cotistas devem se ater às matérias de interesse exclusivo da respectiva classe de cotas</w:t>
      </w:r>
      <w:r w:rsidR="008F6B1B" w:rsidRPr="0097459F">
        <w:rPr>
          <w:rFonts w:cstheme="minorHAnsi"/>
        </w:rPr>
        <w:t xml:space="preserve"> ou subclasse de cotas, conforme o caso.</w:t>
      </w:r>
    </w:p>
    <w:p w14:paraId="08F821D3" w14:textId="7CE9FC00" w:rsidR="00901BCE" w:rsidRPr="0097459F" w:rsidRDefault="00EF67EF" w:rsidP="00C20BBD">
      <w:pPr>
        <w:pStyle w:val="Normalalteradora"/>
        <w:rPr>
          <w:rFonts w:cstheme="minorHAnsi"/>
        </w:rPr>
      </w:pPr>
      <w:r w:rsidRPr="0097459F">
        <w:rPr>
          <w:rFonts w:cstheme="minorHAnsi"/>
        </w:rPr>
        <w:t xml:space="preserve">§ 2º  </w:t>
      </w:r>
      <w:r w:rsidR="008F6B1B" w:rsidRPr="0097459F">
        <w:t>O</w:t>
      </w:r>
      <w:r w:rsidR="00901BCE" w:rsidRPr="0097459F">
        <w:t xml:space="preserve"> procurador deve possuir mandato com poderes específicos para </w:t>
      </w:r>
      <w:r w:rsidR="00A543DC" w:rsidRPr="0097459F">
        <w:t>a</w:t>
      </w:r>
      <w:r w:rsidR="00901BCE" w:rsidRPr="0097459F">
        <w:t xml:space="preserve"> representação</w:t>
      </w:r>
      <w:r w:rsidR="00A543DC" w:rsidRPr="0097459F">
        <w:t xml:space="preserve"> do cotista em assembleia,</w:t>
      </w:r>
      <w:r w:rsidR="003A5D9D" w:rsidRPr="0097459F">
        <w:t xml:space="preserve"> deve</w:t>
      </w:r>
      <w:r w:rsidR="00A543DC" w:rsidRPr="0097459F">
        <w:t>ndo</w:t>
      </w:r>
      <w:r w:rsidR="003A5D9D" w:rsidRPr="0097459F">
        <w:t xml:space="preserve"> </w:t>
      </w:r>
      <w:r w:rsidR="00A543DC" w:rsidRPr="0097459F">
        <w:t>entregar um exemplar do instrumento do mandato</w:t>
      </w:r>
      <w:r w:rsidR="008F6B1B" w:rsidRPr="0097459F">
        <w:t xml:space="preserve"> à</w:t>
      </w:r>
      <w:r w:rsidR="00A543DC" w:rsidRPr="0097459F">
        <w:t xml:space="preserve"> mesa, para sua utilização e arquivamento</w:t>
      </w:r>
      <w:r w:rsidR="003A5D9D" w:rsidRPr="0097459F">
        <w:t xml:space="preserve"> pelo administrador</w:t>
      </w:r>
      <w:r w:rsidR="00901BCE" w:rsidRPr="0097459F">
        <w:t>.</w:t>
      </w:r>
    </w:p>
    <w:p w14:paraId="7C1FF0ED" w14:textId="36285844" w:rsidR="00893D49" w:rsidRPr="0097459F" w:rsidRDefault="00893D49" w:rsidP="00C20BBD">
      <w:pPr>
        <w:pStyle w:val="Normalalteradora"/>
      </w:pPr>
      <w:r w:rsidRPr="0097459F">
        <w:t xml:space="preserve">Art. </w:t>
      </w:r>
      <w:r w:rsidR="00B7720E" w:rsidRPr="0097459F">
        <w:t>78</w:t>
      </w:r>
      <w:r w:rsidRPr="0097459F">
        <w:t>.  Não podem votar nas assembleias de cotistas:</w:t>
      </w:r>
    </w:p>
    <w:p w14:paraId="706ABC04" w14:textId="2C0BFC3C" w:rsidR="00893D49" w:rsidRPr="0097459F" w:rsidRDefault="00893D49" w:rsidP="00C20BBD">
      <w:pPr>
        <w:pStyle w:val="Normalalteradora"/>
        <w:rPr>
          <w:rFonts w:cstheme="minorHAnsi"/>
        </w:rPr>
      </w:pPr>
      <w:r w:rsidRPr="0097459F">
        <w:rPr>
          <w:rFonts w:cstheme="minorHAnsi"/>
        </w:rPr>
        <w:t>I – o prestador de serviço, essencial ou não;</w:t>
      </w:r>
    </w:p>
    <w:p w14:paraId="49BBD279" w14:textId="755B286F" w:rsidR="00893D49" w:rsidRPr="0097459F" w:rsidRDefault="00893D49" w:rsidP="2889066B">
      <w:pPr>
        <w:pStyle w:val="Normalalteradora"/>
      </w:pPr>
      <w:r w:rsidRPr="0097459F">
        <w:t xml:space="preserve">II – os sócios, diretores e </w:t>
      </w:r>
      <w:r w:rsidR="00B002CD" w:rsidRPr="0097459F">
        <w:t xml:space="preserve">empregados </w:t>
      </w:r>
      <w:r w:rsidRPr="0097459F">
        <w:t>do prestador de serviço;</w:t>
      </w:r>
    </w:p>
    <w:p w14:paraId="458650E3" w14:textId="31713128" w:rsidR="00893D49" w:rsidRPr="0097459F" w:rsidRDefault="00893D49" w:rsidP="00C20BBD">
      <w:pPr>
        <w:pStyle w:val="Normalalteradora"/>
        <w:rPr>
          <w:rFonts w:cstheme="minorHAnsi"/>
        </w:rPr>
      </w:pPr>
      <w:r w:rsidRPr="0097459F">
        <w:rPr>
          <w:rFonts w:cstheme="minorHAnsi"/>
        </w:rPr>
        <w:t xml:space="preserve">III – </w:t>
      </w:r>
      <w:r w:rsidR="000D35ED" w:rsidRPr="0097459F">
        <w:rPr>
          <w:rFonts w:cstheme="minorHAnsi"/>
        </w:rPr>
        <w:t>partes relacionadas</w:t>
      </w:r>
      <w:r w:rsidR="00C959D1" w:rsidRPr="0097459F">
        <w:t xml:space="preserve"> ao</w:t>
      </w:r>
      <w:r w:rsidRPr="0097459F">
        <w:rPr>
          <w:rFonts w:cstheme="minorHAnsi"/>
        </w:rPr>
        <w:t xml:space="preserve"> prestador de serviço, seus sócios, diretores e </w:t>
      </w:r>
      <w:r w:rsidR="00B002CD" w:rsidRPr="0097459F">
        <w:rPr>
          <w:rFonts w:cstheme="minorHAnsi"/>
        </w:rPr>
        <w:t>empregados</w:t>
      </w:r>
      <w:r w:rsidR="004E6019" w:rsidRPr="0097459F">
        <w:rPr>
          <w:rFonts w:cstheme="minorHAnsi"/>
        </w:rPr>
        <w:t>;</w:t>
      </w:r>
    </w:p>
    <w:p w14:paraId="40A2F6E6" w14:textId="02CFFBAA" w:rsidR="00027DB4" w:rsidRPr="0097459F" w:rsidRDefault="00027DB4" w:rsidP="00C20BBD">
      <w:pPr>
        <w:pStyle w:val="Normalalteradora"/>
      </w:pPr>
      <w:r w:rsidRPr="0097459F">
        <w:lastRenderedPageBreak/>
        <w:t xml:space="preserve">IV – o cotista que tenha </w:t>
      </w:r>
      <w:r w:rsidR="00ED02A2" w:rsidRPr="0097459F">
        <w:t>interesse</w:t>
      </w:r>
      <w:r w:rsidR="00365A09" w:rsidRPr="0097459F">
        <w:t xml:space="preserve"> </w:t>
      </w:r>
      <w:r w:rsidR="00ED02A2" w:rsidRPr="0097459F">
        <w:t xml:space="preserve">conflitante com </w:t>
      </w:r>
      <w:r w:rsidR="00072F22" w:rsidRPr="0097459F">
        <w:t>o fundo, classe ou subclasse</w:t>
      </w:r>
      <w:r w:rsidR="00ED02A2" w:rsidRPr="0097459F">
        <w:t xml:space="preserve"> no que se refere à matéria em votação; e</w:t>
      </w:r>
    </w:p>
    <w:p w14:paraId="1ADDC7A0" w14:textId="087F4179" w:rsidR="00027DB4" w:rsidRPr="0097459F" w:rsidRDefault="00ED02A2" w:rsidP="00C20BBD">
      <w:pPr>
        <w:pStyle w:val="Normalalteradora"/>
        <w:rPr>
          <w:rFonts w:cstheme="minorHAnsi"/>
        </w:rPr>
      </w:pPr>
      <w:r w:rsidRPr="0097459F">
        <w:rPr>
          <w:rFonts w:cstheme="minorHAnsi"/>
        </w:rPr>
        <w:t xml:space="preserve">V </w:t>
      </w:r>
      <w:r w:rsidR="004E6019" w:rsidRPr="0097459F">
        <w:rPr>
          <w:rFonts w:cstheme="minorHAnsi"/>
        </w:rPr>
        <w:t>–</w:t>
      </w:r>
      <w:r w:rsidRPr="0097459F">
        <w:rPr>
          <w:rFonts w:cstheme="minorHAnsi"/>
        </w:rPr>
        <w:t xml:space="preserve"> o cotista, na hipótese de deliberação relativa a laudos de avaliação de bens de sua propriedade.</w:t>
      </w:r>
    </w:p>
    <w:p w14:paraId="4CD9E1A4" w14:textId="5C30EA01" w:rsidR="00893D49" w:rsidRPr="0097459F" w:rsidRDefault="006A5791" w:rsidP="00C20BBD">
      <w:pPr>
        <w:pStyle w:val="Normalalteradora"/>
        <w:rPr>
          <w:rFonts w:cstheme="minorHAnsi"/>
        </w:rPr>
      </w:pPr>
      <w:r w:rsidRPr="0097459F">
        <w:rPr>
          <w:rFonts w:cstheme="minorHAnsi"/>
        </w:rPr>
        <w:t xml:space="preserve">§ 1º </w:t>
      </w:r>
      <w:r w:rsidR="00893D49" w:rsidRPr="0097459F">
        <w:rPr>
          <w:rFonts w:cstheme="minorHAnsi"/>
        </w:rPr>
        <w:t xml:space="preserve"> Não se aplica a vedação prevista </w:t>
      </w:r>
      <w:r w:rsidR="00002341" w:rsidRPr="0097459F">
        <w:rPr>
          <w:rFonts w:cstheme="minorHAnsi"/>
        </w:rPr>
        <w:t xml:space="preserve">no </w:t>
      </w:r>
      <w:r w:rsidR="00002341" w:rsidRPr="0097459F">
        <w:rPr>
          <w:rFonts w:cstheme="minorHAnsi"/>
          <w:b/>
        </w:rPr>
        <w:t>caput</w:t>
      </w:r>
      <w:r w:rsidR="00893D49" w:rsidRPr="0097459F">
        <w:rPr>
          <w:rFonts w:cstheme="minorHAnsi"/>
        </w:rPr>
        <w:t xml:space="preserve"> quando:</w:t>
      </w:r>
    </w:p>
    <w:p w14:paraId="5DB22DDD" w14:textId="014DDDBE" w:rsidR="00893D49" w:rsidRPr="0097459F" w:rsidRDefault="00893D49" w:rsidP="00C20BBD">
      <w:pPr>
        <w:pStyle w:val="Normalalteradora"/>
        <w:rPr>
          <w:rFonts w:cstheme="minorHAnsi"/>
        </w:rPr>
      </w:pPr>
      <w:r w:rsidRPr="0097459F">
        <w:rPr>
          <w:rFonts w:cstheme="minorHAnsi"/>
        </w:rPr>
        <w:t xml:space="preserve">I – os únicos cotistas forem, no momento de seu ingresso </w:t>
      </w:r>
      <w:r w:rsidR="00191A57" w:rsidRPr="0097459F">
        <w:rPr>
          <w:rFonts w:cstheme="minorHAnsi"/>
        </w:rPr>
        <w:t>n</w:t>
      </w:r>
      <w:r w:rsidR="000D35ED" w:rsidRPr="0097459F">
        <w:rPr>
          <w:rFonts w:cstheme="minorHAnsi"/>
        </w:rPr>
        <w:t>o fundo, n</w:t>
      </w:r>
      <w:r w:rsidR="00191A57" w:rsidRPr="0097459F">
        <w:rPr>
          <w:rFonts w:cstheme="minorHAnsi"/>
        </w:rPr>
        <w:t>a classe</w:t>
      </w:r>
      <w:r w:rsidR="00ED02A2" w:rsidRPr="0097459F">
        <w:rPr>
          <w:rFonts w:cstheme="minorHAnsi"/>
        </w:rPr>
        <w:t xml:space="preserve"> ou subclasse</w:t>
      </w:r>
      <w:r w:rsidRPr="0097459F">
        <w:rPr>
          <w:rFonts w:cstheme="minorHAnsi"/>
        </w:rPr>
        <w:t xml:space="preserve">, </w:t>
      </w:r>
      <w:r w:rsidR="000D35ED" w:rsidRPr="0097459F">
        <w:rPr>
          <w:rFonts w:cstheme="minorHAnsi"/>
        </w:rPr>
        <w:t xml:space="preserve">conforme o caso, </w:t>
      </w:r>
      <w:r w:rsidRPr="0097459F">
        <w:rPr>
          <w:rFonts w:cstheme="minorHAnsi"/>
        </w:rPr>
        <w:t xml:space="preserve">as pessoas mencionadas nos incisos I a </w:t>
      </w:r>
      <w:r w:rsidR="00ED02A2" w:rsidRPr="0097459F">
        <w:rPr>
          <w:rFonts w:cstheme="minorHAnsi"/>
        </w:rPr>
        <w:t>V</w:t>
      </w:r>
      <w:r w:rsidRPr="0097459F">
        <w:rPr>
          <w:rFonts w:cstheme="minorHAnsi"/>
        </w:rPr>
        <w:t xml:space="preserve"> do </w:t>
      </w:r>
      <w:r w:rsidRPr="0097459F">
        <w:rPr>
          <w:rFonts w:cstheme="minorHAnsi"/>
          <w:b/>
        </w:rPr>
        <w:t>caput</w:t>
      </w:r>
      <w:r w:rsidRPr="0097459F">
        <w:rPr>
          <w:rFonts w:cstheme="minorHAnsi"/>
        </w:rPr>
        <w:t>; ou</w:t>
      </w:r>
    </w:p>
    <w:p w14:paraId="538009F7" w14:textId="655637FB" w:rsidR="00B50105" w:rsidRPr="0097459F" w:rsidRDefault="00893D49" w:rsidP="00C20BBD">
      <w:pPr>
        <w:pStyle w:val="Normalalteradora"/>
        <w:rPr>
          <w:rFonts w:cstheme="minorHAnsi"/>
        </w:rPr>
      </w:pPr>
      <w:r w:rsidRPr="0097459F">
        <w:rPr>
          <w:rFonts w:cstheme="minorHAnsi"/>
        </w:rPr>
        <w:t xml:space="preserve">II – houver aquiescência expressa da maioria dos demais cotistas </w:t>
      </w:r>
      <w:r w:rsidR="00873926" w:rsidRPr="0097459F">
        <w:rPr>
          <w:rFonts w:cstheme="minorHAnsi"/>
        </w:rPr>
        <w:t>d</w:t>
      </w:r>
      <w:r w:rsidR="000D35ED" w:rsidRPr="0097459F">
        <w:rPr>
          <w:rFonts w:cstheme="minorHAnsi"/>
        </w:rPr>
        <w:t>o fundo, d</w:t>
      </w:r>
      <w:r w:rsidR="00873926" w:rsidRPr="0097459F">
        <w:rPr>
          <w:rFonts w:cstheme="minorHAnsi"/>
        </w:rPr>
        <w:t xml:space="preserve">a </w:t>
      </w:r>
      <w:r w:rsidR="00AA2B7C" w:rsidRPr="0097459F">
        <w:rPr>
          <w:rFonts w:cstheme="minorHAnsi"/>
        </w:rPr>
        <w:t xml:space="preserve">mesma </w:t>
      </w:r>
      <w:r w:rsidR="00873926" w:rsidRPr="0097459F">
        <w:rPr>
          <w:rFonts w:cstheme="minorHAnsi"/>
        </w:rPr>
        <w:t>classe</w:t>
      </w:r>
      <w:r w:rsidR="00AA2B7C" w:rsidRPr="0097459F">
        <w:rPr>
          <w:rFonts w:cstheme="minorHAnsi"/>
        </w:rPr>
        <w:t xml:space="preserve"> ou subclasse, conforme o caso</w:t>
      </w:r>
      <w:r w:rsidR="00B002CD" w:rsidRPr="0097459F">
        <w:rPr>
          <w:rFonts w:cstheme="minorHAnsi"/>
        </w:rPr>
        <w:t xml:space="preserve">, que pode ser manifestada na </w:t>
      </w:r>
      <w:r w:rsidR="003A5D9D" w:rsidRPr="0097459F">
        <w:rPr>
          <w:rFonts w:cstheme="minorHAnsi"/>
        </w:rPr>
        <w:t xml:space="preserve">própria </w:t>
      </w:r>
      <w:r w:rsidR="00B002CD" w:rsidRPr="0097459F">
        <w:rPr>
          <w:rFonts w:cstheme="minorHAnsi"/>
        </w:rPr>
        <w:t xml:space="preserve">assembleia </w:t>
      </w:r>
      <w:r w:rsidR="00AE5D03" w:rsidRPr="0097459F">
        <w:t xml:space="preserve">ou </w:t>
      </w:r>
      <w:r w:rsidR="003A5D9D" w:rsidRPr="0097459F">
        <w:t xml:space="preserve">constar de permissão </w:t>
      </w:r>
      <w:r w:rsidR="004C2C1F" w:rsidRPr="0097459F">
        <w:t xml:space="preserve">previamente </w:t>
      </w:r>
      <w:r w:rsidR="003A5D9D" w:rsidRPr="0097459F">
        <w:t>concedida pelo cotista, seja específica ou genérica, e arquivada pelo administrador</w:t>
      </w:r>
      <w:r w:rsidR="00A2650B" w:rsidRPr="0097459F">
        <w:t>.</w:t>
      </w:r>
    </w:p>
    <w:p w14:paraId="2C396F1B" w14:textId="2EEAC16D" w:rsidR="00BE5295" w:rsidRPr="0097459F" w:rsidRDefault="00002341" w:rsidP="00C20BBD">
      <w:pPr>
        <w:pStyle w:val="Normalalteradora"/>
      </w:pPr>
      <w:r w:rsidRPr="0097459F">
        <w:t xml:space="preserve">§ 2º </w:t>
      </w:r>
      <w:r w:rsidR="004E6019" w:rsidRPr="0097459F">
        <w:t xml:space="preserve"> </w:t>
      </w:r>
      <w:r w:rsidR="00233529" w:rsidRPr="0097459F">
        <w:t xml:space="preserve">Previamente ao início das deliberações, </w:t>
      </w:r>
      <w:r w:rsidR="00FE0D09" w:rsidRPr="0097459F">
        <w:t>cabe a</w:t>
      </w:r>
      <w:r w:rsidR="00233529" w:rsidRPr="0097459F">
        <w:t xml:space="preserve">o </w:t>
      </w:r>
      <w:r w:rsidRPr="0097459F">
        <w:t xml:space="preserve">cotista </w:t>
      </w:r>
      <w:r w:rsidR="00072F22" w:rsidRPr="0097459F">
        <w:t xml:space="preserve">de que trata o inciso </w:t>
      </w:r>
      <w:r w:rsidR="00410329" w:rsidRPr="0097459F">
        <w:t>I</w:t>
      </w:r>
      <w:r w:rsidR="00072F22" w:rsidRPr="0097459F">
        <w:t xml:space="preserve">V do </w:t>
      </w:r>
      <w:r w:rsidR="00072F22" w:rsidRPr="0097459F">
        <w:rPr>
          <w:b/>
        </w:rPr>
        <w:t>caput</w:t>
      </w:r>
      <w:r w:rsidRPr="0097459F">
        <w:t xml:space="preserve"> </w:t>
      </w:r>
      <w:r w:rsidR="00233529" w:rsidRPr="0097459F">
        <w:t xml:space="preserve">declarar </w:t>
      </w:r>
      <w:r w:rsidR="002B4F41" w:rsidRPr="0097459F">
        <w:t xml:space="preserve">à </w:t>
      </w:r>
      <w:r w:rsidR="00365A09" w:rsidRPr="0097459F">
        <w:t>mesa</w:t>
      </w:r>
      <w:r w:rsidRPr="0097459F">
        <w:t xml:space="preserve"> seu impedimento para </w:t>
      </w:r>
      <w:r w:rsidR="008B66D2" w:rsidRPr="0097459F">
        <w:t xml:space="preserve">o </w:t>
      </w:r>
      <w:r w:rsidRPr="0097459F">
        <w:t xml:space="preserve">exercício </w:t>
      </w:r>
      <w:r w:rsidR="00F663E3" w:rsidRPr="0097459F">
        <w:t xml:space="preserve">do </w:t>
      </w:r>
      <w:r w:rsidRPr="0097459F">
        <w:t>direito de voto.</w:t>
      </w:r>
    </w:p>
    <w:p w14:paraId="518C7B50" w14:textId="6C8C878C" w:rsidR="00C437E7" w:rsidRPr="0097459F" w:rsidRDefault="00893D49" w:rsidP="00C20BBD">
      <w:pPr>
        <w:pStyle w:val="Normalalteradora"/>
        <w:rPr>
          <w:rFonts w:ascii="Calibri" w:hAnsi="Calibri"/>
          <w:color w:val="444444"/>
          <w:shd w:val="clear" w:color="auto" w:fill="FFFFFF"/>
        </w:rPr>
      </w:pPr>
      <w:r w:rsidRPr="0097459F">
        <w:rPr>
          <w:rFonts w:cstheme="minorHAnsi"/>
        </w:rPr>
        <w:t xml:space="preserve">Art. </w:t>
      </w:r>
      <w:r w:rsidR="00B7720E" w:rsidRPr="0097459F">
        <w:rPr>
          <w:rFonts w:cstheme="minorHAnsi"/>
        </w:rPr>
        <w:t>79</w:t>
      </w:r>
      <w:r w:rsidRPr="0097459F">
        <w:rPr>
          <w:rFonts w:cstheme="minorHAnsi"/>
        </w:rPr>
        <w:t xml:space="preserve">.  O resumo das decisões da assembleia de cotistas deve ser disponibilizado aos cotistas </w:t>
      </w:r>
      <w:r w:rsidR="00262FB3" w:rsidRPr="0097459F">
        <w:rPr>
          <w:rFonts w:cstheme="minorHAnsi"/>
        </w:rPr>
        <w:t xml:space="preserve">da respectiva classe de cotas </w:t>
      </w:r>
      <w:r w:rsidRPr="0097459F">
        <w:rPr>
          <w:rFonts w:cstheme="minorHAnsi"/>
        </w:rPr>
        <w:t>no prazo de até 30 (trinta) dias após a data de realização da assembleia.</w:t>
      </w:r>
    </w:p>
    <w:p w14:paraId="6DB31104" w14:textId="77777777" w:rsidR="00893D49" w:rsidRPr="0097459F" w:rsidRDefault="00893D49" w:rsidP="00C20BBD">
      <w:pPr>
        <w:pStyle w:val="Captulo"/>
        <w:rPr>
          <w:rFonts w:asciiTheme="minorHAnsi" w:hAnsiTheme="minorHAnsi"/>
        </w:rPr>
      </w:pPr>
      <w:bookmarkStart w:id="190" w:name="_Toc53594454"/>
      <w:bookmarkStart w:id="191" w:name="_Toc53595479"/>
      <w:bookmarkStart w:id="192" w:name="_Toc53594206"/>
      <w:bookmarkStart w:id="193" w:name="_Toc114818987"/>
      <w:bookmarkStart w:id="194" w:name="_Toc57836214"/>
      <w:bookmarkStart w:id="195" w:name="_Toc126226315"/>
      <w:r w:rsidRPr="0097459F">
        <w:rPr>
          <w:rFonts w:asciiTheme="minorHAnsi" w:hAnsiTheme="minorHAnsi"/>
        </w:rPr>
        <w:t>CAPÍTULO VIII – PRESTAÇÃO DE SERVIÇOS</w:t>
      </w:r>
      <w:bookmarkEnd w:id="190"/>
      <w:bookmarkEnd w:id="191"/>
      <w:bookmarkEnd w:id="192"/>
      <w:bookmarkEnd w:id="193"/>
      <w:bookmarkEnd w:id="194"/>
      <w:bookmarkEnd w:id="195"/>
    </w:p>
    <w:p w14:paraId="09A0B02E" w14:textId="77777777" w:rsidR="00893D49" w:rsidRPr="0097459F" w:rsidRDefault="00893D49" w:rsidP="00C20BBD">
      <w:pPr>
        <w:pStyle w:val="Seo"/>
        <w:rPr>
          <w:rFonts w:asciiTheme="minorHAnsi" w:hAnsiTheme="minorHAnsi"/>
        </w:rPr>
      </w:pPr>
      <w:bookmarkStart w:id="196" w:name="_Toc53594455"/>
      <w:bookmarkStart w:id="197" w:name="_Toc53595480"/>
      <w:bookmarkStart w:id="198" w:name="_Toc53594207"/>
      <w:bookmarkStart w:id="199" w:name="_Toc114818988"/>
      <w:bookmarkStart w:id="200" w:name="_Toc57836215"/>
      <w:bookmarkStart w:id="201" w:name="_Toc126226316"/>
      <w:r w:rsidRPr="0097459F">
        <w:rPr>
          <w:rFonts w:asciiTheme="minorHAnsi" w:hAnsiTheme="minorHAnsi"/>
        </w:rPr>
        <w:t>Seção I – Disposições Gerais</w:t>
      </w:r>
      <w:bookmarkEnd w:id="196"/>
      <w:bookmarkEnd w:id="197"/>
      <w:bookmarkEnd w:id="198"/>
      <w:bookmarkEnd w:id="199"/>
      <w:bookmarkEnd w:id="200"/>
      <w:bookmarkEnd w:id="201"/>
    </w:p>
    <w:p w14:paraId="74939393" w14:textId="580EB6F6"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80</w:t>
      </w:r>
      <w:r w:rsidRPr="0097459F">
        <w:rPr>
          <w:rFonts w:cstheme="minorHAnsi"/>
        </w:rPr>
        <w:t>.  O funcionamento do fundo de investimento se materializa por meio da atuação dos prestadores de serviços essenciais e terceiros por eles contratados, por escrito, em nome do fundo.</w:t>
      </w:r>
    </w:p>
    <w:p w14:paraId="5C915773" w14:textId="0A88090A" w:rsidR="00893D49" w:rsidRPr="0097459F" w:rsidRDefault="00262FB3" w:rsidP="00C20BBD">
      <w:pPr>
        <w:pStyle w:val="Normalalteradora"/>
        <w:rPr>
          <w:rFonts w:cstheme="minorHAnsi"/>
        </w:rPr>
      </w:pPr>
      <w:r w:rsidRPr="0097459F">
        <w:rPr>
          <w:rFonts w:cstheme="minorHAnsi"/>
        </w:rPr>
        <w:t>Parágrafo único.</w:t>
      </w:r>
      <w:r w:rsidR="00893D49" w:rsidRPr="0097459F">
        <w:rPr>
          <w:rFonts w:cstheme="minorHAnsi"/>
        </w:rPr>
        <w:t xml:space="preserve">  A contratação de terceiros por prestador de serviço essencial deve contar com prévia e criteriosa análise e seleção do contratado, devendo o prestador de serviços essencial, ainda, figurar no contrato como interveniente anuente.</w:t>
      </w:r>
    </w:p>
    <w:p w14:paraId="68E90ABE" w14:textId="1646D75A" w:rsidR="00D2415E"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81</w:t>
      </w:r>
      <w:r w:rsidRPr="0097459F">
        <w:rPr>
          <w:rFonts w:cstheme="minorHAnsi"/>
        </w:rPr>
        <w:t xml:space="preserve">.  Os prestadores de serviços essenciais e demais prestadores de serviços do fundo </w:t>
      </w:r>
      <w:r w:rsidR="00484F82" w:rsidRPr="0097459F">
        <w:rPr>
          <w:rFonts w:cstheme="minorHAnsi"/>
        </w:rPr>
        <w:t xml:space="preserve">respondem </w:t>
      </w:r>
      <w:r w:rsidRPr="0097459F">
        <w:rPr>
          <w:rFonts w:cstheme="minorHAnsi"/>
        </w:rPr>
        <w:t xml:space="preserve">perante a CVM, nas suas respectivas esferas de atuação, por seus próprios atos e omissões contrários à lei, ao regulamento do fundo ou à regulamentação vigente, sem prejuízo do exercício do dever de fiscalizar, nas hipóteses </w:t>
      </w:r>
      <w:r w:rsidR="00262FB3" w:rsidRPr="0097459F">
        <w:rPr>
          <w:rFonts w:cstheme="minorHAnsi"/>
        </w:rPr>
        <w:t xml:space="preserve">expressamente </w:t>
      </w:r>
      <w:r w:rsidRPr="0097459F">
        <w:rPr>
          <w:rFonts w:cstheme="minorHAnsi"/>
        </w:rPr>
        <w:t>previstas nesta Resolução</w:t>
      </w:r>
      <w:r w:rsidR="00AA2B7C" w:rsidRPr="0097459F">
        <w:rPr>
          <w:rFonts w:cstheme="minorHAnsi"/>
        </w:rPr>
        <w:t>, bem como</w:t>
      </w:r>
      <w:r w:rsidR="00432AF8" w:rsidRPr="0097459F">
        <w:rPr>
          <w:rFonts w:cstheme="minorHAnsi"/>
        </w:rPr>
        <w:t xml:space="preserve"> naquelas </w:t>
      </w:r>
      <w:r w:rsidR="00AA2B7C" w:rsidRPr="0097459F">
        <w:rPr>
          <w:rFonts w:cstheme="minorHAnsi"/>
        </w:rPr>
        <w:t xml:space="preserve">eventualmente </w:t>
      </w:r>
      <w:r w:rsidR="00432AF8" w:rsidRPr="0097459F">
        <w:rPr>
          <w:rFonts w:cstheme="minorHAnsi"/>
        </w:rPr>
        <w:t>previstas no regulamento</w:t>
      </w:r>
      <w:r w:rsidRPr="0097459F">
        <w:rPr>
          <w:rFonts w:cstheme="minorHAnsi"/>
        </w:rPr>
        <w:t>.</w:t>
      </w:r>
    </w:p>
    <w:p w14:paraId="5DBEB1CB" w14:textId="6518D2B2" w:rsidR="00D71D53" w:rsidRPr="0097459F" w:rsidRDefault="00B13AC8" w:rsidP="00C20BBD">
      <w:pPr>
        <w:pStyle w:val="Normalalteradora"/>
        <w:rPr>
          <w:rFonts w:cstheme="minorHAnsi"/>
        </w:rPr>
      </w:pPr>
      <w:r w:rsidRPr="0097459F">
        <w:rPr>
          <w:rFonts w:cstheme="minorHAnsi"/>
        </w:rPr>
        <w:lastRenderedPageBreak/>
        <w:t xml:space="preserve">Parágrafo único.  A aferição de responsabilidades dos prestadores de serviços </w:t>
      </w:r>
      <w:r w:rsidR="00273C0F" w:rsidRPr="0097459F">
        <w:rPr>
          <w:rFonts w:cstheme="minorHAnsi"/>
        </w:rPr>
        <w:t xml:space="preserve">tem </w:t>
      </w:r>
      <w:r w:rsidRPr="0097459F">
        <w:rPr>
          <w:rFonts w:cstheme="minorHAnsi"/>
        </w:rPr>
        <w:t>como parâmetros as obrigações previstas nesta Resolução e em regulamentações específicas, assim como aquelas previstas no regulamento e no</w:t>
      </w:r>
      <w:r w:rsidR="00432AF8" w:rsidRPr="0097459F">
        <w:rPr>
          <w:rFonts w:cstheme="minorHAnsi"/>
        </w:rPr>
        <w:t xml:space="preserve"> respectivo</w:t>
      </w:r>
      <w:r w:rsidRPr="0097459F">
        <w:rPr>
          <w:rFonts w:cstheme="minorHAnsi"/>
        </w:rPr>
        <w:t xml:space="preserve"> contrato de prestação de serviços.</w:t>
      </w:r>
    </w:p>
    <w:p w14:paraId="0A37AE3C" w14:textId="3FBB1308" w:rsidR="00D71D53" w:rsidRPr="0097459F" w:rsidRDefault="00893D49" w:rsidP="00C20BBD">
      <w:pPr>
        <w:pStyle w:val="Seo"/>
      </w:pPr>
      <w:bookmarkStart w:id="202" w:name="_Toc53594456"/>
      <w:bookmarkStart w:id="203" w:name="_Toc53595481"/>
      <w:bookmarkStart w:id="204" w:name="_Toc53594208"/>
      <w:bookmarkStart w:id="205" w:name="_Toc57836216"/>
      <w:bookmarkStart w:id="206" w:name="_Toc126226317"/>
      <w:r w:rsidRPr="0097459F">
        <w:rPr>
          <w:rFonts w:asciiTheme="minorHAnsi" w:hAnsiTheme="minorHAnsi"/>
        </w:rPr>
        <w:t>Seção</w:t>
      </w:r>
      <w:r w:rsidRPr="0097459F">
        <w:t xml:space="preserve"> II – </w:t>
      </w:r>
      <w:bookmarkEnd w:id="202"/>
      <w:bookmarkEnd w:id="203"/>
      <w:bookmarkEnd w:id="204"/>
      <w:bookmarkEnd w:id="205"/>
      <w:r w:rsidR="00EC1052" w:rsidRPr="0097459F">
        <w:t>Serviços Essenciais</w:t>
      </w:r>
      <w:bookmarkEnd w:id="206"/>
    </w:p>
    <w:p w14:paraId="131D5B58" w14:textId="73DAE603" w:rsidR="00D71D53" w:rsidRPr="0097459F" w:rsidRDefault="00D71D53" w:rsidP="00C20BBD">
      <w:pPr>
        <w:pStyle w:val="Seo"/>
      </w:pPr>
      <w:bookmarkStart w:id="207" w:name="_Toc126226318"/>
      <w:r w:rsidRPr="0097459F">
        <w:rPr>
          <w:rFonts w:cstheme="minorHAnsi"/>
        </w:rPr>
        <w:t xml:space="preserve">Subseção I – </w:t>
      </w:r>
      <w:r w:rsidR="00766DCE" w:rsidRPr="0097459F">
        <w:rPr>
          <w:rFonts w:cstheme="minorHAnsi"/>
        </w:rPr>
        <w:t xml:space="preserve">Funções do </w:t>
      </w:r>
      <w:r w:rsidRPr="0097459F">
        <w:rPr>
          <w:rFonts w:cstheme="minorHAnsi"/>
        </w:rPr>
        <w:t>Administrador</w:t>
      </w:r>
      <w:bookmarkEnd w:id="207"/>
    </w:p>
    <w:p w14:paraId="65E4A3A0" w14:textId="2183FB12"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82</w:t>
      </w:r>
      <w:r w:rsidRPr="0097459F">
        <w:rPr>
          <w:rFonts w:cstheme="minorHAnsi"/>
        </w:rPr>
        <w:t>.  O administrador, observadas as limitações legais e as previstas na regulamentação aplicável, tem poderes para praticar os atos necessários à administração do fundo de investimento, na sua respectiva esfera de atuação.</w:t>
      </w:r>
    </w:p>
    <w:p w14:paraId="5B2C5B77" w14:textId="64D503E4" w:rsidR="00893D49" w:rsidRPr="0097459F" w:rsidRDefault="00C96A21" w:rsidP="00C20BBD">
      <w:pPr>
        <w:pStyle w:val="Normalalteradora"/>
        <w:rPr>
          <w:rFonts w:cstheme="minorHAnsi"/>
        </w:rPr>
      </w:pPr>
      <w:r w:rsidRPr="0097459F">
        <w:rPr>
          <w:rFonts w:cstheme="minorHAnsi"/>
        </w:rPr>
        <w:t xml:space="preserve">Art. </w:t>
      </w:r>
      <w:r w:rsidR="00B7720E" w:rsidRPr="0097459F">
        <w:t>83</w:t>
      </w:r>
      <w:r w:rsidRPr="0097459F">
        <w:rPr>
          <w:rFonts w:cstheme="minorHAnsi"/>
        </w:rPr>
        <w:t xml:space="preserve">. </w:t>
      </w:r>
      <w:bookmarkStart w:id="208" w:name="_Hlk40285423"/>
      <w:r w:rsidR="00222400" w:rsidRPr="0097459F">
        <w:rPr>
          <w:rFonts w:cstheme="minorHAnsi"/>
        </w:rPr>
        <w:t>Inclu</w:t>
      </w:r>
      <w:r w:rsidR="007F6B0E" w:rsidRPr="0097459F">
        <w:rPr>
          <w:rFonts w:cstheme="minorHAnsi"/>
        </w:rPr>
        <w:t>em</w:t>
      </w:r>
      <w:r w:rsidR="00222400" w:rsidRPr="0097459F">
        <w:rPr>
          <w:rFonts w:cstheme="minorHAnsi"/>
        </w:rPr>
        <w:t>-se entre as obrigações do</w:t>
      </w:r>
      <w:r w:rsidR="00893D49" w:rsidRPr="0097459F">
        <w:rPr>
          <w:rFonts w:cstheme="minorHAnsi"/>
        </w:rPr>
        <w:t xml:space="preserve"> administrador contratar, em nome do fundo, com terceiros devidamente habilitados e autorizados, os seguintes serviços:</w:t>
      </w:r>
    </w:p>
    <w:p w14:paraId="4FBDDC31" w14:textId="472E3B4F" w:rsidR="00893D49" w:rsidRPr="0097459F" w:rsidRDefault="00893D49" w:rsidP="2889066B">
      <w:pPr>
        <w:pStyle w:val="Normalalteradora"/>
      </w:pPr>
      <w:bookmarkStart w:id="209" w:name="_Hlk50108600"/>
      <w:bookmarkEnd w:id="208"/>
      <w:r w:rsidRPr="0097459F">
        <w:t>I –</w:t>
      </w:r>
      <w:r w:rsidR="0BEC7D77" w:rsidRPr="0097459F">
        <w:t xml:space="preserve"> </w:t>
      </w:r>
      <w:r w:rsidRPr="0097459F">
        <w:t>tesouraria, controle</w:t>
      </w:r>
      <w:r w:rsidR="001B100F" w:rsidRPr="0097459F">
        <w:t xml:space="preserve"> </w:t>
      </w:r>
      <w:r w:rsidRPr="0097459F">
        <w:t xml:space="preserve">e processamento dos </w:t>
      </w:r>
      <w:bookmarkStart w:id="210" w:name="_DV_C87"/>
      <w:r w:rsidRPr="0097459F">
        <w:t>ativos</w:t>
      </w:r>
      <w:bookmarkStart w:id="211" w:name="_DV_M365"/>
      <w:bookmarkEnd w:id="210"/>
      <w:bookmarkEnd w:id="211"/>
      <w:r w:rsidRPr="0097459F">
        <w:t>;</w:t>
      </w:r>
    </w:p>
    <w:p w14:paraId="41B51639" w14:textId="171594BC" w:rsidR="00893D49" w:rsidRPr="0097459F" w:rsidRDefault="00893D49" w:rsidP="00C20BBD">
      <w:pPr>
        <w:pStyle w:val="Normalalteradora"/>
        <w:rPr>
          <w:rFonts w:cstheme="minorHAnsi"/>
        </w:rPr>
      </w:pPr>
      <w:r w:rsidRPr="0097459F">
        <w:rPr>
          <w:rFonts w:cstheme="minorHAnsi"/>
        </w:rPr>
        <w:t>II – escrituração das cotas;</w:t>
      </w:r>
      <w:r w:rsidR="00D7744F" w:rsidRPr="0097459F">
        <w:rPr>
          <w:rFonts w:cstheme="minorHAnsi"/>
        </w:rPr>
        <w:t xml:space="preserve"> e</w:t>
      </w:r>
    </w:p>
    <w:p w14:paraId="500BF377" w14:textId="281BBC64" w:rsidR="00893D49" w:rsidRPr="0097459F" w:rsidRDefault="00893D49" w:rsidP="00C20BBD">
      <w:pPr>
        <w:pStyle w:val="Normalalteradora"/>
        <w:rPr>
          <w:rFonts w:cstheme="minorHAnsi"/>
        </w:rPr>
      </w:pPr>
      <w:r w:rsidRPr="0097459F">
        <w:rPr>
          <w:rFonts w:cstheme="minorHAnsi"/>
        </w:rPr>
        <w:t>I</w:t>
      </w:r>
      <w:r w:rsidR="004E6019" w:rsidRPr="0097459F">
        <w:rPr>
          <w:rFonts w:cstheme="minorHAnsi"/>
        </w:rPr>
        <w:t>II</w:t>
      </w:r>
      <w:r w:rsidRPr="0097459F">
        <w:rPr>
          <w:rFonts w:cstheme="minorHAnsi"/>
        </w:rPr>
        <w:t xml:space="preserve"> – auditor</w:t>
      </w:r>
      <w:r w:rsidR="00D7744F" w:rsidRPr="0097459F">
        <w:rPr>
          <w:rFonts w:cstheme="minorHAnsi"/>
        </w:rPr>
        <w:t>ia</w:t>
      </w:r>
      <w:r w:rsidRPr="0097459F">
        <w:rPr>
          <w:rFonts w:cstheme="minorHAnsi"/>
        </w:rPr>
        <w:t xml:space="preserve"> independente</w:t>
      </w:r>
      <w:r w:rsidR="00D7744F" w:rsidRPr="0097459F">
        <w:rPr>
          <w:rFonts w:cstheme="minorHAnsi"/>
        </w:rPr>
        <w:t>,</w:t>
      </w:r>
      <w:r w:rsidR="00601B52" w:rsidRPr="0097459F">
        <w:rPr>
          <w:rFonts w:cstheme="minorHAnsi"/>
        </w:rPr>
        <w:t xml:space="preserve"> </w:t>
      </w:r>
      <w:r w:rsidRPr="0097459F">
        <w:rPr>
          <w:rFonts w:cstheme="minorHAnsi"/>
        </w:rPr>
        <w:t>no</w:t>
      </w:r>
      <w:r w:rsidR="00D7744F" w:rsidRPr="0097459F">
        <w:rPr>
          <w:rFonts w:cstheme="minorHAnsi"/>
        </w:rPr>
        <w:t>s termos do</w:t>
      </w:r>
      <w:r w:rsidRPr="0097459F">
        <w:rPr>
          <w:rFonts w:cstheme="minorHAnsi"/>
        </w:rPr>
        <w:t xml:space="preserve"> art. </w:t>
      </w:r>
      <w:r w:rsidR="0027588D" w:rsidRPr="0097459F">
        <w:rPr>
          <w:rFonts w:cstheme="minorHAnsi"/>
        </w:rPr>
        <w:t>69</w:t>
      </w:r>
      <w:r w:rsidRPr="0097459F">
        <w:rPr>
          <w:rFonts w:cstheme="minorHAnsi"/>
        </w:rPr>
        <w:t>.</w:t>
      </w:r>
    </w:p>
    <w:bookmarkEnd w:id="209"/>
    <w:p w14:paraId="6320F244" w14:textId="1640C420" w:rsidR="00C96A21" w:rsidRPr="0097459F" w:rsidRDefault="00893D49" w:rsidP="00C20BBD">
      <w:pPr>
        <w:pStyle w:val="Normalalteradora"/>
        <w:rPr>
          <w:rFonts w:cstheme="minorHAnsi"/>
        </w:rPr>
      </w:pPr>
      <w:r w:rsidRPr="0097459F">
        <w:rPr>
          <w:rFonts w:cstheme="minorHAnsi"/>
        </w:rPr>
        <w:t xml:space="preserve">§ </w:t>
      </w:r>
      <w:r w:rsidR="004E6019" w:rsidRPr="0097459F">
        <w:rPr>
          <w:rFonts w:cstheme="minorHAnsi"/>
        </w:rPr>
        <w:t xml:space="preserve">1º  </w:t>
      </w:r>
      <w:r w:rsidRPr="0097459F">
        <w:rPr>
          <w:rFonts w:cstheme="minorHAnsi"/>
        </w:rPr>
        <w:t xml:space="preserve">O fundo administrado por </w:t>
      </w:r>
      <w:r w:rsidR="00B52C84" w:rsidRPr="0097459F">
        <w:rPr>
          <w:rFonts w:cstheme="minorHAnsi"/>
        </w:rPr>
        <w:t xml:space="preserve">instituição </w:t>
      </w:r>
      <w:r w:rsidRPr="0097459F">
        <w:rPr>
          <w:rFonts w:cstheme="minorHAnsi"/>
        </w:rPr>
        <w:t xml:space="preserve">financeira </w:t>
      </w:r>
      <w:r w:rsidR="001B100F" w:rsidRPr="0097459F">
        <w:rPr>
          <w:rFonts w:cstheme="minorHAnsi"/>
        </w:rPr>
        <w:t>ou</w:t>
      </w:r>
      <w:r w:rsidR="00B06E4C" w:rsidRPr="0097459F">
        <w:rPr>
          <w:rFonts w:cstheme="minorHAnsi"/>
        </w:rPr>
        <w:t xml:space="preserve"> instituição </w:t>
      </w:r>
      <w:r w:rsidR="001B100F" w:rsidRPr="0097459F">
        <w:rPr>
          <w:rFonts w:cstheme="minorHAnsi"/>
        </w:rPr>
        <w:t>de pagamento</w:t>
      </w:r>
      <w:r w:rsidR="00880C58" w:rsidRPr="0097459F">
        <w:rPr>
          <w:rFonts w:cstheme="minorHAnsi"/>
        </w:rPr>
        <w:t xml:space="preserve"> autorizada a funcionar pelo Banco </w:t>
      </w:r>
      <w:r w:rsidR="00A6184C" w:rsidRPr="0097459F">
        <w:rPr>
          <w:rFonts w:cstheme="minorHAnsi"/>
        </w:rPr>
        <w:t xml:space="preserve">Central </w:t>
      </w:r>
      <w:r w:rsidR="00880C58" w:rsidRPr="0097459F">
        <w:rPr>
          <w:rFonts w:cstheme="minorHAnsi"/>
        </w:rPr>
        <w:t>do Brasil</w:t>
      </w:r>
      <w:r w:rsidR="001B100F" w:rsidRPr="0097459F">
        <w:rPr>
          <w:rFonts w:cstheme="minorHAnsi"/>
        </w:rPr>
        <w:t xml:space="preserve"> </w:t>
      </w:r>
      <w:r w:rsidRPr="0097459F">
        <w:rPr>
          <w:rFonts w:cstheme="minorHAnsi"/>
        </w:rPr>
        <w:t xml:space="preserve">não precisa contratar os serviços previstos no inciso I do </w:t>
      </w:r>
      <w:r w:rsidR="00C96A21" w:rsidRPr="0097459F">
        <w:rPr>
          <w:rFonts w:cstheme="minorHAnsi"/>
          <w:b/>
        </w:rPr>
        <w:t>caput</w:t>
      </w:r>
      <w:r w:rsidRPr="0097459F">
        <w:rPr>
          <w:rFonts w:cstheme="minorHAnsi"/>
        </w:rPr>
        <w:t xml:space="preserve"> quando for</w:t>
      </w:r>
      <w:r w:rsidR="00B73DF1" w:rsidRPr="0097459F">
        <w:rPr>
          <w:rFonts w:cstheme="minorHAnsi"/>
        </w:rPr>
        <w:t>em</w:t>
      </w:r>
      <w:r w:rsidRPr="0097459F">
        <w:rPr>
          <w:rFonts w:cstheme="minorHAnsi"/>
        </w:rPr>
        <w:t xml:space="preserve"> executado</w:t>
      </w:r>
      <w:r w:rsidR="00B73DF1" w:rsidRPr="0097459F">
        <w:rPr>
          <w:rFonts w:cstheme="minorHAnsi"/>
        </w:rPr>
        <w:t>s</w:t>
      </w:r>
      <w:r w:rsidRPr="0097459F">
        <w:rPr>
          <w:rFonts w:cstheme="minorHAnsi"/>
        </w:rPr>
        <w:t xml:space="preserve"> pelo seu administrador, que neste caso fica autorizado para a sua prestação.</w:t>
      </w:r>
    </w:p>
    <w:p w14:paraId="296D56A2" w14:textId="0C18DDFE" w:rsidR="00D20669" w:rsidRPr="0097459F" w:rsidRDefault="00D20669" w:rsidP="00C20BBD">
      <w:pPr>
        <w:pStyle w:val="Normalalteradora"/>
        <w:rPr>
          <w:rFonts w:cstheme="minorHAnsi"/>
        </w:rPr>
      </w:pPr>
      <w:r w:rsidRPr="0097459F">
        <w:rPr>
          <w:rFonts w:cstheme="minorHAnsi"/>
        </w:rPr>
        <w:t xml:space="preserve">§ </w:t>
      </w:r>
      <w:r w:rsidR="004E6019" w:rsidRPr="0097459F">
        <w:rPr>
          <w:rFonts w:cstheme="minorHAnsi"/>
        </w:rPr>
        <w:t>2</w:t>
      </w:r>
      <w:r w:rsidR="00B52C84" w:rsidRPr="0097459F">
        <w:rPr>
          <w:rFonts w:cstheme="minorHAnsi"/>
        </w:rPr>
        <w:t xml:space="preserve">º  O administrador </w:t>
      </w:r>
      <w:r w:rsidRPr="0097459F">
        <w:rPr>
          <w:rFonts w:cstheme="minorHAnsi"/>
        </w:rPr>
        <w:t>h</w:t>
      </w:r>
      <w:r w:rsidR="00B52C84" w:rsidRPr="0097459F">
        <w:rPr>
          <w:rFonts w:cstheme="minorHAnsi"/>
        </w:rPr>
        <w:t>abilitado e autorizado</w:t>
      </w:r>
      <w:r w:rsidR="0082498C" w:rsidRPr="0097459F">
        <w:rPr>
          <w:rFonts w:cstheme="minorHAnsi"/>
        </w:rPr>
        <w:t xml:space="preserve"> pela CVM</w:t>
      </w:r>
      <w:r w:rsidRPr="0097459F">
        <w:rPr>
          <w:rFonts w:cstheme="minorHAnsi"/>
        </w:rPr>
        <w:t xml:space="preserve"> a prestar o serviço de escrituração de cotas </w:t>
      </w:r>
      <w:r w:rsidR="00F02EEE" w:rsidRPr="0097459F">
        <w:rPr>
          <w:rFonts w:cstheme="minorHAnsi"/>
        </w:rPr>
        <w:t>pode prestar o</w:t>
      </w:r>
      <w:r w:rsidRPr="0097459F">
        <w:rPr>
          <w:rFonts w:cstheme="minorHAnsi"/>
        </w:rPr>
        <w:t xml:space="preserve"> </w:t>
      </w:r>
      <w:r w:rsidR="00F02EEE" w:rsidRPr="0097459F">
        <w:rPr>
          <w:rFonts w:cstheme="minorHAnsi"/>
        </w:rPr>
        <w:t xml:space="preserve">referido </w:t>
      </w:r>
      <w:r w:rsidRPr="0097459F">
        <w:rPr>
          <w:rFonts w:cstheme="minorHAnsi"/>
        </w:rPr>
        <w:t>s</w:t>
      </w:r>
      <w:r w:rsidR="00B52C84" w:rsidRPr="0097459F">
        <w:rPr>
          <w:rFonts w:cstheme="minorHAnsi"/>
        </w:rPr>
        <w:t>erviço</w:t>
      </w:r>
      <w:r w:rsidR="00F02EEE" w:rsidRPr="0097459F">
        <w:rPr>
          <w:rFonts w:cstheme="minorHAnsi"/>
        </w:rPr>
        <w:t xml:space="preserve"> para </w:t>
      </w:r>
      <w:r w:rsidR="00A71E1E" w:rsidRPr="0097459F">
        <w:rPr>
          <w:rFonts w:cstheme="minorHAnsi"/>
        </w:rPr>
        <w:t>os fundos</w:t>
      </w:r>
      <w:r w:rsidR="00F02EEE" w:rsidRPr="0097459F">
        <w:rPr>
          <w:rFonts w:cstheme="minorHAnsi"/>
        </w:rPr>
        <w:t xml:space="preserve"> que administra</w:t>
      </w:r>
      <w:r w:rsidR="00B52C84" w:rsidRPr="0097459F">
        <w:rPr>
          <w:rFonts w:cstheme="minorHAnsi"/>
        </w:rPr>
        <w:t>.</w:t>
      </w:r>
    </w:p>
    <w:p w14:paraId="09E82B8D" w14:textId="567F3996" w:rsidR="00860F96" w:rsidRPr="0097459F" w:rsidRDefault="00D7744F" w:rsidP="00C20BBD">
      <w:pPr>
        <w:pStyle w:val="Normalalteradora"/>
        <w:rPr>
          <w:rFonts w:cstheme="minorHAnsi"/>
        </w:rPr>
      </w:pPr>
      <w:r w:rsidRPr="0097459F">
        <w:rPr>
          <w:rFonts w:cstheme="minorHAnsi"/>
        </w:rPr>
        <w:t xml:space="preserve">§ </w:t>
      </w:r>
      <w:r w:rsidR="004E6019" w:rsidRPr="0097459F">
        <w:rPr>
          <w:rFonts w:cstheme="minorHAnsi"/>
        </w:rPr>
        <w:t>3</w:t>
      </w:r>
      <w:r w:rsidRPr="0097459F">
        <w:rPr>
          <w:rFonts w:cstheme="minorHAnsi"/>
        </w:rPr>
        <w:t xml:space="preserve">º  </w:t>
      </w:r>
      <w:r w:rsidR="00B74727" w:rsidRPr="0097459F">
        <w:rPr>
          <w:rFonts w:cstheme="minorHAnsi"/>
        </w:rPr>
        <w:t>O</w:t>
      </w:r>
      <w:r w:rsidRPr="0097459F">
        <w:rPr>
          <w:rFonts w:cstheme="minorHAnsi"/>
        </w:rPr>
        <w:t xml:space="preserve"> administrador </w:t>
      </w:r>
      <w:r w:rsidR="00B74727" w:rsidRPr="0097459F">
        <w:rPr>
          <w:rFonts w:cstheme="minorHAnsi"/>
        </w:rPr>
        <w:t>pode contratar</w:t>
      </w:r>
      <w:r w:rsidRPr="0097459F">
        <w:rPr>
          <w:rFonts w:cstheme="minorHAnsi"/>
        </w:rPr>
        <w:t xml:space="preserve"> outros serviços </w:t>
      </w:r>
      <w:r w:rsidR="00CB7114" w:rsidRPr="0097459F">
        <w:rPr>
          <w:rFonts w:cstheme="minorHAnsi"/>
        </w:rPr>
        <w:t>em benefício da classe</w:t>
      </w:r>
      <w:r w:rsidR="009742FD" w:rsidRPr="0097459F">
        <w:rPr>
          <w:rFonts w:cstheme="minorHAnsi"/>
        </w:rPr>
        <w:t xml:space="preserve"> de cotas</w:t>
      </w:r>
      <w:r w:rsidR="007C11A0" w:rsidRPr="0097459F">
        <w:rPr>
          <w:rFonts w:cstheme="minorHAnsi"/>
        </w:rPr>
        <w:t>,</w:t>
      </w:r>
      <w:r w:rsidR="00CB7114" w:rsidRPr="0097459F">
        <w:rPr>
          <w:rFonts w:cstheme="minorHAnsi"/>
        </w:rPr>
        <w:t xml:space="preserve"> </w:t>
      </w:r>
      <w:r w:rsidRPr="0097459F">
        <w:rPr>
          <w:rFonts w:cstheme="minorHAnsi"/>
        </w:rPr>
        <w:t xml:space="preserve">que não </w:t>
      </w:r>
      <w:r w:rsidR="00CB7114" w:rsidRPr="0097459F">
        <w:rPr>
          <w:rFonts w:cstheme="minorHAnsi"/>
        </w:rPr>
        <w:t>estejam</w:t>
      </w:r>
      <w:r w:rsidRPr="0097459F">
        <w:rPr>
          <w:rFonts w:cstheme="minorHAnsi"/>
        </w:rPr>
        <w:t xml:space="preserve"> listados </w:t>
      </w:r>
      <w:r w:rsidR="00A96062" w:rsidRPr="0097459F">
        <w:rPr>
          <w:rFonts w:cstheme="minorHAnsi"/>
        </w:rPr>
        <w:t xml:space="preserve">nos incisos do </w:t>
      </w:r>
      <w:r w:rsidR="00A96062" w:rsidRPr="0097459F">
        <w:rPr>
          <w:rFonts w:cstheme="minorHAnsi"/>
          <w:b/>
        </w:rPr>
        <w:t>caput</w:t>
      </w:r>
      <w:r w:rsidRPr="0097459F">
        <w:rPr>
          <w:rFonts w:cstheme="minorHAnsi"/>
        </w:rPr>
        <w:t xml:space="preserve">, observado que, </w:t>
      </w:r>
      <w:r w:rsidR="00901457" w:rsidRPr="0097459F">
        <w:rPr>
          <w:rFonts w:cstheme="minorHAnsi"/>
        </w:rPr>
        <w:t>nesse cas</w:t>
      </w:r>
      <w:r w:rsidRPr="0097459F">
        <w:rPr>
          <w:rFonts w:cstheme="minorHAnsi"/>
        </w:rPr>
        <w:t>o</w:t>
      </w:r>
      <w:r w:rsidR="00860F96" w:rsidRPr="0097459F">
        <w:rPr>
          <w:rFonts w:cstheme="minorHAnsi"/>
        </w:rPr>
        <w:t>:</w:t>
      </w:r>
    </w:p>
    <w:p w14:paraId="5A401810" w14:textId="2C726630" w:rsidR="00D26664" w:rsidRPr="0097459F" w:rsidRDefault="00860F96" w:rsidP="00C20BBD">
      <w:pPr>
        <w:pStyle w:val="Normalalteradora"/>
        <w:rPr>
          <w:rFonts w:cstheme="minorHAnsi"/>
        </w:rPr>
      </w:pPr>
      <w:r w:rsidRPr="0097459F">
        <w:rPr>
          <w:rFonts w:cstheme="minorHAnsi"/>
        </w:rPr>
        <w:t xml:space="preserve">I </w:t>
      </w:r>
      <w:r w:rsidR="004E6019" w:rsidRPr="0097459F">
        <w:rPr>
          <w:rFonts w:cstheme="minorHAnsi"/>
        </w:rPr>
        <w:t>–</w:t>
      </w:r>
      <w:r w:rsidR="00D7744F" w:rsidRPr="0097459F">
        <w:rPr>
          <w:rFonts w:cstheme="minorHAnsi"/>
        </w:rPr>
        <w:t xml:space="preserve"> a contratação </w:t>
      </w:r>
      <w:r w:rsidR="009742FD" w:rsidRPr="0097459F">
        <w:rPr>
          <w:rFonts w:cstheme="minorHAnsi"/>
        </w:rPr>
        <w:t xml:space="preserve">não </w:t>
      </w:r>
      <w:r w:rsidR="00D7744F" w:rsidRPr="0097459F">
        <w:rPr>
          <w:rFonts w:cstheme="minorHAnsi"/>
        </w:rPr>
        <w:t>ocorre em nome do fundo</w:t>
      </w:r>
      <w:r w:rsidR="00432AF8" w:rsidRPr="0097459F">
        <w:rPr>
          <w:rFonts w:cstheme="minorHAnsi"/>
        </w:rPr>
        <w:t>, salvo previs</w:t>
      </w:r>
      <w:r w:rsidR="00A93820" w:rsidRPr="0097459F">
        <w:rPr>
          <w:rFonts w:cstheme="minorHAnsi"/>
        </w:rPr>
        <w:t xml:space="preserve">ão no regulamento ou </w:t>
      </w:r>
      <w:r w:rsidR="00432AF8" w:rsidRPr="0097459F">
        <w:rPr>
          <w:rFonts w:cstheme="minorHAnsi"/>
        </w:rPr>
        <w:t>aprovação em assembleia</w:t>
      </w:r>
      <w:r w:rsidRPr="0097459F">
        <w:rPr>
          <w:rFonts w:cstheme="minorHAnsi"/>
        </w:rPr>
        <w:t>; e</w:t>
      </w:r>
    </w:p>
    <w:p w14:paraId="66EC6365" w14:textId="1160EA4A" w:rsidR="00860F96" w:rsidRPr="0097459F" w:rsidRDefault="00860F96" w:rsidP="00C20BBD">
      <w:pPr>
        <w:pStyle w:val="Normalalteradora"/>
      </w:pPr>
      <w:r w:rsidRPr="0097459F">
        <w:t>II – caso o prestador de serviço contratado não seja um participante de mercado regulado pela CVM</w:t>
      </w:r>
      <w:r w:rsidR="00B01C25" w:rsidRPr="0097459F">
        <w:t xml:space="preserve"> ou o serviço </w:t>
      </w:r>
      <w:r w:rsidR="0041068C" w:rsidRPr="0097459F">
        <w:t xml:space="preserve">prestado ao fundo </w:t>
      </w:r>
      <w:r w:rsidR="00B01C25" w:rsidRPr="0097459F">
        <w:t xml:space="preserve">não se encontre dentro da esfera de atuação da </w:t>
      </w:r>
      <w:r w:rsidR="0082498C" w:rsidRPr="0097459F">
        <w:t>A</w:t>
      </w:r>
      <w:r w:rsidR="00B01C25" w:rsidRPr="0097459F">
        <w:t>utarquia</w:t>
      </w:r>
      <w:r w:rsidRPr="0097459F">
        <w:t>, o administrador deve fiscalizar as atividades do terceiro contratado relacionadas ao fundo.</w:t>
      </w:r>
    </w:p>
    <w:p w14:paraId="1E4968AE" w14:textId="377BA3C7" w:rsidR="00D71D53" w:rsidRPr="0097459F" w:rsidRDefault="00D71D53" w:rsidP="00C20BBD">
      <w:pPr>
        <w:pStyle w:val="Seo"/>
      </w:pPr>
      <w:bookmarkStart w:id="212" w:name="_Toc126226319"/>
      <w:r w:rsidRPr="0097459F">
        <w:rPr>
          <w:rFonts w:cstheme="minorHAnsi"/>
        </w:rPr>
        <w:lastRenderedPageBreak/>
        <w:t>Subseção I</w:t>
      </w:r>
      <w:r w:rsidR="00766DCE" w:rsidRPr="0097459F">
        <w:rPr>
          <w:rFonts w:cstheme="minorHAnsi"/>
        </w:rPr>
        <w:t>I</w:t>
      </w:r>
      <w:r w:rsidRPr="0097459F">
        <w:rPr>
          <w:rFonts w:cstheme="minorHAnsi"/>
        </w:rPr>
        <w:t xml:space="preserve"> – </w:t>
      </w:r>
      <w:r w:rsidR="00766DCE" w:rsidRPr="0097459F">
        <w:rPr>
          <w:rFonts w:cstheme="minorHAnsi"/>
        </w:rPr>
        <w:t xml:space="preserve">Funções do </w:t>
      </w:r>
      <w:r w:rsidRPr="0097459F">
        <w:rPr>
          <w:rFonts w:cstheme="minorHAnsi"/>
        </w:rPr>
        <w:t>Gestor</w:t>
      </w:r>
      <w:bookmarkEnd w:id="212"/>
    </w:p>
    <w:p w14:paraId="7E324880" w14:textId="3002F20C" w:rsidR="00D26664" w:rsidRPr="0097459F" w:rsidRDefault="003775FA" w:rsidP="00C20BBD">
      <w:pPr>
        <w:pStyle w:val="Normalalteradora"/>
      </w:pPr>
      <w:bookmarkStart w:id="213" w:name="_DV_C95"/>
      <w:r w:rsidRPr="0097459F">
        <w:rPr>
          <w:rFonts w:cstheme="minorHAnsi"/>
        </w:rPr>
        <w:t xml:space="preserve">Art. </w:t>
      </w:r>
      <w:r w:rsidR="00B7720E" w:rsidRPr="0097459F">
        <w:rPr>
          <w:rFonts w:cstheme="minorHAnsi"/>
        </w:rPr>
        <w:t>84</w:t>
      </w:r>
      <w:r w:rsidRPr="0097459F">
        <w:rPr>
          <w:rFonts w:cstheme="minorHAnsi"/>
        </w:rPr>
        <w:t xml:space="preserve">.  O gestor, observadas as limitações legais e as previstas na regulamentação aplicável, tem poderes para praticar os atos necessários à </w:t>
      </w:r>
      <w:r w:rsidR="00923D0E" w:rsidRPr="0097459F">
        <w:rPr>
          <w:rFonts w:cstheme="minorHAnsi"/>
        </w:rPr>
        <w:t>gestão da carteira de ativos, na sua respectiva esfera de atuação.</w:t>
      </w:r>
    </w:p>
    <w:p w14:paraId="3E553457" w14:textId="610BDD34" w:rsidR="00893D49" w:rsidRPr="0097459F" w:rsidRDefault="00923D0E" w:rsidP="00C20BBD">
      <w:pPr>
        <w:pStyle w:val="Normalalteradora"/>
      </w:pPr>
      <w:r w:rsidRPr="0097459F">
        <w:t xml:space="preserve">Art. </w:t>
      </w:r>
      <w:r w:rsidR="00B7720E" w:rsidRPr="0097459F">
        <w:t>85</w:t>
      </w:r>
      <w:r w:rsidRPr="0097459F">
        <w:t xml:space="preserve">.  </w:t>
      </w:r>
      <w:r w:rsidR="00222400" w:rsidRPr="0097459F">
        <w:t>Inclui-se e</w:t>
      </w:r>
      <w:r w:rsidR="00A96062" w:rsidRPr="0097459F">
        <w:t xml:space="preserve">ntre as obrigações do gestor </w:t>
      </w:r>
      <w:r w:rsidR="00A96062" w:rsidRPr="0097459F">
        <w:rPr>
          <w:rFonts w:cstheme="minorHAnsi"/>
        </w:rPr>
        <w:t>contratar, em nome do fundo, com terceiros devidamente habilitados e autorizados, os seguintes serviços</w:t>
      </w:r>
      <w:r w:rsidR="00893D49" w:rsidRPr="0097459F">
        <w:t>:</w:t>
      </w:r>
      <w:bookmarkEnd w:id="213"/>
    </w:p>
    <w:p w14:paraId="5EBE4726" w14:textId="45B671B5" w:rsidR="00552554" w:rsidRPr="0097459F" w:rsidRDefault="00A96062" w:rsidP="00C20BBD">
      <w:pPr>
        <w:pStyle w:val="Normalalteradora"/>
        <w:rPr>
          <w:rFonts w:cstheme="minorHAnsi"/>
        </w:rPr>
      </w:pPr>
      <w:bookmarkStart w:id="214" w:name="_DV_C100"/>
      <w:r w:rsidRPr="0097459F">
        <w:rPr>
          <w:rFonts w:cstheme="minorHAnsi"/>
        </w:rPr>
        <w:t xml:space="preserve">I </w:t>
      </w:r>
      <w:r w:rsidR="003F34F6" w:rsidRPr="0097459F">
        <w:rPr>
          <w:rFonts w:cstheme="minorHAnsi"/>
        </w:rPr>
        <w:t>–</w:t>
      </w:r>
      <w:r w:rsidR="00B52C84" w:rsidRPr="0097459F">
        <w:rPr>
          <w:rFonts w:cstheme="minorHAnsi"/>
        </w:rPr>
        <w:t xml:space="preserve"> intermediação de</w:t>
      </w:r>
      <w:r w:rsidR="00552554" w:rsidRPr="0097459F">
        <w:rPr>
          <w:rFonts w:cstheme="minorHAnsi"/>
        </w:rPr>
        <w:t xml:space="preserve"> operações para a carteira de ativos;</w:t>
      </w:r>
    </w:p>
    <w:p w14:paraId="5CE0F4FE" w14:textId="1C46F4B9" w:rsidR="00893D49" w:rsidRPr="0097459F" w:rsidRDefault="00A96062" w:rsidP="00C20BBD">
      <w:pPr>
        <w:pStyle w:val="Normalalteradora"/>
        <w:rPr>
          <w:rFonts w:cstheme="minorHAnsi"/>
        </w:rPr>
      </w:pPr>
      <w:r w:rsidRPr="0097459F">
        <w:rPr>
          <w:rFonts w:cstheme="minorHAnsi"/>
        </w:rPr>
        <w:t xml:space="preserve">II </w:t>
      </w:r>
      <w:r w:rsidR="003F34F6" w:rsidRPr="0097459F">
        <w:rPr>
          <w:rFonts w:cstheme="minorHAnsi"/>
        </w:rPr>
        <w:t>–</w:t>
      </w:r>
      <w:r w:rsidR="00893D49" w:rsidRPr="0097459F">
        <w:rPr>
          <w:rFonts w:cstheme="minorHAnsi"/>
        </w:rPr>
        <w:t xml:space="preserve"> distribuição de cotas;</w:t>
      </w:r>
    </w:p>
    <w:p w14:paraId="3D23A065" w14:textId="2E95F340" w:rsidR="00893D49" w:rsidRPr="0097459F" w:rsidRDefault="00A96062" w:rsidP="00C20BBD">
      <w:pPr>
        <w:pStyle w:val="Normalalteradora"/>
        <w:rPr>
          <w:rFonts w:cstheme="minorHAnsi"/>
        </w:rPr>
      </w:pPr>
      <w:r w:rsidRPr="0097459F">
        <w:rPr>
          <w:rFonts w:cstheme="minorHAnsi"/>
        </w:rPr>
        <w:t xml:space="preserve">III </w:t>
      </w:r>
      <w:r w:rsidR="003F34F6" w:rsidRPr="0097459F">
        <w:rPr>
          <w:rFonts w:cstheme="minorHAnsi"/>
        </w:rPr>
        <w:t>–</w:t>
      </w:r>
      <w:r w:rsidR="00893D49" w:rsidRPr="0097459F">
        <w:rPr>
          <w:rFonts w:cstheme="minorHAnsi"/>
        </w:rPr>
        <w:t xml:space="preserve"> consultoria de investimentos;</w:t>
      </w:r>
    </w:p>
    <w:p w14:paraId="50AABA6F" w14:textId="55721FB0" w:rsidR="00D7744F" w:rsidRPr="0097459F" w:rsidRDefault="00A96062" w:rsidP="00C20BBD">
      <w:pPr>
        <w:pStyle w:val="Normalalteradora"/>
        <w:rPr>
          <w:rFonts w:cstheme="minorHAnsi"/>
        </w:rPr>
      </w:pPr>
      <w:r w:rsidRPr="0097459F">
        <w:rPr>
          <w:rFonts w:cstheme="minorHAnsi"/>
        </w:rPr>
        <w:t xml:space="preserve">IV </w:t>
      </w:r>
      <w:r w:rsidR="003F34F6" w:rsidRPr="0097459F">
        <w:rPr>
          <w:rFonts w:cstheme="minorHAnsi"/>
        </w:rPr>
        <w:t>–</w:t>
      </w:r>
      <w:r w:rsidR="00D20669" w:rsidRPr="0097459F">
        <w:rPr>
          <w:rFonts w:cstheme="minorHAnsi"/>
        </w:rPr>
        <w:t xml:space="preserve"> </w:t>
      </w:r>
      <w:r w:rsidR="00D7744F" w:rsidRPr="0097459F">
        <w:rPr>
          <w:rFonts w:cstheme="minorHAnsi"/>
        </w:rPr>
        <w:t>classificação de risco por agência de classificação de risco de crédito;</w:t>
      </w:r>
    </w:p>
    <w:p w14:paraId="1ACD20A7" w14:textId="3A58F860" w:rsidR="00893D49" w:rsidRPr="0097459F" w:rsidRDefault="00A96062" w:rsidP="00C20BBD">
      <w:pPr>
        <w:pStyle w:val="Normalalteradora"/>
        <w:rPr>
          <w:rFonts w:cstheme="minorHAnsi"/>
        </w:rPr>
      </w:pPr>
      <w:r w:rsidRPr="0097459F">
        <w:rPr>
          <w:rFonts w:cstheme="minorHAnsi"/>
        </w:rPr>
        <w:t xml:space="preserve">V </w:t>
      </w:r>
      <w:r w:rsidR="003F34F6" w:rsidRPr="0097459F">
        <w:rPr>
          <w:rFonts w:cstheme="minorHAnsi"/>
        </w:rPr>
        <w:t>–</w:t>
      </w:r>
      <w:r w:rsidR="00893D49" w:rsidRPr="0097459F">
        <w:rPr>
          <w:rFonts w:cstheme="minorHAnsi"/>
        </w:rPr>
        <w:t xml:space="preserve"> </w:t>
      </w:r>
      <w:r w:rsidR="003F34F6" w:rsidRPr="0097459F">
        <w:rPr>
          <w:rFonts w:cstheme="minorHAnsi"/>
        </w:rPr>
        <w:t xml:space="preserve">formador </w:t>
      </w:r>
      <w:r w:rsidR="00893D49" w:rsidRPr="0097459F">
        <w:rPr>
          <w:rFonts w:cstheme="minorHAnsi"/>
        </w:rPr>
        <w:t>de mercado de classe fechada; e</w:t>
      </w:r>
    </w:p>
    <w:p w14:paraId="4A6A77F7" w14:textId="5EF8E189" w:rsidR="00893D49" w:rsidRPr="0097459F" w:rsidRDefault="00A96062" w:rsidP="00C20BBD">
      <w:pPr>
        <w:pStyle w:val="Normalalteradora"/>
        <w:rPr>
          <w:rFonts w:cstheme="minorHAnsi"/>
        </w:rPr>
      </w:pPr>
      <w:r w:rsidRPr="0097459F">
        <w:rPr>
          <w:rFonts w:cstheme="minorHAnsi"/>
        </w:rPr>
        <w:t xml:space="preserve">VI </w:t>
      </w:r>
      <w:r w:rsidR="003F34F6" w:rsidRPr="0097459F">
        <w:rPr>
          <w:rFonts w:cstheme="minorHAnsi"/>
        </w:rPr>
        <w:t>–</w:t>
      </w:r>
      <w:r w:rsidRPr="0097459F">
        <w:rPr>
          <w:rFonts w:cstheme="minorHAnsi"/>
        </w:rPr>
        <w:t xml:space="preserve"> </w:t>
      </w:r>
      <w:r w:rsidR="00893D49" w:rsidRPr="0097459F">
        <w:rPr>
          <w:rFonts w:cstheme="minorHAnsi"/>
        </w:rPr>
        <w:t>cogestão da carteira de ativos.</w:t>
      </w:r>
    </w:p>
    <w:bookmarkEnd w:id="214"/>
    <w:p w14:paraId="71891BA4" w14:textId="04E14FAE" w:rsidR="00893D49" w:rsidRPr="0097459F" w:rsidRDefault="00893D49" w:rsidP="00C20BBD">
      <w:pPr>
        <w:pStyle w:val="Normalalteradora"/>
        <w:rPr>
          <w:rFonts w:cstheme="minorHAnsi"/>
        </w:rPr>
      </w:pPr>
      <w:r w:rsidRPr="0097459F">
        <w:rPr>
          <w:rFonts w:cstheme="minorHAnsi"/>
        </w:rPr>
        <w:t xml:space="preserve">§ 1º  O gestor </w:t>
      </w:r>
      <w:r w:rsidR="00F02EEE" w:rsidRPr="0097459F">
        <w:rPr>
          <w:rFonts w:cstheme="minorHAnsi"/>
        </w:rPr>
        <w:t xml:space="preserve">e o administrador </w:t>
      </w:r>
      <w:r w:rsidRPr="0097459F">
        <w:rPr>
          <w:rFonts w:cstheme="minorHAnsi"/>
        </w:rPr>
        <w:t>pode</w:t>
      </w:r>
      <w:r w:rsidR="00F02EEE" w:rsidRPr="0097459F">
        <w:rPr>
          <w:rFonts w:cstheme="minorHAnsi"/>
        </w:rPr>
        <w:t>m</w:t>
      </w:r>
      <w:r w:rsidRPr="0097459F">
        <w:rPr>
          <w:rFonts w:cstheme="minorHAnsi"/>
        </w:rPr>
        <w:t xml:space="preserve"> </w:t>
      </w:r>
      <w:r w:rsidR="00D20669" w:rsidRPr="0097459F">
        <w:rPr>
          <w:rFonts w:cstheme="minorHAnsi"/>
        </w:rPr>
        <w:t xml:space="preserve">prestar </w:t>
      </w:r>
      <w:r w:rsidRPr="0097459F">
        <w:rPr>
          <w:rFonts w:cstheme="minorHAnsi"/>
        </w:rPr>
        <w:t>o</w:t>
      </w:r>
      <w:r w:rsidR="00552554" w:rsidRPr="0097459F">
        <w:rPr>
          <w:rFonts w:cstheme="minorHAnsi"/>
        </w:rPr>
        <w:t>s</w:t>
      </w:r>
      <w:r w:rsidRPr="0097459F">
        <w:rPr>
          <w:rFonts w:cstheme="minorHAnsi"/>
        </w:rPr>
        <w:t xml:space="preserve"> serviço</w:t>
      </w:r>
      <w:r w:rsidR="00552554" w:rsidRPr="0097459F">
        <w:rPr>
          <w:rFonts w:cstheme="minorHAnsi"/>
        </w:rPr>
        <w:t>s</w:t>
      </w:r>
      <w:r w:rsidRPr="0097459F">
        <w:rPr>
          <w:rFonts w:cstheme="minorHAnsi"/>
        </w:rPr>
        <w:t xml:space="preserve"> de que trata</w:t>
      </w:r>
      <w:r w:rsidR="00552554" w:rsidRPr="0097459F">
        <w:rPr>
          <w:rFonts w:cstheme="minorHAnsi"/>
        </w:rPr>
        <w:t>m</w:t>
      </w:r>
      <w:r w:rsidRPr="0097459F">
        <w:rPr>
          <w:rFonts w:cstheme="minorHAnsi"/>
        </w:rPr>
        <w:t xml:space="preserve"> </w:t>
      </w:r>
      <w:r w:rsidR="00A96062" w:rsidRPr="0097459F">
        <w:rPr>
          <w:rFonts w:cstheme="minorHAnsi"/>
        </w:rPr>
        <w:t>os incisos I e II</w:t>
      </w:r>
      <w:r w:rsidRPr="0097459F">
        <w:rPr>
          <w:rFonts w:cstheme="minorHAnsi"/>
        </w:rPr>
        <w:t xml:space="preserve"> do </w:t>
      </w:r>
      <w:r w:rsidRPr="0097459F">
        <w:rPr>
          <w:rFonts w:cstheme="minorHAnsi"/>
          <w:b/>
        </w:rPr>
        <w:t>caput</w:t>
      </w:r>
      <w:r w:rsidRPr="0097459F">
        <w:rPr>
          <w:rFonts w:cstheme="minorHAnsi"/>
        </w:rPr>
        <w:t>, observada a regulamentação aplicável à</w:t>
      </w:r>
      <w:r w:rsidR="00552554" w:rsidRPr="0097459F">
        <w:rPr>
          <w:rFonts w:cstheme="minorHAnsi"/>
        </w:rPr>
        <w:t>s</w:t>
      </w:r>
      <w:r w:rsidR="003F34F6" w:rsidRPr="0097459F">
        <w:rPr>
          <w:rFonts w:cstheme="minorHAnsi"/>
        </w:rPr>
        <w:t xml:space="preserve"> referidas</w:t>
      </w:r>
      <w:r w:rsidRPr="0097459F">
        <w:rPr>
          <w:rFonts w:cstheme="minorHAnsi"/>
        </w:rPr>
        <w:t xml:space="preserve"> </w:t>
      </w:r>
      <w:r w:rsidR="00CB7114" w:rsidRPr="0097459F">
        <w:rPr>
          <w:rFonts w:cstheme="minorHAnsi"/>
        </w:rPr>
        <w:t>atividades</w:t>
      </w:r>
      <w:r w:rsidRPr="0097459F">
        <w:rPr>
          <w:rFonts w:cstheme="minorHAnsi"/>
        </w:rPr>
        <w:t>.</w:t>
      </w:r>
    </w:p>
    <w:p w14:paraId="33F64569" w14:textId="5273921B" w:rsidR="00893D49" w:rsidRPr="0097459F" w:rsidRDefault="00893D49" w:rsidP="00C20BBD">
      <w:pPr>
        <w:pStyle w:val="Normalalteradora"/>
        <w:rPr>
          <w:rFonts w:cstheme="minorHAnsi"/>
        </w:rPr>
      </w:pPr>
      <w:r w:rsidRPr="0097459F">
        <w:rPr>
          <w:rFonts w:cstheme="minorHAnsi"/>
        </w:rPr>
        <w:t>§ 2º  Os serviços de que tratam as alíneas do</w:t>
      </w:r>
      <w:r w:rsidR="00A96062" w:rsidRPr="0097459F">
        <w:rPr>
          <w:rFonts w:cstheme="minorHAnsi"/>
        </w:rPr>
        <w:t>s</w:t>
      </w:r>
      <w:r w:rsidRPr="0097459F">
        <w:rPr>
          <w:rFonts w:cstheme="minorHAnsi"/>
        </w:rPr>
        <w:t xml:space="preserve"> inciso</w:t>
      </w:r>
      <w:r w:rsidR="00A96062" w:rsidRPr="0097459F">
        <w:rPr>
          <w:rFonts w:cstheme="minorHAnsi"/>
        </w:rPr>
        <w:t>s</w:t>
      </w:r>
      <w:r w:rsidRPr="0097459F">
        <w:rPr>
          <w:rFonts w:cstheme="minorHAnsi"/>
        </w:rPr>
        <w:t xml:space="preserve"> III </w:t>
      </w:r>
      <w:r w:rsidR="00A96062" w:rsidRPr="0097459F">
        <w:rPr>
          <w:rFonts w:cstheme="minorHAnsi"/>
        </w:rPr>
        <w:t xml:space="preserve">a VI </w:t>
      </w:r>
      <w:r w:rsidRPr="0097459F">
        <w:rPr>
          <w:rFonts w:cstheme="minorHAnsi"/>
        </w:rPr>
        <w:t xml:space="preserve">do </w:t>
      </w:r>
      <w:r w:rsidRPr="0097459F">
        <w:rPr>
          <w:rFonts w:cstheme="minorHAnsi"/>
          <w:b/>
        </w:rPr>
        <w:t>caput</w:t>
      </w:r>
      <w:r w:rsidRPr="0097459F">
        <w:rPr>
          <w:rFonts w:cstheme="minorHAnsi"/>
        </w:rPr>
        <w:t xml:space="preserve"> somente são de contratação obrigatória pelo gestor caso assim disposto no regulamento ou deliberado </w:t>
      </w:r>
      <w:r w:rsidR="00CB7114" w:rsidRPr="0097459F">
        <w:rPr>
          <w:rFonts w:cstheme="minorHAnsi"/>
        </w:rPr>
        <w:t>pela</w:t>
      </w:r>
      <w:r w:rsidRPr="0097459F">
        <w:rPr>
          <w:rFonts w:cstheme="minorHAnsi"/>
        </w:rPr>
        <w:t xml:space="preserve"> assembleia</w:t>
      </w:r>
      <w:r w:rsidR="00D87E93" w:rsidRPr="0097459F">
        <w:rPr>
          <w:rFonts w:cstheme="minorHAnsi"/>
        </w:rPr>
        <w:t xml:space="preserve"> de cotistas da classe de cotas</w:t>
      </w:r>
      <w:r w:rsidRPr="0097459F">
        <w:rPr>
          <w:rFonts w:cstheme="minorHAnsi"/>
        </w:rPr>
        <w:t>.</w:t>
      </w:r>
    </w:p>
    <w:p w14:paraId="7EFAAC34" w14:textId="0D306ED1" w:rsidR="00893D49" w:rsidRPr="0097459F" w:rsidRDefault="00893D49" w:rsidP="00C20BBD">
      <w:pPr>
        <w:pStyle w:val="Normalalteradora"/>
        <w:rPr>
          <w:rFonts w:cstheme="minorHAnsi"/>
        </w:rPr>
      </w:pPr>
      <w:r w:rsidRPr="0097459F">
        <w:rPr>
          <w:rFonts w:cstheme="minorHAnsi"/>
        </w:rPr>
        <w:t xml:space="preserve">§ </w:t>
      </w:r>
      <w:r w:rsidR="003F34F6" w:rsidRPr="0097459F">
        <w:rPr>
          <w:rFonts w:cstheme="minorHAnsi"/>
        </w:rPr>
        <w:t xml:space="preserve">3º  </w:t>
      </w:r>
      <w:r w:rsidRPr="0097459F">
        <w:rPr>
          <w:rFonts w:cstheme="minorHAnsi"/>
        </w:rPr>
        <w:t>Nos casos de contratação de cogestor, o contrato deve</w:t>
      </w:r>
      <w:r w:rsidR="00726D4A" w:rsidRPr="0097459F">
        <w:rPr>
          <w:rFonts w:cstheme="minorHAnsi"/>
        </w:rPr>
        <w:t xml:space="preserve"> </w:t>
      </w:r>
      <w:r w:rsidRPr="0097459F">
        <w:rPr>
          <w:rFonts w:cstheme="minorHAnsi"/>
        </w:rPr>
        <w:t xml:space="preserve">definir claramente as atribuições de </w:t>
      </w:r>
      <w:r w:rsidR="00121E4F" w:rsidRPr="0097459F">
        <w:rPr>
          <w:rFonts w:cstheme="minorHAnsi"/>
        </w:rPr>
        <w:t xml:space="preserve">cada </w:t>
      </w:r>
      <w:r w:rsidRPr="0097459F">
        <w:rPr>
          <w:rFonts w:cstheme="minorHAnsi"/>
        </w:rPr>
        <w:t>gestor, o que inclui</w:t>
      </w:r>
      <w:r w:rsidR="00546A61" w:rsidRPr="0097459F">
        <w:rPr>
          <w:rFonts w:cstheme="minorHAnsi"/>
        </w:rPr>
        <w:t>,</w:t>
      </w:r>
      <w:r w:rsidRPr="0097459F">
        <w:rPr>
          <w:rFonts w:cstheme="minorHAnsi"/>
        </w:rPr>
        <w:t xml:space="preserve"> </w:t>
      </w:r>
      <w:r w:rsidR="00546A61" w:rsidRPr="0097459F">
        <w:rPr>
          <w:rFonts w:cstheme="minorHAnsi"/>
        </w:rPr>
        <w:t xml:space="preserve">no mínimo, </w:t>
      </w:r>
      <w:r w:rsidRPr="0097459F">
        <w:rPr>
          <w:rFonts w:cstheme="minorHAnsi"/>
        </w:rPr>
        <w:t>o mercado específico de atuação de cada gestor</w:t>
      </w:r>
      <w:r w:rsidR="00121E4F" w:rsidRPr="0097459F">
        <w:rPr>
          <w:rFonts w:cstheme="minorHAnsi"/>
        </w:rPr>
        <w:t xml:space="preserve"> e a classe</w:t>
      </w:r>
      <w:r w:rsidR="00432AF8" w:rsidRPr="0097459F">
        <w:rPr>
          <w:rFonts w:cstheme="minorHAnsi"/>
        </w:rPr>
        <w:t xml:space="preserve"> ou classes</w:t>
      </w:r>
      <w:r w:rsidR="00121E4F" w:rsidRPr="0097459F">
        <w:rPr>
          <w:rFonts w:cstheme="minorHAnsi"/>
        </w:rPr>
        <w:t xml:space="preserve"> de cotas </w:t>
      </w:r>
      <w:r w:rsidR="00432AF8" w:rsidRPr="0097459F">
        <w:rPr>
          <w:rFonts w:cstheme="minorHAnsi"/>
        </w:rPr>
        <w:t>objeto da cogestão</w:t>
      </w:r>
      <w:r w:rsidR="00546A61" w:rsidRPr="0097459F">
        <w:rPr>
          <w:rFonts w:cstheme="minorHAnsi"/>
        </w:rPr>
        <w:t>.</w:t>
      </w:r>
    </w:p>
    <w:p w14:paraId="692BC379" w14:textId="5ED365DF" w:rsidR="00726D4A" w:rsidRPr="0097459F" w:rsidRDefault="00726D4A" w:rsidP="00C20BBD">
      <w:pPr>
        <w:pStyle w:val="Normalalteradora"/>
        <w:rPr>
          <w:rFonts w:cstheme="minorHAnsi"/>
        </w:rPr>
      </w:pPr>
      <w:r w:rsidRPr="0097459F">
        <w:rPr>
          <w:rFonts w:cstheme="minorHAnsi"/>
        </w:rPr>
        <w:t xml:space="preserve">§ </w:t>
      </w:r>
      <w:r w:rsidR="003F34F6" w:rsidRPr="0097459F">
        <w:rPr>
          <w:rFonts w:cstheme="minorHAnsi"/>
        </w:rPr>
        <w:t>4</w:t>
      </w:r>
      <w:r w:rsidRPr="0097459F">
        <w:rPr>
          <w:rFonts w:cstheme="minorHAnsi"/>
        </w:rPr>
        <w:t xml:space="preserve">º  O gestor pode contratar outros serviços em benefício da classe de cotas, que não estejam listados nos incisos do </w:t>
      </w:r>
      <w:r w:rsidRPr="0097459F">
        <w:rPr>
          <w:rFonts w:cstheme="minorHAnsi"/>
          <w:b/>
        </w:rPr>
        <w:t>caput</w:t>
      </w:r>
      <w:r w:rsidRPr="0097459F">
        <w:rPr>
          <w:rFonts w:cstheme="minorHAnsi"/>
        </w:rPr>
        <w:t>, observado que, nesse caso</w:t>
      </w:r>
      <w:r w:rsidR="00860F96" w:rsidRPr="0097459F">
        <w:rPr>
          <w:rFonts w:cstheme="minorHAnsi"/>
        </w:rPr>
        <w:t>:</w:t>
      </w:r>
    </w:p>
    <w:p w14:paraId="4A9FB1D6" w14:textId="70A65CB2" w:rsidR="00860F96" w:rsidRPr="0097459F" w:rsidRDefault="00860F96" w:rsidP="00C20BBD">
      <w:pPr>
        <w:pStyle w:val="Normalalteradora"/>
        <w:rPr>
          <w:rFonts w:cstheme="minorHAnsi"/>
        </w:rPr>
      </w:pPr>
      <w:r w:rsidRPr="0097459F">
        <w:rPr>
          <w:rFonts w:cstheme="minorHAnsi"/>
        </w:rPr>
        <w:t xml:space="preserve">I </w:t>
      </w:r>
      <w:r w:rsidR="003F34F6" w:rsidRPr="0097459F">
        <w:rPr>
          <w:rFonts w:cstheme="minorHAnsi"/>
        </w:rPr>
        <w:t>–</w:t>
      </w:r>
      <w:r w:rsidRPr="0097459F">
        <w:rPr>
          <w:rFonts w:cstheme="minorHAnsi"/>
        </w:rPr>
        <w:t xml:space="preserve"> a contratação não ocorre em nome do fundo</w:t>
      </w:r>
      <w:r w:rsidR="00A93820" w:rsidRPr="0097459F">
        <w:rPr>
          <w:rFonts w:cstheme="minorHAnsi"/>
        </w:rPr>
        <w:t>, salvo previsão no regulamento ou aprovação em assembleia</w:t>
      </w:r>
      <w:r w:rsidRPr="0097459F">
        <w:rPr>
          <w:rFonts w:cstheme="minorHAnsi"/>
        </w:rPr>
        <w:t>; e</w:t>
      </w:r>
    </w:p>
    <w:p w14:paraId="1B9B822F" w14:textId="0F5B95BC" w:rsidR="00CF29F2" w:rsidRPr="0097459F" w:rsidRDefault="00860F96" w:rsidP="00C20BBD">
      <w:pPr>
        <w:pStyle w:val="Normalalteradora"/>
        <w:rPr>
          <w:rFonts w:cstheme="minorHAnsi"/>
        </w:rPr>
      </w:pPr>
      <w:r w:rsidRPr="0097459F">
        <w:t>II – caso o prestador de serviço contratado não seja um participante de mercado regulado pela CVM</w:t>
      </w:r>
      <w:r w:rsidR="003C22DC" w:rsidRPr="0097459F">
        <w:t xml:space="preserve"> ou o serviço </w:t>
      </w:r>
      <w:r w:rsidR="00386D85" w:rsidRPr="0097459F">
        <w:t xml:space="preserve">prestado ao fundo </w:t>
      </w:r>
      <w:r w:rsidR="003C22DC" w:rsidRPr="0097459F">
        <w:t xml:space="preserve">não se encontre dentro da esfera de atuação da </w:t>
      </w:r>
      <w:r w:rsidR="0082498C" w:rsidRPr="0097459F">
        <w:t>Autarquia</w:t>
      </w:r>
      <w:r w:rsidRPr="0097459F">
        <w:t>, o gestor deve fiscalizar as atividades do terceiro contratado relacionadas ao fundo.</w:t>
      </w:r>
    </w:p>
    <w:p w14:paraId="54C0252F" w14:textId="4F18E0A2" w:rsidR="00766DCE" w:rsidRPr="0097459F" w:rsidRDefault="00766DCE" w:rsidP="00C20BBD">
      <w:pPr>
        <w:pStyle w:val="Seo"/>
        <w:rPr>
          <w:rFonts w:cstheme="minorHAnsi"/>
        </w:rPr>
      </w:pPr>
      <w:bookmarkStart w:id="215" w:name="_Toc126226320"/>
      <w:r w:rsidRPr="0097459F">
        <w:rPr>
          <w:rFonts w:cstheme="minorHAnsi"/>
        </w:rPr>
        <w:lastRenderedPageBreak/>
        <w:t xml:space="preserve">Subseção III – Negociação de </w:t>
      </w:r>
      <w:r w:rsidR="00FD3B35">
        <w:rPr>
          <w:rFonts w:cstheme="minorHAnsi"/>
        </w:rPr>
        <w:t>A</w:t>
      </w:r>
      <w:r w:rsidRPr="0097459F">
        <w:rPr>
          <w:rFonts w:cstheme="minorHAnsi"/>
        </w:rPr>
        <w:t xml:space="preserve">tivos em </w:t>
      </w:r>
      <w:r w:rsidR="00FD3B35">
        <w:rPr>
          <w:rFonts w:cstheme="minorHAnsi"/>
        </w:rPr>
        <w:t>M</w:t>
      </w:r>
      <w:r w:rsidRPr="0097459F">
        <w:rPr>
          <w:rFonts w:cstheme="minorHAnsi"/>
        </w:rPr>
        <w:t xml:space="preserve">ercados </w:t>
      </w:r>
      <w:r w:rsidR="00FD3B35">
        <w:rPr>
          <w:rFonts w:cstheme="minorHAnsi"/>
        </w:rPr>
        <w:t>O</w:t>
      </w:r>
      <w:r w:rsidRPr="0097459F">
        <w:rPr>
          <w:rFonts w:cstheme="minorHAnsi"/>
        </w:rPr>
        <w:t>rganizados</w:t>
      </w:r>
      <w:bookmarkEnd w:id="215"/>
    </w:p>
    <w:p w14:paraId="71847250" w14:textId="3300B1C5" w:rsidR="00F21A50" w:rsidRPr="0097459F" w:rsidRDefault="00F21A50" w:rsidP="00C20BBD">
      <w:pPr>
        <w:pStyle w:val="Normalalteradora"/>
        <w:rPr>
          <w:rFonts w:cstheme="minorHAnsi"/>
        </w:rPr>
      </w:pPr>
      <w:r w:rsidRPr="0097459F">
        <w:rPr>
          <w:rFonts w:cstheme="minorHAnsi"/>
        </w:rPr>
        <w:t xml:space="preserve">Art. </w:t>
      </w:r>
      <w:r w:rsidR="00B7720E" w:rsidRPr="0097459F">
        <w:rPr>
          <w:rFonts w:cstheme="minorHAnsi"/>
        </w:rPr>
        <w:t>86</w:t>
      </w:r>
      <w:r w:rsidRPr="0097459F">
        <w:rPr>
          <w:rFonts w:cstheme="minorHAnsi"/>
        </w:rPr>
        <w:t>.  Compete ao gestor negociar os ativos da carteira, bem como firmar, quando for o caso, todo e qualquer contrato ou documento relativo à negociação de ativos, qualquer que seja a sua natureza, representando a classe</w:t>
      </w:r>
      <w:r w:rsidR="00250534" w:rsidRPr="0097459F">
        <w:rPr>
          <w:rFonts w:cstheme="minorHAnsi"/>
        </w:rPr>
        <w:t xml:space="preserve"> de cotas para essa finalidade</w:t>
      </w:r>
      <w:r w:rsidRPr="0097459F">
        <w:rPr>
          <w:rFonts w:cstheme="minorHAnsi"/>
        </w:rPr>
        <w:t>.</w:t>
      </w:r>
    </w:p>
    <w:p w14:paraId="7A15EB4E" w14:textId="0A50498D" w:rsidR="00F44990" w:rsidRPr="0097459F" w:rsidRDefault="00F44990" w:rsidP="00C20BBD">
      <w:pPr>
        <w:pStyle w:val="Normalalteradora"/>
        <w:rPr>
          <w:rFonts w:cstheme="minorHAnsi"/>
        </w:rPr>
      </w:pPr>
      <w:r w:rsidRPr="0097459F">
        <w:rPr>
          <w:rFonts w:cstheme="minorHAnsi"/>
        </w:rPr>
        <w:t xml:space="preserve">§ 1º </w:t>
      </w:r>
      <w:r w:rsidR="00EA2480" w:rsidRPr="0097459F">
        <w:rPr>
          <w:rFonts w:cstheme="minorHAnsi"/>
        </w:rPr>
        <w:t xml:space="preserve"> </w:t>
      </w:r>
      <w:r w:rsidR="00BB0ADD" w:rsidRPr="0097459F">
        <w:rPr>
          <w:rFonts w:cstheme="minorHAnsi"/>
        </w:rPr>
        <w:t>O regulamento pode prever que a</w:t>
      </w:r>
      <w:r w:rsidR="00F21A50" w:rsidRPr="0097459F">
        <w:rPr>
          <w:rFonts w:cstheme="minorHAnsi"/>
        </w:rPr>
        <w:t xml:space="preserve"> </w:t>
      </w:r>
      <w:r w:rsidR="00BB0ADD" w:rsidRPr="0097459F">
        <w:rPr>
          <w:rFonts w:cstheme="minorHAnsi"/>
        </w:rPr>
        <w:t>gestão</w:t>
      </w:r>
      <w:r w:rsidR="00F21A50" w:rsidRPr="0097459F">
        <w:rPr>
          <w:rFonts w:cstheme="minorHAnsi"/>
        </w:rPr>
        <w:t xml:space="preserve"> da carteira alcança a utilização </w:t>
      </w:r>
      <w:r w:rsidR="00BB0ADD" w:rsidRPr="0097459F">
        <w:rPr>
          <w:rFonts w:cstheme="minorHAnsi"/>
        </w:rPr>
        <w:t>de</w:t>
      </w:r>
      <w:r w:rsidR="00F21A50" w:rsidRPr="0097459F">
        <w:rPr>
          <w:rFonts w:cstheme="minorHAnsi"/>
        </w:rPr>
        <w:t xml:space="preserve"> ativos na prestação de fiança, aval, aceite ou qualquer outra forma de </w:t>
      </w:r>
      <w:r w:rsidR="00E96CBF" w:rsidRPr="0097459F">
        <w:rPr>
          <w:rFonts w:cstheme="minorHAnsi"/>
        </w:rPr>
        <w:t>retenção de risco</w:t>
      </w:r>
      <w:r w:rsidR="00F21A50" w:rsidRPr="0097459F">
        <w:rPr>
          <w:rFonts w:cstheme="minorHAnsi"/>
        </w:rPr>
        <w:t>.</w:t>
      </w:r>
    </w:p>
    <w:p w14:paraId="1E466A73" w14:textId="11F20D33" w:rsidR="00F44990" w:rsidRPr="0097459F" w:rsidRDefault="00F44990" w:rsidP="00C20BBD">
      <w:pPr>
        <w:pStyle w:val="NormaAlterada"/>
      </w:pPr>
      <w:r w:rsidRPr="0097459F">
        <w:t xml:space="preserve">§ 2º  Caso a classe de cotas seja destinada ao público em geral, a </w:t>
      </w:r>
      <w:r w:rsidR="004020C2" w:rsidRPr="0097459F">
        <w:t>retenção de risco</w:t>
      </w:r>
      <w:r w:rsidR="004020C2" w:rsidRPr="0097459F" w:rsidDel="004020C2">
        <w:t xml:space="preserve"> </w:t>
      </w:r>
      <w:r w:rsidRPr="0097459F">
        <w:t>referida no § 1º deve ser previamente autorizada pela assembleia de cotistas</w:t>
      </w:r>
      <w:r w:rsidR="00A93820" w:rsidRPr="0097459F">
        <w:t xml:space="preserve"> </w:t>
      </w:r>
      <w:r w:rsidR="00503D86" w:rsidRPr="0097459F">
        <w:t>e</w:t>
      </w:r>
      <w:r w:rsidR="00A93820" w:rsidRPr="0097459F">
        <w:t xml:space="preserve"> contar com alerta </w:t>
      </w:r>
      <w:r w:rsidR="00503D86" w:rsidRPr="0097459F">
        <w:t xml:space="preserve">em destaque </w:t>
      </w:r>
      <w:r w:rsidR="00A93820" w:rsidRPr="0097459F">
        <w:t xml:space="preserve">no material de </w:t>
      </w:r>
      <w:r w:rsidR="00503D86" w:rsidRPr="0097459F">
        <w:t>divulgação</w:t>
      </w:r>
      <w:r w:rsidRPr="0097459F">
        <w:t>.</w:t>
      </w:r>
    </w:p>
    <w:p w14:paraId="4E519459" w14:textId="2946A9E2" w:rsidR="006665E1" w:rsidRPr="0097459F" w:rsidRDefault="006665E1" w:rsidP="00C20BBD">
      <w:pPr>
        <w:pStyle w:val="Normalalteradora"/>
        <w:rPr>
          <w:rFonts w:cstheme="minorHAnsi"/>
        </w:rPr>
      </w:pPr>
      <w:r w:rsidRPr="0097459F">
        <w:rPr>
          <w:rFonts w:cstheme="minorHAnsi"/>
        </w:rPr>
        <w:t xml:space="preserve">Art. </w:t>
      </w:r>
      <w:r w:rsidR="00B7720E" w:rsidRPr="0097459F">
        <w:rPr>
          <w:rFonts w:cstheme="minorHAnsi"/>
        </w:rPr>
        <w:t>87</w:t>
      </w:r>
      <w:r w:rsidRPr="0097459F">
        <w:rPr>
          <w:rFonts w:cstheme="minorHAnsi"/>
        </w:rPr>
        <w:t>.  O gestor deve encaminhar ao administrador, nos 5 (cinco) dias úteis subsequentes à sua assinatura, uma cópia de cada documento que firmar em nome da classe de cotas.</w:t>
      </w:r>
    </w:p>
    <w:p w14:paraId="0BB53033" w14:textId="24F46A84" w:rsidR="00893D49" w:rsidRPr="0097459F" w:rsidRDefault="00893D49" w:rsidP="00C20BBD">
      <w:pPr>
        <w:pStyle w:val="Normalalteradora"/>
      </w:pPr>
      <w:r w:rsidRPr="0097459F">
        <w:t xml:space="preserve">Art. </w:t>
      </w:r>
      <w:r w:rsidR="00B7720E" w:rsidRPr="0097459F">
        <w:t>88</w:t>
      </w:r>
      <w:r w:rsidRPr="0097459F">
        <w:t xml:space="preserve">.  As ordens de compra e venda de ativos devem sempre ser expedidas </w:t>
      </w:r>
      <w:r w:rsidR="00985779" w:rsidRPr="0097459F">
        <w:t xml:space="preserve">pelo gestor </w:t>
      </w:r>
      <w:r w:rsidRPr="0097459F">
        <w:t xml:space="preserve">com a identificação precisa </w:t>
      </w:r>
      <w:r w:rsidR="00CB7114" w:rsidRPr="0097459F">
        <w:t>d</w:t>
      </w:r>
      <w:r w:rsidR="00D45629" w:rsidRPr="0097459F">
        <w:t>o fundo e, se for</w:t>
      </w:r>
      <w:r w:rsidR="00250534" w:rsidRPr="0097459F">
        <w:t xml:space="preserve"> </w:t>
      </w:r>
      <w:r w:rsidR="00D45629" w:rsidRPr="0097459F">
        <w:t>o caso, d</w:t>
      </w:r>
      <w:r w:rsidR="00CB7114" w:rsidRPr="0097459F">
        <w:t>a</w:t>
      </w:r>
      <w:r w:rsidRPr="0097459F">
        <w:t xml:space="preserve"> classe de cotas em nome da</w:t>
      </w:r>
      <w:r w:rsidR="00FB4C14" w:rsidRPr="0097459F">
        <w:t xml:space="preserve"> </w:t>
      </w:r>
      <w:r w:rsidRPr="0097459F">
        <w:t>qual devem ser executadas.</w:t>
      </w:r>
    </w:p>
    <w:p w14:paraId="3D50333B" w14:textId="4F3EFA74" w:rsidR="00893D49" w:rsidRPr="0097459F" w:rsidRDefault="008C076B" w:rsidP="00C20BBD">
      <w:pPr>
        <w:pStyle w:val="Normalalteradora"/>
        <w:rPr>
          <w:rFonts w:cstheme="minorHAnsi"/>
        </w:rPr>
      </w:pPr>
      <w:r>
        <w:rPr>
          <w:rFonts w:cstheme="minorHAnsi"/>
        </w:rPr>
        <w:t>Parágrafo único.</w:t>
      </w:r>
      <w:r w:rsidR="00893D49" w:rsidRPr="0097459F">
        <w:rPr>
          <w:rFonts w:cstheme="minorHAnsi"/>
        </w:rPr>
        <w:t xml:space="preserve">  Quando uma mesma pessoa jurídica for responsável pela gestão das carteiras de </w:t>
      </w:r>
      <w:r w:rsidR="00D95000" w:rsidRPr="0097459F">
        <w:rPr>
          <w:rFonts w:cstheme="minorHAnsi"/>
        </w:rPr>
        <w:t xml:space="preserve">diversas </w:t>
      </w:r>
      <w:r w:rsidR="0093751E" w:rsidRPr="0097459F">
        <w:rPr>
          <w:rFonts w:cstheme="minorHAnsi"/>
        </w:rPr>
        <w:t>classes</w:t>
      </w:r>
      <w:r w:rsidR="00893D49" w:rsidRPr="0097459F">
        <w:rPr>
          <w:rFonts w:cstheme="minorHAnsi"/>
        </w:rPr>
        <w:t xml:space="preserve">, </w:t>
      </w:r>
      <w:r w:rsidR="00273C0F" w:rsidRPr="0097459F">
        <w:rPr>
          <w:rFonts w:cstheme="minorHAnsi"/>
        </w:rPr>
        <w:t xml:space="preserve">é </w:t>
      </w:r>
      <w:r w:rsidR="00893D49" w:rsidRPr="0097459F">
        <w:rPr>
          <w:rFonts w:cstheme="minorHAnsi"/>
        </w:rPr>
        <w:t>admitido o grupamento de ordens, desde que referida pessoa jurídica:</w:t>
      </w:r>
    </w:p>
    <w:p w14:paraId="48CA45D6" w14:textId="77777777" w:rsidR="00893D49" w:rsidRPr="0097459F" w:rsidRDefault="00893D49" w:rsidP="00C20BBD">
      <w:pPr>
        <w:pStyle w:val="Normalalteradora"/>
        <w:rPr>
          <w:rFonts w:cstheme="minorHAnsi"/>
        </w:rPr>
      </w:pPr>
      <w:r w:rsidRPr="0097459F">
        <w:rPr>
          <w:rFonts w:cstheme="minorHAnsi"/>
        </w:rPr>
        <w:t>I – conte com processos que possibilitem o rateio, entre as classes de cotas, das operações realizadas, por meio de critérios equitativos, preestabelecidos, formalizados e passíveis de verificação; e</w:t>
      </w:r>
    </w:p>
    <w:p w14:paraId="12E5EFB2" w14:textId="4BD340E0" w:rsidR="00893D49" w:rsidRPr="0097459F" w:rsidRDefault="00893D49" w:rsidP="00C20BBD">
      <w:pPr>
        <w:pStyle w:val="Normalalteradora"/>
        <w:rPr>
          <w:rFonts w:cstheme="minorHAnsi"/>
        </w:rPr>
      </w:pPr>
      <w:r w:rsidRPr="0097459F">
        <w:rPr>
          <w:rFonts w:cstheme="minorHAnsi"/>
        </w:rPr>
        <w:t xml:space="preserve">II – diligencie para que a documentação relacionada ao grupamento e rateio de ordens seja mantida, às suas expensas, </w:t>
      </w:r>
      <w:r w:rsidR="00250534" w:rsidRPr="0097459F">
        <w:rPr>
          <w:rFonts w:cstheme="minorHAnsi"/>
        </w:rPr>
        <w:t>atualizada e em perfeita ordem.</w:t>
      </w:r>
    </w:p>
    <w:p w14:paraId="5AD156C8" w14:textId="262D18F4" w:rsidR="00CF29F2" w:rsidRPr="0097459F" w:rsidRDefault="00CF29F2" w:rsidP="00C20BBD">
      <w:pPr>
        <w:pStyle w:val="Seo"/>
        <w:rPr>
          <w:rFonts w:cstheme="minorHAnsi"/>
        </w:rPr>
      </w:pPr>
      <w:bookmarkStart w:id="216" w:name="_Toc126226321"/>
      <w:r w:rsidRPr="0097459F">
        <w:rPr>
          <w:rFonts w:cstheme="minorHAnsi"/>
        </w:rPr>
        <w:t xml:space="preserve">Subseção IV – Limites de </w:t>
      </w:r>
      <w:r w:rsidR="008C076B">
        <w:rPr>
          <w:rFonts w:cstheme="minorHAnsi"/>
        </w:rPr>
        <w:t>C</w:t>
      </w:r>
      <w:r w:rsidRPr="0097459F">
        <w:rPr>
          <w:rFonts w:cstheme="minorHAnsi"/>
        </w:rPr>
        <w:t xml:space="preserve">omposição e </w:t>
      </w:r>
      <w:r w:rsidR="008C076B">
        <w:rPr>
          <w:rFonts w:cstheme="minorHAnsi"/>
        </w:rPr>
        <w:t>C</w:t>
      </w:r>
      <w:r w:rsidRPr="0097459F">
        <w:rPr>
          <w:rFonts w:cstheme="minorHAnsi"/>
        </w:rPr>
        <w:t xml:space="preserve">oncentração da </w:t>
      </w:r>
      <w:r w:rsidR="008C076B">
        <w:rPr>
          <w:rFonts w:cstheme="minorHAnsi"/>
        </w:rPr>
        <w:t>C</w:t>
      </w:r>
      <w:r w:rsidRPr="0097459F">
        <w:rPr>
          <w:rFonts w:cstheme="minorHAnsi"/>
        </w:rPr>
        <w:t>arteira</w:t>
      </w:r>
      <w:bookmarkEnd w:id="216"/>
    </w:p>
    <w:p w14:paraId="77DD5C43" w14:textId="589C655C" w:rsidR="6E1B44BC" w:rsidRPr="0097459F" w:rsidRDefault="534B7309" w:rsidP="00C20BBD">
      <w:pPr>
        <w:pStyle w:val="Normalalteradora"/>
      </w:pPr>
      <w:r w:rsidRPr="0097459F">
        <w:t xml:space="preserve">Art. </w:t>
      </w:r>
      <w:r w:rsidR="00B7720E" w:rsidRPr="0097459F">
        <w:t>89</w:t>
      </w:r>
      <w:r w:rsidRPr="0097459F">
        <w:t xml:space="preserve">.  O gestor </w:t>
      </w:r>
      <w:r w:rsidR="00503D86" w:rsidRPr="0097459F">
        <w:t xml:space="preserve">é </w:t>
      </w:r>
      <w:r w:rsidRPr="0097459F">
        <w:t>respon</w:t>
      </w:r>
      <w:r w:rsidR="00503D86" w:rsidRPr="0097459F">
        <w:t>sável</w:t>
      </w:r>
      <w:r w:rsidRPr="0097459F">
        <w:t xml:space="preserve"> pela observância </w:t>
      </w:r>
      <w:r w:rsidR="00166025" w:rsidRPr="0097459F">
        <w:t>d</w:t>
      </w:r>
      <w:r w:rsidR="00503D86" w:rsidRPr="0097459F">
        <w:t xml:space="preserve">os </w:t>
      </w:r>
      <w:r w:rsidRPr="0097459F">
        <w:t>limites de composição e concentração de carteira e de concentração em fatores de risco, conforme estabelecidos nesta Resolução e no regulamento.</w:t>
      </w:r>
    </w:p>
    <w:p w14:paraId="7BB9E64F" w14:textId="7C1FD97A" w:rsidR="00DC313B" w:rsidRPr="0097459F" w:rsidRDefault="428D4F64" w:rsidP="00C20BBD">
      <w:pPr>
        <w:spacing w:line="312" w:lineRule="auto"/>
        <w:ind w:firstLine="567"/>
        <w:jc w:val="both"/>
        <w:rPr>
          <w:rFonts w:ascii="Calibri" w:hAnsi="Calibri"/>
          <w:b/>
          <w:sz w:val="24"/>
          <w:szCs w:val="24"/>
        </w:rPr>
      </w:pPr>
      <w:r w:rsidRPr="0097459F">
        <w:rPr>
          <w:rFonts w:ascii="Calibri" w:hAnsi="Calibri" w:cs="Calibri"/>
          <w:sz w:val="24"/>
          <w:szCs w:val="24"/>
        </w:rPr>
        <w:t>Parágrafo único.</w:t>
      </w:r>
      <w:r w:rsidR="534B7309" w:rsidRPr="0097459F">
        <w:rPr>
          <w:rFonts w:ascii="Calibri" w:hAnsi="Calibri" w:cs="Calibri"/>
          <w:sz w:val="24"/>
          <w:szCs w:val="24"/>
        </w:rPr>
        <w:t xml:space="preserve">  </w:t>
      </w:r>
      <w:r w:rsidRPr="0097459F">
        <w:rPr>
          <w:rFonts w:ascii="Calibri" w:hAnsi="Calibri" w:cs="Calibri"/>
          <w:sz w:val="24"/>
          <w:szCs w:val="24"/>
        </w:rPr>
        <w:t>Quando</w:t>
      </w:r>
      <w:r w:rsidR="534B7309" w:rsidRPr="0097459F">
        <w:rPr>
          <w:rFonts w:ascii="Calibri" w:hAnsi="Calibri" w:cs="Calibri"/>
          <w:sz w:val="24"/>
          <w:szCs w:val="24"/>
        </w:rPr>
        <w:t xml:space="preserve"> da realização de operações em nome da classe de cotas</w:t>
      </w:r>
      <w:r w:rsidRPr="0097459F">
        <w:rPr>
          <w:rFonts w:ascii="Calibri" w:hAnsi="Calibri" w:cs="Calibri"/>
          <w:sz w:val="24"/>
          <w:szCs w:val="24"/>
        </w:rPr>
        <w:t>, o gestor deve avaliar seus efeitos para fins de observância da carteira</w:t>
      </w:r>
      <w:r w:rsidRPr="0097459F">
        <w:rPr>
          <w:rFonts w:ascii="Calibri" w:hAnsi="Calibri"/>
          <w:sz w:val="24"/>
          <w:szCs w:val="24"/>
        </w:rPr>
        <w:t xml:space="preserve"> de ativos </w:t>
      </w:r>
      <w:r w:rsidRPr="0097459F">
        <w:rPr>
          <w:rFonts w:ascii="Calibri" w:hAnsi="Calibri" w:cs="Calibri"/>
          <w:sz w:val="24"/>
          <w:szCs w:val="24"/>
        </w:rPr>
        <w:t xml:space="preserve">aos limites referidos no </w:t>
      </w:r>
      <w:r w:rsidRPr="0097459F">
        <w:rPr>
          <w:rFonts w:ascii="Calibri" w:hAnsi="Calibri" w:cs="Calibri"/>
          <w:b/>
          <w:bCs/>
          <w:sz w:val="24"/>
          <w:szCs w:val="24"/>
        </w:rPr>
        <w:t>caput</w:t>
      </w:r>
      <w:r w:rsidRPr="0097459F">
        <w:rPr>
          <w:rFonts w:ascii="Calibri" w:hAnsi="Calibri"/>
          <w:sz w:val="24"/>
          <w:szCs w:val="24"/>
        </w:rPr>
        <w:t>.</w:t>
      </w:r>
    </w:p>
    <w:p w14:paraId="7111EF1E" w14:textId="02E95696"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sz w:val="24"/>
          <w:szCs w:val="24"/>
        </w:rPr>
        <w:t xml:space="preserve">Art. </w:t>
      </w:r>
      <w:r w:rsidR="00B7720E" w:rsidRPr="0097459F">
        <w:rPr>
          <w:rFonts w:ascii="Calibri" w:hAnsi="Calibri" w:cs="Calibri"/>
          <w:sz w:val="24"/>
          <w:szCs w:val="24"/>
        </w:rPr>
        <w:t>90</w:t>
      </w:r>
      <w:r w:rsidRPr="0097459F">
        <w:rPr>
          <w:rFonts w:ascii="Calibri" w:hAnsi="Calibri" w:cs="Calibri"/>
          <w:sz w:val="24"/>
          <w:szCs w:val="24"/>
        </w:rPr>
        <w:t xml:space="preserve">.  O gestor não está sujeito às penalidades aplicáveis pelo descumprimento dos limites de concentração e diversificação de carteira e concentração de risco definidos no regulamento e nesta </w:t>
      </w:r>
      <w:r w:rsidRPr="0097459F">
        <w:rPr>
          <w:rFonts w:ascii="Calibri" w:hAnsi="Calibri" w:cs="Calibri"/>
          <w:sz w:val="24"/>
          <w:szCs w:val="24"/>
        </w:rPr>
        <w:lastRenderedPageBreak/>
        <w:t>Resolução quando o descumprimento for causado por desenquadramento passivo, decorrente de fatos alheios à sua vontade, que causem alterações imprevisíveis e significativas no patrimônio líquido ou nas condições gerais</w:t>
      </w:r>
      <w:r w:rsidRPr="0097459F">
        <w:rPr>
          <w:rFonts w:ascii="Calibri" w:hAnsi="Calibri"/>
          <w:sz w:val="24"/>
          <w:szCs w:val="24"/>
        </w:rPr>
        <w:t xml:space="preserve"> do </w:t>
      </w:r>
      <w:r w:rsidRPr="0097459F">
        <w:rPr>
          <w:rFonts w:ascii="Calibri" w:hAnsi="Calibri" w:cs="Calibri"/>
          <w:sz w:val="24"/>
          <w:szCs w:val="24"/>
        </w:rPr>
        <w:t>mercado de valores mobiliários.</w:t>
      </w:r>
    </w:p>
    <w:p w14:paraId="5CBAF156" w14:textId="742628ED"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 1º  Caso o desenquadramento passivo se prolongue por 15 (quinze) dias úteis consecutivos, ao final desse prazo o gestor deve encaminhar à CVM suas explicações para o desenquadramento</w:t>
      </w:r>
      <w:r w:rsidR="00DC313B" w:rsidRPr="0097459F">
        <w:rPr>
          <w:rFonts w:ascii="Calibri" w:hAnsi="Calibri" w:cs="Calibri"/>
          <w:sz w:val="24"/>
          <w:szCs w:val="24"/>
        </w:rPr>
        <w:t>.</w:t>
      </w:r>
    </w:p>
    <w:p w14:paraId="613C1D68" w14:textId="6CE729E2"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 2</w:t>
      </w:r>
      <w:r w:rsidR="00DC313B" w:rsidRPr="0097459F">
        <w:rPr>
          <w:rFonts w:ascii="Calibri" w:hAnsi="Calibri" w:cs="Calibri"/>
          <w:sz w:val="24"/>
          <w:szCs w:val="24"/>
        </w:rPr>
        <w:t>º</w:t>
      </w:r>
      <w:r w:rsidRPr="0097459F">
        <w:rPr>
          <w:rFonts w:ascii="Calibri" w:hAnsi="Calibri" w:cs="Calibri"/>
          <w:sz w:val="24"/>
          <w:szCs w:val="24"/>
        </w:rPr>
        <w:t xml:space="preserve">  O gestor deve informar à CVM o reenquadramento da carteira, tão logo ocorrido.</w:t>
      </w:r>
    </w:p>
    <w:p w14:paraId="333FDC4A" w14:textId="61F9E441" w:rsidR="00893D49" w:rsidRPr="0097459F" w:rsidRDefault="4FC51E15" w:rsidP="00C20BBD">
      <w:pPr>
        <w:spacing w:line="312" w:lineRule="auto"/>
        <w:ind w:firstLine="567"/>
        <w:jc w:val="both"/>
        <w:rPr>
          <w:rFonts w:ascii="Calibri" w:hAnsi="Calibri"/>
          <w:sz w:val="24"/>
          <w:szCs w:val="24"/>
        </w:rPr>
      </w:pPr>
      <w:r w:rsidRPr="0097459F">
        <w:rPr>
          <w:rFonts w:ascii="Calibri" w:hAnsi="Calibri" w:cs="Calibri"/>
          <w:sz w:val="24"/>
          <w:szCs w:val="24"/>
        </w:rPr>
        <w:t xml:space="preserve">Art. </w:t>
      </w:r>
      <w:r w:rsidR="00B7720E" w:rsidRPr="0097459F">
        <w:rPr>
          <w:rFonts w:ascii="Calibri" w:hAnsi="Calibri" w:cs="Calibri"/>
          <w:sz w:val="24"/>
          <w:szCs w:val="24"/>
        </w:rPr>
        <w:t>91</w:t>
      </w:r>
      <w:r w:rsidRPr="0097459F">
        <w:rPr>
          <w:rFonts w:ascii="Calibri" w:hAnsi="Calibri" w:cs="Calibri"/>
          <w:sz w:val="24"/>
          <w:szCs w:val="24"/>
        </w:rPr>
        <w:t xml:space="preserve">.  Caso constate que o descumprimento dos limites de composição, diversificação de carteira e concentração de risco estendeu-se por período superior ao do prazo </w:t>
      </w:r>
      <w:r w:rsidR="0037292A" w:rsidRPr="0097459F">
        <w:rPr>
          <w:rFonts w:ascii="Calibri" w:hAnsi="Calibri" w:cs="Calibri"/>
          <w:sz w:val="24"/>
          <w:szCs w:val="24"/>
        </w:rPr>
        <w:t>concedido ao fundo na regra específica de sua categoria</w:t>
      </w:r>
      <w:r w:rsidRPr="0097459F">
        <w:rPr>
          <w:rFonts w:ascii="Calibri" w:hAnsi="Calibri" w:cs="Calibri"/>
          <w:sz w:val="24"/>
          <w:szCs w:val="24"/>
        </w:rPr>
        <w:t xml:space="preserve">, a Superintendência competente pode determinar ao </w:t>
      </w:r>
      <w:r w:rsidRPr="0097459F">
        <w:rPr>
          <w:rFonts w:ascii="Calibri" w:hAnsi="Calibri"/>
          <w:sz w:val="24"/>
          <w:szCs w:val="24"/>
        </w:rPr>
        <w:t>administrador</w:t>
      </w:r>
      <w:r w:rsidRPr="0097459F">
        <w:rPr>
          <w:rFonts w:ascii="Calibri" w:hAnsi="Calibri" w:cs="Calibri"/>
          <w:sz w:val="24"/>
          <w:szCs w:val="24"/>
        </w:rPr>
        <w:t>, sem prejuízo das penalidades cabíveis, a convocação de assembleia de cotistas para decidir sobre uma das seguintes alternativas:</w:t>
      </w:r>
    </w:p>
    <w:p w14:paraId="0D234CCB" w14:textId="35D17736"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I – incor</w:t>
      </w:r>
      <w:r w:rsidR="00166025" w:rsidRPr="0097459F">
        <w:rPr>
          <w:rFonts w:ascii="Calibri" w:hAnsi="Calibri" w:cs="Calibri"/>
          <w:sz w:val="24"/>
          <w:szCs w:val="24"/>
        </w:rPr>
        <w:t>poração a outra classe de cotas;</w:t>
      </w:r>
    </w:p>
    <w:p w14:paraId="71FB0F16" w14:textId="0AC914DF"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II – cisão total para fundo de investimento sob a gestão de outro gestor, não integrante do mesmo grupo econômico; ou</w:t>
      </w:r>
    </w:p>
    <w:p w14:paraId="64BC9E56" w14:textId="3822D333"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II</w:t>
      </w:r>
      <w:r w:rsidR="2D1E3D00" w:rsidRPr="0097459F">
        <w:rPr>
          <w:rFonts w:ascii="Calibri" w:hAnsi="Calibri" w:cs="Calibri"/>
          <w:sz w:val="24"/>
          <w:szCs w:val="24"/>
        </w:rPr>
        <w:t>I</w:t>
      </w:r>
      <w:r w:rsidRPr="0097459F">
        <w:rPr>
          <w:rFonts w:ascii="Calibri" w:hAnsi="Calibri" w:cs="Calibri"/>
          <w:sz w:val="24"/>
          <w:szCs w:val="24"/>
        </w:rPr>
        <w:t xml:space="preserve"> – liquidação.</w:t>
      </w:r>
    </w:p>
    <w:p w14:paraId="262D1B48" w14:textId="2494D4E3" w:rsidR="00893D49" w:rsidRPr="0097459F" w:rsidRDefault="4FC51E15" w:rsidP="00C20BBD">
      <w:pPr>
        <w:spacing w:line="312" w:lineRule="auto"/>
        <w:ind w:firstLine="567"/>
        <w:jc w:val="both"/>
        <w:rPr>
          <w:rFonts w:cstheme="minorBidi"/>
          <w:sz w:val="24"/>
          <w:szCs w:val="24"/>
        </w:rPr>
      </w:pPr>
      <w:r w:rsidRPr="0097459F">
        <w:rPr>
          <w:rFonts w:ascii="Calibri" w:hAnsi="Calibri" w:cs="Calibri"/>
          <w:sz w:val="24"/>
          <w:szCs w:val="24"/>
        </w:rPr>
        <w:t>Parágrafo único.  Caso se trate de fundo de investimento com classe única de cotas, a assembleia geral de cotistas pode decidir, ainda, sobre a alternativa de transferir a administração ou a gestão do fundo, ou ambas.</w:t>
      </w:r>
      <w:r w:rsidRPr="0097459F">
        <w:rPr>
          <w:rFonts w:cstheme="minorBidi"/>
          <w:sz w:val="24"/>
          <w:szCs w:val="24"/>
        </w:rPr>
        <w:t xml:space="preserve"> </w:t>
      </w:r>
    </w:p>
    <w:p w14:paraId="43D6E5E1" w14:textId="3EB8F2D9" w:rsidR="002A1094" w:rsidRPr="0097459F" w:rsidRDefault="002A1094" w:rsidP="00C20BBD">
      <w:pPr>
        <w:pStyle w:val="Seo"/>
        <w:rPr>
          <w:rFonts w:asciiTheme="minorHAnsi" w:hAnsiTheme="minorHAnsi" w:cstheme="minorBidi"/>
        </w:rPr>
      </w:pPr>
      <w:bookmarkStart w:id="217" w:name="_Toc126226322"/>
      <w:r w:rsidRPr="0097459F">
        <w:rPr>
          <w:bCs/>
        </w:rPr>
        <w:t>Subseção V</w:t>
      </w:r>
      <w:r w:rsidRPr="0097459F">
        <w:rPr>
          <w:rFonts w:asciiTheme="minorHAnsi" w:hAnsiTheme="minorHAnsi" w:cstheme="minorBidi"/>
        </w:rPr>
        <w:t>– Gestão de Liquidez</w:t>
      </w:r>
      <w:bookmarkEnd w:id="217"/>
    </w:p>
    <w:p w14:paraId="263DC175" w14:textId="24859B23" w:rsidR="002A1094" w:rsidRPr="0097459F" w:rsidRDefault="002A1094" w:rsidP="00C20BBD">
      <w:pPr>
        <w:pStyle w:val="Normalalteradora"/>
      </w:pPr>
      <w:r w:rsidRPr="0097459F">
        <w:t xml:space="preserve">Art. </w:t>
      </w:r>
      <w:r w:rsidR="00B7720E" w:rsidRPr="0097459F">
        <w:t>92</w:t>
      </w:r>
      <w:r w:rsidRPr="0097459F">
        <w:t xml:space="preserve">.  Nas classes abertas, os prestadores de serviços essenciais, conjuntamente, cada qual na sua esfera de atuação, devem adotar as políticas, procedimentos e controles internos necessários para que a liquidez da carteira de ativos seja compatível com: </w:t>
      </w:r>
    </w:p>
    <w:p w14:paraId="2A335B61" w14:textId="77777777" w:rsidR="002A1094" w:rsidRPr="0097459F" w:rsidRDefault="002A1094" w:rsidP="00C20BBD">
      <w:pPr>
        <w:pStyle w:val="Normalalteradora"/>
      </w:pPr>
      <w:r w:rsidRPr="0097459F">
        <w:t>I – os prazos previstos no regulamento para pagamento dos pedidos de resgate; e</w:t>
      </w:r>
    </w:p>
    <w:p w14:paraId="0F4562B8" w14:textId="77777777" w:rsidR="002A1094" w:rsidRPr="0097459F" w:rsidRDefault="002A1094" w:rsidP="00C20BBD">
      <w:pPr>
        <w:pStyle w:val="Normalalteradora"/>
      </w:pPr>
      <w:r w:rsidRPr="0097459F">
        <w:t>II – o cumprimento das obrigações da classe de cotas.</w:t>
      </w:r>
    </w:p>
    <w:p w14:paraId="73E8F572" w14:textId="77777777" w:rsidR="002A1094" w:rsidRPr="0097459F" w:rsidRDefault="002A1094" w:rsidP="00C20BBD">
      <w:pPr>
        <w:pStyle w:val="Normalalteradora"/>
      </w:pPr>
      <w:r w:rsidRPr="0097459F">
        <w:t xml:space="preserve">§ 1º  As políticas, procedimentos e controles internos de que trata o </w:t>
      </w:r>
      <w:r w:rsidRPr="0097459F">
        <w:rPr>
          <w:b/>
          <w:bCs/>
        </w:rPr>
        <w:t>caput</w:t>
      </w:r>
      <w:r w:rsidRPr="0097459F">
        <w:t xml:space="preserve"> devem levar em conta, no mínimo:</w:t>
      </w:r>
    </w:p>
    <w:p w14:paraId="4B1D16FE" w14:textId="77777777" w:rsidR="002A1094" w:rsidRPr="0097459F" w:rsidRDefault="002A1094" w:rsidP="00C20BBD">
      <w:pPr>
        <w:pStyle w:val="Normalalteradora"/>
      </w:pPr>
      <w:r w:rsidRPr="0097459F">
        <w:lastRenderedPageBreak/>
        <w:t>I – a liquidez dos diferentes ativos;</w:t>
      </w:r>
    </w:p>
    <w:p w14:paraId="3607DC6D" w14:textId="77777777" w:rsidR="002A1094" w:rsidRPr="0097459F" w:rsidRDefault="002A1094" w:rsidP="00C20BBD">
      <w:pPr>
        <w:pStyle w:val="Normalalteradora"/>
      </w:pPr>
      <w:r w:rsidRPr="0097459F">
        <w:t>II – as obrigações, incluindo depósitos de margem esperados e outras garantias;</w:t>
      </w:r>
    </w:p>
    <w:p w14:paraId="66A00661" w14:textId="77777777" w:rsidR="002A1094" w:rsidRPr="0097459F" w:rsidRDefault="002A1094" w:rsidP="00C20BBD">
      <w:pPr>
        <w:pStyle w:val="Normalalteradora"/>
      </w:pPr>
      <w:r w:rsidRPr="0097459F">
        <w:t>III – os valores de resgate esperados em condições ordinárias, calculados com critérios estatísticos consistentes e passíveis de verificação; e</w:t>
      </w:r>
    </w:p>
    <w:p w14:paraId="2421ADB4" w14:textId="77777777" w:rsidR="002A1094" w:rsidRPr="0097459F" w:rsidRDefault="002A1094" w:rsidP="00C20BBD">
      <w:pPr>
        <w:pStyle w:val="Normalalteradora"/>
      </w:pPr>
      <w:r w:rsidRPr="0097459F">
        <w:t>IV – o grau de dispersão da propriedade das cotas.</w:t>
      </w:r>
    </w:p>
    <w:p w14:paraId="3B118C89" w14:textId="77777777" w:rsidR="002A1094" w:rsidRPr="0097459F" w:rsidRDefault="002A1094" w:rsidP="00C20BBD">
      <w:pPr>
        <w:pStyle w:val="Normalalteradora"/>
      </w:pPr>
      <w:r w:rsidRPr="0097459F">
        <w:t>§ 2º  Os critérios utilizados na elaboração das políticas, procedimentos e controles internos de liquidez, inclusive, se for o caso, em cenários de estresse, devem ser consistentes e passíveis de verificação.</w:t>
      </w:r>
    </w:p>
    <w:p w14:paraId="2B493BD0" w14:textId="77777777" w:rsidR="002A1094" w:rsidRPr="0097459F" w:rsidRDefault="002A1094" w:rsidP="00C20BBD">
      <w:pPr>
        <w:pStyle w:val="Normalalteradora"/>
      </w:pPr>
      <w:r w:rsidRPr="0097459F">
        <w:t xml:space="preserve">§ 3º  Caso a classe invista em cotas de outros fundos de investimento, o gestor deve avaliar a liquidez da classe investida, considerando, no mínimo: </w:t>
      </w:r>
    </w:p>
    <w:p w14:paraId="33885E73" w14:textId="77777777" w:rsidR="002A1094" w:rsidRPr="0097459F" w:rsidRDefault="002A1094" w:rsidP="00C20BBD">
      <w:pPr>
        <w:pStyle w:val="Normalalteradora"/>
      </w:pPr>
      <w:r w:rsidRPr="0097459F">
        <w:t>I – o volume a ser investido;</w:t>
      </w:r>
    </w:p>
    <w:p w14:paraId="119C2AFC" w14:textId="77777777" w:rsidR="002A1094" w:rsidRPr="0097459F" w:rsidRDefault="002A1094" w:rsidP="00C20BBD">
      <w:pPr>
        <w:pStyle w:val="Normalalteradora"/>
      </w:pPr>
      <w:r w:rsidRPr="0097459F">
        <w:t>II – as regras de pagamento de resgate da classe investida; e</w:t>
      </w:r>
    </w:p>
    <w:p w14:paraId="2F29CAC8" w14:textId="77777777" w:rsidR="002A1094" w:rsidRPr="0097459F" w:rsidRDefault="002A1094" w:rsidP="00C20BBD">
      <w:pPr>
        <w:pStyle w:val="Normalalteradora"/>
      </w:pPr>
      <w:r w:rsidRPr="0097459F">
        <w:t>III – os sistemas e ferramentas utilizados na gestão de liquidez da classe investida.</w:t>
      </w:r>
    </w:p>
    <w:p w14:paraId="71552E33" w14:textId="77777777" w:rsidR="002A1094" w:rsidRPr="0097459F" w:rsidRDefault="002A1094" w:rsidP="00C20BBD">
      <w:pPr>
        <w:pStyle w:val="Normalalteradora"/>
      </w:pPr>
      <w:r w:rsidRPr="0097459F">
        <w:t>§ 4º  Os prestadores de serviços essenciais podem se acertar livremente para dar cumprimento à gestão de liquidez da classe, seja formal ou operacionalmente.</w:t>
      </w:r>
    </w:p>
    <w:p w14:paraId="6BDA48AB" w14:textId="349D4191" w:rsidR="002A1094" w:rsidRPr="0097459F" w:rsidRDefault="002A1094" w:rsidP="00C20BBD">
      <w:pPr>
        <w:pStyle w:val="Normalalteradora"/>
      </w:pPr>
      <w:r w:rsidRPr="0097459F">
        <w:t xml:space="preserve">Art. </w:t>
      </w:r>
      <w:r w:rsidR="00B7720E" w:rsidRPr="0097459F">
        <w:t>93</w:t>
      </w:r>
      <w:r w:rsidRPr="0097459F">
        <w:t>.  O gestor deve submeter a carteira de ativos a testes de estresse periódicos, com cenários que levem em consideração, no mínimo, as movimentações do passivo, a liquidez dos ativos, as obrigações e a cotização da classe de cotas.</w:t>
      </w:r>
    </w:p>
    <w:p w14:paraId="3022C8ED" w14:textId="21EF846D" w:rsidR="002A1094" w:rsidRPr="0097459F" w:rsidRDefault="002A1094" w:rsidP="00C20BBD">
      <w:pPr>
        <w:pStyle w:val="Normalalteradora"/>
      </w:pPr>
      <w:r w:rsidRPr="0097459F">
        <w:t>Parágrafo único.  A periodicidade dos testes de estresse deve ser adequada às características da classe de cotas, às variações históricas dos cenários eleitos para o teste e às condições de mercado vigentes.</w:t>
      </w:r>
    </w:p>
    <w:p w14:paraId="55732A29" w14:textId="0E3DFDBB" w:rsidR="00CF29F2" w:rsidRPr="0097459F" w:rsidRDefault="00CF29F2" w:rsidP="00C20BBD">
      <w:pPr>
        <w:pStyle w:val="Seo"/>
        <w:rPr>
          <w:rFonts w:cstheme="minorHAnsi"/>
        </w:rPr>
      </w:pPr>
      <w:bookmarkStart w:id="218" w:name="_Toc126226323"/>
      <w:r w:rsidRPr="0097459F">
        <w:rPr>
          <w:rFonts w:cstheme="minorHAnsi"/>
        </w:rPr>
        <w:t>Subseção V</w:t>
      </w:r>
      <w:r w:rsidR="002A1094" w:rsidRPr="0097459F">
        <w:rPr>
          <w:rFonts w:cstheme="minorHAnsi"/>
        </w:rPr>
        <w:t>I</w:t>
      </w:r>
      <w:r w:rsidRPr="0097459F">
        <w:rPr>
          <w:rFonts w:cstheme="minorHAnsi"/>
        </w:rPr>
        <w:t xml:space="preserve"> – Direito de </w:t>
      </w:r>
      <w:r w:rsidR="00444BCF">
        <w:rPr>
          <w:rFonts w:cstheme="minorHAnsi"/>
        </w:rPr>
        <w:t>V</w:t>
      </w:r>
      <w:r w:rsidRPr="0097459F">
        <w:rPr>
          <w:rFonts w:cstheme="minorHAnsi"/>
        </w:rPr>
        <w:t>oto</w:t>
      </w:r>
      <w:bookmarkEnd w:id="218"/>
    </w:p>
    <w:p w14:paraId="5A6484B1" w14:textId="0FE925D4" w:rsidR="00766DCE" w:rsidRPr="0097459F" w:rsidRDefault="00766DCE" w:rsidP="00C20BBD">
      <w:pPr>
        <w:pStyle w:val="Normalalteradora"/>
        <w:rPr>
          <w:rFonts w:cstheme="minorHAnsi"/>
        </w:rPr>
      </w:pPr>
      <w:r w:rsidRPr="0097459F">
        <w:rPr>
          <w:rFonts w:cstheme="minorHAnsi"/>
        </w:rPr>
        <w:t xml:space="preserve">Art. </w:t>
      </w:r>
      <w:r w:rsidR="00B7720E" w:rsidRPr="0097459F">
        <w:rPr>
          <w:rFonts w:cstheme="minorHAnsi"/>
        </w:rPr>
        <w:t>94</w:t>
      </w:r>
      <w:r w:rsidRPr="0097459F">
        <w:rPr>
          <w:rFonts w:cstheme="minorHAnsi"/>
        </w:rPr>
        <w:t>.</w:t>
      </w:r>
      <w:r w:rsidR="00A75A44" w:rsidRPr="0097459F">
        <w:rPr>
          <w:rFonts w:cstheme="minorHAnsi"/>
        </w:rPr>
        <w:t xml:space="preserve"> </w:t>
      </w:r>
      <w:r w:rsidRPr="0097459F">
        <w:rPr>
          <w:rFonts w:cstheme="minorHAnsi"/>
        </w:rPr>
        <w:t xml:space="preserve"> Compete ao gestor exercer o direito de voto decorrente de ativos detidos pela classe, realizando todas as ações necessárias para tal exercício, observado o disposto na política de voto da classe.</w:t>
      </w:r>
    </w:p>
    <w:p w14:paraId="05C4ABCB" w14:textId="33175815" w:rsidR="00CF29F2" w:rsidRPr="0097459F" w:rsidRDefault="00CF29F2" w:rsidP="00C20BBD">
      <w:pPr>
        <w:pStyle w:val="Seo"/>
        <w:rPr>
          <w:rFonts w:cstheme="minorHAnsi"/>
        </w:rPr>
      </w:pPr>
      <w:bookmarkStart w:id="219" w:name="_Toc126226324"/>
      <w:r w:rsidRPr="0097459F">
        <w:rPr>
          <w:rFonts w:cstheme="minorHAnsi"/>
        </w:rPr>
        <w:lastRenderedPageBreak/>
        <w:t>Subseção V</w:t>
      </w:r>
      <w:r w:rsidR="002A1094" w:rsidRPr="0097459F">
        <w:rPr>
          <w:rFonts w:cstheme="minorHAnsi"/>
        </w:rPr>
        <w:t>I</w:t>
      </w:r>
      <w:r w:rsidRPr="0097459F">
        <w:rPr>
          <w:rFonts w:cstheme="minorHAnsi"/>
        </w:rPr>
        <w:t>I – Contratação de Agência de Classificação de Risco de Crédito</w:t>
      </w:r>
      <w:bookmarkEnd w:id="219"/>
    </w:p>
    <w:p w14:paraId="3CBDB9AB" w14:textId="7E5CFACC" w:rsidR="00893D49" w:rsidRPr="0097459F" w:rsidRDefault="66656AB2" w:rsidP="00C20BBD">
      <w:pPr>
        <w:pStyle w:val="Normalalteradora"/>
      </w:pPr>
      <w:r w:rsidRPr="0097459F">
        <w:t xml:space="preserve">Art. </w:t>
      </w:r>
      <w:r w:rsidR="00B7720E" w:rsidRPr="0097459F">
        <w:t>95</w:t>
      </w:r>
      <w:r w:rsidRPr="0097459F">
        <w:t>.  Caso o fundo contrate agência de classificação de risco de crédito:</w:t>
      </w:r>
    </w:p>
    <w:p w14:paraId="5588AFA2" w14:textId="07CAD0DA" w:rsidR="00893D49" w:rsidRPr="0097459F" w:rsidRDefault="00893D49" w:rsidP="00C20BBD">
      <w:pPr>
        <w:pStyle w:val="Normalalteradora"/>
        <w:rPr>
          <w:rFonts w:cstheme="minorHAnsi"/>
        </w:rPr>
      </w:pPr>
      <w:r w:rsidRPr="0097459F">
        <w:rPr>
          <w:rFonts w:cstheme="minorHAnsi"/>
        </w:rPr>
        <w:t>I – o contrato deve conter cláusula obrigando a agência de classificação de risco de crédito a divulgar</w:t>
      </w:r>
      <w:r w:rsidR="005A05A9" w:rsidRPr="0097459F">
        <w:rPr>
          <w:rFonts w:cstheme="minorHAnsi"/>
        </w:rPr>
        <w:t>, imediatamente,</w:t>
      </w:r>
      <w:r w:rsidR="006C54AA" w:rsidRPr="0097459F">
        <w:rPr>
          <w:rFonts w:cstheme="minorHAnsi"/>
        </w:rPr>
        <w:t xml:space="preserve"> </w:t>
      </w:r>
      <w:r w:rsidRPr="0097459F">
        <w:rPr>
          <w:rFonts w:cstheme="minorHAnsi"/>
        </w:rPr>
        <w:t>em sua página na rede mundial de computadores e comunicar à CVM</w:t>
      </w:r>
      <w:r w:rsidR="00985779" w:rsidRPr="0097459F">
        <w:rPr>
          <w:rFonts w:cstheme="minorHAnsi"/>
        </w:rPr>
        <w:t>, ao gestor</w:t>
      </w:r>
      <w:r w:rsidRPr="0097459F">
        <w:rPr>
          <w:rFonts w:cstheme="minorHAnsi"/>
        </w:rPr>
        <w:t xml:space="preserve"> e ao administrador qualquer alteração da classificação, ou a rescisão do contrato;</w:t>
      </w:r>
    </w:p>
    <w:p w14:paraId="77C6C3DF" w14:textId="77777777" w:rsidR="00893D49" w:rsidRPr="0097459F" w:rsidRDefault="00893D49" w:rsidP="00C20BBD">
      <w:pPr>
        <w:pStyle w:val="Normalalteradora"/>
        <w:rPr>
          <w:rFonts w:cstheme="minorHAnsi"/>
        </w:rPr>
      </w:pPr>
      <w:r w:rsidRPr="0097459F">
        <w:rPr>
          <w:rFonts w:cstheme="minorHAnsi"/>
        </w:rPr>
        <w:t>II – na hipótese de que trata o inciso I, o administrador deve, imediatamente, divulgar fato relevante ao mercado; e</w:t>
      </w:r>
    </w:p>
    <w:p w14:paraId="1F55430A" w14:textId="77777777" w:rsidR="00893D49" w:rsidRPr="0097459F" w:rsidRDefault="00893D49" w:rsidP="00C20BBD">
      <w:pPr>
        <w:pStyle w:val="Normalalteradora"/>
        <w:rPr>
          <w:rFonts w:cstheme="minorHAnsi"/>
        </w:rPr>
      </w:pPr>
      <w:r w:rsidRPr="0097459F">
        <w:rPr>
          <w:rFonts w:cstheme="minorHAnsi"/>
        </w:rPr>
        <w:t>III – as informações fornecidas à agência de classificação de risco de crédito devem abranger, no mínimo, aquelas fornecidas aos cotistas.</w:t>
      </w:r>
    </w:p>
    <w:p w14:paraId="24F9A862" w14:textId="128AB382" w:rsidR="00893D49" w:rsidRPr="0097459F" w:rsidRDefault="00FA33AF" w:rsidP="00C20BBD">
      <w:pPr>
        <w:pStyle w:val="Normalalteradora"/>
        <w:rPr>
          <w:rFonts w:cstheme="minorHAnsi"/>
        </w:rPr>
      </w:pPr>
      <w:bookmarkStart w:id="220" w:name="_Hlk49245093"/>
      <w:r w:rsidRPr="0097459F">
        <w:rPr>
          <w:rFonts w:cstheme="minorHAnsi"/>
        </w:rPr>
        <w:t>§ 1º</w:t>
      </w:r>
      <w:r w:rsidR="00893D49" w:rsidRPr="0097459F">
        <w:rPr>
          <w:rFonts w:cstheme="minorHAnsi"/>
        </w:rPr>
        <w:t xml:space="preserve">  A rescisão do contrato firmado com agência de classificação de risco de crédito somente é admitida mediante a observância de período de carência de 180 (cento e oitenta) dias, sendo obrigatória a apresentação, ao final desse período, de relatório de classificação de risco elaborado pela mesma agência.</w:t>
      </w:r>
    </w:p>
    <w:p w14:paraId="6216CCB3" w14:textId="2303A790" w:rsidR="00FA33AF" w:rsidRPr="0097459F" w:rsidRDefault="00FA33AF" w:rsidP="00C20BBD">
      <w:pPr>
        <w:pStyle w:val="Normalalteradora"/>
        <w:rPr>
          <w:rFonts w:cstheme="minorHAnsi"/>
        </w:rPr>
      </w:pPr>
      <w:r w:rsidRPr="0097459F">
        <w:rPr>
          <w:rFonts w:cstheme="minorHAnsi"/>
        </w:rPr>
        <w:t>§ 2º  Caso a rescisão do contrato firmado com agência de classificação de risco de crédito ocorra por deliberação da assembleia de cotistas, o prazo referido no § 1º é de 90 (noventa) dias.</w:t>
      </w:r>
    </w:p>
    <w:p w14:paraId="27F9FA34" w14:textId="438BA0C6" w:rsidR="003165BA" w:rsidRPr="0097459F" w:rsidRDefault="003165BA" w:rsidP="00C20BBD">
      <w:pPr>
        <w:pStyle w:val="Seo"/>
        <w:rPr>
          <w:rFonts w:cstheme="minorHAnsi"/>
        </w:rPr>
      </w:pPr>
      <w:bookmarkStart w:id="221" w:name="_Toc126226325"/>
      <w:bookmarkEnd w:id="220"/>
      <w:r w:rsidRPr="0097459F">
        <w:rPr>
          <w:rFonts w:cstheme="minorHAnsi"/>
        </w:rPr>
        <w:t>Subseção VII</w:t>
      </w:r>
      <w:r w:rsidR="002A1094" w:rsidRPr="0097459F">
        <w:rPr>
          <w:rFonts w:cstheme="minorHAnsi"/>
        </w:rPr>
        <w:t>I</w:t>
      </w:r>
      <w:r w:rsidRPr="0097459F">
        <w:rPr>
          <w:rFonts w:cstheme="minorHAnsi"/>
        </w:rPr>
        <w:t xml:space="preserve"> – Constituição de Conselhos Consultivos e Comitês</w:t>
      </w:r>
      <w:bookmarkEnd w:id="221"/>
    </w:p>
    <w:p w14:paraId="18BD7199" w14:textId="51B5739F"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96</w:t>
      </w:r>
      <w:r w:rsidRPr="0097459F">
        <w:rPr>
          <w:rFonts w:cstheme="minorHAnsi"/>
        </w:rPr>
        <w:t>.  Sem prejuízo das responsabilidades de cada um dos prestadores de serviços, podem ser constituídos, por iniciativa dos cotistas</w:t>
      </w:r>
      <w:r w:rsidR="0040031F" w:rsidRPr="0097459F">
        <w:rPr>
          <w:rFonts w:cstheme="minorHAnsi"/>
        </w:rPr>
        <w:t xml:space="preserve"> ou de prestador de serviço</w:t>
      </w:r>
      <w:r w:rsidR="00D95000" w:rsidRPr="0097459F">
        <w:rPr>
          <w:rFonts w:cstheme="minorHAnsi"/>
        </w:rPr>
        <w:t xml:space="preserve"> essencia</w:t>
      </w:r>
      <w:r w:rsidR="0040031F" w:rsidRPr="0097459F">
        <w:rPr>
          <w:rFonts w:cstheme="minorHAnsi"/>
        </w:rPr>
        <w:t>l</w:t>
      </w:r>
      <w:r w:rsidRPr="0097459F">
        <w:rPr>
          <w:rFonts w:cstheme="minorHAnsi"/>
        </w:rPr>
        <w:t>, conselhos consultivos, comitês técnicos ou de investimentos</w:t>
      </w:r>
      <w:r w:rsidRPr="0097459F">
        <w:t>,</w:t>
      </w:r>
      <w:r w:rsidRPr="0097459F">
        <w:rPr>
          <w:rFonts w:cstheme="minorHAnsi"/>
        </w:rPr>
        <w:t xml:space="preserve"> os quais não podem ser remunerados </w:t>
      </w:r>
      <w:r w:rsidR="0040031F" w:rsidRPr="0097459F">
        <w:rPr>
          <w:rFonts w:cstheme="minorHAnsi"/>
        </w:rPr>
        <w:t>pel</w:t>
      </w:r>
      <w:r w:rsidR="00503D86" w:rsidRPr="0097459F">
        <w:rPr>
          <w:rFonts w:cstheme="minorHAnsi"/>
        </w:rPr>
        <w:t>o fundo</w:t>
      </w:r>
      <w:r w:rsidR="4BFC977D" w:rsidRPr="0097459F">
        <w:t>.</w:t>
      </w:r>
    </w:p>
    <w:p w14:paraId="36BBC4B0" w14:textId="6CEBF55A" w:rsidR="00893D49" w:rsidRPr="0097459F" w:rsidRDefault="00893D49" w:rsidP="00C20BBD">
      <w:pPr>
        <w:pStyle w:val="Normalalteradora"/>
        <w:rPr>
          <w:rFonts w:cstheme="minorHAnsi"/>
        </w:rPr>
      </w:pPr>
      <w:r w:rsidRPr="0097459F">
        <w:rPr>
          <w:rFonts w:cstheme="minorHAnsi"/>
        </w:rPr>
        <w:t>§ 1º  As atribuições, a composição, e os requisitos para convocação e deliberação dos conselhos e comitês devem estar estabelecidos no regulamento.</w:t>
      </w:r>
    </w:p>
    <w:p w14:paraId="5C756010" w14:textId="564AFFA0" w:rsidR="00893D49" w:rsidRPr="0097459F" w:rsidRDefault="00893D49" w:rsidP="00C20BBD">
      <w:pPr>
        <w:pStyle w:val="Normalalteradora"/>
        <w:rPr>
          <w:rFonts w:cstheme="minorHAnsi"/>
        </w:rPr>
      </w:pPr>
      <w:r w:rsidRPr="0097459F">
        <w:rPr>
          <w:rFonts w:cstheme="minorHAnsi"/>
        </w:rPr>
        <w:t xml:space="preserve">§ 2º  A existência de conselhos e comitês não exime o gestor da responsabilidade sobre as operações da carteira </w:t>
      </w:r>
      <w:r w:rsidR="001B376F" w:rsidRPr="0097459F">
        <w:rPr>
          <w:rFonts w:cstheme="minorHAnsi"/>
        </w:rPr>
        <w:t>de ativos</w:t>
      </w:r>
      <w:r w:rsidRPr="0097459F">
        <w:rPr>
          <w:rFonts w:cstheme="minorHAnsi"/>
        </w:rPr>
        <w:t>.</w:t>
      </w:r>
    </w:p>
    <w:p w14:paraId="1DF334A2" w14:textId="00CFA9AA" w:rsidR="00893D49" w:rsidRPr="0097459F" w:rsidRDefault="00893D49" w:rsidP="00C20BBD">
      <w:pPr>
        <w:pStyle w:val="Normalalteradora"/>
        <w:rPr>
          <w:rFonts w:cstheme="minorHAnsi"/>
        </w:rPr>
      </w:pPr>
      <w:r w:rsidRPr="0097459F">
        <w:rPr>
          <w:rFonts w:cstheme="minorHAnsi"/>
        </w:rPr>
        <w:t xml:space="preserve">§ 3º  Os membros dos conselhos ou comitês devem informar ao administrador, e este aos cotistas, qualquer situação que os coloque, potencial ou efetivamente, em situação de conflito de interesses com </w:t>
      </w:r>
      <w:r w:rsidR="001B376F" w:rsidRPr="0097459F">
        <w:rPr>
          <w:rFonts w:cstheme="minorHAnsi"/>
        </w:rPr>
        <w:t>a classe de cotas</w:t>
      </w:r>
      <w:r w:rsidRPr="0097459F">
        <w:rPr>
          <w:rFonts w:cstheme="minorHAnsi"/>
        </w:rPr>
        <w:t>.</w:t>
      </w:r>
    </w:p>
    <w:p w14:paraId="1636F722" w14:textId="54699AF2" w:rsidR="00893D49" w:rsidRPr="0097459F" w:rsidRDefault="00893D49" w:rsidP="00C20BBD">
      <w:pPr>
        <w:pStyle w:val="Normalalteradora"/>
        <w:rPr>
          <w:rFonts w:cstheme="minorHAnsi"/>
        </w:rPr>
      </w:pPr>
      <w:r w:rsidRPr="0097459F">
        <w:rPr>
          <w:rFonts w:cstheme="minorHAnsi"/>
        </w:rPr>
        <w:lastRenderedPageBreak/>
        <w:t xml:space="preserve">§ 4º  Quando constituídos por iniciativa </w:t>
      </w:r>
      <w:r w:rsidR="00D95000" w:rsidRPr="0097459F">
        <w:rPr>
          <w:rFonts w:cstheme="minorHAnsi"/>
        </w:rPr>
        <w:t>de prestador de serviço essencia</w:t>
      </w:r>
      <w:r w:rsidR="0040031F" w:rsidRPr="0097459F">
        <w:rPr>
          <w:rFonts w:cstheme="minorHAnsi"/>
        </w:rPr>
        <w:t>l</w:t>
      </w:r>
      <w:r w:rsidRPr="0097459F">
        <w:rPr>
          <w:rFonts w:cstheme="minorHAnsi"/>
        </w:rPr>
        <w:t>, os membros do conselho ou comitê podem ser remunerados com parcela da taxa de administração ou gestão, conforme o caso.</w:t>
      </w:r>
    </w:p>
    <w:p w14:paraId="360C437D" w14:textId="044A714C" w:rsidR="58E16711" w:rsidRPr="0097459F" w:rsidRDefault="00273C0F" w:rsidP="00C20BBD">
      <w:pPr>
        <w:pStyle w:val="Normalalteradora"/>
      </w:pPr>
      <w:r w:rsidRPr="0097459F">
        <w:t>§</w:t>
      </w:r>
      <w:r w:rsidR="27D328A9" w:rsidRPr="0097459F">
        <w:t xml:space="preserve"> 5º </w:t>
      </w:r>
      <w:r w:rsidR="0040031F" w:rsidRPr="0097459F">
        <w:t xml:space="preserve"> </w:t>
      </w:r>
      <w:r w:rsidR="27D328A9" w:rsidRPr="0097459F">
        <w:t xml:space="preserve">Quando </w:t>
      </w:r>
      <w:r w:rsidRPr="0097459F">
        <w:t>constituído</w:t>
      </w:r>
      <w:r w:rsidR="27D328A9" w:rsidRPr="0097459F">
        <w:t xml:space="preserve"> com o objetivo de fiscalizar ou supervisionar as atividades exercidas por prestador de serviços essencia</w:t>
      </w:r>
      <w:r w:rsidR="55C289BB" w:rsidRPr="0097459F">
        <w:t>l</w:t>
      </w:r>
      <w:r w:rsidR="27D328A9" w:rsidRPr="0097459F">
        <w:t xml:space="preserve">, a remuneração de membros </w:t>
      </w:r>
      <w:r w:rsidRPr="0097459F">
        <w:t>do comitê</w:t>
      </w:r>
      <w:r w:rsidR="43F8A22E" w:rsidRPr="0097459F">
        <w:t xml:space="preserve"> </w:t>
      </w:r>
      <w:r w:rsidR="27D328A9" w:rsidRPr="0097459F">
        <w:t xml:space="preserve">pode </w:t>
      </w:r>
      <w:r w:rsidRPr="0097459F">
        <w:t>constituir</w:t>
      </w:r>
      <w:r w:rsidR="1CD5CF46" w:rsidRPr="0097459F">
        <w:t xml:space="preserve"> </w:t>
      </w:r>
      <w:r w:rsidR="27D328A9" w:rsidRPr="0097459F">
        <w:t xml:space="preserve">encargo do fundo, desde que expressamente </w:t>
      </w:r>
      <w:r w:rsidR="051F78DA" w:rsidRPr="0097459F">
        <w:t>previst</w:t>
      </w:r>
      <w:r w:rsidR="0040031F" w:rsidRPr="0097459F">
        <w:t>a</w:t>
      </w:r>
      <w:r w:rsidR="051F78DA" w:rsidRPr="0097459F">
        <w:t xml:space="preserve"> </w:t>
      </w:r>
      <w:r w:rsidR="27D328A9" w:rsidRPr="0097459F">
        <w:t>no regulamento.</w:t>
      </w:r>
    </w:p>
    <w:p w14:paraId="55B38361" w14:textId="77777777" w:rsidR="00893D49" w:rsidRPr="0097459F" w:rsidRDefault="00893D49" w:rsidP="00C20BBD">
      <w:pPr>
        <w:pStyle w:val="Seo"/>
        <w:rPr>
          <w:rFonts w:asciiTheme="minorHAnsi" w:hAnsiTheme="minorHAnsi"/>
        </w:rPr>
      </w:pPr>
      <w:bookmarkStart w:id="222" w:name="_Toc53594457"/>
      <w:bookmarkStart w:id="223" w:name="_Toc53595482"/>
      <w:bookmarkStart w:id="224" w:name="_Toc53594209"/>
      <w:bookmarkStart w:id="225" w:name="_Toc114818989"/>
      <w:bookmarkStart w:id="226" w:name="_Toc57836217"/>
      <w:bookmarkStart w:id="227" w:name="_Toc126226326"/>
      <w:r w:rsidRPr="0097459F">
        <w:rPr>
          <w:rFonts w:asciiTheme="minorHAnsi" w:hAnsiTheme="minorHAnsi"/>
        </w:rPr>
        <w:t>Seção III – Remuneração</w:t>
      </w:r>
      <w:bookmarkEnd w:id="222"/>
      <w:bookmarkEnd w:id="223"/>
      <w:bookmarkEnd w:id="224"/>
      <w:bookmarkEnd w:id="225"/>
      <w:bookmarkEnd w:id="226"/>
      <w:bookmarkEnd w:id="227"/>
    </w:p>
    <w:p w14:paraId="15D8E65C" w14:textId="6F51496C"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97</w:t>
      </w:r>
      <w:r w:rsidR="00F76599" w:rsidRPr="0097459F">
        <w:rPr>
          <w:rFonts w:cstheme="minorHAnsi"/>
        </w:rPr>
        <w:t>.  O prestador de serviço</w:t>
      </w:r>
      <w:r w:rsidRPr="0097459F">
        <w:rPr>
          <w:rFonts w:cstheme="minorHAnsi"/>
        </w:rPr>
        <w:t xml:space="preserve"> essencial pode reduzir unilateralmente taxa que lhe compete, sem que seja requerida deliberação de assembleia de cotistas para que seja promovida alteração do regulamento.</w:t>
      </w:r>
    </w:p>
    <w:p w14:paraId="46BDFACD" w14:textId="1C7AA681"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98</w:t>
      </w:r>
      <w:r w:rsidRPr="0097459F">
        <w:rPr>
          <w:rFonts w:cstheme="minorHAnsi"/>
        </w:rPr>
        <w:t xml:space="preserve">.  A classe de cotas que </w:t>
      </w:r>
      <w:r w:rsidR="00A16197" w:rsidRPr="0097459F">
        <w:rPr>
          <w:rFonts w:cstheme="minorHAnsi"/>
        </w:rPr>
        <w:t xml:space="preserve">possa </w:t>
      </w:r>
      <w:r w:rsidRPr="0097459F">
        <w:rPr>
          <w:rFonts w:cstheme="minorHAnsi"/>
        </w:rPr>
        <w:t xml:space="preserve">adquirir cotas de outros fundos de investimento deve estabelecer em seu regulamento que </w:t>
      </w:r>
      <w:r w:rsidR="00290426" w:rsidRPr="0097459F">
        <w:rPr>
          <w:rFonts w:cstheme="minorHAnsi"/>
        </w:rPr>
        <w:t xml:space="preserve">suas </w:t>
      </w:r>
      <w:r w:rsidRPr="0097459F">
        <w:rPr>
          <w:rFonts w:cstheme="minorHAnsi"/>
        </w:rPr>
        <w:t xml:space="preserve">taxas </w:t>
      </w:r>
      <w:r w:rsidR="00290426" w:rsidRPr="0097459F">
        <w:rPr>
          <w:rFonts w:cstheme="minorHAnsi"/>
        </w:rPr>
        <w:t>de administração</w:t>
      </w:r>
      <w:r w:rsidR="00210741" w:rsidRPr="0097459F">
        <w:rPr>
          <w:rFonts w:cstheme="minorHAnsi"/>
        </w:rPr>
        <w:t xml:space="preserve"> e gestão</w:t>
      </w:r>
      <w:r w:rsidR="00F62768" w:rsidRPr="0097459F">
        <w:rPr>
          <w:rFonts w:cstheme="minorHAnsi"/>
        </w:rPr>
        <w:t xml:space="preserve"> </w:t>
      </w:r>
      <w:r w:rsidRPr="0097459F">
        <w:rPr>
          <w:rFonts w:cstheme="minorHAnsi"/>
        </w:rPr>
        <w:t xml:space="preserve">compreendem as taxas dos fundos </w:t>
      </w:r>
      <w:r w:rsidR="00290426" w:rsidRPr="0097459F">
        <w:rPr>
          <w:rFonts w:cstheme="minorHAnsi"/>
        </w:rPr>
        <w:t>investidos</w:t>
      </w:r>
      <w:r w:rsidRPr="0097459F">
        <w:rPr>
          <w:rFonts w:cstheme="minorHAnsi"/>
        </w:rPr>
        <w:t>.</w:t>
      </w:r>
    </w:p>
    <w:p w14:paraId="014B7194" w14:textId="3B531F53" w:rsidR="00893D49" w:rsidRPr="0097459F" w:rsidRDefault="00893D49" w:rsidP="00C20BBD">
      <w:pPr>
        <w:pStyle w:val="Normalalteradora"/>
        <w:rPr>
          <w:rFonts w:cstheme="minorHAnsi"/>
        </w:rPr>
      </w:pPr>
      <w:r w:rsidRPr="0097459F">
        <w:rPr>
          <w:rFonts w:cstheme="minorHAnsi"/>
        </w:rPr>
        <w:t xml:space="preserve">§ 1º  Para efeitos do disposto no </w:t>
      </w:r>
      <w:r w:rsidRPr="0097459F">
        <w:rPr>
          <w:rFonts w:cstheme="minorHAnsi"/>
          <w:b/>
        </w:rPr>
        <w:t>caput</w:t>
      </w:r>
      <w:r w:rsidRPr="0097459F">
        <w:rPr>
          <w:rFonts w:cstheme="minorHAnsi"/>
        </w:rPr>
        <w:t xml:space="preserve">, o regulamento </w:t>
      </w:r>
      <w:r w:rsidR="002931B6" w:rsidRPr="0097459F">
        <w:rPr>
          <w:rFonts w:cstheme="minorHAnsi"/>
        </w:rPr>
        <w:t>pode</w:t>
      </w:r>
      <w:r w:rsidR="00883E92" w:rsidRPr="0097459F">
        <w:rPr>
          <w:rFonts w:cstheme="minorHAnsi"/>
        </w:rPr>
        <w:t xml:space="preserve"> estabelecer </w:t>
      </w:r>
      <w:r w:rsidRPr="0097459F">
        <w:rPr>
          <w:rFonts w:cstheme="minorHAnsi"/>
        </w:rPr>
        <w:t xml:space="preserve">taxas máximas, compreendendo as taxas dos fundos </w:t>
      </w:r>
      <w:r w:rsidR="00290426" w:rsidRPr="0097459F">
        <w:rPr>
          <w:rFonts w:cstheme="minorHAnsi"/>
        </w:rPr>
        <w:t>investidos</w:t>
      </w:r>
      <w:r w:rsidRPr="0097459F">
        <w:rPr>
          <w:rFonts w:cstheme="minorHAnsi"/>
        </w:rPr>
        <w:t xml:space="preserve">, e taxas mínimas, que não incluam as taxas dos fundos </w:t>
      </w:r>
      <w:r w:rsidR="00290426" w:rsidRPr="0097459F">
        <w:rPr>
          <w:rFonts w:cstheme="minorHAnsi"/>
        </w:rPr>
        <w:t>investidos</w:t>
      </w:r>
      <w:r w:rsidRPr="0097459F">
        <w:rPr>
          <w:rFonts w:cstheme="minorHAnsi"/>
        </w:rPr>
        <w:t xml:space="preserve">, caso em que qualquer canal ou material de divulgação que efetue comparação de qualquer natureza entre </w:t>
      </w:r>
      <w:r w:rsidR="00290426" w:rsidRPr="0097459F">
        <w:rPr>
          <w:rFonts w:cstheme="minorHAnsi"/>
        </w:rPr>
        <w:t>classes de cotas</w:t>
      </w:r>
      <w:r w:rsidRPr="0097459F">
        <w:rPr>
          <w:rFonts w:cstheme="minorHAnsi"/>
        </w:rPr>
        <w:t>, deve referir-se, na comparação, apenas às taxas máximas, permitida a referência, em nota, às taxas mínimas e às taxas efetivas em outros períodos.</w:t>
      </w:r>
    </w:p>
    <w:p w14:paraId="4650EBD8" w14:textId="21F53480" w:rsidR="00893D49" w:rsidRPr="0097459F" w:rsidRDefault="00893D49" w:rsidP="00C20BBD">
      <w:pPr>
        <w:pStyle w:val="Normalalteradora"/>
        <w:rPr>
          <w:rFonts w:cstheme="minorHAnsi"/>
        </w:rPr>
      </w:pPr>
      <w:r w:rsidRPr="0097459F">
        <w:rPr>
          <w:rFonts w:cstheme="minorHAnsi"/>
        </w:rPr>
        <w:t>§ 2º</w:t>
      </w:r>
      <w:r w:rsidR="00C959D1" w:rsidRPr="0097459F">
        <w:t xml:space="preserve">  As aplicações </w:t>
      </w:r>
      <w:r w:rsidR="001727D1" w:rsidRPr="0097459F">
        <w:t xml:space="preserve">em classes de cotas dos </w:t>
      </w:r>
      <w:r w:rsidR="00C959D1" w:rsidRPr="0097459F">
        <w:t>seguintes fundos</w:t>
      </w:r>
      <w:r w:rsidR="00493B0A" w:rsidRPr="0097459F">
        <w:rPr>
          <w:rFonts w:cstheme="minorHAnsi"/>
        </w:rPr>
        <w:t xml:space="preserve"> de </w:t>
      </w:r>
      <w:r w:rsidR="00C959D1" w:rsidRPr="0097459F">
        <w:t>investimento</w:t>
      </w:r>
      <w:r w:rsidR="00493B0A" w:rsidRPr="0097459F">
        <w:rPr>
          <w:rFonts w:cstheme="minorHAnsi"/>
        </w:rPr>
        <w:t xml:space="preserve"> </w:t>
      </w:r>
      <w:r w:rsidRPr="0097459F">
        <w:rPr>
          <w:rFonts w:cstheme="minorHAnsi"/>
        </w:rPr>
        <w:t xml:space="preserve">não </w:t>
      </w:r>
      <w:r w:rsidR="00C959D1" w:rsidRPr="0097459F">
        <w:t>devem</w:t>
      </w:r>
      <w:r w:rsidRPr="0097459F">
        <w:rPr>
          <w:rFonts w:cstheme="minorHAnsi"/>
        </w:rPr>
        <w:t xml:space="preserve"> ser </w:t>
      </w:r>
      <w:r w:rsidR="00C959D1" w:rsidRPr="0097459F">
        <w:t>consideradas</w:t>
      </w:r>
      <w:r w:rsidRPr="0097459F">
        <w:rPr>
          <w:rFonts w:cstheme="minorHAnsi"/>
        </w:rPr>
        <w:t xml:space="preserve"> para os efeitos do </w:t>
      </w:r>
      <w:r w:rsidRPr="0097459F">
        <w:rPr>
          <w:rFonts w:cstheme="minorHAnsi"/>
          <w:b/>
        </w:rPr>
        <w:t>caput</w:t>
      </w:r>
      <w:r w:rsidRPr="0097459F">
        <w:rPr>
          <w:rFonts w:cstheme="minorHAnsi"/>
        </w:rPr>
        <w:t xml:space="preserve"> e do § 1º:</w:t>
      </w:r>
    </w:p>
    <w:p w14:paraId="2DE2E9A1" w14:textId="161FED9C" w:rsidR="00C959D1" w:rsidRPr="0097459F" w:rsidRDefault="00C959D1" w:rsidP="00C20BBD">
      <w:pPr>
        <w:pStyle w:val="Normalalteradora"/>
      </w:pPr>
      <w:r w:rsidRPr="0097459F">
        <w:t>I –</w:t>
      </w:r>
      <w:r w:rsidR="008E0306" w:rsidRPr="0097459F">
        <w:t xml:space="preserve"> </w:t>
      </w:r>
      <w:r w:rsidRPr="0097459F">
        <w:t>fundos cujas cotas sejam admitidas à negociação em mercado organizado; e</w:t>
      </w:r>
    </w:p>
    <w:p w14:paraId="75299E93" w14:textId="120F8289" w:rsidR="00C959D1" w:rsidRPr="0097459F" w:rsidRDefault="00C959D1" w:rsidP="00C20BBD">
      <w:pPr>
        <w:pStyle w:val="Normalalteradora"/>
      </w:pPr>
      <w:r w:rsidRPr="0097459F">
        <w:t>II – fundos geridos por partes não relacionadas ao gestor do fundo investido</w:t>
      </w:r>
      <w:r w:rsidR="00F76599" w:rsidRPr="0097459F">
        <w:t>r.</w:t>
      </w:r>
    </w:p>
    <w:p w14:paraId="2714C014" w14:textId="58A28277" w:rsidR="008A2E69" w:rsidRPr="0097459F" w:rsidRDefault="008A2E69" w:rsidP="00C20BBD">
      <w:pPr>
        <w:pStyle w:val="Normalalteradora"/>
      </w:pPr>
      <w:r w:rsidRPr="0097459F">
        <w:t xml:space="preserve">Art. </w:t>
      </w:r>
      <w:r w:rsidR="00B7720E" w:rsidRPr="0097459F">
        <w:t>99</w:t>
      </w:r>
      <w:r w:rsidRPr="0097459F">
        <w:t xml:space="preserve">.  Na hipótese de </w:t>
      </w:r>
      <w:r w:rsidR="009E7BAF" w:rsidRPr="0097459F">
        <w:t xml:space="preserve">existir </w:t>
      </w:r>
      <w:r w:rsidRPr="0097459F">
        <w:t>acordo de remuneração com base na taxa de administração</w:t>
      </w:r>
      <w:r w:rsidR="00467E78" w:rsidRPr="0097459F">
        <w:t xml:space="preserve">, performance ou </w:t>
      </w:r>
      <w:r w:rsidRPr="0097459F">
        <w:t>gestão</w:t>
      </w:r>
      <w:r w:rsidR="3A7B1CA4" w:rsidRPr="0097459F">
        <w:t>,</w:t>
      </w:r>
      <w:r w:rsidRPr="0097459F">
        <w:t xml:space="preserve"> que </w:t>
      </w:r>
      <w:r w:rsidR="00273C0F" w:rsidRPr="0097459F">
        <w:t xml:space="preserve">deve ser </w:t>
      </w:r>
      <w:r w:rsidRPr="0097459F">
        <w:t xml:space="preserve">paga diretamente pela classe investida a classes investidoras, nos termos do inciso XVII do art. </w:t>
      </w:r>
      <w:r w:rsidR="0037292A" w:rsidRPr="0097459F">
        <w:t>117</w:t>
      </w:r>
      <w:r w:rsidRPr="0097459F">
        <w:t xml:space="preserve">, o valor das correspondentes parcelas das taxas de administração ou gestão deve ser subtraído </w:t>
      </w:r>
      <w:r w:rsidR="00B93D01" w:rsidRPr="0097459F">
        <w:t>e limitado a</w:t>
      </w:r>
      <w:r w:rsidRPr="0097459F">
        <w:t>os valores destinados pela classe investida ao provisionamento ou pagamento das despesas com as referidas taxas.</w:t>
      </w:r>
    </w:p>
    <w:p w14:paraId="47BC79EB" w14:textId="17E5C589" w:rsidR="008A2E69" w:rsidRPr="0097459F" w:rsidRDefault="008A2E69" w:rsidP="00C20BBD">
      <w:pPr>
        <w:pStyle w:val="Normalalteradora"/>
      </w:pPr>
      <w:r w:rsidRPr="0097459F">
        <w:lastRenderedPageBreak/>
        <w:t xml:space="preserve">Parágrafo único.  É vedado que o acordo de remuneração direta ou indiretamente resulte em desconto, abatimento ou redução de taxa de administração, </w:t>
      </w:r>
      <w:r w:rsidR="0085689B" w:rsidRPr="0097459F">
        <w:t xml:space="preserve">performance, </w:t>
      </w:r>
      <w:r w:rsidRPr="0097459F">
        <w:t xml:space="preserve">gestão ou qualquer outra taxa devida pela classe investidora </w:t>
      </w:r>
      <w:r w:rsidR="00E90AF5" w:rsidRPr="0097459F">
        <w:t>à invest</w:t>
      </w:r>
      <w:r w:rsidRPr="0097459F">
        <w:t>ida.</w:t>
      </w:r>
    </w:p>
    <w:p w14:paraId="53B2ADCB" w14:textId="66B99B1D" w:rsidR="00E90AF5" w:rsidRPr="0097459F" w:rsidRDefault="00893D49" w:rsidP="00C20BBD">
      <w:pPr>
        <w:spacing w:before="120" w:after="120" w:line="312" w:lineRule="auto"/>
        <w:ind w:firstLine="567"/>
        <w:jc w:val="both"/>
        <w:rPr>
          <w:sz w:val="24"/>
          <w:szCs w:val="24"/>
        </w:rPr>
      </w:pPr>
      <w:r w:rsidRPr="0097459F">
        <w:rPr>
          <w:rFonts w:asciiTheme="minorHAnsi" w:hAnsiTheme="minorHAnsi"/>
          <w:sz w:val="24"/>
          <w:szCs w:val="24"/>
        </w:rPr>
        <w:t xml:space="preserve">Art. </w:t>
      </w:r>
      <w:r w:rsidR="00B7720E" w:rsidRPr="0097459F">
        <w:rPr>
          <w:rFonts w:asciiTheme="minorHAnsi" w:hAnsiTheme="minorHAnsi"/>
          <w:sz w:val="24"/>
          <w:szCs w:val="24"/>
        </w:rPr>
        <w:t>100</w:t>
      </w:r>
      <w:r w:rsidRPr="0097459F">
        <w:rPr>
          <w:rFonts w:asciiTheme="minorHAnsi" w:hAnsiTheme="minorHAnsi"/>
          <w:sz w:val="24"/>
          <w:szCs w:val="24"/>
        </w:rPr>
        <w:t xml:space="preserve">.  Cumpre ao prestador de serviço essencial zelar para que as despesas com a contratação de terceiros prestadores de serviços </w:t>
      </w:r>
      <w:r w:rsidR="00467E78" w:rsidRPr="0097459F">
        <w:rPr>
          <w:rFonts w:asciiTheme="minorHAnsi" w:hAnsiTheme="minorHAnsi"/>
          <w:sz w:val="24"/>
          <w:szCs w:val="24"/>
        </w:rPr>
        <w:t xml:space="preserve">que não constituam encargos do fundo </w:t>
      </w:r>
      <w:r w:rsidRPr="0097459F">
        <w:rPr>
          <w:rFonts w:asciiTheme="minorHAnsi" w:hAnsiTheme="minorHAnsi"/>
          <w:sz w:val="24"/>
          <w:szCs w:val="24"/>
        </w:rPr>
        <w:t>não excedam o montante total</w:t>
      </w:r>
      <w:r w:rsidR="006109D6" w:rsidRPr="0097459F">
        <w:rPr>
          <w:rFonts w:asciiTheme="minorHAnsi" w:hAnsiTheme="minorHAnsi"/>
          <w:sz w:val="24"/>
          <w:szCs w:val="24"/>
        </w:rPr>
        <w:t>, conforme o caso</w:t>
      </w:r>
      <w:r w:rsidRPr="0097459F">
        <w:rPr>
          <w:rFonts w:asciiTheme="minorHAnsi" w:hAnsiTheme="minorHAnsi"/>
          <w:sz w:val="24"/>
          <w:szCs w:val="24"/>
        </w:rPr>
        <w:t xml:space="preserve"> da taxa </w:t>
      </w:r>
      <w:r w:rsidR="006109D6" w:rsidRPr="0097459F">
        <w:rPr>
          <w:rFonts w:asciiTheme="minorHAnsi" w:hAnsiTheme="minorHAnsi"/>
          <w:sz w:val="24"/>
          <w:szCs w:val="24"/>
        </w:rPr>
        <w:t>de administração ou de gestão</w:t>
      </w:r>
      <w:r w:rsidRPr="0097459F">
        <w:rPr>
          <w:rFonts w:asciiTheme="minorHAnsi" w:hAnsiTheme="minorHAnsi"/>
          <w:sz w:val="24"/>
          <w:szCs w:val="24"/>
        </w:rPr>
        <w:t xml:space="preserve">, conforme estabelecida no regulamento, correndo o pagamento de </w:t>
      </w:r>
      <w:r w:rsidR="00146431" w:rsidRPr="0097459F">
        <w:rPr>
          <w:rFonts w:asciiTheme="minorHAnsi" w:hAnsiTheme="minorHAnsi" w:cstheme="minorHAnsi"/>
          <w:sz w:val="24"/>
          <w:szCs w:val="24"/>
        </w:rPr>
        <w:t xml:space="preserve">qualquer </w:t>
      </w:r>
      <w:r w:rsidRPr="0097459F">
        <w:rPr>
          <w:rFonts w:asciiTheme="minorHAnsi" w:hAnsiTheme="minorHAnsi" w:cstheme="minorHAnsi"/>
          <w:sz w:val="24"/>
          <w:szCs w:val="24"/>
        </w:rPr>
        <w:t>despesa</w:t>
      </w:r>
      <w:r w:rsidRPr="0097459F">
        <w:rPr>
          <w:rFonts w:asciiTheme="minorHAnsi" w:hAnsiTheme="minorHAnsi"/>
          <w:sz w:val="24"/>
          <w:szCs w:val="24"/>
        </w:rPr>
        <w:t xml:space="preserve"> que </w:t>
      </w:r>
      <w:r w:rsidRPr="0097459F">
        <w:rPr>
          <w:rFonts w:asciiTheme="minorHAnsi" w:hAnsiTheme="minorHAnsi" w:cstheme="minorHAnsi"/>
          <w:sz w:val="24"/>
          <w:szCs w:val="24"/>
        </w:rPr>
        <w:t>ultrapasse</w:t>
      </w:r>
      <w:r w:rsidRPr="0097459F">
        <w:rPr>
          <w:rFonts w:asciiTheme="minorHAnsi" w:hAnsiTheme="minorHAnsi"/>
          <w:sz w:val="24"/>
          <w:szCs w:val="24"/>
        </w:rPr>
        <w:t xml:space="preserve"> esse limite às expensas do prestador de serviço</w:t>
      </w:r>
      <w:r w:rsidRPr="0097459F">
        <w:rPr>
          <w:rFonts w:asciiTheme="minorHAnsi" w:hAnsiTheme="minorHAnsi" w:cstheme="minorHAnsi"/>
          <w:sz w:val="24"/>
          <w:szCs w:val="24"/>
        </w:rPr>
        <w:t xml:space="preserve"> </w:t>
      </w:r>
      <w:r w:rsidR="00D81FDA" w:rsidRPr="0097459F">
        <w:rPr>
          <w:rFonts w:asciiTheme="minorHAnsi" w:hAnsiTheme="minorHAnsi" w:cstheme="minorHAnsi"/>
          <w:sz w:val="24"/>
          <w:szCs w:val="24"/>
        </w:rPr>
        <w:t>essencial</w:t>
      </w:r>
      <w:r w:rsidR="00D81FDA" w:rsidRPr="0097459F">
        <w:rPr>
          <w:rFonts w:asciiTheme="minorHAnsi" w:hAnsiTheme="minorHAnsi"/>
          <w:sz w:val="24"/>
          <w:szCs w:val="24"/>
        </w:rPr>
        <w:t xml:space="preserve"> </w:t>
      </w:r>
      <w:r w:rsidRPr="0097459F">
        <w:rPr>
          <w:rFonts w:asciiTheme="minorHAnsi" w:hAnsiTheme="minorHAnsi"/>
          <w:sz w:val="24"/>
          <w:szCs w:val="24"/>
        </w:rPr>
        <w:t>que a contratou.</w:t>
      </w:r>
      <w:bookmarkStart w:id="228" w:name="_Toc53594458"/>
      <w:bookmarkStart w:id="229" w:name="_Toc53595483"/>
      <w:bookmarkStart w:id="230" w:name="_Toc53594210"/>
    </w:p>
    <w:p w14:paraId="62FC1EDA" w14:textId="3CFD1FEC" w:rsidR="00893D49" w:rsidRPr="0097459F" w:rsidRDefault="00893D49" w:rsidP="00C20BBD">
      <w:pPr>
        <w:pStyle w:val="Seo"/>
        <w:rPr>
          <w:rFonts w:asciiTheme="minorHAnsi" w:hAnsiTheme="minorHAnsi"/>
        </w:rPr>
      </w:pPr>
      <w:bookmarkStart w:id="231" w:name="_Toc114818990"/>
      <w:bookmarkStart w:id="232" w:name="_Toc57836218"/>
      <w:bookmarkStart w:id="233" w:name="_Toc126226327"/>
      <w:r w:rsidRPr="0097459F">
        <w:rPr>
          <w:rFonts w:asciiTheme="minorHAnsi" w:hAnsiTheme="minorHAnsi"/>
        </w:rPr>
        <w:t>Seção IV – Vedações</w:t>
      </w:r>
      <w:bookmarkEnd w:id="228"/>
      <w:bookmarkEnd w:id="229"/>
      <w:bookmarkEnd w:id="230"/>
      <w:bookmarkEnd w:id="231"/>
      <w:bookmarkEnd w:id="232"/>
      <w:bookmarkEnd w:id="233"/>
    </w:p>
    <w:p w14:paraId="7D387E4A" w14:textId="6E32B740" w:rsidR="00893D49" w:rsidRPr="0097459F" w:rsidRDefault="4AF9F487" w:rsidP="00C20BBD">
      <w:pPr>
        <w:pStyle w:val="Normalalteradora"/>
      </w:pPr>
      <w:r w:rsidRPr="0097459F">
        <w:t xml:space="preserve">Art. </w:t>
      </w:r>
      <w:r w:rsidR="00B7720E" w:rsidRPr="0097459F">
        <w:t>101</w:t>
      </w:r>
      <w:r w:rsidRPr="0097459F">
        <w:t xml:space="preserve">.  É vedado </w:t>
      </w:r>
      <w:r w:rsidR="66119598" w:rsidRPr="0097459F">
        <w:t>aos prestadores de serviços essenciais</w:t>
      </w:r>
      <w:r w:rsidRPr="0097459F">
        <w:t xml:space="preserve">, em suas respectivas esferas de atuação, praticar os seguintes atos em nome </w:t>
      </w:r>
      <w:r w:rsidR="1F77D3B8" w:rsidRPr="0097459F">
        <w:t>do fundo, em relação a qua</w:t>
      </w:r>
      <w:r w:rsidR="008E0306" w:rsidRPr="0097459F">
        <w:t>l</w:t>
      </w:r>
      <w:r w:rsidR="1F77D3B8" w:rsidRPr="0097459F">
        <w:t>quer classe</w:t>
      </w:r>
      <w:r w:rsidR="00DB54EF" w:rsidRPr="0097459F">
        <w:t>:</w:t>
      </w:r>
    </w:p>
    <w:p w14:paraId="7B51C8B4" w14:textId="08549AA7" w:rsidR="00893D49" w:rsidRPr="0097459F" w:rsidRDefault="00893D49" w:rsidP="00C20BBD">
      <w:pPr>
        <w:pStyle w:val="Normalalteradora"/>
        <w:rPr>
          <w:rFonts w:cstheme="minorHAnsi"/>
        </w:rPr>
      </w:pPr>
      <w:r w:rsidRPr="0097459F">
        <w:rPr>
          <w:rFonts w:cstheme="minorHAnsi"/>
        </w:rPr>
        <w:t>I – rece</w:t>
      </w:r>
      <w:r w:rsidR="00DB54EF" w:rsidRPr="0097459F">
        <w:rPr>
          <w:rFonts w:cstheme="minorHAnsi"/>
        </w:rPr>
        <w:t>ber depósito em conta corrente;</w:t>
      </w:r>
    </w:p>
    <w:p w14:paraId="0B8D89EB" w14:textId="758F9D81" w:rsidR="00893D49" w:rsidRPr="0097459F" w:rsidRDefault="4AF9F487" w:rsidP="00C20BBD">
      <w:pPr>
        <w:pStyle w:val="Normalalteradora"/>
      </w:pPr>
      <w:r w:rsidRPr="0097459F">
        <w:t>II – contrair ou efetuar empréstimos</w:t>
      </w:r>
      <w:r w:rsidR="00893D49" w:rsidRPr="0097459F">
        <w:t>, salvo nas hipóteses previstas no</w:t>
      </w:r>
      <w:r w:rsidR="00B8417B" w:rsidRPr="0097459F">
        <w:t>s</w:t>
      </w:r>
      <w:r w:rsidR="00893D49" w:rsidRPr="0097459F">
        <w:t xml:space="preserve"> art</w:t>
      </w:r>
      <w:r w:rsidR="00B8417B" w:rsidRPr="0097459F">
        <w:t>s</w:t>
      </w:r>
      <w:r w:rsidR="00893D49" w:rsidRPr="0097459F">
        <w:t xml:space="preserve">. </w:t>
      </w:r>
      <w:r w:rsidR="0037292A" w:rsidRPr="0097459F">
        <w:t>113</w:t>
      </w:r>
      <w:r w:rsidR="001F31C6" w:rsidRPr="0097459F">
        <w:t>, inciso V</w:t>
      </w:r>
      <w:r w:rsidR="00DB54EF" w:rsidRPr="0097459F">
        <w:t>,</w:t>
      </w:r>
      <w:r w:rsidR="001F31C6" w:rsidRPr="0097459F">
        <w:t xml:space="preserve"> e</w:t>
      </w:r>
      <w:r w:rsidR="00893D49" w:rsidRPr="0097459F">
        <w:t xml:space="preserve"> </w:t>
      </w:r>
      <w:r w:rsidR="00E24209" w:rsidRPr="0097459F">
        <w:t>122</w:t>
      </w:r>
      <w:r w:rsidR="001F31C6" w:rsidRPr="0097459F">
        <w:t>, inciso II, alínea “a”, item 3,</w:t>
      </w:r>
      <w:r w:rsidR="00893D49" w:rsidRPr="0097459F">
        <w:t xml:space="preserve"> ou, ainda, em regra específica para </w:t>
      </w:r>
      <w:r w:rsidR="00B8417B" w:rsidRPr="0097459F">
        <w:t>determinada categoria de fundo;</w:t>
      </w:r>
    </w:p>
    <w:p w14:paraId="61D5CFA3" w14:textId="5FD1540D" w:rsidR="00893D49" w:rsidRPr="0097459F" w:rsidRDefault="00B8417B" w:rsidP="00C20BBD">
      <w:pPr>
        <w:pStyle w:val="Normalalteradora"/>
        <w:rPr>
          <w:rFonts w:cstheme="minorHAnsi"/>
        </w:rPr>
      </w:pPr>
      <w:r w:rsidRPr="0097459F">
        <w:rPr>
          <w:rFonts w:cstheme="minorHAnsi"/>
        </w:rPr>
        <w:t>III</w:t>
      </w:r>
      <w:r w:rsidR="00893D49" w:rsidRPr="0097459F">
        <w:rPr>
          <w:rFonts w:cstheme="minorHAnsi"/>
        </w:rPr>
        <w:t xml:space="preserve"> – vender cotas à prestação, sem prejuízo da</w:t>
      </w:r>
      <w:r w:rsidRPr="0097459F">
        <w:rPr>
          <w:rFonts w:cstheme="minorHAnsi"/>
        </w:rPr>
        <w:t xml:space="preserve"> possibilidade de</w:t>
      </w:r>
      <w:r w:rsidR="00893D49" w:rsidRPr="0097459F">
        <w:rPr>
          <w:rFonts w:cstheme="minorHAnsi"/>
        </w:rPr>
        <w:t xml:space="preserve"> integralização a prazo de cotas subscritas;</w:t>
      </w:r>
    </w:p>
    <w:p w14:paraId="628B8D62" w14:textId="0CBC06B5" w:rsidR="00893D49" w:rsidRPr="0097459F" w:rsidRDefault="00B8417B" w:rsidP="00C20BBD">
      <w:pPr>
        <w:pStyle w:val="Normalalteradora"/>
        <w:rPr>
          <w:rFonts w:cstheme="minorHAnsi"/>
        </w:rPr>
      </w:pPr>
      <w:r w:rsidRPr="0097459F">
        <w:rPr>
          <w:rFonts w:cstheme="minorHAnsi"/>
        </w:rPr>
        <w:t>I</w:t>
      </w:r>
      <w:r w:rsidR="00893D49" w:rsidRPr="0097459F">
        <w:rPr>
          <w:rFonts w:cstheme="minorHAnsi"/>
        </w:rPr>
        <w:t>V – garantir rendimento predeterminado aos cotistas;</w:t>
      </w:r>
    </w:p>
    <w:p w14:paraId="1EBBDB65" w14:textId="37B91064" w:rsidR="00893D49" w:rsidRPr="0097459F" w:rsidRDefault="00893D49" w:rsidP="00C20BBD">
      <w:pPr>
        <w:pStyle w:val="Normalalteradora"/>
        <w:rPr>
          <w:rFonts w:cstheme="minorHAnsi"/>
        </w:rPr>
      </w:pPr>
      <w:r w:rsidRPr="0097459F">
        <w:rPr>
          <w:rFonts w:cstheme="minorHAnsi"/>
        </w:rPr>
        <w:t xml:space="preserve">V – utilizar recursos </w:t>
      </w:r>
      <w:r w:rsidR="009A53D7" w:rsidRPr="0097459F">
        <w:rPr>
          <w:rFonts w:cstheme="minorHAnsi"/>
        </w:rPr>
        <w:t>da classe</w:t>
      </w:r>
      <w:r w:rsidRPr="0097459F">
        <w:rPr>
          <w:rFonts w:cstheme="minorHAnsi"/>
        </w:rPr>
        <w:t xml:space="preserve"> para pagamento de seguro contra perdas financeiras de cotistas; e</w:t>
      </w:r>
    </w:p>
    <w:p w14:paraId="27DC6FA9" w14:textId="5C5A455D" w:rsidR="00893D49" w:rsidRPr="0097459F" w:rsidRDefault="00893D49" w:rsidP="00C20BBD">
      <w:pPr>
        <w:pStyle w:val="Normalalteradora"/>
        <w:rPr>
          <w:rFonts w:cstheme="minorHAnsi"/>
        </w:rPr>
      </w:pPr>
      <w:r w:rsidRPr="0097459F">
        <w:rPr>
          <w:rFonts w:cstheme="minorHAnsi"/>
        </w:rPr>
        <w:t>VI – praticar qualquer ato de liberalidade</w:t>
      </w:r>
      <w:r w:rsidR="00645C0D" w:rsidRPr="0097459F">
        <w:rPr>
          <w:rFonts w:cstheme="minorHAnsi"/>
        </w:rPr>
        <w:t>, exceto pelas doações que o fundo estiver autorizado a fazer nos termos de seu regulamento, conforme previsto no § 2º do art. 118</w:t>
      </w:r>
      <w:r w:rsidRPr="0097459F">
        <w:rPr>
          <w:rFonts w:cstheme="minorHAnsi"/>
        </w:rPr>
        <w:t>.</w:t>
      </w:r>
    </w:p>
    <w:p w14:paraId="0B5C35D1" w14:textId="04DC0BEA" w:rsidR="00E72C8B" w:rsidRPr="0097459F" w:rsidRDefault="00893D49" w:rsidP="00C20BBD">
      <w:pPr>
        <w:pStyle w:val="Normalalteradora"/>
        <w:rPr>
          <w:rFonts w:cstheme="minorHAnsi"/>
        </w:rPr>
      </w:pPr>
      <w:r w:rsidRPr="0097459F">
        <w:rPr>
          <w:rFonts w:cstheme="minorHAnsi"/>
        </w:rPr>
        <w:t xml:space="preserve">§ </w:t>
      </w:r>
      <w:r w:rsidR="00285326" w:rsidRPr="0097459F">
        <w:rPr>
          <w:rFonts w:cstheme="minorHAnsi"/>
        </w:rPr>
        <w:t>1º</w:t>
      </w:r>
      <w:r w:rsidRPr="0097459F">
        <w:rPr>
          <w:rFonts w:cstheme="minorHAnsi"/>
        </w:rPr>
        <w:t xml:space="preserve">  O gestor pode tomar </w:t>
      </w:r>
      <w:bookmarkStart w:id="234" w:name="_DV_C105"/>
      <w:r w:rsidR="00E72C8B" w:rsidRPr="0097459F">
        <w:rPr>
          <w:rFonts w:cstheme="minorHAnsi"/>
        </w:rPr>
        <w:t xml:space="preserve">e dar </w:t>
      </w:r>
      <w:r w:rsidRPr="0097459F">
        <w:rPr>
          <w:rFonts w:cstheme="minorHAnsi"/>
        </w:rPr>
        <w:t>ativos financeiros</w:t>
      </w:r>
      <w:bookmarkStart w:id="235" w:name="_DV_M426"/>
      <w:bookmarkEnd w:id="234"/>
      <w:bookmarkEnd w:id="235"/>
      <w:r w:rsidRPr="0097459F">
        <w:rPr>
          <w:rFonts w:cstheme="minorHAnsi"/>
        </w:rPr>
        <w:t xml:space="preserve"> em empréstimo, desde que tais operações de empréstimo sejam cursadas exclusivamente por meio de serviço autorizado pelo Banco Central do Brasil ou pela CVM.</w:t>
      </w:r>
    </w:p>
    <w:p w14:paraId="29D6C53D" w14:textId="039C745B" w:rsidR="00993E0B" w:rsidRPr="0097459F" w:rsidRDefault="00993E0B" w:rsidP="00C20BBD">
      <w:pPr>
        <w:pStyle w:val="Normalalteradora"/>
        <w:rPr>
          <w:rFonts w:cstheme="minorHAnsi"/>
        </w:rPr>
      </w:pPr>
      <w:r w:rsidRPr="0097459F">
        <w:rPr>
          <w:rFonts w:cstheme="minorHAnsi"/>
        </w:rPr>
        <w:t xml:space="preserve">§ 2º  O gestor pode utilizar ativos da carteira </w:t>
      </w:r>
      <w:r w:rsidR="004020C2" w:rsidRPr="0097459F">
        <w:rPr>
          <w:rFonts w:cstheme="minorHAnsi"/>
        </w:rPr>
        <w:t>na retenção de risco</w:t>
      </w:r>
      <w:r w:rsidR="009E67C2" w:rsidRPr="0097459F">
        <w:rPr>
          <w:rFonts w:cstheme="minorHAnsi"/>
        </w:rPr>
        <w:t xml:space="preserve"> da classe em suas operações com derivativos.</w:t>
      </w:r>
    </w:p>
    <w:p w14:paraId="56B1D3E2" w14:textId="219A49D6" w:rsidR="003E4D2C" w:rsidRPr="0097459F" w:rsidRDefault="003E4D2C" w:rsidP="00C20BBD">
      <w:pPr>
        <w:pStyle w:val="Normalalteradora"/>
        <w:rPr>
          <w:rFonts w:cstheme="minorHAnsi"/>
        </w:rPr>
      </w:pPr>
      <w:r w:rsidRPr="0097459F">
        <w:rPr>
          <w:rFonts w:cstheme="minorHAnsi"/>
        </w:rPr>
        <w:lastRenderedPageBreak/>
        <w:t xml:space="preserve">Art. </w:t>
      </w:r>
      <w:r w:rsidR="009B021F" w:rsidRPr="0097459F">
        <w:rPr>
          <w:rFonts w:cstheme="minorHAnsi"/>
        </w:rPr>
        <w:t>102</w:t>
      </w:r>
      <w:r w:rsidRPr="0097459F">
        <w:rPr>
          <w:rFonts w:cstheme="minorHAnsi"/>
        </w:rPr>
        <w:t>.  É vedado ao gestor e, se houver, ao consultor o recebimento de qualquer remuneração, benefício ou vantagem, direta ou indiretamente, que potencialmente prejudique sua independência na tomada de decisão ou, no caso do consultor, sugestão de investimento.</w:t>
      </w:r>
    </w:p>
    <w:p w14:paraId="300321F5" w14:textId="370F66D7" w:rsidR="00B47476" w:rsidRPr="0097459F" w:rsidRDefault="00B47476" w:rsidP="00C20BBD">
      <w:pPr>
        <w:pStyle w:val="Normalalteradora"/>
        <w:rPr>
          <w:rFonts w:cstheme="minorHAnsi"/>
        </w:rPr>
      </w:pPr>
      <w:r w:rsidRPr="0097459F">
        <w:rPr>
          <w:rFonts w:cstheme="minorHAnsi"/>
        </w:rPr>
        <w:t xml:space="preserve">Art. </w:t>
      </w:r>
      <w:r w:rsidR="009B021F" w:rsidRPr="0097459F">
        <w:rPr>
          <w:rFonts w:cstheme="minorHAnsi"/>
        </w:rPr>
        <w:t>103</w:t>
      </w:r>
      <w:r w:rsidRPr="0097459F">
        <w:rPr>
          <w:rFonts w:cstheme="minorHAnsi"/>
        </w:rPr>
        <w:t>.  É vedado o repasse de informação relevante ainda não divulgada a que se tenha tido acesso em razão de cargo ou posição que ocupe em prestador de serviço do fundo ou em razão de relação comercial, profissional ou de confiança com prestadores de serviço do fundo.</w:t>
      </w:r>
      <w:r w:rsidR="00155DDE" w:rsidRPr="0097459F">
        <w:rPr>
          <w:rFonts w:cstheme="minorHAnsi"/>
        </w:rPr>
        <w:t xml:space="preserve"> </w:t>
      </w:r>
    </w:p>
    <w:p w14:paraId="00B1A9D5" w14:textId="47B58245" w:rsidR="00893D49" w:rsidRPr="0097459F" w:rsidRDefault="00893D49" w:rsidP="00C20BBD">
      <w:pPr>
        <w:pStyle w:val="Seo"/>
        <w:rPr>
          <w:rFonts w:asciiTheme="minorHAnsi" w:hAnsiTheme="minorHAnsi"/>
        </w:rPr>
      </w:pPr>
      <w:bookmarkStart w:id="236" w:name="_Toc114818992"/>
      <w:bookmarkStart w:id="237" w:name="_Toc53594459"/>
      <w:bookmarkStart w:id="238" w:name="_Toc53595484"/>
      <w:bookmarkStart w:id="239" w:name="_Toc53594211"/>
      <w:bookmarkStart w:id="240" w:name="_Toc57836219"/>
      <w:bookmarkStart w:id="241" w:name="_Toc126226328"/>
      <w:r w:rsidRPr="0097459F">
        <w:rPr>
          <w:rFonts w:asciiTheme="minorHAnsi" w:hAnsiTheme="minorHAnsi"/>
        </w:rPr>
        <w:t>Seção V – Obrigações</w:t>
      </w:r>
      <w:bookmarkEnd w:id="236"/>
      <w:bookmarkEnd w:id="237"/>
      <w:bookmarkEnd w:id="238"/>
      <w:bookmarkEnd w:id="239"/>
      <w:bookmarkEnd w:id="240"/>
      <w:bookmarkEnd w:id="241"/>
    </w:p>
    <w:p w14:paraId="3ACCFB77" w14:textId="64E9269C" w:rsidR="00893D49" w:rsidRPr="0097459F" w:rsidRDefault="00893D49" w:rsidP="00C20BBD">
      <w:pPr>
        <w:pStyle w:val="Normalalteradora"/>
        <w:rPr>
          <w:rFonts w:cstheme="minorHAnsi"/>
        </w:rPr>
      </w:pPr>
      <w:r w:rsidRPr="0097459F">
        <w:rPr>
          <w:rFonts w:cstheme="minorHAnsi"/>
        </w:rPr>
        <w:t xml:space="preserve">Art. </w:t>
      </w:r>
      <w:r w:rsidR="009B021F" w:rsidRPr="0097459F">
        <w:rPr>
          <w:rFonts w:cstheme="minorHAnsi"/>
        </w:rPr>
        <w:t>104</w:t>
      </w:r>
      <w:r w:rsidRPr="0097459F">
        <w:rPr>
          <w:rFonts w:cstheme="minorHAnsi"/>
        </w:rPr>
        <w:t xml:space="preserve">.  Incluem-se entre as obrigações do administrador, além das demais previstas nesta Resolução e em </w:t>
      </w:r>
      <w:r w:rsidR="000B4728" w:rsidRPr="0097459F">
        <w:rPr>
          <w:rFonts w:cstheme="minorHAnsi"/>
        </w:rPr>
        <w:t xml:space="preserve">regulamentação </w:t>
      </w:r>
      <w:r w:rsidRPr="0097459F">
        <w:rPr>
          <w:rFonts w:cstheme="minorHAnsi"/>
        </w:rPr>
        <w:t>específica:</w:t>
      </w:r>
    </w:p>
    <w:p w14:paraId="64D7C8B7" w14:textId="77777777" w:rsidR="00893D49" w:rsidRPr="0097459F" w:rsidRDefault="00893D49" w:rsidP="00C20BBD">
      <w:pPr>
        <w:pStyle w:val="Normalalteradora"/>
        <w:rPr>
          <w:rFonts w:cstheme="minorHAnsi"/>
        </w:rPr>
      </w:pPr>
      <w:bookmarkStart w:id="242" w:name="_Hlk52092762"/>
      <w:r w:rsidRPr="0097459F">
        <w:rPr>
          <w:rFonts w:cstheme="minorHAnsi"/>
        </w:rPr>
        <w:t>I – diligenciar para que sejam mantidos, às suas expensas, atualizados e em perfeita ordem:</w:t>
      </w:r>
    </w:p>
    <w:p w14:paraId="453BFA88" w14:textId="77777777" w:rsidR="00893D49" w:rsidRPr="0097459F" w:rsidRDefault="00893D49" w:rsidP="00C20BBD">
      <w:pPr>
        <w:pStyle w:val="Normalalteradora"/>
        <w:rPr>
          <w:rFonts w:cstheme="minorHAnsi"/>
        </w:rPr>
      </w:pPr>
      <w:r w:rsidRPr="0097459F">
        <w:rPr>
          <w:rFonts w:cstheme="minorHAnsi"/>
        </w:rPr>
        <w:t>a) o registro de cotistas;</w:t>
      </w:r>
    </w:p>
    <w:p w14:paraId="29071C62" w14:textId="77777777" w:rsidR="00893D49" w:rsidRPr="0097459F" w:rsidRDefault="00893D49" w:rsidP="00C20BBD">
      <w:pPr>
        <w:pStyle w:val="Normalalteradora"/>
        <w:rPr>
          <w:rFonts w:cstheme="minorHAnsi"/>
        </w:rPr>
      </w:pPr>
      <w:r w:rsidRPr="0097459F">
        <w:rPr>
          <w:rFonts w:cstheme="minorHAnsi"/>
        </w:rPr>
        <w:t>b) o livro de atas das assembleias gerais;</w:t>
      </w:r>
    </w:p>
    <w:p w14:paraId="10D8A170" w14:textId="77777777" w:rsidR="00893D49" w:rsidRPr="0097459F" w:rsidRDefault="00893D49" w:rsidP="00C20BBD">
      <w:pPr>
        <w:pStyle w:val="Normalalteradora"/>
        <w:rPr>
          <w:rFonts w:cstheme="minorHAnsi"/>
        </w:rPr>
      </w:pPr>
      <w:r w:rsidRPr="0097459F">
        <w:rPr>
          <w:rFonts w:cstheme="minorHAnsi"/>
        </w:rPr>
        <w:t>c) o livro ou lista de presença de cotistas;</w:t>
      </w:r>
    </w:p>
    <w:p w14:paraId="61B60440" w14:textId="275F7F97" w:rsidR="00893D49" w:rsidRPr="0097459F" w:rsidRDefault="00893D49" w:rsidP="00C20BBD">
      <w:pPr>
        <w:pStyle w:val="Normalalteradora"/>
        <w:rPr>
          <w:rFonts w:cstheme="minorHAnsi"/>
        </w:rPr>
      </w:pPr>
      <w:r w:rsidRPr="0097459F">
        <w:rPr>
          <w:rFonts w:cstheme="minorHAnsi"/>
        </w:rPr>
        <w:t>d) os pareceres do auditor independente;</w:t>
      </w:r>
      <w:r w:rsidR="007F6E43" w:rsidRPr="0097459F">
        <w:rPr>
          <w:rFonts w:cstheme="minorHAnsi"/>
        </w:rPr>
        <w:t xml:space="preserve"> e</w:t>
      </w:r>
    </w:p>
    <w:p w14:paraId="1ECDFECB" w14:textId="0DF57D0E" w:rsidR="00893D49" w:rsidRPr="0097459F" w:rsidRDefault="00893D49" w:rsidP="00C20BBD">
      <w:pPr>
        <w:pStyle w:val="Normalalteradora"/>
        <w:rPr>
          <w:rFonts w:cstheme="minorHAnsi"/>
        </w:rPr>
      </w:pPr>
      <w:r w:rsidRPr="0097459F">
        <w:rPr>
          <w:rFonts w:cstheme="minorHAnsi"/>
        </w:rPr>
        <w:t>e) os registros contábeis referentes às opera</w:t>
      </w:r>
      <w:r w:rsidR="007F6E43" w:rsidRPr="0097459F">
        <w:rPr>
          <w:rFonts w:cstheme="minorHAnsi"/>
        </w:rPr>
        <w:t>ções e ao patrimônio do fundo;</w:t>
      </w:r>
    </w:p>
    <w:p w14:paraId="2720476F" w14:textId="77777777" w:rsidR="00893D49" w:rsidRPr="0097459F" w:rsidRDefault="00893D49" w:rsidP="00C20BBD">
      <w:pPr>
        <w:pStyle w:val="Normalalteradora"/>
        <w:rPr>
          <w:rFonts w:cstheme="minorHAnsi"/>
        </w:rPr>
      </w:pPr>
      <w:r w:rsidRPr="0097459F">
        <w:rPr>
          <w:rFonts w:cstheme="minorHAnsi"/>
        </w:rPr>
        <w:t>II – solicitar, se for o caso, a admissão à negociação das cotas de classe fechada em mercado organizado;</w:t>
      </w:r>
    </w:p>
    <w:p w14:paraId="1C61229A" w14:textId="7339CFDB" w:rsidR="00893D49" w:rsidRPr="0097459F" w:rsidRDefault="00893D49" w:rsidP="00C20BBD">
      <w:pPr>
        <w:pStyle w:val="Normalalteradora"/>
        <w:rPr>
          <w:rFonts w:cstheme="minorHAnsi"/>
        </w:rPr>
      </w:pPr>
      <w:r w:rsidRPr="0097459F">
        <w:rPr>
          <w:rFonts w:cstheme="minorHAnsi"/>
        </w:rPr>
        <w:t xml:space="preserve">III – pagar a multa cominatória às suas expensas, nos termos da legislação vigente, por cada dia de atraso no cumprimento dos prazos previstos </w:t>
      </w:r>
      <w:r w:rsidR="006C2FD5" w:rsidRPr="0097459F">
        <w:rPr>
          <w:rFonts w:cstheme="minorHAnsi"/>
        </w:rPr>
        <w:t>na regulamentação aplicável</w:t>
      </w:r>
      <w:r w:rsidRPr="0097459F">
        <w:rPr>
          <w:rFonts w:cstheme="minorHAnsi"/>
        </w:rPr>
        <w:t>;</w:t>
      </w:r>
    </w:p>
    <w:p w14:paraId="5579270A" w14:textId="1CF5017B" w:rsidR="00893D49" w:rsidRPr="0097459F" w:rsidRDefault="00893D49" w:rsidP="00C20BBD">
      <w:pPr>
        <w:pStyle w:val="Normalalteradora"/>
        <w:rPr>
          <w:rFonts w:cstheme="minorHAnsi"/>
        </w:rPr>
      </w:pPr>
      <w:r w:rsidRPr="0097459F">
        <w:rPr>
          <w:rFonts w:cstheme="minorHAnsi"/>
        </w:rPr>
        <w:t xml:space="preserve">IV – elaborar e divulgar as informações periódicas e eventuais </w:t>
      </w:r>
      <w:r w:rsidR="006C2FD5" w:rsidRPr="0097459F">
        <w:rPr>
          <w:rFonts w:cstheme="minorHAnsi"/>
        </w:rPr>
        <w:t>da classe de cotas</w:t>
      </w:r>
      <w:r w:rsidRPr="0097459F">
        <w:rPr>
          <w:rFonts w:cstheme="minorHAnsi"/>
        </w:rPr>
        <w:t>;</w:t>
      </w:r>
    </w:p>
    <w:p w14:paraId="23DB9435" w14:textId="116AEA97" w:rsidR="00893D49" w:rsidRPr="0097459F" w:rsidRDefault="00893D49" w:rsidP="00C20BBD">
      <w:pPr>
        <w:pStyle w:val="Normalalteradora"/>
        <w:rPr>
          <w:rFonts w:cstheme="minorHAnsi"/>
        </w:rPr>
      </w:pPr>
      <w:r w:rsidRPr="0097459F">
        <w:rPr>
          <w:rFonts w:cstheme="minorHAnsi"/>
        </w:rPr>
        <w:t>V – manter atualizada junto à CVM a lista de todos os prestadores de serviços contratados pelo fundo, inclusive os prestadores de serviços essenciais, bem como as demais informações cadastrais do fundo</w:t>
      </w:r>
      <w:r w:rsidR="006C2FD5" w:rsidRPr="0097459F">
        <w:rPr>
          <w:rFonts w:cstheme="minorHAnsi"/>
        </w:rPr>
        <w:t xml:space="preserve"> e suas classes de cotas</w:t>
      </w:r>
      <w:r w:rsidRPr="0097459F">
        <w:rPr>
          <w:rFonts w:cstheme="minorHAnsi"/>
        </w:rPr>
        <w:t>;</w:t>
      </w:r>
    </w:p>
    <w:p w14:paraId="39D18C79" w14:textId="298C7EBB" w:rsidR="00893D49" w:rsidRPr="0097459F" w:rsidRDefault="00893D49" w:rsidP="00C20BBD">
      <w:pPr>
        <w:pStyle w:val="Normalalteradora"/>
        <w:rPr>
          <w:rFonts w:cstheme="minorHAnsi"/>
        </w:rPr>
      </w:pPr>
      <w:bookmarkStart w:id="243" w:name="_DV_M445"/>
      <w:bookmarkEnd w:id="243"/>
      <w:r w:rsidRPr="0097459F">
        <w:rPr>
          <w:rFonts w:cstheme="minorHAnsi"/>
        </w:rPr>
        <w:t>VI – manter serviço de atendimento ao cotista, responsável pelo esclarecimento de dúvidas e pelo recebimento de reclamações, conforme definido no regulamento;</w:t>
      </w:r>
    </w:p>
    <w:p w14:paraId="3706C1EB" w14:textId="77777777" w:rsidR="00893D49" w:rsidRPr="0097459F" w:rsidRDefault="00893D49" w:rsidP="00C20BBD">
      <w:pPr>
        <w:pStyle w:val="Normalalteradora"/>
        <w:rPr>
          <w:rFonts w:cstheme="minorHAnsi"/>
        </w:rPr>
      </w:pPr>
      <w:r w:rsidRPr="0097459F">
        <w:rPr>
          <w:rFonts w:cstheme="minorHAnsi"/>
        </w:rPr>
        <w:t>VII – nas classes abertas, receber e processar os pedidos de resgate;</w:t>
      </w:r>
    </w:p>
    <w:p w14:paraId="194A248C" w14:textId="596AF594" w:rsidR="00893D49" w:rsidRPr="0097459F" w:rsidRDefault="00893D49" w:rsidP="00C20BBD">
      <w:pPr>
        <w:pStyle w:val="Normalalteradora"/>
        <w:rPr>
          <w:rFonts w:cstheme="minorHAnsi"/>
        </w:rPr>
      </w:pPr>
      <w:r w:rsidRPr="0097459F">
        <w:rPr>
          <w:rFonts w:cstheme="minorHAnsi"/>
        </w:rPr>
        <w:lastRenderedPageBreak/>
        <w:t>VIII – monitorar as hipóteses de liquidação antecipada, se houver;</w:t>
      </w:r>
    </w:p>
    <w:bookmarkEnd w:id="242"/>
    <w:p w14:paraId="4C68CFF9" w14:textId="18901FD6" w:rsidR="00893D49" w:rsidRPr="0097459F" w:rsidRDefault="00893D49" w:rsidP="00C20BBD">
      <w:pPr>
        <w:pStyle w:val="Normalalteradora"/>
        <w:rPr>
          <w:rFonts w:cstheme="minorHAnsi"/>
        </w:rPr>
      </w:pPr>
      <w:r w:rsidRPr="0097459F">
        <w:rPr>
          <w:rFonts w:cstheme="minorHAnsi"/>
        </w:rPr>
        <w:t>IX – observar as disposições constantes do regulamento;</w:t>
      </w:r>
      <w:r w:rsidR="001F308F" w:rsidRPr="0097459F">
        <w:rPr>
          <w:rFonts w:cstheme="minorHAnsi"/>
        </w:rPr>
        <w:t xml:space="preserve"> e</w:t>
      </w:r>
    </w:p>
    <w:p w14:paraId="01D3B905" w14:textId="4D3BC518" w:rsidR="00546674" w:rsidRPr="0097459F" w:rsidRDefault="00893D49" w:rsidP="00C20BBD">
      <w:pPr>
        <w:pStyle w:val="Normalalteradora"/>
        <w:rPr>
          <w:rFonts w:cstheme="minorHAnsi"/>
        </w:rPr>
      </w:pPr>
      <w:r w:rsidRPr="0097459F">
        <w:rPr>
          <w:rFonts w:cstheme="minorHAnsi"/>
        </w:rPr>
        <w:t>X – cumprir as deliberações da assembleia de cotistas</w:t>
      </w:r>
      <w:r w:rsidR="001F308F" w:rsidRPr="0097459F">
        <w:rPr>
          <w:rFonts w:cstheme="minorHAnsi"/>
        </w:rPr>
        <w:t>.</w:t>
      </w:r>
    </w:p>
    <w:p w14:paraId="1C16DC96" w14:textId="03A05AA9" w:rsidR="00EE08C7" w:rsidRPr="0097459F" w:rsidRDefault="00893D49" w:rsidP="00C20BBD">
      <w:pPr>
        <w:pStyle w:val="Normalalteradora"/>
        <w:rPr>
          <w:rFonts w:cstheme="minorHAnsi"/>
        </w:rPr>
      </w:pPr>
      <w:r w:rsidRPr="0097459F">
        <w:rPr>
          <w:rFonts w:cstheme="minorHAnsi"/>
        </w:rPr>
        <w:t>Parágrafo único.  O serviço de atendimento ao cotista deve ser subordinado diretamente</w:t>
      </w:r>
      <w:r w:rsidR="00EE08C7" w:rsidRPr="0097459F">
        <w:rPr>
          <w:rFonts w:cstheme="minorHAnsi"/>
        </w:rPr>
        <w:t>:</w:t>
      </w:r>
    </w:p>
    <w:p w14:paraId="6C521789" w14:textId="396CF6DD" w:rsidR="00EE08C7" w:rsidRPr="0097459F" w:rsidRDefault="00EE08C7" w:rsidP="00C20BBD">
      <w:pPr>
        <w:pStyle w:val="Normalalteradora"/>
        <w:rPr>
          <w:rFonts w:cstheme="minorHAnsi"/>
        </w:rPr>
      </w:pPr>
      <w:r w:rsidRPr="0097459F">
        <w:rPr>
          <w:rFonts w:cstheme="minorHAnsi"/>
        </w:rPr>
        <w:t>I –</w:t>
      </w:r>
      <w:r w:rsidR="00893D49" w:rsidRPr="0097459F">
        <w:rPr>
          <w:rFonts w:cstheme="minorHAnsi"/>
        </w:rPr>
        <w:t xml:space="preserve"> ao diretor responsável perante a CVM pela administração do fundo</w:t>
      </w:r>
      <w:r w:rsidRPr="0097459F">
        <w:rPr>
          <w:rFonts w:cstheme="minorHAnsi"/>
        </w:rPr>
        <w:t>;</w:t>
      </w:r>
      <w:r w:rsidR="00106418" w:rsidRPr="0097459F">
        <w:rPr>
          <w:rFonts w:cstheme="minorHAnsi"/>
        </w:rPr>
        <w:t xml:space="preserve"> </w:t>
      </w:r>
    </w:p>
    <w:p w14:paraId="7BD2E9FA" w14:textId="129F8176" w:rsidR="00EE08C7" w:rsidRPr="0097459F" w:rsidRDefault="00EE08C7" w:rsidP="00C20BBD">
      <w:pPr>
        <w:pStyle w:val="Normalalteradora"/>
        <w:rPr>
          <w:rFonts w:cstheme="minorHAnsi"/>
        </w:rPr>
      </w:pPr>
      <w:r w:rsidRPr="0097459F">
        <w:rPr>
          <w:rFonts w:cstheme="minorHAnsi"/>
        </w:rPr>
        <w:t xml:space="preserve">II – </w:t>
      </w:r>
      <w:r w:rsidR="00106418" w:rsidRPr="0097459F">
        <w:rPr>
          <w:rFonts w:cstheme="minorHAnsi"/>
        </w:rPr>
        <w:t>alternativamente</w:t>
      </w:r>
      <w:r w:rsidR="007B7F8B" w:rsidRPr="0097459F">
        <w:rPr>
          <w:rFonts w:cstheme="minorHAnsi"/>
        </w:rPr>
        <w:t>,</w:t>
      </w:r>
      <w:r w:rsidR="00106418" w:rsidRPr="0097459F">
        <w:rPr>
          <w:rFonts w:cstheme="minorHAnsi"/>
        </w:rPr>
        <w:t xml:space="preserve"> </w:t>
      </w:r>
      <w:r w:rsidR="00893D49" w:rsidRPr="0097459F">
        <w:rPr>
          <w:rFonts w:cstheme="minorHAnsi"/>
        </w:rPr>
        <w:t>a outro diretor especialmente indicado à CVM para essa função pelo administrador</w:t>
      </w:r>
      <w:r w:rsidRPr="0097459F">
        <w:rPr>
          <w:rFonts w:cstheme="minorHAnsi"/>
        </w:rPr>
        <w:t>; ou</w:t>
      </w:r>
    </w:p>
    <w:p w14:paraId="3DC7E880" w14:textId="36CEA2F8" w:rsidR="00893D49" w:rsidRPr="0097459F" w:rsidRDefault="00EE08C7" w:rsidP="00C20BBD">
      <w:pPr>
        <w:pStyle w:val="Normalalteradora"/>
        <w:rPr>
          <w:rFonts w:cstheme="minorHAnsi"/>
        </w:rPr>
      </w:pPr>
      <w:r w:rsidRPr="0097459F">
        <w:rPr>
          <w:rFonts w:cstheme="minorHAnsi"/>
        </w:rPr>
        <w:t xml:space="preserve">III – a </w:t>
      </w:r>
      <w:r w:rsidR="00893D49" w:rsidRPr="0097459F">
        <w:rPr>
          <w:rFonts w:cstheme="minorHAnsi"/>
        </w:rPr>
        <w:t xml:space="preserve">um diretor indicado pela instituição responsável pela distribuição de cotas ou pela gestão da carteira </w:t>
      </w:r>
      <w:r w:rsidR="00747BEC" w:rsidRPr="0097459F">
        <w:rPr>
          <w:rFonts w:cstheme="minorHAnsi"/>
        </w:rPr>
        <w:t>de ativos</w:t>
      </w:r>
      <w:r w:rsidR="00893D49" w:rsidRPr="0097459F">
        <w:rPr>
          <w:rFonts w:cstheme="minorHAnsi"/>
        </w:rPr>
        <w:t>.</w:t>
      </w:r>
    </w:p>
    <w:p w14:paraId="392F3C42" w14:textId="5F7B2D13" w:rsidR="00893D49" w:rsidRPr="0097459F" w:rsidRDefault="00893D49" w:rsidP="00C20BBD">
      <w:pPr>
        <w:pStyle w:val="Normalalteradora"/>
        <w:rPr>
          <w:rFonts w:cstheme="minorHAnsi"/>
        </w:rPr>
      </w:pPr>
      <w:bookmarkStart w:id="244" w:name="_DV_C113"/>
      <w:r w:rsidRPr="0097459F">
        <w:rPr>
          <w:rFonts w:cstheme="minorHAnsi"/>
        </w:rPr>
        <w:t xml:space="preserve">Art. </w:t>
      </w:r>
      <w:r w:rsidR="00232D5E" w:rsidRPr="0097459F">
        <w:rPr>
          <w:rFonts w:cstheme="minorHAnsi"/>
        </w:rPr>
        <w:t>105</w:t>
      </w:r>
      <w:r w:rsidRPr="0097459F">
        <w:rPr>
          <w:rFonts w:cstheme="minorHAnsi"/>
        </w:rPr>
        <w:t>.  Incluem-se entre as obrigações do gestor, além das demais previstas nesta Resolução</w:t>
      </w:r>
      <w:r w:rsidR="006C2FD5" w:rsidRPr="0097459F">
        <w:rPr>
          <w:rFonts w:cstheme="minorHAnsi"/>
        </w:rPr>
        <w:t xml:space="preserve"> e em regulamentação específica</w:t>
      </w:r>
      <w:r w:rsidRPr="0097459F">
        <w:rPr>
          <w:rFonts w:cstheme="minorHAnsi"/>
        </w:rPr>
        <w:t>:</w:t>
      </w:r>
    </w:p>
    <w:p w14:paraId="64278DEF" w14:textId="771057E2" w:rsidR="00893D49" w:rsidRPr="0097459F" w:rsidRDefault="00893D49" w:rsidP="00C20BBD">
      <w:pPr>
        <w:pStyle w:val="Normalalteradora"/>
        <w:rPr>
          <w:rFonts w:cstheme="minorHAnsi"/>
        </w:rPr>
      </w:pPr>
      <w:r w:rsidRPr="0097459F">
        <w:rPr>
          <w:rFonts w:cstheme="minorHAnsi"/>
        </w:rPr>
        <w:t xml:space="preserve">I – informar o administrador, de imediato, caso ocorra qualquer alteração </w:t>
      </w:r>
      <w:r w:rsidR="007B7F8B" w:rsidRPr="0097459F">
        <w:rPr>
          <w:rFonts w:cstheme="minorHAnsi"/>
        </w:rPr>
        <w:t>em</w:t>
      </w:r>
      <w:r w:rsidR="00C6340A" w:rsidRPr="0097459F">
        <w:rPr>
          <w:rFonts w:cstheme="minorHAnsi"/>
        </w:rPr>
        <w:t xml:space="preserve"> </w:t>
      </w:r>
      <w:r w:rsidRPr="0097459F">
        <w:rPr>
          <w:rFonts w:cstheme="minorHAnsi"/>
        </w:rPr>
        <w:t>prestador de serviço por ele contratado;</w:t>
      </w:r>
    </w:p>
    <w:p w14:paraId="5C7D017C" w14:textId="247180A7" w:rsidR="00893D49" w:rsidRPr="0097459F" w:rsidRDefault="00893D49" w:rsidP="00C20BBD">
      <w:pPr>
        <w:pStyle w:val="Normalalteradora"/>
        <w:rPr>
          <w:rFonts w:cstheme="minorHAnsi"/>
        </w:rPr>
      </w:pPr>
      <w:r w:rsidRPr="0097459F">
        <w:rPr>
          <w:rFonts w:cstheme="minorHAnsi"/>
        </w:rPr>
        <w:t xml:space="preserve">II – </w:t>
      </w:r>
      <w:r w:rsidR="006C2FD5" w:rsidRPr="0097459F">
        <w:rPr>
          <w:rFonts w:cstheme="minorHAnsi"/>
        </w:rPr>
        <w:t>providenciar a</w:t>
      </w:r>
      <w:r w:rsidRPr="0097459F">
        <w:rPr>
          <w:rFonts w:cstheme="minorHAnsi"/>
        </w:rPr>
        <w:t xml:space="preserve"> elaboração do material de divulgação </w:t>
      </w:r>
      <w:r w:rsidR="00F81ACF" w:rsidRPr="0097459F">
        <w:rPr>
          <w:rFonts w:cstheme="minorHAnsi"/>
        </w:rPr>
        <w:t>da classe para utilização pelos distribuidores</w:t>
      </w:r>
      <w:r w:rsidR="006C2FD5" w:rsidRPr="0097459F">
        <w:rPr>
          <w:rFonts w:cstheme="minorHAnsi"/>
        </w:rPr>
        <w:t>, às suas expensas</w:t>
      </w:r>
      <w:r w:rsidR="00C6340A" w:rsidRPr="0097459F">
        <w:rPr>
          <w:rFonts w:cstheme="minorHAnsi"/>
        </w:rPr>
        <w:t>;</w:t>
      </w:r>
    </w:p>
    <w:p w14:paraId="397DAB9E" w14:textId="26A4F952" w:rsidR="00E3550B" w:rsidRPr="0097459F" w:rsidRDefault="00C62543" w:rsidP="00C20BBD">
      <w:pPr>
        <w:pStyle w:val="Normalalteradora"/>
        <w:rPr>
          <w:rFonts w:cstheme="minorHAnsi"/>
        </w:rPr>
      </w:pPr>
      <w:r w:rsidRPr="0097459F">
        <w:rPr>
          <w:rFonts w:cstheme="minorHAnsi"/>
        </w:rPr>
        <w:t xml:space="preserve">III </w:t>
      </w:r>
      <w:r w:rsidR="002406EC" w:rsidRPr="0097459F">
        <w:rPr>
          <w:rFonts w:cstheme="minorHAnsi"/>
        </w:rPr>
        <w:t>–</w:t>
      </w:r>
      <w:r w:rsidRPr="0097459F">
        <w:rPr>
          <w:rFonts w:cstheme="minorHAnsi"/>
        </w:rPr>
        <w:t xml:space="preserve"> diligenciar para manter atualizada e em perfeita ordem</w:t>
      </w:r>
      <w:r w:rsidR="00E3550B" w:rsidRPr="0097459F">
        <w:rPr>
          <w:rFonts w:cstheme="minorHAnsi"/>
        </w:rPr>
        <w:t>, às suas expensas,</w:t>
      </w:r>
      <w:r w:rsidRPr="0097459F">
        <w:rPr>
          <w:rFonts w:cstheme="minorHAnsi"/>
        </w:rPr>
        <w:t xml:space="preserve"> a documentação relativa às operações da classe</w:t>
      </w:r>
      <w:r w:rsidR="00E3550B" w:rsidRPr="0097459F">
        <w:rPr>
          <w:rFonts w:cstheme="minorHAnsi"/>
        </w:rPr>
        <w:t xml:space="preserve"> de cotas;</w:t>
      </w:r>
    </w:p>
    <w:p w14:paraId="401746E6" w14:textId="7A08CBEF" w:rsidR="00BB1FFA" w:rsidRPr="0097459F" w:rsidRDefault="00BB1FFA" w:rsidP="00C20BBD">
      <w:pPr>
        <w:pStyle w:val="Normalalteradora"/>
        <w:rPr>
          <w:rFonts w:cstheme="minorHAnsi"/>
        </w:rPr>
      </w:pPr>
      <w:r w:rsidRPr="0097459F">
        <w:rPr>
          <w:rFonts w:cstheme="minorHAnsi"/>
        </w:rPr>
        <w:t>I</w:t>
      </w:r>
      <w:r w:rsidR="002406EC" w:rsidRPr="0097459F">
        <w:rPr>
          <w:rFonts w:cstheme="minorHAnsi"/>
        </w:rPr>
        <w:t>V</w:t>
      </w:r>
      <w:r w:rsidRPr="0097459F">
        <w:rPr>
          <w:rFonts w:cstheme="minorHAnsi"/>
        </w:rPr>
        <w:t xml:space="preserve"> – manter a carteira de ativos enquadrada aos limites de composição e concentração e, se </w:t>
      </w:r>
      <w:r w:rsidR="00507831" w:rsidRPr="0097459F">
        <w:rPr>
          <w:rFonts w:cstheme="minorHAnsi"/>
        </w:rPr>
        <w:t>for o caso</w:t>
      </w:r>
      <w:r w:rsidRPr="0097459F">
        <w:rPr>
          <w:rFonts w:cstheme="minorHAnsi"/>
        </w:rPr>
        <w:t>, de exposição ao risco de capital;</w:t>
      </w:r>
    </w:p>
    <w:p w14:paraId="42AECEF5" w14:textId="166B25F8" w:rsidR="00893D49" w:rsidRPr="0097459F" w:rsidRDefault="002406EC" w:rsidP="00C20BBD">
      <w:pPr>
        <w:pStyle w:val="Normalalteradora"/>
        <w:rPr>
          <w:rFonts w:cstheme="minorHAnsi"/>
        </w:rPr>
      </w:pPr>
      <w:r w:rsidRPr="0097459F">
        <w:rPr>
          <w:rFonts w:cstheme="minorHAnsi"/>
        </w:rPr>
        <w:t xml:space="preserve">V </w:t>
      </w:r>
      <w:r w:rsidR="00893D49" w:rsidRPr="0097459F">
        <w:rPr>
          <w:rFonts w:cstheme="minorHAnsi"/>
        </w:rPr>
        <w:t>– observar as disposições constantes do regulamento; e</w:t>
      </w:r>
    </w:p>
    <w:p w14:paraId="47466FD6" w14:textId="2CE2F73C" w:rsidR="00893D49" w:rsidRPr="0097459F" w:rsidRDefault="00893D49" w:rsidP="00C20BBD">
      <w:pPr>
        <w:pStyle w:val="Normalalteradora"/>
        <w:rPr>
          <w:rFonts w:cstheme="minorHAnsi"/>
        </w:rPr>
      </w:pPr>
      <w:r w:rsidRPr="0097459F">
        <w:rPr>
          <w:rFonts w:cstheme="minorHAnsi"/>
        </w:rPr>
        <w:t>V</w:t>
      </w:r>
      <w:r w:rsidR="002406EC" w:rsidRPr="0097459F">
        <w:rPr>
          <w:rFonts w:cstheme="minorHAnsi"/>
        </w:rPr>
        <w:t>I</w:t>
      </w:r>
      <w:r w:rsidRPr="0097459F">
        <w:rPr>
          <w:rFonts w:cstheme="minorHAnsi"/>
        </w:rPr>
        <w:t xml:space="preserve"> – cumprir as deliberações da assembleia de cotistas.</w:t>
      </w:r>
    </w:p>
    <w:p w14:paraId="2346605A" w14:textId="044655D2" w:rsidR="00893D49" w:rsidRPr="0097459F" w:rsidRDefault="00893D49" w:rsidP="00C20BBD">
      <w:pPr>
        <w:pStyle w:val="Seo"/>
        <w:rPr>
          <w:rFonts w:asciiTheme="minorHAnsi" w:hAnsiTheme="minorHAnsi"/>
        </w:rPr>
      </w:pPr>
      <w:bookmarkStart w:id="245" w:name="_Toc53594460"/>
      <w:bookmarkStart w:id="246" w:name="_Toc53595485"/>
      <w:bookmarkStart w:id="247" w:name="_Toc53594212"/>
      <w:bookmarkStart w:id="248" w:name="_Toc114818993"/>
      <w:bookmarkStart w:id="249" w:name="_Toc57836220"/>
      <w:bookmarkStart w:id="250" w:name="_Toc126226329"/>
      <w:bookmarkEnd w:id="244"/>
      <w:r w:rsidRPr="0097459F">
        <w:rPr>
          <w:rFonts w:asciiTheme="minorHAnsi" w:hAnsiTheme="minorHAnsi"/>
        </w:rPr>
        <w:t>Seção VI – Normas de Conduta</w:t>
      </w:r>
      <w:bookmarkEnd w:id="245"/>
      <w:bookmarkEnd w:id="246"/>
      <w:bookmarkEnd w:id="247"/>
      <w:bookmarkEnd w:id="248"/>
      <w:bookmarkEnd w:id="249"/>
      <w:bookmarkEnd w:id="250"/>
      <w:r w:rsidRPr="0097459F">
        <w:rPr>
          <w:rFonts w:asciiTheme="minorHAnsi" w:hAnsiTheme="minorHAnsi"/>
        </w:rPr>
        <w:t xml:space="preserve"> </w:t>
      </w:r>
    </w:p>
    <w:p w14:paraId="5DEB11BE" w14:textId="4F160400" w:rsidR="00893D49"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106</w:t>
      </w:r>
      <w:r w:rsidRPr="0097459F">
        <w:rPr>
          <w:rFonts w:cstheme="minorHAnsi"/>
        </w:rPr>
        <w:t xml:space="preserve">.  Os prestadores de serviços, nas suas respectivas esferas de atuação, estão obrigados a adotar as seguintes normas de conduta: </w:t>
      </w:r>
    </w:p>
    <w:p w14:paraId="1E1496F1" w14:textId="72811D8C" w:rsidR="00893D49" w:rsidRPr="0097459F" w:rsidRDefault="00893D49" w:rsidP="00C20BBD">
      <w:pPr>
        <w:pStyle w:val="Normalalteradora"/>
        <w:rPr>
          <w:rFonts w:cstheme="minorHAnsi"/>
        </w:rPr>
      </w:pPr>
      <w:r w:rsidRPr="0097459F">
        <w:rPr>
          <w:rFonts w:cstheme="minorHAnsi"/>
        </w:rPr>
        <w:t xml:space="preserve">I – exercer suas atividades buscando sempre as melhores condições para </w:t>
      </w:r>
      <w:r w:rsidR="00921F17" w:rsidRPr="0097459F">
        <w:rPr>
          <w:rFonts w:cstheme="minorHAnsi"/>
        </w:rPr>
        <w:t>o fundo e suas</w:t>
      </w:r>
      <w:r w:rsidR="005800DD" w:rsidRPr="0097459F">
        <w:rPr>
          <w:rFonts w:cstheme="minorHAnsi"/>
        </w:rPr>
        <w:t xml:space="preserve"> classe</w:t>
      </w:r>
      <w:r w:rsidR="00921F17" w:rsidRPr="0097459F">
        <w:rPr>
          <w:rFonts w:cstheme="minorHAnsi"/>
        </w:rPr>
        <w:t>s</w:t>
      </w:r>
      <w:r w:rsidR="005800DD" w:rsidRPr="0097459F">
        <w:rPr>
          <w:rFonts w:cstheme="minorHAnsi"/>
        </w:rPr>
        <w:t xml:space="preserve"> de cotas</w:t>
      </w:r>
      <w:r w:rsidRPr="0097459F">
        <w:rPr>
          <w:rFonts w:cstheme="minorHAnsi"/>
        </w:rPr>
        <w:t xml:space="preserve">, empregando o cuidado e a diligência que todo homem ativo e probo costuma dispensar à </w:t>
      </w:r>
      <w:r w:rsidRPr="0097459F">
        <w:rPr>
          <w:rFonts w:cstheme="minorHAnsi"/>
        </w:rPr>
        <w:lastRenderedPageBreak/>
        <w:t>administração de seus próprios negócios, atuando com lealdade em relação aos interesses dos cotistas</w:t>
      </w:r>
      <w:r w:rsidR="00921F17" w:rsidRPr="0097459F">
        <w:rPr>
          <w:rFonts w:cstheme="minorHAnsi"/>
        </w:rPr>
        <w:t>, do fundo</w:t>
      </w:r>
      <w:r w:rsidRPr="0097459F">
        <w:rPr>
          <w:rFonts w:cstheme="minorHAnsi"/>
        </w:rPr>
        <w:t xml:space="preserve"> e </w:t>
      </w:r>
      <w:r w:rsidR="005800DD" w:rsidRPr="0097459F">
        <w:rPr>
          <w:rFonts w:cstheme="minorHAnsi"/>
        </w:rPr>
        <w:t>d</w:t>
      </w:r>
      <w:r w:rsidR="00921F17" w:rsidRPr="0097459F">
        <w:rPr>
          <w:rFonts w:cstheme="minorHAnsi"/>
        </w:rPr>
        <w:t>e su</w:t>
      </w:r>
      <w:r w:rsidR="005800DD" w:rsidRPr="0097459F">
        <w:rPr>
          <w:rFonts w:cstheme="minorHAnsi"/>
        </w:rPr>
        <w:t>a</w:t>
      </w:r>
      <w:r w:rsidR="00921F17" w:rsidRPr="0097459F">
        <w:rPr>
          <w:rFonts w:cstheme="minorHAnsi"/>
        </w:rPr>
        <w:t>s</w:t>
      </w:r>
      <w:r w:rsidR="005800DD" w:rsidRPr="0097459F">
        <w:rPr>
          <w:rFonts w:cstheme="minorHAnsi"/>
        </w:rPr>
        <w:t xml:space="preserve"> classe</w:t>
      </w:r>
      <w:r w:rsidR="00921F17" w:rsidRPr="0097459F">
        <w:rPr>
          <w:rFonts w:cstheme="minorHAnsi"/>
        </w:rPr>
        <w:t>s</w:t>
      </w:r>
      <w:r w:rsidRPr="0097459F">
        <w:rPr>
          <w:rFonts w:cstheme="minorHAnsi"/>
        </w:rPr>
        <w:t>, evitando práticas que possam ferir a relação fiduciária com eles mantida, e respondendo por quaisquer infrações ou irregularidades que venham a ser cometidas no exercício de suas atribuições;</w:t>
      </w:r>
    </w:p>
    <w:p w14:paraId="16EF6B21" w14:textId="74FC894F" w:rsidR="00893D49" w:rsidRPr="0097459F" w:rsidRDefault="00893D49" w:rsidP="00C20BBD">
      <w:pPr>
        <w:pStyle w:val="Normalalteradora"/>
        <w:rPr>
          <w:rFonts w:cstheme="minorHAnsi"/>
        </w:rPr>
      </w:pPr>
      <w:r w:rsidRPr="0097459F">
        <w:rPr>
          <w:rFonts w:cstheme="minorHAnsi"/>
        </w:rPr>
        <w:t xml:space="preserve">II – exercer, ou diligenciar para que sejam exercidos, todos os direitos decorrentes do patrimônio e das atividades </w:t>
      </w:r>
      <w:r w:rsidR="00A456F5" w:rsidRPr="0097459F">
        <w:rPr>
          <w:rFonts w:cstheme="minorHAnsi"/>
        </w:rPr>
        <w:t>da classe de cotas</w:t>
      </w:r>
      <w:r w:rsidRPr="0097459F">
        <w:rPr>
          <w:rFonts w:cstheme="minorHAnsi"/>
        </w:rPr>
        <w:t xml:space="preserve">, ressalvado o que dispuser a política relativa ao exercício de direito de voto; e </w:t>
      </w:r>
    </w:p>
    <w:p w14:paraId="79ED80B7" w14:textId="4BB72D84" w:rsidR="00893D49" w:rsidRPr="0097459F" w:rsidRDefault="00893D49" w:rsidP="00C20BBD">
      <w:pPr>
        <w:pStyle w:val="Normalalteradora"/>
        <w:rPr>
          <w:rFonts w:cstheme="minorHAnsi"/>
        </w:rPr>
      </w:pPr>
      <w:r w:rsidRPr="0097459F">
        <w:rPr>
          <w:rFonts w:cstheme="minorHAnsi"/>
        </w:rPr>
        <w:t>III – empregar, na defesa dos direitos do cotista, a diligência exigida pelas circunstâncias, praticando todos os atos necessários para assegurá-los, e adotando as medidas judiciais</w:t>
      </w:r>
      <w:r w:rsidR="00A456F5" w:rsidRPr="0097459F">
        <w:rPr>
          <w:rFonts w:cstheme="minorHAnsi"/>
        </w:rPr>
        <w:t>, extrajudiciais e arbitrais</w:t>
      </w:r>
      <w:r w:rsidRPr="0097459F">
        <w:rPr>
          <w:rFonts w:cstheme="minorHAnsi"/>
        </w:rPr>
        <w:t xml:space="preserve"> cabíveis.</w:t>
      </w:r>
    </w:p>
    <w:p w14:paraId="276FE15F" w14:textId="3D6262E4" w:rsidR="00893D49" w:rsidRPr="0097459F" w:rsidRDefault="003E4D2C" w:rsidP="00C20BBD">
      <w:pPr>
        <w:pStyle w:val="Normalalteradora"/>
        <w:rPr>
          <w:rFonts w:cstheme="minorHAnsi"/>
        </w:rPr>
      </w:pPr>
      <w:r w:rsidRPr="0097459F">
        <w:rPr>
          <w:rFonts w:cstheme="minorHAnsi"/>
        </w:rPr>
        <w:t>Parágrafo único.</w:t>
      </w:r>
      <w:r w:rsidR="00893D49" w:rsidRPr="0097459F">
        <w:rPr>
          <w:rFonts w:cstheme="minorHAnsi"/>
        </w:rPr>
        <w:t xml:space="preserve">  </w:t>
      </w:r>
      <w:r w:rsidR="00E3550B" w:rsidRPr="0097459F">
        <w:rPr>
          <w:rFonts w:cstheme="minorHAnsi"/>
        </w:rPr>
        <w:t xml:space="preserve">Os </w:t>
      </w:r>
      <w:r w:rsidR="00893D49" w:rsidRPr="0097459F">
        <w:rPr>
          <w:rFonts w:cstheme="minorHAnsi"/>
        </w:rPr>
        <w:t xml:space="preserve">prestadores de serviços devem transferir </w:t>
      </w:r>
      <w:r w:rsidR="00A456F5" w:rsidRPr="0097459F">
        <w:rPr>
          <w:rFonts w:cstheme="minorHAnsi"/>
        </w:rPr>
        <w:t>à classe de cotas</w:t>
      </w:r>
      <w:r w:rsidR="00893D49" w:rsidRPr="0097459F">
        <w:rPr>
          <w:rFonts w:cstheme="minorHAnsi"/>
        </w:rPr>
        <w:t xml:space="preserve"> qualquer benefício ou vantagem que possam alcançar em decorrência de sua condição. </w:t>
      </w:r>
    </w:p>
    <w:p w14:paraId="627F4466" w14:textId="6AB636CA" w:rsidR="00893D49" w:rsidRPr="0097459F" w:rsidRDefault="00893D49" w:rsidP="00C20BBD">
      <w:pPr>
        <w:pStyle w:val="Seo"/>
        <w:rPr>
          <w:rFonts w:asciiTheme="minorHAnsi" w:hAnsiTheme="minorHAnsi"/>
        </w:rPr>
      </w:pPr>
      <w:bookmarkStart w:id="251" w:name="_Toc53594461"/>
      <w:bookmarkStart w:id="252" w:name="_Toc53595486"/>
      <w:bookmarkStart w:id="253" w:name="_Toc53594213"/>
      <w:bookmarkStart w:id="254" w:name="_Toc114818994"/>
      <w:bookmarkStart w:id="255" w:name="_Toc57836221"/>
      <w:bookmarkStart w:id="256" w:name="_Toc126226330"/>
      <w:r w:rsidRPr="0097459F">
        <w:rPr>
          <w:rFonts w:asciiTheme="minorHAnsi" w:hAnsiTheme="minorHAnsi"/>
        </w:rPr>
        <w:t>Seção VII – Substituição de Prestador de Serviço Essencial</w:t>
      </w:r>
      <w:bookmarkEnd w:id="251"/>
      <w:bookmarkEnd w:id="252"/>
      <w:bookmarkEnd w:id="253"/>
      <w:bookmarkEnd w:id="254"/>
      <w:bookmarkEnd w:id="255"/>
      <w:bookmarkEnd w:id="256"/>
    </w:p>
    <w:p w14:paraId="476FE9DA" w14:textId="1AA46080" w:rsidR="00893D49"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107</w:t>
      </w:r>
      <w:r w:rsidRPr="0097459F">
        <w:rPr>
          <w:rFonts w:cstheme="minorHAnsi"/>
        </w:rPr>
        <w:t>.  Os prestadores de serviços essenciais devem ser substituídos nas hipóteses de:</w:t>
      </w:r>
    </w:p>
    <w:p w14:paraId="2B6B2025" w14:textId="77777777" w:rsidR="00893D49" w:rsidRPr="0097459F" w:rsidRDefault="00893D49" w:rsidP="00C20BBD">
      <w:pPr>
        <w:pStyle w:val="Normalalteradora"/>
        <w:rPr>
          <w:rFonts w:cstheme="minorHAnsi"/>
        </w:rPr>
      </w:pPr>
      <w:r w:rsidRPr="0097459F">
        <w:rPr>
          <w:rFonts w:cstheme="minorHAnsi"/>
        </w:rPr>
        <w:t>I – descredenciamento para o exercício da atividade que constitui o serviço prestado ao fundo, por decisão da CVM;</w:t>
      </w:r>
    </w:p>
    <w:p w14:paraId="47BCFE03" w14:textId="77777777" w:rsidR="00893D49" w:rsidRPr="0097459F" w:rsidRDefault="00893D49" w:rsidP="00C20BBD">
      <w:pPr>
        <w:pStyle w:val="Normalalteradora"/>
        <w:rPr>
          <w:rFonts w:cstheme="minorHAnsi"/>
        </w:rPr>
      </w:pPr>
      <w:r w:rsidRPr="0097459F">
        <w:rPr>
          <w:rFonts w:cstheme="minorHAnsi"/>
        </w:rPr>
        <w:t>II – renúncia; ou</w:t>
      </w:r>
    </w:p>
    <w:p w14:paraId="2CBEA47D" w14:textId="59B45077" w:rsidR="004809E1" w:rsidRPr="0097459F" w:rsidRDefault="00893D49" w:rsidP="00C20BBD">
      <w:pPr>
        <w:pStyle w:val="Normalalteradora"/>
        <w:rPr>
          <w:rFonts w:cstheme="minorHAnsi"/>
        </w:rPr>
      </w:pPr>
      <w:r w:rsidRPr="0097459F">
        <w:rPr>
          <w:rFonts w:cstheme="minorHAnsi"/>
        </w:rPr>
        <w:t>III – destituição, por deliberação da assembleia geral</w:t>
      </w:r>
      <w:r w:rsidR="00A456F5" w:rsidRPr="0097459F">
        <w:rPr>
          <w:rFonts w:cstheme="minorHAnsi"/>
        </w:rPr>
        <w:t xml:space="preserve"> de cotistas</w:t>
      </w:r>
      <w:r w:rsidRPr="0097459F">
        <w:rPr>
          <w:rFonts w:cstheme="minorHAnsi"/>
        </w:rPr>
        <w:t>.</w:t>
      </w:r>
    </w:p>
    <w:p w14:paraId="4D72BF36" w14:textId="34223B93" w:rsidR="00695502" w:rsidRPr="0097459F" w:rsidRDefault="008F0AFE" w:rsidP="00C20BBD">
      <w:pPr>
        <w:pStyle w:val="Normalalteradora"/>
        <w:rPr>
          <w:rFonts w:cstheme="minorHAnsi"/>
        </w:rPr>
      </w:pPr>
      <w:r w:rsidRPr="0097459F">
        <w:rPr>
          <w:rFonts w:cstheme="minorHAnsi"/>
        </w:rPr>
        <w:t xml:space="preserve">Parágrafo único.  O pedido de declaração judicial de insolvência do fundo impede o administrador de renunciar à administração fiduciária do fundo, mas não sua </w:t>
      </w:r>
      <w:r w:rsidR="00695502" w:rsidRPr="0097459F">
        <w:rPr>
          <w:rFonts w:cstheme="minorHAnsi"/>
        </w:rPr>
        <w:t>destituição</w:t>
      </w:r>
      <w:r w:rsidRPr="0097459F">
        <w:rPr>
          <w:rFonts w:cstheme="minorHAnsi"/>
        </w:rPr>
        <w:t xml:space="preserve"> por força de deliberação da assembleia de cotistas.</w:t>
      </w:r>
    </w:p>
    <w:p w14:paraId="462DBB03" w14:textId="2F16C294" w:rsidR="00893D49"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108</w:t>
      </w:r>
      <w:r w:rsidRPr="0097459F">
        <w:rPr>
          <w:rFonts w:cstheme="minorHAnsi"/>
        </w:rPr>
        <w:t>.  Nas hipóteses de descredenciamento</w:t>
      </w:r>
      <w:r w:rsidR="00BD3592" w:rsidRPr="0097459F">
        <w:rPr>
          <w:rFonts w:cstheme="minorHAnsi"/>
        </w:rPr>
        <w:t xml:space="preserve"> ou renúncia</w:t>
      </w:r>
      <w:r w:rsidRPr="0097459F">
        <w:rPr>
          <w:rFonts w:cstheme="minorHAnsi"/>
        </w:rPr>
        <w:t xml:space="preserve">, fica o administrador obrigado a convocar imediatamente assembleia geral de cotistas para eleger um substituto, a se realizar no prazo de até 15 (quinze) dias, sendo </w:t>
      </w:r>
      <w:r w:rsidR="00F24F35" w:rsidRPr="0097459F">
        <w:rPr>
          <w:rFonts w:cstheme="minorHAnsi"/>
        </w:rPr>
        <w:t xml:space="preserve">facultada a convocação da assembleia a </w:t>
      </w:r>
      <w:r w:rsidRPr="0097459F">
        <w:rPr>
          <w:rFonts w:cstheme="minorHAnsi"/>
        </w:rPr>
        <w:t xml:space="preserve">cotistas que detenham </w:t>
      </w:r>
      <w:r w:rsidR="00F24F35" w:rsidRPr="0097459F">
        <w:rPr>
          <w:rFonts w:cstheme="minorHAnsi"/>
        </w:rPr>
        <w:t xml:space="preserve">cotas representativas de </w:t>
      </w:r>
      <w:r w:rsidRPr="0097459F">
        <w:rPr>
          <w:rFonts w:cstheme="minorHAnsi"/>
        </w:rPr>
        <w:t xml:space="preserve">ao menos 5% (cinco por cento) </w:t>
      </w:r>
      <w:r w:rsidR="00F24F35" w:rsidRPr="0097459F">
        <w:rPr>
          <w:rFonts w:cstheme="minorHAnsi"/>
        </w:rPr>
        <w:t xml:space="preserve">do patrimônio </w:t>
      </w:r>
      <w:r w:rsidR="00156C7A" w:rsidRPr="0097459F">
        <w:rPr>
          <w:rFonts w:cstheme="minorHAnsi"/>
        </w:rPr>
        <w:t xml:space="preserve">líquido </w:t>
      </w:r>
      <w:r w:rsidR="00F24F35" w:rsidRPr="0097459F">
        <w:rPr>
          <w:rFonts w:cstheme="minorHAnsi"/>
        </w:rPr>
        <w:t>do fundo</w:t>
      </w:r>
      <w:r w:rsidR="0008611E" w:rsidRPr="0097459F">
        <w:rPr>
          <w:rFonts w:cstheme="minorHAnsi"/>
        </w:rPr>
        <w:t>.</w:t>
      </w:r>
    </w:p>
    <w:p w14:paraId="5A28047B" w14:textId="77777777" w:rsidR="0085166F" w:rsidRPr="0097459F" w:rsidRDefault="00893D49" w:rsidP="00C20BBD">
      <w:pPr>
        <w:pStyle w:val="Normalalteradora"/>
        <w:rPr>
          <w:rFonts w:cstheme="minorHAnsi"/>
        </w:rPr>
      </w:pPr>
      <w:r w:rsidRPr="0097459F">
        <w:rPr>
          <w:rFonts w:cstheme="minorHAnsi"/>
        </w:rPr>
        <w:t>§ 1º  No caso de renúncia, o prestador de serviço essencial deve permanecer no exercício de suas funções até sua efetiva substituição, que deve ocorrer no prazo máximo de</w:t>
      </w:r>
      <w:r w:rsidR="0085166F" w:rsidRPr="0097459F">
        <w:rPr>
          <w:rFonts w:cstheme="minorHAnsi"/>
        </w:rPr>
        <w:t>:</w:t>
      </w:r>
    </w:p>
    <w:p w14:paraId="6F56F1E7" w14:textId="4AE04360" w:rsidR="0085166F" w:rsidRPr="0097459F" w:rsidRDefault="0085166F" w:rsidP="00C20BBD">
      <w:pPr>
        <w:pStyle w:val="Normalalteradora"/>
        <w:rPr>
          <w:rFonts w:cstheme="minorHAnsi"/>
        </w:rPr>
      </w:pPr>
      <w:r w:rsidRPr="0097459F">
        <w:rPr>
          <w:rFonts w:cstheme="minorHAnsi"/>
        </w:rPr>
        <w:lastRenderedPageBreak/>
        <w:t xml:space="preserve">I </w:t>
      </w:r>
      <w:r w:rsidR="00FC6D7B" w:rsidRPr="0097459F">
        <w:rPr>
          <w:rFonts w:cstheme="minorHAnsi"/>
        </w:rPr>
        <w:t>–</w:t>
      </w:r>
      <w:r w:rsidR="00893D49" w:rsidRPr="0097459F">
        <w:rPr>
          <w:rFonts w:cstheme="minorHAnsi"/>
        </w:rPr>
        <w:t xml:space="preserve"> </w:t>
      </w:r>
      <w:r w:rsidR="00CA14B4" w:rsidRPr="0097459F">
        <w:rPr>
          <w:rFonts w:cstheme="minorHAnsi"/>
        </w:rPr>
        <w:t xml:space="preserve">90 </w:t>
      </w:r>
      <w:r w:rsidR="00893D49" w:rsidRPr="0097459F">
        <w:rPr>
          <w:rFonts w:cstheme="minorHAnsi"/>
        </w:rPr>
        <w:t>(</w:t>
      </w:r>
      <w:r w:rsidR="00CA14B4" w:rsidRPr="0097459F">
        <w:rPr>
          <w:rFonts w:cstheme="minorHAnsi"/>
        </w:rPr>
        <w:t>noventa</w:t>
      </w:r>
      <w:r w:rsidR="00893D49" w:rsidRPr="0097459F">
        <w:rPr>
          <w:rFonts w:cstheme="minorHAnsi"/>
        </w:rPr>
        <w:t xml:space="preserve">) dias, </w:t>
      </w:r>
      <w:r w:rsidR="00F24F35" w:rsidRPr="0097459F">
        <w:rPr>
          <w:rFonts w:cstheme="minorHAnsi"/>
        </w:rPr>
        <w:t>contados a partir da renúncia</w:t>
      </w:r>
      <w:r w:rsidRPr="0097459F">
        <w:rPr>
          <w:rFonts w:cstheme="minorHAnsi"/>
        </w:rPr>
        <w:t xml:space="preserve">, para os fundos de investimento financeiro disciplinados no Anexo </w:t>
      </w:r>
      <w:r w:rsidR="00FC6D7B" w:rsidRPr="0097459F">
        <w:rPr>
          <w:rFonts w:cstheme="minorHAnsi"/>
        </w:rPr>
        <w:t xml:space="preserve">Normativo </w:t>
      </w:r>
      <w:r w:rsidR="007A5308">
        <w:rPr>
          <w:rFonts w:cstheme="minorHAnsi"/>
        </w:rPr>
        <w:t>I</w:t>
      </w:r>
      <w:r w:rsidR="00547A4B" w:rsidRPr="0097459F">
        <w:rPr>
          <w:rFonts w:cstheme="minorHAnsi"/>
        </w:rPr>
        <w:t xml:space="preserve"> </w:t>
      </w:r>
      <w:r w:rsidR="00547A4B" w:rsidRPr="0097459F">
        <w:t>e fundos mútuos de privatização – FGTS disciplinados no Anexo</w:t>
      </w:r>
      <w:r w:rsidR="00FC6D7B" w:rsidRPr="0097459F">
        <w:t xml:space="preserve"> Normativo</w:t>
      </w:r>
      <w:r w:rsidR="00547A4B" w:rsidRPr="0097459F">
        <w:t xml:space="preserve"> </w:t>
      </w:r>
      <w:r w:rsidR="007A5308">
        <w:t>VI</w:t>
      </w:r>
      <w:r w:rsidRPr="0097459F">
        <w:rPr>
          <w:rFonts w:cstheme="minorHAnsi"/>
        </w:rPr>
        <w:t>; ou</w:t>
      </w:r>
    </w:p>
    <w:p w14:paraId="6AB5EE1E" w14:textId="4B8BD854" w:rsidR="00312248" w:rsidRPr="0097459F" w:rsidRDefault="0085166F" w:rsidP="00C20BBD">
      <w:pPr>
        <w:pStyle w:val="Normalalteradora"/>
        <w:rPr>
          <w:rFonts w:cstheme="minorHAnsi"/>
        </w:rPr>
      </w:pPr>
      <w:r w:rsidRPr="0097459F">
        <w:rPr>
          <w:rFonts w:cstheme="minorHAnsi"/>
        </w:rPr>
        <w:t xml:space="preserve">II </w:t>
      </w:r>
      <w:r w:rsidR="00FC6D7B" w:rsidRPr="0097459F">
        <w:rPr>
          <w:rFonts w:cstheme="minorHAnsi"/>
        </w:rPr>
        <w:t>–</w:t>
      </w:r>
      <w:r w:rsidRPr="0097459F">
        <w:rPr>
          <w:rFonts w:cstheme="minorHAnsi"/>
        </w:rPr>
        <w:t xml:space="preserve"> 180</w:t>
      </w:r>
      <w:r w:rsidR="00FC6D7B" w:rsidRPr="0097459F">
        <w:rPr>
          <w:rFonts w:cstheme="minorHAnsi"/>
        </w:rPr>
        <w:t xml:space="preserve"> </w:t>
      </w:r>
      <w:r w:rsidRPr="0097459F">
        <w:rPr>
          <w:rFonts w:cstheme="minorHAnsi"/>
        </w:rPr>
        <w:t>(cento e oitenta) dias, contados a partir da renúncia, para as demais categorias de fundos de investimento</w:t>
      </w:r>
      <w:r w:rsidR="00695502" w:rsidRPr="0097459F">
        <w:rPr>
          <w:rFonts w:cstheme="minorHAnsi"/>
        </w:rPr>
        <w:t>.</w:t>
      </w:r>
    </w:p>
    <w:p w14:paraId="4EF81E61" w14:textId="5EE2F896" w:rsidR="00AB3F4D" w:rsidRPr="0097459F" w:rsidRDefault="00AB3F4D" w:rsidP="00C20BBD">
      <w:pPr>
        <w:pStyle w:val="Normalalteradora"/>
        <w:rPr>
          <w:rFonts w:cstheme="minorHAnsi"/>
        </w:rPr>
      </w:pPr>
      <w:r w:rsidRPr="0097459F">
        <w:rPr>
          <w:rFonts w:cstheme="minorHAnsi"/>
        </w:rPr>
        <w:t>§ 2º  Caso o prestador de serviço essencial que renunciou não seja substituído dentro do prazo referido no § 1º, o fundo deve ser liquidado, nos termos do Capítulo XIV, devendo o gestor permanecer no exercício de suas funções até a conclusão da liquidação e o administrador até o cancelamento do registro do fundo na CVM.</w:t>
      </w:r>
    </w:p>
    <w:p w14:paraId="7167BBA6" w14:textId="77777777" w:rsidR="00F100EB" w:rsidRPr="0097459F" w:rsidRDefault="00893D49" w:rsidP="00C20BBD">
      <w:pPr>
        <w:pStyle w:val="Normalalteradora"/>
        <w:rPr>
          <w:rFonts w:cstheme="minorHAnsi"/>
        </w:rPr>
      </w:pPr>
      <w:r w:rsidRPr="0097459F">
        <w:rPr>
          <w:rFonts w:cstheme="minorHAnsi"/>
        </w:rPr>
        <w:t xml:space="preserve">§ </w:t>
      </w:r>
      <w:r w:rsidR="00413362" w:rsidRPr="0097459F">
        <w:rPr>
          <w:rFonts w:cstheme="minorHAnsi"/>
        </w:rPr>
        <w:t xml:space="preserve">3º  </w:t>
      </w:r>
      <w:r w:rsidRPr="0097459F">
        <w:rPr>
          <w:rFonts w:cstheme="minorHAnsi"/>
        </w:rPr>
        <w:t xml:space="preserve">No caso de descredenciamento </w:t>
      </w:r>
      <w:r w:rsidR="00DB37A0" w:rsidRPr="0097459F">
        <w:rPr>
          <w:rFonts w:cstheme="minorHAnsi"/>
        </w:rPr>
        <w:t>de prestador de serviço essencial</w:t>
      </w:r>
      <w:r w:rsidRPr="0097459F">
        <w:rPr>
          <w:rFonts w:cstheme="minorHAnsi"/>
        </w:rPr>
        <w:t xml:space="preserve">, a </w:t>
      </w:r>
      <w:r w:rsidR="00CA14B4" w:rsidRPr="0097459F">
        <w:rPr>
          <w:rFonts w:cstheme="minorHAnsi"/>
        </w:rPr>
        <w:t xml:space="preserve">Superintendência competente </w:t>
      </w:r>
      <w:r w:rsidRPr="0097459F">
        <w:rPr>
          <w:rFonts w:cstheme="minorHAnsi"/>
        </w:rPr>
        <w:t xml:space="preserve">pode nomear administrador </w:t>
      </w:r>
      <w:r w:rsidR="00DB37A0" w:rsidRPr="0097459F">
        <w:rPr>
          <w:rFonts w:cstheme="minorHAnsi"/>
        </w:rPr>
        <w:t xml:space="preserve">ou gestor </w:t>
      </w:r>
      <w:r w:rsidRPr="0097459F">
        <w:rPr>
          <w:rFonts w:cstheme="minorHAnsi"/>
        </w:rPr>
        <w:t xml:space="preserve">temporário, </w:t>
      </w:r>
      <w:r w:rsidR="00DB37A0" w:rsidRPr="0097459F">
        <w:rPr>
          <w:rFonts w:cstheme="minorHAnsi"/>
        </w:rPr>
        <w:t xml:space="preserve">conforme o caso, </w:t>
      </w:r>
      <w:r w:rsidRPr="0097459F">
        <w:rPr>
          <w:rFonts w:cstheme="minorHAnsi"/>
        </w:rPr>
        <w:t xml:space="preserve">inclusive para viabilizar a convocação de assembleia </w:t>
      </w:r>
      <w:r w:rsidR="00AB3F4D" w:rsidRPr="0097459F">
        <w:rPr>
          <w:rFonts w:cstheme="minorHAnsi"/>
        </w:rPr>
        <w:t xml:space="preserve">de cotistas de que trata o </w:t>
      </w:r>
      <w:r w:rsidR="00AB3F4D" w:rsidRPr="0097459F">
        <w:rPr>
          <w:rFonts w:cstheme="minorHAnsi"/>
          <w:b/>
        </w:rPr>
        <w:t>caput</w:t>
      </w:r>
      <w:r w:rsidR="00AB3F4D" w:rsidRPr="0097459F">
        <w:rPr>
          <w:rFonts w:cstheme="minorHAnsi"/>
        </w:rPr>
        <w:t>.</w:t>
      </w:r>
    </w:p>
    <w:p w14:paraId="7736ADD0" w14:textId="17336476" w:rsidR="00AB3F4D" w:rsidRPr="0097459F" w:rsidRDefault="00AB3F4D" w:rsidP="00C20BBD">
      <w:pPr>
        <w:pStyle w:val="Normalalteradora"/>
        <w:rPr>
          <w:rFonts w:cstheme="minorHAnsi"/>
        </w:rPr>
      </w:pPr>
      <w:r w:rsidRPr="0097459F">
        <w:rPr>
          <w:rFonts w:cstheme="minorHAnsi"/>
        </w:rPr>
        <w:t xml:space="preserve">§ </w:t>
      </w:r>
      <w:r w:rsidR="00232D5E" w:rsidRPr="0097459F">
        <w:rPr>
          <w:rFonts w:cstheme="minorHAnsi"/>
        </w:rPr>
        <w:t xml:space="preserve">4º  </w:t>
      </w:r>
      <w:r w:rsidRPr="0097459F">
        <w:rPr>
          <w:rFonts w:cstheme="minorHAnsi"/>
        </w:rPr>
        <w:t>Caso o prestador de serviço essencial que foi descredenciado não seja substituído pela assembleia geral de cotistas, o fundo deve ser liquidado, nos termos do Capítulo XIV, devendo o gestor permanecer no exercício de suas funções até a conclusão da liquidação e o administrador até o cancelamento do registro do fundo na CVM.</w:t>
      </w:r>
    </w:p>
    <w:p w14:paraId="32969378" w14:textId="29A1BB4A" w:rsidR="00752042" w:rsidRPr="0097459F" w:rsidRDefault="00B80695" w:rsidP="00C20BBD">
      <w:pPr>
        <w:pStyle w:val="Normalalteradora"/>
        <w:rPr>
          <w:rFonts w:cstheme="minorHAnsi"/>
        </w:rPr>
      </w:pPr>
      <w:r w:rsidRPr="0097459F">
        <w:rPr>
          <w:rFonts w:cstheme="minorHAnsi"/>
        </w:rPr>
        <w:t xml:space="preserve">§  </w:t>
      </w:r>
      <w:r w:rsidR="00726A57" w:rsidRPr="0097459F">
        <w:rPr>
          <w:rFonts w:cstheme="minorHAnsi"/>
        </w:rPr>
        <w:t>5</w:t>
      </w:r>
      <w:r w:rsidRPr="0097459F">
        <w:rPr>
          <w:rFonts w:cstheme="minorHAnsi"/>
        </w:rPr>
        <w:t xml:space="preserve">º </w:t>
      </w:r>
      <w:r w:rsidR="007C7042" w:rsidRPr="0097459F">
        <w:rPr>
          <w:rFonts w:cstheme="minorHAnsi"/>
        </w:rPr>
        <w:t xml:space="preserve"> No caso de </w:t>
      </w:r>
      <w:r w:rsidR="00CA03EE" w:rsidRPr="0097459F">
        <w:rPr>
          <w:rFonts w:cstheme="minorHAnsi"/>
        </w:rPr>
        <w:t>alteração</w:t>
      </w:r>
      <w:r w:rsidR="007C7042" w:rsidRPr="0097459F">
        <w:rPr>
          <w:rFonts w:cstheme="minorHAnsi"/>
        </w:rPr>
        <w:t xml:space="preserve"> </w:t>
      </w:r>
      <w:r w:rsidR="00613ABD" w:rsidRPr="0097459F">
        <w:rPr>
          <w:rFonts w:cstheme="minorHAnsi"/>
        </w:rPr>
        <w:t>de prestador de serviço essencial</w:t>
      </w:r>
      <w:r w:rsidR="007C7042" w:rsidRPr="0097459F">
        <w:rPr>
          <w:rFonts w:cstheme="minorHAnsi"/>
        </w:rPr>
        <w:t xml:space="preserve">, </w:t>
      </w:r>
      <w:r w:rsidR="009E1952" w:rsidRPr="0097459F">
        <w:rPr>
          <w:rFonts w:cstheme="minorHAnsi"/>
        </w:rPr>
        <w:t>o</w:t>
      </w:r>
      <w:r w:rsidR="007C7042" w:rsidRPr="0097459F">
        <w:rPr>
          <w:rFonts w:cstheme="minorHAnsi"/>
        </w:rPr>
        <w:t xml:space="preserve"> administrador </w:t>
      </w:r>
      <w:r w:rsidR="00613ABD" w:rsidRPr="0097459F">
        <w:rPr>
          <w:rFonts w:cstheme="minorHAnsi"/>
        </w:rPr>
        <w:t xml:space="preserve">ou gestor </w:t>
      </w:r>
      <w:r w:rsidR="007C7042" w:rsidRPr="0097459F">
        <w:rPr>
          <w:rFonts w:cstheme="minorHAnsi"/>
        </w:rPr>
        <w:t xml:space="preserve">substituído </w:t>
      </w:r>
      <w:r w:rsidR="009E1952" w:rsidRPr="0097459F">
        <w:rPr>
          <w:rFonts w:cstheme="minorHAnsi"/>
        </w:rPr>
        <w:t xml:space="preserve">deve </w:t>
      </w:r>
      <w:r w:rsidR="007C7042" w:rsidRPr="0097459F">
        <w:rPr>
          <w:rFonts w:cstheme="minorHAnsi"/>
        </w:rPr>
        <w:t>encaminhar ao substituto</w:t>
      </w:r>
      <w:r w:rsidRPr="0097459F">
        <w:rPr>
          <w:rFonts w:cstheme="minorHAnsi"/>
        </w:rPr>
        <w:t xml:space="preserve"> cópia de toda a documentação </w:t>
      </w:r>
      <w:r w:rsidR="008B3626" w:rsidRPr="0097459F">
        <w:rPr>
          <w:rFonts w:cstheme="minorHAnsi"/>
        </w:rPr>
        <w:t xml:space="preserve">referida </w:t>
      </w:r>
      <w:r w:rsidR="00212485" w:rsidRPr="0097459F">
        <w:rPr>
          <w:rFonts w:cstheme="minorHAnsi"/>
        </w:rPr>
        <w:t>n</w:t>
      </w:r>
      <w:r w:rsidRPr="0097459F">
        <w:rPr>
          <w:rFonts w:cstheme="minorHAnsi"/>
        </w:rPr>
        <w:t xml:space="preserve">o art. </w:t>
      </w:r>
      <w:r w:rsidR="0037292A" w:rsidRPr="0097459F">
        <w:rPr>
          <w:rFonts w:cstheme="minorHAnsi"/>
        </w:rPr>
        <w:t>130</w:t>
      </w:r>
      <w:r w:rsidRPr="0097459F">
        <w:rPr>
          <w:rFonts w:cstheme="minorHAnsi"/>
        </w:rPr>
        <w:t xml:space="preserve">, </w:t>
      </w:r>
      <w:r w:rsidR="007C7042" w:rsidRPr="0097459F">
        <w:rPr>
          <w:rFonts w:cstheme="minorHAnsi"/>
        </w:rPr>
        <w:t xml:space="preserve">em até 15 (quinze) dias contados da </w:t>
      </w:r>
      <w:r w:rsidRPr="0097459F">
        <w:rPr>
          <w:rFonts w:cstheme="minorHAnsi"/>
        </w:rPr>
        <w:t xml:space="preserve">efetivação da </w:t>
      </w:r>
      <w:r w:rsidR="00E61F5D" w:rsidRPr="0097459F">
        <w:rPr>
          <w:rFonts w:cstheme="minorHAnsi"/>
        </w:rPr>
        <w:t>alteração</w:t>
      </w:r>
      <w:r w:rsidR="007C7042" w:rsidRPr="0097459F">
        <w:rPr>
          <w:rFonts w:cstheme="minorHAnsi"/>
        </w:rPr>
        <w:t>.</w:t>
      </w:r>
    </w:p>
    <w:p w14:paraId="076B5EBD" w14:textId="01C557BB" w:rsidR="00893D49" w:rsidRPr="0097459F" w:rsidRDefault="00893D49" w:rsidP="00C20BBD">
      <w:pPr>
        <w:pStyle w:val="Captulo"/>
        <w:rPr>
          <w:rFonts w:asciiTheme="minorHAnsi" w:hAnsiTheme="minorHAnsi"/>
        </w:rPr>
      </w:pPr>
      <w:bookmarkStart w:id="257" w:name="_DV_M507"/>
      <w:bookmarkStart w:id="258" w:name="_DV_M509"/>
      <w:bookmarkStart w:id="259" w:name="_Toc53594462"/>
      <w:bookmarkStart w:id="260" w:name="_Toc53595487"/>
      <w:bookmarkStart w:id="261" w:name="_Toc53594214"/>
      <w:bookmarkStart w:id="262" w:name="_Toc114818995"/>
      <w:bookmarkStart w:id="263" w:name="_Toc57836222"/>
      <w:bookmarkStart w:id="264" w:name="_Toc126226331"/>
      <w:bookmarkEnd w:id="257"/>
      <w:bookmarkEnd w:id="258"/>
      <w:r w:rsidRPr="0097459F">
        <w:rPr>
          <w:rFonts w:asciiTheme="minorHAnsi" w:hAnsiTheme="minorHAnsi"/>
        </w:rPr>
        <w:t>CAPÍTULO IX – CARTEIRA</w:t>
      </w:r>
      <w:bookmarkEnd w:id="259"/>
      <w:bookmarkEnd w:id="260"/>
      <w:bookmarkEnd w:id="261"/>
      <w:bookmarkEnd w:id="262"/>
      <w:bookmarkEnd w:id="263"/>
      <w:bookmarkEnd w:id="264"/>
    </w:p>
    <w:p w14:paraId="48791BAD" w14:textId="3C9AD71B" w:rsidR="00E471B0"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109</w:t>
      </w:r>
      <w:r w:rsidRPr="0097459F">
        <w:rPr>
          <w:rFonts w:cstheme="minorHAnsi"/>
        </w:rPr>
        <w:t xml:space="preserve">.  </w:t>
      </w:r>
      <w:r w:rsidR="00C959D1" w:rsidRPr="0097459F">
        <w:t>O fundo</w:t>
      </w:r>
      <w:r w:rsidR="000030EF" w:rsidRPr="0097459F">
        <w:rPr>
          <w:rFonts w:cstheme="minorHAnsi"/>
        </w:rPr>
        <w:t xml:space="preserve"> de </w:t>
      </w:r>
      <w:r w:rsidR="00C959D1" w:rsidRPr="0097459F">
        <w:t>investimento</w:t>
      </w:r>
      <w:r w:rsidRPr="0097459F">
        <w:rPr>
          <w:rFonts w:cstheme="minorHAnsi"/>
        </w:rPr>
        <w:t xml:space="preserve"> deve manter o patrimônio aplicado em ativos nos termos estabelecidos </w:t>
      </w:r>
      <w:r w:rsidR="00DB3374" w:rsidRPr="0097459F">
        <w:rPr>
          <w:rFonts w:cstheme="minorHAnsi"/>
        </w:rPr>
        <w:t>no</w:t>
      </w:r>
      <w:r w:rsidRPr="0097459F">
        <w:rPr>
          <w:rFonts w:cstheme="minorHAnsi"/>
        </w:rPr>
        <w:t xml:space="preserve"> regulamento, observadas, ainda, as regras específicas de cada categoria de fundo.</w:t>
      </w:r>
    </w:p>
    <w:p w14:paraId="4C224EC5" w14:textId="60404FBA" w:rsidR="00893D49"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110</w:t>
      </w:r>
      <w:r w:rsidRPr="0097459F">
        <w:rPr>
          <w:rFonts w:cstheme="minorHAnsi"/>
        </w:rPr>
        <w:t xml:space="preserve">.  É vedado </w:t>
      </w:r>
      <w:r w:rsidR="00C959D1" w:rsidRPr="0097459F">
        <w:t>ao fundo</w:t>
      </w:r>
      <w:r w:rsidRPr="0097459F">
        <w:rPr>
          <w:rFonts w:cstheme="minorHAnsi"/>
        </w:rPr>
        <w:t xml:space="preserve"> </w:t>
      </w:r>
      <w:r w:rsidR="00AB510E" w:rsidRPr="0097459F">
        <w:rPr>
          <w:rFonts w:cstheme="minorHAnsi"/>
        </w:rPr>
        <w:t>a aplicação</w:t>
      </w:r>
      <w:r w:rsidRPr="0097459F">
        <w:rPr>
          <w:rFonts w:cstheme="minorHAnsi"/>
        </w:rPr>
        <w:t xml:space="preserve"> em cotas de </w:t>
      </w:r>
      <w:r w:rsidR="00695502" w:rsidRPr="0097459F">
        <w:t>classes</w:t>
      </w:r>
      <w:r w:rsidR="00695502" w:rsidRPr="0097459F">
        <w:rPr>
          <w:rFonts w:cstheme="minorHAnsi"/>
        </w:rPr>
        <w:t xml:space="preserve"> </w:t>
      </w:r>
      <w:r w:rsidRPr="0097459F">
        <w:rPr>
          <w:rFonts w:cstheme="minorHAnsi"/>
        </w:rPr>
        <w:t xml:space="preserve">que </w:t>
      </w:r>
      <w:r w:rsidR="00C959D1" w:rsidRPr="0097459F">
        <w:t>nele</w:t>
      </w:r>
      <w:r w:rsidR="006C7D95" w:rsidRPr="0097459F">
        <w:rPr>
          <w:rFonts w:cstheme="minorHAnsi"/>
        </w:rPr>
        <w:t xml:space="preserve"> </w:t>
      </w:r>
      <w:r w:rsidRPr="0097459F">
        <w:rPr>
          <w:rFonts w:cstheme="minorHAnsi"/>
        </w:rPr>
        <w:t>invistam, assim como é vedada a aplicação de recursos de uma classe em cotas de outra classe do mesmo fundo.</w:t>
      </w:r>
    </w:p>
    <w:p w14:paraId="5B34C451" w14:textId="286F74FC" w:rsidR="00893D49" w:rsidRPr="0097459F" w:rsidRDefault="00893D49" w:rsidP="00C20BBD">
      <w:pPr>
        <w:pStyle w:val="Captulo"/>
        <w:rPr>
          <w:rFonts w:asciiTheme="minorHAnsi" w:hAnsiTheme="minorHAnsi"/>
        </w:rPr>
      </w:pPr>
      <w:bookmarkStart w:id="265" w:name="_Toc57836223"/>
      <w:bookmarkStart w:id="266" w:name="_Toc53594463"/>
      <w:bookmarkStart w:id="267" w:name="_Toc53595488"/>
      <w:bookmarkStart w:id="268" w:name="_Toc53594215"/>
      <w:bookmarkStart w:id="269" w:name="_Toc114818996"/>
      <w:bookmarkStart w:id="270" w:name="_Toc126226332"/>
      <w:r w:rsidRPr="0097459F">
        <w:rPr>
          <w:rFonts w:asciiTheme="minorHAnsi" w:hAnsiTheme="minorHAnsi"/>
        </w:rPr>
        <w:lastRenderedPageBreak/>
        <w:t xml:space="preserve">CAPÍTULO X – CLASSES RESTRITAS </w:t>
      </w:r>
      <w:bookmarkEnd w:id="265"/>
      <w:r w:rsidRPr="0097459F">
        <w:rPr>
          <w:rFonts w:asciiTheme="minorHAnsi" w:hAnsiTheme="minorHAnsi" w:cstheme="minorHAnsi"/>
        </w:rPr>
        <w:t xml:space="preserve">E </w:t>
      </w:r>
      <w:bookmarkEnd w:id="266"/>
      <w:bookmarkEnd w:id="267"/>
      <w:bookmarkEnd w:id="268"/>
      <w:r w:rsidR="005F5432" w:rsidRPr="0097459F">
        <w:rPr>
          <w:rFonts w:asciiTheme="minorHAnsi" w:hAnsiTheme="minorHAnsi" w:cstheme="minorHAnsi"/>
        </w:rPr>
        <w:t>PREVIDENCIÁRIAS</w:t>
      </w:r>
      <w:bookmarkEnd w:id="269"/>
      <w:bookmarkEnd w:id="270"/>
    </w:p>
    <w:p w14:paraId="33F432E8" w14:textId="36DC8C24" w:rsidR="00F80DF6" w:rsidRPr="0097459F" w:rsidRDefault="00893D49" w:rsidP="00C20BBD">
      <w:pPr>
        <w:pStyle w:val="Seo"/>
      </w:pPr>
      <w:bookmarkStart w:id="271" w:name="_Toc53594464"/>
      <w:bookmarkStart w:id="272" w:name="_Toc53595489"/>
      <w:bookmarkStart w:id="273" w:name="_Toc53594216"/>
      <w:bookmarkStart w:id="274" w:name="_Toc114818997"/>
      <w:bookmarkStart w:id="275" w:name="_Toc57836224"/>
      <w:bookmarkStart w:id="276" w:name="_Toc126226333"/>
      <w:r w:rsidRPr="0097459F">
        <w:rPr>
          <w:rFonts w:asciiTheme="minorHAnsi" w:hAnsiTheme="minorHAnsi"/>
        </w:rPr>
        <w:t>Seção I – Classes Restritas</w:t>
      </w:r>
      <w:bookmarkEnd w:id="271"/>
      <w:bookmarkEnd w:id="272"/>
      <w:bookmarkEnd w:id="273"/>
      <w:bookmarkEnd w:id="274"/>
      <w:bookmarkEnd w:id="275"/>
      <w:bookmarkEnd w:id="276"/>
    </w:p>
    <w:p w14:paraId="395886A9" w14:textId="40FF38B4" w:rsidR="00F80DF6"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111</w:t>
      </w:r>
      <w:r w:rsidRPr="0097459F">
        <w:rPr>
          <w:rFonts w:cstheme="minorHAnsi"/>
        </w:rPr>
        <w:t xml:space="preserve">. </w:t>
      </w:r>
      <w:r w:rsidR="00F80DF6" w:rsidRPr="0097459F">
        <w:rPr>
          <w:rFonts w:cstheme="minorHAnsi"/>
        </w:rPr>
        <w:t xml:space="preserve"> Considera-se “Restrita” a classe ou subclasse exclusivamente destinada a aplicação de recursos de investidores qualificados e profissionais.</w:t>
      </w:r>
    </w:p>
    <w:p w14:paraId="1360AB1D" w14:textId="22A548E2" w:rsidR="00893D49"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112</w:t>
      </w:r>
      <w:r w:rsidRPr="0097459F">
        <w:rPr>
          <w:rFonts w:cstheme="minorHAnsi"/>
        </w:rPr>
        <w:t xml:space="preserve">.  É permitida a permanência e a realização de novas aplicações em classes </w:t>
      </w:r>
      <w:r w:rsidR="008B352D" w:rsidRPr="0097459F">
        <w:rPr>
          <w:rFonts w:cstheme="minorHAnsi"/>
        </w:rPr>
        <w:t xml:space="preserve">e subclasses </w:t>
      </w:r>
      <w:r w:rsidRPr="0097459F">
        <w:rPr>
          <w:rFonts w:cstheme="minorHAnsi"/>
        </w:rPr>
        <w:t xml:space="preserve">de </w:t>
      </w:r>
      <w:r w:rsidR="008B352D" w:rsidRPr="0097459F">
        <w:rPr>
          <w:rFonts w:cstheme="minorHAnsi"/>
        </w:rPr>
        <w:t xml:space="preserve">cotas </w:t>
      </w:r>
      <w:r w:rsidR="008701FC" w:rsidRPr="0097459F">
        <w:rPr>
          <w:rFonts w:cstheme="minorHAnsi"/>
        </w:rPr>
        <w:t>restritas</w:t>
      </w:r>
      <w:r w:rsidRPr="0097459F">
        <w:rPr>
          <w:rFonts w:cstheme="minorHAnsi"/>
        </w:rPr>
        <w:t xml:space="preserve">, de cotistas que não se enquadrem nos requisitos </w:t>
      </w:r>
      <w:r w:rsidR="0098693E" w:rsidRPr="0097459F">
        <w:rPr>
          <w:rFonts w:cstheme="minorHAnsi"/>
        </w:rPr>
        <w:t xml:space="preserve">de qualificação </w:t>
      </w:r>
      <w:r w:rsidRPr="0097459F">
        <w:rPr>
          <w:rFonts w:cstheme="minorHAnsi"/>
        </w:rPr>
        <w:t xml:space="preserve">previstos em </w:t>
      </w:r>
      <w:r w:rsidR="00AB510E" w:rsidRPr="0097459F">
        <w:rPr>
          <w:rFonts w:cstheme="minorHAnsi"/>
        </w:rPr>
        <w:t>regra</w:t>
      </w:r>
      <w:r w:rsidRPr="0097459F">
        <w:rPr>
          <w:rFonts w:cstheme="minorHAnsi"/>
        </w:rPr>
        <w:t xml:space="preserve"> específica, desde que tais cotistas tenham ingressado em concordância com os critérios de admissão </w:t>
      </w:r>
      <w:r w:rsidR="00AB510E" w:rsidRPr="0097459F">
        <w:rPr>
          <w:rFonts w:cstheme="minorHAnsi"/>
        </w:rPr>
        <w:t xml:space="preserve">anteriormente </w:t>
      </w:r>
      <w:r w:rsidRPr="0097459F">
        <w:rPr>
          <w:rFonts w:cstheme="minorHAnsi"/>
        </w:rPr>
        <w:t>vigentes.</w:t>
      </w:r>
    </w:p>
    <w:p w14:paraId="7E912889" w14:textId="775E8B64" w:rsidR="00893D49" w:rsidRPr="0097459F" w:rsidRDefault="00893D49" w:rsidP="00C20BBD">
      <w:pPr>
        <w:pStyle w:val="Normalalteradora"/>
        <w:rPr>
          <w:rFonts w:cstheme="minorHAnsi"/>
        </w:rPr>
      </w:pPr>
      <w:r w:rsidRPr="0097459F">
        <w:rPr>
          <w:rFonts w:cstheme="minorHAnsi"/>
        </w:rPr>
        <w:t xml:space="preserve">§ 1º  Podem ser cotistas de uma classe </w:t>
      </w:r>
      <w:r w:rsidR="008B352D" w:rsidRPr="0097459F">
        <w:rPr>
          <w:rFonts w:cstheme="minorHAnsi"/>
        </w:rPr>
        <w:t xml:space="preserve">ou subclasse </w:t>
      </w:r>
      <w:r w:rsidR="008701FC" w:rsidRPr="0097459F">
        <w:rPr>
          <w:rFonts w:cstheme="minorHAnsi"/>
        </w:rPr>
        <w:t>restrita</w:t>
      </w:r>
      <w:r w:rsidRPr="0097459F">
        <w:rPr>
          <w:rFonts w:cstheme="minorHAnsi"/>
        </w:rPr>
        <w:t xml:space="preserve"> os empregados ou sócios </w:t>
      </w:r>
      <w:r w:rsidR="008B352D" w:rsidRPr="0097459F">
        <w:rPr>
          <w:rFonts w:cstheme="minorHAnsi"/>
        </w:rPr>
        <w:t xml:space="preserve">dos prestadores de serviços essenciais e </w:t>
      </w:r>
      <w:r w:rsidR="00F100EB" w:rsidRPr="0097459F">
        <w:rPr>
          <w:rFonts w:cstheme="minorHAnsi"/>
        </w:rPr>
        <w:t xml:space="preserve"> partes relacionadas</w:t>
      </w:r>
      <w:r w:rsidRPr="0097459F">
        <w:rPr>
          <w:rFonts w:cstheme="minorHAnsi"/>
        </w:rPr>
        <w:t xml:space="preserve">, desde que expressamente autorizados pelo diretor responsável </w:t>
      </w:r>
      <w:r w:rsidR="008B352D" w:rsidRPr="0097459F">
        <w:rPr>
          <w:rFonts w:cstheme="minorHAnsi"/>
        </w:rPr>
        <w:t>do prestador de serviço essencial</w:t>
      </w:r>
      <w:r w:rsidRPr="0097459F">
        <w:rPr>
          <w:rFonts w:cstheme="minorHAnsi"/>
        </w:rPr>
        <w:t>.</w:t>
      </w:r>
    </w:p>
    <w:p w14:paraId="21CD0808" w14:textId="144A97CA" w:rsidR="00893D49" w:rsidRPr="0097459F" w:rsidRDefault="00893D49" w:rsidP="00C20BBD">
      <w:pPr>
        <w:pStyle w:val="Normalalteradora"/>
        <w:rPr>
          <w:rFonts w:cstheme="minorHAnsi"/>
        </w:rPr>
      </w:pPr>
      <w:r w:rsidRPr="0097459F">
        <w:rPr>
          <w:rFonts w:cstheme="minorHAnsi"/>
        </w:rPr>
        <w:t xml:space="preserve">§ 2º  Podem ser cotistas de uma classe </w:t>
      </w:r>
      <w:r w:rsidR="0098693E" w:rsidRPr="0097459F">
        <w:rPr>
          <w:rFonts w:cstheme="minorHAnsi"/>
        </w:rPr>
        <w:t xml:space="preserve">ou subclasse </w:t>
      </w:r>
      <w:r w:rsidRPr="0097459F">
        <w:rPr>
          <w:rFonts w:cstheme="minorHAnsi"/>
        </w:rPr>
        <w:t>para investidores profissionais:</w:t>
      </w:r>
    </w:p>
    <w:p w14:paraId="51B9E2E9" w14:textId="56B902E5" w:rsidR="00893D49" w:rsidRPr="0097459F" w:rsidRDefault="4AF9F487" w:rsidP="00C20BBD">
      <w:pPr>
        <w:pStyle w:val="Normalalteradora"/>
      </w:pPr>
      <w:r w:rsidRPr="0097459F">
        <w:t xml:space="preserve">I – </w:t>
      </w:r>
      <w:r w:rsidR="00576CB7" w:rsidRPr="0097459F">
        <w:t>administradores, empregados,</w:t>
      </w:r>
      <w:r w:rsidRPr="0097459F">
        <w:t xml:space="preserve"> </w:t>
      </w:r>
      <w:r w:rsidR="00F100EB" w:rsidRPr="0097459F">
        <w:t>colaboradores</w:t>
      </w:r>
      <w:r w:rsidRPr="0097459F">
        <w:t xml:space="preserve"> </w:t>
      </w:r>
      <w:r w:rsidR="00576CB7" w:rsidRPr="0097459F">
        <w:t xml:space="preserve">e </w:t>
      </w:r>
      <w:r w:rsidRPr="0097459F">
        <w:t xml:space="preserve">sócios </w:t>
      </w:r>
      <w:r w:rsidR="3C94E461" w:rsidRPr="0097459F">
        <w:t>dos prestadores de serviços essenciais</w:t>
      </w:r>
      <w:r w:rsidRPr="0097459F">
        <w:t xml:space="preserve"> </w:t>
      </w:r>
      <w:r w:rsidR="3C94E461" w:rsidRPr="0097459F">
        <w:t xml:space="preserve">e </w:t>
      </w:r>
      <w:r w:rsidR="00576CB7" w:rsidRPr="0097459F">
        <w:t>partes relacionadas</w:t>
      </w:r>
      <w:r w:rsidRPr="0097459F">
        <w:t xml:space="preserve">, desde que expressamente autorizados pelo diretor responsável </w:t>
      </w:r>
      <w:r w:rsidR="3C94E461" w:rsidRPr="0097459F">
        <w:t>do prestador de serviço essencial</w:t>
      </w:r>
      <w:r w:rsidR="005A5873" w:rsidRPr="0097459F">
        <w:t>; e</w:t>
      </w:r>
    </w:p>
    <w:p w14:paraId="07352FA1" w14:textId="123741F2" w:rsidR="00EC5C27" w:rsidRPr="0097459F" w:rsidRDefault="00893D49" w:rsidP="00C20BBD">
      <w:pPr>
        <w:pStyle w:val="Normalalteradora"/>
        <w:rPr>
          <w:rFonts w:cstheme="minorHAnsi"/>
        </w:rPr>
      </w:pPr>
      <w:r w:rsidRPr="0097459F">
        <w:rPr>
          <w:rFonts w:cstheme="minorHAnsi"/>
        </w:rPr>
        <w:t xml:space="preserve">II – investidores relacionados a investidor profissional por vínculo familiar ou vínculo societário familiar, desde que no mínimo 90% (noventa por cento) das cotas da classe </w:t>
      </w:r>
      <w:r w:rsidR="0098693E" w:rsidRPr="0097459F">
        <w:rPr>
          <w:rFonts w:cstheme="minorHAnsi"/>
        </w:rPr>
        <w:t xml:space="preserve">ou subclasse </w:t>
      </w:r>
      <w:r w:rsidRPr="0097459F">
        <w:rPr>
          <w:rFonts w:cstheme="minorHAnsi"/>
        </w:rPr>
        <w:t>em que se pretenda ingressar sejam detidas por tais investidores</w:t>
      </w:r>
      <w:r w:rsidR="0098693E" w:rsidRPr="0097459F">
        <w:rPr>
          <w:rFonts w:cstheme="minorHAnsi"/>
        </w:rPr>
        <w:t>.</w:t>
      </w:r>
    </w:p>
    <w:p w14:paraId="41EFD4C0" w14:textId="1C27A44D" w:rsidR="00EC5C27" w:rsidRPr="0097459F" w:rsidRDefault="00EC5C27" w:rsidP="00C20BBD">
      <w:pPr>
        <w:pStyle w:val="paragraph"/>
        <w:spacing w:before="120" w:beforeAutospacing="0" w:after="120" w:afterAutospacing="0" w:line="312" w:lineRule="auto"/>
        <w:ind w:firstLine="567"/>
        <w:jc w:val="both"/>
        <w:textAlignment w:val="baseline"/>
        <w:rPr>
          <w:rFonts w:asciiTheme="minorHAnsi" w:hAnsiTheme="minorHAnsi" w:cstheme="minorHAnsi"/>
          <w:lang w:val="pt-BR"/>
        </w:rPr>
      </w:pPr>
      <w:r w:rsidRPr="0097459F">
        <w:rPr>
          <w:rFonts w:asciiTheme="minorHAnsi" w:hAnsiTheme="minorHAnsi" w:cstheme="minorHAnsi"/>
          <w:lang w:val="pt-BR"/>
        </w:rPr>
        <w:t xml:space="preserve">Art. </w:t>
      </w:r>
      <w:r w:rsidR="00136A82" w:rsidRPr="0097459F">
        <w:rPr>
          <w:rFonts w:asciiTheme="minorHAnsi" w:hAnsiTheme="minorHAnsi" w:cstheme="minorHAnsi"/>
          <w:lang w:val="pt-BR"/>
        </w:rPr>
        <w:t>113</w:t>
      </w:r>
      <w:r w:rsidRPr="0097459F">
        <w:rPr>
          <w:rFonts w:asciiTheme="minorHAnsi" w:hAnsiTheme="minorHAnsi" w:cstheme="minorHAnsi"/>
          <w:lang w:val="pt-BR"/>
        </w:rPr>
        <w:t xml:space="preserve">.  O regulamento da classe de cotas </w:t>
      </w:r>
      <w:r w:rsidR="008701FC" w:rsidRPr="0097459F">
        <w:rPr>
          <w:rFonts w:asciiTheme="minorHAnsi" w:hAnsiTheme="minorHAnsi" w:cstheme="minorHAnsi"/>
          <w:lang w:val="pt-BR"/>
        </w:rPr>
        <w:t>restrita</w:t>
      </w:r>
      <w:r w:rsidRPr="0097459F">
        <w:rPr>
          <w:rFonts w:asciiTheme="minorHAnsi" w:hAnsiTheme="minorHAnsi" w:cstheme="minorHAnsi"/>
          <w:lang w:val="pt-BR"/>
        </w:rPr>
        <w:t xml:space="preserve"> pode:</w:t>
      </w:r>
    </w:p>
    <w:p w14:paraId="677B4C35" w14:textId="140DD720" w:rsidR="00EC5C27" w:rsidRPr="0097459F" w:rsidRDefault="00EC5C27" w:rsidP="00C20BBD">
      <w:pPr>
        <w:pStyle w:val="paragraph"/>
        <w:spacing w:before="120" w:beforeAutospacing="0" w:after="120" w:afterAutospacing="0" w:line="312" w:lineRule="auto"/>
        <w:ind w:firstLine="567"/>
        <w:jc w:val="both"/>
        <w:textAlignment w:val="baseline"/>
        <w:rPr>
          <w:rFonts w:asciiTheme="minorHAnsi" w:hAnsiTheme="minorHAnsi" w:cstheme="minorHAnsi"/>
          <w:lang w:val="pt-BR" w:eastAsia="pt-BR"/>
        </w:rPr>
      </w:pPr>
      <w:r w:rsidRPr="0097459F">
        <w:rPr>
          <w:rFonts w:asciiTheme="minorHAnsi" w:hAnsiTheme="minorHAnsi" w:cstheme="minorHAnsi"/>
          <w:lang w:val="pt-BR" w:eastAsia="pt-BR"/>
        </w:rPr>
        <w:t xml:space="preserve">I </w:t>
      </w:r>
      <w:r w:rsidR="0008611E" w:rsidRPr="0097459F">
        <w:rPr>
          <w:rFonts w:asciiTheme="minorHAnsi" w:hAnsiTheme="minorHAnsi" w:cstheme="minorHAnsi"/>
          <w:lang w:val="pt-BR" w:eastAsia="pt-BR"/>
        </w:rPr>
        <w:t>–</w:t>
      </w:r>
      <w:r w:rsidRPr="0097459F">
        <w:rPr>
          <w:rFonts w:asciiTheme="minorHAnsi" w:hAnsiTheme="minorHAnsi" w:cstheme="minorHAnsi"/>
          <w:lang w:val="pt-BR" w:eastAsia="pt-BR"/>
        </w:rPr>
        <w:t xml:space="preserve"> admitir a utilização de ativos financeiros na integralização e resgate de cotas, com o estabelecimento de critérios detalhados e precisos para adoção desses procedimentos;</w:t>
      </w:r>
    </w:p>
    <w:p w14:paraId="4CE1F394" w14:textId="37D6E109" w:rsidR="00322AA3" w:rsidRPr="0097459F" w:rsidRDefault="00136A82" w:rsidP="00C20BBD">
      <w:pPr>
        <w:pStyle w:val="Normalalteradora"/>
      </w:pPr>
      <w:r w:rsidRPr="0097459F">
        <w:rPr>
          <w:rFonts w:cstheme="minorHAnsi"/>
        </w:rPr>
        <w:t>II</w:t>
      </w:r>
      <w:r w:rsidR="00322AA3" w:rsidRPr="0097459F">
        <w:rPr>
          <w:rFonts w:cstheme="minorHAnsi"/>
        </w:rPr>
        <w:t xml:space="preserve"> </w:t>
      </w:r>
      <w:r w:rsidR="00A84307" w:rsidRPr="0097459F">
        <w:rPr>
          <w:rFonts w:cstheme="minorHAnsi"/>
        </w:rPr>
        <w:t>–</w:t>
      </w:r>
      <w:r w:rsidR="00322AA3" w:rsidRPr="0097459F">
        <w:rPr>
          <w:rFonts w:cstheme="minorHAnsi"/>
        </w:rPr>
        <w:t xml:space="preserve"> </w:t>
      </w:r>
      <w:r w:rsidR="00322AA3" w:rsidRPr="0097459F">
        <w:t>admitir que os pedidos de resgate de cotas sejam aceitos somente em determinadas datas ou períodos, hipótese na qual as datas ou períodos de resgate devem estar expressamente definidos no regulamento;</w:t>
      </w:r>
    </w:p>
    <w:p w14:paraId="06C6E610" w14:textId="47D74366" w:rsidR="00EC5C27" w:rsidRPr="0097459F" w:rsidRDefault="008701FC" w:rsidP="00C20BBD">
      <w:pPr>
        <w:spacing w:before="120" w:after="120" w:line="312" w:lineRule="auto"/>
        <w:ind w:firstLine="567"/>
        <w:jc w:val="both"/>
        <w:textAlignment w:val="baseline"/>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II</w:t>
      </w:r>
      <w:r w:rsidR="00136A82" w:rsidRPr="0097459F">
        <w:rPr>
          <w:rFonts w:asciiTheme="minorHAnsi" w:eastAsia="Times New Roman" w:hAnsiTheme="minorHAnsi" w:cstheme="minorHAnsi"/>
          <w:sz w:val="24"/>
          <w:szCs w:val="24"/>
          <w:lang w:eastAsia="pt-BR"/>
        </w:rPr>
        <w:t>I</w:t>
      </w:r>
      <w:r w:rsidRPr="0097459F">
        <w:rPr>
          <w:rFonts w:asciiTheme="minorHAnsi" w:eastAsia="Times New Roman" w:hAnsiTheme="minorHAnsi" w:cstheme="minorHAnsi"/>
          <w:sz w:val="24"/>
          <w:szCs w:val="24"/>
          <w:lang w:eastAsia="pt-BR"/>
        </w:rPr>
        <w:t xml:space="preserve"> </w:t>
      </w:r>
      <w:r w:rsidR="006C255E" w:rsidRPr="0097459F">
        <w:rPr>
          <w:rFonts w:asciiTheme="minorHAnsi" w:eastAsia="Times New Roman" w:hAnsiTheme="minorHAnsi" w:cstheme="minorHAnsi"/>
          <w:sz w:val="24"/>
          <w:szCs w:val="24"/>
          <w:lang w:eastAsia="pt-BR"/>
        </w:rPr>
        <w:t>–</w:t>
      </w:r>
      <w:r w:rsidR="00EC5C27" w:rsidRPr="0097459F">
        <w:rPr>
          <w:rFonts w:asciiTheme="minorHAnsi" w:eastAsia="Times New Roman" w:hAnsiTheme="minorHAnsi" w:cstheme="minorHAnsi"/>
          <w:sz w:val="24"/>
          <w:szCs w:val="24"/>
          <w:lang w:eastAsia="pt-BR"/>
        </w:rPr>
        <w:t xml:space="preserve"> </w:t>
      </w:r>
      <w:r w:rsidR="006C255E" w:rsidRPr="0097459F">
        <w:rPr>
          <w:rFonts w:asciiTheme="minorHAnsi" w:eastAsia="Times New Roman" w:hAnsiTheme="minorHAnsi" w:cstheme="minorHAnsi"/>
          <w:sz w:val="24"/>
          <w:szCs w:val="24"/>
          <w:lang w:eastAsia="pt-BR"/>
        </w:rPr>
        <w:t xml:space="preserve">calcular e </w:t>
      </w:r>
      <w:r w:rsidR="00EC5C27" w:rsidRPr="0097459F">
        <w:rPr>
          <w:rFonts w:asciiTheme="minorHAnsi" w:eastAsia="Times New Roman" w:hAnsiTheme="minorHAnsi" w:cstheme="minorHAnsi"/>
          <w:sz w:val="24"/>
          <w:szCs w:val="24"/>
          <w:lang w:eastAsia="pt-BR"/>
        </w:rPr>
        <w:t xml:space="preserve">cobrar </w:t>
      </w:r>
      <w:r w:rsidR="00DC4390" w:rsidRPr="0097459F">
        <w:rPr>
          <w:rFonts w:asciiTheme="minorHAnsi" w:eastAsia="Times New Roman" w:hAnsiTheme="minorHAnsi" w:cstheme="minorHAnsi"/>
          <w:sz w:val="24"/>
          <w:szCs w:val="24"/>
          <w:lang w:eastAsia="pt-BR"/>
        </w:rPr>
        <w:t>as taxas previstas na regulamentação consoante qualquer critério</w:t>
      </w:r>
      <w:r w:rsidR="00EC5C27" w:rsidRPr="0097459F">
        <w:rPr>
          <w:rFonts w:asciiTheme="minorHAnsi" w:eastAsia="Times New Roman" w:hAnsiTheme="minorHAnsi" w:cstheme="minorHAnsi"/>
          <w:sz w:val="24"/>
          <w:szCs w:val="24"/>
          <w:lang w:eastAsia="pt-BR"/>
        </w:rPr>
        <w:t xml:space="preserve"> estabelecido em seu regulamento;</w:t>
      </w:r>
    </w:p>
    <w:p w14:paraId="3B3C9150" w14:textId="4983DF8D" w:rsidR="000739E8" w:rsidRPr="0097459F" w:rsidRDefault="00136A82" w:rsidP="00C20BBD">
      <w:pPr>
        <w:pStyle w:val="Normalalteradora"/>
        <w:rPr>
          <w:rStyle w:val="normaltextrun"/>
          <w:rFonts w:ascii="Calibri" w:eastAsiaTheme="majorEastAsia" w:hAnsi="Calibri" w:cs="Calibri"/>
          <w:color w:val="000000"/>
          <w:shd w:val="clear" w:color="auto" w:fill="FFFFFF"/>
        </w:rPr>
      </w:pPr>
      <w:r w:rsidRPr="0097459F">
        <w:rPr>
          <w:rFonts w:cstheme="minorHAnsi"/>
        </w:rPr>
        <w:lastRenderedPageBreak/>
        <w:t xml:space="preserve">IV </w:t>
      </w:r>
      <w:r w:rsidR="00C3113A" w:rsidRPr="0097459F">
        <w:rPr>
          <w:rFonts w:cstheme="minorHAnsi"/>
        </w:rPr>
        <w:t>–</w:t>
      </w:r>
      <w:r w:rsidR="00EC5C27" w:rsidRPr="0097459F">
        <w:rPr>
          <w:rFonts w:cstheme="minorHAnsi"/>
        </w:rPr>
        <w:t xml:space="preserve"> </w:t>
      </w:r>
      <w:r w:rsidR="00EC5C27" w:rsidRPr="0097459F">
        <w:rPr>
          <w:rStyle w:val="normaltextrun"/>
          <w:rFonts w:ascii="Calibri" w:eastAsiaTheme="majorEastAsia" w:hAnsi="Calibri" w:cs="Calibri"/>
          <w:color w:val="000000"/>
          <w:shd w:val="clear" w:color="auto" w:fill="FFFFFF"/>
        </w:rPr>
        <w:t xml:space="preserve">admitir a prestação de fiança, aval, aceite ou qualquer outra forma de coobrigação, em nome </w:t>
      </w:r>
      <w:r w:rsidR="008701FC" w:rsidRPr="0097459F">
        <w:rPr>
          <w:rStyle w:val="normaltextrun"/>
          <w:rFonts w:ascii="Calibri" w:eastAsiaTheme="majorEastAsia" w:hAnsi="Calibri" w:cs="Calibri"/>
          <w:color w:val="000000"/>
          <w:shd w:val="clear" w:color="auto" w:fill="FFFFFF"/>
        </w:rPr>
        <w:t>da classe</w:t>
      </w:r>
      <w:r w:rsidR="00EC5C27" w:rsidRPr="0097459F">
        <w:rPr>
          <w:rStyle w:val="normaltextrun"/>
          <w:rFonts w:ascii="Calibri" w:eastAsiaTheme="majorEastAsia" w:hAnsi="Calibri" w:cs="Calibri"/>
          <w:color w:val="000000"/>
          <w:shd w:val="clear" w:color="auto" w:fill="FFFFFF"/>
        </w:rPr>
        <w:t xml:space="preserve">, relativamente a operações relacionadas </w:t>
      </w:r>
      <w:r w:rsidR="008701FC" w:rsidRPr="0097459F">
        <w:rPr>
          <w:rStyle w:val="normaltextrun"/>
          <w:rFonts w:ascii="Calibri" w:eastAsiaTheme="majorEastAsia" w:hAnsi="Calibri" w:cs="Calibri"/>
          <w:color w:val="000000"/>
          <w:shd w:val="clear" w:color="auto" w:fill="FFFFFF"/>
        </w:rPr>
        <w:t>a sua</w:t>
      </w:r>
      <w:r w:rsidR="00EC5C27" w:rsidRPr="0097459F">
        <w:rPr>
          <w:rStyle w:val="normaltextrun"/>
          <w:rFonts w:ascii="Calibri" w:eastAsiaTheme="majorEastAsia" w:hAnsi="Calibri" w:cs="Calibri"/>
          <w:color w:val="000000"/>
          <w:shd w:val="clear" w:color="auto" w:fill="FFFFFF"/>
        </w:rPr>
        <w:t xml:space="preserve"> carteira de ativos</w:t>
      </w:r>
      <w:r w:rsidR="004538CF" w:rsidRPr="0097459F">
        <w:rPr>
          <w:rStyle w:val="normaltextrun"/>
          <w:rFonts w:ascii="Calibri" w:eastAsiaTheme="majorEastAsia" w:hAnsi="Calibri" w:cs="Calibri"/>
          <w:color w:val="000000"/>
          <w:shd w:val="clear" w:color="auto" w:fill="FFFFFF"/>
        </w:rPr>
        <w:t>;</w:t>
      </w:r>
      <w:r w:rsidR="00D30325" w:rsidRPr="0097459F">
        <w:rPr>
          <w:rStyle w:val="normaltextrun"/>
          <w:rFonts w:ascii="Calibri" w:eastAsiaTheme="majorEastAsia" w:hAnsi="Calibri" w:cs="Calibri"/>
          <w:color w:val="000000"/>
          <w:shd w:val="clear" w:color="auto" w:fill="FFFFFF"/>
        </w:rPr>
        <w:t xml:space="preserve"> e</w:t>
      </w:r>
    </w:p>
    <w:p w14:paraId="207AC197" w14:textId="790C441D" w:rsidR="0098693E" w:rsidRPr="0097459F" w:rsidRDefault="00136A82" w:rsidP="00C20BBD">
      <w:pPr>
        <w:pStyle w:val="Normalalteradora"/>
      </w:pPr>
      <w:r w:rsidRPr="0097459F">
        <w:rPr>
          <w:rStyle w:val="normaltextrun"/>
          <w:rFonts w:ascii="Calibri" w:eastAsiaTheme="majorEastAsia" w:hAnsi="Calibri" w:cs="Calibri"/>
          <w:color w:val="000000" w:themeColor="text1"/>
        </w:rPr>
        <w:t xml:space="preserve">V </w:t>
      </w:r>
      <w:r w:rsidR="004538CF" w:rsidRPr="0097459F">
        <w:rPr>
          <w:rStyle w:val="normaltextrun"/>
          <w:rFonts w:ascii="Calibri" w:eastAsiaTheme="majorEastAsia" w:hAnsi="Calibri" w:cs="Calibri"/>
          <w:color w:val="000000" w:themeColor="text1"/>
        </w:rPr>
        <w:t xml:space="preserve">– permitir que o gestor contraia empréstimos em nome da classe de cotas </w:t>
      </w:r>
      <w:r w:rsidR="004538CF" w:rsidRPr="0097459F">
        <w:t xml:space="preserve">para fazer frente ao inadimplemento de cotistas que deixem de integralizar as cotas </w:t>
      </w:r>
      <w:r w:rsidR="00C654AA" w:rsidRPr="0097459F">
        <w:t xml:space="preserve">que subscreveram, observado que o valor do empréstimo </w:t>
      </w:r>
      <w:r w:rsidR="625FFBE3" w:rsidRPr="0097459F">
        <w:t xml:space="preserve">está </w:t>
      </w:r>
      <w:r w:rsidR="00C654AA" w:rsidRPr="0097459F">
        <w:t>limitado a</w:t>
      </w:r>
      <w:r w:rsidR="002D7FEA" w:rsidRPr="0097459F">
        <w:t xml:space="preserve">o valor </w:t>
      </w:r>
      <w:r w:rsidR="00E6472D" w:rsidRPr="0097459F">
        <w:t xml:space="preserve">necessário para </w:t>
      </w:r>
      <w:r w:rsidR="002D7FEA" w:rsidRPr="0097459F">
        <w:t xml:space="preserve">assegurar o cumprimento de compromisso de investimento previamente assumido </w:t>
      </w:r>
      <w:r w:rsidR="00E6472D" w:rsidRPr="0097459F">
        <w:t>pela classe</w:t>
      </w:r>
      <w:r w:rsidR="002D7FEA" w:rsidRPr="0097459F">
        <w:t xml:space="preserve"> ou </w:t>
      </w:r>
      <w:r w:rsidR="00576CB7" w:rsidRPr="0097459F">
        <w:t xml:space="preserve">para </w:t>
      </w:r>
      <w:r w:rsidR="002D7FEA" w:rsidRPr="0097459F">
        <w:t>garantir a continuidade de suas operações</w:t>
      </w:r>
      <w:r w:rsidR="00C3113A" w:rsidRPr="0097459F">
        <w:t>.</w:t>
      </w:r>
    </w:p>
    <w:p w14:paraId="5C43D2EA" w14:textId="766BD3E9" w:rsidR="004C2C1F" w:rsidRPr="0097459F" w:rsidRDefault="004C2C1F" w:rsidP="00C20BBD">
      <w:pPr>
        <w:pStyle w:val="Normalalteradora"/>
      </w:pPr>
      <w:r w:rsidRPr="0097459F">
        <w:t xml:space="preserve">Art. </w:t>
      </w:r>
      <w:r w:rsidR="00136A82" w:rsidRPr="0097459F">
        <w:t>114</w:t>
      </w:r>
      <w:r w:rsidRPr="0097459F">
        <w:t>.  Na classe de cotas exclusivamente destinada a investidores profissionais, o regulamento pode afastar, total ou parcialmente, a</w:t>
      </w:r>
      <w:r w:rsidR="00D92D74" w:rsidRPr="0097459F">
        <w:t>s hipóteses de</w:t>
      </w:r>
      <w:r w:rsidRPr="0097459F">
        <w:t xml:space="preserve"> vedação ao direito a voto em assembleia de cotistas</w:t>
      </w:r>
      <w:r w:rsidR="002330F1" w:rsidRPr="0097459F">
        <w:t>, conforme</w:t>
      </w:r>
      <w:r w:rsidRPr="0097459F">
        <w:t xml:space="preserve"> </w:t>
      </w:r>
      <w:r w:rsidR="00D92D74" w:rsidRPr="0097459F">
        <w:t>disposta</w:t>
      </w:r>
      <w:r w:rsidR="002330F1" w:rsidRPr="0097459F">
        <w:t>s</w:t>
      </w:r>
      <w:r w:rsidRPr="0097459F">
        <w:t xml:space="preserve"> no art. </w:t>
      </w:r>
      <w:r w:rsidR="0037292A" w:rsidRPr="0097459F">
        <w:t>78</w:t>
      </w:r>
      <w:r w:rsidRPr="0097459F">
        <w:t>.</w:t>
      </w:r>
    </w:p>
    <w:p w14:paraId="1A9147DD" w14:textId="5E68FEB3" w:rsidR="00893D49" w:rsidRPr="0097459F" w:rsidRDefault="00893D49" w:rsidP="00C20BBD">
      <w:pPr>
        <w:pStyle w:val="Seo"/>
        <w:rPr>
          <w:rFonts w:asciiTheme="minorHAnsi" w:hAnsiTheme="minorHAnsi"/>
        </w:rPr>
      </w:pPr>
      <w:bookmarkStart w:id="277" w:name="_Toc57836225"/>
      <w:bookmarkStart w:id="278" w:name="_Toc53594465"/>
      <w:bookmarkStart w:id="279" w:name="_Toc53595490"/>
      <w:bookmarkStart w:id="280" w:name="_Toc53594217"/>
      <w:bookmarkStart w:id="281" w:name="_Toc114818998"/>
      <w:bookmarkStart w:id="282" w:name="_Toc126226334"/>
      <w:r w:rsidRPr="0097459F">
        <w:rPr>
          <w:rFonts w:asciiTheme="minorHAnsi" w:hAnsiTheme="minorHAnsi"/>
        </w:rPr>
        <w:t xml:space="preserve">Seção II – </w:t>
      </w:r>
      <w:bookmarkEnd w:id="277"/>
      <w:r w:rsidR="00527AD1" w:rsidRPr="0097459F">
        <w:rPr>
          <w:rFonts w:asciiTheme="minorHAnsi" w:hAnsiTheme="minorHAnsi" w:cstheme="minorHAnsi"/>
        </w:rPr>
        <w:t xml:space="preserve">Classes </w:t>
      </w:r>
      <w:bookmarkEnd w:id="278"/>
      <w:bookmarkEnd w:id="279"/>
      <w:bookmarkEnd w:id="280"/>
      <w:r w:rsidR="00527AD1" w:rsidRPr="0097459F">
        <w:rPr>
          <w:rFonts w:asciiTheme="minorHAnsi" w:hAnsiTheme="minorHAnsi" w:cstheme="minorHAnsi"/>
        </w:rPr>
        <w:t>Exclusivas</w:t>
      </w:r>
      <w:bookmarkEnd w:id="281"/>
      <w:bookmarkEnd w:id="282"/>
    </w:p>
    <w:p w14:paraId="527EAB12" w14:textId="21AD8A35" w:rsidR="00893D49" w:rsidRPr="0097459F" w:rsidRDefault="00893D49" w:rsidP="00C20BBD">
      <w:pPr>
        <w:pStyle w:val="Normalalteradora"/>
      </w:pPr>
      <w:bookmarkStart w:id="283" w:name="_Hlk46743704"/>
      <w:r w:rsidRPr="0097459F">
        <w:rPr>
          <w:rFonts w:cstheme="minorHAnsi"/>
        </w:rPr>
        <w:t xml:space="preserve">Art. </w:t>
      </w:r>
      <w:r w:rsidR="00136A82" w:rsidRPr="0097459F">
        <w:rPr>
          <w:rFonts w:cstheme="minorHAnsi"/>
        </w:rPr>
        <w:t>115</w:t>
      </w:r>
      <w:r w:rsidRPr="0097459F">
        <w:rPr>
          <w:rFonts w:cstheme="minorHAnsi"/>
        </w:rPr>
        <w:t>.  Considera-se “</w:t>
      </w:r>
      <w:r w:rsidR="00527AD1" w:rsidRPr="0097459F">
        <w:rPr>
          <w:rFonts w:cstheme="minorHAnsi"/>
        </w:rPr>
        <w:t>Exclusiva</w:t>
      </w:r>
      <w:r w:rsidRPr="0097459F">
        <w:rPr>
          <w:rFonts w:cstheme="minorHAnsi"/>
        </w:rPr>
        <w:t xml:space="preserve">” </w:t>
      </w:r>
      <w:r w:rsidR="00527AD1" w:rsidRPr="0097459F">
        <w:rPr>
          <w:rFonts w:cstheme="minorHAnsi"/>
        </w:rPr>
        <w:t xml:space="preserve">a classe </w:t>
      </w:r>
      <w:r w:rsidR="0098693E" w:rsidRPr="0097459F">
        <w:rPr>
          <w:rFonts w:cstheme="minorHAnsi"/>
        </w:rPr>
        <w:t xml:space="preserve">ou subclasse de cotas </w:t>
      </w:r>
      <w:r w:rsidR="00527AD1" w:rsidRPr="0097459F">
        <w:rPr>
          <w:rFonts w:cstheme="minorHAnsi"/>
        </w:rPr>
        <w:t>constituída</w:t>
      </w:r>
      <w:r w:rsidRPr="0097459F">
        <w:rPr>
          <w:rFonts w:cstheme="minorHAnsi"/>
        </w:rPr>
        <w:t xml:space="preserve"> para receber aplicações exclusivamente de um único investidor profissional</w:t>
      </w:r>
      <w:r w:rsidR="002931B6" w:rsidRPr="0097459F">
        <w:rPr>
          <w:rFonts w:cstheme="minorHAnsi"/>
        </w:rPr>
        <w:t>, de cotistas que possuam vínculo societário familiar</w:t>
      </w:r>
      <w:r w:rsidRPr="0097459F">
        <w:rPr>
          <w:rFonts w:cstheme="minorHAnsi"/>
        </w:rPr>
        <w:t xml:space="preserve"> ou de cotistas vinculado</w:t>
      </w:r>
      <w:r w:rsidR="002931B6" w:rsidRPr="0097459F">
        <w:rPr>
          <w:rFonts w:cstheme="minorHAnsi"/>
        </w:rPr>
        <w:t>s</w:t>
      </w:r>
      <w:r w:rsidRPr="0097459F">
        <w:rPr>
          <w:rFonts w:cstheme="minorHAnsi"/>
        </w:rPr>
        <w:t xml:space="preserve"> por interesse único e indissociável.</w:t>
      </w:r>
      <w:bookmarkEnd w:id="283"/>
    </w:p>
    <w:p w14:paraId="48524C05" w14:textId="460DC400" w:rsidR="009730A5" w:rsidRPr="0097459F" w:rsidRDefault="009730A5" w:rsidP="00C20BBD">
      <w:pPr>
        <w:pStyle w:val="Normalalteradora"/>
        <w:rPr>
          <w:rFonts w:cstheme="minorHAnsi"/>
        </w:rPr>
      </w:pPr>
      <w:r w:rsidRPr="0097459F">
        <w:rPr>
          <w:rFonts w:cstheme="minorHAnsi"/>
        </w:rPr>
        <w:t>Parágrafo único.  A classe exclusiva é considerada um investidor profissional.</w:t>
      </w:r>
    </w:p>
    <w:p w14:paraId="1FFF9A19" w14:textId="5A65F64E" w:rsidR="00893D49" w:rsidRPr="0097459F" w:rsidRDefault="66656AB2" w:rsidP="00C20BBD">
      <w:pPr>
        <w:pStyle w:val="Seo"/>
        <w:rPr>
          <w:rFonts w:asciiTheme="minorHAnsi" w:hAnsiTheme="minorHAnsi"/>
        </w:rPr>
      </w:pPr>
      <w:bookmarkStart w:id="284" w:name="_Toc57836226"/>
      <w:bookmarkStart w:id="285" w:name="_Toc53594466"/>
      <w:bookmarkStart w:id="286" w:name="_Toc53595491"/>
      <w:bookmarkStart w:id="287" w:name="_Toc53594218"/>
      <w:bookmarkStart w:id="288" w:name="_Toc114818999"/>
      <w:bookmarkStart w:id="289" w:name="_Toc126226335"/>
      <w:r w:rsidRPr="0097459F">
        <w:rPr>
          <w:rFonts w:asciiTheme="minorHAnsi" w:hAnsiTheme="minorHAnsi"/>
        </w:rPr>
        <w:t xml:space="preserve">Seção III – </w:t>
      </w:r>
      <w:bookmarkEnd w:id="284"/>
      <w:r w:rsidR="55AA31A8" w:rsidRPr="0097459F">
        <w:rPr>
          <w:rFonts w:asciiTheme="minorHAnsi" w:hAnsiTheme="minorHAnsi" w:cstheme="minorBidi"/>
        </w:rPr>
        <w:t xml:space="preserve">Classes </w:t>
      </w:r>
      <w:bookmarkEnd w:id="285"/>
      <w:bookmarkEnd w:id="286"/>
      <w:bookmarkEnd w:id="287"/>
      <w:r w:rsidR="55AA31A8" w:rsidRPr="0097459F">
        <w:rPr>
          <w:rFonts w:asciiTheme="minorHAnsi" w:hAnsiTheme="minorHAnsi" w:cstheme="minorBidi"/>
        </w:rPr>
        <w:t>Previdenciárias</w:t>
      </w:r>
      <w:bookmarkEnd w:id="288"/>
      <w:bookmarkEnd w:id="289"/>
    </w:p>
    <w:p w14:paraId="2BC77A24" w14:textId="5C45B534" w:rsidR="00893D49" w:rsidRPr="0097459F" w:rsidRDefault="00893D49" w:rsidP="00C20BBD">
      <w:pPr>
        <w:pStyle w:val="Normalalteradora"/>
        <w:rPr>
          <w:rFonts w:cstheme="minorHAnsi"/>
        </w:rPr>
      </w:pPr>
      <w:r w:rsidRPr="0097459F">
        <w:rPr>
          <w:rFonts w:cstheme="minorHAnsi"/>
        </w:rPr>
        <w:t xml:space="preserve">Art. </w:t>
      </w:r>
      <w:r w:rsidR="00136A82" w:rsidRPr="0097459F">
        <w:rPr>
          <w:rFonts w:cstheme="minorHAnsi"/>
        </w:rPr>
        <w:t>116</w:t>
      </w:r>
      <w:r w:rsidRPr="0097459F">
        <w:rPr>
          <w:rFonts w:cstheme="minorHAnsi"/>
        </w:rPr>
        <w:t>.  Considera-se “</w:t>
      </w:r>
      <w:r w:rsidR="00A27281" w:rsidRPr="0097459F">
        <w:rPr>
          <w:rFonts w:cstheme="minorHAnsi"/>
        </w:rPr>
        <w:t>Previdenciária</w:t>
      </w:r>
      <w:r w:rsidRPr="0097459F">
        <w:rPr>
          <w:rFonts w:cstheme="minorHAnsi"/>
        </w:rPr>
        <w:t xml:space="preserve">” </w:t>
      </w:r>
      <w:r w:rsidR="005F5432" w:rsidRPr="0097459F">
        <w:rPr>
          <w:rFonts w:cstheme="minorHAnsi"/>
        </w:rPr>
        <w:t>a classe ou subclasse</w:t>
      </w:r>
      <w:r w:rsidR="002931B6" w:rsidRPr="0097459F">
        <w:rPr>
          <w:rFonts w:cstheme="minorHAnsi"/>
        </w:rPr>
        <w:t xml:space="preserve"> constituída </w:t>
      </w:r>
      <w:r w:rsidRPr="0097459F">
        <w:rPr>
          <w:rFonts w:cstheme="minorHAnsi"/>
        </w:rPr>
        <w:t xml:space="preserve">para </w:t>
      </w:r>
      <w:r w:rsidR="00A27281" w:rsidRPr="0097459F">
        <w:rPr>
          <w:rFonts w:cstheme="minorHAnsi"/>
        </w:rPr>
        <w:t xml:space="preserve">a </w:t>
      </w:r>
      <w:r w:rsidRPr="0097459F">
        <w:rPr>
          <w:rFonts w:cstheme="minorHAnsi"/>
        </w:rPr>
        <w:t>aplicação de recursos de:</w:t>
      </w:r>
    </w:p>
    <w:p w14:paraId="1EA56E61" w14:textId="77777777" w:rsidR="00893D49" w:rsidRPr="0097459F" w:rsidRDefault="00893D49" w:rsidP="00C20BBD">
      <w:pPr>
        <w:pStyle w:val="Normalalteradora"/>
        <w:rPr>
          <w:rFonts w:cstheme="minorHAnsi"/>
        </w:rPr>
      </w:pPr>
      <w:r w:rsidRPr="0097459F">
        <w:rPr>
          <w:rFonts w:cstheme="minorHAnsi"/>
        </w:rPr>
        <w:t>I – entidades abertas ou fechadas de previdência privada;</w:t>
      </w:r>
    </w:p>
    <w:p w14:paraId="4B8834A9" w14:textId="77777777" w:rsidR="00893D49" w:rsidRPr="0097459F" w:rsidRDefault="00893D49" w:rsidP="00C20BBD">
      <w:pPr>
        <w:pStyle w:val="Normalalteradora"/>
        <w:rPr>
          <w:rFonts w:cstheme="minorHAnsi"/>
        </w:rPr>
      </w:pPr>
      <w:r w:rsidRPr="0097459F">
        <w:rPr>
          <w:rFonts w:cstheme="minorHAnsi"/>
        </w:rPr>
        <w:t xml:space="preserve">II – regimes próprios de previdência social instituídos pela União, pelos Estados, pelo Distrito Federal ou por Municípios; </w:t>
      </w:r>
    </w:p>
    <w:p w14:paraId="435924CA" w14:textId="77777777" w:rsidR="00893D49" w:rsidRPr="0097459F" w:rsidRDefault="00893D49" w:rsidP="00C20BBD">
      <w:pPr>
        <w:pStyle w:val="Normalalteradora"/>
        <w:rPr>
          <w:rFonts w:cstheme="minorHAnsi"/>
        </w:rPr>
      </w:pPr>
      <w:r w:rsidRPr="0097459F">
        <w:rPr>
          <w:rFonts w:cstheme="minorHAnsi"/>
        </w:rPr>
        <w:t xml:space="preserve">III – planos de previdência complementar aberta e seguros de pessoas, de acordo com a regulamentação editada pelo Conselho Nacional de Seguros Privados; e </w:t>
      </w:r>
    </w:p>
    <w:p w14:paraId="4DE53AB7" w14:textId="77777777" w:rsidR="00893D49" w:rsidRPr="0097459F" w:rsidRDefault="00893D49" w:rsidP="00C20BBD">
      <w:pPr>
        <w:pStyle w:val="Normalalteradora"/>
        <w:rPr>
          <w:rFonts w:cstheme="minorHAnsi"/>
        </w:rPr>
      </w:pPr>
      <w:r w:rsidRPr="0097459F">
        <w:rPr>
          <w:rFonts w:cstheme="minorHAnsi"/>
        </w:rPr>
        <w:t>IV – FAPI – Fundo de Aposentadoria Programada Individual.</w:t>
      </w:r>
    </w:p>
    <w:p w14:paraId="6E0A5672" w14:textId="6237035B" w:rsidR="00893D49" w:rsidRPr="0097459F" w:rsidRDefault="00893D49" w:rsidP="00C20BBD">
      <w:pPr>
        <w:pStyle w:val="Normalalteradora"/>
        <w:rPr>
          <w:rFonts w:cstheme="minorHAnsi"/>
        </w:rPr>
      </w:pPr>
      <w:r w:rsidRPr="0097459F">
        <w:rPr>
          <w:rFonts w:cstheme="minorHAnsi"/>
        </w:rPr>
        <w:t xml:space="preserve">Parágrafo único.  </w:t>
      </w:r>
      <w:r w:rsidR="00A27281" w:rsidRPr="0097459F">
        <w:rPr>
          <w:rFonts w:cstheme="minorHAnsi"/>
        </w:rPr>
        <w:t>As classes</w:t>
      </w:r>
      <w:r w:rsidRPr="0097459F">
        <w:rPr>
          <w:rFonts w:cstheme="minorHAnsi"/>
        </w:rPr>
        <w:t xml:space="preserve"> </w:t>
      </w:r>
      <w:r w:rsidR="00C11C12" w:rsidRPr="0097459F">
        <w:rPr>
          <w:rFonts w:cstheme="minorHAnsi"/>
        </w:rPr>
        <w:t xml:space="preserve">de cotas </w:t>
      </w:r>
      <w:r w:rsidRPr="0097459F">
        <w:rPr>
          <w:rFonts w:cstheme="minorHAnsi"/>
        </w:rPr>
        <w:t xml:space="preserve">de que trata o </w:t>
      </w:r>
      <w:r w:rsidRPr="0097459F">
        <w:rPr>
          <w:rFonts w:cstheme="minorHAnsi"/>
          <w:b/>
        </w:rPr>
        <w:t>caput</w:t>
      </w:r>
      <w:r w:rsidRPr="0097459F">
        <w:rPr>
          <w:rFonts w:cstheme="minorHAnsi"/>
        </w:rPr>
        <w:t xml:space="preserve"> e, se for o caso, suas </w:t>
      </w:r>
      <w:r w:rsidR="00C11C12" w:rsidRPr="0097459F">
        <w:rPr>
          <w:rFonts w:cstheme="minorHAnsi"/>
        </w:rPr>
        <w:t>sub</w:t>
      </w:r>
      <w:r w:rsidRPr="0097459F">
        <w:rPr>
          <w:rFonts w:cstheme="minorHAnsi"/>
        </w:rPr>
        <w:t>classes devem indicar em seu cadastro na CVM a condição de “</w:t>
      </w:r>
      <w:r w:rsidR="00C11C12" w:rsidRPr="0097459F">
        <w:rPr>
          <w:rFonts w:cstheme="minorHAnsi"/>
        </w:rPr>
        <w:t>Previdenciárias</w:t>
      </w:r>
      <w:r w:rsidRPr="0097459F">
        <w:rPr>
          <w:rFonts w:cstheme="minorHAnsi"/>
        </w:rPr>
        <w:t xml:space="preserve">” e a categoria de plano ou seguro a que se encontram </w:t>
      </w:r>
      <w:r w:rsidR="00917402" w:rsidRPr="0097459F">
        <w:rPr>
          <w:rFonts w:cstheme="minorHAnsi"/>
        </w:rPr>
        <w:t>vinculadas</w:t>
      </w:r>
      <w:r w:rsidRPr="0097459F">
        <w:rPr>
          <w:rFonts w:cstheme="minorHAnsi"/>
        </w:rPr>
        <w:t xml:space="preserve">. </w:t>
      </w:r>
    </w:p>
    <w:p w14:paraId="1DA336B2" w14:textId="77777777" w:rsidR="00893D49" w:rsidRPr="0097459F" w:rsidRDefault="00893D49" w:rsidP="00C20BBD">
      <w:pPr>
        <w:pStyle w:val="Captulo"/>
        <w:rPr>
          <w:rFonts w:asciiTheme="minorHAnsi" w:hAnsiTheme="minorHAnsi"/>
        </w:rPr>
      </w:pPr>
      <w:bookmarkStart w:id="290" w:name="_Toc53594467"/>
      <w:bookmarkStart w:id="291" w:name="_Toc53595492"/>
      <w:bookmarkStart w:id="292" w:name="_Toc53594219"/>
      <w:bookmarkStart w:id="293" w:name="_Toc114819000"/>
      <w:bookmarkStart w:id="294" w:name="_Toc57836227"/>
      <w:bookmarkStart w:id="295" w:name="_Toc126226336"/>
      <w:r w:rsidRPr="0097459F">
        <w:rPr>
          <w:rFonts w:asciiTheme="minorHAnsi" w:hAnsiTheme="minorHAnsi"/>
        </w:rPr>
        <w:lastRenderedPageBreak/>
        <w:t>CAPÍTULO XI – ENCARGOS</w:t>
      </w:r>
      <w:bookmarkEnd w:id="290"/>
      <w:bookmarkEnd w:id="291"/>
      <w:bookmarkEnd w:id="292"/>
      <w:bookmarkEnd w:id="293"/>
      <w:bookmarkEnd w:id="294"/>
      <w:bookmarkEnd w:id="295"/>
    </w:p>
    <w:p w14:paraId="19761811" w14:textId="7945790F" w:rsidR="00893D49" w:rsidRPr="0097459F" w:rsidRDefault="00893D49" w:rsidP="00C20BBD">
      <w:pPr>
        <w:pStyle w:val="Normalalteradora"/>
      </w:pPr>
      <w:r w:rsidRPr="0097459F">
        <w:rPr>
          <w:rFonts w:cstheme="minorHAnsi"/>
        </w:rPr>
        <w:t xml:space="preserve">Art. </w:t>
      </w:r>
      <w:r w:rsidR="00136A82" w:rsidRPr="0097459F">
        <w:rPr>
          <w:rFonts w:cstheme="minorHAnsi"/>
        </w:rPr>
        <w:t>117</w:t>
      </w:r>
      <w:r w:rsidRPr="0097459F">
        <w:rPr>
          <w:rFonts w:cstheme="minorHAnsi"/>
        </w:rPr>
        <w:t xml:space="preserve">.  Constituem encargos </w:t>
      </w:r>
      <w:r w:rsidR="00576CB7" w:rsidRPr="0097459F">
        <w:rPr>
          <w:rFonts w:cstheme="minorHAnsi"/>
        </w:rPr>
        <w:t>do fundo</w:t>
      </w:r>
      <w:r w:rsidRPr="0097459F">
        <w:rPr>
          <w:rFonts w:cstheme="minorHAnsi"/>
        </w:rPr>
        <w:t xml:space="preserve"> as seguintes despesas, que lhe podem ser debitadas diretamente, </w:t>
      </w:r>
      <w:r w:rsidR="009422AB" w:rsidRPr="0097459F">
        <w:rPr>
          <w:rFonts w:cstheme="minorHAnsi"/>
        </w:rPr>
        <w:t xml:space="preserve">assim como de suas classes de cotas, se houver, </w:t>
      </w:r>
      <w:r w:rsidRPr="0097459F">
        <w:rPr>
          <w:rFonts w:cstheme="minorHAnsi"/>
        </w:rPr>
        <w:t xml:space="preserve">sem prejuízo de outras </w:t>
      </w:r>
      <w:r w:rsidR="00594083" w:rsidRPr="0097459F">
        <w:rPr>
          <w:rFonts w:cstheme="minorHAnsi"/>
        </w:rPr>
        <w:t xml:space="preserve">despesas </w:t>
      </w:r>
      <w:r w:rsidRPr="0097459F">
        <w:rPr>
          <w:rFonts w:cstheme="minorHAnsi"/>
        </w:rPr>
        <w:t xml:space="preserve">previstas </w:t>
      </w:r>
      <w:r w:rsidR="00F239E5" w:rsidRPr="0097459F">
        <w:rPr>
          <w:rFonts w:cstheme="minorHAnsi"/>
        </w:rPr>
        <w:t>n</w:t>
      </w:r>
      <w:r w:rsidRPr="0097459F">
        <w:rPr>
          <w:rFonts w:cstheme="minorHAnsi"/>
        </w:rPr>
        <w:t>esta Resolução ou em regulamentação específica:</w:t>
      </w:r>
    </w:p>
    <w:p w14:paraId="62861000" w14:textId="2034641A" w:rsidR="00893D49" w:rsidRPr="0097459F" w:rsidRDefault="00893D49" w:rsidP="00C20BBD">
      <w:pPr>
        <w:pStyle w:val="Normalalteradora"/>
        <w:rPr>
          <w:rFonts w:cstheme="minorHAnsi"/>
        </w:rPr>
      </w:pPr>
      <w:r w:rsidRPr="0097459F">
        <w:rPr>
          <w:rFonts w:cstheme="minorHAnsi"/>
        </w:rPr>
        <w:t xml:space="preserve">I – taxas, impostos ou contribuições federais, estaduais, municipais ou autárquicas, que recaiam ou venham a recair sobre os bens, direitos e obrigações </w:t>
      </w:r>
      <w:r w:rsidR="00576CB7" w:rsidRPr="0097459F">
        <w:rPr>
          <w:rFonts w:cstheme="minorHAnsi"/>
        </w:rPr>
        <w:t>do fundo</w:t>
      </w:r>
      <w:r w:rsidRPr="0097459F">
        <w:rPr>
          <w:rFonts w:cstheme="minorHAnsi"/>
        </w:rPr>
        <w:t>;</w:t>
      </w:r>
    </w:p>
    <w:p w14:paraId="4C20C94F" w14:textId="51BBBC69" w:rsidR="00893D49" w:rsidRPr="0097459F" w:rsidRDefault="00893D49" w:rsidP="00C20BBD">
      <w:pPr>
        <w:pStyle w:val="Normalalteradora"/>
        <w:rPr>
          <w:rFonts w:cstheme="minorHAnsi"/>
        </w:rPr>
      </w:pPr>
      <w:r w:rsidRPr="0097459F">
        <w:rPr>
          <w:rFonts w:cstheme="minorHAnsi"/>
        </w:rPr>
        <w:t>II – despesas com o registro de documentos, impressão, expedição e publicação de relatórios e informações periódicas previstas nesta Resolução;</w:t>
      </w:r>
    </w:p>
    <w:p w14:paraId="20D7B876" w14:textId="2475D23B" w:rsidR="00893D49" w:rsidRPr="0097459F" w:rsidRDefault="00893D49" w:rsidP="00C20BBD">
      <w:pPr>
        <w:pStyle w:val="Normalalteradora"/>
        <w:rPr>
          <w:rFonts w:cstheme="minorHAnsi"/>
        </w:rPr>
      </w:pPr>
      <w:r w:rsidRPr="0097459F">
        <w:rPr>
          <w:rFonts w:cstheme="minorHAnsi"/>
        </w:rPr>
        <w:t xml:space="preserve">III – despesas com correspondências de interesse </w:t>
      </w:r>
      <w:r w:rsidR="00576CB7" w:rsidRPr="0097459F">
        <w:rPr>
          <w:rFonts w:cstheme="minorHAnsi"/>
        </w:rPr>
        <w:t>do fundo</w:t>
      </w:r>
      <w:r w:rsidRPr="0097459F">
        <w:rPr>
          <w:rFonts w:cstheme="minorHAnsi"/>
        </w:rPr>
        <w:t>, inclusive comunicações aos cotistas;</w:t>
      </w:r>
    </w:p>
    <w:p w14:paraId="0ECC5BC4" w14:textId="51724EA7" w:rsidR="00893D49" w:rsidRPr="0097459F" w:rsidRDefault="00893D49" w:rsidP="00C20BBD">
      <w:pPr>
        <w:pStyle w:val="Normalalteradora"/>
        <w:rPr>
          <w:rFonts w:cstheme="minorHAnsi"/>
        </w:rPr>
      </w:pPr>
      <w:r w:rsidRPr="0097459F">
        <w:rPr>
          <w:rFonts w:cstheme="minorHAnsi"/>
        </w:rPr>
        <w:t>IV – honorários e despesas do auditor independente;</w:t>
      </w:r>
    </w:p>
    <w:p w14:paraId="40DAF28B" w14:textId="11A2D091" w:rsidR="00E63B3F" w:rsidRPr="0097459F" w:rsidRDefault="00893D49" w:rsidP="00C20BBD">
      <w:pPr>
        <w:pStyle w:val="Normalalteradora"/>
        <w:rPr>
          <w:rFonts w:cstheme="minorHAnsi"/>
        </w:rPr>
      </w:pPr>
      <w:r w:rsidRPr="0097459F">
        <w:rPr>
          <w:rFonts w:cstheme="minorHAnsi"/>
        </w:rPr>
        <w:t xml:space="preserve">V – emolumentos e comissões pagas por operações </w:t>
      </w:r>
      <w:r w:rsidR="00A053D4" w:rsidRPr="0097459F">
        <w:rPr>
          <w:rFonts w:cstheme="minorHAnsi"/>
        </w:rPr>
        <w:t xml:space="preserve">da </w:t>
      </w:r>
      <w:r w:rsidR="00576CB7" w:rsidRPr="0097459F">
        <w:rPr>
          <w:rFonts w:cstheme="minorHAnsi"/>
        </w:rPr>
        <w:t>carteira de ativos</w:t>
      </w:r>
      <w:r w:rsidRPr="0097459F">
        <w:rPr>
          <w:rFonts w:cstheme="minorHAnsi"/>
        </w:rPr>
        <w:t>;</w:t>
      </w:r>
    </w:p>
    <w:p w14:paraId="56DB9F9F" w14:textId="70353883" w:rsidR="00E9103D" w:rsidRPr="0097459F" w:rsidRDefault="00E9103D" w:rsidP="00C20BBD">
      <w:pPr>
        <w:pStyle w:val="Normalalteradora"/>
        <w:rPr>
          <w:rFonts w:cstheme="minorHAnsi"/>
        </w:rPr>
      </w:pPr>
      <w:r w:rsidRPr="0097459F">
        <w:rPr>
          <w:rFonts w:cstheme="minorHAnsi"/>
        </w:rPr>
        <w:t xml:space="preserve">VI </w:t>
      </w:r>
      <w:r w:rsidR="00C3113A" w:rsidRPr="0097459F">
        <w:rPr>
          <w:rFonts w:cstheme="minorHAnsi"/>
        </w:rPr>
        <w:t>–</w:t>
      </w:r>
      <w:r w:rsidRPr="0097459F">
        <w:rPr>
          <w:rFonts w:cstheme="minorHAnsi"/>
        </w:rPr>
        <w:t xml:space="preserve"> </w:t>
      </w:r>
      <w:r w:rsidRPr="0097459F">
        <w:t>despesas</w:t>
      </w:r>
      <w:r w:rsidR="00C3113A" w:rsidRPr="0097459F">
        <w:t xml:space="preserve"> </w:t>
      </w:r>
      <w:r w:rsidRPr="0097459F">
        <w:t>com a manutenção de ativos</w:t>
      </w:r>
      <w:r w:rsidR="00142FA4" w:rsidRPr="0097459F">
        <w:t xml:space="preserve"> cuja propriedade decorra </w:t>
      </w:r>
      <w:r w:rsidRPr="0097459F">
        <w:t xml:space="preserve">de execução de garantia ou </w:t>
      </w:r>
      <w:r w:rsidR="00142FA4" w:rsidRPr="0097459F">
        <w:t xml:space="preserve">de </w:t>
      </w:r>
      <w:r w:rsidRPr="0097459F">
        <w:t>aco</w:t>
      </w:r>
      <w:r w:rsidR="00142FA4" w:rsidRPr="0097459F">
        <w:t>rdo com devedor</w:t>
      </w:r>
      <w:r w:rsidRPr="0097459F">
        <w:t>;</w:t>
      </w:r>
    </w:p>
    <w:p w14:paraId="1995CF35" w14:textId="779D5D45" w:rsidR="00893D49" w:rsidRPr="0097459F" w:rsidRDefault="00893D49" w:rsidP="00C20BBD">
      <w:pPr>
        <w:pStyle w:val="Normalalteradora"/>
        <w:rPr>
          <w:rFonts w:cstheme="minorHAnsi"/>
        </w:rPr>
      </w:pPr>
      <w:r w:rsidRPr="0097459F">
        <w:rPr>
          <w:rFonts w:cstheme="minorHAnsi"/>
        </w:rPr>
        <w:t>VI</w:t>
      </w:r>
      <w:r w:rsidR="00C3113A" w:rsidRPr="0097459F">
        <w:rPr>
          <w:rFonts w:cstheme="minorHAnsi"/>
        </w:rPr>
        <w:t>I</w:t>
      </w:r>
      <w:r w:rsidRPr="0097459F">
        <w:rPr>
          <w:rFonts w:cstheme="minorHAnsi"/>
        </w:rPr>
        <w:t xml:space="preserve"> – honorários de advogado, custas e despesas processuais correlatas, incorridas em razão de defesa dos interesses </w:t>
      </w:r>
      <w:r w:rsidR="00C959D1" w:rsidRPr="0097459F">
        <w:t>do fundo</w:t>
      </w:r>
      <w:r w:rsidRPr="0097459F">
        <w:rPr>
          <w:rFonts w:cstheme="minorHAnsi"/>
        </w:rPr>
        <w:t>, em juízo ou fora dele, inclusive o valor da condenação imputada, se for o caso;</w:t>
      </w:r>
    </w:p>
    <w:p w14:paraId="233AD9C1" w14:textId="56989118" w:rsidR="00893D49" w:rsidRPr="0097459F" w:rsidRDefault="00893D49" w:rsidP="00C20BBD">
      <w:pPr>
        <w:pStyle w:val="Normalalteradora"/>
        <w:rPr>
          <w:rFonts w:cstheme="minorHAnsi"/>
        </w:rPr>
      </w:pPr>
      <w:r w:rsidRPr="0097459F">
        <w:rPr>
          <w:rFonts w:cstheme="minorHAnsi"/>
        </w:rPr>
        <w:t>VII</w:t>
      </w:r>
      <w:r w:rsidR="00C3113A" w:rsidRPr="0097459F">
        <w:rPr>
          <w:rFonts w:cstheme="minorHAnsi"/>
        </w:rPr>
        <w:t>I</w:t>
      </w:r>
      <w:r w:rsidRPr="0097459F">
        <w:rPr>
          <w:rFonts w:cstheme="minorHAnsi"/>
        </w:rPr>
        <w:t xml:space="preserve"> – </w:t>
      </w:r>
      <w:r w:rsidR="00C91480" w:rsidRPr="0097459F">
        <w:rPr>
          <w:rFonts w:cstheme="minorHAnsi"/>
        </w:rPr>
        <w:t xml:space="preserve">gastos derivados da celebração de contratos de seguro sobre os ativos da carteira, assim como a </w:t>
      </w:r>
      <w:r w:rsidRPr="0097459F">
        <w:rPr>
          <w:rFonts w:cstheme="minorHAnsi"/>
        </w:rPr>
        <w:t xml:space="preserve">parcela de prejuízos </w:t>
      </w:r>
      <w:r w:rsidR="00832263" w:rsidRPr="0097459F">
        <w:rPr>
          <w:rFonts w:cstheme="minorHAnsi"/>
        </w:rPr>
        <w:t xml:space="preserve">da carteira </w:t>
      </w:r>
      <w:r w:rsidRPr="0097459F">
        <w:rPr>
          <w:rFonts w:cstheme="minorHAnsi"/>
        </w:rPr>
        <w:t>não coberta por apólices de seguro</w:t>
      </w:r>
      <w:r w:rsidR="00832263" w:rsidRPr="0097459F">
        <w:rPr>
          <w:rFonts w:cstheme="minorHAnsi"/>
        </w:rPr>
        <w:t>, salvo se</w:t>
      </w:r>
      <w:r w:rsidRPr="0097459F">
        <w:rPr>
          <w:rFonts w:cstheme="minorHAnsi"/>
        </w:rPr>
        <w:t xml:space="preserve"> decorrente diretamente de culpa ou dolo dos prestadores dos serviços no exercício de suas respectivas funções;</w:t>
      </w:r>
    </w:p>
    <w:p w14:paraId="23C08F1E" w14:textId="1A205E74" w:rsidR="00893D49" w:rsidRPr="0097459F" w:rsidRDefault="00893D49" w:rsidP="00C20BBD">
      <w:pPr>
        <w:pStyle w:val="Normalalteradora"/>
        <w:rPr>
          <w:rFonts w:cstheme="minorHAnsi"/>
        </w:rPr>
      </w:pPr>
      <w:r w:rsidRPr="0097459F">
        <w:rPr>
          <w:rFonts w:cstheme="minorHAnsi"/>
        </w:rPr>
        <w:t>I</w:t>
      </w:r>
      <w:r w:rsidR="00C3113A" w:rsidRPr="0097459F">
        <w:rPr>
          <w:rFonts w:cstheme="minorHAnsi"/>
        </w:rPr>
        <w:t>X</w:t>
      </w:r>
      <w:r w:rsidRPr="0097459F">
        <w:rPr>
          <w:rFonts w:cstheme="minorHAnsi"/>
        </w:rPr>
        <w:t xml:space="preserve"> – despesas relacionadas ao exercício de direito de voto decorrente de ativos</w:t>
      </w:r>
      <w:r w:rsidR="00CA5BFB" w:rsidRPr="0097459F">
        <w:rPr>
          <w:rFonts w:cstheme="minorHAnsi"/>
        </w:rPr>
        <w:t xml:space="preserve"> da carteira</w:t>
      </w:r>
      <w:r w:rsidRPr="0097459F">
        <w:rPr>
          <w:rFonts w:cstheme="minorHAnsi"/>
        </w:rPr>
        <w:t xml:space="preserve">; </w:t>
      </w:r>
    </w:p>
    <w:p w14:paraId="4E262656" w14:textId="24CA287C" w:rsidR="00A43C29" w:rsidRPr="0097459F" w:rsidRDefault="00A43C29" w:rsidP="00C20BBD">
      <w:pPr>
        <w:pStyle w:val="Normalalteradora"/>
        <w:rPr>
          <w:rFonts w:cstheme="minorHAnsi"/>
        </w:rPr>
      </w:pPr>
      <w:r w:rsidRPr="0097459F">
        <w:rPr>
          <w:rFonts w:cstheme="minorHAnsi"/>
        </w:rPr>
        <w:t>X – despesas com a realização de assembleia de cotistas;</w:t>
      </w:r>
    </w:p>
    <w:p w14:paraId="2C341B23" w14:textId="7F51F92D" w:rsidR="00A43C29" w:rsidRPr="0097459F" w:rsidRDefault="00A43C29" w:rsidP="00C20BBD">
      <w:pPr>
        <w:pStyle w:val="Normalalteradora"/>
      </w:pPr>
      <w:r w:rsidRPr="0097459F">
        <w:t>X</w:t>
      </w:r>
      <w:r w:rsidR="00C3113A" w:rsidRPr="0097459F">
        <w:t>I</w:t>
      </w:r>
      <w:r w:rsidRPr="0097459F">
        <w:t xml:space="preserve"> – despesas inerentes à constituição, fusão, incorporação, cisão, transformação ou liquidação da classe;</w:t>
      </w:r>
    </w:p>
    <w:p w14:paraId="2D3F28BF" w14:textId="690F9F4B" w:rsidR="00893D49" w:rsidRPr="0097459F" w:rsidRDefault="00AD6335" w:rsidP="00C20BBD">
      <w:pPr>
        <w:pStyle w:val="Normalalteradora"/>
        <w:rPr>
          <w:rFonts w:cstheme="minorHAnsi"/>
        </w:rPr>
      </w:pPr>
      <w:r w:rsidRPr="0097459F">
        <w:rPr>
          <w:rFonts w:cstheme="minorHAnsi"/>
        </w:rPr>
        <w:t>XI</w:t>
      </w:r>
      <w:r w:rsidR="00C3113A" w:rsidRPr="0097459F">
        <w:rPr>
          <w:rFonts w:cstheme="minorHAnsi"/>
        </w:rPr>
        <w:t>I</w:t>
      </w:r>
      <w:r w:rsidRPr="0097459F">
        <w:rPr>
          <w:rFonts w:cstheme="minorHAnsi"/>
        </w:rPr>
        <w:t xml:space="preserve"> </w:t>
      </w:r>
      <w:r w:rsidR="00893D49" w:rsidRPr="0097459F">
        <w:rPr>
          <w:rFonts w:cstheme="minorHAnsi"/>
        </w:rPr>
        <w:t>– despesas com liquidação, registro e custódia de operações com ativos da carteira;</w:t>
      </w:r>
    </w:p>
    <w:p w14:paraId="6B0AFFBA" w14:textId="5893A0CE" w:rsidR="00893D49" w:rsidRPr="0097459F" w:rsidRDefault="00AD6335" w:rsidP="00C20BBD">
      <w:pPr>
        <w:pStyle w:val="Normalalteradora"/>
        <w:rPr>
          <w:rFonts w:cstheme="minorHAnsi"/>
        </w:rPr>
      </w:pPr>
      <w:r w:rsidRPr="0097459F">
        <w:rPr>
          <w:rFonts w:cstheme="minorHAnsi"/>
        </w:rPr>
        <w:t>X</w:t>
      </w:r>
      <w:r w:rsidR="00C3113A" w:rsidRPr="0097459F">
        <w:rPr>
          <w:rFonts w:cstheme="minorHAnsi"/>
        </w:rPr>
        <w:t>I</w:t>
      </w:r>
      <w:r w:rsidRPr="0097459F">
        <w:rPr>
          <w:rFonts w:cstheme="minorHAnsi"/>
        </w:rPr>
        <w:t xml:space="preserve">II </w:t>
      </w:r>
      <w:r w:rsidR="00893D49" w:rsidRPr="0097459F">
        <w:rPr>
          <w:rFonts w:cstheme="minorHAnsi"/>
        </w:rPr>
        <w:t xml:space="preserve">– despesas com fechamento de câmbio, vinculadas às operações </w:t>
      </w:r>
      <w:r w:rsidR="00F239E5" w:rsidRPr="0097459F">
        <w:rPr>
          <w:rFonts w:cstheme="minorHAnsi"/>
        </w:rPr>
        <w:t xml:space="preserve">da </w:t>
      </w:r>
      <w:r w:rsidR="00A439B9" w:rsidRPr="0097459F">
        <w:rPr>
          <w:rFonts w:cstheme="minorHAnsi"/>
        </w:rPr>
        <w:t>carteira</w:t>
      </w:r>
      <w:r w:rsidR="00A43C29" w:rsidRPr="0097459F">
        <w:rPr>
          <w:rFonts w:cstheme="minorHAnsi"/>
        </w:rPr>
        <w:t xml:space="preserve"> de ativos</w:t>
      </w:r>
      <w:r w:rsidR="00893D49" w:rsidRPr="0097459F">
        <w:rPr>
          <w:rFonts w:cstheme="minorHAnsi"/>
        </w:rPr>
        <w:t>;</w:t>
      </w:r>
    </w:p>
    <w:p w14:paraId="161A5DF8" w14:textId="1E6890C0" w:rsidR="005E6CF7" w:rsidRPr="0097459F" w:rsidRDefault="00AD6335" w:rsidP="00C20BBD">
      <w:pPr>
        <w:pStyle w:val="Normalalteradora"/>
        <w:rPr>
          <w:rFonts w:cstheme="minorHAnsi"/>
        </w:rPr>
      </w:pPr>
      <w:r w:rsidRPr="0097459F">
        <w:rPr>
          <w:rFonts w:cstheme="minorHAnsi"/>
        </w:rPr>
        <w:t>XI</w:t>
      </w:r>
      <w:r w:rsidR="00C3113A" w:rsidRPr="0097459F">
        <w:rPr>
          <w:rFonts w:cstheme="minorHAnsi"/>
        </w:rPr>
        <w:t>V</w:t>
      </w:r>
      <w:r w:rsidRPr="0097459F">
        <w:rPr>
          <w:rFonts w:cstheme="minorHAnsi"/>
        </w:rPr>
        <w:t xml:space="preserve"> </w:t>
      </w:r>
      <w:r w:rsidR="00893D49" w:rsidRPr="0097459F">
        <w:rPr>
          <w:rFonts w:cstheme="minorHAnsi"/>
        </w:rPr>
        <w:t xml:space="preserve">– no caso de </w:t>
      </w:r>
      <w:r w:rsidR="005E6CF7" w:rsidRPr="0097459F">
        <w:rPr>
          <w:rFonts w:cstheme="minorHAnsi"/>
        </w:rPr>
        <w:t>classe fechada</w:t>
      </w:r>
      <w:r w:rsidR="00893D49" w:rsidRPr="0097459F">
        <w:rPr>
          <w:rFonts w:cstheme="minorHAnsi"/>
        </w:rPr>
        <w:t>, se for o caso, as despesas inerentes à</w:t>
      </w:r>
      <w:r w:rsidR="005E6CF7" w:rsidRPr="0097459F">
        <w:rPr>
          <w:rFonts w:cstheme="minorHAnsi"/>
        </w:rPr>
        <w:t>:</w:t>
      </w:r>
    </w:p>
    <w:p w14:paraId="5098D670" w14:textId="5CB5A186" w:rsidR="005E6CF7" w:rsidRPr="0097459F" w:rsidRDefault="001655F4" w:rsidP="00C20BBD">
      <w:pPr>
        <w:pStyle w:val="Normalalteradora"/>
        <w:rPr>
          <w:rFonts w:cstheme="minorHAnsi"/>
        </w:rPr>
      </w:pPr>
      <w:r w:rsidRPr="0097459F">
        <w:rPr>
          <w:rFonts w:cstheme="minorHAnsi"/>
        </w:rPr>
        <w:lastRenderedPageBreak/>
        <w:t xml:space="preserve">a) </w:t>
      </w:r>
      <w:r w:rsidR="005E6CF7" w:rsidRPr="0097459F">
        <w:rPr>
          <w:rFonts w:cstheme="minorHAnsi"/>
        </w:rPr>
        <w:t>distribuição primária de cotas; e</w:t>
      </w:r>
    </w:p>
    <w:p w14:paraId="1AD94E0A" w14:textId="594E9904" w:rsidR="00C33274" w:rsidRPr="0097459F" w:rsidRDefault="001655F4" w:rsidP="00C20BBD">
      <w:pPr>
        <w:pStyle w:val="Normalalteradora"/>
      </w:pPr>
      <w:r w:rsidRPr="0097459F">
        <w:rPr>
          <w:rFonts w:cstheme="minorHAnsi"/>
        </w:rPr>
        <w:t xml:space="preserve">b) </w:t>
      </w:r>
      <w:r w:rsidR="66656AB2" w:rsidRPr="0097459F">
        <w:rPr>
          <w:rFonts w:cstheme="minorHAnsi"/>
        </w:rPr>
        <w:t>admissão</w:t>
      </w:r>
      <w:r w:rsidR="66656AB2" w:rsidRPr="0097459F">
        <w:t xml:space="preserve"> das cotas à negociação em mercado organizado;</w:t>
      </w:r>
    </w:p>
    <w:p w14:paraId="70260FBF" w14:textId="41B6D996" w:rsidR="00893D49" w:rsidRPr="0097459F" w:rsidRDefault="00AD6335" w:rsidP="00C20BBD">
      <w:pPr>
        <w:pStyle w:val="Normalalteradora"/>
        <w:rPr>
          <w:rFonts w:cstheme="minorHAnsi"/>
          <w:color w:val="000000"/>
        </w:rPr>
      </w:pPr>
      <w:r w:rsidRPr="0097459F">
        <w:rPr>
          <w:rFonts w:cstheme="minorHAnsi"/>
          <w:color w:val="000000"/>
        </w:rPr>
        <w:t xml:space="preserve">XV </w:t>
      </w:r>
      <w:r w:rsidR="00893D49" w:rsidRPr="0097459F">
        <w:rPr>
          <w:rFonts w:cstheme="minorHAnsi"/>
          <w:color w:val="000000" w:themeColor="text1"/>
        </w:rPr>
        <w:t>–</w:t>
      </w:r>
      <w:r w:rsidR="00893D49" w:rsidRPr="0097459F">
        <w:rPr>
          <w:rFonts w:cstheme="minorHAnsi"/>
          <w:color w:val="000000"/>
        </w:rPr>
        <w:t xml:space="preserve"> </w:t>
      </w:r>
      <w:r w:rsidR="00893D49" w:rsidRPr="0097459F">
        <w:rPr>
          <w:rFonts w:cstheme="minorHAnsi"/>
          <w:b/>
          <w:color w:val="201F1E"/>
          <w:shd w:val="clear" w:color="auto" w:fill="FFFFFF"/>
        </w:rPr>
        <w:t>royalties</w:t>
      </w:r>
      <w:r w:rsidR="00893D49" w:rsidRPr="0097459F">
        <w:rPr>
          <w:rFonts w:cstheme="minorHAnsi"/>
          <w:color w:val="201F1E"/>
          <w:shd w:val="clear" w:color="auto" w:fill="FFFFFF"/>
        </w:rPr>
        <w:t xml:space="preserve"> devidos pelo licenciamento de </w:t>
      </w:r>
      <w:r w:rsidR="00893D49" w:rsidRPr="0097459F">
        <w:rPr>
          <w:rFonts w:cstheme="minorHAnsi"/>
        </w:rPr>
        <w:t>índices</w:t>
      </w:r>
      <w:r w:rsidR="00893D49" w:rsidRPr="0097459F">
        <w:rPr>
          <w:rFonts w:cstheme="minorHAnsi"/>
          <w:color w:val="201F1E"/>
          <w:shd w:val="clear" w:color="auto" w:fill="FFFFFF"/>
        </w:rPr>
        <w:t xml:space="preserve"> de referência, desde que cobrados de acordo com contrato estabelecido entre o administrador e a instituição que detém os direitos sobre o índice;</w:t>
      </w:r>
    </w:p>
    <w:p w14:paraId="05065856" w14:textId="44788F38" w:rsidR="0056748D" w:rsidRPr="0097459F" w:rsidRDefault="00AD6335" w:rsidP="00C20BBD">
      <w:pPr>
        <w:pStyle w:val="Normalalteradora"/>
        <w:rPr>
          <w:rFonts w:cstheme="minorHAnsi"/>
        </w:rPr>
      </w:pPr>
      <w:r w:rsidRPr="0097459F">
        <w:rPr>
          <w:rFonts w:cstheme="minorHAnsi"/>
        </w:rPr>
        <w:t xml:space="preserve">XVI </w:t>
      </w:r>
      <w:r w:rsidR="00893D49" w:rsidRPr="0097459F">
        <w:rPr>
          <w:rFonts w:cstheme="minorHAnsi"/>
        </w:rPr>
        <w:t>– taxas de administração e de gestão;</w:t>
      </w:r>
    </w:p>
    <w:p w14:paraId="4726A01C" w14:textId="5A9E6B9B" w:rsidR="00AD6335" w:rsidRDefault="00AD6335" w:rsidP="00C20BBD">
      <w:pPr>
        <w:pStyle w:val="Normalalteradora"/>
      </w:pPr>
      <w:r w:rsidRPr="0097459F">
        <w:t xml:space="preserve">XVII </w:t>
      </w:r>
      <w:r w:rsidR="001655F4" w:rsidRPr="0097459F">
        <w:t>–</w:t>
      </w:r>
      <w:r w:rsidRPr="0097459F">
        <w:t xml:space="preserve"> montantes devidos a fundos investidores na hipótese de acordo de remuneração com base na taxa de administração</w:t>
      </w:r>
      <w:r w:rsidR="00467E78" w:rsidRPr="0097459F">
        <w:t>, performance</w:t>
      </w:r>
      <w:r w:rsidRPr="0097459F">
        <w:t xml:space="preserve"> ou gestão, observado o disposto no </w:t>
      </w:r>
      <w:r w:rsidR="008A2E69" w:rsidRPr="0097459F">
        <w:t xml:space="preserve">art. </w:t>
      </w:r>
      <w:r w:rsidR="0037292A" w:rsidRPr="0097459F">
        <w:t>99</w:t>
      </w:r>
      <w:r w:rsidRPr="0097459F">
        <w:t>;</w:t>
      </w:r>
    </w:p>
    <w:p w14:paraId="455B29E3" w14:textId="77777777" w:rsidR="0002408E" w:rsidRDefault="0002408E" w:rsidP="0002408E">
      <w:pPr>
        <w:pStyle w:val="Normalalteradora"/>
        <w:rPr>
          <w:rFonts w:cstheme="minorHAnsi"/>
        </w:rPr>
      </w:pPr>
      <w:r>
        <w:rPr>
          <w:rFonts w:cstheme="minorHAnsi"/>
        </w:rPr>
        <w:t>XVIII – taxa máxima de distribuição</w:t>
      </w:r>
      <w:r w:rsidRPr="001C5829">
        <w:rPr>
          <w:rFonts w:cstheme="minorHAnsi"/>
        </w:rPr>
        <w:t>;</w:t>
      </w:r>
      <w:r>
        <w:rPr>
          <w:rFonts w:cstheme="minorHAnsi"/>
        </w:rPr>
        <w:t xml:space="preserve"> e</w:t>
      </w:r>
    </w:p>
    <w:p w14:paraId="5562C028" w14:textId="77777777" w:rsidR="0002408E" w:rsidRDefault="0002408E" w:rsidP="0002408E">
      <w:pPr>
        <w:pStyle w:val="Normalalteradora"/>
      </w:pPr>
      <w:r w:rsidRPr="60CE927D">
        <w:t>X</w:t>
      </w:r>
      <w:r>
        <w:t>I</w:t>
      </w:r>
      <w:r w:rsidRPr="60CE927D">
        <w:t xml:space="preserve">X – </w:t>
      </w:r>
      <w:r>
        <w:t>despesas</w:t>
      </w:r>
      <w:r w:rsidRPr="60CE927D">
        <w:t xml:space="preserve"> relacionad</w:t>
      </w:r>
      <w:r>
        <w:t>a</w:t>
      </w:r>
      <w:r w:rsidRPr="60CE927D">
        <w:t xml:space="preserve">s </w:t>
      </w:r>
      <w:r>
        <w:t>ao serviço</w:t>
      </w:r>
      <w:r w:rsidRPr="60CE927D">
        <w:t xml:space="preserve"> de formação de mercado.</w:t>
      </w:r>
    </w:p>
    <w:p w14:paraId="48729E70" w14:textId="77777777" w:rsidR="0002408E" w:rsidRPr="002F3C16" w:rsidRDefault="0002408E" w:rsidP="0002408E">
      <w:pPr>
        <w:pStyle w:val="Normalalteradora"/>
      </w:pPr>
      <w:r w:rsidRPr="00087932">
        <w:t>§ 1º  Caso o fundo conte com diferentes classes de cotas, compete ao administrador promover o rateio das despesas e contingências que sejam comuns às classes, nos termos do art. 48, § 1º, incisos IV e V.</w:t>
      </w:r>
    </w:p>
    <w:p w14:paraId="0A930608" w14:textId="25D58492" w:rsidR="0002408E" w:rsidRPr="0097459F" w:rsidRDefault="0002408E" w:rsidP="0002408E">
      <w:pPr>
        <w:pStyle w:val="Normalalteradora"/>
      </w:pPr>
      <w:r>
        <w:t>§ 2º  Nas classes abertas, as taxas devidas aos prestadores de serviços devem ser provisionadas por dia útil, sempre como despesa da classe e apropriadas conforme estabelecido no regulamento.</w:t>
      </w:r>
    </w:p>
    <w:p w14:paraId="797FD5CA" w14:textId="4EB01EB3" w:rsidR="00893D49" w:rsidRPr="0097459F" w:rsidRDefault="00893D49" w:rsidP="00C20BBD">
      <w:pPr>
        <w:pStyle w:val="Normalalteradora"/>
        <w:rPr>
          <w:rFonts w:cstheme="minorHAnsi"/>
        </w:rPr>
      </w:pPr>
      <w:r w:rsidRPr="0097459F">
        <w:rPr>
          <w:rFonts w:cstheme="minorHAnsi"/>
        </w:rPr>
        <w:t xml:space="preserve">Art. </w:t>
      </w:r>
      <w:r w:rsidR="00136A82" w:rsidRPr="0097459F">
        <w:rPr>
          <w:rFonts w:cstheme="minorHAnsi"/>
        </w:rPr>
        <w:t>118</w:t>
      </w:r>
      <w:r w:rsidRPr="0097459F">
        <w:rPr>
          <w:rFonts w:cstheme="minorHAnsi"/>
        </w:rPr>
        <w:t xml:space="preserve">.  Quaisquer despesas não previstas como encargos do fundo, inclusive aquelas de que trata o art. </w:t>
      </w:r>
      <w:r w:rsidR="00087932" w:rsidRPr="0097459F">
        <w:rPr>
          <w:rFonts w:cstheme="minorHAnsi"/>
        </w:rPr>
        <w:t>96</w:t>
      </w:r>
      <w:r w:rsidRPr="0097459F">
        <w:rPr>
          <w:rFonts w:cstheme="minorHAnsi"/>
        </w:rPr>
        <w:t xml:space="preserve">, § 4º, correm por conta do prestador de serviço essencial que a tiver contratado, sem prejuízo </w:t>
      </w:r>
      <w:r w:rsidR="00087932" w:rsidRPr="0097459F">
        <w:rPr>
          <w:rFonts w:cstheme="minorHAnsi"/>
        </w:rPr>
        <w:t>do disposto no § 5º do mesmo artigo</w:t>
      </w:r>
      <w:r w:rsidRPr="0097459F">
        <w:rPr>
          <w:rFonts w:cstheme="minorHAnsi"/>
        </w:rPr>
        <w:t>.</w:t>
      </w:r>
    </w:p>
    <w:p w14:paraId="474516EE" w14:textId="06C5C6BB" w:rsidR="0099408B" w:rsidRPr="0097459F" w:rsidRDefault="00AA1862" w:rsidP="00C20BBD">
      <w:pPr>
        <w:pStyle w:val="Normalalteradora"/>
      </w:pPr>
      <w:r w:rsidRPr="0097459F">
        <w:t>§ 1º</w:t>
      </w:r>
      <w:r w:rsidR="0099408B" w:rsidRPr="0097459F">
        <w:t xml:space="preserve">  O administrador e o gestor podem estabelecer que parcelas </w:t>
      </w:r>
      <w:r w:rsidR="00727C88" w:rsidRPr="0097459F">
        <w:t xml:space="preserve">de </w:t>
      </w:r>
      <w:r w:rsidR="0099408B" w:rsidRPr="0097459F">
        <w:t xml:space="preserve">taxa </w:t>
      </w:r>
      <w:r w:rsidR="006109D6" w:rsidRPr="0097459F">
        <w:t xml:space="preserve">de administração ou gestão, respectivamente, </w:t>
      </w:r>
      <w:r w:rsidR="0099408B" w:rsidRPr="0097459F">
        <w:t xml:space="preserve">sejam pagas diretamente aos prestadores de serviços contratados, </w:t>
      </w:r>
      <w:r w:rsidR="00A64E5A" w:rsidRPr="0097459F">
        <w:t>observado</w:t>
      </w:r>
      <w:r w:rsidR="0099408B" w:rsidRPr="0097459F">
        <w:t xml:space="preserve"> que o somatório dessas parcelas não </w:t>
      </w:r>
      <w:r w:rsidR="00A64E5A" w:rsidRPr="0097459F">
        <w:t>pode exceder</w:t>
      </w:r>
      <w:r w:rsidR="0099408B" w:rsidRPr="0097459F">
        <w:t xml:space="preserve"> o montante total </w:t>
      </w:r>
      <w:r w:rsidR="00A64E5A" w:rsidRPr="0097459F">
        <w:t>da taxa</w:t>
      </w:r>
      <w:r w:rsidR="009F25E6" w:rsidRPr="0097459F">
        <w:t xml:space="preserve"> </w:t>
      </w:r>
      <w:r w:rsidR="006109D6" w:rsidRPr="0097459F">
        <w:t>de administração ou gestão, conforme o caso</w:t>
      </w:r>
      <w:r w:rsidR="0099408B" w:rsidRPr="0097459F">
        <w:t>.</w:t>
      </w:r>
    </w:p>
    <w:p w14:paraId="56822FD5" w14:textId="32FF6EEA" w:rsidR="00D95128" w:rsidRPr="0097459F" w:rsidRDefault="00AA1862" w:rsidP="00C20BBD">
      <w:pPr>
        <w:pStyle w:val="Normalalteradora"/>
      </w:pPr>
      <w:r w:rsidRPr="0097459F">
        <w:t xml:space="preserve">§ 2º  O </w:t>
      </w:r>
      <w:r w:rsidR="00FA0FB3" w:rsidRPr="0097459F">
        <w:t>regulamento pode estabelecer</w:t>
      </w:r>
      <w:r w:rsidRPr="0097459F">
        <w:t xml:space="preserve"> que</w:t>
      </w:r>
      <w:r w:rsidR="00FA0FB3" w:rsidRPr="0097459F">
        <w:t xml:space="preserve"> parcela</w:t>
      </w:r>
      <w:r w:rsidRPr="0097459F">
        <w:t xml:space="preserve"> </w:t>
      </w:r>
      <w:r w:rsidR="00727C88" w:rsidRPr="0097459F">
        <w:t>d</w:t>
      </w:r>
      <w:r w:rsidR="00FA0FB3" w:rsidRPr="0097459F">
        <w:t xml:space="preserve">e taxa </w:t>
      </w:r>
      <w:r w:rsidR="006109D6" w:rsidRPr="0097459F">
        <w:t xml:space="preserve">de administração ou gestão, conforme o caso, </w:t>
      </w:r>
      <w:r w:rsidR="00FA0FB3" w:rsidRPr="0097459F">
        <w:t>seja</w:t>
      </w:r>
      <w:r w:rsidRPr="0097459F">
        <w:t xml:space="preserve"> </w:t>
      </w:r>
      <w:r w:rsidR="00D95128" w:rsidRPr="0097459F">
        <w:t>destinada</w:t>
      </w:r>
      <w:r w:rsidRPr="0097459F">
        <w:t xml:space="preserve"> a </w:t>
      </w:r>
      <w:r w:rsidR="00727C88" w:rsidRPr="0097459F">
        <w:t xml:space="preserve">doações para </w:t>
      </w:r>
      <w:r w:rsidRPr="0097459F">
        <w:t xml:space="preserve">entidades sem fins lucrativos, </w:t>
      </w:r>
      <w:r w:rsidR="00F30AA2" w:rsidRPr="0097459F">
        <w:t xml:space="preserve">a serem efetuadas diretamente pelo fundo, para uso em programas, projetos e finalidades de interesse público, desde </w:t>
      </w:r>
      <w:r w:rsidR="00136A82" w:rsidRPr="0097459F">
        <w:t xml:space="preserve">que </w:t>
      </w:r>
      <w:r w:rsidR="00F30AA2" w:rsidRPr="0097459F">
        <w:t xml:space="preserve">as referidas entidades </w:t>
      </w:r>
      <w:r w:rsidR="00136A82" w:rsidRPr="0097459F">
        <w:t>possuam demonstrações contábeis anualmente auditadas por auditor independente registrado na CVM</w:t>
      </w:r>
      <w:r w:rsidR="00D95128" w:rsidRPr="0097459F">
        <w:t>.</w:t>
      </w:r>
    </w:p>
    <w:p w14:paraId="3839A649" w14:textId="2F8B07DC" w:rsidR="00893D49" w:rsidRPr="0097459F" w:rsidRDefault="00B303F1" w:rsidP="00C20BBD">
      <w:pPr>
        <w:pStyle w:val="Captulo"/>
      </w:pPr>
      <w:bookmarkStart w:id="296" w:name="_DV_M761"/>
      <w:bookmarkStart w:id="297" w:name="_Toc53594468"/>
      <w:bookmarkStart w:id="298" w:name="_Toc53595493"/>
      <w:bookmarkStart w:id="299" w:name="_Toc53594220"/>
      <w:bookmarkStart w:id="300" w:name="_Toc114819001"/>
      <w:bookmarkStart w:id="301" w:name="_Toc57836228"/>
      <w:bookmarkStart w:id="302" w:name="_Toc126226337"/>
      <w:bookmarkEnd w:id="296"/>
      <w:r w:rsidRPr="0097459F">
        <w:lastRenderedPageBreak/>
        <w:t xml:space="preserve">CAPÍTULO </w:t>
      </w:r>
      <w:r w:rsidR="00893D49" w:rsidRPr="0097459F">
        <w:t>XII – INCORPORAÇÃO, FUSÃO, CISÃO E TRANSFORMAÇÃO</w:t>
      </w:r>
      <w:bookmarkEnd w:id="297"/>
      <w:bookmarkEnd w:id="298"/>
      <w:bookmarkEnd w:id="299"/>
      <w:bookmarkEnd w:id="300"/>
      <w:bookmarkEnd w:id="301"/>
      <w:bookmarkEnd w:id="302"/>
    </w:p>
    <w:p w14:paraId="16AD1AC2" w14:textId="73152020"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119</w:t>
      </w:r>
      <w:r w:rsidRPr="0097459F">
        <w:rPr>
          <w:rFonts w:cstheme="minorHAnsi"/>
        </w:rPr>
        <w:t xml:space="preserve">.  </w:t>
      </w:r>
      <w:r w:rsidR="00C062E4" w:rsidRPr="0097459F">
        <w:rPr>
          <w:rFonts w:cstheme="minorHAnsi"/>
        </w:rPr>
        <w:t>As</w:t>
      </w:r>
      <w:r w:rsidRPr="0097459F">
        <w:rPr>
          <w:rFonts w:cstheme="minorHAnsi"/>
        </w:rPr>
        <w:t xml:space="preserve"> operações de incorporação, fusão, cisão e transformação </w:t>
      </w:r>
      <w:r w:rsidR="00C062E4" w:rsidRPr="0097459F">
        <w:rPr>
          <w:rFonts w:cstheme="minorHAnsi"/>
        </w:rPr>
        <w:t xml:space="preserve">devem observar as </w:t>
      </w:r>
      <w:r w:rsidRPr="0097459F">
        <w:rPr>
          <w:rFonts w:cstheme="minorHAnsi"/>
        </w:rPr>
        <w:t>seguintes condições:</w:t>
      </w:r>
    </w:p>
    <w:p w14:paraId="09E84EF5" w14:textId="6749A069" w:rsidR="00893D49" w:rsidRPr="0097459F" w:rsidRDefault="00893D49" w:rsidP="00C20BBD">
      <w:pPr>
        <w:pStyle w:val="Normalalteradora"/>
        <w:rPr>
          <w:rFonts w:cstheme="minorHAnsi"/>
        </w:rPr>
      </w:pPr>
      <w:r w:rsidRPr="0097459F">
        <w:rPr>
          <w:rFonts w:cstheme="minorHAnsi"/>
        </w:rPr>
        <w:t>I – caso as políticas de investimento e o público-alvo sejam compatíveis, a implementação da operação pode ocorrer imediatamente após a realização da assembleia de cotistas que a tiver deliberado;</w:t>
      </w:r>
      <w:r w:rsidR="00C062E4" w:rsidRPr="0097459F">
        <w:rPr>
          <w:rFonts w:cstheme="minorHAnsi"/>
        </w:rPr>
        <w:t xml:space="preserve"> ou</w:t>
      </w:r>
    </w:p>
    <w:p w14:paraId="3029D59C" w14:textId="0C7E5833" w:rsidR="00893D49" w:rsidRPr="0097459F" w:rsidRDefault="00893D49" w:rsidP="00C20BBD">
      <w:pPr>
        <w:pStyle w:val="Normalalteradora"/>
        <w:rPr>
          <w:rFonts w:cstheme="minorHAnsi"/>
        </w:rPr>
      </w:pPr>
      <w:r w:rsidRPr="0097459F">
        <w:rPr>
          <w:rFonts w:cstheme="minorHAnsi"/>
        </w:rPr>
        <w:t xml:space="preserve">II – caso as políticas de investimento ou o público-alvo sejam diferenciados, a implementação da operação requer prévia alteração do regulamento, efetuada nos termos do art. </w:t>
      </w:r>
      <w:r w:rsidR="00087932" w:rsidRPr="0097459F">
        <w:rPr>
          <w:rFonts w:cstheme="minorHAnsi"/>
        </w:rPr>
        <w:t>50</w:t>
      </w:r>
      <w:r w:rsidR="00870A1E" w:rsidRPr="0097459F">
        <w:rPr>
          <w:rFonts w:cstheme="minorHAnsi"/>
        </w:rPr>
        <w:t>.</w:t>
      </w:r>
    </w:p>
    <w:p w14:paraId="4FF49BE3" w14:textId="7420F3BD" w:rsidR="00893D49" w:rsidRPr="0097459F" w:rsidRDefault="00893D49" w:rsidP="00C20BBD">
      <w:pPr>
        <w:pStyle w:val="Normalalteradora"/>
        <w:rPr>
          <w:rFonts w:cstheme="minorHAnsi"/>
        </w:rPr>
      </w:pPr>
      <w:r w:rsidRPr="0097459F">
        <w:rPr>
          <w:rFonts w:cstheme="minorHAnsi"/>
        </w:rPr>
        <w:t>§ 1º  No caso de incorporação, cisão</w:t>
      </w:r>
      <w:r w:rsidR="006D1BC8" w:rsidRPr="0097459F">
        <w:rPr>
          <w:rFonts w:cstheme="minorHAnsi"/>
        </w:rPr>
        <w:t>,</w:t>
      </w:r>
      <w:r w:rsidRPr="0097459F">
        <w:rPr>
          <w:rFonts w:cstheme="minorHAnsi"/>
        </w:rPr>
        <w:t xml:space="preserve"> fusão </w:t>
      </w:r>
      <w:r w:rsidR="006D1BC8" w:rsidRPr="0097459F">
        <w:rPr>
          <w:rFonts w:cstheme="minorHAnsi"/>
        </w:rPr>
        <w:t xml:space="preserve">ou transformação </w:t>
      </w:r>
      <w:r w:rsidRPr="0097459F">
        <w:rPr>
          <w:rFonts w:cstheme="minorHAnsi"/>
        </w:rPr>
        <w:t>envolvendo classe fechada, o administrador deve:</w:t>
      </w:r>
    </w:p>
    <w:p w14:paraId="760D219D" w14:textId="77777777" w:rsidR="00893D49" w:rsidRPr="0097459F" w:rsidRDefault="00893D49" w:rsidP="00C20BBD">
      <w:pPr>
        <w:pStyle w:val="Normalalteradora"/>
        <w:rPr>
          <w:rFonts w:cstheme="minorHAnsi"/>
        </w:rPr>
      </w:pPr>
      <w:r w:rsidRPr="0097459F">
        <w:rPr>
          <w:rFonts w:cstheme="minorHAnsi"/>
        </w:rPr>
        <w:t>I – proceder às alterações de regulamento que sejam pertinentes à operação; e</w:t>
      </w:r>
    </w:p>
    <w:p w14:paraId="70CF6F2E" w14:textId="6012ED8C" w:rsidR="00893D49" w:rsidRPr="0097459F" w:rsidRDefault="00893D49" w:rsidP="00C20BBD">
      <w:pPr>
        <w:pStyle w:val="Normalalteradora"/>
        <w:rPr>
          <w:rFonts w:cstheme="minorHAnsi"/>
        </w:rPr>
      </w:pPr>
      <w:r w:rsidRPr="0097459F">
        <w:rPr>
          <w:rFonts w:cstheme="minorHAnsi"/>
        </w:rPr>
        <w:t>II – acatar a solicitação de reembolso de cotas dos cotistas que dissentirem da deliberação da assembleia de cotistas, se abstiverem ou não comparecerem à assembleia.</w:t>
      </w:r>
    </w:p>
    <w:p w14:paraId="6B5AF3A8" w14:textId="1C372BBE" w:rsidR="00D44AD3" w:rsidRPr="0097459F" w:rsidRDefault="00893D49" w:rsidP="00C20BBD">
      <w:pPr>
        <w:pStyle w:val="Normalalteradora"/>
        <w:rPr>
          <w:rFonts w:cstheme="minorHAnsi"/>
        </w:rPr>
      </w:pPr>
      <w:r w:rsidRPr="0097459F">
        <w:rPr>
          <w:rFonts w:cstheme="minorHAnsi"/>
        </w:rPr>
        <w:t xml:space="preserve">§ 2º  O pedido de reembolso de cotas previsto no </w:t>
      </w:r>
      <w:r w:rsidR="00D44AD3" w:rsidRPr="0097459F">
        <w:rPr>
          <w:rFonts w:cstheme="minorHAnsi"/>
        </w:rPr>
        <w:t xml:space="preserve">inciso II do </w:t>
      </w:r>
      <w:r w:rsidRPr="0097459F">
        <w:rPr>
          <w:rFonts w:cstheme="minorHAnsi"/>
        </w:rPr>
        <w:t>§ 1º deve ser formulado em até 10 (dez) dias após a comunicação da deliberação aos cotistas, e o pagamento do valor do reembolso realizado no máximo 10 (dez) dias após a solicitação do cotista.</w:t>
      </w:r>
    </w:p>
    <w:p w14:paraId="6CA2EE4E" w14:textId="660A57A5" w:rsidR="00893D49" w:rsidRPr="0097459F" w:rsidRDefault="00893D49" w:rsidP="00C20BBD">
      <w:pPr>
        <w:pStyle w:val="Normalalteradora"/>
        <w:rPr>
          <w:rFonts w:cstheme="minorHAnsi"/>
        </w:rPr>
      </w:pPr>
      <w:bookmarkStart w:id="303" w:name="_Hlk45618195"/>
      <w:r w:rsidRPr="0097459F">
        <w:rPr>
          <w:rFonts w:cstheme="minorHAnsi"/>
        </w:rPr>
        <w:t xml:space="preserve">Art. </w:t>
      </w:r>
      <w:r w:rsidR="004D767E" w:rsidRPr="0097459F">
        <w:rPr>
          <w:rFonts w:cstheme="minorHAnsi"/>
        </w:rPr>
        <w:t>120</w:t>
      </w:r>
      <w:r w:rsidRPr="0097459F">
        <w:rPr>
          <w:rFonts w:cstheme="minorHAnsi"/>
        </w:rPr>
        <w:t>.  As demonstrações contábeis de cada classe de cotas objeto de cisão, incorporação, fusão</w:t>
      </w:r>
      <w:r w:rsidR="00CB3946" w:rsidRPr="0097459F">
        <w:rPr>
          <w:rFonts w:cstheme="minorHAnsi"/>
        </w:rPr>
        <w:t>, transferência de administração</w:t>
      </w:r>
      <w:r w:rsidRPr="0097459F">
        <w:rPr>
          <w:rFonts w:cstheme="minorHAnsi"/>
        </w:rPr>
        <w:t xml:space="preserve"> ou transformação</w:t>
      </w:r>
      <w:r w:rsidR="00CB3946" w:rsidRPr="0097459F">
        <w:rPr>
          <w:rFonts w:cstheme="minorHAnsi"/>
        </w:rPr>
        <w:t xml:space="preserve"> de categoria</w:t>
      </w:r>
      <w:r w:rsidRPr="0097459F">
        <w:rPr>
          <w:rFonts w:cstheme="minorHAnsi"/>
        </w:rPr>
        <w:t>, levantadas na data da operação, devem ser auditadas, no prazo máximo de 90 (noventa) dias, contado da data da efetivação do evento, por auditor independente registrado na CVM, devendo constar em nota explicativa os critérios utilizados para a equaliza</w:t>
      </w:r>
      <w:r w:rsidR="00870A1E" w:rsidRPr="0097459F">
        <w:rPr>
          <w:rFonts w:cstheme="minorHAnsi"/>
        </w:rPr>
        <w:t>ção das cotas entre as classes.</w:t>
      </w:r>
    </w:p>
    <w:bookmarkEnd w:id="303"/>
    <w:p w14:paraId="419D2377" w14:textId="07C60D79" w:rsidR="00893D49" w:rsidRPr="0097459F" w:rsidRDefault="00893D49" w:rsidP="00C20BBD">
      <w:pPr>
        <w:pStyle w:val="Normalalteradora"/>
        <w:rPr>
          <w:rFonts w:cstheme="minorHAnsi"/>
        </w:rPr>
      </w:pPr>
      <w:r w:rsidRPr="0097459F">
        <w:rPr>
          <w:rFonts w:cstheme="minorHAnsi"/>
        </w:rPr>
        <w:t>Parágrafo único.</w:t>
      </w:r>
      <w:r w:rsidR="00073AC7" w:rsidRPr="0097459F">
        <w:rPr>
          <w:rFonts w:cstheme="minorHAnsi"/>
        </w:rPr>
        <w:t xml:space="preserve"> </w:t>
      </w:r>
      <w:r w:rsidRPr="0097459F">
        <w:rPr>
          <w:rFonts w:cstheme="minorHAnsi"/>
        </w:rPr>
        <w:t xml:space="preserve"> O parâmetro utilizado para as conversões dos valores das cotas nos casos de incorporação, fusão ou cisão, bem como o valor das cotas </w:t>
      </w:r>
      <w:r w:rsidR="00936056" w:rsidRPr="0097459F">
        <w:rPr>
          <w:rFonts w:cstheme="minorHAnsi"/>
        </w:rPr>
        <w:t>das</w:t>
      </w:r>
      <w:r w:rsidRPr="0097459F">
        <w:rPr>
          <w:rFonts w:cstheme="minorHAnsi"/>
        </w:rPr>
        <w:t xml:space="preserve"> classes resultantes de tais operações devem constar de nota explicativa.</w:t>
      </w:r>
    </w:p>
    <w:p w14:paraId="44667342" w14:textId="532B969E" w:rsidR="00893D49" w:rsidRPr="0097459F" w:rsidRDefault="00893D49" w:rsidP="00C20BBD">
      <w:pPr>
        <w:pStyle w:val="Normalalteradora"/>
        <w:rPr>
          <w:rFonts w:cstheme="minorHAnsi"/>
        </w:rPr>
      </w:pPr>
      <w:bookmarkStart w:id="304" w:name="_Hlk46994908"/>
      <w:r w:rsidRPr="0097459F">
        <w:rPr>
          <w:rFonts w:cstheme="minorHAnsi"/>
        </w:rPr>
        <w:t xml:space="preserve">Art. </w:t>
      </w:r>
      <w:r w:rsidR="004D767E" w:rsidRPr="0097459F">
        <w:rPr>
          <w:rFonts w:cstheme="minorHAnsi"/>
        </w:rPr>
        <w:t>121</w:t>
      </w:r>
      <w:r w:rsidRPr="0097459F">
        <w:rPr>
          <w:rFonts w:cstheme="minorHAnsi"/>
        </w:rPr>
        <w:t>.  Nos casos de cisão, incorporação</w:t>
      </w:r>
      <w:r w:rsidR="00B3396A" w:rsidRPr="0097459F">
        <w:rPr>
          <w:rFonts w:cstheme="minorHAnsi"/>
        </w:rPr>
        <w:t>, fusão, transferência de administração</w:t>
      </w:r>
      <w:r w:rsidRPr="0097459F">
        <w:rPr>
          <w:rFonts w:cstheme="minorHAnsi"/>
        </w:rPr>
        <w:t xml:space="preserve"> e transformação</w:t>
      </w:r>
      <w:r w:rsidR="002533B0" w:rsidRPr="0097459F">
        <w:rPr>
          <w:rFonts w:cstheme="minorHAnsi"/>
        </w:rPr>
        <w:t xml:space="preserve"> de categoria</w:t>
      </w:r>
      <w:r w:rsidRPr="0097459F">
        <w:rPr>
          <w:rFonts w:cstheme="minorHAnsi"/>
        </w:rPr>
        <w:t>, devem ser encaminhados à CVM e à entidade administradora do mercado organizado onde as cotas sejam admitidas à negociação, por meio de sistema disponível na rede mundial de computadores, na data do início da vigência dos eventos deliberados em assembleia:</w:t>
      </w:r>
    </w:p>
    <w:p w14:paraId="29607B74" w14:textId="682465AA" w:rsidR="00893D49" w:rsidRDefault="00893D49" w:rsidP="00C20BBD">
      <w:pPr>
        <w:pStyle w:val="Normalalteradora"/>
        <w:rPr>
          <w:rFonts w:cstheme="minorHAnsi"/>
        </w:rPr>
      </w:pPr>
      <w:r w:rsidRPr="0097459F">
        <w:rPr>
          <w:rFonts w:cstheme="minorHAnsi"/>
        </w:rPr>
        <w:lastRenderedPageBreak/>
        <w:t>I – novos regulamentos;</w:t>
      </w:r>
    </w:p>
    <w:p w14:paraId="2D6CB873" w14:textId="4CCDCE66" w:rsidR="000F158B" w:rsidRPr="00893D49" w:rsidRDefault="000F158B" w:rsidP="000F158B">
      <w:pPr>
        <w:pStyle w:val="Normalalteradora"/>
      </w:pPr>
      <w:bookmarkStart w:id="305" w:name="_DV_C226"/>
      <w:r w:rsidRPr="383EF10B">
        <w:t>II – comprovante da entrada do pedido de baixa de registro no CNPJ</w:t>
      </w:r>
      <w:r>
        <w:t>, se houver,</w:t>
      </w:r>
      <w:r w:rsidRPr="383EF10B">
        <w:t xml:space="preserve"> das classes encerradas por fusão ou incorporação</w:t>
      </w:r>
      <w:bookmarkStart w:id="306" w:name="_DV_C225"/>
      <w:r w:rsidRPr="383EF10B">
        <w:t>;</w:t>
      </w:r>
      <w:bookmarkEnd w:id="306"/>
    </w:p>
    <w:p w14:paraId="69386DA3" w14:textId="2B401585" w:rsidR="00893D49" w:rsidRPr="0097459F" w:rsidRDefault="00893D49" w:rsidP="00C20BBD">
      <w:pPr>
        <w:pStyle w:val="Normalalteradora"/>
        <w:rPr>
          <w:rFonts w:cstheme="minorHAnsi"/>
        </w:rPr>
      </w:pPr>
      <w:r w:rsidRPr="0097459F">
        <w:rPr>
          <w:rFonts w:cstheme="minorHAnsi"/>
        </w:rPr>
        <w:t>III – material de divulgação,</w:t>
      </w:r>
      <w:bookmarkStart w:id="307" w:name="_DV_M775"/>
      <w:bookmarkEnd w:id="305"/>
      <w:bookmarkEnd w:id="307"/>
      <w:r w:rsidRPr="0097459F">
        <w:rPr>
          <w:rFonts w:cstheme="minorHAnsi"/>
        </w:rPr>
        <w:t xml:space="preserve"> atualizado, se houver;</w:t>
      </w:r>
    </w:p>
    <w:p w14:paraId="34D2F256" w14:textId="5AB9E1A1" w:rsidR="00893D49" w:rsidRPr="0097459F" w:rsidRDefault="00893D49" w:rsidP="00C20BBD">
      <w:pPr>
        <w:pStyle w:val="Normalalteradora"/>
        <w:rPr>
          <w:rFonts w:cstheme="minorHAnsi"/>
        </w:rPr>
      </w:pPr>
      <w:r w:rsidRPr="0097459F">
        <w:rPr>
          <w:rFonts w:cstheme="minorHAnsi"/>
        </w:rPr>
        <w:t>IV – cópia da ata da assembleia de cotistas que aprovou a operação;</w:t>
      </w:r>
    </w:p>
    <w:bookmarkEnd w:id="304"/>
    <w:p w14:paraId="1BA7AB34" w14:textId="6772C4B8" w:rsidR="00893D49" w:rsidRPr="0097459F" w:rsidRDefault="00893D49" w:rsidP="00C20BBD">
      <w:pPr>
        <w:pStyle w:val="Normalalteradora"/>
        <w:rPr>
          <w:rFonts w:cstheme="minorHAnsi"/>
        </w:rPr>
      </w:pPr>
      <w:r w:rsidRPr="0097459F">
        <w:rPr>
          <w:rFonts w:cstheme="minorHAnsi"/>
        </w:rPr>
        <w:t>V – lista de cotistas presentes à assembleia referida no inciso IV</w:t>
      </w:r>
      <w:r w:rsidR="00073AC7" w:rsidRPr="0097459F">
        <w:rPr>
          <w:rFonts w:cstheme="minorHAnsi"/>
        </w:rPr>
        <w:t>; e</w:t>
      </w:r>
    </w:p>
    <w:p w14:paraId="1EC62016" w14:textId="77B9A96E" w:rsidR="000B12DF" w:rsidRPr="0097459F" w:rsidRDefault="00893D49" w:rsidP="00C20BBD">
      <w:pPr>
        <w:pStyle w:val="Normalalteradora"/>
        <w:rPr>
          <w:rFonts w:cstheme="minorHAnsi"/>
        </w:rPr>
      </w:pPr>
      <w:r w:rsidRPr="0097459F">
        <w:rPr>
          <w:rFonts w:cstheme="minorHAnsi"/>
        </w:rPr>
        <w:t xml:space="preserve">VI – demonstrações contábeis de que trata o art. </w:t>
      </w:r>
      <w:r w:rsidR="00087932" w:rsidRPr="0097459F">
        <w:rPr>
          <w:rFonts w:cstheme="minorHAnsi"/>
        </w:rPr>
        <w:t>120</w:t>
      </w:r>
      <w:r w:rsidRPr="0097459F">
        <w:rPr>
          <w:rFonts w:cstheme="minorHAnsi"/>
        </w:rPr>
        <w:t xml:space="preserve">, no prazo máximo de </w:t>
      </w:r>
      <w:r w:rsidR="002533B0" w:rsidRPr="0097459F">
        <w:rPr>
          <w:rFonts w:cstheme="minorHAnsi"/>
        </w:rPr>
        <w:t xml:space="preserve">120 </w:t>
      </w:r>
      <w:r w:rsidRPr="0097459F">
        <w:rPr>
          <w:rFonts w:cstheme="minorHAnsi"/>
        </w:rPr>
        <w:t>(</w:t>
      </w:r>
      <w:r w:rsidR="002533B0" w:rsidRPr="0097459F">
        <w:rPr>
          <w:rFonts w:cstheme="minorHAnsi"/>
        </w:rPr>
        <w:t>cento e vinte</w:t>
      </w:r>
      <w:r w:rsidRPr="0097459F">
        <w:rPr>
          <w:rFonts w:cstheme="minorHAnsi"/>
        </w:rPr>
        <w:t xml:space="preserve">) dias, contado da data da efetivação dos eventos mencionados no </w:t>
      </w:r>
      <w:r w:rsidRPr="0097459F">
        <w:rPr>
          <w:rFonts w:cstheme="minorHAnsi"/>
          <w:b/>
        </w:rPr>
        <w:t>caput</w:t>
      </w:r>
      <w:r w:rsidRPr="0097459F">
        <w:rPr>
          <w:rFonts w:cstheme="minorHAnsi"/>
        </w:rPr>
        <w:t>.</w:t>
      </w:r>
    </w:p>
    <w:p w14:paraId="7D8E03DA" w14:textId="5F167D9A" w:rsidR="002533B0" w:rsidRPr="0097459F" w:rsidRDefault="002533B0" w:rsidP="00C20BBD">
      <w:pPr>
        <w:pStyle w:val="Normalalteradora"/>
        <w:rPr>
          <w:rFonts w:cstheme="minorHAnsi"/>
        </w:rPr>
      </w:pPr>
      <w:r w:rsidRPr="0097459F">
        <w:rPr>
          <w:rFonts w:cstheme="minorHAnsi"/>
        </w:rPr>
        <w:t xml:space="preserve">Parágrafo único.  </w:t>
      </w:r>
      <w:r w:rsidRPr="0097459F">
        <w:t xml:space="preserve">Em caso de transferência de administração, o administrador </w:t>
      </w:r>
      <w:r w:rsidR="00AF5FED" w:rsidRPr="0097459F">
        <w:t xml:space="preserve">do fundo </w:t>
      </w:r>
      <w:r w:rsidR="002D1E78" w:rsidRPr="0097459F">
        <w:t xml:space="preserve">ou </w:t>
      </w:r>
      <w:r w:rsidR="00AF5FED" w:rsidRPr="0097459F">
        <w:t>da classe</w:t>
      </w:r>
      <w:r w:rsidRPr="0097459F">
        <w:t xml:space="preserve"> transferida deve encaminhar as demonstrações contábeis previstas no inciso VI ao novo administrador.</w:t>
      </w:r>
    </w:p>
    <w:p w14:paraId="159CFD5A" w14:textId="77777777" w:rsidR="00893D49" w:rsidRPr="0097459F" w:rsidRDefault="00893D49" w:rsidP="00C20BBD">
      <w:pPr>
        <w:pStyle w:val="Captulo"/>
        <w:rPr>
          <w:rFonts w:asciiTheme="minorHAnsi" w:hAnsiTheme="minorHAnsi"/>
        </w:rPr>
      </w:pPr>
      <w:bookmarkStart w:id="308" w:name="_Toc53594469"/>
      <w:bookmarkStart w:id="309" w:name="_Toc53595494"/>
      <w:bookmarkStart w:id="310" w:name="_Toc53594221"/>
      <w:bookmarkStart w:id="311" w:name="_Toc114819002"/>
      <w:bookmarkStart w:id="312" w:name="_Toc57836229"/>
      <w:bookmarkStart w:id="313" w:name="_Toc126226338"/>
      <w:r w:rsidRPr="0097459F">
        <w:rPr>
          <w:rFonts w:asciiTheme="minorHAnsi" w:hAnsiTheme="minorHAnsi"/>
        </w:rPr>
        <w:t>CAPÍTULO XIII – PATRIMÔNIO LÍQUIDO NEGATIVO COM LIMITAÇÃO DE RESPONSABILIDADE</w:t>
      </w:r>
      <w:bookmarkEnd w:id="308"/>
      <w:bookmarkEnd w:id="309"/>
      <w:bookmarkEnd w:id="310"/>
      <w:bookmarkEnd w:id="311"/>
      <w:bookmarkEnd w:id="312"/>
      <w:bookmarkEnd w:id="313"/>
    </w:p>
    <w:p w14:paraId="42B0222A" w14:textId="3A01CAB3" w:rsidR="00893D49" w:rsidRPr="0097459F" w:rsidRDefault="4AF9F487" w:rsidP="00C20BBD">
      <w:pPr>
        <w:pStyle w:val="Normalalteradora"/>
        <w:rPr>
          <w:rFonts w:eastAsia="Calibri"/>
        </w:rPr>
      </w:pPr>
      <w:r w:rsidRPr="0097459F">
        <w:t xml:space="preserve">Art. </w:t>
      </w:r>
      <w:r w:rsidR="004D767E" w:rsidRPr="0097459F">
        <w:t>122</w:t>
      </w:r>
      <w:r w:rsidRPr="0097459F">
        <w:t xml:space="preserve">.  Caso o administrador verifique que o </w:t>
      </w:r>
      <w:r w:rsidRPr="0097459F">
        <w:rPr>
          <w:rFonts w:eastAsia="Calibri"/>
        </w:rPr>
        <w:t xml:space="preserve">patrimônio líquido </w:t>
      </w:r>
      <w:r w:rsidR="6B4857D9" w:rsidRPr="0097459F">
        <w:t>da</w:t>
      </w:r>
      <w:r w:rsidRPr="0097459F">
        <w:rPr>
          <w:rFonts w:eastAsia="Calibri"/>
        </w:rPr>
        <w:t xml:space="preserve"> classe de cotas está negativo e a responsabilidade dos cotistas </w:t>
      </w:r>
      <w:r w:rsidR="002D1E78" w:rsidRPr="0097459F">
        <w:rPr>
          <w:rFonts w:eastAsia="Calibri"/>
        </w:rPr>
        <w:t xml:space="preserve">seja </w:t>
      </w:r>
      <w:r w:rsidRPr="0097459F">
        <w:rPr>
          <w:rFonts w:eastAsia="Calibri"/>
        </w:rPr>
        <w:t>limitada ao valor por eles subscrito, deve:</w:t>
      </w:r>
    </w:p>
    <w:p w14:paraId="7A1B6F22" w14:textId="54F25DE6" w:rsidR="00893D49" w:rsidRPr="0097459F" w:rsidRDefault="00893D49" w:rsidP="00C20BBD">
      <w:pPr>
        <w:pStyle w:val="Normalalteradora"/>
        <w:rPr>
          <w:rFonts w:eastAsia="Calibri" w:cstheme="minorHAnsi"/>
        </w:rPr>
      </w:pPr>
      <w:r w:rsidRPr="0097459F">
        <w:rPr>
          <w:rFonts w:eastAsia="Calibri" w:cstheme="minorHAnsi"/>
        </w:rPr>
        <w:t xml:space="preserve">I – imediatamente, em relação à classe de cotas </w:t>
      </w:r>
      <w:r w:rsidR="00072977" w:rsidRPr="0097459F">
        <w:rPr>
          <w:rFonts w:eastAsia="Calibri" w:cstheme="minorHAnsi"/>
        </w:rPr>
        <w:t>cujo</w:t>
      </w:r>
      <w:r w:rsidRPr="0097459F">
        <w:rPr>
          <w:rFonts w:eastAsia="Calibri" w:cstheme="minorHAnsi"/>
        </w:rPr>
        <w:t xml:space="preserve"> patrimônio líquido </w:t>
      </w:r>
      <w:r w:rsidR="00072977" w:rsidRPr="0097459F">
        <w:rPr>
          <w:rFonts w:eastAsia="Calibri" w:cstheme="minorHAnsi"/>
        </w:rPr>
        <w:t xml:space="preserve">está </w:t>
      </w:r>
      <w:r w:rsidRPr="0097459F">
        <w:rPr>
          <w:rFonts w:eastAsia="Calibri" w:cstheme="minorHAnsi"/>
        </w:rPr>
        <w:t>negativo:</w:t>
      </w:r>
    </w:p>
    <w:p w14:paraId="09836F4E" w14:textId="65756058" w:rsidR="00893D49" w:rsidRPr="0097459F" w:rsidRDefault="00893D49" w:rsidP="00C20BBD">
      <w:pPr>
        <w:pStyle w:val="Normalalteradora"/>
        <w:rPr>
          <w:rFonts w:eastAsia="Calibri" w:cstheme="minorHAnsi"/>
        </w:rPr>
      </w:pPr>
      <w:r w:rsidRPr="0097459F">
        <w:rPr>
          <w:rFonts w:eastAsia="Calibri" w:cstheme="minorHAnsi"/>
        </w:rPr>
        <w:t>a) fechar para resgates e não realizar amortização de cotas;</w:t>
      </w:r>
    </w:p>
    <w:p w14:paraId="21993A4A" w14:textId="291EED9E" w:rsidR="00E959E1" w:rsidRPr="0097459F" w:rsidRDefault="04AFB46A" w:rsidP="00C20BBD">
      <w:pPr>
        <w:pStyle w:val="Normalalteradora"/>
        <w:rPr>
          <w:rFonts w:eastAsia="Calibri"/>
        </w:rPr>
      </w:pPr>
      <w:r w:rsidRPr="0097459F">
        <w:rPr>
          <w:rFonts w:eastAsia="Calibri"/>
        </w:rPr>
        <w:t>b) não realizar novas subscrições de cotas</w:t>
      </w:r>
      <w:r w:rsidR="2721B954" w:rsidRPr="0097459F">
        <w:rPr>
          <w:rFonts w:eastAsia="Calibri"/>
        </w:rPr>
        <w:t>;</w:t>
      </w:r>
    </w:p>
    <w:p w14:paraId="3EDEA52E" w14:textId="177926C0" w:rsidR="00A825AD" w:rsidRPr="0097459F" w:rsidRDefault="00A825AD" w:rsidP="00C20BBD">
      <w:pPr>
        <w:pStyle w:val="Normalalteradora"/>
        <w:rPr>
          <w:rFonts w:eastAsia="Calibri" w:cstheme="minorHAnsi"/>
        </w:rPr>
      </w:pPr>
      <w:r w:rsidRPr="0097459F">
        <w:rPr>
          <w:rFonts w:eastAsia="Calibri" w:cstheme="minorHAnsi"/>
        </w:rPr>
        <w:t>c) comunicar a existência do patrimônio líquido negativo ao gestor</w:t>
      </w:r>
      <w:r w:rsidR="002718B5" w:rsidRPr="0097459F">
        <w:rPr>
          <w:rFonts w:eastAsia="Calibri" w:cstheme="minorHAnsi"/>
        </w:rPr>
        <w:t>;</w:t>
      </w:r>
    </w:p>
    <w:p w14:paraId="60F05427" w14:textId="71CA1455" w:rsidR="00A825AD" w:rsidRPr="0097459F" w:rsidRDefault="00C873C1" w:rsidP="00C20BBD">
      <w:pPr>
        <w:pStyle w:val="Normalalteradora"/>
        <w:rPr>
          <w:rFonts w:eastAsia="Calibri" w:cstheme="minorHAnsi"/>
        </w:rPr>
      </w:pPr>
      <w:r w:rsidRPr="0097459F">
        <w:rPr>
          <w:rFonts w:eastAsia="Calibri" w:cstheme="minorHAnsi"/>
        </w:rPr>
        <w:t xml:space="preserve">d) </w:t>
      </w:r>
      <w:r w:rsidR="0085391F" w:rsidRPr="0097459F">
        <w:rPr>
          <w:rFonts w:eastAsia="Calibri" w:cstheme="minorHAnsi"/>
        </w:rPr>
        <w:t>divulgar</w:t>
      </w:r>
      <w:r w:rsidRPr="0097459F">
        <w:rPr>
          <w:rFonts w:eastAsia="Calibri" w:cstheme="minorHAnsi"/>
        </w:rPr>
        <w:t xml:space="preserve"> fato </w:t>
      </w:r>
      <w:r w:rsidR="00A825AD" w:rsidRPr="0097459F">
        <w:rPr>
          <w:rFonts w:eastAsia="Calibri" w:cstheme="minorHAnsi"/>
        </w:rPr>
        <w:t xml:space="preserve">relevante, nos termos do art. </w:t>
      </w:r>
      <w:r w:rsidR="00087932" w:rsidRPr="0097459F">
        <w:rPr>
          <w:rFonts w:eastAsia="Calibri" w:cstheme="minorHAnsi"/>
        </w:rPr>
        <w:t>64</w:t>
      </w:r>
      <w:r w:rsidR="00A825AD" w:rsidRPr="0097459F">
        <w:rPr>
          <w:rFonts w:eastAsia="Calibri" w:cstheme="minorHAnsi"/>
        </w:rPr>
        <w:t>;</w:t>
      </w:r>
    </w:p>
    <w:p w14:paraId="6D06C043" w14:textId="7B874F8F" w:rsidR="00C873C1" w:rsidRPr="0097459F" w:rsidRDefault="00C873C1" w:rsidP="00C20BBD">
      <w:pPr>
        <w:pStyle w:val="Normalalteradora"/>
        <w:rPr>
          <w:rFonts w:eastAsia="Calibri" w:cstheme="minorHAnsi"/>
        </w:rPr>
      </w:pPr>
      <w:r w:rsidRPr="0097459F">
        <w:rPr>
          <w:rFonts w:eastAsia="Calibri" w:cstheme="minorHAnsi"/>
        </w:rPr>
        <w:t xml:space="preserve">e) cancelar os pedidos de </w:t>
      </w:r>
      <w:r w:rsidR="00A825AD" w:rsidRPr="0097459F">
        <w:rPr>
          <w:rFonts w:eastAsia="Calibri" w:cstheme="minorHAnsi"/>
        </w:rPr>
        <w:t>resgate pendentes de conversão; e</w:t>
      </w:r>
    </w:p>
    <w:p w14:paraId="12FD5968" w14:textId="3DBD1FAF" w:rsidR="00893D49" w:rsidRPr="0097459F" w:rsidRDefault="00A825AD" w:rsidP="00C20BBD">
      <w:pPr>
        <w:pStyle w:val="Normalalteradora"/>
        <w:rPr>
          <w:rFonts w:eastAsia="Calibri" w:cstheme="minorHAnsi"/>
        </w:rPr>
      </w:pPr>
      <w:r w:rsidRPr="0097459F">
        <w:rPr>
          <w:rFonts w:eastAsia="Calibri" w:cstheme="minorHAnsi"/>
        </w:rPr>
        <w:t xml:space="preserve">II </w:t>
      </w:r>
      <w:r w:rsidR="00893D49" w:rsidRPr="0097459F">
        <w:rPr>
          <w:rFonts w:eastAsia="Calibri" w:cstheme="minorHAnsi"/>
        </w:rPr>
        <w:t xml:space="preserve">– em até 20 </w:t>
      </w:r>
      <w:r w:rsidR="00EF6787" w:rsidRPr="0097459F">
        <w:rPr>
          <w:rFonts w:eastAsia="Calibri" w:cstheme="minorHAnsi"/>
        </w:rPr>
        <w:t xml:space="preserve">(vinte) </w:t>
      </w:r>
      <w:r w:rsidR="00893D49" w:rsidRPr="0097459F">
        <w:rPr>
          <w:rFonts w:eastAsia="Calibri" w:cstheme="minorHAnsi"/>
        </w:rPr>
        <w:t>dias:</w:t>
      </w:r>
    </w:p>
    <w:p w14:paraId="1C5BA048" w14:textId="2EEEBDD3" w:rsidR="00893D49" w:rsidRPr="0097459F" w:rsidRDefault="00893D49" w:rsidP="00C20BBD">
      <w:pPr>
        <w:pStyle w:val="Normalalteradora"/>
        <w:rPr>
          <w:rFonts w:eastAsia="Calibri" w:cstheme="minorHAnsi"/>
        </w:rPr>
      </w:pPr>
      <w:r w:rsidRPr="0097459F">
        <w:rPr>
          <w:rFonts w:eastAsia="Calibri" w:cstheme="minorHAnsi"/>
        </w:rPr>
        <w:t xml:space="preserve">a) elaborar um plano de resolução do patrimônio líquido negativo, </w:t>
      </w:r>
      <w:r w:rsidR="00A825AD" w:rsidRPr="0097459F">
        <w:rPr>
          <w:rFonts w:eastAsia="Calibri" w:cstheme="minorHAnsi"/>
        </w:rPr>
        <w:t xml:space="preserve">em conjunto com o gestor, </w:t>
      </w:r>
      <w:r w:rsidRPr="0097459F">
        <w:rPr>
          <w:rFonts w:eastAsia="Calibri" w:cstheme="minorHAnsi"/>
        </w:rPr>
        <w:t>do qual conste, no mínimo:</w:t>
      </w:r>
    </w:p>
    <w:p w14:paraId="0220B829" w14:textId="77777777" w:rsidR="00893D49" w:rsidRPr="0097459F" w:rsidRDefault="00893D49" w:rsidP="00C20BBD">
      <w:pPr>
        <w:pStyle w:val="Normalalteradora"/>
        <w:rPr>
          <w:rFonts w:eastAsia="Calibri" w:cstheme="minorHAnsi"/>
        </w:rPr>
      </w:pPr>
      <w:r w:rsidRPr="0097459F">
        <w:rPr>
          <w:rFonts w:eastAsia="Calibri" w:cstheme="minorHAnsi"/>
        </w:rPr>
        <w:t>1. análise das causas e circunstâncias que resultaram no patrimônio líquido negativo;</w:t>
      </w:r>
    </w:p>
    <w:p w14:paraId="3C45B3BE" w14:textId="77777777" w:rsidR="00893D49" w:rsidRPr="0097459F" w:rsidRDefault="00893D49" w:rsidP="00C20BBD">
      <w:pPr>
        <w:pStyle w:val="Normalalteradora"/>
        <w:rPr>
          <w:rFonts w:eastAsia="Calibri" w:cstheme="minorHAnsi"/>
        </w:rPr>
      </w:pPr>
      <w:r w:rsidRPr="0097459F">
        <w:rPr>
          <w:rFonts w:eastAsia="Calibri" w:cstheme="minorHAnsi"/>
        </w:rPr>
        <w:t>2. balancete; e</w:t>
      </w:r>
    </w:p>
    <w:p w14:paraId="1F5E28C0" w14:textId="707B02E0" w:rsidR="000E0E80" w:rsidRPr="0097459F" w:rsidRDefault="00893D49" w:rsidP="00C20BBD">
      <w:pPr>
        <w:pStyle w:val="Normalalteradora"/>
        <w:rPr>
          <w:rFonts w:eastAsia="Calibri" w:cstheme="minorHAnsi"/>
        </w:rPr>
      </w:pPr>
      <w:r w:rsidRPr="0097459F">
        <w:rPr>
          <w:rFonts w:eastAsia="Calibri" w:cstheme="minorHAnsi"/>
        </w:rPr>
        <w:lastRenderedPageBreak/>
        <w:t xml:space="preserve">3. proposta de resolução para </w:t>
      </w:r>
      <w:r w:rsidR="000E0E80" w:rsidRPr="0097459F">
        <w:rPr>
          <w:rFonts w:eastAsia="Calibri" w:cstheme="minorHAnsi"/>
        </w:rPr>
        <w:t>o patrimônio líquido negativo</w:t>
      </w:r>
      <w:r w:rsidRPr="0097459F">
        <w:rPr>
          <w:rFonts w:eastAsia="Calibri" w:cstheme="minorHAnsi"/>
        </w:rPr>
        <w:t>, que, a critério</w:t>
      </w:r>
      <w:r w:rsidR="000E0E80" w:rsidRPr="0097459F">
        <w:rPr>
          <w:rFonts w:eastAsia="Calibri" w:cstheme="minorHAnsi"/>
        </w:rPr>
        <w:t xml:space="preserve"> dos prestadores de serviços essenciais</w:t>
      </w:r>
      <w:r w:rsidRPr="0097459F">
        <w:rPr>
          <w:rFonts w:eastAsia="Calibri" w:cstheme="minorHAnsi"/>
        </w:rPr>
        <w:t xml:space="preserve">, pode contemplar as possibilidades previstas no § </w:t>
      </w:r>
      <w:r w:rsidR="00220040" w:rsidRPr="0097459F">
        <w:rPr>
          <w:rFonts w:eastAsia="Calibri" w:cstheme="minorHAnsi"/>
        </w:rPr>
        <w:t>4º deste artigo</w:t>
      </w:r>
      <w:r w:rsidR="008D4B9E" w:rsidRPr="0097459F">
        <w:rPr>
          <w:rFonts w:eastAsia="Calibri" w:cstheme="minorHAnsi"/>
        </w:rPr>
        <w:t>, assim como</w:t>
      </w:r>
      <w:r w:rsidR="000E0E80" w:rsidRPr="0097459F">
        <w:rPr>
          <w:rFonts w:eastAsia="Calibri" w:cstheme="minorHAnsi"/>
        </w:rPr>
        <w:t xml:space="preserve"> a possibilidade de tomada de empréstimo pela classe</w:t>
      </w:r>
      <w:r w:rsidR="008D4B9E" w:rsidRPr="0097459F">
        <w:rPr>
          <w:rFonts w:eastAsia="Calibri" w:cstheme="minorHAnsi"/>
        </w:rPr>
        <w:t>, exclusivamente</w:t>
      </w:r>
      <w:r w:rsidR="000E0E80" w:rsidRPr="0097459F">
        <w:rPr>
          <w:rFonts w:eastAsia="Calibri" w:cstheme="minorHAnsi"/>
        </w:rPr>
        <w:t xml:space="preserve"> para cobrir o patrimônio líquido negativo</w:t>
      </w:r>
      <w:r w:rsidRPr="0097459F">
        <w:rPr>
          <w:rFonts w:eastAsia="Calibri" w:cstheme="minorHAnsi"/>
        </w:rPr>
        <w:t>; e</w:t>
      </w:r>
    </w:p>
    <w:p w14:paraId="7003DE8B" w14:textId="32D501ED" w:rsidR="00893D49" w:rsidRPr="0097459F" w:rsidRDefault="00893D49" w:rsidP="00C20BBD">
      <w:pPr>
        <w:pStyle w:val="Normalalteradora"/>
        <w:rPr>
          <w:rFonts w:eastAsia="Calibri" w:cstheme="minorHAnsi"/>
        </w:rPr>
      </w:pPr>
      <w:r w:rsidRPr="0097459F">
        <w:rPr>
          <w:rFonts w:eastAsia="Calibri" w:cstheme="minorHAnsi"/>
        </w:rPr>
        <w:t>b) convocar assembleia de cotistas, para deliberar acerca do plano de resolução do patrimônio líquido negativo de que trata a alínea “a”</w:t>
      </w:r>
      <w:r w:rsidR="00A825AD" w:rsidRPr="0097459F">
        <w:rPr>
          <w:rFonts w:eastAsia="Calibri" w:cstheme="minorHAnsi"/>
        </w:rPr>
        <w:t xml:space="preserve">, </w:t>
      </w:r>
      <w:r w:rsidR="00D1758A" w:rsidRPr="0097459F">
        <w:rPr>
          <w:rFonts w:eastAsia="Calibri" w:cstheme="minorHAnsi"/>
        </w:rPr>
        <w:t xml:space="preserve">em até 2 (dois) dias úteis após concluída a elaboração do plano, </w:t>
      </w:r>
      <w:r w:rsidR="00A825AD" w:rsidRPr="0097459F">
        <w:rPr>
          <w:rFonts w:eastAsia="Calibri" w:cstheme="minorHAnsi"/>
        </w:rPr>
        <w:t>encaminhando</w:t>
      </w:r>
      <w:r w:rsidR="008B0C3B" w:rsidRPr="0097459F">
        <w:rPr>
          <w:rFonts w:eastAsia="Calibri" w:cstheme="minorHAnsi"/>
        </w:rPr>
        <w:t xml:space="preserve"> o plano</w:t>
      </w:r>
      <w:r w:rsidR="00A825AD" w:rsidRPr="0097459F">
        <w:rPr>
          <w:rFonts w:eastAsia="Calibri" w:cstheme="minorHAnsi"/>
        </w:rPr>
        <w:t xml:space="preserve"> junto à convocação</w:t>
      </w:r>
      <w:r w:rsidRPr="0097459F">
        <w:rPr>
          <w:rFonts w:eastAsia="Calibri" w:cstheme="minorHAnsi"/>
        </w:rPr>
        <w:t>.</w:t>
      </w:r>
    </w:p>
    <w:p w14:paraId="682B9B4D" w14:textId="5BBEA711" w:rsidR="00927FE6" w:rsidRPr="0097459F" w:rsidRDefault="00927FE6" w:rsidP="00C20BBD">
      <w:pPr>
        <w:pStyle w:val="Normalalteradora"/>
        <w:rPr>
          <w:rFonts w:eastAsia="Calibri" w:cstheme="minorHAnsi"/>
        </w:rPr>
      </w:pPr>
      <w:r w:rsidRPr="0097459F">
        <w:rPr>
          <w:rFonts w:eastAsia="Calibri" w:cstheme="minorHAnsi"/>
        </w:rPr>
        <w:t xml:space="preserve">§ 1º  Caso </w:t>
      </w:r>
      <w:r w:rsidR="008C2FCE" w:rsidRPr="0097459F">
        <w:rPr>
          <w:rFonts w:eastAsia="Calibri" w:cstheme="minorHAnsi"/>
        </w:rPr>
        <w:t xml:space="preserve">após a adoção das medidas previstas no inciso I do </w:t>
      </w:r>
      <w:r w:rsidR="008C2FCE" w:rsidRPr="0097459F">
        <w:rPr>
          <w:rFonts w:eastAsia="Calibri" w:cstheme="minorHAnsi"/>
          <w:b/>
        </w:rPr>
        <w:t>caput</w:t>
      </w:r>
      <w:r w:rsidR="008C2FCE" w:rsidRPr="0097459F">
        <w:rPr>
          <w:rFonts w:eastAsia="Calibri" w:cstheme="minorHAnsi"/>
        </w:rPr>
        <w:t xml:space="preserve"> </w:t>
      </w:r>
      <w:r w:rsidRPr="0097459F">
        <w:rPr>
          <w:rFonts w:eastAsia="Calibri" w:cstheme="minorHAnsi"/>
        </w:rPr>
        <w:t xml:space="preserve">os prestadores de serviços essenciais, em conjunto, avaliem, de modo fundamentado, que a ocorrência do patrimônio líquido negativo não </w:t>
      </w:r>
      <w:r w:rsidR="005E309C" w:rsidRPr="0097459F">
        <w:rPr>
          <w:rFonts w:eastAsia="Calibri" w:cstheme="minorHAnsi"/>
        </w:rPr>
        <w:t>representa risco à</w:t>
      </w:r>
      <w:r w:rsidRPr="0097459F">
        <w:rPr>
          <w:rFonts w:eastAsia="Calibri" w:cstheme="minorHAnsi"/>
        </w:rPr>
        <w:t xml:space="preserve"> </w:t>
      </w:r>
      <w:r w:rsidR="005E309C" w:rsidRPr="0097459F">
        <w:rPr>
          <w:rFonts w:eastAsia="Calibri" w:cstheme="minorHAnsi"/>
        </w:rPr>
        <w:t>solvência</w:t>
      </w:r>
      <w:r w:rsidRPr="0097459F">
        <w:rPr>
          <w:rFonts w:eastAsia="Calibri" w:cstheme="minorHAnsi"/>
        </w:rPr>
        <w:t xml:space="preserve"> da classe de cotas, a adoção das medidas referidas n</w:t>
      </w:r>
      <w:r w:rsidR="008C2FCE" w:rsidRPr="0097459F">
        <w:rPr>
          <w:rFonts w:eastAsia="Calibri" w:cstheme="minorHAnsi"/>
        </w:rPr>
        <w:t>o inciso II</w:t>
      </w:r>
      <w:r w:rsidRPr="0097459F">
        <w:rPr>
          <w:rFonts w:eastAsia="Calibri" w:cstheme="minorHAnsi"/>
        </w:rPr>
        <w:t xml:space="preserve"> do </w:t>
      </w:r>
      <w:r w:rsidRPr="0097459F">
        <w:rPr>
          <w:rFonts w:eastAsia="Calibri" w:cstheme="minorHAnsi"/>
          <w:b/>
        </w:rPr>
        <w:t>caput</w:t>
      </w:r>
      <w:r w:rsidR="00C53B52" w:rsidRPr="0097459F">
        <w:rPr>
          <w:rFonts w:eastAsia="Calibri" w:cstheme="minorHAnsi"/>
        </w:rPr>
        <w:t xml:space="preserve"> se torna facultativa</w:t>
      </w:r>
      <w:r w:rsidR="00F55909" w:rsidRPr="0097459F">
        <w:rPr>
          <w:rFonts w:eastAsia="Calibri" w:cstheme="minorHAnsi"/>
        </w:rPr>
        <w:t>.</w:t>
      </w:r>
    </w:p>
    <w:p w14:paraId="615E4BE1" w14:textId="3A2A5146" w:rsidR="00957460" w:rsidRPr="0097459F" w:rsidRDefault="00957460" w:rsidP="00C20BBD">
      <w:pPr>
        <w:pStyle w:val="Normalalteradora"/>
        <w:rPr>
          <w:rFonts w:eastAsia="Calibri" w:cstheme="minorHAnsi"/>
        </w:rPr>
      </w:pPr>
      <w:r w:rsidRPr="0097459F">
        <w:rPr>
          <w:rFonts w:eastAsia="Calibri" w:cstheme="minorHAnsi"/>
        </w:rPr>
        <w:t xml:space="preserve">§ </w:t>
      </w:r>
      <w:r w:rsidR="00927FE6" w:rsidRPr="0097459F">
        <w:rPr>
          <w:rFonts w:eastAsia="Calibri" w:cstheme="minorHAnsi"/>
        </w:rPr>
        <w:t>2</w:t>
      </w:r>
      <w:r w:rsidRPr="0097459F">
        <w:rPr>
          <w:rFonts w:eastAsia="Calibri" w:cstheme="minorHAnsi"/>
        </w:rPr>
        <w:t xml:space="preserve">º  Caso anteriormente à convocação da assembleia de que trata </w:t>
      </w:r>
      <w:r w:rsidR="009032E3" w:rsidRPr="0097459F">
        <w:rPr>
          <w:rFonts w:eastAsia="Calibri" w:cstheme="minorHAnsi"/>
        </w:rPr>
        <w:t>a alínea “b” d</w:t>
      </w:r>
      <w:r w:rsidR="00D1622A" w:rsidRPr="0097459F">
        <w:rPr>
          <w:rFonts w:eastAsia="Calibri" w:cstheme="minorHAnsi"/>
        </w:rPr>
        <w:t xml:space="preserve">o inciso II do </w:t>
      </w:r>
      <w:r w:rsidR="00D1622A" w:rsidRPr="0097459F">
        <w:rPr>
          <w:rFonts w:eastAsia="Calibri" w:cstheme="minorHAnsi"/>
          <w:b/>
        </w:rPr>
        <w:t>caput</w:t>
      </w:r>
      <w:r w:rsidRPr="0097459F">
        <w:rPr>
          <w:rFonts w:eastAsia="Calibri" w:cstheme="minorHAnsi"/>
        </w:rPr>
        <w:t xml:space="preserve">, o administrador verifique que o patrimônio líquido deixou de estar negativo, o gestor e o administrador ficam dispensados de prosseguir com os procedimentos previstos neste artigo, devendo o administrador divulgar novo fato relevante, no qual </w:t>
      </w:r>
      <w:r w:rsidR="00D76102" w:rsidRPr="0097459F">
        <w:rPr>
          <w:rFonts w:eastAsia="Calibri" w:cstheme="minorHAnsi"/>
        </w:rPr>
        <w:t>devem</w:t>
      </w:r>
      <w:r w:rsidRPr="0097459F">
        <w:rPr>
          <w:rFonts w:eastAsia="Calibri" w:cstheme="minorHAnsi"/>
        </w:rPr>
        <w:t xml:space="preserve"> constar o patrimônio líquido atualizado e, ainda que resumidamente, as causas e circunstâncias que resultaram no patrimônio líquido negativo.</w:t>
      </w:r>
    </w:p>
    <w:p w14:paraId="51873FDB" w14:textId="24BB7CEF" w:rsidR="00957460" w:rsidRPr="0097459F" w:rsidRDefault="00957460" w:rsidP="00C20BBD">
      <w:pPr>
        <w:pStyle w:val="Normalalteradora"/>
        <w:rPr>
          <w:rFonts w:eastAsia="Calibri" w:cstheme="minorHAnsi"/>
        </w:rPr>
      </w:pPr>
      <w:r w:rsidRPr="0097459F">
        <w:rPr>
          <w:rFonts w:eastAsia="Calibri" w:cstheme="minorHAnsi"/>
        </w:rPr>
        <w:t xml:space="preserve">§ </w:t>
      </w:r>
      <w:r w:rsidR="00F55909" w:rsidRPr="0097459F">
        <w:rPr>
          <w:rFonts w:eastAsia="Calibri" w:cstheme="minorHAnsi"/>
        </w:rPr>
        <w:t>3</w:t>
      </w:r>
      <w:r w:rsidRPr="0097459F">
        <w:rPr>
          <w:rFonts w:eastAsia="Calibri" w:cstheme="minorHAnsi"/>
        </w:rPr>
        <w:t xml:space="preserve">º </w:t>
      </w:r>
      <w:r w:rsidR="00D1622A" w:rsidRPr="0097459F">
        <w:rPr>
          <w:rFonts w:eastAsia="Calibri" w:cstheme="minorHAnsi"/>
        </w:rPr>
        <w:t xml:space="preserve"> </w:t>
      </w:r>
      <w:r w:rsidRPr="0097459F">
        <w:rPr>
          <w:rFonts w:eastAsia="Calibri" w:cstheme="minorHAnsi"/>
        </w:rPr>
        <w:t xml:space="preserve">Caso posteriormente à convocação da assembleia de que trata </w:t>
      </w:r>
      <w:r w:rsidR="009032E3" w:rsidRPr="0097459F">
        <w:rPr>
          <w:rFonts w:eastAsia="Calibri" w:cstheme="minorHAnsi"/>
        </w:rPr>
        <w:t xml:space="preserve">a alínea “b” do </w:t>
      </w:r>
      <w:r w:rsidR="00D1622A" w:rsidRPr="0097459F">
        <w:rPr>
          <w:rFonts w:eastAsia="Calibri" w:cstheme="minorHAnsi"/>
        </w:rPr>
        <w:t xml:space="preserve">inciso II do </w:t>
      </w:r>
      <w:r w:rsidR="00D1622A" w:rsidRPr="0097459F">
        <w:rPr>
          <w:rFonts w:eastAsia="Calibri" w:cstheme="minorHAnsi"/>
          <w:b/>
        </w:rPr>
        <w:t>caput</w:t>
      </w:r>
      <w:r w:rsidRPr="0097459F">
        <w:rPr>
          <w:rFonts w:eastAsia="Calibri" w:cstheme="minorHAnsi"/>
        </w:rPr>
        <w:t xml:space="preserve">, e anteriormente à sua realização, o administrador verifique que o patrimônio líquido deixou de estar negativo, a assembleia deve ser realizada para que o gestor apresente aos cotistas o patrimônio líquido atualizado e as causas e circunstâncias que resultaram no patrimônio líquido negativo, não se aplicando o disposto no § </w:t>
      </w:r>
      <w:r w:rsidR="00912664" w:rsidRPr="0097459F">
        <w:rPr>
          <w:rFonts w:eastAsia="Calibri" w:cstheme="minorHAnsi"/>
        </w:rPr>
        <w:t>4</w:t>
      </w:r>
      <w:r w:rsidRPr="0097459F">
        <w:rPr>
          <w:rFonts w:eastAsia="Calibri" w:cstheme="minorHAnsi"/>
        </w:rPr>
        <w:t>º.</w:t>
      </w:r>
    </w:p>
    <w:p w14:paraId="5F7D76E0" w14:textId="3233B53C" w:rsidR="00893D49" w:rsidRPr="0097459F" w:rsidRDefault="00893D49" w:rsidP="00C20BBD">
      <w:pPr>
        <w:pStyle w:val="Normalalteradora"/>
        <w:rPr>
          <w:rFonts w:eastAsia="Calibri" w:cstheme="minorHAnsi"/>
        </w:rPr>
      </w:pPr>
      <w:r w:rsidRPr="0097459F">
        <w:rPr>
          <w:rFonts w:eastAsia="Calibri" w:cstheme="minorHAnsi"/>
        </w:rPr>
        <w:t xml:space="preserve">§ </w:t>
      </w:r>
      <w:r w:rsidR="00912664" w:rsidRPr="0097459F">
        <w:rPr>
          <w:rFonts w:eastAsia="Calibri" w:cstheme="minorHAnsi"/>
        </w:rPr>
        <w:t>4º</w:t>
      </w:r>
      <w:r w:rsidRPr="0097459F">
        <w:rPr>
          <w:rFonts w:eastAsia="Calibri" w:cstheme="minorHAnsi"/>
        </w:rPr>
        <w:t xml:space="preserve">  Na assembleia </w:t>
      </w:r>
      <w:r w:rsidR="002F2D2A" w:rsidRPr="0097459F">
        <w:rPr>
          <w:rFonts w:eastAsia="Calibri" w:cstheme="minorHAnsi"/>
        </w:rPr>
        <w:t xml:space="preserve">de que trata a alínea “b” do inciso II </w:t>
      </w:r>
      <w:r w:rsidRPr="0097459F">
        <w:rPr>
          <w:rFonts w:eastAsia="Calibri" w:cstheme="minorHAnsi"/>
        </w:rPr>
        <w:t xml:space="preserve">do </w:t>
      </w:r>
      <w:r w:rsidRPr="0097459F">
        <w:rPr>
          <w:rFonts w:eastAsia="Calibri" w:cstheme="minorHAnsi"/>
          <w:b/>
        </w:rPr>
        <w:t>caput</w:t>
      </w:r>
      <w:r w:rsidRPr="0097459F">
        <w:rPr>
          <w:rFonts w:eastAsia="Calibri" w:cstheme="minorHAnsi"/>
        </w:rPr>
        <w:t xml:space="preserve">, em caso de não aprovação do plano </w:t>
      </w:r>
      <w:r w:rsidR="00957460" w:rsidRPr="0097459F">
        <w:rPr>
          <w:rFonts w:eastAsia="Calibri" w:cstheme="minorHAnsi"/>
        </w:rPr>
        <w:t>de resolução do patrimônio líquido negativo</w:t>
      </w:r>
      <w:r w:rsidRPr="0097459F">
        <w:rPr>
          <w:rFonts w:eastAsia="Calibri" w:cstheme="minorHAnsi"/>
        </w:rPr>
        <w:t>, os cotistas devem deliberar sobre as seguintes possibilidades:</w:t>
      </w:r>
    </w:p>
    <w:p w14:paraId="6B465D4B" w14:textId="0AF83AA7" w:rsidR="00893D49" w:rsidRPr="0097459F" w:rsidRDefault="00893D49" w:rsidP="00C20BBD">
      <w:pPr>
        <w:pStyle w:val="Normalalteradora"/>
        <w:rPr>
          <w:rFonts w:eastAsia="Calibri"/>
        </w:rPr>
      </w:pPr>
      <w:r w:rsidRPr="0097459F">
        <w:rPr>
          <w:rFonts w:eastAsia="Calibri"/>
        </w:rPr>
        <w:t xml:space="preserve">I – cobrir o patrimônio líquido negativo, mediante aporte de </w:t>
      </w:r>
      <w:r w:rsidR="00C959D1" w:rsidRPr="0097459F">
        <w:rPr>
          <w:rFonts w:eastAsia="Calibri"/>
        </w:rPr>
        <w:t>recursos</w:t>
      </w:r>
      <w:r w:rsidRPr="0097459F">
        <w:rPr>
          <w:rFonts w:eastAsia="Calibri"/>
        </w:rPr>
        <w:t xml:space="preserve">, próprios ou de terceiros, em </w:t>
      </w:r>
      <w:r w:rsidR="3D30B9B8" w:rsidRPr="0097459F">
        <w:rPr>
          <w:rFonts w:eastAsia="Calibri"/>
        </w:rPr>
        <w:t xml:space="preserve">montante e </w:t>
      </w:r>
      <w:r w:rsidR="04AFB46A" w:rsidRPr="0097459F">
        <w:rPr>
          <w:rFonts w:eastAsia="Calibri"/>
        </w:rPr>
        <w:t>prazo condizente</w:t>
      </w:r>
      <w:r w:rsidR="3EBEAC9D" w:rsidRPr="0097459F">
        <w:rPr>
          <w:rFonts w:eastAsia="Calibri"/>
        </w:rPr>
        <w:t>s</w:t>
      </w:r>
      <w:r w:rsidRPr="0097459F">
        <w:rPr>
          <w:rFonts w:eastAsia="Calibri"/>
        </w:rPr>
        <w:t xml:space="preserve"> com as obrigações da classe, hipótese </w:t>
      </w:r>
      <w:r w:rsidR="00EF6787" w:rsidRPr="0097459F">
        <w:rPr>
          <w:rFonts w:eastAsia="Calibri"/>
        </w:rPr>
        <w:t xml:space="preserve">que afasta a </w:t>
      </w:r>
      <w:r w:rsidR="00437D20" w:rsidRPr="0097459F">
        <w:rPr>
          <w:rFonts w:eastAsia="Calibri"/>
        </w:rPr>
        <w:t>proibição</w:t>
      </w:r>
      <w:r w:rsidR="00EF6787" w:rsidRPr="0097459F">
        <w:rPr>
          <w:rFonts w:eastAsia="Calibri"/>
        </w:rPr>
        <w:t xml:space="preserve"> disposta no art. </w:t>
      </w:r>
      <w:r w:rsidR="00E24209" w:rsidRPr="0097459F">
        <w:rPr>
          <w:rFonts w:eastAsia="Calibri"/>
        </w:rPr>
        <w:t>122</w:t>
      </w:r>
      <w:r w:rsidR="00EF6787" w:rsidRPr="0097459F">
        <w:rPr>
          <w:rFonts w:eastAsia="Calibri"/>
        </w:rPr>
        <w:t>, inciso I, alínea “b”</w:t>
      </w:r>
      <w:r w:rsidRPr="0097459F">
        <w:rPr>
          <w:rFonts w:eastAsia="Calibri"/>
        </w:rPr>
        <w:t>;</w:t>
      </w:r>
    </w:p>
    <w:p w14:paraId="0575F1FF" w14:textId="28E12AE0" w:rsidR="00893D49" w:rsidRPr="0097459F" w:rsidRDefault="00893D49" w:rsidP="00C20BBD">
      <w:pPr>
        <w:pStyle w:val="Normalalteradora"/>
        <w:rPr>
          <w:rFonts w:eastAsia="Calibri" w:cstheme="minorHAnsi"/>
        </w:rPr>
      </w:pPr>
      <w:r w:rsidRPr="0097459F">
        <w:rPr>
          <w:rFonts w:eastAsia="Calibri" w:cstheme="minorHAnsi"/>
        </w:rPr>
        <w:t xml:space="preserve">II – cindir, fundir ou incorporar a classe a </w:t>
      </w:r>
      <w:r w:rsidR="004D2FD0" w:rsidRPr="0097459F">
        <w:rPr>
          <w:rFonts w:eastAsia="Calibri" w:cstheme="minorHAnsi"/>
        </w:rPr>
        <w:t>outro fundo</w:t>
      </w:r>
      <w:r w:rsidRPr="0097459F">
        <w:rPr>
          <w:rFonts w:eastAsia="Calibri" w:cstheme="minorHAnsi"/>
        </w:rPr>
        <w:t xml:space="preserve"> que tenha apresentado proposta já analisada </w:t>
      </w:r>
      <w:r w:rsidR="003205C2" w:rsidRPr="0097459F">
        <w:rPr>
          <w:rFonts w:eastAsia="Calibri" w:cstheme="minorHAnsi"/>
        </w:rPr>
        <w:t>pelos prestadores de serviços essenciais</w:t>
      </w:r>
      <w:r w:rsidR="007E0D52" w:rsidRPr="0097459F">
        <w:rPr>
          <w:rFonts w:eastAsia="Calibri" w:cstheme="minorHAnsi"/>
        </w:rPr>
        <w:t>;</w:t>
      </w:r>
    </w:p>
    <w:p w14:paraId="18D17EE8" w14:textId="68D161E9" w:rsidR="00893D49" w:rsidRPr="0097459F" w:rsidRDefault="00893D49" w:rsidP="00C20BBD">
      <w:pPr>
        <w:pStyle w:val="Normalalteradora"/>
        <w:rPr>
          <w:rFonts w:eastAsia="Calibri" w:cstheme="minorHAnsi"/>
        </w:rPr>
      </w:pPr>
      <w:r w:rsidRPr="0097459F">
        <w:rPr>
          <w:rFonts w:eastAsia="Calibri" w:cstheme="minorHAnsi"/>
        </w:rPr>
        <w:lastRenderedPageBreak/>
        <w:t xml:space="preserve">III – liquidar a classe que estiver com patrimônio líquido negativo, desde que não remanesçam obrigações a serem honradas pelo </w:t>
      </w:r>
      <w:r w:rsidR="00072977" w:rsidRPr="0097459F">
        <w:rPr>
          <w:rFonts w:eastAsia="Calibri" w:cstheme="minorHAnsi"/>
        </w:rPr>
        <w:t xml:space="preserve">seu </w:t>
      </w:r>
      <w:r w:rsidRPr="0097459F">
        <w:rPr>
          <w:rFonts w:eastAsia="Calibri" w:cstheme="minorHAnsi"/>
        </w:rPr>
        <w:t>patrimônio;</w:t>
      </w:r>
      <w:r w:rsidR="000E0E80" w:rsidRPr="0097459F">
        <w:rPr>
          <w:rFonts w:eastAsia="Calibri" w:cstheme="minorHAnsi"/>
        </w:rPr>
        <w:t xml:space="preserve"> </w:t>
      </w:r>
      <w:r w:rsidRPr="0097459F">
        <w:rPr>
          <w:rFonts w:eastAsia="Calibri" w:cstheme="minorHAnsi"/>
        </w:rPr>
        <w:t>ou</w:t>
      </w:r>
    </w:p>
    <w:p w14:paraId="7631E3FF" w14:textId="12974A37" w:rsidR="006D619B" w:rsidRPr="0097459F" w:rsidRDefault="00893D49" w:rsidP="00C20BBD">
      <w:pPr>
        <w:pStyle w:val="Normalalteradora"/>
        <w:rPr>
          <w:rFonts w:eastAsia="Calibri" w:cstheme="minorHAnsi"/>
        </w:rPr>
      </w:pPr>
      <w:r w:rsidRPr="0097459F">
        <w:rPr>
          <w:rFonts w:eastAsia="Calibri" w:cstheme="minorHAnsi"/>
        </w:rPr>
        <w:t xml:space="preserve">IV – determinar que o administrador entre com pedido de declaração judicial de insolvência </w:t>
      </w:r>
      <w:r w:rsidR="00072977" w:rsidRPr="0097459F">
        <w:rPr>
          <w:rFonts w:eastAsia="Calibri" w:cstheme="minorHAnsi"/>
        </w:rPr>
        <w:t>da classe</w:t>
      </w:r>
      <w:r w:rsidR="00BA26DA" w:rsidRPr="0097459F">
        <w:rPr>
          <w:rFonts w:eastAsia="Calibri" w:cstheme="minorHAnsi"/>
        </w:rPr>
        <w:t xml:space="preserve"> de cotas</w:t>
      </w:r>
      <w:r w:rsidRPr="0097459F">
        <w:rPr>
          <w:rFonts w:eastAsia="Calibri" w:cstheme="minorHAnsi"/>
        </w:rPr>
        <w:t>.</w:t>
      </w:r>
    </w:p>
    <w:p w14:paraId="573ACC41" w14:textId="5E5AE2E2" w:rsidR="00893D49" w:rsidRPr="0097459F" w:rsidRDefault="00893D49" w:rsidP="00C20BBD">
      <w:pPr>
        <w:pStyle w:val="Normalalteradora"/>
        <w:rPr>
          <w:rFonts w:eastAsia="Calibri" w:cstheme="minorHAnsi"/>
        </w:rPr>
      </w:pPr>
      <w:r w:rsidRPr="0097459F">
        <w:rPr>
          <w:rFonts w:eastAsia="Calibri" w:cstheme="minorHAnsi"/>
        </w:rPr>
        <w:t xml:space="preserve">§ </w:t>
      </w:r>
      <w:r w:rsidR="00912664" w:rsidRPr="0097459F">
        <w:rPr>
          <w:rFonts w:eastAsia="Calibri" w:cstheme="minorHAnsi"/>
        </w:rPr>
        <w:t>5º</w:t>
      </w:r>
      <w:r w:rsidRPr="0097459F">
        <w:rPr>
          <w:rFonts w:eastAsia="Calibri" w:cstheme="minorHAnsi"/>
        </w:rPr>
        <w:t xml:space="preserve">  O gestor deve comparecer à assembleia de que trata </w:t>
      </w:r>
      <w:r w:rsidR="002F2D2A" w:rsidRPr="0097459F">
        <w:rPr>
          <w:rFonts w:eastAsia="Calibri" w:cstheme="minorHAnsi"/>
        </w:rPr>
        <w:t>a alínea “b” d</w:t>
      </w:r>
      <w:r w:rsidRPr="0097459F">
        <w:rPr>
          <w:rFonts w:eastAsia="Calibri" w:cstheme="minorHAnsi"/>
        </w:rPr>
        <w:t xml:space="preserve">o inciso II do </w:t>
      </w:r>
      <w:r w:rsidRPr="0097459F">
        <w:rPr>
          <w:rFonts w:eastAsia="Calibri" w:cstheme="minorHAnsi"/>
          <w:b/>
        </w:rPr>
        <w:t>caput</w:t>
      </w:r>
      <w:r w:rsidRPr="0097459F">
        <w:rPr>
          <w:rFonts w:eastAsia="Calibri" w:cstheme="minorHAnsi"/>
        </w:rPr>
        <w:t xml:space="preserve">, na qualidade de responsável pela </w:t>
      </w:r>
      <w:r w:rsidR="008D6389" w:rsidRPr="0097459F">
        <w:rPr>
          <w:rFonts w:eastAsia="Calibri" w:cstheme="minorHAnsi"/>
        </w:rPr>
        <w:t>gestão</w:t>
      </w:r>
      <w:r w:rsidR="002F2D2A" w:rsidRPr="0097459F">
        <w:rPr>
          <w:rFonts w:eastAsia="Calibri"/>
        </w:rPr>
        <w:t xml:space="preserve"> da carteira de ativos</w:t>
      </w:r>
      <w:r w:rsidR="00072977" w:rsidRPr="0097459F">
        <w:rPr>
          <w:rFonts w:eastAsia="Calibri" w:cstheme="minorHAnsi"/>
        </w:rPr>
        <w:t>, observado que a ausência do gestor não impõe ao administrador qualquer óbice quanto a sua realização</w:t>
      </w:r>
      <w:r w:rsidRPr="0097459F">
        <w:rPr>
          <w:rFonts w:eastAsia="Calibri" w:cstheme="minorHAnsi"/>
        </w:rPr>
        <w:t>.</w:t>
      </w:r>
    </w:p>
    <w:p w14:paraId="149C3F92" w14:textId="081E1E71" w:rsidR="0030706F" w:rsidRPr="0097459F" w:rsidRDefault="0030706F" w:rsidP="00C20BBD">
      <w:pPr>
        <w:pStyle w:val="Normalalteradora"/>
        <w:rPr>
          <w:rFonts w:eastAsia="Calibri" w:cstheme="minorHAnsi"/>
        </w:rPr>
      </w:pPr>
      <w:r w:rsidRPr="0097459F">
        <w:rPr>
          <w:rFonts w:eastAsia="Calibri" w:cstheme="minorHAnsi"/>
        </w:rPr>
        <w:t xml:space="preserve">§ </w:t>
      </w:r>
      <w:r w:rsidR="00912664" w:rsidRPr="0097459F">
        <w:rPr>
          <w:rFonts w:eastAsia="Calibri" w:cstheme="minorHAnsi"/>
        </w:rPr>
        <w:t>6</w:t>
      </w:r>
      <w:r w:rsidRPr="0097459F">
        <w:rPr>
          <w:rFonts w:eastAsia="Calibri" w:cstheme="minorHAnsi"/>
        </w:rPr>
        <w:t>º</w:t>
      </w:r>
      <w:r w:rsidR="008D6389" w:rsidRPr="0097459F">
        <w:rPr>
          <w:rFonts w:eastAsia="Calibri" w:cstheme="minorHAnsi"/>
        </w:rPr>
        <w:t xml:space="preserve"> </w:t>
      </w:r>
      <w:r w:rsidRPr="0097459F">
        <w:rPr>
          <w:rFonts w:eastAsia="Calibri" w:cstheme="minorHAnsi"/>
        </w:rPr>
        <w:t xml:space="preserve"> Na assembleia </w:t>
      </w:r>
      <w:r w:rsidR="002F2D2A" w:rsidRPr="0097459F">
        <w:rPr>
          <w:rFonts w:eastAsia="Calibri" w:cstheme="minorHAnsi"/>
        </w:rPr>
        <w:t>de que trata</w:t>
      </w:r>
      <w:r w:rsidRPr="0097459F">
        <w:rPr>
          <w:rFonts w:eastAsia="Calibri" w:cstheme="minorHAnsi"/>
        </w:rPr>
        <w:t xml:space="preserve"> </w:t>
      </w:r>
      <w:r w:rsidR="002F2D2A" w:rsidRPr="0097459F">
        <w:rPr>
          <w:rFonts w:eastAsia="Calibri" w:cstheme="minorHAnsi"/>
        </w:rPr>
        <w:t>a alínea “b” d</w:t>
      </w:r>
      <w:r w:rsidRPr="0097459F">
        <w:rPr>
          <w:rFonts w:eastAsia="Calibri" w:cstheme="minorHAnsi"/>
        </w:rPr>
        <w:t>o inciso II</w:t>
      </w:r>
      <w:r w:rsidR="004D2FD0" w:rsidRPr="0097459F">
        <w:rPr>
          <w:rFonts w:eastAsia="Calibri" w:cstheme="minorHAnsi"/>
        </w:rPr>
        <w:t xml:space="preserve"> </w:t>
      </w:r>
      <w:r w:rsidRPr="0097459F">
        <w:rPr>
          <w:rFonts w:eastAsia="Calibri" w:cstheme="minorHAnsi"/>
        </w:rPr>
        <w:t xml:space="preserve">do </w:t>
      </w:r>
      <w:r w:rsidRPr="0097459F">
        <w:rPr>
          <w:rFonts w:eastAsia="Calibri" w:cstheme="minorHAnsi"/>
          <w:b/>
        </w:rPr>
        <w:t>caput</w:t>
      </w:r>
      <w:r w:rsidRPr="0097459F">
        <w:rPr>
          <w:rFonts w:eastAsia="Calibri" w:cstheme="minorHAnsi"/>
        </w:rPr>
        <w:t>, é permitida a manifestação dos credores</w:t>
      </w:r>
      <w:r w:rsidR="0025312B" w:rsidRPr="0097459F">
        <w:rPr>
          <w:rFonts w:eastAsia="Calibri" w:cstheme="minorHAnsi"/>
        </w:rPr>
        <w:t xml:space="preserve">, nessa qualidade, desde que prevista na ata da convocação ou autorizada pela </w:t>
      </w:r>
      <w:r w:rsidR="00AB3F4D" w:rsidRPr="0097459F">
        <w:rPr>
          <w:rFonts w:eastAsia="Calibri" w:cstheme="minorHAnsi"/>
        </w:rPr>
        <w:t>m</w:t>
      </w:r>
      <w:r w:rsidR="0025312B" w:rsidRPr="0097459F">
        <w:rPr>
          <w:rFonts w:eastAsia="Calibri" w:cstheme="minorHAnsi"/>
        </w:rPr>
        <w:t>esa ou pelos cotistas presentes</w:t>
      </w:r>
      <w:r w:rsidR="007E0D52" w:rsidRPr="0097459F">
        <w:rPr>
          <w:rFonts w:eastAsia="Calibri" w:cstheme="minorHAnsi"/>
        </w:rPr>
        <w:t>.</w:t>
      </w:r>
    </w:p>
    <w:p w14:paraId="42E9652D" w14:textId="1E28C9C3" w:rsidR="00B863FF" w:rsidRPr="0097459F" w:rsidRDefault="00B863FF" w:rsidP="00C20BBD">
      <w:pPr>
        <w:pStyle w:val="Normalalteradora"/>
        <w:rPr>
          <w:rFonts w:eastAsia="Calibri" w:cstheme="minorHAnsi"/>
        </w:rPr>
      </w:pPr>
      <w:r w:rsidRPr="0097459F">
        <w:rPr>
          <w:rFonts w:eastAsia="Calibri" w:cstheme="minorHAnsi"/>
        </w:rPr>
        <w:t xml:space="preserve">§ </w:t>
      </w:r>
      <w:r w:rsidR="00912664" w:rsidRPr="0097459F">
        <w:rPr>
          <w:rFonts w:eastAsia="Calibri" w:cstheme="minorHAnsi"/>
        </w:rPr>
        <w:t>7</w:t>
      </w:r>
      <w:r w:rsidRPr="0097459F">
        <w:rPr>
          <w:rFonts w:eastAsia="Calibri" w:cstheme="minorHAnsi"/>
        </w:rPr>
        <w:t>º  Caso a assembleia não seja instalada por falta de quórum ou os cotistas não deliberem em favor de qualquer possibilidade prevista</w:t>
      </w:r>
      <w:r w:rsidR="007E0D52" w:rsidRPr="0097459F">
        <w:rPr>
          <w:rFonts w:eastAsia="Calibri" w:cstheme="minorHAnsi"/>
        </w:rPr>
        <w:t xml:space="preserve"> no § 4</w:t>
      </w:r>
      <w:r w:rsidRPr="0097459F">
        <w:rPr>
          <w:rFonts w:eastAsia="Calibri" w:cstheme="minorHAnsi"/>
        </w:rPr>
        <w:t>º, o administrador deve ingressar com pedido de declaração judicial de insolvência da classe.</w:t>
      </w:r>
    </w:p>
    <w:p w14:paraId="6701B51F" w14:textId="3F2C77A3" w:rsidR="00893D49" w:rsidRPr="0097459F" w:rsidRDefault="00893D49" w:rsidP="00C20BBD">
      <w:pPr>
        <w:pStyle w:val="Normalalteradora"/>
        <w:rPr>
          <w:rFonts w:eastAsia="Calibri" w:cstheme="minorHAnsi"/>
        </w:rPr>
      </w:pPr>
      <w:r w:rsidRPr="0097459F">
        <w:rPr>
          <w:rFonts w:eastAsia="Calibri" w:cstheme="minorHAnsi"/>
        </w:rPr>
        <w:t xml:space="preserve">Art. </w:t>
      </w:r>
      <w:r w:rsidR="004D767E" w:rsidRPr="0097459F">
        <w:rPr>
          <w:rFonts w:eastAsia="Calibri" w:cstheme="minorHAnsi"/>
        </w:rPr>
        <w:t>123</w:t>
      </w:r>
      <w:r w:rsidRPr="0097459F">
        <w:rPr>
          <w:rFonts w:eastAsia="Calibri" w:cstheme="minorHAnsi"/>
        </w:rPr>
        <w:t xml:space="preserve">.  A CVM pode pedir a declaração judicial de insolvência </w:t>
      </w:r>
      <w:r w:rsidR="00072977" w:rsidRPr="0097459F">
        <w:rPr>
          <w:rFonts w:eastAsia="Calibri" w:cstheme="minorHAnsi"/>
        </w:rPr>
        <w:t>da classe de cotas</w:t>
      </w:r>
      <w:r w:rsidRPr="0097459F">
        <w:rPr>
          <w:rFonts w:eastAsia="Calibri" w:cstheme="minorHAnsi"/>
        </w:rPr>
        <w:t xml:space="preserve">, quando identificar situação na qual </w:t>
      </w:r>
      <w:r w:rsidR="00346020" w:rsidRPr="0097459F">
        <w:rPr>
          <w:rFonts w:eastAsia="Calibri" w:cstheme="minorHAnsi"/>
        </w:rPr>
        <w:t xml:space="preserve">seu </w:t>
      </w:r>
      <w:r w:rsidRPr="0097459F">
        <w:rPr>
          <w:rFonts w:eastAsia="Calibri" w:cstheme="minorHAnsi"/>
        </w:rPr>
        <w:t>patrimônio líquido negativo represente risco para o funcionamento eficiente do mercado de valores mobiliários ou para a integridade do sistema financeiro.</w:t>
      </w:r>
    </w:p>
    <w:p w14:paraId="478E4A24" w14:textId="38D0CEC6" w:rsidR="00893D49" w:rsidRPr="0097459F" w:rsidRDefault="00893D49" w:rsidP="00C20BBD">
      <w:pPr>
        <w:pStyle w:val="Normalalteradora"/>
        <w:rPr>
          <w:rFonts w:eastAsia="Calibri" w:cstheme="minorHAnsi"/>
        </w:rPr>
      </w:pPr>
      <w:r w:rsidRPr="0097459F">
        <w:rPr>
          <w:rFonts w:eastAsia="Calibri" w:cstheme="minorHAnsi"/>
        </w:rPr>
        <w:t xml:space="preserve">Art. </w:t>
      </w:r>
      <w:r w:rsidR="004D767E" w:rsidRPr="0097459F">
        <w:rPr>
          <w:rFonts w:eastAsia="Calibri" w:cstheme="minorHAnsi"/>
        </w:rPr>
        <w:t>124</w:t>
      </w:r>
      <w:r w:rsidRPr="0097459F">
        <w:rPr>
          <w:rFonts w:eastAsia="Calibri" w:cstheme="minorHAnsi"/>
        </w:rPr>
        <w:t>.  Tão logo tenha ciência de qualquer pedido de declaração judicial de insolvência</w:t>
      </w:r>
      <w:r w:rsidR="00BC77D2" w:rsidRPr="0097459F">
        <w:rPr>
          <w:rFonts w:eastAsia="Calibri" w:cstheme="minorHAnsi"/>
        </w:rPr>
        <w:t xml:space="preserve"> da classe de cotas</w:t>
      </w:r>
      <w:r w:rsidRPr="0097459F">
        <w:rPr>
          <w:rFonts w:eastAsia="Calibri" w:cstheme="minorHAnsi"/>
        </w:rPr>
        <w:t xml:space="preserve">, o administrador deve divulgar fato relevante, nos termos do art. </w:t>
      </w:r>
      <w:r w:rsidR="00087932" w:rsidRPr="0097459F">
        <w:rPr>
          <w:rFonts w:eastAsia="Calibri" w:cstheme="minorHAnsi"/>
        </w:rPr>
        <w:t>64</w:t>
      </w:r>
      <w:r w:rsidRPr="0097459F">
        <w:rPr>
          <w:rFonts w:eastAsia="Calibri" w:cstheme="minorHAnsi"/>
        </w:rPr>
        <w:t>.</w:t>
      </w:r>
    </w:p>
    <w:p w14:paraId="38BF25CA" w14:textId="4EF57E36" w:rsidR="00893D49" w:rsidRPr="0097459F" w:rsidRDefault="00893D49" w:rsidP="00C20BBD">
      <w:pPr>
        <w:pStyle w:val="Normalalteradora"/>
        <w:rPr>
          <w:rFonts w:eastAsia="Calibri" w:cstheme="minorHAnsi"/>
        </w:rPr>
      </w:pPr>
      <w:r w:rsidRPr="0097459F">
        <w:rPr>
          <w:rFonts w:eastAsia="Calibri" w:cstheme="minorHAnsi"/>
        </w:rPr>
        <w:t xml:space="preserve">Parágrafo único.  Qualquer pedido de declaração judicial de insolvência constitui um evento de avaliação obrigatório do patrimônio líquido </w:t>
      </w:r>
      <w:r w:rsidR="00072977" w:rsidRPr="0097459F">
        <w:rPr>
          <w:rFonts w:eastAsia="Calibri" w:cstheme="minorHAnsi"/>
        </w:rPr>
        <w:t>da classe</w:t>
      </w:r>
      <w:r w:rsidRPr="0097459F">
        <w:rPr>
          <w:rFonts w:eastAsia="Calibri" w:cstheme="minorHAnsi"/>
        </w:rPr>
        <w:t xml:space="preserve"> </w:t>
      </w:r>
      <w:r w:rsidR="002F2D2A" w:rsidRPr="0097459F">
        <w:rPr>
          <w:rFonts w:eastAsia="Calibri" w:cstheme="minorHAnsi"/>
        </w:rPr>
        <w:t xml:space="preserve">afetada </w:t>
      </w:r>
      <w:r w:rsidRPr="0097459F">
        <w:rPr>
          <w:rFonts w:eastAsia="Calibri" w:cstheme="minorHAnsi"/>
        </w:rPr>
        <w:t>pelo administrador.</w:t>
      </w:r>
    </w:p>
    <w:p w14:paraId="181980A4" w14:textId="3D995147" w:rsidR="00893D49" w:rsidRPr="0097459F" w:rsidRDefault="00893D49" w:rsidP="00C20BBD">
      <w:pPr>
        <w:pStyle w:val="Normalalteradora"/>
        <w:rPr>
          <w:rFonts w:eastAsia="Calibri" w:cstheme="minorHAnsi"/>
        </w:rPr>
      </w:pPr>
      <w:r w:rsidRPr="0097459F">
        <w:rPr>
          <w:rFonts w:eastAsia="Calibri" w:cstheme="minorHAnsi"/>
        </w:rPr>
        <w:t xml:space="preserve">Art. </w:t>
      </w:r>
      <w:r w:rsidR="004D767E" w:rsidRPr="0097459F">
        <w:rPr>
          <w:rFonts w:eastAsia="Calibri" w:cstheme="minorHAnsi"/>
        </w:rPr>
        <w:t>125</w:t>
      </w:r>
      <w:r w:rsidRPr="0097459F">
        <w:rPr>
          <w:rFonts w:eastAsia="Calibri" w:cstheme="minorHAnsi"/>
        </w:rPr>
        <w:t xml:space="preserve">.  Tão logo tenha ciência da declaração judicial de insolvência </w:t>
      </w:r>
      <w:r w:rsidR="002F2D2A" w:rsidRPr="0097459F">
        <w:rPr>
          <w:rFonts w:eastAsia="Calibri"/>
        </w:rPr>
        <w:t>de</w:t>
      </w:r>
      <w:r w:rsidR="00072977" w:rsidRPr="0097459F">
        <w:rPr>
          <w:rFonts w:eastAsia="Calibri" w:cstheme="minorHAnsi"/>
        </w:rPr>
        <w:t xml:space="preserve"> classe de cotas</w:t>
      </w:r>
      <w:r w:rsidRPr="0097459F">
        <w:rPr>
          <w:rFonts w:eastAsia="Calibri" w:cstheme="minorHAnsi"/>
        </w:rPr>
        <w:t>, o administrador deve adotar as seguintes medidas:</w:t>
      </w:r>
    </w:p>
    <w:p w14:paraId="2568C748" w14:textId="3DCFF858" w:rsidR="00893D49" w:rsidRPr="0097459F" w:rsidRDefault="00893D49" w:rsidP="00C20BBD">
      <w:pPr>
        <w:pStyle w:val="Normalalteradora"/>
        <w:rPr>
          <w:rFonts w:eastAsia="Calibri" w:cstheme="minorHAnsi"/>
        </w:rPr>
      </w:pPr>
      <w:r w:rsidRPr="0097459F">
        <w:rPr>
          <w:rFonts w:eastAsia="Calibri" w:cstheme="minorHAnsi"/>
        </w:rPr>
        <w:t xml:space="preserve">I – divulgar fato relevante, nos termos do art. </w:t>
      </w:r>
      <w:r w:rsidR="00087932" w:rsidRPr="0097459F">
        <w:rPr>
          <w:rFonts w:eastAsia="Calibri" w:cstheme="minorHAnsi"/>
        </w:rPr>
        <w:t>64</w:t>
      </w:r>
      <w:r w:rsidRPr="0097459F">
        <w:rPr>
          <w:rFonts w:eastAsia="Calibri" w:cstheme="minorHAnsi"/>
        </w:rPr>
        <w:t>; e</w:t>
      </w:r>
    </w:p>
    <w:p w14:paraId="3FB1D55F" w14:textId="6BF3EEDE" w:rsidR="00893D49" w:rsidRPr="0097459F" w:rsidRDefault="00893D49" w:rsidP="00C20BBD">
      <w:pPr>
        <w:pStyle w:val="Normalalteradora"/>
        <w:rPr>
          <w:rFonts w:eastAsia="Calibri" w:cstheme="minorHAnsi"/>
        </w:rPr>
      </w:pPr>
      <w:r w:rsidRPr="0097459F">
        <w:rPr>
          <w:rFonts w:eastAsia="Calibri" w:cstheme="minorHAnsi"/>
        </w:rPr>
        <w:t xml:space="preserve">II – efetuar o cancelamento do registro de funcionamento </w:t>
      </w:r>
      <w:r w:rsidR="009D1E84" w:rsidRPr="0097459F">
        <w:rPr>
          <w:rFonts w:eastAsia="Calibri" w:cstheme="minorHAnsi"/>
        </w:rPr>
        <w:t>da classe</w:t>
      </w:r>
      <w:r w:rsidRPr="0097459F">
        <w:rPr>
          <w:rFonts w:eastAsia="Calibri" w:cstheme="minorHAnsi"/>
        </w:rPr>
        <w:t xml:space="preserve"> na CVM.</w:t>
      </w:r>
    </w:p>
    <w:p w14:paraId="24536A8A" w14:textId="2C91C6EF" w:rsidR="00893D49" w:rsidRPr="0097459F" w:rsidRDefault="00893D49" w:rsidP="00C20BBD">
      <w:pPr>
        <w:pStyle w:val="Normalalteradora"/>
        <w:rPr>
          <w:rFonts w:eastAsia="Calibri" w:cstheme="minorHAnsi"/>
        </w:rPr>
      </w:pPr>
      <w:r w:rsidRPr="0097459F">
        <w:rPr>
          <w:rFonts w:eastAsia="Calibri" w:cstheme="minorHAnsi"/>
        </w:rPr>
        <w:t xml:space="preserve">§ 1º  Caso o administrador não adote a medida disposta no inciso II de modo tempestivo, a </w:t>
      </w:r>
      <w:r w:rsidR="00305DE1" w:rsidRPr="0097459F">
        <w:rPr>
          <w:rFonts w:cstheme="minorHAnsi"/>
        </w:rPr>
        <w:t xml:space="preserve">Superintendência competente </w:t>
      </w:r>
      <w:r w:rsidRPr="0097459F">
        <w:rPr>
          <w:rFonts w:eastAsia="Calibri" w:cstheme="minorHAnsi"/>
        </w:rPr>
        <w:t xml:space="preserve">deve efetuar o cancelamento do registro, informando tal cancelamento ao administrador e </w:t>
      </w:r>
      <w:r w:rsidR="002F2D2A" w:rsidRPr="0097459F">
        <w:rPr>
          <w:rFonts w:eastAsia="Calibri" w:cstheme="minorHAnsi"/>
        </w:rPr>
        <w:t xml:space="preserve">publicando </w:t>
      </w:r>
      <w:r w:rsidRPr="0097459F">
        <w:rPr>
          <w:rFonts w:eastAsia="Calibri" w:cstheme="minorHAnsi"/>
        </w:rPr>
        <w:t>comunicado na página da CVM na rede mundial de computadores.</w:t>
      </w:r>
    </w:p>
    <w:p w14:paraId="2F2AFF7C" w14:textId="0B7BEC6C" w:rsidR="00893D49" w:rsidRPr="0097459F" w:rsidRDefault="00893D49" w:rsidP="00C20BBD">
      <w:pPr>
        <w:pStyle w:val="Normalalteradora"/>
        <w:rPr>
          <w:rFonts w:eastAsia="Calibri" w:cstheme="minorHAnsi"/>
        </w:rPr>
      </w:pPr>
      <w:r w:rsidRPr="0097459F">
        <w:rPr>
          <w:rFonts w:eastAsia="Calibri" w:cstheme="minorHAnsi"/>
        </w:rPr>
        <w:lastRenderedPageBreak/>
        <w:t xml:space="preserve">§ 2º  O cancelamento do registro </w:t>
      </w:r>
      <w:r w:rsidR="009D1E84" w:rsidRPr="0097459F">
        <w:rPr>
          <w:rFonts w:eastAsia="Calibri" w:cstheme="minorHAnsi"/>
        </w:rPr>
        <w:t>da classe</w:t>
      </w:r>
      <w:r w:rsidRPr="0097459F">
        <w:rPr>
          <w:rFonts w:eastAsia="Calibri" w:cstheme="minorHAnsi"/>
        </w:rPr>
        <w:t xml:space="preserve"> não mitiga as responsabilidades decorrentes das eventuais infrações cometidas antes do cancelamento.</w:t>
      </w:r>
    </w:p>
    <w:p w14:paraId="1F97F93D" w14:textId="77777777" w:rsidR="00893D49" w:rsidRPr="0097459F" w:rsidRDefault="00893D49" w:rsidP="00C20BBD">
      <w:pPr>
        <w:pStyle w:val="Captulo"/>
        <w:rPr>
          <w:rFonts w:asciiTheme="minorHAnsi" w:hAnsiTheme="minorHAnsi"/>
        </w:rPr>
      </w:pPr>
      <w:bookmarkStart w:id="314" w:name="_Toc53594470"/>
      <w:bookmarkStart w:id="315" w:name="_Toc53595495"/>
      <w:bookmarkStart w:id="316" w:name="_Toc53594222"/>
      <w:bookmarkStart w:id="317" w:name="_Toc114819003"/>
      <w:bookmarkStart w:id="318" w:name="_Toc57836230"/>
      <w:bookmarkStart w:id="319" w:name="_Toc126226339"/>
      <w:r w:rsidRPr="0097459F">
        <w:rPr>
          <w:rFonts w:asciiTheme="minorHAnsi" w:hAnsiTheme="minorHAnsi"/>
        </w:rPr>
        <w:t>CAPÍTULO XIV – LIQUIDAÇÃO E ENCERRAMENTO</w:t>
      </w:r>
      <w:bookmarkEnd w:id="314"/>
      <w:bookmarkEnd w:id="315"/>
      <w:bookmarkEnd w:id="316"/>
      <w:bookmarkEnd w:id="317"/>
      <w:bookmarkEnd w:id="318"/>
      <w:bookmarkEnd w:id="319"/>
    </w:p>
    <w:p w14:paraId="24414DB0" w14:textId="77777777" w:rsidR="00893D49" w:rsidRPr="0097459F" w:rsidRDefault="00893D49" w:rsidP="00C20BBD">
      <w:pPr>
        <w:pStyle w:val="Seo"/>
        <w:rPr>
          <w:rFonts w:asciiTheme="minorHAnsi" w:hAnsiTheme="minorHAnsi"/>
        </w:rPr>
      </w:pPr>
      <w:bookmarkStart w:id="320" w:name="_Toc53594471"/>
      <w:bookmarkStart w:id="321" w:name="_Toc53595496"/>
      <w:bookmarkStart w:id="322" w:name="_Toc53594223"/>
      <w:bookmarkStart w:id="323" w:name="_Toc114819004"/>
      <w:bookmarkStart w:id="324" w:name="_Toc57836231"/>
      <w:bookmarkStart w:id="325" w:name="_Toc126226340"/>
      <w:r w:rsidRPr="0097459F">
        <w:rPr>
          <w:rFonts w:asciiTheme="minorHAnsi" w:hAnsiTheme="minorHAnsi"/>
        </w:rPr>
        <w:t>Seção I – Liquidação</w:t>
      </w:r>
      <w:bookmarkEnd w:id="320"/>
      <w:bookmarkEnd w:id="321"/>
      <w:bookmarkEnd w:id="322"/>
      <w:bookmarkEnd w:id="323"/>
      <w:bookmarkEnd w:id="324"/>
      <w:bookmarkEnd w:id="325"/>
    </w:p>
    <w:p w14:paraId="784E1913" w14:textId="6E7722DB"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126</w:t>
      </w:r>
      <w:r w:rsidRPr="0097459F">
        <w:rPr>
          <w:rFonts w:cstheme="minorHAnsi"/>
        </w:rPr>
        <w:t xml:space="preserve">.  Na hipótese de liquidação </w:t>
      </w:r>
      <w:r w:rsidR="009D1E84" w:rsidRPr="0097459F">
        <w:rPr>
          <w:rFonts w:cstheme="minorHAnsi"/>
        </w:rPr>
        <w:t>da</w:t>
      </w:r>
      <w:r w:rsidRPr="0097459F">
        <w:rPr>
          <w:rFonts w:cstheme="minorHAnsi"/>
        </w:rPr>
        <w:t xml:space="preserve"> classe de cotas por deliberação da assembleia de cotistas, o administrador deve promover a divisão de seu patrimônio entre os cotistas, na proporção de suas cotas, no prazo </w:t>
      </w:r>
      <w:r w:rsidR="00346020" w:rsidRPr="0097459F">
        <w:rPr>
          <w:rFonts w:cstheme="minorHAnsi"/>
        </w:rPr>
        <w:t>eventualmente definido na assembleia de cotistas</w:t>
      </w:r>
      <w:r w:rsidR="0066469C" w:rsidRPr="0097459F">
        <w:rPr>
          <w:rFonts w:cstheme="minorHAnsi"/>
        </w:rPr>
        <w:t>.</w:t>
      </w:r>
    </w:p>
    <w:p w14:paraId="6724DA52" w14:textId="77777777" w:rsidR="00893D49" w:rsidRPr="0097459F" w:rsidRDefault="00893D49" w:rsidP="00C20BBD">
      <w:pPr>
        <w:pStyle w:val="Normalalteradora"/>
        <w:rPr>
          <w:rFonts w:cstheme="minorHAnsi"/>
        </w:rPr>
      </w:pPr>
      <w:r w:rsidRPr="0097459F">
        <w:rPr>
          <w:rFonts w:cstheme="minorHAnsi"/>
        </w:rPr>
        <w:t>§ 1º  A assembleia de cotistas deve deliberar no mínimo sobre:</w:t>
      </w:r>
    </w:p>
    <w:p w14:paraId="0A281BD0" w14:textId="519EB5DF" w:rsidR="00893D49" w:rsidRPr="0097459F" w:rsidRDefault="006D4F3E" w:rsidP="00C20BBD">
      <w:pPr>
        <w:pStyle w:val="Normalalteradora"/>
        <w:rPr>
          <w:rFonts w:cstheme="minorHAnsi"/>
        </w:rPr>
      </w:pPr>
      <w:r w:rsidRPr="0097459F">
        <w:rPr>
          <w:rFonts w:cstheme="minorHAnsi"/>
        </w:rPr>
        <w:t xml:space="preserve">I </w:t>
      </w:r>
      <w:r w:rsidR="00893D49" w:rsidRPr="0097459F">
        <w:rPr>
          <w:rFonts w:cstheme="minorHAnsi"/>
        </w:rPr>
        <w:t xml:space="preserve">– o plano de liquidação </w:t>
      </w:r>
      <w:r w:rsidR="0046641E" w:rsidRPr="0097459F">
        <w:rPr>
          <w:rFonts w:cstheme="minorHAnsi"/>
        </w:rPr>
        <w:t xml:space="preserve">elaborado </w:t>
      </w:r>
      <w:r w:rsidR="000B435A" w:rsidRPr="0097459F">
        <w:rPr>
          <w:rFonts w:cstheme="minorHAnsi"/>
        </w:rPr>
        <w:t>pelos prestadores de serviços essenciais</w:t>
      </w:r>
      <w:r w:rsidR="00893D49" w:rsidRPr="0097459F">
        <w:rPr>
          <w:rFonts w:cstheme="minorHAnsi"/>
        </w:rPr>
        <w:t xml:space="preserve">, </w:t>
      </w:r>
      <w:r w:rsidR="001202BB" w:rsidRPr="0097459F">
        <w:rPr>
          <w:rFonts w:cstheme="minorHAnsi"/>
        </w:rPr>
        <w:t>em conjunto</w:t>
      </w:r>
      <w:r w:rsidR="000B435A" w:rsidRPr="0097459F">
        <w:rPr>
          <w:rFonts w:cstheme="minorHAnsi"/>
        </w:rPr>
        <w:t xml:space="preserve">, </w:t>
      </w:r>
      <w:r w:rsidR="00893D49" w:rsidRPr="0097459F">
        <w:rPr>
          <w:rFonts w:cstheme="minorHAnsi"/>
        </w:rPr>
        <w:t>de acordo com os procedimentos previstos no regulamento; e</w:t>
      </w:r>
    </w:p>
    <w:p w14:paraId="3FBFAE7D" w14:textId="1AAD901D" w:rsidR="00893D49" w:rsidRPr="0097459F" w:rsidRDefault="006D4F3E" w:rsidP="00C20BBD">
      <w:pPr>
        <w:pStyle w:val="Normalalteradora"/>
        <w:rPr>
          <w:rFonts w:cstheme="minorHAnsi"/>
        </w:rPr>
      </w:pPr>
      <w:r w:rsidRPr="0097459F">
        <w:rPr>
          <w:rFonts w:cstheme="minorHAnsi"/>
        </w:rPr>
        <w:t xml:space="preserve">II </w:t>
      </w:r>
      <w:r w:rsidR="00893D49" w:rsidRPr="0097459F">
        <w:rPr>
          <w:rFonts w:cstheme="minorHAnsi"/>
        </w:rPr>
        <w:t>– o tratamento a ser conferido aos direitos e obrigações dos cotistas que não puderam ser contatados quando da convocação da assembleia.</w:t>
      </w:r>
    </w:p>
    <w:p w14:paraId="4D13A602" w14:textId="68D7E6D8" w:rsidR="006D4F3E" w:rsidRPr="0097459F" w:rsidRDefault="006D4F3E" w:rsidP="00C20BBD">
      <w:pPr>
        <w:pStyle w:val="Normalalteradora"/>
        <w:rPr>
          <w:rFonts w:cstheme="minorHAnsi"/>
        </w:rPr>
      </w:pPr>
      <w:r w:rsidRPr="0097459F">
        <w:rPr>
          <w:rFonts w:cstheme="minorHAnsi"/>
        </w:rPr>
        <w:t>§ 2º  Do plano de liquidação deve constar</w:t>
      </w:r>
      <w:r w:rsidR="009E6A5A" w:rsidRPr="0097459F">
        <w:rPr>
          <w:rFonts w:cstheme="minorHAnsi"/>
        </w:rPr>
        <w:t xml:space="preserve"> </w:t>
      </w:r>
      <w:r w:rsidR="00346020" w:rsidRPr="0097459F">
        <w:rPr>
          <w:rFonts w:cstheme="minorHAnsi"/>
        </w:rPr>
        <w:t>uma estimativa acerca d</w:t>
      </w:r>
      <w:r w:rsidRPr="0097459F">
        <w:rPr>
          <w:rFonts w:cstheme="minorHAnsi"/>
        </w:rPr>
        <w:t>a forma de pagamento dos valores devidos aos cotistas</w:t>
      </w:r>
      <w:r w:rsidR="0015781F" w:rsidRPr="0097459F">
        <w:rPr>
          <w:rFonts w:cstheme="minorHAnsi"/>
        </w:rPr>
        <w:t>, se for o caso,</w:t>
      </w:r>
      <w:r w:rsidRPr="0097459F">
        <w:rPr>
          <w:rFonts w:cstheme="minorHAnsi"/>
        </w:rPr>
        <w:t xml:space="preserve"> e </w:t>
      </w:r>
      <w:r w:rsidR="00A85B19" w:rsidRPr="0097459F">
        <w:rPr>
          <w:rFonts w:cstheme="minorHAnsi"/>
        </w:rPr>
        <w:t xml:space="preserve">de </w:t>
      </w:r>
      <w:r w:rsidR="00990CD9" w:rsidRPr="0097459F">
        <w:rPr>
          <w:rFonts w:cstheme="minorHAnsi"/>
        </w:rPr>
        <w:t>um</w:t>
      </w:r>
      <w:r w:rsidRPr="0097459F">
        <w:rPr>
          <w:rFonts w:cstheme="minorHAnsi"/>
        </w:rPr>
        <w:t xml:space="preserve"> cronograma de pagamentos.</w:t>
      </w:r>
    </w:p>
    <w:p w14:paraId="3795C688" w14:textId="4C54B740" w:rsidR="00893D49" w:rsidRPr="0097459F" w:rsidRDefault="00893D49" w:rsidP="00C20BBD">
      <w:pPr>
        <w:pStyle w:val="Normalalteradora"/>
        <w:rPr>
          <w:rFonts w:cstheme="minorHAnsi"/>
        </w:rPr>
      </w:pPr>
      <w:r w:rsidRPr="0097459F">
        <w:rPr>
          <w:rFonts w:cstheme="minorHAnsi"/>
        </w:rPr>
        <w:t xml:space="preserve">§ </w:t>
      </w:r>
      <w:r w:rsidR="00990CD9" w:rsidRPr="0097459F">
        <w:rPr>
          <w:rFonts w:cstheme="minorHAnsi"/>
        </w:rPr>
        <w:t xml:space="preserve">3º  </w:t>
      </w:r>
      <w:r w:rsidRPr="0097459F">
        <w:rPr>
          <w:rFonts w:cstheme="minorHAnsi"/>
        </w:rPr>
        <w:t>O auditor independente deve emitir parecer sobre a demonstração da movimentação do patrimônio líquido, compreendendo o período entre a data das últimas demonstrações contábeis auditadas e a data da efetiva liquidação, manifestando-se sobre as movimentações ocorridas</w:t>
      </w:r>
      <w:r w:rsidR="0066469C" w:rsidRPr="0097459F">
        <w:rPr>
          <w:rFonts w:cstheme="minorHAnsi"/>
        </w:rPr>
        <w:t xml:space="preserve"> no período.</w:t>
      </w:r>
    </w:p>
    <w:p w14:paraId="07EE1013" w14:textId="09A010B3" w:rsidR="00893D49" w:rsidRPr="0097459F" w:rsidRDefault="00893D49" w:rsidP="00C20BBD">
      <w:pPr>
        <w:pStyle w:val="Normalalteradora"/>
        <w:rPr>
          <w:rFonts w:cstheme="minorHAnsi"/>
        </w:rPr>
      </w:pPr>
      <w:r w:rsidRPr="0097459F">
        <w:rPr>
          <w:rFonts w:cstheme="minorHAnsi"/>
        </w:rPr>
        <w:t xml:space="preserve">§ </w:t>
      </w:r>
      <w:r w:rsidR="00990CD9" w:rsidRPr="0097459F">
        <w:rPr>
          <w:rFonts w:cstheme="minorHAnsi"/>
        </w:rPr>
        <w:t xml:space="preserve">4º  </w:t>
      </w:r>
      <w:r w:rsidRPr="0097459F">
        <w:rPr>
          <w:rFonts w:cstheme="minorHAnsi"/>
        </w:rPr>
        <w:t>Deve constar das notas explicativas às demonstrações contábeis, análise quanto a terem os valores dos resgates sido ou não efetuados em condições equitativas e de acordo com a regulamentação pertinente, bem como quanto à existência ou não de débitos, créditos, ativos ou passivos não contabilizados.</w:t>
      </w:r>
    </w:p>
    <w:p w14:paraId="0A170B81" w14:textId="393F1747" w:rsidR="00893D49" w:rsidRPr="0097459F" w:rsidRDefault="00893D49" w:rsidP="00C20BBD">
      <w:pPr>
        <w:pStyle w:val="Normalalteradora"/>
        <w:rPr>
          <w:rFonts w:cstheme="minorHAnsi"/>
        </w:rPr>
      </w:pPr>
      <w:r w:rsidRPr="0097459F">
        <w:rPr>
          <w:rFonts w:cstheme="minorHAnsi"/>
        </w:rPr>
        <w:t xml:space="preserve">§ 5º  Caso </w:t>
      </w:r>
      <w:r w:rsidR="00155E1C" w:rsidRPr="0097459F">
        <w:rPr>
          <w:rFonts w:cstheme="minorHAnsi"/>
        </w:rPr>
        <w:t xml:space="preserve">a </w:t>
      </w:r>
      <w:r w:rsidRPr="0097459F">
        <w:rPr>
          <w:rFonts w:cstheme="minorHAnsi"/>
        </w:rPr>
        <w:t xml:space="preserve">carteira de ativos possua provento a receber, é admitida, durante o prazo previsto no </w:t>
      </w:r>
      <w:r w:rsidRPr="0097459F">
        <w:rPr>
          <w:rFonts w:cstheme="minorHAnsi"/>
          <w:b/>
        </w:rPr>
        <w:t>caput</w:t>
      </w:r>
      <w:r w:rsidRPr="0097459F">
        <w:rPr>
          <w:rFonts w:cstheme="minorHAnsi"/>
        </w:rPr>
        <w:t xml:space="preserve"> dest</w:t>
      </w:r>
      <w:r w:rsidR="0066469C" w:rsidRPr="0097459F">
        <w:rPr>
          <w:rFonts w:cstheme="minorHAnsi"/>
        </w:rPr>
        <w:t>e artigo, a critério do gestor:</w:t>
      </w:r>
    </w:p>
    <w:p w14:paraId="31210A6A" w14:textId="041E6813" w:rsidR="00893D49" w:rsidRPr="0097459F" w:rsidRDefault="00893D49" w:rsidP="00C20BBD">
      <w:pPr>
        <w:pStyle w:val="Normalalteradora"/>
        <w:rPr>
          <w:rFonts w:cstheme="minorHAnsi"/>
        </w:rPr>
      </w:pPr>
      <w:r w:rsidRPr="0097459F">
        <w:rPr>
          <w:rFonts w:cstheme="minorHAnsi"/>
        </w:rPr>
        <w:t xml:space="preserve">I – a transferência dos proventos aos cotistas, observada a participação de cada cotista </w:t>
      </w:r>
      <w:r w:rsidR="009D1E84" w:rsidRPr="0097459F">
        <w:rPr>
          <w:rFonts w:cstheme="minorHAnsi"/>
        </w:rPr>
        <w:t>na classe</w:t>
      </w:r>
      <w:r w:rsidRPr="0097459F">
        <w:rPr>
          <w:rFonts w:cstheme="minorHAnsi"/>
        </w:rPr>
        <w:t>; ou</w:t>
      </w:r>
    </w:p>
    <w:p w14:paraId="5B9940F9" w14:textId="6E291009" w:rsidR="00893D49" w:rsidRPr="0097459F" w:rsidRDefault="00893D49" w:rsidP="00C20BBD">
      <w:pPr>
        <w:pStyle w:val="Normalalteradora"/>
        <w:rPr>
          <w:rFonts w:cstheme="minorHAnsi"/>
        </w:rPr>
      </w:pPr>
      <w:r w:rsidRPr="0097459F">
        <w:rPr>
          <w:rFonts w:cstheme="minorHAnsi"/>
        </w:rPr>
        <w:t>II – a negociação dos proventos pelo valor de mercado.</w:t>
      </w:r>
    </w:p>
    <w:p w14:paraId="215E80B4" w14:textId="24A33D44" w:rsidR="00893D49" w:rsidRPr="0097459F" w:rsidRDefault="00893D49" w:rsidP="00C20BBD">
      <w:pPr>
        <w:pStyle w:val="Normalalteradora"/>
        <w:rPr>
          <w:rFonts w:cstheme="minorHAnsi"/>
        </w:rPr>
      </w:pPr>
      <w:r w:rsidRPr="0097459F">
        <w:rPr>
          <w:rFonts w:cstheme="minorHAnsi"/>
        </w:rPr>
        <w:lastRenderedPageBreak/>
        <w:t xml:space="preserve">§ 6º  O administrador deve enviar cópia da ata da assembleia e do plano de liquidação de que trata o § </w:t>
      </w:r>
      <w:r w:rsidR="0066469C" w:rsidRPr="0097459F">
        <w:rPr>
          <w:rFonts w:cstheme="minorHAnsi"/>
        </w:rPr>
        <w:t>2</w:t>
      </w:r>
      <w:r w:rsidRPr="0097459F">
        <w:rPr>
          <w:rFonts w:cstheme="minorHAnsi"/>
        </w:rPr>
        <w:t>º à CVM</w:t>
      </w:r>
      <w:r w:rsidR="009D1E84" w:rsidRPr="0097459F">
        <w:rPr>
          <w:rFonts w:cstheme="minorHAnsi"/>
        </w:rPr>
        <w:t>,</w:t>
      </w:r>
      <w:r w:rsidRPr="0097459F">
        <w:rPr>
          <w:rFonts w:cstheme="minorHAnsi"/>
        </w:rPr>
        <w:t xml:space="preserve"> no prazo máximo de 7 (sete) dias úteis contado da realização da assembleia.</w:t>
      </w:r>
    </w:p>
    <w:p w14:paraId="417C309D" w14:textId="50B3FF8E"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127</w:t>
      </w:r>
      <w:r w:rsidRPr="0097459F">
        <w:rPr>
          <w:rFonts w:cstheme="minorHAnsi"/>
        </w:rPr>
        <w:t xml:space="preserve">.  No âmbito da liquidação </w:t>
      </w:r>
      <w:r w:rsidR="009D1E84" w:rsidRPr="0097459F">
        <w:rPr>
          <w:rFonts w:cstheme="minorHAnsi"/>
        </w:rPr>
        <w:t>da</w:t>
      </w:r>
      <w:r w:rsidRPr="0097459F">
        <w:rPr>
          <w:rFonts w:cstheme="minorHAnsi"/>
        </w:rPr>
        <w:t xml:space="preserve"> classe de cotas, o administrador deve:</w:t>
      </w:r>
    </w:p>
    <w:p w14:paraId="5461CBDA" w14:textId="245FD8BC" w:rsidR="00893D49" w:rsidRPr="0097459F" w:rsidRDefault="00893D49" w:rsidP="00C20BBD">
      <w:pPr>
        <w:pStyle w:val="Normalalteradora"/>
        <w:rPr>
          <w:rFonts w:cstheme="minorHAnsi"/>
        </w:rPr>
      </w:pPr>
      <w:r w:rsidRPr="0097459F">
        <w:rPr>
          <w:rFonts w:cstheme="minorHAnsi"/>
        </w:rPr>
        <w:t xml:space="preserve">I – suspender novas subscrições de cotas e, nas classes abertas, os pedidos de resgate, salvo se deliberado em contrário pela unanimidade dos cotistas presentes à assembleia de que trata o § 1º do art. </w:t>
      </w:r>
      <w:r w:rsidR="00220040" w:rsidRPr="0097459F">
        <w:rPr>
          <w:rFonts w:cstheme="minorHAnsi"/>
        </w:rPr>
        <w:t>126</w:t>
      </w:r>
      <w:r w:rsidRPr="0097459F">
        <w:rPr>
          <w:rFonts w:cstheme="minorHAnsi"/>
        </w:rPr>
        <w:t>;</w:t>
      </w:r>
    </w:p>
    <w:p w14:paraId="46D65BB6" w14:textId="77777777" w:rsidR="00893D49" w:rsidRPr="0097459F" w:rsidRDefault="00893D49" w:rsidP="00C20BBD">
      <w:pPr>
        <w:pStyle w:val="Normalalteradora"/>
        <w:rPr>
          <w:rFonts w:cstheme="minorHAnsi"/>
        </w:rPr>
      </w:pPr>
      <w:r w:rsidRPr="0097459F">
        <w:rPr>
          <w:rFonts w:cstheme="minorHAnsi"/>
        </w:rPr>
        <w:t>II – fornecer informações relevantes sobre a liquidação a todos os cotistas pertencentes à classe em liquidação, de maneira simultânea e tão logo tenha ciência das informações, devendo providenciar atualizações conforme as circunstâncias se modifiquem;</w:t>
      </w:r>
    </w:p>
    <w:p w14:paraId="28893613" w14:textId="112EA451" w:rsidR="00893D49" w:rsidRPr="0097459F" w:rsidRDefault="00893D49" w:rsidP="00C20BBD">
      <w:pPr>
        <w:pStyle w:val="Normalalteradora"/>
        <w:rPr>
          <w:rFonts w:cstheme="minorHAnsi"/>
        </w:rPr>
      </w:pPr>
      <w:r w:rsidRPr="0097459F">
        <w:rPr>
          <w:rFonts w:cstheme="minorHAnsi"/>
        </w:rPr>
        <w:t>III – verificar se a precificação e a liquidez da carteira de ativos asseguram um tratamento isonômico na distribuição dos resultados da liquidação aos cotistas, ainda que os resultados não sejam distribuídos em uma única ocasião ou que a cada distribuição de resultados sejam contemplados diferentes cotistas; e</w:t>
      </w:r>
    </w:p>
    <w:p w14:paraId="32EC5264" w14:textId="62AB4D98" w:rsidR="00893D49" w:rsidRPr="0097459F" w:rsidRDefault="00893D49" w:rsidP="00C20BBD">
      <w:pPr>
        <w:pStyle w:val="Normalalteradora"/>
        <w:rPr>
          <w:rFonts w:cstheme="minorHAnsi"/>
        </w:rPr>
      </w:pPr>
      <w:r w:rsidRPr="0097459F">
        <w:rPr>
          <w:rFonts w:cstheme="minorHAnsi"/>
        </w:rPr>
        <w:t>IV – planejar os procedimentos necessários para executar a liquidação da classe com prazo de duração determinado</w:t>
      </w:r>
      <w:r w:rsidR="00813A35" w:rsidRPr="0097459F">
        <w:rPr>
          <w:rFonts w:cstheme="minorHAnsi"/>
        </w:rPr>
        <w:t>,</w:t>
      </w:r>
      <w:r w:rsidRPr="0097459F">
        <w:rPr>
          <w:rFonts w:cstheme="minorHAnsi"/>
        </w:rPr>
        <w:t xml:space="preserve"> dentro de um período adequado </w:t>
      </w:r>
      <w:r w:rsidR="009D1E84" w:rsidRPr="0097459F">
        <w:rPr>
          <w:rFonts w:cstheme="minorHAnsi"/>
        </w:rPr>
        <w:t>à</w:t>
      </w:r>
      <w:r w:rsidRPr="0097459F">
        <w:rPr>
          <w:rFonts w:cstheme="minorHAnsi"/>
        </w:rPr>
        <w:t xml:space="preserve"> data prevista para o encerramento da classe.</w:t>
      </w:r>
    </w:p>
    <w:p w14:paraId="2F2197DA" w14:textId="0C0A583A" w:rsidR="00893D49" w:rsidRPr="0097459F" w:rsidRDefault="00893D49" w:rsidP="00C20BBD">
      <w:pPr>
        <w:pStyle w:val="Normalalteradora"/>
        <w:rPr>
          <w:rFonts w:cstheme="minorHAnsi"/>
        </w:rPr>
      </w:pPr>
      <w:r w:rsidRPr="0097459F">
        <w:t xml:space="preserve">Art. </w:t>
      </w:r>
      <w:r w:rsidR="004D767E" w:rsidRPr="0097459F">
        <w:t>128</w:t>
      </w:r>
      <w:r w:rsidRPr="0097459F">
        <w:t xml:space="preserve">.  No âmbito da liquidação </w:t>
      </w:r>
      <w:r w:rsidR="34BE416E" w:rsidRPr="0097459F">
        <w:t>da</w:t>
      </w:r>
      <w:r w:rsidRPr="0097459F">
        <w:t xml:space="preserve"> classe de cotas</w:t>
      </w:r>
      <w:r w:rsidR="0043580C" w:rsidRPr="0097459F">
        <w:t>, e</w:t>
      </w:r>
      <w:r w:rsidRPr="0097459F">
        <w:t xml:space="preserve"> desde que de modo aderente ao plano de liquidação, fica dispensado o cumprimento das regras listadas a seguir: </w:t>
      </w:r>
    </w:p>
    <w:p w14:paraId="751787DA" w14:textId="1E15BEB5" w:rsidR="36DF2CA8" w:rsidRPr="0097459F" w:rsidRDefault="36DF2CA8" w:rsidP="2889066B">
      <w:pPr>
        <w:pStyle w:val="Normalalteradora"/>
        <w:rPr>
          <w:rFonts w:eastAsiaTheme="minorEastAsia"/>
        </w:rPr>
      </w:pPr>
      <w:r w:rsidRPr="0097459F">
        <w:rPr>
          <w:rFonts w:eastAsiaTheme="minorEastAsia"/>
        </w:rPr>
        <w:t xml:space="preserve">I </w:t>
      </w:r>
      <w:r w:rsidR="0043580C" w:rsidRPr="0097459F">
        <w:rPr>
          <w:rFonts w:eastAsiaTheme="minorEastAsia"/>
        </w:rPr>
        <w:t>–</w:t>
      </w:r>
      <w:r w:rsidRPr="0097459F">
        <w:rPr>
          <w:rFonts w:eastAsiaTheme="minorEastAsia"/>
        </w:rPr>
        <w:t xml:space="preserve"> submissão</w:t>
      </w:r>
      <w:r w:rsidR="0043580C" w:rsidRPr="0097459F">
        <w:rPr>
          <w:rFonts w:eastAsiaTheme="minorEastAsia"/>
        </w:rPr>
        <w:t xml:space="preserve"> </w:t>
      </w:r>
      <w:r w:rsidRPr="0097459F">
        <w:rPr>
          <w:rFonts w:eastAsiaTheme="minorEastAsia"/>
        </w:rPr>
        <w:t xml:space="preserve">da carteira de ativos </w:t>
      </w:r>
      <w:r w:rsidR="002330F1" w:rsidRPr="0097459F">
        <w:rPr>
          <w:rFonts w:eastAsiaTheme="minorEastAsia"/>
        </w:rPr>
        <w:t xml:space="preserve">das classes abertas </w:t>
      </w:r>
      <w:r w:rsidRPr="0097459F">
        <w:rPr>
          <w:rFonts w:eastAsiaTheme="minorEastAsia"/>
        </w:rPr>
        <w:t xml:space="preserve">aos testes de estresse de que trata o art. </w:t>
      </w:r>
      <w:r w:rsidR="00220040" w:rsidRPr="0097459F">
        <w:rPr>
          <w:rFonts w:eastAsiaTheme="minorEastAsia"/>
        </w:rPr>
        <w:t>93</w:t>
      </w:r>
      <w:r w:rsidR="70C5802E" w:rsidRPr="0097459F">
        <w:rPr>
          <w:rFonts w:eastAsiaTheme="minorEastAsia"/>
        </w:rPr>
        <w:t>;</w:t>
      </w:r>
    </w:p>
    <w:p w14:paraId="36CB51A6" w14:textId="2852ACCB" w:rsidR="00893D49" w:rsidRPr="0097459F" w:rsidRDefault="00893D49" w:rsidP="00C20BBD">
      <w:pPr>
        <w:pStyle w:val="Normalalteradora"/>
        <w:rPr>
          <w:rFonts w:cstheme="minorHAnsi"/>
        </w:rPr>
      </w:pPr>
      <w:r w:rsidRPr="0097459F">
        <w:rPr>
          <w:rFonts w:cstheme="minorHAnsi"/>
        </w:rPr>
        <w:t>I</w:t>
      </w:r>
      <w:r w:rsidR="004D767E" w:rsidRPr="0097459F">
        <w:rPr>
          <w:rFonts w:cstheme="minorHAnsi"/>
        </w:rPr>
        <w:t>I</w:t>
      </w:r>
      <w:r w:rsidRPr="0097459F">
        <w:rPr>
          <w:rFonts w:cstheme="minorHAnsi"/>
        </w:rPr>
        <w:t xml:space="preserve"> – prazos de que trata o inciso I do </w:t>
      </w:r>
      <w:r w:rsidRPr="0097459F">
        <w:rPr>
          <w:rFonts w:cstheme="minorHAnsi"/>
          <w:b/>
        </w:rPr>
        <w:t>caput</w:t>
      </w:r>
      <w:r w:rsidRPr="0097459F">
        <w:rPr>
          <w:rFonts w:cstheme="minorHAnsi"/>
        </w:rPr>
        <w:t xml:space="preserve"> do art. 40, entre a data do pedido de resgate de cotas, a data de conversão de cotas e a data do pagamento do resgate;</w:t>
      </w:r>
    </w:p>
    <w:p w14:paraId="310823C6" w14:textId="218D6FA9" w:rsidR="00893D49" w:rsidRPr="0097459F" w:rsidRDefault="00893D49" w:rsidP="00C20BBD">
      <w:pPr>
        <w:pStyle w:val="Normalalteradora"/>
        <w:rPr>
          <w:rFonts w:cstheme="minorHAnsi"/>
        </w:rPr>
      </w:pPr>
      <w:r w:rsidRPr="0097459F">
        <w:rPr>
          <w:rFonts w:cstheme="minorHAnsi"/>
        </w:rPr>
        <w:t>II</w:t>
      </w:r>
      <w:r w:rsidR="004D767E" w:rsidRPr="0097459F">
        <w:rPr>
          <w:rFonts w:cstheme="minorHAnsi"/>
        </w:rPr>
        <w:t>I</w:t>
      </w:r>
      <w:r w:rsidRPr="0097459F">
        <w:rPr>
          <w:rFonts w:cstheme="minorHAnsi"/>
        </w:rPr>
        <w:t xml:space="preserve"> – método de conversão de cotas de que trata o inciso II do art. 40;</w:t>
      </w:r>
    </w:p>
    <w:p w14:paraId="20512DEF" w14:textId="3C5E30C0" w:rsidR="00893D49" w:rsidRPr="0097459F" w:rsidRDefault="004D767E" w:rsidP="00C20BBD">
      <w:pPr>
        <w:pStyle w:val="Normalalteradora"/>
        <w:rPr>
          <w:rFonts w:cstheme="minorHAnsi"/>
        </w:rPr>
      </w:pPr>
      <w:r w:rsidRPr="0097459F">
        <w:rPr>
          <w:rFonts w:cstheme="minorHAnsi"/>
        </w:rPr>
        <w:t xml:space="preserve">IV </w:t>
      </w:r>
      <w:r w:rsidR="00893D49" w:rsidRPr="0097459F">
        <w:rPr>
          <w:rFonts w:cstheme="minorHAnsi"/>
        </w:rPr>
        <w:t xml:space="preserve">– vigência diferida de alterações do regulamento em decorrência de deliberação unânime dos cotistas, nos termos do parágrafo único do art. </w:t>
      </w:r>
      <w:r w:rsidR="00220040" w:rsidRPr="0097459F">
        <w:rPr>
          <w:rFonts w:cstheme="minorHAnsi"/>
        </w:rPr>
        <w:t>50</w:t>
      </w:r>
      <w:r w:rsidR="00893D49" w:rsidRPr="0097459F">
        <w:rPr>
          <w:rFonts w:cstheme="minorHAnsi"/>
        </w:rPr>
        <w:t>;</w:t>
      </w:r>
    </w:p>
    <w:p w14:paraId="655BFCD8" w14:textId="633D882F" w:rsidR="00893D49" w:rsidRPr="0097459F" w:rsidRDefault="00893D49" w:rsidP="00C20BBD">
      <w:pPr>
        <w:pStyle w:val="Normalalteradora"/>
        <w:rPr>
          <w:rFonts w:cstheme="minorHAnsi"/>
        </w:rPr>
      </w:pPr>
      <w:r w:rsidRPr="0097459F">
        <w:rPr>
          <w:rFonts w:cstheme="minorHAnsi"/>
        </w:rPr>
        <w:t xml:space="preserve">V – compatibilidade da carteira de ativos com os prazos de que trata o inciso I do art. </w:t>
      </w:r>
      <w:r w:rsidR="005E3CBD" w:rsidRPr="0097459F">
        <w:rPr>
          <w:rFonts w:cstheme="minorHAnsi"/>
        </w:rPr>
        <w:t>40</w:t>
      </w:r>
      <w:r w:rsidRPr="0097459F">
        <w:rPr>
          <w:rFonts w:cstheme="minorHAnsi"/>
        </w:rPr>
        <w:t>, para pagamento dos pedidos de resgate;</w:t>
      </w:r>
      <w:r w:rsidR="004D767E" w:rsidRPr="0097459F">
        <w:rPr>
          <w:rFonts w:cstheme="minorHAnsi"/>
        </w:rPr>
        <w:t xml:space="preserve"> e</w:t>
      </w:r>
    </w:p>
    <w:p w14:paraId="14FFCE34" w14:textId="3CD6BC55" w:rsidR="00893D49" w:rsidRPr="0097459F" w:rsidRDefault="00893D49" w:rsidP="00C20BBD">
      <w:pPr>
        <w:pStyle w:val="Normalalteradora"/>
        <w:rPr>
          <w:rFonts w:cstheme="minorHAnsi"/>
        </w:rPr>
      </w:pPr>
      <w:r w:rsidRPr="0097459F">
        <w:rPr>
          <w:rFonts w:cstheme="minorHAnsi"/>
        </w:rPr>
        <w:t>V</w:t>
      </w:r>
      <w:r w:rsidR="004D767E" w:rsidRPr="0097459F">
        <w:rPr>
          <w:rFonts w:cstheme="minorHAnsi"/>
        </w:rPr>
        <w:t>I</w:t>
      </w:r>
      <w:r w:rsidRPr="0097459F">
        <w:rPr>
          <w:rFonts w:cstheme="minorHAnsi"/>
        </w:rPr>
        <w:t xml:space="preserve"> – limites relacionados à composição e diversificação da carteira de ativos, conforme estabelecidos nas regras específicas para cada categoria de fundo.</w:t>
      </w:r>
    </w:p>
    <w:p w14:paraId="34964B4D" w14:textId="4FAD558F" w:rsidR="00893D49" w:rsidRPr="0097459F" w:rsidRDefault="00893D49" w:rsidP="00C20BBD">
      <w:pPr>
        <w:pStyle w:val="Normalalteradora"/>
        <w:rPr>
          <w:rFonts w:cstheme="minorHAnsi"/>
        </w:rPr>
      </w:pPr>
      <w:r w:rsidRPr="0097459F">
        <w:rPr>
          <w:rFonts w:cstheme="minorHAnsi"/>
        </w:rPr>
        <w:lastRenderedPageBreak/>
        <w:t xml:space="preserve">Parágrafo único.  A </w:t>
      </w:r>
      <w:r w:rsidR="00305DE1" w:rsidRPr="0097459F">
        <w:rPr>
          <w:rFonts w:cstheme="minorHAnsi"/>
        </w:rPr>
        <w:t xml:space="preserve">Superintendência competente </w:t>
      </w:r>
      <w:r w:rsidRPr="0097459F">
        <w:rPr>
          <w:rFonts w:cstheme="minorHAnsi"/>
        </w:rPr>
        <w:t xml:space="preserve">pode dispensar outros requisitos regulatórios no âmbito da liquidação, a partir de pedido prévio e fundamentado </w:t>
      </w:r>
      <w:r w:rsidR="009D1E84" w:rsidRPr="0097459F">
        <w:rPr>
          <w:rFonts w:cstheme="minorHAnsi"/>
        </w:rPr>
        <w:t>dos prestadores de serviços essenciais, conjuntamente</w:t>
      </w:r>
      <w:r w:rsidRPr="0097459F">
        <w:rPr>
          <w:rFonts w:cstheme="minorHAnsi"/>
        </w:rPr>
        <w:t xml:space="preserve">, em que seja indicado o dispositivo objeto do pedido de dispensa e apresentadas as razões que </w:t>
      </w:r>
      <w:r w:rsidR="00813A35" w:rsidRPr="0097459F">
        <w:rPr>
          <w:rFonts w:cstheme="minorHAnsi"/>
        </w:rPr>
        <w:t xml:space="preserve">desaconselham ou </w:t>
      </w:r>
      <w:r w:rsidRPr="0097459F">
        <w:rPr>
          <w:rFonts w:cstheme="minorHAnsi"/>
        </w:rPr>
        <w:t>impossibilitam o cumprimento da norma no caso concreto.</w:t>
      </w:r>
    </w:p>
    <w:p w14:paraId="04D39B79" w14:textId="77777777" w:rsidR="00893D49" w:rsidRPr="0097459F" w:rsidRDefault="00893D49" w:rsidP="00C20BBD">
      <w:pPr>
        <w:pStyle w:val="Seo"/>
        <w:rPr>
          <w:rFonts w:asciiTheme="minorHAnsi" w:hAnsiTheme="minorHAnsi"/>
        </w:rPr>
      </w:pPr>
      <w:bookmarkStart w:id="326" w:name="_Toc53594472"/>
      <w:bookmarkStart w:id="327" w:name="_Toc53595497"/>
      <w:bookmarkStart w:id="328" w:name="_Toc53594224"/>
      <w:bookmarkStart w:id="329" w:name="_Toc114819005"/>
      <w:bookmarkStart w:id="330" w:name="_Toc57836232"/>
      <w:bookmarkStart w:id="331" w:name="_Toc126226341"/>
      <w:r w:rsidRPr="0097459F">
        <w:rPr>
          <w:rFonts w:asciiTheme="minorHAnsi" w:hAnsiTheme="minorHAnsi"/>
        </w:rPr>
        <w:t>Seção II – Encerramento</w:t>
      </w:r>
      <w:bookmarkEnd w:id="326"/>
      <w:bookmarkEnd w:id="327"/>
      <w:bookmarkEnd w:id="328"/>
      <w:bookmarkEnd w:id="329"/>
      <w:bookmarkEnd w:id="330"/>
      <w:bookmarkEnd w:id="331"/>
    </w:p>
    <w:p w14:paraId="316E68E7" w14:textId="30F65316"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129</w:t>
      </w:r>
      <w:r w:rsidRPr="0097459F">
        <w:rPr>
          <w:rFonts w:cstheme="minorHAnsi"/>
        </w:rPr>
        <w:t xml:space="preserve">.  Após pagamento aos cotistas do valor total de suas cotas, por meio de amortização ou resgate, o administrador deve efetuar o cancelamento do registro de funcionamento </w:t>
      </w:r>
      <w:r w:rsidR="009D1E84" w:rsidRPr="0097459F">
        <w:rPr>
          <w:rFonts w:cstheme="minorHAnsi"/>
        </w:rPr>
        <w:t>da classe</w:t>
      </w:r>
      <w:r w:rsidRPr="0097459F">
        <w:rPr>
          <w:rFonts w:cstheme="minorHAnsi"/>
        </w:rPr>
        <w:t xml:space="preserve">, por meio do encaminhamento à CVM, no prazo de 15 (quinze) dias, da ata da assembleia de cotistas que tenha deliberado a liquidação, </w:t>
      </w:r>
      <w:r w:rsidR="00647551" w:rsidRPr="0097459F">
        <w:rPr>
          <w:rFonts w:cstheme="minorHAnsi"/>
        </w:rPr>
        <w:t xml:space="preserve">se </w:t>
      </w:r>
      <w:r w:rsidRPr="0097459F">
        <w:rPr>
          <w:rFonts w:cstheme="minorHAnsi"/>
        </w:rPr>
        <w:t xml:space="preserve">for o caso, </w:t>
      </w:r>
      <w:r w:rsidR="00A66580" w:rsidRPr="0097459F">
        <w:rPr>
          <w:rFonts w:cstheme="minorHAnsi"/>
        </w:rPr>
        <w:t xml:space="preserve">e do </w:t>
      </w:r>
      <w:r w:rsidRPr="0097459F">
        <w:rPr>
          <w:rFonts w:cstheme="minorHAnsi"/>
        </w:rPr>
        <w:t>termo de encerramento firmado pelo administrador</w:t>
      </w:r>
      <w:r w:rsidR="00A66580" w:rsidRPr="0097459F">
        <w:rPr>
          <w:rFonts w:cstheme="minorHAnsi"/>
        </w:rPr>
        <w:t>,</w:t>
      </w:r>
      <w:r w:rsidRPr="0097459F">
        <w:rPr>
          <w:rFonts w:cstheme="minorHAnsi"/>
        </w:rPr>
        <w:t xml:space="preserve"> </w:t>
      </w:r>
      <w:r w:rsidR="00037133" w:rsidRPr="0097459F">
        <w:rPr>
          <w:rFonts w:cstheme="minorHAnsi"/>
        </w:rPr>
        <w:t>decorrente</w:t>
      </w:r>
      <w:r w:rsidR="00A66580" w:rsidRPr="0097459F">
        <w:rPr>
          <w:rFonts w:cstheme="minorHAnsi"/>
        </w:rPr>
        <w:t xml:space="preserve"> </w:t>
      </w:r>
      <w:r w:rsidR="00037133" w:rsidRPr="0097459F">
        <w:rPr>
          <w:rFonts w:cstheme="minorHAnsi"/>
        </w:rPr>
        <w:t>d</w:t>
      </w:r>
      <w:r w:rsidR="00A66580" w:rsidRPr="0097459F">
        <w:rPr>
          <w:rFonts w:cstheme="minorHAnsi"/>
        </w:rPr>
        <w:t>o</w:t>
      </w:r>
      <w:r w:rsidRPr="0097459F">
        <w:rPr>
          <w:rFonts w:cstheme="minorHAnsi"/>
        </w:rPr>
        <w:t xml:space="preserve"> resgate ou amortização total de cotas</w:t>
      </w:r>
      <w:r w:rsidR="0029434B" w:rsidRPr="0097459F">
        <w:rPr>
          <w:rFonts w:cstheme="minorHAnsi"/>
        </w:rPr>
        <w:t>.</w:t>
      </w:r>
    </w:p>
    <w:p w14:paraId="5182BC9B" w14:textId="64E8F328" w:rsidR="003E127A" w:rsidRPr="0097459F" w:rsidRDefault="003E127A" w:rsidP="2889066B">
      <w:pPr>
        <w:pStyle w:val="Normalalteradora"/>
      </w:pPr>
      <w:r w:rsidRPr="0097459F">
        <w:t xml:space="preserve">Parágrafo único.  </w:t>
      </w:r>
      <w:r w:rsidR="5383BEF8" w:rsidRPr="0097459F">
        <w:t xml:space="preserve">É vedado ao administrador cancelar o registro de funcionamento caso o fundo figure </w:t>
      </w:r>
      <w:r w:rsidR="4F812F5D" w:rsidRPr="0097459F">
        <w:t>como</w:t>
      </w:r>
      <w:r w:rsidR="5383BEF8" w:rsidRPr="0097459F">
        <w:t xml:space="preserve"> acusado em processo administrativo sancionador perante a CVM pendente de encerramento</w:t>
      </w:r>
      <w:r w:rsidR="004B526A" w:rsidRPr="0097459F">
        <w:t>.</w:t>
      </w:r>
    </w:p>
    <w:p w14:paraId="2162FCAA" w14:textId="36307A1C" w:rsidR="001F1A19" w:rsidRPr="0097459F" w:rsidRDefault="001F1A19" w:rsidP="00C20BBD">
      <w:pPr>
        <w:pStyle w:val="Captulo"/>
        <w:rPr>
          <w:rFonts w:asciiTheme="minorHAnsi" w:hAnsiTheme="minorHAnsi" w:cstheme="minorHAnsi"/>
        </w:rPr>
      </w:pPr>
      <w:bookmarkStart w:id="332" w:name="_Toc114819007"/>
      <w:bookmarkStart w:id="333" w:name="_Toc126226342"/>
      <w:bookmarkStart w:id="334" w:name="_Toc53594473"/>
      <w:bookmarkStart w:id="335" w:name="_Toc53595498"/>
      <w:bookmarkStart w:id="336" w:name="_Toc53594225"/>
      <w:r w:rsidRPr="0097459F">
        <w:rPr>
          <w:rFonts w:asciiTheme="minorHAnsi" w:hAnsiTheme="minorHAnsi" w:cstheme="minorHAnsi"/>
        </w:rPr>
        <w:t>CAPÍTULO XV – MANUTENÇÃO DE ARQUIVOS</w:t>
      </w:r>
      <w:bookmarkEnd w:id="332"/>
      <w:bookmarkEnd w:id="333"/>
    </w:p>
    <w:p w14:paraId="1FFA5FF7" w14:textId="0CD2149A" w:rsidR="001F1A19" w:rsidRPr="0097459F" w:rsidRDefault="001F1A19" w:rsidP="00C20BBD">
      <w:pPr>
        <w:pStyle w:val="Normalalteradora"/>
        <w:rPr>
          <w:rFonts w:cstheme="minorHAnsi"/>
        </w:rPr>
      </w:pPr>
      <w:r w:rsidRPr="0097459F">
        <w:rPr>
          <w:rFonts w:cstheme="minorHAnsi"/>
        </w:rPr>
        <w:t xml:space="preserve">Art. </w:t>
      </w:r>
      <w:r w:rsidR="004D767E" w:rsidRPr="0097459F">
        <w:rPr>
          <w:rFonts w:cstheme="minorHAnsi"/>
        </w:rPr>
        <w:t>130</w:t>
      </w:r>
      <w:r w:rsidRPr="0097459F">
        <w:rPr>
          <w:rFonts w:cstheme="minorHAnsi"/>
        </w:rPr>
        <w:t>.  Todos os documentos e informações exigidas por esta Resolução, assim como as comunicações ocorridas entre os cotistas e o administrador quando da assembleia de cotistas, devem ser mantidos pelo prestador de serviço responsável pelos documentos e informações</w:t>
      </w:r>
      <w:r w:rsidR="007125DE" w:rsidRPr="0097459F">
        <w:rPr>
          <w:rFonts w:cstheme="minorHAnsi"/>
        </w:rPr>
        <w:t>,</w:t>
      </w:r>
      <w:r w:rsidRPr="0097459F">
        <w:rPr>
          <w:rFonts w:cstheme="minorHAnsi"/>
        </w:rPr>
        <w:t xml:space="preserve"> pelo </w:t>
      </w:r>
      <w:r w:rsidR="007125DE" w:rsidRPr="0097459F">
        <w:rPr>
          <w:rFonts w:cstheme="minorHAnsi"/>
        </w:rPr>
        <w:t xml:space="preserve">prazo mínimo de </w:t>
      </w:r>
      <w:r w:rsidR="004158AE" w:rsidRPr="0097459F">
        <w:rPr>
          <w:rFonts w:cstheme="minorHAnsi"/>
        </w:rPr>
        <w:t xml:space="preserve">5 (cinco) </w:t>
      </w:r>
      <w:r w:rsidR="007125DE" w:rsidRPr="0097459F">
        <w:rPr>
          <w:rFonts w:cstheme="minorHAnsi"/>
        </w:rPr>
        <w:t>anos</w:t>
      </w:r>
      <w:r w:rsidRPr="0097459F">
        <w:rPr>
          <w:rFonts w:cstheme="minorHAnsi"/>
        </w:rPr>
        <w:t xml:space="preserve"> ou por prazo superior por determinação expressa da CVM ou da entidade administradora de mercado organizado no qua</w:t>
      </w:r>
      <w:r w:rsidR="007B6F6A" w:rsidRPr="0097459F">
        <w:rPr>
          <w:rFonts w:cstheme="minorHAnsi"/>
        </w:rPr>
        <w:t>l</w:t>
      </w:r>
      <w:r w:rsidRPr="0097459F">
        <w:rPr>
          <w:rFonts w:cstheme="minorHAnsi"/>
        </w:rPr>
        <w:t xml:space="preserve"> as cotas estejam admitidas à negociação</w:t>
      </w:r>
      <w:r w:rsidR="007125DE" w:rsidRPr="0097459F">
        <w:rPr>
          <w:rFonts w:cstheme="minorHAnsi"/>
        </w:rPr>
        <w:t>.</w:t>
      </w:r>
    </w:p>
    <w:p w14:paraId="63405B2C" w14:textId="40A36F91" w:rsidR="001F1A19" w:rsidRPr="0097459F" w:rsidRDefault="001F1A19" w:rsidP="00C20BBD">
      <w:pPr>
        <w:pStyle w:val="Normalalteradora"/>
        <w:rPr>
          <w:rFonts w:cstheme="minorHAnsi"/>
        </w:rPr>
      </w:pPr>
      <w:r w:rsidRPr="0097459F">
        <w:rPr>
          <w:rFonts w:cstheme="minorHAnsi"/>
          <w:lang w:eastAsia="en-GB"/>
        </w:rPr>
        <w:t xml:space="preserve">§ 1º  As imagens digitalizadas são admitidas em </w:t>
      </w:r>
      <w:r w:rsidRPr="0097459F">
        <w:rPr>
          <w:rFonts w:cstheme="minorHAnsi"/>
        </w:rPr>
        <w:t xml:space="preserve">substituição </w:t>
      </w:r>
      <w:r w:rsidRPr="0097459F">
        <w:rPr>
          <w:rFonts w:cstheme="minorHAnsi"/>
          <w:lang w:eastAsia="en-GB"/>
        </w:rPr>
        <w:t>aos</w:t>
      </w:r>
      <w:r w:rsidRPr="0097459F">
        <w:rPr>
          <w:rFonts w:cstheme="minorHAnsi"/>
        </w:rPr>
        <w:t xml:space="preserve"> documentos originais, desde que o processo seja realizado de acordo com a </w:t>
      </w:r>
      <w:r w:rsidRPr="0097459F">
        <w:rPr>
          <w:rFonts w:cstheme="minorHAnsi"/>
          <w:lang w:eastAsia="en-GB"/>
        </w:rPr>
        <w:t>lei</w:t>
      </w:r>
      <w:r w:rsidRPr="0097459F">
        <w:rPr>
          <w:rFonts w:cstheme="minorHAnsi"/>
        </w:rPr>
        <w:t xml:space="preserve"> que dispõe sobre </w:t>
      </w:r>
      <w:r w:rsidR="00247220" w:rsidRPr="0097459F">
        <w:rPr>
          <w:rFonts w:cstheme="minorHAnsi"/>
        </w:rPr>
        <w:t xml:space="preserve">a </w:t>
      </w:r>
      <w:r w:rsidRPr="0097459F">
        <w:rPr>
          <w:rFonts w:cstheme="minorHAnsi"/>
        </w:rPr>
        <w:t>elaboração e o arquivamento de documentos públicos e privados em meios eletromagnéticos</w:t>
      </w:r>
      <w:r w:rsidRPr="0097459F">
        <w:rPr>
          <w:rFonts w:cstheme="minorHAnsi"/>
          <w:lang w:eastAsia="en-GB"/>
        </w:rPr>
        <w:t xml:space="preserve">, e com </w:t>
      </w:r>
      <w:r w:rsidR="0085391F" w:rsidRPr="0097459F">
        <w:rPr>
          <w:rFonts w:cstheme="minorHAnsi"/>
          <w:lang w:eastAsia="en-GB"/>
        </w:rPr>
        <w:t>a</w:t>
      </w:r>
      <w:r w:rsidRPr="0097459F">
        <w:rPr>
          <w:rFonts w:cstheme="minorHAnsi"/>
          <w:lang w:eastAsia="en-GB"/>
        </w:rPr>
        <w:t xml:space="preserve"> </w:t>
      </w:r>
      <w:r w:rsidR="0085391F" w:rsidRPr="0097459F">
        <w:rPr>
          <w:rFonts w:cstheme="minorHAnsi"/>
          <w:lang w:eastAsia="en-GB"/>
        </w:rPr>
        <w:t>regulamentação</w:t>
      </w:r>
      <w:r w:rsidRPr="0097459F">
        <w:rPr>
          <w:rFonts w:cstheme="minorHAnsi"/>
          <w:lang w:eastAsia="en-GB"/>
        </w:rPr>
        <w:t xml:space="preserve"> que estabelece a técnica e os requisitos para a digitalização desses documentos</w:t>
      </w:r>
      <w:r w:rsidRPr="0097459F">
        <w:rPr>
          <w:rFonts w:cstheme="minorHAnsi"/>
        </w:rPr>
        <w:t>.</w:t>
      </w:r>
    </w:p>
    <w:p w14:paraId="3E97CAE9" w14:textId="5F59C2E7" w:rsidR="001F1A19" w:rsidRPr="0097459F" w:rsidRDefault="001F1A19" w:rsidP="00C20BBD">
      <w:pPr>
        <w:pStyle w:val="Normalalteradora"/>
        <w:rPr>
          <w:rFonts w:cstheme="minorHAnsi"/>
        </w:rPr>
      </w:pPr>
      <w:r w:rsidRPr="0097459F">
        <w:rPr>
          <w:rFonts w:cstheme="minorHAnsi"/>
          <w:color w:val="000000" w:themeColor="text1"/>
        </w:rPr>
        <w:t xml:space="preserve">§ 2º </w:t>
      </w:r>
      <w:r w:rsidRPr="0097459F">
        <w:rPr>
          <w:rFonts w:cstheme="minorHAnsi"/>
        </w:rPr>
        <w:t xml:space="preserve"> O documento de origem pode ser descartado após sua digitalização, exceto se apresentar danos materiais que prejudiquem sua legibilidade.</w:t>
      </w:r>
    </w:p>
    <w:p w14:paraId="0314D2D1" w14:textId="0FE9E99B" w:rsidR="00893D49" w:rsidRPr="0097459F" w:rsidRDefault="00C959D1" w:rsidP="00C20BBD">
      <w:pPr>
        <w:pStyle w:val="Captulo"/>
        <w:rPr>
          <w:rFonts w:asciiTheme="minorHAnsi" w:hAnsiTheme="minorHAnsi"/>
        </w:rPr>
      </w:pPr>
      <w:bookmarkStart w:id="337" w:name="_Toc114819008"/>
      <w:bookmarkStart w:id="338" w:name="_Toc57836233"/>
      <w:bookmarkStart w:id="339" w:name="_Toc126226343"/>
      <w:r w:rsidRPr="0097459F">
        <w:t>CAPÍTULO XV</w:t>
      </w:r>
      <w:r w:rsidR="00143D5E" w:rsidRPr="0097459F">
        <w:t>I</w:t>
      </w:r>
      <w:r w:rsidR="00893D49" w:rsidRPr="0097459F">
        <w:rPr>
          <w:rFonts w:asciiTheme="minorHAnsi" w:hAnsiTheme="minorHAnsi"/>
        </w:rPr>
        <w:t xml:space="preserve"> – PENALIDADES E MULTA COMINATÓRIA</w:t>
      </w:r>
      <w:bookmarkEnd w:id="334"/>
      <w:bookmarkEnd w:id="335"/>
      <w:bookmarkEnd w:id="336"/>
      <w:bookmarkEnd w:id="337"/>
      <w:bookmarkEnd w:id="338"/>
      <w:bookmarkEnd w:id="339"/>
    </w:p>
    <w:p w14:paraId="50E83F5E" w14:textId="58584705"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131</w:t>
      </w:r>
      <w:r w:rsidRPr="0097459F">
        <w:rPr>
          <w:rFonts w:cstheme="minorHAnsi"/>
        </w:rPr>
        <w:t>.  Considera-se infração grave, para efeito do disposto no art. 11, § 3º, da Lei nº 6.385, de 1976, as seguintes condutas em desacordo com as disposições desta Resolução:</w:t>
      </w:r>
    </w:p>
    <w:p w14:paraId="78D3CFC4" w14:textId="20E18330" w:rsidR="00893D49" w:rsidRPr="0097459F" w:rsidRDefault="00893D49" w:rsidP="00C20BBD">
      <w:pPr>
        <w:pStyle w:val="Normalalteradora"/>
        <w:rPr>
          <w:rFonts w:cstheme="minorHAnsi"/>
        </w:rPr>
      </w:pPr>
      <w:r w:rsidRPr="0097459F">
        <w:rPr>
          <w:rFonts w:cstheme="minorHAnsi"/>
        </w:rPr>
        <w:lastRenderedPageBreak/>
        <w:t xml:space="preserve">I – distribuição de cotas de </w:t>
      </w:r>
      <w:r w:rsidR="006E48C8" w:rsidRPr="0097459F">
        <w:rPr>
          <w:rFonts w:cstheme="minorHAnsi"/>
        </w:rPr>
        <w:t xml:space="preserve">fundos, classes e subclasses </w:t>
      </w:r>
      <w:r w:rsidRPr="0097459F">
        <w:rPr>
          <w:rFonts w:cstheme="minorHAnsi"/>
        </w:rPr>
        <w:t>sem registro de funcionamento na CVM;</w:t>
      </w:r>
    </w:p>
    <w:p w14:paraId="704BADAA" w14:textId="6AF0D5DD" w:rsidR="00893D49" w:rsidRPr="0097459F" w:rsidRDefault="00893D49" w:rsidP="00C20BBD">
      <w:pPr>
        <w:pStyle w:val="Normalalteradora"/>
        <w:rPr>
          <w:rFonts w:cstheme="minorHAnsi"/>
        </w:rPr>
      </w:pPr>
      <w:r w:rsidRPr="0097459F">
        <w:rPr>
          <w:rFonts w:cstheme="minorHAnsi"/>
        </w:rPr>
        <w:t>II – exercício de atividade não autorizada, ou contratação de terceiros não autorizados ou habilitados à prestação dos serviços contratados;</w:t>
      </w:r>
    </w:p>
    <w:p w14:paraId="22524613" w14:textId="7D66937A" w:rsidR="00893D49" w:rsidRPr="0097459F" w:rsidRDefault="007B4721" w:rsidP="00C20BBD">
      <w:pPr>
        <w:pStyle w:val="Normalalteradora"/>
        <w:rPr>
          <w:rFonts w:cstheme="minorHAnsi"/>
        </w:rPr>
      </w:pPr>
      <w:r w:rsidRPr="0097459F">
        <w:rPr>
          <w:rFonts w:cstheme="minorHAnsi"/>
        </w:rPr>
        <w:t>III</w:t>
      </w:r>
      <w:r w:rsidR="00893D49" w:rsidRPr="0097459F">
        <w:rPr>
          <w:rFonts w:cstheme="minorHAnsi"/>
        </w:rPr>
        <w:t xml:space="preserve"> – não observância </w:t>
      </w:r>
      <w:r w:rsidR="00C0071F" w:rsidRPr="0097459F">
        <w:rPr>
          <w:rFonts w:cstheme="minorHAnsi"/>
        </w:rPr>
        <w:t>da</w:t>
      </w:r>
      <w:r w:rsidR="00893D49" w:rsidRPr="0097459F">
        <w:rPr>
          <w:rFonts w:cstheme="minorHAnsi"/>
        </w:rPr>
        <w:t>s disposições do regulamento;</w:t>
      </w:r>
    </w:p>
    <w:p w14:paraId="49570F5C" w14:textId="4DA96C99" w:rsidR="00893D49" w:rsidRPr="0097459F" w:rsidRDefault="007B4721" w:rsidP="00C20BBD">
      <w:pPr>
        <w:pStyle w:val="Normalalteradora"/>
        <w:rPr>
          <w:rFonts w:cstheme="minorHAnsi"/>
        </w:rPr>
      </w:pPr>
      <w:r w:rsidRPr="0097459F">
        <w:rPr>
          <w:rFonts w:cstheme="minorHAnsi"/>
        </w:rPr>
        <w:t>I</w:t>
      </w:r>
      <w:r w:rsidR="00893D49" w:rsidRPr="0097459F">
        <w:rPr>
          <w:rFonts w:cstheme="minorHAnsi"/>
        </w:rPr>
        <w:t xml:space="preserve">V – não manter atualizados e em perfeita ordem os documentos referidos no inciso I do art. </w:t>
      </w:r>
      <w:r w:rsidR="00E24209" w:rsidRPr="0097459F">
        <w:rPr>
          <w:rFonts w:cstheme="minorHAnsi"/>
        </w:rPr>
        <w:t>104</w:t>
      </w:r>
      <w:r w:rsidR="00893D49" w:rsidRPr="0097459F">
        <w:rPr>
          <w:rFonts w:cstheme="minorHAnsi"/>
        </w:rPr>
        <w:t>;</w:t>
      </w:r>
    </w:p>
    <w:p w14:paraId="2BF508B3" w14:textId="1BFCC9E2" w:rsidR="00893D49" w:rsidRPr="0097459F" w:rsidRDefault="00893D49" w:rsidP="00C20BBD">
      <w:pPr>
        <w:pStyle w:val="Normalalteradora"/>
        <w:rPr>
          <w:rFonts w:cstheme="minorHAnsi"/>
        </w:rPr>
      </w:pPr>
      <w:r w:rsidRPr="0097459F">
        <w:rPr>
          <w:rFonts w:cstheme="minorHAnsi"/>
        </w:rPr>
        <w:t xml:space="preserve">V – descaracterização da categoria adotada </w:t>
      </w:r>
      <w:r w:rsidR="006E48C8" w:rsidRPr="0097459F">
        <w:rPr>
          <w:rFonts w:cstheme="minorHAnsi"/>
        </w:rPr>
        <w:t>pelo fundo</w:t>
      </w:r>
      <w:r w:rsidRPr="0097459F">
        <w:rPr>
          <w:rFonts w:cstheme="minorHAnsi"/>
        </w:rPr>
        <w:t xml:space="preserve">, exceto </w:t>
      </w:r>
      <w:r w:rsidR="006E48C8" w:rsidRPr="0097459F">
        <w:rPr>
          <w:rFonts w:cstheme="minorHAnsi"/>
        </w:rPr>
        <w:t>nos fundos</w:t>
      </w:r>
      <w:r w:rsidRPr="0097459F">
        <w:rPr>
          <w:rFonts w:cstheme="minorHAnsi"/>
        </w:rPr>
        <w:t xml:space="preserve"> </w:t>
      </w:r>
      <w:r w:rsidR="006B5795" w:rsidRPr="0097459F">
        <w:rPr>
          <w:rFonts w:cstheme="minorHAnsi"/>
        </w:rPr>
        <w:t xml:space="preserve">de investimento financeiro </w:t>
      </w:r>
      <w:r w:rsidR="00E9173D" w:rsidRPr="0097459F">
        <w:rPr>
          <w:rFonts w:cstheme="minorHAnsi"/>
        </w:rPr>
        <w:t xml:space="preserve">do tipo </w:t>
      </w:r>
      <w:r w:rsidRPr="0097459F">
        <w:rPr>
          <w:rFonts w:cstheme="minorHAnsi"/>
        </w:rPr>
        <w:t>“Multimercado”;</w:t>
      </w:r>
    </w:p>
    <w:p w14:paraId="725B916B" w14:textId="0604E18B" w:rsidR="00893D49" w:rsidRPr="0097459F" w:rsidRDefault="00893D49" w:rsidP="00C20BBD">
      <w:pPr>
        <w:pStyle w:val="Normalalteradora"/>
        <w:rPr>
          <w:rFonts w:cstheme="minorHAnsi"/>
        </w:rPr>
      </w:pPr>
      <w:r w:rsidRPr="0097459F">
        <w:rPr>
          <w:rFonts w:cstheme="minorHAnsi"/>
        </w:rPr>
        <w:t>VI – não observância das normas contábeis aplicáveis aos fundos;</w:t>
      </w:r>
    </w:p>
    <w:p w14:paraId="3DE6A045" w14:textId="396FEC07" w:rsidR="00893D49" w:rsidRPr="0097459F" w:rsidRDefault="00893D49" w:rsidP="00C20BBD">
      <w:pPr>
        <w:pStyle w:val="Normalalteradora"/>
        <w:rPr>
          <w:rFonts w:cstheme="minorHAnsi"/>
        </w:rPr>
      </w:pPr>
      <w:bookmarkStart w:id="340" w:name="_DV_M899"/>
      <w:bookmarkEnd w:id="340"/>
      <w:r w:rsidRPr="0097459F">
        <w:rPr>
          <w:rFonts w:cstheme="minorHAnsi"/>
        </w:rPr>
        <w:t xml:space="preserve">VII – não observância </w:t>
      </w:r>
      <w:r w:rsidR="00C0071F" w:rsidRPr="0097459F">
        <w:rPr>
          <w:rFonts w:cstheme="minorHAnsi"/>
        </w:rPr>
        <w:t>d</w:t>
      </w:r>
      <w:r w:rsidRPr="0097459F">
        <w:rPr>
          <w:rFonts w:cstheme="minorHAnsi"/>
        </w:rPr>
        <w:t xml:space="preserve">o disposto nos arts. </w:t>
      </w:r>
      <w:r w:rsidR="00395108" w:rsidRPr="0097459F">
        <w:rPr>
          <w:rFonts w:cstheme="minorHAnsi"/>
        </w:rPr>
        <w:t>88</w:t>
      </w:r>
      <w:r w:rsidR="00396882" w:rsidRPr="0097459F">
        <w:rPr>
          <w:rFonts w:cstheme="minorHAnsi"/>
        </w:rPr>
        <w:t>, 92</w:t>
      </w:r>
      <w:r w:rsidR="00E24209" w:rsidRPr="0097459F">
        <w:rPr>
          <w:rFonts w:cstheme="minorHAnsi"/>
        </w:rPr>
        <w:t xml:space="preserve">, </w:t>
      </w:r>
      <w:r w:rsidR="0056077B" w:rsidRPr="0097459F">
        <w:rPr>
          <w:rFonts w:cstheme="minorHAnsi"/>
        </w:rPr>
        <w:t>101</w:t>
      </w:r>
      <w:r w:rsidRPr="0097459F">
        <w:rPr>
          <w:rFonts w:cstheme="minorHAnsi"/>
        </w:rPr>
        <w:t xml:space="preserve"> </w:t>
      </w:r>
      <w:r w:rsidR="00E24209" w:rsidRPr="0097459F">
        <w:rPr>
          <w:rFonts w:cstheme="minorHAnsi"/>
        </w:rPr>
        <w:t xml:space="preserve">e </w:t>
      </w:r>
      <w:r w:rsidR="00396882" w:rsidRPr="0097459F">
        <w:rPr>
          <w:rFonts w:cstheme="minorHAnsi"/>
        </w:rPr>
        <w:t>106</w:t>
      </w:r>
      <w:r w:rsidRPr="0097459F">
        <w:rPr>
          <w:rFonts w:cstheme="minorHAnsi"/>
        </w:rPr>
        <w:t>;</w:t>
      </w:r>
    </w:p>
    <w:p w14:paraId="4D06EFB5" w14:textId="3AE7A541" w:rsidR="009E1952" w:rsidRPr="0097459F" w:rsidRDefault="007B4721" w:rsidP="00C20BBD">
      <w:pPr>
        <w:pStyle w:val="Normalalteradora"/>
        <w:rPr>
          <w:rFonts w:cstheme="minorHAnsi"/>
        </w:rPr>
      </w:pPr>
      <w:r w:rsidRPr="0097459F">
        <w:rPr>
          <w:rFonts w:cstheme="minorHAnsi"/>
        </w:rPr>
        <w:t>VIII</w:t>
      </w:r>
      <w:r w:rsidR="009E1952" w:rsidRPr="0097459F">
        <w:rPr>
          <w:rFonts w:cstheme="minorHAnsi"/>
        </w:rPr>
        <w:t xml:space="preserve"> – não encaminhame</w:t>
      </w:r>
      <w:r w:rsidR="00E268E8" w:rsidRPr="0097459F">
        <w:rPr>
          <w:rFonts w:cstheme="minorHAnsi"/>
        </w:rPr>
        <w:t xml:space="preserve">nto da documentação </w:t>
      </w:r>
      <w:r w:rsidR="006E48C8" w:rsidRPr="0097459F">
        <w:rPr>
          <w:rFonts w:cstheme="minorHAnsi"/>
        </w:rPr>
        <w:t>do fundo</w:t>
      </w:r>
      <w:r w:rsidR="00E268E8" w:rsidRPr="0097459F">
        <w:rPr>
          <w:rFonts w:cstheme="minorHAnsi"/>
        </w:rPr>
        <w:t xml:space="preserve"> pel</w:t>
      </w:r>
      <w:r w:rsidR="009E1952" w:rsidRPr="0097459F">
        <w:rPr>
          <w:rFonts w:cstheme="minorHAnsi"/>
        </w:rPr>
        <w:t xml:space="preserve">o administrador substituído, nos termos do art. </w:t>
      </w:r>
      <w:r w:rsidR="00E24209" w:rsidRPr="0097459F">
        <w:rPr>
          <w:rFonts w:cstheme="minorHAnsi"/>
        </w:rPr>
        <w:t>108</w:t>
      </w:r>
      <w:r w:rsidR="009E1952" w:rsidRPr="0097459F">
        <w:rPr>
          <w:rFonts w:cstheme="minorHAnsi"/>
        </w:rPr>
        <w:t xml:space="preserve">, § </w:t>
      </w:r>
      <w:r w:rsidR="00E24209" w:rsidRPr="0097459F">
        <w:rPr>
          <w:rFonts w:cstheme="minorHAnsi"/>
        </w:rPr>
        <w:t>5º</w:t>
      </w:r>
      <w:r w:rsidR="009E1952" w:rsidRPr="0097459F">
        <w:rPr>
          <w:rFonts w:cstheme="minorHAnsi"/>
        </w:rPr>
        <w:t>;</w:t>
      </w:r>
    </w:p>
    <w:p w14:paraId="539F4E35" w14:textId="63BB9351" w:rsidR="00893D49" w:rsidRPr="0097459F" w:rsidRDefault="00893D49" w:rsidP="00C20BBD">
      <w:pPr>
        <w:pStyle w:val="Normalalteradora"/>
        <w:rPr>
          <w:rFonts w:cstheme="minorHAnsi"/>
        </w:rPr>
      </w:pPr>
      <w:r w:rsidRPr="0097459F">
        <w:rPr>
          <w:rFonts w:cstheme="minorHAnsi"/>
        </w:rPr>
        <w:t xml:space="preserve">IX – não adoção das ações de que trata o art. </w:t>
      </w:r>
      <w:r w:rsidR="00E24209" w:rsidRPr="0097459F">
        <w:rPr>
          <w:rFonts w:cstheme="minorHAnsi"/>
        </w:rPr>
        <w:t>122</w:t>
      </w:r>
      <w:r w:rsidRPr="0097459F">
        <w:rPr>
          <w:rFonts w:cstheme="minorHAnsi"/>
        </w:rPr>
        <w:t>;</w:t>
      </w:r>
    </w:p>
    <w:p w14:paraId="21882A9C" w14:textId="77777777" w:rsidR="00893D49" w:rsidRPr="0097459F" w:rsidRDefault="00893D49" w:rsidP="00C20BBD">
      <w:pPr>
        <w:pStyle w:val="Normalalteradora"/>
        <w:rPr>
          <w:rFonts w:cstheme="minorHAnsi"/>
        </w:rPr>
      </w:pPr>
      <w:r w:rsidRPr="0097459F">
        <w:rPr>
          <w:rFonts w:cstheme="minorHAnsi"/>
        </w:rPr>
        <w:t>X – não divulgação de fato relevante;</w:t>
      </w:r>
    </w:p>
    <w:p w14:paraId="7FD776F6" w14:textId="77777777" w:rsidR="00893D49" w:rsidRPr="0097459F" w:rsidRDefault="00893D49" w:rsidP="00C20BBD">
      <w:pPr>
        <w:pStyle w:val="Normalalteradora"/>
        <w:rPr>
          <w:rFonts w:cstheme="minorHAnsi"/>
        </w:rPr>
      </w:pPr>
      <w:r w:rsidRPr="0097459F">
        <w:rPr>
          <w:rFonts w:cstheme="minorHAnsi"/>
        </w:rPr>
        <w:t>XI – não cumprimento das deliberações tomadas em assembleias de cotistas;</w:t>
      </w:r>
    </w:p>
    <w:p w14:paraId="07FBC8D6" w14:textId="2C96C1CA" w:rsidR="00893D49" w:rsidRPr="0097459F" w:rsidRDefault="00893D49" w:rsidP="00C20BBD">
      <w:pPr>
        <w:pStyle w:val="Normalalteradora"/>
        <w:rPr>
          <w:rFonts w:cstheme="minorHAnsi"/>
        </w:rPr>
      </w:pPr>
      <w:r w:rsidRPr="0097459F">
        <w:rPr>
          <w:rFonts w:cstheme="minorHAnsi"/>
        </w:rPr>
        <w:t>XII – não comparecimento do gestor à assembleia de cotistas que for convocada para deliberar sobre a resolução de patrimônio líquido negativo;</w:t>
      </w:r>
    </w:p>
    <w:p w14:paraId="61546AD2" w14:textId="0EB8195B" w:rsidR="00893D49" w:rsidRPr="0097459F" w:rsidRDefault="00893D49" w:rsidP="00C20BBD">
      <w:pPr>
        <w:pStyle w:val="Normalalteradora"/>
        <w:rPr>
          <w:rFonts w:cstheme="minorHAnsi"/>
        </w:rPr>
      </w:pPr>
      <w:r w:rsidRPr="0097459F">
        <w:rPr>
          <w:rFonts w:cstheme="minorHAnsi"/>
        </w:rPr>
        <w:t>XIII – não monitoramento</w:t>
      </w:r>
      <w:r w:rsidR="00501F5F" w:rsidRPr="0097459F">
        <w:rPr>
          <w:rFonts w:cstheme="minorHAnsi"/>
        </w:rPr>
        <w:t xml:space="preserve"> pelo</w:t>
      </w:r>
      <w:r w:rsidR="0029434B" w:rsidRPr="0097459F">
        <w:rPr>
          <w:rFonts w:cstheme="minorHAnsi"/>
        </w:rPr>
        <w:t>s</w:t>
      </w:r>
      <w:r w:rsidR="00501F5F" w:rsidRPr="0097459F">
        <w:rPr>
          <w:rFonts w:cstheme="minorHAnsi"/>
        </w:rPr>
        <w:t xml:space="preserve"> </w:t>
      </w:r>
      <w:r w:rsidR="0029434B" w:rsidRPr="0097459F">
        <w:rPr>
          <w:rFonts w:cstheme="minorHAnsi"/>
        </w:rPr>
        <w:t>prestadores de serviços essenciais</w:t>
      </w:r>
      <w:r w:rsidRPr="0097459F">
        <w:rPr>
          <w:rFonts w:cstheme="minorHAnsi"/>
        </w:rPr>
        <w:t xml:space="preserve"> das hipóteses de liquidação antecipada previstas no regulamento</w:t>
      </w:r>
      <w:r w:rsidR="0029434B" w:rsidRPr="0097459F">
        <w:rPr>
          <w:rFonts w:cstheme="minorHAnsi"/>
        </w:rPr>
        <w:t>, dentro de suas esferas de atuação</w:t>
      </w:r>
      <w:r w:rsidRPr="0097459F">
        <w:rPr>
          <w:rFonts w:cstheme="minorHAnsi"/>
        </w:rPr>
        <w:t>; e</w:t>
      </w:r>
    </w:p>
    <w:p w14:paraId="7E92D327" w14:textId="50C20120" w:rsidR="00893D49" w:rsidRPr="0097459F" w:rsidRDefault="00893D49" w:rsidP="00C20BBD">
      <w:pPr>
        <w:pStyle w:val="Normalalteradora"/>
        <w:rPr>
          <w:rFonts w:cstheme="minorHAnsi"/>
        </w:rPr>
      </w:pPr>
      <w:r w:rsidRPr="0097459F">
        <w:rPr>
          <w:rFonts w:cstheme="minorHAnsi"/>
        </w:rPr>
        <w:t>XIV – não execução dos procedimentos relacionados à liquidação</w:t>
      </w:r>
      <w:r w:rsidR="006A10D7" w:rsidRPr="0097459F">
        <w:rPr>
          <w:rFonts w:cstheme="minorHAnsi"/>
        </w:rPr>
        <w:t xml:space="preserve"> da classe</w:t>
      </w:r>
      <w:r w:rsidRPr="0097459F">
        <w:rPr>
          <w:rFonts w:cstheme="minorHAnsi"/>
        </w:rPr>
        <w:t>, conforme previstos no regulamento.</w:t>
      </w:r>
    </w:p>
    <w:p w14:paraId="6DC51747" w14:textId="2E0F6910"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132</w:t>
      </w:r>
      <w:r w:rsidRPr="0097459F">
        <w:rPr>
          <w:rFonts w:cstheme="minorHAnsi"/>
        </w:rPr>
        <w:t>.  Sem prejuízo do disposto no art. 11 da Lei nº 6.385, de 1976, o administrador está sujeito à multa diária prevista na norma específica que trata de multas cominatórias</w:t>
      </w:r>
      <w:r w:rsidR="00501F5F" w:rsidRPr="0097459F">
        <w:rPr>
          <w:rFonts w:cstheme="minorHAnsi"/>
        </w:rPr>
        <w:t>,</w:t>
      </w:r>
      <w:r w:rsidRPr="0097459F">
        <w:rPr>
          <w:rFonts w:cstheme="minorHAnsi"/>
        </w:rPr>
        <w:t xml:space="preserve"> em virtude do não atendimento dos prazos para entrega de informações periódicas à CVM.</w:t>
      </w:r>
    </w:p>
    <w:p w14:paraId="3D1AF57B" w14:textId="65267D04" w:rsidR="00893D49" w:rsidRPr="0097459F" w:rsidRDefault="00893D49" w:rsidP="00C20BBD">
      <w:pPr>
        <w:pStyle w:val="Captulo"/>
        <w:rPr>
          <w:rFonts w:asciiTheme="minorHAnsi" w:hAnsiTheme="minorHAnsi"/>
        </w:rPr>
      </w:pPr>
      <w:bookmarkStart w:id="341" w:name="_Toc53594474"/>
      <w:bookmarkStart w:id="342" w:name="_Toc53595499"/>
      <w:bookmarkStart w:id="343" w:name="_Toc53594226"/>
      <w:bookmarkStart w:id="344" w:name="_Toc114819009"/>
      <w:bookmarkStart w:id="345" w:name="_Toc57836234"/>
      <w:bookmarkStart w:id="346" w:name="_Toc126226344"/>
      <w:r w:rsidRPr="0097459F">
        <w:rPr>
          <w:rFonts w:asciiTheme="minorHAnsi" w:hAnsiTheme="minorHAnsi"/>
        </w:rPr>
        <w:lastRenderedPageBreak/>
        <w:t>CAPÍTULO XVI</w:t>
      </w:r>
      <w:r w:rsidR="00143D5E" w:rsidRPr="0097459F">
        <w:rPr>
          <w:rFonts w:asciiTheme="minorHAnsi" w:hAnsiTheme="minorHAnsi"/>
        </w:rPr>
        <w:t>I</w:t>
      </w:r>
      <w:r w:rsidRPr="0097459F">
        <w:rPr>
          <w:rFonts w:asciiTheme="minorHAnsi" w:hAnsiTheme="minorHAnsi"/>
        </w:rPr>
        <w:t xml:space="preserve"> – DISPOSIÇÕES FINAIS E TRANSITÓRIAS</w:t>
      </w:r>
      <w:bookmarkEnd w:id="341"/>
      <w:bookmarkEnd w:id="342"/>
      <w:bookmarkEnd w:id="343"/>
      <w:bookmarkEnd w:id="344"/>
      <w:bookmarkEnd w:id="345"/>
      <w:bookmarkEnd w:id="346"/>
    </w:p>
    <w:p w14:paraId="6F544807" w14:textId="394A57DC" w:rsidR="00893D49" w:rsidRPr="0097459F" w:rsidRDefault="00893D49" w:rsidP="00C20BBD">
      <w:pPr>
        <w:pStyle w:val="Normalalteradora"/>
      </w:pPr>
      <w:bookmarkStart w:id="347" w:name="_Hlk50481083"/>
      <w:r w:rsidRPr="0097459F">
        <w:t xml:space="preserve">Art. </w:t>
      </w:r>
      <w:bookmarkEnd w:id="347"/>
      <w:r w:rsidR="004D767E" w:rsidRPr="0097459F">
        <w:t>133</w:t>
      </w:r>
      <w:r w:rsidRPr="0097459F">
        <w:t xml:space="preserve">.  Em caso de decretação de intervenção, administração especial temporária, liquidação extrajudicial, insolvência ou falência </w:t>
      </w:r>
      <w:r w:rsidR="00136D2B" w:rsidRPr="0097459F">
        <w:t>de prestador de serviço essencial</w:t>
      </w:r>
      <w:r w:rsidRPr="0097459F">
        <w:t>, o liquidante, o administrador temporário ou o interventor</w:t>
      </w:r>
      <w:r w:rsidR="00136D2B" w:rsidRPr="0097459F">
        <w:t>, conforme o caso,</w:t>
      </w:r>
      <w:r w:rsidRPr="0097459F">
        <w:t xml:space="preserve"> fica obrigado a dar cumprimento ao disposto nesta Resolução. </w:t>
      </w:r>
    </w:p>
    <w:p w14:paraId="3833FA76" w14:textId="68D774F9" w:rsidR="00AD5347" w:rsidRPr="0097459F" w:rsidRDefault="00AD5347" w:rsidP="00C20BBD">
      <w:pPr>
        <w:pStyle w:val="Normalalteradora"/>
        <w:rPr>
          <w:rFonts w:cstheme="minorHAnsi"/>
        </w:rPr>
      </w:pPr>
      <w:r w:rsidRPr="0097459F">
        <w:rPr>
          <w:rFonts w:cstheme="minorHAnsi"/>
        </w:rPr>
        <w:t>§ 1º  É facultado ao liquidante, administrador temporário ou interventor, conforme o caso, convocar assembleia geral de cotistas para deliberar sobre:</w:t>
      </w:r>
    </w:p>
    <w:p w14:paraId="2BD631CC" w14:textId="77777777" w:rsidR="00AD5347" w:rsidRPr="0097459F" w:rsidRDefault="00AD5347" w:rsidP="00C20BBD">
      <w:pPr>
        <w:pStyle w:val="Normalalteradora"/>
        <w:rPr>
          <w:rFonts w:cstheme="minorHAnsi"/>
        </w:rPr>
      </w:pPr>
      <w:r w:rsidRPr="0097459F">
        <w:rPr>
          <w:rFonts w:cstheme="minorHAnsi"/>
        </w:rPr>
        <w:t>I – a transferência da administração ou gestão do fundo para outra instituição; ou</w:t>
      </w:r>
    </w:p>
    <w:p w14:paraId="53412551" w14:textId="77777777" w:rsidR="00AD5347" w:rsidRPr="0097459F" w:rsidRDefault="00AD5347" w:rsidP="00C20BBD">
      <w:pPr>
        <w:pStyle w:val="Normalalteradora"/>
        <w:rPr>
          <w:rFonts w:cstheme="minorHAnsi"/>
        </w:rPr>
      </w:pPr>
      <w:r w:rsidRPr="0097459F">
        <w:rPr>
          <w:rFonts w:cstheme="minorHAnsi"/>
        </w:rPr>
        <w:t>II – a liquidação do fundo.</w:t>
      </w:r>
    </w:p>
    <w:p w14:paraId="4ECEAD70" w14:textId="5317D57D" w:rsidR="007C6DF7" w:rsidRDefault="00AD5347" w:rsidP="00C20BBD">
      <w:pPr>
        <w:pStyle w:val="Normalalteradora"/>
        <w:rPr>
          <w:rFonts w:cstheme="minorHAnsi"/>
        </w:rPr>
      </w:pPr>
      <w:r w:rsidRPr="0097459F">
        <w:rPr>
          <w:rFonts w:cstheme="minorHAnsi"/>
        </w:rPr>
        <w:t>§ 2º</w:t>
      </w:r>
      <w:r w:rsidR="00893D49" w:rsidRPr="0097459F">
        <w:rPr>
          <w:rFonts w:cstheme="minorHAnsi"/>
        </w:rPr>
        <w:t xml:space="preserve"> </w:t>
      </w:r>
      <w:r w:rsidR="009D44BE" w:rsidRPr="0097459F">
        <w:rPr>
          <w:rFonts w:cstheme="minorHAnsi"/>
        </w:rPr>
        <w:t xml:space="preserve"> </w:t>
      </w:r>
      <w:r w:rsidR="0050693A" w:rsidRPr="0097459F">
        <w:rPr>
          <w:rFonts w:cstheme="minorHAnsi"/>
        </w:rPr>
        <w:t>A partir de pedido fundamentado d</w:t>
      </w:r>
      <w:r w:rsidR="00893D49" w:rsidRPr="0097459F">
        <w:rPr>
          <w:rFonts w:cstheme="minorHAnsi"/>
        </w:rPr>
        <w:t xml:space="preserve">o liquidante, administrador temporário ou interventor, conforme o caso, </w:t>
      </w:r>
      <w:r w:rsidR="0050693A" w:rsidRPr="0097459F">
        <w:rPr>
          <w:rFonts w:cstheme="minorHAnsi"/>
        </w:rPr>
        <w:t>a</w:t>
      </w:r>
      <w:r w:rsidR="00893D49" w:rsidRPr="0097459F">
        <w:rPr>
          <w:rFonts w:cstheme="minorHAnsi"/>
        </w:rPr>
        <w:t xml:space="preserve"> </w:t>
      </w:r>
      <w:r w:rsidR="006D0201" w:rsidRPr="0097459F">
        <w:rPr>
          <w:rFonts w:cstheme="minorHAnsi"/>
        </w:rPr>
        <w:t xml:space="preserve">Superintendência competente </w:t>
      </w:r>
      <w:r w:rsidR="0050693A" w:rsidRPr="0097459F">
        <w:rPr>
          <w:rFonts w:cstheme="minorHAnsi"/>
        </w:rPr>
        <w:t>pode</w:t>
      </w:r>
      <w:r w:rsidR="00893D49" w:rsidRPr="0097459F">
        <w:rPr>
          <w:rFonts w:cstheme="minorHAnsi"/>
        </w:rPr>
        <w:t xml:space="preserve"> </w:t>
      </w:r>
      <w:r w:rsidR="00EF614E" w:rsidRPr="0097459F">
        <w:rPr>
          <w:rFonts w:cstheme="minorHAnsi"/>
        </w:rPr>
        <w:t xml:space="preserve">nomear </w:t>
      </w:r>
      <w:r w:rsidR="00893D49" w:rsidRPr="0097459F">
        <w:rPr>
          <w:rFonts w:cstheme="minorHAnsi"/>
        </w:rPr>
        <w:t xml:space="preserve">um administrador </w:t>
      </w:r>
      <w:r w:rsidR="0050693A" w:rsidRPr="0097459F">
        <w:rPr>
          <w:rFonts w:cstheme="minorHAnsi"/>
        </w:rPr>
        <w:t>ou gestor temporário</w:t>
      </w:r>
      <w:r w:rsidR="0039010F" w:rsidRPr="0097459F">
        <w:rPr>
          <w:rFonts w:cstheme="minorHAnsi"/>
        </w:rPr>
        <w:t>.</w:t>
      </w:r>
    </w:p>
    <w:p w14:paraId="5465ED08" w14:textId="20B572E3" w:rsidR="00C73321" w:rsidRPr="0097459F" w:rsidRDefault="00C73321" w:rsidP="00C73321">
      <w:pPr>
        <w:pStyle w:val="Normalalteradora"/>
        <w:rPr>
          <w:rFonts w:cstheme="minorHAnsi"/>
        </w:rPr>
      </w:pPr>
      <w:r>
        <w:rPr>
          <w:rFonts w:cstheme="minorHAnsi"/>
        </w:rPr>
        <w:t>Art. 134.</w:t>
      </w:r>
      <w:r w:rsidRPr="003448FD">
        <w:rPr>
          <w:rFonts w:cstheme="minorHAnsi"/>
        </w:rPr>
        <w:t xml:space="preserve">  Os fundos de investimento que estejam em funcionamento na data de início da vigência </w:t>
      </w:r>
      <w:r>
        <w:rPr>
          <w:rFonts w:cstheme="minorHAnsi"/>
        </w:rPr>
        <w:t>da norma</w:t>
      </w:r>
      <w:r w:rsidRPr="003448FD">
        <w:rPr>
          <w:rFonts w:cstheme="minorHAnsi"/>
        </w:rPr>
        <w:t xml:space="preserve"> devem adaptar-se integralmente às disposições desta Resolução até </w:t>
      </w:r>
      <w:r>
        <w:rPr>
          <w:rFonts w:cstheme="minorHAnsi"/>
        </w:rPr>
        <w:t>31 de dezembro de 2024, com exceção dos fundos de investimento em direitos creditórios - FIDC, que devem adaptar-se até 31 de dezembro de 2023.</w:t>
      </w:r>
    </w:p>
    <w:p w14:paraId="76CBFF7C" w14:textId="53EF5129" w:rsidR="006A10D7" w:rsidRPr="0097459F" w:rsidRDefault="006A10D7" w:rsidP="00C20BBD">
      <w:pPr>
        <w:pStyle w:val="Normalalteradora"/>
      </w:pPr>
      <w:r w:rsidRPr="0097459F">
        <w:t xml:space="preserve">Parágrafo único.  </w:t>
      </w:r>
      <w:r w:rsidR="004B6C08" w:rsidRPr="0097459F">
        <w:t xml:space="preserve">Uma vez </w:t>
      </w:r>
      <w:r w:rsidRPr="0097459F">
        <w:t xml:space="preserve">concluída </w:t>
      </w:r>
      <w:r w:rsidR="004B6C08" w:rsidRPr="0097459F">
        <w:t xml:space="preserve">a adaptação do fundo de investimento, o administrador pode transformá-lo em </w:t>
      </w:r>
      <w:r w:rsidRPr="0097459F">
        <w:t xml:space="preserve">uma classe de cotas de outro fundo, sem que seja necessária </w:t>
      </w:r>
      <w:r w:rsidR="004B6C08" w:rsidRPr="0097459F">
        <w:t>deliberação</w:t>
      </w:r>
      <w:r w:rsidRPr="0097459F">
        <w:t xml:space="preserve"> da assembleia de cotistas.</w:t>
      </w:r>
    </w:p>
    <w:p w14:paraId="7A7EB131" w14:textId="68958C02" w:rsidR="00E76EA9" w:rsidRPr="0097459F" w:rsidRDefault="00E76EA9" w:rsidP="00C20BBD">
      <w:pPr>
        <w:pStyle w:val="Normalalteradora"/>
      </w:pPr>
      <w:r w:rsidRPr="0097459F">
        <w:t xml:space="preserve">Art. </w:t>
      </w:r>
      <w:r w:rsidR="004D767E" w:rsidRPr="0097459F">
        <w:t>135</w:t>
      </w:r>
      <w:r w:rsidRPr="0097459F">
        <w:t xml:space="preserve">.  No âmbito da adaptação dos fundos de investimento à presente Resolução, admite-se que </w:t>
      </w:r>
      <w:r w:rsidR="00017DD4" w:rsidRPr="0097459F">
        <w:t>os prestadores de serviços essenciais</w:t>
      </w:r>
      <w:r w:rsidRPr="0097459F">
        <w:t xml:space="preserve"> promova</w:t>
      </w:r>
      <w:r w:rsidR="00017DD4" w:rsidRPr="0097459F">
        <w:t>m</w:t>
      </w:r>
      <w:r w:rsidRPr="0097459F">
        <w:t xml:space="preserve"> alterações no regulamento para tratar das seguintes matérias:</w:t>
      </w:r>
    </w:p>
    <w:p w14:paraId="3113E3C1" w14:textId="141B1156" w:rsidR="3639625A" w:rsidRPr="0097459F" w:rsidRDefault="00583B8F" w:rsidP="00C20BBD">
      <w:pPr>
        <w:pStyle w:val="Normalalteradora"/>
        <w:rPr>
          <w:rFonts w:ascii="Calibri" w:hAnsi="Calibri"/>
        </w:rPr>
      </w:pPr>
      <w:r w:rsidRPr="0097459F">
        <w:rPr>
          <w:rFonts w:ascii="Calibri" w:hAnsi="Calibri"/>
        </w:rPr>
        <w:t xml:space="preserve">I </w:t>
      </w:r>
      <w:r w:rsidR="3639625A" w:rsidRPr="0097459F">
        <w:rPr>
          <w:rFonts w:ascii="Calibri" w:hAnsi="Calibri"/>
        </w:rPr>
        <w:t>– taxas de administração</w:t>
      </w:r>
      <w:r w:rsidR="0088009E" w:rsidRPr="0097459F">
        <w:rPr>
          <w:rFonts w:ascii="Calibri" w:hAnsi="Calibri"/>
        </w:rPr>
        <w:t>,</w:t>
      </w:r>
      <w:r w:rsidR="3639625A" w:rsidRPr="0097459F">
        <w:rPr>
          <w:rFonts w:ascii="Calibri" w:hAnsi="Calibri"/>
        </w:rPr>
        <w:t xml:space="preserve"> gestão</w:t>
      </w:r>
      <w:r w:rsidR="0088009E" w:rsidRPr="0097459F">
        <w:rPr>
          <w:rFonts w:ascii="Calibri" w:hAnsi="Calibri"/>
        </w:rPr>
        <w:t xml:space="preserve"> e máxima de distribuição</w:t>
      </w:r>
      <w:r w:rsidR="3639625A" w:rsidRPr="0097459F">
        <w:rPr>
          <w:rFonts w:ascii="Calibri" w:hAnsi="Calibri"/>
        </w:rPr>
        <w:t>, desde que seu somatório não exceda à taxa de administração vigente;</w:t>
      </w:r>
    </w:p>
    <w:p w14:paraId="392BA5C4" w14:textId="7B1C2E2A" w:rsidR="00E76EA9" w:rsidRPr="0097459F" w:rsidRDefault="00583B8F" w:rsidP="00C20BBD">
      <w:pPr>
        <w:pStyle w:val="Normalalteradora"/>
      </w:pPr>
      <w:r w:rsidRPr="0097459F">
        <w:t xml:space="preserve">II </w:t>
      </w:r>
      <w:r w:rsidR="00E76EA9" w:rsidRPr="0097459F">
        <w:t xml:space="preserve">– procedimentos aplicáveis às manifestações de vontade dos cotistas por meio </w:t>
      </w:r>
      <w:r w:rsidR="007A7077" w:rsidRPr="0097459F">
        <w:t>eletrônico</w:t>
      </w:r>
      <w:r w:rsidR="00E76EA9" w:rsidRPr="0097459F">
        <w:t>, caso não previstos no regulamento</w:t>
      </w:r>
      <w:r w:rsidR="00BE3A18" w:rsidRPr="0097459F">
        <w:t>; e</w:t>
      </w:r>
      <w:r w:rsidR="004E5E87" w:rsidRPr="0097459F">
        <w:t xml:space="preserve"> </w:t>
      </w:r>
    </w:p>
    <w:p w14:paraId="5F81FFE1" w14:textId="2A2DD45B" w:rsidR="00BE3A18" w:rsidRPr="0097459F" w:rsidRDefault="00583B8F" w:rsidP="00C20BBD">
      <w:pPr>
        <w:pStyle w:val="Normalalteradora"/>
        <w:rPr>
          <w:rFonts w:cstheme="minorHAnsi"/>
        </w:rPr>
      </w:pPr>
      <w:r w:rsidRPr="0097459F">
        <w:rPr>
          <w:rFonts w:cstheme="minorHAnsi"/>
        </w:rPr>
        <w:t xml:space="preserve">III </w:t>
      </w:r>
      <w:r w:rsidR="00330EC2" w:rsidRPr="0097459F">
        <w:rPr>
          <w:rFonts w:cstheme="minorHAnsi"/>
        </w:rPr>
        <w:t>–</w:t>
      </w:r>
      <w:r w:rsidR="00BE3A18" w:rsidRPr="0097459F">
        <w:rPr>
          <w:rFonts w:cstheme="minorHAnsi"/>
        </w:rPr>
        <w:t xml:space="preserve"> limitação da responsabilidad</w:t>
      </w:r>
      <w:r w:rsidR="00926B69" w:rsidRPr="0097459F">
        <w:rPr>
          <w:rFonts w:cstheme="minorHAnsi"/>
        </w:rPr>
        <w:t>e dos cotistas</w:t>
      </w:r>
      <w:r w:rsidR="00926B69" w:rsidRPr="0097459F" w:rsidDel="00293622">
        <w:rPr>
          <w:rFonts w:cstheme="minorHAnsi"/>
        </w:rPr>
        <w:t xml:space="preserve"> </w:t>
      </w:r>
      <w:r w:rsidR="003860AF" w:rsidRPr="0097459F">
        <w:rPr>
          <w:rFonts w:cstheme="minorHAnsi"/>
        </w:rPr>
        <w:t xml:space="preserve">ao valor </w:t>
      </w:r>
      <w:r w:rsidR="00D8046B" w:rsidRPr="0097459F">
        <w:rPr>
          <w:rFonts w:cstheme="minorHAnsi"/>
        </w:rPr>
        <w:t>subscrito</w:t>
      </w:r>
      <w:r w:rsidR="00926B69" w:rsidRPr="0097459F">
        <w:rPr>
          <w:rFonts w:cstheme="minorHAnsi"/>
        </w:rPr>
        <w:t>.</w:t>
      </w:r>
    </w:p>
    <w:p w14:paraId="5A832D90" w14:textId="06A18D93" w:rsidR="00E76EA9" w:rsidRPr="0097459F" w:rsidRDefault="00583B8F" w:rsidP="00C20BBD">
      <w:pPr>
        <w:pStyle w:val="Normalalteradora"/>
        <w:rPr>
          <w:rFonts w:eastAsiaTheme="minorEastAsia"/>
        </w:rPr>
      </w:pPr>
      <w:r w:rsidRPr="0097459F">
        <w:lastRenderedPageBreak/>
        <w:t xml:space="preserve">§ </w:t>
      </w:r>
      <w:r w:rsidR="003860AF" w:rsidRPr="0097459F">
        <w:t>1º</w:t>
      </w:r>
      <w:r w:rsidRPr="0097459F">
        <w:t xml:space="preserve">  </w:t>
      </w:r>
      <w:r w:rsidR="00E76EA9" w:rsidRPr="0097459F">
        <w:t>As adaptações no regulamento de quaisquer outras matérias que não aquelas espe</w:t>
      </w:r>
      <w:r w:rsidR="00E76EA9" w:rsidRPr="0097459F">
        <w:rPr>
          <w:rFonts w:eastAsiaTheme="minorEastAsia"/>
        </w:rPr>
        <w:t xml:space="preserve">cificadas </w:t>
      </w:r>
      <w:r w:rsidR="00EE7BE9" w:rsidRPr="0097459F">
        <w:rPr>
          <w:rFonts w:eastAsiaTheme="minorEastAsia"/>
        </w:rPr>
        <w:t xml:space="preserve">nos incisos do </w:t>
      </w:r>
      <w:r w:rsidR="00E76EA9" w:rsidRPr="0097459F">
        <w:rPr>
          <w:rFonts w:eastAsiaTheme="minorEastAsia"/>
          <w:b/>
        </w:rPr>
        <w:t>caput</w:t>
      </w:r>
      <w:r w:rsidR="00E76EA9" w:rsidRPr="0097459F">
        <w:rPr>
          <w:rFonts w:eastAsiaTheme="minorEastAsia"/>
        </w:rPr>
        <w:t xml:space="preserve"> </w:t>
      </w:r>
      <w:r w:rsidR="004E2275" w:rsidRPr="0097459F">
        <w:rPr>
          <w:rFonts w:eastAsiaTheme="minorEastAsia"/>
        </w:rPr>
        <w:t xml:space="preserve">carecem </w:t>
      </w:r>
      <w:r w:rsidR="00E76EA9" w:rsidRPr="0097459F">
        <w:rPr>
          <w:rFonts w:eastAsiaTheme="minorEastAsia"/>
        </w:rPr>
        <w:t>de deliberação da assembleia geral de cotistas.</w:t>
      </w:r>
    </w:p>
    <w:p w14:paraId="7577D396" w14:textId="11F1007E" w:rsidR="00E76EA9" w:rsidRPr="0097459F" w:rsidRDefault="00E76EA9" w:rsidP="00C20BBD">
      <w:pPr>
        <w:pStyle w:val="Normalalteradora"/>
        <w:rPr>
          <w:rFonts w:eastAsiaTheme="minorEastAsia"/>
        </w:rPr>
      </w:pPr>
      <w:r w:rsidRPr="0097459F">
        <w:rPr>
          <w:rFonts w:eastAsiaTheme="minorEastAsia"/>
        </w:rPr>
        <w:t xml:space="preserve">§ </w:t>
      </w:r>
      <w:r w:rsidR="003860AF" w:rsidRPr="0097459F">
        <w:rPr>
          <w:rFonts w:eastAsiaTheme="minorEastAsia"/>
        </w:rPr>
        <w:t>2º</w:t>
      </w:r>
      <w:r w:rsidR="00583B8F" w:rsidRPr="0097459F">
        <w:rPr>
          <w:rFonts w:eastAsiaTheme="minorEastAsia"/>
        </w:rPr>
        <w:t xml:space="preserve">  </w:t>
      </w:r>
      <w:r w:rsidRPr="0097459F">
        <w:rPr>
          <w:rFonts w:eastAsiaTheme="minorEastAsia"/>
        </w:rPr>
        <w:t xml:space="preserve">Caso a assembleia de cotistas referida no § </w:t>
      </w:r>
      <w:r w:rsidR="007125DE" w:rsidRPr="0097459F">
        <w:rPr>
          <w:rFonts w:eastAsiaTheme="minorEastAsia"/>
        </w:rPr>
        <w:t>1</w:t>
      </w:r>
      <w:r w:rsidRPr="0097459F">
        <w:rPr>
          <w:rFonts w:eastAsiaTheme="minorEastAsia"/>
        </w:rPr>
        <w:t xml:space="preserve">º não se instale por insuficiência de quórum, após duas convocações, com intervalo mínimo de 10 (dez) dias úteis entre a primeira e a segunda convocação, o administrador pode alterar o regulamento, exclusivamente naquilo que for necessário para promover sua adaptação </w:t>
      </w:r>
      <w:r w:rsidR="004E2275" w:rsidRPr="0097459F">
        <w:rPr>
          <w:rFonts w:eastAsiaTheme="minorEastAsia"/>
        </w:rPr>
        <w:t>a</w:t>
      </w:r>
      <w:r w:rsidRPr="0097459F">
        <w:rPr>
          <w:rFonts w:eastAsiaTheme="minorEastAsia"/>
        </w:rPr>
        <w:t xml:space="preserve"> </w:t>
      </w:r>
      <w:r w:rsidR="004E2275" w:rsidRPr="0097459F">
        <w:rPr>
          <w:rFonts w:eastAsiaTheme="minorEastAsia"/>
        </w:rPr>
        <w:t xml:space="preserve">esta </w:t>
      </w:r>
      <w:r w:rsidRPr="0097459F">
        <w:rPr>
          <w:rFonts w:eastAsiaTheme="minorEastAsia"/>
        </w:rPr>
        <w:t>Resolução, devendo comunicar as alterações aos cotistas no prazo de até 10 (dez) dias</w:t>
      </w:r>
      <w:r w:rsidR="00583B8F" w:rsidRPr="0097459F">
        <w:rPr>
          <w:rFonts w:eastAsiaTheme="minorEastAsia"/>
        </w:rPr>
        <w:t xml:space="preserve"> contados da adaptação</w:t>
      </w:r>
      <w:r w:rsidRPr="0097459F">
        <w:rPr>
          <w:rFonts w:eastAsiaTheme="minorEastAsia"/>
        </w:rPr>
        <w:t>.</w:t>
      </w:r>
    </w:p>
    <w:p w14:paraId="10FD1F60" w14:textId="2EE8A4CE" w:rsidR="00E76EA9" w:rsidRPr="0097459F" w:rsidRDefault="00E76EA9" w:rsidP="00C20BBD">
      <w:pPr>
        <w:pStyle w:val="Normalalteradora"/>
        <w:rPr>
          <w:rFonts w:eastAsiaTheme="minorEastAsia"/>
        </w:rPr>
      </w:pPr>
      <w:r w:rsidRPr="0097459F">
        <w:rPr>
          <w:rFonts w:eastAsiaTheme="minorEastAsia"/>
        </w:rPr>
        <w:t xml:space="preserve">§ </w:t>
      </w:r>
      <w:r w:rsidR="003860AF" w:rsidRPr="0097459F">
        <w:rPr>
          <w:rFonts w:eastAsiaTheme="minorEastAsia"/>
        </w:rPr>
        <w:t>3º</w:t>
      </w:r>
      <w:r w:rsidR="00583B8F" w:rsidRPr="0097459F">
        <w:rPr>
          <w:rFonts w:eastAsiaTheme="minorEastAsia"/>
        </w:rPr>
        <w:t xml:space="preserve">  </w:t>
      </w:r>
      <w:r w:rsidRPr="0097459F">
        <w:rPr>
          <w:rFonts w:eastAsiaTheme="minorEastAsia"/>
        </w:rPr>
        <w:t xml:space="preserve">As adaptações necessárias no regulamento que não sejam de deliberação dos cotistas devem ser promovidas pelo administrador e por ele informadas aos cotistas, no prazo de até 10 (dez) dias </w:t>
      </w:r>
      <w:r w:rsidR="007A7077" w:rsidRPr="0097459F">
        <w:rPr>
          <w:rFonts w:eastAsiaTheme="minorEastAsia"/>
        </w:rPr>
        <w:t xml:space="preserve">contados </w:t>
      </w:r>
      <w:r w:rsidRPr="0097459F">
        <w:rPr>
          <w:rFonts w:eastAsiaTheme="minorEastAsia"/>
        </w:rPr>
        <w:t>das alterações.</w:t>
      </w:r>
    </w:p>
    <w:p w14:paraId="655FC3EB" w14:textId="2E073D64" w:rsidR="3639625A" w:rsidRPr="0097459F" w:rsidRDefault="3639625A" w:rsidP="00C20BBD">
      <w:pPr>
        <w:pStyle w:val="Normalalteradora"/>
        <w:rPr>
          <w:rFonts w:eastAsiaTheme="minorEastAsia"/>
        </w:rPr>
      </w:pPr>
      <w:r w:rsidRPr="0097459F">
        <w:rPr>
          <w:rFonts w:eastAsiaTheme="minorEastAsia"/>
        </w:rPr>
        <w:t xml:space="preserve">Art. </w:t>
      </w:r>
      <w:r w:rsidR="004D767E" w:rsidRPr="0097459F">
        <w:t>136</w:t>
      </w:r>
      <w:r w:rsidRPr="0097459F">
        <w:rPr>
          <w:rFonts w:eastAsiaTheme="minorEastAsia"/>
        </w:rPr>
        <w:t xml:space="preserve">.  Quando da entrada em vigor desta Resolução, o fundo de investimento será automaticamente considerado como constituído na forma de classe única de cotas, devendo o administrador atualizar seu cadastro na CVM em função </w:t>
      </w:r>
      <w:r w:rsidR="0088009E" w:rsidRPr="0097459F">
        <w:rPr>
          <w:rFonts w:eastAsiaTheme="minorEastAsia"/>
        </w:rPr>
        <w:t>de sua adaptação</w:t>
      </w:r>
      <w:r w:rsidR="007C6DF7" w:rsidRPr="0097459F">
        <w:rPr>
          <w:rFonts w:eastAsiaTheme="minorEastAsia"/>
        </w:rPr>
        <w:t xml:space="preserve"> à nova regulamentação</w:t>
      </w:r>
      <w:r w:rsidRPr="0097459F">
        <w:rPr>
          <w:rFonts w:eastAsiaTheme="minorEastAsia"/>
        </w:rPr>
        <w:t>.</w:t>
      </w:r>
    </w:p>
    <w:p w14:paraId="60309B5E" w14:textId="66CAF4E6" w:rsidR="00664F71" w:rsidRPr="0097459F" w:rsidRDefault="2A3EA00E" w:rsidP="00C20BBD">
      <w:pPr>
        <w:pStyle w:val="Normalalteradora"/>
      </w:pPr>
      <w:r w:rsidRPr="0097459F">
        <w:t xml:space="preserve">Art. </w:t>
      </w:r>
      <w:r w:rsidR="004D767E" w:rsidRPr="0097459F">
        <w:t>137</w:t>
      </w:r>
      <w:r w:rsidRPr="0097459F">
        <w:t xml:space="preserve">.  </w:t>
      </w:r>
      <w:r w:rsidR="00664F71" w:rsidRPr="0097459F">
        <w:t>A</w:t>
      </w:r>
      <w:r w:rsidRPr="0097459F">
        <w:t xml:space="preserve"> Resolução CVM nº 21, de </w:t>
      </w:r>
      <w:r w:rsidR="7ECD5027" w:rsidRPr="0097459F">
        <w:t xml:space="preserve">25 de fevereiro de </w:t>
      </w:r>
      <w:r w:rsidRPr="0097459F">
        <w:t xml:space="preserve">2021, </w:t>
      </w:r>
      <w:r w:rsidR="3F200E1A" w:rsidRPr="0097459F">
        <w:t xml:space="preserve">passa a vigorar com a seguinte redação: </w:t>
      </w:r>
    </w:p>
    <w:p w14:paraId="05C683DE" w14:textId="75B73080" w:rsidR="00664F71" w:rsidRPr="0097459F" w:rsidRDefault="3F200E1A" w:rsidP="00C20BBD">
      <w:pPr>
        <w:pStyle w:val="Normalalteradora"/>
      </w:pPr>
      <w:r w:rsidRPr="0097459F">
        <w:t>“</w:t>
      </w:r>
      <w:r w:rsidR="00664F71" w:rsidRPr="0097459F">
        <w:t>Art. 1º  ..........................................................</w:t>
      </w:r>
    </w:p>
    <w:p w14:paraId="609E9BB4" w14:textId="6B07BB00" w:rsidR="000154B4" w:rsidRPr="0097459F" w:rsidRDefault="3F200E1A" w:rsidP="00C20BBD">
      <w:pPr>
        <w:pStyle w:val="Normalalteradora"/>
      </w:pPr>
      <w:r w:rsidRPr="0097459F">
        <w:t xml:space="preserve">§ 3º </w:t>
      </w:r>
      <w:r w:rsidR="00664F71" w:rsidRPr="0097459F">
        <w:t xml:space="preserve"> </w:t>
      </w:r>
      <w:r w:rsidR="00823032" w:rsidRPr="0097459F">
        <w:t xml:space="preserve">Esta </w:t>
      </w:r>
      <w:r w:rsidRPr="0097459F">
        <w:t>Resolução aplica-se a todo administrador e gestor de fundo de investimento</w:t>
      </w:r>
      <w:r w:rsidR="00823032" w:rsidRPr="0097459F">
        <w:t>.</w:t>
      </w:r>
    </w:p>
    <w:p w14:paraId="71FF2CE3" w14:textId="3B1D0F91" w:rsidR="002C3907" w:rsidRPr="003F5306" w:rsidRDefault="00F9509A" w:rsidP="00EA5C12">
      <w:pPr>
        <w:pStyle w:val="NormaAlterada"/>
        <w:tabs>
          <w:tab w:val="left" w:leader="dot" w:pos="5103"/>
        </w:tabs>
        <w:ind w:left="567" w:firstLine="0"/>
      </w:pPr>
      <w:r w:rsidRPr="003F5306">
        <w:t xml:space="preserve">§ </w:t>
      </w:r>
      <w:r w:rsidR="004D0851" w:rsidRPr="003F5306">
        <w:t>3</w:t>
      </w:r>
      <w:r w:rsidR="00EA5C12">
        <w:t>º</w:t>
      </w:r>
      <w:r w:rsidR="004D0851" w:rsidRPr="003F5306">
        <w:t>-A</w:t>
      </w:r>
      <w:r w:rsidRPr="003F5306">
        <w:t xml:space="preserve"> </w:t>
      </w:r>
      <w:r w:rsidR="007E730C" w:rsidRPr="003F5306">
        <w:t xml:space="preserve"> </w:t>
      </w:r>
      <w:r w:rsidR="3F200E1A" w:rsidRPr="003F5306">
        <w:t xml:space="preserve">Os administradores e gestores de fundos de investimento </w:t>
      </w:r>
      <w:r w:rsidR="007C6DF7" w:rsidRPr="003F5306">
        <w:t xml:space="preserve">em </w:t>
      </w:r>
      <w:r w:rsidR="00823032" w:rsidRPr="003F5306">
        <w:t>atividade</w:t>
      </w:r>
      <w:r w:rsidR="007C6DF7" w:rsidRPr="003F5306">
        <w:t xml:space="preserve"> </w:t>
      </w:r>
      <w:r w:rsidR="3F200E1A" w:rsidRPr="003F5306">
        <w:t xml:space="preserve">que não sejam registrados na CVM devem </w:t>
      </w:r>
      <w:r w:rsidR="007C6DF7" w:rsidRPr="003F5306">
        <w:rPr>
          <w:rFonts w:eastAsia="Calibri" w:cstheme="minorHAnsi"/>
          <w:lang w:eastAsia="en-US"/>
        </w:rPr>
        <w:t>obter</w:t>
      </w:r>
      <w:r w:rsidR="007C6DF7" w:rsidRPr="003F5306">
        <w:t xml:space="preserve"> o referido registro</w:t>
      </w:r>
      <w:r w:rsidR="3F200E1A" w:rsidRPr="003F5306">
        <w:t xml:space="preserve"> </w:t>
      </w:r>
      <w:r w:rsidR="0CCB53ED" w:rsidRPr="003F5306">
        <w:t>até 31</w:t>
      </w:r>
      <w:r w:rsidR="00330EC2" w:rsidRPr="003F5306">
        <w:t xml:space="preserve"> de dezembro de </w:t>
      </w:r>
      <w:r w:rsidR="0CCB53ED" w:rsidRPr="003F5306">
        <w:t>2024.</w:t>
      </w:r>
    </w:p>
    <w:p w14:paraId="39D2AEAC" w14:textId="63BCA7E6" w:rsidR="007C6DF7" w:rsidRPr="0097459F" w:rsidRDefault="002C3907" w:rsidP="00C20BBD">
      <w:pPr>
        <w:pStyle w:val="Normalalteradora"/>
      </w:pPr>
      <w:r w:rsidRPr="0097459F">
        <w:t>.........................................................................</w:t>
      </w:r>
      <w:r w:rsidR="00664F71" w:rsidRPr="0097459F">
        <w:t>” (N.R.</w:t>
      </w:r>
      <w:r w:rsidR="007C6DF7" w:rsidRPr="0097459F">
        <w:t>)</w:t>
      </w:r>
    </w:p>
    <w:p w14:paraId="599379F7" w14:textId="0829F0EF" w:rsidR="005A1E07" w:rsidRPr="0097459F" w:rsidRDefault="005A1E07" w:rsidP="00C20BBD">
      <w:pPr>
        <w:pStyle w:val="Normalalteradora"/>
      </w:pPr>
      <w:r w:rsidRPr="0097459F">
        <w:t xml:space="preserve">Art. </w:t>
      </w:r>
      <w:r w:rsidR="004D767E" w:rsidRPr="0097459F">
        <w:t>138</w:t>
      </w:r>
      <w:r w:rsidRPr="0097459F">
        <w:t xml:space="preserve">.  O Anexo C à Resolução CVM nº 160, de 13 de julho de 2022, passa a vigorar com a seguinte redação: </w:t>
      </w:r>
    </w:p>
    <w:p w14:paraId="13F31FCF" w14:textId="77777777" w:rsidR="00550A55" w:rsidRPr="0097459F" w:rsidRDefault="005A1E07" w:rsidP="00C20BBD">
      <w:pPr>
        <w:pStyle w:val="Normalalteradora"/>
      </w:pPr>
      <w:r w:rsidRPr="0097459F">
        <w:t>“</w:t>
      </w:r>
      <w:r w:rsidR="00346469" w:rsidRPr="0097459F">
        <w:t>Informações do Prospecto</w:t>
      </w:r>
    </w:p>
    <w:p w14:paraId="09BAEDFF" w14:textId="705D603E" w:rsidR="005A1E07" w:rsidRPr="0097459F" w:rsidRDefault="00550A55" w:rsidP="00C20BBD">
      <w:pPr>
        <w:pStyle w:val="Normalalteradora"/>
        <w:tabs>
          <w:tab w:val="left" w:pos="5103"/>
        </w:tabs>
      </w:pPr>
      <w:r w:rsidRPr="0097459F">
        <w:t>..........................................</w:t>
      </w:r>
      <w:r w:rsidR="005A1E07" w:rsidRPr="0097459F">
        <w:t>..............................</w:t>
      </w:r>
    </w:p>
    <w:p w14:paraId="34EBB9A5" w14:textId="349CAAB7" w:rsidR="00346469" w:rsidRPr="0097459F" w:rsidRDefault="00346469" w:rsidP="00962829">
      <w:pPr>
        <w:pStyle w:val="NormaAlterada"/>
        <w:tabs>
          <w:tab w:val="left" w:leader="dot" w:pos="5103"/>
        </w:tabs>
        <w:ind w:left="567" w:firstLine="0"/>
      </w:pPr>
      <w:r w:rsidRPr="0097459F">
        <w:t>3.4 Se o título ofertado for qualificado pelo emissor como “verde”, “social”, “sustentável” ou termos correlatos, informar:</w:t>
      </w:r>
    </w:p>
    <w:p w14:paraId="4AAF147B" w14:textId="77777777" w:rsidR="00346469" w:rsidRPr="0097459F" w:rsidRDefault="00346469" w:rsidP="00962829">
      <w:pPr>
        <w:pStyle w:val="NormaAlterada"/>
        <w:tabs>
          <w:tab w:val="left" w:leader="dot" w:pos="5103"/>
        </w:tabs>
        <w:ind w:left="567" w:firstLine="0"/>
      </w:pPr>
      <w:r w:rsidRPr="0097459F">
        <w:lastRenderedPageBreak/>
        <w:t>a) quais metodologias, princípios ou diretrizes amplamente reconhecidos foram seguidos para qualificação da oferta conforme item acima;</w:t>
      </w:r>
    </w:p>
    <w:p w14:paraId="245EFCF2" w14:textId="48460AA6" w:rsidR="00346469" w:rsidRPr="0097459F" w:rsidRDefault="00346469" w:rsidP="00C20BBD">
      <w:pPr>
        <w:pStyle w:val="Normalalteradora"/>
      </w:pPr>
      <w:r w:rsidRPr="0097459F">
        <w:t>b) qual a entidade responsável pela averiguação acima citada e tipo de avaliação envolvida;</w:t>
      </w:r>
    </w:p>
    <w:p w14:paraId="6F8A9486" w14:textId="77777777" w:rsidR="006B404F" w:rsidRPr="0097459F" w:rsidRDefault="00346469" w:rsidP="00962829">
      <w:pPr>
        <w:pStyle w:val="NormaAlterada"/>
        <w:tabs>
          <w:tab w:val="left" w:leader="dot" w:pos="5103"/>
        </w:tabs>
        <w:ind w:left="567" w:firstLine="0"/>
      </w:pPr>
      <w:r w:rsidRPr="0097459F">
        <w:t xml:space="preserve">c) obrigações que a oferta impõe quanto à persecução de objetivos “verdes”, “sociais”, “sustentáveis” ou termos correlatos, </w:t>
      </w:r>
      <w:r w:rsidR="006B404F" w:rsidRPr="0097459F">
        <w:t>informando</w:t>
      </w:r>
      <w:r w:rsidRPr="0097459F">
        <w:t xml:space="preserve"> metodologias, princípios ou diretrizes; e </w:t>
      </w:r>
    </w:p>
    <w:p w14:paraId="30E574BD" w14:textId="13221803" w:rsidR="00346469" w:rsidRPr="0097459F" w:rsidRDefault="00346469" w:rsidP="00962829">
      <w:pPr>
        <w:pStyle w:val="NormaAlterada"/>
        <w:tabs>
          <w:tab w:val="left" w:leader="dot" w:pos="5103"/>
        </w:tabs>
        <w:ind w:left="567" w:firstLine="0"/>
        <w:rPr>
          <w:highlight w:val="yellow"/>
        </w:rPr>
      </w:pPr>
      <w:r w:rsidRPr="0097459F">
        <w:t xml:space="preserve">d) especificação sobre a forma, a periodicidade e a entidade responsável pelo reporte acerca do cumprimento de obrigações impostas pela oferta quanto à persecução de objetivos “verdes”, “sociais”, “sustentáveis” ou termos correlatos, conforme a metodologia, princípios ou diretrizes </w:t>
      </w:r>
      <w:r w:rsidR="00550A55" w:rsidRPr="0097459F">
        <w:t>amplamente reconheci</w:t>
      </w:r>
      <w:r w:rsidR="006B404F" w:rsidRPr="0097459F">
        <w:t>dos</w:t>
      </w:r>
      <w:r w:rsidRPr="0097459F">
        <w:t>.</w:t>
      </w:r>
      <w:r w:rsidR="006B404F" w:rsidRPr="0097459F">
        <w:t>” (N.R.)</w:t>
      </w:r>
    </w:p>
    <w:p w14:paraId="2C768D89" w14:textId="58A2699B" w:rsidR="001F69E4" w:rsidRPr="0097459F" w:rsidRDefault="00893D49" w:rsidP="00C20BBD">
      <w:pPr>
        <w:pStyle w:val="Normalalteradora"/>
      </w:pPr>
      <w:r w:rsidRPr="0097459F">
        <w:t xml:space="preserve">Art. </w:t>
      </w:r>
      <w:r w:rsidR="001F69E4" w:rsidRPr="0097459F">
        <w:t>139.  A Resolução CVM 172, de 1º de novembro de 2022, passa a vigorar com a seguinte redação:</w:t>
      </w:r>
    </w:p>
    <w:p w14:paraId="1B184659" w14:textId="4C6E7D14" w:rsidR="00C804A2" w:rsidRPr="0097459F" w:rsidRDefault="001F69E4" w:rsidP="00962829">
      <w:pPr>
        <w:pStyle w:val="NormaAlterada"/>
        <w:tabs>
          <w:tab w:val="left" w:leader="dot" w:pos="5103"/>
        </w:tabs>
        <w:ind w:left="567" w:firstLine="0"/>
      </w:pPr>
      <w:r w:rsidRPr="0097459F">
        <w:t>“</w:t>
      </w:r>
      <w:r w:rsidR="00C804A2" w:rsidRPr="0097459F">
        <w:t xml:space="preserve">Art. 1º </w:t>
      </w:r>
      <w:r w:rsidR="00635A51" w:rsidRPr="0097459F">
        <w:t xml:space="preserve"> </w:t>
      </w:r>
      <w:r w:rsidR="00C804A2" w:rsidRPr="0097459F">
        <w:t xml:space="preserve">Esta </w:t>
      </w:r>
      <w:r w:rsidR="00635A51" w:rsidRPr="0097459F">
        <w:t>R</w:t>
      </w:r>
      <w:r w:rsidR="00C804A2" w:rsidRPr="0097459F">
        <w:t>esolução promove alterações temporárias, em caráter experimental, em requisitos regulatórios relacionados ao envio e à publicidade do demonstrativo de composição e diversificação de carteira (“CDA”) previsto na Resolução CVM nº 175, de 2</w:t>
      </w:r>
      <w:r w:rsidR="003D1F11">
        <w:t>3</w:t>
      </w:r>
      <w:r w:rsidR="00C804A2" w:rsidRPr="0097459F">
        <w:t xml:space="preserve"> de dezembro de 2022, exclusivamente para os fundos de investimento classificados como “ações – ativos” e como “previdenciários de ações – ações ativos” (“Fundos”), conforme definidos nas Regras e Procedimentos para Classificação de Fundos 555 nº 07, de 23 de maio de 2019, conforme alteradas (“Regras”), elaborada pela Associação Brasileira das Entidades dos Mercados Financeiro e de Capitais – ANBIMA, nos arts. 7º, § 1º, II, e 14, II, respectivamente.” (N.R.</w:t>
      </w:r>
      <w:r w:rsidR="00635A51" w:rsidRPr="0097459F">
        <w:t>)</w:t>
      </w:r>
    </w:p>
    <w:p w14:paraId="69BA4A3B" w14:textId="570282C1" w:rsidR="001F69E4" w:rsidRPr="0097459F" w:rsidRDefault="00635A51" w:rsidP="00962829">
      <w:pPr>
        <w:pStyle w:val="NormaAlterada"/>
        <w:tabs>
          <w:tab w:val="left" w:leader="dot" w:pos="5103"/>
        </w:tabs>
        <w:ind w:left="567" w:firstLine="0"/>
      </w:pPr>
      <w:r w:rsidRPr="0097459F">
        <w:t>“</w:t>
      </w:r>
      <w:r w:rsidR="001F69E4" w:rsidRPr="0097459F">
        <w:t xml:space="preserve">Art. 2º  Os Fundos a que se refere o art. 1º podem omitir, por até 180 (cento e oitenta) dias, na forma do art. </w:t>
      </w:r>
      <w:r w:rsidR="00C804A2" w:rsidRPr="0097459F">
        <w:t>22</w:t>
      </w:r>
      <w:r w:rsidR="001F69E4" w:rsidRPr="0097459F">
        <w:t xml:space="preserve">, § </w:t>
      </w:r>
      <w:r w:rsidR="00C804A2" w:rsidRPr="0097459F">
        <w:t>4</w:t>
      </w:r>
      <w:r w:rsidR="001F69E4" w:rsidRPr="0097459F">
        <w:t>°, inciso II, d</w:t>
      </w:r>
      <w:r w:rsidR="00C804A2" w:rsidRPr="0097459F">
        <w:t xml:space="preserve">o Anexo </w:t>
      </w:r>
      <w:r w:rsidR="0012230A" w:rsidRPr="0097459F">
        <w:t>Normativo I</w:t>
      </w:r>
      <w:r w:rsidR="00C804A2" w:rsidRPr="0097459F">
        <w:t xml:space="preserve"> d</w:t>
      </w:r>
      <w:r w:rsidR="001F69E4" w:rsidRPr="0097459F">
        <w:t xml:space="preserve">a </w:t>
      </w:r>
      <w:r w:rsidR="00C804A2" w:rsidRPr="0097459F">
        <w:t>Resolução</w:t>
      </w:r>
      <w:r w:rsidR="001F69E4" w:rsidRPr="0097459F">
        <w:t xml:space="preserve"> CVM nº </w:t>
      </w:r>
      <w:r w:rsidR="00C804A2" w:rsidRPr="0097459F">
        <w:t>175</w:t>
      </w:r>
      <w:r w:rsidR="001F69E4" w:rsidRPr="0097459F">
        <w:t>, de 20</w:t>
      </w:r>
      <w:r w:rsidR="00C804A2" w:rsidRPr="0097459F">
        <w:t>22</w:t>
      </w:r>
      <w:r w:rsidR="001F69E4" w:rsidRPr="0097459F">
        <w:t>, a identificação e a quantidade de valores mobiliários no CDA, sem necessidade de enviar solicitação fundamentada à CVM para promover a ocultação.</w:t>
      </w:r>
      <w:r w:rsidRPr="0097459F">
        <w:t>” (N.R.)</w:t>
      </w:r>
    </w:p>
    <w:p w14:paraId="7346831D" w14:textId="7DDE443A" w:rsidR="000B65E2" w:rsidRPr="0097459F" w:rsidRDefault="00635A51" w:rsidP="00962829">
      <w:pPr>
        <w:pStyle w:val="NormaAlterada"/>
        <w:tabs>
          <w:tab w:val="left" w:leader="dot" w:pos="5103"/>
        </w:tabs>
        <w:ind w:left="567" w:firstLine="0"/>
      </w:pPr>
      <w:r w:rsidRPr="0097459F">
        <w:t xml:space="preserve">“Art. 3º  Observado o parágrafo único, o CDA enviado à CVM em observância ao art. 24, inciso II, alínea “b”, </w:t>
      </w:r>
      <w:r w:rsidR="008A3676" w:rsidRPr="0097459F">
        <w:t xml:space="preserve">do Anexo Normativo I </w:t>
      </w:r>
      <w:r w:rsidRPr="0097459F">
        <w:t>da Resolução CVM nº 175, de 2022, deve ser disponibilizado, pela CVM, em sua página na rede mundial de computadores</w:t>
      </w:r>
      <w:r w:rsidR="001D58E1" w:rsidRPr="0097459F">
        <w:t>,</w:t>
      </w:r>
      <w:r w:rsidRPr="0097459F">
        <w:t xml:space="preserve"> trimestralmente, com base no calendário civil, permanecendo inalterada a obrigação de envio mensal do CDA.</w:t>
      </w:r>
    </w:p>
    <w:p w14:paraId="4F615A87" w14:textId="72C0D6E5" w:rsidR="00635A51" w:rsidRPr="0097459F" w:rsidRDefault="00635A51" w:rsidP="00962829">
      <w:pPr>
        <w:pStyle w:val="NormaAlterada"/>
        <w:tabs>
          <w:tab w:val="left" w:leader="dot" w:pos="5103"/>
        </w:tabs>
        <w:ind w:left="567" w:firstLine="0"/>
      </w:pPr>
      <w:r w:rsidRPr="0097459F">
        <w:lastRenderedPageBreak/>
        <w:t>Parágrafo único.</w:t>
      </w:r>
      <w:r w:rsidR="000B65E2" w:rsidRPr="0097459F">
        <w:t xml:space="preserve"> </w:t>
      </w:r>
      <w:r w:rsidRPr="0097459F">
        <w:t xml:space="preserve"> O disposto no </w:t>
      </w:r>
      <w:r w:rsidRPr="0097459F">
        <w:rPr>
          <w:b/>
        </w:rPr>
        <w:t>caput</w:t>
      </w:r>
      <w:r w:rsidRPr="0097459F">
        <w:t xml:space="preserve"> somente entra em vigor após a implementação dos ajustes necessários no sistema previsto no art. </w:t>
      </w:r>
      <w:r w:rsidR="000B65E2" w:rsidRPr="0097459F">
        <w:t>24</w:t>
      </w:r>
      <w:r w:rsidRPr="0097459F">
        <w:t xml:space="preserve">, </w:t>
      </w:r>
      <w:r w:rsidRPr="0097459F">
        <w:rPr>
          <w:b/>
        </w:rPr>
        <w:t>caput</w:t>
      </w:r>
      <w:r w:rsidRPr="0097459F">
        <w:t xml:space="preserve">, </w:t>
      </w:r>
      <w:r w:rsidR="008A3676" w:rsidRPr="0097459F">
        <w:t xml:space="preserve">do Anexo Normativo I </w:t>
      </w:r>
      <w:r w:rsidRPr="0097459F">
        <w:t xml:space="preserve">da </w:t>
      </w:r>
      <w:r w:rsidR="000B65E2" w:rsidRPr="0097459F">
        <w:t>Resolu</w:t>
      </w:r>
      <w:r w:rsidRPr="0097459F">
        <w:t xml:space="preserve">ção CVM nº </w:t>
      </w:r>
      <w:r w:rsidR="000B65E2" w:rsidRPr="0097459F">
        <w:t>17</w:t>
      </w:r>
      <w:r w:rsidRPr="0097459F">
        <w:t>5, de 20</w:t>
      </w:r>
      <w:r w:rsidR="000B65E2" w:rsidRPr="0097459F">
        <w:t>22</w:t>
      </w:r>
      <w:r w:rsidRPr="0097459F">
        <w:t>, fato que será comunicado pela Superintendência de Supervisão de Investidores Institucionais – SIN.</w:t>
      </w:r>
      <w:r w:rsidR="000B65E2" w:rsidRPr="0097459F">
        <w:t>” (N.R.)</w:t>
      </w:r>
    </w:p>
    <w:p w14:paraId="10E7A99A" w14:textId="5B660FB4" w:rsidR="007E730C" w:rsidRDefault="007E730C" w:rsidP="00962829">
      <w:pPr>
        <w:pStyle w:val="NormaAlterada"/>
        <w:tabs>
          <w:tab w:val="left" w:leader="dot" w:pos="5103"/>
        </w:tabs>
        <w:ind w:left="567" w:firstLine="0"/>
      </w:pPr>
      <w:r w:rsidRPr="0097459F">
        <w:t>“Art. 4º  Esta Resolução entra em vigor em 1º de dezembro de 2022, observado o disposto no art. 3º, parágrafo único.”</w:t>
      </w:r>
      <w:r w:rsidR="00640775" w:rsidRPr="0097459F">
        <w:t xml:space="preserve"> (N.R.)</w:t>
      </w:r>
    </w:p>
    <w:p w14:paraId="32E28B44" w14:textId="77777777" w:rsidR="00C73321" w:rsidRPr="00893D49" w:rsidRDefault="00C73321" w:rsidP="00C73321">
      <w:pPr>
        <w:pStyle w:val="Normalalteradora"/>
      </w:pPr>
      <w:r w:rsidRPr="002B5396">
        <w:t>Art. 14</w:t>
      </w:r>
      <w:r>
        <w:t>0</w:t>
      </w:r>
      <w:r w:rsidRPr="002B5396">
        <w:t>. Esta Resolução entra em vigor em 3 de abril de 2023.</w:t>
      </w:r>
    </w:p>
    <w:p w14:paraId="75755FA1" w14:textId="112AD3D0" w:rsidR="00C73321" w:rsidRPr="0097459F" w:rsidRDefault="00C73321" w:rsidP="00C73321">
      <w:pPr>
        <w:pStyle w:val="Normalalteradora"/>
      </w:pPr>
      <w:r w:rsidRPr="234C2EA1">
        <w:t xml:space="preserve">§ 1º  O art. </w:t>
      </w:r>
      <w:r>
        <w:t>48</w:t>
      </w:r>
      <w:r w:rsidRPr="234C2EA1">
        <w:t xml:space="preserve">, </w:t>
      </w:r>
      <w:r>
        <w:t xml:space="preserve">§ 2º, </w:t>
      </w:r>
      <w:r w:rsidRPr="234C2EA1">
        <w:t>inciso X desta Resolução, referente ao estabelecimento da taxa máxima de distribuição no regulamento</w:t>
      </w:r>
      <w:r>
        <w:t>,</w:t>
      </w:r>
      <w:r w:rsidRPr="234C2EA1">
        <w:t xml:space="preserve"> </w:t>
      </w:r>
      <w:r>
        <w:t>bem como</w:t>
      </w:r>
      <w:r w:rsidRPr="234C2EA1">
        <w:t xml:space="preserve"> os demais </w:t>
      </w:r>
      <w:r>
        <w:t>comandos</w:t>
      </w:r>
      <w:r w:rsidRPr="234C2EA1">
        <w:t xml:space="preserve"> </w:t>
      </w:r>
      <w:r>
        <w:t>relacionados</w:t>
      </w:r>
      <w:r w:rsidRPr="234C2EA1">
        <w:t xml:space="preserve"> </w:t>
      </w:r>
      <w:r>
        <w:t>à</w:t>
      </w:r>
      <w:r w:rsidRPr="234C2EA1">
        <w:t xml:space="preserve"> referida taxa</w:t>
      </w:r>
      <w:r>
        <w:t>,</w:t>
      </w:r>
      <w:r w:rsidRPr="234C2EA1">
        <w:t xml:space="preserve"> entram em vigor em 1º de outubro de 2023.</w:t>
      </w:r>
    </w:p>
    <w:p w14:paraId="7EDAFC8E" w14:textId="54859136" w:rsidR="00BE53C0" w:rsidRPr="0097459F" w:rsidRDefault="00BE53C0" w:rsidP="00C20BBD">
      <w:pPr>
        <w:ind w:firstLine="567"/>
        <w:jc w:val="both"/>
        <w:rPr>
          <w:rFonts w:ascii="Calibri" w:hAnsi="Calibri" w:cs="Calibri"/>
          <w:sz w:val="24"/>
          <w:szCs w:val="24"/>
        </w:rPr>
      </w:pPr>
      <w:r w:rsidRPr="0097459F">
        <w:rPr>
          <w:rFonts w:ascii="Calibri" w:hAnsi="Calibri" w:cs="Calibri"/>
          <w:sz w:val="24"/>
          <w:szCs w:val="24"/>
        </w:rPr>
        <w:t xml:space="preserve">§ 2º  O art. 5º desta Resolução, referente à possibilidade de os fundos possuírem diferentes classes e subclasses de cotas, entra em vigor em </w:t>
      </w:r>
      <w:r w:rsidR="000D4897" w:rsidRPr="0097459F">
        <w:rPr>
          <w:rFonts w:ascii="Calibri" w:hAnsi="Calibri" w:cs="Calibri"/>
          <w:sz w:val="24"/>
          <w:szCs w:val="24"/>
        </w:rPr>
        <w:t>1º</w:t>
      </w:r>
      <w:r w:rsidRPr="0097459F">
        <w:rPr>
          <w:rFonts w:ascii="Calibri" w:hAnsi="Calibri" w:cs="Calibri"/>
          <w:sz w:val="24"/>
          <w:szCs w:val="24"/>
        </w:rPr>
        <w:t xml:space="preserve"> de </w:t>
      </w:r>
      <w:r w:rsidR="00256A36" w:rsidRPr="0097459F">
        <w:rPr>
          <w:rFonts w:ascii="Calibri" w:hAnsi="Calibri" w:cs="Calibri"/>
          <w:sz w:val="24"/>
          <w:szCs w:val="24"/>
        </w:rPr>
        <w:t>abril</w:t>
      </w:r>
      <w:r w:rsidRPr="0097459F">
        <w:rPr>
          <w:rFonts w:ascii="Calibri" w:hAnsi="Calibri" w:cs="Calibri"/>
          <w:sz w:val="24"/>
          <w:szCs w:val="24"/>
        </w:rPr>
        <w:t xml:space="preserve"> de 2024</w:t>
      </w:r>
      <w:r w:rsidR="00992416" w:rsidRPr="0097459F">
        <w:rPr>
          <w:rFonts w:ascii="Calibri" w:hAnsi="Calibri" w:cs="Calibri"/>
          <w:sz w:val="24"/>
          <w:szCs w:val="24"/>
        </w:rPr>
        <w:t>.</w:t>
      </w:r>
    </w:p>
    <w:p w14:paraId="27FA0BFD" w14:textId="52BBA883" w:rsidR="00DD6D58" w:rsidRDefault="00DD6D58" w:rsidP="00695CEF">
      <w:pPr>
        <w:ind w:firstLine="567"/>
        <w:jc w:val="both"/>
        <w:rPr>
          <w:rFonts w:ascii="Calibri" w:hAnsi="Calibri" w:cs="Calibri"/>
          <w:sz w:val="24"/>
          <w:szCs w:val="24"/>
        </w:rPr>
      </w:pPr>
      <w:r>
        <w:rPr>
          <w:rFonts w:ascii="Calibri" w:hAnsi="Calibri" w:cs="Calibri"/>
          <w:sz w:val="24"/>
          <w:szCs w:val="24"/>
        </w:rPr>
        <w:t xml:space="preserve">§ 3º </w:t>
      </w:r>
      <w:r w:rsidR="00695CEF" w:rsidRPr="00BD3D26">
        <w:rPr>
          <w:rFonts w:ascii="Calibri" w:hAnsi="Calibri" w:cs="Calibri"/>
          <w:sz w:val="24"/>
          <w:szCs w:val="24"/>
        </w:rPr>
        <w:t xml:space="preserve">O </w:t>
      </w:r>
      <w:r w:rsidR="00695CEF" w:rsidRPr="001D58E1">
        <w:rPr>
          <w:rFonts w:ascii="Calibri" w:hAnsi="Calibri" w:cs="Calibri"/>
          <w:sz w:val="24"/>
          <w:szCs w:val="24"/>
        </w:rPr>
        <w:t xml:space="preserve">art. </w:t>
      </w:r>
      <w:r w:rsidR="00695CEF">
        <w:rPr>
          <w:rFonts w:ascii="Calibri" w:hAnsi="Calibri" w:cs="Calibri"/>
          <w:sz w:val="24"/>
          <w:szCs w:val="24"/>
        </w:rPr>
        <w:t>73</w:t>
      </w:r>
      <w:r w:rsidR="00695CEF" w:rsidRPr="001D58E1">
        <w:rPr>
          <w:rFonts w:ascii="Calibri" w:hAnsi="Calibri" w:cs="Calibri"/>
          <w:sz w:val="24"/>
          <w:szCs w:val="24"/>
        </w:rPr>
        <w:t xml:space="preserve"> do Anexo</w:t>
      </w:r>
      <w:r w:rsidR="00695CEF">
        <w:rPr>
          <w:rFonts w:ascii="Calibri" w:hAnsi="Calibri" w:cs="Calibri"/>
          <w:sz w:val="24"/>
          <w:szCs w:val="24"/>
        </w:rPr>
        <w:t xml:space="preserve"> Normativo</w:t>
      </w:r>
      <w:r w:rsidR="00695CEF" w:rsidRPr="001D58E1">
        <w:rPr>
          <w:rFonts w:ascii="Calibri" w:hAnsi="Calibri" w:cs="Calibri"/>
          <w:sz w:val="24"/>
          <w:szCs w:val="24"/>
        </w:rPr>
        <w:t xml:space="preserve"> A</w:t>
      </w:r>
      <w:r w:rsidR="00695CEF" w:rsidRPr="00BD3D26">
        <w:rPr>
          <w:rFonts w:ascii="Calibri" w:hAnsi="Calibri" w:cs="Calibri"/>
          <w:sz w:val="24"/>
          <w:szCs w:val="24"/>
        </w:rPr>
        <w:t xml:space="preserve">, referente ao estabelecimento de limites para </w:t>
      </w:r>
      <w:r w:rsidR="00695CEF" w:rsidRPr="30CA55D6">
        <w:rPr>
          <w:rFonts w:ascii="Calibri" w:hAnsi="Calibri" w:cs="Calibri"/>
          <w:sz w:val="24"/>
          <w:szCs w:val="24"/>
        </w:rPr>
        <w:t>os fundos de investimento financeiro no tocante à</w:t>
      </w:r>
      <w:r w:rsidR="00695CEF" w:rsidRPr="00BD3D26">
        <w:rPr>
          <w:rFonts w:ascii="Calibri" w:hAnsi="Calibri" w:cs="Calibri"/>
          <w:sz w:val="24"/>
          <w:szCs w:val="24"/>
        </w:rPr>
        <w:t xml:space="preserve"> exposição a risco de capital, entra em vigor em 1º</w:t>
      </w:r>
      <w:r w:rsidR="00695CEF">
        <w:rPr>
          <w:rFonts w:ascii="Calibri" w:hAnsi="Calibri" w:cs="Calibri"/>
          <w:sz w:val="24"/>
          <w:szCs w:val="24"/>
        </w:rPr>
        <w:t xml:space="preserve"> de outubro de </w:t>
      </w:r>
      <w:r w:rsidR="00695CEF" w:rsidRPr="00BD3D26">
        <w:rPr>
          <w:rFonts w:ascii="Calibri" w:hAnsi="Calibri" w:cs="Calibri"/>
          <w:sz w:val="24"/>
          <w:szCs w:val="24"/>
        </w:rPr>
        <w:t>2023.</w:t>
      </w:r>
    </w:p>
    <w:p w14:paraId="182EE771" w14:textId="63DE2C16" w:rsidR="000B269E" w:rsidRPr="0097459F" w:rsidRDefault="000B269E" w:rsidP="00C20BBD">
      <w:pPr>
        <w:pStyle w:val="Normalalteradora"/>
      </w:pPr>
      <w:r w:rsidRPr="0097459F">
        <w:t>Art. 141.  Na entrada em vigor desta Resolução ficam revogadas:</w:t>
      </w:r>
    </w:p>
    <w:p w14:paraId="5A71A79A" w14:textId="77777777" w:rsidR="000B269E" w:rsidRPr="0097459F" w:rsidRDefault="000B269E" w:rsidP="00C20BBD">
      <w:pPr>
        <w:pStyle w:val="Normalalteradora"/>
      </w:pPr>
      <w:r w:rsidRPr="0097459F">
        <w:t>I – a Instrução CVM nº 153, de 24 de julho de 1991;</w:t>
      </w:r>
    </w:p>
    <w:p w14:paraId="553798B5" w14:textId="77777777" w:rsidR="000B269E" w:rsidRPr="0097459F" w:rsidRDefault="000B269E" w:rsidP="00C20BBD">
      <w:pPr>
        <w:pStyle w:val="Normalalteradora"/>
        <w:rPr>
          <w:rFonts w:cstheme="minorHAnsi"/>
        </w:rPr>
      </w:pPr>
      <w:r w:rsidRPr="0097459F">
        <w:t xml:space="preserve">II – a Instrução CVM nº 186, de </w:t>
      </w:r>
      <w:r w:rsidRPr="0097459F">
        <w:rPr>
          <w:rFonts w:cstheme="minorHAnsi"/>
        </w:rPr>
        <w:t>17 de março de 1992;</w:t>
      </w:r>
    </w:p>
    <w:p w14:paraId="50EA48D2" w14:textId="77777777" w:rsidR="000B269E" w:rsidRPr="0097459F" w:rsidRDefault="000B269E" w:rsidP="00C20BBD">
      <w:pPr>
        <w:pStyle w:val="Normalalteradora"/>
        <w:rPr>
          <w:rFonts w:cstheme="minorHAnsi"/>
        </w:rPr>
      </w:pPr>
      <w:r w:rsidRPr="0097459F">
        <w:rPr>
          <w:rFonts w:cstheme="minorHAnsi"/>
        </w:rPr>
        <w:t>III – a Instrução CVM nº 213, de 23 de maio de 1994;</w:t>
      </w:r>
    </w:p>
    <w:p w14:paraId="46F87DCD" w14:textId="77777777" w:rsidR="000B269E" w:rsidRPr="0097459F" w:rsidRDefault="000B269E" w:rsidP="00C20BBD">
      <w:pPr>
        <w:pStyle w:val="Normalalteradora"/>
        <w:rPr>
          <w:rFonts w:cstheme="minorHAnsi"/>
        </w:rPr>
      </w:pPr>
      <w:r w:rsidRPr="0097459F">
        <w:rPr>
          <w:rFonts w:cstheme="minorHAnsi"/>
        </w:rPr>
        <w:t>IV – a Instrução CVM nº 279, de 14 de maio de 1998;</w:t>
      </w:r>
    </w:p>
    <w:p w14:paraId="45FEEF53" w14:textId="77777777" w:rsidR="000B269E" w:rsidRPr="0097459F" w:rsidRDefault="000B269E" w:rsidP="00C20BBD">
      <w:pPr>
        <w:pStyle w:val="Normalalteradora"/>
        <w:rPr>
          <w:rFonts w:cstheme="minorHAnsi"/>
        </w:rPr>
      </w:pPr>
      <w:r w:rsidRPr="0097459F">
        <w:rPr>
          <w:rFonts w:cstheme="minorHAnsi"/>
        </w:rPr>
        <w:t>V – a Instrução CVM nº 356, de 17 de dezembro de 2001;</w:t>
      </w:r>
    </w:p>
    <w:p w14:paraId="43AC0223" w14:textId="031075BA" w:rsidR="000B269E" w:rsidRPr="0097459F" w:rsidRDefault="104EA18D" w:rsidP="61EFE2CA">
      <w:pPr>
        <w:pStyle w:val="Normalalteradora"/>
      </w:pPr>
      <w:r w:rsidRPr="0097459F">
        <w:t xml:space="preserve">VI – a Instrução CVM </w:t>
      </w:r>
      <w:r w:rsidR="366CBCD9" w:rsidRPr="0097459F">
        <w:t xml:space="preserve">nº </w:t>
      </w:r>
      <w:r w:rsidRPr="0097459F">
        <w:t>359, de 22 de janeiro de 2002;</w:t>
      </w:r>
    </w:p>
    <w:p w14:paraId="2F3FC02E" w14:textId="1C14EF1A" w:rsidR="000B269E" w:rsidRPr="0097459F" w:rsidRDefault="000B269E" w:rsidP="61EFE2CA">
      <w:pPr>
        <w:pStyle w:val="Normalalteradora"/>
      </w:pPr>
      <w:r w:rsidRPr="0097459F">
        <w:t>VII – a Instrução CVM nº 393, de 22 de julho de 2003;</w:t>
      </w:r>
    </w:p>
    <w:p w14:paraId="3BBC83B8" w14:textId="77777777" w:rsidR="000B269E" w:rsidRPr="0097459F" w:rsidRDefault="000B269E" w:rsidP="00C20BBD">
      <w:pPr>
        <w:pStyle w:val="Normalalteradora"/>
        <w:rPr>
          <w:rFonts w:cstheme="minorHAnsi"/>
        </w:rPr>
      </w:pPr>
      <w:r w:rsidRPr="0097459F">
        <w:rPr>
          <w:rFonts w:cstheme="minorHAnsi"/>
        </w:rPr>
        <w:t>VIII – a Instrução CVM nº 398, de 28 de outubro de 2003;</w:t>
      </w:r>
    </w:p>
    <w:p w14:paraId="4A160FF9" w14:textId="77777777" w:rsidR="000B269E" w:rsidRPr="0097459F" w:rsidRDefault="000B269E" w:rsidP="00C20BBD">
      <w:pPr>
        <w:pStyle w:val="Normalalteradora"/>
        <w:rPr>
          <w:rFonts w:cstheme="minorHAnsi"/>
        </w:rPr>
      </w:pPr>
      <w:r w:rsidRPr="0097459F">
        <w:rPr>
          <w:rFonts w:cstheme="minorHAnsi"/>
        </w:rPr>
        <w:t>IX – a Instrução CVM nº 399, de 21 de novembro de 2003;</w:t>
      </w:r>
    </w:p>
    <w:p w14:paraId="4B6F8D09" w14:textId="77777777" w:rsidR="000B269E" w:rsidRPr="0097459F" w:rsidRDefault="000B269E" w:rsidP="00C20BBD">
      <w:pPr>
        <w:pStyle w:val="Normalalteradora"/>
        <w:rPr>
          <w:rFonts w:cstheme="minorHAnsi"/>
        </w:rPr>
      </w:pPr>
      <w:r w:rsidRPr="0097459F">
        <w:rPr>
          <w:rFonts w:cstheme="minorHAnsi"/>
        </w:rPr>
        <w:t>X – a Instrução CVM nº 423, de 28 de setembro de 2005;</w:t>
      </w:r>
    </w:p>
    <w:p w14:paraId="11827A59" w14:textId="77777777" w:rsidR="000B269E" w:rsidRPr="0097459F" w:rsidRDefault="000B269E" w:rsidP="00C20BBD">
      <w:pPr>
        <w:pStyle w:val="Normalalteradora"/>
        <w:rPr>
          <w:rFonts w:cstheme="minorHAnsi"/>
        </w:rPr>
      </w:pPr>
      <w:r w:rsidRPr="0097459F">
        <w:rPr>
          <w:rFonts w:cstheme="minorHAnsi"/>
        </w:rPr>
        <w:lastRenderedPageBreak/>
        <w:t>XI – a Instrução CVM nº 432, de 1º de junho de 2006;</w:t>
      </w:r>
    </w:p>
    <w:p w14:paraId="559C6745" w14:textId="77777777" w:rsidR="000B269E" w:rsidRPr="0097459F" w:rsidRDefault="000B269E" w:rsidP="00C20BBD">
      <w:pPr>
        <w:pStyle w:val="Normalalteradora"/>
        <w:rPr>
          <w:rFonts w:cstheme="minorHAnsi"/>
        </w:rPr>
      </w:pPr>
      <w:r w:rsidRPr="0097459F">
        <w:rPr>
          <w:rFonts w:cstheme="minorHAnsi"/>
        </w:rPr>
        <w:t>XII – a Instrução CVM nº 435, de 5 de julho de 2006;</w:t>
      </w:r>
    </w:p>
    <w:p w14:paraId="6C32B215" w14:textId="77777777" w:rsidR="000B269E" w:rsidRPr="0097459F" w:rsidRDefault="000B269E" w:rsidP="00C20BBD">
      <w:pPr>
        <w:pStyle w:val="Normalalteradora"/>
        <w:rPr>
          <w:rFonts w:cstheme="minorHAnsi"/>
        </w:rPr>
      </w:pPr>
      <w:r w:rsidRPr="0097459F">
        <w:rPr>
          <w:rFonts w:cstheme="minorHAnsi"/>
        </w:rPr>
        <w:t>XIII –a Instrução CVM nº 442, de 8 de dezembro de 2006;</w:t>
      </w:r>
    </w:p>
    <w:p w14:paraId="6FE6BEAC" w14:textId="77777777" w:rsidR="000B269E" w:rsidRPr="0097459F" w:rsidRDefault="000B269E" w:rsidP="00C20BBD">
      <w:pPr>
        <w:pStyle w:val="Normalalteradora"/>
        <w:rPr>
          <w:rFonts w:cstheme="minorHAnsi"/>
        </w:rPr>
      </w:pPr>
      <w:r w:rsidRPr="0097459F">
        <w:rPr>
          <w:rFonts w:cstheme="minorHAnsi"/>
        </w:rPr>
        <w:t>XIV – a Instrução CVM nº 444, de 8 de dezembro de 2006;</w:t>
      </w:r>
    </w:p>
    <w:p w14:paraId="022DADD2" w14:textId="77777777" w:rsidR="000B269E" w:rsidRPr="0097459F" w:rsidRDefault="000B269E" w:rsidP="00C20BBD">
      <w:pPr>
        <w:pStyle w:val="Normalalteradora"/>
        <w:rPr>
          <w:rFonts w:cstheme="minorHAnsi"/>
        </w:rPr>
      </w:pPr>
      <w:r w:rsidRPr="0097459F">
        <w:rPr>
          <w:rFonts w:cstheme="minorHAnsi"/>
        </w:rPr>
        <w:t>XV – a Instrução CVM nº 446, de 19 e dezembro de 2006;</w:t>
      </w:r>
    </w:p>
    <w:p w14:paraId="2D7202F8" w14:textId="77777777" w:rsidR="000B269E" w:rsidRPr="0097459F" w:rsidRDefault="104EA18D" w:rsidP="00C20BBD">
      <w:pPr>
        <w:pStyle w:val="Normalalteradora"/>
      </w:pPr>
      <w:r w:rsidRPr="0097459F">
        <w:t>XVI – a Instrução CVM nº 458, de 16 de agosto de 2007;</w:t>
      </w:r>
    </w:p>
    <w:p w14:paraId="6E788793" w14:textId="6E1827B6" w:rsidR="0CA958A7" w:rsidRPr="0097459F" w:rsidRDefault="0CA958A7" w:rsidP="00C20BBD">
      <w:pPr>
        <w:pStyle w:val="Normalalteradora"/>
      </w:pPr>
      <w:r w:rsidRPr="0097459F">
        <w:t>XVI</w:t>
      </w:r>
      <w:r w:rsidR="008827AF" w:rsidRPr="0097459F">
        <w:t>I</w:t>
      </w:r>
      <w:r w:rsidRPr="0097459F">
        <w:t xml:space="preserve"> - a Instrução CVM nº 459, de </w:t>
      </w:r>
      <w:r w:rsidR="711D6659" w:rsidRPr="0097459F">
        <w:t>17 de setembro</w:t>
      </w:r>
      <w:r w:rsidRPr="0097459F">
        <w:t xml:space="preserve"> de 2007;</w:t>
      </w:r>
    </w:p>
    <w:p w14:paraId="585FB313" w14:textId="6127855F" w:rsidR="008974F1" w:rsidRPr="0097459F" w:rsidRDefault="008827AF" w:rsidP="00C20BBD">
      <w:pPr>
        <w:pStyle w:val="Normalalteradora"/>
      </w:pPr>
      <w:r w:rsidRPr="0097459F">
        <w:t xml:space="preserve">XVIII - </w:t>
      </w:r>
      <w:r w:rsidR="00723612" w:rsidRPr="0097459F">
        <w:t>a Instrução CVM nº 472, de 31 de outubro de 2008;</w:t>
      </w:r>
    </w:p>
    <w:p w14:paraId="09E8A7FC" w14:textId="395F38DD" w:rsidR="000B269E" w:rsidRPr="0097459F" w:rsidRDefault="008827AF" w:rsidP="00C20BBD">
      <w:pPr>
        <w:pStyle w:val="Normalalteradora"/>
        <w:rPr>
          <w:rFonts w:cstheme="minorHAnsi"/>
        </w:rPr>
      </w:pPr>
      <w:r w:rsidRPr="0097459F">
        <w:rPr>
          <w:rFonts w:cstheme="minorHAnsi"/>
        </w:rPr>
        <w:t xml:space="preserve">XIX </w:t>
      </w:r>
      <w:r w:rsidR="000B269E" w:rsidRPr="0097459F">
        <w:rPr>
          <w:rFonts w:cstheme="minorHAnsi"/>
        </w:rPr>
        <w:t>– a Instrução CVM nº 484, de 21 de julho de 2010;</w:t>
      </w:r>
    </w:p>
    <w:p w14:paraId="3D812864" w14:textId="6E31077A" w:rsidR="000B269E" w:rsidRPr="0097459F" w:rsidRDefault="008827AF" w:rsidP="00C20BBD">
      <w:pPr>
        <w:pStyle w:val="Normalalteradora"/>
        <w:rPr>
          <w:rFonts w:cstheme="minorHAnsi"/>
        </w:rPr>
      </w:pPr>
      <w:r w:rsidRPr="0097459F">
        <w:rPr>
          <w:rFonts w:cstheme="minorHAnsi"/>
        </w:rPr>
        <w:t>XX</w:t>
      </w:r>
      <w:r w:rsidR="000B269E" w:rsidRPr="0097459F">
        <w:rPr>
          <w:rFonts w:cstheme="minorHAnsi"/>
        </w:rPr>
        <w:t>– a Instrução CVM nº 498, de 13 de junho de 2011;</w:t>
      </w:r>
    </w:p>
    <w:p w14:paraId="471660E6" w14:textId="69F8B314" w:rsidR="001826B6" w:rsidRPr="0097459F" w:rsidRDefault="008827AF" w:rsidP="00C20BBD">
      <w:pPr>
        <w:pStyle w:val="Normalalteradora"/>
        <w:rPr>
          <w:rFonts w:cstheme="minorHAnsi"/>
        </w:rPr>
      </w:pPr>
      <w:r w:rsidRPr="0097459F">
        <w:rPr>
          <w:rFonts w:cstheme="minorHAnsi"/>
        </w:rPr>
        <w:t>XXI</w:t>
      </w:r>
      <w:r w:rsidR="001826B6" w:rsidRPr="0097459F">
        <w:rPr>
          <w:rFonts w:cstheme="minorHAnsi"/>
        </w:rPr>
        <w:t xml:space="preserve"> – a Instrução CVM nº 504, de 21 de setembro de 2011;</w:t>
      </w:r>
    </w:p>
    <w:p w14:paraId="1EF766DC" w14:textId="75B6E09C" w:rsidR="000B269E" w:rsidRPr="0097459F" w:rsidRDefault="008827AF" w:rsidP="00C20BBD">
      <w:pPr>
        <w:pStyle w:val="Normalalteradora"/>
        <w:rPr>
          <w:rFonts w:cstheme="minorHAnsi"/>
        </w:rPr>
      </w:pPr>
      <w:r w:rsidRPr="0097459F">
        <w:rPr>
          <w:rFonts w:cstheme="minorHAnsi"/>
        </w:rPr>
        <w:t>XXII</w:t>
      </w:r>
      <w:r w:rsidR="000B269E" w:rsidRPr="0097459F">
        <w:rPr>
          <w:rFonts w:cstheme="minorHAnsi"/>
        </w:rPr>
        <w:t xml:space="preserve"> – a Instrução CVM nº 531, de 6 de fevereiro de 2013;</w:t>
      </w:r>
    </w:p>
    <w:p w14:paraId="2F311C8A" w14:textId="78164F78" w:rsidR="001B713F" w:rsidRDefault="001B713F" w:rsidP="00C20BBD">
      <w:pPr>
        <w:pStyle w:val="Normalalteradora"/>
        <w:rPr>
          <w:rFonts w:cstheme="minorHAnsi"/>
        </w:rPr>
      </w:pPr>
      <w:r>
        <w:rPr>
          <w:rFonts w:cstheme="minorHAnsi"/>
        </w:rPr>
        <w:t>XXIII –a Instrução CVM nº 554, de 17 de dezembro de 2014;</w:t>
      </w:r>
    </w:p>
    <w:p w14:paraId="579036F4" w14:textId="1C84D6CC" w:rsidR="000B269E" w:rsidRPr="0097459F" w:rsidRDefault="008827AF" w:rsidP="00C20BBD">
      <w:pPr>
        <w:pStyle w:val="Normalalteradora"/>
        <w:rPr>
          <w:rFonts w:cstheme="minorHAnsi"/>
        </w:rPr>
      </w:pPr>
      <w:r w:rsidRPr="0097459F">
        <w:rPr>
          <w:rFonts w:cstheme="minorHAnsi"/>
        </w:rPr>
        <w:t xml:space="preserve">XXIV </w:t>
      </w:r>
      <w:r w:rsidR="000B269E" w:rsidRPr="0097459F">
        <w:rPr>
          <w:rFonts w:cstheme="minorHAnsi"/>
        </w:rPr>
        <w:t>– a Instrução CVM nº 555, de 17 de dezembro de 2014;</w:t>
      </w:r>
    </w:p>
    <w:p w14:paraId="529901F6" w14:textId="17AFCC69" w:rsidR="000B269E" w:rsidRPr="0097459F" w:rsidRDefault="008827AF" w:rsidP="00C20BBD">
      <w:pPr>
        <w:pStyle w:val="Normalalteradora"/>
        <w:rPr>
          <w:rFonts w:cstheme="minorHAnsi"/>
        </w:rPr>
      </w:pPr>
      <w:r w:rsidRPr="0097459F">
        <w:rPr>
          <w:rFonts w:cstheme="minorHAnsi"/>
        </w:rPr>
        <w:t xml:space="preserve">XXV </w:t>
      </w:r>
      <w:r w:rsidR="000B269E" w:rsidRPr="0097459F">
        <w:rPr>
          <w:rFonts w:cstheme="minorHAnsi"/>
        </w:rPr>
        <w:t>– a Instrução CVM nº 563, de 18 de maio de 2015;</w:t>
      </w:r>
    </w:p>
    <w:p w14:paraId="52ED139B" w14:textId="470E5C79" w:rsidR="000B269E" w:rsidRPr="0097459F" w:rsidRDefault="008827AF" w:rsidP="00C20BBD">
      <w:pPr>
        <w:pStyle w:val="Normalalteradora"/>
        <w:rPr>
          <w:rFonts w:cstheme="minorHAnsi"/>
        </w:rPr>
      </w:pPr>
      <w:r w:rsidRPr="0097459F">
        <w:rPr>
          <w:rFonts w:cstheme="minorHAnsi"/>
        </w:rPr>
        <w:t>XXVI</w:t>
      </w:r>
      <w:r w:rsidR="000B269E" w:rsidRPr="0097459F">
        <w:rPr>
          <w:rFonts w:cstheme="minorHAnsi"/>
        </w:rPr>
        <w:t xml:space="preserve"> – a Instrução CVM nº 564, de 11 de junho de 2015;</w:t>
      </w:r>
    </w:p>
    <w:p w14:paraId="6C1607F5" w14:textId="1B13BD4C" w:rsidR="000B269E" w:rsidRPr="0097459F" w:rsidRDefault="008827AF" w:rsidP="00C20BBD">
      <w:pPr>
        <w:pStyle w:val="Normalalteradora"/>
        <w:rPr>
          <w:rFonts w:cstheme="minorHAnsi"/>
        </w:rPr>
      </w:pPr>
      <w:r w:rsidRPr="0097459F">
        <w:rPr>
          <w:rFonts w:cstheme="minorHAnsi"/>
        </w:rPr>
        <w:t>XXVII</w:t>
      </w:r>
      <w:r w:rsidR="000B269E" w:rsidRPr="0097459F">
        <w:rPr>
          <w:rFonts w:cstheme="minorHAnsi"/>
        </w:rPr>
        <w:t xml:space="preserve"> – a Instrução CVM nº 572, de 26 de novembro de 2015;</w:t>
      </w:r>
    </w:p>
    <w:p w14:paraId="243C3C5D" w14:textId="267A1AF4" w:rsidR="000B269E" w:rsidRPr="0097459F" w:rsidRDefault="008827AF" w:rsidP="00C20BBD">
      <w:pPr>
        <w:pStyle w:val="Normalalteradora"/>
        <w:rPr>
          <w:rFonts w:cstheme="minorHAnsi"/>
        </w:rPr>
      </w:pPr>
      <w:r w:rsidRPr="0097459F">
        <w:rPr>
          <w:rFonts w:cstheme="minorHAnsi"/>
        </w:rPr>
        <w:t xml:space="preserve">XXVIII </w:t>
      </w:r>
      <w:r w:rsidR="000B269E" w:rsidRPr="0097459F">
        <w:rPr>
          <w:rFonts w:cstheme="minorHAnsi"/>
        </w:rPr>
        <w:t>– a Instrução CVM nº 578, de 30 de agosto de 2016;</w:t>
      </w:r>
    </w:p>
    <w:p w14:paraId="35E48717" w14:textId="0E92FFDE" w:rsidR="000B269E" w:rsidRPr="0097459F" w:rsidRDefault="008827AF" w:rsidP="00C20BBD">
      <w:pPr>
        <w:pStyle w:val="Normalalteradora"/>
        <w:rPr>
          <w:rFonts w:cstheme="minorHAnsi"/>
        </w:rPr>
      </w:pPr>
      <w:r w:rsidRPr="0097459F">
        <w:rPr>
          <w:rFonts w:cstheme="minorHAnsi"/>
        </w:rPr>
        <w:t xml:space="preserve">XXIX </w:t>
      </w:r>
      <w:r w:rsidR="000B269E" w:rsidRPr="0097459F">
        <w:rPr>
          <w:rFonts w:cstheme="minorHAnsi"/>
        </w:rPr>
        <w:t>– a Instrução CVM nº 582, de 22 de junho de 2016;</w:t>
      </w:r>
    </w:p>
    <w:p w14:paraId="1B1F45E3" w14:textId="1E7149B7" w:rsidR="000B269E" w:rsidRPr="0097459F" w:rsidRDefault="008827AF" w:rsidP="00C20BBD">
      <w:pPr>
        <w:pStyle w:val="Normalalteradora"/>
        <w:rPr>
          <w:rFonts w:cstheme="minorHAnsi"/>
        </w:rPr>
      </w:pPr>
      <w:r w:rsidRPr="0097459F">
        <w:rPr>
          <w:rFonts w:cstheme="minorHAnsi"/>
        </w:rPr>
        <w:t xml:space="preserve">XXX </w:t>
      </w:r>
      <w:r w:rsidR="000B269E" w:rsidRPr="0097459F">
        <w:rPr>
          <w:rFonts w:cstheme="minorHAnsi"/>
        </w:rPr>
        <w:t>– a Instrução CVM nº 587, de 29 de junho 2017;</w:t>
      </w:r>
    </w:p>
    <w:p w14:paraId="19C8E8B6" w14:textId="06E23378" w:rsidR="000B269E" w:rsidRPr="0097459F" w:rsidRDefault="008827AF" w:rsidP="00C20BBD">
      <w:pPr>
        <w:pStyle w:val="Normalalteradora"/>
        <w:rPr>
          <w:rFonts w:cstheme="minorHAnsi"/>
        </w:rPr>
      </w:pPr>
      <w:r w:rsidRPr="0097459F">
        <w:rPr>
          <w:rFonts w:cstheme="minorHAnsi"/>
        </w:rPr>
        <w:t>XXXI</w:t>
      </w:r>
      <w:r w:rsidR="000B269E" w:rsidRPr="0097459F">
        <w:rPr>
          <w:rFonts w:cstheme="minorHAnsi"/>
        </w:rPr>
        <w:t xml:space="preserve"> – a Instrução CVM nº 604, de 13 de dezembro de 2018;</w:t>
      </w:r>
    </w:p>
    <w:p w14:paraId="4B946063" w14:textId="74C9C0BB" w:rsidR="000B269E" w:rsidRPr="0097459F" w:rsidRDefault="008827AF" w:rsidP="00C20BBD">
      <w:pPr>
        <w:pStyle w:val="Normalalteradora"/>
        <w:rPr>
          <w:rFonts w:cstheme="minorHAnsi"/>
        </w:rPr>
      </w:pPr>
      <w:r w:rsidRPr="0097459F">
        <w:rPr>
          <w:rFonts w:cstheme="minorHAnsi"/>
        </w:rPr>
        <w:t>XXXII</w:t>
      </w:r>
      <w:r w:rsidR="000B269E" w:rsidRPr="0097459F">
        <w:rPr>
          <w:rFonts w:cstheme="minorHAnsi"/>
        </w:rPr>
        <w:t xml:space="preserve"> –a Instrução CVM nº 605, de 25 de novembro de 2019;</w:t>
      </w:r>
    </w:p>
    <w:p w14:paraId="1642A0BE" w14:textId="42AB0642" w:rsidR="000B269E" w:rsidRPr="0097459F" w:rsidRDefault="008827AF" w:rsidP="00C20BBD">
      <w:pPr>
        <w:pStyle w:val="Normalalteradora"/>
        <w:rPr>
          <w:rFonts w:cstheme="minorHAnsi"/>
        </w:rPr>
      </w:pPr>
      <w:r w:rsidRPr="0097459F">
        <w:rPr>
          <w:rFonts w:cstheme="minorHAnsi"/>
        </w:rPr>
        <w:t xml:space="preserve">XXXIII </w:t>
      </w:r>
      <w:r w:rsidR="000B269E" w:rsidRPr="0097459F">
        <w:rPr>
          <w:rFonts w:cstheme="minorHAnsi"/>
        </w:rPr>
        <w:t>– a Instrução CVM nº 606, de 25 de março de 2019;</w:t>
      </w:r>
    </w:p>
    <w:p w14:paraId="151D4648" w14:textId="2685527F" w:rsidR="000B269E" w:rsidRPr="0097459F" w:rsidRDefault="008827AF" w:rsidP="00C20BBD">
      <w:pPr>
        <w:pStyle w:val="Normalalteradora"/>
        <w:rPr>
          <w:rFonts w:cstheme="minorHAnsi"/>
        </w:rPr>
      </w:pPr>
      <w:r w:rsidRPr="0097459F">
        <w:t>XXXIV</w:t>
      </w:r>
      <w:r w:rsidRPr="0097459F">
        <w:rPr>
          <w:rFonts w:cstheme="minorHAnsi"/>
        </w:rPr>
        <w:t xml:space="preserve"> </w:t>
      </w:r>
      <w:r w:rsidR="000B269E" w:rsidRPr="0097459F">
        <w:rPr>
          <w:rFonts w:cstheme="minorHAnsi"/>
        </w:rPr>
        <w:t>– a Instrução CVM nº 609, de 25 de junho de 2019;</w:t>
      </w:r>
    </w:p>
    <w:p w14:paraId="1F1E06E9" w14:textId="739630C0" w:rsidR="000B269E" w:rsidRPr="0097459F" w:rsidRDefault="008827AF" w:rsidP="00C20BBD">
      <w:pPr>
        <w:pStyle w:val="Normalalteradora"/>
        <w:rPr>
          <w:rFonts w:cstheme="minorHAnsi"/>
        </w:rPr>
      </w:pPr>
      <w:r w:rsidRPr="0097459F">
        <w:rPr>
          <w:rFonts w:cstheme="minorHAnsi"/>
        </w:rPr>
        <w:lastRenderedPageBreak/>
        <w:t xml:space="preserve">XXXV </w:t>
      </w:r>
      <w:r w:rsidR="000B269E" w:rsidRPr="0097459F">
        <w:rPr>
          <w:rFonts w:cstheme="minorHAnsi"/>
        </w:rPr>
        <w:t>– a Instrução CVM nº 615, de 2 de outubro de 2019;</w:t>
      </w:r>
    </w:p>
    <w:p w14:paraId="5DFBC873" w14:textId="1D43ED53" w:rsidR="000B269E" w:rsidRPr="0097459F" w:rsidRDefault="008827AF" w:rsidP="00C20BBD">
      <w:pPr>
        <w:pStyle w:val="Normalalteradora"/>
        <w:rPr>
          <w:rFonts w:cstheme="minorHAnsi"/>
        </w:rPr>
      </w:pPr>
      <w:r w:rsidRPr="0097459F">
        <w:rPr>
          <w:rFonts w:cstheme="minorHAnsi"/>
        </w:rPr>
        <w:t>XXXVI</w:t>
      </w:r>
      <w:r w:rsidR="000B269E" w:rsidRPr="0097459F">
        <w:rPr>
          <w:rFonts w:cstheme="minorHAnsi"/>
        </w:rPr>
        <w:t xml:space="preserve"> – a Deliberação CVM nº 546, de 4 de agosto de 2008;</w:t>
      </w:r>
    </w:p>
    <w:p w14:paraId="1F45B946" w14:textId="51F45341" w:rsidR="000B269E" w:rsidRPr="0097459F" w:rsidRDefault="008827AF" w:rsidP="00C20BBD">
      <w:pPr>
        <w:pStyle w:val="Normalalteradora"/>
        <w:rPr>
          <w:rFonts w:cstheme="minorHAnsi"/>
        </w:rPr>
      </w:pPr>
      <w:r w:rsidRPr="0097459F">
        <w:rPr>
          <w:rFonts w:cstheme="minorHAnsi"/>
        </w:rPr>
        <w:t>XXXVII</w:t>
      </w:r>
      <w:r w:rsidR="000B269E" w:rsidRPr="0097459F">
        <w:rPr>
          <w:rFonts w:cstheme="minorHAnsi"/>
        </w:rPr>
        <w:t xml:space="preserve"> - a Deliberação CVM nº 571, de 31 de março de 2008; e</w:t>
      </w:r>
    </w:p>
    <w:p w14:paraId="50E16F92" w14:textId="2809CFFB" w:rsidR="000B269E" w:rsidRPr="0097459F" w:rsidRDefault="008827AF" w:rsidP="00C20BBD">
      <w:pPr>
        <w:pStyle w:val="Normalalteradora"/>
        <w:rPr>
          <w:rFonts w:cstheme="minorHAnsi"/>
        </w:rPr>
      </w:pPr>
      <w:r w:rsidRPr="0097459F">
        <w:rPr>
          <w:rFonts w:cstheme="minorHAnsi"/>
        </w:rPr>
        <w:t xml:space="preserve">XXXVIII </w:t>
      </w:r>
      <w:r w:rsidR="000B269E" w:rsidRPr="0097459F">
        <w:rPr>
          <w:rFonts w:cstheme="minorHAnsi"/>
        </w:rPr>
        <w:t>- a Deliberação CVM nº 782, de 25 de outubro de 2017.</w:t>
      </w:r>
    </w:p>
    <w:p w14:paraId="6D31B7EF" w14:textId="0EA80BE0" w:rsidR="00893D49" w:rsidRPr="0097459F" w:rsidRDefault="00893D49" w:rsidP="00C20BBD">
      <w:pPr>
        <w:pStyle w:val="NormalWeb"/>
        <w:spacing w:before="0" w:beforeAutospacing="0" w:after="0" w:afterAutospacing="0" w:line="312" w:lineRule="auto"/>
        <w:ind w:firstLine="567"/>
        <w:jc w:val="center"/>
        <w:rPr>
          <w:rFonts w:asciiTheme="minorHAnsi" w:hAnsiTheme="minorHAnsi"/>
        </w:rPr>
      </w:pPr>
    </w:p>
    <w:p w14:paraId="276A4057" w14:textId="77777777" w:rsidR="00893D49" w:rsidRPr="0097459F" w:rsidRDefault="00893D49" w:rsidP="00C20BBD">
      <w:pPr>
        <w:pStyle w:val="NormalWeb"/>
        <w:spacing w:before="0" w:beforeAutospacing="0" w:after="0" w:afterAutospacing="0" w:line="312" w:lineRule="auto"/>
        <w:ind w:firstLine="567"/>
        <w:jc w:val="center"/>
        <w:rPr>
          <w:rFonts w:asciiTheme="minorHAnsi" w:hAnsiTheme="minorHAnsi" w:cstheme="minorHAnsi"/>
          <w:i/>
          <w:iCs/>
        </w:rPr>
      </w:pPr>
      <w:r w:rsidRPr="0097459F">
        <w:rPr>
          <w:rFonts w:asciiTheme="minorHAnsi" w:hAnsiTheme="minorHAnsi" w:cstheme="minorHAnsi"/>
          <w:i/>
          <w:iCs/>
        </w:rPr>
        <w:t>Assinado eletronicamente por</w:t>
      </w:r>
    </w:p>
    <w:p w14:paraId="32330E77" w14:textId="6B293443" w:rsidR="00893D49" w:rsidRPr="0097459F" w:rsidRDefault="2449BE3A" w:rsidP="00C20BBD">
      <w:pPr>
        <w:widowControl w:val="0"/>
        <w:spacing w:after="0" w:line="312" w:lineRule="auto"/>
        <w:ind w:firstLine="567"/>
        <w:jc w:val="center"/>
        <w:rPr>
          <w:rFonts w:asciiTheme="minorHAnsi" w:hAnsiTheme="minorHAnsi" w:cstheme="minorBidi"/>
          <w:b/>
          <w:bCs/>
          <w:smallCaps/>
          <w:sz w:val="24"/>
          <w:szCs w:val="24"/>
        </w:rPr>
      </w:pPr>
      <w:r w:rsidRPr="0097459F">
        <w:rPr>
          <w:rFonts w:asciiTheme="minorHAnsi" w:hAnsiTheme="minorHAnsi" w:cstheme="minorBidi"/>
          <w:b/>
          <w:bCs/>
          <w:smallCaps/>
          <w:sz w:val="24"/>
          <w:szCs w:val="24"/>
        </w:rPr>
        <w:t>JOÃO PEDRO BARROSO DO NASCIMENTO</w:t>
      </w:r>
    </w:p>
    <w:p w14:paraId="6BBEC24B" w14:textId="2B73B269" w:rsidR="006D1B94" w:rsidRPr="0097459F" w:rsidRDefault="00893D49" w:rsidP="00C20BBD">
      <w:pPr>
        <w:pStyle w:val="NormalWeb"/>
        <w:spacing w:before="0" w:beforeAutospacing="0" w:after="0" w:afterAutospacing="0" w:line="312" w:lineRule="auto"/>
        <w:ind w:firstLine="567"/>
        <w:jc w:val="center"/>
        <w:rPr>
          <w:rFonts w:asciiTheme="minorHAnsi" w:hAnsiTheme="minorHAnsi" w:cstheme="minorHAnsi"/>
          <w:b/>
        </w:rPr>
      </w:pPr>
      <w:r w:rsidRPr="0097459F">
        <w:rPr>
          <w:rFonts w:asciiTheme="minorHAnsi" w:hAnsiTheme="minorHAnsi" w:cstheme="minorHAnsi"/>
          <w:b/>
        </w:rPr>
        <w:t>Presidente</w:t>
      </w:r>
    </w:p>
    <w:p w14:paraId="4F1D65C9" w14:textId="77777777" w:rsidR="00C20BBD" w:rsidRPr="0097459F" w:rsidRDefault="00C20BBD" w:rsidP="00C20BBD">
      <w:pPr>
        <w:pStyle w:val="NormalWeb"/>
        <w:spacing w:before="0" w:beforeAutospacing="0" w:after="0" w:afterAutospacing="0" w:line="312" w:lineRule="auto"/>
        <w:ind w:firstLine="567"/>
        <w:jc w:val="center"/>
        <w:rPr>
          <w:rFonts w:asciiTheme="minorHAnsi" w:hAnsiTheme="minorHAnsi" w:cstheme="minorHAnsi"/>
          <w:b/>
        </w:rPr>
      </w:pPr>
    </w:p>
    <w:p w14:paraId="7FC65FAD" w14:textId="77777777" w:rsidR="00931F83" w:rsidRDefault="00C20BBD">
      <w:pPr>
        <w:spacing w:after="160" w:line="259" w:lineRule="auto"/>
        <w:rPr>
          <w:rFonts w:asciiTheme="minorHAnsi" w:hAnsiTheme="minorHAnsi" w:cstheme="minorHAnsi"/>
          <w:b/>
          <w:sz w:val="24"/>
          <w:szCs w:val="24"/>
        </w:rPr>
        <w:sectPr w:rsidR="00931F83" w:rsidSect="0097459F">
          <w:headerReference w:type="default" r:id="rId12"/>
          <w:footerReference w:type="default" r:id="rId13"/>
          <w:headerReference w:type="first" r:id="rId14"/>
          <w:pgSz w:w="11906" w:h="16838"/>
          <w:pgMar w:top="2268" w:right="567" w:bottom="851" w:left="1134" w:header="709" w:footer="709" w:gutter="0"/>
          <w:pgNumType w:start="1"/>
          <w:cols w:space="708"/>
          <w:titlePg/>
          <w:docGrid w:linePitch="360"/>
        </w:sectPr>
      </w:pPr>
      <w:r w:rsidRPr="0097459F">
        <w:rPr>
          <w:rFonts w:asciiTheme="minorHAnsi" w:hAnsiTheme="minorHAnsi" w:cstheme="minorHAnsi"/>
          <w:b/>
          <w:sz w:val="24"/>
          <w:szCs w:val="24"/>
        </w:rPr>
        <w:br w:type="page"/>
      </w:r>
    </w:p>
    <w:p w14:paraId="09DD64C2" w14:textId="0B575A6A" w:rsidR="00C20BBD" w:rsidRPr="0097459F" w:rsidRDefault="00C20BBD" w:rsidP="00077E9E">
      <w:pPr>
        <w:pStyle w:val="TtulodaResoluo"/>
        <w:rPr>
          <w:b/>
          <w:bCs/>
        </w:rPr>
      </w:pPr>
      <w:bookmarkStart w:id="348" w:name="_Toc57836235"/>
      <w:bookmarkStart w:id="349" w:name="_Toc126226345"/>
      <w:r w:rsidRPr="0097459F">
        <w:lastRenderedPageBreak/>
        <w:t>ANEXO NORMATIVO I – FUNDOS DE INVESTIMENTO FINANCEIRO</w:t>
      </w:r>
      <w:bookmarkEnd w:id="348"/>
      <w:bookmarkEnd w:id="349"/>
    </w:p>
    <w:p w14:paraId="0D6F2F9C" w14:textId="77777777" w:rsidR="00C20BBD" w:rsidRPr="0097459F" w:rsidRDefault="00C20BBD" w:rsidP="00C20BBD">
      <w:pPr>
        <w:pStyle w:val="Ementa"/>
      </w:pPr>
      <w:r w:rsidRPr="0097459F">
        <w:t>Dispõe sobre as regras específicas para os fundos de investimento em ações, cambiais, multimercado e em renda fixa.</w:t>
      </w:r>
    </w:p>
    <w:p w14:paraId="7D8231EF" w14:textId="77777777" w:rsidR="00C20BBD" w:rsidRPr="0097459F" w:rsidRDefault="00C20BBD" w:rsidP="00C20BBD">
      <w:pPr>
        <w:pStyle w:val="Captulo"/>
      </w:pPr>
      <w:bookmarkStart w:id="350" w:name="_Toc53594475"/>
      <w:bookmarkStart w:id="351" w:name="_Toc53595500"/>
      <w:bookmarkStart w:id="352" w:name="_Toc53594227"/>
      <w:bookmarkStart w:id="353" w:name="_Toc57836236"/>
      <w:bookmarkStart w:id="354" w:name="_Toc126226346"/>
      <w:r w:rsidRPr="0097459F">
        <w:t>CAPÍTULO I – ÂMBITO E FINALIDADE</w:t>
      </w:r>
      <w:bookmarkEnd w:id="350"/>
      <w:bookmarkEnd w:id="351"/>
      <w:bookmarkEnd w:id="352"/>
      <w:bookmarkEnd w:id="353"/>
      <w:bookmarkEnd w:id="354"/>
    </w:p>
    <w:p w14:paraId="06C29BDC" w14:textId="77777777" w:rsidR="00C20BBD" w:rsidRPr="0097459F" w:rsidRDefault="00C20BBD" w:rsidP="00C20BBD">
      <w:pPr>
        <w:pStyle w:val="Normalalteradora"/>
        <w:tabs>
          <w:tab w:val="left" w:pos="3119"/>
        </w:tabs>
        <w:rPr>
          <w:rFonts w:ascii="Calibri" w:hAnsi="Calibri" w:cs="Calibri"/>
        </w:rPr>
      </w:pPr>
      <w:r w:rsidRPr="0097459F">
        <w:rPr>
          <w:rFonts w:ascii="Calibri" w:hAnsi="Calibri" w:cs="Calibri"/>
        </w:rPr>
        <w:t>Art. 1</w:t>
      </w:r>
      <w:bookmarkStart w:id="355" w:name="_Int_knrM3PRT"/>
      <w:r w:rsidRPr="0097459F">
        <w:rPr>
          <w:rFonts w:ascii="Calibri" w:hAnsi="Calibri" w:cs="Calibri"/>
        </w:rPr>
        <w:t>º  Este</w:t>
      </w:r>
      <w:bookmarkEnd w:id="355"/>
      <w:r w:rsidRPr="0097459F">
        <w:rPr>
          <w:rFonts w:ascii="Calibri" w:hAnsi="Calibri" w:cs="Calibri"/>
        </w:rPr>
        <w:t xml:space="preserve"> Anexo Normativo I à Resolução nº 175 (“Resolução”) dispõe sobre as regras específicas para os fundos de investimento financeiro – FIF,</w:t>
      </w:r>
      <w:r w:rsidRPr="0097459F" w:rsidDel="00850A6B">
        <w:rPr>
          <w:rFonts w:ascii="Calibri" w:hAnsi="Calibri" w:cs="Calibri"/>
        </w:rPr>
        <w:t xml:space="preserve"> </w:t>
      </w:r>
      <w:r w:rsidRPr="0097459F">
        <w:rPr>
          <w:rFonts w:ascii="Calibri" w:hAnsi="Calibri" w:cs="Calibri"/>
        </w:rPr>
        <w:t>que, em função da sua política de investimento, podem ser dos seguintes tipos:</w:t>
      </w:r>
    </w:p>
    <w:p w14:paraId="72E1E81D" w14:textId="77777777" w:rsidR="00C20BBD" w:rsidRPr="0097459F" w:rsidRDefault="00C20BBD" w:rsidP="00C20BBD">
      <w:pPr>
        <w:pStyle w:val="Normalalteradora"/>
        <w:rPr>
          <w:rFonts w:ascii="Calibri" w:hAnsi="Calibri" w:cs="Calibri"/>
        </w:rPr>
      </w:pPr>
      <w:r w:rsidRPr="0097459F">
        <w:rPr>
          <w:rFonts w:ascii="Calibri" w:hAnsi="Calibri" w:cs="Calibri"/>
        </w:rPr>
        <w:t>I – Fundos de Investimento em Ações;</w:t>
      </w:r>
    </w:p>
    <w:p w14:paraId="5F928C48" w14:textId="77777777" w:rsidR="00C20BBD" w:rsidRPr="0097459F" w:rsidRDefault="00C20BBD" w:rsidP="00C20BBD">
      <w:pPr>
        <w:pStyle w:val="Normalalteradora"/>
        <w:rPr>
          <w:rFonts w:ascii="Calibri" w:hAnsi="Calibri" w:cs="Calibri"/>
        </w:rPr>
      </w:pPr>
      <w:r w:rsidRPr="0097459F">
        <w:rPr>
          <w:rFonts w:ascii="Calibri" w:hAnsi="Calibri" w:cs="Calibri"/>
        </w:rPr>
        <w:t>II – Fundos de Investimento Cambial;</w:t>
      </w:r>
    </w:p>
    <w:p w14:paraId="141C87CA" w14:textId="77777777" w:rsidR="00C20BBD" w:rsidRPr="0097459F" w:rsidRDefault="00C20BBD" w:rsidP="00C20BBD">
      <w:pPr>
        <w:pStyle w:val="Normalalteradora"/>
        <w:rPr>
          <w:rFonts w:ascii="Calibri" w:hAnsi="Calibri" w:cs="Calibri"/>
        </w:rPr>
      </w:pPr>
      <w:r w:rsidRPr="0097459F">
        <w:rPr>
          <w:rFonts w:ascii="Calibri" w:hAnsi="Calibri" w:cs="Calibri"/>
        </w:rPr>
        <w:t>III – Fundos de Investimento Multimercado; e</w:t>
      </w:r>
    </w:p>
    <w:p w14:paraId="25921DDC" w14:textId="77777777" w:rsidR="00C20BBD" w:rsidRPr="0097459F" w:rsidRDefault="00C20BBD" w:rsidP="00C20BBD">
      <w:pPr>
        <w:pStyle w:val="Normalalteradora"/>
        <w:rPr>
          <w:rFonts w:ascii="Calibri" w:hAnsi="Calibri" w:cs="Calibri"/>
        </w:rPr>
      </w:pPr>
      <w:r w:rsidRPr="0097459F">
        <w:rPr>
          <w:rFonts w:ascii="Calibri" w:hAnsi="Calibri" w:cs="Calibri"/>
        </w:rPr>
        <w:t>IV – Fundos de Investimento em Renda Fixa.</w:t>
      </w:r>
    </w:p>
    <w:p w14:paraId="719053B7" w14:textId="77777777" w:rsidR="00C20BBD" w:rsidRPr="0097459F" w:rsidRDefault="00C20BBD" w:rsidP="00C20BBD">
      <w:pPr>
        <w:pStyle w:val="Captulo"/>
      </w:pPr>
      <w:bookmarkStart w:id="356" w:name="_Toc53594228"/>
      <w:bookmarkStart w:id="357" w:name="_Toc53594476"/>
      <w:bookmarkStart w:id="358" w:name="_Toc53595501"/>
      <w:bookmarkStart w:id="359" w:name="_Toc57836237"/>
      <w:bookmarkStart w:id="360" w:name="_Toc126226347"/>
      <w:r w:rsidRPr="0097459F">
        <w:t>CAPÍTULO II – DEFINIÇÕES</w:t>
      </w:r>
      <w:bookmarkEnd w:id="356"/>
      <w:bookmarkEnd w:id="357"/>
      <w:bookmarkEnd w:id="358"/>
      <w:bookmarkEnd w:id="359"/>
      <w:bookmarkEnd w:id="360"/>
    </w:p>
    <w:p w14:paraId="48E888AB" w14:textId="573303E4" w:rsidR="00C20BBD" w:rsidRPr="0097459F" w:rsidRDefault="00C20BBD" w:rsidP="00C20BBD">
      <w:pPr>
        <w:pStyle w:val="Normalalteradora"/>
        <w:rPr>
          <w:rFonts w:ascii="Calibri" w:hAnsi="Calibri" w:cs="Calibri"/>
        </w:rPr>
      </w:pPr>
      <w:r w:rsidRPr="0097459F">
        <w:rPr>
          <w:rFonts w:ascii="Calibri" w:hAnsi="Calibri" w:cs="Calibri"/>
        </w:rPr>
        <w:t>Art. 2º  Para os efeitos deste Anexo Normativo</w:t>
      </w:r>
      <w:r w:rsidR="00FB1127" w:rsidRPr="0097459F">
        <w:rPr>
          <w:rFonts w:ascii="Calibri" w:hAnsi="Calibri" w:cs="Calibri"/>
        </w:rPr>
        <w:t xml:space="preserve"> I</w:t>
      </w:r>
      <w:r w:rsidRPr="0097459F">
        <w:rPr>
          <w:rFonts w:ascii="Calibri" w:hAnsi="Calibri" w:cs="Calibri"/>
        </w:rPr>
        <w:t>, entende-se por:</w:t>
      </w:r>
    </w:p>
    <w:p w14:paraId="1BCFE542" w14:textId="77777777" w:rsidR="00C20BBD" w:rsidRPr="0097459F" w:rsidRDefault="00C20BBD" w:rsidP="00C20BBD">
      <w:pPr>
        <w:pStyle w:val="Normalalteradora"/>
        <w:rPr>
          <w:rFonts w:ascii="Calibri" w:hAnsi="Calibri" w:cs="Calibri"/>
        </w:rPr>
      </w:pPr>
      <w:r w:rsidRPr="0097459F">
        <w:rPr>
          <w:rFonts w:ascii="Calibri" w:hAnsi="Calibri" w:cs="Calibri"/>
        </w:rPr>
        <w:t>I – ativos financeiros, por natureza ou equiparação:</w:t>
      </w:r>
    </w:p>
    <w:p w14:paraId="119AE65A" w14:textId="77777777" w:rsidR="00C20BBD" w:rsidRPr="0097459F" w:rsidRDefault="00C20BBD" w:rsidP="00C20BBD">
      <w:pPr>
        <w:pStyle w:val="Normalalteradora"/>
        <w:rPr>
          <w:rFonts w:ascii="Calibri" w:hAnsi="Calibri" w:cs="Calibri"/>
        </w:rPr>
      </w:pPr>
      <w:r w:rsidRPr="0097459F">
        <w:rPr>
          <w:rFonts w:ascii="Calibri" w:hAnsi="Calibri" w:cs="Calibri"/>
        </w:rPr>
        <w:t>a) títulos públicos federais;</w:t>
      </w:r>
    </w:p>
    <w:p w14:paraId="7E83C835" w14:textId="77777777" w:rsidR="00C20BBD" w:rsidRPr="0097459F" w:rsidRDefault="00C20BBD" w:rsidP="00C20BBD">
      <w:pPr>
        <w:pStyle w:val="Normalalteradora"/>
        <w:rPr>
          <w:rFonts w:ascii="Calibri" w:hAnsi="Calibri" w:cs="Calibri"/>
        </w:rPr>
      </w:pPr>
      <w:r w:rsidRPr="0097459F">
        <w:rPr>
          <w:rFonts w:ascii="Calibri" w:hAnsi="Calibri" w:cs="Calibri"/>
        </w:rPr>
        <w:t>b) contratos derivativos;</w:t>
      </w:r>
    </w:p>
    <w:p w14:paraId="20A49E54" w14:textId="77777777" w:rsidR="00C20BBD" w:rsidRPr="0097459F" w:rsidRDefault="00C20BBD" w:rsidP="00C20BBD">
      <w:pPr>
        <w:pStyle w:val="Normalalteradora"/>
        <w:rPr>
          <w:rFonts w:ascii="Calibri" w:hAnsi="Calibri" w:cs="Calibri"/>
        </w:rPr>
      </w:pPr>
      <w:r w:rsidRPr="0097459F">
        <w:rPr>
          <w:rFonts w:ascii="Calibri" w:hAnsi="Calibri" w:cs="Calibri"/>
        </w:rPr>
        <w:t>c) créditos de descarbonização – CBIO e créditos de carbono, desde que registrados em sistema de registro e de liquidação financeira de ativos autorizado pela CVM ou pelo Banco Central do Brasil ou negociados em mercado administrado por entidade administradora de mercado organizado autorizado pela CVM;</w:t>
      </w:r>
    </w:p>
    <w:p w14:paraId="665AC6C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d) criptoativos, desde que negociados em entidades autorizadas pelo Banco Central do Brasil ou pela CVM, ou, em caso de operações no exterior, por supervisor local, </w:t>
      </w:r>
      <w:r w:rsidRPr="0097459F">
        <w:rPr>
          <w:rFonts w:cstheme="minorHAnsi"/>
        </w:rPr>
        <w:t>que possua competência legal para supervisionar e fiscalizar as operações realizadas, inclusive no que tange a coibir práticas abusivas no mercado, assim como a lavagem de dinheiro e financiamento ao terrorismo e proliferação de armas de destruição em massa</w:t>
      </w:r>
      <w:r w:rsidRPr="0097459F">
        <w:rPr>
          <w:rFonts w:ascii="Calibri" w:hAnsi="Calibri" w:cs="Calibri"/>
        </w:rPr>
        <w:t>;</w:t>
      </w:r>
    </w:p>
    <w:p w14:paraId="43884DA1" w14:textId="6372F893"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e) desde que o ativo tenha sido objeto de oferta pública registrada na CVM ou o registro da oferta tenha sido dispensado, ações, debêntures, notas comerciais, notas promissórias, títulos de securitização, bônus e recibos de subscrição, cupons, certificados de depósito de valores mobiliários, </w:t>
      </w:r>
      <w:r w:rsidRPr="0097459F">
        <w:rPr>
          <w:rFonts w:ascii="Calibri" w:hAnsi="Calibri" w:cs="Calibri"/>
          <w:b/>
        </w:rPr>
        <w:t xml:space="preserve">Brazilian </w:t>
      </w:r>
      <w:r w:rsidR="00F37213">
        <w:rPr>
          <w:rFonts w:ascii="Calibri" w:hAnsi="Calibri" w:cs="Calibri"/>
          <w:b/>
        </w:rPr>
        <w:t>D</w:t>
      </w:r>
      <w:r w:rsidRPr="0097459F">
        <w:rPr>
          <w:rFonts w:ascii="Calibri" w:hAnsi="Calibri" w:cs="Calibri"/>
          <w:b/>
        </w:rPr>
        <w:t xml:space="preserve">epositary </w:t>
      </w:r>
      <w:r w:rsidR="00F37213">
        <w:rPr>
          <w:rFonts w:ascii="Calibri" w:hAnsi="Calibri" w:cs="Calibri"/>
          <w:b/>
        </w:rPr>
        <w:t>R</w:t>
      </w:r>
      <w:r w:rsidRPr="0097459F">
        <w:rPr>
          <w:rFonts w:ascii="Calibri" w:hAnsi="Calibri" w:cs="Calibri"/>
          <w:b/>
        </w:rPr>
        <w:t>eceipts</w:t>
      </w:r>
      <w:r w:rsidRPr="0097459F">
        <w:rPr>
          <w:rFonts w:ascii="Calibri" w:hAnsi="Calibri" w:cs="Calibri"/>
        </w:rPr>
        <w:t xml:space="preserve"> – BDR, cotas de fundos de investimento e contratos de investimento coletivo;</w:t>
      </w:r>
    </w:p>
    <w:p w14:paraId="5F170010" w14:textId="77777777" w:rsidR="00C20BBD" w:rsidRPr="0097459F" w:rsidRDefault="00C20BBD" w:rsidP="00C20BBD">
      <w:pPr>
        <w:pStyle w:val="Normalalteradora"/>
        <w:rPr>
          <w:rFonts w:ascii="Calibri" w:hAnsi="Calibri" w:cs="Calibri"/>
        </w:rPr>
      </w:pPr>
      <w:r w:rsidRPr="0097459F">
        <w:rPr>
          <w:rFonts w:ascii="Calibri" w:hAnsi="Calibri" w:cs="Calibri"/>
        </w:rPr>
        <w:t>f) ouro, ativo financeiro, desde que negociado em padrão internacionalmente aceito;</w:t>
      </w:r>
    </w:p>
    <w:p w14:paraId="106A5935" w14:textId="77777777" w:rsidR="00C20BBD" w:rsidRPr="0097459F" w:rsidRDefault="00C20BBD" w:rsidP="00C20BBD">
      <w:pPr>
        <w:pStyle w:val="Normalalteradora"/>
        <w:rPr>
          <w:rFonts w:ascii="Calibri" w:hAnsi="Calibri" w:cs="Calibri"/>
        </w:rPr>
      </w:pPr>
      <w:r w:rsidRPr="0097459F">
        <w:rPr>
          <w:rFonts w:ascii="Calibri" w:hAnsi="Calibri" w:cs="Calibri"/>
        </w:rPr>
        <w:t>g) quaisquer títulos, contratos e modalidades operacionais de obrigação ou coobrigação de instituição financeira; e</w:t>
      </w:r>
    </w:p>
    <w:p w14:paraId="5AECEF3D" w14:textId="77777777" w:rsidR="00C20BBD" w:rsidRPr="0097459F" w:rsidRDefault="00C20BBD" w:rsidP="00C20BBD">
      <w:pPr>
        <w:pStyle w:val="Normalalteradora"/>
        <w:rPr>
          <w:rFonts w:ascii="Calibri" w:hAnsi="Calibri" w:cs="Calibri"/>
        </w:rPr>
      </w:pPr>
      <w:r w:rsidRPr="0097459F">
        <w:rPr>
          <w:rFonts w:ascii="Calibri" w:hAnsi="Calibri" w:cs="Calibri"/>
        </w:rPr>
        <w:t>h) warrants, contratos mercantis de compra e venda de produtos, mercadorias ou serviços para entrega ou prestação futura, títulos ou certificados representativos desses contratos e quaisquer outros créditos, títulos, contratos e modalidades operacionais, desde que expressamente previstos no regulamento;</w:t>
      </w:r>
    </w:p>
    <w:p w14:paraId="4EA2DEB6" w14:textId="77777777" w:rsidR="00C20BBD" w:rsidRPr="0097459F" w:rsidRDefault="00C20BBD" w:rsidP="00C20BBD">
      <w:pPr>
        <w:pStyle w:val="Normalalteradora"/>
        <w:rPr>
          <w:rFonts w:ascii="Calibri" w:hAnsi="Calibri" w:cs="Calibri"/>
        </w:rPr>
      </w:pPr>
      <w:r w:rsidRPr="0097459F">
        <w:rPr>
          <w:rFonts w:ascii="Calibri" w:hAnsi="Calibri" w:cs="Calibri"/>
        </w:rPr>
        <w:t>II – ativos financeiros no exterior: ativos financeiros negociados no exterior que tenham a mesma natureza econômica dos ativos financeiros no Brasil;</w:t>
      </w:r>
    </w:p>
    <w:p w14:paraId="5946C701" w14:textId="06CCBD09" w:rsidR="00C20BBD" w:rsidRPr="0097459F" w:rsidRDefault="00C20BBD" w:rsidP="00C20BBD">
      <w:pPr>
        <w:pStyle w:val="Normalalteradora"/>
        <w:rPr>
          <w:rFonts w:ascii="Calibri" w:hAnsi="Calibri" w:cs="Calibri"/>
        </w:rPr>
      </w:pPr>
      <w:r w:rsidRPr="0097459F">
        <w:rPr>
          <w:rFonts w:ascii="Calibri" w:hAnsi="Calibri" w:cs="Calibri"/>
        </w:rPr>
        <w:t>I</w:t>
      </w:r>
      <w:r w:rsidR="009B0AA9">
        <w:rPr>
          <w:rFonts w:ascii="Calibri" w:hAnsi="Calibri" w:cs="Calibri"/>
        </w:rPr>
        <w:t>II</w:t>
      </w:r>
      <w:r w:rsidRPr="0097459F">
        <w:rPr>
          <w:rFonts w:ascii="Calibri" w:hAnsi="Calibri" w:cs="Calibri"/>
        </w:rPr>
        <w:t xml:space="preserve"> – </w:t>
      </w:r>
      <w:r w:rsidRPr="0097459F">
        <w:rPr>
          <w:rFonts w:ascii="Calibri" w:hAnsi="Calibri" w:cs="Calibri"/>
          <w:b/>
          <w:bCs/>
        </w:rPr>
        <w:t xml:space="preserve">Brazilian </w:t>
      </w:r>
      <w:r w:rsidR="00F37213">
        <w:rPr>
          <w:rFonts w:ascii="Calibri" w:hAnsi="Calibri" w:cs="Calibri"/>
          <w:b/>
          <w:bCs/>
        </w:rPr>
        <w:t>D</w:t>
      </w:r>
      <w:r w:rsidRPr="0097459F">
        <w:rPr>
          <w:rFonts w:ascii="Calibri" w:hAnsi="Calibri" w:cs="Calibri"/>
          <w:b/>
          <w:bCs/>
        </w:rPr>
        <w:t xml:space="preserve">epositary </w:t>
      </w:r>
      <w:r w:rsidR="00F37213">
        <w:rPr>
          <w:rFonts w:ascii="Calibri" w:hAnsi="Calibri" w:cs="Calibri"/>
          <w:b/>
          <w:bCs/>
        </w:rPr>
        <w:t>R</w:t>
      </w:r>
      <w:r w:rsidRPr="0097459F">
        <w:rPr>
          <w:rFonts w:ascii="Calibri" w:hAnsi="Calibri" w:cs="Calibri"/>
          <w:b/>
          <w:bCs/>
        </w:rPr>
        <w:t>eceipts</w:t>
      </w:r>
      <w:r w:rsidRPr="0097459F">
        <w:rPr>
          <w:rFonts w:ascii="Calibri" w:hAnsi="Calibri" w:cs="Calibri"/>
        </w:rPr>
        <w:t xml:space="preserve"> – BDR: certificados de depósito de valores mobiliários emitidos por instituição depositária no Brasil e representativos de valores mobiliários de emissão de companhia aberta ou assemelhada cuja sede esteja localizada:</w:t>
      </w:r>
    </w:p>
    <w:p w14:paraId="0B4D57DE" w14:textId="77777777" w:rsidR="00C20BBD" w:rsidRPr="0097459F" w:rsidRDefault="00C20BBD" w:rsidP="00C20BBD">
      <w:pPr>
        <w:pStyle w:val="Normalalteradora"/>
        <w:rPr>
          <w:rFonts w:ascii="Calibri" w:hAnsi="Calibri" w:cs="Calibri"/>
        </w:rPr>
      </w:pPr>
      <w:r w:rsidRPr="0097459F">
        <w:rPr>
          <w:rFonts w:ascii="Calibri" w:hAnsi="Calibri" w:cs="Calibri"/>
        </w:rPr>
        <w:t>a) no exterior, no caso de certificados de depósito de ações negociadas no exterior (“BDR-Ações”); e</w:t>
      </w:r>
    </w:p>
    <w:p w14:paraId="3130A5B5" w14:textId="77777777" w:rsidR="00C20BBD" w:rsidRPr="0097459F" w:rsidRDefault="00C20BBD" w:rsidP="00C20BBD">
      <w:pPr>
        <w:pStyle w:val="Normalalteradora"/>
        <w:rPr>
          <w:rFonts w:ascii="Calibri" w:hAnsi="Calibri" w:cs="Calibri"/>
        </w:rPr>
      </w:pPr>
      <w:r w:rsidRPr="0097459F">
        <w:rPr>
          <w:rFonts w:ascii="Calibri" w:hAnsi="Calibri" w:cs="Calibri"/>
        </w:rPr>
        <w:t>b) no País ou no exterior, no caso de certificados de depósito de valores mobiliários representativos de títulos de dívida (“BDR-Dívida Corporativa”);</w:t>
      </w:r>
      <w:r w:rsidRPr="0097459F" w:rsidDel="00BC2935">
        <w:rPr>
          <w:rFonts w:ascii="Calibri" w:hAnsi="Calibri" w:cs="Calibri"/>
        </w:rPr>
        <w:t xml:space="preserve"> </w:t>
      </w:r>
    </w:p>
    <w:p w14:paraId="1F000895" w14:textId="26ACC832" w:rsidR="009B0AA9" w:rsidRPr="0097459F" w:rsidRDefault="009B0AA9" w:rsidP="009B0AA9">
      <w:pPr>
        <w:pStyle w:val="Normalalteradora"/>
        <w:rPr>
          <w:rFonts w:ascii="Calibri" w:hAnsi="Calibri" w:cs="Calibri"/>
        </w:rPr>
      </w:pPr>
      <w:r>
        <w:rPr>
          <w:rFonts w:ascii="Calibri" w:hAnsi="Calibri" w:cs="Calibri"/>
        </w:rPr>
        <w:t>IV</w:t>
      </w:r>
      <w:r w:rsidRPr="0097459F">
        <w:rPr>
          <w:rFonts w:ascii="Calibri" w:hAnsi="Calibri" w:cs="Calibri"/>
        </w:rPr>
        <w:t xml:space="preserve"> – BDR-ETF: certificado representativo de ETF-Internacional, emitido por instituição depositária no Brasil;</w:t>
      </w:r>
    </w:p>
    <w:p w14:paraId="0AAD45E3" w14:textId="77777777" w:rsidR="00C20BBD" w:rsidRPr="0097459F" w:rsidRDefault="00C20BBD" w:rsidP="00C20BBD">
      <w:pPr>
        <w:pStyle w:val="Normalalteradora"/>
        <w:rPr>
          <w:rFonts w:ascii="Calibri" w:hAnsi="Calibri" w:cs="Calibri"/>
        </w:rPr>
      </w:pPr>
      <w:r w:rsidRPr="0097459F">
        <w:rPr>
          <w:rFonts w:ascii="Calibri" w:hAnsi="Calibri" w:cs="Calibri"/>
        </w:rPr>
        <w:t>V – carteira (de ativos): conjunto de ativos financeiros e disponibilidades da classe de cotas;</w:t>
      </w:r>
    </w:p>
    <w:p w14:paraId="345ECD83" w14:textId="77777777" w:rsidR="00C20BBD" w:rsidRPr="0097459F" w:rsidRDefault="00C20BBD" w:rsidP="00C20BBD">
      <w:pPr>
        <w:pStyle w:val="Normalalteradora"/>
        <w:rPr>
          <w:rFonts w:ascii="Calibri" w:hAnsi="Calibri" w:cs="Calibri"/>
        </w:rPr>
      </w:pPr>
      <w:bookmarkStart w:id="361" w:name="_Hlk51661554"/>
      <w:r w:rsidRPr="0097459F">
        <w:rPr>
          <w:rFonts w:ascii="Calibri" w:hAnsi="Calibri" w:cs="Calibri"/>
        </w:rPr>
        <w:t>VI – classe de investimento em cotas: classe de cotas que deve aplicar no mínimo 95% (noventa e cinco por cento) do patrimônio líquido em cotas de outras classes;</w:t>
      </w:r>
    </w:p>
    <w:p w14:paraId="33FEEF56" w14:textId="41B12067" w:rsidR="0058706A" w:rsidRDefault="00C20BBD" w:rsidP="00C20BBD">
      <w:pPr>
        <w:pStyle w:val="Normalalteradora"/>
        <w:rPr>
          <w:rFonts w:ascii="Calibri" w:hAnsi="Calibri" w:cs="Calibri"/>
        </w:rPr>
      </w:pPr>
      <w:r w:rsidRPr="0097459F">
        <w:rPr>
          <w:rFonts w:ascii="Calibri" w:hAnsi="Calibri" w:cs="Calibri"/>
        </w:rPr>
        <w:t>VII – cota base:</w:t>
      </w:r>
    </w:p>
    <w:p w14:paraId="4334EFA0" w14:textId="77777777" w:rsidR="00C20BBD" w:rsidRPr="0058706A" w:rsidRDefault="00C20BBD" w:rsidP="0058706A">
      <w:pPr>
        <w:jc w:val="right"/>
        <w:rPr>
          <w:lang w:eastAsia="pt-BR"/>
        </w:rPr>
      </w:pPr>
    </w:p>
    <w:p w14:paraId="56307A6D"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 no caso de cobrança de taxa de performance pelo método do ativo, o valor da cota logo após a última cobrança efetuada; ou</w:t>
      </w:r>
    </w:p>
    <w:p w14:paraId="1CD58CAE" w14:textId="77777777" w:rsidR="00C20BBD" w:rsidRPr="0097459F" w:rsidRDefault="00C20BBD" w:rsidP="00C20BBD">
      <w:pPr>
        <w:pStyle w:val="Normalalteradora"/>
        <w:rPr>
          <w:rFonts w:ascii="Calibri" w:hAnsi="Calibri" w:cs="Calibri"/>
        </w:rPr>
      </w:pPr>
      <w:r w:rsidRPr="0097459F">
        <w:rPr>
          <w:rFonts w:ascii="Calibri" w:hAnsi="Calibri" w:cs="Calibri"/>
        </w:rPr>
        <w:t>b) no caso de cobrança de performance pelo método do passivo ou do ajuste, o valor da cota de cada aplicação dos cotistas ou o valor da cota logo após a última cobrança de taxa de performance efetuada em relação a cada aplicação dos cotistas, conforme o caso;</w:t>
      </w:r>
    </w:p>
    <w:p w14:paraId="4782A3F6" w14:textId="77777777" w:rsidR="00C20BBD" w:rsidRPr="0097459F" w:rsidRDefault="00C20BBD" w:rsidP="00C20BBD">
      <w:pPr>
        <w:pStyle w:val="Normalalteradora"/>
        <w:rPr>
          <w:rFonts w:ascii="Calibri" w:hAnsi="Calibri" w:cs="Calibri"/>
        </w:rPr>
      </w:pPr>
      <w:r w:rsidRPr="0097459F">
        <w:rPr>
          <w:rFonts w:ascii="Calibri" w:hAnsi="Calibri" w:cs="Calibri"/>
        </w:rPr>
        <w:t>VIII – créditos de carbono: títulos representativos de direitos de emissão de gases de efeito-estufa, originados pela redução da emissão de dióxido de carbono ou remoção de dióxido de carbono da atmosfera, emitidos por autorização de autoridade governamental no Brasil ou em jurisdição estrangeira;</w:t>
      </w:r>
    </w:p>
    <w:p w14:paraId="79D8E968" w14:textId="77777777" w:rsidR="00C20BBD" w:rsidRPr="0097459F" w:rsidRDefault="00C20BBD" w:rsidP="00C20BBD">
      <w:pPr>
        <w:pStyle w:val="Normalalteradora"/>
        <w:rPr>
          <w:rFonts w:ascii="Calibri" w:hAnsi="Calibri" w:cs="Calibri"/>
        </w:rPr>
      </w:pPr>
      <w:r w:rsidRPr="0097459F">
        <w:rPr>
          <w:rFonts w:ascii="Calibri" w:hAnsi="Calibri" w:cs="Calibri"/>
        </w:rPr>
        <w:t>IX – créditos de descarbonização – CBIO: instrumento definido no art. 5º, inciso V, da Lei nº 13.576, de 26 de dezembro de 2017;</w:t>
      </w:r>
    </w:p>
    <w:p w14:paraId="117F4135" w14:textId="77777777" w:rsidR="00C20BBD" w:rsidRPr="0097459F" w:rsidRDefault="00C20BBD" w:rsidP="00C20BBD">
      <w:pPr>
        <w:pStyle w:val="Normalalteradora"/>
        <w:rPr>
          <w:rFonts w:ascii="Calibri" w:hAnsi="Calibri" w:cs="Calibri"/>
          <w:color w:val="000000" w:themeColor="text1"/>
        </w:rPr>
      </w:pPr>
      <w:r w:rsidRPr="0097459F">
        <w:rPr>
          <w:rFonts w:ascii="Calibri" w:hAnsi="Calibri" w:cs="Calibri"/>
        </w:rPr>
        <w:t>X – criptoativo: ativo representado digitalmente, devendo possuir no mínimo as seguintes características:</w:t>
      </w:r>
    </w:p>
    <w:p w14:paraId="59F53CA2" w14:textId="77777777" w:rsidR="00C20BBD" w:rsidRPr="0097459F" w:rsidRDefault="00C20BBD" w:rsidP="00C20BBD">
      <w:pPr>
        <w:pStyle w:val="Normalalteradora"/>
        <w:rPr>
          <w:rFonts w:ascii="Calibri" w:hAnsi="Calibri" w:cs="Calibri"/>
        </w:rPr>
      </w:pPr>
      <w:r w:rsidRPr="0097459F">
        <w:rPr>
          <w:rFonts w:ascii="Calibri" w:hAnsi="Calibri" w:cs="Calibri"/>
        </w:rPr>
        <w:t>a) sua existência, integridade e titularidade são protegidas por criptografia; e</w:t>
      </w:r>
    </w:p>
    <w:p w14:paraId="3023FD67" w14:textId="77777777" w:rsidR="00C20BBD" w:rsidRPr="0097459F" w:rsidRDefault="00C20BBD" w:rsidP="00C20BBD">
      <w:pPr>
        <w:pStyle w:val="Normalalteradora"/>
        <w:rPr>
          <w:rFonts w:ascii="Calibri" w:hAnsi="Calibri" w:cs="Calibri"/>
        </w:rPr>
      </w:pPr>
      <w:r w:rsidRPr="0097459F">
        <w:rPr>
          <w:rFonts w:ascii="Calibri" w:hAnsi="Calibri" w:cs="Calibri"/>
        </w:rPr>
        <w:t>b) suas transações são executadas e armazenadas utilizando tecnologia de registro distribuído;</w:t>
      </w:r>
    </w:p>
    <w:p w14:paraId="6FBD1721" w14:textId="02E44BD4" w:rsidR="00C20BBD" w:rsidRPr="0097459F" w:rsidRDefault="00C20BBD" w:rsidP="00C20BBD">
      <w:pPr>
        <w:pStyle w:val="Normalalteradora"/>
        <w:rPr>
          <w:rFonts w:ascii="Calibri" w:hAnsi="Calibri" w:cs="Calibri"/>
        </w:rPr>
      </w:pPr>
      <w:r w:rsidRPr="0097459F">
        <w:rPr>
          <w:rFonts w:ascii="Calibri" w:hAnsi="Calibri" w:cs="Calibri"/>
        </w:rPr>
        <w:t xml:space="preserve">XI – demonstração de desempenho: relatório padronizado cujo modelo constitui o Suplemento </w:t>
      </w:r>
      <w:r w:rsidR="009E34FD" w:rsidRPr="0097459F">
        <w:rPr>
          <w:rFonts w:ascii="Calibri" w:hAnsi="Calibri" w:cs="Calibri"/>
        </w:rPr>
        <w:t>C</w:t>
      </w:r>
      <w:r w:rsidRPr="0097459F">
        <w:rPr>
          <w:rFonts w:ascii="Calibri" w:hAnsi="Calibri" w:cs="Calibri"/>
        </w:rPr>
        <w:t xml:space="preserve"> da Resolução;</w:t>
      </w:r>
    </w:p>
    <w:p w14:paraId="442D4E77" w14:textId="77777777" w:rsidR="00C20BBD" w:rsidRPr="0097459F" w:rsidRDefault="00C20BBD" w:rsidP="00C20BBD">
      <w:pPr>
        <w:pStyle w:val="Normalalteradora"/>
        <w:rPr>
          <w:rFonts w:ascii="Calibri" w:hAnsi="Calibri" w:cs="Calibri"/>
        </w:rPr>
      </w:pPr>
      <w:r w:rsidRPr="0097459F">
        <w:rPr>
          <w:rFonts w:ascii="Calibri" w:hAnsi="Calibri" w:cs="Calibri"/>
        </w:rPr>
        <w:t>XII – ETF: fundo de investimento em índice de mercado admitido à negociação em mercado organizado de valores mobiliários;</w:t>
      </w:r>
    </w:p>
    <w:p w14:paraId="19280047" w14:textId="77777777" w:rsidR="00C20BBD" w:rsidRPr="0097459F" w:rsidRDefault="00C20BBD" w:rsidP="00C20BBD">
      <w:pPr>
        <w:pStyle w:val="Normalalteradora"/>
        <w:rPr>
          <w:rFonts w:ascii="Calibri" w:hAnsi="Calibri" w:cs="Calibri"/>
        </w:rPr>
      </w:pPr>
      <w:r w:rsidRPr="0097459F">
        <w:rPr>
          <w:rFonts w:ascii="Calibri" w:hAnsi="Calibri" w:cs="Calibri"/>
        </w:rPr>
        <w:t>XIII – ETF- Internacional: fundo de investimento em índice de mercado admitido à negociação em mercado organizado de valores mobiliários no exterior;</w:t>
      </w:r>
    </w:p>
    <w:p w14:paraId="2E9F5D7D" w14:textId="3F700EB3" w:rsidR="00C20BBD" w:rsidRPr="0097459F" w:rsidRDefault="00C20BBD" w:rsidP="00C20BBD">
      <w:pPr>
        <w:pStyle w:val="Normalalteradora"/>
        <w:rPr>
          <w:rFonts w:ascii="Calibri" w:hAnsi="Calibri" w:cs="Calibri"/>
        </w:rPr>
      </w:pPr>
      <w:r w:rsidRPr="0097459F">
        <w:rPr>
          <w:rFonts w:ascii="Calibri" w:hAnsi="Calibri" w:cs="Calibri"/>
        </w:rPr>
        <w:t xml:space="preserve">XIV – lâmina (de informações básicas): documento cujo modelo constitui o Suplemento </w:t>
      </w:r>
      <w:r w:rsidR="005B49E0" w:rsidRPr="0097459F">
        <w:rPr>
          <w:rFonts w:ascii="Calibri" w:hAnsi="Calibri" w:cs="Calibri"/>
        </w:rPr>
        <w:t>B</w:t>
      </w:r>
      <w:r w:rsidRPr="0097459F">
        <w:rPr>
          <w:rFonts w:ascii="Calibri" w:hAnsi="Calibri" w:cs="Calibri"/>
        </w:rPr>
        <w:t xml:space="preserve"> da Resolução;</w:t>
      </w:r>
    </w:p>
    <w:p w14:paraId="32D25901" w14:textId="3CEADFD3" w:rsidR="00C20BBD" w:rsidRPr="0097459F" w:rsidRDefault="00C20BBD" w:rsidP="00C20BBD">
      <w:pPr>
        <w:pStyle w:val="Normalalteradora"/>
        <w:rPr>
          <w:rFonts w:ascii="Calibri" w:hAnsi="Calibri" w:cs="Calibri"/>
        </w:rPr>
      </w:pPr>
      <w:r w:rsidRPr="0097459F">
        <w:rPr>
          <w:rFonts w:ascii="Calibri" w:hAnsi="Calibri" w:cs="Calibri"/>
        </w:rPr>
        <w:t xml:space="preserve">XV – perfil mensal: formulário de periodicidade mensal cujo modelo constitui o Suplemento </w:t>
      </w:r>
      <w:r w:rsidR="00F96B73" w:rsidRPr="0097459F">
        <w:rPr>
          <w:rFonts w:ascii="Calibri" w:hAnsi="Calibri" w:cs="Calibri"/>
        </w:rPr>
        <w:t>D</w:t>
      </w:r>
      <w:r w:rsidRPr="0097459F">
        <w:rPr>
          <w:rFonts w:ascii="Calibri" w:hAnsi="Calibri" w:cs="Calibri"/>
        </w:rPr>
        <w:t xml:space="preserve"> da Resolução;</w:t>
      </w:r>
    </w:p>
    <w:p w14:paraId="4AAD57F9" w14:textId="77777777" w:rsidR="00C20BBD" w:rsidRPr="0097459F" w:rsidRDefault="00C20BBD" w:rsidP="00C20BBD">
      <w:pPr>
        <w:pStyle w:val="Normalalteradora"/>
        <w:rPr>
          <w:rFonts w:ascii="Calibri" w:hAnsi="Calibri" w:cs="Calibri"/>
        </w:rPr>
      </w:pPr>
      <w:r w:rsidRPr="0097459F">
        <w:rPr>
          <w:rFonts w:ascii="Calibri" w:hAnsi="Calibri" w:cs="Calibri"/>
        </w:rPr>
        <w:t>XVI – supervisor local</w:t>
      </w:r>
      <w:r w:rsidRPr="0097459F">
        <w:rPr>
          <w:rFonts w:ascii="Calibri" w:hAnsi="Calibri" w:cs="Calibri"/>
          <w:color w:val="000000" w:themeColor="text1"/>
        </w:rPr>
        <w:t xml:space="preserve">: autoridade estrangeira com a qual a CVM tenha celebrado acordo de cooperação mútua que permita o fornecimento de informações sobre operações cursadas nos mercados </w:t>
      </w:r>
      <w:r w:rsidRPr="0097459F">
        <w:rPr>
          <w:rFonts w:ascii="Calibri" w:hAnsi="Calibri" w:cs="Calibri"/>
          <w:color w:val="000000" w:themeColor="text1"/>
        </w:rPr>
        <w:lastRenderedPageBreak/>
        <w:t>por ela supervisionados, ou que seja signatária do memorando multilateral de entendimentos da Organização Internacional das Comissões de Valores – OICV/IOSCO;</w:t>
      </w:r>
      <w:r w:rsidRPr="0097459F">
        <w:rPr>
          <w:rFonts w:ascii="Calibri" w:hAnsi="Calibri" w:cs="Calibri"/>
        </w:rPr>
        <w:t xml:space="preserve"> </w:t>
      </w:r>
    </w:p>
    <w:p w14:paraId="7714D8C6" w14:textId="77777777" w:rsidR="00C20BBD" w:rsidRPr="0097459F" w:rsidRDefault="00C20BBD" w:rsidP="00C20BBD">
      <w:pPr>
        <w:pStyle w:val="Normalalteradora"/>
        <w:rPr>
          <w:rFonts w:ascii="Calibri" w:hAnsi="Calibri" w:cs="Calibri"/>
        </w:rPr>
      </w:pPr>
      <w:r w:rsidRPr="0097459F">
        <w:rPr>
          <w:rFonts w:ascii="Calibri" w:hAnsi="Calibri" w:cs="Calibri"/>
        </w:rPr>
        <w:t>XVII – taxa de performance: taxa cobrada do fundo em função do resultado da classe ou do cotista;</w:t>
      </w:r>
    </w:p>
    <w:p w14:paraId="75CD24A7" w14:textId="77777777" w:rsidR="00C20BBD" w:rsidRPr="0097459F" w:rsidRDefault="00C20BBD" w:rsidP="00C20BBD">
      <w:pPr>
        <w:pStyle w:val="Normalalteradora"/>
        <w:rPr>
          <w:rFonts w:ascii="Calibri" w:hAnsi="Calibri" w:cs="Calibri"/>
        </w:rPr>
      </w:pPr>
      <w:r w:rsidRPr="0097459F">
        <w:rPr>
          <w:rFonts w:ascii="Calibri" w:hAnsi="Calibri" w:cs="Calibri"/>
        </w:rPr>
        <w:t>XVIII – termo de adesão (e ciência de risco): documento referido no art. 29 da parte geral da Resolução;</w:t>
      </w:r>
    </w:p>
    <w:bookmarkEnd w:id="361"/>
    <w:p w14:paraId="5A041D44" w14:textId="77777777" w:rsidR="00C20BBD" w:rsidRPr="0097459F" w:rsidRDefault="00C20BBD" w:rsidP="00C20BBD">
      <w:pPr>
        <w:pStyle w:val="Normalalteradora"/>
        <w:rPr>
          <w:rFonts w:ascii="Calibri" w:hAnsi="Calibri" w:cs="Calibri"/>
        </w:rPr>
      </w:pPr>
      <w:r w:rsidRPr="0097459F">
        <w:rPr>
          <w:rFonts w:ascii="Calibri" w:hAnsi="Calibri" w:cs="Calibri"/>
        </w:rPr>
        <w:t>XIX – título de securitização: ativo definido na regulamentação que dispõe sobre as companhias securitizadoras de direitos creditórios registradas na CVM; e</w:t>
      </w:r>
    </w:p>
    <w:p w14:paraId="6AE3AA9E" w14:textId="77777777" w:rsidR="00C20BBD" w:rsidRPr="0097459F" w:rsidRDefault="00C20BBD" w:rsidP="00C20BBD">
      <w:pPr>
        <w:pStyle w:val="Normalalteradora"/>
        <w:rPr>
          <w:rFonts w:ascii="Calibri" w:hAnsi="Calibri" w:cs="Calibri"/>
        </w:rPr>
      </w:pPr>
      <w:r w:rsidRPr="0097459F">
        <w:rPr>
          <w:rFonts w:ascii="Calibri" w:hAnsi="Calibri" w:cs="Calibri"/>
        </w:rPr>
        <w:t>XX – veículo de investimento: entidade, dotada ou não de personalidade jurídica, constituída com o objetivo de investir recursos obtidos junto a um ou mais investidores.</w:t>
      </w:r>
    </w:p>
    <w:p w14:paraId="3B156556" w14:textId="77777777" w:rsidR="00C20BBD" w:rsidRPr="0097459F" w:rsidRDefault="00C20BBD" w:rsidP="00C20BBD">
      <w:pPr>
        <w:spacing w:before="120" w:line="312" w:lineRule="auto"/>
        <w:ind w:firstLine="567"/>
        <w:jc w:val="both"/>
        <w:rPr>
          <w:rFonts w:ascii="Calibri" w:eastAsia="Times New Roman" w:hAnsi="Calibri" w:cs="Calibri"/>
          <w:sz w:val="24"/>
          <w:szCs w:val="24"/>
          <w:lang w:eastAsia="pt-BR"/>
        </w:rPr>
      </w:pPr>
      <w:r w:rsidRPr="0097459F">
        <w:rPr>
          <w:rFonts w:ascii="Calibri" w:hAnsi="Calibri" w:cs="Calibri"/>
          <w:sz w:val="24"/>
          <w:szCs w:val="24"/>
        </w:rPr>
        <w:t xml:space="preserve">§ 1º  </w:t>
      </w:r>
      <w:r w:rsidRPr="0097459F">
        <w:rPr>
          <w:rFonts w:ascii="Calibri" w:eastAsia="Times New Roman" w:hAnsi="Calibri" w:cs="Calibri"/>
          <w:sz w:val="24"/>
          <w:szCs w:val="24"/>
          <w:lang w:eastAsia="pt-BR"/>
        </w:rPr>
        <w:t>Entende-se por principal fator de risco de uma classe de cotas o índice de preços, a taxa de juros, o índice de ações ou o ativo cuja variação de preço produza, potencialmente, maiores efeitos sobre o valor de mercado da carteira de ativos.</w:t>
      </w:r>
    </w:p>
    <w:p w14:paraId="3EDD6A7C" w14:textId="5242B614" w:rsidR="00C20BBD" w:rsidRPr="0097459F" w:rsidRDefault="00C20BBD" w:rsidP="00C20BBD">
      <w:pPr>
        <w:spacing w:before="120" w:line="312" w:lineRule="auto"/>
        <w:ind w:firstLine="567"/>
        <w:jc w:val="both"/>
        <w:rPr>
          <w:rFonts w:ascii="Calibri" w:eastAsia="Times New Roman" w:hAnsi="Calibri" w:cs="Calibri"/>
          <w:sz w:val="24"/>
          <w:szCs w:val="24"/>
          <w:lang w:eastAsia="pt-BR"/>
        </w:rPr>
      </w:pPr>
      <w:r w:rsidRPr="0097459F">
        <w:rPr>
          <w:rFonts w:ascii="Calibri" w:eastAsia="Times New Roman" w:hAnsi="Calibri" w:cs="Calibri"/>
          <w:sz w:val="24"/>
          <w:szCs w:val="24"/>
          <w:lang w:eastAsia="pt-BR"/>
        </w:rPr>
        <w:t xml:space="preserve">§ 2º  O criptoativo que seja a representação digital ou cuja natureza ou características o enquadre na definição de outro ativo financeiro, conforme definidos no inciso I do </w:t>
      </w:r>
      <w:r w:rsidRPr="0097459F">
        <w:rPr>
          <w:rFonts w:ascii="Calibri" w:eastAsia="Times New Roman" w:hAnsi="Calibri" w:cs="Calibri"/>
          <w:b/>
          <w:bCs/>
          <w:sz w:val="24"/>
          <w:szCs w:val="24"/>
          <w:lang w:eastAsia="pt-BR"/>
        </w:rPr>
        <w:t>caput</w:t>
      </w:r>
      <w:r w:rsidRPr="0097459F">
        <w:rPr>
          <w:rFonts w:ascii="Calibri" w:eastAsia="Times New Roman" w:hAnsi="Calibri" w:cs="Calibri"/>
          <w:sz w:val="24"/>
          <w:szCs w:val="24"/>
          <w:lang w:eastAsia="pt-BR"/>
        </w:rPr>
        <w:t>, deve ser considerado tal como esse outro ativo financeiro para os fins deste Anexo Normativo I, inclusive aqueles relacionados aos limites de concentração e de exposição a risco de capital da carteira de ativos, conforme dispostos neste Anexo Normativo</w:t>
      </w:r>
      <w:r w:rsidR="00FB1127" w:rsidRPr="0097459F">
        <w:rPr>
          <w:rFonts w:ascii="Calibri" w:eastAsia="Times New Roman" w:hAnsi="Calibri" w:cs="Calibri"/>
          <w:sz w:val="24"/>
          <w:szCs w:val="24"/>
          <w:lang w:eastAsia="pt-BR"/>
        </w:rPr>
        <w:t xml:space="preserve"> I</w:t>
      </w:r>
      <w:r w:rsidRPr="0097459F">
        <w:rPr>
          <w:rFonts w:ascii="Calibri" w:eastAsia="Times New Roman" w:hAnsi="Calibri" w:cs="Calibri"/>
          <w:sz w:val="24"/>
          <w:szCs w:val="24"/>
          <w:lang w:eastAsia="pt-BR"/>
        </w:rPr>
        <w:t>.</w:t>
      </w:r>
    </w:p>
    <w:p w14:paraId="4F4AF382" w14:textId="77777777" w:rsidR="00C20BBD" w:rsidRPr="0097459F" w:rsidRDefault="00C20BBD" w:rsidP="00C20BBD">
      <w:pPr>
        <w:pStyle w:val="Captulo"/>
      </w:pPr>
      <w:bookmarkStart w:id="362" w:name="_Toc53594229"/>
      <w:bookmarkStart w:id="363" w:name="_Toc53594477"/>
      <w:bookmarkStart w:id="364" w:name="_Toc53595502"/>
      <w:bookmarkStart w:id="365" w:name="_Toc57836238"/>
      <w:bookmarkStart w:id="366" w:name="_Toc126226348"/>
      <w:r w:rsidRPr="0097459F">
        <w:t>CAPÍTULO III – CARACTERÍSTICAS E CONSTITUIÇÃO</w:t>
      </w:r>
      <w:bookmarkEnd w:id="362"/>
      <w:bookmarkEnd w:id="363"/>
      <w:bookmarkEnd w:id="364"/>
      <w:bookmarkEnd w:id="365"/>
      <w:bookmarkEnd w:id="366"/>
    </w:p>
    <w:p w14:paraId="096CA19D" w14:textId="63B79ADA" w:rsidR="00C20BBD" w:rsidRPr="0097459F" w:rsidRDefault="00C20BBD" w:rsidP="00C20BBD">
      <w:pPr>
        <w:pStyle w:val="Normalalteradora"/>
        <w:rPr>
          <w:rFonts w:ascii="Calibri" w:hAnsi="Calibri" w:cs="Calibri"/>
        </w:rPr>
      </w:pPr>
      <w:r w:rsidRPr="0097459F">
        <w:rPr>
          <w:rFonts w:ascii="Calibri" w:hAnsi="Calibri" w:cs="Calibri"/>
        </w:rPr>
        <w:t xml:space="preserve">Art. 3º  Da denominação do fundo e de suas classes de cotas, caso existentes, deve constar a expressão "Fundo de Investimento", acrescida da referência ao seu tipo, que deve observar o estabelecido na Seção VII do Capítulo VIII deste </w:t>
      </w:r>
      <w:r w:rsidRPr="0097459F">
        <w:rPr>
          <w:rFonts w:ascii="Calibri" w:hAnsi="Calibri" w:cs="Calibri"/>
          <w:color w:val="000000" w:themeColor="text1"/>
        </w:rPr>
        <w:t>Anexo Normativo</w:t>
      </w:r>
      <w:r w:rsidR="00FB1127" w:rsidRPr="0097459F">
        <w:rPr>
          <w:rFonts w:ascii="Calibri" w:hAnsi="Calibri" w:cs="Calibri"/>
          <w:color w:val="000000" w:themeColor="text1"/>
        </w:rPr>
        <w:t xml:space="preserve"> I</w:t>
      </w:r>
      <w:r w:rsidRPr="0097459F">
        <w:rPr>
          <w:rFonts w:ascii="Calibri" w:hAnsi="Calibri" w:cs="Calibri"/>
        </w:rPr>
        <w:t>.</w:t>
      </w:r>
    </w:p>
    <w:p w14:paraId="2780C048" w14:textId="77777777" w:rsidR="00C20BBD" w:rsidRPr="0097459F" w:rsidRDefault="00C20BBD" w:rsidP="00C20BBD">
      <w:pPr>
        <w:pStyle w:val="Normalalteradora"/>
        <w:rPr>
          <w:rFonts w:ascii="Calibri" w:hAnsi="Calibri" w:cs="Calibri"/>
        </w:rPr>
      </w:pPr>
      <w:r w:rsidRPr="0097459F">
        <w:rPr>
          <w:rFonts w:ascii="Calibri" w:hAnsi="Calibri" w:cs="Calibri"/>
        </w:rPr>
        <w:t>§ 1º  Caso o fundo possua somente classes de investimento em cotas, sua denominação pode utilizar a expressão “Fundo de Investimento em Cotas”.</w:t>
      </w:r>
    </w:p>
    <w:p w14:paraId="115D3F22" w14:textId="77777777" w:rsidR="00C20BBD" w:rsidRPr="0097459F" w:rsidRDefault="00C20BBD" w:rsidP="00C20BBD">
      <w:pPr>
        <w:pStyle w:val="Normalalteradora"/>
        <w:rPr>
          <w:rFonts w:ascii="Calibri" w:hAnsi="Calibri" w:cs="Calibri"/>
        </w:rPr>
      </w:pPr>
      <w:r w:rsidRPr="0097459F">
        <w:rPr>
          <w:rFonts w:ascii="Calibri" w:hAnsi="Calibri" w:cs="Calibri"/>
        </w:rPr>
        <w:t>§</w:t>
      </w:r>
      <w:r w:rsidRPr="0097459F" w:rsidDel="00691ACB">
        <w:rPr>
          <w:rFonts w:ascii="Calibri" w:hAnsi="Calibri" w:cs="Calibri"/>
        </w:rPr>
        <w:t xml:space="preserve"> </w:t>
      </w:r>
      <w:r w:rsidRPr="0097459F">
        <w:rPr>
          <w:rFonts w:ascii="Calibri" w:hAnsi="Calibri" w:cs="Calibri"/>
        </w:rPr>
        <w:t>2º  Deve constar da denominação da classe de investimento em cotas a expressão “Classe de Investimento em Cotas”.</w:t>
      </w:r>
    </w:p>
    <w:p w14:paraId="414BBEF0" w14:textId="77777777" w:rsidR="00C20BBD" w:rsidRPr="0097459F" w:rsidRDefault="00C20BBD" w:rsidP="00C20BBD">
      <w:pPr>
        <w:pStyle w:val="Normalalteradora"/>
        <w:rPr>
          <w:rFonts w:ascii="Calibri" w:hAnsi="Calibri" w:cs="Calibri"/>
        </w:rPr>
      </w:pPr>
      <w:r w:rsidRPr="0097459F">
        <w:rPr>
          <w:rFonts w:ascii="Calibri" w:hAnsi="Calibri" w:cs="Calibri"/>
        </w:rPr>
        <w:t>§ 3º  A classe que dispuser, em seu regulamento, que tem o compromisso de obter o tratamento fiscal destinado a fundos de longo prazo previsto na regulamentação fiscal vigente, está obrigada a:</w:t>
      </w:r>
    </w:p>
    <w:p w14:paraId="11E8D0E3"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 – incluir a expressão “Longo Prazo” em sua denominação; e</w:t>
      </w:r>
    </w:p>
    <w:p w14:paraId="2BA243D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atender às condições previstas na referida regulamentação, de forma a obter o referido tratamento fiscal. </w:t>
      </w:r>
    </w:p>
    <w:p w14:paraId="0B10A15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4º  </w:t>
      </w:r>
      <w:bookmarkStart w:id="367" w:name="_Hlk51926480"/>
      <w:r w:rsidRPr="0097459F">
        <w:rPr>
          <w:rFonts w:ascii="Calibri" w:hAnsi="Calibri" w:cs="Calibri"/>
        </w:rPr>
        <w:t xml:space="preserve">Admite-se a utilização cumulativa dos sufixos e expressões descritos na parte geral da Resolução e neste Anexo Normativo I, sempre em conjunto com a designação </w:t>
      </w:r>
      <w:bookmarkEnd w:id="367"/>
      <w:r w:rsidRPr="0097459F">
        <w:rPr>
          <w:rFonts w:ascii="Calibri" w:hAnsi="Calibri" w:cs="Calibri"/>
        </w:rPr>
        <w:t xml:space="preserve">dos respectivos tipos, conforme os incisos do </w:t>
      </w:r>
      <w:r w:rsidRPr="0097459F">
        <w:rPr>
          <w:rFonts w:ascii="Calibri" w:hAnsi="Calibri" w:cs="Calibri"/>
          <w:b/>
        </w:rPr>
        <w:t>caput</w:t>
      </w:r>
      <w:r w:rsidRPr="0097459F">
        <w:rPr>
          <w:rFonts w:ascii="Calibri" w:hAnsi="Calibri" w:cs="Calibri"/>
        </w:rPr>
        <w:t xml:space="preserve"> do art. 1º deste Anexo.</w:t>
      </w:r>
    </w:p>
    <w:p w14:paraId="180A361D" w14:textId="77777777" w:rsidR="00C20BBD" w:rsidRPr="0097459F" w:rsidRDefault="00C20BBD" w:rsidP="00C20BBD">
      <w:pPr>
        <w:pStyle w:val="Normalalteradora"/>
        <w:rPr>
          <w:rFonts w:ascii="Calibri" w:hAnsi="Calibri" w:cs="Calibri"/>
        </w:rPr>
      </w:pPr>
      <w:r w:rsidRPr="0097459F">
        <w:rPr>
          <w:rFonts w:ascii="Calibri" w:hAnsi="Calibri" w:cs="Calibri"/>
        </w:rPr>
        <w:t>Art. 4º  As classes de cotas dos FIF podem ser abertas ou fechadas.</w:t>
      </w:r>
    </w:p>
    <w:p w14:paraId="5ACAB027" w14:textId="7D1ADC9E" w:rsidR="00C20BBD" w:rsidRPr="0097459F" w:rsidRDefault="00C20BBD" w:rsidP="00C20BBD">
      <w:pPr>
        <w:pStyle w:val="Normalalteradora"/>
        <w:rPr>
          <w:rFonts w:ascii="Calibri" w:hAnsi="Calibri" w:cs="Calibri"/>
        </w:rPr>
      </w:pPr>
      <w:r w:rsidRPr="0097459F">
        <w:rPr>
          <w:rFonts w:ascii="Calibri" w:hAnsi="Calibri" w:cs="Calibri"/>
        </w:rPr>
        <w:t xml:space="preserve">Art. 5º  </w:t>
      </w:r>
      <w:bookmarkStart w:id="368" w:name="_Hlk50133156"/>
      <w:bookmarkStart w:id="369" w:name="_Hlk51060806"/>
      <w:r w:rsidRPr="0097459F">
        <w:rPr>
          <w:rFonts w:ascii="Calibri" w:hAnsi="Calibri" w:cs="Calibri"/>
        </w:rPr>
        <w:t xml:space="preserve">Para fins de obtenção do registro de funcionamento de classe aberta que seja destinada ao público em geral, em acréscimo aos documentos e informações requeridos no art. 10 da parte geral da Resolução, o administrador deve encaminhar </w:t>
      </w:r>
      <w:bookmarkStart w:id="370" w:name="_Hlk50133696"/>
      <w:bookmarkEnd w:id="368"/>
      <w:r w:rsidRPr="0097459F">
        <w:rPr>
          <w:rFonts w:ascii="Calibri" w:hAnsi="Calibri" w:cs="Calibri"/>
        </w:rPr>
        <w:t>versão atualizada da lâmina</w:t>
      </w:r>
      <w:r w:rsidR="005E4931" w:rsidRPr="0097459F">
        <w:rPr>
          <w:rFonts w:ascii="Calibri" w:hAnsi="Calibri" w:cs="Calibri"/>
        </w:rPr>
        <w:t xml:space="preserve"> prevista no Suplemento B</w:t>
      </w:r>
      <w:r w:rsidRPr="0097459F">
        <w:rPr>
          <w:rFonts w:ascii="Calibri" w:hAnsi="Calibri" w:cs="Calibri"/>
        </w:rPr>
        <w:t>.</w:t>
      </w:r>
      <w:bookmarkEnd w:id="369"/>
    </w:p>
    <w:bookmarkEnd w:id="370"/>
    <w:p w14:paraId="2CD4BC29"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O campo “Taxa Total de Despesas” do item 4 e os itens 5, 7, 8 e 9 da lâmina ficam dispensados de apresentação na instrução do pedido de registro de funcionamento e até que a classe complete 1 (um) ano de operação.</w:t>
      </w:r>
    </w:p>
    <w:p w14:paraId="78432B43" w14:textId="77777777" w:rsidR="00C20BBD" w:rsidRPr="0097459F" w:rsidRDefault="00C20BBD" w:rsidP="00C20BBD">
      <w:pPr>
        <w:pStyle w:val="Captulo"/>
      </w:pPr>
      <w:bookmarkStart w:id="371" w:name="_Toc53594230"/>
      <w:bookmarkStart w:id="372" w:name="_Toc53594478"/>
      <w:bookmarkStart w:id="373" w:name="_Toc53595503"/>
      <w:bookmarkStart w:id="374" w:name="_Toc57836239"/>
      <w:bookmarkStart w:id="375" w:name="_Toc126226349"/>
      <w:r w:rsidRPr="0097459F">
        <w:t>CAPÍTULO IV – COTAS</w:t>
      </w:r>
      <w:bookmarkEnd w:id="371"/>
      <w:bookmarkEnd w:id="372"/>
      <w:bookmarkEnd w:id="373"/>
      <w:bookmarkEnd w:id="374"/>
      <w:bookmarkEnd w:id="375"/>
    </w:p>
    <w:p w14:paraId="43DF9649" w14:textId="77777777" w:rsidR="00C20BBD" w:rsidRPr="0097459F" w:rsidRDefault="00C20BBD" w:rsidP="00C20BBD">
      <w:pPr>
        <w:pStyle w:val="Seo"/>
      </w:pPr>
      <w:bookmarkStart w:id="376" w:name="_Toc53594231"/>
      <w:bookmarkStart w:id="377" w:name="_Toc53594479"/>
      <w:bookmarkStart w:id="378" w:name="_Toc53595504"/>
      <w:bookmarkStart w:id="379" w:name="_Toc57836240"/>
      <w:bookmarkStart w:id="380" w:name="_Toc126226350"/>
      <w:r w:rsidRPr="0097459F">
        <w:t>Seção I – Disposições Gerais</w:t>
      </w:r>
      <w:bookmarkEnd w:id="376"/>
      <w:bookmarkEnd w:id="377"/>
      <w:bookmarkEnd w:id="378"/>
      <w:bookmarkEnd w:id="379"/>
      <w:bookmarkEnd w:id="380"/>
    </w:p>
    <w:p w14:paraId="73954C8D" w14:textId="77777777" w:rsidR="00C20BBD" w:rsidRPr="0097459F" w:rsidRDefault="00C20BBD" w:rsidP="00C20BBD">
      <w:pPr>
        <w:pStyle w:val="Normalalteradora"/>
        <w:rPr>
          <w:rFonts w:ascii="Calibri" w:hAnsi="Calibri" w:cs="Calibri"/>
        </w:rPr>
      </w:pPr>
      <w:r w:rsidRPr="0097459F">
        <w:rPr>
          <w:rFonts w:ascii="Calibri" w:hAnsi="Calibri" w:cs="Calibri"/>
        </w:rPr>
        <w:t>Art. 6º  Quando se tratar de classes de cotas tipificada como “Renda Fixa” ou registradas como “Exclusivas” ou “Previdenciárias”, o regulamento pode estabelecer que o valor da cota do dia seja calculado a partir do patrimônio líquido do dia anterior, devidamente atualizado por 1 (um) dia útil.</w:t>
      </w:r>
    </w:p>
    <w:p w14:paraId="41A6BBD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Para efeitos do disposto no </w:t>
      </w:r>
      <w:r w:rsidRPr="0097459F">
        <w:rPr>
          <w:rFonts w:ascii="Calibri" w:hAnsi="Calibri" w:cs="Calibri"/>
          <w:b/>
          <w:bCs/>
        </w:rPr>
        <w:t>caput</w:t>
      </w:r>
      <w:r w:rsidRPr="0097459F">
        <w:rPr>
          <w:rFonts w:ascii="Calibri" w:hAnsi="Calibri" w:cs="Calibri"/>
        </w:rPr>
        <w:t>, os eventuais ajustes decorrentes das movimentações ocorridas durante o dia devem ser lançados contra as aplicações ou resgates dos cotistas que efetuaram essas movimentações ou, ainda, contra o patrimônio, conforme dispuser o regulamento.</w:t>
      </w:r>
    </w:p>
    <w:p w14:paraId="3481732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§2º  O regulamento da classe que se valer da possibilidade de que trata o </w:t>
      </w:r>
      <w:r w:rsidRPr="0097459F">
        <w:rPr>
          <w:rFonts w:ascii="Calibri" w:hAnsi="Calibri" w:cs="Calibri"/>
          <w:b/>
        </w:rPr>
        <w:t>caput</w:t>
      </w:r>
      <w:r w:rsidRPr="0097459F">
        <w:rPr>
          <w:rFonts w:ascii="Calibri" w:hAnsi="Calibri" w:cs="Calibri"/>
        </w:rPr>
        <w:t xml:space="preserve"> deve especificar o índice utilizado para a atualização.</w:t>
      </w:r>
    </w:p>
    <w:p w14:paraId="652AD07E" w14:textId="77777777" w:rsidR="00C20BBD" w:rsidRPr="0097459F" w:rsidRDefault="00C20BBD" w:rsidP="00C20BBD">
      <w:pPr>
        <w:pStyle w:val="Normalalteradora"/>
        <w:rPr>
          <w:rFonts w:ascii="Calibri" w:hAnsi="Calibri" w:cs="Calibri"/>
        </w:rPr>
      </w:pPr>
      <w:r w:rsidRPr="0097459F">
        <w:rPr>
          <w:rFonts w:ascii="Calibri" w:hAnsi="Calibri" w:cs="Calibri"/>
        </w:rPr>
        <w:t>Art. 7º  Para os efeitos deste Anexo Normativo I, o valor da cota deve ser calculado no encerramento do dia, que deve ser entendido como o horário de fechamento dos mercados em que a classe de cotas atue.</w:t>
      </w:r>
    </w:p>
    <w:p w14:paraId="368D5641"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1º  Quando se tratar de atuação em mercados no exterior, o encerramento do dia pode ser considerado como o horário de fechamento de um mercado específico indicado no regulamento.</w:t>
      </w:r>
    </w:p>
    <w:p w14:paraId="6732C557" w14:textId="77777777" w:rsidR="00C20BBD" w:rsidRPr="0097459F" w:rsidRDefault="00C20BBD" w:rsidP="00C20BBD">
      <w:pPr>
        <w:pStyle w:val="Normalalteradora"/>
        <w:rPr>
          <w:rFonts w:ascii="Calibri" w:hAnsi="Calibri" w:cs="Calibri"/>
        </w:rPr>
      </w:pPr>
      <w:r w:rsidRPr="0097459F">
        <w:rPr>
          <w:rFonts w:ascii="Calibri" w:hAnsi="Calibri" w:cs="Calibri"/>
        </w:rPr>
        <w:t>§ 2º  A classe que efetuar cobrança de taxa de performance utilizando o método do ajuste deve calcular o valor da cota da classe que será debitada sempre antes de descontada a provisão para o pagamento da taxa de performance.</w:t>
      </w:r>
    </w:p>
    <w:p w14:paraId="21C9909F" w14:textId="77777777" w:rsidR="00C20BBD" w:rsidRPr="0097459F" w:rsidRDefault="00C20BBD" w:rsidP="00C20BBD">
      <w:pPr>
        <w:pStyle w:val="Seo"/>
      </w:pPr>
      <w:bookmarkStart w:id="381" w:name="_Toc53594232"/>
      <w:bookmarkStart w:id="382" w:name="_Toc53594480"/>
      <w:bookmarkStart w:id="383" w:name="_Toc53595505"/>
      <w:bookmarkStart w:id="384" w:name="_Toc57836241"/>
      <w:bookmarkStart w:id="385" w:name="_Toc126226351"/>
      <w:r w:rsidRPr="0097459F">
        <w:t xml:space="preserve">Seção II – Distribuição e </w:t>
      </w:r>
      <w:bookmarkEnd w:id="381"/>
      <w:bookmarkEnd w:id="382"/>
      <w:bookmarkEnd w:id="383"/>
      <w:bookmarkEnd w:id="384"/>
      <w:r w:rsidRPr="0097459F">
        <w:t>Subscrição</w:t>
      </w:r>
      <w:bookmarkEnd w:id="385"/>
    </w:p>
    <w:p w14:paraId="4CBDDA75" w14:textId="77777777" w:rsidR="00C20BBD" w:rsidRPr="0097459F" w:rsidRDefault="00C20BBD" w:rsidP="00C20BBD">
      <w:pPr>
        <w:pStyle w:val="Normalalteradora"/>
        <w:rPr>
          <w:rFonts w:ascii="Calibri" w:hAnsi="Calibri" w:cs="Calibri"/>
        </w:rPr>
      </w:pPr>
      <w:r w:rsidRPr="0097459F">
        <w:rPr>
          <w:rFonts w:ascii="Calibri" w:hAnsi="Calibri" w:cs="Calibri"/>
        </w:rPr>
        <w:t>Art. 8º  Durante o período de distribuição de cotas da classe fechada, o administrador deve remeter mensalmente demonstrativo das aplicações da carteira, por meio do Sistema de Envio de Documentos disponível na página da CVM na rede mundial de computadores, no prazo máximo de 10 (dez) dias contado do encerramento do mês.</w:t>
      </w:r>
    </w:p>
    <w:p w14:paraId="2A72AB46" w14:textId="77777777" w:rsidR="00C20BBD" w:rsidRPr="0097459F" w:rsidDel="00FC555E" w:rsidRDefault="00C20BBD" w:rsidP="00C20BBD">
      <w:pPr>
        <w:pStyle w:val="Normalalteradora"/>
        <w:rPr>
          <w:rFonts w:ascii="Calibri" w:hAnsi="Calibri" w:cs="Calibri"/>
        </w:rPr>
      </w:pPr>
      <w:r w:rsidRPr="0097459F">
        <w:rPr>
          <w:rFonts w:ascii="Calibri" w:hAnsi="Calibri" w:cs="Calibri"/>
        </w:rPr>
        <w:t>Art. 9º  Caso o número mínimo de cotas da classe fechada não seja subscrito no prazo de distribuição, os valores integralizados devem ser imediatamente restituídos aos subscritores, acrescidos proporcionalmente dos rendimentos auferidos pelas aplicações dos valores, líquidos de encargos e tributos.</w:t>
      </w:r>
    </w:p>
    <w:p w14:paraId="0C215E1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10.  </w:t>
      </w:r>
      <w:bookmarkStart w:id="386" w:name="_Hlk51666924"/>
      <w:r w:rsidRPr="0097459F">
        <w:rPr>
          <w:rFonts w:ascii="Calibri" w:hAnsi="Calibri" w:cs="Calibri"/>
        </w:rPr>
        <w:t>Em acréscimo ao regulamento, quando do ingresso do cotista na classe de cotas, o administrador e o distribuidor devem disponibilizar uma versão atualizada da lâmina, se aplicável.</w:t>
      </w:r>
    </w:p>
    <w:p w14:paraId="77229082" w14:textId="057B9CE8" w:rsidR="00C20BBD" w:rsidRDefault="00C20BBD" w:rsidP="00C20BBD">
      <w:pPr>
        <w:pStyle w:val="Normalalteradora"/>
        <w:rPr>
          <w:rFonts w:ascii="Calibri" w:hAnsi="Calibri" w:cs="Calibri"/>
        </w:rPr>
      </w:pPr>
      <w:bookmarkStart w:id="387" w:name="_Hlk51929795"/>
      <w:bookmarkEnd w:id="386"/>
      <w:r w:rsidRPr="0097459F">
        <w:rPr>
          <w:rFonts w:ascii="Calibri" w:hAnsi="Calibri" w:cs="Calibri"/>
        </w:rPr>
        <w:t xml:space="preserve">Art. 11.  Em acréscimo às informações contidas no </w:t>
      </w:r>
      <w:r w:rsidRPr="0097459F">
        <w:rPr>
          <w:rFonts w:ascii="Calibri" w:hAnsi="Calibri" w:cs="Calibri"/>
          <w:b/>
        </w:rPr>
        <w:t>caput</w:t>
      </w:r>
      <w:r w:rsidRPr="0097459F">
        <w:rPr>
          <w:rFonts w:ascii="Calibri" w:hAnsi="Calibri" w:cs="Calibri"/>
        </w:rPr>
        <w:t xml:space="preserve"> do art. 29 </w:t>
      </w:r>
      <w:r w:rsidRPr="0097459F">
        <w:rPr>
          <w:rFonts w:ascii="Calibri" w:hAnsi="Calibri" w:cs="Calibri"/>
          <w:color w:val="000000" w:themeColor="text1"/>
        </w:rPr>
        <w:t>da</w:t>
      </w:r>
      <w:r w:rsidRPr="0097459F">
        <w:rPr>
          <w:rFonts w:ascii="Calibri" w:hAnsi="Calibri" w:cs="Calibri"/>
        </w:rPr>
        <w:t xml:space="preserve"> parte geral da Resolução, quando de seu ingresso na classe de cotas, o cotista deve atestar, no termo de adesão e ciência de risco, que teve acesso ao inteiro teor da lâmina, se aplicável.</w:t>
      </w:r>
    </w:p>
    <w:p w14:paraId="723F33A4" w14:textId="07627F48" w:rsidR="00C73321" w:rsidRDefault="00C73321" w:rsidP="00C73321">
      <w:pPr>
        <w:pStyle w:val="Normalalteradora"/>
        <w:rPr>
          <w:rFonts w:ascii="Calibri" w:hAnsi="Calibri" w:cs="Calibri"/>
        </w:rPr>
      </w:pPr>
      <w:r w:rsidRPr="00660A64">
        <w:rPr>
          <w:rFonts w:ascii="Calibri" w:hAnsi="Calibri" w:cs="Calibri"/>
        </w:rPr>
        <w:t>Art. 12.  Caso a responsabilidade dos cotistas não esteja limitada ao valor por eles subscrito e a política de investimento admita a possibilidade de exposição a risco de capital</w:t>
      </w:r>
      <w:r>
        <w:rPr>
          <w:rFonts w:ascii="Calibri" w:hAnsi="Calibri" w:cs="Calibri"/>
        </w:rPr>
        <w:t>.</w:t>
      </w:r>
    </w:p>
    <w:p w14:paraId="7A6754AB" w14:textId="77777777" w:rsidR="00C73321" w:rsidRPr="00660A64" w:rsidRDefault="00C73321" w:rsidP="00C73321">
      <w:pPr>
        <w:pStyle w:val="Normalalteradora"/>
        <w:rPr>
          <w:rFonts w:ascii="Calibri" w:hAnsi="Calibri" w:cs="Calibri"/>
        </w:rPr>
      </w:pPr>
      <w:r>
        <w:rPr>
          <w:rFonts w:ascii="Calibri" w:hAnsi="Calibri" w:cs="Calibri"/>
        </w:rPr>
        <w:t>Parágrafo único.  No termo de adesão, o cotista deve atestar que possui ciência dos riscos derivados de sua responsabilidade ilimitada.</w:t>
      </w:r>
    </w:p>
    <w:p w14:paraId="68B9B23D" w14:textId="77777777" w:rsidR="00C73321" w:rsidRPr="0097459F" w:rsidRDefault="00C73321" w:rsidP="00C73321">
      <w:pPr>
        <w:pStyle w:val="Normalalteradora"/>
        <w:rPr>
          <w:rFonts w:ascii="Calibri" w:hAnsi="Calibri" w:cs="Calibri"/>
        </w:rPr>
      </w:pPr>
    </w:p>
    <w:p w14:paraId="44D0419B" w14:textId="77777777" w:rsidR="00C20BBD" w:rsidRPr="0097459F" w:rsidRDefault="00C20BBD" w:rsidP="00C20BBD">
      <w:pPr>
        <w:pStyle w:val="Captulo"/>
      </w:pPr>
      <w:bookmarkStart w:id="388" w:name="_Toc53594234"/>
      <w:bookmarkStart w:id="389" w:name="_Toc53594482"/>
      <w:bookmarkStart w:id="390" w:name="_Toc53595507"/>
      <w:bookmarkStart w:id="391" w:name="_Toc57836243"/>
      <w:bookmarkStart w:id="392" w:name="_Toc126226352"/>
      <w:bookmarkEnd w:id="387"/>
      <w:r w:rsidRPr="0097459F">
        <w:lastRenderedPageBreak/>
        <w:t>CAPÍTULO V – DOCUMENTOS E INFORMAÇÕES</w:t>
      </w:r>
      <w:bookmarkEnd w:id="388"/>
      <w:bookmarkEnd w:id="389"/>
      <w:bookmarkEnd w:id="390"/>
      <w:bookmarkEnd w:id="391"/>
      <w:bookmarkEnd w:id="392"/>
    </w:p>
    <w:p w14:paraId="0471A397" w14:textId="77777777" w:rsidR="00C20BBD" w:rsidRPr="0097459F" w:rsidRDefault="00C20BBD" w:rsidP="00C20BBD">
      <w:pPr>
        <w:pStyle w:val="Seo"/>
      </w:pPr>
      <w:bookmarkStart w:id="393" w:name="_Toc53594235"/>
      <w:bookmarkStart w:id="394" w:name="_Toc53594483"/>
      <w:bookmarkStart w:id="395" w:name="_Toc53595508"/>
      <w:bookmarkStart w:id="396" w:name="_Toc57836244"/>
      <w:bookmarkStart w:id="397" w:name="_Toc126226353"/>
      <w:r w:rsidRPr="0097459F">
        <w:t>Seção I – Disposições Gerais</w:t>
      </w:r>
      <w:bookmarkEnd w:id="393"/>
      <w:bookmarkEnd w:id="394"/>
      <w:bookmarkEnd w:id="395"/>
      <w:bookmarkEnd w:id="396"/>
      <w:bookmarkEnd w:id="397"/>
    </w:p>
    <w:p w14:paraId="169D87E3" w14:textId="77777777" w:rsidR="00C20BBD" w:rsidRPr="0097459F" w:rsidRDefault="00C20BBD" w:rsidP="00C20BBD">
      <w:pPr>
        <w:pStyle w:val="Normalalteradora"/>
        <w:rPr>
          <w:rFonts w:ascii="Calibri" w:hAnsi="Calibri" w:cs="Calibri"/>
        </w:rPr>
      </w:pPr>
      <w:bookmarkStart w:id="398" w:name="_Hlk51929908"/>
      <w:r w:rsidRPr="0097459F">
        <w:rPr>
          <w:rFonts w:ascii="Calibri" w:hAnsi="Calibri" w:cs="Calibri"/>
        </w:rPr>
        <w:t xml:space="preserve">Art. 13.  Em acréscimo aos materiais referidos nos incisos do </w:t>
      </w:r>
      <w:r w:rsidRPr="0097459F">
        <w:rPr>
          <w:rFonts w:ascii="Calibri" w:hAnsi="Calibri" w:cs="Calibri"/>
          <w:b/>
        </w:rPr>
        <w:t>caput</w:t>
      </w:r>
      <w:r w:rsidRPr="0097459F">
        <w:rPr>
          <w:rFonts w:ascii="Calibri" w:hAnsi="Calibri" w:cs="Calibri"/>
        </w:rPr>
        <w:t xml:space="preserve"> do art. 47 da parte geral da Resolução, a divulgação de informações dos FIF deve contemplar a disponibilização dos seguintes documentos:</w:t>
      </w:r>
    </w:p>
    <w:p w14:paraId="3472D380" w14:textId="77777777" w:rsidR="00C20BBD" w:rsidRPr="0097459F" w:rsidRDefault="00C20BBD" w:rsidP="00C20BBD">
      <w:pPr>
        <w:pStyle w:val="Normalalteradora"/>
        <w:rPr>
          <w:rFonts w:ascii="Calibri" w:hAnsi="Calibri" w:cs="Calibri"/>
        </w:rPr>
      </w:pPr>
      <w:r w:rsidRPr="0097459F">
        <w:rPr>
          <w:rFonts w:ascii="Calibri" w:hAnsi="Calibri" w:cs="Calibri"/>
        </w:rPr>
        <w:t>I – lâmina atualizada, se aplicável;</w:t>
      </w:r>
    </w:p>
    <w:p w14:paraId="3428ACA5" w14:textId="77777777" w:rsidR="00C20BBD" w:rsidRPr="0097459F" w:rsidRDefault="00C20BBD" w:rsidP="00C20BBD">
      <w:pPr>
        <w:pStyle w:val="Normalalteradora"/>
        <w:rPr>
          <w:rFonts w:ascii="Calibri" w:hAnsi="Calibri" w:cs="Calibri"/>
        </w:rPr>
      </w:pPr>
      <w:r w:rsidRPr="0097459F">
        <w:rPr>
          <w:rFonts w:ascii="Calibri" w:hAnsi="Calibri" w:cs="Calibri"/>
        </w:rPr>
        <w:t>II – demonstração de desempenho, se aplicável; e</w:t>
      </w:r>
    </w:p>
    <w:p w14:paraId="1773F2F0" w14:textId="77777777" w:rsidR="00C20BBD" w:rsidRPr="0097459F" w:rsidRDefault="00C20BBD" w:rsidP="00C20BBD">
      <w:pPr>
        <w:pStyle w:val="Normalalteradora"/>
        <w:rPr>
          <w:rFonts w:ascii="Calibri" w:hAnsi="Calibri" w:cs="Calibri"/>
        </w:rPr>
      </w:pPr>
      <w:r w:rsidRPr="0097459F">
        <w:rPr>
          <w:rFonts w:ascii="Calibri" w:hAnsi="Calibri" w:cs="Calibri"/>
        </w:rPr>
        <w:t>III – política de voto, se houver.</w:t>
      </w:r>
    </w:p>
    <w:p w14:paraId="563B8F1E" w14:textId="77777777" w:rsidR="00C20BBD" w:rsidRPr="0097459F" w:rsidRDefault="00C20BBD" w:rsidP="00C20BBD">
      <w:pPr>
        <w:pStyle w:val="Seo"/>
      </w:pPr>
      <w:bookmarkStart w:id="399" w:name="_Toc53594236"/>
      <w:bookmarkStart w:id="400" w:name="_Toc53594484"/>
      <w:bookmarkStart w:id="401" w:name="_Toc53595509"/>
      <w:bookmarkStart w:id="402" w:name="_Toc57836245"/>
      <w:bookmarkStart w:id="403" w:name="_Toc126226354"/>
      <w:bookmarkEnd w:id="398"/>
      <w:r w:rsidRPr="0097459F">
        <w:t xml:space="preserve">Seção II – Lâmina de Informações </w:t>
      </w:r>
      <w:bookmarkEnd w:id="399"/>
      <w:bookmarkEnd w:id="400"/>
      <w:bookmarkEnd w:id="401"/>
      <w:bookmarkEnd w:id="402"/>
      <w:r w:rsidRPr="0097459F">
        <w:t>Básicas</w:t>
      </w:r>
      <w:bookmarkEnd w:id="403"/>
    </w:p>
    <w:p w14:paraId="45EE5900" w14:textId="77777777" w:rsidR="00C20BBD" w:rsidRPr="0097459F" w:rsidRDefault="00C20BBD" w:rsidP="00C20BBD">
      <w:pPr>
        <w:pStyle w:val="Normalalteradora"/>
        <w:rPr>
          <w:rFonts w:ascii="Calibri" w:hAnsi="Calibri" w:cs="Calibri"/>
        </w:rPr>
      </w:pPr>
      <w:r w:rsidRPr="0097459F">
        <w:rPr>
          <w:rFonts w:ascii="Calibri" w:hAnsi="Calibri" w:cs="Calibri"/>
        </w:rPr>
        <w:t>Art. 14.  O administrador de classe aberta que seja destinada ao público em geral deve elaborar lâmina de informações básicas e mantê-la atualizada.</w:t>
      </w:r>
    </w:p>
    <w:p w14:paraId="63D92C71" w14:textId="77777777" w:rsidR="00C20BBD" w:rsidRPr="0097459F" w:rsidRDefault="00C20BBD" w:rsidP="00C20BBD">
      <w:pPr>
        <w:pStyle w:val="Normalalteradora"/>
        <w:rPr>
          <w:rFonts w:ascii="Calibri" w:hAnsi="Calibri" w:cs="Calibri"/>
        </w:rPr>
      </w:pPr>
      <w:r w:rsidRPr="0097459F">
        <w:rPr>
          <w:rFonts w:ascii="Calibri" w:hAnsi="Calibri" w:cs="Calibri"/>
        </w:rPr>
        <w:t>§ 1º  É facultado ao administrador formatar a lâmina livremente desde que:</w:t>
      </w:r>
    </w:p>
    <w:p w14:paraId="1D8AC3EB" w14:textId="77777777" w:rsidR="00C20BBD" w:rsidRPr="0097459F" w:rsidRDefault="00C20BBD" w:rsidP="00C20BBD">
      <w:pPr>
        <w:pStyle w:val="Normalalteradora"/>
        <w:rPr>
          <w:rFonts w:ascii="Calibri" w:hAnsi="Calibri" w:cs="Calibri"/>
        </w:rPr>
      </w:pPr>
      <w:r w:rsidRPr="0097459F">
        <w:rPr>
          <w:rFonts w:ascii="Calibri" w:hAnsi="Calibri" w:cs="Calibri"/>
        </w:rPr>
        <w:t>I – a ordem das informações seja mantida;</w:t>
      </w:r>
    </w:p>
    <w:p w14:paraId="6F8AD22E" w14:textId="28D07C09" w:rsidR="00C20BBD" w:rsidRPr="0097459F" w:rsidRDefault="00C20BBD" w:rsidP="00C20BBD">
      <w:pPr>
        <w:pStyle w:val="Normalalteradora"/>
        <w:rPr>
          <w:rFonts w:ascii="Calibri" w:hAnsi="Calibri" w:cs="Calibri"/>
        </w:rPr>
      </w:pPr>
      <w:r w:rsidRPr="0097459F">
        <w:rPr>
          <w:rFonts w:ascii="Calibri" w:hAnsi="Calibri" w:cs="Calibri"/>
        </w:rPr>
        <w:t xml:space="preserve">II – o conteúdo do Suplemento </w:t>
      </w:r>
      <w:r w:rsidR="005B49E0" w:rsidRPr="0097459F">
        <w:rPr>
          <w:rFonts w:ascii="Calibri" w:hAnsi="Calibri" w:cs="Calibri"/>
        </w:rPr>
        <w:t>B</w:t>
      </w:r>
      <w:r w:rsidRPr="0097459F">
        <w:rPr>
          <w:rFonts w:ascii="Calibri" w:hAnsi="Calibri" w:cs="Calibri"/>
        </w:rPr>
        <w:t xml:space="preserve"> não seja modificado;</w:t>
      </w:r>
    </w:p>
    <w:p w14:paraId="3BAE1750" w14:textId="77777777" w:rsidR="00C20BBD" w:rsidRPr="0097459F" w:rsidRDefault="00C20BBD" w:rsidP="00C20BBD">
      <w:pPr>
        <w:pStyle w:val="Normalalteradora"/>
        <w:rPr>
          <w:rFonts w:ascii="Calibri" w:hAnsi="Calibri" w:cs="Calibri"/>
        </w:rPr>
      </w:pPr>
      <w:r w:rsidRPr="0097459F">
        <w:rPr>
          <w:rFonts w:ascii="Calibri" w:hAnsi="Calibri" w:cs="Calibri"/>
        </w:rPr>
        <w:t>III – os logotipos e formatação não dificultem o entendimento das informações; e</w:t>
      </w:r>
    </w:p>
    <w:p w14:paraId="20C1216B" w14:textId="77777777" w:rsidR="00C20BBD" w:rsidRPr="0097459F" w:rsidRDefault="00C20BBD" w:rsidP="00C20BBD">
      <w:pPr>
        <w:pStyle w:val="Normalalteradora"/>
        <w:rPr>
          <w:rFonts w:ascii="Calibri" w:hAnsi="Calibri" w:cs="Calibri"/>
        </w:rPr>
      </w:pPr>
      <w:r w:rsidRPr="0097459F">
        <w:rPr>
          <w:rFonts w:ascii="Calibri" w:hAnsi="Calibri" w:cs="Calibri"/>
        </w:rPr>
        <w:t>IV – quaisquer informações adicionais:</w:t>
      </w:r>
    </w:p>
    <w:p w14:paraId="2C2BD90B" w14:textId="77777777" w:rsidR="00C20BBD" w:rsidRPr="0097459F" w:rsidRDefault="00C20BBD" w:rsidP="00C20BBD">
      <w:pPr>
        <w:pStyle w:val="Normalalteradora"/>
        <w:rPr>
          <w:rFonts w:ascii="Calibri" w:hAnsi="Calibri" w:cs="Calibri"/>
        </w:rPr>
      </w:pPr>
      <w:r w:rsidRPr="0097459F">
        <w:rPr>
          <w:rFonts w:ascii="Calibri" w:hAnsi="Calibri" w:cs="Calibri"/>
        </w:rPr>
        <w:t>a) sejam acrescentadas ao final do documento;</w:t>
      </w:r>
    </w:p>
    <w:p w14:paraId="2932464D" w14:textId="77777777" w:rsidR="00C20BBD" w:rsidRPr="0097459F" w:rsidRDefault="00C20BBD" w:rsidP="00C20BBD">
      <w:pPr>
        <w:pStyle w:val="Normalalteradora"/>
        <w:rPr>
          <w:rFonts w:ascii="Calibri" w:hAnsi="Calibri" w:cs="Calibri"/>
        </w:rPr>
      </w:pPr>
      <w:r w:rsidRPr="0097459F">
        <w:rPr>
          <w:rFonts w:ascii="Calibri" w:hAnsi="Calibri" w:cs="Calibri"/>
        </w:rPr>
        <w:t>b) não dificultem o entendimento das informações contidas na lâmina; e</w:t>
      </w:r>
    </w:p>
    <w:p w14:paraId="08BFC082" w14:textId="77777777" w:rsidR="00C20BBD" w:rsidRPr="0097459F" w:rsidRDefault="00C20BBD" w:rsidP="00C20BBD">
      <w:pPr>
        <w:pStyle w:val="Normalalteradora"/>
        <w:rPr>
          <w:rFonts w:ascii="Calibri" w:hAnsi="Calibri" w:cs="Calibri"/>
        </w:rPr>
      </w:pPr>
      <w:r w:rsidRPr="0097459F">
        <w:rPr>
          <w:rFonts w:ascii="Calibri" w:hAnsi="Calibri" w:cs="Calibri"/>
        </w:rPr>
        <w:t>c) sejam consistentes com o conteúdo da própria lâmina e do regulamento.</w:t>
      </w:r>
    </w:p>
    <w:p w14:paraId="3F48E81C" w14:textId="77777777" w:rsidR="00C20BBD" w:rsidRPr="0097459F" w:rsidRDefault="00C20BBD" w:rsidP="00C20BBD">
      <w:pPr>
        <w:pStyle w:val="Normalalteradora"/>
        <w:rPr>
          <w:rFonts w:ascii="Calibri" w:hAnsi="Calibri" w:cs="Calibri"/>
        </w:rPr>
      </w:pPr>
      <w:bookmarkStart w:id="404" w:name="_Hlk51930069"/>
      <w:r w:rsidRPr="0097459F">
        <w:rPr>
          <w:rFonts w:ascii="Calibri" w:hAnsi="Calibri" w:cs="Calibri"/>
        </w:rPr>
        <w:t>§ 2º  Caso o regulamento estabeleça taxas mínimas e máximas, englobando as taxas das classes investidas, conforme previsto no art. 98, § 1º, da parte geral da Resolução, a lâmina deve destacar as taxas máximas.</w:t>
      </w:r>
    </w:p>
    <w:p w14:paraId="6AFD4C71" w14:textId="77777777" w:rsidR="00C20BBD" w:rsidRPr="0097459F" w:rsidRDefault="00C20BBD" w:rsidP="00C20BBD">
      <w:pPr>
        <w:pStyle w:val="Seo"/>
      </w:pPr>
      <w:bookmarkStart w:id="405" w:name="_Toc53594237"/>
      <w:bookmarkStart w:id="406" w:name="_Toc53594485"/>
      <w:bookmarkStart w:id="407" w:name="_Toc53595510"/>
      <w:bookmarkStart w:id="408" w:name="_Toc57836246"/>
      <w:bookmarkStart w:id="409" w:name="_Toc126226355"/>
      <w:bookmarkEnd w:id="404"/>
      <w:r w:rsidRPr="0097459F">
        <w:t>Seção III – Regulamento</w:t>
      </w:r>
      <w:bookmarkEnd w:id="405"/>
      <w:bookmarkEnd w:id="406"/>
      <w:bookmarkEnd w:id="407"/>
      <w:bookmarkEnd w:id="408"/>
      <w:bookmarkEnd w:id="409"/>
    </w:p>
    <w:p w14:paraId="126A75D4" w14:textId="77777777" w:rsidR="00C20BBD" w:rsidRPr="0097459F" w:rsidRDefault="00C20BBD" w:rsidP="00C20BBD">
      <w:pPr>
        <w:pStyle w:val="Normalalteradora"/>
        <w:rPr>
          <w:rFonts w:ascii="Calibri" w:hAnsi="Calibri" w:cs="Calibri"/>
        </w:rPr>
      </w:pPr>
      <w:r w:rsidRPr="0097459F">
        <w:rPr>
          <w:rFonts w:ascii="Calibri" w:hAnsi="Calibri" w:cs="Calibri"/>
        </w:rPr>
        <w:t>Art. 15.  Em acréscimo às matérias dispostas no art. 48 da parte geral da Resolução, o regulamento do FIF deve dispor sobre:</w:t>
      </w:r>
    </w:p>
    <w:p w14:paraId="1936F35A"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 – taxa máxima de custódia, expressa em percentual anual do patrimônio líquido da classe; (base 252 dias); e</w:t>
      </w:r>
    </w:p>
    <w:p w14:paraId="6C22730C" w14:textId="77777777" w:rsidR="00C20BBD" w:rsidRPr="0097459F" w:rsidRDefault="00C20BBD" w:rsidP="00C20BBD">
      <w:pPr>
        <w:pStyle w:val="Normalalteradora"/>
        <w:rPr>
          <w:rFonts w:ascii="Calibri" w:hAnsi="Calibri" w:cs="Calibri"/>
        </w:rPr>
      </w:pPr>
      <w:r w:rsidRPr="5E153155">
        <w:rPr>
          <w:rFonts w:ascii="Calibri" w:hAnsi="Calibri" w:cs="Calibri"/>
        </w:rPr>
        <w:t>II – taxa de performance, se houver.</w:t>
      </w:r>
    </w:p>
    <w:p w14:paraId="00A48BC6" w14:textId="77777777" w:rsidR="00C20BBD" w:rsidRPr="0097459F" w:rsidRDefault="00C20BBD" w:rsidP="00C20BBD">
      <w:pPr>
        <w:pStyle w:val="Normalalteradora"/>
        <w:rPr>
          <w:rFonts w:ascii="Calibri" w:hAnsi="Calibri" w:cs="Calibri"/>
        </w:rPr>
      </w:pPr>
      <w:bookmarkStart w:id="410" w:name="_Hlk51064221"/>
      <w:r w:rsidRPr="0097459F">
        <w:rPr>
          <w:rFonts w:ascii="Calibri" w:hAnsi="Calibri" w:cs="Calibri"/>
        </w:rPr>
        <w:t xml:space="preserve">Art. 16.  </w:t>
      </w:r>
      <w:bookmarkStart w:id="411" w:name="_Hlk51144351"/>
      <w:r w:rsidRPr="0097459F">
        <w:rPr>
          <w:rFonts w:ascii="Calibri" w:hAnsi="Calibri" w:cs="Calibri"/>
        </w:rPr>
        <w:t>A política de investimento da classe de cotas deve estar de acordo com seu tipo e conter, no mínimo, as seguintes informações:</w:t>
      </w:r>
      <w:bookmarkEnd w:id="411"/>
    </w:p>
    <w:bookmarkEnd w:id="410"/>
    <w:p w14:paraId="4392DA82" w14:textId="77777777" w:rsidR="00C20BBD" w:rsidRPr="0097459F" w:rsidRDefault="00C20BBD" w:rsidP="00C20BBD">
      <w:pPr>
        <w:pStyle w:val="Normalalteradora"/>
        <w:rPr>
          <w:rFonts w:ascii="Calibri" w:hAnsi="Calibri" w:cs="Calibri"/>
        </w:rPr>
      </w:pPr>
      <w:r w:rsidRPr="0097459F">
        <w:rPr>
          <w:rFonts w:ascii="Calibri" w:hAnsi="Calibri" w:cs="Calibri"/>
        </w:rPr>
        <w:t>I – o percentual máximo de aplicação em ativos financeiros de emissão do gestor e outros emissores de seu grupo econômicos, observado o disposto no inciso I do § 2º do art. 44 deste Anexo Normativo I;</w:t>
      </w:r>
    </w:p>
    <w:p w14:paraId="73D5942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o percentual máximo de aplicação em cotas de fundos de investimento administrados pelo gestor ou partes relacionadas; </w:t>
      </w:r>
    </w:p>
    <w:p w14:paraId="63A27DAE" w14:textId="0E71A79D" w:rsidR="00C20BBD" w:rsidRPr="0097459F" w:rsidRDefault="00C20BBD" w:rsidP="00C20BBD">
      <w:pPr>
        <w:pStyle w:val="Normalalteradora"/>
        <w:rPr>
          <w:rFonts w:ascii="Calibri" w:hAnsi="Calibri" w:cs="Calibri"/>
        </w:rPr>
      </w:pPr>
      <w:r w:rsidRPr="0097459F">
        <w:rPr>
          <w:rFonts w:ascii="Calibri" w:hAnsi="Calibri" w:cs="Calibri"/>
        </w:rPr>
        <w:t>III – o percentual máximo de aplicação em ativos financeiros de um mesmo emissor, observado o disposto no art. 44 e sem prejuízo do disposto no art. 45, inciso IV, alínea “j”, ambos deste Anexo Normativo</w:t>
      </w:r>
      <w:r w:rsidR="00FB1127" w:rsidRPr="0097459F">
        <w:rPr>
          <w:rFonts w:ascii="Calibri" w:hAnsi="Calibri" w:cs="Calibri"/>
        </w:rPr>
        <w:t xml:space="preserve"> I</w:t>
      </w:r>
      <w:r w:rsidRPr="0097459F">
        <w:rPr>
          <w:rFonts w:ascii="Calibri" w:hAnsi="Calibri" w:cs="Calibri"/>
        </w:rPr>
        <w:t>;</w:t>
      </w:r>
      <w:r w:rsidR="00FB1127" w:rsidRPr="0097459F">
        <w:rPr>
          <w:rFonts w:ascii="Calibri" w:hAnsi="Calibri" w:cs="Calibri"/>
        </w:rPr>
        <w:t xml:space="preserve"> </w:t>
      </w:r>
    </w:p>
    <w:p w14:paraId="6BBC5573" w14:textId="77777777" w:rsidR="00C20BBD" w:rsidRPr="0097459F" w:rsidRDefault="00C20BBD" w:rsidP="00C20BBD">
      <w:pPr>
        <w:pStyle w:val="Normalalteradora"/>
        <w:rPr>
          <w:rFonts w:ascii="Calibri" w:hAnsi="Calibri" w:cs="Calibri"/>
        </w:rPr>
      </w:pPr>
      <w:r w:rsidRPr="0097459F">
        <w:rPr>
          <w:rFonts w:ascii="Calibri" w:hAnsi="Calibri" w:cs="Calibri"/>
        </w:rPr>
        <w:t>IV – o percentual máximo de aplicação em ativos financeiros no exterior; e</w:t>
      </w:r>
    </w:p>
    <w:p w14:paraId="3327036E" w14:textId="77777777" w:rsidR="00C20BBD" w:rsidRPr="0097459F" w:rsidRDefault="00C20BBD" w:rsidP="00C20BBD">
      <w:pPr>
        <w:pStyle w:val="Normalalteradora"/>
        <w:rPr>
          <w:rFonts w:ascii="Calibri" w:hAnsi="Calibri" w:cs="Calibri"/>
        </w:rPr>
      </w:pPr>
      <w:r w:rsidRPr="0097459F">
        <w:rPr>
          <w:rFonts w:ascii="Calibri" w:hAnsi="Calibri" w:cs="Calibri"/>
        </w:rPr>
        <w:t>V – a possibilidade de a classe ficar exposta a risco de capital, com a indicação do limite de exposição máxima sob a forma de percentual do patrimônio líquido que pode ser utilizado em margem bruta, conforme definida no § 1º do art. 73 deste Anexo Normativo I.</w:t>
      </w:r>
    </w:p>
    <w:p w14:paraId="7ABB671A"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A classe fica exposta a risco de capital quando realiza operações em valor superior ao seu patrimônio.</w:t>
      </w:r>
    </w:p>
    <w:p w14:paraId="026F4FFA" w14:textId="77777777" w:rsidR="00C20BBD" w:rsidRPr="0097459F" w:rsidRDefault="00C20BBD" w:rsidP="00C20BBD">
      <w:pPr>
        <w:pStyle w:val="Normalalteradora"/>
        <w:rPr>
          <w:rFonts w:ascii="Calibri" w:hAnsi="Calibri" w:cs="Calibri"/>
        </w:rPr>
      </w:pPr>
      <w:r w:rsidRPr="0097459F">
        <w:rPr>
          <w:rFonts w:ascii="Calibri" w:hAnsi="Calibri" w:cs="Calibri"/>
        </w:rPr>
        <w:t>Art. 17.  Em acréscimo às matérias previstas nos incisos do parágrafo único do art. 50 da parte geral da Resolução, salvo se aprovada pela unanimidade dos cotistas reunidos em assembleia, o aumento ou alteração do cálculo da taxa de performance e da taxa máxima de custódia são eficazes apenas a partir do decurso de, no mínimo, 30 (trinta) dias, ou do prazo para pagamento de resgate estabelecido no regulamento, o que for maior, e após a disponibilização aos cotistas do resumo previsto no art. 79 da parte geral da Resolução.</w:t>
      </w:r>
    </w:p>
    <w:p w14:paraId="035BE34B" w14:textId="77777777" w:rsidR="00C20BBD" w:rsidRPr="0097459F" w:rsidRDefault="00C20BBD" w:rsidP="00C20BBD">
      <w:pPr>
        <w:pStyle w:val="Normalalteradora"/>
        <w:rPr>
          <w:rFonts w:ascii="Calibri" w:hAnsi="Calibri" w:cs="Calibri"/>
        </w:rPr>
      </w:pPr>
      <w:bookmarkStart w:id="412" w:name="_Hlk51930151"/>
      <w:r w:rsidRPr="0097459F">
        <w:rPr>
          <w:rFonts w:ascii="Calibri" w:hAnsi="Calibri" w:cs="Calibri"/>
        </w:rPr>
        <w:t>Art. 18.  Em acréscimo aos documentos previstos no art. 51 da parte geral da Resolução, na data do início da vigência das alterações deliberadas em assembleia o administrador deve encaminhar a lâmina atualizada, se for o caso, por meio de sistema eletrônico disponibilizado pela CVM na rede mundial de computadores.</w:t>
      </w:r>
    </w:p>
    <w:p w14:paraId="772B73EF" w14:textId="77777777" w:rsidR="00C20BBD" w:rsidRPr="0097459F" w:rsidRDefault="00C20BBD" w:rsidP="00C20BBD">
      <w:pPr>
        <w:pStyle w:val="Seo"/>
      </w:pPr>
      <w:bookmarkStart w:id="413" w:name="_Toc53594238"/>
      <w:bookmarkStart w:id="414" w:name="_Toc53594486"/>
      <w:bookmarkStart w:id="415" w:name="_Toc53595511"/>
      <w:bookmarkStart w:id="416" w:name="_Toc57836247"/>
      <w:bookmarkStart w:id="417" w:name="_Toc126226356"/>
      <w:bookmarkStart w:id="418" w:name="_Hlk51930267"/>
      <w:bookmarkEnd w:id="412"/>
      <w:r w:rsidRPr="0097459F">
        <w:lastRenderedPageBreak/>
        <w:t>Seção IV – Material de Divulgação</w:t>
      </w:r>
      <w:bookmarkEnd w:id="413"/>
      <w:bookmarkEnd w:id="414"/>
      <w:bookmarkEnd w:id="415"/>
      <w:bookmarkEnd w:id="416"/>
      <w:bookmarkEnd w:id="417"/>
    </w:p>
    <w:p w14:paraId="590B97CB" w14:textId="77777777" w:rsidR="00C20BBD" w:rsidRPr="0097459F" w:rsidRDefault="00C20BBD" w:rsidP="00C20BBD">
      <w:pPr>
        <w:pStyle w:val="Normalalteradora"/>
        <w:rPr>
          <w:rFonts w:ascii="Calibri" w:hAnsi="Calibri" w:cs="Calibri"/>
        </w:rPr>
      </w:pPr>
      <w:r w:rsidRPr="0097459F">
        <w:rPr>
          <w:rFonts w:ascii="Calibri" w:hAnsi="Calibri" w:cs="Calibri"/>
        </w:rPr>
        <w:t>Art. 19.  Qualquer material de divulgação dos FIF deve:</w:t>
      </w:r>
    </w:p>
    <w:p w14:paraId="2CCB1ABE" w14:textId="77777777" w:rsidR="00C20BBD" w:rsidRPr="0097459F" w:rsidRDefault="00C20BBD" w:rsidP="00C20BBD">
      <w:pPr>
        <w:pStyle w:val="Normalalteradora"/>
        <w:rPr>
          <w:rFonts w:ascii="Calibri" w:hAnsi="Calibri" w:cs="Calibri"/>
        </w:rPr>
      </w:pPr>
      <w:r w:rsidRPr="0097459F">
        <w:rPr>
          <w:rFonts w:ascii="Calibri" w:hAnsi="Calibri" w:cs="Calibri"/>
        </w:rPr>
        <w:t>I – ser consistente com a lâmina;</w:t>
      </w:r>
    </w:p>
    <w:p w14:paraId="06CDB641" w14:textId="77777777" w:rsidR="00C20BBD" w:rsidRPr="0097459F" w:rsidRDefault="00C20BBD" w:rsidP="00C20BBD">
      <w:pPr>
        <w:pStyle w:val="Normalalteradora"/>
        <w:rPr>
          <w:rFonts w:ascii="Calibri" w:hAnsi="Calibri" w:cs="Calibri"/>
        </w:rPr>
      </w:pPr>
      <w:r w:rsidRPr="0097459F">
        <w:rPr>
          <w:rFonts w:ascii="Calibri" w:hAnsi="Calibri" w:cs="Calibri"/>
        </w:rPr>
        <w:t>II – ser apresentado em conjunto com a lâmina;</w:t>
      </w:r>
    </w:p>
    <w:p w14:paraId="1CD59D2E" w14:textId="77777777" w:rsidR="00C20BBD" w:rsidRPr="0097459F" w:rsidRDefault="00C20BBD" w:rsidP="00C20BBD">
      <w:pPr>
        <w:pStyle w:val="Normalalteradora"/>
        <w:rPr>
          <w:rFonts w:ascii="Calibri" w:hAnsi="Calibri" w:cs="Calibri"/>
        </w:rPr>
      </w:pPr>
      <w:r w:rsidRPr="0097459F">
        <w:rPr>
          <w:rFonts w:ascii="Calibri" w:hAnsi="Calibri" w:cs="Calibri"/>
        </w:rPr>
        <w:t>III – mencionar a existência da lâmina, se for o caso, bem como os endereços na rede mundial de computadores nos quais pode ser obtida; e</w:t>
      </w:r>
    </w:p>
    <w:p w14:paraId="49FB9EB7" w14:textId="77777777" w:rsidR="00C20BBD" w:rsidRPr="0097459F" w:rsidRDefault="00C20BBD" w:rsidP="00C20BBD">
      <w:pPr>
        <w:pStyle w:val="Normalalteradora"/>
        <w:rPr>
          <w:rFonts w:ascii="Calibri" w:hAnsi="Calibri" w:cs="Calibri"/>
        </w:rPr>
      </w:pPr>
      <w:r w:rsidRPr="0097459F">
        <w:rPr>
          <w:rFonts w:ascii="Calibri" w:hAnsi="Calibri" w:cs="Calibri"/>
        </w:rPr>
        <w:t>IV – conter as informações do item 12 da lâmina, se esta não for aplicável.</w:t>
      </w:r>
    </w:p>
    <w:p w14:paraId="5504A460"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O disposto no inciso II do </w:t>
      </w:r>
      <w:r w:rsidRPr="0097459F">
        <w:rPr>
          <w:rFonts w:ascii="Calibri" w:hAnsi="Calibri" w:cs="Calibri"/>
          <w:b/>
        </w:rPr>
        <w:t>caput</w:t>
      </w:r>
      <w:r w:rsidRPr="0097459F">
        <w:rPr>
          <w:rFonts w:ascii="Calibri" w:hAnsi="Calibri" w:cs="Calibri"/>
        </w:rPr>
        <w:t xml:space="preserve"> não se aplica:</w:t>
      </w:r>
    </w:p>
    <w:p w14:paraId="2E22E52C" w14:textId="77777777" w:rsidR="00C20BBD" w:rsidRPr="0097459F" w:rsidRDefault="00C20BBD" w:rsidP="00C20BBD">
      <w:pPr>
        <w:pStyle w:val="Normalalteradora"/>
        <w:rPr>
          <w:rFonts w:ascii="Calibri" w:hAnsi="Calibri" w:cs="Calibri"/>
        </w:rPr>
      </w:pPr>
      <w:r w:rsidRPr="0097459F">
        <w:rPr>
          <w:rFonts w:ascii="Calibri" w:hAnsi="Calibri" w:cs="Calibri"/>
        </w:rPr>
        <w:t>I – aos materiais de divulgação veiculados em áudio, vídeo ou em mídia impressa, tais como jornais e revistas;</w:t>
      </w:r>
    </w:p>
    <w:p w14:paraId="0BBE8ADA" w14:textId="77777777" w:rsidR="00C20BBD" w:rsidRPr="0097459F" w:rsidRDefault="00C20BBD" w:rsidP="00C20BBD">
      <w:pPr>
        <w:pStyle w:val="Normalalteradora"/>
        <w:rPr>
          <w:rFonts w:ascii="Calibri" w:hAnsi="Calibri" w:cs="Calibri"/>
        </w:rPr>
      </w:pPr>
      <w:r w:rsidRPr="0097459F">
        <w:rPr>
          <w:rFonts w:ascii="Calibri" w:hAnsi="Calibri" w:cs="Calibri"/>
        </w:rPr>
        <w:t>II – aos materiais que citem mais de uma classe de cotas, sem destacar qualquer classe citada;</w:t>
      </w:r>
    </w:p>
    <w:p w14:paraId="27E173B6" w14:textId="77777777" w:rsidR="00C20BBD" w:rsidRPr="0097459F" w:rsidRDefault="00C20BBD" w:rsidP="00C20BBD">
      <w:pPr>
        <w:pStyle w:val="Normalalteradora"/>
        <w:rPr>
          <w:rFonts w:ascii="Calibri" w:hAnsi="Calibri" w:cs="Calibri"/>
        </w:rPr>
      </w:pPr>
      <w:r w:rsidRPr="0097459F">
        <w:rPr>
          <w:rFonts w:ascii="Calibri" w:hAnsi="Calibri" w:cs="Calibri"/>
        </w:rPr>
        <w:t>III – aos materiais que, exclusivamente, citam a rentabilidade de mais de uma classe de cotas; e</w:t>
      </w:r>
    </w:p>
    <w:p w14:paraId="0F20CE88" w14:textId="77777777" w:rsidR="00C20BBD" w:rsidRPr="0097459F" w:rsidRDefault="00C20BBD" w:rsidP="00C20BBD">
      <w:pPr>
        <w:pStyle w:val="Normalalteradora"/>
        <w:rPr>
          <w:rFonts w:ascii="Calibri" w:hAnsi="Calibri" w:cs="Calibri"/>
        </w:rPr>
      </w:pPr>
      <w:r w:rsidRPr="0097459F">
        <w:rPr>
          <w:rFonts w:ascii="Calibri" w:hAnsi="Calibri" w:cs="Calibri"/>
        </w:rPr>
        <w:t>IV – aos materiais de natureza física ou eletrônica que não permitam, por restrições técnicas, a disponibilização de documentos.</w:t>
      </w:r>
    </w:p>
    <w:p w14:paraId="78A000D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2º  Os materiais mencionados no § 1º deste artigo devem veicular, em destaque e preferencialmente em formato de </w:t>
      </w:r>
      <w:r w:rsidRPr="0097459F">
        <w:rPr>
          <w:rFonts w:ascii="Calibri" w:hAnsi="Calibri" w:cs="Calibri"/>
          <w:b/>
        </w:rPr>
        <w:t>hyperlink</w:t>
      </w:r>
      <w:r w:rsidRPr="0097459F">
        <w:rPr>
          <w:rFonts w:ascii="Calibri" w:hAnsi="Calibri" w:cs="Calibri"/>
        </w:rPr>
        <w:t>, o endereço na rede mundial de computadores em que a lâmina possa ser obtida.</w:t>
      </w:r>
    </w:p>
    <w:p w14:paraId="2D4CEBE2" w14:textId="77777777" w:rsidR="00C20BBD" w:rsidRPr="0097459F" w:rsidRDefault="00C20BBD" w:rsidP="00C20BBD">
      <w:pPr>
        <w:pStyle w:val="Normalalteradora"/>
        <w:rPr>
          <w:rFonts w:ascii="Calibri" w:hAnsi="Calibri" w:cs="Calibri"/>
        </w:rPr>
      </w:pPr>
      <w:r w:rsidRPr="0097459F">
        <w:rPr>
          <w:rFonts w:ascii="Calibri" w:hAnsi="Calibri" w:cs="Calibri"/>
        </w:rPr>
        <w:t>Art. 20.  Caso o material de divulgação inclua informação sobre a rentabilidade da classe de cotas, em acréscimo às informações contidas no art. 56 da parte geral da Resolução, deve ser informada a taxa de performance, se houver, conforme expressa no regulamento vigente nos últimos 12 (doze) meses ou desde sua constituição, se mais recente.</w:t>
      </w:r>
    </w:p>
    <w:p w14:paraId="7B02045B" w14:textId="77777777" w:rsidR="00C20BBD" w:rsidRPr="0097459F" w:rsidRDefault="00C20BBD" w:rsidP="00C20BBD">
      <w:pPr>
        <w:pStyle w:val="Normalalteradora"/>
        <w:rPr>
          <w:rFonts w:ascii="Calibri" w:hAnsi="Calibri" w:cs="Calibri"/>
        </w:rPr>
      </w:pPr>
      <w:r w:rsidRPr="0097459F">
        <w:rPr>
          <w:rFonts w:ascii="Calibri" w:hAnsi="Calibri" w:cs="Calibri"/>
        </w:rPr>
        <w:t>Art. 21.  As disposições constantes da Seção III do Capítulo V da parte geral da Resolução e desta Seção IV não se aplicam à lâmina.</w:t>
      </w:r>
    </w:p>
    <w:p w14:paraId="176E0D4C" w14:textId="77777777" w:rsidR="00C20BBD" w:rsidRPr="0097459F" w:rsidRDefault="00C20BBD" w:rsidP="00C20BBD">
      <w:pPr>
        <w:pStyle w:val="Captulo"/>
      </w:pPr>
      <w:bookmarkStart w:id="419" w:name="_Toc53594239"/>
      <w:bookmarkStart w:id="420" w:name="_Toc53594487"/>
      <w:bookmarkStart w:id="421" w:name="_Toc53595512"/>
      <w:bookmarkStart w:id="422" w:name="_Toc57836248"/>
      <w:bookmarkStart w:id="423" w:name="_Toc126226357"/>
      <w:bookmarkEnd w:id="418"/>
      <w:r w:rsidRPr="0097459F">
        <w:t>CAPÍTULO VI – DIVULGAÇÃO DE INFORMAÇÕES</w:t>
      </w:r>
      <w:bookmarkEnd w:id="419"/>
      <w:bookmarkEnd w:id="420"/>
      <w:bookmarkEnd w:id="421"/>
      <w:bookmarkEnd w:id="422"/>
      <w:bookmarkEnd w:id="423"/>
    </w:p>
    <w:p w14:paraId="7400E85C" w14:textId="77777777" w:rsidR="00C20BBD" w:rsidRPr="0097459F" w:rsidRDefault="00C20BBD" w:rsidP="00C20BBD">
      <w:pPr>
        <w:pStyle w:val="Normalalteradora"/>
        <w:rPr>
          <w:rFonts w:ascii="Calibri" w:hAnsi="Calibri" w:cs="Calibri"/>
        </w:rPr>
      </w:pPr>
      <w:r w:rsidRPr="0097459F">
        <w:rPr>
          <w:rFonts w:ascii="Calibri" w:hAnsi="Calibri" w:cs="Calibri"/>
        </w:rPr>
        <w:t>Art. 22.  O administrador do fundo é responsável por:</w:t>
      </w:r>
    </w:p>
    <w:p w14:paraId="61DF03C3"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 – calcular e divulgar o valor da cota e do patrimônio líquido das classes e subclasses de cotas abertas:</w:t>
      </w:r>
    </w:p>
    <w:p w14:paraId="43A030DF" w14:textId="77777777" w:rsidR="00C20BBD" w:rsidRPr="0097459F" w:rsidRDefault="00C20BBD" w:rsidP="00C20BBD">
      <w:pPr>
        <w:pStyle w:val="Normalalteradora"/>
        <w:rPr>
          <w:rFonts w:ascii="Calibri" w:hAnsi="Calibri" w:cs="Calibri"/>
        </w:rPr>
      </w:pPr>
      <w:r w:rsidRPr="0097459F">
        <w:rPr>
          <w:rFonts w:ascii="Calibri" w:hAnsi="Calibri" w:cs="Calibri"/>
        </w:rPr>
        <w:t>a) diariamente; ou</w:t>
      </w:r>
    </w:p>
    <w:p w14:paraId="737FBD77" w14:textId="77777777" w:rsidR="00C20BBD" w:rsidRPr="0097459F" w:rsidRDefault="00C20BBD" w:rsidP="00C20BBD">
      <w:pPr>
        <w:pStyle w:val="Normalalteradora"/>
        <w:rPr>
          <w:rFonts w:ascii="Calibri" w:hAnsi="Calibri" w:cs="Calibri"/>
        </w:rPr>
      </w:pPr>
      <w:r w:rsidRPr="0097459F">
        <w:rPr>
          <w:rFonts w:ascii="Calibri" w:hAnsi="Calibri" w:cs="Calibri"/>
        </w:rPr>
        <w:t>b) para classes e subclasses que não ofereçam liquidez diária a seus cotistas, em periodicidade compatível com a liquidez da respectiva classe ou subclasse, desde que a periodicidade esteja expressamente prevista no regulamento;</w:t>
      </w:r>
    </w:p>
    <w:p w14:paraId="06947200" w14:textId="77777777" w:rsidR="00C20BBD" w:rsidRPr="0097459F" w:rsidRDefault="00C20BBD" w:rsidP="00C20BBD">
      <w:pPr>
        <w:pStyle w:val="Normalalteradora"/>
        <w:rPr>
          <w:rFonts w:ascii="Calibri" w:hAnsi="Calibri" w:cs="Calibri"/>
        </w:rPr>
      </w:pPr>
      <w:r w:rsidRPr="0097459F">
        <w:rPr>
          <w:rFonts w:ascii="Calibri" w:hAnsi="Calibri" w:cs="Calibri"/>
        </w:rPr>
        <w:t>II – disponibilizar a demonstração de desempenho aos cotistas das classes e subclasses de investimentos do público em geral, até o último dia útil de fevereiro de cada ano;</w:t>
      </w:r>
    </w:p>
    <w:p w14:paraId="07E60F8B" w14:textId="77777777" w:rsidR="00C20BBD" w:rsidRPr="0097459F" w:rsidRDefault="00C20BBD" w:rsidP="00C20BBD">
      <w:pPr>
        <w:pStyle w:val="Normalalteradora"/>
        <w:rPr>
          <w:rFonts w:ascii="Calibri" w:hAnsi="Calibri" w:cs="Calibri"/>
        </w:rPr>
      </w:pPr>
      <w:r w:rsidRPr="0097459F">
        <w:rPr>
          <w:rFonts w:ascii="Calibri" w:hAnsi="Calibri" w:cs="Calibri"/>
        </w:rPr>
        <w:t>III – divulgar, em lugar de destaque na sua página na rede mundial de computadores e disponível para acesso gratuito do público em geral, a demonstração de desempenho relativa:</w:t>
      </w:r>
    </w:p>
    <w:p w14:paraId="1FEEFB0D" w14:textId="77777777" w:rsidR="00C20BBD" w:rsidRPr="0097459F" w:rsidRDefault="00C20BBD" w:rsidP="00C20BBD">
      <w:pPr>
        <w:pStyle w:val="Normalalteradora"/>
        <w:rPr>
          <w:rFonts w:ascii="Calibri" w:hAnsi="Calibri" w:cs="Calibri"/>
        </w:rPr>
      </w:pPr>
      <w:r w:rsidRPr="0097459F">
        <w:rPr>
          <w:rFonts w:ascii="Calibri" w:hAnsi="Calibri" w:cs="Calibri"/>
        </w:rPr>
        <w:t>a) aos 12 (doze) meses findos em 31 de dezembro, até o último dia útil de fevereiro de cada ano; e</w:t>
      </w:r>
    </w:p>
    <w:p w14:paraId="2E21D400" w14:textId="77777777" w:rsidR="00C20BBD" w:rsidRPr="0097459F" w:rsidRDefault="00C20BBD" w:rsidP="00C20BBD">
      <w:pPr>
        <w:pStyle w:val="Normalalteradora"/>
        <w:rPr>
          <w:rFonts w:ascii="Calibri" w:hAnsi="Calibri" w:cs="Calibri"/>
        </w:rPr>
      </w:pPr>
      <w:r w:rsidRPr="0097459F">
        <w:rPr>
          <w:rFonts w:ascii="Calibri" w:hAnsi="Calibri" w:cs="Calibri"/>
        </w:rPr>
        <w:t>b) aos 12 (doze) meses findos em 30 de junho, até o último dia útil de agosto de cada ano; e</w:t>
      </w:r>
    </w:p>
    <w:p w14:paraId="62CED944" w14:textId="77777777" w:rsidR="00C20BBD" w:rsidRPr="0097459F" w:rsidRDefault="00C20BBD" w:rsidP="00C20BBD">
      <w:pPr>
        <w:pStyle w:val="Normalalteradora"/>
        <w:rPr>
          <w:rFonts w:ascii="Calibri" w:hAnsi="Calibri" w:cs="Calibri"/>
        </w:rPr>
      </w:pPr>
      <w:r w:rsidRPr="0097459F">
        <w:rPr>
          <w:rFonts w:ascii="Calibri" w:hAnsi="Calibri" w:cs="Calibri"/>
        </w:rPr>
        <w:t>IV – disponibilizar as informações da classe de forma equânime entre todos os cotistas da mesma classe e, se for o caso, subclasse, no mínimo conforme estabelecido no art. 24 deste Anexo Normativo I no tocante à periodicidade, prazo e teor das informações.</w:t>
      </w:r>
    </w:p>
    <w:p w14:paraId="3471FAA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Caso a taxa de performance seja cobrada pelo método do ajuste, o administrador deve divulgar o valor da cota antes de descontada a provisão para o pagamento da taxa de performance, com o mesmo destaque dado ao valor da cota referida no inciso I do </w:t>
      </w:r>
      <w:r w:rsidRPr="0097459F">
        <w:rPr>
          <w:rFonts w:ascii="Calibri" w:hAnsi="Calibri" w:cs="Calibri"/>
          <w:b/>
        </w:rPr>
        <w:t>caput</w:t>
      </w:r>
      <w:r w:rsidRPr="0097459F">
        <w:rPr>
          <w:rFonts w:ascii="Calibri" w:hAnsi="Calibri" w:cs="Calibri"/>
        </w:rPr>
        <w:t>.</w:t>
      </w:r>
    </w:p>
    <w:p w14:paraId="13AA3A5B" w14:textId="77777777" w:rsidR="00C20BBD" w:rsidRPr="0097459F" w:rsidRDefault="00C20BBD" w:rsidP="00C20BBD">
      <w:pPr>
        <w:pStyle w:val="Normalalteradora"/>
        <w:rPr>
          <w:rFonts w:ascii="Calibri" w:hAnsi="Calibri" w:cs="Calibri"/>
        </w:rPr>
      </w:pPr>
      <w:r w:rsidRPr="0097459F">
        <w:rPr>
          <w:rFonts w:ascii="Calibri" w:hAnsi="Calibri" w:cs="Calibri"/>
        </w:rPr>
        <w:t>§ 2º  O administrador está dispensado de disponibilizar o extrato de conta para os cotistas que expressamente concordarem em não receber o documento.</w:t>
      </w:r>
    </w:p>
    <w:p w14:paraId="048D6C6F" w14:textId="77777777" w:rsidR="00C20BBD" w:rsidRPr="0097459F" w:rsidRDefault="00C20BBD" w:rsidP="00C20BBD">
      <w:pPr>
        <w:pStyle w:val="Normalalteradora"/>
        <w:rPr>
          <w:rFonts w:ascii="Calibri" w:hAnsi="Calibri" w:cs="Calibri"/>
        </w:rPr>
      </w:pPr>
      <w:r w:rsidRPr="0097459F">
        <w:rPr>
          <w:rFonts w:ascii="Calibri" w:hAnsi="Calibri" w:cs="Calibri"/>
        </w:rPr>
        <w:t>§ 3º  Caso existam posições ou operações em curso que, a critério do gestor, possam vir a ser prejudicadas pela sua divulgação, o demonstrativo da composição da carteira pode omitir sua identificação e quantidade, registrando somente o valor do ativo e sua percentagem sobre o total da carteira.</w:t>
      </w:r>
    </w:p>
    <w:p w14:paraId="40859AB7" w14:textId="716957EC" w:rsidR="00C20BBD" w:rsidRPr="0097459F" w:rsidRDefault="00C20BBD" w:rsidP="00C20BBD">
      <w:pPr>
        <w:pStyle w:val="Normalalteradora"/>
        <w:rPr>
          <w:rFonts w:ascii="Calibri" w:hAnsi="Calibri" w:cs="Calibri"/>
        </w:rPr>
      </w:pPr>
      <w:r w:rsidRPr="0097459F">
        <w:rPr>
          <w:rFonts w:ascii="Calibri" w:hAnsi="Calibri" w:cs="Calibri"/>
        </w:rPr>
        <w:t xml:space="preserve">§ 4º  As operações omitidas com base no parágrafo anterior devem ser divulgadas na forma do inciso II do </w:t>
      </w:r>
      <w:r w:rsidR="00543199">
        <w:rPr>
          <w:rFonts w:ascii="Calibri" w:hAnsi="Calibri" w:cs="Calibri"/>
        </w:rPr>
        <w:t>art. 24</w:t>
      </w:r>
      <w:r w:rsidRPr="0097459F">
        <w:rPr>
          <w:rFonts w:ascii="Calibri" w:hAnsi="Calibri" w:cs="Calibri"/>
        </w:rPr>
        <w:t xml:space="preserve"> no prazo máximo de:</w:t>
      </w:r>
    </w:p>
    <w:p w14:paraId="608D47C1"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 – 30 (trinta) dias, improrrogáveis, nas classes tipificadas como “Renda Fixa” que sejam “Longo Prazo”, “Referenciada” ou “Simples”; e</w:t>
      </w:r>
    </w:p>
    <w:p w14:paraId="270698D2" w14:textId="77777777" w:rsidR="00C20BBD" w:rsidRPr="0097459F" w:rsidRDefault="00C20BBD" w:rsidP="00C20BBD">
      <w:pPr>
        <w:pStyle w:val="Normalalteradora"/>
        <w:rPr>
          <w:rFonts w:ascii="Calibri" w:hAnsi="Calibri" w:cs="Calibri"/>
        </w:rPr>
      </w:pPr>
      <w:r w:rsidRPr="0097459F">
        <w:rPr>
          <w:rFonts w:ascii="Calibri" w:hAnsi="Calibri" w:cs="Calibri"/>
        </w:rPr>
        <w:t>II – nos demais casos, 90 (noventa) dias após o encerramento do mês, podendo esse prazo ser prorrogado uma única vez, em caráter excepcional, e com base em solicitação fundamentada submetida à aprovação da CVM, até o prazo máximo de 180 (cento e oitenta dias).</w:t>
      </w:r>
    </w:p>
    <w:p w14:paraId="432184BC" w14:textId="77777777" w:rsidR="00C20BBD" w:rsidRPr="0097459F" w:rsidRDefault="00C20BBD" w:rsidP="00C20BBD">
      <w:pPr>
        <w:pStyle w:val="Normalalteradora"/>
        <w:rPr>
          <w:rFonts w:ascii="Calibri" w:hAnsi="Calibri" w:cs="Calibri"/>
        </w:rPr>
      </w:pPr>
      <w:r w:rsidRPr="0097459F">
        <w:rPr>
          <w:rFonts w:ascii="Calibri" w:hAnsi="Calibri" w:cs="Calibri"/>
        </w:rPr>
        <w:t>§ 5º  A demonstração de desempenho deve:</w:t>
      </w:r>
    </w:p>
    <w:p w14:paraId="77EDEEF8" w14:textId="77777777" w:rsidR="00C20BBD" w:rsidRPr="0097459F" w:rsidRDefault="00C20BBD" w:rsidP="00C20BBD">
      <w:pPr>
        <w:pStyle w:val="Normalalteradora"/>
        <w:rPr>
          <w:rFonts w:ascii="Calibri" w:hAnsi="Calibri" w:cs="Calibri"/>
        </w:rPr>
      </w:pPr>
      <w:r w:rsidRPr="0097459F">
        <w:rPr>
          <w:rFonts w:ascii="Calibri" w:hAnsi="Calibri" w:cs="Calibri"/>
        </w:rPr>
        <w:t>I – ser preparada para todas as classes abertas em operação há, no mínimo, 1 (um) ano na data base a que se refere a demonstração de desempenho, observado que na hipótese de a classe possuir subclasses de cotas, a contagem do prazo se inicia para cada subclasse quando do início de seu próprio funcionamento; e</w:t>
      </w:r>
    </w:p>
    <w:p w14:paraId="7DF595A7" w14:textId="11F5CF64" w:rsidR="00C20BBD" w:rsidRPr="0097459F" w:rsidRDefault="00C20BBD" w:rsidP="00C20BBD">
      <w:pPr>
        <w:pStyle w:val="Normalalteradora"/>
        <w:rPr>
          <w:rFonts w:ascii="Calibri" w:hAnsi="Calibri" w:cs="Calibri"/>
        </w:rPr>
      </w:pPr>
      <w:r w:rsidRPr="0097459F">
        <w:rPr>
          <w:rFonts w:ascii="Calibri" w:hAnsi="Calibri" w:cs="Calibri"/>
        </w:rPr>
        <w:t xml:space="preserve">II – ser produzida conforme o modelo constante do Suplemento </w:t>
      </w:r>
      <w:r w:rsidR="009E34FD" w:rsidRPr="0097459F">
        <w:rPr>
          <w:rFonts w:ascii="Calibri" w:hAnsi="Calibri" w:cs="Calibri"/>
        </w:rPr>
        <w:t>C</w:t>
      </w:r>
      <w:r w:rsidRPr="0097459F">
        <w:rPr>
          <w:rFonts w:ascii="Calibri" w:hAnsi="Calibri" w:cs="Calibri"/>
        </w:rPr>
        <w:t>.</w:t>
      </w:r>
    </w:p>
    <w:p w14:paraId="517B27B8" w14:textId="77777777" w:rsidR="00C20BBD" w:rsidRPr="0097459F" w:rsidRDefault="00C20BBD" w:rsidP="00C20BBD">
      <w:pPr>
        <w:pStyle w:val="Normalalteradora"/>
        <w:rPr>
          <w:rFonts w:ascii="Calibri" w:hAnsi="Calibri" w:cs="Calibri"/>
        </w:rPr>
      </w:pPr>
      <w:r w:rsidRPr="0097459F">
        <w:rPr>
          <w:rFonts w:ascii="Calibri" w:hAnsi="Calibri" w:cs="Calibri"/>
        </w:rPr>
        <w:t>§ 6º  É facultado ao administrador formatar a demonstração de desempenho livremente desde que:</w:t>
      </w:r>
    </w:p>
    <w:p w14:paraId="7CAFA804" w14:textId="77777777" w:rsidR="00C20BBD" w:rsidRPr="0097459F" w:rsidRDefault="00C20BBD" w:rsidP="00C20BBD">
      <w:pPr>
        <w:pStyle w:val="Normalalteradora"/>
        <w:rPr>
          <w:rFonts w:ascii="Calibri" w:hAnsi="Calibri" w:cs="Calibri"/>
        </w:rPr>
      </w:pPr>
      <w:r w:rsidRPr="0097459F">
        <w:rPr>
          <w:rFonts w:ascii="Calibri" w:hAnsi="Calibri" w:cs="Calibri"/>
        </w:rPr>
        <w:t>I – a ordem das informações seja mantida;</w:t>
      </w:r>
    </w:p>
    <w:p w14:paraId="79CD8A0D" w14:textId="3D13C21B" w:rsidR="00C20BBD" w:rsidRPr="0097459F" w:rsidRDefault="00C20BBD" w:rsidP="00C20BBD">
      <w:pPr>
        <w:pStyle w:val="Normalalteradora"/>
        <w:rPr>
          <w:rFonts w:ascii="Calibri" w:hAnsi="Calibri" w:cs="Calibri"/>
        </w:rPr>
      </w:pPr>
      <w:r w:rsidRPr="0097459F">
        <w:rPr>
          <w:rFonts w:ascii="Calibri" w:hAnsi="Calibri" w:cs="Calibri"/>
        </w:rPr>
        <w:t xml:space="preserve">II – o conteúdo do Suplemento </w:t>
      </w:r>
      <w:r w:rsidR="009E34FD" w:rsidRPr="0097459F">
        <w:rPr>
          <w:rFonts w:ascii="Calibri" w:hAnsi="Calibri" w:cs="Calibri"/>
        </w:rPr>
        <w:t>C</w:t>
      </w:r>
      <w:r w:rsidRPr="0097459F">
        <w:rPr>
          <w:rFonts w:ascii="Calibri" w:hAnsi="Calibri" w:cs="Calibri"/>
        </w:rPr>
        <w:t xml:space="preserve"> não seja modificado;</w:t>
      </w:r>
    </w:p>
    <w:p w14:paraId="5D360470" w14:textId="77777777" w:rsidR="00C20BBD" w:rsidRPr="0097459F" w:rsidRDefault="00C20BBD" w:rsidP="00C20BBD">
      <w:pPr>
        <w:pStyle w:val="Normalalteradora"/>
        <w:rPr>
          <w:rFonts w:ascii="Calibri" w:hAnsi="Calibri" w:cs="Calibri"/>
        </w:rPr>
      </w:pPr>
      <w:r w:rsidRPr="0097459F">
        <w:rPr>
          <w:rFonts w:ascii="Calibri" w:hAnsi="Calibri" w:cs="Calibri"/>
        </w:rPr>
        <w:t>III – os logotipos e a formatação não dificultem o entendimento das informações; e</w:t>
      </w:r>
    </w:p>
    <w:p w14:paraId="7C55364B" w14:textId="77777777" w:rsidR="00C20BBD" w:rsidRPr="0097459F" w:rsidRDefault="00C20BBD" w:rsidP="00C20BBD">
      <w:pPr>
        <w:pStyle w:val="Normalalteradora"/>
        <w:rPr>
          <w:rFonts w:ascii="Calibri" w:hAnsi="Calibri" w:cs="Calibri"/>
        </w:rPr>
      </w:pPr>
      <w:r w:rsidRPr="0097459F">
        <w:rPr>
          <w:rFonts w:ascii="Calibri" w:hAnsi="Calibri" w:cs="Calibri"/>
        </w:rPr>
        <w:t>IV – quaisquer informações adicionais:</w:t>
      </w:r>
    </w:p>
    <w:p w14:paraId="6C10D3E1" w14:textId="77777777" w:rsidR="00C20BBD" w:rsidRPr="0097459F" w:rsidRDefault="00C20BBD" w:rsidP="00C20BBD">
      <w:pPr>
        <w:pStyle w:val="Normalalteradora"/>
        <w:rPr>
          <w:rFonts w:ascii="Calibri" w:hAnsi="Calibri" w:cs="Calibri"/>
        </w:rPr>
      </w:pPr>
      <w:r w:rsidRPr="0097459F">
        <w:rPr>
          <w:rFonts w:ascii="Calibri" w:hAnsi="Calibri" w:cs="Calibri"/>
        </w:rPr>
        <w:t>a) sejam acrescentadas ao final do documento;</w:t>
      </w:r>
    </w:p>
    <w:p w14:paraId="5C9D49A9" w14:textId="77777777" w:rsidR="00C20BBD" w:rsidRPr="0097459F" w:rsidRDefault="00C20BBD" w:rsidP="00C20BBD">
      <w:pPr>
        <w:pStyle w:val="Normalalteradora"/>
        <w:rPr>
          <w:rFonts w:ascii="Calibri" w:hAnsi="Calibri" w:cs="Calibri"/>
        </w:rPr>
      </w:pPr>
      <w:r w:rsidRPr="0097459F">
        <w:rPr>
          <w:rFonts w:ascii="Calibri" w:hAnsi="Calibri" w:cs="Calibri"/>
        </w:rPr>
        <w:t>b) não dificultem o entendimento das informações contidas na demonstração de desempenho; e</w:t>
      </w:r>
    </w:p>
    <w:p w14:paraId="191FBA0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c) sejam consistentes com o conteúdo da demonstração de desempenho. </w:t>
      </w:r>
    </w:p>
    <w:p w14:paraId="71306C04" w14:textId="77777777" w:rsidR="00C20BBD" w:rsidRPr="0097459F" w:rsidRDefault="00C20BBD" w:rsidP="00C20BBD">
      <w:pPr>
        <w:autoSpaceDE w:val="0"/>
        <w:autoSpaceDN w:val="0"/>
        <w:adjustRightInd w:val="0"/>
        <w:spacing w:before="120" w:after="120" w:line="312" w:lineRule="auto"/>
        <w:ind w:firstLine="567"/>
        <w:jc w:val="both"/>
        <w:rPr>
          <w:rFonts w:ascii="Calibri" w:hAnsi="Calibri" w:cs="Calibri"/>
          <w:sz w:val="24"/>
          <w:szCs w:val="24"/>
        </w:rPr>
      </w:pPr>
      <w:r w:rsidRPr="0097459F">
        <w:rPr>
          <w:rFonts w:ascii="Calibri" w:hAnsi="Calibri" w:cs="Calibri"/>
          <w:sz w:val="24"/>
          <w:szCs w:val="24"/>
        </w:rPr>
        <w:t>§ 7º  Para fins de elaboração da demonstração de desempenho, a classe de cotas que realize aplicações em outros fundos deve acrescentar as despesas dos fundos investidos às suas próprias despesas.</w:t>
      </w:r>
    </w:p>
    <w:p w14:paraId="69ACCE9C" w14:textId="77777777" w:rsidR="00C20BBD" w:rsidRPr="0097459F" w:rsidRDefault="00C20BBD" w:rsidP="00C20BBD">
      <w:pPr>
        <w:autoSpaceDE w:val="0"/>
        <w:autoSpaceDN w:val="0"/>
        <w:adjustRightInd w:val="0"/>
        <w:spacing w:before="120" w:after="120" w:line="312" w:lineRule="auto"/>
        <w:ind w:firstLine="567"/>
        <w:jc w:val="both"/>
        <w:rPr>
          <w:rFonts w:ascii="Calibri" w:hAnsi="Calibri" w:cs="Calibri"/>
          <w:sz w:val="24"/>
          <w:szCs w:val="24"/>
        </w:rPr>
      </w:pPr>
      <w:r w:rsidRPr="0097459F">
        <w:rPr>
          <w:rFonts w:ascii="Calibri" w:hAnsi="Calibri" w:cs="Calibri"/>
          <w:sz w:val="24"/>
          <w:szCs w:val="24"/>
        </w:rPr>
        <w:t>§ 8º  Para os efeitos do § 7º, a classe:</w:t>
      </w:r>
    </w:p>
    <w:p w14:paraId="257F2BF0" w14:textId="77777777" w:rsidR="00C20BBD" w:rsidRPr="0097459F" w:rsidRDefault="00C20BBD" w:rsidP="00C20BBD">
      <w:pPr>
        <w:autoSpaceDE w:val="0"/>
        <w:autoSpaceDN w:val="0"/>
        <w:adjustRightInd w:val="0"/>
        <w:spacing w:before="120" w:after="120" w:line="312" w:lineRule="auto"/>
        <w:ind w:firstLine="567"/>
        <w:jc w:val="both"/>
        <w:rPr>
          <w:rFonts w:ascii="Calibri" w:hAnsi="Calibri" w:cs="Calibri"/>
          <w:sz w:val="24"/>
          <w:szCs w:val="24"/>
        </w:rPr>
      </w:pPr>
      <w:r w:rsidRPr="0097459F">
        <w:rPr>
          <w:rFonts w:ascii="Calibri" w:hAnsi="Calibri" w:cs="Calibri"/>
          <w:sz w:val="24"/>
          <w:szCs w:val="24"/>
        </w:rPr>
        <w:t xml:space="preserve">I – deve considerar o valor das últimas despesas divulgadas pelo fundo investido, conforme inciso III do </w:t>
      </w:r>
      <w:r w:rsidRPr="0097459F">
        <w:rPr>
          <w:rFonts w:ascii="Calibri" w:hAnsi="Calibri" w:cs="Calibri"/>
          <w:b/>
          <w:bCs/>
          <w:sz w:val="24"/>
          <w:szCs w:val="24"/>
        </w:rPr>
        <w:t>caput,</w:t>
      </w:r>
      <w:r w:rsidRPr="0097459F">
        <w:rPr>
          <w:rFonts w:ascii="Calibri" w:hAnsi="Calibri" w:cs="Calibri"/>
          <w:sz w:val="24"/>
          <w:szCs w:val="24"/>
        </w:rPr>
        <w:t xml:space="preserve"> proporcionalmente aos montantes investidos e prazos de aplicação; e</w:t>
      </w:r>
    </w:p>
    <w:p w14:paraId="1AC553EE" w14:textId="77777777" w:rsidR="00C20BBD" w:rsidRPr="0097459F" w:rsidRDefault="00C20BBD" w:rsidP="00C20BBD">
      <w:pPr>
        <w:autoSpaceDE w:val="0"/>
        <w:autoSpaceDN w:val="0"/>
        <w:adjustRightInd w:val="0"/>
        <w:spacing w:before="120" w:after="120" w:line="312" w:lineRule="auto"/>
        <w:ind w:firstLine="567"/>
        <w:jc w:val="both"/>
        <w:rPr>
          <w:rFonts w:ascii="Calibri" w:eastAsia="Times New Roman" w:hAnsi="Calibri" w:cs="Calibri"/>
          <w:sz w:val="24"/>
          <w:szCs w:val="24"/>
          <w:lang w:eastAsia="pt-BR"/>
        </w:rPr>
      </w:pPr>
      <w:r w:rsidRPr="0097459F">
        <w:rPr>
          <w:rFonts w:ascii="Calibri" w:hAnsi="Calibri" w:cs="Calibri"/>
          <w:sz w:val="24"/>
          <w:szCs w:val="24"/>
        </w:rPr>
        <w:lastRenderedPageBreak/>
        <w:t>II – está dispensada de consolidar as despesas dos fundos investidos quando os fundos não estiverem obrigados a divulgá-las em relação ao semestre anterior à data base da demonstração de desempenho.</w:t>
      </w:r>
    </w:p>
    <w:p w14:paraId="1F319EB7" w14:textId="77777777" w:rsidR="00C20BBD" w:rsidRPr="0097459F" w:rsidRDefault="00C20BBD" w:rsidP="00C20BBD">
      <w:pPr>
        <w:pStyle w:val="Normalalteradora"/>
        <w:rPr>
          <w:rFonts w:ascii="Calibri" w:hAnsi="Calibri" w:cs="Calibri"/>
        </w:rPr>
      </w:pPr>
      <w:r w:rsidRPr="0097459F">
        <w:rPr>
          <w:rFonts w:ascii="Calibri" w:hAnsi="Calibri" w:cs="Calibri"/>
        </w:rPr>
        <w:t>§ 9º  Caso ocorram divergências relevantes entre os valores apresentados na demonstração de desempenho e aqueles que teriam sido calculados para o mesmo período com base nas demonstrações contábeis auditadas, o administrador deve enviar uma demonstração retificadora aos cotistas, em até 15 (quinze) dias úteis da remessa do parecer dos auditores independentes para a CVM, sem prejuízo da divulgação de fato relevante, nos termos do art. 64 da parte geral da Resolução.</w:t>
      </w:r>
    </w:p>
    <w:p w14:paraId="4DA2905F" w14:textId="77777777" w:rsidR="00C20BBD" w:rsidRPr="0097459F" w:rsidRDefault="00C20BBD" w:rsidP="00C20BBD">
      <w:pPr>
        <w:pStyle w:val="Normalalteradora"/>
        <w:rPr>
          <w:rFonts w:ascii="Calibri" w:hAnsi="Calibri" w:cs="Calibri"/>
        </w:rPr>
      </w:pPr>
      <w:r w:rsidRPr="0097459F">
        <w:rPr>
          <w:rFonts w:ascii="Calibri" w:hAnsi="Calibri" w:cs="Calibri"/>
        </w:rPr>
        <w:t>Art. 23.  O resumo das decisões da assembleia de cotistas previsto no art. 79 da parte geral da Resolução pode ser disponibilizado por meio do extrato de conta.</w:t>
      </w:r>
    </w:p>
    <w:p w14:paraId="708967B2" w14:textId="0DE63139" w:rsidR="00C20BBD" w:rsidRDefault="00C20BBD" w:rsidP="00C20BBD">
      <w:pPr>
        <w:pStyle w:val="Normalalteradora"/>
        <w:rPr>
          <w:rFonts w:ascii="Calibri" w:hAnsi="Calibri" w:cs="Calibri"/>
        </w:rPr>
      </w:pPr>
      <w:r w:rsidRPr="0097459F">
        <w:rPr>
          <w:rFonts w:ascii="Calibri" w:hAnsi="Calibri" w:cs="Calibri"/>
        </w:rPr>
        <w:t xml:space="preserve">Parágrafo único.  Caso a assembleia de cotistas seja realizada nos últimos 10 (dez) dias do mês, a comunicação de que trata o </w:t>
      </w:r>
      <w:r w:rsidRPr="0097459F">
        <w:rPr>
          <w:rFonts w:ascii="Calibri" w:hAnsi="Calibri" w:cs="Calibri"/>
          <w:b/>
        </w:rPr>
        <w:t>caput</w:t>
      </w:r>
      <w:r w:rsidRPr="0097459F">
        <w:rPr>
          <w:rFonts w:ascii="Calibri" w:hAnsi="Calibri" w:cs="Calibri"/>
        </w:rPr>
        <w:t xml:space="preserve"> pode ser efetuada no extrato de conta relativo ao mês seguinte ao da realização da assembleia.</w:t>
      </w:r>
    </w:p>
    <w:p w14:paraId="52FB18E5" w14:textId="4BBDCD18" w:rsidR="00C73321" w:rsidRPr="0097459F" w:rsidRDefault="00C73321" w:rsidP="00C73321">
      <w:pPr>
        <w:pStyle w:val="Normalalteradora"/>
        <w:rPr>
          <w:rFonts w:ascii="Calibri" w:hAnsi="Calibri" w:cs="Calibri"/>
        </w:rPr>
      </w:pPr>
      <w:r w:rsidRPr="00660A64">
        <w:rPr>
          <w:rFonts w:ascii="Calibri" w:hAnsi="Calibri" w:cs="Calibri"/>
        </w:rPr>
        <w:t xml:space="preserve">Art. 24.  O administrador deve encaminhar à CVM, por meio sistema eletrônico disponível na rede mundial de computadores, os seguintes documentos da classe de cotas: </w:t>
      </w:r>
    </w:p>
    <w:p w14:paraId="025FCD93" w14:textId="77777777" w:rsidR="00C20BBD" w:rsidRPr="0097459F" w:rsidRDefault="00C20BBD" w:rsidP="00C20BBD">
      <w:pPr>
        <w:pStyle w:val="Normalalteradora"/>
        <w:rPr>
          <w:rFonts w:ascii="Calibri" w:hAnsi="Calibri" w:cs="Calibri"/>
        </w:rPr>
      </w:pPr>
      <w:r w:rsidRPr="0097459F">
        <w:rPr>
          <w:rFonts w:ascii="Calibri" w:hAnsi="Calibri" w:cs="Calibri"/>
        </w:rPr>
        <w:t>I – informe diário, no prazo de 1 (um) dia útil;</w:t>
      </w:r>
    </w:p>
    <w:p w14:paraId="305E2F0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mensalmente, até 10 (dez) dias úteis após o encerramento do mês a que se referirem: </w:t>
      </w:r>
    </w:p>
    <w:p w14:paraId="283E38D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 balancete; </w:t>
      </w:r>
    </w:p>
    <w:p w14:paraId="761699A4" w14:textId="77777777" w:rsidR="00C20BBD" w:rsidRPr="0097459F" w:rsidRDefault="00C20BBD" w:rsidP="00C20BBD">
      <w:pPr>
        <w:pStyle w:val="Normalalteradora"/>
        <w:rPr>
          <w:rFonts w:ascii="Calibri" w:hAnsi="Calibri" w:cs="Calibri"/>
        </w:rPr>
      </w:pPr>
      <w:r w:rsidRPr="0097459F">
        <w:rPr>
          <w:rFonts w:ascii="Calibri" w:hAnsi="Calibri" w:cs="Calibri"/>
        </w:rPr>
        <w:t>b) demonstrativo da composição e diversificação de carteira; e</w:t>
      </w:r>
    </w:p>
    <w:p w14:paraId="5C11221C" w14:textId="77777777" w:rsidR="00C20BBD" w:rsidRPr="0097459F" w:rsidRDefault="00C20BBD" w:rsidP="00C20BBD">
      <w:pPr>
        <w:pStyle w:val="Normalalteradora"/>
        <w:rPr>
          <w:rFonts w:ascii="Calibri" w:hAnsi="Calibri" w:cs="Calibri"/>
        </w:rPr>
      </w:pPr>
      <w:r w:rsidRPr="0097459F">
        <w:rPr>
          <w:rFonts w:ascii="Calibri" w:hAnsi="Calibri" w:cs="Calibri"/>
        </w:rPr>
        <w:t>c) perfil mensal, observado que as questões 5, 6 e 11 a 16 do documento não precisam ser respondidas pelos administradores das classes de investimento dispensadas da obrigação de consolidação, nos termos do § 4º do art. 46 deste Anexo Normativo I; e</w:t>
      </w:r>
    </w:p>
    <w:p w14:paraId="18567DFE" w14:textId="77777777" w:rsidR="00C20BBD" w:rsidRPr="0097459F" w:rsidRDefault="00C20BBD" w:rsidP="00C20BBD">
      <w:pPr>
        <w:pStyle w:val="Normalalteradora"/>
        <w:rPr>
          <w:rFonts w:ascii="Calibri" w:hAnsi="Calibri" w:cs="Calibri"/>
        </w:rPr>
      </w:pPr>
      <w:r w:rsidRPr="0097459F">
        <w:rPr>
          <w:rFonts w:ascii="Calibri" w:hAnsi="Calibri" w:cs="Calibri"/>
        </w:rPr>
        <w:t>d) lâmina de informações básicas, se aplicável;</w:t>
      </w:r>
    </w:p>
    <w:p w14:paraId="492C2961" w14:textId="77777777" w:rsidR="00C20BBD" w:rsidRPr="0097459F" w:rsidRDefault="00C20BBD" w:rsidP="00C20BBD">
      <w:pPr>
        <w:pStyle w:val="Normalalteradora"/>
        <w:rPr>
          <w:rFonts w:ascii="Calibri" w:hAnsi="Calibri" w:cs="Calibri"/>
        </w:rPr>
      </w:pPr>
      <w:r w:rsidRPr="0097459F">
        <w:rPr>
          <w:rFonts w:ascii="Calibri" w:hAnsi="Calibri" w:cs="Calibri"/>
        </w:rPr>
        <w:t>III – anualmente, no prazo de 90 (noventa) dias, contados a partir do encerramento do exercício a que se referirem, as demonstrações contábeis do fundo e, caso existentes, de suas classes de cotas, acompanhadas dos pareceres de auditoria independente; e</w:t>
      </w:r>
    </w:p>
    <w:p w14:paraId="3E3C393E"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IV – formulário padronizado com as informações básicas da classe de cotas, sempre que houver alteração do regulamento, na data do início da vigência das alterações deliberadas em assembleia.</w:t>
      </w:r>
    </w:p>
    <w:p w14:paraId="276CD28C" w14:textId="5BE5D0AB" w:rsidR="00C20BBD" w:rsidRDefault="00C20BBD" w:rsidP="00C20BBD">
      <w:pPr>
        <w:pStyle w:val="Normalalteradora"/>
        <w:rPr>
          <w:rFonts w:ascii="Calibri" w:hAnsi="Calibri" w:cs="Calibri"/>
        </w:rPr>
      </w:pPr>
      <w:r w:rsidRPr="0097459F">
        <w:rPr>
          <w:rFonts w:ascii="Calibri" w:hAnsi="Calibri" w:cs="Calibri"/>
        </w:rPr>
        <w:t>§ 1º  O prazo de retificação das informações é de 3 (três) dias úteis, contado do fim do prazo estabelecido para a apresentação dos documentos.</w:t>
      </w:r>
    </w:p>
    <w:p w14:paraId="1A831CEB" w14:textId="514D465A" w:rsidR="00C63609" w:rsidRPr="0097459F" w:rsidRDefault="00C63609" w:rsidP="00C63609">
      <w:pPr>
        <w:pStyle w:val="Normalalteradora"/>
        <w:rPr>
          <w:rFonts w:ascii="Calibri" w:hAnsi="Calibri" w:cs="Calibri"/>
        </w:rPr>
      </w:pPr>
      <w:r w:rsidRPr="00660A64">
        <w:rPr>
          <w:rFonts w:ascii="Calibri" w:hAnsi="Calibri" w:cs="Calibri"/>
        </w:rPr>
        <w:t xml:space="preserve">§ 2º  As informações previstas no inciso I do </w:t>
      </w:r>
      <w:r w:rsidRPr="00660A64">
        <w:rPr>
          <w:rFonts w:ascii="Calibri" w:hAnsi="Calibri" w:cs="Calibri"/>
          <w:b/>
        </w:rPr>
        <w:t>caput</w:t>
      </w:r>
      <w:r w:rsidRPr="00660A64">
        <w:rPr>
          <w:rFonts w:ascii="Calibri" w:hAnsi="Calibri" w:cs="Calibri"/>
        </w:rPr>
        <w:t xml:space="preserve"> devem ser prestadas para cada subclasse em separado.</w:t>
      </w:r>
    </w:p>
    <w:p w14:paraId="71203BD7" w14:textId="77777777" w:rsidR="00C20BBD" w:rsidRPr="0097459F" w:rsidRDefault="00C20BBD" w:rsidP="00C20BBD">
      <w:pPr>
        <w:pStyle w:val="Normalalteradora"/>
        <w:rPr>
          <w:rFonts w:ascii="Calibri" w:hAnsi="Calibri" w:cs="Calibri"/>
        </w:rPr>
      </w:pPr>
      <w:r w:rsidRPr="0097459F">
        <w:rPr>
          <w:rFonts w:ascii="Calibri" w:hAnsi="Calibri" w:cs="Calibri"/>
        </w:rPr>
        <w:t>§ 3º  Caso a classe de cotas adote política que preveja o exercício de direito de voto decorrente da titularidade de ativos financeiros, o perfil mensal deve incluir:</w:t>
      </w:r>
    </w:p>
    <w:p w14:paraId="7CA49FF6" w14:textId="77777777" w:rsidR="00C20BBD" w:rsidRPr="0097459F" w:rsidRDefault="00C20BBD" w:rsidP="00C20BBD">
      <w:pPr>
        <w:pStyle w:val="Normalalteradora"/>
        <w:rPr>
          <w:rFonts w:ascii="Calibri" w:hAnsi="Calibri" w:cs="Calibri"/>
        </w:rPr>
      </w:pPr>
      <w:r w:rsidRPr="0097459F">
        <w:rPr>
          <w:rFonts w:ascii="Calibri" w:hAnsi="Calibri" w:cs="Calibri"/>
        </w:rPr>
        <w:t>I – resumo do teor dos votos proferidos no período a que se refere o perfil; e</w:t>
      </w:r>
    </w:p>
    <w:p w14:paraId="5299A01E" w14:textId="77777777" w:rsidR="00C20BBD" w:rsidRPr="0097459F" w:rsidRDefault="00C20BBD" w:rsidP="00C20BBD">
      <w:pPr>
        <w:pStyle w:val="Normalalteradora"/>
        <w:rPr>
          <w:rFonts w:ascii="Calibri" w:hAnsi="Calibri" w:cs="Calibri"/>
        </w:rPr>
      </w:pPr>
      <w:r w:rsidRPr="0097459F">
        <w:rPr>
          <w:rFonts w:ascii="Calibri" w:hAnsi="Calibri" w:cs="Calibri"/>
        </w:rPr>
        <w:t>II – justificativa sumária do voto proferido ou as razões sumárias para eventual abstenção ou não exercício do direito de voto.</w:t>
      </w:r>
    </w:p>
    <w:p w14:paraId="6AA0938F" w14:textId="77777777" w:rsidR="00C20BBD" w:rsidRPr="0097459F" w:rsidRDefault="00C20BBD" w:rsidP="00C20BBD">
      <w:pPr>
        <w:pStyle w:val="Captulo"/>
      </w:pPr>
      <w:bookmarkStart w:id="424" w:name="_Toc53594240"/>
      <w:bookmarkStart w:id="425" w:name="_Toc53594488"/>
      <w:bookmarkStart w:id="426" w:name="_Toc53595513"/>
      <w:bookmarkStart w:id="427" w:name="_Toc57836249"/>
      <w:bookmarkStart w:id="428" w:name="_Toc126226358"/>
      <w:r w:rsidRPr="0097459F">
        <w:t>CAPÍTULO VII – PRESTAÇÃO DE SERVIÇOS</w:t>
      </w:r>
      <w:bookmarkEnd w:id="424"/>
      <w:bookmarkEnd w:id="425"/>
      <w:bookmarkEnd w:id="426"/>
      <w:bookmarkEnd w:id="427"/>
      <w:bookmarkEnd w:id="428"/>
    </w:p>
    <w:p w14:paraId="2D49CE09" w14:textId="77777777" w:rsidR="00C20BBD" w:rsidRPr="0097459F" w:rsidRDefault="00C20BBD" w:rsidP="00C20BBD">
      <w:pPr>
        <w:pStyle w:val="Seo"/>
      </w:pPr>
      <w:bookmarkStart w:id="429" w:name="_Toc53594241"/>
      <w:bookmarkStart w:id="430" w:name="_Toc53594489"/>
      <w:bookmarkStart w:id="431" w:name="_Toc53595514"/>
      <w:bookmarkStart w:id="432" w:name="_Toc57836250"/>
      <w:bookmarkStart w:id="433" w:name="_Toc126226359"/>
      <w:r w:rsidRPr="0097459F">
        <w:t>Seção I – Obrigações do Administrador, Gestor e Custodiante</w:t>
      </w:r>
      <w:bookmarkEnd w:id="429"/>
      <w:bookmarkEnd w:id="430"/>
      <w:bookmarkEnd w:id="431"/>
      <w:bookmarkEnd w:id="432"/>
      <w:bookmarkEnd w:id="433"/>
    </w:p>
    <w:p w14:paraId="0371F721" w14:textId="325F1AFB" w:rsidR="00C20BBD" w:rsidRDefault="00C20BBD" w:rsidP="00C20BBD">
      <w:pPr>
        <w:pStyle w:val="Normalalteradora"/>
        <w:rPr>
          <w:rFonts w:ascii="Calibri" w:hAnsi="Calibri" w:cs="Calibri"/>
        </w:rPr>
      </w:pPr>
      <w:r w:rsidRPr="0097459F">
        <w:rPr>
          <w:rFonts w:ascii="Calibri" w:hAnsi="Calibri" w:cs="Calibri"/>
        </w:rPr>
        <w:t xml:space="preserve">Art. 25.  Em acréscimo às obrigações previstas na parte geral da Resolução e neste Anexo </w:t>
      </w:r>
      <w:r w:rsidR="00D2759F">
        <w:rPr>
          <w:rFonts w:ascii="Calibri" w:hAnsi="Calibri" w:cs="Calibri"/>
        </w:rPr>
        <w:t>Normativo I</w:t>
      </w:r>
      <w:r w:rsidRPr="0097459F">
        <w:rPr>
          <w:rFonts w:ascii="Calibri" w:hAnsi="Calibri" w:cs="Calibri"/>
        </w:rPr>
        <w:t>, incluem-se entre as obrigações do administrador:</w:t>
      </w:r>
    </w:p>
    <w:p w14:paraId="234658B7" w14:textId="77777777" w:rsidR="00C63609" w:rsidRPr="00660A64" w:rsidRDefault="00C63609" w:rsidP="00C63609">
      <w:pPr>
        <w:pStyle w:val="Normalalteradora"/>
        <w:rPr>
          <w:rFonts w:ascii="Calibri" w:hAnsi="Calibri" w:cs="Calibri"/>
        </w:rPr>
      </w:pPr>
      <w:r w:rsidRPr="4B43D514">
        <w:rPr>
          <w:rFonts w:ascii="Calibri" w:hAnsi="Calibri" w:cs="Calibri"/>
        </w:rPr>
        <w:t xml:space="preserve">I </w:t>
      </w:r>
      <w:r>
        <w:rPr>
          <w:rFonts w:ascii="Calibri" w:hAnsi="Calibri" w:cs="Calibri"/>
        </w:rPr>
        <w:t>–</w:t>
      </w:r>
      <w:r w:rsidRPr="00660A64">
        <w:rPr>
          <w:rFonts w:ascii="Calibri" w:hAnsi="Calibri" w:cs="Calibri"/>
        </w:rPr>
        <w:t xml:space="preserve"> verificar, após a realização das operações pelo gestor, a compatibilidade dos preços praticados com os preços de mercado, bem como informar ao gestor e à CVM sobre indícios materiais de incompatibilidade</w:t>
      </w:r>
      <w:r w:rsidRPr="4B43D514">
        <w:rPr>
          <w:rFonts w:ascii="Calibri" w:hAnsi="Calibri" w:cs="Calibri"/>
        </w:rPr>
        <w:t>; e</w:t>
      </w:r>
    </w:p>
    <w:p w14:paraId="059AEB6D" w14:textId="745BCEA2" w:rsidR="00C63609" w:rsidRPr="0097459F" w:rsidRDefault="00C63609" w:rsidP="00B5164C">
      <w:pPr>
        <w:pStyle w:val="Normalalteradora"/>
        <w:rPr>
          <w:rFonts w:ascii="Calibri" w:hAnsi="Calibri" w:cs="Calibri"/>
        </w:rPr>
      </w:pPr>
      <w:r w:rsidRPr="00012E0D">
        <w:rPr>
          <w:rFonts w:ascii="Calibri" w:hAnsi="Calibri" w:cs="Calibri"/>
        </w:rPr>
        <w:t xml:space="preserve">II </w:t>
      </w:r>
      <w:r>
        <w:rPr>
          <w:rFonts w:ascii="Calibri" w:hAnsi="Calibri" w:cs="Calibri"/>
        </w:rPr>
        <w:t>–</w:t>
      </w:r>
      <w:r w:rsidRPr="00012E0D">
        <w:rPr>
          <w:rFonts w:ascii="Calibri" w:hAnsi="Calibri" w:cs="Calibri"/>
        </w:rPr>
        <w:t xml:space="preserve"> </w:t>
      </w:r>
      <w:r w:rsidRPr="4B43D514">
        <w:rPr>
          <w:rFonts w:ascii="Calibri" w:hAnsi="Calibri" w:cs="Calibri"/>
        </w:rPr>
        <w:t>verificar, após a realização das operações pelo gestor, em periodicidade compatível com a política de investimentos da classe, a observância da carteira de ativos aos limites de composição, concentração e, se for o caso, de exposição ao risco de capital, devendo informar ao gestor e à CVM sobre eventual desenquadramento, até o final do dia seguinte à data da verificação.</w:t>
      </w:r>
    </w:p>
    <w:p w14:paraId="390E187C" w14:textId="77777777" w:rsidR="00C20BBD" w:rsidRPr="0097459F" w:rsidRDefault="00C20BBD" w:rsidP="00C20BBD">
      <w:pPr>
        <w:pStyle w:val="Normalalteradora"/>
        <w:rPr>
          <w:rFonts w:ascii="Calibri" w:hAnsi="Calibri" w:cs="Calibri"/>
        </w:rPr>
      </w:pPr>
      <w:r w:rsidRPr="0097459F">
        <w:rPr>
          <w:rFonts w:ascii="Calibri" w:hAnsi="Calibri" w:cs="Calibri"/>
        </w:rPr>
        <w:t>Art. 26.  Caso a classe de cotas conte com cogestão da carteira de ativos, na forma do art. 85, VI, da parte geral da Resolução, o contrato de prestação de serviços ao fundo celebrado com o cogestor deve conter dispositivo limitando as ordens, perante o custodiante da classe, ao mercado específico de atuação de cada gestor.</w:t>
      </w:r>
    </w:p>
    <w:p w14:paraId="6CCE19FF"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Art. 27.  O custodiante deve, além de observar o que dispõe a parte geral da Resolução e a regulamentação específica que trata de custódia de valores mobiliários:</w:t>
      </w:r>
    </w:p>
    <w:p w14:paraId="39C83A62" w14:textId="77777777" w:rsidR="00C20BBD" w:rsidRPr="0097459F" w:rsidRDefault="00C20BBD" w:rsidP="00C20BBD">
      <w:pPr>
        <w:pStyle w:val="Normalalteradora"/>
        <w:rPr>
          <w:rFonts w:ascii="Calibri" w:hAnsi="Calibri" w:cs="Calibri"/>
        </w:rPr>
      </w:pPr>
      <w:r w:rsidRPr="0097459F">
        <w:rPr>
          <w:rFonts w:ascii="Calibri" w:hAnsi="Calibri" w:cs="Calibri"/>
        </w:rPr>
        <w:t>I – acatar somente as ordens emitidas pelo administrador, gestor e, se houver, cogestor, ou por seus representantes legais ou mandatários, devidamente autorizados; e</w:t>
      </w:r>
    </w:p>
    <w:p w14:paraId="5174870F" w14:textId="77777777" w:rsidR="00C20BBD" w:rsidRPr="0097459F" w:rsidRDefault="00C20BBD" w:rsidP="00C20BBD">
      <w:pPr>
        <w:pStyle w:val="Normalalteradora"/>
        <w:rPr>
          <w:rFonts w:ascii="Calibri" w:hAnsi="Calibri" w:cs="Calibri"/>
        </w:rPr>
      </w:pPr>
      <w:r w:rsidRPr="0097459F">
        <w:rPr>
          <w:rFonts w:ascii="Calibri" w:hAnsi="Calibri" w:cs="Calibri"/>
        </w:rPr>
        <w:t>II – executar somente as ordens que estejam diretamente vinculadas às operações da classe.</w:t>
      </w:r>
    </w:p>
    <w:p w14:paraId="7E6E32E5" w14:textId="77777777" w:rsidR="00C20BBD" w:rsidRPr="0097459F" w:rsidRDefault="00C20BBD" w:rsidP="00C20BBD">
      <w:pPr>
        <w:pStyle w:val="Seo"/>
      </w:pPr>
      <w:bookmarkStart w:id="434" w:name="_Toc53594242"/>
      <w:bookmarkStart w:id="435" w:name="_Toc53594490"/>
      <w:bookmarkStart w:id="436" w:name="_Toc53595515"/>
      <w:bookmarkStart w:id="437" w:name="_Toc57836251"/>
      <w:bookmarkStart w:id="438" w:name="_Toc126226360"/>
      <w:r w:rsidRPr="0097459F">
        <w:t>Seção II – Taxa de Performance</w:t>
      </w:r>
      <w:bookmarkEnd w:id="434"/>
      <w:bookmarkEnd w:id="435"/>
      <w:bookmarkEnd w:id="436"/>
      <w:bookmarkEnd w:id="437"/>
      <w:bookmarkEnd w:id="438"/>
    </w:p>
    <w:p w14:paraId="64A38356" w14:textId="77777777" w:rsidR="00C20BBD" w:rsidRPr="0097459F" w:rsidRDefault="00C20BBD" w:rsidP="00C20BBD">
      <w:pPr>
        <w:pStyle w:val="Normalalteradora"/>
        <w:rPr>
          <w:rFonts w:ascii="Calibri" w:hAnsi="Calibri" w:cs="Calibri"/>
        </w:rPr>
      </w:pPr>
      <w:r w:rsidRPr="0097459F">
        <w:rPr>
          <w:rFonts w:ascii="Calibri" w:hAnsi="Calibri" w:cs="Calibri"/>
        </w:rPr>
        <w:t>Art. 28.  O regulamento pode estabelecer a cobrança de taxa de performance pelo gestor.</w:t>
      </w:r>
    </w:p>
    <w:p w14:paraId="6FF255B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A cobrança da taxa de performance deve atender aos seguintes critérios: </w:t>
      </w:r>
    </w:p>
    <w:p w14:paraId="3ECFB875" w14:textId="77777777" w:rsidR="00C20BBD" w:rsidRPr="0097459F" w:rsidRDefault="00C20BBD" w:rsidP="00C20BBD">
      <w:pPr>
        <w:pStyle w:val="Normalalteradora"/>
        <w:rPr>
          <w:rFonts w:ascii="Calibri" w:hAnsi="Calibri" w:cs="Calibri"/>
        </w:rPr>
      </w:pPr>
      <w:r w:rsidRPr="0097459F">
        <w:rPr>
          <w:rFonts w:ascii="Calibri" w:hAnsi="Calibri" w:cs="Calibri"/>
        </w:rPr>
        <w:t>I – vinculação a um índice de referência verificável, originado por fonte independente, compatível com a política de investimento;</w:t>
      </w:r>
    </w:p>
    <w:p w14:paraId="41E42BF5" w14:textId="77777777" w:rsidR="00C20BBD" w:rsidRPr="0097459F" w:rsidRDefault="00C20BBD" w:rsidP="00C20BBD">
      <w:pPr>
        <w:pStyle w:val="Normalalteradora"/>
        <w:rPr>
          <w:rFonts w:ascii="Calibri" w:hAnsi="Calibri" w:cs="Calibri"/>
        </w:rPr>
      </w:pPr>
      <w:r w:rsidRPr="0097459F">
        <w:rPr>
          <w:rFonts w:ascii="Calibri" w:hAnsi="Calibri" w:cs="Calibri"/>
        </w:rPr>
        <w:t>II – vedação da vinculação da taxa de performance a percentuais inferiores a 100% (cem por cento) do índice de referência;</w:t>
      </w:r>
    </w:p>
    <w:p w14:paraId="69772C78" w14:textId="77777777" w:rsidR="00C20BBD" w:rsidRPr="0097459F" w:rsidRDefault="00C20BBD" w:rsidP="00C20BBD">
      <w:pPr>
        <w:pStyle w:val="Normalalteradora"/>
        <w:rPr>
          <w:rFonts w:ascii="Calibri" w:hAnsi="Calibri" w:cs="Calibri"/>
        </w:rPr>
      </w:pPr>
      <w:r w:rsidRPr="0097459F">
        <w:rPr>
          <w:rFonts w:ascii="Calibri" w:hAnsi="Calibri" w:cs="Calibri"/>
        </w:rPr>
        <w:t>III – cobrança por período, no mínimo, semestral; e</w:t>
      </w:r>
    </w:p>
    <w:p w14:paraId="1BF1E8F6" w14:textId="77777777" w:rsidR="00C20BBD" w:rsidRPr="0097459F" w:rsidRDefault="00C20BBD" w:rsidP="00C20BBD">
      <w:pPr>
        <w:pStyle w:val="Normalalteradora"/>
        <w:rPr>
          <w:rFonts w:ascii="Calibri" w:hAnsi="Calibri" w:cs="Calibri"/>
        </w:rPr>
      </w:pPr>
      <w:r w:rsidRPr="0097459F">
        <w:rPr>
          <w:rFonts w:ascii="Calibri" w:hAnsi="Calibri" w:cs="Calibri"/>
        </w:rPr>
        <w:t>IV – cobrança após a dedução de todas as despesas, inclusive das taxas devidas aos prestadores de serviços essenciais, podendo incluir na base do cálculo os valores recebidos pelos cotistas a título de amortização ou de rendimentos previstos no art. 36 deste Anexo Normativo I.</w:t>
      </w:r>
    </w:p>
    <w:p w14:paraId="2A82F864" w14:textId="77777777" w:rsidR="00C20BBD" w:rsidRPr="0097459F" w:rsidRDefault="00C20BBD" w:rsidP="00C20BBD">
      <w:pPr>
        <w:pStyle w:val="Normalalteradora"/>
        <w:rPr>
          <w:rFonts w:ascii="Calibri" w:hAnsi="Calibri" w:cs="Calibri"/>
        </w:rPr>
      </w:pPr>
      <w:r w:rsidRPr="0097459F">
        <w:rPr>
          <w:rFonts w:ascii="Calibri" w:hAnsi="Calibri" w:cs="Calibri"/>
        </w:rPr>
        <w:t>§ 2º  É vedada a cobrança de taxa de performance quando o valor da cota for inferior ao valor da cota base.</w:t>
      </w:r>
    </w:p>
    <w:p w14:paraId="7D7FD1B1" w14:textId="77777777" w:rsidR="00C20BBD" w:rsidRPr="0097459F" w:rsidRDefault="00C20BBD" w:rsidP="00C20BBD">
      <w:pPr>
        <w:pStyle w:val="Normalalteradora"/>
        <w:rPr>
          <w:rFonts w:ascii="Calibri" w:hAnsi="Calibri" w:cs="Calibri"/>
        </w:rPr>
      </w:pPr>
      <w:r w:rsidRPr="0097459F">
        <w:rPr>
          <w:rFonts w:ascii="Calibri" w:hAnsi="Calibri" w:cs="Calibri"/>
        </w:rPr>
        <w:t>§ 3º  Para fins do cálculo da taxa de performance, o valor da cota no momento de apuração do resultado deve ser comparado ao valor da cota base atualizado pelo índice de referência.</w:t>
      </w:r>
    </w:p>
    <w:p w14:paraId="2B9C6A70"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4º  Fica dispensada a observância dos §§ 1º, III, 2º e 3º deste artigo na hipótese de substituição do gestor, caso o regulamento contenha expressa previsão neste sentido e os gestores atual e anterior não sejam partes relacionadas. </w:t>
      </w:r>
    </w:p>
    <w:p w14:paraId="2AAC1D56" w14:textId="77777777" w:rsidR="00C20BBD" w:rsidRPr="0097459F" w:rsidRDefault="00C20BBD" w:rsidP="00C20BBD">
      <w:pPr>
        <w:pStyle w:val="Normalalteradora"/>
        <w:rPr>
          <w:rFonts w:ascii="Calibri" w:hAnsi="Calibri" w:cs="Calibri"/>
        </w:rPr>
      </w:pPr>
      <w:r w:rsidRPr="0097459F">
        <w:rPr>
          <w:rFonts w:ascii="Calibri" w:hAnsi="Calibri" w:cs="Calibri"/>
        </w:rPr>
        <w:t>§ 5º  Caso o valor da cota base atualizada pelo índice de referência seja inferior ao valor da cota base, a taxa de performance a ser provisionada e paga deve ser:</w:t>
      </w:r>
    </w:p>
    <w:p w14:paraId="27EE2D22" w14:textId="77777777" w:rsidR="00C20BBD" w:rsidRPr="0097459F" w:rsidRDefault="00C20BBD" w:rsidP="00C20BBD">
      <w:pPr>
        <w:pStyle w:val="Normalalteradora"/>
        <w:rPr>
          <w:rFonts w:ascii="Calibri" w:hAnsi="Calibri" w:cs="Calibri"/>
        </w:rPr>
      </w:pPr>
      <w:r w:rsidRPr="0097459F">
        <w:rPr>
          <w:rFonts w:ascii="Calibri" w:hAnsi="Calibri" w:cs="Calibri"/>
        </w:rPr>
        <w:t>I – calculada sobre a diferença entre o valor da cota antes de descontada a provisão para o pagamento da taxa de performance e o valor da cota base valorizada pelo índice de referência; e</w:t>
      </w:r>
    </w:p>
    <w:p w14:paraId="7746305D"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II – limitada à diferença entre o valor da cota antes de descontada a provisão para o pagamento da taxa de performance e a cota base.</w:t>
      </w:r>
    </w:p>
    <w:p w14:paraId="5ABA56C5" w14:textId="77777777" w:rsidR="00C20BBD" w:rsidRPr="0097459F" w:rsidRDefault="00C20BBD" w:rsidP="00C20BBD">
      <w:pPr>
        <w:pStyle w:val="Normalalteradora"/>
        <w:rPr>
          <w:rFonts w:ascii="Calibri" w:hAnsi="Calibri" w:cs="Calibri"/>
        </w:rPr>
      </w:pPr>
      <w:r w:rsidRPr="0097459F">
        <w:rPr>
          <w:rFonts w:ascii="Calibri" w:hAnsi="Calibri" w:cs="Calibri"/>
        </w:rPr>
        <w:t>§ 6º  Na hipótese do § 5º, a critério do gestor é permitido não apropriar a taxa de performance provisionada no período, prorrogando a cobrança para o período seguinte, desde que:</w:t>
      </w:r>
    </w:p>
    <w:p w14:paraId="399FAE7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o valor da cota seja superior ao valor da cota base; </w:t>
      </w:r>
    </w:p>
    <w:p w14:paraId="3DF5D2F8" w14:textId="77777777" w:rsidR="00C20BBD" w:rsidRPr="0097459F" w:rsidRDefault="00C20BBD" w:rsidP="00C20BBD">
      <w:pPr>
        <w:pStyle w:val="Normalalteradora"/>
        <w:rPr>
          <w:rFonts w:ascii="Calibri" w:hAnsi="Calibri" w:cs="Calibri"/>
        </w:rPr>
      </w:pPr>
      <w:r w:rsidRPr="0097459F">
        <w:rPr>
          <w:rFonts w:ascii="Calibri" w:hAnsi="Calibri" w:cs="Calibri"/>
        </w:rPr>
        <w:t>II – tal possibilidade esteja expressamente prevista em regulamento, inclusive com relação à possibilidade, se for o caso, de a prorrogação da cobrança da taxa de performance se estender por mais de um período de apuração; e</w:t>
      </w:r>
    </w:p>
    <w:p w14:paraId="1AAB3A9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III – a próxima cobrança da taxa de performance só ocorra quando o valor da cota superar o seu valor por ocasião da última cobrança efetuada. </w:t>
      </w:r>
    </w:p>
    <w:p w14:paraId="35F3FCD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7º  A classe de cotas fechada tipificada como “Ações – Mercado de Acesso” pode utilizar índices atrelados a juros ou à inflação como parâmetro de referência para o cálculo da taxa de performance. </w:t>
      </w:r>
    </w:p>
    <w:p w14:paraId="6C3878BC" w14:textId="24254ADC" w:rsidR="00C20BBD" w:rsidRPr="0097459F" w:rsidRDefault="00C20BBD" w:rsidP="00C20BBD">
      <w:pPr>
        <w:pStyle w:val="Normalalteradora"/>
        <w:rPr>
          <w:rFonts w:ascii="Calibri" w:hAnsi="Calibri" w:cs="Calibri"/>
        </w:rPr>
      </w:pPr>
      <w:r w:rsidRPr="0097459F">
        <w:rPr>
          <w:rFonts w:ascii="Calibri" w:hAnsi="Calibri" w:cs="Calibri"/>
        </w:rPr>
        <w:t>§ 8º  A classe que utilizar a prerrogativa prevista no § 7º deve observar, além dos critérios de que trata o § 1º, incisos II a IV, ao menos um dos seguintes mecanismos:</w:t>
      </w:r>
    </w:p>
    <w:p w14:paraId="4D7CA4F4" w14:textId="77777777" w:rsidR="00C20BBD" w:rsidRPr="0097459F" w:rsidRDefault="00C20BBD" w:rsidP="00C20BBD">
      <w:pPr>
        <w:pStyle w:val="Normalalteradora"/>
        <w:rPr>
          <w:rFonts w:ascii="Calibri" w:hAnsi="Calibri" w:cs="Calibri"/>
        </w:rPr>
      </w:pPr>
      <w:r w:rsidRPr="0097459F">
        <w:rPr>
          <w:rFonts w:ascii="Calibri" w:hAnsi="Calibri" w:cs="Calibri"/>
        </w:rPr>
        <w:t>I – a taxa de performance deve ser calculada sobre os valores efetivamente recebidos pelos cotistas, seja a título de amortização ou de rendimentos, nos termos do art. 36 deste Anexo Normativo I, e que superem o valor do capital total investido ajustado de acordo com o parâmetro de referência mencionado no § 7º, desde a data da primeira integralização; ou</w:t>
      </w:r>
    </w:p>
    <w:p w14:paraId="41D10AC5" w14:textId="77777777" w:rsidR="00C20BBD" w:rsidRPr="0097459F" w:rsidRDefault="00C20BBD" w:rsidP="00C20BBD">
      <w:pPr>
        <w:pStyle w:val="Normalalteradora"/>
        <w:rPr>
          <w:rFonts w:ascii="Calibri" w:hAnsi="Calibri" w:cs="Calibri"/>
        </w:rPr>
      </w:pPr>
      <w:r w:rsidRPr="0097459F">
        <w:rPr>
          <w:rFonts w:ascii="Calibri" w:hAnsi="Calibri" w:cs="Calibri"/>
        </w:rPr>
        <w:t>II – caso se verifique, ao final do período de apuração da taxa de performance, que o valor da cota está abaixo do valor da cota por ocasião da última cobrança da taxa de performance, o gestor deve restituir a diferença entre o valor de taxa de performance pago e aquele que seria devido de acordo com o valor atual da cota nos mesmos prazos e condições estabelecidos para o pagamento da taxa de performance.</w:t>
      </w:r>
    </w:p>
    <w:p w14:paraId="0B96F126" w14:textId="77777777" w:rsidR="00C20BBD" w:rsidRPr="0097459F" w:rsidRDefault="00C20BBD" w:rsidP="00C20BBD">
      <w:pPr>
        <w:pStyle w:val="Normalalteradora"/>
        <w:rPr>
          <w:rFonts w:ascii="Calibri" w:hAnsi="Calibri" w:cs="Calibri"/>
        </w:rPr>
      </w:pPr>
      <w:r w:rsidRPr="0097459F">
        <w:rPr>
          <w:rFonts w:ascii="Calibri" w:hAnsi="Calibri" w:cs="Calibri"/>
        </w:rPr>
        <w:t>§ 9º  Para efeito do cálculo da taxa de performance, o regulamento da classe fechada tipificada como “Ações – Mercado de Acesso” que se valer da prerrogativa prevista no § 8º, inciso I, pode prever que os valores recebidos pelos cotistas a título de amortização ou de rendimentos, nos termos do art. 36 deste Anexo Normativo I, sejam corrigidos da data do seu recebimento à data de cobrança da taxa, no máximo, pelo parâmetro de referência.</w:t>
      </w:r>
    </w:p>
    <w:p w14:paraId="38AE0084"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Art. 29.  O regulamento deve especificar se a taxa de performance é cobrada:</w:t>
      </w:r>
    </w:p>
    <w:p w14:paraId="0656AD43" w14:textId="77777777" w:rsidR="00C20BBD" w:rsidRPr="0097459F" w:rsidRDefault="00C20BBD" w:rsidP="00C20BBD">
      <w:pPr>
        <w:pStyle w:val="Normalalteradora"/>
        <w:rPr>
          <w:rFonts w:ascii="Calibri" w:hAnsi="Calibri" w:cs="Calibri"/>
        </w:rPr>
      </w:pPr>
      <w:r w:rsidRPr="0097459F">
        <w:rPr>
          <w:rFonts w:ascii="Calibri" w:hAnsi="Calibri" w:cs="Calibri"/>
        </w:rPr>
        <w:t>I – com base no resultado da classe ou subclasse de cotas (método do ativo);</w:t>
      </w:r>
    </w:p>
    <w:p w14:paraId="464186A2" w14:textId="77777777" w:rsidR="00C20BBD" w:rsidRPr="0097459F" w:rsidRDefault="00C20BBD" w:rsidP="00C20BBD">
      <w:pPr>
        <w:pStyle w:val="Normalalteradora"/>
        <w:rPr>
          <w:rFonts w:ascii="Calibri" w:hAnsi="Calibri" w:cs="Calibri"/>
        </w:rPr>
      </w:pPr>
      <w:r w:rsidRPr="0097459F">
        <w:rPr>
          <w:rFonts w:ascii="Calibri" w:hAnsi="Calibri" w:cs="Calibri"/>
        </w:rPr>
        <w:t>II – com base no resultado de cada aplicação efetuada por cada cotista (método do passivo); ou</w:t>
      </w:r>
    </w:p>
    <w:p w14:paraId="5AD6BD88" w14:textId="77777777" w:rsidR="00C20BBD" w:rsidRPr="0097459F" w:rsidRDefault="00C20BBD" w:rsidP="00C20BBD">
      <w:pPr>
        <w:pStyle w:val="Normalalteradora"/>
        <w:rPr>
          <w:rFonts w:ascii="Calibri" w:hAnsi="Calibri" w:cs="Calibri"/>
        </w:rPr>
      </w:pPr>
      <w:r w:rsidRPr="0097459F">
        <w:rPr>
          <w:rFonts w:ascii="Calibri" w:hAnsi="Calibri" w:cs="Calibri"/>
        </w:rPr>
        <w:t>III – com base no resultado da classe ou subclasse de cotas, acrescida de ajustes individuais (método do ajuste), exclusivamente nas aplicações efetuadas posteriormente à data da última cobrança de taxa de performance, até o primeiro pagamento de taxa de performance, promovendo a correta individualização dessa despesa entre os cotistas.</w:t>
      </w:r>
    </w:p>
    <w:p w14:paraId="7B31EB96" w14:textId="77777777" w:rsidR="00C20BBD" w:rsidRPr="0097459F" w:rsidRDefault="00C20BBD" w:rsidP="00C20BBD">
      <w:pPr>
        <w:pStyle w:val="Normalalteradora"/>
        <w:rPr>
          <w:rFonts w:ascii="Calibri" w:hAnsi="Calibri" w:cs="Calibri"/>
        </w:rPr>
      </w:pPr>
      <w:r w:rsidRPr="0097459F">
        <w:rPr>
          <w:rFonts w:ascii="Calibri" w:hAnsi="Calibri" w:cs="Calibri"/>
        </w:rPr>
        <w:t>§ 1º  Para a classe ou subclasse cuja taxa de performance seja calculada pelo método do ajuste:</w:t>
      </w:r>
    </w:p>
    <w:p w14:paraId="4527C9E2" w14:textId="77777777" w:rsidR="00C20BBD" w:rsidRPr="0097459F" w:rsidRDefault="00C20BBD" w:rsidP="00C20BBD">
      <w:pPr>
        <w:pStyle w:val="Normalalteradora"/>
        <w:rPr>
          <w:rFonts w:ascii="Calibri" w:hAnsi="Calibri" w:cs="Calibri"/>
        </w:rPr>
      </w:pPr>
      <w:r w:rsidRPr="0097459F">
        <w:rPr>
          <w:rFonts w:ascii="Calibri" w:hAnsi="Calibri" w:cs="Calibri"/>
        </w:rPr>
        <w:t>I – na emissão de cotas, deve ser utilizado o valor da cota do dia ou do dia seguinte ao da efetiva disponibilidade, sempre antes de descontada a provisão para o pagamento da taxa de performance, cabendo ao ajuste individual corrigir qualquer benefício ou prejuízo que possa surgir em relação às demais cotas;</w:t>
      </w:r>
    </w:p>
    <w:p w14:paraId="2278CEA0" w14:textId="77777777" w:rsidR="00C20BBD" w:rsidRPr="0097459F" w:rsidRDefault="00C20BBD" w:rsidP="00C20BBD">
      <w:pPr>
        <w:pStyle w:val="Normalalteradora"/>
        <w:rPr>
          <w:rFonts w:ascii="Calibri" w:hAnsi="Calibri" w:cs="Calibri"/>
        </w:rPr>
      </w:pPr>
      <w:r w:rsidRPr="0097459F">
        <w:rPr>
          <w:rFonts w:ascii="Calibri" w:hAnsi="Calibri" w:cs="Calibri"/>
        </w:rPr>
        <w:t>II – o ajuste individual é calculado de acordo com a situação particular de cada aplicação do cotista e não é despesa do fundo; e</w:t>
      </w:r>
    </w:p>
    <w:p w14:paraId="0F9B9CB4" w14:textId="77777777" w:rsidR="00C20BBD" w:rsidRPr="0097459F" w:rsidRDefault="00C20BBD" w:rsidP="00C20BBD">
      <w:pPr>
        <w:pStyle w:val="Normalalteradora"/>
        <w:rPr>
          <w:rFonts w:ascii="Calibri" w:hAnsi="Calibri" w:cs="Calibri"/>
        </w:rPr>
      </w:pPr>
      <w:r w:rsidRPr="0097459F">
        <w:rPr>
          <w:rFonts w:ascii="Calibri" w:hAnsi="Calibri" w:cs="Calibri"/>
        </w:rPr>
        <w:t>III – a implementação do ajuste individual pode resultar, conforme o caso, no cancelamento ou emissão de cotas para o respectivo cotista no momento do pagamento da taxa de performance, ou no resgate, o que ocorrer primeiro, devendo tal valor ser indicado nos correspondentes extratos de conta.</w:t>
      </w:r>
    </w:p>
    <w:p w14:paraId="5FD7714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2º  É permitida a cobrança de ajuste sobre a performance individual do cotista que aplicar recursos na classe ou subclasse posteriormente à data da última cobrança por método distinto daquele descrito no inciso III do </w:t>
      </w:r>
      <w:r w:rsidRPr="0097459F">
        <w:rPr>
          <w:rFonts w:ascii="Calibri" w:hAnsi="Calibri" w:cs="Calibri"/>
          <w:b/>
        </w:rPr>
        <w:t>caput</w:t>
      </w:r>
      <w:r w:rsidRPr="0097459F">
        <w:rPr>
          <w:rFonts w:ascii="Calibri" w:hAnsi="Calibri" w:cs="Calibri"/>
        </w:rPr>
        <w:t>, desde que causando os mesmos efeitos.</w:t>
      </w:r>
    </w:p>
    <w:p w14:paraId="67222428" w14:textId="77777777" w:rsidR="00C20BBD" w:rsidRPr="0097459F" w:rsidRDefault="00C20BBD" w:rsidP="00C20BBD">
      <w:pPr>
        <w:pStyle w:val="Normalalteradora"/>
        <w:rPr>
          <w:rFonts w:ascii="Calibri" w:hAnsi="Calibri" w:cs="Calibri"/>
        </w:rPr>
      </w:pPr>
      <w:r w:rsidRPr="0097459F">
        <w:rPr>
          <w:rFonts w:ascii="Calibri" w:hAnsi="Calibri" w:cs="Calibri"/>
        </w:rPr>
        <w:t>Art. 30.  Desde que expressamente previsto em seus regulamentos, as classes e subclasses de cotas destinadas exclusivamente a:</w:t>
      </w:r>
    </w:p>
    <w:p w14:paraId="23D21189" w14:textId="77777777" w:rsidR="00C20BBD" w:rsidRPr="0097459F" w:rsidRDefault="00C20BBD" w:rsidP="00C20BBD">
      <w:pPr>
        <w:pStyle w:val="Normalalteradora"/>
        <w:rPr>
          <w:rFonts w:ascii="Calibri" w:hAnsi="Calibri" w:cs="Calibri"/>
        </w:rPr>
      </w:pPr>
      <w:r w:rsidRPr="0097459F">
        <w:rPr>
          <w:rFonts w:ascii="Calibri" w:hAnsi="Calibri" w:cs="Calibri"/>
        </w:rPr>
        <w:t>I – investidores qualificados ficam dispensadas de observar o disposto no art. 28, §§ 1º, 2º e 5º deste Anexo Normativo I; e</w:t>
      </w:r>
    </w:p>
    <w:p w14:paraId="4CF78A0A" w14:textId="77777777" w:rsidR="00C20BBD" w:rsidRPr="0097459F" w:rsidRDefault="00C20BBD" w:rsidP="00C20BBD">
      <w:pPr>
        <w:pStyle w:val="Normalalteradora"/>
        <w:rPr>
          <w:rFonts w:ascii="Calibri" w:hAnsi="Calibri" w:cs="Calibri"/>
        </w:rPr>
      </w:pPr>
      <w:r w:rsidRPr="0097459F">
        <w:rPr>
          <w:rFonts w:ascii="Calibri" w:hAnsi="Calibri" w:cs="Calibri"/>
        </w:rPr>
        <w:t>II – investidores profissionais ficam dispensadas de observar o disposto nos arts. 28 e 29 deste Anexo Normativo I.</w:t>
      </w:r>
    </w:p>
    <w:p w14:paraId="4F77703B"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Art. 31.  Ao adquirir cotas de classes que cobrem taxa de performance, a classe deve atender às condições estipuladas no art. 28, sem prejuízo das dispensas previstas no art. 30, ambos deste Anexo Normativo I.</w:t>
      </w:r>
    </w:p>
    <w:p w14:paraId="3419760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32.  Caso exista acordo de remuneração com base na taxa de performance, </w:t>
      </w:r>
      <w:r w:rsidRPr="0097459F">
        <w:rPr>
          <w:rStyle w:val="normaltextrun"/>
          <w:rFonts w:ascii="Calibri" w:hAnsi="Calibri" w:cs="Calibri"/>
          <w:color w:val="000000"/>
          <w:bdr w:val="none" w:sz="0" w:space="0" w:color="auto" w:frame="1"/>
        </w:rPr>
        <w:t>nos termos do inciso XVII do art. 117 da parte geral da Resolução, o material de divulgação deve informar as principais características do acordo, suficientes para que se compreenda em que termos e condições se dará a distribuição dos recursos entre as partes envolvidas.</w:t>
      </w:r>
    </w:p>
    <w:p w14:paraId="4FD1C847" w14:textId="77777777" w:rsidR="00C20BBD" w:rsidRPr="0097459F" w:rsidRDefault="00C20BBD" w:rsidP="00C20BBD">
      <w:pPr>
        <w:pStyle w:val="Seo"/>
      </w:pPr>
      <w:bookmarkStart w:id="439" w:name="_Toc53594243"/>
      <w:bookmarkStart w:id="440" w:name="_Toc53594491"/>
      <w:bookmarkStart w:id="441" w:name="_Toc53595516"/>
      <w:bookmarkStart w:id="442" w:name="_Toc57836252"/>
      <w:bookmarkStart w:id="443" w:name="_Toc126226361"/>
      <w:r w:rsidRPr="0097459F">
        <w:t>Seção III – Vedações</w:t>
      </w:r>
      <w:bookmarkEnd w:id="439"/>
      <w:bookmarkEnd w:id="440"/>
      <w:bookmarkEnd w:id="441"/>
      <w:bookmarkEnd w:id="442"/>
      <w:bookmarkEnd w:id="443"/>
    </w:p>
    <w:p w14:paraId="3DFD2E8D" w14:textId="77777777" w:rsidR="00C20BBD" w:rsidRPr="0097459F" w:rsidRDefault="00C20BBD" w:rsidP="00C20BBD">
      <w:pPr>
        <w:pStyle w:val="Normalalteradora"/>
        <w:rPr>
          <w:rFonts w:ascii="Calibri" w:hAnsi="Calibri" w:cs="Calibri"/>
        </w:rPr>
      </w:pPr>
      <w:r w:rsidRPr="0097459F">
        <w:rPr>
          <w:rFonts w:ascii="Calibri" w:hAnsi="Calibri" w:cs="Calibri"/>
        </w:rPr>
        <w:t>Art. 33.  É vedado ao gestor realizar operações com ações fora de mercado organizado, ressalvadas as hipóteses de distribuições públicas, exercício de direito de preferência, conversão de debêntures em ações, exercício de bônus de subscrição, integralizações e resgates em ativos e negociação de ações vinculadas a acordo de acionistas.</w:t>
      </w:r>
    </w:p>
    <w:p w14:paraId="34EF9A22"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 xml:space="preserve">Parágrafo único.  A SIN deve autorizar transferência de ativos de forma privada, em exceção ao disposto no </w:t>
      </w:r>
      <w:r w:rsidRPr="0097459F">
        <w:rPr>
          <w:rFonts w:ascii="Calibri" w:hAnsi="Calibri" w:cs="Calibri"/>
          <w:b/>
          <w:sz w:val="24"/>
          <w:szCs w:val="24"/>
        </w:rPr>
        <w:t>caput</w:t>
      </w:r>
      <w:r w:rsidRPr="0097459F">
        <w:rPr>
          <w:rFonts w:ascii="Calibri" w:hAnsi="Calibri" w:cs="Calibri"/>
          <w:sz w:val="24"/>
          <w:szCs w:val="24"/>
        </w:rPr>
        <w:t>, desde que, cumulativamente, os seguintes requisitos sejam atendidos:</w:t>
      </w:r>
    </w:p>
    <w:p w14:paraId="66F8EC0E"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I – carteiras de ativos com liquidez que garanta uma adequada marcação a mercado, e um consequente tratamento isonômico aos investidores envolvidos;</w:t>
      </w:r>
    </w:p>
    <w:p w14:paraId="7684CFE4"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II – manutenção das características mais relevantes das classes envolvidas, tais como condições de resgate, política de investimento a que as classes se sujeitam na prática, política de divulgação ou taxas totais cobradas das classes;</w:t>
      </w:r>
    </w:p>
    <w:p w14:paraId="602852DD"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III – convocação de assembleias para apreciação da proposta pelos cotistas, nas quais seja garantido um suficiente detalhamento das vantagens e riscos da operação aos cotistas afetados;</w:t>
      </w:r>
    </w:p>
    <w:p w14:paraId="05FFDE00"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IV – manutenção das regras de tributação aplicáveis às classes envolvidas;</w:t>
      </w:r>
    </w:p>
    <w:p w14:paraId="43F46730"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V – volume de recursos que justifique a adoção de operação de conferência de ativos; e</w:t>
      </w:r>
    </w:p>
    <w:p w14:paraId="12277754"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VI – compatibilidade entre as carteiras de ativos, de modo a afastar a possibilidade de coexistência de investidores com perfis de risco distintos.</w:t>
      </w:r>
    </w:p>
    <w:p w14:paraId="0F1991A8" w14:textId="77777777" w:rsidR="00C20BBD" w:rsidRPr="0097459F" w:rsidRDefault="00C20BBD" w:rsidP="00C20BBD">
      <w:pPr>
        <w:pStyle w:val="Normalalteradora"/>
        <w:rPr>
          <w:rFonts w:ascii="Calibri" w:hAnsi="Calibri" w:cs="Calibri"/>
        </w:rPr>
      </w:pPr>
      <w:r w:rsidRPr="0097459F">
        <w:rPr>
          <w:rFonts w:ascii="Calibri" w:hAnsi="Calibri" w:cs="Calibri"/>
        </w:rPr>
        <w:t>Art. 34.  É vedado ao gestor emprestar e tomar ativos financeiros em empréstimo em operações cursadas por meio de serviço que não seja autorizado pelo Banco Central do Brasil ou pela CVM.</w:t>
      </w:r>
    </w:p>
    <w:p w14:paraId="62F5A016" w14:textId="77777777" w:rsidR="00C20BBD" w:rsidRPr="0097459F" w:rsidRDefault="00C20BBD" w:rsidP="00C20BBD">
      <w:pPr>
        <w:pStyle w:val="Captulo"/>
      </w:pPr>
      <w:bookmarkStart w:id="444" w:name="_Toc53594244"/>
      <w:bookmarkStart w:id="445" w:name="_Toc53594492"/>
      <w:bookmarkStart w:id="446" w:name="_Toc53595517"/>
      <w:bookmarkStart w:id="447" w:name="_Toc57836253"/>
      <w:bookmarkStart w:id="448" w:name="_Toc126226362"/>
      <w:r w:rsidRPr="0097459F">
        <w:lastRenderedPageBreak/>
        <w:t>CAPÍTULO VIII – CARTEIRA</w:t>
      </w:r>
      <w:bookmarkEnd w:id="444"/>
      <w:bookmarkEnd w:id="445"/>
      <w:bookmarkEnd w:id="446"/>
      <w:bookmarkEnd w:id="447"/>
      <w:bookmarkEnd w:id="448"/>
    </w:p>
    <w:p w14:paraId="040B65D4" w14:textId="77777777" w:rsidR="00C20BBD" w:rsidRPr="0097459F" w:rsidRDefault="00C20BBD" w:rsidP="00C20BBD">
      <w:pPr>
        <w:pStyle w:val="Seo"/>
      </w:pPr>
      <w:bookmarkStart w:id="449" w:name="_Toc53594245"/>
      <w:bookmarkStart w:id="450" w:name="_Toc53594493"/>
      <w:bookmarkStart w:id="451" w:name="_Toc53595518"/>
      <w:bookmarkStart w:id="452" w:name="_Toc57836254"/>
      <w:bookmarkStart w:id="453" w:name="_Toc126226363"/>
      <w:r w:rsidRPr="0097459F">
        <w:t>Seção I – Disposições Gerais</w:t>
      </w:r>
      <w:bookmarkEnd w:id="449"/>
      <w:bookmarkEnd w:id="450"/>
      <w:bookmarkEnd w:id="451"/>
      <w:bookmarkEnd w:id="452"/>
      <w:bookmarkEnd w:id="453"/>
    </w:p>
    <w:p w14:paraId="444E36D4" w14:textId="77777777" w:rsidR="00C20BBD" w:rsidRPr="0097459F" w:rsidRDefault="00C20BBD" w:rsidP="00C20BBD">
      <w:pPr>
        <w:pStyle w:val="Normalalteradora"/>
        <w:rPr>
          <w:rFonts w:ascii="Calibri" w:hAnsi="Calibri" w:cs="Calibri"/>
        </w:rPr>
      </w:pPr>
      <w:r w:rsidRPr="0097459F">
        <w:rPr>
          <w:rFonts w:ascii="Calibri" w:hAnsi="Calibri" w:cs="Calibri"/>
        </w:rPr>
        <w:t>Art. 35.  A classe de cotas deve manter o patrimônio aplicado em ativos financeiros, nos termos estabelecidos no regulamento, observados os limites de concentração de que trata este Anexo Normativo I.</w:t>
      </w:r>
    </w:p>
    <w:p w14:paraId="079A416E" w14:textId="77777777" w:rsidR="00C20BBD" w:rsidRPr="0097459F" w:rsidRDefault="00C20BBD" w:rsidP="00C20BBD">
      <w:pPr>
        <w:pStyle w:val="Normalalteradora"/>
        <w:rPr>
          <w:rFonts w:ascii="Calibri" w:hAnsi="Calibri" w:cs="Calibri"/>
        </w:rPr>
      </w:pPr>
      <w:r w:rsidRPr="0097459F">
        <w:rPr>
          <w:rFonts w:ascii="Calibri" w:hAnsi="Calibri" w:cs="Calibri"/>
        </w:rPr>
        <w:t>Art. 36.  Desde que expressamente autorizado pelo regulamento ou pela assembleia de cotistas, a classe de cotas pode destinar diretamente aos cotistas as quantias que lhe forem atribuídas a título de dividendos, juros sobre capital próprio, reembolso de proventos decorrentes do empréstimo de valores mobiliários, ou outros rendimentos advindos de ativos financeiros que integrem a carteira.</w:t>
      </w:r>
    </w:p>
    <w:p w14:paraId="43CCC75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37.  Todo ativo financeiro integrante da carteira deve ser identificado por um código ISIN - </w:t>
      </w:r>
      <w:r w:rsidRPr="0097459F">
        <w:rPr>
          <w:rFonts w:ascii="Calibri" w:hAnsi="Calibri" w:cs="Calibri"/>
          <w:b/>
        </w:rPr>
        <w:t>Internacional Securities Identification Number</w:t>
      </w:r>
      <w:r w:rsidRPr="0097459F">
        <w:rPr>
          <w:rFonts w:ascii="Calibri" w:hAnsi="Calibri" w:cs="Calibri"/>
        </w:rPr>
        <w:t>.</w:t>
      </w:r>
    </w:p>
    <w:p w14:paraId="22083F28"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Alternativamente ao código ISIN, a critério da SIN, pode ser aceito qualquer outro código que seja capaz de identificar os ativos financeiros, de maneira individualizada.</w:t>
      </w:r>
    </w:p>
    <w:p w14:paraId="316BA03F" w14:textId="77777777" w:rsidR="00C20BBD" w:rsidRPr="0097459F" w:rsidRDefault="00C20BBD" w:rsidP="00C20BBD">
      <w:pPr>
        <w:pStyle w:val="Normalalteradora"/>
        <w:rPr>
          <w:rFonts w:ascii="Calibri" w:hAnsi="Calibri" w:cs="Calibri"/>
        </w:rPr>
      </w:pPr>
      <w:r w:rsidRPr="0097459F">
        <w:rPr>
          <w:rFonts w:ascii="Calibri" w:hAnsi="Calibri" w:cs="Calibri"/>
        </w:rPr>
        <w:t>Art. 38.  O regulamento pode reduzir, mas não pode aumentar, os limites máximos estabelecidos nos arts. 44, 45, 60 e 73 deste Anexo Normativo I.</w:t>
      </w:r>
    </w:p>
    <w:p w14:paraId="08EF6C01" w14:textId="77777777" w:rsidR="00C20BBD" w:rsidRPr="0097459F" w:rsidRDefault="00C20BBD" w:rsidP="00C20BBD">
      <w:pPr>
        <w:pStyle w:val="Seo"/>
      </w:pPr>
      <w:bookmarkStart w:id="454" w:name="_Toc126226364"/>
      <w:r w:rsidRPr="0097459F">
        <w:t>Seção II – Ativos Financeiros no Brasil</w:t>
      </w:r>
      <w:bookmarkEnd w:id="454"/>
    </w:p>
    <w:p w14:paraId="640F110B" w14:textId="77777777" w:rsidR="00C20BBD" w:rsidRPr="0097459F" w:rsidRDefault="00C20BBD" w:rsidP="00C20BBD">
      <w:pPr>
        <w:pStyle w:val="Normalalteradora"/>
        <w:rPr>
          <w:rFonts w:ascii="Calibri" w:hAnsi="Calibri" w:cs="Calibri"/>
        </w:rPr>
      </w:pPr>
      <w:r w:rsidRPr="0097459F">
        <w:rPr>
          <w:rFonts w:ascii="Calibri" w:hAnsi="Calibri" w:cs="Calibri"/>
        </w:rPr>
        <w:t>Art. 39.  Os ativos financeiros negociados no mercado brasileiro devem ser registrados em sistema de registro ou objeto de depósito central, em ambos os casos junto a instituições devidamente autorizadas pelo Banco Central do Brasil ou pela CVM para desempenhar as referidas atividades, nas suas respectivas áreas de competência, ou, ainda, nos casos expressamente aprovados pela CVM.</w:t>
      </w:r>
    </w:p>
    <w:p w14:paraId="310DB30E" w14:textId="77777777" w:rsidR="00C20BBD" w:rsidRPr="0097459F" w:rsidRDefault="00C20BBD" w:rsidP="00C20BBD">
      <w:pPr>
        <w:pStyle w:val="Normalalteradora"/>
        <w:rPr>
          <w:rFonts w:ascii="Calibri" w:hAnsi="Calibri" w:cs="Calibri"/>
        </w:rPr>
      </w:pPr>
      <w:r w:rsidRPr="0097459F">
        <w:rPr>
          <w:rFonts w:ascii="Calibri" w:hAnsi="Calibri" w:cs="Calibri"/>
        </w:rPr>
        <w:t>§ 1º  Ativos financeiros cujo emissor seja pessoa referida nos incisos II a IV do art. 44 deste Anexo Normativo I devem obrigatoriamente ser objeto de depósito central, ressalvadas as posições em derivativos cujos ativos subjacentes sejam de emissão de tais pessoas e operações com derivativo em que elas atuem como contraparte da classe.</w:t>
      </w:r>
    </w:p>
    <w:p w14:paraId="759AF4A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2º  Sem prejuízo do disposto no § 1º, as cotas de classes abertas não estão sujeitas aos requisitos de que trata o </w:t>
      </w:r>
      <w:r w:rsidRPr="0097459F">
        <w:rPr>
          <w:rFonts w:ascii="Calibri" w:hAnsi="Calibri" w:cs="Calibri"/>
          <w:b/>
        </w:rPr>
        <w:t>caput</w:t>
      </w:r>
      <w:r w:rsidRPr="0097459F">
        <w:rPr>
          <w:rFonts w:ascii="Calibri" w:hAnsi="Calibri" w:cs="Calibri"/>
        </w:rPr>
        <w:t>, bem como as classes fechadas cujas cotas não estejam admitidas à negociação em mercado organizado.</w:t>
      </w:r>
    </w:p>
    <w:p w14:paraId="54A993D2"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 3º  O registro e depósito a que se refere o </w:t>
      </w:r>
      <w:r w:rsidRPr="0097459F">
        <w:rPr>
          <w:rFonts w:ascii="Calibri" w:hAnsi="Calibri" w:cs="Calibri"/>
          <w:b/>
        </w:rPr>
        <w:t>caput</w:t>
      </w:r>
      <w:r w:rsidRPr="0097459F">
        <w:rPr>
          <w:rFonts w:ascii="Calibri" w:hAnsi="Calibri" w:cs="Calibri"/>
        </w:rPr>
        <w:t xml:space="preserve"> deste artigo devem ser realizados em contas específicas, abertas diretamente em nome da classe.</w:t>
      </w:r>
    </w:p>
    <w:p w14:paraId="0898CC9D" w14:textId="77777777" w:rsidR="00C20BBD" w:rsidRPr="0097459F" w:rsidRDefault="00C20BBD" w:rsidP="00C20BBD">
      <w:pPr>
        <w:pStyle w:val="Normalalteradora"/>
        <w:rPr>
          <w:rFonts w:ascii="Calibri" w:hAnsi="Calibri" w:cs="Calibri"/>
        </w:rPr>
      </w:pPr>
      <w:r w:rsidRPr="0097459F">
        <w:rPr>
          <w:rFonts w:ascii="Calibri" w:hAnsi="Calibri" w:cs="Calibri"/>
        </w:rPr>
        <w:t>Art. 40.  Os ativos financeiros cuja liquidação possa se dar por meio da entrega de produtos, mercadorias ou serviços devem:</w:t>
      </w:r>
    </w:p>
    <w:p w14:paraId="68EE5709" w14:textId="0B80DDF3" w:rsidR="00C20BBD" w:rsidRPr="0097459F" w:rsidRDefault="00C20BBD" w:rsidP="00C20BBD">
      <w:pPr>
        <w:pStyle w:val="Normalalteradora"/>
        <w:rPr>
          <w:rFonts w:ascii="Calibri" w:hAnsi="Calibri" w:cs="Calibri"/>
        </w:rPr>
      </w:pPr>
      <w:r w:rsidRPr="0097459F">
        <w:rPr>
          <w:rFonts w:ascii="Calibri" w:hAnsi="Calibri" w:cs="Calibri"/>
        </w:rPr>
        <w:t xml:space="preserve">I – ser negociados em mercado organizado que garanta sua liquidação, observado, ainda, o disposto no art. 44, § </w:t>
      </w:r>
      <w:r w:rsidR="00CB33B2">
        <w:rPr>
          <w:rFonts w:ascii="Calibri" w:hAnsi="Calibri" w:cs="Calibri"/>
        </w:rPr>
        <w:t>9</w:t>
      </w:r>
      <w:r w:rsidRPr="0097459F">
        <w:rPr>
          <w:rFonts w:ascii="Calibri" w:hAnsi="Calibri" w:cs="Calibri"/>
        </w:rPr>
        <w:t>º, da parte geral da Resolução; ou</w:t>
      </w:r>
    </w:p>
    <w:p w14:paraId="1A8DD05C" w14:textId="77777777" w:rsidR="00C20BBD" w:rsidRPr="0097459F" w:rsidRDefault="00C20BBD" w:rsidP="00C20BBD">
      <w:pPr>
        <w:pStyle w:val="Normalalteradora"/>
        <w:rPr>
          <w:rFonts w:ascii="Calibri" w:hAnsi="Calibri" w:cs="Calibri"/>
        </w:rPr>
      </w:pPr>
      <w:r w:rsidRPr="0097459F">
        <w:rPr>
          <w:rFonts w:ascii="Calibri" w:hAnsi="Calibri" w:cs="Calibri"/>
        </w:rPr>
        <w:t>II – ser objeto de contrato que assegure à classe o direito de sua alienação antes do vencimento, com garantia de instituição financeira ou de sociedade seguradora, observada, neste último caso, a regulamentação da Superintendência de Seguros Privados – SUSEP.</w:t>
      </w:r>
    </w:p>
    <w:p w14:paraId="4D7F15F7" w14:textId="77777777" w:rsidR="00C20BBD" w:rsidRPr="0097459F" w:rsidRDefault="00C20BBD" w:rsidP="00C20BBD">
      <w:pPr>
        <w:pStyle w:val="Seo"/>
      </w:pPr>
      <w:bookmarkStart w:id="455" w:name="_Toc53594246"/>
      <w:bookmarkStart w:id="456" w:name="_Toc53594494"/>
      <w:bookmarkStart w:id="457" w:name="_Toc53595519"/>
      <w:bookmarkStart w:id="458" w:name="_Toc57836255"/>
      <w:bookmarkStart w:id="459" w:name="_Toc126226365"/>
      <w:r w:rsidRPr="0097459F">
        <w:t>Seção III – Ativos Financeiros no Exterior</w:t>
      </w:r>
      <w:bookmarkEnd w:id="455"/>
      <w:bookmarkEnd w:id="456"/>
      <w:bookmarkEnd w:id="457"/>
      <w:bookmarkEnd w:id="458"/>
      <w:bookmarkEnd w:id="459"/>
    </w:p>
    <w:p w14:paraId="1F7A7595" w14:textId="77777777" w:rsidR="00C20BBD" w:rsidRPr="0097459F" w:rsidRDefault="00C20BBD" w:rsidP="00C20BBD">
      <w:pPr>
        <w:pStyle w:val="Normalalteradora"/>
        <w:rPr>
          <w:rFonts w:ascii="Calibri" w:hAnsi="Calibri" w:cs="Calibri"/>
        </w:rPr>
      </w:pPr>
      <w:r w:rsidRPr="0097459F">
        <w:rPr>
          <w:rFonts w:ascii="Calibri" w:hAnsi="Calibri" w:cs="Calibri"/>
        </w:rPr>
        <w:t>Art. 41.  Os ativos financeiros referidos no art. 39 deste Anexo Normativo I incluem os ativos financeiros no exterior, nos casos e limites admitidos neste Anexo Normativo I.</w:t>
      </w:r>
    </w:p>
    <w:p w14:paraId="37FD883B" w14:textId="77777777" w:rsidR="00C20BBD" w:rsidRPr="0097459F" w:rsidRDefault="00C20BBD" w:rsidP="00C20BBD">
      <w:pPr>
        <w:pStyle w:val="Normalalteradora"/>
        <w:rPr>
          <w:rFonts w:ascii="Calibri" w:hAnsi="Calibri" w:cs="Calibri"/>
        </w:rPr>
      </w:pPr>
      <w:r w:rsidRPr="0097459F">
        <w:rPr>
          <w:rFonts w:ascii="Calibri" w:hAnsi="Calibri" w:cs="Calibri"/>
        </w:rPr>
        <w:t>§ 1º  Para efeitos deste Anexo Normativo I, os ativos financeiros negociados em países signatários do Tratado de Assunção equiparam-se aos ativos financeiros negociados no mercado nacional.</w:t>
      </w:r>
    </w:p>
    <w:p w14:paraId="146014A1" w14:textId="77777777" w:rsidR="00C20BBD" w:rsidRPr="0097459F" w:rsidRDefault="00C20BBD" w:rsidP="00C20BBD">
      <w:pPr>
        <w:pStyle w:val="Normalalteradora"/>
        <w:rPr>
          <w:rFonts w:ascii="Calibri" w:hAnsi="Calibri" w:cs="Calibri"/>
        </w:rPr>
      </w:pPr>
      <w:r w:rsidRPr="0097459F">
        <w:rPr>
          <w:rFonts w:ascii="Calibri" w:hAnsi="Calibri" w:cs="Calibri"/>
        </w:rPr>
        <w:t>§ 2º  Os ativos financeiros no exterior, incluindo aqueles citados no § 1º deste artigo, devem observar, ao menos, uma das seguintes condições:</w:t>
      </w:r>
    </w:p>
    <w:p w14:paraId="45042C1F" w14:textId="77777777" w:rsidR="00C20BBD" w:rsidRPr="0097459F" w:rsidRDefault="00C20BBD" w:rsidP="00C20BBD">
      <w:pPr>
        <w:pStyle w:val="Normalalteradora"/>
        <w:rPr>
          <w:rFonts w:ascii="Calibri" w:hAnsi="Calibri" w:cs="Calibri"/>
        </w:rPr>
      </w:pPr>
      <w:r w:rsidRPr="0097459F">
        <w:rPr>
          <w:rFonts w:ascii="Calibri" w:hAnsi="Calibri" w:cs="Calibri"/>
        </w:rPr>
        <w:t>I – serem registrados em sistema de registro, objeto de escrituração de ativos, objeto de custódia ou objeto de depósito central, em todos os casos, por instituições devidamente autorizadas em seus países de origem e supervisionadas por supervisor local; ou</w:t>
      </w:r>
    </w:p>
    <w:p w14:paraId="4C1D6D9D" w14:textId="77777777" w:rsidR="00C20BBD" w:rsidRPr="0097459F" w:rsidRDefault="00C20BBD" w:rsidP="00C20BBD">
      <w:pPr>
        <w:pStyle w:val="Normalalteradora"/>
        <w:rPr>
          <w:rFonts w:ascii="Calibri" w:hAnsi="Calibri" w:cs="Calibri"/>
        </w:rPr>
      </w:pPr>
      <w:r w:rsidRPr="0097459F">
        <w:rPr>
          <w:rFonts w:ascii="Calibri" w:hAnsi="Calibri" w:cs="Calibri"/>
        </w:rPr>
        <w:t>II – terem sua existência diligentemente verificada pelo custodiante da classe, que deve verificar, ainda, se tais ativos estão escriturados ou custodiados por entidade autorizada para o exercício de tais atividade por autoridade que seja supervisionada por supervisor local.</w:t>
      </w:r>
    </w:p>
    <w:p w14:paraId="2002FD66" w14:textId="77777777" w:rsidR="00C20BBD" w:rsidRPr="0097459F" w:rsidDel="00453330" w:rsidRDefault="00C20BBD" w:rsidP="00C20BBD">
      <w:pPr>
        <w:pStyle w:val="Normalalteradora"/>
        <w:rPr>
          <w:rFonts w:ascii="Calibri" w:hAnsi="Calibri" w:cs="Calibri"/>
        </w:rPr>
      </w:pPr>
      <w:r w:rsidRPr="0097459F">
        <w:rPr>
          <w:rFonts w:ascii="Calibri" w:hAnsi="Calibri" w:cs="Calibri"/>
        </w:rPr>
        <w:t>§ 3º</w:t>
      </w:r>
      <w:r w:rsidRPr="0097459F" w:rsidDel="00453330">
        <w:rPr>
          <w:rFonts w:ascii="Calibri" w:hAnsi="Calibri" w:cs="Calibri"/>
        </w:rPr>
        <w:t xml:space="preserve"> </w:t>
      </w:r>
      <w:r w:rsidRPr="0097459F">
        <w:rPr>
          <w:rFonts w:ascii="Calibri" w:hAnsi="Calibri" w:cs="Calibri"/>
        </w:rPr>
        <w:t xml:space="preserve"> As </w:t>
      </w:r>
      <w:r w:rsidRPr="0097459F" w:rsidDel="00453330">
        <w:rPr>
          <w:rFonts w:ascii="Calibri" w:hAnsi="Calibri" w:cs="Calibri"/>
        </w:rPr>
        <w:t xml:space="preserve">operações com derivativos </w:t>
      </w:r>
      <w:r w:rsidRPr="0097459F">
        <w:rPr>
          <w:rFonts w:ascii="Calibri" w:hAnsi="Calibri" w:cs="Calibri"/>
        </w:rPr>
        <w:t>no exterior  devem observar,</w:t>
      </w:r>
      <w:r w:rsidRPr="0097459F" w:rsidDel="00453330">
        <w:rPr>
          <w:rFonts w:ascii="Calibri" w:hAnsi="Calibri" w:cs="Calibri"/>
        </w:rPr>
        <w:t xml:space="preserve"> ao menos</w:t>
      </w:r>
      <w:r w:rsidRPr="0097459F">
        <w:rPr>
          <w:rFonts w:ascii="Calibri" w:hAnsi="Calibri" w:cs="Calibri"/>
        </w:rPr>
        <w:t>,</w:t>
      </w:r>
      <w:r w:rsidRPr="0097459F" w:rsidDel="00453330">
        <w:rPr>
          <w:rFonts w:ascii="Calibri" w:hAnsi="Calibri" w:cs="Calibri"/>
        </w:rPr>
        <w:t xml:space="preserve"> uma das seguintes condições:</w:t>
      </w:r>
    </w:p>
    <w:p w14:paraId="2DBFF1F8" w14:textId="77777777" w:rsidR="00C20BBD" w:rsidRPr="0097459F" w:rsidDel="00453330" w:rsidRDefault="00C20BBD" w:rsidP="00C20BBD">
      <w:pPr>
        <w:pStyle w:val="Normalalteradora"/>
        <w:rPr>
          <w:rFonts w:ascii="Calibri" w:hAnsi="Calibri" w:cs="Calibri"/>
        </w:rPr>
      </w:pPr>
      <w:r w:rsidRPr="0097459F">
        <w:rPr>
          <w:rFonts w:ascii="Calibri" w:hAnsi="Calibri" w:cs="Calibri"/>
        </w:rPr>
        <w:t>I – serem registradas em sistemas de registro, objeto de escrituração, objeto de custódia ou registradas em sistema de liquidação financeira, em todos os casos, por sistemas devidamente autorizados em seus países de origem e supervisionados por supervisor local;</w:t>
      </w:r>
    </w:p>
    <w:p w14:paraId="37B28E9C" w14:textId="77777777" w:rsidR="00C20BBD" w:rsidRPr="0097459F" w:rsidDel="00453330" w:rsidRDefault="00C20BBD" w:rsidP="00C20BBD">
      <w:pPr>
        <w:pStyle w:val="Normalalteradora"/>
        <w:rPr>
          <w:rFonts w:ascii="Calibri" w:hAnsi="Calibri" w:cs="Calibri"/>
        </w:rPr>
      </w:pPr>
      <w:r w:rsidRPr="0097459F">
        <w:rPr>
          <w:rFonts w:ascii="Calibri" w:hAnsi="Calibri" w:cs="Calibri"/>
        </w:rPr>
        <w:lastRenderedPageBreak/>
        <w:t>II – serem</w:t>
      </w:r>
      <w:r w:rsidRPr="0097459F" w:rsidDel="00453330">
        <w:rPr>
          <w:rFonts w:ascii="Calibri" w:hAnsi="Calibri" w:cs="Calibri"/>
        </w:rPr>
        <w:t xml:space="preserve"> informadas às autoridades locais;</w:t>
      </w:r>
    </w:p>
    <w:p w14:paraId="5815D681" w14:textId="77777777" w:rsidR="00C20BBD" w:rsidRPr="0097459F" w:rsidDel="00453330" w:rsidRDefault="00C20BBD" w:rsidP="00C20BBD">
      <w:pPr>
        <w:pStyle w:val="Normalalteradora"/>
        <w:rPr>
          <w:rFonts w:ascii="Calibri" w:hAnsi="Calibri" w:cs="Calibri"/>
        </w:rPr>
      </w:pPr>
      <w:r w:rsidRPr="0097459F">
        <w:rPr>
          <w:rFonts w:ascii="Calibri" w:hAnsi="Calibri" w:cs="Calibri"/>
        </w:rPr>
        <w:t>III –</w:t>
      </w:r>
      <w:r w:rsidRPr="0097459F" w:rsidDel="00453330">
        <w:rPr>
          <w:rFonts w:ascii="Calibri" w:hAnsi="Calibri" w:cs="Calibri"/>
        </w:rPr>
        <w:t xml:space="preserve"> </w:t>
      </w:r>
      <w:r w:rsidRPr="0097459F">
        <w:rPr>
          <w:rFonts w:ascii="Calibri" w:hAnsi="Calibri" w:cs="Calibri"/>
        </w:rPr>
        <w:t>serem</w:t>
      </w:r>
      <w:r w:rsidRPr="0097459F" w:rsidDel="00453330">
        <w:rPr>
          <w:rFonts w:ascii="Calibri" w:hAnsi="Calibri" w:cs="Calibri"/>
        </w:rPr>
        <w:t xml:space="preserve"> negociadas em bolsas</w:t>
      </w:r>
      <w:r w:rsidRPr="0097459F">
        <w:rPr>
          <w:rFonts w:ascii="Calibri" w:hAnsi="Calibri" w:cs="Calibri"/>
        </w:rPr>
        <w:t>,</w:t>
      </w:r>
      <w:r w:rsidRPr="0097459F" w:rsidDel="00453330">
        <w:rPr>
          <w:rFonts w:ascii="Calibri" w:hAnsi="Calibri" w:cs="Calibri"/>
        </w:rPr>
        <w:t xml:space="preserve"> plataformas eletrônicas ou liquidadas por meio de contraparte central; ou</w:t>
      </w:r>
    </w:p>
    <w:p w14:paraId="58D2F8EA" w14:textId="77777777" w:rsidR="00C20BBD" w:rsidRPr="0097459F" w:rsidRDefault="00C20BBD" w:rsidP="00C20BBD">
      <w:pPr>
        <w:pStyle w:val="Normalalteradora"/>
        <w:rPr>
          <w:rFonts w:ascii="Calibri" w:hAnsi="Calibri" w:cs="Calibri"/>
        </w:rPr>
      </w:pPr>
      <w:r w:rsidRPr="0097459F">
        <w:rPr>
          <w:rFonts w:ascii="Calibri" w:hAnsi="Calibri" w:cs="Calibri"/>
        </w:rPr>
        <w:t>IV – terem como contraparte instituição financeira ou entidades a ela filiada e aderente às regras do Acordo da Basiléia, classificada como de baixo risco de crédito, na avaliação do gestor, e que seja supervisionada por supervisor local.</w:t>
      </w:r>
    </w:p>
    <w:p w14:paraId="30A411FC" w14:textId="77777777" w:rsidR="00C20BBD" w:rsidRPr="0097459F" w:rsidRDefault="00C20BBD" w:rsidP="00C20BBD">
      <w:pPr>
        <w:pStyle w:val="Normalalteradora"/>
        <w:rPr>
          <w:rFonts w:ascii="Calibri" w:hAnsi="Calibri" w:cs="Calibri"/>
        </w:rPr>
      </w:pPr>
      <w:r w:rsidRPr="0097459F">
        <w:rPr>
          <w:rFonts w:ascii="Calibri" w:hAnsi="Calibri" w:cs="Calibri"/>
        </w:rPr>
        <w:t>§ 4º  Não se aplica o requisito previsto no § 2º no caso de créditos de carbono, desde que:</w:t>
      </w:r>
    </w:p>
    <w:p w14:paraId="2152B662" w14:textId="77777777" w:rsidR="00C20BBD" w:rsidRPr="0097459F" w:rsidRDefault="00C20BBD" w:rsidP="00C20BBD">
      <w:pPr>
        <w:pStyle w:val="Normalalteradora"/>
        <w:rPr>
          <w:rFonts w:ascii="Calibri" w:hAnsi="Calibri" w:cs="Calibri"/>
        </w:rPr>
      </w:pPr>
      <w:r w:rsidRPr="0097459F">
        <w:rPr>
          <w:rFonts w:ascii="Calibri" w:hAnsi="Calibri" w:cs="Calibri"/>
        </w:rPr>
        <w:t>I – o crédito de carbono seja negociado em mercado regulado de emissões de gases do efeito-estufa que possua autoridade local reconhecida como seu regulador; e</w:t>
      </w:r>
    </w:p>
    <w:p w14:paraId="7D2B8C2A" w14:textId="77777777" w:rsidR="00C20BBD" w:rsidRPr="0097459F" w:rsidRDefault="00C20BBD" w:rsidP="00C20BBD">
      <w:pPr>
        <w:pStyle w:val="Normalalteradora"/>
        <w:rPr>
          <w:rFonts w:ascii="Calibri" w:hAnsi="Calibri" w:cs="Calibri"/>
        </w:rPr>
      </w:pPr>
      <w:r w:rsidRPr="0097459F">
        <w:rPr>
          <w:rFonts w:ascii="Calibri" w:hAnsi="Calibri" w:cs="Calibri"/>
        </w:rPr>
        <w:t>II – o custodiante da classe investidora diligencie para assegurar a existência, integridade e titularidade do crédito de carbono.</w:t>
      </w:r>
    </w:p>
    <w:p w14:paraId="0AAD1ACD" w14:textId="77777777" w:rsidR="00C20BBD" w:rsidRPr="0097459F" w:rsidRDefault="00C20BBD" w:rsidP="00C20BBD">
      <w:pPr>
        <w:pStyle w:val="Normalalteradora"/>
        <w:rPr>
          <w:rFonts w:ascii="Calibri" w:hAnsi="Calibri" w:cs="Calibri"/>
        </w:rPr>
      </w:pPr>
      <w:r w:rsidRPr="0097459F">
        <w:rPr>
          <w:rFonts w:ascii="Calibri" w:hAnsi="Calibri" w:cs="Calibri"/>
        </w:rPr>
        <w:t>Art. 42.  A aplicação de recursos em fundos de investimento ou veículos de investimento no exterior deve observar, no mínimo, as seguintes condições:</w:t>
      </w:r>
    </w:p>
    <w:p w14:paraId="2DE9E18C" w14:textId="77777777" w:rsidR="00C20BBD" w:rsidRPr="0097459F" w:rsidRDefault="00C20BBD" w:rsidP="00C20BBD">
      <w:pPr>
        <w:pStyle w:val="Normalalteradora"/>
        <w:rPr>
          <w:rFonts w:ascii="Calibri" w:hAnsi="Calibri" w:cs="Calibri"/>
        </w:rPr>
      </w:pPr>
      <w:r w:rsidRPr="0097459F">
        <w:rPr>
          <w:rFonts w:ascii="Calibri" w:hAnsi="Calibri" w:cs="Calibri"/>
        </w:rPr>
        <w:t>I – o custodiante da classe investidora deve certificar-se de que o custodiante ou escriturador do fundo ou veículo de investimento no exterior possui estrutura, processos e controles internos adequados para desempenhar as seguintes atividades:</w:t>
      </w:r>
    </w:p>
    <w:p w14:paraId="007E7EBF" w14:textId="77777777" w:rsidR="00C20BBD" w:rsidRPr="0097459F" w:rsidRDefault="00C20BBD" w:rsidP="00C20BBD">
      <w:pPr>
        <w:pStyle w:val="Normalalteradora"/>
        <w:rPr>
          <w:rFonts w:ascii="Calibri" w:hAnsi="Calibri" w:cs="Calibri"/>
        </w:rPr>
      </w:pPr>
      <w:r w:rsidRPr="0097459F">
        <w:rPr>
          <w:rFonts w:ascii="Calibri" w:hAnsi="Calibri" w:cs="Calibri"/>
        </w:rPr>
        <w:t>a) prestar serviço de custódia ou escrituração de ativos, conforme aplicável;</w:t>
      </w:r>
    </w:p>
    <w:p w14:paraId="0FD1126C"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b) realizar a boa guarda e regular movimentação dos ativos mantidos em custódia ou, no caso de escriturador, atestar a legitimidade e veracidade dos registros e titularidade dos ativos; e </w:t>
      </w:r>
    </w:p>
    <w:p w14:paraId="62BC731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c) verificar a existência, a boa guarda e a regular movimentação dos ativos integrantes da carteira do fundo ou veículo de investimento no exterior; e </w:t>
      </w:r>
    </w:p>
    <w:p w14:paraId="7297B44C" w14:textId="77777777" w:rsidR="00C20BBD" w:rsidRPr="0097459F" w:rsidRDefault="00C20BBD" w:rsidP="00C20BBD">
      <w:pPr>
        <w:pStyle w:val="Normalalteradora"/>
        <w:rPr>
          <w:rFonts w:ascii="Calibri" w:hAnsi="Calibri" w:cs="Calibri"/>
        </w:rPr>
      </w:pPr>
      <w:r w:rsidRPr="0097459F">
        <w:rPr>
          <w:rFonts w:ascii="Calibri" w:hAnsi="Calibri" w:cs="Calibri"/>
        </w:rPr>
        <w:t>II – o gestor deve assegurar que o fundo ou veículo de investimento no exterior atenda, no mínimo, às seguintes condições:</w:t>
      </w:r>
    </w:p>
    <w:p w14:paraId="40ECAAA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 seja regulado e supervisionado por supervisor local; </w:t>
      </w:r>
    </w:p>
    <w:p w14:paraId="525C1AB1" w14:textId="77777777" w:rsidR="00C20BBD" w:rsidRPr="0097459F" w:rsidRDefault="00C20BBD" w:rsidP="00C20BBD">
      <w:pPr>
        <w:pStyle w:val="Normalalteradora"/>
        <w:rPr>
          <w:rFonts w:ascii="Calibri" w:hAnsi="Calibri" w:cs="Calibri"/>
        </w:rPr>
      </w:pPr>
      <w:r w:rsidRPr="0097459F">
        <w:rPr>
          <w:rFonts w:ascii="Calibri" w:hAnsi="Calibri" w:cs="Calibri"/>
        </w:rPr>
        <w:t>b) possua periodicidade de cálculo do valor da cota compatível com a liquidez oferecida aos cotistas da classe investidora, nos termos de seu regulamento;</w:t>
      </w:r>
    </w:p>
    <w:p w14:paraId="3278D776"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c) possua administrador, gestor, custodiante ou prestadores de serviços que desempenhem funções equivalentes e sejam capacitados, experientes, de boa reputação e devidamente autorizados a exercer suas funções por supervisor local;</w:t>
      </w:r>
    </w:p>
    <w:p w14:paraId="60EE9791" w14:textId="77777777" w:rsidR="00C20BBD" w:rsidRPr="0097459F" w:rsidRDefault="00C20BBD" w:rsidP="00C20BBD">
      <w:pPr>
        <w:pStyle w:val="Normalalteradora"/>
        <w:rPr>
          <w:rFonts w:ascii="Calibri" w:hAnsi="Calibri" w:cs="Calibri"/>
        </w:rPr>
      </w:pPr>
      <w:r w:rsidRPr="0097459F">
        <w:rPr>
          <w:rFonts w:ascii="Calibri" w:hAnsi="Calibri" w:cs="Calibri"/>
        </w:rPr>
        <w:t>d) possua custodiante supervisionado por supervisor local;</w:t>
      </w:r>
    </w:p>
    <w:p w14:paraId="3C397D61"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e) tenha suas demonstrações financeiras auditadas por empresa de auditoria independente; e </w:t>
      </w:r>
    </w:p>
    <w:p w14:paraId="048BB4B4" w14:textId="77777777" w:rsidR="00C20BBD" w:rsidRPr="0097459F" w:rsidRDefault="00C20BBD" w:rsidP="00C20BBD">
      <w:pPr>
        <w:pStyle w:val="Normalalteradora"/>
        <w:rPr>
          <w:rFonts w:ascii="Calibri" w:hAnsi="Calibri" w:cs="Calibri"/>
        </w:rPr>
      </w:pPr>
      <w:r w:rsidRPr="0097459F">
        <w:rPr>
          <w:rFonts w:ascii="Calibri" w:hAnsi="Calibri" w:cs="Calibri"/>
        </w:rPr>
        <w:t>f) possua política de controle de riscos e limites de exposição a risco de capital compatíveis com a política de investimento da classe investidora.</w:t>
      </w:r>
    </w:p>
    <w:p w14:paraId="7EA01549" w14:textId="77777777" w:rsidR="00C20BBD" w:rsidRPr="0097459F" w:rsidRDefault="00C20BBD" w:rsidP="00C20BBD">
      <w:pPr>
        <w:pStyle w:val="Normalalteradora"/>
        <w:rPr>
          <w:rFonts w:ascii="Calibri" w:hAnsi="Calibri" w:cs="Calibri"/>
        </w:rPr>
      </w:pPr>
      <w:r w:rsidRPr="0097459F">
        <w:rPr>
          <w:rFonts w:ascii="Calibri" w:hAnsi="Calibri" w:cs="Calibri"/>
        </w:rPr>
        <w:t>§ 1º  Caso o gestor da classe investidora detenha, direta ou indiretamente, influência nas decisões de investimento dos fundos ou outros veículos de investimento no exterior, as seguintes condições adicionais devem ser observadas:</w:t>
      </w:r>
    </w:p>
    <w:p w14:paraId="5E5D7EB0" w14:textId="77777777" w:rsidR="00C20BBD" w:rsidRPr="0097459F" w:rsidRDefault="00C20BBD" w:rsidP="00C20BBD">
      <w:pPr>
        <w:pStyle w:val="Normalalteradora"/>
        <w:rPr>
          <w:rFonts w:ascii="Calibri" w:hAnsi="Calibri" w:cs="Calibri"/>
        </w:rPr>
      </w:pPr>
      <w:r w:rsidRPr="0097459F">
        <w:rPr>
          <w:rFonts w:ascii="Calibri" w:hAnsi="Calibri" w:cs="Calibri"/>
        </w:rPr>
        <w:t>I – os ativos integrantes das carteiras dos fundos e outros veículos investidos devem ser detalhados no demonstrativo mensal de composição e diversificação da carteira referido no art. 24, inciso II, alínea “b”, deste Anexo Normativo I; e</w:t>
      </w:r>
    </w:p>
    <w:p w14:paraId="43D218CD" w14:textId="77777777" w:rsidR="00C20BBD" w:rsidRPr="0097459F" w:rsidRDefault="00C20BBD" w:rsidP="00C20BBD">
      <w:pPr>
        <w:pStyle w:val="Normalalteradora"/>
        <w:rPr>
          <w:rFonts w:ascii="Calibri" w:hAnsi="Calibri" w:cs="Calibri"/>
        </w:rPr>
      </w:pPr>
      <w:r w:rsidRPr="0097459F">
        <w:rPr>
          <w:rFonts w:ascii="Calibri" w:hAnsi="Calibri" w:cs="Calibri"/>
        </w:rPr>
        <w:t>II – os fundos ou outros veículos de investimento investidos no exterior só podem realizar operações com derivativos que observem o disposto no art. 41, § 3º, deste Anexo Normativo I; e</w:t>
      </w:r>
    </w:p>
    <w:p w14:paraId="6E0E5BC4" w14:textId="77777777" w:rsidR="00C20BBD" w:rsidRPr="0097459F" w:rsidRDefault="00C20BBD" w:rsidP="00C20BBD">
      <w:pPr>
        <w:pStyle w:val="Normalalteradora"/>
        <w:rPr>
          <w:rFonts w:ascii="Calibri" w:hAnsi="Calibri" w:cs="Calibri"/>
        </w:rPr>
      </w:pPr>
      <w:r w:rsidRPr="0097459F">
        <w:rPr>
          <w:rFonts w:ascii="Calibri" w:hAnsi="Calibri" w:cs="Calibri"/>
        </w:rPr>
        <w:t>III – para os efeitos de controle de limites de exposição a risco de capital, a exposição da carteira da classe investidora deve ser consolidada com a do fundo ou veículo de investimento no exterior, considerando o valor das margens exigidas em operações com garantia somada à margem potencial de operações de derivativos sem garantia, observado que o cálculo da margem potencial de operações de derivativos sem garantia deve ser realizado pelo administrador, e não pode ser compensado com as margens das operações com garantia.</w:t>
      </w:r>
    </w:p>
    <w:p w14:paraId="37E3729A" w14:textId="77777777" w:rsidR="00C20BBD" w:rsidRPr="0097459F" w:rsidRDefault="00C20BBD" w:rsidP="00C20BBD">
      <w:pPr>
        <w:pStyle w:val="Normalalteradora"/>
        <w:rPr>
          <w:rFonts w:ascii="Calibri" w:hAnsi="Calibri" w:cs="Calibri"/>
        </w:rPr>
      </w:pPr>
      <w:r w:rsidRPr="0097459F">
        <w:rPr>
          <w:rFonts w:ascii="Calibri" w:hAnsi="Calibri" w:cs="Calibri"/>
        </w:rPr>
        <w:t>§ 2º  Nas hipóteses em que o gestor da classe investidora não detenha, direta ou indiretamente, influência nas decisões de investimento dos fundos ou veículos de investimento no exterior, o cálculo da exposição da carteira deve considerar a exposição máxima possível, de acordo com as características do fundo investido.</w:t>
      </w:r>
    </w:p>
    <w:p w14:paraId="2BB0564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3º  O gestor da classe de cotas destinada exclusivamente a investidores profissionais fica dispensado do cumprimento do inciso II do </w:t>
      </w:r>
      <w:r w:rsidRPr="0097459F">
        <w:rPr>
          <w:rFonts w:ascii="Calibri" w:hAnsi="Calibri" w:cs="Calibri"/>
          <w:b/>
        </w:rPr>
        <w:t>caput</w:t>
      </w:r>
      <w:r w:rsidRPr="0097459F">
        <w:rPr>
          <w:rFonts w:ascii="Calibri" w:hAnsi="Calibri" w:cs="Calibri"/>
        </w:rPr>
        <w:t xml:space="preserve"> e do § 1º deste artigo.</w:t>
      </w:r>
    </w:p>
    <w:p w14:paraId="26EB0E48"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4º  Para fins deste artigo, os fundos ou veículos de investimento no exterior não compreendem os ETF-Internacional, que são uma modalidade de ativo à parte.</w:t>
      </w:r>
    </w:p>
    <w:p w14:paraId="228F98E1" w14:textId="77777777" w:rsidR="00C20BBD" w:rsidRPr="0097459F" w:rsidRDefault="00C20BBD" w:rsidP="00C20BBD">
      <w:pPr>
        <w:pStyle w:val="Normalalteradora"/>
        <w:rPr>
          <w:rFonts w:ascii="Calibri" w:hAnsi="Calibri" w:cs="Calibri"/>
        </w:rPr>
      </w:pPr>
      <w:r w:rsidRPr="0097459F">
        <w:rPr>
          <w:rFonts w:ascii="Calibri" w:hAnsi="Calibri" w:cs="Calibri"/>
        </w:rPr>
        <w:t>Art. 43.  As classes de cotas de FIF devem observar os seguintes limites de concentração ao aplicar em ativos financeiros no exterior:</w:t>
      </w:r>
    </w:p>
    <w:p w14:paraId="79E8B678" w14:textId="77777777" w:rsidR="00C20BBD" w:rsidRPr="0097459F" w:rsidRDefault="00C20BBD" w:rsidP="00C20BBD">
      <w:pPr>
        <w:pStyle w:val="Normalalteradora"/>
        <w:rPr>
          <w:rFonts w:ascii="Calibri" w:hAnsi="Calibri" w:cs="Calibri"/>
        </w:rPr>
      </w:pPr>
      <w:r w:rsidRPr="0097459F">
        <w:rPr>
          <w:rFonts w:ascii="Calibri" w:hAnsi="Calibri" w:cs="Calibri"/>
        </w:rPr>
        <w:t>I – ilimitado, para:</w:t>
      </w:r>
    </w:p>
    <w:p w14:paraId="6FAD056A" w14:textId="77777777" w:rsidR="00C20BBD" w:rsidRPr="0097459F" w:rsidRDefault="00C20BBD" w:rsidP="00C20BBD">
      <w:pPr>
        <w:pStyle w:val="Normalalteradora"/>
        <w:rPr>
          <w:rFonts w:ascii="Calibri" w:hAnsi="Calibri" w:cs="Calibri"/>
        </w:rPr>
      </w:pPr>
      <w:r w:rsidRPr="0097459F">
        <w:rPr>
          <w:rFonts w:ascii="Calibri" w:hAnsi="Calibri" w:cs="Calibri"/>
        </w:rPr>
        <w:t>a) classes categorizadas como “Renda Fixa – Dívida Externa”; e</w:t>
      </w:r>
    </w:p>
    <w:p w14:paraId="5BB59C08" w14:textId="77777777" w:rsidR="00C20BBD" w:rsidRPr="0097459F" w:rsidRDefault="00C20BBD" w:rsidP="00C20BBD">
      <w:pPr>
        <w:pStyle w:val="Normalalteradora"/>
        <w:rPr>
          <w:rFonts w:ascii="Calibri" w:hAnsi="Calibri" w:cs="Calibri"/>
        </w:rPr>
      </w:pPr>
      <w:r w:rsidRPr="0097459F">
        <w:rPr>
          <w:rFonts w:ascii="Calibri" w:hAnsi="Calibri" w:cs="Calibri"/>
        </w:rPr>
        <w:t>b) classes exclusivamente destinadas a investidores profissionais.</w:t>
      </w:r>
    </w:p>
    <w:p w14:paraId="612FC7BB" w14:textId="77777777" w:rsidR="00C20BBD" w:rsidRPr="0097459F" w:rsidRDefault="00C20BBD" w:rsidP="00C20BBD">
      <w:pPr>
        <w:pStyle w:val="Normalalteradora"/>
        <w:rPr>
          <w:rFonts w:ascii="Calibri" w:hAnsi="Calibri" w:cs="Calibri"/>
        </w:rPr>
      </w:pPr>
      <w:r w:rsidRPr="0097459F">
        <w:rPr>
          <w:rFonts w:ascii="Calibri" w:hAnsi="Calibri" w:cs="Calibri"/>
        </w:rPr>
        <w:t>II – até 40% (quarenta por cento) de seu patrimônio líquido para classes exclusivamente destinadas a investidores qualificados; e</w:t>
      </w:r>
    </w:p>
    <w:p w14:paraId="010E2F33" w14:textId="77777777" w:rsidR="00C20BBD" w:rsidRPr="0097459F" w:rsidRDefault="00C20BBD" w:rsidP="00C20BBD">
      <w:pPr>
        <w:pStyle w:val="Normalalteradora"/>
        <w:rPr>
          <w:rFonts w:ascii="Calibri" w:hAnsi="Calibri" w:cs="Calibri"/>
        </w:rPr>
      </w:pPr>
      <w:r w:rsidRPr="0097459F">
        <w:rPr>
          <w:rFonts w:ascii="Calibri" w:hAnsi="Calibri" w:cs="Calibri"/>
        </w:rPr>
        <w:t>III – até 20% (vinte por cento) de seu patrimônio líquido para as classes destinadas ao público em geral.</w:t>
      </w:r>
    </w:p>
    <w:p w14:paraId="183557F9"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O regulamento da classe de cotas destinada exclusivamente a investidores qualificados pode extrapolar o limite estabelecido no inciso II do </w:t>
      </w:r>
      <w:r w:rsidRPr="0097459F">
        <w:rPr>
          <w:rFonts w:ascii="Calibri" w:hAnsi="Calibri" w:cs="Calibri"/>
          <w:b/>
        </w:rPr>
        <w:t>caput</w:t>
      </w:r>
      <w:r w:rsidRPr="0097459F">
        <w:rPr>
          <w:rFonts w:ascii="Calibri" w:hAnsi="Calibri" w:cs="Calibri"/>
        </w:rPr>
        <w:t xml:space="preserve">, desde que: </w:t>
      </w:r>
    </w:p>
    <w:p w14:paraId="517CB7E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a tipificação da classe seja preservada;  </w:t>
      </w:r>
    </w:p>
    <w:p w14:paraId="38A748EF" w14:textId="77777777" w:rsidR="00C20BBD" w:rsidRPr="0097459F" w:rsidRDefault="00C20BBD" w:rsidP="00C20BBD">
      <w:pPr>
        <w:pStyle w:val="Normalalteradora"/>
        <w:rPr>
          <w:rFonts w:ascii="Calibri" w:hAnsi="Calibri" w:cs="Calibri"/>
        </w:rPr>
      </w:pPr>
      <w:r w:rsidRPr="0097459F">
        <w:rPr>
          <w:rFonts w:ascii="Calibri" w:hAnsi="Calibri" w:cs="Calibri"/>
        </w:rPr>
        <w:t>II – o regulamento disponha pormenorizadamente sobre os ativos que pretende adquirir no exterior, indicando:</w:t>
      </w:r>
    </w:p>
    <w:p w14:paraId="04A5C34F" w14:textId="77777777" w:rsidR="00C20BBD" w:rsidRPr="0097459F" w:rsidRDefault="00C20BBD" w:rsidP="00C20BBD">
      <w:pPr>
        <w:pStyle w:val="Normalalteradora"/>
        <w:rPr>
          <w:rFonts w:ascii="Calibri" w:hAnsi="Calibri" w:cs="Calibri"/>
        </w:rPr>
      </w:pPr>
      <w:r w:rsidRPr="0097459F">
        <w:rPr>
          <w:rFonts w:ascii="Calibri" w:hAnsi="Calibri" w:cs="Calibri"/>
        </w:rPr>
        <w:t>a) o país em que foram emitidos;</w:t>
      </w:r>
    </w:p>
    <w:p w14:paraId="66424FF0" w14:textId="77777777" w:rsidR="00C20BBD" w:rsidRPr="0097459F" w:rsidRDefault="00C20BBD" w:rsidP="00C20BBD">
      <w:pPr>
        <w:pStyle w:val="Normalalteradora"/>
        <w:rPr>
          <w:rFonts w:ascii="Calibri" w:hAnsi="Calibri" w:cs="Calibri"/>
        </w:rPr>
      </w:pPr>
      <w:r w:rsidRPr="0097459F">
        <w:rPr>
          <w:rFonts w:ascii="Calibri" w:hAnsi="Calibri" w:cs="Calibri"/>
        </w:rPr>
        <w:t>b) se a sua gestão é ativa ou passiva;</w:t>
      </w:r>
    </w:p>
    <w:p w14:paraId="1901AAC4" w14:textId="77777777" w:rsidR="00C20BBD" w:rsidRPr="0097459F" w:rsidRDefault="00C20BBD" w:rsidP="00C20BBD">
      <w:pPr>
        <w:pStyle w:val="Normalalteradora"/>
        <w:rPr>
          <w:rFonts w:ascii="Calibri" w:hAnsi="Calibri" w:cs="Calibri"/>
        </w:rPr>
      </w:pPr>
      <w:r w:rsidRPr="0097459F">
        <w:rPr>
          <w:rFonts w:ascii="Calibri" w:hAnsi="Calibri" w:cs="Calibri"/>
        </w:rPr>
        <w:t>c) se é permitida compra de cotas de fundos e veículos de investimento no exterior;</w:t>
      </w:r>
    </w:p>
    <w:p w14:paraId="7000EF5A" w14:textId="77777777" w:rsidR="00C20BBD" w:rsidRPr="0097459F" w:rsidRDefault="00C20BBD" w:rsidP="00C20BBD">
      <w:pPr>
        <w:pStyle w:val="Normalalteradora"/>
        <w:rPr>
          <w:rFonts w:ascii="Calibri" w:hAnsi="Calibri" w:cs="Calibri"/>
        </w:rPr>
      </w:pPr>
      <w:r w:rsidRPr="0097459F">
        <w:rPr>
          <w:rFonts w:ascii="Calibri" w:hAnsi="Calibri" w:cs="Calibri"/>
        </w:rPr>
        <w:t>d) o risco a que estão expostos; e</w:t>
      </w:r>
    </w:p>
    <w:p w14:paraId="6EEB3AD7" w14:textId="77777777" w:rsidR="00C20BBD" w:rsidRPr="0097459F" w:rsidRDefault="00C20BBD" w:rsidP="00C20BBD">
      <w:pPr>
        <w:pStyle w:val="Normalalteradora"/>
        <w:rPr>
          <w:rFonts w:ascii="Calibri" w:hAnsi="Calibri" w:cs="Calibri"/>
        </w:rPr>
      </w:pPr>
      <w:r w:rsidRPr="0097459F">
        <w:rPr>
          <w:rFonts w:ascii="Calibri" w:hAnsi="Calibri" w:cs="Calibri"/>
        </w:rPr>
        <w:t>e) qualquer outra informação que julgue relevante; e</w:t>
      </w:r>
    </w:p>
    <w:p w14:paraId="513D40B7" w14:textId="77777777" w:rsidR="00C20BBD" w:rsidRPr="0097459F" w:rsidRDefault="00C20BBD" w:rsidP="00C20BBD">
      <w:pPr>
        <w:pStyle w:val="Normalalteradora"/>
        <w:rPr>
          <w:rFonts w:ascii="Calibri" w:hAnsi="Calibri" w:cs="Calibri"/>
        </w:rPr>
      </w:pPr>
      <w:r w:rsidRPr="0097459F">
        <w:rPr>
          <w:rFonts w:ascii="Calibri" w:hAnsi="Calibri" w:cs="Calibri"/>
        </w:rPr>
        <w:t>III – no caso de aplicações em fundos de investimentos ou veículos de investimento no exterior, o gestor deve assegurar que os fundos e veículos investidos, seja por força de regulação exercida por supervisor local ou em virtude de sua documentação, estão sujeitos ao cumprimento dos seguintes requisitos:</w:t>
      </w:r>
    </w:p>
    <w:p w14:paraId="35E89B00"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 obrigatoriedade de demonstrações financeiras auditadas por empresa de auditoria independente;</w:t>
      </w:r>
    </w:p>
    <w:p w14:paraId="378F25C5" w14:textId="77777777" w:rsidR="00C20BBD" w:rsidRPr="0097459F" w:rsidRDefault="00C20BBD" w:rsidP="00C20BBD">
      <w:pPr>
        <w:pStyle w:val="Normalalteradora"/>
        <w:rPr>
          <w:rFonts w:ascii="Calibri" w:hAnsi="Calibri" w:cs="Calibri"/>
        </w:rPr>
      </w:pPr>
      <w:r w:rsidRPr="0097459F">
        <w:rPr>
          <w:rFonts w:ascii="Calibri" w:hAnsi="Calibri" w:cs="Calibri"/>
        </w:rPr>
        <w:t>b) seus documentos devem ser aprovados pelo supervisor local ou mantidos à sua disposição e disponibilizados ao investidor;</w:t>
      </w:r>
    </w:p>
    <w:p w14:paraId="09A8B715" w14:textId="77777777" w:rsidR="00C20BBD" w:rsidRPr="0097459F" w:rsidRDefault="00C20BBD" w:rsidP="00C20BBD">
      <w:pPr>
        <w:pStyle w:val="Normalalteradora"/>
        <w:rPr>
          <w:rFonts w:ascii="Calibri" w:hAnsi="Calibri" w:cs="Calibri"/>
        </w:rPr>
      </w:pPr>
      <w:r w:rsidRPr="0097459F">
        <w:rPr>
          <w:rFonts w:ascii="Calibri" w:hAnsi="Calibri" w:cs="Calibri"/>
        </w:rPr>
        <w:t>c) periodicidade de cálculo do valor da cota que seja compatível com a liquidez da classe investidora;</w:t>
      </w:r>
    </w:p>
    <w:p w14:paraId="2884632B" w14:textId="77777777" w:rsidR="00C20BBD" w:rsidRPr="0097459F" w:rsidRDefault="00C20BBD" w:rsidP="00C20BBD">
      <w:pPr>
        <w:pStyle w:val="Normalalteradora"/>
        <w:rPr>
          <w:rFonts w:ascii="Calibri" w:hAnsi="Calibri" w:cs="Calibri"/>
        </w:rPr>
      </w:pPr>
      <w:r w:rsidRPr="0097459F">
        <w:rPr>
          <w:rFonts w:ascii="Calibri" w:hAnsi="Calibri" w:cs="Calibri"/>
        </w:rPr>
        <w:t>d) regras sobre gestão de riscos, inclusive de liquidez, que tenham requisitos formais para o monitoramento, revisão e avaliações qualitativas e quantitativas;</w:t>
      </w:r>
    </w:p>
    <w:p w14:paraId="79DD277C" w14:textId="77777777" w:rsidR="00C20BBD" w:rsidRPr="0097459F" w:rsidRDefault="00C20BBD" w:rsidP="00C20BBD">
      <w:pPr>
        <w:pStyle w:val="Normalalteradora"/>
        <w:rPr>
          <w:rFonts w:ascii="Calibri" w:hAnsi="Calibri" w:cs="Calibri"/>
        </w:rPr>
      </w:pPr>
      <w:r w:rsidRPr="0097459F">
        <w:rPr>
          <w:rFonts w:ascii="Calibri" w:hAnsi="Calibri" w:cs="Calibri"/>
        </w:rPr>
        <w:t>e) princípios para precificação dos ativos e que a precificação seja feita por área segregada ou por terceiros habilitados;</w:t>
      </w:r>
    </w:p>
    <w:p w14:paraId="3440A919" w14:textId="77777777" w:rsidR="00C20BBD" w:rsidRPr="0097459F" w:rsidRDefault="00C20BBD" w:rsidP="00C20BBD">
      <w:pPr>
        <w:pStyle w:val="Normalalteradora"/>
        <w:rPr>
          <w:rFonts w:ascii="Calibri" w:hAnsi="Calibri" w:cs="Calibri"/>
        </w:rPr>
      </w:pPr>
      <w:r w:rsidRPr="0097459F">
        <w:rPr>
          <w:rFonts w:ascii="Calibri" w:hAnsi="Calibri" w:cs="Calibri"/>
        </w:rPr>
        <w:t>f) regras para diversificação dos investimentos, limites de concentração por emissor ou alertas acerca do risco de eventual concentração, aplicáveis também aos ativos subjacentes, no caso de derivativos;</w:t>
      </w:r>
    </w:p>
    <w:p w14:paraId="2FA3F109" w14:textId="77777777" w:rsidR="00C20BBD" w:rsidRPr="0097459F" w:rsidRDefault="00C20BBD" w:rsidP="00C20BBD">
      <w:pPr>
        <w:pStyle w:val="Normalalteradora"/>
        <w:rPr>
          <w:rFonts w:ascii="Calibri" w:hAnsi="Calibri" w:cs="Calibri"/>
        </w:rPr>
      </w:pPr>
      <w:r w:rsidRPr="0097459F">
        <w:rPr>
          <w:rFonts w:ascii="Calibri" w:hAnsi="Calibri" w:cs="Calibri"/>
        </w:rPr>
        <w:t>g) tratamento para venda a descoberto e exposição a risco de capital;</w:t>
      </w:r>
    </w:p>
    <w:p w14:paraId="3F62AEA7" w14:textId="77777777" w:rsidR="00C20BBD" w:rsidRPr="0097459F" w:rsidRDefault="00C20BBD" w:rsidP="00C20BBD">
      <w:pPr>
        <w:pStyle w:val="Normalalteradora"/>
        <w:rPr>
          <w:rFonts w:ascii="Calibri" w:hAnsi="Calibri" w:cs="Calibri"/>
        </w:rPr>
      </w:pPr>
      <w:r w:rsidRPr="0097459F">
        <w:rPr>
          <w:rFonts w:ascii="Calibri" w:hAnsi="Calibri" w:cs="Calibri"/>
        </w:rPr>
        <w:t>h) no caso de operações de balcão, que a contraparte associada seja instituição financeira regulada e supervisionada por supervisor local;</w:t>
      </w:r>
    </w:p>
    <w:p w14:paraId="47D301FA" w14:textId="77777777" w:rsidR="00C20BBD" w:rsidRPr="0097459F" w:rsidRDefault="00C20BBD" w:rsidP="00C20BBD">
      <w:pPr>
        <w:pStyle w:val="Normalalteradora"/>
        <w:rPr>
          <w:rFonts w:ascii="Calibri" w:hAnsi="Calibri" w:cs="Calibri"/>
        </w:rPr>
      </w:pPr>
      <w:r w:rsidRPr="0097459F">
        <w:rPr>
          <w:rFonts w:ascii="Calibri" w:hAnsi="Calibri" w:cs="Calibri"/>
        </w:rPr>
        <w:t>i) demonstração dos níveis de controle de risco, e a estrutura de governança dos fundos e veículos investidos, indicando o administrador, gestor, custodiante, demais prestadores de serviço, e suas respectivas funções;</w:t>
      </w:r>
    </w:p>
    <w:p w14:paraId="04FFAE56" w14:textId="77777777" w:rsidR="00C20BBD" w:rsidRPr="0097459F" w:rsidRDefault="00C20BBD" w:rsidP="00C20BBD">
      <w:pPr>
        <w:pStyle w:val="Normalalteradora"/>
        <w:rPr>
          <w:rFonts w:ascii="Calibri" w:hAnsi="Calibri" w:cs="Calibri"/>
        </w:rPr>
      </w:pPr>
      <w:r w:rsidRPr="0097459F">
        <w:rPr>
          <w:rFonts w:ascii="Calibri" w:hAnsi="Calibri" w:cs="Calibri"/>
        </w:rPr>
        <w:t>j) evidenciação das remunerações, taxas e demais despesas; e</w:t>
      </w:r>
    </w:p>
    <w:p w14:paraId="5FCFDCE7" w14:textId="77777777" w:rsidR="00C20BBD" w:rsidRPr="0097459F" w:rsidRDefault="00C20BBD" w:rsidP="00C20BBD">
      <w:pPr>
        <w:pStyle w:val="Normalalteradora"/>
        <w:rPr>
          <w:rFonts w:ascii="Calibri" w:hAnsi="Calibri" w:cs="Calibri"/>
        </w:rPr>
      </w:pPr>
      <w:r w:rsidRPr="0097459F">
        <w:rPr>
          <w:rFonts w:ascii="Calibri" w:hAnsi="Calibri" w:cs="Calibri"/>
        </w:rPr>
        <w:t>k) identificação dos fatores de riscos e as restrições de investimentos.</w:t>
      </w:r>
    </w:p>
    <w:p w14:paraId="445A649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2º  Nas classes de cotas destinadas ao público em geral, o regulamento pode extrapolar o limite estabelecido no inciso III do </w:t>
      </w:r>
      <w:r w:rsidRPr="0097459F">
        <w:rPr>
          <w:rFonts w:ascii="Calibri" w:hAnsi="Calibri" w:cs="Calibri"/>
          <w:b/>
        </w:rPr>
        <w:t>caput</w:t>
      </w:r>
      <w:r w:rsidRPr="0097459F">
        <w:rPr>
          <w:rFonts w:ascii="Calibri" w:hAnsi="Calibri" w:cs="Calibri"/>
        </w:rPr>
        <w:t>, desde que todos os investimentos ocorram por meio de fundos ou veículos de investimento no exterior que, em acréscimo aos requisitos estabelecidos no § 1º, contem com, no mínimo, o seguinte aparato:</w:t>
      </w:r>
    </w:p>
    <w:p w14:paraId="5AD179B9" w14:textId="77777777" w:rsidR="00C20BBD" w:rsidRPr="0097459F" w:rsidRDefault="00C20BBD" w:rsidP="00C20BBD">
      <w:pPr>
        <w:pStyle w:val="Normalalteradora"/>
        <w:rPr>
          <w:rFonts w:ascii="Calibri" w:hAnsi="Calibri" w:cs="Calibri"/>
        </w:rPr>
      </w:pPr>
      <w:r w:rsidRPr="0097459F">
        <w:rPr>
          <w:rFonts w:ascii="Calibri" w:hAnsi="Calibri" w:cs="Calibri"/>
        </w:rPr>
        <w:t>I – metodologia de cálculo para precificação dos ativos e de alavancagem reconhecida e monitorada por supervisor local;</w:t>
      </w:r>
    </w:p>
    <w:p w14:paraId="3137A6FE"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II – gerenciamento de riscos que leve em consideração potencial descasamento entre ativo e passivo do fundo ou veículo no exterior, com necessidade de reporte periódico;</w:t>
      </w:r>
    </w:p>
    <w:p w14:paraId="3F0E309F" w14:textId="77777777" w:rsidR="00C20BBD" w:rsidRPr="0097459F" w:rsidRDefault="00C20BBD" w:rsidP="00C20BBD">
      <w:pPr>
        <w:pStyle w:val="Normalalteradora"/>
        <w:rPr>
          <w:rFonts w:ascii="Calibri" w:hAnsi="Calibri" w:cs="Calibri"/>
        </w:rPr>
      </w:pPr>
      <w:r w:rsidRPr="0097459F">
        <w:rPr>
          <w:rFonts w:ascii="Calibri" w:hAnsi="Calibri" w:cs="Calibri"/>
        </w:rPr>
        <w:t>III – gerenciamento de liquidez adequado ao perfil dos investimentos e aos prazos de resgate a classe investidora, com liquidez, no mínimo, semanal;</w:t>
      </w:r>
    </w:p>
    <w:p w14:paraId="1E6C0F24" w14:textId="77777777" w:rsidR="00C20BBD" w:rsidRPr="0097459F" w:rsidRDefault="00C20BBD" w:rsidP="00C20BBD">
      <w:pPr>
        <w:pStyle w:val="Normalalteradora"/>
        <w:rPr>
          <w:rFonts w:ascii="Calibri" w:hAnsi="Calibri" w:cs="Calibri"/>
        </w:rPr>
      </w:pPr>
      <w:r w:rsidRPr="0097459F">
        <w:rPr>
          <w:rFonts w:ascii="Calibri" w:hAnsi="Calibri" w:cs="Calibri"/>
        </w:rPr>
        <w:t>IV – regras que não permitam que o fundo ou veículo no exterior possua patrimônio líquido negativo ou que obriguem ao cotista aportar recursos adicionais acima do capital comprometido para cobrir eventual prejuízo do fundo ou veículo no exterior;</w:t>
      </w:r>
    </w:p>
    <w:p w14:paraId="328DA79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V – seja destinado ao público em geral, ou equivalente em </w:t>
      </w:r>
      <w:r w:rsidRPr="0097459F" w:rsidDel="00125E9B">
        <w:rPr>
          <w:rFonts w:ascii="Calibri" w:hAnsi="Calibri" w:cs="Calibri"/>
        </w:rPr>
        <w:t xml:space="preserve">sua jurisdição </w:t>
      </w:r>
      <w:r w:rsidRPr="0097459F">
        <w:rPr>
          <w:rFonts w:ascii="Calibri" w:hAnsi="Calibri" w:cs="Calibri"/>
        </w:rPr>
        <w:t>de origem;</w:t>
      </w:r>
    </w:p>
    <w:p w14:paraId="7F62A7E3" w14:textId="77777777" w:rsidR="00C20BBD" w:rsidRPr="0097459F" w:rsidRDefault="00C20BBD" w:rsidP="00C20BBD">
      <w:pPr>
        <w:pStyle w:val="Normalalteradora"/>
        <w:rPr>
          <w:rFonts w:ascii="Calibri" w:hAnsi="Calibri" w:cs="Calibri"/>
        </w:rPr>
      </w:pPr>
      <w:r w:rsidRPr="0097459F">
        <w:rPr>
          <w:rFonts w:ascii="Calibri" w:hAnsi="Calibri" w:cs="Calibri"/>
        </w:rPr>
        <w:t>VI – regras de concentração de ativos reconhecida e monitorada por supervisor local, sendo que os fundos ou veículos no exterior devem estar sujeitos aos seguintes limites:</w:t>
      </w:r>
    </w:p>
    <w:p w14:paraId="06CFA87A" w14:textId="77777777" w:rsidR="00C20BBD" w:rsidRPr="0097459F" w:rsidRDefault="00C20BBD" w:rsidP="00C20BBD">
      <w:pPr>
        <w:pStyle w:val="Normalalteradora"/>
        <w:rPr>
          <w:rFonts w:ascii="Calibri" w:hAnsi="Calibri" w:cs="Calibri"/>
        </w:rPr>
      </w:pPr>
      <w:r w:rsidRPr="0097459F">
        <w:rPr>
          <w:rFonts w:ascii="Calibri" w:hAnsi="Calibri" w:cs="Calibri"/>
        </w:rPr>
        <w:t>a) até 10% (dez por cento) de seu patrimônio em ativos que não estejam listados em segmento de negociação de valores mobiliários;</w:t>
      </w:r>
    </w:p>
    <w:p w14:paraId="677F1148" w14:textId="77777777" w:rsidR="00C20BBD" w:rsidRPr="0097459F" w:rsidRDefault="00C20BBD" w:rsidP="00C20BBD">
      <w:pPr>
        <w:pStyle w:val="Normalalteradora"/>
        <w:rPr>
          <w:rFonts w:ascii="Calibri" w:hAnsi="Calibri" w:cs="Calibri"/>
        </w:rPr>
      </w:pPr>
      <w:r w:rsidRPr="0097459F">
        <w:rPr>
          <w:rFonts w:ascii="Calibri" w:hAnsi="Calibri" w:cs="Calibri"/>
        </w:rPr>
        <w:t>b) até 20% (vinte por cento) de seu patrimônio em depósito bancário em uma única instituição; e</w:t>
      </w:r>
    </w:p>
    <w:p w14:paraId="10C6E381" w14:textId="77777777" w:rsidR="00C20BBD" w:rsidRPr="0097459F" w:rsidRDefault="00C20BBD" w:rsidP="00C20BBD">
      <w:pPr>
        <w:pStyle w:val="Normalalteradora"/>
        <w:rPr>
          <w:rFonts w:ascii="Calibri" w:hAnsi="Calibri" w:cs="Calibri"/>
        </w:rPr>
      </w:pPr>
      <w:r w:rsidRPr="0097459F">
        <w:rPr>
          <w:rFonts w:ascii="Calibri" w:hAnsi="Calibri" w:cs="Calibri"/>
        </w:rPr>
        <w:t>c) até 20% (vinte por cento) de seu patrimônio em ativos de um mesmo emissor, considerado no cálculo do referido limite, cumulativamente, os depósitos bancários e o valor das posições em contratos de derivativos com ativos subjacentes do emissor ou em que ele atue como contraparte.</w:t>
      </w:r>
    </w:p>
    <w:p w14:paraId="3912985E" w14:textId="77777777" w:rsidR="00C20BBD" w:rsidRPr="0097459F" w:rsidRDefault="00C20BBD" w:rsidP="00C20BBD">
      <w:pPr>
        <w:pStyle w:val="Normalalteradora"/>
        <w:rPr>
          <w:rFonts w:ascii="Calibri" w:hAnsi="Calibri" w:cs="Calibri"/>
        </w:rPr>
      </w:pPr>
      <w:r w:rsidRPr="0097459F">
        <w:rPr>
          <w:rFonts w:ascii="Calibri" w:hAnsi="Calibri" w:cs="Calibri"/>
        </w:rPr>
        <w:t>§ 3º  No cômputo dos limites dispostos neste artigo, devem ser considerados os contratos derivativos investidos pelos fundos ou veículos de investimento no exterior, em função do valor de exposição, corrente e potencial, que acarretem sobre as posições detidas pelo fundo investidor, apurado com base em metodologia consistente e passível de verificação.</w:t>
      </w:r>
    </w:p>
    <w:p w14:paraId="196C1316" w14:textId="77777777" w:rsidR="00C20BBD" w:rsidRPr="0097459F" w:rsidRDefault="00C20BBD" w:rsidP="00C20BBD">
      <w:pPr>
        <w:pStyle w:val="Normalalteradora"/>
        <w:rPr>
          <w:rFonts w:ascii="Calibri" w:hAnsi="Calibri" w:cs="Calibri"/>
        </w:rPr>
      </w:pPr>
      <w:r w:rsidRPr="0097459F">
        <w:rPr>
          <w:rFonts w:ascii="Calibri" w:hAnsi="Calibri" w:cs="Calibri"/>
        </w:rPr>
        <w:t>§ 4º  As aplicações em ativos financeiros no exterior não são cumulativamente consideradas no cálculo dos correspondentes limites de concentração por emissor e por modalidade de ativo financeiro aplicáveis aos ativos domésticos.</w:t>
      </w:r>
    </w:p>
    <w:p w14:paraId="6224EAAA" w14:textId="77777777" w:rsidR="00C20BBD" w:rsidRPr="0097459F" w:rsidRDefault="00C20BBD" w:rsidP="00C20BBD">
      <w:pPr>
        <w:pStyle w:val="Seo"/>
      </w:pPr>
      <w:bookmarkStart w:id="460" w:name="_Toc53594247"/>
      <w:bookmarkStart w:id="461" w:name="_Toc53594495"/>
      <w:bookmarkStart w:id="462" w:name="_Toc53595520"/>
      <w:bookmarkStart w:id="463" w:name="_Toc57836256"/>
      <w:bookmarkStart w:id="464" w:name="_Toc126226366"/>
      <w:r w:rsidRPr="0097459F">
        <w:t>Seção IV – Limites por Emissor</w:t>
      </w:r>
      <w:bookmarkEnd w:id="460"/>
      <w:bookmarkEnd w:id="461"/>
      <w:bookmarkEnd w:id="462"/>
      <w:bookmarkEnd w:id="463"/>
      <w:bookmarkEnd w:id="464"/>
    </w:p>
    <w:p w14:paraId="3D4B5406" w14:textId="77777777" w:rsidR="00C20BBD" w:rsidRPr="0097459F" w:rsidRDefault="00C20BBD" w:rsidP="00C20BBD">
      <w:pPr>
        <w:pStyle w:val="Normalalteradora"/>
        <w:rPr>
          <w:rFonts w:ascii="Calibri" w:hAnsi="Calibri" w:cs="Calibri"/>
        </w:rPr>
      </w:pPr>
      <w:r w:rsidRPr="0097459F">
        <w:rPr>
          <w:rFonts w:ascii="Calibri" w:hAnsi="Calibri" w:cs="Calibri"/>
        </w:rPr>
        <w:t>Art. 44.  A classe de cotas deve observar os seguintes limites máximos de concentração por emissor, sem prejuízo das demais regras de concentração aplicáveis ao seu tipo, nos termos da Seção VI:</w:t>
      </w:r>
    </w:p>
    <w:p w14:paraId="0DE342F9" w14:textId="77777777" w:rsidR="00C20BBD" w:rsidRPr="0097459F" w:rsidRDefault="00C20BBD" w:rsidP="00C20BBD">
      <w:pPr>
        <w:pStyle w:val="Normalalteradora"/>
        <w:tabs>
          <w:tab w:val="left" w:pos="993"/>
        </w:tabs>
        <w:rPr>
          <w:rFonts w:ascii="Calibri" w:hAnsi="Calibri" w:cs="Calibri"/>
        </w:rPr>
      </w:pPr>
      <w:r w:rsidRPr="0097459F">
        <w:rPr>
          <w:rFonts w:ascii="Calibri" w:hAnsi="Calibri" w:cs="Calibri"/>
        </w:rPr>
        <w:lastRenderedPageBreak/>
        <w:t>I – até 20% (vinte por cento) do patrimônio líquido quando o emissor for instituição financeira autorizada a funcionar pelo Banco Central do Brasil;</w:t>
      </w:r>
    </w:p>
    <w:p w14:paraId="628D074C" w14:textId="77777777" w:rsidR="00C20BBD" w:rsidRPr="0097459F" w:rsidRDefault="00C20BBD" w:rsidP="00C20BBD">
      <w:pPr>
        <w:pStyle w:val="Normalalteradora"/>
        <w:tabs>
          <w:tab w:val="left" w:pos="993"/>
        </w:tabs>
        <w:rPr>
          <w:rFonts w:ascii="Calibri" w:hAnsi="Calibri" w:cs="Calibri"/>
        </w:rPr>
      </w:pPr>
      <w:r w:rsidRPr="0097459F">
        <w:rPr>
          <w:rFonts w:ascii="Calibri" w:hAnsi="Calibri" w:cs="Calibri"/>
        </w:rPr>
        <w:t>II – até 10% (dez por cento) do patrimônio líquido quando o emissor for companhia aberta, e, no caso de aplicações em BDR - Ações, quando o emissor for companhia aberta ou assemelhada, nos termos de norma específica;</w:t>
      </w:r>
    </w:p>
    <w:p w14:paraId="575DDB54" w14:textId="77777777" w:rsidR="00C20BBD" w:rsidRPr="0097459F" w:rsidRDefault="00C20BBD" w:rsidP="00C20BBD">
      <w:pPr>
        <w:pStyle w:val="Normalalteradora"/>
        <w:tabs>
          <w:tab w:val="left" w:pos="993"/>
        </w:tabs>
        <w:rPr>
          <w:rFonts w:ascii="Calibri" w:hAnsi="Calibri" w:cs="Calibri"/>
        </w:rPr>
      </w:pPr>
      <w:r w:rsidRPr="0097459F">
        <w:rPr>
          <w:rFonts w:ascii="Calibri" w:hAnsi="Calibri" w:cs="Calibri"/>
        </w:rPr>
        <w:t>III – até 10% (dez por cento) do patrimônio líquido quando o emissor for sociedade de propósito específico que seja subsidiária integral de companhia securitizadora registrada na categoria S2;</w:t>
      </w:r>
    </w:p>
    <w:p w14:paraId="46B414DC" w14:textId="77777777" w:rsidR="00C20BBD" w:rsidRPr="0097459F" w:rsidRDefault="00C20BBD" w:rsidP="00C20BBD">
      <w:pPr>
        <w:pStyle w:val="Normalalteradora"/>
        <w:rPr>
          <w:rFonts w:ascii="Calibri" w:hAnsi="Calibri" w:cs="Calibri"/>
        </w:rPr>
      </w:pPr>
      <w:r w:rsidRPr="0097459F">
        <w:rPr>
          <w:rFonts w:ascii="Calibri" w:hAnsi="Calibri" w:cs="Calibri"/>
        </w:rPr>
        <w:t>IV – até 5% (cinco por cento) do patrimônio líquido quando o emissor for pessoa natural ou pessoa jurídica de direito privado que não seja companhia aberta ou instituição financeira autorizada a funcionar pelo Banco Central do Brasil; e</w:t>
      </w:r>
    </w:p>
    <w:p w14:paraId="0591129E" w14:textId="77777777" w:rsidR="00C20BBD" w:rsidRPr="0097459F" w:rsidRDefault="00C20BBD" w:rsidP="00C20BBD">
      <w:pPr>
        <w:pStyle w:val="Normalalteradora"/>
        <w:rPr>
          <w:rFonts w:ascii="Calibri" w:hAnsi="Calibri" w:cs="Calibri"/>
        </w:rPr>
      </w:pPr>
      <w:r w:rsidRPr="0097459F">
        <w:rPr>
          <w:rFonts w:ascii="Calibri" w:hAnsi="Calibri" w:cs="Calibri"/>
        </w:rPr>
        <w:t>V – não há limites quando:</w:t>
      </w:r>
    </w:p>
    <w:p w14:paraId="2983F0F2" w14:textId="77777777" w:rsidR="00C20BBD" w:rsidRPr="0097459F" w:rsidRDefault="00C20BBD" w:rsidP="00C20BBD">
      <w:pPr>
        <w:pStyle w:val="Normalalteradora"/>
        <w:rPr>
          <w:rFonts w:ascii="Calibri" w:hAnsi="Calibri" w:cs="Calibri"/>
        </w:rPr>
      </w:pPr>
      <w:r w:rsidRPr="0097459F">
        <w:rPr>
          <w:rFonts w:ascii="Calibri" w:hAnsi="Calibri" w:cs="Calibri"/>
        </w:rPr>
        <w:t>a) o emissor for a União Federal;</w:t>
      </w:r>
    </w:p>
    <w:p w14:paraId="45BF3A92" w14:textId="77777777" w:rsidR="00C20BBD" w:rsidRPr="0097459F" w:rsidRDefault="00C20BBD" w:rsidP="00C20BBD">
      <w:pPr>
        <w:pStyle w:val="Normalalteradora"/>
        <w:rPr>
          <w:rFonts w:ascii="Calibri" w:hAnsi="Calibri" w:cs="Calibri"/>
        </w:rPr>
      </w:pPr>
      <w:r w:rsidRPr="0097459F">
        <w:rPr>
          <w:rFonts w:ascii="Calibri" w:hAnsi="Calibri" w:cs="Calibri"/>
        </w:rPr>
        <w:t>b) o emissor for fundo de investimento; ou</w:t>
      </w:r>
    </w:p>
    <w:p w14:paraId="5436D7E4" w14:textId="77777777" w:rsidR="00C20BBD" w:rsidRPr="0097459F" w:rsidRDefault="00C20BBD" w:rsidP="00C20BBD">
      <w:pPr>
        <w:pStyle w:val="Normalalteradora"/>
        <w:rPr>
          <w:rFonts w:ascii="Calibri" w:hAnsi="Calibri" w:cs="Calibri"/>
        </w:rPr>
      </w:pPr>
      <w:r w:rsidRPr="0097459F">
        <w:rPr>
          <w:rFonts w:ascii="Calibri" w:hAnsi="Calibri" w:cs="Calibri"/>
        </w:rPr>
        <w:t>c) a política de investimento prever a aquisição de ativos, fungíveis, de uma única emissão de valores mobiliários, hipótese na qual o termo de adesão deve conter alerta de que a classe está exposta ao risco de concentração em um único emissor.</w:t>
      </w:r>
    </w:p>
    <w:p w14:paraId="57053266"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Para efeito de cálculo dos limites estabelecidos no </w:t>
      </w:r>
      <w:r w:rsidRPr="0097459F">
        <w:rPr>
          <w:rFonts w:ascii="Calibri" w:hAnsi="Calibri" w:cs="Calibri"/>
          <w:b/>
        </w:rPr>
        <w:t>caput</w:t>
      </w:r>
      <w:r w:rsidRPr="0097459F">
        <w:rPr>
          <w:rFonts w:ascii="Calibri" w:hAnsi="Calibri" w:cs="Calibri"/>
        </w:rPr>
        <w:t>:</w:t>
      </w:r>
    </w:p>
    <w:p w14:paraId="7D6B5475" w14:textId="77777777" w:rsidR="00C20BBD" w:rsidRPr="0097459F" w:rsidRDefault="00C20BBD" w:rsidP="00C20BBD">
      <w:pPr>
        <w:pStyle w:val="Normalalteradora"/>
        <w:rPr>
          <w:rFonts w:ascii="Calibri" w:hAnsi="Calibri" w:cs="Calibri"/>
        </w:rPr>
      </w:pPr>
      <w:r w:rsidRPr="0097459F">
        <w:rPr>
          <w:rFonts w:ascii="Calibri" w:hAnsi="Calibri" w:cs="Calibri"/>
        </w:rPr>
        <w:t>I – considera-se emissor a pessoa natural ou jurídica, a classe de cotas e o patrimônio separado na forma da lei, assim como seus congêneres estrangeiros, obrigados ou coobrigados pela liquidação do ativo financeiro; e</w:t>
      </w:r>
    </w:p>
    <w:p w14:paraId="199411CE" w14:textId="77777777" w:rsidR="00C20BBD" w:rsidRPr="0097459F" w:rsidRDefault="00C20BBD" w:rsidP="00C20BBD">
      <w:pPr>
        <w:pStyle w:val="Normalalteradora"/>
        <w:rPr>
          <w:rFonts w:ascii="Calibri" w:hAnsi="Calibri" w:cs="Calibri"/>
        </w:rPr>
      </w:pPr>
      <w:r w:rsidRPr="0097459F">
        <w:rPr>
          <w:rFonts w:ascii="Calibri" w:hAnsi="Calibri" w:cs="Calibri"/>
        </w:rPr>
        <w:t>II – consideram-se como de um mesmo emissor os ativos financeiros emitidos por integrantes de um mesmo grupo econômico, com exceção das emissões de títulos de securitização que contem com segregação patrimonial.</w:t>
      </w:r>
    </w:p>
    <w:p w14:paraId="607BC4B4" w14:textId="77777777" w:rsidR="00C20BBD" w:rsidRPr="0097459F" w:rsidRDefault="00C20BBD" w:rsidP="00C20BBD">
      <w:pPr>
        <w:pStyle w:val="Normalalteradora"/>
        <w:rPr>
          <w:rFonts w:ascii="Calibri" w:hAnsi="Calibri" w:cs="Calibri"/>
        </w:rPr>
      </w:pPr>
      <w:r w:rsidRPr="0097459F">
        <w:rPr>
          <w:rFonts w:ascii="Calibri" w:hAnsi="Calibri" w:cs="Calibri"/>
        </w:rPr>
        <w:t>§ 2º  É vedada:</w:t>
      </w:r>
    </w:p>
    <w:p w14:paraId="0736286D" w14:textId="60384DB5" w:rsidR="00C20BBD" w:rsidRPr="0097459F" w:rsidRDefault="00C20BBD" w:rsidP="00C20BBD">
      <w:pPr>
        <w:pStyle w:val="Normalalteradora"/>
        <w:rPr>
          <w:rFonts w:ascii="Calibri" w:hAnsi="Calibri" w:cs="Calibri"/>
        </w:rPr>
      </w:pPr>
      <w:r w:rsidRPr="0097459F">
        <w:rPr>
          <w:rFonts w:ascii="Calibri" w:hAnsi="Calibri" w:cs="Calibri"/>
        </w:rPr>
        <w:t xml:space="preserve">I – a aplicação de mais de 20% (vinte por cento) do patrimônio líquido da classe em ativos financeiros de emissão do gestor </w:t>
      </w:r>
      <w:r w:rsidR="002C2171">
        <w:rPr>
          <w:rFonts w:ascii="Calibri" w:hAnsi="Calibri" w:cs="Calibri"/>
        </w:rPr>
        <w:t xml:space="preserve">e </w:t>
      </w:r>
      <w:r w:rsidR="002C2171" w:rsidRPr="0097459F">
        <w:rPr>
          <w:rFonts w:ascii="Calibri" w:hAnsi="Calibri" w:cs="Calibri"/>
        </w:rPr>
        <w:t>de companhias integrantes de seu grupo econômico</w:t>
      </w:r>
      <w:r w:rsidRPr="0097459F">
        <w:rPr>
          <w:rFonts w:ascii="Calibri" w:hAnsi="Calibri" w:cs="Calibri"/>
        </w:rPr>
        <w:t>; e</w:t>
      </w:r>
    </w:p>
    <w:p w14:paraId="43B99AD0" w14:textId="1714A733" w:rsidR="00C20BBD" w:rsidRPr="0097459F" w:rsidRDefault="00C20BBD" w:rsidP="00C20BBD">
      <w:pPr>
        <w:pStyle w:val="Normalalteradora"/>
        <w:rPr>
          <w:rFonts w:ascii="Calibri" w:hAnsi="Calibri" w:cs="Calibri"/>
        </w:rPr>
      </w:pPr>
      <w:r w:rsidRPr="0097459F">
        <w:rPr>
          <w:rFonts w:ascii="Calibri" w:hAnsi="Calibri" w:cs="Calibri"/>
        </w:rPr>
        <w:lastRenderedPageBreak/>
        <w:t>II – a aquisição de ações de emissão do gestor</w:t>
      </w:r>
      <w:r w:rsidR="002C2171" w:rsidRPr="002C2171">
        <w:rPr>
          <w:rFonts w:ascii="Calibri" w:hAnsi="Calibri" w:cs="Calibri"/>
        </w:rPr>
        <w:t xml:space="preserve"> </w:t>
      </w:r>
      <w:r w:rsidR="002C2171">
        <w:rPr>
          <w:rFonts w:ascii="Calibri" w:hAnsi="Calibri" w:cs="Calibri"/>
        </w:rPr>
        <w:t xml:space="preserve">e </w:t>
      </w:r>
      <w:r w:rsidR="002C2171" w:rsidRPr="0097459F">
        <w:rPr>
          <w:rFonts w:ascii="Calibri" w:hAnsi="Calibri" w:cs="Calibri"/>
        </w:rPr>
        <w:t>de companhias integrantes de seu grupo econômico</w:t>
      </w:r>
      <w:r w:rsidRPr="0097459F">
        <w:rPr>
          <w:rFonts w:ascii="Calibri" w:hAnsi="Calibri" w:cs="Calibri"/>
        </w:rPr>
        <w:t>, exceto no caso de a política de investimento consistir em buscar reproduzir índice de mercado do qual as referidas ações façam parte, hipótese em que podem ser adquiridas na mesma proporção de sua participação no respectivo índice, observado o § 3º.</w:t>
      </w:r>
    </w:p>
    <w:p w14:paraId="427506C3" w14:textId="34D58CA1" w:rsidR="00C20BBD" w:rsidRPr="0097459F" w:rsidRDefault="00C20BBD" w:rsidP="00C20BBD">
      <w:pPr>
        <w:pStyle w:val="Normalalteradora"/>
        <w:rPr>
          <w:rFonts w:ascii="Calibri" w:hAnsi="Calibri" w:cs="Calibri"/>
        </w:rPr>
      </w:pPr>
      <w:r w:rsidRPr="0097459F">
        <w:rPr>
          <w:rFonts w:ascii="Calibri" w:hAnsi="Calibri" w:cs="Calibri"/>
        </w:rPr>
        <w:t>§ 3º  A vedação de que trata o § 2º, inciso I, não é aplicável nos casos em que a política de investimento consistir em investir, no mínimo, 95% (noventa e cinco por cento) do patrimônio líquido em ações ou certificados de depósito de ações do próprio gestor</w:t>
      </w:r>
      <w:r w:rsidR="002C2171">
        <w:rPr>
          <w:rFonts w:ascii="Calibri" w:hAnsi="Calibri" w:cs="Calibri"/>
        </w:rPr>
        <w:t xml:space="preserve"> </w:t>
      </w:r>
      <w:r w:rsidR="002C2171" w:rsidRPr="0097459F">
        <w:rPr>
          <w:rFonts w:ascii="Calibri" w:hAnsi="Calibri" w:cs="Calibri"/>
        </w:rPr>
        <w:t>ou companhias de seu grupo econômico</w:t>
      </w:r>
      <w:r w:rsidRPr="0097459F">
        <w:rPr>
          <w:rFonts w:ascii="Calibri" w:hAnsi="Calibri" w:cs="Calibri"/>
        </w:rPr>
        <w:t xml:space="preserve">. </w:t>
      </w:r>
    </w:p>
    <w:p w14:paraId="1E914195" w14:textId="77777777" w:rsidR="00C20BBD" w:rsidRPr="0097459F" w:rsidRDefault="00C20BBD" w:rsidP="00C20BBD">
      <w:pPr>
        <w:pStyle w:val="Normalalteradora"/>
        <w:rPr>
          <w:rFonts w:ascii="Calibri" w:hAnsi="Calibri" w:cs="Calibri"/>
        </w:rPr>
      </w:pPr>
      <w:r w:rsidRPr="0097459F">
        <w:rPr>
          <w:rFonts w:ascii="Calibri" w:hAnsi="Calibri" w:cs="Calibri"/>
        </w:rPr>
        <w:t>§ 4º  O valor das posições em contratos derivativos é considerado no cálculo dos limites estabelecidos neste artigo, cumulativamente, em relação:</w:t>
      </w:r>
    </w:p>
    <w:p w14:paraId="458DA355" w14:textId="77777777" w:rsidR="00C20BBD" w:rsidRPr="0097459F" w:rsidRDefault="00C20BBD" w:rsidP="00C20BBD">
      <w:pPr>
        <w:pStyle w:val="Normalalteradora"/>
        <w:rPr>
          <w:rFonts w:ascii="Calibri" w:hAnsi="Calibri" w:cs="Calibri"/>
        </w:rPr>
      </w:pPr>
      <w:r w:rsidRPr="0097459F">
        <w:rPr>
          <w:rFonts w:ascii="Calibri" w:hAnsi="Calibri" w:cs="Calibri"/>
        </w:rPr>
        <w:t>I – ao emissor do ativo subjacente; e</w:t>
      </w:r>
    </w:p>
    <w:p w14:paraId="65BFC22D" w14:textId="77777777" w:rsidR="00C20BBD" w:rsidRPr="0097459F" w:rsidRDefault="00C20BBD" w:rsidP="00C20BBD">
      <w:pPr>
        <w:pStyle w:val="Normalalteradora"/>
        <w:rPr>
          <w:rFonts w:ascii="Calibri" w:hAnsi="Calibri" w:cs="Calibri"/>
        </w:rPr>
      </w:pPr>
      <w:r w:rsidRPr="0097459F">
        <w:rPr>
          <w:rFonts w:ascii="Calibri" w:hAnsi="Calibri" w:cs="Calibri"/>
        </w:rPr>
        <w:t>II – à contraparte, quando se tratar de derivativos sem garantia de liquidação por câmaras ou prestadores de serviços de compensação e de liquidação autorizados a funcionar pelo Banco Central do Brasil ou pela CVM.</w:t>
      </w:r>
    </w:p>
    <w:p w14:paraId="0889316F" w14:textId="77777777" w:rsidR="00C20BBD" w:rsidRPr="0097459F" w:rsidRDefault="00C20BBD" w:rsidP="00C20BBD">
      <w:pPr>
        <w:pStyle w:val="Normalalteradora"/>
        <w:rPr>
          <w:rFonts w:ascii="Calibri" w:hAnsi="Calibri" w:cs="Calibri"/>
        </w:rPr>
      </w:pPr>
      <w:r w:rsidRPr="0097459F">
        <w:rPr>
          <w:rFonts w:ascii="Calibri" w:hAnsi="Calibri" w:cs="Calibri"/>
        </w:rPr>
        <w:t>§ 5º  Para efeito do disposto no § 4º, os contratos derivativos são considerados em função do valor de exposição, corrente e potencial, que acarretem sobre as posições detidas pela classe, apurado com base em metodologia consistente e passível de verificação.</w:t>
      </w:r>
    </w:p>
    <w:p w14:paraId="123A372F" w14:textId="77777777" w:rsidR="00C20BBD" w:rsidRPr="0097459F" w:rsidRDefault="00C20BBD" w:rsidP="00C20BBD">
      <w:pPr>
        <w:pStyle w:val="Normalalteradora"/>
        <w:rPr>
          <w:rFonts w:ascii="Calibri" w:hAnsi="Calibri" w:cs="Calibri"/>
        </w:rPr>
      </w:pPr>
      <w:r w:rsidRPr="0097459F">
        <w:rPr>
          <w:rFonts w:ascii="Calibri" w:hAnsi="Calibri" w:cs="Calibri"/>
        </w:rPr>
        <w:t>§ 6º  Nas operações sem garantia de liquidação por câmaras ou prestadores de serviços de compensação e de liquidação autorizados a funcionar pelo Banco Central do Brasil ou pela CVM, as posições em operações com uma mesma contraparte devem ser consolidadas, observando-se, nesse caso, as posições líquidas de exposição, caso a compensação bilateral não tenha sido contratualmente afastada.</w:t>
      </w:r>
    </w:p>
    <w:p w14:paraId="5E63C0F7" w14:textId="77777777" w:rsidR="00C20BBD" w:rsidRPr="0097459F" w:rsidRDefault="00C20BBD" w:rsidP="00C20BBD">
      <w:pPr>
        <w:pStyle w:val="Normalalteradora"/>
        <w:rPr>
          <w:rFonts w:ascii="Calibri" w:hAnsi="Calibri" w:cs="Calibri"/>
        </w:rPr>
      </w:pPr>
      <w:r w:rsidRPr="0097459F">
        <w:rPr>
          <w:rFonts w:ascii="Calibri" w:hAnsi="Calibri" w:cs="Calibri"/>
        </w:rPr>
        <w:t>§ 7º  Nas operações compromissadas, os limites estabelecidos para os emissores devem ser observados:</w:t>
      </w:r>
    </w:p>
    <w:p w14:paraId="33EEBB18" w14:textId="77777777" w:rsidR="00C20BBD" w:rsidRPr="0097459F" w:rsidRDefault="00C20BBD" w:rsidP="00C20BBD">
      <w:pPr>
        <w:pStyle w:val="Normalalteradora"/>
        <w:rPr>
          <w:rFonts w:ascii="Calibri" w:hAnsi="Calibri" w:cs="Calibri"/>
        </w:rPr>
      </w:pPr>
      <w:r w:rsidRPr="0097459F">
        <w:rPr>
          <w:rFonts w:ascii="Calibri" w:hAnsi="Calibri" w:cs="Calibri"/>
        </w:rPr>
        <w:t>I – em relação aos emissores dos ativos objeto:</w:t>
      </w:r>
    </w:p>
    <w:p w14:paraId="688C48C1" w14:textId="77777777" w:rsidR="00C20BBD" w:rsidRPr="0097459F" w:rsidRDefault="00C20BBD" w:rsidP="00C20BBD">
      <w:pPr>
        <w:pStyle w:val="Normalalteradora"/>
        <w:rPr>
          <w:rFonts w:ascii="Calibri" w:hAnsi="Calibri" w:cs="Calibri"/>
        </w:rPr>
      </w:pPr>
      <w:r w:rsidRPr="0097459F">
        <w:rPr>
          <w:rFonts w:ascii="Calibri" w:hAnsi="Calibri" w:cs="Calibri"/>
        </w:rPr>
        <w:t>a) quando alienados com compromisso de recompra; e</w:t>
      </w:r>
    </w:p>
    <w:p w14:paraId="68D0076D" w14:textId="796384D8" w:rsidR="00C20BBD" w:rsidRDefault="00C20BBD" w:rsidP="00C20BBD">
      <w:pPr>
        <w:pStyle w:val="Normalalteradora"/>
        <w:rPr>
          <w:rFonts w:ascii="Calibri" w:hAnsi="Calibri" w:cs="Calibri"/>
        </w:rPr>
      </w:pPr>
      <w:r w:rsidRPr="0097459F">
        <w:rPr>
          <w:rFonts w:ascii="Calibri" w:hAnsi="Calibri" w:cs="Calibri"/>
        </w:rPr>
        <w:t>b) cuja aquisição tenha sido contratada com base em operações a termo a que se refere o art. 1º, inciso V, do Regulamento anexo à Resolução do Conselho Monetário Nacional nº 3.339, de 26 de janeiro de 2006, sem prejuízo do disposto nos §§ 5º e 6º; e</w:t>
      </w:r>
    </w:p>
    <w:p w14:paraId="79EC3F30" w14:textId="229B31C7" w:rsidR="00C63609" w:rsidRPr="0097459F" w:rsidRDefault="00C63609" w:rsidP="00C63609">
      <w:pPr>
        <w:pStyle w:val="Normalalteradora"/>
        <w:rPr>
          <w:rFonts w:ascii="Calibri" w:hAnsi="Calibri" w:cs="Calibri"/>
        </w:rPr>
      </w:pPr>
      <w:r w:rsidRPr="009C5997">
        <w:rPr>
          <w:rFonts w:ascii="Calibri" w:hAnsi="Calibri" w:cs="Calibri"/>
        </w:rPr>
        <w:lastRenderedPageBreak/>
        <w:t>II – em relação à contraparte da classe, nas operações sem garantia de liquidação por câmaras ou prestadores de serviços de compensação e de liquidação autorizados a funcionar pelo Banco Central do Brasil.</w:t>
      </w:r>
    </w:p>
    <w:p w14:paraId="66542847" w14:textId="4F9745F4" w:rsidR="00C20BBD" w:rsidRPr="0097459F" w:rsidRDefault="00C20BBD" w:rsidP="0011654A">
      <w:pPr>
        <w:pStyle w:val="Normalalteradora"/>
        <w:rPr>
          <w:rFonts w:ascii="Calibri" w:hAnsi="Calibri" w:cs="Calibri"/>
        </w:rPr>
      </w:pPr>
      <w:r w:rsidRPr="0097459F">
        <w:rPr>
          <w:rFonts w:ascii="Calibri" w:hAnsi="Calibri" w:cs="Calibri"/>
        </w:rPr>
        <w:t>§ 8º  Não se submetem aos limites de que trata este artigo as operações compromissadas:</w:t>
      </w:r>
    </w:p>
    <w:p w14:paraId="459A064E" w14:textId="1C3AE95F" w:rsidR="00C20BBD" w:rsidRDefault="00C20BBD" w:rsidP="00C20BBD">
      <w:pPr>
        <w:pStyle w:val="Normalalteradora"/>
        <w:rPr>
          <w:rFonts w:ascii="Calibri" w:hAnsi="Calibri" w:cs="Calibri"/>
        </w:rPr>
      </w:pPr>
      <w:r w:rsidRPr="0097459F">
        <w:rPr>
          <w:rFonts w:ascii="Calibri" w:hAnsi="Calibri" w:cs="Calibri"/>
        </w:rPr>
        <w:t>I – lastreadas em títulos públicos federais;</w:t>
      </w:r>
    </w:p>
    <w:p w14:paraId="1B17AB52" w14:textId="0FA1A53F" w:rsidR="00C63609" w:rsidRPr="0097459F" w:rsidRDefault="00C63609" w:rsidP="00C63609">
      <w:pPr>
        <w:pStyle w:val="Normalalteradora"/>
        <w:rPr>
          <w:rFonts w:ascii="Calibri" w:hAnsi="Calibri" w:cs="Calibri"/>
        </w:rPr>
      </w:pPr>
      <w:r w:rsidRPr="009C5997">
        <w:rPr>
          <w:rFonts w:ascii="Calibri" w:hAnsi="Calibri" w:cs="Calibri"/>
        </w:rPr>
        <w:t>II – de compra, pela classe, com compromisso de revenda, desde que contem com garantia de liquidação por câmaras ou prestadores de serviços de compensação e de liquidação autorizados a funcionar pelo Banco Central do Brasil; e</w:t>
      </w:r>
    </w:p>
    <w:p w14:paraId="70434C15" w14:textId="77777777" w:rsidR="00C20BBD" w:rsidRPr="0097459F" w:rsidRDefault="00C20BBD" w:rsidP="00C20BBD">
      <w:pPr>
        <w:pStyle w:val="Normalalteradora"/>
        <w:rPr>
          <w:rFonts w:ascii="Calibri" w:hAnsi="Calibri" w:cs="Calibri"/>
        </w:rPr>
      </w:pPr>
      <w:r w:rsidRPr="0097459F">
        <w:rPr>
          <w:rFonts w:ascii="Calibri" w:hAnsi="Calibri" w:cs="Calibri"/>
        </w:rPr>
        <w:t>III – de vendas a termo, referidas no art. 1º, inciso V, do Regulamento anexo à Resolução do Conselho Monetário Nacional nº 3.339, de 2006.</w:t>
      </w:r>
    </w:p>
    <w:p w14:paraId="60CAB996" w14:textId="77777777" w:rsidR="00C20BBD" w:rsidRPr="0097459F" w:rsidRDefault="00C20BBD" w:rsidP="00C20BBD">
      <w:pPr>
        <w:pStyle w:val="Normalalteradora"/>
        <w:rPr>
          <w:rFonts w:ascii="Calibri" w:hAnsi="Calibri" w:cs="Calibri"/>
        </w:rPr>
      </w:pPr>
      <w:r w:rsidRPr="0097459F">
        <w:rPr>
          <w:rFonts w:ascii="Calibri" w:hAnsi="Calibri" w:cs="Calibri"/>
        </w:rPr>
        <w:t>§ 9º  Devem ser observadas as disposições previstas nos §§ 5º a 6º deste artigo nas seguintes modalidades de operações compromissadas:</w:t>
      </w:r>
    </w:p>
    <w:p w14:paraId="5C3EA85A" w14:textId="77777777" w:rsidR="00C20BBD" w:rsidRPr="0097459F" w:rsidRDefault="00C20BBD" w:rsidP="00C20BBD">
      <w:pPr>
        <w:pStyle w:val="Normalalteradora"/>
        <w:rPr>
          <w:rFonts w:ascii="Calibri" w:hAnsi="Calibri" w:cs="Calibri"/>
        </w:rPr>
      </w:pPr>
      <w:r w:rsidRPr="0097459F">
        <w:rPr>
          <w:rFonts w:ascii="Calibri" w:hAnsi="Calibri" w:cs="Calibri"/>
        </w:rPr>
        <w:t>I – as liquidáveis a critério de uma das partes (art. 1º, inciso I, alínea “c”, e inciso II, alínea “c” do Regulamento anexo à Resolução do Conselho Monetário Nacional nº 3.339, de 2006); e</w:t>
      </w:r>
    </w:p>
    <w:p w14:paraId="6ACD5E02" w14:textId="77777777" w:rsidR="00C20BBD" w:rsidRPr="0097459F" w:rsidRDefault="00C20BBD" w:rsidP="00C20BBD">
      <w:pPr>
        <w:pStyle w:val="Normalalteradora"/>
        <w:rPr>
          <w:rFonts w:ascii="Calibri" w:hAnsi="Calibri" w:cs="Calibri"/>
        </w:rPr>
      </w:pPr>
      <w:r w:rsidRPr="0097459F">
        <w:rPr>
          <w:rFonts w:ascii="Calibri" w:hAnsi="Calibri" w:cs="Calibri"/>
        </w:rPr>
        <w:t>II – as de compra ou de venda a termo (art. 1º, incisos V e VI do Regulamento anexo à Resolução do Conselho Monetário Nacional nº 3.339, de 2006).</w:t>
      </w:r>
    </w:p>
    <w:p w14:paraId="639C6058" w14:textId="77777777" w:rsidR="00C20BBD" w:rsidRPr="0097459F" w:rsidRDefault="00C20BBD" w:rsidP="00C20BBD">
      <w:pPr>
        <w:pStyle w:val="Seo"/>
      </w:pPr>
      <w:bookmarkStart w:id="465" w:name="_Toc53594248"/>
      <w:bookmarkStart w:id="466" w:name="_Toc53594496"/>
      <w:bookmarkStart w:id="467" w:name="_Toc53595521"/>
      <w:bookmarkStart w:id="468" w:name="_Toc57836257"/>
      <w:bookmarkStart w:id="469" w:name="_Toc126226367"/>
      <w:r w:rsidRPr="0097459F">
        <w:t>Seção V – Limites por Modalidade de Ativo Financeiro</w:t>
      </w:r>
      <w:bookmarkEnd w:id="465"/>
      <w:bookmarkEnd w:id="466"/>
      <w:bookmarkEnd w:id="467"/>
      <w:bookmarkEnd w:id="468"/>
      <w:bookmarkEnd w:id="469"/>
    </w:p>
    <w:p w14:paraId="01290649" w14:textId="77777777" w:rsidR="00C20BBD" w:rsidRPr="0097459F" w:rsidRDefault="00C20BBD" w:rsidP="00C20BBD">
      <w:pPr>
        <w:pStyle w:val="Normalalteradora"/>
        <w:rPr>
          <w:rFonts w:ascii="Calibri" w:hAnsi="Calibri" w:cs="Calibri"/>
        </w:rPr>
      </w:pPr>
      <w:r w:rsidRPr="0097459F">
        <w:rPr>
          <w:rFonts w:ascii="Calibri" w:hAnsi="Calibri" w:cs="Calibri"/>
        </w:rPr>
        <w:t>Art. 45.  Cumulativamente aos limites de concentração por emissor, a classe de cotas deve observar os seguintes limites de concentração por modalidade de ativo financeiro, sem prejuízo das normas aplicáveis ao seu tipo:</w:t>
      </w:r>
    </w:p>
    <w:p w14:paraId="1DE2CABB" w14:textId="77777777" w:rsidR="00C20BBD" w:rsidRPr="0097459F" w:rsidRDefault="00C20BBD" w:rsidP="00C20BBD">
      <w:pPr>
        <w:pStyle w:val="Normalalteradora"/>
        <w:tabs>
          <w:tab w:val="left" w:pos="567"/>
        </w:tabs>
        <w:rPr>
          <w:rFonts w:ascii="Calibri" w:hAnsi="Calibri" w:cs="Calibri"/>
        </w:rPr>
      </w:pPr>
      <w:r w:rsidRPr="0097459F">
        <w:rPr>
          <w:rFonts w:ascii="Calibri" w:hAnsi="Calibri" w:cs="Calibri"/>
        </w:rPr>
        <w:t>I – até 20% (vinte por cento) do patrimônio líquido para o conjunto dos seguintes ativos:</w:t>
      </w:r>
    </w:p>
    <w:p w14:paraId="208821DB" w14:textId="3ACBB957" w:rsidR="00C20BBD" w:rsidRDefault="00B5164C" w:rsidP="00B5164C">
      <w:pPr>
        <w:pStyle w:val="Normalalteradora"/>
        <w:rPr>
          <w:rFonts w:ascii="Calibri" w:hAnsi="Calibri" w:cs="Calibri"/>
        </w:rPr>
      </w:pPr>
      <w:r>
        <w:rPr>
          <w:rFonts w:ascii="Calibri" w:hAnsi="Calibri" w:cs="Calibri"/>
        </w:rPr>
        <w:t xml:space="preserve">a) </w:t>
      </w:r>
      <w:r w:rsidR="00C20BBD" w:rsidRPr="0097459F">
        <w:rPr>
          <w:rFonts w:ascii="Calibri" w:hAnsi="Calibri" w:cs="Calibri"/>
        </w:rPr>
        <w:t>cotas de FIF destinadas exclusivamente a investidores qualificados, sendo de 5% (cinco por cento) o limite para aplicação em cotas de FIF destinadas exclusivamente a investidores profissionais;</w:t>
      </w:r>
    </w:p>
    <w:p w14:paraId="404A5B52" w14:textId="093D2D38" w:rsidR="00C63609" w:rsidRPr="00B61ADB" w:rsidRDefault="00B5164C" w:rsidP="00B5164C">
      <w:pPr>
        <w:pStyle w:val="Normalalteradora"/>
        <w:rPr>
          <w:rFonts w:ascii="Calibri" w:hAnsi="Calibri" w:cs="Calibri"/>
        </w:rPr>
      </w:pPr>
      <w:r>
        <w:rPr>
          <w:rFonts w:ascii="Calibri" w:hAnsi="Calibri" w:cs="Calibri"/>
        </w:rPr>
        <w:t xml:space="preserve">b) </w:t>
      </w:r>
      <w:r w:rsidR="00C63609">
        <w:rPr>
          <w:rFonts w:ascii="Calibri" w:hAnsi="Calibri" w:cs="Calibri"/>
        </w:rPr>
        <w:t>c</w:t>
      </w:r>
      <w:r w:rsidR="00C63609" w:rsidRPr="009C5997">
        <w:rPr>
          <w:rFonts w:ascii="Calibri" w:hAnsi="Calibri" w:cs="Calibri"/>
        </w:rPr>
        <w:t>otas de fundos de investimento imobiliário – FII;</w:t>
      </w:r>
      <w:r w:rsidR="00C63609">
        <w:rPr>
          <w:rFonts w:ascii="Calibri" w:hAnsi="Calibri" w:cs="Calibri"/>
        </w:rPr>
        <w:t xml:space="preserve"> e</w:t>
      </w:r>
    </w:p>
    <w:p w14:paraId="242CD92B" w14:textId="2DF9B7F8" w:rsidR="00C63609" w:rsidRPr="00C63609" w:rsidRDefault="00B5164C" w:rsidP="00B5164C">
      <w:pPr>
        <w:pStyle w:val="Normalalteradora"/>
        <w:rPr>
          <w:rFonts w:ascii="Calibri" w:hAnsi="Calibri" w:cs="Calibri"/>
        </w:rPr>
      </w:pPr>
      <w:r>
        <w:rPr>
          <w:rFonts w:ascii="Calibri" w:hAnsi="Calibri" w:cs="Calibri"/>
        </w:rPr>
        <w:t xml:space="preserve">c) </w:t>
      </w:r>
      <w:r w:rsidR="00C63609" w:rsidRPr="00B61ADB">
        <w:rPr>
          <w:rFonts w:ascii="Calibri" w:hAnsi="Calibri" w:cs="Calibri"/>
        </w:rPr>
        <w:t xml:space="preserve">cotas de fundos de investimento em direitos creditórios – FIDC, sendo de 5% (cinco por cento) o limite para aplicação em cotas de FIDC cujas políticas de investimento admitam a aquisição de direitos creditórios não-padronizados, conforme definidos </w:t>
      </w:r>
      <w:r w:rsidR="00C63609" w:rsidRPr="00AF2A3E">
        <w:rPr>
          <w:rFonts w:ascii="Calibri" w:hAnsi="Calibri" w:cs="Calibri"/>
        </w:rPr>
        <w:t xml:space="preserve">no art. 2º, inciso </w:t>
      </w:r>
      <w:r w:rsidR="00C63609">
        <w:rPr>
          <w:rFonts w:ascii="Calibri" w:hAnsi="Calibri" w:cs="Calibri"/>
        </w:rPr>
        <w:t>XIII</w:t>
      </w:r>
      <w:r w:rsidR="00C63609" w:rsidRPr="00AF2A3E">
        <w:rPr>
          <w:rFonts w:ascii="Calibri" w:hAnsi="Calibri" w:cs="Calibri"/>
        </w:rPr>
        <w:t xml:space="preserve">, do Anexo </w:t>
      </w:r>
      <w:r w:rsidR="00C63609">
        <w:rPr>
          <w:rFonts w:ascii="Calibri" w:hAnsi="Calibri" w:cs="Calibri"/>
        </w:rPr>
        <w:t>Normativo II</w:t>
      </w:r>
      <w:r w:rsidR="00C63609" w:rsidRPr="00B61ADB">
        <w:rPr>
          <w:rFonts w:ascii="Calibri" w:hAnsi="Calibri" w:cs="Calibri"/>
        </w:rPr>
        <w:t>;</w:t>
      </w:r>
    </w:p>
    <w:p w14:paraId="0CA63C4F"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II – até 15% (quinze por cento) do patrimônio líquido no conjunto dos seguintes ativos:</w:t>
      </w:r>
    </w:p>
    <w:p w14:paraId="60645F3D" w14:textId="77777777" w:rsidR="00C20BBD" w:rsidRPr="0097459F" w:rsidRDefault="00C20BBD" w:rsidP="00C20BBD">
      <w:pPr>
        <w:pStyle w:val="Normalalteradora"/>
        <w:tabs>
          <w:tab w:val="left" w:pos="851"/>
        </w:tabs>
        <w:ind w:left="567" w:firstLine="0"/>
        <w:rPr>
          <w:rFonts w:ascii="Calibri" w:hAnsi="Calibri" w:cs="Calibri"/>
        </w:rPr>
      </w:pPr>
      <w:r w:rsidRPr="0097459F">
        <w:rPr>
          <w:rFonts w:ascii="Calibri" w:hAnsi="Calibri" w:cs="Calibri"/>
        </w:rPr>
        <w:t>a) cotas de fundos de investimento em participações – FIP; e</w:t>
      </w:r>
    </w:p>
    <w:p w14:paraId="05A69E60" w14:textId="1E9FB083" w:rsidR="00C20BBD" w:rsidRPr="0097459F" w:rsidRDefault="00C20BBD" w:rsidP="00C20BBD">
      <w:pPr>
        <w:pStyle w:val="Normalalteradora"/>
        <w:rPr>
          <w:rFonts w:ascii="Calibri" w:hAnsi="Calibri" w:cs="Calibri"/>
        </w:rPr>
      </w:pPr>
      <w:r w:rsidRPr="0097459F">
        <w:rPr>
          <w:rFonts w:ascii="Calibri" w:hAnsi="Calibri" w:cs="Calibri"/>
        </w:rPr>
        <w:t>b) cotas de fundos de investimento nas cadeias produtivas agroindustriais – FIAGRO, sendo de 5% (cinco por cento) o limite para aplicação em cotas de FIAGRO cujas políticas de investimento admitam a aquisição de direitos creditórios não-padronizados, conforme definidos no art. 2º, inci</w:t>
      </w:r>
      <w:r w:rsidR="00967B1C" w:rsidRPr="0097459F">
        <w:rPr>
          <w:rFonts w:ascii="Calibri" w:hAnsi="Calibri" w:cs="Calibri"/>
        </w:rPr>
        <w:t>so X</w:t>
      </w:r>
      <w:r w:rsidRPr="0097459F">
        <w:rPr>
          <w:rFonts w:ascii="Calibri" w:hAnsi="Calibri" w:cs="Calibri"/>
        </w:rPr>
        <w:t xml:space="preserve">III, do Anexo </w:t>
      </w:r>
      <w:r w:rsidR="00967B1C" w:rsidRPr="0097459F">
        <w:rPr>
          <w:rFonts w:ascii="Calibri" w:hAnsi="Calibri" w:cs="Calibri"/>
        </w:rPr>
        <w:t>Normativo II</w:t>
      </w:r>
      <w:r w:rsidRPr="0097459F">
        <w:rPr>
          <w:rFonts w:ascii="Calibri" w:hAnsi="Calibri" w:cs="Calibri"/>
        </w:rPr>
        <w:t>;</w:t>
      </w:r>
    </w:p>
    <w:p w14:paraId="64167BF9" w14:textId="77777777" w:rsidR="00C20BBD" w:rsidRPr="0097459F" w:rsidRDefault="00C20BBD" w:rsidP="00C20BBD">
      <w:pPr>
        <w:pStyle w:val="Normalalteradora"/>
        <w:rPr>
          <w:rFonts w:ascii="Calibri" w:hAnsi="Calibri" w:cs="Calibri"/>
        </w:rPr>
      </w:pPr>
      <w:r w:rsidRPr="0097459F">
        <w:rPr>
          <w:rFonts w:ascii="Calibri" w:hAnsi="Calibri" w:cs="Calibri"/>
        </w:rPr>
        <w:t>III – até 10% (dez por cento) do patrimônio líquido para o conjunto dos seguintes ativos:</w:t>
      </w:r>
    </w:p>
    <w:p w14:paraId="4D9EFB03" w14:textId="338822EC" w:rsidR="00C20BBD" w:rsidRDefault="00BF5240" w:rsidP="00BF5240">
      <w:pPr>
        <w:pStyle w:val="Normalalteradora"/>
        <w:rPr>
          <w:rFonts w:ascii="Calibri" w:hAnsi="Calibri" w:cs="Calibri"/>
        </w:rPr>
      </w:pPr>
      <w:r>
        <w:rPr>
          <w:rFonts w:ascii="Calibri" w:hAnsi="Calibri" w:cs="Calibri"/>
        </w:rPr>
        <w:t xml:space="preserve">a) </w:t>
      </w:r>
      <w:r w:rsidR="00C20BBD" w:rsidRPr="0097459F">
        <w:rPr>
          <w:rFonts w:ascii="Calibri" w:hAnsi="Calibri" w:cs="Calibri"/>
        </w:rPr>
        <w:t>títulos e contratos de investimento coletivo, o que inclui, mas não se limita, aos CIC-hoteleiros, observado o requisito previsto no § 1º do art. 39 deste Anexo Normativo I;</w:t>
      </w:r>
    </w:p>
    <w:p w14:paraId="34072586" w14:textId="341801C2" w:rsidR="00C63609" w:rsidRPr="00C63609" w:rsidRDefault="00C63609" w:rsidP="00BF5240">
      <w:pPr>
        <w:pStyle w:val="Normalalteradora"/>
        <w:rPr>
          <w:rFonts w:ascii="Calibri" w:hAnsi="Calibri" w:cs="Calibri"/>
        </w:rPr>
      </w:pPr>
      <w:r w:rsidRPr="00B61ADB">
        <w:rPr>
          <w:rFonts w:ascii="Calibri" w:hAnsi="Calibri" w:cs="Calibri"/>
        </w:rPr>
        <w:t>b) CBIO, créditos de carbono e créditos de metano</w:t>
      </w:r>
      <w:r w:rsidRPr="00B61ADB" w:rsidDel="004D10E9">
        <w:rPr>
          <w:rFonts w:ascii="Calibri" w:hAnsi="Calibri" w:cs="Calibri"/>
        </w:rPr>
        <w:t>;</w:t>
      </w:r>
      <w:r w:rsidRPr="00B61ADB">
        <w:rPr>
          <w:rFonts w:ascii="Calibri" w:hAnsi="Calibri" w:cs="Calibri"/>
        </w:rPr>
        <w:t xml:space="preserve"> e</w:t>
      </w:r>
    </w:p>
    <w:p w14:paraId="01746859" w14:textId="77777777" w:rsidR="00C20BBD" w:rsidRPr="0097459F" w:rsidRDefault="00C20BBD" w:rsidP="00C20BBD">
      <w:pPr>
        <w:pStyle w:val="Normalalteradora"/>
        <w:rPr>
          <w:rFonts w:ascii="Calibri" w:hAnsi="Calibri" w:cs="Calibri"/>
        </w:rPr>
      </w:pPr>
      <w:r w:rsidRPr="0097459F">
        <w:rPr>
          <w:rFonts w:ascii="Calibri" w:hAnsi="Calibri" w:cs="Calibri"/>
        </w:rPr>
        <w:t>c) criptoativos;</w:t>
      </w:r>
    </w:p>
    <w:p w14:paraId="69D3D554" w14:textId="77777777" w:rsidR="00C20BBD" w:rsidRPr="0097459F" w:rsidRDefault="00C20BBD" w:rsidP="00C20BBD">
      <w:pPr>
        <w:pStyle w:val="Normalalteradora"/>
        <w:rPr>
          <w:rFonts w:ascii="Calibri" w:hAnsi="Calibri" w:cs="Calibri"/>
        </w:rPr>
      </w:pPr>
      <w:r w:rsidRPr="0097459F">
        <w:rPr>
          <w:rFonts w:ascii="Calibri" w:hAnsi="Calibri" w:cs="Calibri"/>
        </w:rPr>
        <w:t>d) valores mobiliários emitidos por meio de plataformas eletrônicas de investimento participativo, desde que sejam objeto de escrituração realizada por escriturador autorizado pela CVM; e</w:t>
      </w:r>
    </w:p>
    <w:p w14:paraId="7EABDDCA" w14:textId="77777777" w:rsidR="00C20BBD" w:rsidRPr="0097459F" w:rsidRDefault="00C20BBD" w:rsidP="00C20BBD">
      <w:pPr>
        <w:pStyle w:val="Normalalteradora"/>
        <w:rPr>
          <w:rFonts w:ascii="Calibri" w:hAnsi="Calibri" w:cs="Calibri"/>
        </w:rPr>
      </w:pPr>
      <w:r w:rsidRPr="0097459F">
        <w:rPr>
          <w:rFonts w:ascii="Calibri" w:hAnsi="Calibri" w:cs="Calibri"/>
        </w:rPr>
        <w:t>IV – não há limite de concentração por modalidade de ativo financeiro para o investimento em:</w:t>
      </w:r>
    </w:p>
    <w:p w14:paraId="226897BA" w14:textId="77777777" w:rsidR="00C20BBD" w:rsidRPr="0097459F" w:rsidRDefault="00C20BBD" w:rsidP="00C20BBD">
      <w:pPr>
        <w:pStyle w:val="Normalalteradora"/>
        <w:rPr>
          <w:rFonts w:ascii="Calibri" w:hAnsi="Calibri" w:cs="Calibri"/>
        </w:rPr>
      </w:pPr>
      <w:r w:rsidRPr="0097459F">
        <w:rPr>
          <w:rFonts w:ascii="Calibri" w:hAnsi="Calibri" w:cs="Calibri"/>
        </w:rPr>
        <w:t>a) títulos públicos federais e operações compromissadas lastreadas nesses títulos;</w:t>
      </w:r>
    </w:p>
    <w:p w14:paraId="21919277" w14:textId="77777777" w:rsidR="00C20BBD" w:rsidRPr="0097459F" w:rsidRDefault="00C20BBD" w:rsidP="00C20BBD">
      <w:pPr>
        <w:pStyle w:val="Normalalteradora"/>
        <w:rPr>
          <w:rFonts w:ascii="Calibri" w:hAnsi="Calibri" w:cs="Calibri"/>
        </w:rPr>
      </w:pPr>
      <w:r w:rsidRPr="0097459F">
        <w:rPr>
          <w:rFonts w:ascii="Calibri" w:hAnsi="Calibri" w:cs="Calibri"/>
        </w:rPr>
        <w:t>b) ouro financeiro, desde que negociado em mercado organizado;</w:t>
      </w:r>
    </w:p>
    <w:p w14:paraId="68AC952D" w14:textId="77777777" w:rsidR="00C20BBD" w:rsidRPr="0097459F" w:rsidRDefault="00C20BBD" w:rsidP="00C20BBD">
      <w:pPr>
        <w:pStyle w:val="Normalalteradora"/>
        <w:rPr>
          <w:rFonts w:ascii="Calibri" w:hAnsi="Calibri" w:cs="Calibri"/>
        </w:rPr>
      </w:pPr>
      <w:r w:rsidRPr="0097459F">
        <w:rPr>
          <w:rFonts w:ascii="Calibri" w:hAnsi="Calibri" w:cs="Calibri"/>
        </w:rPr>
        <w:t>c) títulos de emissão ou coobrigação de instituição financeira autorizada a funcionar pelo Banco Central do Brasil e operações compromissadas lastreadas nesses títulos;</w:t>
      </w:r>
    </w:p>
    <w:p w14:paraId="3FE3D729" w14:textId="77777777" w:rsidR="00C20BBD" w:rsidRPr="0097459F" w:rsidRDefault="00C20BBD" w:rsidP="00C20BBD">
      <w:pPr>
        <w:pStyle w:val="Normalalteradora"/>
        <w:rPr>
          <w:rFonts w:ascii="Calibri" w:hAnsi="Calibri" w:cs="Calibri"/>
        </w:rPr>
      </w:pPr>
      <w:r w:rsidRPr="0097459F">
        <w:rPr>
          <w:rFonts w:ascii="Calibri" w:hAnsi="Calibri" w:cs="Calibri"/>
        </w:rPr>
        <w:t>d) notas promissórias, debêntures, notas comerciais, ações e certificados de depósito de valores mobiliários, desde que tenham sido emitidas por companhias abertas e objeto de oferta pública;</w:t>
      </w:r>
    </w:p>
    <w:p w14:paraId="22C20462" w14:textId="77777777" w:rsidR="00C20BBD" w:rsidRPr="0097459F" w:rsidRDefault="00C20BBD" w:rsidP="00C20BBD">
      <w:pPr>
        <w:pStyle w:val="Normalalteradora"/>
        <w:rPr>
          <w:rFonts w:ascii="Calibri" w:hAnsi="Calibri" w:cs="Calibri"/>
        </w:rPr>
      </w:pPr>
      <w:r w:rsidRPr="0097459F">
        <w:rPr>
          <w:rFonts w:ascii="Calibri" w:hAnsi="Calibri" w:cs="Calibri"/>
        </w:rPr>
        <w:t>e) bônus e recibos de subscrição, cupons e quaisquer outros ativos decorrentes dos valores mobiliários referidos na alínea “d”;</w:t>
      </w:r>
    </w:p>
    <w:p w14:paraId="082ED7D5" w14:textId="77777777" w:rsidR="00C20BBD" w:rsidRPr="0097459F" w:rsidRDefault="00C20BBD" w:rsidP="00C20BBD">
      <w:pPr>
        <w:pStyle w:val="Normalalteradora"/>
        <w:rPr>
          <w:rFonts w:ascii="Calibri" w:hAnsi="Calibri" w:cs="Calibri"/>
        </w:rPr>
      </w:pPr>
      <w:r w:rsidRPr="0097459F">
        <w:rPr>
          <w:rFonts w:ascii="Calibri" w:hAnsi="Calibri" w:cs="Calibri"/>
        </w:rPr>
        <w:t>f) cotas de classe de FIF destinadas ao público em geral;</w:t>
      </w:r>
    </w:p>
    <w:p w14:paraId="081AAAA6" w14:textId="77777777" w:rsidR="00C20BBD" w:rsidRPr="0097459F" w:rsidRDefault="00C20BBD" w:rsidP="00C20BBD">
      <w:pPr>
        <w:pStyle w:val="Normalalteradora"/>
        <w:tabs>
          <w:tab w:val="left" w:pos="851"/>
        </w:tabs>
        <w:rPr>
          <w:rFonts w:ascii="Calibri" w:hAnsi="Calibri" w:cs="Calibri"/>
        </w:rPr>
      </w:pPr>
      <w:r w:rsidRPr="0097459F">
        <w:rPr>
          <w:rFonts w:ascii="Calibri" w:hAnsi="Calibri" w:cs="Calibri"/>
        </w:rPr>
        <w:t>g) ETF;</w:t>
      </w:r>
    </w:p>
    <w:p w14:paraId="0211527D" w14:textId="77777777" w:rsidR="00C20BBD" w:rsidRPr="0097459F" w:rsidRDefault="00C20BBD" w:rsidP="00C20BBD">
      <w:pPr>
        <w:pStyle w:val="Normalalteradora"/>
        <w:rPr>
          <w:rFonts w:ascii="Calibri" w:hAnsi="Calibri" w:cs="Calibri"/>
        </w:rPr>
      </w:pPr>
      <w:r w:rsidRPr="0097459F">
        <w:rPr>
          <w:rFonts w:ascii="Calibri" w:hAnsi="Calibri" w:cs="Calibri"/>
        </w:rPr>
        <w:t>h) BDR-Ações, BDR-Dívida Corporativa e BDR-ETF;</w:t>
      </w:r>
    </w:p>
    <w:p w14:paraId="6D963104" w14:textId="77777777" w:rsidR="00C20BBD" w:rsidRPr="0097459F" w:rsidRDefault="00C20BBD" w:rsidP="00C20BBD">
      <w:pPr>
        <w:pStyle w:val="Normalalteradora"/>
        <w:rPr>
          <w:rFonts w:ascii="Calibri" w:hAnsi="Calibri" w:cs="Calibri"/>
        </w:rPr>
      </w:pPr>
      <w:r w:rsidRPr="0097459F">
        <w:rPr>
          <w:rFonts w:ascii="Calibri" w:hAnsi="Calibri" w:cs="Calibri"/>
        </w:rPr>
        <w:t>i) contratos derivativos, exceto se referenciados nos ativos listados nos incisos I a III deste artigo; e</w:t>
      </w:r>
    </w:p>
    <w:p w14:paraId="35E35BB8"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j) ativos, perfeitamente fungíveis de uma única emissão de valores mobiliários, desde que essa aplicação em específico constitua a política de investimento da classe e os ativos tenham sido emitidas por companhias abertas e objeto de oferta pública.</w:t>
      </w:r>
    </w:p>
    <w:p w14:paraId="6E427696"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O limite previsto no inciso I do </w:t>
      </w:r>
      <w:r w:rsidRPr="0097459F">
        <w:rPr>
          <w:rFonts w:ascii="Calibri" w:hAnsi="Calibri" w:cs="Calibri"/>
          <w:b/>
        </w:rPr>
        <w:t>caput</w:t>
      </w:r>
      <w:r w:rsidRPr="0097459F">
        <w:rPr>
          <w:rFonts w:ascii="Calibri" w:hAnsi="Calibri" w:cs="Calibri"/>
        </w:rPr>
        <w:t xml:space="preserve"> pode alcançar até 40% (quarenta por cento) do patrimônio líquido da classe, caso os 20% (vinte por cento) adicionais ao limite ordinário sejam compostos por ativos que contem com formador de mercado, que mantenha ofertas de compra e venda de forma regular e contínua ao longo de todas as sessões do mercado organizado em que os ativos estejam admitidos à negociação.</w:t>
      </w:r>
    </w:p>
    <w:p w14:paraId="06CC430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2º  O limite previsto no inciso II do </w:t>
      </w:r>
      <w:r w:rsidRPr="0097459F">
        <w:rPr>
          <w:rFonts w:ascii="Calibri" w:hAnsi="Calibri" w:cs="Calibri"/>
          <w:b/>
        </w:rPr>
        <w:t>caput</w:t>
      </w:r>
      <w:r w:rsidRPr="0097459F">
        <w:rPr>
          <w:rFonts w:ascii="Calibri" w:hAnsi="Calibri" w:cs="Calibri"/>
        </w:rPr>
        <w:t xml:space="preserve"> pode alcançar até 25% (vinte e cinco por cento) do patrimônio líquido da classe, caso os 10% (dez por cento) adicionais ao limite ordinário sejam compostos por cotas que contem com formador de mercado, que mantenha ofertas de compra e venda de forma regular e contínua ao longo de todas as sessões do mercado organizado em que as cotas estejam admitidas à negociação.</w:t>
      </w:r>
    </w:p>
    <w:p w14:paraId="6534BBDC"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3º  As operações com contratos derivativos referenciados nos ativos listados nos incisos I a IV do </w:t>
      </w:r>
      <w:r w:rsidRPr="0097459F">
        <w:rPr>
          <w:rFonts w:ascii="Calibri" w:hAnsi="Calibri" w:cs="Calibri"/>
          <w:b/>
        </w:rPr>
        <w:t>caput</w:t>
      </w:r>
      <w:r w:rsidRPr="0097459F">
        <w:rPr>
          <w:rFonts w:ascii="Calibri" w:hAnsi="Calibri" w:cs="Calibri"/>
        </w:rPr>
        <w:t xml:space="preserve"> incluem-se no cômputo dos limites estabelecidos para seus ativos subjacentes, observado, ainda, o disposto no art. 43, § 3º, deste Anexo Normativo I.</w:t>
      </w:r>
    </w:p>
    <w:p w14:paraId="3317CFF9"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4º  Aplicam-se os limites de concentração de que trata o </w:t>
      </w:r>
      <w:r w:rsidRPr="0097459F">
        <w:rPr>
          <w:rFonts w:ascii="Calibri" w:hAnsi="Calibri" w:cs="Calibri"/>
          <w:b/>
        </w:rPr>
        <w:t>caput</w:t>
      </w:r>
      <w:r w:rsidRPr="0097459F">
        <w:rPr>
          <w:rFonts w:ascii="Calibri" w:hAnsi="Calibri" w:cs="Calibri"/>
        </w:rPr>
        <w:t xml:space="preserve"> aos ativos objeto das operações compromissadas em que seja assumido compromisso de recompra.</w:t>
      </w:r>
    </w:p>
    <w:p w14:paraId="33925042" w14:textId="77777777" w:rsidR="00C20BBD" w:rsidRPr="0097459F" w:rsidRDefault="00C20BBD" w:rsidP="00C20BBD">
      <w:pPr>
        <w:pStyle w:val="Normalalteradora"/>
        <w:rPr>
          <w:rFonts w:ascii="Calibri" w:hAnsi="Calibri" w:cs="Calibri"/>
        </w:rPr>
      </w:pPr>
      <w:r w:rsidRPr="0097459F">
        <w:rPr>
          <w:rFonts w:ascii="Calibri" w:hAnsi="Calibri" w:cs="Calibri"/>
        </w:rPr>
        <w:t>§ 5º  Somente as classes exclusivamente destinadas a investidores profissionais, nos limites previstos em seus regulamentos, podem aplicar recursos em classes de cotas das seguintes categorias:</w:t>
      </w:r>
    </w:p>
    <w:p w14:paraId="0F1DD4CA" w14:textId="77777777" w:rsidR="00C20BBD" w:rsidRPr="0097459F" w:rsidRDefault="00C20BBD" w:rsidP="00C20BBD">
      <w:pPr>
        <w:pStyle w:val="Normalalteradora"/>
        <w:rPr>
          <w:rFonts w:ascii="Calibri" w:hAnsi="Calibri" w:cs="Calibri"/>
        </w:rPr>
      </w:pPr>
      <w:r w:rsidRPr="0097459F">
        <w:rPr>
          <w:rFonts w:ascii="Calibri" w:hAnsi="Calibri" w:cs="Calibri"/>
        </w:rPr>
        <w:t>I – fundos de financiamento da indústria cinematográfica nacional - FUNCINE;</w:t>
      </w:r>
    </w:p>
    <w:p w14:paraId="0678F093" w14:textId="77777777" w:rsidR="00C20BBD" w:rsidRPr="0097459F" w:rsidRDefault="00C20BBD" w:rsidP="00C20BBD">
      <w:pPr>
        <w:pStyle w:val="Normalalteradora"/>
        <w:rPr>
          <w:rFonts w:ascii="Calibri" w:hAnsi="Calibri" w:cs="Calibri"/>
        </w:rPr>
      </w:pPr>
      <w:r w:rsidRPr="0097459F">
        <w:rPr>
          <w:rFonts w:ascii="Calibri" w:hAnsi="Calibri" w:cs="Calibri"/>
        </w:rPr>
        <w:t>II – fundos mútuos de ações incentivadas - FMAI; e</w:t>
      </w:r>
    </w:p>
    <w:p w14:paraId="68B1EACD" w14:textId="77777777" w:rsidR="00C20BBD" w:rsidRPr="0097459F" w:rsidRDefault="00C20BBD" w:rsidP="00C20BBD">
      <w:pPr>
        <w:pStyle w:val="Normalalteradora"/>
        <w:rPr>
          <w:rFonts w:ascii="Calibri" w:hAnsi="Calibri" w:cs="Calibri"/>
        </w:rPr>
      </w:pPr>
      <w:r w:rsidRPr="0097459F">
        <w:rPr>
          <w:rFonts w:ascii="Calibri" w:hAnsi="Calibri" w:cs="Calibri"/>
        </w:rPr>
        <w:t>III – fundos de investimento cultural e artístico – FICART.</w:t>
      </w:r>
    </w:p>
    <w:p w14:paraId="0C89AB8B" w14:textId="77777777" w:rsidR="00C20BBD" w:rsidRPr="0097459F" w:rsidRDefault="00C20BBD" w:rsidP="00C20BBD">
      <w:pPr>
        <w:pStyle w:val="Normalalteradora"/>
        <w:rPr>
          <w:rFonts w:ascii="Calibri" w:hAnsi="Calibri" w:cs="Calibri"/>
        </w:rPr>
      </w:pPr>
      <w:r w:rsidRPr="0097459F">
        <w:rPr>
          <w:rFonts w:ascii="Calibri" w:hAnsi="Calibri" w:cs="Calibri"/>
        </w:rPr>
        <w:t>§ 6º  Os limites dispostos neste artigo não se aplicam à carteira de ativos da classe de cotas do fundo incentivado de investimento em infraestrutura – FI-Infra.</w:t>
      </w:r>
    </w:p>
    <w:p w14:paraId="1886AAA5" w14:textId="77777777" w:rsidR="00C20BBD" w:rsidRPr="0097459F" w:rsidRDefault="00C20BBD" w:rsidP="00C20BBD">
      <w:pPr>
        <w:pStyle w:val="Seo"/>
      </w:pPr>
      <w:bookmarkStart w:id="470" w:name="_Toc53594249"/>
      <w:bookmarkStart w:id="471" w:name="_Toc53594497"/>
      <w:bookmarkStart w:id="472" w:name="_Toc53595522"/>
      <w:bookmarkStart w:id="473" w:name="_Toc57836258"/>
      <w:bookmarkStart w:id="474" w:name="_Toc126226368"/>
      <w:r w:rsidRPr="0097459F">
        <w:lastRenderedPageBreak/>
        <w:t>Seção VI – Deveres Quanto aos Limites de Concentração</w:t>
      </w:r>
      <w:bookmarkEnd w:id="470"/>
      <w:bookmarkEnd w:id="471"/>
      <w:bookmarkEnd w:id="472"/>
      <w:bookmarkEnd w:id="473"/>
      <w:bookmarkEnd w:id="474"/>
    </w:p>
    <w:p w14:paraId="014D49CC" w14:textId="77777777" w:rsidR="00C20BBD" w:rsidRPr="0097459F" w:rsidRDefault="00C20BBD" w:rsidP="00C20BBD">
      <w:pPr>
        <w:pStyle w:val="Normalalteradora"/>
        <w:rPr>
          <w:rFonts w:ascii="Calibri" w:hAnsi="Calibri" w:cs="Calibri"/>
        </w:rPr>
      </w:pPr>
      <w:r w:rsidRPr="0097459F">
        <w:rPr>
          <w:rFonts w:ascii="Calibri" w:hAnsi="Calibri" w:cs="Calibri"/>
        </w:rPr>
        <w:t>Art. 46.  Os limites de composição e concentração de carteira, de exposição a risco de capital e de concentração em fatores de risco devem ser cumpridos pelo gestor, com base no patrimônio líquido da classe, cabendo ao gestor, quando for o caso, diligenciar pelo seu reenquadramento no melhor interesse dos cotistas.</w:t>
      </w:r>
    </w:p>
    <w:p w14:paraId="0D14C006" w14:textId="77777777" w:rsidR="00C20BBD" w:rsidRPr="0097459F" w:rsidRDefault="00C20BBD" w:rsidP="00C20BBD">
      <w:pPr>
        <w:pStyle w:val="Normalalteradora"/>
        <w:rPr>
          <w:rFonts w:ascii="Calibri" w:hAnsi="Calibri" w:cs="Calibri"/>
        </w:rPr>
      </w:pPr>
      <w:r w:rsidRPr="0097459F">
        <w:rPr>
          <w:rFonts w:ascii="Calibri" w:hAnsi="Calibri" w:cs="Calibri"/>
        </w:rPr>
        <w:t>§ 1º  Sem prejuízo da responsabilidade do gestor, o administrador deve informar à CVM caso a carteira de ativos permaneça desenquadrada por 10 (dez) dias úteis consecutivos, até o final do dia útil seguinte ao encerramento do prazo, bem como informar seu reenquadramento tão logo verificado.</w:t>
      </w:r>
    </w:p>
    <w:p w14:paraId="70176066" w14:textId="77777777" w:rsidR="00C20BBD" w:rsidRPr="0097459F" w:rsidRDefault="00C20BBD" w:rsidP="00C20BBD">
      <w:pPr>
        <w:pStyle w:val="Normalalteradora"/>
        <w:rPr>
          <w:rFonts w:ascii="Calibri" w:hAnsi="Calibri" w:cs="Calibri"/>
        </w:rPr>
      </w:pPr>
      <w:r w:rsidRPr="0097459F">
        <w:rPr>
          <w:rFonts w:ascii="Calibri" w:hAnsi="Calibri" w:cs="Calibri"/>
        </w:rPr>
        <w:t>§ 2º  Na hipótese prevista no § 1º, o gestor deve encaminhar à CVM um plano de ação para o reenquadramento da carteira, no mesmo prazo, de modo isolado ou conjuntamente ao expediente do administrador.</w:t>
      </w:r>
    </w:p>
    <w:p w14:paraId="4BDA1391"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3º  O gestor deve assegurar-se de que, na consolidação das aplicações da classe investidora com as das classes investidas, os limites referidos no </w:t>
      </w:r>
      <w:r w:rsidRPr="0097459F">
        <w:rPr>
          <w:rFonts w:ascii="Calibri" w:hAnsi="Calibri" w:cs="Calibri"/>
          <w:b/>
        </w:rPr>
        <w:t>caput</w:t>
      </w:r>
      <w:r w:rsidRPr="0097459F">
        <w:rPr>
          <w:rFonts w:ascii="Calibri" w:hAnsi="Calibri" w:cs="Calibri"/>
        </w:rPr>
        <w:t xml:space="preserve"> não são excedidos.</w:t>
      </w:r>
    </w:p>
    <w:p w14:paraId="082D7021" w14:textId="77777777" w:rsidR="00C20BBD" w:rsidRPr="0097459F" w:rsidRDefault="00C20BBD" w:rsidP="00C20BBD">
      <w:pPr>
        <w:pStyle w:val="Normalalteradora"/>
        <w:rPr>
          <w:rFonts w:ascii="Calibri" w:hAnsi="Calibri" w:cs="Calibri"/>
        </w:rPr>
      </w:pPr>
      <w:r w:rsidRPr="0097459F">
        <w:rPr>
          <w:rFonts w:ascii="Calibri" w:hAnsi="Calibri" w:cs="Calibri"/>
        </w:rPr>
        <w:t>§ 4º  Ficam dispensadas da obrigação de que trata o § 3º as aplicações realizadas em:</w:t>
      </w:r>
    </w:p>
    <w:p w14:paraId="52335C48" w14:textId="77777777" w:rsidR="00C20BBD" w:rsidRPr="0097459F" w:rsidRDefault="00C20BBD" w:rsidP="00C20BBD">
      <w:pPr>
        <w:pStyle w:val="Normalalteradora"/>
        <w:rPr>
          <w:rFonts w:ascii="Calibri" w:hAnsi="Calibri" w:cs="Calibri"/>
        </w:rPr>
      </w:pPr>
      <w:r w:rsidRPr="0097459F">
        <w:rPr>
          <w:rFonts w:ascii="Calibri" w:hAnsi="Calibri" w:cs="Calibri"/>
        </w:rPr>
        <w:t>I –   classes geridas por terceiros não ligados ao gestor da classe investidora;</w:t>
      </w:r>
    </w:p>
    <w:p w14:paraId="17681C23" w14:textId="77777777" w:rsidR="00C20BBD" w:rsidRPr="0097459F" w:rsidRDefault="00C20BBD" w:rsidP="00C20BBD">
      <w:pPr>
        <w:pStyle w:val="Normalalteradora"/>
        <w:rPr>
          <w:rFonts w:ascii="Calibri" w:hAnsi="Calibri" w:cs="Calibri"/>
        </w:rPr>
      </w:pPr>
      <w:r w:rsidRPr="0097459F">
        <w:rPr>
          <w:rFonts w:ascii="Calibri" w:hAnsi="Calibri" w:cs="Calibri"/>
        </w:rPr>
        <w:t>II – ETF; e</w:t>
      </w:r>
    </w:p>
    <w:p w14:paraId="100C265C" w14:textId="77777777" w:rsidR="00C20BBD" w:rsidRPr="0097459F" w:rsidRDefault="00C20BBD" w:rsidP="00C20BBD">
      <w:pPr>
        <w:pStyle w:val="Normalalteradora"/>
        <w:rPr>
          <w:rFonts w:ascii="Calibri" w:hAnsi="Calibri" w:cs="Calibri"/>
        </w:rPr>
      </w:pPr>
      <w:r w:rsidRPr="0097459F">
        <w:rPr>
          <w:rFonts w:ascii="Calibri" w:hAnsi="Calibri" w:cs="Calibri"/>
        </w:rPr>
        <w:t>III – fundos e classes de cotas que não sejam categorizados como FIF.</w:t>
      </w:r>
    </w:p>
    <w:p w14:paraId="3D286160" w14:textId="77777777" w:rsidR="00C20BBD" w:rsidRPr="0097459F" w:rsidRDefault="00C20BBD" w:rsidP="00C20BBD">
      <w:pPr>
        <w:pStyle w:val="Normalalteradora"/>
        <w:rPr>
          <w:rFonts w:ascii="Calibri" w:hAnsi="Calibri" w:cs="Calibri"/>
        </w:rPr>
      </w:pPr>
      <w:r w:rsidRPr="0097459F">
        <w:rPr>
          <w:rFonts w:ascii="Calibri" w:hAnsi="Calibri" w:cs="Calibri"/>
        </w:rPr>
        <w:t>§ 5º  Para que possa se valer da dispensa de que trata o § 4º, o regulamento da classe investidora deve prever vedação expressa à aplicação em cotas de classes e subclasses destinadas exclusivamente a investidores profissionais.</w:t>
      </w:r>
    </w:p>
    <w:p w14:paraId="512C846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47.  As classes de cotas têm os seguintes prazos máximos para atingir os limites de concentração por emissor e por modalidade de ativo financeiro, conforme estabelecidos por este Anexo Normativo I e por seu regulamento: </w:t>
      </w:r>
    </w:p>
    <w:p w14:paraId="33E140A9" w14:textId="77777777" w:rsidR="00C20BBD" w:rsidRPr="0097459F" w:rsidRDefault="00C20BBD" w:rsidP="00C20BBD">
      <w:pPr>
        <w:pStyle w:val="Normalalteradora"/>
        <w:rPr>
          <w:rFonts w:ascii="Calibri" w:hAnsi="Calibri" w:cs="Calibri"/>
        </w:rPr>
      </w:pPr>
      <w:r w:rsidRPr="0097459F">
        <w:rPr>
          <w:rFonts w:ascii="Calibri" w:hAnsi="Calibri" w:cs="Calibri"/>
        </w:rPr>
        <w:t>I – 60 (sessenta) dias, a contar da data da primeira integralização de cotas, para as classes abertas; e</w:t>
      </w:r>
    </w:p>
    <w:p w14:paraId="637A5EEC" w14:textId="77777777" w:rsidR="00C20BBD" w:rsidRPr="0097459F" w:rsidRDefault="00C20BBD" w:rsidP="00C20BBD">
      <w:pPr>
        <w:pStyle w:val="Normalalteradora"/>
        <w:rPr>
          <w:rFonts w:ascii="Calibri" w:hAnsi="Calibri" w:cs="Calibri"/>
        </w:rPr>
      </w:pPr>
      <w:r w:rsidRPr="0097459F">
        <w:rPr>
          <w:rFonts w:ascii="Calibri" w:hAnsi="Calibri" w:cs="Calibri"/>
        </w:rPr>
        <w:t>II – 180 (cento e oitenta) dias, a contar da data de encerramento da distribuição, para as classes fechadas.</w:t>
      </w:r>
    </w:p>
    <w:p w14:paraId="6898612B"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1º  A classe tipificada como “Ações – Mercado de Acesso” possui o prazo de 180 (cento e oitenta) dias para atingir os limites de concentração por emissor e por modalidade de ativo estabelecidos em seus regulamentos.</w:t>
      </w:r>
    </w:p>
    <w:p w14:paraId="38D49BDE" w14:textId="77777777" w:rsidR="00C20BBD" w:rsidRPr="0097459F" w:rsidRDefault="00C20BBD" w:rsidP="00C20BBD">
      <w:pPr>
        <w:pStyle w:val="Normalalteradora"/>
        <w:rPr>
          <w:rFonts w:ascii="Calibri" w:hAnsi="Calibri" w:cs="Calibri"/>
        </w:rPr>
      </w:pPr>
      <w:r w:rsidRPr="0097459F">
        <w:rPr>
          <w:rFonts w:ascii="Calibri" w:hAnsi="Calibri" w:cs="Calibri"/>
        </w:rPr>
        <w:t>§ 2º  A classe de cotas do FI-Infra possui o prazo disposto na legislação específica para atingir o limite percentual de enquadramento de suas aplicações em ativos financeiros elencados no art. 2º da Lei nº 12.431, de 24 de junho de 2011.</w:t>
      </w:r>
    </w:p>
    <w:p w14:paraId="4F6C670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3º </w:t>
      </w:r>
      <w:r w:rsidRPr="0097459F" w:rsidDel="008D2D88">
        <w:rPr>
          <w:rFonts w:ascii="Calibri" w:hAnsi="Calibri" w:cs="Calibri"/>
        </w:rPr>
        <w:t xml:space="preserve"> </w:t>
      </w:r>
      <w:r w:rsidRPr="0097459F">
        <w:rPr>
          <w:rFonts w:ascii="Calibri" w:hAnsi="Calibri" w:cs="Calibri"/>
        </w:rPr>
        <w:t>A classe de cotas do FI-Infra possui o prazo de 2 (dois) anos para atingir os limites dispostos no art. 60 deste Anexo Normativo I, contado da data da primeira integralização de cotas, para as classes abertas, e da data de encerramento da distribuição, para as classes fechadas.</w:t>
      </w:r>
    </w:p>
    <w:p w14:paraId="0CB9F135" w14:textId="77777777" w:rsidR="00C20BBD" w:rsidRPr="0097459F" w:rsidRDefault="00C20BBD" w:rsidP="00C20BBD">
      <w:pPr>
        <w:pStyle w:val="Normalalteradora"/>
        <w:rPr>
          <w:rFonts w:ascii="Calibri" w:hAnsi="Calibri" w:cs="Calibri"/>
        </w:rPr>
      </w:pPr>
      <w:r w:rsidRPr="0097459F">
        <w:rPr>
          <w:rFonts w:ascii="Calibri" w:hAnsi="Calibri" w:cs="Calibri"/>
        </w:rPr>
        <w:t>Art. 48.  Caso constate que o descumprimento dos limites de composição, diversificação de carteira e concentração de risco estendeu-se por período superior ao do prazo previsto no art. 47 deste Anexo Normativo I, a SIN pode determinar ao administrador, sem prejuízo das penalidades cabíveis, a convocação de assembleia de cotistas para deliberar sobre uma das seguintes alternativas:</w:t>
      </w:r>
    </w:p>
    <w:p w14:paraId="54673A6C" w14:textId="77777777" w:rsidR="00C20BBD" w:rsidRPr="0097459F" w:rsidRDefault="00C20BBD" w:rsidP="00C20BBD">
      <w:pPr>
        <w:pStyle w:val="Normalalteradora"/>
        <w:rPr>
          <w:rFonts w:ascii="Calibri" w:hAnsi="Calibri" w:cs="Calibri"/>
        </w:rPr>
      </w:pPr>
      <w:r w:rsidRPr="0097459F">
        <w:rPr>
          <w:rFonts w:ascii="Calibri" w:hAnsi="Calibri" w:cs="Calibri"/>
        </w:rPr>
        <w:t>I – incorporação ao patrimônio de outra classe de cotas;</w:t>
      </w:r>
    </w:p>
    <w:p w14:paraId="1739159B" w14:textId="77777777" w:rsidR="00C20BBD" w:rsidRPr="0097459F" w:rsidRDefault="00C20BBD" w:rsidP="00C20BBD">
      <w:pPr>
        <w:pStyle w:val="Normalalteradora"/>
        <w:rPr>
          <w:rFonts w:ascii="Calibri" w:hAnsi="Calibri" w:cs="Calibri"/>
        </w:rPr>
      </w:pPr>
      <w:r w:rsidRPr="0097459F">
        <w:rPr>
          <w:rFonts w:ascii="Calibri" w:hAnsi="Calibri" w:cs="Calibri"/>
        </w:rPr>
        <w:t>II – cisão total para fundo de investimento sob a gestão de outro gestor que não seja parte relacionada ao gestor a ser eventualmente substituído; ou</w:t>
      </w:r>
    </w:p>
    <w:p w14:paraId="03FEA305" w14:textId="77777777" w:rsidR="00C20BBD" w:rsidRPr="0097459F" w:rsidRDefault="00C20BBD" w:rsidP="00C20BBD">
      <w:pPr>
        <w:pStyle w:val="Normalalteradora"/>
        <w:rPr>
          <w:rFonts w:ascii="Calibri" w:hAnsi="Calibri" w:cs="Calibri"/>
        </w:rPr>
      </w:pPr>
      <w:r w:rsidRPr="0097459F">
        <w:rPr>
          <w:rFonts w:ascii="Calibri" w:hAnsi="Calibri" w:cs="Calibri"/>
        </w:rPr>
        <w:t>II – liquidação.</w:t>
      </w:r>
    </w:p>
    <w:p w14:paraId="5AC0A3C6"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Caso se trate de fundo de investimento com classe única de cotas, a assembleia geral pode decidir, ainda, sobre a alternativa de transferir a administração ou a gestão do fundo, ou ambas.</w:t>
      </w:r>
    </w:p>
    <w:p w14:paraId="2B57BC2C" w14:textId="77777777" w:rsidR="00C20BBD" w:rsidRPr="0097459F" w:rsidRDefault="00C20BBD" w:rsidP="00C20BBD">
      <w:pPr>
        <w:pStyle w:val="Seo"/>
      </w:pPr>
      <w:bookmarkStart w:id="475" w:name="_Toc53594250"/>
      <w:bookmarkStart w:id="476" w:name="_Toc53594498"/>
      <w:bookmarkStart w:id="477" w:name="_Toc53595523"/>
      <w:bookmarkStart w:id="478" w:name="_Toc57836259"/>
      <w:bookmarkStart w:id="479" w:name="_Toc126226369"/>
      <w:r w:rsidRPr="0097459F">
        <w:t xml:space="preserve">Seção VII – </w:t>
      </w:r>
      <w:bookmarkEnd w:id="475"/>
      <w:bookmarkEnd w:id="476"/>
      <w:bookmarkEnd w:id="477"/>
      <w:bookmarkEnd w:id="478"/>
      <w:r w:rsidRPr="0097459F">
        <w:t>Tipificação</w:t>
      </w:r>
      <w:bookmarkEnd w:id="479"/>
    </w:p>
    <w:p w14:paraId="5FDAA445" w14:textId="77777777" w:rsidR="00C20BBD" w:rsidRPr="0097459F" w:rsidRDefault="00C20BBD" w:rsidP="00C20BBD">
      <w:pPr>
        <w:pStyle w:val="Seo"/>
      </w:pPr>
      <w:bookmarkStart w:id="480" w:name="_Toc53594251"/>
      <w:bookmarkStart w:id="481" w:name="_Toc53594499"/>
      <w:bookmarkStart w:id="482" w:name="_Toc53595524"/>
      <w:bookmarkStart w:id="483" w:name="_Toc57836260"/>
      <w:bookmarkStart w:id="484" w:name="_Toc126226370"/>
      <w:r w:rsidRPr="0097459F">
        <w:t>Subseção I – Fundos de Renda Fixa</w:t>
      </w:r>
      <w:bookmarkEnd w:id="480"/>
      <w:bookmarkEnd w:id="481"/>
      <w:bookmarkEnd w:id="482"/>
      <w:bookmarkEnd w:id="483"/>
      <w:bookmarkEnd w:id="484"/>
    </w:p>
    <w:p w14:paraId="61DCE56C" w14:textId="77777777" w:rsidR="00C20BBD" w:rsidRPr="0097459F" w:rsidRDefault="00C20BBD" w:rsidP="00C20BBD">
      <w:pPr>
        <w:pStyle w:val="Normalalteradora"/>
        <w:rPr>
          <w:rFonts w:ascii="Calibri" w:hAnsi="Calibri" w:cs="Calibri"/>
        </w:rPr>
      </w:pPr>
      <w:r w:rsidRPr="0097459F">
        <w:rPr>
          <w:rFonts w:ascii="Calibri" w:hAnsi="Calibri" w:cs="Calibri"/>
        </w:rPr>
        <w:t>Art. 49.  A classe tipificada como “Renda Fixa” deve ter como principal fator de risco de sua carteira a variação de taxa de juros, índice de preços ou ambos.</w:t>
      </w:r>
    </w:p>
    <w:p w14:paraId="725A51D3"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Na classe tipificada como "Renda Fixa" é vedada a cobrança de taxa de performance, salvo quando se tratar de:</w:t>
      </w:r>
    </w:p>
    <w:p w14:paraId="0E01F395" w14:textId="77777777" w:rsidR="00C20BBD" w:rsidRPr="0097459F" w:rsidRDefault="00C20BBD" w:rsidP="00C20BBD">
      <w:pPr>
        <w:pStyle w:val="Normalalteradora"/>
        <w:rPr>
          <w:rFonts w:ascii="Calibri" w:hAnsi="Calibri" w:cs="Calibri"/>
        </w:rPr>
      </w:pPr>
      <w:r w:rsidRPr="0097459F">
        <w:rPr>
          <w:rFonts w:ascii="Calibri" w:hAnsi="Calibri" w:cs="Calibri"/>
        </w:rPr>
        <w:t>I – classe ou subclasse de cotas exclusivamente destinada a investidores qualificados;</w:t>
      </w:r>
    </w:p>
    <w:p w14:paraId="7BEA4C34"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II – classe que dispuser, em regulamento, que tem o compromisso de obter o tratamento fiscal destinado a fundos de longo prazo previsto na regulamentação fiscal vigente; ou</w:t>
      </w:r>
    </w:p>
    <w:p w14:paraId="667A661E" w14:textId="77777777" w:rsidR="00C20BBD" w:rsidRPr="0097459F" w:rsidRDefault="00C20BBD" w:rsidP="00C20BBD">
      <w:pPr>
        <w:pStyle w:val="Normalalteradora"/>
        <w:rPr>
          <w:rFonts w:ascii="Calibri" w:hAnsi="Calibri" w:cs="Calibri"/>
        </w:rPr>
      </w:pPr>
      <w:r w:rsidRPr="0097459F">
        <w:rPr>
          <w:rFonts w:ascii="Calibri" w:hAnsi="Calibri" w:cs="Calibri"/>
        </w:rPr>
        <w:t>III – classe tipificada como “Renda Fixa - Dívida Externa”.</w:t>
      </w:r>
    </w:p>
    <w:p w14:paraId="00AC773A" w14:textId="77777777" w:rsidR="00C20BBD" w:rsidRPr="0097459F" w:rsidRDefault="00C20BBD" w:rsidP="00C20BBD">
      <w:pPr>
        <w:pStyle w:val="Normalalteradora"/>
        <w:rPr>
          <w:rFonts w:ascii="Calibri" w:hAnsi="Calibri" w:cs="Calibri"/>
        </w:rPr>
      </w:pPr>
      <w:r w:rsidRPr="0097459F">
        <w:rPr>
          <w:rFonts w:ascii="Calibri" w:hAnsi="Calibri" w:cs="Calibri"/>
        </w:rPr>
        <w:t>Art. 50.  Para fins de liquidação do resgate no mesmo dia do pedido, na conversão de cotas da classe de cotas aberta tipificada como “Renda Fixa”, o regulamento pode estabelecer que o valor da cota do dia deve ser calculado a partir do patrimônio líquido do dia anterior, devidamente atualizado por 1 (um) dia.</w:t>
      </w:r>
    </w:p>
    <w:p w14:paraId="736695E1"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Parágrafo único.  A faculdade prevista no </w:t>
      </w:r>
      <w:r w:rsidRPr="0097459F">
        <w:rPr>
          <w:rFonts w:ascii="Calibri" w:hAnsi="Calibri" w:cs="Calibri"/>
          <w:b/>
        </w:rPr>
        <w:t>caput</w:t>
      </w:r>
      <w:r w:rsidRPr="0097459F">
        <w:rPr>
          <w:rFonts w:ascii="Calibri" w:hAnsi="Calibri" w:cs="Calibri"/>
        </w:rPr>
        <w:t xml:space="preserve"> não pode ser utilizada por:</w:t>
      </w:r>
    </w:p>
    <w:p w14:paraId="4190C037" w14:textId="77777777" w:rsidR="00C20BBD" w:rsidRPr="0097459F" w:rsidRDefault="00C20BBD" w:rsidP="00C20BBD">
      <w:pPr>
        <w:pStyle w:val="Normalalteradora"/>
        <w:rPr>
          <w:rFonts w:ascii="Calibri" w:hAnsi="Calibri" w:cs="Calibri"/>
        </w:rPr>
      </w:pPr>
      <w:r w:rsidRPr="0097459F">
        <w:rPr>
          <w:rFonts w:ascii="Calibri" w:hAnsi="Calibri" w:cs="Calibri"/>
        </w:rPr>
        <w:t>I – classe que possua o compromisso de obter o tratamento fiscal destinado a fundos de longo prazo previsto na regulamentação fiscal vigente; ou</w:t>
      </w:r>
    </w:p>
    <w:p w14:paraId="692ADD83" w14:textId="77777777" w:rsidR="00C20BBD" w:rsidRPr="0097459F" w:rsidRDefault="00C20BBD" w:rsidP="00C20BBD">
      <w:pPr>
        <w:pStyle w:val="Normalalteradora"/>
        <w:rPr>
          <w:rFonts w:ascii="Calibri" w:hAnsi="Calibri" w:cs="Calibri"/>
        </w:rPr>
      </w:pPr>
      <w:r w:rsidRPr="0097459F">
        <w:rPr>
          <w:rFonts w:ascii="Calibri" w:hAnsi="Calibri" w:cs="Calibri"/>
        </w:rPr>
        <w:t>II – classe de cotas tipificada como “Renda Fixa - Dívida Externa”.</w:t>
      </w:r>
    </w:p>
    <w:p w14:paraId="2C80DB22" w14:textId="77777777" w:rsidR="00C20BBD" w:rsidRPr="0097459F" w:rsidRDefault="00C20BBD" w:rsidP="00C20BBD">
      <w:pPr>
        <w:pStyle w:val="Normalalteradora"/>
        <w:rPr>
          <w:rFonts w:ascii="Calibri" w:hAnsi="Calibri" w:cs="Calibri"/>
        </w:rPr>
      </w:pPr>
      <w:r w:rsidRPr="0097459F">
        <w:rPr>
          <w:rFonts w:ascii="Calibri" w:hAnsi="Calibri" w:cs="Calibri"/>
        </w:rPr>
        <w:t>Art. 51.  A classe de cotas tipificada como “Renda Fixa” deve possuir, no mínimo, 80% (oitenta por cento) da carteira em ativos relacionados diretamente, ou sintetizados via derivativos, ao fator de risco que dá nome ao tipo.</w:t>
      </w:r>
    </w:p>
    <w:p w14:paraId="66637A72" w14:textId="77777777" w:rsidR="00C20BBD" w:rsidRPr="0097459F" w:rsidRDefault="00C20BBD" w:rsidP="00C20BBD">
      <w:pPr>
        <w:pStyle w:val="Normalalteradora"/>
        <w:rPr>
          <w:rFonts w:ascii="Calibri" w:hAnsi="Calibri" w:cs="Calibri"/>
        </w:rPr>
      </w:pPr>
      <w:r w:rsidRPr="0097459F">
        <w:rPr>
          <w:rFonts w:ascii="Calibri" w:hAnsi="Calibri" w:cs="Calibri"/>
        </w:rPr>
        <w:t>Art. 52.  A classe de cotas tipificada como "Renda Fixa” que atenda às condições abaixo deve acrescentar à sua denominação o sufixo “Curto Prazo”:</w:t>
      </w:r>
    </w:p>
    <w:p w14:paraId="115D521D" w14:textId="77777777" w:rsidR="00C20BBD" w:rsidRPr="0097459F" w:rsidRDefault="00C20BBD" w:rsidP="00C20BBD">
      <w:pPr>
        <w:pStyle w:val="Normalalteradora"/>
        <w:rPr>
          <w:rFonts w:ascii="Calibri" w:hAnsi="Calibri" w:cs="Calibri"/>
        </w:rPr>
      </w:pPr>
      <w:r w:rsidRPr="0097459F">
        <w:rPr>
          <w:rFonts w:ascii="Calibri" w:hAnsi="Calibri" w:cs="Calibri"/>
        </w:rPr>
        <w:t>I – aplique seus recursos exclusivamente em:</w:t>
      </w:r>
    </w:p>
    <w:p w14:paraId="4423EF30" w14:textId="77777777" w:rsidR="00C20BBD" w:rsidRPr="0097459F" w:rsidRDefault="00C20BBD" w:rsidP="00C20BBD">
      <w:pPr>
        <w:pStyle w:val="Normalalteradora"/>
        <w:rPr>
          <w:rFonts w:ascii="Calibri" w:hAnsi="Calibri" w:cs="Calibri"/>
        </w:rPr>
      </w:pPr>
      <w:r w:rsidRPr="0097459F">
        <w:rPr>
          <w:rFonts w:ascii="Calibri" w:hAnsi="Calibri" w:cs="Calibri"/>
        </w:rPr>
        <w:t>a) títulos públicos federais ou privados pré-fixados ou indexados à taxa de juros ou títulos indexados a índices de preços, com prazo máximo a decorrer de 375 (trezentos e setenta e cinco) dias, e prazo médio da carteira de ativos inferior a 60 (sessenta) dias;</w:t>
      </w:r>
    </w:p>
    <w:p w14:paraId="319BD74F" w14:textId="77777777" w:rsidR="00C20BBD" w:rsidRPr="0097459F" w:rsidRDefault="00C20BBD" w:rsidP="00C20BBD">
      <w:pPr>
        <w:pStyle w:val="Normalalteradora"/>
        <w:rPr>
          <w:rFonts w:ascii="Calibri" w:hAnsi="Calibri" w:cs="Calibri"/>
        </w:rPr>
      </w:pPr>
      <w:r w:rsidRPr="0097459F">
        <w:rPr>
          <w:rFonts w:ascii="Calibri" w:hAnsi="Calibri" w:cs="Calibri"/>
        </w:rPr>
        <w:t>b) títulos privados com prazo de que trata a alínea “a” e que sejam considerados de baixo risco de crédito pelo gestor;</w:t>
      </w:r>
    </w:p>
    <w:p w14:paraId="429FC77E" w14:textId="77777777" w:rsidR="00C20BBD" w:rsidRPr="0097459F" w:rsidRDefault="00C20BBD" w:rsidP="00C20BBD">
      <w:pPr>
        <w:pStyle w:val="Normalalteradora"/>
        <w:rPr>
          <w:rFonts w:ascii="Calibri" w:hAnsi="Calibri" w:cs="Calibri"/>
        </w:rPr>
      </w:pPr>
      <w:r w:rsidRPr="0097459F">
        <w:rPr>
          <w:rFonts w:ascii="Calibri" w:hAnsi="Calibri" w:cs="Calibri"/>
        </w:rPr>
        <w:t>c) ETF que apliquem nos títulos de que tratam as alíneas “a” e “b” e atendam ao inciso II; e</w:t>
      </w:r>
    </w:p>
    <w:p w14:paraId="06B505CB" w14:textId="77777777" w:rsidR="00C20BBD" w:rsidRPr="0097459F" w:rsidRDefault="00C20BBD" w:rsidP="00C20BBD">
      <w:pPr>
        <w:pStyle w:val="Normalalteradora"/>
        <w:rPr>
          <w:rFonts w:ascii="Calibri" w:hAnsi="Calibri" w:cs="Calibri"/>
        </w:rPr>
      </w:pPr>
      <w:r w:rsidRPr="0097459F">
        <w:rPr>
          <w:rFonts w:ascii="Calibri" w:hAnsi="Calibri" w:cs="Calibri"/>
        </w:rPr>
        <w:t>d) operações compromissadas lastreadas em títulos públicos federais; e</w:t>
      </w:r>
    </w:p>
    <w:p w14:paraId="69ABE821" w14:textId="77777777" w:rsidR="00C20BBD" w:rsidRPr="0097459F" w:rsidRDefault="00C20BBD" w:rsidP="00C20BBD">
      <w:pPr>
        <w:pStyle w:val="Normalalteradora"/>
        <w:rPr>
          <w:rFonts w:ascii="Calibri" w:hAnsi="Calibri" w:cs="Calibri"/>
        </w:rPr>
      </w:pPr>
      <w:r w:rsidRPr="0097459F">
        <w:rPr>
          <w:rFonts w:ascii="Calibri" w:hAnsi="Calibri" w:cs="Calibri"/>
        </w:rPr>
        <w:t>II – utilize derivativos somente para proteção da carteira (</w:t>
      </w:r>
      <w:r w:rsidRPr="0097459F">
        <w:rPr>
          <w:rFonts w:ascii="Calibri" w:hAnsi="Calibri" w:cs="Calibri"/>
          <w:b/>
        </w:rPr>
        <w:t>hedge</w:t>
      </w:r>
      <w:r w:rsidRPr="0097459F">
        <w:rPr>
          <w:rFonts w:ascii="Calibri" w:hAnsi="Calibri" w:cs="Calibri"/>
        </w:rPr>
        <w:t>).</w:t>
      </w:r>
    </w:p>
    <w:p w14:paraId="02F51A5A" w14:textId="77777777" w:rsidR="00C20BBD" w:rsidRPr="0097459F" w:rsidRDefault="00C20BBD" w:rsidP="00C20BBD">
      <w:pPr>
        <w:pStyle w:val="Normalalteradora"/>
        <w:rPr>
          <w:rFonts w:ascii="Calibri" w:hAnsi="Calibri" w:cs="Calibri"/>
        </w:rPr>
      </w:pPr>
      <w:r w:rsidRPr="0097459F">
        <w:rPr>
          <w:rFonts w:ascii="Calibri" w:hAnsi="Calibri" w:cs="Calibri"/>
        </w:rPr>
        <w:t>Art. 53.  A classe de cotas tipificada como "Renda Fixa” cuja política de investimento assegure que ao menos 95% (noventa e cinco por cento) do seu patrimônio líquido esteja investido em ativos que acompanham, direta ou indiretamente, determinado índice de referência deve:</w:t>
      </w:r>
    </w:p>
    <w:p w14:paraId="10009270"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 –  incluir, à sua denominação, o sufixo “Referenciada”, seguido da denominação de tal índice;</w:t>
      </w:r>
    </w:p>
    <w:p w14:paraId="00FE9ED2" w14:textId="77777777" w:rsidR="00C20BBD" w:rsidRPr="0097459F" w:rsidRDefault="00C20BBD" w:rsidP="00C20BBD">
      <w:pPr>
        <w:pStyle w:val="Normalalteradora"/>
        <w:rPr>
          <w:rFonts w:ascii="Calibri" w:hAnsi="Calibri" w:cs="Calibri"/>
        </w:rPr>
      </w:pPr>
      <w:r w:rsidRPr="0097459F">
        <w:rPr>
          <w:rFonts w:ascii="Calibri" w:hAnsi="Calibri" w:cs="Calibri"/>
        </w:rPr>
        <w:t>II – ter 80% (oitenta por cento), no mínimo, de seu patrimônio líquido representado, isolada ou cumulativamente, por:</w:t>
      </w:r>
    </w:p>
    <w:p w14:paraId="431F9762" w14:textId="77777777" w:rsidR="00C20BBD" w:rsidRPr="0097459F" w:rsidRDefault="00C20BBD" w:rsidP="00C20BBD">
      <w:pPr>
        <w:pStyle w:val="Normalalteradora"/>
        <w:rPr>
          <w:rFonts w:ascii="Calibri" w:hAnsi="Calibri" w:cs="Calibri"/>
        </w:rPr>
      </w:pPr>
      <w:r w:rsidRPr="0097459F">
        <w:rPr>
          <w:rFonts w:ascii="Calibri" w:hAnsi="Calibri" w:cs="Calibri"/>
        </w:rPr>
        <w:t>a) títulos da dívida pública federal;</w:t>
      </w:r>
    </w:p>
    <w:p w14:paraId="2DFF742E" w14:textId="77777777" w:rsidR="00C20BBD" w:rsidRPr="0097459F" w:rsidRDefault="00C20BBD" w:rsidP="00C20BBD">
      <w:pPr>
        <w:pStyle w:val="Normalalteradora"/>
        <w:rPr>
          <w:rFonts w:ascii="Calibri" w:hAnsi="Calibri" w:cs="Calibri"/>
        </w:rPr>
      </w:pPr>
      <w:r w:rsidRPr="0097459F">
        <w:rPr>
          <w:rFonts w:ascii="Calibri" w:hAnsi="Calibri" w:cs="Calibri"/>
        </w:rPr>
        <w:t>b) ativos financeiros de renda fixa considerados de baixo risco de crédito pelo gestor; ou</w:t>
      </w:r>
    </w:p>
    <w:p w14:paraId="3C18C507" w14:textId="77777777" w:rsidR="00C20BBD" w:rsidRPr="0097459F" w:rsidRDefault="00C20BBD" w:rsidP="00C20BBD">
      <w:pPr>
        <w:pStyle w:val="Normalalteradora"/>
        <w:rPr>
          <w:rFonts w:ascii="Calibri" w:hAnsi="Calibri" w:cs="Calibri"/>
        </w:rPr>
      </w:pPr>
      <w:r w:rsidRPr="0097459F">
        <w:rPr>
          <w:rFonts w:ascii="Calibri" w:hAnsi="Calibri" w:cs="Calibri"/>
        </w:rPr>
        <w:t>c) ETF que invistam preponderantemente nos ativos das alíneas “a” e “b” e atendam ao inciso III; e</w:t>
      </w:r>
    </w:p>
    <w:p w14:paraId="1D4B7FDA" w14:textId="77777777" w:rsidR="00C20BBD" w:rsidRPr="0097459F" w:rsidRDefault="00C20BBD" w:rsidP="00C20BBD">
      <w:pPr>
        <w:pStyle w:val="Normalalteradora"/>
        <w:rPr>
          <w:rFonts w:ascii="Calibri" w:hAnsi="Calibri" w:cs="Calibri"/>
        </w:rPr>
      </w:pPr>
      <w:r w:rsidRPr="0097459F">
        <w:rPr>
          <w:rFonts w:ascii="Calibri" w:hAnsi="Calibri" w:cs="Calibri"/>
        </w:rPr>
        <w:t>III – restringir a respectiva atuação nos mercados de derivativos à realização de operações com o objetivo de proteger posições detidas à vista (</w:t>
      </w:r>
      <w:r w:rsidRPr="0097459F">
        <w:rPr>
          <w:rFonts w:ascii="Calibri" w:hAnsi="Calibri" w:cs="Calibri"/>
          <w:b/>
        </w:rPr>
        <w:t>hedge</w:t>
      </w:r>
      <w:r w:rsidRPr="0097459F">
        <w:rPr>
          <w:rFonts w:ascii="Calibri" w:hAnsi="Calibri" w:cs="Calibri"/>
        </w:rPr>
        <w:t xml:space="preserve">), até o limite destas. </w:t>
      </w:r>
    </w:p>
    <w:p w14:paraId="74748DA8" w14:textId="77777777" w:rsidR="00C20BBD" w:rsidRPr="0097459F" w:rsidRDefault="00C20BBD" w:rsidP="00C20BBD">
      <w:pPr>
        <w:pStyle w:val="Normalalteradora"/>
        <w:rPr>
          <w:rFonts w:ascii="Calibri" w:hAnsi="Calibri" w:cs="Calibri"/>
        </w:rPr>
      </w:pPr>
      <w:r w:rsidRPr="0097459F">
        <w:rPr>
          <w:rFonts w:ascii="Calibri" w:hAnsi="Calibri" w:cs="Calibri"/>
        </w:rPr>
        <w:t>Art. 54.  A classe de cotas tipificada como “Renda Fixa” que atenda às condições abaixo pode acrescentar à sua denominação o sufixo “Simples”:</w:t>
      </w:r>
    </w:p>
    <w:p w14:paraId="366B6077" w14:textId="77777777" w:rsidR="00C20BBD" w:rsidRPr="0097459F" w:rsidRDefault="00C20BBD" w:rsidP="00C20BBD">
      <w:pPr>
        <w:pStyle w:val="Normalalteradora"/>
        <w:rPr>
          <w:rFonts w:ascii="Calibri" w:hAnsi="Calibri" w:cs="Calibri"/>
        </w:rPr>
      </w:pPr>
      <w:r w:rsidRPr="0097459F">
        <w:rPr>
          <w:rFonts w:ascii="Calibri" w:hAnsi="Calibri" w:cs="Calibri"/>
        </w:rPr>
        <w:t>I – tenha 95% (noventa e cinco por cento), no mínimo, de seu patrimônio líquido representado, isolada ou cumulativamente, por:</w:t>
      </w:r>
    </w:p>
    <w:p w14:paraId="50608793" w14:textId="77777777" w:rsidR="00C20BBD" w:rsidRPr="0097459F" w:rsidRDefault="00C20BBD" w:rsidP="00C20BBD">
      <w:pPr>
        <w:pStyle w:val="Normalalteradora"/>
        <w:rPr>
          <w:rFonts w:ascii="Calibri" w:hAnsi="Calibri" w:cs="Calibri"/>
        </w:rPr>
      </w:pPr>
      <w:r w:rsidRPr="0097459F">
        <w:rPr>
          <w:rFonts w:ascii="Calibri" w:hAnsi="Calibri" w:cs="Calibri"/>
        </w:rPr>
        <w:t>a) títulos da dívida pública federal;</w:t>
      </w:r>
    </w:p>
    <w:p w14:paraId="223E0425" w14:textId="77777777" w:rsidR="00C20BBD" w:rsidRPr="0097459F" w:rsidRDefault="00C20BBD" w:rsidP="00C20BBD">
      <w:pPr>
        <w:pStyle w:val="Normalalteradora"/>
        <w:rPr>
          <w:rFonts w:ascii="Calibri" w:hAnsi="Calibri" w:cs="Calibri"/>
        </w:rPr>
      </w:pPr>
      <w:r w:rsidRPr="0097459F">
        <w:rPr>
          <w:rFonts w:ascii="Calibri" w:hAnsi="Calibri" w:cs="Calibri"/>
        </w:rPr>
        <w:t>b) títulos de renda fixa de emissão ou coobrigação de instituições financeiras que possuam classificação de risco atribuída pelo gestor, no mínimo, equivalente àqueles atribuídos aos títulos da dívida pública federal; e</w:t>
      </w:r>
    </w:p>
    <w:p w14:paraId="4031CEF1" w14:textId="77777777" w:rsidR="00C20BBD" w:rsidRPr="0097459F" w:rsidRDefault="00C20BBD" w:rsidP="00C20BBD">
      <w:pPr>
        <w:pStyle w:val="Normalalteradora"/>
        <w:rPr>
          <w:rFonts w:ascii="Calibri" w:hAnsi="Calibri" w:cs="Calibri"/>
        </w:rPr>
      </w:pPr>
      <w:r w:rsidRPr="0097459F">
        <w:rPr>
          <w:rFonts w:ascii="Calibri" w:hAnsi="Calibri" w:cs="Calibri"/>
        </w:rPr>
        <w:t>c) operações compromissadas lastreadas em títulos da dívida pública federal ou em títulos de responsabilidade, emissão ou coobrigação de instituições autorizadas a funcionar pelo Banco Central do Brasil, desde que, na hipótese de lastro em títulos de responsabilidade de pessoas de direito privado, a instituição financeira contraparte da classe na operação possua classificação de risco atribuída pelo gestor, no mínimo, equivalente àquelas atribuídas aos títulos da dívida pública federal;</w:t>
      </w:r>
    </w:p>
    <w:p w14:paraId="51DCC2AD" w14:textId="77777777" w:rsidR="00C20BBD" w:rsidRPr="0097459F" w:rsidRDefault="00C20BBD" w:rsidP="00C20BBD">
      <w:pPr>
        <w:pStyle w:val="Normalalteradora"/>
        <w:rPr>
          <w:rFonts w:ascii="Calibri" w:hAnsi="Calibri" w:cs="Calibri"/>
        </w:rPr>
      </w:pPr>
      <w:r w:rsidRPr="0097459F">
        <w:rPr>
          <w:rFonts w:ascii="Calibri" w:hAnsi="Calibri" w:cs="Calibri"/>
        </w:rPr>
        <w:t>II – realize operações com derivativos exclusivamente para os efeitos de proteção da carteira (</w:t>
      </w:r>
      <w:r w:rsidRPr="0097459F">
        <w:rPr>
          <w:rFonts w:ascii="Calibri" w:hAnsi="Calibri" w:cs="Calibri"/>
          <w:b/>
        </w:rPr>
        <w:t>hedge</w:t>
      </w:r>
      <w:r w:rsidRPr="0097459F">
        <w:rPr>
          <w:rFonts w:ascii="Calibri" w:hAnsi="Calibri" w:cs="Calibri"/>
        </w:rPr>
        <w:t>);</w:t>
      </w:r>
    </w:p>
    <w:p w14:paraId="1D25397F" w14:textId="77777777" w:rsidR="00C20BBD" w:rsidRPr="0097459F" w:rsidRDefault="00C20BBD" w:rsidP="00C20BBD">
      <w:pPr>
        <w:pStyle w:val="Normalalteradora"/>
        <w:rPr>
          <w:rFonts w:ascii="Calibri" w:hAnsi="Calibri" w:cs="Calibri"/>
        </w:rPr>
      </w:pPr>
      <w:r w:rsidRPr="0097459F">
        <w:rPr>
          <w:rFonts w:ascii="Calibri" w:hAnsi="Calibri" w:cs="Calibri"/>
        </w:rPr>
        <w:t>III – se constitua sob a forma de condomínio aberto; e</w:t>
      </w:r>
    </w:p>
    <w:p w14:paraId="381B7E07" w14:textId="77777777" w:rsidR="00C20BBD" w:rsidRPr="0097459F" w:rsidRDefault="00C20BBD" w:rsidP="00C20BBD">
      <w:pPr>
        <w:pStyle w:val="Normalalteradora"/>
        <w:rPr>
          <w:rFonts w:ascii="Calibri" w:hAnsi="Calibri" w:cs="Calibri"/>
        </w:rPr>
      </w:pPr>
      <w:r w:rsidRPr="0097459F">
        <w:rPr>
          <w:rFonts w:ascii="Calibri" w:hAnsi="Calibri" w:cs="Calibri"/>
        </w:rPr>
        <w:t>IV – preveja, em seu regulamento, que todos os documentos e informações relacionados à classe sejam disponibilizados aos cotistas preferencialmente por meios eletrônicos.</w:t>
      </w:r>
    </w:p>
    <w:p w14:paraId="11BE9190"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Fica vedado à classe de cotas de que trata o </w:t>
      </w:r>
      <w:r w:rsidRPr="0097459F">
        <w:rPr>
          <w:rFonts w:ascii="Calibri" w:hAnsi="Calibri" w:cs="Calibri"/>
          <w:b/>
        </w:rPr>
        <w:t>caput</w:t>
      </w:r>
      <w:r w:rsidRPr="0097459F">
        <w:rPr>
          <w:rFonts w:ascii="Calibri" w:hAnsi="Calibri" w:cs="Calibri"/>
        </w:rPr>
        <w:t>:</w:t>
      </w:r>
    </w:p>
    <w:p w14:paraId="56E2EB92"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 – a cobrança de taxa de performance, ainda que o regulamento disponha que a classe possui o compromisso de obter o tratamento fiscal destinado a fundos de longo prazo previsto na regulamentação fiscal vigente;</w:t>
      </w:r>
    </w:p>
    <w:p w14:paraId="5A742AF6" w14:textId="77777777" w:rsidR="00C20BBD" w:rsidRPr="0097459F" w:rsidRDefault="00C20BBD" w:rsidP="00C20BBD">
      <w:pPr>
        <w:pStyle w:val="Normalalteradora"/>
        <w:rPr>
          <w:rFonts w:ascii="Calibri" w:hAnsi="Calibri" w:cs="Calibri"/>
        </w:rPr>
      </w:pPr>
      <w:r w:rsidRPr="0097459F">
        <w:rPr>
          <w:rFonts w:ascii="Calibri" w:hAnsi="Calibri" w:cs="Calibri"/>
        </w:rPr>
        <w:t>II – a realização de investimentos no exterior;</w:t>
      </w:r>
    </w:p>
    <w:p w14:paraId="35A100ED" w14:textId="77777777" w:rsidR="00C20BBD" w:rsidRPr="0097459F" w:rsidRDefault="00C20BBD" w:rsidP="00C20BBD">
      <w:pPr>
        <w:pStyle w:val="Normalalteradora"/>
        <w:rPr>
          <w:rFonts w:ascii="Calibri" w:hAnsi="Calibri" w:cs="Calibri"/>
        </w:rPr>
      </w:pPr>
      <w:r w:rsidRPr="0097459F">
        <w:rPr>
          <w:rFonts w:ascii="Calibri" w:hAnsi="Calibri" w:cs="Calibri"/>
        </w:rPr>
        <w:t>III – a concentração em créditos privados na forma do art. 70 deste Anexo Normativo I;</w:t>
      </w:r>
    </w:p>
    <w:p w14:paraId="7CAD4A9A" w14:textId="77777777" w:rsidR="00C20BBD" w:rsidRPr="0097459F" w:rsidRDefault="00C20BBD" w:rsidP="00C20BBD">
      <w:pPr>
        <w:pStyle w:val="Normalalteradora"/>
        <w:rPr>
          <w:rFonts w:ascii="Calibri" w:hAnsi="Calibri" w:cs="Calibri"/>
        </w:rPr>
      </w:pPr>
      <w:r w:rsidRPr="0097459F">
        <w:rPr>
          <w:rFonts w:ascii="Calibri" w:hAnsi="Calibri" w:cs="Calibri"/>
        </w:rPr>
        <w:t>IV – a transformação em classe fechada; e</w:t>
      </w:r>
    </w:p>
    <w:p w14:paraId="1F13F33A" w14:textId="77777777" w:rsidR="00C20BBD" w:rsidRPr="0097459F" w:rsidRDefault="00C20BBD" w:rsidP="00C20BBD">
      <w:pPr>
        <w:pStyle w:val="Normalalteradora"/>
        <w:rPr>
          <w:rFonts w:ascii="Calibri" w:hAnsi="Calibri" w:cs="Calibri"/>
        </w:rPr>
      </w:pPr>
      <w:r w:rsidRPr="0097459F">
        <w:rPr>
          <w:rFonts w:ascii="Calibri" w:hAnsi="Calibri" w:cs="Calibri"/>
        </w:rPr>
        <w:t>V – qualquer transformação ou mudança de tipo.</w:t>
      </w:r>
    </w:p>
    <w:p w14:paraId="5B66C685" w14:textId="77777777" w:rsidR="00C20BBD" w:rsidRPr="0097459F" w:rsidRDefault="00C20BBD" w:rsidP="00C20BBD">
      <w:pPr>
        <w:pStyle w:val="Normalalteradora"/>
        <w:rPr>
          <w:rFonts w:ascii="Calibri" w:hAnsi="Calibri" w:cs="Calibri"/>
        </w:rPr>
      </w:pPr>
      <w:r w:rsidRPr="0097459F">
        <w:rPr>
          <w:rFonts w:ascii="Calibri" w:hAnsi="Calibri" w:cs="Calibri"/>
        </w:rPr>
        <w:t>§ 2º  A lâmina da classe “Renda Fixa - Simples” deve comparar a performance da classe com a performance da taxa SELIC.</w:t>
      </w:r>
    </w:p>
    <w:p w14:paraId="10DABCF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3º  O gestor da classe “Renda Fixa - Simples” deve adotar estratégia de investimento que proteja a classe de riscos de perdas e volatilidade. </w:t>
      </w:r>
    </w:p>
    <w:p w14:paraId="32908270" w14:textId="77777777" w:rsidR="00C20BBD" w:rsidRPr="0097459F" w:rsidRDefault="00C20BBD" w:rsidP="00C20BBD">
      <w:pPr>
        <w:pStyle w:val="Normalalteradora"/>
        <w:rPr>
          <w:rFonts w:ascii="Calibri" w:hAnsi="Calibri" w:cs="Calibri"/>
        </w:rPr>
      </w:pPr>
      <w:r w:rsidRPr="0097459F">
        <w:rPr>
          <w:rFonts w:ascii="Calibri" w:hAnsi="Calibri" w:cs="Calibri"/>
        </w:rPr>
        <w:t>§ 4º  O ingresso na classe “Renda Fixa - Simples” fica dispensado:</w:t>
      </w:r>
    </w:p>
    <w:p w14:paraId="6CE8BE54" w14:textId="77777777" w:rsidR="00C20BBD" w:rsidRPr="0097459F" w:rsidRDefault="00C20BBD" w:rsidP="00C20BBD">
      <w:pPr>
        <w:pStyle w:val="Normalalteradora"/>
        <w:rPr>
          <w:rFonts w:ascii="Calibri" w:hAnsi="Calibri" w:cs="Calibri"/>
        </w:rPr>
      </w:pPr>
      <w:r w:rsidRPr="0097459F">
        <w:rPr>
          <w:rFonts w:ascii="Calibri" w:hAnsi="Calibri" w:cs="Calibri"/>
        </w:rPr>
        <w:t>I – de recolher o termo de adesão; e</w:t>
      </w:r>
    </w:p>
    <w:p w14:paraId="37DA8CD5" w14:textId="77777777" w:rsidR="00C20BBD" w:rsidRPr="0097459F" w:rsidRDefault="00C20BBD" w:rsidP="00C20BBD">
      <w:pPr>
        <w:pStyle w:val="Normalalteradora"/>
        <w:rPr>
          <w:rFonts w:ascii="Calibri" w:hAnsi="Calibri" w:cs="Calibri"/>
        </w:rPr>
      </w:pPr>
      <w:r w:rsidRPr="0097459F">
        <w:rPr>
          <w:rFonts w:ascii="Calibri" w:hAnsi="Calibri" w:cs="Calibri"/>
        </w:rPr>
        <w:t>II – de efetuar a verificação da adequação do investimento ao perfil do cliente, na forma da regulamentação específica sobre o assunto, mesmo na hipótese de o investidor não possuir outros investimentos no mercado de capitais.</w:t>
      </w:r>
    </w:p>
    <w:p w14:paraId="5659AC02" w14:textId="77777777" w:rsidR="00C20BBD" w:rsidRPr="0097459F" w:rsidRDefault="00C20BBD" w:rsidP="00C20BBD">
      <w:pPr>
        <w:pStyle w:val="Normalalteradora"/>
        <w:rPr>
          <w:rFonts w:ascii="Calibri" w:hAnsi="Calibri" w:cs="Calibri"/>
        </w:rPr>
      </w:pPr>
      <w:r w:rsidRPr="0097459F">
        <w:rPr>
          <w:rFonts w:ascii="Calibri" w:hAnsi="Calibri" w:cs="Calibri"/>
        </w:rPr>
        <w:t>Art. 55.  A classe de cotas tipificada como “Renda Fixa” que tenha 80% (oitenta por cento), no mínimo, do patrimônio líquido representado por títulos representativos da dívida externa de responsabilidade da União, deve incluir, à sua denominação, o sufixo “Dívida Externa”.</w:t>
      </w:r>
    </w:p>
    <w:p w14:paraId="4928A06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Os títulos representativos da dívida externa de responsabilidade da União devem ser mantidos, no exterior, em conta de custódia, no Sistema </w:t>
      </w:r>
      <w:r w:rsidRPr="0097459F">
        <w:rPr>
          <w:rFonts w:ascii="Calibri" w:hAnsi="Calibri" w:cs="Calibri"/>
          <w:b/>
        </w:rPr>
        <w:t>Euroclear</w:t>
      </w:r>
      <w:r w:rsidRPr="0097459F">
        <w:rPr>
          <w:rFonts w:ascii="Calibri" w:hAnsi="Calibri" w:cs="Calibri"/>
        </w:rPr>
        <w:t xml:space="preserve"> ou </w:t>
      </w:r>
      <w:r w:rsidRPr="0097459F">
        <w:rPr>
          <w:rFonts w:ascii="Calibri" w:hAnsi="Calibri" w:cs="Calibri"/>
          <w:b/>
        </w:rPr>
        <w:t>Clearstream Banking</w:t>
      </w:r>
      <w:r w:rsidRPr="0097459F">
        <w:rPr>
          <w:rFonts w:ascii="Calibri" w:hAnsi="Calibri" w:cs="Calibri"/>
        </w:rPr>
        <w:t xml:space="preserve"> S.A.</w:t>
      </w:r>
    </w:p>
    <w:p w14:paraId="369E0A19" w14:textId="77777777" w:rsidR="00C20BBD" w:rsidRPr="0097459F" w:rsidRDefault="00C20BBD" w:rsidP="00C20BBD">
      <w:pPr>
        <w:pStyle w:val="Normalalteradora"/>
        <w:rPr>
          <w:rFonts w:ascii="Calibri" w:hAnsi="Calibri" w:cs="Calibri"/>
        </w:rPr>
      </w:pPr>
      <w:r w:rsidRPr="0097459F">
        <w:rPr>
          <w:rFonts w:ascii="Calibri" w:hAnsi="Calibri" w:cs="Calibri"/>
        </w:rPr>
        <w:t>§ 2º  Os títulos referidos no § 1º devem ser custodiados em entidades habilitadas a prestar esse serviço pelo supervisor local.</w:t>
      </w:r>
    </w:p>
    <w:p w14:paraId="67F63EE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3º  A classe de que trata o </w:t>
      </w:r>
      <w:r w:rsidRPr="0097459F">
        <w:rPr>
          <w:rFonts w:ascii="Calibri" w:hAnsi="Calibri" w:cs="Calibri"/>
          <w:b/>
        </w:rPr>
        <w:t>caput</w:t>
      </w:r>
      <w:r w:rsidRPr="0097459F">
        <w:rPr>
          <w:rFonts w:ascii="Calibri" w:hAnsi="Calibri" w:cs="Calibri"/>
        </w:rPr>
        <w:t xml:space="preserve"> pode aplicar recursos porventura remanescentes:</w:t>
      </w:r>
    </w:p>
    <w:p w14:paraId="6CD79A8D" w14:textId="77777777" w:rsidR="00C20BBD" w:rsidRPr="0097459F" w:rsidRDefault="00C20BBD" w:rsidP="00C20BBD">
      <w:pPr>
        <w:pStyle w:val="Normalalteradora"/>
        <w:rPr>
          <w:rFonts w:ascii="Calibri" w:hAnsi="Calibri" w:cs="Calibri"/>
        </w:rPr>
      </w:pPr>
      <w:r w:rsidRPr="0097459F">
        <w:rPr>
          <w:rFonts w:ascii="Calibri" w:hAnsi="Calibri" w:cs="Calibri"/>
        </w:rPr>
        <w:t>I – na realização de operações em mercados organizados de derivativos no exterior, exclusivamente para os efeitos de proteção (</w:t>
      </w:r>
      <w:r w:rsidRPr="0097459F">
        <w:rPr>
          <w:rFonts w:ascii="Calibri" w:hAnsi="Calibri" w:cs="Calibri"/>
          <w:b/>
        </w:rPr>
        <w:t>hedge</w:t>
      </w:r>
      <w:r w:rsidRPr="0097459F">
        <w:rPr>
          <w:rFonts w:ascii="Calibri" w:hAnsi="Calibri" w:cs="Calibri"/>
        </w:rPr>
        <w:t xml:space="preserve">) dos títulos integrantes da carteira respectiva, ou mantê-los em conta </w:t>
      </w:r>
      <w:r w:rsidRPr="0097459F">
        <w:rPr>
          <w:rFonts w:ascii="Calibri" w:hAnsi="Calibri" w:cs="Calibri"/>
        </w:rPr>
        <w:lastRenderedPageBreak/>
        <w:t>de depósito em nome da classe, no exterior, observado, relativamente a essa última modalidade, o limite de 10% (dez por cento) do patrimônio líquido respectivo; e</w:t>
      </w:r>
    </w:p>
    <w:p w14:paraId="2650F861" w14:textId="77777777" w:rsidR="00C20BBD" w:rsidRPr="0097459F" w:rsidRDefault="00C20BBD" w:rsidP="00C20BBD">
      <w:pPr>
        <w:pStyle w:val="Normalalteradora"/>
        <w:rPr>
          <w:rFonts w:ascii="Calibri" w:hAnsi="Calibri" w:cs="Calibri"/>
        </w:rPr>
      </w:pPr>
      <w:r w:rsidRPr="0097459F">
        <w:rPr>
          <w:rFonts w:ascii="Calibri" w:hAnsi="Calibri" w:cs="Calibri"/>
        </w:rPr>
        <w:t>II – na realização de operações em mercados organizados de derivativos no país, exclusivamente para os efeitos de proteção (</w:t>
      </w:r>
      <w:r w:rsidRPr="0097459F">
        <w:rPr>
          <w:rFonts w:ascii="Calibri" w:hAnsi="Calibri" w:cs="Calibri"/>
          <w:b/>
        </w:rPr>
        <w:t>hedge</w:t>
      </w:r>
      <w:r w:rsidRPr="0097459F">
        <w:rPr>
          <w:rFonts w:ascii="Calibri" w:hAnsi="Calibri" w:cs="Calibri"/>
        </w:rPr>
        <w:t>) dos títulos integrantes da carteira respectiva, desde que referenciadas em títulos representativos de dívida externa de responsabilidade da União, ou mantê-los em conta de depósito à vista em nome da classe, no país, observado, no conjunto, o limite de 10% (dez por cento) do patrimônio líquido respectivo.</w:t>
      </w:r>
    </w:p>
    <w:p w14:paraId="0B555D1C" w14:textId="77777777" w:rsidR="00C20BBD" w:rsidRPr="0097459F" w:rsidRDefault="00C20BBD" w:rsidP="00C20BBD">
      <w:pPr>
        <w:pStyle w:val="Normalalteradora"/>
        <w:rPr>
          <w:rFonts w:ascii="Calibri" w:hAnsi="Calibri" w:cs="Calibri"/>
        </w:rPr>
      </w:pPr>
      <w:r w:rsidRPr="0097459F">
        <w:rPr>
          <w:rFonts w:ascii="Calibri" w:hAnsi="Calibri" w:cs="Calibri"/>
        </w:rPr>
        <w:t>§ 4º  Para efeito do disposto no § 3º, inciso II:</w:t>
      </w:r>
    </w:p>
    <w:p w14:paraId="64E1B3AA" w14:textId="77777777" w:rsidR="00C20BBD" w:rsidRPr="0097459F" w:rsidRDefault="00C20BBD" w:rsidP="00C20BBD">
      <w:pPr>
        <w:pStyle w:val="Normalalteradora"/>
        <w:rPr>
          <w:rFonts w:ascii="Calibri" w:hAnsi="Calibri" w:cs="Calibri"/>
        </w:rPr>
      </w:pPr>
      <w:r w:rsidRPr="0097459F">
        <w:rPr>
          <w:rFonts w:ascii="Calibri" w:hAnsi="Calibri" w:cs="Calibri"/>
        </w:rPr>
        <w:t>I – as operações em mercados organizados de derivativos podem ser realizadas tanto em bolsas de mercadorias e de futuros quanto no mercado de balcão, nesse caso desde que devidamente registradas em sistema de registro e de liquidação financeira de ativos autorizado pela CVM e pelo Banco Central do Brasil;</w:t>
      </w:r>
    </w:p>
    <w:p w14:paraId="41B67F50" w14:textId="77777777" w:rsidR="00C20BBD" w:rsidRPr="0097459F" w:rsidRDefault="00C20BBD" w:rsidP="00C20BBD">
      <w:pPr>
        <w:pStyle w:val="Normalalteradora"/>
        <w:rPr>
          <w:rFonts w:ascii="Calibri" w:hAnsi="Calibri" w:cs="Calibri"/>
        </w:rPr>
      </w:pPr>
      <w:r w:rsidRPr="0097459F">
        <w:rPr>
          <w:rFonts w:ascii="Calibri" w:hAnsi="Calibri" w:cs="Calibri"/>
        </w:rPr>
        <w:t>II – devem ser considerados os dispêndios efetivamente incorridos a título de prestação de margens de garantia em espécie, ajustes diários, prêmios e custos operacionais, decorrentes da manutenção de posições em mercados organizados de derivativos no país; e</w:t>
      </w:r>
    </w:p>
    <w:p w14:paraId="113EF1E3" w14:textId="77777777" w:rsidR="00C20BBD" w:rsidRPr="0097459F" w:rsidRDefault="00C20BBD" w:rsidP="00C20BBD">
      <w:pPr>
        <w:pStyle w:val="Normalalteradora"/>
        <w:rPr>
          <w:rFonts w:ascii="Calibri" w:hAnsi="Calibri" w:cs="Calibri"/>
        </w:rPr>
      </w:pPr>
      <w:r w:rsidRPr="0097459F">
        <w:rPr>
          <w:rFonts w:ascii="Calibri" w:hAnsi="Calibri" w:cs="Calibri"/>
        </w:rPr>
        <w:t>III – é permitida a aquisição de títulos públicos federais para utilização como margem de garantia nas operações em mercados organizados de derivativos no país.</w:t>
      </w:r>
    </w:p>
    <w:p w14:paraId="36D2526E" w14:textId="77777777" w:rsidR="00C20BBD" w:rsidRPr="0097459F" w:rsidRDefault="00C20BBD" w:rsidP="00C20BBD">
      <w:pPr>
        <w:pStyle w:val="Normalalteradora"/>
        <w:rPr>
          <w:rFonts w:ascii="Calibri" w:hAnsi="Calibri" w:cs="Calibri"/>
        </w:rPr>
      </w:pPr>
      <w:r w:rsidRPr="0097459F">
        <w:rPr>
          <w:rFonts w:ascii="Calibri" w:hAnsi="Calibri" w:cs="Calibri"/>
        </w:rPr>
        <w:t>§ 5º  Relativamente aos títulos de crédito transacionados no mercado internacional, o total de emissão ou coobrigação de uma mesma pessoa jurídica e seu grupo econômico não pode exceder 10% (dez por cento) do patrimônio líquido da classe.</w:t>
      </w:r>
    </w:p>
    <w:p w14:paraId="3DB10BF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6º  É vedada a manutenção ou aplicação no País de recursos captados pelo fundo de que trata o </w:t>
      </w:r>
      <w:r w:rsidRPr="0097459F">
        <w:rPr>
          <w:rFonts w:ascii="Calibri" w:hAnsi="Calibri" w:cs="Calibri"/>
          <w:b/>
        </w:rPr>
        <w:t>caput</w:t>
      </w:r>
      <w:r w:rsidRPr="0097459F">
        <w:rPr>
          <w:rFonts w:ascii="Calibri" w:hAnsi="Calibri" w:cs="Calibri"/>
        </w:rPr>
        <w:t>, exceto nos casos do inciso II do § 3º e do inciso III do § 4º deste artigo.</w:t>
      </w:r>
    </w:p>
    <w:p w14:paraId="4C240F6A" w14:textId="77777777" w:rsidR="00C20BBD" w:rsidRPr="0097459F" w:rsidRDefault="00C20BBD" w:rsidP="00C20BBD">
      <w:pPr>
        <w:pStyle w:val="Seo"/>
      </w:pPr>
      <w:bookmarkStart w:id="485" w:name="_Toc53594252"/>
      <w:bookmarkStart w:id="486" w:name="_Toc53594500"/>
      <w:bookmarkStart w:id="487" w:name="_Toc53595525"/>
      <w:bookmarkStart w:id="488" w:name="_Toc57836261"/>
      <w:bookmarkStart w:id="489" w:name="_Toc126226371"/>
      <w:r w:rsidRPr="0097459F">
        <w:t>Subseção II – Fundos de Ações</w:t>
      </w:r>
      <w:bookmarkEnd w:id="485"/>
      <w:bookmarkEnd w:id="486"/>
      <w:bookmarkEnd w:id="487"/>
      <w:bookmarkEnd w:id="488"/>
      <w:bookmarkEnd w:id="489"/>
    </w:p>
    <w:p w14:paraId="1E7040CF" w14:textId="77777777" w:rsidR="00C20BBD" w:rsidRPr="0097459F" w:rsidRDefault="00C20BBD" w:rsidP="00C20BBD">
      <w:pPr>
        <w:pStyle w:val="Normalalteradora"/>
        <w:rPr>
          <w:rFonts w:ascii="Calibri" w:hAnsi="Calibri" w:cs="Calibri"/>
        </w:rPr>
      </w:pPr>
      <w:r w:rsidRPr="0097459F">
        <w:rPr>
          <w:rFonts w:ascii="Calibri" w:hAnsi="Calibri" w:cs="Calibri"/>
        </w:rPr>
        <w:t>Art. 56.  A classe de cotas do fundo tipificado como “Ações” deve ter como principal fator de risco a variação de preços de ações admitidas à negociação em mercado organizado.</w:t>
      </w:r>
    </w:p>
    <w:p w14:paraId="5372FCDF"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1º  Nas classes de que trata o </w:t>
      </w:r>
      <w:r w:rsidRPr="0097459F">
        <w:rPr>
          <w:rFonts w:ascii="Calibri" w:hAnsi="Calibri" w:cs="Calibri"/>
          <w:b/>
        </w:rPr>
        <w:t>caput</w:t>
      </w:r>
      <w:r w:rsidRPr="0097459F">
        <w:rPr>
          <w:rFonts w:ascii="Calibri" w:hAnsi="Calibri" w:cs="Calibri"/>
        </w:rPr>
        <w:t>:</w:t>
      </w:r>
    </w:p>
    <w:p w14:paraId="7D5BCF46"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 – 67% (sessenta e sete por cento), no mínimo, de seu patrimônio líquido deve ser composto pelo conjunto dos seguintes ativos financeiros:</w:t>
      </w:r>
    </w:p>
    <w:p w14:paraId="462BAF95" w14:textId="77777777" w:rsidR="00C20BBD" w:rsidRPr="0097459F" w:rsidRDefault="00C20BBD" w:rsidP="00C20BBD">
      <w:pPr>
        <w:pStyle w:val="Normalalteradora"/>
        <w:rPr>
          <w:rFonts w:ascii="Calibri" w:hAnsi="Calibri" w:cs="Calibri"/>
        </w:rPr>
      </w:pPr>
      <w:r w:rsidRPr="0097459F">
        <w:rPr>
          <w:rFonts w:ascii="Calibri" w:hAnsi="Calibri" w:cs="Calibri"/>
        </w:rPr>
        <w:t>a) ações e certificados de depósito de ações admitidos à negociação em mercado organizado;</w:t>
      </w:r>
    </w:p>
    <w:p w14:paraId="14FBCA69" w14:textId="77777777" w:rsidR="00C20BBD" w:rsidRPr="0097459F" w:rsidRDefault="00C20BBD" w:rsidP="00C20BBD">
      <w:pPr>
        <w:pStyle w:val="Normalalteradora"/>
        <w:rPr>
          <w:rFonts w:ascii="Calibri" w:hAnsi="Calibri" w:cs="Calibri"/>
        </w:rPr>
      </w:pPr>
      <w:r w:rsidRPr="0097459F">
        <w:rPr>
          <w:rFonts w:ascii="Calibri" w:hAnsi="Calibri" w:cs="Calibri"/>
        </w:rPr>
        <w:t>b) bônus e recibos de subscrição admitidos à negociação em mercado organizado;</w:t>
      </w:r>
    </w:p>
    <w:p w14:paraId="1A90EB79" w14:textId="77777777" w:rsidR="00C20BBD" w:rsidRPr="0097459F" w:rsidRDefault="00C20BBD" w:rsidP="00C20BBD">
      <w:pPr>
        <w:pStyle w:val="Normalalteradora"/>
        <w:rPr>
          <w:rFonts w:ascii="Calibri" w:hAnsi="Calibri" w:cs="Calibri"/>
        </w:rPr>
      </w:pPr>
      <w:r w:rsidRPr="0097459F">
        <w:rPr>
          <w:rFonts w:ascii="Calibri" w:hAnsi="Calibri" w:cs="Calibri"/>
        </w:rPr>
        <w:t>c) cotas de classes tipificadas como “Ações”;</w:t>
      </w:r>
    </w:p>
    <w:p w14:paraId="44A645D1" w14:textId="77777777" w:rsidR="00C20BBD" w:rsidRPr="0097459F" w:rsidRDefault="00C20BBD" w:rsidP="00C20BBD">
      <w:pPr>
        <w:pStyle w:val="Normalalteradora"/>
        <w:rPr>
          <w:rFonts w:cstheme="minorHAnsi"/>
        </w:rPr>
      </w:pPr>
      <w:r w:rsidRPr="0097459F">
        <w:rPr>
          <w:rFonts w:cstheme="minorHAnsi"/>
        </w:rPr>
        <w:t>d) ETF de ações;</w:t>
      </w:r>
    </w:p>
    <w:p w14:paraId="39D139FE" w14:textId="77777777" w:rsidR="00C20BBD" w:rsidRPr="0097459F" w:rsidRDefault="00C20BBD" w:rsidP="00C20BBD">
      <w:pPr>
        <w:pStyle w:val="Normalalteradora"/>
        <w:rPr>
          <w:rFonts w:cstheme="minorHAnsi"/>
        </w:rPr>
      </w:pPr>
      <w:r w:rsidRPr="0097459F">
        <w:rPr>
          <w:rFonts w:cstheme="minorHAnsi"/>
        </w:rPr>
        <w:t>e) BDR-Ações; e</w:t>
      </w:r>
    </w:p>
    <w:p w14:paraId="2AAAA1A9" w14:textId="66B0B277" w:rsidR="00C20BBD" w:rsidRPr="0097459F" w:rsidRDefault="00C20BBD" w:rsidP="00C20BBD">
      <w:pPr>
        <w:pStyle w:val="Normalalteradora"/>
        <w:rPr>
          <w:rFonts w:cstheme="minorHAnsi"/>
        </w:rPr>
      </w:pPr>
      <w:r w:rsidRPr="0097459F">
        <w:rPr>
          <w:rFonts w:cstheme="minorHAnsi"/>
        </w:rPr>
        <w:t>f) BDR-ETF de ações;</w:t>
      </w:r>
      <w:r w:rsidR="00E201DC">
        <w:rPr>
          <w:rFonts w:cstheme="minorHAnsi"/>
        </w:rPr>
        <w:t xml:space="preserve"> e</w:t>
      </w:r>
    </w:p>
    <w:p w14:paraId="6F08A8CF" w14:textId="77777777" w:rsidR="00C20BBD" w:rsidRPr="0097459F" w:rsidRDefault="00C20BBD" w:rsidP="00C20BBD">
      <w:pPr>
        <w:pStyle w:val="Normalalteradora"/>
        <w:rPr>
          <w:rFonts w:cstheme="minorHAnsi"/>
        </w:rPr>
      </w:pPr>
      <w:r w:rsidRPr="0097459F">
        <w:rPr>
          <w:rFonts w:cstheme="minorHAnsi"/>
        </w:rPr>
        <w:t>II – os recursos excedentes da carteira podem ser aplicados em quaisquer outras modalidades de ativos financeiros destinados à gestão de liquidez.</w:t>
      </w:r>
    </w:p>
    <w:p w14:paraId="3A40F3ED" w14:textId="77777777" w:rsidR="00C20BBD" w:rsidRPr="0097459F" w:rsidRDefault="00C20BBD" w:rsidP="00C20BBD">
      <w:pPr>
        <w:pStyle w:val="Normalalteradora"/>
        <w:rPr>
          <w:rFonts w:cstheme="minorHAnsi"/>
        </w:rPr>
      </w:pPr>
      <w:r w:rsidRPr="0097459F">
        <w:rPr>
          <w:rFonts w:cstheme="minorHAnsi"/>
        </w:rPr>
        <w:t xml:space="preserve">§ 2º  Sem prejuízo do disposto no </w:t>
      </w:r>
      <w:r w:rsidRPr="0097459F">
        <w:rPr>
          <w:rFonts w:cstheme="minorHAnsi"/>
          <w:b/>
        </w:rPr>
        <w:t>caput</w:t>
      </w:r>
      <w:r w:rsidRPr="0097459F">
        <w:rPr>
          <w:rFonts w:cstheme="minorHAnsi"/>
        </w:rPr>
        <w:t>, o investimento nos ativos financeiros listados no inciso I do § 1º não está sujeito a limites de concentração por emissor, desde que o regulamento preveja tal possibilidade e no termo de adesão conste alerta de que a classe de cotas pode estar exposta ao risco de concentração em ativos financeiros de poucos emissores.</w:t>
      </w:r>
    </w:p>
    <w:p w14:paraId="68DAA622" w14:textId="77777777" w:rsidR="00C20BBD" w:rsidRPr="0097459F" w:rsidRDefault="00C20BBD" w:rsidP="00C20BBD">
      <w:pPr>
        <w:pStyle w:val="Normalalteradora"/>
        <w:rPr>
          <w:rFonts w:cstheme="minorHAnsi"/>
        </w:rPr>
      </w:pPr>
      <w:r w:rsidRPr="0097459F">
        <w:rPr>
          <w:rFonts w:cstheme="minorHAnsi"/>
        </w:rPr>
        <w:t>§ 3º  A classe de cotas cuja política de investimento preveja que, no mínimo, 67% (sessenta e sete por cento) do patrimônio líquido seja investido em ações de companhias listadas em segmento voltado ao mercado de acesso, instituído em mercado organizado, que assegure, por meio de vínculo contratual, práticas diferenciadas de governança corporativa:</w:t>
      </w:r>
    </w:p>
    <w:p w14:paraId="27245ACB" w14:textId="77777777" w:rsidR="00C20BBD" w:rsidRPr="0097459F" w:rsidRDefault="00C20BBD" w:rsidP="00C20BBD">
      <w:pPr>
        <w:pStyle w:val="Normalalteradora"/>
        <w:rPr>
          <w:rFonts w:cstheme="minorHAnsi"/>
        </w:rPr>
      </w:pPr>
      <w:r w:rsidRPr="0097459F">
        <w:rPr>
          <w:rFonts w:cstheme="minorHAnsi"/>
        </w:rPr>
        <w:t>I – deve usar, em seu nome, a designação “Ações - Mercado de Acesso”; e</w:t>
      </w:r>
    </w:p>
    <w:p w14:paraId="38BBDB90" w14:textId="77777777" w:rsidR="00C20BBD" w:rsidRPr="0097459F" w:rsidRDefault="00C20BBD" w:rsidP="00C20BBD">
      <w:pPr>
        <w:pStyle w:val="Normalalteradora"/>
        <w:rPr>
          <w:rFonts w:cstheme="minorHAnsi"/>
        </w:rPr>
      </w:pPr>
      <w:r w:rsidRPr="0097459F">
        <w:rPr>
          <w:rFonts w:cstheme="minorHAnsi"/>
        </w:rPr>
        <w:t>II – quando constituída sob a forma de regime fechado, pode investir até 33% (trinta e três por cento) do seu patrimônio líquido em ações, debêntures, bônus de subscrição, cotas de FIP ou outros títulos e valores mobiliários conversíveis ou permutáveis em ações de emissão de companhias fechadas.</w:t>
      </w:r>
    </w:p>
    <w:p w14:paraId="19E2F789" w14:textId="77777777" w:rsidR="00C20BBD" w:rsidRPr="0097459F" w:rsidRDefault="00C20BBD" w:rsidP="00C20BBD">
      <w:pPr>
        <w:pStyle w:val="Normalalteradora"/>
        <w:rPr>
          <w:rFonts w:cstheme="minorHAnsi"/>
        </w:rPr>
      </w:pPr>
      <w:r w:rsidRPr="0097459F">
        <w:rPr>
          <w:rFonts w:cstheme="minorHAnsi"/>
        </w:rPr>
        <w:t>§ 4º  A classe que utilize a prerrogativa do § 3º, inciso II, deve:</w:t>
      </w:r>
    </w:p>
    <w:p w14:paraId="333EFC8A" w14:textId="77777777" w:rsidR="00C20BBD" w:rsidRPr="0097459F" w:rsidRDefault="00C20BBD" w:rsidP="00C20BBD">
      <w:pPr>
        <w:pStyle w:val="Normalalteradora"/>
        <w:rPr>
          <w:rFonts w:cstheme="minorHAnsi"/>
        </w:rPr>
      </w:pPr>
      <w:r w:rsidRPr="0097459F">
        <w:rPr>
          <w:rFonts w:cstheme="minorHAnsi"/>
        </w:rPr>
        <w:t>I – participar do processo decisório da companhia investida, com efetiva influência na definição de sua política estratégica e na sua gestão, notadamente por meio:</w:t>
      </w:r>
    </w:p>
    <w:p w14:paraId="126B15B3" w14:textId="77777777" w:rsidR="00C20BBD" w:rsidRPr="0097459F" w:rsidRDefault="00C20BBD" w:rsidP="00C20BBD">
      <w:pPr>
        <w:pStyle w:val="Normalalteradora"/>
        <w:rPr>
          <w:rFonts w:cstheme="minorHAnsi"/>
        </w:rPr>
      </w:pPr>
      <w:r w:rsidRPr="0097459F">
        <w:rPr>
          <w:rFonts w:cstheme="minorHAnsi"/>
        </w:rPr>
        <w:t>a) da indicação de membros do Conselho de Administração;</w:t>
      </w:r>
    </w:p>
    <w:p w14:paraId="312C2628" w14:textId="77777777" w:rsidR="00C20BBD" w:rsidRPr="0097459F" w:rsidRDefault="00C20BBD" w:rsidP="00C20BBD">
      <w:pPr>
        <w:pStyle w:val="Normalalteradora"/>
        <w:rPr>
          <w:rFonts w:cstheme="minorHAnsi"/>
        </w:rPr>
      </w:pPr>
      <w:r w:rsidRPr="0097459F">
        <w:rPr>
          <w:rFonts w:cstheme="minorHAnsi"/>
        </w:rPr>
        <w:lastRenderedPageBreak/>
        <w:t>b) da detenção de ações que integrem o respectivo bloco de controle;</w:t>
      </w:r>
    </w:p>
    <w:p w14:paraId="05C093DE" w14:textId="77777777" w:rsidR="00C20BBD" w:rsidRPr="0097459F" w:rsidRDefault="00C20BBD" w:rsidP="00C20BBD">
      <w:pPr>
        <w:pStyle w:val="Normalalteradora"/>
        <w:rPr>
          <w:rFonts w:cstheme="minorHAnsi"/>
        </w:rPr>
      </w:pPr>
      <w:r w:rsidRPr="0097459F">
        <w:rPr>
          <w:rFonts w:cstheme="minorHAnsi"/>
        </w:rPr>
        <w:t>c) da celebração de acordo de acionistas; ou</w:t>
      </w:r>
    </w:p>
    <w:p w14:paraId="47F55C20" w14:textId="77777777" w:rsidR="00C20BBD" w:rsidRPr="0097459F" w:rsidRDefault="00C20BBD" w:rsidP="00C20BBD">
      <w:pPr>
        <w:pStyle w:val="Normalalteradora"/>
        <w:rPr>
          <w:rFonts w:cstheme="minorHAnsi"/>
        </w:rPr>
      </w:pPr>
      <w:r w:rsidRPr="0097459F">
        <w:rPr>
          <w:rFonts w:cstheme="minorHAnsi"/>
        </w:rPr>
        <w:t>d) da celebração de ajuste de natureza diversa ou adoção de procedimento que assegure efetiva influência na definição de sua política estratégica e na sua gestão; e</w:t>
      </w:r>
    </w:p>
    <w:p w14:paraId="2ADC2579" w14:textId="77777777" w:rsidR="00C20BBD" w:rsidRPr="0097459F" w:rsidRDefault="00C20BBD" w:rsidP="00C20BBD">
      <w:pPr>
        <w:pStyle w:val="Normalalteradora"/>
        <w:rPr>
          <w:rFonts w:cstheme="minorHAnsi"/>
        </w:rPr>
      </w:pPr>
      <w:r w:rsidRPr="0097459F">
        <w:rPr>
          <w:rFonts w:cstheme="minorHAnsi"/>
        </w:rPr>
        <w:t>II – investir somente em companhias fechadas que adotem as seguintes práticas de governança:</w:t>
      </w:r>
    </w:p>
    <w:p w14:paraId="5A96515F" w14:textId="77777777" w:rsidR="00C20BBD" w:rsidRPr="0097459F" w:rsidRDefault="00C20BBD" w:rsidP="00C20BBD">
      <w:pPr>
        <w:pStyle w:val="Normalalteradora"/>
        <w:rPr>
          <w:rFonts w:cstheme="minorHAnsi"/>
        </w:rPr>
      </w:pPr>
      <w:r w:rsidRPr="0097459F">
        <w:rPr>
          <w:rFonts w:cstheme="minorHAnsi"/>
        </w:rPr>
        <w:t>a) proibição de emissão de partes beneficiárias e inexistência desses títulos em circulação;</w:t>
      </w:r>
    </w:p>
    <w:p w14:paraId="53BC8F1D" w14:textId="77777777" w:rsidR="00C20BBD" w:rsidRPr="0097459F" w:rsidRDefault="00C20BBD" w:rsidP="00C20BBD">
      <w:pPr>
        <w:pStyle w:val="Normalalteradora"/>
        <w:rPr>
          <w:rFonts w:cstheme="minorHAnsi"/>
        </w:rPr>
      </w:pPr>
      <w:r w:rsidRPr="0097459F">
        <w:rPr>
          <w:rFonts w:cstheme="minorHAnsi"/>
        </w:rPr>
        <w:t xml:space="preserve">b) estabelecimento de um mandato unificado de até 2 (dois) anos para todo o Conselho de Administração; </w:t>
      </w:r>
    </w:p>
    <w:p w14:paraId="03CB3111" w14:textId="77777777" w:rsidR="00C20BBD" w:rsidRPr="0097459F" w:rsidRDefault="00C20BBD" w:rsidP="00C20BBD">
      <w:pPr>
        <w:pStyle w:val="Normalalteradora"/>
        <w:rPr>
          <w:rFonts w:cstheme="minorHAnsi"/>
        </w:rPr>
      </w:pPr>
      <w:r w:rsidRPr="0097459F">
        <w:rPr>
          <w:rFonts w:cstheme="minorHAnsi"/>
        </w:rPr>
        <w:t>c) disponibilização de acordos de acionistas e programas de aquisição de ações ou de outros títulos ou valores mobiliários de emissão da companhia e divulgação de informações sobre contratos com partes relacionadas na forma exigida na regulamentação da CVM para os emissores registrados na categoria A;</w:t>
      </w:r>
    </w:p>
    <w:p w14:paraId="25261160" w14:textId="77777777" w:rsidR="00C20BBD" w:rsidRPr="0097459F" w:rsidRDefault="00C20BBD" w:rsidP="00C20BBD">
      <w:pPr>
        <w:pStyle w:val="Normalalteradora"/>
        <w:rPr>
          <w:rFonts w:cstheme="minorHAnsi"/>
        </w:rPr>
      </w:pPr>
      <w:r w:rsidRPr="0097459F">
        <w:rPr>
          <w:rFonts w:cstheme="minorHAnsi"/>
        </w:rPr>
        <w:t>d) adesão à câmara de arbitragem para resolução de conflitos societários;</w:t>
      </w:r>
    </w:p>
    <w:p w14:paraId="40754C31" w14:textId="77777777" w:rsidR="00C20BBD" w:rsidRPr="0097459F" w:rsidRDefault="00C20BBD" w:rsidP="00C20BBD">
      <w:pPr>
        <w:pStyle w:val="Normalalteradora"/>
        <w:rPr>
          <w:rFonts w:cstheme="minorHAnsi"/>
        </w:rPr>
      </w:pPr>
      <w:r w:rsidRPr="0097459F">
        <w:rPr>
          <w:rFonts w:cstheme="minorHAnsi"/>
        </w:rPr>
        <w:t>e) no caso de abertura de seu capital, obrigar-se a aderir a segmento especial de bolsa de valores ou mercado de balcão organizado que assegure, no mínimo, práticas de governança corporativa previstas nos incisos anteriores;</w:t>
      </w:r>
    </w:p>
    <w:p w14:paraId="6EF8D61B" w14:textId="77777777" w:rsidR="00C20BBD" w:rsidRPr="0097459F" w:rsidRDefault="00C20BBD" w:rsidP="00C20BBD">
      <w:pPr>
        <w:pStyle w:val="Normalalteradora"/>
        <w:rPr>
          <w:rFonts w:cstheme="minorHAnsi"/>
        </w:rPr>
      </w:pPr>
      <w:r w:rsidRPr="0097459F">
        <w:rPr>
          <w:rFonts w:cstheme="minorHAnsi"/>
        </w:rPr>
        <w:t>f) auditoria anual de suas demonstrações contábeis por auditores independentes registrados na CVM; e</w:t>
      </w:r>
    </w:p>
    <w:p w14:paraId="5B3AAFA3" w14:textId="77777777" w:rsidR="00C20BBD" w:rsidRPr="0097459F" w:rsidRDefault="00C20BBD" w:rsidP="00C20BBD">
      <w:pPr>
        <w:pStyle w:val="Normalalteradora"/>
        <w:rPr>
          <w:rFonts w:cstheme="minorHAnsi"/>
        </w:rPr>
      </w:pPr>
      <w:r w:rsidRPr="0097459F">
        <w:rPr>
          <w:rFonts w:cstheme="minorHAnsi"/>
        </w:rPr>
        <w:t>g) tratamento igualitário no caso de alienação de controle, por meio de opção de venda da totalidade das ações emitidas pela companhia ao adquirente do controle pelo mesmo preço pago ao controlador.</w:t>
      </w:r>
    </w:p>
    <w:p w14:paraId="7570D45B" w14:textId="77777777" w:rsidR="00C20BBD" w:rsidRPr="0097459F" w:rsidRDefault="00C20BBD" w:rsidP="00C20BBD">
      <w:pPr>
        <w:pStyle w:val="Normalalteradora"/>
        <w:rPr>
          <w:rFonts w:cstheme="minorHAnsi"/>
        </w:rPr>
      </w:pPr>
      <w:r w:rsidRPr="0097459F">
        <w:rPr>
          <w:rFonts w:cstheme="minorHAnsi"/>
        </w:rPr>
        <w:t>§ 5º  Para os efeitos de escrituração contábil, a avaliação da participação em companhias fechadas investidas com base no § 3º, inciso II, deve ser feita, a cada 12 (doze) meses, a valor justo, conforme norma contábil aprovada pela CVM sobre mensuração do valor justo.</w:t>
      </w:r>
    </w:p>
    <w:p w14:paraId="048FA697" w14:textId="77777777" w:rsidR="00C20BBD" w:rsidRPr="0097459F" w:rsidRDefault="00C20BBD" w:rsidP="00C20BBD">
      <w:pPr>
        <w:pStyle w:val="Normalalteradora"/>
      </w:pPr>
      <w:r w:rsidRPr="0097459F">
        <w:t>§ 6º  O regulamento do fundo tipificado como “Ações” pode autorizar a classe fechada a comprar suas próprias cotas no mercado organizado em que estejam admitidas à negociação, desde que:</w:t>
      </w:r>
    </w:p>
    <w:p w14:paraId="15F6A854" w14:textId="77777777" w:rsidR="00C20BBD" w:rsidRPr="0097459F" w:rsidRDefault="00C20BBD" w:rsidP="00C20BBD">
      <w:pPr>
        <w:pStyle w:val="Normalalteradora"/>
      </w:pPr>
      <w:r w:rsidRPr="0097459F">
        <w:t>I – o valor de recompra da cota seja inferior ao valor patrimonial da cota do dia imediatamente anterior ao da recompra;</w:t>
      </w:r>
    </w:p>
    <w:p w14:paraId="32A45E35" w14:textId="77777777" w:rsidR="00C20BBD" w:rsidRPr="0097459F" w:rsidRDefault="00C20BBD" w:rsidP="00C20BBD">
      <w:pPr>
        <w:pStyle w:val="Normalalteradora"/>
      </w:pPr>
      <w:r w:rsidRPr="0097459F">
        <w:lastRenderedPageBreak/>
        <w:t>II – as cotas recompradas sejam canceladas; e</w:t>
      </w:r>
    </w:p>
    <w:p w14:paraId="66BED9DD" w14:textId="77777777" w:rsidR="00C20BBD" w:rsidRPr="0097459F" w:rsidRDefault="00C20BBD" w:rsidP="00C20BBD">
      <w:pPr>
        <w:pStyle w:val="Normalalteradora"/>
      </w:pPr>
      <w:r w:rsidRPr="0097459F">
        <w:t>III – o volume de recompras não ultrapasse, em um período de 12 (doze) meses, 10% (dez por cento) do total das cotas do fundo.</w:t>
      </w:r>
    </w:p>
    <w:p w14:paraId="42B8DF7B" w14:textId="77777777" w:rsidR="00C20BBD" w:rsidRPr="0097459F" w:rsidRDefault="00C20BBD" w:rsidP="00C20BBD">
      <w:pPr>
        <w:pStyle w:val="Normalalteradora"/>
      </w:pPr>
      <w:r w:rsidRPr="0097459F">
        <w:t>§ 7°  Para efeito do disposto no § 6º, o administrador deve anunciar a intenção de recompra, por meio de comunicado ao mercado arquivado, com pelo menos 14 (catorze) dias de antecedência da data em que pretende iniciar a recompra, junto à entidade administradora do mercado organizado no qual as cotas estejam admitidas à negociação.</w:t>
      </w:r>
    </w:p>
    <w:p w14:paraId="4962569D" w14:textId="77777777" w:rsidR="00C20BBD" w:rsidRPr="0097459F" w:rsidRDefault="00C20BBD" w:rsidP="00C20BBD">
      <w:pPr>
        <w:pStyle w:val="Normalalteradora"/>
      </w:pPr>
      <w:r w:rsidRPr="0097459F">
        <w:t>§ 8º  O comunicado a que se refere o § 7º:</w:t>
      </w:r>
    </w:p>
    <w:p w14:paraId="5CA19236" w14:textId="77777777" w:rsidR="00C20BBD" w:rsidRPr="0097459F" w:rsidRDefault="00C20BBD" w:rsidP="00C20BBD">
      <w:pPr>
        <w:pStyle w:val="Normalalteradora"/>
      </w:pPr>
      <w:r w:rsidRPr="0097459F">
        <w:t>I – é válido por 12 (doze) meses, contados a partir da data de seu arquivamento; e</w:t>
      </w:r>
    </w:p>
    <w:p w14:paraId="3D72FEE7" w14:textId="77777777" w:rsidR="00C20BBD" w:rsidRPr="0097459F" w:rsidRDefault="00C20BBD" w:rsidP="00C20BBD">
      <w:pPr>
        <w:pStyle w:val="Normalalteradora"/>
      </w:pPr>
      <w:r w:rsidRPr="0097459F">
        <w:t>II – deve conter informações sobre a existência de programa de recompras e quantidade de cotas efetivamente recompradas nos 3 (três) últimos exercícios.</w:t>
      </w:r>
    </w:p>
    <w:p w14:paraId="7FA9C339" w14:textId="77777777" w:rsidR="00C20BBD" w:rsidRPr="0097459F" w:rsidRDefault="00C20BBD" w:rsidP="00C20BBD">
      <w:pPr>
        <w:pStyle w:val="Normalalteradora"/>
      </w:pPr>
      <w:r w:rsidRPr="0097459F">
        <w:t>§ 9º  O limite a que se refere o inciso III do § 6º deve ter como referência as cotas emitidas pelo fundo ou classe na data do comunicado de que trata o § 8º.</w:t>
      </w:r>
    </w:p>
    <w:p w14:paraId="2EB363B6" w14:textId="77777777" w:rsidR="00C20BBD" w:rsidRPr="0097459F" w:rsidRDefault="00C20BBD" w:rsidP="00C20BBD">
      <w:pPr>
        <w:pStyle w:val="Normalalteradora"/>
      </w:pPr>
      <w:r w:rsidRPr="0097459F">
        <w:t>§ 10.  É vedado à classe fechada de que trata o § 6º recomprar suas próprias cotas:</w:t>
      </w:r>
    </w:p>
    <w:p w14:paraId="3304F64A" w14:textId="77777777" w:rsidR="00C20BBD" w:rsidRPr="0097459F" w:rsidRDefault="00C20BBD" w:rsidP="00C20BBD">
      <w:pPr>
        <w:pStyle w:val="Normalalteradora"/>
      </w:pPr>
      <w:r w:rsidRPr="0097459F">
        <w:t>I – sempre que o administrador ou o gestor tenha conhecimento de informação ainda não divulgada ao mercado relativa às suas investidas que possa alterar substancialmente o valor da cota ou influenciar na decisão do cotista de comprar, vender ou manter suas cotas;</w:t>
      </w:r>
    </w:p>
    <w:p w14:paraId="60693F0F" w14:textId="77777777" w:rsidR="00C20BBD" w:rsidRPr="0097459F" w:rsidRDefault="00C20BBD" w:rsidP="00C20BBD">
      <w:pPr>
        <w:pStyle w:val="Normalalteradora"/>
      </w:pPr>
      <w:r w:rsidRPr="0097459F">
        <w:t>II – de forma a influenciar o regular funcionamento do mercado; e</w:t>
      </w:r>
    </w:p>
    <w:p w14:paraId="40A51BE9" w14:textId="77777777" w:rsidR="00C20BBD" w:rsidRPr="0097459F" w:rsidRDefault="00C20BBD" w:rsidP="00C20BBD">
      <w:pPr>
        <w:pStyle w:val="Normalalteradora"/>
      </w:pPr>
      <w:r w:rsidRPr="0097459F">
        <w:t>III – com a finalidade exclusiva de obtenção de ganhos financeiros a partir de variações esperadas do preço das cotas.</w:t>
      </w:r>
    </w:p>
    <w:p w14:paraId="192C7DFB" w14:textId="77777777" w:rsidR="00C20BBD" w:rsidRPr="0097459F" w:rsidRDefault="00C20BBD" w:rsidP="00C20BBD">
      <w:pPr>
        <w:pStyle w:val="Seo"/>
        <w:rPr>
          <w:rFonts w:asciiTheme="minorHAnsi" w:hAnsiTheme="minorHAnsi"/>
        </w:rPr>
      </w:pPr>
      <w:bookmarkStart w:id="490" w:name="_Toc53594253"/>
      <w:bookmarkStart w:id="491" w:name="_Toc53594501"/>
      <w:bookmarkStart w:id="492" w:name="_Toc53595526"/>
      <w:bookmarkStart w:id="493" w:name="_Toc57836262"/>
      <w:bookmarkStart w:id="494" w:name="_Toc126226372"/>
      <w:r w:rsidRPr="0097459F">
        <w:rPr>
          <w:rFonts w:asciiTheme="minorHAnsi" w:hAnsiTheme="minorHAnsi"/>
        </w:rPr>
        <w:t>Subseção III – Fundos Cambiais</w:t>
      </w:r>
      <w:bookmarkEnd w:id="490"/>
      <w:bookmarkEnd w:id="491"/>
      <w:bookmarkEnd w:id="492"/>
      <w:bookmarkEnd w:id="493"/>
      <w:bookmarkEnd w:id="494"/>
    </w:p>
    <w:p w14:paraId="5AE9D2D5" w14:textId="77777777" w:rsidR="00C20BBD" w:rsidRPr="0097459F" w:rsidRDefault="00C20BBD" w:rsidP="00C20BBD">
      <w:pPr>
        <w:pStyle w:val="Normalalteradora"/>
        <w:rPr>
          <w:rFonts w:cstheme="minorHAnsi"/>
        </w:rPr>
      </w:pPr>
      <w:r w:rsidRPr="0097459F">
        <w:rPr>
          <w:rFonts w:cstheme="minorHAnsi"/>
        </w:rPr>
        <w:t>Art. 57.  A classe tipificada como “Cambial” deve ter como principal fator de risco de carteira a variação de preços de moeda estrangeira ou do cupom cambial.</w:t>
      </w:r>
    </w:p>
    <w:p w14:paraId="574A2E9D" w14:textId="77777777" w:rsidR="00C20BBD" w:rsidRPr="0097459F" w:rsidRDefault="00C20BBD" w:rsidP="00C20BBD">
      <w:pPr>
        <w:pStyle w:val="Normalalteradora"/>
        <w:rPr>
          <w:rFonts w:cstheme="minorHAnsi"/>
        </w:rPr>
      </w:pPr>
      <w:r w:rsidRPr="0097459F">
        <w:rPr>
          <w:rFonts w:cstheme="minorHAnsi"/>
        </w:rPr>
        <w:t xml:space="preserve">Parágrafo único.  Nas classes a que se refere o </w:t>
      </w:r>
      <w:r w:rsidRPr="0097459F">
        <w:rPr>
          <w:rFonts w:cstheme="minorHAnsi"/>
          <w:b/>
        </w:rPr>
        <w:t>caput</w:t>
      </w:r>
      <w:r w:rsidRPr="0097459F">
        <w:rPr>
          <w:rFonts w:cstheme="minorHAnsi"/>
        </w:rPr>
        <w:t>, no mínimo 80% (oitenta por cento) da carteira deve ser composta por ativos relacionados diretamente, ou sintetizados via derivativos, ao fator de risco que dá nome ao tipo.</w:t>
      </w:r>
    </w:p>
    <w:p w14:paraId="53EB12D4" w14:textId="77777777" w:rsidR="00C20BBD" w:rsidRPr="0097459F" w:rsidRDefault="00C20BBD" w:rsidP="00C20BBD">
      <w:pPr>
        <w:pStyle w:val="Seo"/>
        <w:rPr>
          <w:rFonts w:asciiTheme="minorHAnsi" w:hAnsiTheme="minorHAnsi"/>
        </w:rPr>
      </w:pPr>
      <w:bookmarkStart w:id="495" w:name="_Toc53594254"/>
      <w:bookmarkStart w:id="496" w:name="_Toc53594502"/>
      <w:bookmarkStart w:id="497" w:name="_Toc53595527"/>
      <w:bookmarkStart w:id="498" w:name="_Toc57836263"/>
      <w:bookmarkStart w:id="499" w:name="_Toc126226373"/>
      <w:r w:rsidRPr="0097459F">
        <w:rPr>
          <w:rFonts w:asciiTheme="minorHAnsi" w:hAnsiTheme="minorHAnsi"/>
        </w:rPr>
        <w:lastRenderedPageBreak/>
        <w:t>Subseção IV – Fundos Multimercado</w:t>
      </w:r>
      <w:bookmarkEnd w:id="495"/>
      <w:bookmarkEnd w:id="496"/>
      <w:bookmarkEnd w:id="497"/>
      <w:bookmarkEnd w:id="498"/>
      <w:bookmarkEnd w:id="499"/>
    </w:p>
    <w:p w14:paraId="7C3E2807" w14:textId="510277CE" w:rsidR="00C20BBD" w:rsidRDefault="00C20BBD" w:rsidP="00C20BBD">
      <w:pPr>
        <w:pStyle w:val="Normalalteradora"/>
        <w:rPr>
          <w:rFonts w:cstheme="minorHAnsi"/>
        </w:rPr>
      </w:pPr>
      <w:r w:rsidRPr="0097459F">
        <w:rPr>
          <w:rFonts w:cstheme="minorHAnsi"/>
        </w:rPr>
        <w:t>Art. 58.  A classe tipificada como "Multimercado" deve ter política de investimento que envolva vários fatores de risco, sem compromisso de concentração em nenhum fator em específico.</w:t>
      </w:r>
    </w:p>
    <w:p w14:paraId="66BB0009" w14:textId="472BE8C7" w:rsidR="006767E3" w:rsidRPr="0097459F" w:rsidRDefault="006767E3" w:rsidP="006767E3">
      <w:pPr>
        <w:pStyle w:val="Normalalteradora"/>
        <w:rPr>
          <w:rFonts w:cstheme="minorHAnsi"/>
        </w:rPr>
      </w:pPr>
      <w:r w:rsidRPr="006A35D4">
        <w:rPr>
          <w:rFonts w:cstheme="minorHAnsi"/>
        </w:rPr>
        <w:t xml:space="preserve">Parágrafo único.  A classe “Multimercado” não está sujeita aos limites de concentração por emissor dispostos no art. 44 deste </w:t>
      </w:r>
      <w:r>
        <w:rPr>
          <w:rFonts w:cstheme="minorHAnsi"/>
        </w:rPr>
        <w:t>Anexo Normativo I</w:t>
      </w:r>
      <w:r w:rsidRPr="006A35D4">
        <w:rPr>
          <w:rFonts w:cstheme="minorHAnsi"/>
        </w:rPr>
        <w:t>, desde que assim esteja expressamente previsto em seu regulamento e o termo de adesão contenha alerta de que a carteira pode estar exposta ao risco de concentração em ativos de poucos emissores.</w:t>
      </w:r>
    </w:p>
    <w:p w14:paraId="4C2AC31A" w14:textId="77777777" w:rsidR="00C20BBD" w:rsidRPr="0097459F" w:rsidRDefault="00C20BBD" w:rsidP="00C20BBD">
      <w:pPr>
        <w:pStyle w:val="Seo"/>
        <w:rPr>
          <w:rFonts w:asciiTheme="minorHAnsi" w:hAnsiTheme="minorHAnsi"/>
        </w:rPr>
      </w:pPr>
      <w:bookmarkStart w:id="500" w:name="_Toc53594255"/>
      <w:bookmarkStart w:id="501" w:name="_Toc53594503"/>
      <w:bookmarkStart w:id="502" w:name="_Toc53595528"/>
      <w:bookmarkStart w:id="503" w:name="_Toc57836264"/>
      <w:bookmarkStart w:id="504" w:name="_Toc126226374"/>
      <w:r w:rsidRPr="0097459F">
        <w:rPr>
          <w:rFonts w:asciiTheme="minorHAnsi" w:hAnsiTheme="minorHAnsi"/>
        </w:rPr>
        <w:t xml:space="preserve">Subseção V – </w:t>
      </w:r>
      <w:bookmarkEnd w:id="500"/>
      <w:bookmarkEnd w:id="501"/>
      <w:bookmarkEnd w:id="502"/>
      <w:bookmarkEnd w:id="503"/>
      <w:r w:rsidRPr="0097459F">
        <w:rPr>
          <w:rFonts w:asciiTheme="minorHAnsi" w:hAnsiTheme="minorHAnsi" w:cstheme="minorHAnsi"/>
        </w:rPr>
        <w:t>Fundos Incentivados em Infraestrutura</w:t>
      </w:r>
      <w:bookmarkEnd w:id="504"/>
    </w:p>
    <w:p w14:paraId="1F8B8D98" w14:textId="77777777" w:rsidR="00C20BBD" w:rsidRPr="0097459F" w:rsidRDefault="00C20BBD" w:rsidP="00C20BBD">
      <w:pPr>
        <w:pStyle w:val="Normalalteradora"/>
        <w:rPr>
          <w:rFonts w:cstheme="minorHAnsi"/>
        </w:rPr>
      </w:pPr>
      <w:r w:rsidRPr="0097459F">
        <w:rPr>
          <w:rFonts w:cstheme="minorHAnsi"/>
        </w:rPr>
        <w:t>Art. 59.  Os FI-Infra são os fundos de investimento previstos no art. 3º da Lei nº 12.431, de 2011, tendo por objetivo o enquadramento no regime tributário estabelecido naquela Lei.</w:t>
      </w:r>
    </w:p>
    <w:p w14:paraId="47C3CF31" w14:textId="77777777" w:rsidR="00C20BBD" w:rsidRPr="0097459F" w:rsidRDefault="00C20BBD" w:rsidP="00C20BBD">
      <w:pPr>
        <w:pStyle w:val="Normalalteradora"/>
        <w:rPr>
          <w:rFonts w:cstheme="minorHAnsi"/>
        </w:rPr>
      </w:pPr>
      <w:r w:rsidRPr="0097459F">
        <w:rPr>
          <w:rFonts w:cstheme="minorHAnsi"/>
        </w:rPr>
        <w:t>§ 1º  Todas as classes dos FI-Infra devem ter por objetivo o enquadramento no regime tributário estabelecido na Lei</w:t>
      </w:r>
      <w:r w:rsidRPr="0097459F" w:rsidDel="004F53BE">
        <w:rPr>
          <w:rFonts w:cstheme="minorHAnsi"/>
        </w:rPr>
        <w:t xml:space="preserve"> nº 12.431, de 2011</w:t>
      </w:r>
      <w:r w:rsidRPr="0097459F">
        <w:rPr>
          <w:rFonts w:cstheme="minorHAnsi"/>
        </w:rPr>
        <w:t>.</w:t>
      </w:r>
    </w:p>
    <w:p w14:paraId="3DF075E0" w14:textId="77777777" w:rsidR="00C20BBD" w:rsidRPr="0097459F" w:rsidRDefault="00C20BBD" w:rsidP="00C20BBD">
      <w:pPr>
        <w:pStyle w:val="Normalalteradora"/>
        <w:rPr>
          <w:rFonts w:cstheme="minorHAnsi"/>
        </w:rPr>
      </w:pPr>
      <w:r w:rsidRPr="0097459F">
        <w:rPr>
          <w:rFonts w:cstheme="minorHAnsi"/>
        </w:rPr>
        <w:t>§ 2º  Os FI-Infra são fundos do tipo “Renda Fixa” e podem ser constituídos sob a forma de condomínio fechado ou aberto.</w:t>
      </w:r>
    </w:p>
    <w:p w14:paraId="4CE6DB81" w14:textId="77777777" w:rsidR="00C20BBD" w:rsidRPr="0097459F" w:rsidRDefault="00C20BBD" w:rsidP="00C20BBD">
      <w:pPr>
        <w:pStyle w:val="Normalalteradora"/>
        <w:rPr>
          <w:rFonts w:cstheme="minorHAnsi"/>
        </w:rPr>
      </w:pPr>
      <w:r w:rsidRPr="0097459F">
        <w:rPr>
          <w:rFonts w:cstheme="minorHAnsi"/>
        </w:rPr>
        <w:t>§ 3º  A denominação do FI-Infra e de suas classes de cotas deve conter a expressão “Investimento em Infraestrutura”, devendo, ainda, identificar o direcionamento de parcela preponderante de seus recursos para segmento econômico específico, se for o caso.</w:t>
      </w:r>
    </w:p>
    <w:p w14:paraId="4F7FC87E" w14:textId="77777777" w:rsidR="00C20BBD" w:rsidRPr="0097459F" w:rsidRDefault="00C20BBD" w:rsidP="00C20BBD">
      <w:pPr>
        <w:pStyle w:val="Normalalteradora"/>
        <w:rPr>
          <w:rFonts w:cstheme="minorHAnsi"/>
        </w:rPr>
      </w:pPr>
      <w:r w:rsidRPr="0097459F">
        <w:rPr>
          <w:rFonts w:cstheme="minorHAnsi"/>
        </w:rPr>
        <w:t>§ 4º  O material de divulgação da classe tipificada como “Infraestrutura” deve informar os benefícios tributários da classe e dos cotistas, se for o caso, e as condições que devem ser observadas para a manutenção destes benefícios, bem como destacar os riscos inerentes à concentração em ativos e possível iliquidez da carteira de ativos.</w:t>
      </w:r>
    </w:p>
    <w:p w14:paraId="743B6170" w14:textId="77777777" w:rsidR="00C20BBD" w:rsidRPr="0097459F" w:rsidRDefault="00C20BBD" w:rsidP="00C20BBD">
      <w:pPr>
        <w:pStyle w:val="Normalalteradora"/>
        <w:rPr>
          <w:rFonts w:cstheme="minorHAnsi"/>
        </w:rPr>
      </w:pPr>
      <w:r w:rsidRPr="0097459F">
        <w:rPr>
          <w:rFonts w:cstheme="minorHAnsi"/>
        </w:rPr>
        <w:t>§ 5º  O regulamento do FI-Infra deve dispor que a aplicação de recursos nos ativos financeiros de que trata o art. 2º da Lei nº 12.431, de 2011, não pode ser inferior ao limite de enquadramento definido na Lei, sendo que na hipótese de o fundo contar com classes de cotas, cada classe está sujeita ao referido limite.</w:t>
      </w:r>
    </w:p>
    <w:p w14:paraId="2515F376" w14:textId="77777777" w:rsidR="00C20BBD" w:rsidRPr="0097459F" w:rsidRDefault="00C20BBD" w:rsidP="00C20BBD">
      <w:pPr>
        <w:pStyle w:val="Normalalteradora"/>
        <w:rPr>
          <w:rFonts w:cstheme="minorHAnsi"/>
        </w:rPr>
      </w:pPr>
      <w:r w:rsidRPr="0097459F">
        <w:rPr>
          <w:rFonts w:cstheme="minorHAnsi"/>
        </w:rPr>
        <w:t>Art. 60.  É de 20% (vinte por cento) do patrimônio líquido o limite de concentração por emissor que atenda ao disposto no art. 2º da Lei nº 12.431, de 2011, para a carteira de ativos da classe tipificada como “Infraestrutura”.</w:t>
      </w:r>
    </w:p>
    <w:p w14:paraId="5629AD63" w14:textId="77777777" w:rsidR="00C20BBD" w:rsidRPr="0097459F" w:rsidRDefault="00C20BBD" w:rsidP="00C20BBD">
      <w:pPr>
        <w:pStyle w:val="Normalalteradora"/>
        <w:rPr>
          <w:rFonts w:cstheme="minorHAnsi"/>
        </w:rPr>
      </w:pPr>
      <w:r w:rsidRPr="0097459F">
        <w:rPr>
          <w:rFonts w:cstheme="minorHAnsi"/>
        </w:rPr>
        <w:lastRenderedPageBreak/>
        <w:t>§ 1º  Os limites de concentração por emissor previstos no art. 44 deste Anexo Normativo I são aplicáveis para os demais ativos que integrem a carteira do FI-Infra, sem prejuízo do disposto no art. 59 deste Anexo Normativo I.</w:t>
      </w:r>
    </w:p>
    <w:p w14:paraId="17ED9FA9" w14:textId="77777777" w:rsidR="00C20BBD" w:rsidRPr="0097459F" w:rsidRDefault="00C20BBD" w:rsidP="00C20BBD">
      <w:pPr>
        <w:pStyle w:val="Normalalteradora"/>
        <w:rPr>
          <w:rFonts w:cstheme="minorHAnsi"/>
        </w:rPr>
      </w:pPr>
      <w:r w:rsidRPr="0097459F">
        <w:rPr>
          <w:rFonts w:cstheme="minorHAnsi"/>
        </w:rPr>
        <w:t>§ 2º  Para fins de aplicação do FI-Infra, os certificados de recebíveis e as classes fechadas de FIDC devem ser de classe única ou de subclasse sênior.</w:t>
      </w:r>
    </w:p>
    <w:p w14:paraId="1212D111" w14:textId="77777777" w:rsidR="00C20BBD" w:rsidRPr="0097459F" w:rsidRDefault="00C20BBD" w:rsidP="00C20BBD">
      <w:pPr>
        <w:pStyle w:val="Normalalteradora"/>
        <w:rPr>
          <w:rFonts w:cstheme="minorHAnsi"/>
        </w:rPr>
      </w:pPr>
      <w:r w:rsidRPr="0097459F">
        <w:rPr>
          <w:rFonts w:cstheme="minorHAnsi"/>
        </w:rPr>
        <w:t xml:space="preserve">§ 3º  Para efeito do disposto no </w:t>
      </w:r>
      <w:r w:rsidRPr="0097459F">
        <w:rPr>
          <w:rFonts w:cstheme="minorHAnsi"/>
          <w:b/>
        </w:rPr>
        <w:t>caput</w:t>
      </w:r>
      <w:r w:rsidRPr="0097459F">
        <w:rPr>
          <w:rFonts w:cstheme="minorHAnsi"/>
        </w:rPr>
        <w:t>, aplicam-se ao emissor as disposições do art. 44, §§ 1º e 2º, deste Anexo Normativo I, sem prejuízo do disposto no § 4º deste artigo.</w:t>
      </w:r>
    </w:p>
    <w:p w14:paraId="76EB3544" w14:textId="77777777" w:rsidR="00C20BBD" w:rsidRPr="0097459F" w:rsidRDefault="00C20BBD" w:rsidP="00C20BBD">
      <w:pPr>
        <w:pStyle w:val="Normalalteradora"/>
        <w:rPr>
          <w:rFonts w:cstheme="minorHAnsi"/>
        </w:rPr>
      </w:pPr>
      <w:r w:rsidRPr="0097459F">
        <w:rPr>
          <w:rFonts w:cstheme="minorHAnsi"/>
        </w:rPr>
        <w:t xml:space="preserve">§ 4º  Para efeito do disposto no </w:t>
      </w:r>
      <w:r w:rsidRPr="0097459F">
        <w:rPr>
          <w:rFonts w:cstheme="minorHAnsi"/>
          <w:b/>
        </w:rPr>
        <w:t>caput</w:t>
      </w:r>
      <w:r w:rsidRPr="0097459F">
        <w:rPr>
          <w:rFonts w:cstheme="minorHAnsi"/>
        </w:rPr>
        <w:t>, no caso de debêntures emitidas por sociedade de propósito específico – SPE constituída sob a forma de sociedade por ações, o limite deve ser computado considerando-se a SPE como emissor independente, desde que haja constituição de garantias relativas ao cumprimento das obrigações principais e acessórias e que tais garantias não sejam concedidas por sociedades integrantes do seu grupo econômico, exceto no caso de garantias reais incidentes sobre as ações de emissão da SPE de propriedade de tais sociedades.</w:t>
      </w:r>
    </w:p>
    <w:p w14:paraId="38676578" w14:textId="77777777" w:rsidR="00C20BBD" w:rsidRPr="0097459F" w:rsidRDefault="00C20BBD" w:rsidP="00C20BBD">
      <w:pPr>
        <w:pStyle w:val="Normalalteradora"/>
        <w:rPr>
          <w:rFonts w:cstheme="minorHAnsi"/>
        </w:rPr>
      </w:pPr>
      <w:r w:rsidRPr="0097459F">
        <w:rPr>
          <w:rFonts w:cstheme="minorHAnsi"/>
        </w:rPr>
        <w:t>§ 5º  Caso a política de investimento permita a aplicação em CRI, ou em cotas de classe fechada de FIDC, o gestor deve assegurar-se de que, na consolidação das aplicações, as obrigações previstas neste artigo são atendidas.</w:t>
      </w:r>
    </w:p>
    <w:p w14:paraId="71AC787E" w14:textId="77777777" w:rsidR="00C20BBD" w:rsidRPr="0097459F" w:rsidRDefault="00C20BBD" w:rsidP="00C20BBD">
      <w:pPr>
        <w:pStyle w:val="Normalalteradora"/>
        <w:rPr>
          <w:rFonts w:cstheme="minorHAnsi"/>
        </w:rPr>
      </w:pPr>
      <w:r w:rsidRPr="0097459F">
        <w:rPr>
          <w:rFonts w:cstheme="minorHAnsi"/>
        </w:rPr>
        <w:t>§ 6º  Fica dispensada a consolidação das aplicações prevista no § 5º deste artigo no caso de FIDC administrado ou gerido por terceiros não ligados ao gestor da classe investidora.</w:t>
      </w:r>
    </w:p>
    <w:p w14:paraId="00977A0E" w14:textId="3484C16D" w:rsidR="00C20BBD" w:rsidRPr="0097459F" w:rsidRDefault="00C20BBD" w:rsidP="00C20BBD">
      <w:pPr>
        <w:pStyle w:val="Seo"/>
        <w:ind w:firstLine="0"/>
        <w:rPr>
          <w:rFonts w:asciiTheme="minorHAnsi" w:hAnsiTheme="minorHAnsi" w:cstheme="minorHAnsi"/>
        </w:rPr>
      </w:pPr>
      <w:bookmarkStart w:id="505" w:name="_Toc126226375"/>
      <w:r w:rsidRPr="0097459F">
        <w:rPr>
          <w:rFonts w:asciiTheme="minorHAnsi" w:hAnsiTheme="minorHAnsi" w:cstheme="minorHAnsi"/>
        </w:rPr>
        <w:t xml:space="preserve">Subseção VI – Fundo Destinado à Garantia de Locação </w:t>
      </w:r>
      <w:r w:rsidR="00D72A68">
        <w:rPr>
          <w:rFonts w:asciiTheme="minorHAnsi" w:hAnsiTheme="minorHAnsi" w:cstheme="minorHAnsi"/>
        </w:rPr>
        <w:t>I</w:t>
      </w:r>
      <w:r w:rsidRPr="0097459F">
        <w:rPr>
          <w:rFonts w:asciiTheme="minorHAnsi" w:hAnsiTheme="minorHAnsi" w:cstheme="minorHAnsi"/>
        </w:rPr>
        <w:t>mobiliária</w:t>
      </w:r>
      <w:bookmarkEnd w:id="505"/>
    </w:p>
    <w:p w14:paraId="4E321D5D"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HAnsi"/>
        </w:rPr>
      </w:pPr>
      <w:r w:rsidRPr="0097459F">
        <w:rPr>
          <w:rFonts w:asciiTheme="minorHAnsi" w:hAnsiTheme="minorHAnsi"/>
        </w:rPr>
        <w:t xml:space="preserve">Art. 61.  </w:t>
      </w:r>
      <w:r w:rsidRPr="0097459F">
        <w:rPr>
          <w:rFonts w:asciiTheme="minorHAnsi" w:hAnsiTheme="minorHAnsi" w:cstheme="minorHAnsi"/>
        </w:rPr>
        <w:t>Podem ser constituídos fundos de investimento com a finalidade de permitir a cessão fiduciária de cotas em garantia de locação imobiliária, na forma do art. 88 da Lei nº 11.196, de 21 de novembro de 2005.</w:t>
      </w:r>
    </w:p>
    <w:p w14:paraId="739D4E0D"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rPr>
      </w:pPr>
      <w:r w:rsidRPr="0097459F">
        <w:rPr>
          <w:rFonts w:asciiTheme="minorHAnsi" w:hAnsiTheme="minorHAnsi"/>
        </w:rPr>
        <w:t xml:space="preserve">Parágrafo único.  </w:t>
      </w:r>
      <w:r w:rsidRPr="0097459F">
        <w:rPr>
          <w:rFonts w:asciiTheme="minorHAnsi" w:hAnsiTheme="minorHAnsi" w:cstheme="minorHAnsi"/>
        </w:rPr>
        <w:t xml:space="preserve">Caso o fundo de que trata o </w:t>
      </w:r>
      <w:r w:rsidRPr="0097459F">
        <w:rPr>
          <w:rFonts w:asciiTheme="minorHAnsi" w:hAnsiTheme="minorHAnsi" w:cstheme="minorHAnsi"/>
          <w:b/>
        </w:rPr>
        <w:t>caput</w:t>
      </w:r>
      <w:r w:rsidRPr="0097459F">
        <w:rPr>
          <w:rFonts w:asciiTheme="minorHAnsi" w:hAnsiTheme="minorHAnsi" w:cstheme="minorHAnsi"/>
        </w:rPr>
        <w:t xml:space="preserve"> conte com diferentes classes de cotas, todas as classes devem possuir como finalidade a garantia de locação imobiliária</w:t>
      </w:r>
      <w:r w:rsidRPr="0097459F">
        <w:rPr>
          <w:rFonts w:asciiTheme="minorHAnsi" w:hAnsiTheme="minorHAnsi"/>
        </w:rPr>
        <w:t>.</w:t>
      </w:r>
    </w:p>
    <w:p w14:paraId="74C84926"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sz w:val="24"/>
          <w:szCs w:val="24"/>
        </w:rPr>
        <w:t xml:space="preserve">Art. 62.  A classe de cotas </w:t>
      </w:r>
      <w:r w:rsidRPr="0097459F">
        <w:rPr>
          <w:rFonts w:asciiTheme="minorHAnsi" w:hAnsiTheme="minorHAnsi" w:cstheme="minorHAnsi"/>
          <w:sz w:val="24"/>
          <w:szCs w:val="24"/>
        </w:rPr>
        <w:t>do fundo de investimento destinado à garantia de locação imobiliária:</w:t>
      </w:r>
    </w:p>
    <w:p w14:paraId="42AB1D88"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I – deve ser constituída em regime aberto, sendo vedado o resgate das cotas objeto de cessão fiduciária; e</w:t>
      </w:r>
    </w:p>
    <w:p w14:paraId="3998C572"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lastRenderedPageBreak/>
        <w:t>II – sua denominação deve conter a expressão “Garantia de Locação Imobiliária”.</w:t>
      </w:r>
    </w:p>
    <w:p w14:paraId="34DB747E"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HAnsi"/>
        </w:rPr>
      </w:pPr>
      <w:r w:rsidRPr="0097459F">
        <w:rPr>
          <w:rFonts w:asciiTheme="minorHAnsi" w:hAnsiTheme="minorHAnsi"/>
        </w:rPr>
        <w:t xml:space="preserve">Art. </w:t>
      </w:r>
      <w:r w:rsidRPr="0097459F">
        <w:rPr>
          <w:rFonts w:asciiTheme="minorHAnsi" w:hAnsiTheme="minorHAnsi" w:cstheme="minorHAnsi"/>
        </w:rPr>
        <w:t>63.  Na classe de cotas destinada à garantia de locação imobiliária, o regulamento e o material de divulgação devem conter informação sobre sua finalidade.</w:t>
      </w:r>
    </w:p>
    <w:p w14:paraId="6210C396"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HAnsi"/>
        </w:rPr>
      </w:pPr>
      <w:r w:rsidRPr="0097459F">
        <w:rPr>
          <w:rFonts w:asciiTheme="minorHAnsi" w:hAnsiTheme="minorHAnsi" w:cstheme="minorHAnsi"/>
        </w:rPr>
        <w:t xml:space="preserve">Art. </w:t>
      </w:r>
      <w:r w:rsidRPr="0097459F">
        <w:rPr>
          <w:rFonts w:asciiTheme="minorHAnsi" w:hAnsiTheme="minorHAnsi"/>
        </w:rPr>
        <w:t xml:space="preserve">64. </w:t>
      </w:r>
      <w:r w:rsidRPr="0097459F">
        <w:rPr>
          <w:rFonts w:asciiTheme="minorHAnsi" w:hAnsiTheme="minorHAnsi" w:cstheme="minorHAnsi"/>
        </w:rPr>
        <w:t xml:space="preserve"> A cessão fiduciária de cotas em garantia de locação imobiliária deve ser:</w:t>
      </w:r>
    </w:p>
    <w:p w14:paraId="382C4C13" w14:textId="77777777" w:rsidR="00C20BBD" w:rsidRPr="0097459F" w:rsidRDefault="00C20BBD" w:rsidP="00C20BBD">
      <w:pPr>
        <w:pStyle w:val="Rodap"/>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I – realizada mediante requerimento do cotista-cedente ao administrador, acompanhado do termo de cessão fiduciária e de 1 (uma) via do contrato de locação, observado o disposto nos §§ 1º, 2º e 4º do art. 88 da Lei nº 11.196, de 2005; e</w:t>
      </w:r>
    </w:p>
    <w:p w14:paraId="166F550A"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HAnsi"/>
        </w:rPr>
      </w:pPr>
      <w:r w:rsidRPr="0097459F">
        <w:rPr>
          <w:rFonts w:asciiTheme="minorHAnsi" w:hAnsiTheme="minorHAnsi" w:cstheme="minorHAnsi"/>
        </w:rPr>
        <w:t>II – averbada pelo administrador no registro do cotista-cedente, nos termos do art. 104, inciso I, “a”, da parte geral da Resolução.</w:t>
      </w:r>
    </w:p>
    <w:p w14:paraId="481E15D5" w14:textId="77777777" w:rsidR="00C20BBD" w:rsidRPr="0097459F" w:rsidRDefault="00C20BBD" w:rsidP="00C20BBD">
      <w:pPr>
        <w:pStyle w:val="Rodap"/>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 1º  A averbação de que trata o inciso I do </w:t>
      </w:r>
      <w:r w:rsidRPr="0097459F">
        <w:rPr>
          <w:rFonts w:asciiTheme="minorHAnsi" w:eastAsia="Times New Roman" w:hAnsiTheme="minorHAnsi" w:cstheme="minorHAnsi"/>
          <w:b/>
          <w:sz w:val="24"/>
          <w:szCs w:val="24"/>
          <w:lang w:eastAsia="pt-BR"/>
        </w:rPr>
        <w:t>caput</w:t>
      </w:r>
      <w:r w:rsidRPr="0097459F">
        <w:rPr>
          <w:rFonts w:asciiTheme="minorHAnsi" w:eastAsia="Times New Roman" w:hAnsiTheme="minorHAnsi" w:cstheme="minorHAnsi"/>
          <w:sz w:val="24"/>
          <w:szCs w:val="24"/>
          <w:lang w:eastAsia="pt-BR"/>
        </w:rPr>
        <w:t xml:space="preserve"> constitui a propriedade resolúvel das cotas em favor do credor fiduciário, e as torna indisponíveis, inalienáveis e impenhoráveis, na forma do § 3º do art. 88 da Lei nº 11.196, de 2005.</w:t>
      </w:r>
    </w:p>
    <w:p w14:paraId="453864DF"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Bidi"/>
        </w:rPr>
      </w:pPr>
      <w:r w:rsidRPr="0097459F">
        <w:rPr>
          <w:rFonts w:asciiTheme="minorHAnsi" w:hAnsiTheme="minorHAnsi" w:cstheme="minorBidi"/>
        </w:rPr>
        <w:t>§ 2º  O termo de cessão fiduciária deve indicar o número de cotas a serem cedidas.</w:t>
      </w:r>
    </w:p>
    <w:p w14:paraId="1F828659" w14:textId="77777777" w:rsidR="00C20BBD" w:rsidRPr="0097459F" w:rsidRDefault="00C20BBD" w:rsidP="00C20BBD">
      <w:pPr>
        <w:ind w:firstLine="567"/>
        <w:rPr>
          <w:rFonts w:asciiTheme="minorHAnsi" w:hAnsiTheme="minorHAnsi"/>
          <w:sz w:val="24"/>
          <w:szCs w:val="24"/>
        </w:rPr>
      </w:pPr>
      <w:r w:rsidRPr="0097459F">
        <w:rPr>
          <w:rFonts w:asciiTheme="minorHAnsi" w:hAnsiTheme="minorHAnsi" w:cstheme="minorHAnsi"/>
          <w:sz w:val="24"/>
          <w:szCs w:val="24"/>
        </w:rPr>
        <w:t>§3º  Na ausência de disposição em contrário no termo de cessão fiduciária, o direito de voto nas assembleias de cotistas cabe ao cotista-cedente</w:t>
      </w:r>
      <w:r w:rsidRPr="0097459F">
        <w:rPr>
          <w:rFonts w:asciiTheme="minorHAnsi" w:hAnsiTheme="minorHAnsi"/>
          <w:sz w:val="24"/>
          <w:szCs w:val="24"/>
        </w:rPr>
        <w:t>.</w:t>
      </w:r>
    </w:p>
    <w:p w14:paraId="6D68B4CF"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sz w:val="24"/>
          <w:szCs w:val="24"/>
        </w:rPr>
        <w:t xml:space="preserve">Art. </w:t>
      </w:r>
      <w:r w:rsidRPr="0097459F">
        <w:rPr>
          <w:rFonts w:asciiTheme="minorHAnsi" w:hAnsiTheme="minorHAnsi" w:cstheme="minorHAnsi"/>
          <w:sz w:val="24"/>
          <w:szCs w:val="24"/>
        </w:rPr>
        <w:t>65.  O cotista-cedente e o proprietário fiduciário das cotas devem receber ambos as comunicações aos cotistas.</w:t>
      </w:r>
    </w:p>
    <w:p w14:paraId="64ED570B" w14:textId="77777777" w:rsidR="00C20BBD" w:rsidRPr="0097459F" w:rsidRDefault="00C20BBD" w:rsidP="00C20BBD">
      <w:pPr>
        <w:pStyle w:val="Corpodetexto"/>
        <w:spacing w:before="120" w:after="120" w:line="312" w:lineRule="auto"/>
        <w:ind w:firstLine="567"/>
        <w:rPr>
          <w:rFonts w:asciiTheme="minorHAnsi" w:hAnsiTheme="minorHAnsi" w:cstheme="minorHAnsi"/>
        </w:rPr>
      </w:pPr>
      <w:r w:rsidRPr="0097459F">
        <w:rPr>
          <w:rFonts w:asciiTheme="minorHAnsi" w:hAnsiTheme="minorHAnsi"/>
        </w:rPr>
        <w:t xml:space="preserve">Art. </w:t>
      </w:r>
      <w:r w:rsidRPr="0097459F">
        <w:rPr>
          <w:rFonts w:asciiTheme="minorHAnsi" w:hAnsiTheme="minorHAnsi" w:cstheme="minorHAnsi"/>
        </w:rPr>
        <w:t>66.  O regulamento deve dispor sobre o procedimento de execução extrajudicial das cotas cedidas, em conformidade com o disposto nos §§ 6º e 7º do art. 88 da Lei nº 11.196, de 2005.</w:t>
      </w:r>
    </w:p>
    <w:p w14:paraId="003125EE" w14:textId="77777777" w:rsidR="00C20BBD" w:rsidRPr="0097459F" w:rsidRDefault="00C20BBD" w:rsidP="00C20BBD">
      <w:pPr>
        <w:pStyle w:val="Corpodetexto"/>
        <w:spacing w:before="120" w:after="120" w:line="312" w:lineRule="auto"/>
        <w:ind w:firstLine="567"/>
        <w:rPr>
          <w:rFonts w:asciiTheme="minorHAnsi" w:hAnsiTheme="minorHAnsi" w:cstheme="minorHAnsi"/>
        </w:rPr>
      </w:pPr>
      <w:r w:rsidRPr="0097459F">
        <w:rPr>
          <w:rFonts w:asciiTheme="minorHAnsi" w:hAnsiTheme="minorHAnsi" w:cstheme="minorHAnsi"/>
        </w:rPr>
        <w:t xml:space="preserve">Parágrafo único.  Caso o fundo conte com diferentes classes de cotas, a matéria prevista no </w:t>
      </w:r>
      <w:r w:rsidRPr="0097459F">
        <w:rPr>
          <w:rFonts w:asciiTheme="minorHAnsi" w:hAnsiTheme="minorHAnsi" w:cstheme="minorHAnsi"/>
          <w:b/>
        </w:rPr>
        <w:t>caput</w:t>
      </w:r>
      <w:r w:rsidRPr="0097459F">
        <w:rPr>
          <w:rFonts w:asciiTheme="minorHAnsi" w:hAnsiTheme="minorHAnsi" w:cstheme="minorHAnsi"/>
        </w:rPr>
        <w:t xml:space="preserve"> deve ser disciplinada nos anexos das classes.</w:t>
      </w:r>
    </w:p>
    <w:p w14:paraId="7888C245"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Art. 67.  A incorporação e a fusão de fundo de investimento destinado à garantia imobiliária e a cisão de parcela do patrimônio de fundo com essa finalidade só são permitidas se o fundo incorporador ou resultante da operação também for um fundo de investimento destinado à garantia de locação imobiliária.</w:t>
      </w:r>
    </w:p>
    <w:p w14:paraId="3191D4B8"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 xml:space="preserve">§ 1º  São permitidas a incorporação, a cisão ou a fusão de fundo de investimento destinado à garantia imobiliária em que o fundo incorporador ou resultante da operação não seja um fundo de </w:t>
      </w:r>
      <w:r w:rsidRPr="0097459F">
        <w:rPr>
          <w:rFonts w:asciiTheme="minorHAnsi" w:hAnsiTheme="minorHAnsi" w:cstheme="minorHAnsi"/>
          <w:sz w:val="24"/>
          <w:szCs w:val="24"/>
        </w:rPr>
        <w:lastRenderedPageBreak/>
        <w:t>investimento destinado à garantia de locação imobiliária, desde que as cotas do fundo incorporado, cindido ou objeto da fusão não estejam cedidas fiduciariamente.</w:t>
      </w:r>
    </w:p>
    <w:p w14:paraId="429A5E40" w14:textId="6BE6128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 2º  É permitida a cisão de parcela do patrimônio de um fundo de investimento destinado à garantia de locação imobiliária na hipótese de que trata o art. 44, § 3º, inciso II, da parte geral da Resolução.</w:t>
      </w:r>
    </w:p>
    <w:p w14:paraId="371E9B10" w14:textId="77777777" w:rsidR="00C20BBD" w:rsidRPr="0097459F" w:rsidRDefault="00C20BBD" w:rsidP="00C20BBD">
      <w:pPr>
        <w:spacing w:before="120" w:after="120" w:line="312" w:lineRule="auto"/>
        <w:ind w:firstLine="567"/>
        <w:jc w:val="both"/>
        <w:rPr>
          <w:rFonts w:asciiTheme="minorHAnsi" w:hAnsiTheme="minorHAnsi"/>
          <w:sz w:val="24"/>
          <w:szCs w:val="24"/>
        </w:rPr>
      </w:pPr>
      <w:r w:rsidRPr="0097459F">
        <w:rPr>
          <w:rFonts w:asciiTheme="minorHAnsi" w:hAnsiTheme="minorHAnsi"/>
          <w:sz w:val="24"/>
          <w:szCs w:val="24"/>
        </w:rPr>
        <w:t xml:space="preserve">Art. 68.  </w:t>
      </w:r>
      <w:r w:rsidRPr="0097459F">
        <w:rPr>
          <w:rFonts w:asciiTheme="minorHAnsi" w:hAnsiTheme="minorHAnsi" w:cstheme="minorHAnsi"/>
          <w:sz w:val="24"/>
          <w:szCs w:val="24"/>
        </w:rPr>
        <w:t>Na hipótese de liquidação, o termo de cessão de cotas pode conter autorização para que o administrador utilize o produto do pagamento dos valores devido ao cotista-cedente na subscrição de cotas de outro FIF, conforme especificado no próprio termo ou, a qualquer tempo, pelo cotista-cedente e pelo proprietário fiduciário, de comum acordo</w:t>
      </w:r>
      <w:r w:rsidRPr="0097459F">
        <w:rPr>
          <w:rFonts w:asciiTheme="minorHAnsi" w:hAnsiTheme="minorHAnsi"/>
          <w:sz w:val="24"/>
          <w:szCs w:val="24"/>
        </w:rPr>
        <w:t>.</w:t>
      </w:r>
    </w:p>
    <w:p w14:paraId="2C2F782D"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sz w:val="24"/>
          <w:szCs w:val="24"/>
        </w:rPr>
        <w:t xml:space="preserve">Art. 69.  </w:t>
      </w:r>
      <w:r w:rsidRPr="0097459F">
        <w:rPr>
          <w:rFonts w:asciiTheme="minorHAnsi" w:hAnsiTheme="minorHAnsi" w:cstheme="minorHAnsi"/>
          <w:sz w:val="24"/>
          <w:szCs w:val="24"/>
        </w:rPr>
        <w:t>É admitida a cessão fiduciária de cotas de FIF em garantia de locação imobiliária, ainda que o FIF não seja destinado exclusivamente à garantia de locação imobiliária, observado o disposto nos arts. 64 e 65 deste Anexo Normativo I.</w:t>
      </w:r>
    </w:p>
    <w:p w14:paraId="34221523"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 xml:space="preserve">§1º  Na hipótese do </w:t>
      </w:r>
      <w:r w:rsidRPr="0097459F">
        <w:rPr>
          <w:rFonts w:asciiTheme="minorHAnsi" w:hAnsiTheme="minorHAnsi" w:cstheme="minorHAnsi"/>
          <w:b/>
          <w:bCs/>
          <w:sz w:val="24"/>
          <w:szCs w:val="24"/>
        </w:rPr>
        <w:t>caput</w:t>
      </w:r>
      <w:r w:rsidRPr="0097459F">
        <w:rPr>
          <w:rFonts w:asciiTheme="minorHAnsi" w:hAnsiTheme="minorHAnsi" w:cstheme="minorHAnsi"/>
          <w:sz w:val="24"/>
          <w:szCs w:val="24"/>
        </w:rPr>
        <w:t>:</w:t>
      </w:r>
    </w:p>
    <w:p w14:paraId="1A91C1CC"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I – o termo de cessão de cotas pode conter a autorização prevista no art. 68 deste Anexo Normativo I; e</w:t>
      </w:r>
    </w:p>
    <w:p w14:paraId="64C48008"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II – o administrador não pode imputar ao fundo de investimento qualquer despesa relativa à averbação da cessão fiduciária, ao envio de comunicações para o proprietário fiduciário, ou qualquer outra despesa relativa à cessão fiduciária, inclusive a remuneração que cobrar por esse serviço.</w:t>
      </w:r>
    </w:p>
    <w:p w14:paraId="61709356" w14:textId="1B819505" w:rsidR="00C20BBD" w:rsidRPr="0097459F" w:rsidRDefault="00C20BBD" w:rsidP="00C20BBD">
      <w:pPr>
        <w:pStyle w:val="Seo"/>
        <w:ind w:firstLine="0"/>
        <w:rPr>
          <w:rFonts w:asciiTheme="minorHAnsi" w:hAnsiTheme="minorHAnsi" w:cstheme="minorHAnsi"/>
        </w:rPr>
      </w:pPr>
      <w:bookmarkStart w:id="506" w:name="_Toc126226376"/>
      <w:r w:rsidRPr="0097459F">
        <w:rPr>
          <w:rFonts w:asciiTheme="minorHAnsi" w:hAnsiTheme="minorHAnsi" w:cstheme="minorHAnsi"/>
        </w:rPr>
        <w:t>Subseção V</w:t>
      </w:r>
      <w:r w:rsidR="009827B9">
        <w:rPr>
          <w:rFonts w:asciiTheme="minorHAnsi" w:hAnsiTheme="minorHAnsi" w:cstheme="minorHAnsi"/>
        </w:rPr>
        <w:t>I</w:t>
      </w:r>
      <w:r w:rsidRPr="0097459F">
        <w:rPr>
          <w:rFonts w:asciiTheme="minorHAnsi" w:hAnsiTheme="minorHAnsi" w:cstheme="minorHAnsi"/>
        </w:rPr>
        <w:t>I – Concentração em Crédito Privado</w:t>
      </w:r>
      <w:bookmarkEnd w:id="506"/>
    </w:p>
    <w:p w14:paraId="36D141AE" w14:textId="77777777" w:rsidR="00C20BBD" w:rsidRPr="0097459F" w:rsidRDefault="00C20BBD" w:rsidP="00C20BBD">
      <w:pPr>
        <w:pStyle w:val="Normalalteradora"/>
      </w:pPr>
      <w:r w:rsidRPr="0097459F">
        <w:t>Art. 70.  A classe tipificada como “Renda Fixa”, “Multimercado” ou “Cambial” que realizar aplicações em quaisquer ativos ou modalidades operacionais de responsabilidade de pessoas físicas ou jurídicas de direito privado, exceto no caso de ativos financeiros listados no art. 56, § 1º, inciso I, deste Anexo Normativo I, ou de emissores públicos, que, em seu conjunto, excedam o percentual de 50% (cinquenta por cento) de seu patrimônio líquido, deve observar as seguintes regras, cumulativamente àquelas previstas para seu tipo:</w:t>
      </w:r>
    </w:p>
    <w:p w14:paraId="14D17838" w14:textId="77777777" w:rsidR="00C20BBD" w:rsidRPr="0097459F" w:rsidRDefault="00C20BBD" w:rsidP="00C20BBD">
      <w:pPr>
        <w:pStyle w:val="Normalalteradora"/>
        <w:rPr>
          <w:rFonts w:cstheme="minorHAnsi"/>
        </w:rPr>
      </w:pPr>
      <w:r w:rsidRPr="0097459F">
        <w:rPr>
          <w:rFonts w:cstheme="minorHAnsi"/>
        </w:rPr>
        <w:t xml:space="preserve">I – incluir à sua denominação o sufixo “Crédito Privado”; e </w:t>
      </w:r>
    </w:p>
    <w:p w14:paraId="42FDC52D" w14:textId="77777777" w:rsidR="00C20BBD" w:rsidRPr="0097459F" w:rsidRDefault="00C20BBD" w:rsidP="00C20BBD">
      <w:pPr>
        <w:pStyle w:val="Normalalteradora"/>
        <w:rPr>
          <w:rFonts w:cstheme="minorHAnsi"/>
        </w:rPr>
      </w:pPr>
      <w:r w:rsidRPr="0097459F">
        <w:rPr>
          <w:rFonts w:cstheme="minorHAnsi"/>
        </w:rPr>
        <w:t>II – incluir no termo de adesão e ciência de risco o alerta de que pode ocorrer concentração da carteira de ativos em créditos privados.</w:t>
      </w:r>
    </w:p>
    <w:p w14:paraId="1C82181B" w14:textId="77777777" w:rsidR="00C20BBD" w:rsidRPr="0097459F" w:rsidDel="00A64960" w:rsidRDefault="00C20BBD" w:rsidP="00C20BBD">
      <w:pPr>
        <w:pStyle w:val="Normalalteradora"/>
        <w:rPr>
          <w:rFonts w:cstheme="minorHAnsi"/>
        </w:rPr>
      </w:pPr>
      <w:r w:rsidRPr="0097459F">
        <w:rPr>
          <w:rFonts w:cstheme="minorHAnsi"/>
        </w:rPr>
        <w:lastRenderedPageBreak/>
        <w:t xml:space="preserve">§ 1º  Para fins da observância prevista no </w:t>
      </w:r>
      <w:r w:rsidRPr="0097459F">
        <w:rPr>
          <w:rFonts w:cstheme="minorHAnsi"/>
          <w:b/>
        </w:rPr>
        <w:t>caput</w:t>
      </w:r>
      <w:r w:rsidRPr="0097459F">
        <w:rPr>
          <w:rFonts w:cstheme="minorHAnsi"/>
        </w:rPr>
        <w:t>, o gestor deve consolidar as aplicações com as aplicações das classes investidas.</w:t>
      </w:r>
    </w:p>
    <w:p w14:paraId="45E38598" w14:textId="77777777" w:rsidR="00C20BBD" w:rsidRPr="0097459F" w:rsidRDefault="00C20BBD" w:rsidP="00C20BBD">
      <w:pPr>
        <w:pStyle w:val="Normalalteradora"/>
        <w:rPr>
          <w:rFonts w:cstheme="minorHAnsi"/>
        </w:rPr>
      </w:pPr>
      <w:r w:rsidRPr="0097459F">
        <w:rPr>
          <w:rFonts w:cstheme="minorHAnsi"/>
        </w:rPr>
        <w:t xml:space="preserve">§ 2º  A referência a emissores públicos no </w:t>
      </w:r>
      <w:r w:rsidRPr="0097459F">
        <w:rPr>
          <w:rFonts w:cstheme="minorHAnsi"/>
          <w:b/>
        </w:rPr>
        <w:t>caput</w:t>
      </w:r>
      <w:r w:rsidRPr="0097459F">
        <w:rPr>
          <w:rFonts w:cstheme="minorHAnsi"/>
        </w:rPr>
        <w:t xml:space="preserve"> não alcança a União Federal.</w:t>
      </w:r>
    </w:p>
    <w:p w14:paraId="4489047D" w14:textId="77777777" w:rsidR="00C20BBD" w:rsidRPr="0097459F" w:rsidRDefault="00C20BBD" w:rsidP="00C20BBD">
      <w:pPr>
        <w:pStyle w:val="Normalalteradora"/>
        <w:rPr>
          <w:rFonts w:cstheme="minorHAnsi"/>
        </w:rPr>
      </w:pPr>
      <w:r w:rsidRPr="0097459F">
        <w:rPr>
          <w:rFonts w:cstheme="minorHAnsi"/>
        </w:rPr>
        <w:t xml:space="preserve">§ 3º  O disposto no inciso I do </w:t>
      </w:r>
      <w:r w:rsidRPr="0097459F">
        <w:rPr>
          <w:rFonts w:cstheme="minorHAnsi"/>
          <w:b/>
        </w:rPr>
        <w:t>caput</w:t>
      </w:r>
      <w:r w:rsidRPr="0097459F">
        <w:rPr>
          <w:rFonts w:cstheme="minorHAnsi"/>
        </w:rPr>
        <w:t xml:space="preserve"> não se aplica aos FI-Infra.</w:t>
      </w:r>
    </w:p>
    <w:p w14:paraId="577E1B4E" w14:textId="77777777" w:rsidR="00C20BBD" w:rsidRPr="0097459F" w:rsidRDefault="00C20BBD" w:rsidP="00C20BBD">
      <w:pPr>
        <w:pStyle w:val="Seo"/>
        <w:rPr>
          <w:rFonts w:asciiTheme="minorHAnsi" w:hAnsiTheme="minorHAnsi"/>
        </w:rPr>
      </w:pPr>
      <w:bookmarkStart w:id="507" w:name="_Toc53594256"/>
      <w:bookmarkStart w:id="508" w:name="_Toc53594504"/>
      <w:bookmarkStart w:id="509" w:name="_Toc53595529"/>
      <w:bookmarkStart w:id="510" w:name="_Toc57836265"/>
      <w:bookmarkStart w:id="511" w:name="_Toc126226377"/>
      <w:r w:rsidRPr="0097459F">
        <w:rPr>
          <w:rFonts w:asciiTheme="minorHAnsi" w:hAnsiTheme="minorHAnsi"/>
        </w:rPr>
        <w:t xml:space="preserve">Seção </w:t>
      </w:r>
      <w:r w:rsidRPr="0097459F">
        <w:rPr>
          <w:rFonts w:asciiTheme="minorHAnsi" w:hAnsiTheme="minorHAnsi" w:cstheme="minorHAnsi"/>
        </w:rPr>
        <w:t xml:space="preserve">VIII – </w:t>
      </w:r>
      <w:r w:rsidRPr="0097459F">
        <w:rPr>
          <w:rFonts w:asciiTheme="minorHAnsi" w:hAnsiTheme="minorHAnsi"/>
        </w:rPr>
        <w:t>Investimento em Cotas</w:t>
      </w:r>
      <w:bookmarkEnd w:id="507"/>
      <w:bookmarkEnd w:id="508"/>
      <w:bookmarkEnd w:id="509"/>
      <w:bookmarkEnd w:id="510"/>
      <w:r w:rsidRPr="0097459F">
        <w:rPr>
          <w:rFonts w:asciiTheme="minorHAnsi" w:hAnsiTheme="minorHAnsi" w:cstheme="minorHAnsi"/>
        </w:rPr>
        <w:t xml:space="preserve"> de Outros Fundos de Investimento Financeiro</w:t>
      </w:r>
      <w:bookmarkEnd w:id="511"/>
    </w:p>
    <w:p w14:paraId="1BEA6EC2" w14:textId="77777777" w:rsidR="00C20BBD" w:rsidRPr="0097459F" w:rsidRDefault="00C20BBD" w:rsidP="00C20BBD">
      <w:pPr>
        <w:pStyle w:val="Normalalteradora"/>
        <w:rPr>
          <w:rFonts w:cstheme="minorHAnsi"/>
        </w:rPr>
      </w:pPr>
      <w:r w:rsidRPr="0097459F" w:rsidDel="0014522A">
        <w:rPr>
          <w:rFonts w:cstheme="minorHAnsi"/>
        </w:rPr>
        <w:t xml:space="preserve">Art. </w:t>
      </w:r>
      <w:r w:rsidRPr="0097459F">
        <w:rPr>
          <w:rFonts w:cstheme="minorHAnsi"/>
        </w:rPr>
        <w:t>71</w:t>
      </w:r>
      <w:r w:rsidRPr="0097459F" w:rsidDel="0014522A">
        <w:rPr>
          <w:rFonts w:cstheme="minorHAnsi"/>
        </w:rPr>
        <w:t xml:space="preserve">.  </w:t>
      </w:r>
      <w:r w:rsidRPr="0097459F">
        <w:rPr>
          <w:rFonts w:cstheme="minorHAnsi"/>
        </w:rPr>
        <w:t>As classes de investimento em cotas devem adquirir classes do mesmo tipo que a sua</w:t>
      </w:r>
      <w:r w:rsidRPr="0097459F" w:rsidDel="0014522A">
        <w:rPr>
          <w:rFonts w:cstheme="minorHAnsi"/>
        </w:rPr>
        <w:t xml:space="preserve">, exceto no caso de </w:t>
      </w:r>
      <w:r w:rsidRPr="0097459F">
        <w:rPr>
          <w:rFonts w:cstheme="minorHAnsi"/>
        </w:rPr>
        <w:t>classes</w:t>
      </w:r>
      <w:r w:rsidRPr="0097459F" w:rsidDel="0014522A">
        <w:rPr>
          <w:rFonts w:cstheme="minorHAnsi"/>
        </w:rPr>
        <w:t xml:space="preserve"> </w:t>
      </w:r>
      <w:r w:rsidRPr="0097459F">
        <w:rPr>
          <w:rFonts w:cstheme="minorHAnsi"/>
        </w:rPr>
        <w:t>tipificada</w:t>
      </w:r>
      <w:r w:rsidRPr="0097459F" w:rsidDel="0014522A">
        <w:rPr>
          <w:rFonts w:cstheme="minorHAnsi"/>
        </w:rPr>
        <w:t xml:space="preserve">s como “Multimercado”, </w:t>
      </w:r>
      <w:r w:rsidRPr="0097459F">
        <w:rPr>
          <w:rFonts w:cstheme="minorHAnsi"/>
        </w:rPr>
        <w:t>que</w:t>
      </w:r>
      <w:r w:rsidRPr="0097459F" w:rsidDel="0014522A">
        <w:rPr>
          <w:rFonts w:cstheme="minorHAnsi"/>
        </w:rPr>
        <w:t xml:space="preserve"> podem investir em </w:t>
      </w:r>
      <w:r w:rsidRPr="0097459F">
        <w:rPr>
          <w:rFonts w:cstheme="minorHAnsi"/>
        </w:rPr>
        <w:t>cotas</w:t>
      </w:r>
      <w:r w:rsidRPr="0097459F" w:rsidDel="0014522A">
        <w:rPr>
          <w:rFonts w:cstheme="minorHAnsi"/>
        </w:rPr>
        <w:t xml:space="preserve"> de </w:t>
      </w:r>
      <w:r w:rsidRPr="0097459F">
        <w:t xml:space="preserve">FIF de </w:t>
      </w:r>
      <w:r w:rsidRPr="0097459F">
        <w:rPr>
          <w:rFonts w:cstheme="minorHAnsi"/>
        </w:rPr>
        <w:t>qualquer tipo, sem prejuízo do disposto no § 5º do art. 45 deste Anexo Normativo I.</w:t>
      </w:r>
    </w:p>
    <w:p w14:paraId="0BA7BFC7" w14:textId="77777777" w:rsidR="00C20BBD" w:rsidRPr="0097459F" w:rsidDel="007624D9" w:rsidRDefault="00C20BBD" w:rsidP="00C20BBD">
      <w:pPr>
        <w:pStyle w:val="Normalalteradora"/>
        <w:rPr>
          <w:rFonts w:cstheme="minorHAnsi"/>
        </w:rPr>
      </w:pPr>
      <w:r w:rsidRPr="0097459F">
        <w:rPr>
          <w:rFonts w:cstheme="minorHAnsi"/>
        </w:rPr>
        <w:t xml:space="preserve">Parágrafo único.  A restrição disposta no </w:t>
      </w:r>
      <w:r w:rsidRPr="0097459F">
        <w:rPr>
          <w:rFonts w:cstheme="minorHAnsi"/>
          <w:b/>
        </w:rPr>
        <w:t>caput</w:t>
      </w:r>
      <w:r w:rsidRPr="0097459F">
        <w:rPr>
          <w:rFonts w:cstheme="minorHAnsi"/>
        </w:rPr>
        <w:t xml:space="preserve"> não alcança a aquisição de cotas no âmbito da gestão de liquidez da classe.</w:t>
      </w:r>
    </w:p>
    <w:p w14:paraId="3D74EAB8" w14:textId="77777777" w:rsidR="00C20BBD" w:rsidRPr="0097459F" w:rsidRDefault="00C20BBD" w:rsidP="00C20BBD">
      <w:pPr>
        <w:pStyle w:val="Normalalteradora"/>
        <w:rPr>
          <w:rFonts w:ascii="Calibri" w:hAnsi="Calibri" w:cs="Calibri"/>
        </w:rPr>
      </w:pPr>
      <w:bookmarkStart w:id="512" w:name="_Hlk51930950"/>
      <w:r w:rsidRPr="0097459F">
        <w:rPr>
          <w:rFonts w:ascii="Calibri" w:hAnsi="Calibri" w:cs="Calibri"/>
        </w:rPr>
        <w:t>Art. 72.  O regulamento da classe de cotas e, se aplicável, sua lâmina deve especificar o percentual máximo do patrimônio líquido que pode ser aplicado em uma única classe, observados os limites de concentração por emissor e modalidade de ativo financeiro previstos neste Anexo Normativo I.</w:t>
      </w:r>
    </w:p>
    <w:bookmarkEnd w:id="512"/>
    <w:p w14:paraId="495D5BE0"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Na hipótese de aplicação em classe que possa exceder o limite de concentração em créditos privados de que trata o art. 70 deste Anexo Normativo I, a política de investimento da classe investidora deve detalhar os mecanismos que serão adotados para mitigar o risco de extrapolação do referido limite ou, alternativamente, adotar as medidas dispostas nos incisos I a II do referido artigo.</w:t>
      </w:r>
    </w:p>
    <w:p w14:paraId="1D9A81B6" w14:textId="77777777" w:rsidR="00C20BBD" w:rsidRPr="0097459F" w:rsidRDefault="00C20BBD" w:rsidP="00C20BBD">
      <w:pPr>
        <w:pStyle w:val="Seo"/>
      </w:pPr>
      <w:bookmarkStart w:id="513" w:name="_Toc53594257"/>
      <w:bookmarkStart w:id="514" w:name="_Toc53594505"/>
      <w:bookmarkStart w:id="515" w:name="_Toc53595530"/>
      <w:bookmarkStart w:id="516" w:name="_Toc57836266"/>
      <w:bookmarkStart w:id="517" w:name="_Toc126226378"/>
      <w:r w:rsidRPr="0097459F">
        <w:t>Seção IX – Exposição a Risco de Capital</w:t>
      </w:r>
      <w:bookmarkEnd w:id="513"/>
      <w:bookmarkEnd w:id="514"/>
      <w:bookmarkEnd w:id="515"/>
      <w:bookmarkEnd w:id="516"/>
      <w:bookmarkEnd w:id="517"/>
    </w:p>
    <w:p w14:paraId="4B6ED4B8" w14:textId="77777777" w:rsidR="00C20BBD" w:rsidRPr="0097459F" w:rsidRDefault="00C20BBD" w:rsidP="00C20BBD">
      <w:pPr>
        <w:pStyle w:val="Normalalteradora"/>
        <w:rPr>
          <w:rFonts w:ascii="Calibri" w:hAnsi="Calibri" w:cs="Calibri"/>
        </w:rPr>
      </w:pPr>
      <w:r w:rsidRPr="0097459F">
        <w:rPr>
          <w:rFonts w:ascii="Calibri" w:hAnsi="Calibri" w:cs="Calibri"/>
        </w:rPr>
        <w:t>Art. 73.  Preservada a possibilidade de o Regulamento estabelecer limites menores, o gestor deve observar os seguintes limites máximos de utilização de margem bruta:</w:t>
      </w:r>
    </w:p>
    <w:p w14:paraId="75E37A1F" w14:textId="77777777" w:rsidR="00C20BBD" w:rsidRPr="0097459F" w:rsidRDefault="00C20BBD" w:rsidP="00C20BBD">
      <w:pPr>
        <w:pStyle w:val="Normalalteradora"/>
        <w:rPr>
          <w:rFonts w:ascii="Calibri" w:hAnsi="Calibri" w:cs="Calibri"/>
        </w:rPr>
      </w:pPr>
      <w:r w:rsidRPr="0097459F">
        <w:rPr>
          <w:rFonts w:ascii="Calibri" w:hAnsi="Calibri" w:cs="Calibri"/>
        </w:rPr>
        <w:t>I – para classe tipificada como “Renda Fixa”, margem bruta limitada a 20% (vinte por cento) do patrimônio líquido da classe;</w:t>
      </w:r>
    </w:p>
    <w:p w14:paraId="32D0EAF4" w14:textId="77777777" w:rsidR="00C20BBD" w:rsidRPr="0097459F" w:rsidRDefault="00C20BBD" w:rsidP="00C20BBD">
      <w:pPr>
        <w:pStyle w:val="Normalalteradora"/>
        <w:rPr>
          <w:rFonts w:ascii="Calibri" w:hAnsi="Calibri" w:cs="Calibri"/>
        </w:rPr>
      </w:pPr>
      <w:r w:rsidRPr="0097459F">
        <w:rPr>
          <w:rFonts w:ascii="Calibri" w:hAnsi="Calibri" w:cs="Calibri"/>
        </w:rPr>
        <w:t>II – para classe tipificada como “Cambial” ou “Ações”, margem bruta limitada a 40% (quarenta por cento) do patrimônio líquido da classe; e</w:t>
      </w:r>
    </w:p>
    <w:p w14:paraId="13D25781" w14:textId="77777777" w:rsidR="00C20BBD" w:rsidRPr="0097459F" w:rsidRDefault="00C20BBD" w:rsidP="00C20BBD">
      <w:pPr>
        <w:pStyle w:val="Normalalteradora"/>
        <w:rPr>
          <w:rFonts w:ascii="Calibri" w:hAnsi="Calibri" w:cs="Calibri"/>
        </w:rPr>
      </w:pPr>
      <w:r w:rsidRPr="0097459F">
        <w:rPr>
          <w:rFonts w:ascii="Calibri" w:hAnsi="Calibri" w:cs="Calibri"/>
        </w:rPr>
        <w:t>III – para classe tipificada como “Multimercado”, margem bruta limitada a 70% (setenta por cento) do patrimônio líquido da classe.</w:t>
      </w:r>
    </w:p>
    <w:p w14:paraId="0773A092"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1º  Para fins deste Anexo Normativo I, considera-se margem bruta o somatório das coberturas e margens de garantia, requeridas e potenciais, empregadas pela classe em relação às operações de sua carteira.</w:t>
      </w:r>
    </w:p>
    <w:p w14:paraId="79E3B70F" w14:textId="77777777" w:rsidR="00C20BBD" w:rsidRPr="0097459F" w:rsidRDefault="00C20BBD" w:rsidP="00C20BBD">
      <w:pPr>
        <w:pStyle w:val="Normalalteradora"/>
        <w:rPr>
          <w:rFonts w:ascii="Calibri" w:hAnsi="Calibri" w:cs="Calibri"/>
        </w:rPr>
      </w:pPr>
      <w:r w:rsidRPr="0097459F">
        <w:rPr>
          <w:rFonts w:ascii="Calibri" w:hAnsi="Calibri" w:cs="Calibri"/>
        </w:rPr>
        <w:t>§ 2º  O cálculo de margem potencial deve se basear em modelo de cálculo de garantia do administrador, consistente e passível de verificação, e não pode ser compensado com as margens das operações que contem com cobertura ou margem de garantia.</w:t>
      </w:r>
    </w:p>
    <w:p w14:paraId="2FF2B93B" w14:textId="77777777" w:rsidR="00C20BBD" w:rsidRPr="0097459F" w:rsidRDefault="00C20BBD" w:rsidP="00C20BBD">
      <w:pPr>
        <w:pStyle w:val="Normalalteradora"/>
        <w:rPr>
          <w:rFonts w:ascii="Calibri" w:hAnsi="Calibri" w:cs="Calibri"/>
        </w:rPr>
      </w:pPr>
      <w:r w:rsidRPr="0097459F">
        <w:rPr>
          <w:rFonts w:ascii="Calibri" w:hAnsi="Calibri" w:cs="Calibri"/>
        </w:rPr>
        <w:t>§ 3º  As operações da carteira de ativos da classe destinada ao público em geral que originem exposição a risco de capital devem contar com cobertura ou margem de garantia em mercado organizado.</w:t>
      </w:r>
    </w:p>
    <w:p w14:paraId="0DB8CCCD" w14:textId="3C589335" w:rsidR="00C20BBD" w:rsidRDefault="00C20BBD" w:rsidP="00C20BBD">
      <w:pPr>
        <w:pStyle w:val="Normalalteradora"/>
        <w:rPr>
          <w:rFonts w:ascii="Calibri" w:hAnsi="Calibri" w:cs="Calibri"/>
        </w:rPr>
      </w:pPr>
      <w:r w:rsidRPr="0097459F">
        <w:rPr>
          <w:rFonts w:ascii="Calibri" w:hAnsi="Calibri" w:cs="Calibri"/>
        </w:rPr>
        <w:t xml:space="preserve">§ 4º  Classes de cotas exclusivamente destinadas a investidores profissionais não possuem limites de exposição a risco de capital, exceto pelo que porventura dispuser o Regulamento, nos termos do art. </w:t>
      </w:r>
      <w:r w:rsidR="00122F9E">
        <w:rPr>
          <w:rFonts w:ascii="Calibri" w:hAnsi="Calibri" w:cs="Calibri"/>
        </w:rPr>
        <w:t>16</w:t>
      </w:r>
      <w:r w:rsidRPr="0097459F">
        <w:rPr>
          <w:rFonts w:ascii="Calibri" w:hAnsi="Calibri" w:cs="Calibri"/>
        </w:rPr>
        <w:t>, inciso V, deste Anexo Normativo I.</w:t>
      </w:r>
    </w:p>
    <w:p w14:paraId="05958914" w14:textId="214BFBA4" w:rsidR="00C20BBD" w:rsidRPr="0097459F" w:rsidRDefault="00C20BBD" w:rsidP="00C20BBD">
      <w:pPr>
        <w:pStyle w:val="Captulo"/>
      </w:pPr>
      <w:bookmarkStart w:id="518" w:name="_Toc53594258"/>
      <w:bookmarkStart w:id="519" w:name="_Toc53594506"/>
      <w:bookmarkStart w:id="520" w:name="_Toc53595531"/>
      <w:bookmarkStart w:id="521" w:name="_Toc57836267"/>
      <w:bookmarkStart w:id="522" w:name="_Toc126226379"/>
      <w:r w:rsidRPr="0097459F">
        <w:t>CAPÍTULO IX – CLASSES RESTRITAS</w:t>
      </w:r>
      <w:bookmarkEnd w:id="518"/>
      <w:bookmarkEnd w:id="519"/>
      <w:bookmarkEnd w:id="520"/>
      <w:bookmarkEnd w:id="521"/>
      <w:bookmarkEnd w:id="522"/>
    </w:p>
    <w:p w14:paraId="54B86502" w14:textId="77777777" w:rsidR="00C20BBD" w:rsidRPr="0097459F" w:rsidRDefault="00C20BBD" w:rsidP="00C20BBD">
      <w:pPr>
        <w:pStyle w:val="Normalalteradora"/>
        <w:rPr>
          <w:rFonts w:ascii="Calibri" w:hAnsi="Calibri" w:cs="Calibri"/>
        </w:rPr>
      </w:pPr>
      <w:r w:rsidRPr="0097459F">
        <w:rPr>
          <w:rFonts w:ascii="Calibri" w:hAnsi="Calibri" w:cs="Calibri"/>
        </w:rPr>
        <w:t>Art. 74.  Em acréscimo às matérias previstas no art. 113 da parte geral da Resolução, o regulamento da classe restrita pode estabelecer prazos para conversão de cota e para pagamento dos resgates diferentes daqueles previstos na regulamentação, sendo admitido o estabelecimento de prazo máximo de conversão e pagamento.</w:t>
      </w:r>
    </w:p>
    <w:p w14:paraId="4107E607" w14:textId="77777777" w:rsidR="00C20BBD" w:rsidRPr="0097459F" w:rsidRDefault="00C20BBD" w:rsidP="00C20BBD">
      <w:pPr>
        <w:pStyle w:val="Normalalteradora"/>
        <w:rPr>
          <w:rFonts w:ascii="Calibri" w:hAnsi="Calibri" w:cs="Calibri"/>
        </w:rPr>
      </w:pPr>
      <w:bookmarkStart w:id="523" w:name="_Hlk52086293"/>
      <w:bookmarkEnd w:id="523"/>
      <w:r w:rsidRPr="0097459F">
        <w:rPr>
          <w:rFonts w:ascii="Calibri" w:hAnsi="Calibri" w:cs="Calibri"/>
        </w:rPr>
        <w:t>Art. 75.  Os limites estabelecidos no art. 45, incisos I a III, e no art. 60 deste Anexo Normativo I são computados em dobro nas classes de cotas exclusivamente destinadas a investidores qualificados.</w:t>
      </w:r>
    </w:p>
    <w:p w14:paraId="67106E63" w14:textId="77777777" w:rsidR="00C20BBD" w:rsidRPr="0097459F" w:rsidRDefault="00C20BBD" w:rsidP="00C20BBD">
      <w:pPr>
        <w:pStyle w:val="Normalalteradora"/>
        <w:rPr>
          <w:rFonts w:ascii="Calibri" w:hAnsi="Calibri" w:cs="Calibri"/>
        </w:rPr>
      </w:pPr>
      <w:r w:rsidRPr="0097459F">
        <w:rPr>
          <w:rFonts w:ascii="Calibri" w:hAnsi="Calibri" w:cs="Calibri"/>
        </w:rPr>
        <w:t>§ 1º  Caso a classe de cotas seja exclusivamente destinada a investidores qualificados, os limites previstos no art. 45, §§ 1º e 2º; ficam majorados para, respectivamente, até 60% (sessenta por cento) e até 40% (quarenta por cento), preservado o requisito de existência de formador de mercado para as cotas que excederem ao limite ordinário.</w:t>
      </w:r>
    </w:p>
    <w:p w14:paraId="7C67AF9E" w14:textId="77777777" w:rsidR="00C20BBD" w:rsidRPr="0097459F" w:rsidRDefault="00C20BBD" w:rsidP="00C20BBD">
      <w:pPr>
        <w:pStyle w:val="Normalalteradora"/>
        <w:rPr>
          <w:rFonts w:ascii="Calibri" w:hAnsi="Calibri" w:cs="Calibri"/>
        </w:rPr>
      </w:pPr>
      <w:r w:rsidRPr="0097459F">
        <w:rPr>
          <w:rFonts w:ascii="Calibri" w:hAnsi="Calibri" w:cs="Calibri"/>
        </w:rPr>
        <w:t>§ 2º  Não existe limite por modalidade de ativo financeiro para aplicações em cotas de outros fundos que sejam igualmente destinadas a investidores qualificados.</w:t>
      </w:r>
    </w:p>
    <w:p w14:paraId="30C93091" w14:textId="77777777" w:rsidR="00C20BBD" w:rsidRPr="0097459F" w:rsidRDefault="00C20BBD" w:rsidP="00C20BBD">
      <w:pPr>
        <w:pStyle w:val="Normalalteradora"/>
        <w:rPr>
          <w:rFonts w:ascii="Calibri" w:hAnsi="Calibri" w:cs="Calibri"/>
        </w:rPr>
      </w:pPr>
      <w:r w:rsidRPr="0097459F">
        <w:rPr>
          <w:rFonts w:ascii="Calibri" w:hAnsi="Calibri" w:cs="Calibri"/>
        </w:rPr>
        <w:t>Art. 76.  Em acréscimo às matérias previstas no art. 113 da parte geral da Resolução, o regulamento da classe de cotas destinada exclusivamente a investidores profissionais pode prever:</w:t>
      </w:r>
    </w:p>
    <w:p w14:paraId="3159015E"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I – a não observância aos limites de concentração por emissor e por modalidade de ativo financeiro, conforme estabelecidos nos arts. 44, 45 e 70, todos deste Anexo Normativo I;</w:t>
      </w:r>
    </w:p>
    <w:p w14:paraId="3E96530F" w14:textId="77777777" w:rsidR="00C20BBD" w:rsidRPr="0097459F" w:rsidRDefault="00C20BBD" w:rsidP="00C20BBD">
      <w:pPr>
        <w:pStyle w:val="Normalalteradora"/>
        <w:rPr>
          <w:rFonts w:ascii="Calibri" w:hAnsi="Calibri" w:cs="Calibri"/>
        </w:rPr>
      </w:pPr>
      <w:r w:rsidRPr="0097459F">
        <w:rPr>
          <w:rFonts w:ascii="Calibri" w:hAnsi="Calibri" w:cs="Calibri"/>
        </w:rPr>
        <w:t>II – a aplicação de recursos no exterior de forma ilimitada; e</w:t>
      </w:r>
    </w:p>
    <w:p w14:paraId="27FD2D1C" w14:textId="77777777" w:rsidR="00C20BBD" w:rsidRPr="0097459F" w:rsidRDefault="00C20BBD" w:rsidP="00C20BBD">
      <w:pPr>
        <w:pStyle w:val="Normalalteradora"/>
        <w:rPr>
          <w:rFonts w:ascii="Calibri" w:hAnsi="Calibri" w:cs="Calibri"/>
        </w:rPr>
      </w:pPr>
      <w:r w:rsidRPr="0097459F">
        <w:rPr>
          <w:rFonts w:ascii="Calibri" w:hAnsi="Calibri" w:cs="Calibri"/>
        </w:rPr>
        <w:t>III – o não cumprimento pelo administrador das obrigações previstas nos incisos I e II do art. 22 deste Anexo Normativo I.</w:t>
      </w:r>
    </w:p>
    <w:p w14:paraId="36B849AA" w14:textId="77777777" w:rsidR="00C20BBD" w:rsidRPr="0097459F" w:rsidRDefault="00C20BBD" w:rsidP="00C20BBD">
      <w:pPr>
        <w:pStyle w:val="Normalalteradora"/>
        <w:rPr>
          <w:rFonts w:ascii="Calibri" w:hAnsi="Calibri" w:cs="Calibri"/>
        </w:rPr>
      </w:pPr>
      <w:r w:rsidRPr="0097459F">
        <w:rPr>
          <w:rFonts w:ascii="Calibri" w:hAnsi="Calibri" w:cs="Calibri"/>
        </w:rPr>
        <w:t>§ 1º  O uso das faculdades previstas neste artigo não dispensa a classe de observar seu tipo, assim como de manter sua carteira de ativos adequada a sua política de investimento.</w:t>
      </w:r>
    </w:p>
    <w:p w14:paraId="56EEC4F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 2º  O uso da faculdade constante do inciso III do </w:t>
      </w:r>
      <w:r w:rsidRPr="0097459F">
        <w:rPr>
          <w:rFonts w:ascii="Calibri" w:hAnsi="Calibri" w:cs="Calibri"/>
          <w:b/>
        </w:rPr>
        <w:t>caput</w:t>
      </w:r>
      <w:r w:rsidRPr="0097459F">
        <w:rPr>
          <w:rFonts w:ascii="Calibri" w:hAnsi="Calibri" w:cs="Calibri"/>
        </w:rPr>
        <w:t xml:space="preserve"> não exime o administrador:</w:t>
      </w:r>
    </w:p>
    <w:p w14:paraId="21071924" w14:textId="77777777" w:rsidR="00C20BBD" w:rsidRPr="0097459F" w:rsidRDefault="00C20BBD" w:rsidP="00C20BBD">
      <w:pPr>
        <w:pStyle w:val="Normalalteradora"/>
        <w:rPr>
          <w:rFonts w:ascii="Calibri" w:hAnsi="Calibri" w:cs="Calibri"/>
        </w:rPr>
      </w:pPr>
      <w:r w:rsidRPr="0097459F">
        <w:rPr>
          <w:rFonts w:ascii="Calibri" w:hAnsi="Calibri" w:cs="Calibri"/>
        </w:rPr>
        <w:t>I – do cumprimento das obrigações de que trata o art. 24 deste Anexo Normativo I; e</w:t>
      </w:r>
    </w:p>
    <w:p w14:paraId="285C32A7" w14:textId="77777777" w:rsidR="00C20BBD" w:rsidRPr="0097459F" w:rsidRDefault="00C20BBD" w:rsidP="00C20BBD">
      <w:pPr>
        <w:pStyle w:val="Normalalteradora"/>
        <w:rPr>
          <w:rFonts w:ascii="Calibri" w:hAnsi="Calibri" w:cs="Calibri"/>
        </w:rPr>
      </w:pPr>
      <w:r w:rsidRPr="0097459F">
        <w:rPr>
          <w:rFonts w:ascii="Calibri" w:hAnsi="Calibri" w:cs="Calibri"/>
        </w:rPr>
        <w:t>II – da obrigação de disponibilizar a demonstração de desempenho a seus cotistas, sempre que solicitado.</w:t>
      </w:r>
    </w:p>
    <w:p w14:paraId="740FE976" w14:textId="77777777" w:rsidR="00C20BBD" w:rsidRPr="0097459F" w:rsidRDefault="00C20BBD" w:rsidP="00C20BBD">
      <w:pPr>
        <w:pStyle w:val="Captulo"/>
      </w:pPr>
      <w:bookmarkStart w:id="524" w:name="_Toc53594262"/>
      <w:bookmarkStart w:id="525" w:name="_Toc53594510"/>
      <w:bookmarkStart w:id="526" w:name="_Toc53595535"/>
      <w:bookmarkStart w:id="527" w:name="_Toc57836271"/>
      <w:bookmarkStart w:id="528" w:name="_Toc126226380"/>
      <w:r w:rsidRPr="0097459F">
        <w:t>CAPÍTULO X – ENCARGOS</w:t>
      </w:r>
      <w:bookmarkEnd w:id="524"/>
      <w:bookmarkEnd w:id="525"/>
      <w:bookmarkEnd w:id="526"/>
      <w:bookmarkEnd w:id="527"/>
      <w:bookmarkEnd w:id="528"/>
    </w:p>
    <w:p w14:paraId="217C47EF" w14:textId="77777777" w:rsidR="00C20BBD" w:rsidRPr="0097459F" w:rsidRDefault="00C20BBD" w:rsidP="00C20BBD">
      <w:pPr>
        <w:pStyle w:val="Normalalteradora"/>
        <w:rPr>
          <w:rFonts w:ascii="Calibri" w:hAnsi="Calibri" w:cs="Calibri"/>
        </w:rPr>
      </w:pPr>
      <w:r w:rsidRPr="0097459F">
        <w:rPr>
          <w:rFonts w:ascii="Calibri" w:hAnsi="Calibri" w:cs="Calibri"/>
        </w:rPr>
        <w:t>Art. 77.  Em acréscimo aos encargos dispostos no art. 117 da parte geral da Resolução, o regulamento do FIF pode prever como encargos as seguintes despesas, que podem ser debitadas diretamente de suas classes de cotas:</w:t>
      </w:r>
    </w:p>
    <w:p w14:paraId="37E05D3D" w14:textId="77777777" w:rsidR="00C20BBD" w:rsidRPr="0097459F" w:rsidRDefault="00C20BBD" w:rsidP="00C20BBD">
      <w:pPr>
        <w:pStyle w:val="Normalalteradora"/>
        <w:rPr>
          <w:rFonts w:ascii="Calibri" w:hAnsi="Calibri" w:cs="Calibri"/>
        </w:rPr>
      </w:pPr>
      <w:r w:rsidRPr="0097459F">
        <w:rPr>
          <w:rFonts w:ascii="Calibri" w:hAnsi="Calibri" w:cs="Calibri"/>
        </w:rPr>
        <w:t>I – taxa de performance; e</w:t>
      </w:r>
    </w:p>
    <w:p w14:paraId="3565B697" w14:textId="77777777" w:rsidR="00C20BBD" w:rsidRPr="0097459F" w:rsidRDefault="00C20BBD" w:rsidP="00C20BBD">
      <w:pPr>
        <w:pStyle w:val="Normalalteradora"/>
        <w:rPr>
          <w:rFonts w:ascii="Calibri" w:hAnsi="Calibri" w:cs="Calibri"/>
        </w:rPr>
      </w:pPr>
      <w:r w:rsidRPr="0097459F">
        <w:rPr>
          <w:rFonts w:ascii="Calibri" w:hAnsi="Calibri" w:cs="Calibri"/>
        </w:rPr>
        <w:t>III – taxa máxima de custódia.</w:t>
      </w:r>
    </w:p>
    <w:p w14:paraId="1A1A98FF" w14:textId="77777777" w:rsidR="00C20BBD" w:rsidRPr="0097459F" w:rsidRDefault="00C20BBD" w:rsidP="00C20BBD">
      <w:pPr>
        <w:pStyle w:val="Captulo"/>
      </w:pPr>
      <w:bookmarkStart w:id="529" w:name="_Toc53594263"/>
      <w:bookmarkStart w:id="530" w:name="_Toc53594511"/>
      <w:bookmarkStart w:id="531" w:name="_Toc53595536"/>
      <w:bookmarkStart w:id="532" w:name="_Toc57836272"/>
      <w:bookmarkStart w:id="533" w:name="_Toc126226381"/>
      <w:r w:rsidRPr="0097459F">
        <w:t>CAPÍTULO XI – LIQUIDAÇÃO</w:t>
      </w:r>
      <w:bookmarkEnd w:id="529"/>
      <w:bookmarkEnd w:id="530"/>
      <w:bookmarkEnd w:id="531"/>
      <w:bookmarkEnd w:id="532"/>
      <w:bookmarkEnd w:id="533"/>
    </w:p>
    <w:p w14:paraId="096C35D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w:t>
      </w:r>
      <w:bookmarkStart w:id="534" w:name="_Hlk52088255"/>
      <w:r w:rsidRPr="0097459F">
        <w:rPr>
          <w:rFonts w:ascii="Calibri" w:hAnsi="Calibri" w:cs="Calibri"/>
        </w:rPr>
        <w:t>78.  No âmbito da liquidação de uma classe de cotas de FIF, desde que de modo integrado ao plano de liquidação, em acréscimo às dispensas concedidas no art. 128 da parte geral da Resolução, fica dispensado o cumprimento das seguintes regras:</w:t>
      </w:r>
      <w:bookmarkEnd w:id="534"/>
    </w:p>
    <w:p w14:paraId="17598232" w14:textId="77777777" w:rsidR="00C20BBD" w:rsidRPr="0097459F" w:rsidRDefault="00C20BBD" w:rsidP="00C20BBD">
      <w:pPr>
        <w:pStyle w:val="Normalalteradora"/>
        <w:rPr>
          <w:rFonts w:ascii="Calibri" w:hAnsi="Calibri" w:cs="Calibri"/>
        </w:rPr>
      </w:pPr>
      <w:bookmarkStart w:id="535" w:name="_Hlk52090444"/>
      <w:r w:rsidRPr="0097459F">
        <w:rPr>
          <w:rFonts w:ascii="Calibri" w:hAnsi="Calibri" w:cs="Calibri"/>
        </w:rPr>
        <w:t>I – elaboração e divulgação das informações de que tratam os incisos I e II do art. 22 deste Anexo Normativo I; e</w:t>
      </w:r>
    </w:p>
    <w:p w14:paraId="5FE487E3" w14:textId="77777777" w:rsidR="00C20BBD" w:rsidRPr="0097459F" w:rsidRDefault="00C20BBD" w:rsidP="00C20BBD">
      <w:pPr>
        <w:pStyle w:val="Normalalteradora"/>
        <w:rPr>
          <w:rFonts w:ascii="Calibri" w:hAnsi="Calibri" w:cs="Calibri"/>
        </w:rPr>
      </w:pPr>
      <w:r w:rsidRPr="0097459F">
        <w:rPr>
          <w:rFonts w:ascii="Calibri" w:hAnsi="Calibri" w:cs="Calibri"/>
        </w:rPr>
        <w:t>II – envio das informações de que trata o art. 24 deste Anexo Normativo I à CVM.</w:t>
      </w:r>
    </w:p>
    <w:p w14:paraId="5D3DF37E" w14:textId="77777777" w:rsidR="00C20BBD" w:rsidRPr="0097459F" w:rsidRDefault="00C20BBD" w:rsidP="00C20BBD">
      <w:pPr>
        <w:pStyle w:val="Captulo"/>
      </w:pPr>
      <w:bookmarkStart w:id="536" w:name="_Toc53594264"/>
      <w:bookmarkStart w:id="537" w:name="_Toc53594512"/>
      <w:bookmarkStart w:id="538" w:name="_Toc53595537"/>
      <w:bookmarkStart w:id="539" w:name="_Toc57836273"/>
      <w:bookmarkStart w:id="540" w:name="_Toc126226382"/>
      <w:bookmarkEnd w:id="535"/>
      <w:r w:rsidRPr="0097459F">
        <w:lastRenderedPageBreak/>
        <w:t>CAPÍTULO XII – PENALIDADES E MULTA COMINATÓRIA</w:t>
      </w:r>
      <w:bookmarkEnd w:id="536"/>
      <w:bookmarkEnd w:id="537"/>
      <w:bookmarkEnd w:id="538"/>
      <w:bookmarkEnd w:id="539"/>
      <w:bookmarkEnd w:id="540"/>
    </w:p>
    <w:p w14:paraId="2CB3156C" w14:textId="77777777" w:rsidR="00C20BBD" w:rsidRPr="0097459F" w:rsidRDefault="00C20BBD" w:rsidP="00C20BBD">
      <w:pPr>
        <w:pStyle w:val="Normalalteradora"/>
        <w:rPr>
          <w:rFonts w:ascii="Calibri" w:hAnsi="Calibri" w:cs="Calibri"/>
        </w:rPr>
      </w:pPr>
      <w:bookmarkStart w:id="541" w:name="_Hlk51931488"/>
      <w:r w:rsidRPr="0097459F">
        <w:rPr>
          <w:rFonts w:ascii="Calibri" w:hAnsi="Calibri" w:cs="Calibri"/>
        </w:rPr>
        <w:t>Art. 79.  Em acréscimo às condutas previstas no art. 131 da parte geral da Resolução, considera-se infração grave:</w:t>
      </w:r>
    </w:p>
    <w:p w14:paraId="6D49923E" w14:textId="77777777" w:rsidR="00C20BBD" w:rsidRPr="0097459F" w:rsidRDefault="00C20BBD" w:rsidP="00C20BBD">
      <w:pPr>
        <w:pStyle w:val="Normalalteradora"/>
        <w:rPr>
          <w:rFonts w:ascii="Calibri" w:hAnsi="Calibri" w:cs="Calibri"/>
        </w:rPr>
      </w:pPr>
      <w:r w:rsidRPr="0097459F">
        <w:rPr>
          <w:rFonts w:ascii="Calibri" w:hAnsi="Calibri" w:cs="Calibri"/>
        </w:rPr>
        <w:t>I – não observância dos limites de concentração por emissor, por modalidade de ativo financeiro e de exposição ao risco de capital, conforme previstos no regulamento e neste Anexo Normativo I;</w:t>
      </w:r>
    </w:p>
    <w:p w14:paraId="3A7C55B3" w14:textId="77777777" w:rsidR="00C20BBD" w:rsidRPr="0097459F" w:rsidRDefault="00C20BBD" w:rsidP="00C20BBD">
      <w:pPr>
        <w:pStyle w:val="Normalalteradora"/>
        <w:rPr>
          <w:rFonts w:ascii="Calibri" w:hAnsi="Calibri" w:cs="Calibri"/>
        </w:rPr>
      </w:pPr>
      <w:r w:rsidRPr="0097459F">
        <w:rPr>
          <w:rFonts w:ascii="Calibri" w:hAnsi="Calibri" w:cs="Calibri"/>
        </w:rPr>
        <w:t>II – não observância do disposto no art. 70 deste Anexo Normativo I; e</w:t>
      </w:r>
    </w:p>
    <w:p w14:paraId="4EF0938F" w14:textId="264C9324" w:rsidR="00C20BBD" w:rsidRPr="0097459F" w:rsidRDefault="00C20BBD" w:rsidP="00C20BBD">
      <w:pPr>
        <w:pStyle w:val="Normalalteradora"/>
        <w:rPr>
          <w:rFonts w:ascii="Calibri" w:hAnsi="Calibri" w:cs="Calibri"/>
        </w:rPr>
      </w:pPr>
      <w:r w:rsidRPr="0097459F">
        <w:rPr>
          <w:rFonts w:ascii="Calibri" w:hAnsi="Calibri" w:cs="Calibri"/>
        </w:rPr>
        <w:t>III – não disponibilização da lâmina, conforme previsto neste Anexo Normativo I.</w:t>
      </w:r>
    </w:p>
    <w:bookmarkEnd w:id="541"/>
    <w:p w14:paraId="7E59C57D" w14:textId="77777777" w:rsidR="00C20BBD" w:rsidRPr="0097459F" w:rsidRDefault="00C20BBD" w:rsidP="00C20BBD">
      <w:pPr>
        <w:pStyle w:val="Normalalteradora"/>
        <w:rPr>
          <w:rFonts w:ascii="Calibri" w:hAnsi="Calibri" w:cs="Calibri"/>
        </w:rPr>
      </w:pPr>
      <w:r w:rsidRPr="0097459F">
        <w:rPr>
          <w:rFonts w:ascii="Calibri" w:hAnsi="Calibri" w:cs="Calibri"/>
        </w:rPr>
        <w:t>Art. 80.  A multa diária de que trata o art. 132 da parte geral da Resolução não se aplica ao atraso no envio do informe diário, podendo a CVM apurar a responsabilidade do administrador, nos termos do art. 11 da Lei nº 6.385, de 1976, caso a informação não seja encaminhada no prazo aplicável, de acordo com o disposto no art. 24, inciso I, deste Anexo Normativo I.</w:t>
      </w:r>
    </w:p>
    <w:p w14:paraId="26BC271B" w14:textId="77777777" w:rsidR="00931F83" w:rsidRDefault="00C20BBD">
      <w:pPr>
        <w:spacing w:after="160" w:line="259" w:lineRule="auto"/>
        <w:rPr>
          <w:rFonts w:asciiTheme="minorHAnsi" w:hAnsiTheme="minorHAnsi" w:cstheme="minorHAnsi"/>
          <w:b/>
          <w:sz w:val="24"/>
          <w:szCs w:val="24"/>
        </w:rPr>
        <w:sectPr w:rsidR="00931F83" w:rsidSect="0058706A">
          <w:headerReference w:type="default" r:id="rId15"/>
          <w:footerReference w:type="first" r:id="rId16"/>
          <w:pgSz w:w="11906" w:h="16838"/>
          <w:pgMar w:top="2268" w:right="567" w:bottom="851" w:left="1134" w:header="709" w:footer="709" w:gutter="0"/>
          <w:cols w:space="708"/>
          <w:titlePg/>
          <w:docGrid w:linePitch="360"/>
        </w:sectPr>
      </w:pPr>
      <w:r w:rsidRPr="0097459F">
        <w:rPr>
          <w:rFonts w:asciiTheme="minorHAnsi" w:hAnsiTheme="minorHAnsi" w:cstheme="minorHAnsi"/>
          <w:b/>
          <w:sz w:val="24"/>
          <w:szCs w:val="24"/>
        </w:rPr>
        <w:br w:type="page"/>
      </w:r>
    </w:p>
    <w:p w14:paraId="40F0087F" w14:textId="77777777" w:rsidR="00C20BBD" w:rsidRPr="0097459F" w:rsidRDefault="00C20BBD" w:rsidP="00C20BBD">
      <w:pPr>
        <w:pStyle w:val="TtulodaResoluo"/>
        <w:ind w:firstLine="709"/>
      </w:pPr>
      <w:bookmarkStart w:id="542" w:name="_Toc57836275"/>
      <w:bookmarkStart w:id="543" w:name="_Toc126226383"/>
      <w:r w:rsidRPr="0097459F">
        <w:lastRenderedPageBreak/>
        <w:t>ANEXO NORMATIVO II – FUNDOS DE INVESTIMENTO EM DIREITOS CREDITÓRIOS</w:t>
      </w:r>
      <w:bookmarkEnd w:id="542"/>
      <w:bookmarkEnd w:id="543"/>
    </w:p>
    <w:p w14:paraId="5382C242" w14:textId="77777777" w:rsidR="00C20BBD" w:rsidRPr="0097459F" w:rsidRDefault="00C20BBD" w:rsidP="00C20BBD">
      <w:pPr>
        <w:pStyle w:val="Ementa"/>
        <w:spacing w:after="360"/>
        <w:ind w:left="4678"/>
      </w:pPr>
      <w:r w:rsidRPr="0097459F">
        <w:t>Dispõe sobre as regras específicas para os fundos de investimento em direitos creditórios.</w:t>
      </w:r>
    </w:p>
    <w:p w14:paraId="5A633AD0" w14:textId="5B6E61E6" w:rsidR="00C20BBD" w:rsidRPr="0097459F" w:rsidRDefault="00C20BBD" w:rsidP="00C20BBD">
      <w:pPr>
        <w:pStyle w:val="Captulo"/>
        <w:ind w:firstLine="709"/>
      </w:pPr>
      <w:bookmarkStart w:id="544" w:name="_Toc53594514"/>
      <w:bookmarkStart w:id="545" w:name="_Toc53595539"/>
      <w:bookmarkStart w:id="546" w:name="_Toc53594266"/>
      <w:bookmarkStart w:id="547" w:name="_Toc57836276"/>
      <w:bookmarkStart w:id="548" w:name="_Toc126226384"/>
      <w:bookmarkStart w:id="549" w:name="_Hlk515359485"/>
      <w:r w:rsidRPr="0097459F">
        <w:t>CAPÍTULO I – ÂMBITO e FINALIDADE</w:t>
      </w:r>
      <w:bookmarkEnd w:id="544"/>
      <w:bookmarkEnd w:id="545"/>
      <w:bookmarkEnd w:id="546"/>
      <w:bookmarkEnd w:id="547"/>
      <w:bookmarkEnd w:id="548"/>
    </w:p>
    <w:p w14:paraId="2BD4196D" w14:textId="4293D0F0" w:rsidR="00C20BBD" w:rsidRPr="0097459F" w:rsidRDefault="00C20BBD" w:rsidP="00C20BBD">
      <w:pPr>
        <w:pStyle w:val="Ementa"/>
        <w:ind w:left="0" w:firstLine="709"/>
      </w:pPr>
      <w:r w:rsidRPr="0097459F">
        <w:t xml:space="preserve">Art. 1º  Este </w:t>
      </w:r>
      <w:r w:rsidR="00FB1127" w:rsidRPr="0097459F">
        <w:t xml:space="preserve">Anexo Normativo II </w:t>
      </w:r>
      <w:r w:rsidRPr="0097459F">
        <w:t>à Resolução CVM nº 175 (“Resolução”) dispõe sobre as regras específicas para os fundos de investimento em direitos creditórios – FIDC.</w:t>
      </w:r>
    </w:p>
    <w:p w14:paraId="02E0389A" w14:textId="754659CB" w:rsidR="00C20BBD" w:rsidRPr="0097459F" w:rsidRDefault="00C20BBD" w:rsidP="00C20BBD">
      <w:pPr>
        <w:pStyle w:val="Captulo"/>
        <w:ind w:firstLine="709"/>
      </w:pPr>
      <w:bookmarkStart w:id="550" w:name="_Toc53594267"/>
      <w:bookmarkStart w:id="551" w:name="_Toc53594515"/>
      <w:bookmarkStart w:id="552" w:name="_Toc53595540"/>
      <w:bookmarkStart w:id="553" w:name="_Toc57836277"/>
      <w:bookmarkStart w:id="554" w:name="_Toc126226385"/>
      <w:r w:rsidRPr="0097459F">
        <w:t>CAPÍTULO II – DEFINIÇÕES</w:t>
      </w:r>
      <w:bookmarkEnd w:id="550"/>
      <w:bookmarkEnd w:id="551"/>
      <w:bookmarkEnd w:id="552"/>
      <w:bookmarkEnd w:id="553"/>
      <w:bookmarkEnd w:id="554"/>
    </w:p>
    <w:p w14:paraId="6EE822CA" w14:textId="2CBE8547" w:rsidR="00C20BBD" w:rsidRPr="0097459F" w:rsidRDefault="00C20BBD" w:rsidP="00C20BBD">
      <w:pPr>
        <w:pStyle w:val="Normalalteradora"/>
        <w:ind w:firstLine="709"/>
      </w:pPr>
      <w:r w:rsidRPr="0097459F">
        <w:t xml:space="preserve">Art. 2º  Para fins deste </w:t>
      </w:r>
      <w:r w:rsidR="00FB1127" w:rsidRPr="0097459F">
        <w:t>Anexo Normativo II</w:t>
      </w:r>
      <w:r w:rsidRPr="0097459F">
        <w:t>, entende-se por:</w:t>
      </w:r>
    </w:p>
    <w:p w14:paraId="5A8B9E16" w14:textId="77777777" w:rsidR="00C20BBD" w:rsidRPr="0097459F" w:rsidRDefault="00C20BBD" w:rsidP="00C20BBD">
      <w:pPr>
        <w:pStyle w:val="Normalalteradora"/>
        <w:ind w:firstLine="709"/>
      </w:pPr>
      <w:r w:rsidRPr="0097459F">
        <w:t>I – agente de cobrança: prestador de serviço contratado para cobrar e receber direitos creditórios vencidos e não pagos;</w:t>
      </w:r>
    </w:p>
    <w:p w14:paraId="393CA8C1" w14:textId="77777777" w:rsidR="00C20BBD" w:rsidRPr="0097459F" w:rsidRDefault="00C20BBD" w:rsidP="00C20BBD">
      <w:pPr>
        <w:pStyle w:val="Normalalteradora"/>
        <w:ind w:firstLine="709"/>
      </w:pPr>
      <w:r w:rsidRPr="0097459F">
        <w:t>II – ativos financeiros de liquidez:</w:t>
      </w:r>
    </w:p>
    <w:p w14:paraId="6722CA21" w14:textId="77777777" w:rsidR="00C20BBD" w:rsidRPr="0097459F" w:rsidRDefault="00C20BBD" w:rsidP="00C20BBD">
      <w:pPr>
        <w:pStyle w:val="Normalalteradora"/>
        <w:ind w:firstLine="709"/>
      </w:pPr>
      <w:r w:rsidRPr="0097459F">
        <w:t>a) títulos públicos federais;</w:t>
      </w:r>
    </w:p>
    <w:p w14:paraId="3CB141E9" w14:textId="77777777" w:rsidR="00C20BBD" w:rsidRPr="0097459F" w:rsidRDefault="00C20BBD" w:rsidP="00C20BBD">
      <w:pPr>
        <w:pStyle w:val="Normalalteradora"/>
        <w:ind w:firstLine="709"/>
      </w:pPr>
      <w:r w:rsidRPr="0097459F">
        <w:t>b) ativos financeiros de renda fixa de emissão ou coobrigação de instituições financeiras;</w:t>
      </w:r>
    </w:p>
    <w:p w14:paraId="773A4D06" w14:textId="77777777" w:rsidR="00C20BBD" w:rsidRPr="0097459F" w:rsidRDefault="00C20BBD" w:rsidP="00C20BBD">
      <w:pPr>
        <w:pStyle w:val="Normalalteradora"/>
        <w:ind w:firstLine="709"/>
      </w:pPr>
      <w:r w:rsidRPr="0097459F">
        <w:t>c) operações compromissadas lastreadas nos ativos referidos nas alíneas “a” e “b”; e</w:t>
      </w:r>
    </w:p>
    <w:p w14:paraId="12A9E707" w14:textId="1F974219" w:rsidR="00C20BBD" w:rsidRPr="0097459F" w:rsidRDefault="00C20BBD" w:rsidP="00C20BBD">
      <w:pPr>
        <w:pStyle w:val="Normalalteradora"/>
        <w:ind w:firstLine="709"/>
      </w:pPr>
      <w:r w:rsidRPr="0097459F">
        <w:t>d) cotas de classes que invistam exclusivamente nos ativos referidos</w:t>
      </w:r>
      <w:r w:rsidR="00912C5B">
        <w:t xml:space="preserve"> nas alíneas “a” a “c”</w:t>
      </w:r>
      <w:r w:rsidRPr="0097459F">
        <w:t>;</w:t>
      </w:r>
    </w:p>
    <w:p w14:paraId="1B10B729" w14:textId="77777777" w:rsidR="00C20BBD" w:rsidRPr="0097459F" w:rsidRDefault="00C20BBD" w:rsidP="00C20BBD">
      <w:pPr>
        <w:pStyle w:val="Normalalteradora"/>
        <w:ind w:firstLine="709"/>
      </w:pPr>
      <w:r w:rsidRPr="0097459F">
        <w:t>III – carteira (de ativos): conjunto de direitos creditórios, ativos financeiros de liquidez, derivativos e disponibilidades da classe de cotas;</w:t>
      </w:r>
    </w:p>
    <w:p w14:paraId="6B4F5B89" w14:textId="77777777" w:rsidR="00C20BBD" w:rsidRPr="0097459F" w:rsidRDefault="00C20BBD" w:rsidP="00C20BBD">
      <w:pPr>
        <w:pStyle w:val="Normalalteradora"/>
        <w:ind w:firstLine="709"/>
      </w:pPr>
      <w:r w:rsidRPr="0097459F">
        <w:t>IV – cedente: aquele que realiza cessão de direitos creditórios para o FIDC;</w:t>
      </w:r>
    </w:p>
    <w:p w14:paraId="5E778716" w14:textId="77777777" w:rsidR="00C20BBD" w:rsidRPr="0097459F" w:rsidRDefault="00C20BBD" w:rsidP="00C20BBD">
      <w:pPr>
        <w:pStyle w:val="Normalalteradora"/>
        <w:ind w:firstLine="709"/>
      </w:pPr>
      <w:r w:rsidRPr="0097459F">
        <w:t>V – cessão (de direitos creditórios): a transferência pelo cedente, credor originário ou não, de direitos creditórios para o FIDC, mantendo-se inalterados os demais elementos da relação obrigacional;</w:t>
      </w:r>
    </w:p>
    <w:p w14:paraId="2A863B9F" w14:textId="77777777" w:rsidR="00C20BBD" w:rsidRPr="0097459F" w:rsidRDefault="00C20BBD" w:rsidP="00C20BBD">
      <w:pPr>
        <w:pStyle w:val="Normalalteradora"/>
        <w:ind w:firstLine="709"/>
      </w:pPr>
      <w:r w:rsidRPr="0097459F">
        <w:t xml:space="preserve">VI – classe de investimento em cotas: classe de cotas </w:t>
      </w:r>
      <w:r w:rsidRPr="0097459F">
        <w:rPr>
          <w:rStyle w:val="normaltextrun"/>
          <w:rFonts w:ascii="Calibri" w:hAnsi="Calibri" w:cs="Calibri"/>
          <w:color w:val="000000"/>
          <w:shd w:val="clear" w:color="auto" w:fill="FFFFFF"/>
        </w:rPr>
        <w:t>que deve aplicar no mínimo 67% (sessenta e sete por cento) do patrimônio líquido em cotas de outros FIDC</w:t>
      </w:r>
      <w:r w:rsidRPr="0097459F">
        <w:t>;</w:t>
      </w:r>
    </w:p>
    <w:p w14:paraId="7AAA1A6D" w14:textId="77777777" w:rsidR="00C20BBD" w:rsidRPr="0097459F" w:rsidRDefault="00C20BBD" w:rsidP="00C20BBD">
      <w:pPr>
        <w:pStyle w:val="Normalalteradora"/>
        <w:ind w:firstLine="709"/>
      </w:pPr>
      <w:r w:rsidRPr="0097459F">
        <w:t xml:space="preserve">VII – conta-vinculada: conta especial instituída pelas partes junto a instituição financeira ou de pagamento, sob contrato, destinada a receber pagamentos dos devedores e manter os recursos em </w:t>
      </w:r>
      <w:r w:rsidRPr="0097459F">
        <w:lastRenderedPageBreak/>
        <w:t>custódia, para liberação caso satisfeitos determinados requisitos, a serem atestados pelo administrador, entidade registradora ou custodiante, conforme o caso;</w:t>
      </w:r>
    </w:p>
    <w:p w14:paraId="6AC4B55E" w14:textId="77777777" w:rsidR="00C20BBD" w:rsidRPr="0097459F" w:rsidRDefault="00C20BBD" w:rsidP="00C20BBD">
      <w:pPr>
        <w:pStyle w:val="Normalalteradora"/>
        <w:ind w:firstLine="709"/>
      </w:pPr>
      <w:r w:rsidRPr="0097459F">
        <w:t>VIII – cota de subclasse sênior (“cota sênior”): cota de emissão de subclasse que não se subordina a qualquer outra subclasse para fins de amortização e resgate;</w:t>
      </w:r>
    </w:p>
    <w:p w14:paraId="176EB509" w14:textId="77777777" w:rsidR="00C20BBD" w:rsidRPr="0097459F" w:rsidRDefault="00C20BBD" w:rsidP="00C20BBD">
      <w:pPr>
        <w:pStyle w:val="Normalalteradora"/>
        <w:ind w:firstLine="709"/>
      </w:pPr>
      <w:r w:rsidRPr="0097459F">
        <w:t>IX – cota de subclasse subordinada mezanino (”cota subordinada mezanino”): cota de emissão de subclasse que, simultaneamente, se subordina a outra(s) subclasse(s) para fins de amortização e resgate e possui outra(s) subclasse(s) como subordinada(s) para os mesmos fins;</w:t>
      </w:r>
    </w:p>
    <w:p w14:paraId="0D23E4AD" w14:textId="77777777" w:rsidR="00C20BBD" w:rsidRPr="0097459F" w:rsidRDefault="00C20BBD" w:rsidP="00C20BBD">
      <w:pPr>
        <w:pStyle w:val="Normalalteradora"/>
        <w:ind w:firstLine="709"/>
      </w:pPr>
      <w:r w:rsidRPr="0097459F">
        <w:t>X – cota de subclasse subordinada (“cota subordinada”): cota de emissão de subclasse que se subordina a todas as demais subclasses para fins de amortização e resgate;</w:t>
      </w:r>
    </w:p>
    <w:p w14:paraId="3508827C" w14:textId="77777777" w:rsidR="00C20BBD" w:rsidRPr="0097459F" w:rsidRDefault="00C20BBD" w:rsidP="00C20BBD">
      <w:pPr>
        <w:pStyle w:val="Normalalteradora"/>
        <w:ind w:firstLine="709"/>
      </w:pPr>
      <w:r w:rsidRPr="0097459F">
        <w:t>XI – devedor: pessoa natural ou jurídica, ente despersonalizado ou patrimônio separado na forma da lei, obrigado ou coobrigado pela liquidação de ativos da carteira de direitos creditórios;</w:t>
      </w:r>
    </w:p>
    <w:p w14:paraId="2282AD62" w14:textId="77777777" w:rsidR="00C20BBD" w:rsidRPr="0097459F" w:rsidRDefault="00C20BBD" w:rsidP="00C20BBD">
      <w:pPr>
        <w:pStyle w:val="Normalalteradora"/>
        <w:ind w:firstLine="709"/>
      </w:pPr>
      <w:r w:rsidRPr="0097459F">
        <w:t>XII – direitos creditórios:</w:t>
      </w:r>
    </w:p>
    <w:p w14:paraId="0A425661" w14:textId="77777777" w:rsidR="00C20BBD" w:rsidRPr="0097459F" w:rsidRDefault="00C20BBD" w:rsidP="00C20BBD">
      <w:pPr>
        <w:pStyle w:val="Normalalteradora"/>
        <w:ind w:firstLine="709"/>
      </w:pPr>
      <w:r w:rsidRPr="0097459F">
        <w:t xml:space="preserve">a) direitos e títulos representativos de crédito; </w:t>
      </w:r>
    </w:p>
    <w:p w14:paraId="2DF88F8C" w14:textId="77777777" w:rsidR="00C20BBD" w:rsidRPr="0097459F" w:rsidRDefault="00C20BBD" w:rsidP="00C20BBD">
      <w:pPr>
        <w:pStyle w:val="Normalalteradora"/>
        <w:ind w:firstLine="709"/>
      </w:pPr>
      <w:r w:rsidRPr="0097459F">
        <w:t>b) valores mobiliários representativos de crédito;</w:t>
      </w:r>
    </w:p>
    <w:p w14:paraId="33A7AC33" w14:textId="77777777" w:rsidR="00C20BBD" w:rsidRPr="0097459F" w:rsidRDefault="00C20BBD" w:rsidP="00C20BBD">
      <w:pPr>
        <w:pStyle w:val="Normalalteradora"/>
        <w:ind w:firstLine="709"/>
      </w:pPr>
      <w:r w:rsidRPr="0097459F">
        <w:t>c) certificados de recebíveis e outros valores mobiliários representativos de operações de securitização, que não sejam lastreados em direitos creditórios não-padronizados; e</w:t>
      </w:r>
    </w:p>
    <w:p w14:paraId="4285FF29" w14:textId="77777777" w:rsidR="00C20BBD" w:rsidRPr="0097459F" w:rsidRDefault="00C20BBD" w:rsidP="00C20BBD">
      <w:pPr>
        <w:pStyle w:val="Normalalteradora"/>
        <w:ind w:firstLine="709"/>
      </w:pPr>
      <w:r w:rsidRPr="0097459F">
        <w:t>d) por equiparação, cotas de FIDC;</w:t>
      </w:r>
    </w:p>
    <w:p w14:paraId="299AB18C" w14:textId="77777777" w:rsidR="00C20BBD" w:rsidRPr="0097459F" w:rsidRDefault="00C20BBD" w:rsidP="00C20BBD">
      <w:pPr>
        <w:pStyle w:val="Normalalteradora"/>
        <w:ind w:firstLine="709"/>
      </w:pPr>
      <w:r w:rsidRPr="0097459F">
        <w:t>XIII – direitos creditórios não-padronizados: direitos creditórios que possuam ao menos uma das seguintes características:</w:t>
      </w:r>
    </w:p>
    <w:p w14:paraId="2E99FFAF" w14:textId="77777777" w:rsidR="00C20BBD" w:rsidRPr="0097459F" w:rsidRDefault="00C20BBD" w:rsidP="00C20BBD">
      <w:pPr>
        <w:pStyle w:val="Normalalteradora"/>
        <w:ind w:firstLine="709"/>
      </w:pPr>
      <w:r w:rsidRPr="0097459F">
        <w:t>a) estejam vencidos e pendentes de pagamento quando da cessão;</w:t>
      </w:r>
    </w:p>
    <w:p w14:paraId="64F29C69" w14:textId="77777777" w:rsidR="00C20BBD" w:rsidRPr="0097459F" w:rsidRDefault="00C20BBD" w:rsidP="00C20BBD">
      <w:pPr>
        <w:pStyle w:val="Normalalteradora"/>
        <w:ind w:firstLine="709"/>
      </w:pPr>
      <w:r w:rsidRPr="0097459F">
        <w:t>b) decorrentes de receitas públicas originárias ou derivadas da União, dos Estados, do Distrito Federal e dos Municípios, bem como de suas autarquias e fundações;</w:t>
      </w:r>
    </w:p>
    <w:p w14:paraId="4A675F0E" w14:textId="6BC2AC65" w:rsidR="00C20BBD" w:rsidRPr="0097459F" w:rsidRDefault="00C20BBD" w:rsidP="00C20BBD">
      <w:pPr>
        <w:pStyle w:val="Normalalteradora"/>
        <w:ind w:firstLine="709"/>
      </w:pPr>
      <w:r w:rsidRPr="0097459F">
        <w:t>c) resultem de ações judiciais ou procedimentos arbitrais em curso, constituam seu objeto de litígio, tenham sido judicialmente penhorados ou dados em garantia;</w:t>
      </w:r>
    </w:p>
    <w:p w14:paraId="7AB68009" w14:textId="77777777" w:rsidR="00C20BBD" w:rsidRPr="0097459F" w:rsidRDefault="00C20BBD" w:rsidP="00C20BBD">
      <w:pPr>
        <w:pStyle w:val="Normalalteradora"/>
        <w:ind w:firstLine="709"/>
      </w:pPr>
      <w:r w:rsidRPr="0097459F">
        <w:t>d) a constituição ou validade jurídica da cessão para a classe de cotas seja considerada um fator preponderante de risco;</w:t>
      </w:r>
    </w:p>
    <w:p w14:paraId="465AE54F" w14:textId="77777777" w:rsidR="00C20BBD" w:rsidRPr="0097459F" w:rsidRDefault="00C20BBD" w:rsidP="00C20BBD">
      <w:pPr>
        <w:pStyle w:val="Normalalteradora"/>
        <w:ind w:firstLine="709"/>
      </w:pPr>
      <w:r w:rsidRPr="0097459F">
        <w:lastRenderedPageBreak/>
        <w:t>e) o devedor ou coobrigado seja sociedade empresária em recuperação judicial ou extrajudicial;</w:t>
      </w:r>
    </w:p>
    <w:p w14:paraId="281BF446" w14:textId="769D2BB7" w:rsidR="00C20BBD" w:rsidRPr="0097459F" w:rsidRDefault="00C20BBD" w:rsidP="00C20BBD">
      <w:pPr>
        <w:pStyle w:val="Normalalteradora"/>
        <w:ind w:firstLine="709"/>
      </w:pPr>
      <w:r w:rsidRPr="0097459F">
        <w:t xml:space="preserve">f) sejam cedidos por sociedade empresária em recuperação judicial ou extrajudicial, ressalvado o disposto no inciso I do </w:t>
      </w:r>
      <w:r w:rsidR="007335FD">
        <w:t>§ 1º</w:t>
      </w:r>
      <w:r w:rsidRPr="0097459F">
        <w:t>;</w:t>
      </w:r>
    </w:p>
    <w:p w14:paraId="5376DC79" w14:textId="77777777" w:rsidR="00C20BBD" w:rsidRPr="0097459F" w:rsidRDefault="00C20BBD" w:rsidP="00C20BBD">
      <w:pPr>
        <w:pStyle w:val="Normalalteradora"/>
        <w:ind w:firstLine="709"/>
      </w:pPr>
      <w:r w:rsidRPr="0097459F">
        <w:t>g) sejam de existência futura e montante desconhecido, desde que emergentes de relações já constituídas;</w:t>
      </w:r>
    </w:p>
    <w:p w14:paraId="11F4ECE5" w14:textId="77777777" w:rsidR="00C20BBD" w:rsidRPr="0097459F" w:rsidRDefault="00C20BBD" w:rsidP="00C20BBD">
      <w:pPr>
        <w:pStyle w:val="Normalalteradora"/>
        <w:ind w:firstLine="709"/>
      </w:pPr>
      <w:r w:rsidRPr="0097459F">
        <w:t>h) derivativos de crédito, quando não utilizados para proteção ou mitigação de risco de direitos creditórios; ou</w:t>
      </w:r>
    </w:p>
    <w:p w14:paraId="7C30C5FC" w14:textId="36118EE3" w:rsidR="00C20BBD" w:rsidRPr="0097459F" w:rsidRDefault="00C20BBD" w:rsidP="00C20BBD">
      <w:pPr>
        <w:pStyle w:val="Normalalteradora"/>
        <w:ind w:firstLine="709"/>
      </w:pPr>
      <w:r w:rsidRPr="0097459F">
        <w:t xml:space="preserve">i) cotas de FIDC que invistam nos direitos creditórios referidos nas alíneas </w:t>
      </w:r>
      <w:r w:rsidR="0061662E">
        <w:t>“a” a “h”</w:t>
      </w:r>
      <w:r w:rsidRPr="0097459F">
        <w:t>;</w:t>
      </w:r>
    </w:p>
    <w:p w14:paraId="5E24DE57" w14:textId="77777777" w:rsidR="009B0AA9" w:rsidRPr="0097459F" w:rsidRDefault="009B0AA9" w:rsidP="009B0AA9">
      <w:pPr>
        <w:pStyle w:val="Normalalteradora"/>
        <w:ind w:firstLine="709"/>
      </w:pPr>
      <w:r w:rsidRPr="0097459F">
        <w:t>XIV – índice referencial: índice quantitativo utilizado para calcular a meta de valorização de uma subclasse de cotas de classe fechada ou de uma série de cotas seniores;</w:t>
      </w:r>
    </w:p>
    <w:p w14:paraId="47728D91" w14:textId="77777777" w:rsidR="009B0AA9" w:rsidRPr="0097459F" w:rsidRDefault="009B0AA9" w:rsidP="009B0AA9">
      <w:pPr>
        <w:pStyle w:val="Normalalteradora"/>
        <w:ind w:firstLine="709"/>
      </w:pPr>
      <w:r w:rsidRPr="0097459F">
        <w:t>XV – índice de subordinação: relação mínima que deve ser observada entre o valor de uma subclasse de cotas subordinadas ou subordinadas mezanino e o patrimônio líquido da classe;</w:t>
      </w:r>
    </w:p>
    <w:p w14:paraId="14C4B549" w14:textId="35E34FCE" w:rsidR="00C20BBD" w:rsidRPr="0097459F" w:rsidRDefault="00C20BBD" w:rsidP="00C20BBD">
      <w:pPr>
        <w:pStyle w:val="Normalalteradora"/>
        <w:ind w:firstLine="709"/>
      </w:pPr>
      <w:r w:rsidRPr="0097459F">
        <w:t xml:space="preserve">XVI – lâmina (de informações básicas): documento referido no art. 18 deste </w:t>
      </w:r>
      <w:r w:rsidR="00FB1127" w:rsidRPr="0097459F">
        <w:t>Anexo Normativo II</w:t>
      </w:r>
      <w:r w:rsidRPr="0097459F">
        <w:t xml:space="preserve"> e cujo modelo constitui o Suplemento </w:t>
      </w:r>
      <w:r w:rsidR="00DC43FD" w:rsidRPr="0097459F">
        <w:t>E</w:t>
      </w:r>
      <w:r w:rsidRPr="0097459F">
        <w:t xml:space="preserve"> </w:t>
      </w:r>
      <w:r w:rsidR="00D10ACB" w:rsidRPr="0097459F">
        <w:t xml:space="preserve">ou Suplemento F </w:t>
      </w:r>
      <w:r w:rsidRPr="0097459F">
        <w:t>da Resolução</w:t>
      </w:r>
      <w:r w:rsidR="00D10ACB" w:rsidRPr="0097459F">
        <w:t>, conforme o caso</w:t>
      </w:r>
      <w:r w:rsidRPr="0097459F">
        <w:t>;</w:t>
      </w:r>
    </w:p>
    <w:p w14:paraId="596B6C44" w14:textId="77777777" w:rsidR="00C20BBD" w:rsidRPr="0097459F" w:rsidRDefault="00C20BBD" w:rsidP="00C20BBD">
      <w:pPr>
        <w:pStyle w:val="Normalalteradora"/>
        <w:ind w:firstLine="709"/>
      </w:pPr>
      <w:r w:rsidRPr="0097459F">
        <w:t>XVII – lastro dos direitos creditórios: documentação necessária para o exercício das prerrogativas decorrentes da titularidade dos ativos, e capaz de comprovar a origem, a existência e a exigibilidade do direito creditório, sem prejuízo das hipóteses de aquisição de direitos creditórios não-performados;</w:t>
      </w:r>
    </w:p>
    <w:p w14:paraId="092546C5" w14:textId="77777777" w:rsidR="00C20BBD" w:rsidRPr="0097459F" w:rsidRDefault="00C20BBD" w:rsidP="00C20BBD">
      <w:pPr>
        <w:pStyle w:val="Normalalteradora"/>
        <w:ind w:firstLine="709"/>
      </w:pPr>
      <w:r w:rsidRPr="0097459F">
        <w:t>XVIII – originador: agente que atua na concessão primária do crédito, concorrendo diretamente para a formação do direito creditório, o que inclui aqueles que atuam na qualidade de representante ou mandatário de uma das contrapartes da operação de crédito, observado que o conceito alcança os agentes que mantêm a relação comercial com o devedor quando da concessão do crédito, mas não fica limitado a esses agentes;</w:t>
      </w:r>
    </w:p>
    <w:p w14:paraId="7618B3C7" w14:textId="77777777" w:rsidR="00C20BBD" w:rsidRPr="0097459F" w:rsidRDefault="00C20BBD" w:rsidP="00C20BBD">
      <w:pPr>
        <w:pStyle w:val="Normalalteradora"/>
        <w:ind w:firstLine="709"/>
      </w:pPr>
      <w:r w:rsidRPr="0097459F">
        <w:t>XIX – partes relacionadas: tal como definidas pelas regras contábeis expedidas pela CVM que tratam dessa matéria;</w:t>
      </w:r>
    </w:p>
    <w:p w14:paraId="2CB5CCAF" w14:textId="77777777" w:rsidR="00C20BBD" w:rsidRPr="0097459F" w:rsidRDefault="00C20BBD" w:rsidP="00C20BBD">
      <w:pPr>
        <w:pStyle w:val="Normalalteradora"/>
        <w:ind w:firstLine="709"/>
      </w:pPr>
      <w:r w:rsidRPr="0097459F">
        <w:t>XX – registro de direitos creditórios: serviço de registro prestado sob o amparo da regulamentação específica do Conselho Monetário Nacional e do Banco Central do Brasil;</w:t>
      </w:r>
    </w:p>
    <w:p w14:paraId="557A24EC" w14:textId="77777777" w:rsidR="00C20BBD" w:rsidRPr="0097459F" w:rsidRDefault="00C20BBD" w:rsidP="00C20BBD">
      <w:pPr>
        <w:pStyle w:val="Normalalteradora"/>
        <w:ind w:firstLine="709"/>
      </w:pPr>
      <w:r w:rsidRPr="0097459F">
        <w:lastRenderedPageBreak/>
        <w:t xml:space="preserve">XXI - retenção de risco: qualquer obrigação contratual ou mecanismo existente no âmbito da operação de securitização, por meio do qual o cedente ou terceiro retenha, total ou parcialmente, o risco de crédito decorrente da exposição à variação do fluxo de caixa dos direitos creditórios da carteira; </w:t>
      </w:r>
    </w:p>
    <w:p w14:paraId="49E75949" w14:textId="77777777" w:rsidR="00C20BBD" w:rsidRPr="0097459F" w:rsidRDefault="00C20BBD" w:rsidP="00C20BBD">
      <w:pPr>
        <w:pStyle w:val="Normalalteradora"/>
        <w:ind w:firstLine="709"/>
      </w:pPr>
      <w:r w:rsidRPr="0097459F">
        <w:t>XXII – revolvência (de direitos creditórios): a aquisição de novos direitos creditórios com a utilização de recursos financeiros originados na carteira de direitos creditórios;</w:t>
      </w:r>
    </w:p>
    <w:p w14:paraId="4B592068" w14:textId="77777777" w:rsidR="00C20BBD" w:rsidRPr="0097459F" w:rsidRDefault="00C20BBD" w:rsidP="00C20BBD">
      <w:pPr>
        <w:pStyle w:val="Normalalteradora"/>
        <w:ind w:firstLine="709"/>
      </w:pPr>
      <w:r w:rsidRPr="0097459F">
        <w:t>XXIII – séries: subconjuntos de cotas sênior das classes fechadas, podendo ser diferenciados exclusivamente pelos prazos e condições de amortização e pelo índice referencial;</w:t>
      </w:r>
    </w:p>
    <w:p w14:paraId="353D1C49" w14:textId="77777777" w:rsidR="00C20BBD" w:rsidRPr="0097459F" w:rsidRDefault="00C20BBD" w:rsidP="00C20BBD">
      <w:pPr>
        <w:pStyle w:val="Normalalteradora"/>
        <w:ind w:firstLine="709"/>
      </w:pPr>
      <w:r w:rsidRPr="0097459F">
        <w:t>XXIV – taxa de performance: taxa cobrada do fundo em função do resultado da classe ou do cotista; e</w:t>
      </w:r>
    </w:p>
    <w:p w14:paraId="0472E295" w14:textId="77777777" w:rsidR="00C20BBD" w:rsidRPr="0097459F" w:rsidRDefault="00C20BBD" w:rsidP="00C20BBD">
      <w:pPr>
        <w:pStyle w:val="Normalalteradora"/>
        <w:ind w:firstLine="709"/>
      </w:pPr>
      <w:r w:rsidRPr="0097459F">
        <w:rPr>
          <w:rStyle w:val="normaltextrun"/>
          <w:rFonts w:ascii="Calibri" w:hAnsi="Calibri" w:cs="Calibri"/>
          <w:color w:val="000000"/>
          <w:shd w:val="clear" w:color="auto" w:fill="FFFFFF"/>
        </w:rPr>
        <w:t>XXV – termo de adesão (e ciência de risco): documento referido no art. 29 da parte geral da Resolução.</w:t>
      </w:r>
    </w:p>
    <w:p w14:paraId="466B1B3C" w14:textId="77777777" w:rsidR="00C20BBD" w:rsidRPr="0097459F" w:rsidRDefault="00C20BBD" w:rsidP="00C20BBD">
      <w:pPr>
        <w:pStyle w:val="Normalalteradora"/>
        <w:ind w:firstLine="709"/>
      </w:pPr>
      <w:r w:rsidRPr="0097459F">
        <w:t>§ 1º  Não são considerados direitos creditórios não-padronizados:</w:t>
      </w:r>
    </w:p>
    <w:p w14:paraId="1600B3FA" w14:textId="77777777" w:rsidR="00C20BBD" w:rsidRPr="0097459F" w:rsidRDefault="00C20BBD" w:rsidP="00C20BBD">
      <w:pPr>
        <w:pStyle w:val="Normalalteradora"/>
        <w:ind w:firstLine="709"/>
      </w:pPr>
      <w:r w:rsidRPr="0097459F">
        <w:t>I – direitos creditórios cedidos por sociedade empresária em processo de recuperação judicial ou extrajudicial, desde que cumulativamente atendam aos seguintes requisitos:</w:t>
      </w:r>
    </w:p>
    <w:p w14:paraId="340535DE" w14:textId="77777777" w:rsidR="00C20BBD" w:rsidRPr="0097459F" w:rsidRDefault="00C20BBD" w:rsidP="00C20BBD">
      <w:pPr>
        <w:pStyle w:val="Normalalteradora"/>
        <w:ind w:firstLine="709"/>
      </w:pPr>
      <w:r w:rsidRPr="0097459F">
        <w:t>a) não sejam originados por contratos mercantis de compra e venda de produtos, mercadorias e serviços para entrega ou prestação futura; e</w:t>
      </w:r>
    </w:p>
    <w:p w14:paraId="46F05A64" w14:textId="77777777" w:rsidR="00C20BBD" w:rsidRPr="0097459F" w:rsidRDefault="00C20BBD" w:rsidP="00C20BBD">
      <w:pPr>
        <w:pStyle w:val="Normalalteradora"/>
        <w:ind w:firstLine="709"/>
      </w:pPr>
      <w:r w:rsidRPr="0097459F">
        <w:t>b) a sociedade esteja sujeita a plano de recuperação homologado em juízo, independentemente do trânsito em julgado da homologação do plano de recuperação judicial ou extrajudicial; e</w:t>
      </w:r>
    </w:p>
    <w:p w14:paraId="0DC898E1" w14:textId="77777777" w:rsidR="00C20BBD" w:rsidRPr="0097459F" w:rsidRDefault="00C20BBD" w:rsidP="00C20BBD">
      <w:pPr>
        <w:pStyle w:val="Normalalteradora"/>
        <w:ind w:firstLine="709"/>
      </w:pPr>
      <w:r w:rsidRPr="0097459F">
        <w:t>II – os precatórios federais, desde que cumulativamente atendam aos seguintes requisitos:</w:t>
      </w:r>
    </w:p>
    <w:p w14:paraId="639DAE74" w14:textId="77777777" w:rsidR="00C20BBD" w:rsidRPr="0097459F" w:rsidRDefault="00C20BBD" w:rsidP="00C20BBD">
      <w:pPr>
        <w:pStyle w:val="Normalalteradora"/>
        <w:ind w:firstLine="709"/>
      </w:pPr>
      <w:r w:rsidRPr="0097459F">
        <w:t>a) não apresentem nenhuma impugnação, judicial ou não; e</w:t>
      </w:r>
    </w:p>
    <w:p w14:paraId="333A7341" w14:textId="77777777" w:rsidR="00C20BBD" w:rsidRPr="0097459F" w:rsidRDefault="00C20BBD" w:rsidP="00C20BBD">
      <w:pPr>
        <w:pStyle w:val="Normalalteradora"/>
        <w:ind w:firstLine="709"/>
      </w:pPr>
      <w:r w:rsidRPr="0097459F">
        <w:t>b) já tenham sido expedidos e remetidos ao Tribunal Regional Federal competente;</w:t>
      </w:r>
    </w:p>
    <w:p w14:paraId="646459A8" w14:textId="77777777" w:rsidR="00C20BBD" w:rsidRPr="0097459F" w:rsidRDefault="00C20BBD" w:rsidP="00C20BBD">
      <w:pPr>
        <w:pStyle w:val="Normalalteradora"/>
        <w:ind w:firstLine="709"/>
      </w:pPr>
      <w:r w:rsidRPr="0097459F">
        <w:t>§ 2º  Não se considera originadora a instituição que esteja atuando exclusivamente em oferta pública de distribuição de valores mobiliários.</w:t>
      </w:r>
    </w:p>
    <w:p w14:paraId="78D06216" w14:textId="77777777" w:rsidR="00C20BBD" w:rsidRPr="0097459F" w:rsidRDefault="00C20BBD" w:rsidP="00C20BBD">
      <w:pPr>
        <w:pStyle w:val="Captulo"/>
        <w:ind w:firstLine="709"/>
      </w:pPr>
      <w:bookmarkStart w:id="555" w:name="_Toc507331268"/>
      <w:bookmarkStart w:id="556" w:name="_Toc53594268"/>
      <w:bookmarkStart w:id="557" w:name="_Toc53594516"/>
      <w:bookmarkStart w:id="558" w:name="_Toc53595541"/>
      <w:bookmarkStart w:id="559" w:name="_Toc57836278"/>
      <w:bookmarkStart w:id="560" w:name="_Toc126226386"/>
      <w:r w:rsidRPr="0097459F">
        <w:t xml:space="preserve">CAPÍTULO III – </w:t>
      </w:r>
      <w:bookmarkEnd w:id="555"/>
      <w:r w:rsidRPr="0097459F">
        <w:t>CARACTERÍSTICAS E CONSTITUIÇÃO</w:t>
      </w:r>
      <w:bookmarkEnd w:id="556"/>
      <w:bookmarkEnd w:id="557"/>
      <w:bookmarkEnd w:id="558"/>
      <w:bookmarkEnd w:id="559"/>
      <w:bookmarkEnd w:id="560"/>
    </w:p>
    <w:p w14:paraId="6D4FE0F2" w14:textId="77777777" w:rsidR="00C20BBD" w:rsidRPr="0097459F" w:rsidRDefault="00C20BBD" w:rsidP="00C20BBD">
      <w:pPr>
        <w:pStyle w:val="Normalalteradora"/>
        <w:ind w:firstLine="709"/>
      </w:pPr>
      <w:r w:rsidRPr="0097459F">
        <w:t>Art. 3º  Em acréscimo às possibilidades previstas no art. 5º, § 5º, da parte geral da Resolução, todas a</w:t>
      </w:r>
      <w:r w:rsidRPr="0097459F">
        <w:rPr>
          <w:rFonts w:cstheme="minorHAnsi"/>
        </w:rPr>
        <w:t>s subclasses de FIDC podem ser diferenciadas no regulamento por outros direitos econômicos e políticos.</w:t>
      </w:r>
    </w:p>
    <w:p w14:paraId="2C75A6F7" w14:textId="77777777" w:rsidR="00C20BBD" w:rsidRPr="0097459F" w:rsidRDefault="00C20BBD" w:rsidP="00C20BBD">
      <w:pPr>
        <w:pStyle w:val="Normalalteradora"/>
        <w:ind w:firstLine="709"/>
      </w:pPr>
      <w:r w:rsidRPr="0097459F">
        <w:lastRenderedPageBreak/>
        <w:t>Art. 4º  Da denominação do fundo e de suas classes de cotas, se houver, deve constar a expressão “Fundo de Investimento em Direitos Creditórios".</w:t>
      </w:r>
    </w:p>
    <w:p w14:paraId="38931FBB" w14:textId="77777777" w:rsidR="00C20BBD" w:rsidRPr="0097459F" w:rsidRDefault="00C20BBD" w:rsidP="00C20BBD">
      <w:pPr>
        <w:pStyle w:val="Normalalteradora"/>
        <w:ind w:firstLine="709"/>
      </w:pPr>
      <w:r w:rsidRPr="0097459F">
        <w:t>§ 1º  A denominação deve identificar o direcionamento de recursos para segmento ou segmentos econômicos específicos, se houver.</w:t>
      </w:r>
    </w:p>
    <w:p w14:paraId="7F352624" w14:textId="77777777" w:rsidR="00C20BBD" w:rsidRPr="0097459F" w:rsidRDefault="00C20BBD" w:rsidP="00C20BBD">
      <w:pPr>
        <w:pStyle w:val="Normalalteradora"/>
        <w:ind w:firstLine="709"/>
      </w:pPr>
      <w:r w:rsidRPr="0097459F">
        <w:t>§ 2º  Caso o FIDC possua somente classes de investimento em cotas, sua denominação pode utilizar a expressão “Fundo de Investimento em Cotas”.</w:t>
      </w:r>
    </w:p>
    <w:p w14:paraId="350531C8" w14:textId="77777777" w:rsidR="00C20BBD" w:rsidRPr="0097459F" w:rsidRDefault="00C20BBD" w:rsidP="00C20BBD">
      <w:pPr>
        <w:pStyle w:val="Normalalteradora"/>
        <w:ind w:firstLine="709"/>
      </w:pPr>
      <w:r w:rsidRPr="0097459F">
        <w:t>§ 3º  Deve constar da denominação da classe de investimento em cotas a expressão “Classe de Investimento em Cotas”.</w:t>
      </w:r>
    </w:p>
    <w:p w14:paraId="2353A57E" w14:textId="3A5D0B26" w:rsidR="00C20BBD" w:rsidRPr="0097459F" w:rsidRDefault="005310AD" w:rsidP="00C20BBD">
      <w:pPr>
        <w:pStyle w:val="Normalalteradora"/>
        <w:ind w:firstLine="709"/>
      </w:pPr>
      <w:r>
        <w:t>§ 4º</w:t>
      </w:r>
      <w:r w:rsidR="00C20BBD" w:rsidRPr="0097459F">
        <w:t xml:space="preserve">  Admite-se a utilização cumulativa dos sufixos descritos na parte geral da Resolução e neste </w:t>
      </w:r>
      <w:r w:rsidR="00FB1127" w:rsidRPr="0097459F">
        <w:t>Anexo Normativo II</w:t>
      </w:r>
      <w:r w:rsidR="00C20BBD" w:rsidRPr="0097459F">
        <w:t>.</w:t>
      </w:r>
    </w:p>
    <w:p w14:paraId="5B009276" w14:textId="77777777" w:rsidR="00C20BBD" w:rsidRPr="0097459F" w:rsidRDefault="00C20BBD" w:rsidP="00C20BBD">
      <w:pPr>
        <w:pStyle w:val="Normalalteradora"/>
        <w:ind w:firstLine="709"/>
      </w:pPr>
      <w:r w:rsidRPr="0097459F">
        <w:t>Art. 5º  As classes de cotas dos FIDC podem ser abertas ou fechadas.</w:t>
      </w:r>
    </w:p>
    <w:p w14:paraId="3FFFA1D8" w14:textId="77777777" w:rsidR="00C20BBD" w:rsidRPr="0097459F" w:rsidRDefault="00C20BBD" w:rsidP="00C20BBD">
      <w:pPr>
        <w:pStyle w:val="Normalalteradora"/>
        <w:ind w:firstLine="709"/>
      </w:pPr>
      <w:r w:rsidRPr="0097459F">
        <w:t>Art. 6º  Para fins de obtenção do registro de funcionamento de classe aberta que seja destinada ao público em geral, em acréscimo aos documentos e informações requeridos no art. 10 da parte geral da Resolução, o administrador deve encaminhar versão atualizada da lâmina.</w:t>
      </w:r>
    </w:p>
    <w:p w14:paraId="4CF0A14D" w14:textId="77777777" w:rsidR="00C20BBD" w:rsidRPr="0097459F" w:rsidRDefault="00C20BBD" w:rsidP="00C20BBD">
      <w:pPr>
        <w:pStyle w:val="Normalalteradora"/>
        <w:ind w:firstLine="709"/>
      </w:pPr>
      <w:r w:rsidRPr="0097459F">
        <w:t>Art. 7º  No âmbito do pedido de registro de funcionamento de classes de cotas cujo regulamento admita a aquisição de direitos creditórios decorrentes de receitas públicas originárias ou derivadas da União, dos Estados, do Distrito Federal e dos Municípios, bem como de suas autarquias e fundações, ou em direitos creditórios cedidos ou originados por empresas controladas pelo poder público:</w:t>
      </w:r>
    </w:p>
    <w:p w14:paraId="4668EBE7" w14:textId="77777777" w:rsidR="00C20BBD" w:rsidRPr="0097459F" w:rsidRDefault="00C20BBD" w:rsidP="00C20BBD">
      <w:pPr>
        <w:pStyle w:val="Normalalteradora"/>
        <w:ind w:firstLine="709"/>
      </w:pPr>
      <w:r w:rsidRPr="0097459F">
        <w:t>I – deve ser apresentada manifestação acerca da existência de compromisso financeiro que se caracterize como operação de crédito para fins do disposto na Lei Complementar nº 101, de 4 de maio de 2000; e</w:t>
      </w:r>
    </w:p>
    <w:p w14:paraId="422ECA18" w14:textId="4C968066" w:rsidR="00C20BBD" w:rsidRPr="0097459F" w:rsidRDefault="00C20BBD" w:rsidP="00C20BBD">
      <w:pPr>
        <w:pStyle w:val="Normalalteradora"/>
        <w:ind w:firstLine="709"/>
      </w:pPr>
      <w:r w:rsidRPr="0097459F">
        <w:t xml:space="preserve">II – caso reste caracterizada uma operação de crédito, nos termos do inciso I, deve ser anexada a competente autorização do Ministério da </w:t>
      </w:r>
      <w:r w:rsidR="00466599">
        <w:t>Fazenda</w:t>
      </w:r>
      <w:r w:rsidRPr="0097459F">
        <w:t>, nos termos do art. 32 da Lei Complementar nº 101, de 2000.</w:t>
      </w:r>
    </w:p>
    <w:p w14:paraId="180BD802" w14:textId="77777777" w:rsidR="00C20BBD" w:rsidRPr="0097459F" w:rsidRDefault="00C20BBD" w:rsidP="00C20BBD">
      <w:pPr>
        <w:pStyle w:val="Captulo"/>
        <w:ind w:firstLine="709"/>
      </w:pPr>
      <w:bookmarkStart w:id="561" w:name="_Toc507331273"/>
      <w:bookmarkStart w:id="562" w:name="_Toc53594269"/>
      <w:bookmarkStart w:id="563" w:name="_Toc53594517"/>
      <w:bookmarkStart w:id="564" w:name="_Toc53595542"/>
      <w:bookmarkStart w:id="565" w:name="_Toc57836279"/>
      <w:bookmarkStart w:id="566" w:name="_Toc126226387"/>
      <w:r w:rsidRPr="0097459F">
        <w:lastRenderedPageBreak/>
        <w:t>CAPÍTULO IV – COTAS</w:t>
      </w:r>
      <w:bookmarkEnd w:id="561"/>
      <w:bookmarkEnd w:id="562"/>
      <w:bookmarkEnd w:id="563"/>
      <w:bookmarkEnd w:id="564"/>
      <w:bookmarkEnd w:id="565"/>
      <w:bookmarkEnd w:id="566"/>
    </w:p>
    <w:p w14:paraId="196A7DAD" w14:textId="77777777" w:rsidR="00C20BBD" w:rsidRPr="0097459F" w:rsidRDefault="00C20BBD" w:rsidP="00C20BBD">
      <w:pPr>
        <w:pStyle w:val="Seo"/>
        <w:ind w:firstLine="709"/>
      </w:pPr>
      <w:bookmarkStart w:id="567" w:name="_Toc53594270"/>
      <w:bookmarkStart w:id="568" w:name="_Toc53594518"/>
      <w:bookmarkStart w:id="569" w:name="_Toc53595543"/>
      <w:bookmarkStart w:id="570" w:name="_Toc57836280"/>
      <w:bookmarkStart w:id="571" w:name="_Toc126226388"/>
      <w:bookmarkStart w:id="572" w:name="_Toc507331274"/>
      <w:r w:rsidRPr="0097459F">
        <w:t>Seção I – Emissão</w:t>
      </w:r>
      <w:bookmarkEnd w:id="567"/>
      <w:bookmarkEnd w:id="568"/>
      <w:bookmarkEnd w:id="569"/>
      <w:bookmarkEnd w:id="570"/>
      <w:bookmarkEnd w:id="571"/>
    </w:p>
    <w:p w14:paraId="25640B20" w14:textId="77777777" w:rsidR="00C20BBD" w:rsidRPr="0097459F" w:rsidRDefault="00C20BBD" w:rsidP="00C20BBD">
      <w:pPr>
        <w:pStyle w:val="Normalalteradora"/>
        <w:ind w:firstLine="709"/>
      </w:pPr>
      <w:r w:rsidRPr="0097459F">
        <w:t>Art. 8º  As cotas seniores e subordinadas devem ser emitidas em uma única subclasse para cada tipo, sem prejuízo da possibilidade de emissão de diferentes subclasses subordinadas mezanino.</w:t>
      </w:r>
    </w:p>
    <w:p w14:paraId="0A0B83B9" w14:textId="77777777" w:rsidR="00C20BBD" w:rsidRPr="0097459F" w:rsidRDefault="00C20BBD" w:rsidP="00C20BBD">
      <w:pPr>
        <w:pStyle w:val="Normalalteradora"/>
        <w:ind w:firstLine="709"/>
      </w:pPr>
      <w:r w:rsidRPr="0097459F">
        <w:t>Parágrafo único.  As cotas seniores e subordinadas mezanino de classe fechada podem ser emitidas em séries com índices referenciais diferentes e prazos diferenciados para amortização, permanecendo inalterados os demais direitos e obrigações.</w:t>
      </w:r>
    </w:p>
    <w:p w14:paraId="76C9136A" w14:textId="77777777" w:rsidR="00C20BBD" w:rsidRPr="0097459F" w:rsidRDefault="00C20BBD" w:rsidP="00C20BBD">
      <w:pPr>
        <w:pStyle w:val="Normalalteradora"/>
        <w:ind w:firstLine="709"/>
      </w:pPr>
      <w:r w:rsidRPr="0097459F">
        <w:t>Art. 9º  Na emissão de cotas de classe aberta deve ser utilizado o valor da cota em vigor no próprio dia ou no primeiro dia útil subsequente ao da efetiva disponibilidade dos recursos aplicados pelo investidor.</w:t>
      </w:r>
    </w:p>
    <w:p w14:paraId="1AFAC717" w14:textId="77777777" w:rsidR="00C20BBD" w:rsidRPr="0097459F" w:rsidRDefault="00C20BBD" w:rsidP="00C20BBD">
      <w:pPr>
        <w:pStyle w:val="Seo"/>
        <w:ind w:firstLine="709"/>
      </w:pPr>
      <w:bookmarkStart w:id="573" w:name="_Toc53594271"/>
      <w:bookmarkStart w:id="574" w:name="_Toc53594519"/>
      <w:bookmarkStart w:id="575" w:name="_Toc53595544"/>
      <w:bookmarkStart w:id="576" w:name="_Toc57836281"/>
      <w:bookmarkStart w:id="577" w:name="_Toc126226389"/>
      <w:r w:rsidRPr="0097459F">
        <w:t>Seção II – Distribuição</w:t>
      </w:r>
      <w:bookmarkEnd w:id="573"/>
      <w:bookmarkEnd w:id="574"/>
      <w:bookmarkEnd w:id="575"/>
      <w:bookmarkEnd w:id="576"/>
      <w:bookmarkEnd w:id="577"/>
    </w:p>
    <w:p w14:paraId="21B48151" w14:textId="77777777" w:rsidR="00C20BBD" w:rsidRPr="0097459F" w:rsidDel="00FC555E" w:rsidRDefault="00C20BBD" w:rsidP="00C20BBD">
      <w:pPr>
        <w:pStyle w:val="Normalalteradora"/>
        <w:ind w:firstLine="709"/>
      </w:pPr>
      <w:r w:rsidRPr="0097459F">
        <w:t xml:space="preserve">Art. 10.  Caso o número mínimo de cotas da classe fechada não seja subscrito no prazo de distribuição, os valores integralizados devem ser imediatamente restituídos aos subscritores, acrescidos proporcionalmente dos rendimentos auferidos pelas aplicações dos valores, líquidos de encargos e tributos. </w:t>
      </w:r>
    </w:p>
    <w:p w14:paraId="24D1D09A" w14:textId="77777777" w:rsidR="00C20BBD" w:rsidRPr="0097459F" w:rsidRDefault="00C20BBD" w:rsidP="00C20BBD">
      <w:pPr>
        <w:pStyle w:val="Normalalteradora"/>
        <w:rPr>
          <w:rFonts w:cstheme="minorHAnsi"/>
        </w:rPr>
      </w:pPr>
      <w:r w:rsidRPr="0097459F">
        <w:rPr>
          <w:rFonts w:cstheme="minorHAnsi"/>
        </w:rPr>
        <w:t>Art. 11.  Em acréscimo ao regulamento, quando do ingresso do cotista na classe de cotas, o administrador e o distribuidor devem disponibilizar uma versão atualizada da lâmina, se aplicável.</w:t>
      </w:r>
    </w:p>
    <w:p w14:paraId="203C650F" w14:textId="77777777" w:rsidR="00C20BBD" w:rsidRPr="0097459F" w:rsidRDefault="00C20BBD" w:rsidP="00C20BBD">
      <w:pPr>
        <w:pStyle w:val="Normalalteradora"/>
        <w:ind w:firstLine="709"/>
        <w:rPr>
          <w:rStyle w:val="normaltextrun"/>
          <w:rFonts w:ascii="Calibri" w:hAnsi="Calibri" w:cs="Calibri"/>
          <w:color w:val="000000"/>
          <w:shd w:val="clear" w:color="auto" w:fill="FFFFFF"/>
        </w:rPr>
      </w:pPr>
      <w:r w:rsidRPr="0097459F">
        <w:rPr>
          <w:rStyle w:val="normaltextrun"/>
          <w:rFonts w:ascii="Calibri" w:hAnsi="Calibri" w:cs="Calibri"/>
          <w:color w:val="000000"/>
          <w:shd w:val="clear" w:color="auto" w:fill="FFFFFF"/>
        </w:rPr>
        <w:t xml:space="preserve">Art. 12.  Em acréscimo às informações contidas no </w:t>
      </w:r>
      <w:r w:rsidRPr="00156F94">
        <w:rPr>
          <w:rStyle w:val="normaltextrun"/>
          <w:rFonts w:ascii="Calibri" w:hAnsi="Calibri" w:cs="Calibri"/>
          <w:b/>
          <w:color w:val="000000"/>
          <w:shd w:val="clear" w:color="auto" w:fill="FFFFFF"/>
        </w:rPr>
        <w:t>caput</w:t>
      </w:r>
      <w:r w:rsidRPr="0097459F">
        <w:rPr>
          <w:rStyle w:val="normaltextrun"/>
          <w:rFonts w:ascii="Calibri" w:hAnsi="Calibri" w:cs="Calibri"/>
          <w:color w:val="000000"/>
          <w:shd w:val="clear" w:color="auto" w:fill="FFFFFF"/>
        </w:rPr>
        <w:t xml:space="preserve"> do art. 29 da parte geral Resolução, quando de seu ingresso na classe de cotas, o cotista deve atestar, no termo de adesão e ciência de risco, que teve acesso ao </w:t>
      </w:r>
      <w:r w:rsidRPr="0097459F">
        <w:rPr>
          <w:rStyle w:val="findhit"/>
          <w:rFonts w:ascii="Calibri" w:hAnsi="Calibri" w:cs="Calibri"/>
          <w:color w:val="000000"/>
          <w:shd w:val="clear" w:color="auto" w:fill="FFFFFF"/>
        </w:rPr>
        <w:t>inteiro teor</w:t>
      </w:r>
      <w:r w:rsidRPr="0097459F">
        <w:rPr>
          <w:rStyle w:val="normaltextrun"/>
          <w:rFonts w:ascii="Calibri" w:hAnsi="Calibri" w:cs="Calibri"/>
          <w:color w:val="000000"/>
          <w:shd w:val="clear" w:color="auto" w:fill="FFFFFF"/>
        </w:rPr>
        <w:t xml:space="preserve"> da lâmina, se aplicável.</w:t>
      </w:r>
    </w:p>
    <w:p w14:paraId="47FDC45E" w14:textId="77777777" w:rsidR="00C20BBD" w:rsidRPr="0097459F" w:rsidRDefault="00C20BBD" w:rsidP="00C20BBD">
      <w:pPr>
        <w:pStyle w:val="Normalalteradora"/>
        <w:ind w:firstLine="709"/>
      </w:pPr>
      <w:r w:rsidRPr="0097459F">
        <w:t>Parágrafo único.  Caso a classe seja destinada ao público em geral e sua política de investimentos admita a aquisição de precatórios federais, o cotista deve atestar, ainda, que teve acesso a informações sobre os riscos específicos desse ativo.</w:t>
      </w:r>
    </w:p>
    <w:p w14:paraId="6D6334C5" w14:textId="77777777" w:rsidR="00C20BBD" w:rsidRPr="0097459F" w:rsidRDefault="00C20BBD" w:rsidP="00C20BBD">
      <w:pPr>
        <w:pStyle w:val="Normalalteradora"/>
        <w:ind w:firstLine="709"/>
      </w:pPr>
      <w:r w:rsidRPr="0097459F">
        <w:t>Art. 13.  A distribuição de cotas junto ao público em geral requer o cumprimento, cumulativo, dos seguintes requisitos:</w:t>
      </w:r>
    </w:p>
    <w:p w14:paraId="11EC559E" w14:textId="77777777" w:rsidR="00C20BBD" w:rsidRPr="0097459F" w:rsidRDefault="00C20BBD" w:rsidP="00C20BBD">
      <w:pPr>
        <w:pStyle w:val="Normalalteradora"/>
        <w:ind w:firstLine="709"/>
      </w:pPr>
      <w:r w:rsidRPr="0097459F">
        <w:t>I – o público em geral não pode adquirir cotas subordinadas;</w:t>
      </w:r>
    </w:p>
    <w:p w14:paraId="329D3F2E" w14:textId="77777777" w:rsidR="00C20BBD" w:rsidRPr="0097459F" w:rsidRDefault="00C20BBD" w:rsidP="00C20BBD">
      <w:pPr>
        <w:pStyle w:val="Normalalteradora"/>
        <w:ind w:firstLine="709"/>
      </w:pPr>
      <w:r w:rsidRPr="0097459F">
        <w:lastRenderedPageBreak/>
        <w:t>II – o regulamento estipule um cronograma para amortização de cotas ou distribuição de rendimentos;</w:t>
      </w:r>
    </w:p>
    <w:p w14:paraId="558D84B4" w14:textId="77777777" w:rsidR="00C20BBD" w:rsidRPr="0097459F" w:rsidRDefault="00C20BBD" w:rsidP="00C20BBD">
      <w:pPr>
        <w:pStyle w:val="Normalalteradora"/>
        <w:ind w:firstLine="709"/>
      </w:pPr>
      <w:r w:rsidRPr="0097459F">
        <w:t>III – caso se trate de classe aberta, o prazo de carência, se houver, em conjunto com o prazo total entre o pedido de resgate e seu pagamento, não podem totalizar um prazo superior a 180 (cento e oitenta) dias;</w:t>
      </w:r>
    </w:p>
    <w:p w14:paraId="3128C1B0" w14:textId="77777777" w:rsidR="00C20BBD" w:rsidRPr="0097459F" w:rsidRDefault="00C20BBD" w:rsidP="00C20BBD">
      <w:pPr>
        <w:pStyle w:val="Normalalteradora"/>
        <w:ind w:firstLine="709"/>
      </w:pPr>
      <w:r w:rsidRPr="0097459F">
        <w:t>IV – a política de investimento não admita a aplicação em:</w:t>
      </w:r>
    </w:p>
    <w:p w14:paraId="039B3DAE" w14:textId="77777777" w:rsidR="00C20BBD" w:rsidRPr="0097459F" w:rsidRDefault="00C20BBD" w:rsidP="00C20BBD">
      <w:pPr>
        <w:pStyle w:val="Normalalteradora"/>
        <w:ind w:firstLine="709"/>
      </w:pPr>
      <w:r w:rsidRPr="0097459F">
        <w:t>a) direitos creditórios que sejam originados por contratos mercantis de compra e venda de produtos, mercadorias e serviços para entrega ou prestação futura, exceto se os cedentes forem:</w:t>
      </w:r>
    </w:p>
    <w:p w14:paraId="7599ED49" w14:textId="77777777" w:rsidR="00C20BBD" w:rsidRPr="0097459F" w:rsidRDefault="00C20BBD" w:rsidP="00C20BBD">
      <w:pPr>
        <w:pStyle w:val="Normalalteradora"/>
        <w:ind w:firstLine="709"/>
      </w:pPr>
      <w:r w:rsidRPr="0097459F">
        <w:t>1. empresas concessionárias de serviços públicos; ou</w:t>
      </w:r>
    </w:p>
    <w:p w14:paraId="2D3108C0" w14:textId="433120AA" w:rsidR="00C20BBD" w:rsidRPr="0097459F" w:rsidRDefault="00C20BBD" w:rsidP="00C20BBD">
      <w:pPr>
        <w:pStyle w:val="Normalalteradora"/>
        <w:ind w:firstLine="709"/>
      </w:pPr>
      <w:r w:rsidRPr="0097459F">
        <w:t>2. companhias constituídas para implementar projetos de investimento na área de infraestrutura ou de produção econômica intensiva em pesquisa, desenvolvimento e inovação, considerados prioritários na forma regulamentada pelo Poder Executivo Federal;</w:t>
      </w:r>
      <w:r w:rsidR="007B7590">
        <w:t xml:space="preserve"> e</w:t>
      </w:r>
    </w:p>
    <w:p w14:paraId="4D2971B6" w14:textId="77777777" w:rsidR="00C20BBD" w:rsidRPr="0097459F" w:rsidRDefault="00C20BBD" w:rsidP="00C20BBD">
      <w:pPr>
        <w:pStyle w:val="Normalalteradora"/>
        <w:ind w:firstLine="709"/>
      </w:pPr>
      <w:r w:rsidRPr="0097459F">
        <w:t>b) direitos creditórios originados ou cedidos pelo administrador, gestor, consultoria especializada, custodiante, entidade registradora dos direitos creditórios e partes a eles relacionadas; e</w:t>
      </w:r>
    </w:p>
    <w:p w14:paraId="49FC234A" w14:textId="77777777" w:rsidR="00C20BBD" w:rsidRPr="0097459F" w:rsidRDefault="00C20BBD" w:rsidP="00C20BBD">
      <w:pPr>
        <w:pStyle w:val="Normalalteradora"/>
        <w:ind w:firstLine="709"/>
      </w:pPr>
      <w:r w:rsidRPr="0097459F">
        <w:t>V – a subclasse de cotas seniores seja objeto de classificação de risco por agência classificadora de risco registrada na CVM.</w:t>
      </w:r>
    </w:p>
    <w:p w14:paraId="68E2B55B" w14:textId="77777777" w:rsidR="00C20BBD" w:rsidRPr="0097459F" w:rsidRDefault="00C20BBD" w:rsidP="00C20BBD">
      <w:pPr>
        <w:pStyle w:val="Seo"/>
        <w:ind w:firstLine="709"/>
      </w:pPr>
      <w:bookmarkStart w:id="578" w:name="_Toc53594272"/>
      <w:bookmarkStart w:id="579" w:name="_Toc53594520"/>
      <w:bookmarkStart w:id="580" w:name="_Toc53595545"/>
      <w:bookmarkStart w:id="581" w:name="_Toc57836282"/>
      <w:bookmarkStart w:id="582" w:name="_Toc126226390"/>
      <w:bookmarkEnd w:id="572"/>
      <w:r w:rsidRPr="0097459F">
        <w:t>Seção III – Subscrição e Integralização</w:t>
      </w:r>
      <w:bookmarkEnd w:id="578"/>
      <w:bookmarkEnd w:id="579"/>
      <w:bookmarkEnd w:id="580"/>
      <w:bookmarkEnd w:id="581"/>
      <w:bookmarkEnd w:id="582"/>
    </w:p>
    <w:p w14:paraId="5C545E57" w14:textId="77777777" w:rsidR="00C20BBD" w:rsidRPr="0097459F" w:rsidRDefault="00C20BBD" w:rsidP="00C20BBD">
      <w:pPr>
        <w:pStyle w:val="Normalalteradora"/>
        <w:ind w:firstLine="709"/>
      </w:pPr>
      <w:r w:rsidRPr="0097459F">
        <w:t>Art. 14.  Somente nas classes restritas a integralização de cotas seniores e subordinadas mezanino pode ser feita em direitos creditórios, de acordo com método disciplinado no regulamento.</w:t>
      </w:r>
    </w:p>
    <w:p w14:paraId="2BB41A3B" w14:textId="77777777" w:rsidR="00C20BBD" w:rsidRPr="0097459F" w:rsidRDefault="00C20BBD" w:rsidP="00C20BBD">
      <w:pPr>
        <w:pStyle w:val="Normalalteradora"/>
        <w:ind w:firstLine="709"/>
      </w:pPr>
      <w:r w:rsidRPr="0097459F">
        <w:t>Art. 15.  As classes de cotas cuja política de investimento admita a aquisição de direitos creditórios não-padronizados são de subscrição exclusiva de investidores profissionais, ressalvada a hipótese de subscrição de cotas subordinadas pelo cedente e suas partes relacionadas.</w:t>
      </w:r>
    </w:p>
    <w:p w14:paraId="375F0F1E" w14:textId="77777777" w:rsidR="00C20BBD" w:rsidRPr="0097459F" w:rsidRDefault="00C20BBD" w:rsidP="00C20BBD">
      <w:pPr>
        <w:pStyle w:val="Normalalteradora"/>
        <w:ind w:firstLine="709"/>
      </w:pPr>
      <w:r w:rsidRPr="0097459F">
        <w:t xml:space="preserve">Parágrafo único.  No caso de subscrição de cotas de classes cuja política de investimento tenha como objetivo a realização de aplicações em direitos creditórios devidos por sociedades empresárias em processo de recuperação judicial ou extrajudicial, a restrição prevista no </w:t>
      </w:r>
      <w:r w:rsidRPr="0097459F">
        <w:rPr>
          <w:b/>
        </w:rPr>
        <w:t>caput</w:t>
      </w:r>
      <w:r w:rsidRPr="0097459F">
        <w:t xml:space="preserve"> pode ser afastada, desde que:</w:t>
      </w:r>
    </w:p>
    <w:p w14:paraId="54D3C8E4" w14:textId="77777777" w:rsidR="00C20BBD" w:rsidRPr="0097459F" w:rsidRDefault="00C20BBD" w:rsidP="00C20BBD">
      <w:pPr>
        <w:pStyle w:val="Normalalteradora"/>
        <w:ind w:firstLine="709"/>
      </w:pPr>
      <w:r w:rsidRPr="0097459F">
        <w:lastRenderedPageBreak/>
        <w:t>I – a subscrição seja realizado no contexto do plano de recuperação judicial da sociedade empresária devedora dos direitos creditórios, no qual os investidores figurem como credores; e</w:t>
      </w:r>
    </w:p>
    <w:p w14:paraId="5BCEA83F" w14:textId="77777777" w:rsidR="00C20BBD" w:rsidRPr="0097459F" w:rsidRDefault="00C20BBD" w:rsidP="00C20BBD">
      <w:pPr>
        <w:pStyle w:val="Normalalteradora"/>
        <w:ind w:firstLine="709"/>
      </w:pPr>
      <w:r w:rsidRPr="0097459F">
        <w:t>II – a integralização de cotas seja efetuada somente em direitos creditórios.</w:t>
      </w:r>
    </w:p>
    <w:p w14:paraId="2219556D" w14:textId="77777777" w:rsidR="00C20BBD" w:rsidRPr="0097459F" w:rsidRDefault="00C20BBD" w:rsidP="00C20BBD">
      <w:pPr>
        <w:pStyle w:val="Seo"/>
        <w:ind w:firstLine="709"/>
      </w:pPr>
      <w:bookmarkStart w:id="583" w:name="_Toc53594273"/>
      <w:bookmarkStart w:id="584" w:name="_Toc53594521"/>
      <w:bookmarkStart w:id="585" w:name="_Toc53595546"/>
      <w:bookmarkStart w:id="586" w:name="_Toc57836283"/>
      <w:bookmarkStart w:id="587" w:name="_Toc126226391"/>
      <w:r w:rsidRPr="0097459F">
        <w:t>Seção IV – Resgate e Amortização</w:t>
      </w:r>
      <w:bookmarkEnd w:id="583"/>
      <w:bookmarkEnd w:id="584"/>
      <w:bookmarkEnd w:id="585"/>
      <w:bookmarkEnd w:id="586"/>
      <w:bookmarkEnd w:id="587"/>
    </w:p>
    <w:p w14:paraId="40EEF696" w14:textId="3DCFC2E3" w:rsidR="00C20BBD" w:rsidRPr="0097459F" w:rsidRDefault="00C20BBD" w:rsidP="00C20BBD">
      <w:pPr>
        <w:pStyle w:val="Normalalteradora"/>
        <w:ind w:firstLine="709"/>
      </w:pPr>
      <w:r w:rsidRPr="0097459F">
        <w:t>Art. 16.  Admite-se o resgate e a amortização de cotas subordinadas e subordinadas mezanino de acordo com regras e procedimentos disciplinados no regulamento, desde que</w:t>
      </w:r>
      <w:r w:rsidR="00540235">
        <w:t xml:space="preserve"> o índice de subordinação não seja comprometido</w:t>
      </w:r>
      <w:r w:rsidRPr="0097459F">
        <w:t>.</w:t>
      </w:r>
    </w:p>
    <w:p w14:paraId="2A76B6FA" w14:textId="77777777" w:rsidR="00C20BBD" w:rsidRPr="0097459F" w:rsidRDefault="00C20BBD" w:rsidP="00C20BBD">
      <w:pPr>
        <w:pStyle w:val="Normalalteradora"/>
        <w:ind w:firstLine="709"/>
      </w:pPr>
      <w:r w:rsidRPr="0097459F">
        <w:t>Parágrafo único.  Admite-se que cotas subordinadas sejam resgatadas e amortizadas em direitos creditórios.</w:t>
      </w:r>
    </w:p>
    <w:p w14:paraId="27567089" w14:textId="77777777" w:rsidR="00C20BBD" w:rsidRPr="0097459F" w:rsidRDefault="00C20BBD" w:rsidP="00C20BBD">
      <w:pPr>
        <w:pStyle w:val="Normalalteradora"/>
        <w:ind w:firstLine="709"/>
      </w:pPr>
      <w:r w:rsidRPr="0097459F">
        <w:t>Art. 17.  Admite-se o resgate e a amortização de cotas seniores e subordinadas mezanino em direitos creditórios e ativos financeiros de liquidez exclusivamente:</w:t>
      </w:r>
    </w:p>
    <w:p w14:paraId="3A27F7D5" w14:textId="77777777" w:rsidR="00C20BBD" w:rsidRPr="0097459F" w:rsidRDefault="00C20BBD" w:rsidP="00C20BBD">
      <w:pPr>
        <w:pStyle w:val="Normalalteradora"/>
        <w:ind w:firstLine="709"/>
      </w:pPr>
      <w:r w:rsidRPr="0097459F">
        <w:t>I – por deliberação da assembleia de cotistas, nos termos do art. 44, § 3º, inciso IV, da parte geral da Resolução;</w:t>
      </w:r>
    </w:p>
    <w:p w14:paraId="2A5B8BD5" w14:textId="017FB459" w:rsidR="00C20BBD" w:rsidRPr="0097459F" w:rsidRDefault="00C20BBD" w:rsidP="00C20BBD">
      <w:pPr>
        <w:pStyle w:val="Normalalteradora"/>
        <w:ind w:firstLine="709"/>
      </w:pPr>
      <w:r w:rsidRPr="0097459F">
        <w:t xml:space="preserve">II – por deliberação da assembleia de cotistas de que trata o art. </w:t>
      </w:r>
      <w:r w:rsidR="00441AE5">
        <w:t>12</w:t>
      </w:r>
      <w:r w:rsidR="00FD0A8B">
        <w:t>6</w:t>
      </w:r>
      <w:r w:rsidR="00441AE5">
        <w:t xml:space="preserve">, </w:t>
      </w:r>
      <w:r w:rsidRPr="0097459F">
        <w:t>da parte geral da Resolução; ou</w:t>
      </w:r>
    </w:p>
    <w:p w14:paraId="151041F9" w14:textId="47390A4F" w:rsidR="00C20BBD" w:rsidRPr="0097459F" w:rsidRDefault="00C20BBD" w:rsidP="00C20BBD">
      <w:pPr>
        <w:pStyle w:val="Normalalteradora"/>
        <w:ind w:firstLine="709"/>
      </w:pPr>
      <w:r w:rsidRPr="0097459F">
        <w:t xml:space="preserve">III – pelo exercício do direito de dissidência, nos termos do art. 55, parágrafo único, deste </w:t>
      </w:r>
      <w:r w:rsidR="00FB1127" w:rsidRPr="0097459F">
        <w:t>Anexo Normativo II</w:t>
      </w:r>
      <w:r w:rsidRPr="0097459F">
        <w:t>.</w:t>
      </w:r>
      <w:bookmarkStart w:id="588" w:name="_Toc50223200"/>
      <w:bookmarkStart w:id="589" w:name="_Toc50307886"/>
      <w:bookmarkStart w:id="590" w:name="_Toc50384337"/>
      <w:bookmarkStart w:id="591" w:name="_Toc52102976"/>
      <w:bookmarkStart w:id="592" w:name="_Toc52103010"/>
      <w:bookmarkStart w:id="593" w:name="_Toc52104227"/>
      <w:bookmarkStart w:id="594" w:name="_Toc507331280"/>
      <w:bookmarkEnd w:id="588"/>
      <w:bookmarkEnd w:id="589"/>
      <w:bookmarkEnd w:id="590"/>
      <w:bookmarkEnd w:id="591"/>
      <w:bookmarkEnd w:id="592"/>
      <w:bookmarkEnd w:id="593"/>
    </w:p>
    <w:p w14:paraId="2BBFADE6" w14:textId="77777777" w:rsidR="00C20BBD" w:rsidRPr="0097459F" w:rsidRDefault="00C20BBD" w:rsidP="00C20BBD">
      <w:pPr>
        <w:pStyle w:val="Captulo"/>
      </w:pPr>
      <w:bookmarkStart w:id="595" w:name="_Toc53594275"/>
      <w:bookmarkStart w:id="596" w:name="_Toc53594523"/>
      <w:bookmarkStart w:id="597" w:name="_Toc53595548"/>
      <w:bookmarkStart w:id="598" w:name="_Toc57836285"/>
      <w:bookmarkStart w:id="599" w:name="_Toc126226392"/>
      <w:r w:rsidRPr="0097459F">
        <w:t>CAPÍTULO V – DOCUMENTOS E INFORMAÇÕES</w:t>
      </w:r>
      <w:bookmarkEnd w:id="595"/>
      <w:bookmarkEnd w:id="596"/>
      <w:bookmarkEnd w:id="597"/>
      <w:bookmarkEnd w:id="598"/>
      <w:bookmarkEnd w:id="599"/>
    </w:p>
    <w:p w14:paraId="737F0C1F" w14:textId="77777777" w:rsidR="00C20BBD" w:rsidRPr="0097459F" w:rsidRDefault="00C20BBD" w:rsidP="00C20BBD">
      <w:pPr>
        <w:pStyle w:val="Seo"/>
        <w:ind w:firstLine="709"/>
      </w:pPr>
      <w:bookmarkStart w:id="600" w:name="_Toc126226393"/>
      <w:r w:rsidRPr="0097459F">
        <w:t>Seção I – Lâmina de Informações Básicas</w:t>
      </w:r>
      <w:bookmarkEnd w:id="600"/>
    </w:p>
    <w:p w14:paraId="6C00EA9C" w14:textId="737E2049" w:rsidR="00C20BBD" w:rsidRPr="0097459F" w:rsidRDefault="00C20BBD" w:rsidP="00C20BBD">
      <w:pPr>
        <w:pStyle w:val="Normalalteradora"/>
        <w:ind w:firstLine="709"/>
      </w:pPr>
      <w:r w:rsidRPr="0097459F">
        <w:t xml:space="preserve">Art. 18.  O administrador de classe aberta destinada ao público em geral deve manter atualizada uma lâmina contendo as informações relevantes sobre a classe, elaborada conforme modelo disposto no Suplemento </w:t>
      </w:r>
      <w:r w:rsidR="00D10ACB" w:rsidRPr="0097459F">
        <w:t>E</w:t>
      </w:r>
      <w:r w:rsidRPr="0097459F">
        <w:t xml:space="preserve"> ou Suplemento </w:t>
      </w:r>
      <w:r w:rsidR="00D10ACB" w:rsidRPr="0097459F">
        <w:t>F</w:t>
      </w:r>
      <w:r w:rsidRPr="0097459F">
        <w:t xml:space="preserve">, </w:t>
      </w:r>
      <w:r w:rsidR="005C69F0" w:rsidRPr="0097459F">
        <w:t>conforme o caso</w:t>
      </w:r>
      <w:r w:rsidRPr="0097459F">
        <w:t>, no caso de classe de investimento em cotas.</w:t>
      </w:r>
    </w:p>
    <w:p w14:paraId="7A354B7E" w14:textId="77777777" w:rsidR="00C20BBD" w:rsidRPr="0097459F" w:rsidRDefault="00C20BBD" w:rsidP="00C20BBD">
      <w:pPr>
        <w:pStyle w:val="Normalalteradora"/>
        <w:ind w:firstLine="709"/>
      </w:pPr>
      <w:r w:rsidRPr="0097459F">
        <w:t>§ 1º  É facultado ao administrador formatar a lâmina livremente desde que:</w:t>
      </w:r>
    </w:p>
    <w:p w14:paraId="699E2578" w14:textId="77777777" w:rsidR="00C20BBD" w:rsidRPr="0097459F" w:rsidRDefault="00C20BBD" w:rsidP="00C20BBD">
      <w:pPr>
        <w:pStyle w:val="Normalalteradora"/>
        <w:ind w:firstLine="709"/>
      </w:pPr>
      <w:r w:rsidRPr="0097459F">
        <w:t>I – a ordem das informações seja mantida;</w:t>
      </w:r>
    </w:p>
    <w:p w14:paraId="731060CE" w14:textId="2FDAC0F3" w:rsidR="00C20BBD" w:rsidRPr="0097459F" w:rsidRDefault="00C20BBD" w:rsidP="00C20BBD">
      <w:pPr>
        <w:pStyle w:val="Normalalteradora"/>
        <w:ind w:firstLine="709"/>
      </w:pPr>
      <w:r w:rsidRPr="0097459F">
        <w:t xml:space="preserve">II – o conteúdo do Suplemento </w:t>
      </w:r>
      <w:r w:rsidR="005C69F0" w:rsidRPr="0097459F">
        <w:t>E</w:t>
      </w:r>
      <w:r w:rsidRPr="0097459F">
        <w:t xml:space="preserve"> ou </w:t>
      </w:r>
      <w:r w:rsidR="005C69F0" w:rsidRPr="0097459F">
        <w:t>F</w:t>
      </w:r>
      <w:r w:rsidRPr="0097459F">
        <w:t xml:space="preserve">, conforme o caso, não seja modificado; </w:t>
      </w:r>
    </w:p>
    <w:p w14:paraId="565EB479" w14:textId="77777777" w:rsidR="00C20BBD" w:rsidRPr="0097459F" w:rsidRDefault="00C20BBD" w:rsidP="00C20BBD">
      <w:pPr>
        <w:pStyle w:val="Normalalteradora"/>
        <w:ind w:firstLine="709"/>
      </w:pPr>
      <w:r w:rsidRPr="0097459F">
        <w:t>III – os logotipos e formatação não dificultem o entendimento das informações; e</w:t>
      </w:r>
    </w:p>
    <w:p w14:paraId="0A3E66B1" w14:textId="77777777" w:rsidR="00C20BBD" w:rsidRPr="0097459F" w:rsidRDefault="00C20BBD" w:rsidP="00C20BBD">
      <w:pPr>
        <w:pStyle w:val="Normalalteradora"/>
        <w:ind w:firstLine="709"/>
      </w:pPr>
      <w:r w:rsidRPr="0097459F">
        <w:lastRenderedPageBreak/>
        <w:t>IV – quaisquer informações adicionais não dificultem o entendimento das informações exigidas.</w:t>
      </w:r>
    </w:p>
    <w:p w14:paraId="16F65AE3" w14:textId="77777777" w:rsidR="00C20BBD" w:rsidRPr="0097459F" w:rsidRDefault="00C20BBD" w:rsidP="00C20BBD">
      <w:pPr>
        <w:pStyle w:val="Normalalteradora"/>
        <w:ind w:firstLine="709"/>
      </w:pPr>
      <w:r w:rsidRPr="0097459F">
        <w:t>§ 2º  Caso o regulamento estabeleça taxas mínimas e máximas, englobando as taxas das classes investidas, conforme previsto no art. 98, § 1º, da parte geral da Resolução, a lâmina deve destacar as taxas máximas.</w:t>
      </w:r>
    </w:p>
    <w:p w14:paraId="04096DFE" w14:textId="77777777" w:rsidR="00C20BBD" w:rsidRPr="0097459F" w:rsidRDefault="00C20BBD" w:rsidP="00C20BBD">
      <w:pPr>
        <w:pStyle w:val="Normalalteradora"/>
        <w:ind w:firstLine="709"/>
      </w:pPr>
      <w:r w:rsidRPr="0097459F">
        <w:t xml:space="preserve">Art. 19.  Em acréscimo aos materiais referidos nos incisos do </w:t>
      </w:r>
      <w:r w:rsidRPr="0097459F">
        <w:rPr>
          <w:b/>
        </w:rPr>
        <w:t>caput</w:t>
      </w:r>
      <w:r w:rsidRPr="0097459F">
        <w:t xml:space="preserve"> do art. 47 da parte geral da Resolução, a divulgação de informações dos FIDC deve contemplar a disponibilização da lâmina atualizada, se aplicável.</w:t>
      </w:r>
    </w:p>
    <w:p w14:paraId="78CD4D3C" w14:textId="77777777" w:rsidR="00C20BBD" w:rsidRPr="0097459F" w:rsidRDefault="00C20BBD" w:rsidP="00C20BBD">
      <w:pPr>
        <w:pStyle w:val="Seo"/>
        <w:ind w:firstLine="709"/>
      </w:pPr>
      <w:bookmarkStart w:id="601" w:name="_Toc53594276"/>
      <w:bookmarkStart w:id="602" w:name="_Toc53594524"/>
      <w:bookmarkStart w:id="603" w:name="_Toc53595549"/>
      <w:bookmarkStart w:id="604" w:name="_Toc57836286"/>
      <w:bookmarkStart w:id="605" w:name="_Toc126226394"/>
      <w:r w:rsidRPr="0097459F">
        <w:t>Seção II – Regulamento</w:t>
      </w:r>
      <w:bookmarkEnd w:id="601"/>
      <w:bookmarkEnd w:id="602"/>
      <w:bookmarkEnd w:id="603"/>
      <w:bookmarkEnd w:id="604"/>
      <w:bookmarkEnd w:id="605"/>
    </w:p>
    <w:p w14:paraId="7718FE30" w14:textId="77777777" w:rsidR="00C20BBD" w:rsidRPr="0097459F" w:rsidRDefault="00C20BBD" w:rsidP="00C20BBD">
      <w:pPr>
        <w:pStyle w:val="Normalalteradora"/>
        <w:ind w:firstLine="709"/>
      </w:pPr>
      <w:r w:rsidRPr="0097459F">
        <w:t xml:space="preserve">Art. 20. Em acréscimo às matérias dispostas no art. 48 da parte geral da Resolução, o regulamento do FIDC deve dispor sobre: </w:t>
      </w:r>
    </w:p>
    <w:p w14:paraId="14DC8056" w14:textId="77777777" w:rsidR="00C20BBD" w:rsidRPr="0097459F" w:rsidRDefault="00C20BBD" w:rsidP="00C20BBD">
      <w:pPr>
        <w:pStyle w:val="Normalalteradora"/>
        <w:ind w:firstLine="709"/>
      </w:pPr>
      <w:r w:rsidRPr="0097459F">
        <w:t>I – índice referencial, se houver, para cada subclasse em separado;</w:t>
      </w:r>
    </w:p>
    <w:p w14:paraId="6A341152" w14:textId="77777777" w:rsidR="00C20BBD" w:rsidRPr="0097459F" w:rsidRDefault="00C20BBD" w:rsidP="00C20BBD">
      <w:pPr>
        <w:pStyle w:val="Normalalteradora"/>
        <w:ind w:firstLine="709"/>
      </w:pPr>
      <w:r w:rsidRPr="0097459F">
        <w:t>II – índice de subordinação, se houver, para cada subclasse em separado, assim como os procedimentos aplicáveis na hipótese de inobservância desse índice;</w:t>
      </w:r>
    </w:p>
    <w:p w14:paraId="6A896BD3" w14:textId="77777777" w:rsidR="00C20BBD" w:rsidRPr="0097459F" w:rsidRDefault="00C20BBD" w:rsidP="00C20BBD">
      <w:pPr>
        <w:pStyle w:val="Normalalteradora"/>
        <w:ind w:firstLine="709"/>
      </w:pPr>
      <w:r w:rsidRPr="0097459F">
        <w:t>III – taxa de performance, se houver;</w:t>
      </w:r>
    </w:p>
    <w:p w14:paraId="34FA7337" w14:textId="77777777" w:rsidR="00C20BBD" w:rsidRPr="0097459F" w:rsidRDefault="00C20BBD" w:rsidP="00C20BBD">
      <w:pPr>
        <w:pStyle w:val="Normalalteradora"/>
        <w:ind w:firstLine="709"/>
      </w:pPr>
      <w:r w:rsidRPr="0097459F">
        <w:t>IV – remuneração da consultoria especializada, se houver;</w:t>
      </w:r>
    </w:p>
    <w:p w14:paraId="0722DE99" w14:textId="77777777" w:rsidR="00C20BBD" w:rsidRPr="0097459F" w:rsidRDefault="00C20BBD" w:rsidP="00C20BBD">
      <w:pPr>
        <w:pStyle w:val="Normalalteradora"/>
        <w:ind w:firstLine="709"/>
      </w:pPr>
      <w:r w:rsidRPr="0097459F">
        <w:t>V – diferenciação entre as subclasses, se houver;</w:t>
      </w:r>
    </w:p>
    <w:p w14:paraId="5FC25059" w14:textId="2C89D43A" w:rsidR="00C20BBD" w:rsidRPr="0097459F" w:rsidRDefault="00C20BBD" w:rsidP="00C20BBD">
      <w:pPr>
        <w:pStyle w:val="Normalalteradora"/>
        <w:ind w:firstLine="709"/>
      </w:pPr>
      <w:r w:rsidRPr="0097459F">
        <w:t xml:space="preserve">VI – diferenciação entre as séries de cotas seniores e subordinadas mezanino, se houver, nos termos do art. 8º, parágrafo único, deste </w:t>
      </w:r>
      <w:r w:rsidR="00FB1127" w:rsidRPr="0097459F">
        <w:t>Anexo Normativo II</w:t>
      </w:r>
      <w:r w:rsidRPr="0097459F">
        <w:t>;</w:t>
      </w:r>
    </w:p>
    <w:p w14:paraId="3C914C16" w14:textId="77777777" w:rsidR="00C20BBD" w:rsidRPr="0097459F" w:rsidRDefault="00C20BBD" w:rsidP="00C20BBD">
      <w:pPr>
        <w:pStyle w:val="Normalalteradora"/>
        <w:ind w:firstLine="709"/>
      </w:pPr>
      <w:r w:rsidRPr="0097459F">
        <w:t>VII – possibilidade de a verificação do lastro dos direitos creditórios ser executada por amostragem, e bem como especificação dos parâmetros relativos à diversificação de devedores, quantidade e valor médio dos créditos a serem observados para esse fim;</w:t>
      </w:r>
    </w:p>
    <w:p w14:paraId="2D20B518" w14:textId="77777777" w:rsidR="00C20BBD" w:rsidRPr="0097459F" w:rsidRDefault="00C20BBD" w:rsidP="00C20BBD">
      <w:pPr>
        <w:pStyle w:val="Normalalteradora"/>
        <w:ind w:firstLine="709"/>
      </w:pPr>
      <w:r w:rsidRPr="0097459F">
        <w:t>VIII – procedimentos aplicáveis à cobrança dos direitos creditórios, incluindo aqueles vencidos e não pagos; e</w:t>
      </w:r>
    </w:p>
    <w:p w14:paraId="5AD03009" w14:textId="77777777" w:rsidR="00C20BBD" w:rsidRPr="0097459F" w:rsidRDefault="00C20BBD" w:rsidP="00C20BBD">
      <w:pPr>
        <w:pStyle w:val="Normalalteradora"/>
        <w:ind w:firstLine="709"/>
      </w:pPr>
      <w:r w:rsidRPr="0097459F">
        <w:t>IX – eventos que ensejam a liquidação antecipada da classe.</w:t>
      </w:r>
    </w:p>
    <w:p w14:paraId="7FCFACB2" w14:textId="77777777" w:rsidR="00C20BBD" w:rsidRPr="0097459F" w:rsidRDefault="00C20BBD" w:rsidP="00C20BBD">
      <w:pPr>
        <w:pStyle w:val="Normalalteradora"/>
        <w:ind w:firstLine="709"/>
      </w:pPr>
      <w:r w:rsidRPr="0097459F">
        <w:t>§ 1º  O índice de subordinação de cada subclasse de cotas mezanino e da subclasse de cotas subordinadas deve ser expresso no regulamento por meio de uma taxa percentual do patrimônio líquido da classe de cotas.</w:t>
      </w:r>
    </w:p>
    <w:p w14:paraId="5D212A4A" w14:textId="01CF61DE" w:rsidR="00C20BBD" w:rsidRPr="0097459F" w:rsidRDefault="00C20BBD" w:rsidP="00C20BBD">
      <w:pPr>
        <w:pStyle w:val="Normalalteradora"/>
        <w:ind w:firstLine="709"/>
      </w:pPr>
      <w:r w:rsidRPr="0097459F">
        <w:lastRenderedPageBreak/>
        <w:t xml:space="preserve">§ 2º  Caso o fundo conte com diferentes classes de cotas, as matérias previstas nos incisos do </w:t>
      </w:r>
      <w:r w:rsidRPr="0097459F">
        <w:rPr>
          <w:b/>
        </w:rPr>
        <w:t>caput</w:t>
      </w:r>
      <w:r w:rsidRPr="0097459F">
        <w:t xml:space="preserve"> devem ser disciplinadas no anexo da classe a que se referirem.</w:t>
      </w:r>
    </w:p>
    <w:p w14:paraId="5C603C03" w14:textId="77777777" w:rsidR="00C20BBD" w:rsidRPr="0097459F" w:rsidRDefault="00C20BBD" w:rsidP="00C20BBD">
      <w:pPr>
        <w:pStyle w:val="Normalalteradora"/>
        <w:ind w:firstLine="709"/>
      </w:pPr>
      <w:r w:rsidRPr="0097459F">
        <w:t>Art. 21.  A política de investimento disposta no regulamento deve conter, no mínimo, as seguintes informações:</w:t>
      </w:r>
    </w:p>
    <w:p w14:paraId="72EB24D7" w14:textId="77777777" w:rsidR="00C20BBD" w:rsidRPr="0097459F" w:rsidRDefault="00C20BBD" w:rsidP="00C20BBD">
      <w:pPr>
        <w:pStyle w:val="Normalalteradora"/>
        <w:ind w:firstLine="709"/>
      </w:pPr>
      <w:r w:rsidRPr="0097459F">
        <w:t>I – segmentos econômicos em que são originados e natureza dos direitos creditórios;</w:t>
      </w:r>
    </w:p>
    <w:p w14:paraId="41F13F92" w14:textId="77777777" w:rsidR="00C20BBD" w:rsidRPr="0097459F" w:rsidRDefault="00C20BBD" w:rsidP="00C20BBD">
      <w:pPr>
        <w:pStyle w:val="Normalalteradora"/>
        <w:ind w:firstLine="709"/>
      </w:pPr>
      <w:r w:rsidRPr="0097459F">
        <w:t>II – processos de originação dos direitos creditórios e das políticas de concessão dos correspondentes créditos;</w:t>
      </w:r>
    </w:p>
    <w:p w14:paraId="5F209A6E" w14:textId="77777777" w:rsidR="00C20BBD" w:rsidRPr="0097459F" w:rsidRDefault="00C20BBD" w:rsidP="00C20BBD">
      <w:pPr>
        <w:pStyle w:val="Normalalteradora"/>
        <w:ind w:firstLine="709"/>
      </w:pPr>
      <w:r w:rsidRPr="0097459F">
        <w:t>III – critérios de elegibilidade dos direitos creditórios e, se for o caso, condições de cessão;</w:t>
      </w:r>
    </w:p>
    <w:p w14:paraId="00D1585D" w14:textId="269FF13C" w:rsidR="00C20BBD" w:rsidRPr="0097459F" w:rsidRDefault="00C20BBD" w:rsidP="00C20BBD">
      <w:pPr>
        <w:pStyle w:val="Normalalteradora"/>
        <w:ind w:firstLine="709"/>
      </w:pPr>
      <w:r w:rsidRPr="0097459F">
        <w:t xml:space="preserve">IV – requisitos de composição e diversificação da carteira de ativos, se houver, sem prejuízo dos limites estabelecidos neste </w:t>
      </w:r>
      <w:r w:rsidR="00FB1127" w:rsidRPr="0097459F">
        <w:t>Anexo Normativo II</w:t>
      </w:r>
      <w:r w:rsidRPr="0097459F">
        <w:t xml:space="preserve">; </w:t>
      </w:r>
    </w:p>
    <w:p w14:paraId="7A37988F" w14:textId="77777777" w:rsidR="00C20BBD" w:rsidRPr="0097459F" w:rsidRDefault="00C20BBD" w:rsidP="00C20BBD">
      <w:pPr>
        <w:pStyle w:val="Normalalteradora"/>
        <w:ind w:firstLine="709"/>
      </w:pPr>
      <w:r w:rsidRPr="0097459F">
        <w:t>V – limites para:</w:t>
      </w:r>
    </w:p>
    <w:p w14:paraId="41E4AFAB" w14:textId="05F310ED" w:rsidR="00C20BBD" w:rsidRPr="0097459F" w:rsidRDefault="00C20BBD" w:rsidP="00C20BBD">
      <w:pPr>
        <w:pStyle w:val="Normalalteradora"/>
        <w:ind w:firstLine="709"/>
      </w:pPr>
      <w:r w:rsidRPr="0097459F">
        <w:t xml:space="preserve">a) aplicação em direitos creditórios originados ou cedidos pelo administrador, gestor, consultoria especializada e suas partes relacionadas, sem prejuízo do disposto no art. 13, inciso IV, “b”, deste </w:t>
      </w:r>
      <w:r w:rsidR="00FB1127" w:rsidRPr="0097459F">
        <w:t>Anexo Normativo II</w:t>
      </w:r>
      <w:r w:rsidRPr="0097459F">
        <w:t>;</w:t>
      </w:r>
    </w:p>
    <w:p w14:paraId="7D3412F3" w14:textId="77777777" w:rsidR="00C20BBD" w:rsidRPr="0097459F" w:rsidRDefault="00C20BBD" w:rsidP="00C20BBD">
      <w:pPr>
        <w:pStyle w:val="Normalalteradora"/>
        <w:ind w:firstLine="709"/>
      </w:pPr>
      <w:r w:rsidRPr="0097459F">
        <w:t>b) aplicação em ativos financeiros de liquidez de emissão ou que envolvam retenção de risco</w:t>
      </w:r>
      <w:r w:rsidRPr="0097459F" w:rsidDel="00616604">
        <w:t xml:space="preserve"> </w:t>
      </w:r>
      <w:r w:rsidRPr="0097459F">
        <w:t>por parte do administrador, gestor e suas partes relacionadas;</w:t>
      </w:r>
    </w:p>
    <w:p w14:paraId="51C800B1" w14:textId="77777777" w:rsidR="00C20BBD" w:rsidRPr="0097459F" w:rsidRDefault="00C20BBD" w:rsidP="00C20BBD">
      <w:pPr>
        <w:pStyle w:val="Normalalteradora"/>
        <w:ind w:firstLine="709"/>
      </w:pPr>
      <w:r w:rsidRPr="0097459F">
        <w:t>c) inexistindo contraparte central, operações com derivativos que tenham como contraparte o gestor ou suas partes relacionadas;</w:t>
      </w:r>
    </w:p>
    <w:p w14:paraId="00CF6F6E" w14:textId="77777777" w:rsidR="00C20BBD" w:rsidRPr="0097459F" w:rsidRDefault="00C20BBD" w:rsidP="00C20BBD">
      <w:pPr>
        <w:pStyle w:val="Normalalteradora"/>
        <w:ind w:firstLine="709"/>
      </w:pPr>
      <w:r w:rsidRPr="0097459F">
        <w:t>VI – hipóteses de revolvência dos direitos creditórios, se for o caso; e</w:t>
      </w:r>
    </w:p>
    <w:p w14:paraId="30F27C5E" w14:textId="77777777" w:rsidR="00C20BBD" w:rsidRPr="0097459F" w:rsidRDefault="00C20BBD" w:rsidP="00C20BBD">
      <w:pPr>
        <w:pStyle w:val="Normalalteradora"/>
        <w:ind w:firstLine="709"/>
      </w:pPr>
      <w:r w:rsidRPr="0097459F">
        <w:t>VII – regras, procedimentos e limites para efetuar cessão de direitos creditórios para o cedente e suas partes relacionadas.</w:t>
      </w:r>
    </w:p>
    <w:p w14:paraId="6199FED6" w14:textId="77777777" w:rsidR="00C20BBD" w:rsidRPr="0097459F" w:rsidRDefault="00C20BBD" w:rsidP="00C20BBD">
      <w:pPr>
        <w:pStyle w:val="Normalalteradora"/>
        <w:ind w:firstLine="709"/>
      </w:pPr>
      <w:r w:rsidRPr="0097459F">
        <w:t>Art. 22.  A política de investimento da classe de investimento em cotas deve dispor, no mínimo, sobre o percentual máximo de aplicação em:</w:t>
      </w:r>
    </w:p>
    <w:p w14:paraId="6BD2312B" w14:textId="77777777" w:rsidR="00C20BBD" w:rsidRPr="0097459F" w:rsidRDefault="00C20BBD" w:rsidP="00C20BBD">
      <w:pPr>
        <w:pStyle w:val="Normalalteradora"/>
        <w:ind w:firstLine="709"/>
      </w:pPr>
      <w:r w:rsidRPr="0097459F">
        <w:t>I – classes de cotas que contem com serviços do administrador, gestor, consultoria especializada ou suas partes relacionadas; e</w:t>
      </w:r>
    </w:p>
    <w:p w14:paraId="79B52379" w14:textId="77777777" w:rsidR="00C20BBD" w:rsidRPr="0097459F" w:rsidRDefault="00C20BBD" w:rsidP="00C20BBD">
      <w:pPr>
        <w:pStyle w:val="Normalalteradora"/>
        <w:ind w:firstLine="709"/>
      </w:pPr>
      <w:r w:rsidRPr="0097459F">
        <w:t>II – ativos financeiros de liquidez de emissão ou que contem com retenção de risco por parte do administrador, gestor ou suas partes relacionadas.</w:t>
      </w:r>
    </w:p>
    <w:p w14:paraId="351EC5AE" w14:textId="77777777" w:rsidR="00C20BBD" w:rsidRPr="0097459F" w:rsidRDefault="00C20BBD" w:rsidP="00C20BBD">
      <w:pPr>
        <w:pStyle w:val="Seo"/>
        <w:ind w:firstLine="709"/>
      </w:pPr>
      <w:bookmarkStart w:id="606" w:name="_Toc53594277"/>
      <w:bookmarkStart w:id="607" w:name="_Toc53594525"/>
      <w:bookmarkStart w:id="608" w:name="_Toc53595550"/>
      <w:bookmarkStart w:id="609" w:name="_Toc57836287"/>
      <w:bookmarkStart w:id="610" w:name="_Toc126226395"/>
      <w:r w:rsidRPr="0097459F">
        <w:lastRenderedPageBreak/>
        <w:t>Seção III – Material de Divulgação</w:t>
      </w:r>
      <w:bookmarkEnd w:id="606"/>
      <w:bookmarkEnd w:id="607"/>
      <w:bookmarkEnd w:id="608"/>
      <w:bookmarkEnd w:id="609"/>
      <w:bookmarkEnd w:id="610"/>
    </w:p>
    <w:p w14:paraId="78926D43" w14:textId="77777777" w:rsidR="00C20BBD" w:rsidRPr="0097459F" w:rsidRDefault="00C20BBD" w:rsidP="00C20BBD">
      <w:pPr>
        <w:pStyle w:val="Normalalteradora"/>
        <w:ind w:firstLine="709"/>
      </w:pPr>
      <w:r w:rsidRPr="0097459F">
        <w:t>Art. 23.  Qualquer material de divulgação deve:</w:t>
      </w:r>
    </w:p>
    <w:p w14:paraId="2476A75E" w14:textId="77777777" w:rsidR="00C20BBD" w:rsidRPr="0097459F" w:rsidRDefault="00C20BBD" w:rsidP="00C20BBD">
      <w:pPr>
        <w:pStyle w:val="Normalalteradora"/>
        <w:ind w:firstLine="709"/>
      </w:pPr>
      <w:r w:rsidRPr="0097459F">
        <w:t>I – ser consistente com o regulamento e a lâmina, se aplicável;</w:t>
      </w:r>
    </w:p>
    <w:p w14:paraId="76FF76B8" w14:textId="77777777" w:rsidR="00C20BBD" w:rsidRPr="0097459F" w:rsidRDefault="00C20BBD" w:rsidP="00C20BBD">
      <w:pPr>
        <w:pStyle w:val="Normalalteradora"/>
        <w:ind w:firstLine="709"/>
      </w:pPr>
      <w:r w:rsidRPr="0097459F">
        <w:t>II – ser apresentado em conjunto com a lâmina, se aplicável</w:t>
      </w:r>
    </w:p>
    <w:p w14:paraId="417A6C2D" w14:textId="77777777" w:rsidR="00C20BBD" w:rsidRPr="0097459F" w:rsidRDefault="00C20BBD" w:rsidP="00C20BBD">
      <w:pPr>
        <w:pStyle w:val="Normalalteradora"/>
        <w:ind w:firstLine="709"/>
      </w:pPr>
      <w:r w:rsidRPr="0097459F">
        <w:t>III – mencionar a existência da lâmina, se for o caso, bem como os endereços na rede mundial de computadores nos quais pode ser obtida; e</w:t>
      </w:r>
    </w:p>
    <w:p w14:paraId="1094D397" w14:textId="77777777" w:rsidR="00C20BBD" w:rsidRPr="0097459F" w:rsidRDefault="00C20BBD" w:rsidP="00C20BBD">
      <w:pPr>
        <w:pStyle w:val="Normalalteradora"/>
        <w:ind w:firstLine="709"/>
      </w:pPr>
      <w:r w:rsidRPr="0097459F">
        <w:t>IV – conter as informações do item 11 da lâmina, se esta não for obrigatória.</w:t>
      </w:r>
    </w:p>
    <w:p w14:paraId="38860825" w14:textId="77777777" w:rsidR="00C20BBD" w:rsidRPr="0097459F" w:rsidRDefault="00C20BBD" w:rsidP="00C20BBD">
      <w:pPr>
        <w:pStyle w:val="Normalalteradora"/>
        <w:ind w:firstLine="709"/>
      </w:pPr>
      <w:r w:rsidRPr="0097459F">
        <w:t>§ 1º  O disposto no inciso II não se aplica:</w:t>
      </w:r>
    </w:p>
    <w:p w14:paraId="08F34771" w14:textId="77777777" w:rsidR="00C20BBD" w:rsidRPr="0097459F" w:rsidRDefault="00C20BBD" w:rsidP="00C20BBD">
      <w:pPr>
        <w:pStyle w:val="Normalalteradora"/>
        <w:ind w:firstLine="709"/>
      </w:pPr>
      <w:r w:rsidRPr="0097459F">
        <w:t>I – aos materiais de divulgação veiculados em áudio, vídeo ou em mídia impressa, tais como jornais e revistas;</w:t>
      </w:r>
    </w:p>
    <w:p w14:paraId="78085EEA" w14:textId="77777777" w:rsidR="00C20BBD" w:rsidRPr="0097459F" w:rsidRDefault="00C20BBD" w:rsidP="00C20BBD">
      <w:pPr>
        <w:pStyle w:val="Normalalteradora"/>
        <w:ind w:firstLine="709"/>
      </w:pPr>
      <w:r w:rsidRPr="0097459F">
        <w:t>II – aos materiais que citem mais de uma classe de cotas, sem destacar qualquer classe mencionada;</w:t>
      </w:r>
    </w:p>
    <w:p w14:paraId="742E1EEE" w14:textId="77777777" w:rsidR="00C20BBD" w:rsidRPr="0097459F" w:rsidRDefault="00C20BBD" w:rsidP="00C20BBD">
      <w:pPr>
        <w:pStyle w:val="Normalalteradora"/>
        <w:ind w:firstLine="709"/>
      </w:pPr>
      <w:r w:rsidRPr="0097459F">
        <w:t>III – aos materiais que, exclusivamente, citem a rentabilidade de mais de uma classe de cotas; e</w:t>
      </w:r>
    </w:p>
    <w:p w14:paraId="28658E44" w14:textId="77777777" w:rsidR="00C20BBD" w:rsidRPr="0097459F" w:rsidRDefault="00C20BBD" w:rsidP="00C20BBD">
      <w:pPr>
        <w:pStyle w:val="Normalalteradora"/>
        <w:ind w:firstLine="709"/>
      </w:pPr>
      <w:r w:rsidRPr="0097459F">
        <w:t>IV – aos textos de natureza digital ou impressa que não permitam, por restrições técnicas, a disponibilização de documentos.</w:t>
      </w:r>
    </w:p>
    <w:p w14:paraId="5B0F9FA4" w14:textId="77777777" w:rsidR="00C20BBD" w:rsidRPr="0097459F" w:rsidRDefault="00C20BBD" w:rsidP="00C20BBD">
      <w:pPr>
        <w:pStyle w:val="Normalalteradora"/>
        <w:ind w:firstLine="709"/>
      </w:pPr>
      <w:r w:rsidRPr="0097459F">
        <w:t xml:space="preserve">§ 2º  Os materiais mencionados no § 1º devem veicular, em destaque e preferencialmente em formato de </w:t>
      </w:r>
      <w:r w:rsidRPr="0097459F">
        <w:rPr>
          <w:b/>
        </w:rPr>
        <w:t>hyperlink</w:t>
      </w:r>
      <w:r w:rsidRPr="0097459F">
        <w:t>, o endereço na rede mundial de computadores em que a lâmina possa ser obtida, nos casos em que esta seja obrigatória.</w:t>
      </w:r>
    </w:p>
    <w:p w14:paraId="016C47B9" w14:textId="77777777" w:rsidR="00C20BBD" w:rsidRPr="0097459F" w:rsidRDefault="00C20BBD" w:rsidP="00C20BBD">
      <w:pPr>
        <w:pStyle w:val="Normalalteradora"/>
        <w:ind w:firstLine="709"/>
      </w:pPr>
      <w:r w:rsidRPr="0097459F">
        <w:t>Art. 24.  Caso o material de divulgação inclua informação sobre a rentabilidade da classe de cotas, em acréscimo às informações contidas no art. 56 da parte geral da Resolução, deve ser informada a taxa de performance, se houver, conforme expressa no regulamento vigente nos últimos 12 (doze) meses ou desde sua constituição, se mais recente.</w:t>
      </w:r>
    </w:p>
    <w:p w14:paraId="32084253" w14:textId="77777777" w:rsidR="00C20BBD" w:rsidRPr="0097459F" w:rsidRDefault="00C20BBD" w:rsidP="00C20BBD">
      <w:pPr>
        <w:pStyle w:val="Normalalteradora"/>
        <w:ind w:firstLine="709"/>
      </w:pPr>
      <w:r w:rsidRPr="0097459F">
        <w:t>Art. 25.  Caso a classe seja destinada ao público em geral e sua política de investimentos admita a aquisição de precatórios federais, o material de divulgação deve destacar os riscos específicos do investimento nesse tipo de ativo.</w:t>
      </w:r>
    </w:p>
    <w:p w14:paraId="01E533E3" w14:textId="209036EB" w:rsidR="00C20BBD" w:rsidRPr="0097459F" w:rsidRDefault="00C20BBD" w:rsidP="00C20BBD">
      <w:pPr>
        <w:pStyle w:val="Normalalteradora"/>
        <w:ind w:firstLine="709"/>
      </w:pPr>
      <w:r w:rsidRPr="0097459F">
        <w:t xml:space="preserve">Art. 26.  As disposições constantes da Seção III do Capítulo V da </w:t>
      </w:r>
      <w:r w:rsidR="00B51EDE">
        <w:t xml:space="preserve">parte geral da </w:t>
      </w:r>
      <w:r w:rsidRPr="0097459F">
        <w:t>Resolução não se aplicam à lâmina.</w:t>
      </w:r>
    </w:p>
    <w:p w14:paraId="51044040" w14:textId="77777777" w:rsidR="00C20BBD" w:rsidRPr="0097459F" w:rsidRDefault="00C20BBD" w:rsidP="00C20BBD">
      <w:pPr>
        <w:pStyle w:val="Captulo"/>
      </w:pPr>
      <w:bookmarkStart w:id="611" w:name="_Toc53594278"/>
      <w:bookmarkStart w:id="612" w:name="_Toc53594526"/>
      <w:bookmarkStart w:id="613" w:name="_Toc53595551"/>
      <w:bookmarkStart w:id="614" w:name="_Toc57836288"/>
      <w:bookmarkStart w:id="615" w:name="_Toc126226396"/>
      <w:r w:rsidRPr="0097459F">
        <w:lastRenderedPageBreak/>
        <w:t>CAPÍTULO VI – INFORMAÇÕES</w:t>
      </w:r>
      <w:bookmarkEnd w:id="611"/>
      <w:bookmarkEnd w:id="612"/>
      <w:bookmarkEnd w:id="613"/>
      <w:bookmarkEnd w:id="614"/>
      <w:bookmarkEnd w:id="615"/>
    </w:p>
    <w:p w14:paraId="2B21C2F7" w14:textId="77777777" w:rsidR="00C20BBD" w:rsidRPr="0097459F" w:rsidRDefault="00C20BBD" w:rsidP="00C20BBD">
      <w:pPr>
        <w:pStyle w:val="Normalalteradora"/>
        <w:ind w:firstLine="709"/>
      </w:pPr>
      <w:r w:rsidRPr="0097459F">
        <w:t>Art. 27.  O administrador é responsável por:</w:t>
      </w:r>
    </w:p>
    <w:p w14:paraId="49413926" w14:textId="77777777" w:rsidR="00C20BBD" w:rsidRPr="0097459F" w:rsidRDefault="00C20BBD" w:rsidP="00C20BBD">
      <w:pPr>
        <w:pStyle w:val="Normalalteradora"/>
        <w:ind w:firstLine="709"/>
      </w:pPr>
      <w:r w:rsidRPr="0097459F">
        <w:t>I – calcular e divulgar o valor da cota e do patrimônio líquido das classes e subclasses abertas, em periodicidade compatível com o prazo entre o pedido de resgate e seu pagamento, conforme previsto em regulamento;</w:t>
      </w:r>
    </w:p>
    <w:p w14:paraId="663A4237" w14:textId="77777777" w:rsidR="00C20BBD" w:rsidRPr="0097459F" w:rsidRDefault="00C20BBD" w:rsidP="00C20BBD">
      <w:pPr>
        <w:pStyle w:val="Normalalteradora"/>
        <w:ind w:firstLine="709"/>
      </w:pPr>
      <w:r w:rsidRPr="0097459F">
        <w:t>II – disponibilizar aos cotistas das classes destinadas ao público em geral, mensalmente, extrato de conta contendo:</w:t>
      </w:r>
    </w:p>
    <w:p w14:paraId="640B28E5" w14:textId="77777777" w:rsidR="00C20BBD" w:rsidRPr="0097459F" w:rsidRDefault="00C20BBD" w:rsidP="00C20BBD">
      <w:pPr>
        <w:pStyle w:val="Normalalteradora"/>
        <w:ind w:firstLine="709"/>
      </w:pPr>
      <w:r w:rsidRPr="0097459F">
        <w:t>a) nome do fundo e, se for o caso, da classe a que se referirem as informações, e os números de seus registros no CNPJ;</w:t>
      </w:r>
    </w:p>
    <w:p w14:paraId="1B2CCF22" w14:textId="77777777" w:rsidR="00C20BBD" w:rsidRPr="0097459F" w:rsidRDefault="00C20BBD" w:rsidP="00C20BBD">
      <w:pPr>
        <w:pStyle w:val="Normalalteradora"/>
        <w:ind w:firstLine="709"/>
      </w:pPr>
      <w:r w:rsidRPr="0097459F">
        <w:t>b) nome, endereço e número de registro do administrador no CNPJ;</w:t>
      </w:r>
    </w:p>
    <w:p w14:paraId="2112FB15" w14:textId="77777777" w:rsidR="00C20BBD" w:rsidRPr="0097459F" w:rsidRDefault="00C20BBD" w:rsidP="00C20BBD">
      <w:pPr>
        <w:pStyle w:val="Normalalteradora"/>
        <w:ind w:firstLine="709"/>
      </w:pPr>
      <w:r w:rsidRPr="0097459F">
        <w:t>c) nome do cotista;</w:t>
      </w:r>
    </w:p>
    <w:p w14:paraId="70372327" w14:textId="77777777" w:rsidR="00C20BBD" w:rsidRPr="0097459F" w:rsidRDefault="00C20BBD" w:rsidP="00C20BBD">
      <w:pPr>
        <w:pStyle w:val="Normalalteradora"/>
        <w:ind w:firstLine="709"/>
      </w:pPr>
      <w:r w:rsidRPr="0097459F">
        <w:t>d) saldo e valor das cotas no início e no final do período;</w:t>
      </w:r>
    </w:p>
    <w:p w14:paraId="0E4C76CC" w14:textId="77777777" w:rsidR="00C20BBD" w:rsidRPr="0097459F" w:rsidRDefault="00C20BBD" w:rsidP="00C20BBD">
      <w:pPr>
        <w:pStyle w:val="Normalalteradora"/>
        <w:ind w:firstLine="709"/>
      </w:pPr>
      <w:r w:rsidRPr="0097459F">
        <w:t>e) data de emissão do extrato da conta; e</w:t>
      </w:r>
    </w:p>
    <w:p w14:paraId="26762BAE" w14:textId="1C3D0081" w:rsidR="00C20BBD" w:rsidRPr="0097459F" w:rsidRDefault="00C20BBD" w:rsidP="00C20BBD">
      <w:pPr>
        <w:pStyle w:val="Normalalteradora"/>
        <w:ind w:firstLine="709"/>
      </w:pPr>
      <w:r w:rsidRPr="0097459F">
        <w:t xml:space="preserve">f) </w:t>
      </w:r>
      <w:r w:rsidR="002F0393">
        <w:t>canais de atendimento</w:t>
      </w:r>
      <w:r w:rsidRPr="0097459F">
        <w:t xml:space="preserve"> para correspondência do serviço de atendimento aos cotistas referido no inciso VI do art. 104 da parte geral </w:t>
      </w:r>
      <w:r w:rsidR="00B51EDE">
        <w:t xml:space="preserve">da </w:t>
      </w:r>
      <w:r w:rsidRPr="0097459F">
        <w:t>Resolução;</w:t>
      </w:r>
    </w:p>
    <w:p w14:paraId="1E767533" w14:textId="3815E13E" w:rsidR="00C20BBD" w:rsidRPr="0097459F" w:rsidRDefault="00C20BBD" w:rsidP="00C20BBD">
      <w:pPr>
        <w:pStyle w:val="Normalalteradora"/>
        <w:ind w:firstLine="709"/>
      </w:pPr>
      <w:r w:rsidRPr="0097459F">
        <w:t>III – encaminhar o informe mensal à CVM,</w:t>
      </w:r>
      <w:bookmarkStart w:id="616" w:name="_Hlk51255827"/>
      <w:r w:rsidRPr="0097459F">
        <w:t xml:space="preserve"> por meio de sistema eletrônico disponível na rede mundial de computadores</w:t>
      </w:r>
      <w:bookmarkEnd w:id="616"/>
      <w:r w:rsidRPr="0097459F">
        <w:t xml:space="preserve">, conforme modelo disposto no Suplemento </w:t>
      </w:r>
      <w:r w:rsidR="005C69F0" w:rsidRPr="0097459F">
        <w:t>G</w:t>
      </w:r>
      <w:r w:rsidRPr="0097459F">
        <w:t>, observando o prazo de 15 (quinze) dias após o encerramento do mês a que se referirem as informações;</w:t>
      </w:r>
    </w:p>
    <w:p w14:paraId="417AE7D7" w14:textId="77777777" w:rsidR="00C20BBD" w:rsidRPr="0097459F" w:rsidRDefault="00C20BBD" w:rsidP="00C20BBD">
      <w:pPr>
        <w:pStyle w:val="Normalalteradora"/>
        <w:ind w:firstLine="709"/>
      </w:pPr>
      <w:r w:rsidRPr="0097459F">
        <w:t>IV – encaminhar o demonstrativo de composição e diversificação das aplicações das classes de investimento em cotas à CVM, mensalmente, por meio de sistema eletrônico disponível na rede mundial de computadores, conforme formulário disponível no referido sistema, observando o prazo de 15 (quinze) dias após o encerramento do mês a que se referirem as informações; e</w:t>
      </w:r>
    </w:p>
    <w:p w14:paraId="231CF36E" w14:textId="77777777" w:rsidR="00C20BBD" w:rsidRPr="0097459F" w:rsidRDefault="00C20BBD" w:rsidP="00C20BBD">
      <w:pPr>
        <w:pStyle w:val="Normalalteradora"/>
        <w:ind w:firstLine="709"/>
      </w:pPr>
      <w:r w:rsidRPr="0097459F">
        <w:t>V – encaminhar o demonstrativo trimestral à CVM, por meio de sistema eletrônico disponível na rede mundial de computadores, no prazo de 45 (quarenta e cinco) dias após o encerramento do trimestre civil a que se referirem as informações, evidenciando:</w:t>
      </w:r>
    </w:p>
    <w:p w14:paraId="28B39203" w14:textId="3EC49388" w:rsidR="00C20BBD" w:rsidRPr="0097459F" w:rsidRDefault="00C20BBD" w:rsidP="00C20BBD">
      <w:pPr>
        <w:pStyle w:val="Normalalteradora"/>
        <w:ind w:firstLine="709"/>
      </w:pPr>
      <w:r w:rsidRPr="0097459F">
        <w:lastRenderedPageBreak/>
        <w:t xml:space="preserve">a) os resultados da última verificação do lastro dos direitos creditórios realizado pelo custodiante, nos termos do art. 38 deste </w:t>
      </w:r>
      <w:r w:rsidR="00FB1127" w:rsidRPr="0097459F">
        <w:t>Anexo Normativo II</w:t>
      </w:r>
      <w:r w:rsidRPr="0097459F">
        <w:t>, explicitando, dentre o universo analisado, a quantidade e a relevância dos créditos inexistentes porventura encontrados;</w:t>
      </w:r>
    </w:p>
    <w:p w14:paraId="0BF548C5" w14:textId="77777777" w:rsidR="00C20BBD" w:rsidRPr="0097459F" w:rsidRDefault="00C20BBD" w:rsidP="00C20BBD">
      <w:pPr>
        <w:pStyle w:val="Normalalteradora"/>
        <w:ind w:firstLine="709"/>
      </w:pPr>
      <w:r w:rsidRPr="0097459F">
        <w:t>b) os resultados do registro dos direitos creditórios no que se refere à origem, existência e exigibilidade desses ativos, explicitando a quantidade e a relevância dos créditos que não foram aceitos para registro;</w:t>
      </w:r>
    </w:p>
    <w:p w14:paraId="5BF57293" w14:textId="77777777" w:rsidR="00C20BBD" w:rsidRPr="0097459F" w:rsidRDefault="00C20BBD" w:rsidP="00C20BBD">
      <w:pPr>
        <w:pStyle w:val="Normalalteradora"/>
        <w:ind w:firstLine="709"/>
      </w:pPr>
      <w:r w:rsidRPr="0097459F">
        <w:t>c) o eventual ajuizamento de ação judicial de cobrança ou propositura de processo administrativo, judicial ou arbitral envolvendo a classe de cotas, bem como a indicação do percentual do patrimônio envolvido e em risco;</w:t>
      </w:r>
    </w:p>
    <w:p w14:paraId="72395667" w14:textId="6D1CCDAB" w:rsidR="00C20BBD" w:rsidRPr="0097459F" w:rsidRDefault="00C20BBD" w:rsidP="00C20BBD">
      <w:pPr>
        <w:pStyle w:val="Normalalteradora"/>
        <w:ind w:firstLine="709"/>
      </w:pPr>
      <w:r w:rsidRPr="0097459F">
        <w:t>d) informações contidas no relatório trimestral do gestor a que se refere o § 3º deste artigo;</w:t>
      </w:r>
      <w:r w:rsidR="00D72A68">
        <w:t xml:space="preserve"> </w:t>
      </w:r>
      <w:r w:rsidR="00B51EDE">
        <w:t>e</w:t>
      </w:r>
    </w:p>
    <w:p w14:paraId="1CB4A7EE" w14:textId="77777777" w:rsidR="00C20BBD" w:rsidRPr="0097459F" w:rsidRDefault="00C20BBD" w:rsidP="00C20BBD">
      <w:pPr>
        <w:pStyle w:val="Normalalteradora"/>
        <w:ind w:firstLine="709"/>
      </w:pPr>
      <w:r w:rsidRPr="0097459F">
        <w:t>e) no caso de classe destinada ao público em geral que adquira precatórios federais:</w:t>
      </w:r>
    </w:p>
    <w:p w14:paraId="599B0856" w14:textId="77777777" w:rsidR="00C20BBD" w:rsidRPr="0097459F" w:rsidRDefault="00C20BBD" w:rsidP="00C20BBD">
      <w:pPr>
        <w:pStyle w:val="Normalalteradora"/>
        <w:ind w:firstLine="709"/>
      </w:pPr>
      <w:r w:rsidRPr="0097459F">
        <w:t>1. se o precatório permanece na ordem de pagamento da União; e</w:t>
      </w:r>
    </w:p>
    <w:p w14:paraId="2B9BB1E5" w14:textId="77777777" w:rsidR="00C20BBD" w:rsidRPr="0097459F" w:rsidRDefault="00C20BBD" w:rsidP="00C20BBD">
      <w:pPr>
        <w:pStyle w:val="Normalalteradora"/>
        <w:ind w:firstLine="709"/>
      </w:pPr>
      <w:r w:rsidRPr="0097459F">
        <w:t>2. sobre eventual existência de impugnação judicial ou fatos supervenientes capazes de alterar a ordem ou o prazo de pagamento do precatório e avaliação, fundamentada, sobre a chance de êxito das impugnações.</w:t>
      </w:r>
    </w:p>
    <w:p w14:paraId="0F047230" w14:textId="77777777" w:rsidR="00C20BBD" w:rsidRPr="0097459F" w:rsidRDefault="00C20BBD" w:rsidP="00C20BBD">
      <w:pPr>
        <w:pStyle w:val="Normalalteradora"/>
        <w:ind w:firstLine="709"/>
      </w:pPr>
      <w:r w:rsidRPr="0097459F">
        <w:t xml:space="preserve">§ 1º  O administrador está dispensado de disponibilizar o extrato de que trata o inciso II do </w:t>
      </w:r>
      <w:r w:rsidRPr="0097459F">
        <w:rPr>
          <w:b/>
        </w:rPr>
        <w:t>caput</w:t>
      </w:r>
      <w:r w:rsidRPr="0097459F">
        <w:t xml:space="preserve"> para os cotistas que expressamente concordarem em não receber o documento.</w:t>
      </w:r>
    </w:p>
    <w:p w14:paraId="389D66AB" w14:textId="77777777" w:rsidR="00C20BBD" w:rsidRPr="0097459F" w:rsidRDefault="00C20BBD" w:rsidP="00C20BBD">
      <w:pPr>
        <w:pStyle w:val="Normalalteradora"/>
        <w:ind w:firstLine="709"/>
      </w:pPr>
      <w:r w:rsidRPr="0097459F">
        <w:t xml:space="preserve">§ 2º  A informação de que trata a alínea “c” do inciso V do </w:t>
      </w:r>
      <w:r w:rsidRPr="0097459F">
        <w:rPr>
          <w:b/>
          <w:bCs/>
        </w:rPr>
        <w:t>caput</w:t>
      </w:r>
      <w:r w:rsidRPr="0097459F">
        <w:t>:</w:t>
      </w:r>
    </w:p>
    <w:p w14:paraId="09786FB0" w14:textId="77777777" w:rsidR="00C20BBD" w:rsidRPr="0097459F" w:rsidRDefault="00C20BBD" w:rsidP="00C20BBD">
      <w:pPr>
        <w:pStyle w:val="Normalalteradora"/>
        <w:ind w:firstLine="709"/>
      </w:pPr>
      <w:r w:rsidRPr="0097459F">
        <w:t>I – pode ser dada de forma agregada, caso a quantidade e valores envolvidos nas ações judiciais e arbitrais assim justifiquem; ou</w:t>
      </w:r>
    </w:p>
    <w:p w14:paraId="6C6163F0" w14:textId="77777777" w:rsidR="00C20BBD" w:rsidRPr="0097459F" w:rsidRDefault="00C20BBD" w:rsidP="00C20BBD">
      <w:pPr>
        <w:pStyle w:val="Normalalteradora"/>
        <w:ind w:firstLine="709"/>
      </w:pPr>
      <w:r w:rsidRPr="0097459F">
        <w:t>II – pode ser omitida do demonstrativo trimestral, a critério do gestor, caso sua divulgação possa prejudicar a estratégia de cobrança ou fomentar a inadimplência de direitos creditórios.</w:t>
      </w:r>
    </w:p>
    <w:p w14:paraId="6F43E672" w14:textId="77777777" w:rsidR="00C20BBD" w:rsidRPr="0097459F" w:rsidRDefault="00C20BBD" w:rsidP="00C20BBD">
      <w:pPr>
        <w:pStyle w:val="Normalalteradora"/>
        <w:ind w:firstLine="709"/>
      </w:pPr>
      <w:r w:rsidRPr="0097459F">
        <w:t xml:space="preserve">§ 3º  Para efeitos da alínea “d” do inciso V do </w:t>
      </w:r>
      <w:r w:rsidRPr="0097459F">
        <w:rPr>
          <w:b/>
          <w:bCs/>
        </w:rPr>
        <w:t>caput</w:t>
      </w:r>
      <w:r w:rsidRPr="0097459F">
        <w:t>, o gestor deve elaborar e encaminhar ao administrador, em até 40 (quarenta) dias após o encerramento do trimestre civil a que se referir, relatório contendo:</w:t>
      </w:r>
    </w:p>
    <w:p w14:paraId="1AEC91C9" w14:textId="77777777" w:rsidR="00C20BBD" w:rsidRPr="0097459F" w:rsidRDefault="00C20BBD" w:rsidP="00C20BBD">
      <w:pPr>
        <w:pStyle w:val="Normalalteradora"/>
        <w:ind w:firstLine="709"/>
      </w:pPr>
      <w:r w:rsidRPr="0097459F">
        <w:t>I – os efeitos de eventual alteração na política de investimento sobre a rentabilidade da carteira de ativos;</w:t>
      </w:r>
    </w:p>
    <w:p w14:paraId="00A194EE" w14:textId="77777777" w:rsidR="00C20BBD" w:rsidRPr="0097459F" w:rsidRDefault="00C20BBD" w:rsidP="00C20BBD">
      <w:pPr>
        <w:pStyle w:val="Normalalteradora"/>
        <w:ind w:firstLine="709"/>
      </w:pPr>
      <w:r w:rsidRPr="0097459F">
        <w:lastRenderedPageBreak/>
        <w:t>II – em relação aos originadores que representem individualmente 10% (dez por cento) ou mais da carteira de direitos creditórios no trimestre:</w:t>
      </w:r>
    </w:p>
    <w:p w14:paraId="51DB17D2" w14:textId="77777777" w:rsidR="00C20BBD" w:rsidRPr="0097459F" w:rsidRDefault="00C20BBD" w:rsidP="00C20BBD">
      <w:pPr>
        <w:pStyle w:val="Normalalteradora"/>
        <w:ind w:firstLine="709"/>
      </w:pPr>
      <w:r w:rsidRPr="0097459F">
        <w:t>a) critérios para a concessão de crédito adotados pelos originadores, caso tais critérios não tenham sido descritos no regulamento ou em outros demonstrativos trimestrais; e</w:t>
      </w:r>
    </w:p>
    <w:p w14:paraId="5D2DB751" w14:textId="77777777" w:rsidR="00C20BBD" w:rsidRPr="0097459F" w:rsidRDefault="00C20BBD" w:rsidP="00C20BBD">
      <w:pPr>
        <w:pStyle w:val="Normalalteradora"/>
        <w:ind w:firstLine="709"/>
      </w:pPr>
      <w:r w:rsidRPr="0097459F">
        <w:t>b) eventuais alterações nos critérios para a concessão de crédito adotados por tais originadores, caso os critérios adotados já tenham sido descritos no regulamento ou em outros demonstrativos trimestrais;</w:t>
      </w:r>
    </w:p>
    <w:p w14:paraId="3DDE9689" w14:textId="77777777" w:rsidR="00C20BBD" w:rsidRPr="0097459F" w:rsidRDefault="00C20BBD" w:rsidP="00C20BBD">
      <w:pPr>
        <w:pStyle w:val="Normalalteradora"/>
        <w:ind w:firstLine="709"/>
      </w:pPr>
      <w:r w:rsidRPr="0097459F">
        <w:t>III – eventuais alterações nas garantias existentes para o conjunto de direitos creditórios;</w:t>
      </w:r>
    </w:p>
    <w:p w14:paraId="1F41E621" w14:textId="77777777" w:rsidR="00C20BBD" w:rsidRPr="0097459F" w:rsidRDefault="00C20BBD" w:rsidP="00C20BBD">
      <w:pPr>
        <w:pStyle w:val="Normalalteradora"/>
        <w:ind w:firstLine="709"/>
      </w:pPr>
      <w:r w:rsidRPr="0097459F">
        <w:t>IV – forma como se operou a cessão dos direitos creditórios, incluindo:</w:t>
      </w:r>
    </w:p>
    <w:p w14:paraId="3E264A18" w14:textId="77777777" w:rsidR="00C20BBD" w:rsidRPr="0097459F" w:rsidRDefault="00C20BBD" w:rsidP="00C20BBD">
      <w:pPr>
        <w:pStyle w:val="Normalalteradora"/>
        <w:ind w:firstLine="709"/>
      </w:pPr>
      <w:r w:rsidRPr="0097459F">
        <w:t>a) descrição de contratos relevantes firmados com esse propósito, se houver; e</w:t>
      </w:r>
    </w:p>
    <w:p w14:paraId="5DF546D8" w14:textId="77777777" w:rsidR="00C20BBD" w:rsidRPr="0097459F" w:rsidRDefault="00C20BBD" w:rsidP="00C20BBD">
      <w:pPr>
        <w:pStyle w:val="Normalalteradora"/>
        <w:ind w:firstLine="709"/>
      </w:pPr>
      <w:r w:rsidRPr="0097459F">
        <w:t>b) indicação do caráter definitivo, ou não, da cessão de direitos creditórios;</w:t>
      </w:r>
    </w:p>
    <w:p w14:paraId="25ABBB4A" w14:textId="77777777" w:rsidR="00C20BBD" w:rsidRPr="0097459F" w:rsidRDefault="00C20BBD" w:rsidP="00C20BBD">
      <w:pPr>
        <w:pStyle w:val="Normalalteradora"/>
        <w:ind w:firstLine="709"/>
      </w:pPr>
      <w:r w:rsidRPr="0097459F">
        <w:t>V – impacto dos eventos de pré-pagamento no valor do patrimônio líquido e na rentabilidade da carteira;</w:t>
      </w:r>
    </w:p>
    <w:p w14:paraId="483CD229" w14:textId="77777777" w:rsidR="00C20BBD" w:rsidRPr="0097459F" w:rsidRDefault="00C20BBD" w:rsidP="00C20BBD">
      <w:pPr>
        <w:pStyle w:val="Normalalteradora"/>
        <w:ind w:firstLine="709"/>
      </w:pPr>
      <w:r w:rsidRPr="0097459F">
        <w:t>VI – condições de alienação, a qualquer título, de direitos creditórios, incluindo:</w:t>
      </w:r>
    </w:p>
    <w:p w14:paraId="60574549" w14:textId="77777777" w:rsidR="00C20BBD" w:rsidRPr="0097459F" w:rsidRDefault="00C20BBD" w:rsidP="00C20BBD">
      <w:pPr>
        <w:pStyle w:val="Normalalteradora"/>
        <w:ind w:firstLine="709"/>
      </w:pPr>
      <w:r w:rsidRPr="0097459F">
        <w:t>a) momento da alienação (antes ou depois do vencimento); e</w:t>
      </w:r>
    </w:p>
    <w:p w14:paraId="0F09EBEC" w14:textId="77777777" w:rsidR="00C20BBD" w:rsidRPr="0097459F" w:rsidRDefault="00C20BBD" w:rsidP="00C20BBD">
      <w:pPr>
        <w:pStyle w:val="Normalalteradora"/>
        <w:ind w:firstLine="709"/>
      </w:pPr>
      <w:r w:rsidRPr="0097459F">
        <w:t>b) motivação da alienação;</w:t>
      </w:r>
    </w:p>
    <w:p w14:paraId="0AAC6D84" w14:textId="77777777" w:rsidR="00C20BBD" w:rsidRPr="0097459F" w:rsidRDefault="00C20BBD" w:rsidP="00C20BBD">
      <w:pPr>
        <w:pStyle w:val="Normalalteradora"/>
        <w:ind w:firstLine="709"/>
      </w:pPr>
      <w:r w:rsidRPr="0097459F">
        <w:t>VII – impacto no valor do patrimônio líquido e na rentabilidade da carteira de ativos de uma possível descontinuidade, a qualquer título, da originação ou cessão de direitos creditórios; e</w:t>
      </w:r>
    </w:p>
    <w:p w14:paraId="13F21DF3" w14:textId="77777777" w:rsidR="00C20BBD" w:rsidRPr="0097459F" w:rsidRDefault="00C20BBD" w:rsidP="00C20BBD">
      <w:pPr>
        <w:pStyle w:val="Normalalteradora"/>
        <w:ind w:firstLine="709"/>
      </w:pPr>
      <w:r w:rsidRPr="0097459F">
        <w:t>VIII – informações sobre fatos ocorridos que afetaram a regularidade dos fluxos financeiros oriundos dos direitos creditórios, incluindo, mas não se limitando, a quaisquer eventos que acarretem na liquidação ou amortização antecipada de direitos creditórios.</w:t>
      </w:r>
    </w:p>
    <w:p w14:paraId="4A73A135" w14:textId="77777777" w:rsidR="00C20BBD" w:rsidRPr="0097459F" w:rsidRDefault="00C20BBD" w:rsidP="00C20BBD">
      <w:pPr>
        <w:pStyle w:val="Normalalteradora"/>
        <w:ind w:firstLine="709"/>
      </w:pPr>
      <w:r w:rsidRPr="0097459F">
        <w:t xml:space="preserve">§ 4º  O administrador deve diligenciar junto ao gestor para o cumprimento do disposto na alínea “d” do inciso V do </w:t>
      </w:r>
      <w:r w:rsidRPr="0097459F">
        <w:rPr>
          <w:b/>
          <w:bCs/>
        </w:rPr>
        <w:t>caput</w:t>
      </w:r>
      <w:r w:rsidRPr="0097459F">
        <w:t>, devendo notificar o gestor e comunicar imediatamente à CVM caso não receba a informação no prazo estipulado no § 3º.</w:t>
      </w:r>
    </w:p>
    <w:p w14:paraId="50FC555B" w14:textId="77777777" w:rsidR="00C20BBD" w:rsidRPr="0097459F" w:rsidRDefault="00C20BBD" w:rsidP="00C20BBD">
      <w:pPr>
        <w:pStyle w:val="Captulo"/>
        <w:ind w:firstLine="709"/>
      </w:pPr>
      <w:bookmarkStart w:id="617" w:name="_Toc53594279"/>
      <w:bookmarkStart w:id="618" w:name="_Toc53594527"/>
      <w:bookmarkStart w:id="619" w:name="_Toc53595552"/>
      <w:bookmarkStart w:id="620" w:name="_Toc57836289"/>
      <w:bookmarkStart w:id="621" w:name="_Toc126226397"/>
      <w:r w:rsidRPr="0097459F">
        <w:lastRenderedPageBreak/>
        <w:t>CAPÍTULO VII – ASSEMBLEIAS DE COTISTAS</w:t>
      </w:r>
      <w:bookmarkEnd w:id="617"/>
      <w:bookmarkEnd w:id="618"/>
      <w:bookmarkEnd w:id="619"/>
      <w:bookmarkEnd w:id="620"/>
      <w:bookmarkEnd w:id="621"/>
    </w:p>
    <w:p w14:paraId="7B635B7F" w14:textId="77777777" w:rsidR="00C20BBD" w:rsidRPr="0097459F" w:rsidRDefault="00C20BBD" w:rsidP="00C20BBD">
      <w:pPr>
        <w:pStyle w:val="Normalalteradora"/>
        <w:ind w:firstLine="709"/>
      </w:pPr>
      <w:r w:rsidRPr="0097459F">
        <w:t>Art. 28.  Caso a classe possua subclasses de cotas, para fins de quórum em assembleia de cotistas, o regulamento do fundo deve dispor sobre os votos atribuídos a cada subclasse na assembleia.</w:t>
      </w:r>
    </w:p>
    <w:p w14:paraId="2DBA165E" w14:textId="77777777" w:rsidR="00C20BBD" w:rsidRPr="0097459F" w:rsidRDefault="00C20BBD" w:rsidP="00C20BBD">
      <w:pPr>
        <w:pStyle w:val="Normalalteradora"/>
        <w:ind w:firstLine="709"/>
      </w:pPr>
      <w:r w:rsidRPr="0097459F">
        <w:t>Parágrafo único.  Caso a matéria em deliberação resulte ou possa resultar em uma redução do índice de subordinação de uma determinada subclasse de cotas, somente podem votar os titulares de cotas seniores, assim como titulares de cotas mezanino que não se subordinem à subclasse em deliberação.</w:t>
      </w:r>
    </w:p>
    <w:p w14:paraId="56F8D81B" w14:textId="77777777" w:rsidR="00C20BBD" w:rsidRPr="0097459F" w:rsidRDefault="00C20BBD" w:rsidP="00C20BBD">
      <w:pPr>
        <w:pStyle w:val="Normalalteradora"/>
        <w:ind w:firstLine="709"/>
      </w:pPr>
      <w:r w:rsidRPr="0097459F">
        <w:t>Art. 29.  Em acréscimo aos documentos previstos no art. 51 da parte geral da Resolução, na data do início da vigência das alterações deliberadas em assembleia, o administrador deve encaminhar a lâmina atualizada, se aplicável, por meio de sistema eletrônico na rede mundial de computadores.</w:t>
      </w:r>
    </w:p>
    <w:p w14:paraId="23877A59" w14:textId="35CB1A55" w:rsidR="00C20BBD" w:rsidRPr="0097459F" w:rsidRDefault="00C20BBD" w:rsidP="00C20BBD">
      <w:pPr>
        <w:pStyle w:val="Captulo"/>
        <w:ind w:firstLine="709"/>
      </w:pPr>
      <w:bookmarkStart w:id="622" w:name="_Toc53594280"/>
      <w:bookmarkStart w:id="623" w:name="_Toc53594528"/>
      <w:bookmarkStart w:id="624" w:name="_Toc53595553"/>
      <w:bookmarkStart w:id="625" w:name="_Toc57836290"/>
      <w:bookmarkStart w:id="626" w:name="_Toc126226398"/>
      <w:r w:rsidRPr="0097459F">
        <w:t xml:space="preserve">CAPÍTULO VIII – </w:t>
      </w:r>
      <w:bookmarkEnd w:id="594"/>
      <w:r w:rsidRPr="0097459F">
        <w:t>PRESTAÇÃO DE SERVIÇOS</w:t>
      </w:r>
      <w:bookmarkEnd w:id="622"/>
      <w:bookmarkEnd w:id="623"/>
      <w:bookmarkEnd w:id="624"/>
      <w:bookmarkEnd w:id="625"/>
      <w:bookmarkEnd w:id="626"/>
    </w:p>
    <w:p w14:paraId="1F6D6972" w14:textId="77777777" w:rsidR="00C20BBD" w:rsidRPr="0097459F" w:rsidRDefault="00C20BBD" w:rsidP="00C20BBD">
      <w:pPr>
        <w:pStyle w:val="Seo"/>
        <w:ind w:firstLine="709"/>
      </w:pPr>
      <w:bookmarkStart w:id="627" w:name="_Toc507331281"/>
      <w:bookmarkStart w:id="628" w:name="_Toc53594281"/>
      <w:bookmarkStart w:id="629" w:name="_Toc53594529"/>
      <w:bookmarkStart w:id="630" w:name="_Toc53595554"/>
      <w:bookmarkStart w:id="631" w:name="_Toc57836291"/>
      <w:bookmarkStart w:id="632" w:name="_Toc126226399"/>
      <w:r w:rsidRPr="0097459F">
        <w:t xml:space="preserve">Seção I – </w:t>
      </w:r>
      <w:bookmarkEnd w:id="627"/>
      <w:r w:rsidRPr="0097459F">
        <w:t>Administração</w:t>
      </w:r>
      <w:bookmarkEnd w:id="628"/>
      <w:bookmarkEnd w:id="629"/>
      <w:bookmarkEnd w:id="630"/>
      <w:bookmarkEnd w:id="631"/>
      <w:bookmarkEnd w:id="632"/>
    </w:p>
    <w:p w14:paraId="43730E55" w14:textId="77777777" w:rsidR="00C20BBD" w:rsidRPr="0097459F" w:rsidRDefault="00C20BBD" w:rsidP="00C20BBD">
      <w:pPr>
        <w:pStyle w:val="Normalalteradora"/>
        <w:ind w:firstLine="709"/>
        <w:rPr>
          <w:rFonts w:eastAsia="Calibri"/>
        </w:rPr>
      </w:pPr>
      <w:r w:rsidRPr="0097459F">
        <w:t xml:space="preserve">Art. 30.  Em acréscimo aos serviços previstos no </w:t>
      </w:r>
      <w:r w:rsidRPr="0097459F">
        <w:rPr>
          <w:rFonts w:eastAsia="Calibri"/>
        </w:rPr>
        <w:t>art. 83 da parte geral da Resolução,</w:t>
      </w:r>
      <w:r w:rsidRPr="0097459F">
        <w:t xml:space="preserve"> o administrador deve contratar, em nome do fundo, os seguintes serviços:</w:t>
      </w:r>
    </w:p>
    <w:p w14:paraId="2FF9BD81" w14:textId="347F469B" w:rsidR="00C20BBD" w:rsidRDefault="00C20BBD" w:rsidP="00C20BBD">
      <w:pPr>
        <w:pStyle w:val="Normalalteradora"/>
        <w:ind w:firstLine="709"/>
      </w:pPr>
      <w:r w:rsidRPr="0097459F">
        <w:t xml:space="preserve">I – registro de direitos creditórios em entidade registradora autorizada pelo Banco Central do Brasil, observado que a entidade registradora não pode ser parte relacionada </w:t>
      </w:r>
      <w:r w:rsidR="00DC6C89">
        <w:t xml:space="preserve">ao </w:t>
      </w:r>
      <w:r w:rsidRPr="0097459F">
        <w:t>gestor ou da consultoria especializada;</w:t>
      </w:r>
    </w:p>
    <w:p w14:paraId="11C485E6" w14:textId="2762D4E9" w:rsidR="006767E3" w:rsidRPr="0097459F" w:rsidRDefault="006767E3" w:rsidP="006767E3">
      <w:pPr>
        <w:pStyle w:val="Normalalteradora"/>
        <w:ind w:firstLine="709"/>
      </w:pPr>
      <w:r>
        <w:t>II – custódia, alcançando os serviços previstos na Seção IV deste Capítulo VIII, se for o caso, e observado, ainda, que o custodiante não pode ser parte relacionada do gestor ou da consultoria especializada;</w:t>
      </w:r>
    </w:p>
    <w:p w14:paraId="4845A8DA" w14:textId="77777777" w:rsidR="00C20BBD" w:rsidRPr="0097459F" w:rsidRDefault="00C20BBD" w:rsidP="00C20BBD">
      <w:pPr>
        <w:pStyle w:val="Normalalteradora"/>
        <w:ind w:firstLine="709"/>
      </w:pPr>
      <w:r w:rsidRPr="0097459F">
        <w:t>III – custódia de valores mobiliários, se for o caso;</w:t>
      </w:r>
    </w:p>
    <w:p w14:paraId="336B889D" w14:textId="77777777" w:rsidR="00C20BBD" w:rsidRPr="0097459F" w:rsidRDefault="00C20BBD" w:rsidP="00C20BBD">
      <w:pPr>
        <w:pStyle w:val="Normalalteradora"/>
        <w:ind w:firstLine="709"/>
      </w:pPr>
      <w:r w:rsidRPr="0097459F">
        <w:t>IV – guarda da documentação que constitui o lastro dos direitos creditórios, a qual pode se dar por meio físico ou eletrônico; e</w:t>
      </w:r>
    </w:p>
    <w:p w14:paraId="3F64CB92" w14:textId="77777777" w:rsidR="00C20BBD" w:rsidRPr="0097459F" w:rsidRDefault="00C20BBD" w:rsidP="00C20BBD">
      <w:pPr>
        <w:pStyle w:val="Normalalteradora"/>
        <w:ind w:firstLine="709"/>
      </w:pPr>
      <w:r w:rsidRPr="0097459F">
        <w:t>V – liquidação física ou eletrônica e financeira dos direitos creditórios.</w:t>
      </w:r>
    </w:p>
    <w:p w14:paraId="18E28665" w14:textId="2F1F12B8" w:rsidR="00C20BBD" w:rsidRDefault="00C20BBD" w:rsidP="00C20BBD">
      <w:pPr>
        <w:pStyle w:val="Normalalteradora"/>
        <w:ind w:firstLine="709"/>
      </w:pPr>
      <w:r w:rsidRPr="0097459F">
        <w:t>§ 1º  O administrador deve diligenciar para que os prestadores de serviços por ele contratados possuam regras e procedimentos adequados, por escrito e passíveis de verificação, para permitir o efetivo controle sobre a movimentação da documentação relativa aos direitos creditórios.</w:t>
      </w:r>
    </w:p>
    <w:p w14:paraId="78CA9A57" w14:textId="77777777" w:rsidR="00695CEF" w:rsidRDefault="008E7465" w:rsidP="00695CEF">
      <w:pPr>
        <w:pStyle w:val="Normalalteradora"/>
        <w:ind w:firstLine="709"/>
      </w:pPr>
      <w:r>
        <w:lastRenderedPageBreak/>
        <w:t xml:space="preserve">§ 2º  </w:t>
      </w:r>
      <w:r w:rsidR="00695CEF" w:rsidRPr="00A97F20">
        <w:t xml:space="preserve">O cedente dos direitos creditórios pode ser contratado pelo administrador, em nome do fundo, </w:t>
      </w:r>
      <w:r w:rsidR="00695CEF">
        <w:t xml:space="preserve">exclusivamente </w:t>
      </w:r>
      <w:r w:rsidR="00695CEF" w:rsidRPr="00A97F20">
        <w:t>como agente de cobrança</w:t>
      </w:r>
      <w:r w:rsidR="00695CEF">
        <w:t xml:space="preserve"> dos créditos vencidos e não pagos.</w:t>
      </w:r>
    </w:p>
    <w:p w14:paraId="0F8FFA03" w14:textId="77777777" w:rsidR="00695CEF" w:rsidRPr="001700E5" w:rsidRDefault="00695CEF" w:rsidP="00695CEF">
      <w:pPr>
        <w:pStyle w:val="Normalalteradora"/>
        <w:ind w:firstLine="709"/>
      </w:pPr>
      <w:r>
        <w:t>§ 3º  Na classe destinada exclusivamente a investidor profissional e que não tenha as suas cotas admitidas à negociação, o originador e o cedente dos direitos creditórios podem ser contratados pelo administrador para efetuar a guarda dos documentos relativos aos direitos creditórios, desde que:</w:t>
      </w:r>
    </w:p>
    <w:p w14:paraId="2177090D" w14:textId="77777777" w:rsidR="00695CEF" w:rsidRPr="001700E5" w:rsidRDefault="00695CEF" w:rsidP="00695CEF">
      <w:pPr>
        <w:pStyle w:val="Normalalteradora"/>
        <w:ind w:firstLine="709"/>
      </w:pPr>
      <w:r>
        <w:t>I – a classe seja dedicada à aquisição de créditos inadimplidos, massificados, de reduzido valor médio e cedidos à classe por percentual inferior ao valor de face;</w:t>
      </w:r>
    </w:p>
    <w:p w14:paraId="6EA307E5" w14:textId="77777777" w:rsidR="00695CEF" w:rsidRDefault="00695CEF" w:rsidP="00695CEF">
      <w:pPr>
        <w:pStyle w:val="Normalalteradora"/>
        <w:ind w:firstLine="709"/>
      </w:pPr>
      <w:r w:rsidRPr="001700E5">
        <w:t xml:space="preserve">II – a cobrança dos créditos </w:t>
      </w:r>
      <w:r>
        <w:t>seja</w:t>
      </w:r>
      <w:r w:rsidRPr="001700E5">
        <w:t xml:space="preserve"> preponderantemente realizada, de forma extrajudicial;</w:t>
      </w:r>
    </w:p>
    <w:p w14:paraId="7F72C3AA" w14:textId="77777777" w:rsidR="00695CEF" w:rsidRPr="001700E5" w:rsidRDefault="00695CEF" w:rsidP="00695CEF">
      <w:pPr>
        <w:pStyle w:val="Normalalteradora"/>
        <w:ind w:firstLine="709"/>
      </w:pPr>
      <w:r>
        <w:t>III – haja prévia aprovação pela unanimidade dos cotistas, reunidos em assembleia geral, ou declaração de ciência do cotista por meio de termo de adesão;</w:t>
      </w:r>
    </w:p>
    <w:p w14:paraId="70C94B1D" w14:textId="77777777" w:rsidR="00695CEF" w:rsidRDefault="00695CEF" w:rsidP="00695CEF">
      <w:pPr>
        <w:pStyle w:val="Normalalteradora"/>
        <w:ind w:firstLine="709"/>
      </w:pPr>
      <w:r>
        <w:t xml:space="preserve">IV – todos contratos de cessão de direitos creditórios à classe </w:t>
      </w:r>
      <w:r w:rsidRPr="13D99D83">
        <w:rPr>
          <w:rFonts w:ascii="Calibri" w:eastAsia="Calibri" w:hAnsi="Calibri" w:cs="Calibri"/>
        </w:rPr>
        <w:t>contenham</w:t>
      </w:r>
      <w:r>
        <w:t xml:space="preserve"> cláusulas que prevejam a recompra ou indenização pelas cedentes, no mínimo pelo valor de aquisição pago pela classe, corrigidos, quando for o caso, na hipótese de a cedente não conseguir apresentar os documentos que comprovem a existência do crédito, ou de existirem óbices na documentação à efetiva cobrança do crédito;</w:t>
      </w:r>
    </w:p>
    <w:p w14:paraId="75538933" w14:textId="77777777" w:rsidR="00695CEF" w:rsidRPr="00AD1609" w:rsidRDefault="00695CEF" w:rsidP="00695CEF">
      <w:pPr>
        <w:pStyle w:val="Normalalteradora"/>
        <w:ind w:firstLine="709"/>
      </w:pPr>
      <w:r w:rsidRPr="002A3688">
        <w:t xml:space="preserve">V – o regulamento não preveja a dispensa de verificação do lastro, conforme prevista no art. </w:t>
      </w:r>
      <w:r>
        <w:t>36</w:t>
      </w:r>
      <w:r w:rsidRPr="002A3688">
        <w:t>, § 3º</w:t>
      </w:r>
      <w:r>
        <w:t>, deste Anexo Normativo II</w:t>
      </w:r>
      <w:r w:rsidRPr="002A3688">
        <w:t>; e</w:t>
      </w:r>
    </w:p>
    <w:p w14:paraId="20C35880" w14:textId="77777777" w:rsidR="00695CEF" w:rsidRPr="00AD1609" w:rsidRDefault="00695CEF" w:rsidP="00695CEF">
      <w:pPr>
        <w:pStyle w:val="Normalalteradora"/>
        <w:ind w:firstLine="709"/>
      </w:pPr>
      <w:r w:rsidRPr="005E2892">
        <w:t xml:space="preserve">VI – os demonstrativos trimestrais previstos no inciso V do </w:t>
      </w:r>
      <w:r w:rsidRPr="005E2892">
        <w:rPr>
          <w:b/>
        </w:rPr>
        <w:t>caput</w:t>
      </w:r>
      <w:r w:rsidRPr="005E2892">
        <w:t xml:space="preserve"> do art. 27 deste </w:t>
      </w:r>
      <w:r>
        <w:t>Anexo Normativo II</w:t>
      </w:r>
      <w:r w:rsidRPr="005E2892">
        <w:t xml:space="preserve"> divulguem a exposição da classe a cada cedente e o montante de créditos recomprados ou indenizados conforme o estabelecido no inciso IV deste artigo.</w:t>
      </w:r>
    </w:p>
    <w:p w14:paraId="6EC9FEC5" w14:textId="71F28E88" w:rsidR="008E7465" w:rsidRDefault="00695CEF" w:rsidP="00695CEF">
      <w:pPr>
        <w:pStyle w:val="Normalalteradora"/>
        <w:ind w:firstLine="709"/>
      </w:pPr>
      <w:r>
        <w:t>§ 4º</w:t>
      </w:r>
      <w:r w:rsidRPr="00926ACC">
        <w:t xml:space="preserve">  No caso de classe</w:t>
      </w:r>
      <w:r w:rsidRPr="00312CC6">
        <w:t xml:space="preserve"> </w:t>
      </w:r>
      <w:r>
        <w:t xml:space="preserve">exclusiva, </w:t>
      </w:r>
      <w:r w:rsidRPr="00312CC6">
        <w:t>fica dispensado o cumprimento do disposto no</w:t>
      </w:r>
      <w:r>
        <w:t>s</w:t>
      </w:r>
      <w:r w:rsidRPr="00312CC6">
        <w:t xml:space="preserve"> inciso</w:t>
      </w:r>
      <w:r>
        <w:t>s</w:t>
      </w:r>
      <w:r w:rsidRPr="00312CC6">
        <w:t xml:space="preserve"> III</w:t>
      </w:r>
      <w:r>
        <w:t xml:space="preserve"> e IV do § 3º deste artigo</w:t>
      </w:r>
      <w:r w:rsidRPr="00312CC6">
        <w:t>.</w:t>
      </w:r>
    </w:p>
    <w:p w14:paraId="524EEB26" w14:textId="4B5DA1B7" w:rsidR="00C20BBD" w:rsidRPr="0097459F" w:rsidRDefault="00C20BBD" w:rsidP="00C20BBD">
      <w:pPr>
        <w:pStyle w:val="Normalalteradora"/>
        <w:ind w:firstLine="709"/>
      </w:pPr>
      <w:r w:rsidRPr="0097459F">
        <w:t xml:space="preserve">Art. 31.  Em acréscimo às obrigações previstas na parte geral da Resolução e neste </w:t>
      </w:r>
      <w:r w:rsidR="00FB1127" w:rsidRPr="0097459F">
        <w:t>Anexo Normativo II</w:t>
      </w:r>
      <w:r w:rsidRPr="0097459F">
        <w:t>, o administrador é responsável pelas seguintes atividades:</w:t>
      </w:r>
    </w:p>
    <w:p w14:paraId="389FDFDB" w14:textId="77777777" w:rsidR="00C20BBD" w:rsidRPr="0097459F" w:rsidRDefault="00C20BBD" w:rsidP="00C20BBD">
      <w:pPr>
        <w:pStyle w:val="Normalalteradora"/>
        <w:ind w:firstLine="709"/>
      </w:pPr>
      <w:r w:rsidRPr="0097459F">
        <w:t>I – sem prejuízo da observância dos procedimentos relativos às demonstrações contábeis, manter, separadamente, registros com informações completas sobre toda e qualquer modalidade de negociação realizada entre o administrador, gestor, custodiante, entidade registradora, consultoria especializada e respectivas partes relacionadas, de um lado; e a classe de cotas, de outro;</w:t>
      </w:r>
    </w:p>
    <w:p w14:paraId="685BA03C" w14:textId="77777777" w:rsidR="00C20BBD" w:rsidRPr="0097459F" w:rsidRDefault="00C20BBD" w:rsidP="00C20BBD">
      <w:pPr>
        <w:pStyle w:val="Normalalteradora"/>
        <w:ind w:firstLine="709"/>
      </w:pPr>
      <w:r w:rsidRPr="0097459F">
        <w:lastRenderedPageBreak/>
        <w:t xml:space="preserve">II – </w:t>
      </w:r>
      <w:r w:rsidRPr="0097459F">
        <w:rPr>
          <w:rFonts w:ascii="Calibri" w:hAnsi="Calibri" w:cs="Calibri"/>
        </w:rPr>
        <w:t>encaminhar ao Sistema de Informações de Créditos do Banco Central do Brasil - SCR documento composto pelos dados individualizados de risco de crédito referentes a cada operação de crédito, conforme modelos disponíveis na página do Banco Central do Brasil na rede mundial de computadores</w:t>
      </w:r>
      <w:r w:rsidRPr="0097459F">
        <w:t>;</w:t>
      </w:r>
    </w:p>
    <w:p w14:paraId="1E1F092C" w14:textId="0B74F97F" w:rsidR="00C20BBD" w:rsidRPr="0097459F" w:rsidRDefault="00C20BBD" w:rsidP="00C20BBD">
      <w:pPr>
        <w:pStyle w:val="Normalalteradora"/>
        <w:ind w:firstLine="709"/>
        <w:rPr>
          <w:rFonts w:ascii="Calibri" w:hAnsi="Calibri" w:cs="Calibri"/>
        </w:rPr>
      </w:pPr>
      <w:r w:rsidRPr="0097459F">
        <w:rPr>
          <w:rFonts w:ascii="Calibri" w:hAnsi="Calibri" w:cs="Calibri"/>
        </w:rPr>
        <w:t xml:space="preserve">III </w:t>
      </w:r>
      <w:r w:rsidR="00B248D0" w:rsidRPr="0097459F">
        <w:t>–</w:t>
      </w:r>
      <w:r w:rsidRPr="0097459F">
        <w:rPr>
          <w:rFonts w:ascii="Calibri" w:hAnsi="Calibri" w:cs="Calibri"/>
        </w:rPr>
        <w:t xml:space="preserve"> obter autorização específica do devedor, passível de comprovação, para fins de consulta às informações constantes do SCR; e</w:t>
      </w:r>
    </w:p>
    <w:p w14:paraId="27AF9BA0" w14:textId="48C98E92" w:rsidR="00C20BBD" w:rsidRPr="0097459F" w:rsidRDefault="00C20BBD" w:rsidP="00C20BBD">
      <w:pPr>
        <w:spacing w:before="120" w:after="120" w:line="312" w:lineRule="auto"/>
        <w:ind w:firstLine="709"/>
        <w:jc w:val="both"/>
        <w:rPr>
          <w:rFonts w:asciiTheme="minorHAnsi" w:hAnsiTheme="minorHAnsi" w:cstheme="minorBidi"/>
          <w:sz w:val="24"/>
          <w:szCs w:val="24"/>
        </w:rPr>
      </w:pPr>
      <w:r w:rsidRPr="0097459F">
        <w:rPr>
          <w:rFonts w:asciiTheme="minorHAnsi" w:hAnsiTheme="minorHAnsi" w:cstheme="minorBidi"/>
          <w:sz w:val="24"/>
          <w:szCs w:val="24"/>
        </w:rPr>
        <w:t xml:space="preserve">IV – no que se refere às classes que adquiram os precatórios federais previstos no inciso II do </w:t>
      </w:r>
      <w:r w:rsidR="00B248D0">
        <w:rPr>
          <w:rFonts w:asciiTheme="minorHAnsi" w:hAnsiTheme="minorHAnsi" w:cstheme="minorBidi"/>
          <w:sz w:val="24"/>
          <w:szCs w:val="24"/>
        </w:rPr>
        <w:t>§ 1º</w:t>
      </w:r>
      <w:r w:rsidRPr="0097459F">
        <w:rPr>
          <w:rFonts w:asciiTheme="minorHAnsi" w:hAnsiTheme="minorHAnsi" w:cstheme="minorBidi"/>
          <w:sz w:val="24"/>
          <w:szCs w:val="24"/>
        </w:rPr>
        <w:t xml:space="preserve"> do art. 2º deste </w:t>
      </w:r>
      <w:r w:rsidR="00FB1127" w:rsidRPr="0097459F">
        <w:rPr>
          <w:rFonts w:asciiTheme="minorHAnsi" w:hAnsiTheme="minorHAnsi" w:cstheme="minorBidi"/>
          <w:sz w:val="24"/>
          <w:szCs w:val="24"/>
        </w:rPr>
        <w:t>Anexo Normativo II</w:t>
      </w:r>
      <w:r w:rsidRPr="0097459F">
        <w:rPr>
          <w:rFonts w:asciiTheme="minorHAnsi" w:hAnsiTheme="minorHAnsi" w:cstheme="minorBidi"/>
          <w:sz w:val="24"/>
          <w:szCs w:val="24"/>
        </w:rPr>
        <w:t>, monitorar e informar, imediatamente, via comunicado ao mercado ou fato relevante, a depender da relevância, sobre quaisquer eventos de reavaliação do ativo.</w:t>
      </w:r>
    </w:p>
    <w:p w14:paraId="16F21D46" w14:textId="77777777" w:rsidR="00C20BBD" w:rsidRPr="0097459F" w:rsidRDefault="00C20BBD" w:rsidP="00C20BBD">
      <w:pPr>
        <w:spacing w:before="120" w:after="120" w:line="312" w:lineRule="auto"/>
        <w:ind w:firstLine="709"/>
        <w:jc w:val="both"/>
        <w:rPr>
          <w:rFonts w:asciiTheme="minorHAnsi" w:hAnsiTheme="minorHAnsi" w:cstheme="minorBidi"/>
          <w:sz w:val="24"/>
          <w:szCs w:val="24"/>
        </w:rPr>
      </w:pPr>
      <w:r w:rsidRPr="0097459F">
        <w:rPr>
          <w:rFonts w:asciiTheme="minorHAnsi" w:hAnsiTheme="minorHAnsi" w:cstheme="minorBidi"/>
          <w:sz w:val="24"/>
          <w:szCs w:val="24"/>
        </w:rPr>
        <w:t xml:space="preserve">Parágrafo único.  O documento referido no inciso II deve ser encaminhado mensalmente, em até 10 (dez) dias úteis após o encerramento do mês a que se referirem. </w:t>
      </w:r>
    </w:p>
    <w:p w14:paraId="6159B93B" w14:textId="77777777" w:rsidR="00C20BBD" w:rsidRPr="0097459F" w:rsidRDefault="00C20BBD" w:rsidP="00C20BBD">
      <w:pPr>
        <w:pStyle w:val="Seo"/>
        <w:ind w:firstLine="709"/>
      </w:pPr>
      <w:bookmarkStart w:id="633" w:name="_Toc507331283"/>
      <w:bookmarkStart w:id="634" w:name="_Toc53594282"/>
      <w:bookmarkStart w:id="635" w:name="_Toc53594530"/>
      <w:bookmarkStart w:id="636" w:name="_Toc53595555"/>
      <w:bookmarkStart w:id="637" w:name="_Toc57836292"/>
      <w:bookmarkStart w:id="638" w:name="_Toc126226400"/>
      <w:r w:rsidRPr="0097459F">
        <w:t>Seção II – Gestão</w:t>
      </w:r>
      <w:bookmarkEnd w:id="633"/>
      <w:bookmarkEnd w:id="634"/>
      <w:bookmarkEnd w:id="635"/>
      <w:bookmarkEnd w:id="636"/>
      <w:bookmarkEnd w:id="637"/>
      <w:bookmarkEnd w:id="638"/>
    </w:p>
    <w:p w14:paraId="4A23EC1E" w14:textId="77777777" w:rsidR="00C20BBD" w:rsidRPr="0097459F" w:rsidRDefault="00C20BBD" w:rsidP="00C20BBD">
      <w:pPr>
        <w:pStyle w:val="Normalalteradora"/>
        <w:ind w:firstLine="709"/>
      </w:pPr>
      <w:r w:rsidRPr="0097459F">
        <w:t xml:space="preserve">Art. 32.  Em acréscimo aos serviços previstos no </w:t>
      </w:r>
      <w:r w:rsidRPr="0097459F">
        <w:rPr>
          <w:rFonts w:eastAsia="Calibri"/>
        </w:rPr>
        <w:t xml:space="preserve">art. 85 da parte geral da Resolução, </w:t>
      </w:r>
      <w:r w:rsidRPr="0097459F">
        <w:t>o gestor pode contratar, em nome do fundo, os seguintes prestadores de serviços:</w:t>
      </w:r>
    </w:p>
    <w:p w14:paraId="5F261303" w14:textId="77777777" w:rsidR="00C20BBD" w:rsidRPr="0097459F" w:rsidRDefault="00C20BBD" w:rsidP="00C20BBD">
      <w:pPr>
        <w:pStyle w:val="Normalalteradora"/>
        <w:ind w:firstLine="709"/>
      </w:pPr>
      <w:r w:rsidRPr="0097459F">
        <w:t>I – consultoria especializada; e</w:t>
      </w:r>
    </w:p>
    <w:p w14:paraId="52B44B4E" w14:textId="1EBCF09B" w:rsidR="00C20BBD" w:rsidRDefault="00C20BBD" w:rsidP="00C20BBD">
      <w:pPr>
        <w:pStyle w:val="Normalalteradora"/>
        <w:ind w:firstLine="709"/>
      </w:pPr>
      <w:r w:rsidRPr="0097459F">
        <w:t>II – agente de cobrança.</w:t>
      </w:r>
    </w:p>
    <w:p w14:paraId="7CB1F0E5" w14:textId="77777777" w:rsidR="006767E3" w:rsidRPr="00645CB5" w:rsidRDefault="006767E3" w:rsidP="006767E3">
      <w:pPr>
        <w:pStyle w:val="Normalalteradora"/>
        <w:ind w:firstLine="709"/>
      </w:pPr>
      <w:r>
        <w:t>Parágrafo único.</w:t>
      </w:r>
      <w:r w:rsidRPr="00645CB5">
        <w:t xml:space="preserve">  Sem prejuízo da possibilidade de contratação de outros tipos de prestadores de serviço para a função, a contratação da consultoria especializada pode englobar sua atuação como agente de cobrança.</w:t>
      </w:r>
    </w:p>
    <w:p w14:paraId="1A0B16A1" w14:textId="48AD7286" w:rsidR="00C20BBD" w:rsidRPr="0097459F" w:rsidRDefault="00C20BBD" w:rsidP="00C20BBD">
      <w:pPr>
        <w:pStyle w:val="Normalalteradora"/>
        <w:ind w:firstLine="709"/>
      </w:pPr>
      <w:r w:rsidRPr="0097459F">
        <w:t xml:space="preserve">Art. 33.  Em acréscimo às demais obrigações previstas na parte geral da Resolução e neste </w:t>
      </w:r>
      <w:r w:rsidR="00FB1127" w:rsidRPr="0097459F">
        <w:t>Anexo Normativo II</w:t>
      </w:r>
      <w:r w:rsidRPr="0097459F">
        <w:t>, o gestor é responsável pelas seguintes atividades:</w:t>
      </w:r>
    </w:p>
    <w:p w14:paraId="366FEE83" w14:textId="77777777" w:rsidR="00C20BBD" w:rsidRPr="0097459F" w:rsidRDefault="00C20BBD" w:rsidP="00C20BBD">
      <w:pPr>
        <w:pStyle w:val="Normalalteradora"/>
        <w:ind w:firstLine="709"/>
      </w:pPr>
      <w:r w:rsidRPr="0097459F">
        <w:t xml:space="preserve">I – estruturar o fundo, nos termos do § 1º deste artigo; </w:t>
      </w:r>
    </w:p>
    <w:p w14:paraId="7F1DF120" w14:textId="77777777" w:rsidR="00C20BBD" w:rsidRPr="0097459F" w:rsidRDefault="00C20BBD" w:rsidP="00C20BBD">
      <w:pPr>
        <w:pStyle w:val="Normalalteradora"/>
        <w:ind w:firstLine="709"/>
      </w:pPr>
      <w:r w:rsidRPr="0097459F">
        <w:t>II – executar a política de investimentos, devendo analisar e selecionar os direitos creditórios para a carteira de ativos, o que inclui, no mínimo:</w:t>
      </w:r>
    </w:p>
    <w:p w14:paraId="3AB85B27" w14:textId="77777777" w:rsidR="00C20BBD" w:rsidRPr="0097459F" w:rsidRDefault="00C20BBD" w:rsidP="00C20BBD">
      <w:pPr>
        <w:pStyle w:val="Normalalteradora"/>
        <w:ind w:firstLine="709"/>
      </w:pPr>
      <w:r w:rsidRPr="0097459F">
        <w:t>a) verificar o enquadramento dos direitos creditórios à política de investimento, compreendendo, no mínimo, a validação dos direitos creditórios quanto aos critérios de elegibilidade e a observância aos requisitos de composição e diversificação, de forma individualizada ou por amostragem, utilizando modelo estatístico consistente e passível de verificação; e</w:t>
      </w:r>
    </w:p>
    <w:p w14:paraId="4D8DAAD4" w14:textId="77777777" w:rsidR="00C20BBD" w:rsidRPr="0097459F" w:rsidRDefault="00C20BBD" w:rsidP="00C20BBD">
      <w:pPr>
        <w:pStyle w:val="Normalalteradora"/>
        <w:ind w:firstLine="709"/>
      </w:pPr>
      <w:r w:rsidRPr="0097459F">
        <w:lastRenderedPageBreak/>
        <w:t>b) avaliar a aderência do risco de performance dos direitos creditórios, se houver, à política de investimento;</w:t>
      </w:r>
    </w:p>
    <w:p w14:paraId="4EDF61AE" w14:textId="77777777" w:rsidR="00C20BBD" w:rsidRPr="0097459F" w:rsidRDefault="00C20BBD" w:rsidP="00C20BBD">
      <w:pPr>
        <w:pStyle w:val="Normalalteradora"/>
        <w:ind w:firstLine="709"/>
      </w:pPr>
      <w:r w:rsidRPr="0097459F">
        <w:t>III – registrar os direitos creditórios na entidade registradora da classe ou entregá-los ao custodiante ou administrador, conforme o caso;</w:t>
      </w:r>
    </w:p>
    <w:p w14:paraId="6AB321CE" w14:textId="77777777" w:rsidR="00C20BBD" w:rsidRPr="0097459F" w:rsidRDefault="00C20BBD" w:rsidP="00C20BBD">
      <w:pPr>
        <w:pStyle w:val="Normalalteradora"/>
        <w:ind w:firstLine="709"/>
      </w:pPr>
      <w:r w:rsidRPr="0097459F">
        <w:t>IV – na hipótese de ocorrer substituição de direitos creditórios, por qualquer motivo, diligenciar para que a relação entre risco e retorno da carteira de direitos creditórios não seja alterada, nos termos da política de investimentos;</w:t>
      </w:r>
    </w:p>
    <w:p w14:paraId="7524D49E" w14:textId="77777777" w:rsidR="00C20BBD" w:rsidRPr="0097459F" w:rsidRDefault="00C20BBD" w:rsidP="00C20BBD">
      <w:pPr>
        <w:pStyle w:val="Normalalteradora"/>
        <w:ind w:firstLine="709"/>
      </w:pPr>
      <w:r w:rsidRPr="0097459F">
        <w:t>V – efetuar a correta formalização dos documentos relativos à cessão dos direitos creditórios; e</w:t>
      </w:r>
    </w:p>
    <w:p w14:paraId="20FDAA1C" w14:textId="77777777" w:rsidR="00C20BBD" w:rsidRPr="0097459F" w:rsidRDefault="00C20BBD" w:rsidP="00C20BBD">
      <w:pPr>
        <w:pStyle w:val="Normalalteradora"/>
        <w:ind w:firstLine="709"/>
      </w:pPr>
      <w:r w:rsidRPr="0097459F">
        <w:t>VI – sem prejuízo de outros parâmetros eventualmente definidos no regulamento, monitorar:</w:t>
      </w:r>
    </w:p>
    <w:p w14:paraId="3E73BFA0" w14:textId="77777777" w:rsidR="00C20BBD" w:rsidRPr="0097459F" w:rsidRDefault="00C20BBD" w:rsidP="00C20BBD">
      <w:pPr>
        <w:pStyle w:val="Normalalteradora"/>
        <w:ind w:firstLine="709"/>
      </w:pPr>
      <w:r w:rsidRPr="0097459F">
        <w:t>a) o índice de subordinação;</w:t>
      </w:r>
    </w:p>
    <w:p w14:paraId="798B3397" w14:textId="77777777" w:rsidR="00C20BBD" w:rsidRPr="0097459F" w:rsidRDefault="00C20BBD" w:rsidP="00C20BBD">
      <w:pPr>
        <w:pStyle w:val="Normalalteradora"/>
        <w:ind w:firstLine="709"/>
      </w:pPr>
      <w:r w:rsidRPr="0097459F">
        <w:t>b) a adimplência da carteira de direitos creditórios e, em relação aos direitos creditórios vencidos e não pagos, diligenciar para que sejam adotados os procedimentos de cobrança, observado que essa última obrigação inexiste no caso de hipóteses de dispensa previstas no regulamento; e</w:t>
      </w:r>
    </w:p>
    <w:p w14:paraId="6C471938" w14:textId="21E78DC1" w:rsidR="00C20BBD" w:rsidRPr="0097459F" w:rsidRDefault="00C20BBD" w:rsidP="00C20BBD">
      <w:pPr>
        <w:pStyle w:val="Normalalteradora"/>
        <w:ind w:firstLine="709"/>
      </w:pPr>
      <w:r w:rsidRPr="0097459F">
        <w:t>c) a taxa de retorno dos direitos creditórios, considerando, no mínimo, pagamentos, pré-pagamentos e inadimplência</w:t>
      </w:r>
      <w:r w:rsidR="00B248D0">
        <w:t>;</w:t>
      </w:r>
      <w:r w:rsidR="00014CA9">
        <w:t xml:space="preserve"> e</w:t>
      </w:r>
    </w:p>
    <w:p w14:paraId="7E9F72CD" w14:textId="77777777" w:rsidR="00C20BBD" w:rsidRPr="0097459F" w:rsidRDefault="00C20BBD" w:rsidP="00C20BBD">
      <w:pPr>
        <w:pStyle w:val="Normalalteradora"/>
        <w:ind w:firstLine="709"/>
      </w:pPr>
      <w:r w:rsidRPr="0097459F">
        <w:t>VII – na gestão de classes de cotas destinadas ao público em geral ou a investidores qualificados que aplicam recursos em precatórios federais:</w:t>
      </w:r>
    </w:p>
    <w:p w14:paraId="46040D3F" w14:textId="77777777" w:rsidR="00C20BBD" w:rsidRPr="0097459F" w:rsidRDefault="00C20BBD" w:rsidP="00C20BBD">
      <w:pPr>
        <w:pStyle w:val="Normalalteradora"/>
        <w:ind w:firstLine="709"/>
      </w:pPr>
      <w:r w:rsidRPr="0097459F">
        <w:t>a) se certificar acerca da inexistência de impugnações, podendo contratar serviços de advocacia em nome do fundo e às expensas da classe, para atuar na defesa dos interesses referentes aos precatórios, incluindo representação judicial e monitoramento de tais direitos creditórios; e</w:t>
      </w:r>
    </w:p>
    <w:p w14:paraId="247CFD95" w14:textId="77777777" w:rsidR="00C20BBD" w:rsidRPr="0097459F" w:rsidRDefault="00C20BBD" w:rsidP="00C20BBD">
      <w:pPr>
        <w:pStyle w:val="Normalalteradora"/>
        <w:ind w:firstLine="709"/>
      </w:pPr>
      <w:r w:rsidRPr="0097459F">
        <w:t>b) previamente a cada aquisição de precatórios, possuir o ofício requisitório e a certidão de remessa do precatório ao Tribunal Regional Federal, ou o comprovante de consulta do precatório na página eletrônica do tribunal.</w:t>
      </w:r>
    </w:p>
    <w:p w14:paraId="6A1912D8" w14:textId="77777777" w:rsidR="00C20BBD" w:rsidRPr="0097459F" w:rsidRDefault="00C20BBD" w:rsidP="00C20BBD">
      <w:pPr>
        <w:pStyle w:val="Normalalteradora"/>
        <w:ind w:firstLine="709"/>
      </w:pPr>
      <w:r w:rsidRPr="0097459F">
        <w:t xml:space="preserve">§ 1º  A estruturação da classe de cotas, nos termos do inciso I do </w:t>
      </w:r>
      <w:r w:rsidRPr="0097459F">
        <w:rPr>
          <w:b/>
        </w:rPr>
        <w:t>caput</w:t>
      </w:r>
      <w:r w:rsidRPr="0097459F">
        <w:t>, consiste, no mínimo, no conjunto das seguintes atividades:</w:t>
      </w:r>
    </w:p>
    <w:p w14:paraId="5EF4E0E0" w14:textId="77777777" w:rsidR="00C20BBD" w:rsidRPr="0097459F" w:rsidRDefault="00C20BBD" w:rsidP="00C20BBD">
      <w:pPr>
        <w:pStyle w:val="Normalalteradora"/>
        <w:ind w:firstLine="709"/>
      </w:pPr>
      <w:r w:rsidRPr="0097459F">
        <w:t>I – estabelecer a política de investimento;</w:t>
      </w:r>
    </w:p>
    <w:p w14:paraId="7363ED9A" w14:textId="77777777" w:rsidR="00C20BBD" w:rsidRPr="0097459F" w:rsidRDefault="00C20BBD" w:rsidP="00C20BBD">
      <w:pPr>
        <w:pStyle w:val="Normalalteradora"/>
        <w:ind w:firstLine="709"/>
      </w:pPr>
      <w:r w:rsidRPr="0097459F">
        <w:lastRenderedPageBreak/>
        <w:t>II – estimar a inadimplência da carteira de direitos creditórios e, se for o caso, estabelecer um índice de subordinação;</w:t>
      </w:r>
    </w:p>
    <w:p w14:paraId="5B9F334A" w14:textId="77777777" w:rsidR="00C20BBD" w:rsidRPr="0097459F" w:rsidRDefault="00C20BBD" w:rsidP="00C20BBD">
      <w:pPr>
        <w:pStyle w:val="Normalalteradora"/>
        <w:ind w:firstLine="709"/>
      </w:pPr>
      <w:r w:rsidRPr="0097459F">
        <w:t>III – estimar o prazo médio ponderado da carteira de direitos creditórios;</w:t>
      </w:r>
    </w:p>
    <w:p w14:paraId="057F91F3" w14:textId="77777777" w:rsidR="00C20BBD" w:rsidRPr="0097459F" w:rsidRDefault="00C20BBD" w:rsidP="00C20BBD">
      <w:pPr>
        <w:pStyle w:val="Normalalteradora"/>
        <w:ind w:firstLine="709"/>
      </w:pPr>
      <w:r w:rsidRPr="0097459F">
        <w:t>IV – estabelecer como se darão os fluxos financeiros derivados dos direitos creditórios; e</w:t>
      </w:r>
    </w:p>
    <w:p w14:paraId="0A0ED89E" w14:textId="77777777" w:rsidR="00C20BBD" w:rsidRPr="0097459F" w:rsidRDefault="00C20BBD" w:rsidP="00C20BBD">
      <w:pPr>
        <w:pStyle w:val="Normalalteradora"/>
        <w:ind w:firstLine="709"/>
      </w:pPr>
      <w:r w:rsidRPr="0097459F">
        <w:t>V – estabelecer hipóteses de liquidação antecipada que devem constar do regulamento.</w:t>
      </w:r>
    </w:p>
    <w:p w14:paraId="7698E7DB" w14:textId="2C36E9E9" w:rsidR="00C20BBD" w:rsidRPr="0097459F" w:rsidRDefault="00C20BBD" w:rsidP="00C20BBD">
      <w:pPr>
        <w:pStyle w:val="Normalalteradora"/>
        <w:ind w:firstLine="709"/>
      </w:pPr>
      <w:r w:rsidRPr="0097459F">
        <w:t>§ 2º  A validação referida na alínea “</w:t>
      </w:r>
      <w:r w:rsidR="00014CA9">
        <w:t>a</w:t>
      </w:r>
      <w:r w:rsidRPr="0097459F">
        <w:t xml:space="preserve">” do inciso II do </w:t>
      </w:r>
      <w:r w:rsidRPr="0097459F">
        <w:rPr>
          <w:b/>
        </w:rPr>
        <w:t>caput</w:t>
      </w:r>
      <w:r w:rsidRPr="0097459F">
        <w:t xml:space="preserve"> deve utilizar informações que estejam sob controle do gestor ou de qualquer outro prestador de serviços da classe, ou, ainda, caso necessário, que possam ser obtidas por meio de esforços razoáveis, as quais devem contemplar, no mínimo, informações prestadas por serviços de proteção ao crédito e obtidas de base de dados de cadastro positivo.</w:t>
      </w:r>
    </w:p>
    <w:p w14:paraId="6303C12E" w14:textId="77777777" w:rsidR="00C20BBD" w:rsidRPr="0097459F" w:rsidRDefault="00C20BBD" w:rsidP="00C20BBD">
      <w:pPr>
        <w:pStyle w:val="Normalalteradora"/>
        <w:ind w:firstLine="709"/>
      </w:pPr>
      <w:r w:rsidRPr="0097459F">
        <w:t>§ 3º  A consultoria especializada pode ser contratada pelo gestor para realizar atividades relacionadas à análise, seleção, aquisição e substituição dos direitos creditórios que comporão a carteira de direitos creditórios.</w:t>
      </w:r>
    </w:p>
    <w:p w14:paraId="2216EF09" w14:textId="77777777" w:rsidR="00C20BBD" w:rsidRPr="0097459F" w:rsidRDefault="00C20BBD" w:rsidP="00C20BBD">
      <w:pPr>
        <w:pStyle w:val="Normalalteradora"/>
        <w:ind w:firstLine="709"/>
      </w:pPr>
      <w:r w:rsidRPr="0097459F">
        <w:t>§ 4º  Para a contratação da consultoria especializada, o gestor deve verificar se o prestador de serviço possui reputação ilibada e capacidade técnica e operacional compatível com as atividades para as quais está sendo contratado.</w:t>
      </w:r>
    </w:p>
    <w:p w14:paraId="64DCE045" w14:textId="77777777" w:rsidR="00C20BBD" w:rsidRPr="0097459F" w:rsidRDefault="00C20BBD" w:rsidP="00C20BBD">
      <w:pPr>
        <w:pStyle w:val="Normalalteradora"/>
        <w:ind w:firstLine="709"/>
      </w:pPr>
      <w:r w:rsidRPr="0097459F">
        <w:t>Art. 34</w:t>
      </w:r>
      <w:r w:rsidRPr="0097459F">
        <w:rPr>
          <w:rFonts w:cstheme="minorHAnsi"/>
        </w:rPr>
        <w:t xml:space="preserve">.  No âmbito das diligências relacionadas à aquisição de direitos creditórios, o gestor deve verificar a possibilidade de ineficácia da cessão </w:t>
      </w:r>
      <w:r w:rsidRPr="0097459F">
        <w:t>à classe em virtude de riscos de natureza fiscal, alcançando direitos creditórios que tenham representatividade no patrimônio da classe, assim como dar ciência do risco, caso existente, no termo de adesão e no material de divulgação.</w:t>
      </w:r>
    </w:p>
    <w:p w14:paraId="08949328" w14:textId="72795FBF" w:rsidR="00C20BBD" w:rsidRPr="0097459F" w:rsidRDefault="00C20BBD" w:rsidP="00C20BBD">
      <w:pPr>
        <w:pStyle w:val="Normalalteradora"/>
        <w:ind w:firstLine="709"/>
      </w:pPr>
      <w:r w:rsidRPr="0097459F">
        <w:t xml:space="preserve">Art. 35.  As classes e subclasses de cotas que contam com taxa de performance devem observar a disciplina conferida à matéria no Anexo </w:t>
      </w:r>
      <w:r w:rsidR="00967B1C" w:rsidRPr="0097459F">
        <w:t>Normativo I</w:t>
      </w:r>
      <w:r w:rsidRPr="0097459F">
        <w:t xml:space="preserve"> da Resolução.</w:t>
      </w:r>
    </w:p>
    <w:p w14:paraId="46DE2213" w14:textId="77777777" w:rsidR="00C20BBD" w:rsidRPr="0097459F" w:rsidRDefault="00C20BBD" w:rsidP="00C20BBD">
      <w:pPr>
        <w:pStyle w:val="Seo"/>
        <w:ind w:firstLine="709"/>
      </w:pPr>
      <w:bookmarkStart w:id="639" w:name="_Toc126226401"/>
      <w:bookmarkStart w:id="640" w:name="_Toc507331284"/>
      <w:bookmarkStart w:id="641" w:name="_Toc53594283"/>
      <w:bookmarkStart w:id="642" w:name="_Toc53594531"/>
      <w:bookmarkStart w:id="643" w:name="_Toc53595556"/>
      <w:bookmarkStart w:id="644" w:name="_Toc57836293"/>
      <w:r w:rsidRPr="0097459F">
        <w:t>Seção III – Verificação do Lastro</w:t>
      </w:r>
      <w:bookmarkEnd w:id="639"/>
    </w:p>
    <w:p w14:paraId="52CE03C0" w14:textId="77777777" w:rsidR="00C20BBD" w:rsidRPr="0097459F" w:rsidRDefault="00C20BBD" w:rsidP="00C20BBD">
      <w:pPr>
        <w:spacing w:before="120" w:after="120" w:line="312" w:lineRule="auto"/>
        <w:ind w:firstLine="709"/>
        <w:jc w:val="both"/>
        <w:rPr>
          <w:rFonts w:asciiTheme="minorHAnsi" w:eastAsia="Times New Roman" w:hAnsiTheme="minorHAnsi" w:cstheme="minorBidi"/>
          <w:sz w:val="24"/>
          <w:szCs w:val="24"/>
          <w:lang w:eastAsia="pt-BR"/>
        </w:rPr>
      </w:pPr>
      <w:r w:rsidRPr="0097459F">
        <w:rPr>
          <w:rFonts w:asciiTheme="minorHAnsi" w:eastAsia="Times New Roman" w:hAnsiTheme="minorHAnsi" w:cstheme="minorBidi"/>
          <w:sz w:val="24"/>
          <w:szCs w:val="24"/>
          <w:lang w:eastAsia="pt-BR"/>
        </w:rPr>
        <w:t>Art. 36.  No âmbito das diligências relacionadas à aquisição de direitos creditórios, o gestor deve verificar a existência, integridade e titularidade do lastro dos direitos e títulos representativos de crédito referidos na alínea “a” do inciso XII do art. 2º.</w:t>
      </w:r>
    </w:p>
    <w:p w14:paraId="4472B637" w14:textId="52189069" w:rsidR="00C20BBD" w:rsidRPr="0097459F" w:rsidRDefault="00C20BBD" w:rsidP="00C20BBD">
      <w:pPr>
        <w:pStyle w:val="Normalalteradora"/>
        <w:ind w:firstLine="709"/>
      </w:pPr>
      <w:r w:rsidRPr="0097459F">
        <w:lastRenderedPageBreak/>
        <w:t xml:space="preserve">§ 1º  A verificação prevista no </w:t>
      </w:r>
      <w:r w:rsidRPr="0097459F">
        <w:rPr>
          <w:b/>
        </w:rPr>
        <w:t>caput</w:t>
      </w:r>
      <w:r w:rsidRPr="0097459F">
        <w:t xml:space="preserve"> pode ser efetuada de forma individualizada ou por amostragem, utilizando modelo estatístico consistente e passível de verificação, observados os parâmetros previstos no regulamento, nos termos do art. 20, inciso VII, deste </w:t>
      </w:r>
      <w:r w:rsidR="00FB1127" w:rsidRPr="0097459F">
        <w:t>Anexo Normativo II</w:t>
      </w:r>
      <w:r w:rsidRPr="0097459F">
        <w:t>.</w:t>
      </w:r>
    </w:p>
    <w:p w14:paraId="7FC5312C" w14:textId="77777777" w:rsidR="00C20BBD" w:rsidRPr="0097459F" w:rsidRDefault="00C20BBD" w:rsidP="00C20BBD">
      <w:pPr>
        <w:pStyle w:val="Normalalteradora"/>
        <w:ind w:firstLine="709"/>
      </w:pPr>
      <w:r w:rsidRPr="0097459F">
        <w:t>§ 2º  As regras e procedimentos aplicáveis à verificação de lastro por amostragem a que se refere o § 1º devem ser disponibilizados e mantidos atualizados pelo administrador na mesma página eletrônica onde estejam disponibilizadas as informações periódicas e eventuais da classe de cotas.</w:t>
      </w:r>
    </w:p>
    <w:p w14:paraId="4AFC52FB" w14:textId="77777777" w:rsidR="00C20BBD" w:rsidRPr="0097459F" w:rsidRDefault="00C20BBD" w:rsidP="00C20BBD">
      <w:pPr>
        <w:pStyle w:val="Normalalteradora"/>
        <w:ind w:firstLine="709"/>
      </w:pPr>
      <w:r w:rsidRPr="0097459F">
        <w:t>§ 3º  Caso o reduzido valor médio dos direitos creditórios não justifique a realização de verificação do lastro dos direitos creditórios sequer por amostragem, o regulamento pode dispensar tal verificação, hipótese na qual deve especificar os parâmetros relativos à diversificação de devedores, quantidade e valor médio dos créditos que ensejam a dispensa.</w:t>
      </w:r>
    </w:p>
    <w:p w14:paraId="4D083389" w14:textId="77777777" w:rsidR="00C20BBD" w:rsidRPr="0097459F" w:rsidRDefault="00C20BBD" w:rsidP="00C20BBD">
      <w:pPr>
        <w:pStyle w:val="Normalalteradora"/>
        <w:ind w:firstLine="709"/>
      </w:pPr>
      <w:r w:rsidRPr="0097459F">
        <w:t>§ 4º  O gestor pode contratar terceiros para efetuar a verificação do lastro de que trata este artigo, inclusive a entidade registradora, o custodiante ou a consultoria especializada, desde que o agente contratado não seja sua parte relacionada, devendo constar do contrato de prestação de serviços as regras e procedimentos aplicáveis à verificação.</w:t>
      </w:r>
    </w:p>
    <w:p w14:paraId="4EADEC21" w14:textId="77777777" w:rsidR="00C20BBD" w:rsidRPr="0097459F" w:rsidRDefault="00C20BBD" w:rsidP="00C20BBD">
      <w:pPr>
        <w:pStyle w:val="Normalalteradora"/>
        <w:ind w:firstLine="709"/>
      </w:pPr>
      <w:r w:rsidRPr="0097459F">
        <w:t>§ 5º  Caso contrate prestador de serviços para efetuar a verificação do lastro, o gestor deve fiscalizar sua atuação no tocante à observância às regras e procedimentos aplicáveis à verificação.</w:t>
      </w:r>
    </w:p>
    <w:p w14:paraId="01489445" w14:textId="3C583AB6" w:rsidR="00C20BBD" w:rsidRPr="0097459F" w:rsidRDefault="00C20BBD" w:rsidP="00C20BBD">
      <w:pPr>
        <w:pStyle w:val="Seo"/>
        <w:ind w:firstLine="709"/>
      </w:pPr>
      <w:bookmarkStart w:id="645" w:name="_Toc126226402"/>
      <w:r w:rsidRPr="0097459F">
        <w:t xml:space="preserve">Seção IV – </w:t>
      </w:r>
      <w:bookmarkEnd w:id="640"/>
      <w:r w:rsidRPr="0097459F">
        <w:t>Custódia</w:t>
      </w:r>
      <w:bookmarkEnd w:id="641"/>
      <w:bookmarkEnd w:id="642"/>
      <w:bookmarkEnd w:id="643"/>
      <w:bookmarkEnd w:id="644"/>
      <w:bookmarkEnd w:id="645"/>
    </w:p>
    <w:p w14:paraId="586CCC38" w14:textId="3C07912D" w:rsidR="00C20BBD" w:rsidRDefault="00C20BBD" w:rsidP="00C20BBD">
      <w:pPr>
        <w:pStyle w:val="Normalalteradora"/>
        <w:ind w:firstLine="709"/>
      </w:pPr>
      <w:r w:rsidRPr="0097459F">
        <w:t>Art. 37.  Caso a classe aplique recursos em direitos creditórios que não sejam passíveis de registro em entidade registradora, o administrador deve contratar o serviço de custódia para a carteira de ativos.</w:t>
      </w:r>
    </w:p>
    <w:p w14:paraId="60E3602D" w14:textId="1D8D5FCA" w:rsidR="00C20BBD" w:rsidRPr="0097459F" w:rsidRDefault="00C20BBD" w:rsidP="00C20BBD">
      <w:pPr>
        <w:pStyle w:val="Normalalteradora"/>
        <w:ind w:firstLine="709"/>
      </w:pPr>
      <w:r w:rsidRPr="0097459F">
        <w:t>Art. 38.  Considerando a totalidade do lastro, passível ou não de registro, trimestralmente ou em periodicidade compatível com o prazo médio ponderado dos direitos creditórios da carteira, o que for maior, o custodiante dos direitos creditórios deve verificar a existência, integridade e titularidade do lastro dos direitos creditórios que ingressaram na carteira no período a título de substituição, assim como o lastro dos direitos creditórios vencidos e não pagos no mesmo período.</w:t>
      </w:r>
    </w:p>
    <w:p w14:paraId="0DED8FDE" w14:textId="77777777" w:rsidR="00C20BBD" w:rsidRPr="0097459F" w:rsidRDefault="00C20BBD" w:rsidP="00C20BBD">
      <w:pPr>
        <w:pStyle w:val="Normalalteradora"/>
        <w:ind w:firstLine="709"/>
      </w:pPr>
      <w:r w:rsidRPr="0097459F">
        <w:t>§ 1º  O regulamento pode prever que a verificação periódica do lastro é responsabilidade do administrador, desde que não seja parte relacionada ao gestor e, se houver, à consultoria especializada.</w:t>
      </w:r>
    </w:p>
    <w:p w14:paraId="6DB4F23D" w14:textId="77777777" w:rsidR="00C20BBD" w:rsidRPr="0097459F" w:rsidRDefault="00C20BBD" w:rsidP="00C20BBD">
      <w:pPr>
        <w:pStyle w:val="Normalalteradora"/>
        <w:ind w:firstLine="709"/>
      </w:pPr>
      <w:r w:rsidRPr="0097459F">
        <w:lastRenderedPageBreak/>
        <w:t>§ 2º  O custodiante ou o administrador, conforme o caso, pode utilizar informações oriundas da entidade registradora, observado que deve verificar se tais informações são consistentes e adequadas à verificação.</w:t>
      </w:r>
    </w:p>
    <w:p w14:paraId="51BE1003" w14:textId="77777777" w:rsidR="00C20BBD" w:rsidRPr="0097459F" w:rsidRDefault="00C20BBD" w:rsidP="00C20BBD">
      <w:pPr>
        <w:pStyle w:val="Normalalteradora"/>
        <w:ind w:firstLine="709"/>
      </w:pPr>
      <w:r w:rsidRPr="0097459F">
        <w:t>Art. 39.  O custodiante pode ser contratado pelo administrador para:</w:t>
      </w:r>
    </w:p>
    <w:p w14:paraId="037914B1" w14:textId="77777777" w:rsidR="00C20BBD" w:rsidRPr="0097459F" w:rsidRDefault="00C20BBD" w:rsidP="00C20BBD">
      <w:pPr>
        <w:pStyle w:val="Normalalteradora"/>
        <w:ind w:firstLine="709"/>
      </w:pPr>
      <w:r w:rsidRPr="0097459F">
        <w:t>I – realizar a liquidação física ou eletrônica e financeira dos direitos creditórios;</w:t>
      </w:r>
    </w:p>
    <w:p w14:paraId="571B765C" w14:textId="77777777" w:rsidR="00C20BBD" w:rsidRPr="0097459F" w:rsidRDefault="00C20BBD" w:rsidP="00C20BBD">
      <w:pPr>
        <w:pStyle w:val="Normalalteradora"/>
        <w:ind w:firstLine="709"/>
      </w:pPr>
      <w:r w:rsidRPr="0097459F">
        <w:t>II – cobrar e receber, em nome da classe, pagamentos, resgate de títulos ou qualquer outro rendimento relativo aos ativos da carteira, depositando os valores recebidos diretamente em conta de titularidade da classe ou, se for o caso, em conta-vinculada; e</w:t>
      </w:r>
    </w:p>
    <w:p w14:paraId="539879C4" w14:textId="77777777" w:rsidR="00C20BBD" w:rsidRPr="0097459F" w:rsidRDefault="00C20BBD" w:rsidP="00C20BBD">
      <w:pPr>
        <w:pStyle w:val="Normalalteradora"/>
        <w:ind w:firstLine="709"/>
      </w:pPr>
      <w:r w:rsidRPr="0097459F">
        <w:t>III – realizar a guarda da documentação relativa ao lastro dos direitos creditórios.</w:t>
      </w:r>
    </w:p>
    <w:p w14:paraId="1B8445F2" w14:textId="77777777" w:rsidR="00C20BBD" w:rsidRPr="0097459F" w:rsidRDefault="00C20BBD" w:rsidP="00C20BBD">
      <w:pPr>
        <w:pStyle w:val="Normalalteradora"/>
        <w:ind w:firstLine="709"/>
      </w:pPr>
      <w:r w:rsidRPr="0097459F">
        <w:t>Art. 40.  Os prestadores de serviço eventualmente subcontratados pelo custodiante não podem ser, em relação à classe de cotas, originador, cedente, gestor, consultoria especializada ou partes a eles relacionadas.</w:t>
      </w:r>
    </w:p>
    <w:p w14:paraId="3C7C246A" w14:textId="42BC68F2" w:rsidR="00C20BBD" w:rsidRPr="0097459F" w:rsidRDefault="00C20BBD" w:rsidP="007A74D4">
      <w:pPr>
        <w:pStyle w:val="Seo"/>
      </w:pPr>
      <w:bookmarkStart w:id="646" w:name="_Toc53594284"/>
      <w:bookmarkStart w:id="647" w:name="_Toc53594532"/>
      <w:bookmarkStart w:id="648" w:name="_Toc53595557"/>
      <w:bookmarkStart w:id="649" w:name="_Toc57836294"/>
      <w:bookmarkStart w:id="650" w:name="_Toc126226403"/>
      <w:r w:rsidRPr="0097459F">
        <w:t>Seção V – Vedações</w:t>
      </w:r>
      <w:bookmarkStart w:id="651" w:name="_Toc507331286"/>
      <w:bookmarkStart w:id="652" w:name="_Toc514432578"/>
      <w:bookmarkEnd w:id="646"/>
      <w:bookmarkEnd w:id="647"/>
      <w:bookmarkEnd w:id="648"/>
      <w:bookmarkEnd w:id="649"/>
      <w:bookmarkEnd w:id="650"/>
    </w:p>
    <w:bookmarkEnd w:id="651"/>
    <w:bookmarkEnd w:id="652"/>
    <w:p w14:paraId="018DC5A3" w14:textId="451D43E1" w:rsidR="00C20BBD" w:rsidRPr="0097459F" w:rsidRDefault="00C20BBD" w:rsidP="00C20BBD">
      <w:pPr>
        <w:pStyle w:val="Normalalteradora"/>
        <w:ind w:firstLine="709"/>
      </w:pPr>
      <w:r w:rsidRPr="0097459F">
        <w:t xml:space="preserve">Art. 41.  É vedado a qualquer prestador de serviços receber ou orientar o recebimento de depósito em conta corrente que não seja de titularidade da classe de cotas ou </w:t>
      </w:r>
      <w:r w:rsidR="00382F11">
        <w:t xml:space="preserve">não </w:t>
      </w:r>
      <w:r w:rsidRPr="0097459F">
        <w:t>seja conta-vinculada.</w:t>
      </w:r>
    </w:p>
    <w:p w14:paraId="36E3AA80" w14:textId="77777777" w:rsidR="00C20BBD" w:rsidRPr="0097459F" w:rsidRDefault="00C20BBD" w:rsidP="00C20BBD">
      <w:pPr>
        <w:pStyle w:val="Normalalteradora"/>
        <w:ind w:firstLine="709"/>
      </w:pPr>
      <w:r w:rsidRPr="0097459F">
        <w:t>Art. 42.  É vedada a aquisição de direitos creditórios originados ou cedidos pelo administrador, gestor, consultoria especializada ou partes a eles relacionadas.</w:t>
      </w:r>
    </w:p>
    <w:p w14:paraId="5710B163" w14:textId="77777777" w:rsidR="00C20BBD" w:rsidRPr="0097459F" w:rsidRDefault="00C20BBD" w:rsidP="00C20BBD">
      <w:pPr>
        <w:pStyle w:val="Normalalteradora"/>
        <w:ind w:firstLine="709"/>
      </w:pPr>
      <w:r w:rsidRPr="0097459F">
        <w:t xml:space="preserve">§ 1º  O regulamento pode afastar a vedação prevista no </w:t>
      </w:r>
      <w:r w:rsidRPr="0097459F">
        <w:rPr>
          <w:b/>
        </w:rPr>
        <w:t>caput</w:t>
      </w:r>
      <w:r w:rsidRPr="0097459F">
        <w:t>, desde que:</w:t>
      </w:r>
    </w:p>
    <w:p w14:paraId="367213CF" w14:textId="354B41E9" w:rsidR="00C20BBD" w:rsidRPr="0097459F" w:rsidRDefault="00C20BBD" w:rsidP="00C20BBD">
      <w:pPr>
        <w:pStyle w:val="Normalalteradora"/>
        <w:ind w:firstLine="709"/>
      </w:pPr>
      <w:r w:rsidRPr="0097459F">
        <w:t>I – o gestor, a entidade registradora e o custodiante dos direitos creditórios não sejam partes relacionadas entre si; e</w:t>
      </w:r>
    </w:p>
    <w:p w14:paraId="516EB4CE" w14:textId="77777777" w:rsidR="00C20BBD" w:rsidRPr="0097459F" w:rsidRDefault="00C20BBD" w:rsidP="00C20BBD">
      <w:pPr>
        <w:pStyle w:val="Normalalteradora"/>
        <w:ind w:firstLine="709"/>
      </w:pPr>
      <w:r w:rsidRPr="0097459F">
        <w:t>II – a entidade registradora e o custodiante não sejam partes relacionadas ao originador ou cedente.</w:t>
      </w:r>
    </w:p>
    <w:p w14:paraId="1F1B1D0D" w14:textId="2C71BDA8" w:rsidR="00C20BBD" w:rsidRPr="0097459F" w:rsidRDefault="00C20BBD" w:rsidP="00C20BBD">
      <w:pPr>
        <w:pStyle w:val="Normalalteradora"/>
        <w:ind w:firstLine="709"/>
      </w:pPr>
      <w:r w:rsidRPr="0097459F">
        <w:t xml:space="preserve">§ 2º  O disposto no inciso I </w:t>
      </w:r>
      <w:r w:rsidR="004A49B0" w:rsidRPr="0097459F">
        <w:t xml:space="preserve">do §1º deste artigo </w:t>
      </w:r>
      <w:r w:rsidRPr="0097459F">
        <w:t>não se aplica à classe exclusivamente destinada a investidores profissionais.</w:t>
      </w:r>
    </w:p>
    <w:p w14:paraId="6E3649DF" w14:textId="77777777" w:rsidR="00C20BBD" w:rsidRPr="0097459F" w:rsidRDefault="00C20BBD" w:rsidP="00C20BBD">
      <w:pPr>
        <w:pStyle w:val="Normalalteradora"/>
        <w:ind w:firstLine="709"/>
      </w:pPr>
      <w:r w:rsidRPr="0097459F">
        <w:t xml:space="preserve">Art. 43.  É vedado ao administrador e ao gestor, em suas respectivas esferas de atuação, aceitar que as garantias em favor da classe sejam formalizadas em nome de terceiros que não representem o fundo, ressalvada a possibilidade de formalização de garantias em favor do administrador, gestor ou </w:t>
      </w:r>
      <w:r w:rsidRPr="0097459F">
        <w:lastRenderedPageBreak/>
        <w:t>terceiros que representem o fundo como titular da garantia, que devem diligenciar para segregá-las adequadamente dos seus próprios patrimônios.</w:t>
      </w:r>
    </w:p>
    <w:p w14:paraId="33BCDB29" w14:textId="77777777" w:rsidR="00C20BBD" w:rsidRPr="0097459F" w:rsidRDefault="00C20BBD" w:rsidP="00C20BBD">
      <w:pPr>
        <w:pStyle w:val="Normalalteradora"/>
        <w:ind w:firstLine="709"/>
      </w:pPr>
      <w:r w:rsidRPr="0097459F">
        <w:t xml:space="preserve">Parágrafo único.  A vedação de que trata o </w:t>
      </w:r>
      <w:r w:rsidRPr="0097459F">
        <w:rPr>
          <w:b/>
        </w:rPr>
        <w:t>caput</w:t>
      </w:r>
      <w:r w:rsidRPr="0097459F">
        <w:t xml:space="preserve"> é inaplicável no âmbito de emissões de valores mobiliários, nas quais a garantia é constituída em prol da comunhão de investidores, que são representados por um agente de garantia.</w:t>
      </w:r>
    </w:p>
    <w:p w14:paraId="6F308424" w14:textId="77777777" w:rsidR="00C20BBD" w:rsidRPr="0097459F" w:rsidRDefault="00C20BBD" w:rsidP="00C20BBD">
      <w:pPr>
        <w:pStyle w:val="Captulo"/>
        <w:ind w:firstLine="709"/>
      </w:pPr>
      <w:bookmarkStart w:id="653" w:name="_Toc53594285"/>
      <w:bookmarkStart w:id="654" w:name="_Toc53594533"/>
      <w:bookmarkStart w:id="655" w:name="_Toc53595558"/>
      <w:bookmarkStart w:id="656" w:name="_Toc57836295"/>
      <w:bookmarkStart w:id="657" w:name="_Toc126226404"/>
      <w:bookmarkEnd w:id="549"/>
      <w:r w:rsidRPr="0097459F">
        <w:t>CAPÍTULO IX – CARTEIRA</w:t>
      </w:r>
      <w:bookmarkEnd w:id="653"/>
      <w:bookmarkEnd w:id="654"/>
      <w:bookmarkEnd w:id="655"/>
      <w:bookmarkEnd w:id="656"/>
      <w:bookmarkEnd w:id="657"/>
    </w:p>
    <w:p w14:paraId="334A4786" w14:textId="77777777" w:rsidR="00C20BBD" w:rsidRPr="0097459F" w:rsidRDefault="00C20BBD" w:rsidP="00C20BBD">
      <w:pPr>
        <w:pStyle w:val="Seo"/>
        <w:ind w:firstLine="709"/>
      </w:pPr>
      <w:bookmarkStart w:id="658" w:name="_Toc53594286"/>
      <w:bookmarkStart w:id="659" w:name="_Toc53594534"/>
      <w:bookmarkStart w:id="660" w:name="_Toc53595559"/>
      <w:bookmarkStart w:id="661" w:name="_Toc57836296"/>
      <w:bookmarkStart w:id="662" w:name="_Toc126226405"/>
      <w:r w:rsidRPr="0097459F" w:rsidDel="0072729B">
        <w:t xml:space="preserve">Seção </w:t>
      </w:r>
      <w:r w:rsidRPr="0097459F">
        <w:t>I</w:t>
      </w:r>
      <w:r w:rsidRPr="0097459F" w:rsidDel="0072729B">
        <w:t xml:space="preserve"> – Enquadramento</w:t>
      </w:r>
      <w:r w:rsidRPr="0097459F">
        <w:t xml:space="preserve"> e Concentração</w:t>
      </w:r>
      <w:bookmarkEnd w:id="658"/>
      <w:bookmarkEnd w:id="659"/>
      <w:bookmarkEnd w:id="660"/>
      <w:bookmarkEnd w:id="661"/>
      <w:bookmarkEnd w:id="662"/>
    </w:p>
    <w:p w14:paraId="43A6AFA1" w14:textId="77777777" w:rsidR="00C20BBD" w:rsidRPr="0097459F" w:rsidRDefault="00C20BBD" w:rsidP="00C20BBD">
      <w:pPr>
        <w:pStyle w:val="Normalalteradora"/>
        <w:ind w:firstLine="709"/>
      </w:pPr>
      <w:r w:rsidRPr="0097459F">
        <w:t>Art. 44.  Em até 180 (cento e oitenta) dias do início de suas atividades, a classe de cotas deve possuir parcela superior a 50% (cinquenta por cento) de seu patrimônio líquido representada por direitos creditórios, sendo que a classe de investimento em cotas, nesse mesmo prazo, deve possuir no mínimo 67% (sessenta e sete por cento) de seu patrimônio líquido representado por cotas de outros FIDC.</w:t>
      </w:r>
    </w:p>
    <w:p w14:paraId="6CAC860F" w14:textId="11A6DD6E" w:rsidR="00C20BBD" w:rsidRPr="0097459F" w:rsidRDefault="00C20BBD" w:rsidP="00C20BBD">
      <w:pPr>
        <w:pStyle w:val="Normalalteradora"/>
        <w:ind w:firstLine="709"/>
      </w:pPr>
      <w:r w:rsidRPr="0097459F">
        <w:t xml:space="preserve">§ 1º  A parcela do patrimônio não investida em direitos creditórios ou cotas deve ser aplicada em ativos financeiros de liquidez, conforme definidos no art. 2º, inciso II, deste </w:t>
      </w:r>
      <w:r w:rsidR="00FB1127" w:rsidRPr="0097459F">
        <w:t>Anexo Normativo II</w:t>
      </w:r>
      <w:r w:rsidRPr="0097459F">
        <w:t>.</w:t>
      </w:r>
    </w:p>
    <w:p w14:paraId="319FCDBC" w14:textId="77777777" w:rsidR="00C20BBD" w:rsidRPr="0097459F" w:rsidRDefault="00C20BBD" w:rsidP="00C20BBD">
      <w:pPr>
        <w:pStyle w:val="Normalalteradora"/>
        <w:ind w:firstLine="709"/>
        <w:rPr>
          <w:rFonts w:cstheme="minorHAnsi"/>
        </w:rPr>
      </w:pPr>
      <w:r w:rsidRPr="0097459F">
        <w:t xml:space="preserve">§ 2º  É </w:t>
      </w:r>
      <w:r w:rsidRPr="0097459F">
        <w:rPr>
          <w:rFonts w:cstheme="minorHAnsi"/>
        </w:rPr>
        <w:t>facultado à classe, ainda, realizar operações com derivativos, exclusivamente com o objetivo de proteção patrimonial</w:t>
      </w:r>
      <w:r w:rsidRPr="0097459F">
        <w:rPr>
          <w:rFonts w:cstheme="minorHAnsi"/>
          <w:shd w:val="clear" w:color="auto" w:fill="FFFFFF"/>
        </w:rPr>
        <w:t xml:space="preserve">, </w:t>
      </w:r>
      <w:r w:rsidRPr="0097459F">
        <w:rPr>
          <w:rStyle w:val="normaltextrun"/>
          <w:rFonts w:cstheme="minorHAnsi"/>
          <w:shd w:val="clear" w:color="auto" w:fill="FFFFFF"/>
        </w:rPr>
        <w:t xml:space="preserve">ou, desde que não resulte em exposição a risco de capital, conforme definida no inciso XXIV do art. 3º da parte geral da Resolução, troca de </w:t>
      </w:r>
      <w:r w:rsidRPr="0097459F">
        <w:rPr>
          <w:rStyle w:val="findhit"/>
          <w:rFonts w:cstheme="minorHAnsi"/>
          <w:shd w:val="clear" w:color="auto" w:fill="FFFFFF"/>
        </w:rPr>
        <w:t>indexador</w:t>
      </w:r>
      <w:r w:rsidRPr="0097459F">
        <w:rPr>
          <w:rStyle w:val="normaltextrun"/>
          <w:rFonts w:cstheme="minorHAnsi"/>
          <w:shd w:val="clear" w:color="auto" w:fill="FFFFFF"/>
        </w:rPr>
        <w:t xml:space="preserve"> a que os ativos estão indexados e o índice de referência de cada subclasse</w:t>
      </w:r>
      <w:r w:rsidRPr="0097459F">
        <w:rPr>
          <w:rFonts w:cstheme="minorHAnsi"/>
        </w:rPr>
        <w:t>.</w:t>
      </w:r>
    </w:p>
    <w:p w14:paraId="5AA46882" w14:textId="77777777" w:rsidR="00C20BBD" w:rsidRPr="0097459F" w:rsidRDefault="00C20BBD" w:rsidP="00C20BBD">
      <w:pPr>
        <w:pStyle w:val="Normalalteradora"/>
        <w:ind w:firstLine="709"/>
        <w:rPr>
          <w:rFonts w:cstheme="minorHAnsi"/>
        </w:rPr>
      </w:pPr>
      <w:r w:rsidRPr="0097459F">
        <w:rPr>
          <w:rFonts w:cstheme="minorHAnsi"/>
        </w:rPr>
        <w:t>§ 3º  É vedada a aplicação de recursos na aquisição de direitos creditórios e ativos financeiros de liquidez no exterior.</w:t>
      </w:r>
    </w:p>
    <w:p w14:paraId="704A1A71" w14:textId="77777777" w:rsidR="00C20BBD" w:rsidRPr="0097459F" w:rsidRDefault="00C20BBD" w:rsidP="00C20BBD">
      <w:pPr>
        <w:pStyle w:val="Normalalteradora"/>
        <w:ind w:firstLine="709"/>
      </w:pPr>
      <w:r w:rsidRPr="0097459F">
        <w:t>Art. 45.  A aplicação de recursos em direitos creditórios e outros ativos de responsabilidade ou coobrigação de um mesmo devedor está limitada a 20% (vinte por cento) do patrimônio líquido da classe de cotas.</w:t>
      </w:r>
    </w:p>
    <w:p w14:paraId="65E54B5F" w14:textId="77777777" w:rsidR="00C20BBD" w:rsidRPr="0097459F" w:rsidRDefault="00C20BBD" w:rsidP="00C20BBD">
      <w:pPr>
        <w:pStyle w:val="Normalalteradora"/>
        <w:ind w:firstLine="709"/>
      </w:pPr>
      <w:r w:rsidRPr="0097459F">
        <w:t>§ 1º  Para efeito de cálculo dos limites, consideram-se como pertencentes a um único devedor os direitos creditórios e ativos financeiros de liquidez de responsabilidade ou coobrigação de devedores integrantes de um mesmo grupo econômico.</w:t>
      </w:r>
    </w:p>
    <w:p w14:paraId="28897220" w14:textId="77777777" w:rsidR="00C20BBD" w:rsidRPr="0097459F" w:rsidRDefault="00C20BBD" w:rsidP="00C20BBD">
      <w:pPr>
        <w:pStyle w:val="paragraph"/>
        <w:spacing w:before="120" w:beforeAutospacing="0" w:after="120" w:afterAutospacing="0" w:line="312" w:lineRule="auto"/>
        <w:ind w:firstLine="709"/>
        <w:jc w:val="both"/>
        <w:textAlignment w:val="baseline"/>
        <w:rPr>
          <w:rFonts w:asciiTheme="minorHAnsi" w:hAnsiTheme="minorHAnsi" w:cstheme="minorHAnsi"/>
          <w:lang w:val="pt-BR"/>
        </w:rPr>
      </w:pPr>
      <w:r w:rsidRPr="0097459F">
        <w:rPr>
          <w:rFonts w:asciiTheme="minorHAnsi" w:hAnsiTheme="minorHAnsi" w:cstheme="minorHAnsi"/>
          <w:lang w:val="pt-BR"/>
        </w:rPr>
        <w:t xml:space="preserve">§ 2º  O gestor deve assegurar que, na consolidação das aplicações da classe investidora com as das classes investidas, o limite disposto no </w:t>
      </w:r>
      <w:r w:rsidRPr="0097459F">
        <w:rPr>
          <w:rFonts w:asciiTheme="minorHAnsi" w:hAnsiTheme="minorHAnsi" w:cstheme="minorHAnsi"/>
          <w:b/>
          <w:lang w:val="pt-BR"/>
        </w:rPr>
        <w:t>caput</w:t>
      </w:r>
      <w:r w:rsidRPr="0097459F">
        <w:rPr>
          <w:rFonts w:asciiTheme="minorHAnsi" w:hAnsiTheme="minorHAnsi" w:cstheme="minorHAnsi"/>
          <w:lang w:val="pt-BR"/>
        </w:rPr>
        <w:t xml:space="preserve"> remanesce observado, ficando dispensada a consolidação </w:t>
      </w:r>
      <w:r w:rsidRPr="0097459F">
        <w:rPr>
          <w:rFonts w:asciiTheme="minorHAnsi" w:hAnsiTheme="minorHAnsi" w:cstheme="minorHAnsi"/>
          <w:lang w:val="pt-BR"/>
        </w:rPr>
        <w:lastRenderedPageBreak/>
        <w:t>no caso de aplicações em classes geridas por terceiros que não sejam partes relacionadas ao gestor da classe investidora.</w:t>
      </w:r>
    </w:p>
    <w:p w14:paraId="3BEBFDB5" w14:textId="77777777" w:rsidR="00C20BBD" w:rsidRPr="0097459F" w:rsidRDefault="00C20BBD" w:rsidP="00C20BBD">
      <w:pPr>
        <w:pStyle w:val="Normalalteradora"/>
        <w:ind w:firstLine="709"/>
      </w:pPr>
      <w:r w:rsidRPr="0097459F">
        <w:t xml:space="preserve">§ 3º  Nas classes destinadas a investidores qualificados, o limite referido no </w:t>
      </w:r>
      <w:r w:rsidRPr="0097459F">
        <w:rPr>
          <w:b/>
        </w:rPr>
        <w:t>caput</w:t>
      </w:r>
      <w:r w:rsidRPr="0097459F">
        <w:t xml:space="preserve"> pode ser aumentado quando:</w:t>
      </w:r>
    </w:p>
    <w:p w14:paraId="6770D88D" w14:textId="77777777" w:rsidR="00C20BBD" w:rsidRPr="0097459F" w:rsidRDefault="00C20BBD" w:rsidP="00C20BBD">
      <w:pPr>
        <w:pStyle w:val="Normalalteradora"/>
        <w:ind w:firstLine="709"/>
      </w:pPr>
      <w:r w:rsidRPr="0097459F">
        <w:t>I – o devedor ou coobrigado:</w:t>
      </w:r>
    </w:p>
    <w:p w14:paraId="6F308438" w14:textId="77777777" w:rsidR="00C20BBD" w:rsidRPr="0097459F" w:rsidRDefault="00C20BBD" w:rsidP="00C20BBD">
      <w:pPr>
        <w:pStyle w:val="Normalalteradora"/>
        <w:ind w:firstLine="709"/>
      </w:pPr>
      <w:r w:rsidRPr="0097459F">
        <w:t>a) tenha registro de companhia aberta;</w:t>
      </w:r>
    </w:p>
    <w:p w14:paraId="334D40DF" w14:textId="69018317" w:rsidR="00C20BBD" w:rsidRDefault="00C20BBD" w:rsidP="00C20BBD">
      <w:pPr>
        <w:pStyle w:val="Normalalteradora"/>
        <w:ind w:firstLine="709"/>
      </w:pPr>
      <w:r w:rsidRPr="0097459F">
        <w:t>b) seja instituição financeira ou equiparada; ou</w:t>
      </w:r>
    </w:p>
    <w:p w14:paraId="7A0F04AF" w14:textId="7F7D9864" w:rsidR="006767E3" w:rsidRPr="0097459F" w:rsidRDefault="006767E3" w:rsidP="006767E3">
      <w:pPr>
        <w:pStyle w:val="Normalalteradora"/>
        <w:ind w:firstLine="709"/>
      </w:pPr>
      <w:r w:rsidRPr="00F070C5">
        <w:t>c) seja entidade que tenha suas demonstrações contábe</w:t>
      </w:r>
      <w:r w:rsidRPr="00EE232D">
        <w:t xml:space="preserve">is relativas ao exercício social imediatamente anterior à data de constituição </w:t>
      </w:r>
      <w:r>
        <w:t>da classe</w:t>
      </w:r>
      <w:r w:rsidRPr="00EE232D">
        <w:t xml:space="preserve"> elaboradas em conformidade com o disposto na Lei nº 6.404, de 1976, e a regulamentação editada pela CVM, e auditadas por auditor independente registra</w:t>
      </w:r>
      <w:r w:rsidRPr="006F07E2">
        <w:t>do na CVM; ou</w:t>
      </w:r>
    </w:p>
    <w:p w14:paraId="657A9937" w14:textId="77777777" w:rsidR="00C20BBD" w:rsidRPr="0097459F" w:rsidRDefault="00C20BBD" w:rsidP="00C20BBD">
      <w:pPr>
        <w:pStyle w:val="Normalalteradora"/>
        <w:ind w:firstLine="709"/>
      </w:pPr>
      <w:r w:rsidRPr="0097459F">
        <w:t xml:space="preserve">II – se tratar de aplicações em: </w:t>
      </w:r>
    </w:p>
    <w:p w14:paraId="2B54C027" w14:textId="77777777" w:rsidR="00C20BBD" w:rsidRPr="0097459F" w:rsidRDefault="00C20BBD" w:rsidP="00C20BBD">
      <w:pPr>
        <w:pStyle w:val="Normalalteradora"/>
        <w:ind w:firstLine="709"/>
      </w:pPr>
      <w:r w:rsidRPr="0097459F">
        <w:t>a) títulos públicos federais;</w:t>
      </w:r>
    </w:p>
    <w:p w14:paraId="6D5C6498" w14:textId="77777777" w:rsidR="00C20BBD" w:rsidRPr="0097459F" w:rsidRDefault="00C20BBD" w:rsidP="00C20BBD">
      <w:pPr>
        <w:pStyle w:val="Normalalteradora"/>
        <w:ind w:firstLine="709"/>
      </w:pPr>
      <w:r w:rsidRPr="0097459F">
        <w:t>b) operações compromissadas lastreadas em títulos públicos federais; e</w:t>
      </w:r>
    </w:p>
    <w:p w14:paraId="0C8BFF8D" w14:textId="77777777" w:rsidR="00C20BBD" w:rsidRPr="0097459F" w:rsidRDefault="00C20BBD" w:rsidP="00C20BBD">
      <w:pPr>
        <w:pStyle w:val="Normalalteradora"/>
        <w:ind w:firstLine="709"/>
      </w:pPr>
      <w:r w:rsidRPr="0097459F">
        <w:t>c) cotas de fundos que possuam como política de investimento a alocação exclusiva nos títulos a que se referem as alíneas “a” e “b”.</w:t>
      </w:r>
    </w:p>
    <w:p w14:paraId="71D78016" w14:textId="77777777" w:rsidR="00C20BBD" w:rsidRPr="0097459F" w:rsidRDefault="00C20BBD" w:rsidP="00C20BBD">
      <w:pPr>
        <w:pStyle w:val="Normalalteradora"/>
        <w:ind w:firstLine="709"/>
      </w:pPr>
      <w:r w:rsidRPr="0097459F">
        <w:t>§ 4º  Na hipótese prevista na alínea “c” do inciso I do § 3º, as demonstrações contábeis anuais do devedor ou coobrigado e respectivo parecer do auditor independente devem ser disponibilizados pelo administrador, até 3 (três) meses após o encerramento do exercício social do devedor ou coobrigado, na página eletrônica na rede mundial de computadores onde serão fornecidas as informações sobre o fundo, até o seu encerramento ou até o exercício em que os direitos creditórios de responsabilidade do devedor ou do coobrigado deixarem de representar mais de 20% (vinte por cento) dos direitos creditórios que integram o patrimônio da classe.</w:t>
      </w:r>
    </w:p>
    <w:p w14:paraId="7359D136" w14:textId="77777777" w:rsidR="00C20BBD" w:rsidRPr="0097459F" w:rsidRDefault="00C20BBD" w:rsidP="00C20BBD">
      <w:pPr>
        <w:pStyle w:val="Normalalteradora"/>
        <w:ind w:firstLine="709"/>
      </w:pPr>
      <w:r w:rsidRPr="0097459F">
        <w:t>§ 5º  Os percentuais referidos neste artigo devem ser cumpridos mensalmente, com base no patrimônio líquido da classe de cotas ao final do mês imediatamente anterior.</w:t>
      </w:r>
    </w:p>
    <w:p w14:paraId="57BC0352" w14:textId="77777777" w:rsidR="00C20BBD" w:rsidRPr="0097459F" w:rsidRDefault="00C20BBD" w:rsidP="00C20BBD">
      <w:pPr>
        <w:pStyle w:val="Normalalteradora"/>
        <w:ind w:firstLine="709"/>
      </w:pPr>
      <w:r w:rsidRPr="0097459F">
        <w:lastRenderedPageBreak/>
        <w:t>§ 6º  As hipóteses de elevação do limite de 20% (vinte por cento) para aquisição de direitos creditórios de um mesmo devedor de que trata o inciso I do § 3º não são aplicáveis aos direitos creditórios de responsabilidade ou coobrigação de prestadores de serviços e de suas partes relacionadas.</w:t>
      </w:r>
    </w:p>
    <w:p w14:paraId="62D8409F" w14:textId="77777777" w:rsidR="00C20BBD" w:rsidRPr="0097459F" w:rsidRDefault="00C20BBD" w:rsidP="00C20BBD">
      <w:pPr>
        <w:pStyle w:val="Normalalteradora"/>
        <w:ind w:firstLine="709"/>
      </w:pPr>
      <w:r w:rsidRPr="0097459F">
        <w:t>§ 7º  A classe fica dispensada de observar as disposições deste artigo, caso tenha como cotistas exclusivamente:</w:t>
      </w:r>
    </w:p>
    <w:p w14:paraId="1D33F9D1" w14:textId="77777777" w:rsidR="00C20BBD" w:rsidRPr="0097459F" w:rsidRDefault="00C20BBD" w:rsidP="00C20BBD">
      <w:pPr>
        <w:pStyle w:val="Normalalteradora"/>
        <w:ind w:firstLine="709"/>
      </w:pPr>
      <w:r w:rsidRPr="0097459F">
        <w:t>I – sociedades integrantes de um mesmo grupo econômico e seus respectivos administradores e controladores pessoas naturais; ou</w:t>
      </w:r>
    </w:p>
    <w:p w14:paraId="6E038989" w14:textId="77777777" w:rsidR="00C20BBD" w:rsidRPr="0097459F" w:rsidRDefault="00C20BBD" w:rsidP="00C20BBD">
      <w:pPr>
        <w:pStyle w:val="Normalalteradora"/>
        <w:ind w:firstLine="709"/>
      </w:pPr>
      <w:r w:rsidRPr="0097459F">
        <w:t>II – investidores profissionais.</w:t>
      </w:r>
    </w:p>
    <w:p w14:paraId="18C038F8" w14:textId="77777777" w:rsidR="00C20BBD" w:rsidRPr="0097459F" w:rsidRDefault="00C20BBD" w:rsidP="00C20BBD">
      <w:pPr>
        <w:spacing w:before="120" w:after="120" w:line="312"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 8º  As aplicações em direitos creditórios decorrentes de receitas públicas originárias ou derivadas da União, dos Estados, do Distrito Federal e dos Municípios ou de suas autarquias e fundações, assim como em direitos creditórios cedidos ou originados por empresas controladas pelo poder público, não estão submetidas ao limite de concentração por emissor previsto no </w:t>
      </w:r>
      <w:r w:rsidRPr="0097459F">
        <w:rPr>
          <w:rFonts w:asciiTheme="minorHAnsi" w:hAnsiTheme="minorHAnsi" w:cstheme="minorHAnsi"/>
          <w:b/>
          <w:sz w:val="24"/>
          <w:szCs w:val="24"/>
        </w:rPr>
        <w:t>caput</w:t>
      </w:r>
      <w:r w:rsidRPr="0097459F">
        <w:rPr>
          <w:rFonts w:asciiTheme="minorHAnsi" w:hAnsiTheme="minorHAnsi" w:cstheme="minorHAnsi"/>
          <w:sz w:val="24"/>
          <w:szCs w:val="24"/>
        </w:rPr>
        <w:t>.</w:t>
      </w:r>
    </w:p>
    <w:p w14:paraId="215640A9" w14:textId="15C461DF" w:rsidR="00C20BBD" w:rsidRPr="0097459F" w:rsidRDefault="00C20BBD" w:rsidP="00C20BBD">
      <w:pPr>
        <w:spacing w:before="120" w:after="120" w:line="312"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Art. 46.  Caso a classe de cotas seja destinada ao público em geral, a aplicação de recursos nos precatórios federais de que trata o inciso II do § 1º do art. 2º deste </w:t>
      </w:r>
      <w:r w:rsidR="00FB1127" w:rsidRPr="0097459F">
        <w:rPr>
          <w:rFonts w:asciiTheme="minorHAnsi" w:hAnsiTheme="minorHAnsi" w:cstheme="minorHAnsi"/>
          <w:sz w:val="24"/>
          <w:szCs w:val="24"/>
        </w:rPr>
        <w:t>Anexo Normativo II</w:t>
      </w:r>
      <w:r w:rsidRPr="0097459F">
        <w:rPr>
          <w:rFonts w:asciiTheme="minorHAnsi" w:hAnsiTheme="minorHAnsi" w:cstheme="minorHAnsi"/>
          <w:sz w:val="24"/>
          <w:szCs w:val="24"/>
        </w:rPr>
        <w:t xml:space="preserve"> está limitada a 20% (vinte por cento) do seu patrimônio líquido, por precatório.</w:t>
      </w:r>
    </w:p>
    <w:p w14:paraId="04FB6093" w14:textId="77777777" w:rsidR="00C20BBD" w:rsidRPr="0097459F" w:rsidRDefault="00C20BBD" w:rsidP="00C20BBD">
      <w:pPr>
        <w:pStyle w:val="Seo"/>
        <w:ind w:firstLine="709"/>
      </w:pPr>
      <w:bookmarkStart w:id="663" w:name="_Toc126226406"/>
      <w:bookmarkStart w:id="664" w:name="_Toc53594287"/>
      <w:bookmarkStart w:id="665" w:name="_Toc53594535"/>
      <w:bookmarkStart w:id="666" w:name="_Toc53595560"/>
      <w:bookmarkStart w:id="667" w:name="_Toc57836297"/>
      <w:r w:rsidRPr="0097459F" w:rsidDel="0072729B">
        <w:t xml:space="preserve">Seção </w:t>
      </w:r>
      <w:r w:rsidRPr="0097459F">
        <w:t>II – Investimento em Cotas</w:t>
      </w:r>
      <w:bookmarkEnd w:id="663"/>
    </w:p>
    <w:bookmarkEnd w:id="664"/>
    <w:bookmarkEnd w:id="665"/>
    <w:bookmarkEnd w:id="666"/>
    <w:bookmarkEnd w:id="667"/>
    <w:p w14:paraId="3AB49E53" w14:textId="77777777" w:rsidR="00C20BBD" w:rsidRPr="0097459F" w:rsidRDefault="00C20BBD" w:rsidP="00C20BBD">
      <w:pPr>
        <w:pStyle w:val="Normalalteradora"/>
        <w:ind w:firstLine="709"/>
      </w:pPr>
      <w:r w:rsidRPr="0097459F">
        <w:t>Art. 47.  As aplicações em cotas de uma mesma classe não podem exceder 25% (vinte e cinco por cento) do patrimônio líquido da classe investidora.</w:t>
      </w:r>
    </w:p>
    <w:p w14:paraId="3E2AB576" w14:textId="77777777" w:rsidR="00C20BBD" w:rsidRPr="0097459F" w:rsidRDefault="00C20BBD" w:rsidP="00C20BBD">
      <w:pPr>
        <w:pStyle w:val="Normalalteradora"/>
        <w:ind w:firstLine="709"/>
      </w:pPr>
      <w:r w:rsidRPr="0097459F">
        <w:t>Parágrafo único.  O regulamento da classe restrita pode disciplinar a extrapolação do limite.</w:t>
      </w:r>
    </w:p>
    <w:p w14:paraId="07804B82" w14:textId="210C0960" w:rsidR="00C20BBD" w:rsidRPr="0097459F" w:rsidRDefault="00C20BBD" w:rsidP="00C20BBD">
      <w:pPr>
        <w:pStyle w:val="Normalalteradora"/>
        <w:ind w:firstLine="709"/>
      </w:pPr>
      <w:r w:rsidRPr="0097459F">
        <w:t xml:space="preserve">Art. 48.  O regulamento e, se aplicável, a lâmina da classe de cotas devem especificar o percentual máximo do patrimônio que pode ser aplicado em uma única classe investida, sem prejuízo do disposto no art. 47 deste </w:t>
      </w:r>
      <w:r w:rsidR="00FB1127" w:rsidRPr="0097459F">
        <w:t>Anexo Normativo II</w:t>
      </w:r>
      <w:r w:rsidRPr="0097459F">
        <w:t>.</w:t>
      </w:r>
    </w:p>
    <w:p w14:paraId="5FDD7352" w14:textId="77777777" w:rsidR="00C20BBD" w:rsidRPr="0097459F" w:rsidRDefault="00C20BBD" w:rsidP="00C20BBD">
      <w:pPr>
        <w:pStyle w:val="Normalalteradora"/>
        <w:ind w:firstLine="709"/>
      </w:pPr>
      <w:r w:rsidRPr="0097459F">
        <w:t>Art. 49.  A classe de cotas de aplicação do público em geral pode investir até o limite de 20% (vinte por cento) do seu patrimônio líquido em cotas de classes e subclasses e ativos financeiros de liquidez destinados exclusivamente a investidores qualificados.</w:t>
      </w:r>
    </w:p>
    <w:p w14:paraId="4D9DFA5D" w14:textId="77777777" w:rsidR="00C20BBD" w:rsidRPr="0097459F" w:rsidRDefault="00C20BBD" w:rsidP="00C20BBD">
      <w:pPr>
        <w:pStyle w:val="Normalalteradora"/>
        <w:ind w:firstLine="709"/>
      </w:pPr>
      <w:r w:rsidRPr="0097459F">
        <w:lastRenderedPageBreak/>
        <w:t xml:space="preserve">Parágrafo único.  Dentro do limite previsto no </w:t>
      </w:r>
      <w:r w:rsidRPr="0097459F">
        <w:rPr>
          <w:b/>
        </w:rPr>
        <w:t>caput</w:t>
      </w:r>
      <w:r w:rsidRPr="0097459F">
        <w:t>, pode ser investido até 5% (cinco por cento) do patrimônio líquido em cotas de classes e subclasses e ativos financeiros de liquidez destinados exclusivamente a investidores profissionais.</w:t>
      </w:r>
    </w:p>
    <w:p w14:paraId="409A9901" w14:textId="77777777" w:rsidR="00C20BBD" w:rsidRPr="0097459F" w:rsidRDefault="00C20BBD" w:rsidP="00C20BBD">
      <w:pPr>
        <w:pStyle w:val="Normalalteradora"/>
        <w:ind w:firstLine="709"/>
      </w:pPr>
      <w:r w:rsidRPr="0097459F">
        <w:t>Art. 50.  A classe de cotas destinada exclusivamente a investidores qualificados pode investir até o limite de 20% (vinte por cento) do seu patrimônio líquido em cotas de classes e subclasses e ativos financeiros de liquidez destinados exclusivamente a investidores profissionais.</w:t>
      </w:r>
    </w:p>
    <w:p w14:paraId="05EC7F54" w14:textId="77777777" w:rsidR="00C20BBD" w:rsidRPr="0097459F" w:rsidRDefault="00C20BBD" w:rsidP="00C20BBD">
      <w:pPr>
        <w:pStyle w:val="Normalalteradora"/>
        <w:ind w:firstLine="709"/>
      </w:pPr>
      <w:r w:rsidRPr="0097459F">
        <w:t xml:space="preserve">Parágrafo único.  Dentro do limite previsto no </w:t>
      </w:r>
      <w:r w:rsidRPr="0097459F">
        <w:rPr>
          <w:b/>
        </w:rPr>
        <w:t>caput</w:t>
      </w:r>
      <w:r w:rsidRPr="0097459F">
        <w:t>, pode ser investido até 10% (dez por cento) do patrimônio líquido em classes de FIDC que admitam a aquisição de direitos creditórios não-padronizados.</w:t>
      </w:r>
    </w:p>
    <w:p w14:paraId="5CDD6353" w14:textId="77777777" w:rsidR="00C20BBD" w:rsidRPr="0097459F" w:rsidRDefault="00C20BBD" w:rsidP="00C20BBD">
      <w:pPr>
        <w:pStyle w:val="Captulo"/>
        <w:ind w:firstLine="709"/>
      </w:pPr>
      <w:bookmarkStart w:id="668" w:name="_Toc53594288"/>
      <w:bookmarkStart w:id="669" w:name="_Toc53594536"/>
      <w:bookmarkStart w:id="670" w:name="_Toc53595561"/>
      <w:bookmarkStart w:id="671" w:name="_Toc57836298"/>
      <w:bookmarkStart w:id="672" w:name="_Toc126226407"/>
      <w:r w:rsidRPr="0097459F">
        <w:t>CAPÍTULO X – CLASSES RESTRITAS</w:t>
      </w:r>
      <w:bookmarkEnd w:id="668"/>
      <w:bookmarkEnd w:id="669"/>
      <w:bookmarkEnd w:id="670"/>
      <w:bookmarkEnd w:id="671"/>
      <w:bookmarkEnd w:id="672"/>
    </w:p>
    <w:p w14:paraId="34384EA1" w14:textId="7A11798A" w:rsidR="00C20BBD" w:rsidRPr="0097459F" w:rsidRDefault="00C20BBD" w:rsidP="00C20BBD">
      <w:pPr>
        <w:pStyle w:val="Normalalteradora"/>
        <w:ind w:firstLine="709"/>
        <w:rPr>
          <w:rFonts w:eastAsia="Calibri"/>
        </w:rPr>
      </w:pPr>
      <w:r w:rsidRPr="0097459F">
        <w:rPr>
          <w:rFonts w:eastAsia="Calibri"/>
        </w:rPr>
        <w:t xml:space="preserve">Art. 51.  O regulamento da classe restrita pode prever a existência de encargos que não estão previstos nos arts. 117 da parte geral da Resolução e 53 deste </w:t>
      </w:r>
      <w:r w:rsidR="00FB1127" w:rsidRPr="0097459F">
        <w:rPr>
          <w:rFonts w:eastAsia="Calibri"/>
        </w:rPr>
        <w:t>Anexo Normativo II</w:t>
      </w:r>
      <w:r w:rsidRPr="0097459F">
        <w:rPr>
          <w:rFonts w:eastAsia="Calibri"/>
        </w:rPr>
        <w:t xml:space="preserve">. </w:t>
      </w:r>
    </w:p>
    <w:p w14:paraId="6F2D4A68" w14:textId="78DAD60A" w:rsidR="00C20BBD" w:rsidRPr="0097459F" w:rsidRDefault="00C20BBD" w:rsidP="00C20BBD">
      <w:pPr>
        <w:pStyle w:val="Normalalteradora"/>
        <w:ind w:firstLine="709"/>
        <w:rPr>
          <w:rFonts w:eastAsia="Calibri"/>
        </w:rPr>
      </w:pPr>
      <w:r w:rsidRPr="0097459F">
        <w:rPr>
          <w:rFonts w:eastAsia="Calibri"/>
        </w:rPr>
        <w:t xml:space="preserve">Art. 52.  No que se refere à classe de cotas destinada exclusivamente a investidores profissionais, adicionalmente às faculdades dispostas na parte geral da Resolução e neste </w:t>
      </w:r>
      <w:r w:rsidR="00FB1127" w:rsidRPr="0097459F">
        <w:rPr>
          <w:rFonts w:eastAsia="Calibri"/>
        </w:rPr>
        <w:t>Anexo Normativo II</w:t>
      </w:r>
      <w:r w:rsidRPr="0097459F">
        <w:rPr>
          <w:rFonts w:eastAsia="Calibri"/>
        </w:rPr>
        <w:t>, o regulamento pode prever:</w:t>
      </w:r>
    </w:p>
    <w:p w14:paraId="378C6268" w14:textId="714FA84B" w:rsidR="00C20BBD" w:rsidRPr="0097459F" w:rsidRDefault="00C20BBD" w:rsidP="00C20BBD">
      <w:pPr>
        <w:pStyle w:val="Normalalteradora"/>
        <w:ind w:firstLine="709"/>
        <w:rPr>
          <w:rFonts w:eastAsia="Calibri"/>
        </w:rPr>
      </w:pPr>
      <w:r w:rsidRPr="0097459F">
        <w:rPr>
          <w:rFonts w:eastAsia="Calibri"/>
        </w:rPr>
        <w:t xml:space="preserve">I – a não observância da carteira aos limites de concentração por devedor, emissor e tipo de direito creditório, conforme dispostos neste </w:t>
      </w:r>
      <w:r w:rsidR="00FB1127" w:rsidRPr="0097459F">
        <w:rPr>
          <w:rFonts w:eastAsia="Calibri"/>
        </w:rPr>
        <w:t>Anexo Normativo II</w:t>
      </w:r>
      <w:r w:rsidRPr="0097459F">
        <w:rPr>
          <w:rFonts w:eastAsia="Calibri"/>
        </w:rPr>
        <w:t>;</w:t>
      </w:r>
    </w:p>
    <w:p w14:paraId="1FA7F58B" w14:textId="76DA17CF" w:rsidR="00C20BBD" w:rsidRPr="0097459F" w:rsidRDefault="00C20BBD" w:rsidP="00C20BBD">
      <w:pPr>
        <w:pStyle w:val="Normalalteradora"/>
        <w:ind w:firstLine="709"/>
        <w:rPr>
          <w:rFonts w:eastAsia="Calibri"/>
        </w:rPr>
      </w:pPr>
      <w:r w:rsidRPr="0097459F">
        <w:rPr>
          <w:rFonts w:eastAsia="Calibri"/>
        </w:rPr>
        <w:t xml:space="preserve">II – o não cumprimento pelo administrador das obrigações previstas no inciso I do art. 27 deste </w:t>
      </w:r>
      <w:r w:rsidR="00FB1127" w:rsidRPr="0097459F">
        <w:rPr>
          <w:rFonts w:eastAsia="Calibri"/>
        </w:rPr>
        <w:t>Anexo Normativo II</w:t>
      </w:r>
      <w:r w:rsidRPr="0097459F">
        <w:rPr>
          <w:rFonts w:eastAsia="Calibri"/>
        </w:rPr>
        <w:t>; e</w:t>
      </w:r>
    </w:p>
    <w:p w14:paraId="09838D19" w14:textId="71D7A19A" w:rsidR="00C20BBD" w:rsidRPr="0097459F" w:rsidRDefault="00CE48E2" w:rsidP="00C20BBD">
      <w:pPr>
        <w:pStyle w:val="Normalalteradora"/>
        <w:ind w:firstLine="709"/>
        <w:rPr>
          <w:rFonts w:eastAsia="Calibri"/>
        </w:rPr>
      </w:pPr>
      <w:r>
        <w:rPr>
          <w:rFonts w:eastAsia="Calibri"/>
        </w:rPr>
        <w:t>I</w:t>
      </w:r>
      <w:r w:rsidR="00C20BBD" w:rsidRPr="0097459F">
        <w:rPr>
          <w:rFonts w:eastAsia="Calibri"/>
        </w:rPr>
        <w:t>II – que os recursos oriundos da liquidação financeira dos direitos creditórios podem ser recebidos pelo cedente em conta corrente de livre movimentação, para posterior repasse à classe.</w:t>
      </w:r>
    </w:p>
    <w:p w14:paraId="16C8A305" w14:textId="607F5FD4" w:rsidR="00C20BBD" w:rsidRPr="0097459F" w:rsidRDefault="00C20BBD" w:rsidP="00C20BBD">
      <w:pPr>
        <w:pStyle w:val="Normalalteradora"/>
        <w:ind w:firstLine="709"/>
        <w:rPr>
          <w:rFonts w:eastAsia="Calibri"/>
        </w:rPr>
      </w:pPr>
      <w:r w:rsidRPr="0097459F">
        <w:rPr>
          <w:rFonts w:eastAsia="Calibri"/>
        </w:rPr>
        <w:t xml:space="preserve">Parágrafo único.  O uso da previsão constante do inciso I não exime o administrador de encaminhar à CVM as informações de que tratam os incisos III a V do art. 27 deste </w:t>
      </w:r>
      <w:r w:rsidR="00FB1127" w:rsidRPr="0097459F">
        <w:t>Anexo Normativo II</w:t>
      </w:r>
      <w:r w:rsidRPr="0097459F">
        <w:rPr>
          <w:rFonts w:eastAsia="Calibri"/>
        </w:rPr>
        <w:t xml:space="preserve">. </w:t>
      </w:r>
    </w:p>
    <w:p w14:paraId="2A22AD5E" w14:textId="77777777" w:rsidR="00C20BBD" w:rsidRPr="0097459F" w:rsidRDefault="00C20BBD" w:rsidP="00C20BBD">
      <w:pPr>
        <w:pStyle w:val="Captulo"/>
        <w:ind w:firstLine="709"/>
      </w:pPr>
      <w:bookmarkStart w:id="673" w:name="_Toc507331287"/>
      <w:bookmarkStart w:id="674" w:name="_Toc53594291"/>
      <w:bookmarkStart w:id="675" w:name="_Toc53594539"/>
      <w:bookmarkStart w:id="676" w:name="_Toc53595564"/>
      <w:bookmarkStart w:id="677" w:name="_Toc57836301"/>
      <w:bookmarkStart w:id="678" w:name="_Toc126226408"/>
      <w:r w:rsidRPr="0097459F">
        <w:lastRenderedPageBreak/>
        <w:t xml:space="preserve">CAPÍTULO XI – </w:t>
      </w:r>
      <w:bookmarkEnd w:id="673"/>
      <w:r w:rsidRPr="0097459F">
        <w:t>ENCARGOS</w:t>
      </w:r>
      <w:bookmarkEnd w:id="674"/>
      <w:bookmarkEnd w:id="675"/>
      <w:bookmarkEnd w:id="676"/>
      <w:bookmarkEnd w:id="677"/>
      <w:bookmarkEnd w:id="678"/>
    </w:p>
    <w:p w14:paraId="0F61AB9E"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lang w:val="pt-BR"/>
        </w:rPr>
      </w:pPr>
      <w:r w:rsidRPr="0097459F">
        <w:rPr>
          <w:rStyle w:val="normaltextrun"/>
          <w:rFonts w:asciiTheme="minorHAnsi" w:hAnsiTheme="minorHAnsi" w:cstheme="minorHAnsi"/>
          <w:lang w:val="pt-BR"/>
        </w:rPr>
        <w:t>Art. 53.  Em acréscimo aos encargos dispostos no art. 117 da parte geral da Resolução, o regulamento do FIDC pode prever como encargos as seguintes despesas, que podem ser debitadas diretamente de suas classes de cotas:</w:t>
      </w:r>
    </w:p>
    <w:p w14:paraId="31019647"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I – taxa de performance;</w:t>
      </w:r>
    </w:p>
    <w:p w14:paraId="24EEFF61"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II – taxa máxima de custódia; e</w:t>
      </w:r>
    </w:p>
    <w:p w14:paraId="7FC8010E"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III – registro de direitos creditórios.</w:t>
      </w:r>
    </w:p>
    <w:p w14:paraId="36DD679A"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Parágrafo único.  Na classe restrita, o regulamento pode acrescentar aos encargos as despesas com:</w:t>
      </w:r>
    </w:p>
    <w:p w14:paraId="66DC5FFA"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I – consultoria especializada; e</w:t>
      </w:r>
    </w:p>
    <w:p w14:paraId="2F5ADC47"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II – agente de cobrança.</w:t>
      </w:r>
    </w:p>
    <w:p w14:paraId="4BC15D32" w14:textId="77777777" w:rsidR="00C20BBD" w:rsidRPr="0097459F" w:rsidRDefault="00C20BBD" w:rsidP="00C20BBD">
      <w:pPr>
        <w:pStyle w:val="Captulo"/>
        <w:ind w:firstLine="709"/>
      </w:pPr>
      <w:bookmarkStart w:id="679" w:name="_Toc53594292"/>
      <w:bookmarkStart w:id="680" w:name="_Toc53594540"/>
      <w:bookmarkStart w:id="681" w:name="_Toc53595565"/>
      <w:bookmarkStart w:id="682" w:name="_Toc57836302"/>
      <w:bookmarkStart w:id="683" w:name="_Toc126226409"/>
      <w:r w:rsidRPr="0097459F">
        <w:t>CAPÍTULO XII – LIQUIDAÇÃO</w:t>
      </w:r>
      <w:bookmarkEnd w:id="679"/>
      <w:bookmarkEnd w:id="680"/>
      <w:bookmarkEnd w:id="681"/>
      <w:bookmarkEnd w:id="682"/>
      <w:bookmarkEnd w:id="683"/>
    </w:p>
    <w:p w14:paraId="542112FE" w14:textId="77777777" w:rsidR="00C20BBD" w:rsidRPr="0097459F" w:rsidRDefault="00C20BBD" w:rsidP="00C20BBD">
      <w:pPr>
        <w:pStyle w:val="Normalalteradora"/>
        <w:ind w:firstLine="709"/>
      </w:pPr>
      <w:r w:rsidRPr="0097459F">
        <w:t>Art. 54.  No âmbito da liquidação de uma classe de cotas, desde que de modo integrado ao plano de liquidação</w:t>
      </w:r>
      <w:bookmarkStart w:id="684" w:name="_Hlk52090590"/>
      <w:r w:rsidRPr="0097459F">
        <w:t>, em acréscimo às dispensas concedidas no art. 128 da parte geral Resolução</w:t>
      </w:r>
      <w:bookmarkEnd w:id="684"/>
      <w:r w:rsidRPr="0097459F">
        <w:t>, fica dispensado o cumprimento das regras listadas a seguir:</w:t>
      </w:r>
    </w:p>
    <w:p w14:paraId="13E26D39" w14:textId="72BA896C" w:rsidR="00C20BBD" w:rsidRPr="0097459F" w:rsidRDefault="00C20BBD" w:rsidP="00C20BBD">
      <w:pPr>
        <w:pStyle w:val="Normalalteradora"/>
        <w:ind w:firstLine="709"/>
      </w:pPr>
      <w:r w:rsidRPr="0097459F">
        <w:t xml:space="preserve">I – elaboração e divulgação das informações de que tratam os incisos I e II do art. 27 deste </w:t>
      </w:r>
      <w:r w:rsidR="00FB1127" w:rsidRPr="0097459F">
        <w:t>Anexo Normativo II</w:t>
      </w:r>
      <w:r w:rsidRPr="0097459F">
        <w:t>; e</w:t>
      </w:r>
    </w:p>
    <w:p w14:paraId="7084DA1A" w14:textId="3EDCAC82" w:rsidR="00C20BBD" w:rsidRPr="0097459F" w:rsidRDefault="00C20BBD" w:rsidP="00C20BBD">
      <w:pPr>
        <w:pStyle w:val="Normalalteradora"/>
        <w:ind w:firstLine="709"/>
      </w:pPr>
      <w:r w:rsidRPr="0097459F">
        <w:t xml:space="preserve">II – envio das informações de que tratam os incisos III a V do art. 27 deste </w:t>
      </w:r>
      <w:r w:rsidR="00FB1127" w:rsidRPr="0097459F">
        <w:t>Anexo Normativo II</w:t>
      </w:r>
      <w:r w:rsidRPr="0097459F">
        <w:t xml:space="preserve"> à CVM.</w:t>
      </w:r>
    </w:p>
    <w:p w14:paraId="33B012B4" w14:textId="77777777" w:rsidR="00C20BBD" w:rsidRPr="0097459F" w:rsidRDefault="00C20BBD" w:rsidP="00C20BBD">
      <w:pPr>
        <w:pStyle w:val="Normalalteradora"/>
        <w:ind w:firstLine="709"/>
      </w:pPr>
      <w:r w:rsidRPr="0097459F">
        <w:t>Art. 55.  Caso os cotistas reunidos em assembleia deliberem pela não liquidação da classe de cotas em função de ocorrência de hipótese prevista no regulamento, é assegurada a amortização ou o resgate total das cotas seniores aos cotistas dissidentes que o solicitarem.</w:t>
      </w:r>
    </w:p>
    <w:p w14:paraId="04CA5597" w14:textId="77777777" w:rsidR="00C20BBD" w:rsidRPr="0097459F" w:rsidRDefault="00C20BBD" w:rsidP="00C20BBD">
      <w:pPr>
        <w:pStyle w:val="Normalalteradora"/>
        <w:ind w:firstLine="709"/>
      </w:pPr>
      <w:r w:rsidRPr="0097459F">
        <w:t xml:space="preserve">Parágrafo único.  Na hipótese prevista no </w:t>
      </w:r>
      <w:r w:rsidRPr="0097459F">
        <w:rPr>
          <w:b/>
        </w:rPr>
        <w:t>caput</w:t>
      </w:r>
      <w:r w:rsidRPr="0097459F">
        <w:t>, os titulares de cotas subordinadas mezanino e subordinadas que sejam dissidentes podem amortizar ou resgatar suas cotas, desde que o índice de subordinação não seja comprometido.</w:t>
      </w:r>
    </w:p>
    <w:p w14:paraId="61423F4C" w14:textId="77777777" w:rsidR="00C20BBD" w:rsidRPr="0097459F" w:rsidRDefault="00C20BBD" w:rsidP="00C20BBD">
      <w:pPr>
        <w:pStyle w:val="Captulo"/>
        <w:ind w:firstLine="709"/>
      </w:pPr>
      <w:bookmarkStart w:id="685" w:name="_Toc53594293"/>
      <w:bookmarkStart w:id="686" w:name="_Toc53594541"/>
      <w:bookmarkStart w:id="687" w:name="_Toc53595566"/>
      <w:bookmarkStart w:id="688" w:name="_Toc57836303"/>
      <w:bookmarkStart w:id="689" w:name="_Toc507331292"/>
      <w:bookmarkStart w:id="690" w:name="_Toc126226410"/>
      <w:r w:rsidRPr="0097459F">
        <w:lastRenderedPageBreak/>
        <w:t>CAPÍTULO XIII – PENALIDADES</w:t>
      </w:r>
      <w:bookmarkEnd w:id="685"/>
      <w:bookmarkEnd w:id="686"/>
      <w:bookmarkEnd w:id="687"/>
      <w:bookmarkEnd w:id="688"/>
      <w:bookmarkEnd w:id="689"/>
      <w:bookmarkEnd w:id="690"/>
    </w:p>
    <w:p w14:paraId="45831E5A" w14:textId="77777777" w:rsidR="00C20BBD" w:rsidRPr="0097459F" w:rsidRDefault="00C20BBD" w:rsidP="00C20BBD">
      <w:pPr>
        <w:pStyle w:val="Normalalteradora"/>
        <w:ind w:firstLine="709"/>
      </w:pPr>
      <w:r w:rsidRPr="0097459F">
        <w:t>Art. 56.  Em acréscimo às condutas previstas no art. 131 da parte geral da Resolução, considera-se infração grave:</w:t>
      </w:r>
    </w:p>
    <w:p w14:paraId="52303112" w14:textId="51E6E359" w:rsidR="00C20BBD" w:rsidRPr="0097459F" w:rsidRDefault="00C20BBD" w:rsidP="00C20BBD">
      <w:pPr>
        <w:pStyle w:val="Normalalteradora"/>
        <w:ind w:firstLine="709"/>
      </w:pPr>
      <w:r w:rsidRPr="0097459F">
        <w:t xml:space="preserve">I – a não observância aos limites de concentração, composição e exposição da carteira de ativos, conforme previstos no regulamento e neste </w:t>
      </w:r>
      <w:r w:rsidR="00FB1127" w:rsidRPr="0097459F">
        <w:t>Anexo Normativo II</w:t>
      </w:r>
      <w:r w:rsidRPr="0097459F">
        <w:t>;</w:t>
      </w:r>
    </w:p>
    <w:p w14:paraId="1DD7593B" w14:textId="77777777" w:rsidR="00C20BBD" w:rsidRPr="0097459F" w:rsidRDefault="00C20BBD" w:rsidP="00C20BBD">
      <w:pPr>
        <w:pStyle w:val="Normalalteradora"/>
        <w:ind w:firstLine="709"/>
      </w:pPr>
      <w:r w:rsidRPr="0097459F">
        <w:t>II – a aplicação de recursos na aquisição de direitos creditórios e ativos financeiros no exterior; e</w:t>
      </w:r>
    </w:p>
    <w:p w14:paraId="6986F02B" w14:textId="6E1AB7E2" w:rsidR="00C20BBD" w:rsidRPr="0097459F" w:rsidRDefault="00C20BBD" w:rsidP="00C20BBD">
      <w:pPr>
        <w:pStyle w:val="Normalalteradora"/>
        <w:ind w:firstLine="709"/>
      </w:pPr>
      <w:r w:rsidRPr="0097459F">
        <w:t xml:space="preserve">III – a não disponibilização da lâmina, se aplicável, conforme previsto neste </w:t>
      </w:r>
      <w:r w:rsidR="00FB1127" w:rsidRPr="0097459F">
        <w:t>Anexo Normativo II</w:t>
      </w:r>
      <w:r w:rsidRPr="0097459F">
        <w:t>.</w:t>
      </w:r>
    </w:p>
    <w:p w14:paraId="78B88340" w14:textId="77777777" w:rsidR="00C20BBD" w:rsidRPr="0097459F" w:rsidRDefault="00C20BBD" w:rsidP="00C20BBD">
      <w:pPr>
        <w:pStyle w:val="Captulo"/>
        <w:ind w:firstLine="709"/>
      </w:pPr>
      <w:bookmarkStart w:id="691" w:name="_Toc507331293"/>
      <w:bookmarkStart w:id="692" w:name="_Toc53594294"/>
      <w:bookmarkStart w:id="693" w:name="_Toc53594542"/>
      <w:bookmarkStart w:id="694" w:name="_Toc53595567"/>
      <w:bookmarkStart w:id="695" w:name="_Toc57836304"/>
      <w:bookmarkStart w:id="696" w:name="_Toc126226411"/>
      <w:r w:rsidRPr="0097459F">
        <w:t>CAPÍTULO XIV – DISPOSIÇÕES FINAIS E TRANSITÓRIAS</w:t>
      </w:r>
      <w:bookmarkEnd w:id="691"/>
      <w:bookmarkEnd w:id="692"/>
      <w:bookmarkEnd w:id="693"/>
      <w:bookmarkEnd w:id="694"/>
      <w:bookmarkEnd w:id="695"/>
      <w:bookmarkEnd w:id="696"/>
    </w:p>
    <w:p w14:paraId="109031D3" w14:textId="054825F1" w:rsidR="00C20BBD" w:rsidRPr="0097459F" w:rsidRDefault="00C20BBD" w:rsidP="00C20BBD">
      <w:pPr>
        <w:pStyle w:val="Normalalteradora"/>
        <w:ind w:firstLine="709"/>
      </w:pPr>
      <w:r w:rsidRPr="0097459F">
        <w:t xml:space="preserve">Art. 57.  Quando da entrada em vigor da Resolução, o fundo será automaticamente considerado como constituído na forma de classe única de cotas, preservados direitos e obrigações das cotas seniores e subordinadas existentes à ocasião, que deverão ser tratadas como subclasses para fins de adaptação a este </w:t>
      </w:r>
      <w:r w:rsidR="00FB1127" w:rsidRPr="0097459F">
        <w:t>Anexo Normativo II</w:t>
      </w:r>
      <w:r w:rsidRPr="0097459F">
        <w:t>.</w:t>
      </w:r>
    </w:p>
    <w:p w14:paraId="58E4B355" w14:textId="272ADFB1" w:rsidR="00C20BBD" w:rsidRPr="0097459F" w:rsidRDefault="00C20BBD" w:rsidP="00C20BBD">
      <w:pPr>
        <w:pStyle w:val="Normalalteradora"/>
        <w:ind w:firstLine="709"/>
      </w:pPr>
    </w:p>
    <w:p w14:paraId="7DB8D2E7" w14:textId="77777777" w:rsidR="005D57BE" w:rsidRDefault="00C20BBD">
      <w:pPr>
        <w:spacing w:after="160" w:line="259" w:lineRule="auto"/>
        <w:rPr>
          <w:sz w:val="24"/>
          <w:szCs w:val="24"/>
        </w:rPr>
        <w:sectPr w:rsidR="005D57BE" w:rsidSect="0058706A">
          <w:headerReference w:type="default" r:id="rId17"/>
          <w:pgSz w:w="11906" w:h="16838"/>
          <w:pgMar w:top="2268" w:right="567" w:bottom="851" w:left="1134" w:header="709" w:footer="709" w:gutter="0"/>
          <w:cols w:space="708"/>
          <w:titlePg/>
          <w:docGrid w:linePitch="360"/>
        </w:sectPr>
      </w:pPr>
      <w:r w:rsidRPr="0097459F">
        <w:rPr>
          <w:sz w:val="24"/>
          <w:szCs w:val="24"/>
        </w:rPr>
        <w:br w:type="page"/>
      </w:r>
    </w:p>
    <w:p w14:paraId="1B88B22B" w14:textId="77777777" w:rsidR="00C20BBD" w:rsidRPr="0097459F" w:rsidRDefault="00C20BBD" w:rsidP="00FB1127">
      <w:pPr>
        <w:pStyle w:val="Ttulo1"/>
        <w:spacing w:before="120" w:after="0" w:line="312" w:lineRule="auto"/>
        <w:jc w:val="center"/>
        <w:rPr>
          <w:rFonts w:asciiTheme="minorHAnsi" w:hAnsiTheme="minorHAnsi" w:cstheme="minorHAnsi"/>
          <w:b w:val="0"/>
          <w:bCs w:val="0"/>
          <w:sz w:val="24"/>
          <w:szCs w:val="24"/>
        </w:rPr>
      </w:pPr>
      <w:bookmarkStart w:id="697" w:name="_Toc53594543"/>
      <w:bookmarkStart w:id="698" w:name="_Toc53595568"/>
      <w:bookmarkStart w:id="699" w:name="_Toc53594295"/>
      <w:bookmarkStart w:id="700" w:name="_Toc57836305"/>
      <w:bookmarkStart w:id="701" w:name="_Toc126226412"/>
      <w:r w:rsidRPr="0097459F">
        <w:rPr>
          <w:rFonts w:asciiTheme="minorHAnsi" w:hAnsiTheme="minorHAnsi" w:cstheme="minorHAnsi"/>
          <w:sz w:val="24"/>
          <w:szCs w:val="24"/>
        </w:rPr>
        <w:lastRenderedPageBreak/>
        <w:t>SUPLEMENTO A – TERMO DE CIÊNCIA E ASSUNÇÃO DE RESPONSABILIDADE ILIMITADA</w:t>
      </w:r>
      <w:bookmarkEnd w:id="697"/>
      <w:bookmarkEnd w:id="698"/>
      <w:bookmarkEnd w:id="699"/>
      <w:bookmarkEnd w:id="700"/>
      <w:bookmarkEnd w:id="701"/>
    </w:p>
    <w:p w14:paraId="2209CF31" w14:textId="0AFA5CAC" w:rsidR="00C20BBD" w:rsidRPr="0097459F" w:rsidRDefault="00C20BBD" w:rsidP="00FB1127">
      <w:pPr>
        <w:spacing w:before="120" w:after="0" w:line="312" w:lineRule="auto"/>
        <w:ind w:firstLine="709"/>
        <w:jc w:val="center"/>
        <w:rPr>
          <w:rFonts w:asciiTheme="minorHAnsi" w:eastAsia="Times" w:hAnsiTheme="minorHAnsi" w:cstheme="minorHAnsi"/>
          <w:i/>
          <w:sz w:val="24"/>
          <w:szCs w:val="24"/>
        </w:rPr>
      </w:pPr>
      <w:r w:rsidRPr="0097459F">
        <w:rPr>
          <w:rFonts w:asciiTheme="minorHAnsi" w:eastAsia="Times" w:hAnsiTheme="minorHAnsi" w:cstheme="minorHAnsi"/>
          <w:i/>
          <w:sz w:val="24"/>
          <w:szCs w:val="24"/>
        </w:rPr>
        <w:t>Termo declaratório, mediante o qual o cotista atesta que possui ciência sobre sua responsabilidade ilimitada</w:t>
      </w:r>
      <w:r w:rsidR="00BD0FEA">
        <w:rPr>
          <w:rFonts w:asciiTheme="minorHAnsi" w:eastAsia="Times" w:hAnsiTheme="minorHAnsi" w:cstheme="minorHAnsi"/>
          <w:i/>
          <w:sz w:val="24"/>
          <w:szCs w:val="24"/>
        </w:rPr>
        <w:t xml:space="preserve">, </w:t>
      </w:r>
      <w:r w:rsidR="00201061">
        <w:rPr>
          <w:rFonts w:asciiTheme="minorHAnsi" w:eastAsia="Times" w:hAnsiTheme="minorHAnsi" w:cstheme="minorHAnsi"/>
          <w:i/>
          <w:sz w:val="24"/>
          <w:szCs w:val="24"/>
        </w:rPr>
        <w:t xml:space="preserve">conforme previsto </w:t>
      </w:r>
      <w:r w:rsidR="00BD0FEA">
        <w:rPr>
          <w:rFonts w:asciiTheme="minorHAnsi" w:eastAsia="Times" w:hAnsiTheme="minorHAnsi" w:cstheme="minorHAnsi"/>
          <w:i/>
          <w:sz w:val="24"/>
          <w:szCs w:val="24"/>
        </w:rPr>
        <w:t>no art</w:t>
      </w:r>
      <w:r w:rsidR="00201061">
        <w:rPr>
          <w:rFonts w:asciiTheme="minorHAnsi" w:eastAsia="Times" w:hAnsiTheme="minorHAnsi" w:cstheme="minorHAnsi"/>
          <w:i/>
          <w:sz w:val="24"/>
          <w:szCs w:val="24"/>
        </w:rPr>
        <w:t>.</w:t>
      </w:r>
      <w:r w:rsidR="00BD0FEA">
        <w:rPr>
          <w:rFonts w:asciiTheme="minorHAnsi" w:eastAsia="Times" w:hAnsiTheme="minorHAnsi" w:cstheme="minorHAnsi"/>
          <w:i/>
          <w:sz w:val="24"/>
          <w:szCs w:val="24"/>
        </w:rPr>
        <w:t xml:space="preserve"> </w:t>
      </w:r>
      <w:r w:rsidR="00201061">
        <w:rPr>
          <w:rFonts w:asciiTheme="minorHAnsi" w:eastAsia="Times" w:hAnsiTheme="minorHAnsi" w:cstheme="minorHAnsi"/>
          <w:i/>
          <w:sz w:val="24"/>
          <w:szCs w:val="24"/>
        </w:rPr>
        <w:t>29, § 3º, da Resolução CVM nº 175, de 2022</w:t>
      </w:r>
      <w:r w:rsidRPr="0097459F">
        <w:rPr>
          <w:rFonts w:asciiTheme="minorHAnsi" w:eastAsia="Times" w:hAnsiTheme="minorHAnsi" w:cstheme="minorHAnsi"/>
          <w:i/>
          <w:sz w:val="24"/>
          <w:szCs w:val="24"/>
        </w:rPr>
        <w:t>.</w:t>
      </w:r>
    </w:p>
    <w:p w14:paraId="6D5E611E" w14:textId="77777777" w:rsidR="00C20BBD" w:rsidRPr="0097459F" w:rsidRDefault="00C20BBD" w:rsidP="00FB1127">
      <w:pPr>
        <w:spacing w:before="120" w:after="0" w:line="312" w:lineRule="auto"/>
        <w:ind w:left="360" w:firstLine="709"/>
        <w:jc w:val="both"/>
        <w:rPr>
          <w:rFonts w:asciiTheme="minorHAnsi" w:eastAsia="Times" w:hAnsiTheme="minorHAnsi" w:cstheme="minorHAnsi"/>
          <w:sz w:val="24"/>
          <w:szCs w:val="24"/>
        </w:rPr>
      </w:pPr>
    </w:p>
    <w:p w14:paraId="58C09F54" w14:textId="77777777" w:rsidR="00C20BBD" w:rsidRPr="0097459F" w:rsidRDefault="00C20BBD" w:rsidP="00FB1127">
      <w:pPr>
        <w:spacing w:before="120" w:after="0" w:line="312" w:lineRule="auto"/>
        <w:jc w:val="center"/>
        <w:rPr>
          <w:rFonts w:asciiTheme="minorHAnsi" w:hAnsiTheme="minorHAnsi" w:cstheme="minorHAnsi"/>
          <w:b/>
          <w:bCs/>
          <w:color w:val="0D0D0D"/>
          <w:sz w:val="24"/>
          <w:szCs w:val="24"/>
        </w:rPr>
      </w:pPr>
      <w:r w:rsidRPr="0097459F">
        <w:rPr>
          <w:rFonts w:asciiTheme="minorHAnsi" w:hAnsiTheme="minorHAnsi" w:cstheme="minorHAnsi"/>
          <w:b/>
          <w:bCs/>
          <w:color w:val="0D0D0D"/>
          <w:sz w:val="24"/>
          <w:szCs w:val="24"/>
        </w:rPr>
        <w:t>[nome de fantasia do fundo e, se for o caso, da classe]</w:t>
      </w:r>
    </w:p>
    <w:p w14:paraId="70AD34DA" w14:textId="38974265" w:rsidR="00C20BBD" w:rsidRPr="0097459F" w:rsidRDefault="00C20BBD" w:rsidP="00FB1127">
      <w:pPr>
        <w:spacing w:before="120" w:after="0" w:line="312" w:lineRule="auto"/>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[CNPJ </w:t>
      </w:r>
      <w:r w:rsidR="00FB1127" w:rsidRPr="0097459F">
        <w:rPr>
          <w:rFonts w:asciiTheme="minorHAnsi" w:hAnsiTheme="minorHAnsi" w:cstheme="minorHAnsi"/>
          <w:b/>
          <w:color w:val="000000"/>
          <w:sz w:val="24"/>
          <w:szCs w:val="24"/>
        </w:rPr>
        <w:t>do fundo</w:t>
      </w:r>
      <w:r w:rsidRPr="0097459F">
        <w:rPr>
          <w:rFonts w:asciiTheme="minorHAnsi" w:hAnsiTheme="minorHAnsi" w:cstheme="minorHAnsi"/>
          <w:b/>
          <w:color w:val="000000"/>
          <w:sz w:val="24"/>
          <w:szCs w:val="24"/>
        </w:rPr>
        <w:t>]</w:t>
      </w:r>
    </w:p>
    <w:p w14:paraId="3FD17925" w14:textId="77777777" w:rsidR="00C20BBD" w:rsidRPr="0097459F" w:rsidRDefault="00C20BBD" w:rsidP="00FB1127">
      <w:pPr>
        <w:spacing w:before="120" w:after="0" w:line="312" w:lineRule="auto"/>
        <w:ind w:left="360" w:firstLine="709"/>
        <w:jc w:val="both"/>
        <w:rPr>
          <w:rFonts w:asciiTheme="minorHAnsi" w:eastAsia="Times" w:hAnsiTheme="minorHAnsi" w:cstheme="minorHAnsi"/>
          <w:sz w:val="24"/>
          <w:szCs w:val="24"/>
        </w:rPr>
      </w:pPr>
    </w:p>
    <w:p w14:paraId="62215449" w14:textId="77777777" w:rsidR="00C20BBD" w:rsidRPr="0097459F" w:rsidRDefault="00C20BBD" w:rsidP="00FB1127">
      <w:pPr>
        <w:spacing w:before="120" w:after="0" w:line="312" w:lineRule="auto"/>
        <w:ind w:firstLine="709"/>
        <w:jc w:val="both"/>
        <w:rPr>
          <w:rFonts w:asciiTheme="minorHAnsi" w:eastAsia="Times" w:hAnsiTheme="minorHAnsi" w:cstheme="minorHAnsi"/>
          <w:sz w:val="24"/>
          <w:szCs w:val="24"/>
        </w:rPr>
      </w:pPr>
      <w:r w:rsidRPr="0097459F">
        <w:rPr>
          <w:rFonts w:asciiTheme="minorHAnsi" w:eastAsia="Times" w:hAnsiTheme="minorHAnsi" w:cstheme="minorHAnsi"/>
          <w:sz w:val="24"/>
          <w:szCs w:val="24"/>
        </w:rPr>
        <w:t>Ao assinar este termo, estou confirmando que tenho ciência de que:</w:t>
      </w:r>
    </w:p>
    <w:p w14:paraId="33AB582D" w14:textId="77777777" w:rsidR="00C20BBD" w:rsidRPr="0097459F" w:rsidRDefault="00C20BBD" w:rsidP="00FB1127">
      <w:pPr>
        <w:spacing w:before="120" w:after="0" w:line="312" w:lineRule="auto"/>
        <w:ind w:left="360" w:firstLine="709"/>
        <w:jc w:val="both"/>
        <w:rPr>
          <w:rFonts w:asciiTheme="minorHAnsi" w:eastAsia="Times" w:hAnsiTheme="minorHAnsi" w:cstheme="minorHAnsi"/>
          <w:sz w:val="24"/>
          <w:szCs w:val="24"/>
        </w:rPr>
      </w:pPr>
    </w:p>
    <w:p w14:paraId="4F628027" w14:textId="77777777" w:rsidR="00C20BBD" w:rsidRPr="0097459F" w:rsidRDefault="00C20BBD" w:rsidP="00FB1127">
      <w:pPr>
        <w:spacing w:before="120" w:after="0" w:line="312" w:lineRule="auto"/>
        <w:ind w:left="357" w:firstLine="709"/>
        <w:jc w:val="both"/>
        <w:rPr>
          <w:rFonts w:asciiTheme="minorHAnsi" w:hAnsiTheme="minorHAnsi" w:cstheme="minorHAnsi"/>
          <w:sz w:val="24"/>
          <w:szCs w:val="24"/>
        </w:rPr>
      </w:pPr>
      <w:r w:rsidRPr="0097459F">
        <w:rPr>
          <w:rFonts w:asciiTheme="minorHAnsi" w:eastAsia="Times" w:hAnsiTheme="minorHAnsi" w:cstheme="minorHAnsi"/>
          <w:sz w:val="24"/>
          <w:szCs w:val="24"/>
        </w:rPr>
        <w:t xml:space="preserve">I – </w:t>
      </w:r>
      <w:r w:rsidRPr="0097459F">
        <w:rPr>
          <w:rFonts w:asciiTheme="minorHAnsi" w:hAnsiTheme="minorHAnsi" w:cstheme="minorHAnsi"/>
          <w:sz w:val="24"/>
          <w:szCs w:val="24"/>
        </w:rPr>
        <w:t>o regulamento do [denominação do fundo], inscrito no CNPJ sob o nº [nn.nnn.nnn/0001-nn] não limita minha responsabilidade ao valor de minhas cotas</w:t>
      </w:r>
      <w:r w:rsidRPr="0097459F">
        <w:rPr>
          <w:rFonts w:asciiTheme="minorHAnsi" w:eastAsia="Times" w:hAnsiTheme="minorHAnsi" w:cstheme="minorHAnsi"/>
          <w:sz w:val="24"/>
          <w:szCs w:val="24"/>
        </w:rPr>
        <w:t>; e</w:t>
      </w:r>
    </w:p>
    <w:p w14:paraId="439EADF6" w14:textId="77777777" w:rsidR="00C20BBD" w:rsidRPr="0097459F" w:rsidRDefault="00C20BBD" w:rsidP="00FB1127">
      <w:pPr>
        <w:spacing w:before="120" w:after="0" w:line="312" w:lineRule="auto"/>
        <w:ind w:left="360" w:firstLine="709"/>
        <w:jc w:val="both"/>
        <w:rPr>
          <w:rFonts w:asciiTheme="minorHAnsi" w:eastAsia="Times" w:hAnsiTheme="minorHAnsi" w:cstheme="minorHAnsi"/>
          <w:sz w:val="24"/>
          <w:szCs w:val="24"/>
        </w:rPr>
      </w:pPr>
      <w:r w:rsidRPr="0097459F">
        <w:rPr>
          <w:rFonts w:asciiTheme="minorHAnsi" w:eastAsia="Times" w:hAnsiTheme="minorHAnsi" w:cstheme="minorHAnsi"/>
          <w:sz w:val="24"/>
          <w:szCs w:val="24"/>
        </w:rPr>
        <w:t xml:space="preserve">II – </w:t>
      </w:r>
      <w:r w:rsidRPr="0097459F">
        <w:rPr>
          <w:rFonts w:asciiTheme="minorHAnsi" w:hAnsiTheme="minorHAnsi" w:cstheme="minorHAnsi"/>
          <w:sz w:val="24"/>
          <w:szCs w:val="24"/>
        </w:rPr>
        <w:t>poderei ser chamado a cobrir um eventual patrimônio líquido negativo do fundo, nos termos do regulamento.</w:t>
      </w:r>
    </w:p>
    <w:p w14:paraId="39848125"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p>
    <w:p w14:paraId="2B5B4CEC"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r w:rsidRPr="0097459F">
        <w:rPr>
          <w:rFonts w:asciiTheme="minorHAnsi" w:eastAsia="Times" w:hAnsiTheme="minorHAnsi" w:cstheme="minorHAnsi"/>
          <w:sz w:val="24"/>
          <w:szCs w:val="24"/>
        </w:rPr>
        <w:t>[data e local]</w:t>
      </w:r>
    </w:p>
    <w:p w14:paraId="68A2C376"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p>
    <w:p w14:paraId="47317BE1"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r w:rsidRPr="0097459F">
        <w:rPr>
          <w:rFonts w:asciiTheme="minorHAnsi" w:eastAsia="Times" w:hAnsiTheme="minorHAnsi" w:cstheme="minorHAnsi"/>
          <w:sz w:val="24"/>
          <w:szCs w:val="24"/>
        </w:rPr>
        <w:t>___________________</w:t>
      </w:r>
    </w:p>
    <w:p w14:paraId="506A43CC"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r w:rsidRPr="0097459F">
        <w:rPr>
          <w:rFonts w:asciiTheme="minorHAnsi" w:eastAsia="Times" w:hAnsiTheme="minorHAnsi" w:cstheme="minorHAnsi"/>
          <w:sz w:val="24"/>
          <w:szCs w:val="24"/>
        </w:rPr>
        <w:t>[nome e CPF ou CNPJ]</w:t>
      </w:r>
    </w:p>
    <w:p w14:paraId="17B7D9E1" w14:textId="77777777" w:rsidR="00C20BBD" w:rsidRPr="0097459F" w:rsidRDefault="00C20BBD" w:rsidP="00FB1127">
      <w:pPr>
        <w:pStyle w:val="Textodenotadefim"/>
        <w:spacing w:before="120" w:line="312" w:lineRule="auto"/>
        <w:ind w:firstLine="709"/>
        <w:jc w:val="both"/>
        <w:rPr>
          <w:rFonts w:asciiTheme="minorHAnsi" w:hAnsiTheme="minorHAnsi" w:cstheme="minorHAnsi"/>
          <w:sz w:val="24"/>
          <w:szCs w:val="24"/>
        </w:rPr>
      </w:pPr>
    </w:p>
    <w:p w14:paraId="47F76CA5" w14:textId="77777777" w:rsidR="005D57BE" w:rsidRDefault="00C20BBD" w:rsidP="00AF6767">
      <w:pPr>
        <w:spacing w:after="0" w:line="240" w:lineRule="auto"/>
        <w:ind w:firstLine="709"/>
        <w:rPr>
          <w:rFonts w:asciiTheme="minorHAnsi" w:hAnsiTheme="minorHAnsi" w:cstheme="minorHAnsi"/>
          <w:b/>
          <w:sz w:val="24"/>
          <w:szCs w:val="24"/>
        </w:rPr>
        <w:sectPr w:rsidR="005D57BE" w:rsidSect="0058706A">
          <w:pgSz w:w="11906" w:h="16838"/>
          <w:pgMar w:top="2268" w:right="567" w:bottom="851" w:left="1134" w:header="709" w:footer="709" w:gutter="0"/>
          <w:cols w:space="708"/>
          <w:titlePg/>
          <w:docGrid w:linePitch="360"/>
        </w:sectPr>
      </w:pPr>
      <w:r w:rsidRPr="0097459F">
        <w:rPr>
          <w:rFonts w:asciiTheme="minorHAnsi" w:hAnsiTheme="minorHAnsi" w:cstheme="minorHAnsi"/>
          <w:b/>
          <w:sz w:val="24"/>
          <w:szCs w:val="24"/>
        </w:rPr>
        <w:br w:type="page"/>
      </w:r>
    </w:p>
    <w:p w14:paraId="7BDB6501" w14:textId="4DA28424" w:rsidR="00C20BBD" w:rsidRPr="0097459F" w:rsidRDefault="00C20BBD" w:rsidP="00AF6767">
      <w:pPr>
        <w:pStyle w:val="Ttulo1"/>
        <w:spacing w:before="0" w:after="0" w:line="240" w:lineRule="auto"/>
        <w:jc w:val="center"/>
        <w:rPr>
          <w:rFonts w:asciiTheme="minorHAnsi" w:hAnsiTheme="minorHAnsi" w:cstheme="minorHAnsi"/>
          <w:b w:val="0"/>
          <w:sz w:val="24"/>
          <w:szCs w:val="24"/>
        </w:rPr>
      </w:pPr>
      <w:bookmarkStart w:id="702" w:name="_Toc53594545"/>
      <w:bookmarkStart w:id="703" w:name="_Toc53595570"/>
      <w:bookmarkStart w:id="704" w:name="_Toc53594297"/>
      <w:bookmarkStart w:id="705" w:name="_Toc57836307"/>
      <w:bookmarkStart w:id="706" w:name="_Toc126226413"/>
      <w:bookmarkStart w:id="707" w:name="_Hlk52177187"/>
      <w:r w:rsidRPr="0097459F">
        <w:rPr>
          <w:rFonts w:asciiTheme="minorHAnsi" w:hAnsiTheme="minorHAnsi" w:cstheme="minorHAnsi"/>
          <w:sz w:val="24"/>
          <w:szCs w:val="24"/>
        </w:rPr>
        <w:lastRenderedPageBreak/>
        <w:t xml:space="preserve">SUPLEMENTO </w:t>
      </w:r>
      <w:r w:rsidR="00591B29" w:rsidRPr="0097459F">
        <w:rPr>
          <w:rFonts w:asciiTheme="minorHAnsi" w:hAnsiTheme="minorHAnsi" w:cstheme="minorHAnsi"/>
          <w:sz w:val="24"/>
          <w:szCs w:val="24"/>
        </w:rPr>
        <w:t>B</w:t>
      </w:r>
      <w:r w:rsidR="002B189F" w:rsidRPr="0097459F">
        <w:rPr>
          <w:rFonts w:asciiTheme="minorHAnsi" w:hAnsiTheme="minorHAnsi" w:cstheme="minorHAnsi"/>
          <w:sz w:val="24"/>
          <w:szCs w:val="24"/>
        </w:rPr>
        <w:t xml:space="preserve"> – </w:t>
      </w:r>
      <w:r w:rsidRPr="0097459F">
        <w:rPr>
          <w:rFonts w:asciiTheme="minorHAnsi" w:hAnsiTheme="minorHAnsi" w:cstheme="minorHAnsi"/>
          <w:sz w:val="24"/>
          <w:szCs w:val="24"/>
        </w:rPr>
        <w:t xml:space="preserve">LÂMINA DE INFORMAÇÕES </w:t>
      </w:r>
      <w:r w:rsidR="002B189F" w:rsidRPr="0097459F">
        <w:rPr>
          <w:rFonts w:asciiTheme="minorHAnsi" w:hAnsiTheme="minorHAnsi" w:cstheme="minorHAnsi"/>
          <w:sz w:val="24"/>
          <w:szCs w:val="24"/>
        </w:rPr>
        <w:t xml:space="preserve">BÁSICAS – </w:t>
      </w:r>
      <w:r w:rsidRPr="0097459F">
        <w:rPr>
          <w:rFonts w:asciiTheme="minorHAnsi" w:hAnsiTheme="minorHAnsi" w:cstheme="minorHAnsi"/>
          <w:sz w:val="24"/>
          <w:szCs w:val="24"/>
        </w:rPr>
        <w:t>FI</w:t>
      </w:r>
      <w:r w:rsidR="00591B29" w:rsidRPr="0097459F">
        <w:rPr>
          <w:rFonts w:asciiTheme="minorHAnsi" w:hAnsiTheme="minorHAnsi" w:cstheme="minorHAnsi"/>
          <w:sz w:val="24"/>
          <w:szCs w:val="24"/>
        </w:rPr>
        <w:t>F</w:t>
      </w:r>
      <w:bookmarkEnd w:id="702"/>
      <w:bookmarkEnd w:id="703"/>
      <w:bookmarkEnd w:id="704"/>
      <w:bookmarkEnd w:id="705"/>
      <w:bookmarkEnd w:id="706"/>
    </w:p>
    <w:p w14:paraId="753894AA" w14:textId="554450F5" w:rsidR="00C20BBD" w:rsidRPr="0097459F" w:rsidRDefault="00C20BBD" w:rsidP="00AF6767">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 xml:space="preserve">Conteúdo da lâmina de </w:t>
      </w:r>
      <w:r w:rsidRPr="0097459F">
        <w:rPr>
          <w:rFonts w:asciiTheme="minorHAnsi" w:eastAsia="Times" w:hAnsiTheme="minorHAnsi" w:cstheme="minorHAnsi"/>
          <w:i/>
          <w:sz w:val="24"/>
          <w:szCs w:val="24"/>
        </w:rPr>
        <w:t>informações</w:t>
      </w:r>
      <w:r w:rsidRPr="0097459F">
        <w:rPr>
          <w:rFonts w:asciiTheme="minorHAnsi" w:hAnsiTheme="minorHAnsi" w:cstheme="minorHAnsi"/>
          <w:i/>
          <w:sz w:val="24"/>
          <w:szCs w:val="24"/>
        </w:rPr>
        <w:t xml:space="preserve"> </w:t>
      </w:r>
      <w:r w:rsidR="006E4092" w:rsidRPr="0097459F">
        <w:rPr>
          <w:rFonts w:asciiTheme="minorHAnsi" w:hAnsiTheme="minorHAnsi" w:cstheme="minorHAnsi"/>
          <w:i/>
          <w:sz w:val="24"/>
          <w:szCs w:val="24"/>
        </w:rPr>
        <w:t>básicas</w:t>
      </w:r>
      <w:r w:rsidRPr="0097459F">
        <w:rPr>
          <w:rFonts w:asciiTheme="minorHAnsi" w:hAnsiTheme="minorHAnsi" w:cstheme="minorHAnsi"/>
          <w:i/>
          <w:sz w:val="24"/>
          <w:szCs w:val="24"/>
        </w:rPr>
        <w:t xml:space="preserve"> dos fundos de investimento</w:t>
      </w:r>
      <w:r w:rsidR="00980BF8" w:rsidRPr="0097459F">
        <w:rPr>
          <w:rFonts w:asciiTheme="minorHAnsi" w:hAnsiTheme="minorHAnsi" w:cstheme="minorHAnsi"/>
          <w:i/>
          <w:sz w:val="24"/>
          <w:szCs w:val="24"/>
        </w:rPr>
        <w:t xml:space="preserve"> financeiro</w:t>
      </w:r>
      <w:r w:rsidR="00BD0FEA">
        <w:rPr>
          <w:rFonts w:asciiTheme="minorHAnsi" w:eastAsia="Times" w:hAnsiTheme="minorHAnsi" w:cstheme="minorHAnsi"/>
          <w:i/>
          <w:sz w:val="24"/>
          <w:szCs w:val="24"/>
        </w:rPr>
        <w:t xml:space="preserve">, </w:t>
      </w:r>
      <w:r w:rsidR="00201061">
        <w:rPr>
          <w:rFonts w:asciiTheme="minorHAnsi" w:eastAsia="Times" w:hAnsiTheme="minorHAnsi" w:cstheme="minorHAnsi"/>
          <w:i/>
          <w:sz w:val="24"/>
          <w:szCs w:val="24"/>
        </w:rPr>
        <w:t xml:space="preserve">conforme previsto no art. 2º, </w:t>
      </w:r>
      <w:r w:rsidR="001A1FD8">
        <w:rPr>
          <w:rFonts w:asciiTheme="minorHAnsi" w:eastAsia="Times" w:hAnsiTheme="minorHAnsi" w:cstheme="minorHAnsi"/>
          <w:i/>
          <w:sz w:val="24"/>
          <w:szCs w:val="24"/>
        </w:rPr>
        <w:t>inciso XIV</w:t>
      </w:r>
      <w:r w:rsidR="00201061">
        <w:rPr>
          <w:rFonts w:asciiTheme="minorHAnsi" w:eastAsia="Times" w:hAnsiTheme="minorHAnsi" w:cstheme="minorHAnsi"/>
          <w:i/>
          <w:sz w:val="24"/>
          <w:szCs w:val="24"/>
        </w:rPr>
        <w:t>, do Anexo Normativo I da Resolução CVM nº 175, de 2022.</w:t>
      </w:r>
    </w:p>
    <w:p w14:paraId="106082C9" w14:textId="77777777" w:rsidR="00617D40" w:rsidRPr="0097459F" w:rsidRDefault="00617D40" w:rsidP="00AF6767">
      <w:pPr>
        <w:spacing w:after="0" w:line="240" w:lineRule="auto"/>
        <w:jc w:val="center"/>
        <w:rPr>
          <w:rFonts w:asciiTheme="minorHAnsi" w:hAnsiTheme="minorHAnsi" w:cstheme="minorHAnsi"/>
          <w:b/>
          <w:color w:val="0D0D0D"/>
          <w:sz w:val="24"/>
          <w:szCs w:val="24"/>
        </w:rPr>
      </w:pPr>
    </w:p>
    <w:p w14:paraId="691F74B2" w14:textId="6F46F637" w:rsidR="00C20BBD" w:rsidRPr="0097459F" w:rsidRDefault="00C20BBD" w:rsidP="00AF6767">
      <w:pPr>
        <w:spacing w:after="0" w:line="240" w:lineRule="auto"/>
        <w:jc w:val="center"/>
        <w:rPr>
          <w:rFonts w:asciiTheme="minorHAnsi" w:hAnsiTheme="minorHAnsi" w:cstheme="minorHAnsi"/>
          <w:b/>
          <w:color w:val="0D0D0D"/>
          <w:sz w:val="24"/>
          <w:szCs w:val="24"/>
        </w:rPr>
      </w:pPr>
      <w:r w:rsidRPr="0097459F">
        <w:rPr>
          <w:rFonts w:asciiTheme="minorHAnsi" w:hAnsiTheme="minorHAnsi" w:cstheme="minorHAnsi"/>
          <w:b/>
          <w:color w:val="0D0D0D"/>
          <w:sz w:val="24"/>
          <w:szCs w:val="24"/>
        </w:rPr>
        <w:t>LÂMINA DE INFORMAÇÕES ESSENCIAIS SOBRE O [nome de fantasia do fundo e, se for o caso, da classe]</w:t>
      </w:r>
    </w:p>
    <w:p w14:paraId="76CCBBCF" w14:textId="5F358BBC" w:rsidR="00C20BBD" w:rsidRPr="0097459F" w:rsidRDefault="00C20BBD" w:rsidP="00967B1C">
      <w:pPr>
        <w:spacing w:after="0" w:line="240" w:lineRule="auto"/>
        <w:jc w:val="center"/>
        <w:rPr>
          <w:rFonts w:asciiTheme="minorHAnsi" w:hAnsiTheme="minorHAnsi" w:cstheme="minorHAnsi"/>
          <w:b/>
          <w:color w:val="000000" w:themeColor="text1"/>
          <w:sz w:val="24"/>
          <w:szCs w:val="24"/>
        </w:rPr>
      </w:pPr>
      <w:r w:rsidRPr="0097459F">
        <w:rPr>
          <w:rFonts w:asciiTheme="minorHAnsi" w:hAnsiTheme="minorHAnsi" w:cstheme="minorHAnsi"/>
          <w:b/>
          <w:color w:val="000000" w:themeColor="text1"/>
          <w:sz w:val="24"/>
          <w:szCs w:val="24"/>
        </w:rPr>
        <w:t xml:space="preserve">[CNPJ </w:t>
      </w:r>
      <w:r w:rsidR="00C2608B" w:rsidRPr="0097459F">
        <w:rPr>
          <w:rFonts w:asciiTheme="minorHAnsi" w:hAnsiTheme="minorHAnsi" w:cstheme="minorHAnsi"/>
          <w:b/>
          <w:color w:val="000000" w:themeColor="text1"/>
          <w:sz w:val="24"/>
          <w:szCs w:val="24"/>
        </w:rPr>
        <w:t>d</w:t>
      </w:r>
      <w:r w:rsidR="00967B1C" w:rsidRPr="0097459F">
        <w:rPr>
          <w:rFonts w:asciiTheme="minorHAnsi" w:hAnsiTheme="minorHAnsi" w:cstheme="minorHAnsi"/>
          <w:b/>
          <w:color w:val="000000" w:themeColor="text1"/>
          <w:sz w:val="24"/>
          <w:szCs w:val="24"/>
        </w:rPr>
        <w:t>o fundo</w:t>
      </w:r>
      <w:r w:rsidRPr="0097459F">
        <w:rPr>
          <w:rFonts w:asciiTheme="minorHAnsi" w:hAnsiTheme="minorHAnsi" w:cstheme="minorHAnsi"/>
          <w:b/>
          <w:color w:val="000000" w:themeColor="text1"/>
          <w:sz w:val="24"/>
          <w:szCs w:val="24"/>
        </w:rPr>
        <w:t>]</w:t>
      </w:r>
    </w:p>
    <w:p w14:paraId="243E964C" w14:textId="77777777" w:rsidR="00967B1C" w:rsidRPr="0097459F" w:rsidRDefault="00967B1C" w:rsidP="00967B1C">
      <w:pPr>
        <w:spacing w:after="0" w:line="240" w:lineRule="auto"/>
        <w:jc w:val="center"/>
        <w:rPr>
          <w:rFonts w:asciiTheme="minorHAnsi" w:hAnsiTheme="minorHAnsi" w:cstheme="minorHAnsi"/>
          <w:b/>
          <w:color w:val="000000" w:themeColor="text1"/>
          <w:sz w:val="24"/>
          <w:szCs w:val="24"/>
        </w:rPr>
      </w:pPr>
    </w:p>
    <w:p w14:paraId="274DEAAA" w14:textId="77777777" w:rsidR="00C20BBD" w:rsidRPr="0097459F" w:rsidRDefault="00C20BBD" w:rsidP="00AF6767">
      <w:pPr>
        <w:spacing w:after="0" w:line="240" w:lineRule="auto"/>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Informações referentes a [mês] de [ano]</w:t>
      </w:r>
    </w:p>
    <w:bookmarkEnd w:id="707"/>
    <w:p w14:paraId="5C339E93" w14:textId="77777777" w:rsidR="00FB1127" w:rsidRPr="0097459F" w:rsidRDefault="00FB1127" w:rsidP="00AF6767">
      <w:pPr>
        <w:pStyle w:val="Corpodetexto2"/>
        <w:spacing w:after="0" w:line="240" w:lineRule="auto"/>
        <w:ind w:firstLine="709"/>
        <w:jc w:val="both"/>
        <w:rPr>
          <w:rFonts w:asciiTheme="minorHAnsi" w:hAnsiTheme="minorHAnsi" w:cstheme="minorHAnsi"/>
        </w:rPr>
      </w:pPr>
    </w:p>
    <w:p w14:paraId="1B9396D5" w14:textId="1E145669" w:rsidR="00C20BBD" w:rsidRPr="0097459F" w:rsidRDefault="00C20BBD" w:rsidP="00AF6767">
      <w:pPr>
        <w:pStyle w:val="Corpodetexto2"/>
        <w:spacing w:after="0" w:line="240" w:lineRule="auto"/>
        <w:ind w:firstLine="709"/>
        <w:jc w:val="both"/>
        <w:rPr>
          <w:rFonts w:asciiTheme="minorHAnsi" w:hAnsiTheme="minorHAnsi" w:cstheme="minorHAnsi"/>
        </w:rPr>
      </w:pPr>
      <w:r w:rsidRPr="0097459F">
        <w:rPr>
          <w:rFonts w:asciiTheme="minorHAnsi" w:hAnsiTheme="minorHAnsi" w:cstheme="minorHAnsi"/>
        </w:rPr>
        <w:t xml:space="preserve">Esta lâmina contém um resumo das informações essenciais sobre o </w:t>
      </w:r>
      <w:r w:rsidRPr="0097459F">
        <w:rPr>
          <w:rFonts w:asciiTheme="minorHAnsi" w:hAnsiTheme="minorHAnsi" w:cstheme="minorHAnsi"/>
          <w:b/>
        </w:rPr>
        <w:t>[nome completo do fundo</w:t>
      </w:r>
      <w:r w:rsidRPr="0097459F">
        <w:rPr>
          <w:rFonts w:asciiTheme="minorHAnsi" w:hAnsiTheme="minorHAnsi" w:cstheme="minorHAnsi"/>
          <w:b/>
          <w:lang w:val="pt-BR"/>
        </w:rPr>
        <w:t xml:space="preserve"> e, se for o caso, da classe de cotas</w:t>
      </w:r>
      <w:r w:rsidRPr="0097459F">
        <w:rPr>
          <w:rFonts w:asciiTheme="minorHAnsi" w:hAnsiTheme="minorHAnsi" w:cstheme="minorHAnsi"/>
          <w:b/>
        </w:rPr>
        <w:t>]</w:t>
      </w:r>
      <w:r w:rsidRPr="0097459F">
        <w:rPr>
          <w:rFonts w:asciiTheme="minorHAnsi" w:hAnsiTheme="minorHAnsi" w:cstheme="minorHAnsi"/>
          <w:u w:val="single"/>
        </w:rPr>
        <w:t xml:space="preserve">, </w:t>
      </w:r>
      <w:r w:rsidRPr="0097459F">
        <w:rPr>
          <w:rFonts w:asciiTheme="minorHAnsi" w:hAnsiTheme="minorHAnsi" w:cstheme="minorHAnsi"/>
        </w:rPr>
        <w:t xml:space="preserve">administrado por </w:t>
      </w:r>
      <w:r w:rsidRPr="0097459F">
        <w:rPr>
          <w:rFonts w:asciiTheme="minorHAnsi" w:hAnsiTheme="minorHAnsi" w:cstheme="minorHAnsi"/>
          <w:b/>
        </w:rPr>
        <w:t xml:space="preserve">[nome completo do administrador] </w:t>
      </w:r>
      <w:r w:rsidRPr="0097459F">
        <w:rPr>
          <w:rFonts w:asciiTheme="minorHAnsi" w:hAnsiTheme="minorHAnsi" w:cstheme="minorHAnsi"/>
        </w:rPr>
        <w:t>e gerido por</w:t>
      </w:r>
      <w:r w:rsidRPr="0097459F">
        <w:rPr>
          <w:rFonts w:asciiTheme="minorHAnsi" w:hAnsiTheme="minorHAnsi" w:cstheme="minorHAnsi"/>
          <w:b/>
        </w:rPr>
        <w:t xml:space="preserve"> [nome completo do gestor]</w:t>
      </w:r>
      <w:r w:rsidR="00DE4889" w:rsidRPr="0097459F">
        <w:rPr>
          <w:rStyle w:val="Refdenotaderodap"/>
          <w:rFonts w:asciiTheme="minorHAnsi" w:hAnsiTheme="minorHAnsi" w:cstheme="minorHAnsi"/>
        </w:rPr>
        <w:footnoteReference w:id="2"/>
      </w:r>
      <w:r w:rsidR="00DE4889" w:rsidRPr="0097459F">
        <w:rPr>
          <w:rFonts w:asciiTheme="minorHAnsi" w:hAnsiTheme="minorHAnsi" w:cstheme="minorHAnsi"/>
        </w:rPr>
        <w:t>.</w:t>
      </w:r>
      <w:r w:rsidRPr="0097459F">
        <w:rPr>
          <w:rFonts w:asciiTheme="minorHAnsi" w:hAnsiTheme="minorHAnsi" w:cstheme="minorHAnsi"/>
        </w:rPr>
        <w:t xml:space="preserve"> As informações completas sobre esse fundo podem ser obtidas </w:t>
      </w:r>
      <w:r w:rsidRPr="0097459F">
        <w:rPr>
          <w:rFonts w:asciiTheme="minorHAnsi" w:hAnsiTheme="minorHAnsi" w:cstheme="minorHAnsi"/>
          <w:lang w:val="pt-BR"/>
        </w:rPr>
        <w:t>em seu</w:t>
      </w:r>
      <w:r w:rsidRPr="0097459F">
        <w:rPr>
          <w:rFonts w:asciiTheme="minorHAnsi" w:hAnsiTheme="minorHAnsi" w:cstheme="minorHAnsi"/>
        </w:rPr>
        <w:t xml:space="preserve"> Regulament</w:t>
      </w:r>
      <w:r w:rsidRPr="0097459F">
        <w:rPr>
          <w:rFonts w:asciiTheme="minorHAnsi" w:hAnsiTheme="minorHAnsi" w:cstheme="minorHAnsi"/>
          <w:lang w:val="pt-BR"/>
        </w:rPr>
        <w:t>o</w:t>
      </w:r>
      <w:r w:rsidRPr="0097459F">
        <w:rPr>
          <w:rFonts w:asciiTheme="minorHAnsi" w:hAnsiTheme="minorHAnsi" w:cstheme="minorHAnsi"/>
        </w:rPr>
        <w:t xml:space="preserve">, disponível </w:t>
      </w:r>
      <w:r w:rsidRPr="0097459F">
        <w:rPr>
          <w:rFonts w:asciiTheme="minorHAnsi" w:hAnsiTheme="minorHAnsi" w:cstheme="minorHAnsi"/>
          <w:lang w:val="pt-BR"/>
        </w:rPr>
        <w:t>em</w:t>
      </w:r>
      <w:r w:rsidRPr="0097459F">
        <w:rPr>
          <w:rFonts w:asciiTheme="minorHAnsi" w:hAnsiTheme="minorHAnsi" w:cstheme="minorHAnsi"/>
        </w:rPr>
        <w:t xml:space="preserve"> </w:t>
      </w:r>
      <w:r w:rsidRPr="0097459F">
        <w:rPr>
          <w:rFonts w:asciiTheme="minorHAnsi" w:hAnsiTheme="minorHAnsi" w:cstheme="minorHAnsi"/>
          <w:b/>
        </w:rPr>
        <w:t>[endereço eletrônico]</w:t>
      </w:r>
      <w:r w:rsidRPr="0097459F">
        <w:rPr>
          <w:rFonts w:asciiTheme="minorHAnsi" w:hAnsiTheme="minorHAnsi" w:cstheme="minorHAnsi"/>
        </w:rPr>
        <w:t xml:space="preserve">. As informações contidas neste material são atualizadas mensalmente. Ao realizar aplicações adicionais, consulte a versão mais atualizada. </w:t>
      </w:r>
    </w:p>
    <w:p w14:paraId="224D3A06" w14:textId="77777777" w:rsidR="00C20BBD" w:rsidRPr="0097459F" w:rsidRDefault="00C20BBD" w:rsidP="00AF6767">
      <w:pPr>
        <w:tabs>
          <w:tab w:val="num" w:pos="567"/>
        </w:tabs>
        <w:spacing w:after="0" w:line="240" w:lineRule="auto"/>
        <w:ind w:firstLine="709"/>
        <w:jc w:val="center"/>
        <w:rPr>
          <w:rFonts w:asciiTheme="minorHAnsi" w:hAnsiTheme="minorHAnsi" w:cstheme="minorHAnsi"/>
          <w:b/>
          <w:color w:val="000000"/>
          <w:sz w:val="24"/>
          <w:szCs w:val="24"/>
        </w:rPr>
      </w:pPr>
      <w:r w:rsidRPr="0097459F">
        <w:rPr>
          <w:rFonts w:asciiTheme="minorHAnsi" w:hAnsiTheme="minorHAnsi" w:cstheme="minorHAnsi"/>
          <w:b/>
          <w:sz w:val="24"/>
          <w:szCs w:val="24"/>
        </w:rPr>
        <w:t>Antes de investir, compare a classe de cotas com outras classes da mesma categoria.</w:t>
      </w:r>
    </w:p>
    <w:p w14:paraId="07B7B9E5" w14:textId="77777777" w:rsidR="00C20BBD" w:rsidRPr="0097459F" w:rsidRDefault="00C20BBD" w:rsidP="00AF6767">
      <w:pPr>
        <w:tabs>
          <w:tab w:val="num" w:pos="567"/>
        </w:tabs>
        <w:spacing w:after="0" w:line="240" w:lineRule="auto"/>
        <w:ind w:firstLine="709"/>
        <w:jc w:val="both"/>
        <w:rPr>
          <w:rFonts w:asciiTheme="minorHAnsi" w:hAnsiTheme="minorHAnsi" w:cstheme="minorHAnsi"/>
          <w:b/>
          <w:color w:val="000000"/>
          <w:sz w:val="24"/>
          <w:szCs w:val="24"/>
        </w:rPr>
      </w:pPr>
    </w:p>
    <w:p w14:paraId="2E634522" w14:textId="784CDB19" w:rsidR="00C20BBD" w:rsidRPr="0097459F" w:rsidRDefault="00C20BBD" w:rsidP="00AF6767">
      <w:pPr>
        <w:numPr>
          <w:ilvl w:val="0"/>
          <w:numId w:val="15"/>
        </w:numPr>
        <w:tabs>
          <w:tab w:val="num" w:pos="567"/>
        </w:tabs>
        <w:spacing w:after="0" w:line="240" w:lineRule="auto"/>
        <w:ind w:left="0" w:firstLine="709"/>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PÚBLICO-ALVO:</w:t>
      </w:r>
      <w:r w:rsidRPr="0097459F">
        <w:rPr>
          <w:rFonts w:asciiTheme="minorHAnsi" w:hAnsiTheme="minorHAnsi" w:cstheme="minorHAnsi"/>
          <w:color w:val="000000"/>
          <w:sz w:val="24"/>
          <w:szCs w:val="24"/>
        </w:rPr>
        <w:t xml:space="preserve"> a classe de cotas</w:t>
      </w:r>
      <w:r w:rsidRPr="0097459F">
        <w:rPr>
          <w:rFonts w:asciiTheme="minorHAnsi" w:hAnsiTheme="minorHAnsi" w:cstheme="minorHAnsi"/>
          <w:b/>
          <w:color w:val="000000"/>
          <w:sz w:val="24"/>
          <w:szCs w:val="24"/>
        </w:rPr>
        <w:t xml:space="preserve"> </w:t>
      </w:r>
      <w:r w:rsidRPr="0097459F">
        <w:rPr>
          <w:rFonts w:asciiTheme="minorHAnsi" w:hAnsiTheme="minorHAnsi" w:cstheme="minorHAnsi"/>
          <w:color w:val="000000"/>
          <w:sz w:val="24"/>
          <w:szCs w:val="24"/>
        </w:rPr>
        <w:t xml:space="preserve">é destinada a: </w:t>
      </w:r>
      <w:r w:rsidRPr="0097459F">
        <w:rPr>
          <w:rFonts w:asciiTheme="minorHAnsi" w:hAnsiTheme="minorHAnsi" w:cstheme="minorHAnsi"/>
          <w:b/>
          <w:color w:val="000000"/>
          <w:sz w:val="24"/>
          <w:szCs w:val="24"/>
        </w:rPr>
        <w:t>[descrição do público-alvo]</w:t>
      </w:r>
      <w:r w:rsidR="00DE19FE" w:rsidRPr="0097459F">
        <w:rPr>
          <w:rStyle w:val="Refdenotaderodap"/>
          <w:rFonts w:asciiTheme="minorHAnsi" w:hAnsiTheme="minorHAnsi" w:cstheme="minorHAnsi"/>
          <w:color w:val="000000"/>
          <w:sz w:val="24"/>
          <w:szCs w:val="24"/>
        </w:rPr>
        <w:footnoteReference w:id="3"/>
      </w:r>
      <w:r w:rsidR="00DE19FE" w:rsidRPr="0097459F">
        <w:rPr>
          <w:rFonts w:asciiTheme="minorHAnsi" w:hAnsiTheme="minorHAnsi" w:cstheme="minorHAnsi"/>
          <w:b/>
          <w:color w:val="000000"/>
          <w:sz w:val="24"/>
          <w:szCs w:val="24"/>
        </w:rPr>
        <w:t xml:space="preserve"> </w:t>
      </w:r>
      <w:r w:rsidRPr="0097459F">
        <w:rPr>
          <w:rFonts w:asciiTheme="minorHAnsi" w:hAnsiTheme="minorHAnsi" w:cstheme="minorHAnsi"/>
          <w:color w:val="000000"/>
          <w:sz w:val="24"/>
          <w:szCs w:val="24"/>
        </w:rPr>
        <w:t>e</w:t>
      </w:r>
      <w:r w:rsidRPr="0097459F">
        <w:rPr>
          <w:rFonts w:asciiTheme="minorHAnsi" w:hAnsiTheme="minorHAnsi" w:cstheme="minorHAnsi"/>
          <w:b/>
          <w:color w:val="000000"/>
          <w:sz w:val="24"/>
          <w:szCs w:val="24"/>
        </w:rPr>
        <w:t xml:space="preserve"> [restrições de investimento]</w:t>
      </w:r>
      <w:r w:rsidR="00DE19FE" w:rsidRPr="0097459F">
        <w:rPr>
          <w:rStyle w:val="Refdenotaderodap"/>
          <w:rFonts w:asciiTheme="minorHAnsi" w:hAnsiTheme="minorHAnsi" w:cstheme="minorHAnsi"/>
          <w:color w:val="000000"/>
          <w:sz w:val="24"/>
          <w:szCs w:val="24"/>
        </w:rPr>
        <w:footnoteReference w:id="4"/>
      </w:r>
      <w:r w:rsidR="00DE19FE" w:rsidRPr="0097459F">
        <w:rPr>
          <w:rFonts w:asciiTheme="minorHAnsi" w:hAnsiTheme="minorHAnsi" w:cstheme="minorHAnsi"/>
          <w:color w:val="000000"/>
          <w:sz w:val="24"/>
          <w:szCs w:val="24"/>
        </w:rPr>
        <w:t>.</w:t>
      </w:r>
    </w:p>
    <w:p w14:paraId="22C2A952" w14:textId="77777777" w:rsidR="00C2608B" w:rsidRPr="0097459F" w:rsidRDefault="00C2608B" w:rsidP="00C2608B">
      <w:pPr>
        <w:spacing w:after="0" w:line="240" w:lineRule="auto"/>
        <w:ind w:left="709"/>
        <w:jc w:val="both"/>
        <w:rPr>
          <w:rFonts w:asciiTheme="minorHAnsi" w:hAnsiTheme="minorHAnsi" w:cstheme="minorHAnsi"/>
          <w:color w:val="000000"/>
          <w:sz w:val="24"/>
          <w:szCs w:val="24"/>
        </w:rPr>
      </w:pPr>
    </w:p>
    <w:p w14:paraId="48FA5C68" w14:textId="11F212AC" w:rsidR="00C20BBD" w:rsidRPr="0097459F" w:rsidRDefault="00C20BBD" w:rsidP="00AF6767">
      <w:pPr>
        <w:numPr>
          <w:ilvl w:val="0"/>
          <w:numId w:val="15"/>
        </w:numPr>
        <w:tabs>
          <w:tab w:val="num" w:pos="567"/>
        </w:tabs>
        <w:spacing w:after="0" w:line="240" w:lineRule="auto"/>
        <w:ind w:left="0"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OBJETIVOS DA CLASSE DE COTAS: [descrição resumida dos objetivos, de modo que o investidor tenha um entendimento razoável da natureza e dos riscos envolvidos no investimento]</w:t>
      </w:r>
      <w:r w:rsidRPr="0097459F">
        <w:rPr>
          <w:rFonts w:asciiTheme="minorHAnsi" w:hAnsiTheme="minorHAnsi" w:cstheme="minorHAnsi"/>
          <w:color w:val="000000"/>
          <w:sz w:val="24"/>
          <w:szCs w:val="24"/>
        </w:rPr>
        <w:t>.</w:t>
      </w:r>
      <w:r w:rsidR="00DE19FE" w:rsidRPr="0097459F">
        <w:rPr>
          <w:rStyle w:val="Refdenotaderodap"/>
          <w:rFonts w:asciiTheme="minorHAnsi" w:hAnsiTheme="minorHAnsi" w:cstheme="minorHAnsi"/>
          <w:color w:val="000000"/>
          <w:sz w:val="24"/>
          <w:szCs w:val="24"/>
        </w:rPr>
        <w:footnoteReference w:id="5"/>
      </w:r>
      <w:r w:rsidR="00DE19FE" w:rsidRPr="0097459F">
        <w:rPr>
          <w:rFonts w:asciiTheme="minorHAnsi" w:hAnsiTheme="minorHAnsi" w:cstheme="minorHAnsi"/>
          <w:color w:val="000000"/>
          <w:sz w:val="24"/>
          <w:szCs w:val="24"/>
        </w:rPr>
        <w:t xml:space="preserve"> </w:t>
      </w:r>
    </w:p>
    <w:p w14:paraId="4FE2974A" w14:textId="23113F47" w:rsidR="00C2608B" w:rsidRPr="0097459F" w:rsidRDefault="00C2608B" w:rsidP="00C2608B">
      <w:pPr>
        <w:pStyle w:val="PargrafodaLista"/>
        <w:rPr>
          <w:rFonts w:cstheme="minorHAnsi"/>
          <w:b/>
          <w:color w:val="000000"/>
          <w:sz w:val="24"/>
          <w:szCs w:val="24"/>
        </w:rPr>
      </w:pPr>
    </w:p>
    <w:p w14:paraId="748AE7C2" w14:textId="77777777" w:rsidR="00C20BBD" w:rsidRPr="0097459F" w:rsidRDefault="00C20BBD" w:rsidP="00AF6767">
      <w:pPr>
        <w:numPr>
          <w:ilvl w:val="0"/>
          <w:numId w:val="15"/>
        </w:numPr>
        <w:tabs>
          <w:tab w:val="num" w:pos="567"/>
        </w:tabs>
        <w:spacing w:after="0" w:line="240" w:lineRule="auto"/>
        <w:ind w:left="0" w:firstLine="709"/>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POLÍTICA DE INVESTIMENTOS</w:t>
      </w:r>
      <w:r w:rsidRPr="0097459F">
        <w:rPr>
          <w:rFonts w:asciiTheme="minorHAnsi" w:hAnsiTheme="minorHAnsi" w:cstheme="minorHAnsi"/>
          <w:color w:val="000000"/>
          <w:sz w:val="24"/>
          <w:szCs w:val="24"/>
        </w:rPr>
        <w:t xml:space="preserve">: </w:t>
      </w:r>
    </w:p>
    <w:p w14:paraId="1B9C71A7" w14:textId="77777777" w:rsidR="00C20BBD" w:rsidRPr="0097459F" w:rsidRDefault="00C20BBD" w:rsidP="00AF6767">
      <w:pPr>
        <w:numPr>
          <w:ilvl w:val="1"/>
          <w:numId w:val="15"/>
        </w:numPr>
        <w:tabs>
          <w:tab w:val="num" w:pos="567"/>
        </w:tabs>
        <w:spacing w:after="0" w:line="240" w:lineRule="auto"/>
        <w:ind w:left="567" w:firstLine="142"/>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[descrição resumida da política de investimentos]</w:t>
      </w:r>
      <w:r w:rsidRPr="0097459F">
        <w:rPr>
          <w:rFonts w:asciiTheme="minorHAnsi" w:hAnsiTheme="minorHAnsi" w:cstheme="minorHAnsi"/>
          <w:color w:val="000000"/>
          <w:sz w:val="24"/>
          <w:szCs w:val="24"/>
        </w:rPr>
        <w:t>.</w:t>
      </w:r>
    </w:p>
    <w:p w14:paraId="125911EE" w14:textId="77777777" w:rsidR="00C20BBD" w:rsidRPr="0097459F" w:rsidRDefault="00C20BBD" w:rsidP="00AF6767">
      <w:pPr>
        <w:numPr>
          <w:ilvl w:val="0"/>
          <w:numId w:val="17"/>
        </w:numPr>
        <w:spacing w:after="0" w:line="240" w:lineRule="auto"/>
        <w:ind w:left="0" w:firstLine="709"/>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A política de investimentos admite</w:t>
      </w:r>
      <w:r w:rsidRPr="0097459F">
        <w:rPr>
          <w:rFonts w:asciiTheme="minorHAnsi" w:hAnsiTheme="minorHAnsi" w:cstheme="minorHAnsi"/>
          <w:color w:val="00000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1"/>
        <w:gridCol w:w="4404"/>
      </w:tblGrid>
      <w:tr w:rsidR="00C20BBD" w:rsidRPr="0097459F" w14:paraId="209BDFEF" w14:textId="77777777" w:rsidTr="00ED0447">
        <w:tc>
          <w:tcPr>
            <w:tcW w:w="2840" w:type="pct"/>
            <w:shd w:val="clear" w:color="auto" w:fill="DBE5F1"/>
          </w:tcPr>
          <w:p w14:paraId="01EC4C49" w14:textId="77777777" w:rsidR="00C20BBD" w:rsidRPr="0097459F" w:rsidRDefault="00C20BBD" w:rsidP="00AF6767">
            <w:pPr>
              <w:tabs>
                <w:tab w:val="num" w:pos="1134"/>
              </w:tabs>
              <w:spacing w:after="0" w:line="240" w:lineRule="auto"/>
              <w:jc w:val="both"/>
              <w:rPr>
                <w:rFonts w:asciiTheme="minorHAnsi" w:hAnsiTheme="minorHAnsi" w:cstheme="minorHAnsi"/>
                <w:b/>
                <w:sz w:val="24"/>
                <w:szCs w:val="24"/>
              </w:rPr>
            </w:pPr>
            <w:r w:rsidRPr="0097459F">
              <w:rPr>
                <w:rFonts w:asciiTheme="minorHAnsi" w:hAnsiTheme="minorHAnsi" w:cstheme="minorHAnsi"/>
                <w:b/>
                <w:sz w:val="24"/>
                <w:szCs w:val="24"/>
              </w:rPr>
              <w:t>Aplicar em ativos no exterior até o limite de</w:t>
            </w:r>
          </w:p>
        </w:tc>
        <w:tc>
          <w:tcPr>
            <w:tcW w:w="2160" w:type="pct"/>
            <w:vAlign w:val="center"/>
          </w:tcPr>
          <w:p w14:paraId="61374696" w14:textId="77777777" w:rsidR="00C20BBD" w:rsidRPr="0097459F" w:rsidRDefault="00C20BBD" w:rsidP="00AF6767">
            <w:pPr>
              <w:tabs>
                <w:tab w:val="num" w:pos="1134"/>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do Patrimônio líquido] ou [não]</w:t>
            </w:r>
          </w:p>
        </w:tc>
      </w:tr>
      <w:tr w:rsidR="00C20BBD" w:rsidRPr="0097459F" w14:paraId="264A2BCA" w14:textId="77777777" w:rsidTr="00ED0447">
        <w:tc>
          <w:tcPr>
            <w:tcW w:w="2840" w:type="pct"/>
            <w:shd w:val="clear" w:color="auto" w:fill="DBE5F1"/>
          </w:tcPr>
          <w:p w14:paraId="16EA8C79" w14:textId="77777777" w:rsidR="00C20BBD" w:rsidRPr="0097459F" w:rsidRDefault="00C20BBD" w:rsidP="00AF6767">
            <w:pPr>
              <w:tabs>
                <w:tab w:val="num" w:pos="1134"/>
              </w:tabs>
              <w:spacing w:after="0" w:line="240" w:lineRule="auto"/>
              <w:jc w:val="both"/>
              <w:rPr>
                <w:rFonts w:asciiTheme="minorHAnsi" w:hAnsiTheme="minorHAnsi" w:cstheme="minorHAnsi"/>
                <w:b/>
                <w:sz w:val="24"/>
                <w:szCs w:val="24"/>
              </w:rPr>
            </w:pPr>
            <w:r w:rsidRPr="0097459F">
              <w:rPr>
                <w:rFonts w:asciiTheme="minorHAnsi" w:hAnsiTheme="minorHAnsi" w:cstheme="minorHAnsi"/>
                <w:b/>
                <w:sz w:val="24"/>
                <w:szCs w:val="24"/>
              </w:rPr>
              <w:t>Aplicar em crédito privado até o limite de</w:t>
            </w:r>
          </w:p>
        </w:tc>
        <w:tc>
          <w:tcPr>
            <w:tcW w:w="2160" w:type="pct"/>
            <w:vAlign w:val="center"/>
          </w:tcPr>
          <w:p w14:paraId="3F1BBDB9" w14:textId="77777777" w:rsidR="00C20BBD" w:rsidRPr="0097459F" w:rsidRDefault="00C20BBD" w:rsidP="00AF6767">
            <w:pPr>
              <w:tabs>
                <w:tab w:val="num" w:pos="1134"/>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do Patrimônio líquido] ou [não]</w:t>
            </w:r>
          </w:p>
        </w:tc>
      </w:tr>
      <w:tr w:rsidR="00C20BBD" w:rsidRPr="0097459F" w14:paraId="56BDCBD5" w14:textId="77777777" w:rsidTr="00ED0447">
        <w:tc>
          <w:tcPr>
            <w:tcW w:w="2840" w:type="pct"/>
            <w:shd w:val="clear" w:color="auto" w:fill="DBE5F1"/>
          </w:tcPr>
          <w:p w14:paraId="067EA619" w14:textId="77777777" w:rsidR="00C20BBD" w:rsidRPr="0097459F" w:rsidRDefault="00C20BBD" w:rsidP="00AF6767">
            <w:pPr>
              <w:tabs>
                <w:tab w:val="num" w:pos="1134"/>
              </w:tabs>
              <w:spacing w:after="0" w:line="240" w:lineRule="auto"/>
              <w:jc w:val="both"/>
              <w:rPr>
                <w:rFonts w:asciiTheme="minorHAnsi" w:hAnsiTheme="minorHAnsi" w:cstheme="minorHAnsi"/>
                <w:b/>
                <w:sz w:val="24"/>
                <w:szCs w:val="24"/>
              </w:rPr>
            </w:pPr>
            <w:r w:rsidRPr="0097459F">
              <w:rPr>
                <w:rFonts w:asciiTheme="minorHAnsi" w:hAnsiTheme="minorHAnsi" w:cstheme="minorHAnsi"/>
                <w:b/>
                <w:sz w:val="24"/>
                <w:szCs w:val="24"/>
              </w:rPr>
              <w:t>Aplicar em um só fundo ou classe até o limite de</w:t>
            </w:r>
          </w:p>
        </w:tc>
        <w:tc>
          <w:tcPr>
            <w:tcW w:w="2160" w:type="pct"/>
            <w:vAlign w:val="center"/>
          </w:tcPr>
          <w:p w14:paraId="43B6CC06" w14:textId="77777777" w:rsidR="00C20BBD" w:rsidRPr="0097459F" w:rsidDel="005B1924" w:rsidRDefault="00C20BBD" w:rsidP="00AF6767">
            <w:pPr>
              <w:tabs>
                <w:tab w:val="num" w:pos="1134"/>
              </w:tabs>
              <w:spacing w:after="0" w:line="240" w:lineRule="auto"/>
              <w:rPr>
                <w:rFonts w:asciiTheme="minorHAnsi" w:hAnsiTheme="minorHAnsi" w:cstheme="minorHAnsi"/>
                <w:b/>
                <w:sz w:val="24"/>
                <w:szCs w:val="24"/>
              </w:rPr>
            </w:pPr>
            <w:r w:rsidRPr="0097459F">
              <w:rPr>
                <w:rFonts w:asciiTheme="minorHAnsi" w:hAnsiTheme="minorHAnsi" w:cstheme="minorHAnsi"/>
                <w:b/>
                <w:color w:val="000000"/>
                <w:sz w:val="24"/>
                <w:szCs w:val="24"/>
              </w:rPr>
              <w:t>[% do Patrimônio líquido] ou [não]</w:t>
            </w:r>
          </w:p>
        </w:tc>
      </w:tr>
      <w:tr w:rsidR="00C20BBD" w:rsidRPr="0097459F" w14:paraId="2781C3E7" w14:textId="77777777" w:rsidTr="00ED0447">
        <w:tc>
          <w:tcPr>
            <w:tcW w:w="2840" w:type="pct"/>
            <w:shd w:val="clear" w:color="auto" w:fill="DBE5F1"/>
          </w:tcPr>
          <w:p w14:paraId="4A41996C" w14:textId="77777777" w:rsidR="00C20BBD" w:rsidRPr="0097459F" w:rsidRDefault="00C20BBD" w:rsidP="00AF6767">
            <w:pPr>
              <w:tabs>
                <w:tab w:val="num" w:pos="1134"/>
              </w:tabs>
              <w:spacing w:after="0" w:line="240" w:lineRule="auto"/>
              <w:jc w:val="both"/>
              <w:rPr>
                <w:rFonts w:asciiTheme="minorHAnsi" w:hAnsiTheme="minorHAnsi" w:cstheme="minorHAnsi"/>
                <w:b/>
                <w:sz w:val="24"/>
                <w:szCs w:val="24"/>
              </w:rPr>
            </w:pPr>
            <w:r w:rsidRPr="0097459F">
              <w:rPr>
                <w:rFonts w:asciiTheme="minorHAnsi" w:hAnsiTheme="minorHAnsi" w:cstheme="minorHAnsi"/>
                <w:b/>
                <w:sz w:val="24"/>
                <w:szCs w:val="24"/>
              </w:rPr>
              <w:lastRenderedPageBreak/>
              <w:t>Utiliza derivativos apenas para proteção da carteira?</w:t>
            </w:r>
          </w:p>
        </w:tc>
        <w:tc>
          <w:tcPr>
            <w:tcW w:w="2160" w:type="pct"/>
            <w:vAlign w:val="center"/>
          </w:tcPr>
          <w:p w14:paraId="51A7A56A" w14:textId="77777777" w:rsidR="00C20BBD" w:rsidRPr="0097459F" w:rsidRDefault="00C20BBD" w:rsidP="00AF6767">
            <w:pPr>
              <w:tabs>
                <w:tab w:val="num" w:pos="1134"/>
              </w:tabs>
              <w:spacing w:after="0" w:line="240" w:lineRule="auto"/>
              <w:rPr>
                <w:rFonts w:asciiTheme="minorHAnsi" w:hAnsiTheme="minorHAnsi" w:cstheme="minorHAnsi"/>
                <w:b/>
                <w:sz w:val="24"/>
                <w:szCs w:val="24"/>
              </w:rPr>
            </w:pPr>
            <w:r w:rsidRPr="0097459F">
              <w:rPr>
                <w:rFonts w:asciiTheme="minorHAnsi" w:hAnsiTheme="minorHAnsi" w:cstheme="minorHAnsi"/>
                <w:b/>
                <w:sz w:val="24"/>
                <w:szCs w:val="24"/>
              </w:rPr>
              <w:t>[Sim/Não]</w:t>
            </w:r>
          </w:p>
        </w:tc>
      </w:tr>
      <w:tr w:rsidR="00C20BBD" w:rsidRPr="0097459F" w14:paraId="5838735F" w14:textId="77777777" w:rsidTr="00ED0447">
        <w:tc>
          <w:tcPr>
            <w:tcW w:w="2840" w:type="pct"/>
            <w:shd w:val="clear" w:color="auto" w:fill="DBE5F1"/>
          </w:tcPr>
          <w:p w14:paraId="38453A14" w14:textId="77777777" w:rsidR="00C20BBD" w:rsidRPr="0097459F" w:rsidRDefault="00C20BBD" w:rsidP="00AF6767">
            <w:pPr>
              <w:tabs>
                <w:tab w:val="num" w:pos="1134"/>
              </w:tabs>
              <w:spacing w:after="0" w:line="240" w:lineRule="auto"/>
              <w:jc w:val="both"/>
              <w:rPr>
                <w:rFonts w:asciiTheme="minorHAnsi" w:hAnsiTheme="minorHAnsi" w:cstheme="minorHAnsi"/>
                <w:b/>
                <w:sz w:val="24"/>
                <w:szCs w:val="24"/>
              </w:rPr>
            </w:pPr>
            <w:r w:rsidRPr="0097459F">
              <w:rPr>
                <w:rFonts w:asciiTheme="minorHAnsi" w:hAnsiTheme="minorHAnsi" w:cstheme="minorHAnsi"/>
                <w:b/>
                <w:sz w:val="24"/>
                <w:szCs w:val="24"/>
              </w:rPr>
              <w:t>Alavancar-se até o limite de (i)</w:t>
            </w:r>
          </w:p>
        </w:tc>
        <w:tc>
          <w:tcPr>
            <w:tcW w:w="2160" w:type="pct"/>
            <w:vAlign w:val="center"/>
          </w:tcPr>
          <w:p w14:paraId="52D1DDD7" w14:textId="77777777" w:rsidR="00C20BBD" w:rsidRPr="0097459F" w:rsidRDefault="00C20BBD" w:rsidP="00AF6767">
            <w:pPr>
              <w:tabs>
                <w:tab w:val="num" w:pos="1134"/>
              </w:tabs>
              <w:spacing w:after="0" w:line="240" w:lineRule="auto"/>
              <w:rPr>
                <w:rFonts w:asciiTheme="minorHAnsi" w:hAnsiTheme="minorHAnsi" w:cstheme="minorHAnsi"/>
                <w:b/>
                <w:sz w:val="24"/>
                <w:szCs w:val="24"/>
              </w:rPr>
            </w:pPr>
            <w:r w:rsidRPr="0097459F">
              <w:rPr>
                <w:rFonts w:asciiTheme="minorHAnsi" w:hAnsiTheme="minorHAnsi" w:cstheme="minorHAnsi"/>
                <w:b/>
                <w:sz w:val="24"/>
                <w:szCs w:val="24"/>
              </w:rPr>
              <w:t>[% do Patrimônio Líquido em margem] ou [sem limite]</w:t>
            </w:r>
          </w:p>
        </w:tc>
      </w:tr>
      <w:tr w:rsidR="00C20BBD" w:rsidRPr="0097459F" w14:paraId="16F8346E" w14:textId="77777777" w:rsidTr="00ED0447">
        <w:tc>
          <w:tcPr>
            <w:tcW w:w="5000" w:type="pct"/>
            <w:gridSpan w:val="2"/>
            <w:shd w:val="clear" w:color="auto" w:fill="DBE5F1"/>
          </w:tcPr>
          <w:p w14:paraId="3771773D" w14:textId="77777777" w:rsidR="00C20BBD" w:rsidRPr="0097459F" w:rsidRDefault="00C20BBD" w:rsidP="00AF6767">
            <w:pPr>
              <w:pStyle w:val="Default"/>
              <w:ind w:firstLine="709"/>
              <w:jc w:val="both"/>
              <w:rPr>
                <w:rFonts w:asciiTheme="minorHAnsi" w:eastAsia="Times New Roman" w:hAnsiTheme="minorHAnsi" w:cstheme="minorHAnsi"/>
                <w:b/>
                <w:color w:val="auto"/>
              </w:rPr>
            </w:pPr>
            <w:r w:rsidRPr="0097459F" w:rsidDel="008A7550">
              <w:rPr>
                <w:rFonts w:asciiTheme="minorHAnsi" w:eastAsia="Times New Roman" w:hAnsiTheme="minorHAnsi" w:cstheme="minorHAnsi"/>
                <w:color w:val="auto"/>
              </w:rPr>
              <w:t xml:space="preserve"> </w:t>
            </w:r>
            <w:r w:rsidRPr="0097459F">
              <w:rPr>
                <w:rFonts w:asciiTheme="minorHAnsi" w:eastAsia="Times New Roman" w:hAnsiTheme="minorHAnsi" w:cstheme="minorHAnsi"/>
                <w:color w:val="auto"/>
              </w:rPr>
              <w:t>(i) No cálculo do limite de alavancagem, deve-se considerar o valor das margens exigidas em operações com garantia somada à "margem potencial" de operações de derivativos sem garantia. O cálculo de "margem potencial" de operações de derivativos sem garantia deve se basear em modelo de cálculo de garantia do administrador e não pode ser compensado com as margens das operações com garantia.</w:t>
            </w:r>
          </w:p>
        </w:tc>
      </w:tr>
    </w:tbl>
    <w:p w14:paraId="6107128B" w14:textId="77777777" w:rsidR="00C20BBD" w:rsidRPr="0097459F" w:rsidRDefault="00C20BBD" w:rsidP="00AF6767">
      <w:pPr>
        <w:pStyle w:val="PargrafodaLista"/>
        <w:numPr>
          <w:ilvl w:val="0"/>
          <w:numId w:val="17"/>
        </w:numPr>
        <w:spacing w:after="0" w:line="240" w:lineRule="auto"/>
        <w:ind w:left="709" w:firstLine="0"/>
        <w:contextualSpacing w:val="0"/>
        <w:jc w:val="both"/>
        <w:rPr>
          <w:rFonts w:cstheme="minorHAnsi"/>
          <w:i/>
          <w:sz w:val="24"/>
          <w:szCs w:val="24"/>
        </w:rPr>
      </w:pPr>
      <w:r w:rsidRPr="0097459F">
        <w:rPr>
          <w:rFonts w:cstheme="minorHAnsi"/>
          <w:i/>
          <w:sz w:val="24"/>
          <w:szCs w:val="24"/>
        </w:rPr>
        <w:t xml:space="preserve">[Para classes de cotas: A metodologia utilizada para o cálculo do limite de alavancagem, disposto no item 3.b é o </w:t>
      </w:r>
      <w:r w:rsidRPr="0097459F">
        <w:rPr>
          <w:rFonts w:cstheme="minorHAnsi"/>
          <w:b/>
          <w:i/>
          <w:sz w:val="24"/>
          <w:szCs w:val="24"/>
        </w:rPr>
        <w:t xml:space="preserve">percentual máximo do patrimônio líquido que pode ser depositado em margem de garantia </w:t>
      </w:r>
      <w:r w:rsidRPr="0097459F">
        <w:rPr>
          <w:rFonts w:cstheme="minorHAnsi"/>
          <w:i/>
          <w:sz w:val="24"/>
          <w:szCs w:val="24"/>
        </w:rPr>
        <w:t xml:space="preserve">para garantir a liquidação das operações contratadas somado à margem potencial para a liquidação dos derivativos negociados no mercado de balcão.] </w:t>
      </w:r>
      <w:r w:rsidRPr="0097459F">
        <w:rPr>
          <w:rFonts w:cstheme="minorHAnsi"/>
          <w:b/>
          <w:sz w:val="24"/>
          <w:szCs w:val="24"/>
        </w:rPr>
        <w:t>OU</w:t>
      </w:r>
      <w:r w:rsidRPr="0097459F">
        <w:rPr>
          <w:rFonts w:cstheme="minorHAnsi"/>
          <w:i/>
          <w:sz w:val="24"/>
          <w:szCs w:val="24"/>
        </w:rPr>
        <w:t xml:space="preserve"> [Para classes de investimento em cotas: A metodologia utilizada para o cálculo do limite de alavancagem, disposto no item 3.b é o percentual máximo que pode ser depositado pela classe de cotas em margem de garantia para garantir a liquidação das operações contratadas somado à margem potencial para a liquidação dos derivativos negociados no mercado de balcão. </w:t>
      </w:r>
      <w:r w:rsidRPr="0097459F">
        <w:rPr>
          <w:rFonts w:cstheme="minorHAnsi"/>
          <w:b/>
          <w:i/>
          <w:sz w:val="24"/>
          <w:szCs w:val="24"/>
        </w:rPr>
        <w:t>Esta classe de investimento em cotas não realiza depósito de margem de garantia junto às centrais depositárias, mas pode investir em fundos de investimento que podem estar expostos aos riscos decorrentes de aplicações em ativos que incorram em depósito de margem de garantia. As informações apresentadas são provenientes dos fundos investidos geridos por instituições ligadas</w:t>
      </w:r>
      <w:r w:rsidRPr="0097459F">
        <w:rPr>
          <w:rFonts w:cstheme="minorHAnsi"/>
          <w:i/>
          <w:sz w:val="24"/>
          <w:szCs w:val="24"/>
        </w:rPr>
        <w:t>.]</w:t>
      </w:r>
    </w:p>
    <w:p w14:paraId="4B968630" w14:textId="77777777" w:rsidR="00C20BBD" w:rsidRPr="0097459F" w:rsidRDefault="00C20BBD" w:rsidP="00AF6767">
      <w:pPr>
        <w:numPr>
          <w:ilvl w:val="0"/>
          <w:numId w:val="17"/>
        </w:numPr>
        <w:spacing w:after="0" w:line="240" w:lineRule="auto"/>
        <w:ind w:left="709" w:firstLine="0"/>
        <w:jc w:val="both"/>
        <w:rPr>
          <w:rFonts w:asciiTheme="minorHAnsi" w:hAnsiTheme="minorHAnsi" w:cstheme="minorHAnsi"/>
          <w:color w:val="000000"/>
          <w:sz w:val="24"/>
          <w:szCs w:val="24"/>
          <w:highlight w:val="lightGray"/>
        </w:rPr>
      </w:pPr>
      <w:r w:rsidRPr="0097459F">
        <w:rPr>
          <w:rFonts w:asciiTheme="minorHAnsi" w:hAnsiTheme="minorHAnsi" w:cstheme="minorHAnsi"/>
          <w:color w:val="0D0D0D" w:themeColor="text1" w:themeTint="F2"/>
          <w:sz w:val="24"/>
          <w:szCs w:val="24"/>
          <w:highlight w:val="lightGray"/>
        </w:rPr>
        <w:t>[</w:t>
      </w:r>
      <w:r w:rsidRPr="0097459F">
        <w:rPr>
          <w:rFonts w:asciiTheme="minorHAnsi" w:hAnsiTheme="minorHAnsi" w:cstheme="minorHAnsi"/>
          <w:i/>
          <w:color w:val="0D0D0D" w:themeColor="text1" w:themeTint="F2"/>
          <w:sz w:val="24"/>
          <w:szCs w:val="24"/>
          <w:highlight w:val="lightGray"/>
        </w:rPr>
        <w:t>Para  classe de cotas cuja política de investimentos permite a realização de operações cujas consequências possam ser significativas perdas patrimoniais</w:t>
      </w:r>
      <w:r w:rsidRPr="0097459F">
        <w:rPr>
          <w:rFonts w:asciiTheme="minorHAnsi" w:hAnsiTheme="minorHAnsi" w:cstheme="minorHAnsi"/>
          <w:color w:val="0D0D0D" w:themeColor="text1" w:themeTint="F2"/>
          <w:sz w:val="24"/>
          <w:szCs w:val="24"/>
          <w:highlight w:val="lightGray"/>
        </w:rPr>
        <w:t>:</w:t>
      </w:r>
      <w:r w:rsidRPr="0097459F">
        <w:rPr>
          <w:rFonts w:asciiTheme="minorHAnsi" w:hAnsiTheme="minorHAnsi" w:cstheme="minorHAnsi"/>
          <w:i/>
          <w:color w:val="0D0D0D" w:themeColor="text1" w:themeTint="F2"/>
          <w:sz w:val="24"/>
          <w:szCs w:val="24"/>
          <w:highlight w:val="lightGray"/>
        </w:rPr>
        <w:t xml:space="preserve"> </w:t>
      </w:r>
      <w:r w:rsidRPr="0097459F">
        <w:rPr>
          <w:rFonts w:asciiTheme="minorHAnsi" w:hAnsiTheme="minorHAnsi" w:cstheme="minorHAnsi"/>
          <w:b/>
          <w:color w:val="000000" w:themeColor="text1"/>
          <w:sz w:val="24"/>
          <w:szCs w:val="24"/>
          <w:highlight w:val="lightGray"/>
        </w:rPr>
        <w:t>As estratégias de investimento podem resultar em significativas perdas patrimoniais para seus cotistas</w:t>
      </w:r>
      <w:r w:rsidRPr="0097459F">
        <w:rPr>
          <w:rFonts w:asciiTheme="minorHAnsi" w:hAnsiTheme="minorHAnsi" w:cstheme="minorHAnsi"/>
          <w:b/>
          <w:i/>
          <w:color w:val="000000" w:themeColor="text1"/>
          <w:sz w:val="24"/>
          <w:szCs w:val="24"/>
          <w:highlight w:val="lightGray"/>
        </w:rPr>
        <w:t>.</w:t>
      </w:r>
      <w:r w:rsidRPr="0097459F">
        <w:rPr>
          <w:rFonts w:asciiTheme="minorHAnsi" w:hAnsiTheme="minorHAnsi" w:cstheme="minorHAnsi"/>
          <w:color w:val="000000" w:themeColor="text1"/>
          <w:sz w:val="24"/>
          <w:szCs w:val="24"/>
          <w:highlight w:val="lightGray"/>
        </w:rPr>
        <w:t>]</w:t>
      </w:r>
    </w:p>
    <w:p w14:paraId="616ECFD2" w14:textId="4C928C53" w:rsidR="00C20BBD" w:rsidRPr="0097459F" w:rsidRDefault="00C20BBD" w:rsidP="00AF6767">
      <w:pPr>
        <w:numPr>
          <w:ilvl w:val="0"/>
          <w:numId w:val="17"/>
        </w:numPr>
        <w:spacing w:after="0" w:line="240" w:lineRule="auto"/>
        <w:ind w:left="709" w:firstLine="0"/>
        <w:jc w:val="both"/>
        <w:rPr>
          <w:rFonts w:asciiTheme="minorHAnsi" w:hAnsiTheme="minorHAnsi" w:cstheme="minorHAnsi"/>
          <w:color w:val="000000"/>
          <w:sz w:val="24"/>
          <w:szCs w:val="24"/>
          <w:highlight w:val="lightGray"/>
        </w:rPr>
      </w:pPr>
      <w:r w:rsidRPr="0097459F">
        <w:rPr>
          <w:rFonts w:asciiTheme="minorHAnsi" w:hAnsiTheme="minorHAnsi" w:cstheme="minorHAnsi"/>
          <w:color w:val="000000"/>
          <w:sz w:val="24"/>
          <w:szCs w:val="24"/>
          <w:highlight w:val="lightGray"/>
        </w:rPr>
        <w:t>[</w:t>
      </w:r>
      <w:r w:rsidRPr="0097459F">
        <w:rPr>
          <w:rFonts w:asciiTheme="minorHAnsi" w:hAnsiTheme="minorHAnsi" w:cstheme="minorHAnsi"/>
          <w:i/>
          <w:color w:val="0D0D0D"/>
          <w:sz w:val="24"/>
          <w:szCs w:val="24"/>
          <w:highlight w:val="lightGray"/>
        </w:rPr>
        <w:t>Para a classe de cotas com responsabilidade ilimitada dos cotistas cuja política de investimento permite a realização de operações que possam resultar em patrimônio líquido negativo</w:t>
      </w:r>
      <w:r w:rsidRPr="0097459F">
        <w:rPr>
          <w:rFonts w:asciiTheme="minorHAnsi" w:hAnsiTheme="minorHAnsi" w:cstheme="minorHAnsi"/>
          <w:color w:val="000000"/>
          <w:sz w:val="24"/>
          <w:szCs w:val="24"/>
          <w:highlight w:val="lightGray"/>
        </w:rPr>
        <w:t xml:space="preserve">: </w:t>
      </w:r>
      <w:r w:rsidRPr="0097459F">
        <w:rPr>
          <w:rFonts w:asciiTheme="minorHAnsi" w:hAnsiTheme="minorHAnsi" w:cstheme="minorHAnsi"/>
          <w:b/>
          <w:color w:val="000000"/>
          <w:sz w:val="24"/>
          <w:szCs w:val="24"/>
          <w:highlight w:val="lightGray"/>
        </w:rPr>
        <w:t>As estratégias de investimento podem resultar em perdas superiores ao capital aplicado e na consequente obrigação do cotista de aportar recursos adicionais para cobrir o prejuízo</w:t>
      </w:r>
      <w:r w:rsidRPr="0097459F">
        <w:rPr>
          <w:rFonts w:asciiTheme="minorHAnsi" w:hAnsiTheme="minorHAnsi" w:cstheme="minorHAnsi"/>
          <w:b/>
          <w:i/>
          <w:color w:val="000000"/>
          <w:sz w:val="24"/>
          <w:szCs w:val="24"/>
          <w:highlight w:val="lightGray"/>
        </w:rPr>
        <w:t>.</w:t>
      </w:r>
      <w:r w:rsidRPr="0097459F">
        <w:rPr>
          <w:rFonts w:asciiTheme="minorHAnsi" w:hAnsiTheme="minorHAnsi" w:cstheme="minorHAnsi"/>
          <w:color w:val="000000"/>
          <w:sz w:val="24"/>
          <w:szCs w:val="24"/>
          <w:highlight w:val="lightGray"/>
        </w:rPr>
        <w:t>]</w:t>
      </w:r>
    </w:p>
    <w:p w14:paraId="2D1E38CD" w14:textId="77777777" w:rsidR="00C2608B" w:rsidRPr="0097459F" w:rsidRDefault="00C2608B" w:rsidP="00C2608B">
      <w:pPr>
        <w:spacing w:after="0" w:line="240" w:lineRule="auto"/>
        <w:ind w:left="709"/>
        <w:jc w:val="both"/>
        <w:rPr>
          <w:rFonts w:asciiTheme="minorHAnsi" w:hAnsiTheme="minorHAnsi" w:cstheme="minorHAnsi"/>
          <w:color w:val="000000"/>
          <w:sz w:val="24"/>
          <w:szCs w:val="24"/>
          <w:highlight w:val="lightGray"/>
        </w:rPr>
      </w:pPr>
    </w:p>
    <w:p w14:paraId="531BDBC2" w14:textId="77777777" w:rsidR="00C20BBD" w:rsidRPr="0097459F" w:rsidRDefault="00C20BBD" w:rsidP="00AF6767">
      <w:pPr>
        <w:numPr>
          <w:ilvl w:val="0"/>
          <w:numId w:val="15"/>
        </w:numPr>
        <w:tabs>
          <w:tab w:val="num" w:pos="567"/>
        </w:tabs>
        <w:spacing w:after="0" w:line="240" w:lineRule="auto"/>
        <w:ind w:left="0"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CONDIÇÕES DE INVESTIMENTO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6857"/>
      </w:tblGrid>
      <w:tr w:rsidR="00C20BBD" w:rsidRPr="0097459F" w14:paraId="5285CF89" w14:textId="77777777" w:rsidTr="00ED0447">
        <w:tc>
          <w:tcPr>
            <w:tcW w:w="1637" w:type="pct"/>
            <w:shd w:val="clear" w:color="auto" w:fill="DBE5F1"/>
            <w:vAlign w:val="center"/>
          </w:tcPr>
          <w:p w14:paraId="67573634"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Investimento inicial mínimo</w:t>
            </w:r>
          </w:p>
        </w:tc>
        <w:tc>
          <w:tcPr>
            <w:tcW w:w="3363" w:type="pct"/>
            <w:vAlign w:val="center"/>
          </w:tcPr>
          <w:p w14:paraId="17C743EE"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R$ [●] </w:t>
            </w:r>
            <w:r w:rsidRPr="0097459F">
              <w:rPr>
                <w:rFonts w:asciiTheme="minorHAnsi" w:hAnsiTheme="minorHAnsi" w:cstheme="minorHAnsi"/>
                <w:color w:val="000000"/>
                <w:sz w:val="24"/>
                <w:szCs w:val="24"/>
              </w:rPr>
              <w:t xml:space="preserve">OU </w:t>
            </w:r>
            <w:r w:rsidRPr="0097459F">
              <w:rPr>
                <w:rFonts w:asciiTheme="minorHAnsi" w:hAnsiTheme="minorHAnsi" w:cstheme="minorHAnsi"/>
                <w:b/>
                <w:color w:val="000000"/>
                <w:sz w:val="24"/>
                <w:szCs w:val="24"/>
              </w:rPr>
              <w:t>[não há]</w:t>
            </w:r>
          </w:p>
        </w:tc>
      </w:tr>
      <w:tr w:rsidR="00C20BBD" w:rsidRPr="0097459F" w14:paraId="5CC87C45" w14:textId="77777777" w:rsidTr="00ED0447">
        <w:tc>
          <w:tcPr>
            <w:tcW w:w="1637" w:type="pct"/>
            <w:shd w:val="clear" w:color="auto" w:fill="DBE5F1"/>
            <w:vAlign w:val="center"/>
          </w:tcPr>
          <w:p w14:paraId="72779EF2"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Investimento adicional mínimo</w:t>
            </w:r>
          </w:p>
        </w:tc>
        <w:tc>
          <w:tcPr>
            <w:tcW w:w="3363" w:type="pct"/>
            <w:vAlign w:val="center"/>
          </w:tcPr>
          <w:p w14:paraId="7219A47E"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R$ [●] </w:t>
            </w:r>
            <w:r w:rsidRPr="0097459F">
              <w:rPr>
                <w:rFonts w:asciiTheme="minorHAnsi" w:hAnsiTheme="minorHAnsi" w:cstheme="minorHAnsi"/>
                <w:color w:val="000000"/>
                <w:sz w:val="24"/>
                <w:szCs w:val="24"/>
              </w:rPr>
              <w:t xml:space="preserve">OU </w:t>
            </w:r>
            <w:r w:rsidRPr="0097459F">
              <w:rPr>
                <w:rFonts w:asciiTheme="minorHAnsi" w:hAnsiTheme="minorHAnsi" w:cstheme="minorHAnsi"/>
                <w:b/>
                <w:color w:val="000000"/>
                <w:sz w:val="24"/>
                <w:szCs w:val="24"/>
              </w:rPr>
              <w:t>[não há]</w:t>
            </w:r>
          </w:p>
        </w:tc>
      </w:tr>
      <w:tr w:rsidR="00C20BBD" w:rsidRPr="0097459F" w14:paraId="3AA19468" w14:textId="77777777" w:rsidTr="00ED0447">
        <w:tc>
          <w:tcPr>
            <w:tcW w:w="1637" w:type="pct"/>
            <w:shd w:val="clear" w:color="auto" w:fill="DBE5F1"/>
            <w:vAlign w:val="center"/>
          </w:tcPr>
          <w:p w14:paraId="12543EB5"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Resgate mínimo</w:t>
            </w:r>
          </w:p>
        </w:tc>
        <w:tc>
          <w:tcPr>
            <w:tcW w:w="3363" w:type="pct"/>
            <w:vAlign w:val="center"/>
          </w:tcPr>
          <w:p w14:paraId="44F65ED9"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R$ [●] </w:t>
            </w:r>
            <w:r w:rsidRPr="0097459F">
              <w:rPr>
                <w:rFonts w:asciiTheme="minorHAnsi" w:hAnsiTheme="minorHAnsi" w:cstheme="minorHAnsi"/>
                <w:color w:val="000000"/>
                <w:sz w:val="24"/>
                <w:szCs w:val="24"/>
              </w:rPr>
              <w:t xml:space="preserve">OU </w:t>
            </w:r>
            <w:r w:rsidRPr="0097459F">
              <w:rPr>
                <w:rFonts w:asciiTheme="minorHAnsi" w:hAnsiTheme="minorHAnsi" w:cstheme="minorHAnsi"/>
                <w:b/>
                <w:color w:val="000000"/>
                <w:sz w:val="24"/>
                <w:szCs w:val="24"/>
              </w:rPr>
              <w:t>[não há]</w:t>
            </w:r>
          </w:p>
        </w:tc>
      </w:tr>
      <w:tr w:rsidR="00C20BBD" w:rsidRPr="0097459F" w14:paraId="4958FD8A" w14:textId="77777777" w:rsidTr="00ED0447">
        <w:tc>
          <w:tcPr>
            <w:tcW w:w="1637" w:type="pct"/>
            <w:shd w:val="clear" w:color="auto" w:fill="DBE5F1"/>
            <w:vAlign w:val="center"/>
          </w:tcPr>
          <w:p w14:paraId="63C730FF"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Horário para aplicação e resgate</w:t>
            </w:r>
          </w:p>
        </w:tc>
        <w:tc>
          <w:tcPr>
            <w:tcW w:w="3363" w:type="pct"/>
            <w:vAlign w:val="center"/>
          </w:tcPr>
          <w:p w14:paraId="6BAF90F5"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HH.mm</w:t>
            </w:r>
          </w:p>
        </w:tc>
      </w:tr>
      <w:tr w:rsidR="00C20BBD" w:rsidRPr="0097459F" w14:paraId="72533168" w14:textId="77777777" w:rsidTr="00ED0447">
        <w:tc>
          <w:tcPr>
            <w:tcW w:w="1637" w:type="pct"/>
            <w:shd w:val="clear" w:color="auto" w:fill="DBE5F1"/>
            <w:vAlign w:val="center"/>
          </w:tcPr>
          <w:p w14:paraId="76037EC1"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Valor mínimo para permanência</w:t>
            </w:r>
          </w:p>
        </w:tc>
        <w:tc>
          <w:tcPr>
            <w:tcW w:w="3363" w:type="pct"/>
            <w:vAlign w:val="center"/>
          </w:tcPr>
          <w:p w14:paraId="7F22BA54"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R$ [●] </w:t>
            </w:r>
            <w:r w:rsidRPr="0097459F">
              <w:rPr>
                <w:rFonts w:asciiTheme="minorHAnsi" w:hAnsiTheme="minorHAnsi" w:cstheme="minorHAnsi"/>
                <w:color w:val="000000"/>
                <w:sz w:val="24"/>
                <w:szCs w:val="24"/>
              </w:rPr>
              <w:t xml:space="preserve">OU </w:t>
            </w:r>
            <w:r w:rsidRPr="0097459F">
              <w:rPr>
                <w:rFonts w:asciiTheme="minorHAnsi" w:hAnsiTheme="minorHAnsi" w:cstheme="minorHAnsi"/>
                <w:b/>
                <w:color w:val="000000"/>
                <w:sz w:val="24"/>
                <w:szCs w:val="24"/>
              </w:rPr>
              <w:t>[não há]</w:t>
            </w:r>
          </w:p>
        </w:tc>
      </w:tr>
      <w:tr w:rsidR="00C20BBD" w:rsidRPr="0097459F" w14:paraId="2622688E" w14:textId="77777777" w:rsidTr="00ED0447">
        <w:tc>
          <w:tcPr>
            <w:tcW w:w="1637" w:type="pct"/>
            <w:shd w:val="clear" w:color="auto" w:fill="DBE5F1"/>
            <w:vAlign w:val="center"/>
          </w:tcPr>
          <w:p w14:paraId="7C9B5D96"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lastRenderedPageBreak/>
              <w:t>Prazo de carência</w:t>
            </w:r>
          </w:p>
        </w:tc>
        <w:tc>
          <w:tcPr>
            <w:tcW w:w="3363" w:type="pct"/>
            <w:vAlign w:val="center"/>
          </w:tcPr>
          <w:p w14:paraId="6F62389A"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Os recursos investidos não podem ser resgatados antes de [●] dias contados da data da aplicação OU [outras condições de carência] OU [não há].</w:t>
            </w:r>
          </w:p>
        </w:tc>
      </w:tr>
      <w:tr w:rsidR="00C20BBD" w:rsidRPr="0097459F" w14:paraId="0DF127EB" w14:textId="77777777" w:rsidTr="00ED0447">
        <w:tc>
          <w:tcPr>
            <w:tcW w:w="1637" w:type="pct"/>
            <w:shd w:val="clear" w:color="auto" w:fill="DBE5F1"/>
            <w:vAlign w:val="center"/>
          </w:tcPr>
          <w:p w14:paraId="1111C5C3"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Conversão das cotas</w:t>
            </w:r>
          </w:p>
        </w:tc>
        <w:tc>
          <w:tcPr>
            <w:tcW w:w="3363" w:type="pct"/>
            <w:vAlign w:val="center"/>
          </w:tcPr>
          <w:p w14:paraId="71DC89D3" w14:textId="77777777" w:rsidR="00C20BBD" w:rsidRPr="0097459F" w:rsidRDefault="00C20BBD" w:rsidP="00AF676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Na aplicação, o número de cotas compradas será calculado de acordo com o valor das cotas [na abertura/no fechamento] do [●] dia contado da data da aplicação.</w:t>
            </w:r>
          </w:p>
          <w:p w14:paraId="08D5D24A"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No resgate, o número de cotas canceladas será calculado de acordo com o valor das cotas [na abertura/no fechamento] do [●] dia contado da data do pedido de resgate.</w:t>
            </w:r>
          </w:p>
        </w:tc>
      </w:tr>
      <w:tr w:rsidR="00C20BBD" w:rsidRPr="0097459F" w14:paraId="686C4677" w14:textId="77777777" w:rsidTr="00ED0447">
        <w:tc>
          <w:tcPr>
            <w:tcW w:w="1637" w:type="pct"/>
            <w:shd w:val="clear" w:color="auto" w:fill="DBE5F1"/>
            <w:vAlign w:val="center"/>
          </w:tcPr>
          <w:p w14:paraId="77951D56"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Pagamento dos resgates</w:t>
            </w:r>
          </w:p>
        </w:tc>
        <w:tc>
          <w:tcPr>
            <w:tcW w:w="3363" w:type="pct"/>
            <w:vAlign w:val="center"/>
          </w:tcPr>
          <w:p w14:paraId="2E936A93" w14:textId="7AFED8B3"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O prazo para o efetivo pagamento dos resgates é de [●]</w:t>
            </w:r>
            <w:r w:rsidR="00DE19FE" w:rsidRPr="0097459F">
              <w:rPr>
                <w:rStyle w:val="Refdenotaderodap"/>
                <w:rFonts w:asciiTheme="minorHAnsi" w:hAnsiTheme="minorHAnsi" w:cstheme="minorHAnsi"/>
                <w:color w:val="000000"/>
                <w:sz w:val="24"/>
                <w:szCs w:val="24"/>
              </w:rPr>
              <w:footnoteReference w:id="6"/>
            </w:r>
            <w:r w:rsidR="00DE19FE" w:rsidRPr="0097459F">
              <w:rPr>
                <w:rFonts w:asciiTheme="minorHAnsi" w:hAnsiTheme="minorHAnsi" w:cstheme="minorHAnsi"/>
                <w:color w:val="000000"/>
                <w:sz w:val="24"/>
                <w:szCs w:val="24"/>
              </w:rPr>
              <w:t xml:space="preserve"> </w:t>
            </w:r>
            <w:r w:rsidRPr="0097459F">
              <w:rPr>
                <w:rFonts w:asciiTheme="minorHAnsi" w:hAnsiTheme="minorHAnsi" w:cstheme="minorHAnsi"/>
                <w:color w:val="000000"/>
                <w:sz w:val="24"/>
                <w:szCs w:val="24"/>
              </w:rPr>
              <w:t>dias úteis ou corridos contados da data do pedido de resgate.</w:t>
            </w:r>
          </w:p>
        </w:tc>
      </w:tr>
      <w:tr w:rsidR="00C20BBD" w:rsidRPr="0097459F" w14:paraId="4F754DF3" w14:textId="77777777" w:rsidTr="00ED0447">
        <w:tc>
          <w:tcPr>
            <w:tcW w:w="1637" w:type="pct"/>
            <w:shd w:val="clear" w:color="auto" w:fill="DBE5F1"/>
            <w:vAlign w:val="center"/>
          </w:tcPr>
          <w:p w14:paraId="1CD844DC"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Taxa de administração</w:t>
            </w:r>
          </w:p>
        </w:tc>
        <w:tc>
          <w:tcPr>
            <w:tcW w:w="3363" w:type="pct"/>
            <w:vAlign w:val="center"/>
          </w:tcPr>
          <w:p w14:paraId="2FD6688A"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 do patrimônio líquido ao ano] OU [A taxa de administração pode variar de [●]% a [●]% do patrimônio líquido ao ano].</w:t>
            </w:r>
          </w:p>
        </w:tc>
      </w:tr>
      <w:tr w:rsidR="00C20BBD" w:rsidRPr="0097459F" w14:paraId="4720DDFD" w14:textId="77777777" w:rsidTr="00ED0447">
        <w:tc>
          <w:tcPr>
            <w:tcW w:w="1637" w:type="pct"/>
            <w:shd w:val="clear" w:color="auto" w:fill="DBE5F1"/>
            <w:vAlign w:val="center"/>
          </w:tcPr>
          <w:p w14:paraId="623C389E"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Taxa de entrada</w:t>
            </w:r>
          </w:p>
        </w:tc>
        <w:tc>
          <w:tcPr>
            <w:tcW w:w="3363" w:type="pct"/>
            <w:vAlign w:val="center"/>
          </w:tcPr>
          <w:p w14:paraId="3B550155"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[Para entrar a classe, o investidor paga uma taxa de [●]% da aplicação inicial, que é deduzida diretamente do valor a ser aplicado.] OU [outras condições de entrada] OU [não há].</w:t>
            </w:r>
          </w:p>
        </w:tc>
      </w:tr>
      <w:tr w:rsidR="00C20BBD" w:rsidRPr="0097459F" w14:paraId="3C6EE364" w14:textId="77777777" w:rsidTr="00ED0447">
        <w:tc>
          <w:tcPr>
            <w:tcW w:w="1637" w:type="pct"/>
            <w:shd w:val="clear" w:color="auto" w:fill="DBE5F1"/>
            <w:vAlign w:val="center"/>
          </w:tcPr>
          <w:p w14:paraId="52F11105"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Taxa de saída</w:t>
            </w:r>
          </w:p>
        </w:tc>
        <w:tc>
          <w:tcPr>
            <w:tcW w:w="3363" w:type="pct"/>
            <w:vAlign w:val="center"/>
          </w:tcPr>
          <w:p w14:paraId="0526CC0E"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[Para resgatar suas cotas[, antes de decorridos [●] dias da data de aplicação], o investidor paga uma taxa de [●]% do valor do resgate, que é deduzida diretamente do valor a ser recebido.] OU [outras condições de saída] OU [não há].</w:t>
            </w:r>
          </w:p>
        </w:tc>
      </w:tr>
      <w:tr w:rsidR="00C20BBD" w:rsidRPr="0097459F" w14:paraId="3526A86C" w14:textId="77777777" w:rsidTr="00ED0447">
        <w:tc>
          <w:tcPr>
            <w:tcW w:w="1637" w:type="pct"/>
            <w:shd w:val="clear" w:color="auto" w:fill="DBE5F1"/>
            <w:vAlign w:val="center"/>
          </w:tcPr>
          <w:p w14:paraId="051656E9"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Taxa de performance</w:t>
            </w:r>
          </w:p>
        </w:tc>
        <w:tc>
          <w:tcPr>
            <w:tcW w:w="3363" w:type="pct"/>
            <w:vAlign w:val="center"/>
          </w:tcPr>
          <w:p w14:paraId="4510EB7B" w14:textId="77777777" w:rsidR="00C20BBD" w:rsidRPr="0097459F" w:rsidRDefault="00C20BBD" w:rsidP="00AF676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[Descrição sucinta da taxa de performance] OU [não há].</w:t>
            </w:r>
          </w:p>
        </w:tc>
      </w:tr>
      <w:tr w:rsidR="00C20BBD" w:rsidRPr="0097459F" w14:paraId="15D4F3A7" w14:textId="77777777" w:rsidTr="00ED0447">
        <w:tc>
          <w:tcPr>
            <w:tcW w:w="1637" w:type="pct"/>
            <w:shd w:val="clear" w:color="auto" w:fill="DBE5F1"/>
            <w:vAlign w:val="center"/>
          </w:tcPr>
          <w:p w14:paraId="27180FCD"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Taxa total de despesas</w:t>
            </w:r>
          </w:p>
        </w:tc>
        <w:tc>
          <w:tcPr>
            <w:tcW w:w="3363" w:type="pct"/>
            <w:vAlign w:val="center"/>
          </w:tcPr>
          <w:p w14:paraId="6122F9C5" w14:textId="427CAEAF" w:rsidR="00C20BBD" w:rsidRPr="0097459F" w:rsidRDefault="00C20BBD" w:rsidP="001A1FD8">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themeColor="text1"/>
                <w:sz w:val="24"/>
                <w:szCs w:val="24"/>
              </w:rPr>
              <w:t>As despesas pagas pel</w:t>
            </w:r>
            <w:r w:rsidR="001A1FD8">
              <w:rPr>
                <w:rFonts w:asciiTheme="minorHAnsi" w:hAnsiTheme="minorHAnsi" w:cstheme="minorHAnsi"/>
                <w:color w:val="000000" w:themeColor="text1"/>
                <w:sz w:val="24"/>
                <w:szCs w:val="24"/>
              </w:rPr>
              <w:t>a</w:t>
            </w:r>
            <w:r w:rsidRPr="0097459F">
              <w:rPr>
                <w:rFonts w:asciiTheme="minorHAnsi" w:hAnsiTheme="minorHAnsi" w:cstheme="minorHAnsi"/>
                <w:color w:val="000000" w:themeColor="text1"/>
                <w:sz w:val="24"/>
                <w:szCs w:val="24"/>
              </w:rPr>
              <w:t xml:space="preserve"> classe de cotas representaram [●]% do seu patrimônio líquido diário médio no período que vai de [●] a [●]. A taxa de despesas pode variar de período para período e reduz a rentabilidade. O quadro com a descrição das despesas pode ser encontrado em [endereço eletrônico].</w:t>
            </w:r>
          </w:p>
        </w:tc>
      </w:tr>
    </w:tbl>
    <w:p w14:paraId="6791E144" w14:textId="77777777" w:rsidR="00C2608B" w:rsidRPr="0097459F" w:rsidRDefault="00C2608B" w:rsidP="00C2608B">
      <w:pPr>
        <w:pStyle w:val="NormalWeb"/>
        <w:spacing w:before="0" w:beforeAutospacing="0" w:after="0" w:afterAutospacing="0"/>
        <w:ind w:left="709"/>
        <w:jc w:val="both"/>
        <w:rPr>
          <w:rFonts w:asciiTheme="minorHAnsi" w:hAnsiTheme="minorHAnsi" w:cstheme="minorHAnsi"/>
        </w:rPr>
      </w:pPr>
    </w:p>
    <w:p w14:paraId="3D0A96F0" w14:textId="15126F0B" w:rsidR="00C20BBD" w:rsidRPr="0097459F" w:rsidRDefault="00C20BBD" w:rsidP="00AF6767">
      <w:pPr>
        <w:pStyle w:val="NormalWeb"/>
        <w:numPr>
          <w:ilvl w:val="0"/>
          <w:numId w:val="15"/>
        </w:numPr>
        <w:tabs>
          <w:tab w:val="num" w:pos="567"/>
        </w:tabs>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
        </w:rPr>
        <w:t>COMPOSIÇÃO DA CARTEIRA:</w:t>
      </w:r>
      <w:r w:rsidR="00DE19FE" w:rsidRPr="0097459F">
        <w:rPr>
          <w:rStyle w:val="Refdenotaderodap"/>
          <w:rFonts w:asciiTheme="minorHAnsi" w:hAnsiTheme="minorHAnsi" w:cstheme="minorHAnsi"/>
        </w:rPr>
        <w:footnoteReference w:id="7"/>
      </w:r>
      <w:r w:rsidR="00DE19FE" w:rsidRPr="0097459F">
        <w:rPr>
          <w:rFonts w:asciiTheme="minorHAnsi" w:hAnsiTheme="minorHAnsi" w:cstheme="minorHAnsi"/>
          <w:b/>
        </w:rPr>
        <w:t xml:space="preserve"> </w:t>
      </w:r>
      <w:r w:rsidRPr="0097459F">
        <w:rPr>
          <w:rFonts w:asciiTheme="minorHAnsi" w:hAnsiTheme="minorHAnsi" w:cstheme="minorHAnsi"/>
        </w:rPr>
        <w:t>o patrimônio líquido da classe</w:t>
      </w:r>
      <w:r w:rsidRPr="0097459F">
        <w:rPr>
          <w:rFonts w:asciiTheme="minorHAnsi" w:hAnsiTheme="minorHAnsi" w:cstheme="minorHAnsi"/>
          <w:b/>
        </w:rPr>
        <w:t xml:space="preserve"> </w:t>
      </w:r>
      <w:r w:rsidRPr="0097459F">
        <w:rPr>
          <w:rFonts w:asciiTheme="minorHAnsi" w:hAnsiTheme="minorHAnsi" w:cstheme="minorHAnsi"/>
          <w:bCs/>
        </w:rPr>
        <w:t>de cotas</w:t>
      </w:r>
      <w:r w:rsidRPr="0097459F">
        <w:rPr>
          <w:rFonts w:asciiTheme="minorHAnsi" w:hAnsiTheme="minorHAnsi" w:cstheme="minorHAnsi"/>
          <w:b/>
        </w:rPr>
        <w:t xml:space="preserve"> </w:t>
      </w:r>
      <w:r w:rsidRPr="0097459F">
        <w:rPr>
          <w:rFonts w:asciiTheme="minorHAnsi" w:hAnsiTheme="minorHAnsi" w:cstheme="minorHAnsi"/>
        </w:rPr>
        <w:t>é</w:t>
      </w:r>
      <w:r w:rsidRPr="0097459F">
        <w:rPr>
          <w:rFonts w:asciiTheme="minorHAnsi" w:hAnsiTheme="minorHAnsi" w:cstheme="minorHAnsi"/>
          <w:b/>
        </w:rPr>
        <w:t xml:space="preserve"> </w:t>
      </w:r>
      <w:r w:rsidRPr="0097459F">
        <w:rPr>
          <w:rFonts w:asciiTheme="minorHAnsi" w:hAnsiTheme="minorHAnsi" w:cstheme="minorHAnsi"/>
        </w:rPr>
        <w:t xml:space="preserve">de </w:t>
      </w:r>
      <w:r w:rsidRPr="0097459F">
        <w:rPr>
          <w:rFonts w:asciiTheme="minorHAnsi" w:hAnsiTheme="minorHAnsi" w:cstheme="minorHAnsi"/>
          <w:b/>
        </w:rPr>
        <w:t xml:space="preserve">[●] </w:t>
      </w:r>
      <w:r w:rsidRPr="0097459F">
        <w:rPr>
          <w:rFonts w:asciiTheme="minorHAnsi" w:hAnsiTheme="minorHAnsi" w:cstheme="minorHAnsi"/>
        </w:rPr>
        <w:t>e as 5 espécies de ativos em que a carteira</w:t>
      </w:r>
      <w:r w:rsidRPr="0097459F">
        <w:rPr>
          <w:rFonts w:asciiTheme="minorHAnsi" w:hAnsiTheme="minorHAnsi" w:cstheme="minorHAnsi"/>
          <w:b/>
        </w:rPr>
        <w:t xml:space="preserve"> </w:t>
      </w:r>
      <w:r w:rsidRPr="0097459F">
        <w:rPr>
          <w:rFonts w:asciiTheme="minorHAnsi" w:hAnsiTheme="minorHAnsi" w:cstheme="minorHAnsi"/>
        </w:rPr>
        <w:t>concentra seus investimentos são</w:t>
      </w:r>
      <w:r w:rsidR="00DE19FE" w:rsidRPr="0097459F">
        <w:rPr>
          <w:rStyle w:val="Refdenotaderodap"/>
          <w:rFonts w:asciiTheme="minorHAnsi" w:hAnsiTheme="minorHAnsi" w:cstheme="minorHAnsi"/>
        </w:rPr>
        <w:footnoteReference w:id="8"/>
      </w:r>
      <w:r w:rsidR="00DE19FE" w:rsidRPr="0097459F">
        <w:rPr>
          <w:rFonts w:asciiTheme="minorHAnsi" w:hAnsiTheme="minorHAnsi" w:cstheme="minorHAnsi"/>
        </w:rPr>
        <w:t>:</w:t>
      </w:r>
      <w:r w:rsidRPr="0097459F">
        <w:rPr>
          <w:rFonts w:asciiTheme="minorHAnsi" w:hAnsiTheme="minorHAnsi" w:cstheme="minorHAnsi"/>
        </w:rPr>
        <w:t xml:space="preserve"> </w:t>
      </w:r>
      <w:r w:rsidRPr="0097459F">
        <w:rPr>
          <w:rFonts w:asciiTheme="minorHAnsi" w:hAnsiTheme="minorHAnsi" w:cstheme="minorHAnsi"/>
          <w:b/>
        </w:rPr>
        <w:t>[●]</w:t>
      </w:r>
      <w:r w:rsidRPr="0097459F">
        <w:rPr>
          <w:rStyle w:val="Refdenotadefim"/>
          <w:rFonts w:asciiTheme="minorHAnsi" w:hAnsiTheme="minorHAnsi" w:cstheme="minorHAnsi"/>
        </w:rPr>
        <w:endnoteReference w:id="2"/>
      </w:r>
      <w:r w:rsidRPr="0097459F">
        <w:rPr>
          <w:rFonts w:asciiTheme="minorHAnsi" w:hAnsiTheme="minorHAnsi" w:cstheme="minorHAnsi"/>
        </w:rPr>
        <w:t xml:space="preserve"> </w:t>
      </w:r>
      <w:r w:rsidRPr="0097459F">
        <w:rPr>
          <w:rFonts w:asciiTheme="minorHAnsi" w:hAnsiTheme="minorHAnsi" w:cstheme="minorHAnsi"/>
          <w:b/>
        </w:rPr>
        <w:t xml:space="preserve"> </w:t>
      </w:r>
      <w:r w:rsidRPr="0097459F">
        <w:rPr>
          <w:rFonts w:asciiTheme="minorHAnsi" w:hAnsiTheme="minorHAnsi" w:cstheme="minorHAns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8"/>
        <w:gridCol w:w="5927"/>
      </w:tblGrid>
      <w:tr w:rsidR="00C20BBD" w:rsidRPr="0097459F" w14:paraId="710546CF" w14:textId="77777777" w:rsidTr="00ED0447">
        <w:tc>
          <w:tcPr>
            <w:tcW w:w="2093" w:type="pct"/>
            <w:shd w:val="clear" w:color="auto" w:fill="DBE5F1"/>
          </w:tcPr>
          <w:p w14:paraId="618A6079"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lastRenderedPageBreak/>
              <w:t>[espécie de ativo]</w:t>
            </w:r>
          </w:p>
        </w:tc>
        <w:tc>
          <w:tcPr>
            <w:tcW w:w="2907" w:type="pct"/>
            <w:vAlign w:val="center"/>
          </w:tcPr>
          <w:p w14:paraId="14A3F546"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r w:rsidR="00C20BBD" w:rsidRPr="0097459F" w14:paraId="34AABDA6" w14:textId="77777777" w:rsidTr="00ED0447">
        <w:tc>
          <w:tcPr>
            <w:tcW w:w="2093" w:type="pct"/>
            <w:shd w:val="clear" w:color="auto" w:fill="DBE5F1"/>
          </w:tcPr>
          <w:p w14:paraId="727A5EDE"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[espécie de ativo]</w:t>
            </w:r>
          </w:p>
        </w:tc>
        <w:tc>
          <w:tcPr>
            <w:tcW w:w="2907" w:type="pct"/>
            <w:vAlign w:val="center"/>
          </w:tcPr>
          <w:p w14:paraId="5B966B99"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r w:rsidR="00C20BBD" w:rsidRPr="0097459F" w14:paraId="68F3FA91" w14:textId="77777777" w:rsidTr="00ED0447">
        <w:tc>
          <w:tcPr>
            <w:tcW w:w="2093" w:type="pct"/>
            <w:shd w:val="clear" w:color="auto" w:fill="DBE5F1"/>
          </w:tcPr>
          <w:p w14:paraId="153A66D1"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[espécie de ativo]</w:t>
            </w:r>
          </w:p>
        </w:tc>
        <w:tc>
          <w:tcPr>
            <w:tcW w:w="2907" w:type="pct"/>
            <w:vAlign w:val="center"/>
          </w:tcPr>
          <w:p w14:paraId="7C872DC6"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r w:rsidR="00C20BBD" w:rsidRPr="0097459F" w14:paraId="657E8C9A" w14:textId="77777777" w:rsidTr="00ED0447">
        <w:tc>
          <w:tcPr>
            <w:tcW w:w="2093" w:type="pct"/>
            <w:shd w:val="clear" w:color="auto" w:fill="DBE5F1"/>
          </w:tcPr>
          <w:p w14:paraId="72E06D68"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[espécie de ativo]</w:t>
            </w:r>
          </w:p>
        </w:tc>
        <w:tc>
          <w:tcPr>
            <w:tcW w:w="2907" w:type="pct"/>
            <w:vAlign w:val="center"/>
          </w:tcPr>
          <w:p w14:paraId="26D21BBB"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r w:rsidR="00C20BBD" w:rsidRPr="0097459F" w14:paraId="3F747902" w14:textId="77777777" w:rsidTr="00ED0447">
        <w:tc>
          <w:tcPr>
            <w:tcW w:w="2093" w:type="pct"/>
            <w:shd w:val="clear" w:color="auto" w:fill="DBE5F1"/>
          </w:tcPr>
          <w:p w14:paraId="42E4EE93"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[espécie de ativo]</w:t>
            </w:r>
          </w:p>
        </w:tc>
        <w:tc>
          <w:tcPr>
            <w:tcW w:w="2907" w:type="pct"/>
            <w:vAlign w:val="center"/>
          </w:tcPr>
          <w:p w14:paraId="63A15631"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bl>
    <w:p w14:paraId="7403F813" w14:textId="77777777" w:rsidR="00C2608B" w:rsidRPr="0097459F" w:rsidRDefault="00C2608B" w:rsidP="00C2608B">
      <w:pPr>
        <w:spacing w:after="0" w:line="240" w:lineRule="auto"/>
        <w:ind w:left="709"/>
        <w:jc w:val="both"/>
        <w:rPr>
          <w:rFonts w:asciiTheme="minorHAnsi" w:hAnsiTheme="minorHAnsi" w:cstheme="minorHAnsi"/>
          <w:color w:val="000000"/>
          <w:sz w:val="24"/>
          <w:szCs w:val="24"/>
        </w:rPr>
      </w:pPr>
    </w:p>
    <w:p w14:paraId="7669FCF8" w14:textId="7A2EE494" w:rsidR="00C20BBD" w:rsidRPr="0097459F" w:rsidRDefault="00C20BBD" w:rsidP="00AF6767">
      <w:pPr>
        <w:numPr>
          <w:ilvl w:val="0"/>
          <w:numId w:val="15"/>
        </w:numPr>
        <w:tabs>
          <w:tab w:val="num" w:pos="567"/>
        </w:tabs>
        <w:spacing w:after="0" w:line="240" w:lineRule="auto"/>
        <w:ind w:left="0" w:firstLine="709"/>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RISCO:</w:t>
      </w:r>
      <w:r w:rsidRPr="0097459F">
        <w:rPr>
          <w:rFonts w:asciiTheme="minorHAnsi" w:hAnsiTheme="minorHAnsi" w:cstheme="minorHAnsi"/>
          <w:color w:val="000000"/>
          <w:sz w:val="24"/>
          <w:szCs w:val="24"/>
        </w:rPr>
        <w:t xml:space="preserve"> o </w:t>
      </w:r>
      <w:r w:rsidRPr="0097459F">
        <w:rPr>
          <w:rFonts w:asciiTheme="minorHAnsi" w:hAnsiTheme="minorHAnsi" w:cstheme="minorHAnsi"/>
          <w:b/>
          <w:color w:val="000000"/>
          <w:sz w:val="24"/>
          <w:szCs w:val="24"/>
        </w:rPr>
        <w:t>[nome do gestor]</w:t>
      </w:r>
      <w:r w:rsidRPr="0097459F">
        <w:rPr>
          <w:rFonts w:asciiTheme="minorHAnsi" w:hAnsiTheme="minorHAnsi" w:cstheme="minorHAnsi"/>
          <w:color w:val="000000"/>
          <w:sz w:val="24"/>
          <w:szCs w:val="24"/>
        </w:rPr>
        <w:t xml:space="preserve"> classifica as carteiras de ativos que administra numa escala de 1 a 5, de acordo com o risco envolvido na estratégia de investimento de cada classe de cotas.  Nessa escala, a classificação </w:t>
      </w:r>
      <w:r w:rsidRPr="0097459F">
        <w:rPr>
          <w:rFonts w:asciiTheme="minorHAnsi" w:hAnsiTheme="minorHAnsi" w:cstheme="minorHAnsi"/>
          <w:sz w:val="24"/>
          <w:szCs w:val="24"/>
        </w:rPr>
        <w:t>da classe</w:t>
      </w:r>
      <w:r w:rsidRPr="0097459F">
        <w:rPr>
          <w:rFonts w:asciiTheme="minorHAnsi" w:hAnsiTheme="minorHAnsi" w:cstheme="minorHAnsi"/>
          <w:b/>
          <w:sz w:val="24"/>
          <w:szCs w:val="24"/>
        </w:rPr>
        <w:t xml:space="preserve"> </w:t>
      </w:r>
      <w:r w:rsidRPr="0097459F">
        <w:rPr>
          <w:rFonts w:asciiTheme="minorHAnsi" w:hAnsiTheme="minorHAnsi" w:cstheme="minorHAnsi"/>
          <w:color w:val="000000"/>
          <w:sz w:val="24"/>
          <w:szCs w:val="24"/>
        </w:rPr>
        <w:t xml:space="preserve">é: </w:t>
      </w:r>
    </w:p>
    <w:p w14:paraId="2A5D5888" w14:textId="77777777" w:rsidR="00C20BBD" w:rsidRPr="0097459F" w:rsidRDefault="00C20BBD" w:rsidP="00AF6767">
      <w:pPr>
        <w:tabs>
          <w:tab w:val="num" w:pos="567"/>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bdr w:val="single" w:sz="4" w:space="0" w:color="auto"/>
        </w:rPr>
        <w:t>1</w:t>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t>2</w:t>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t>3</w:t>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t>4</w:t>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t>5</w:t>
      </w:r>
    </w:p>
    <w:p w14:paraId="371C0CDE" w14:textId="25B077B4" w:rsidR="00C20BBD" w:rsidRPr="0097459F" w:rsidRDefault="00C20BBD" w:rsidP="00AF6767">
      <w:pPr>
        <w:tabs>
          <w:tab w:val="num" w:pos="567"/>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noProof/>
          <w:color w:val="000000"/>
          <w:sz w:val="24"/>
          <w:szCs w:val="24"/>
          <w:shd w:val="clear" w:color="auto" w:fill="E6E6E6"/>
          <w:lang w:eastAsia="pt-BR"/>
        </w:rPr>
        <mc:AlternateContent>
          <mc:Choice Requires="wps">
            <w:drawing>
              <wp:anchor distT="0" distB="0" distL="114300" distR="114300" simplePos="0" relativeHeight="251654144" behindDoc="0" locked="0" layoutInCell="1" allowOverlap="1" wp14:anchorId="7FF8493A" wp14:editId="731E2509">
                <wp:simplePos x="0" y="0"/>
                <wp:positionH relativeFrom="column">
                  <wp:posOffset>3600615</wp:posOffset>
                </wp:positionH>
                <wp:positionV relativeFrom="paragraph">
                  <wp:posOffset>9608</wp:posOffset>
                </wp:positionV>
                <wp:extent cx="124073" cy="100219"/>
                <wp:effectExtent l="38100" t="19050" r="4762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3" cy="100219"/>
                        </a:xfrm>
                        <a:prstGeom prst="upArrow">
                          <a:avLst>
                            <a:gd name="adj1" fmla="val 50000"/>
                            <a:gd name="adj2" fmla="val 47203"/>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9EC6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283.5pt;margin-top:.75pt;width:9.75pt;height: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" adj="10196" fillcolor="black [3213]"/>
            </w:pict>
          </mc:Fallback>
        </mc:AlternateContent>
      </w:r>
    </w:p>
    <w:p w14:paraId="4A266030" w14:textId="3E34AED6" w:rsidR="00C20BBD" w:rsidRPr="0097459F" w:rsidRDefault="00C20BBD" w:rsidP="00AF6767">
      <w:pPr>
        <w:numPr>
          <w:ilvl w:val="0"/>
          <w:numId w:val="15"/>
        </w:numPr>
        <w:tabs>
          <w:tab w:val="num" w:pos="567"/>
        </w:tabs>
        <w:spacing w:after="0" w:line="240" w:lineRule="auto"/>
        <w:ind w:left="0"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lastRenderedPageBreak/>
        <w:t xml:space="preserve"> [HISTÓRICO DE RENTABILIDADE</w:t>
      </w:r>
      <w:r w:rsidR="00DE19FE" w:rsidRPr="0097459F">
        <w:rPr>
          <w:rStyle w:val="Refdenotaderodap"/>
          <w:rFonts w:asciiTheme="minorHAnsi" w:hAnsiTheme="minorHAnsi" w:cstheme="minorHAnsi"/>
          <w:color w:val="000000"/>
          <w:sz w:val="24"/>
          <w:szCs w:val="24"/>
        </w:rPr>
        <w:footnoteReference w:id="9"/>
      </w:r>
      <w:r w:rsidR="00DE19FE" w:rsidRPr="0097459F">
        <w:rPr>
          <w:rFonts w:asciiTheme="minorHAnsi" w:hAnsiTheme="minorHAnsi" w:cstheme="minorHAnsi"/>
          <w:i/>
          <w:color w:val="000000"/>
          <w:sz w:val="24"/>
          <w:szCs w:val="24"/>
        </w:rPr>
        <w:t xml:space="preserve"> </w:t>
      </w:r>
      <w:r w:rsidRPr="0097459F">
        <w:rPr>
          <w:rFonts w:asciiTheme="minorHAnsi" w:hAnsiTheme="minorHAnsi" w:cstheme="minorHAnsi"/>
          <w:color w:val="000000"/>
          <w:sz w:val="24"/>
          <w:szCs w:val="24"/>
        </w:rPr>
        <w:t>(</w:t>
      </w:r>
      <w:r w:rsidRPr="0097459F">
        <w:rPr>
          <w:rFonts w:asciiTheme="minorHAnsi" w:hAnsiTheme="minorHAnsi" w:cstheme="minorHAnsi"/>
          <w:i/>
          <w:color w:val="000000"/>
          <w:sz w:val="24"/>
          <w:szCs w:val="24"/>
        </w:rPr>
        <w:t>para todos os fundos, exceto os estruturados</w:t>
      </w:r>
      <w:r w:rsidR="00DE19FE" w:rsidRPr="0097459F">
        <w:rPr>
          <w:rStyle w:val="Refdenotaderodap"/>
          <w:rFonts w:asciiTheme="minorHAnsi" w:hAnsiTheme="minorHAnsi" w:cstheme="minorHAnsi"/>
          <w:color w:val="000000"/>
          <w:sz w:val="24"/>
          <w:szCs w:val="24"/>
        </w:rPr>
        <w:footnoteReference w:id="10"/>
      </w:r>
      <w:r w:rsidR="00DE19FE" w:rsidRPr="0097459F">
        <w:rPr>
          <w:rFonts w:asciiTheme="minorHAnsi" w:hAnsiTheme="minorHAnsi" w:cstheme="minorHAnsi"/>
          <w:color w:val="000000"/>
          <w:sz w:val="24"/>
          <w:szCs w:val="24"/>
        </w:rPr>
        <w:t>)</w:t>
      </w:r>
      <w:r w:rsidRPr="0097459F">
        <w:rPr>
          <w:rFonts w:asciiTheme="minorHAnsi" w:hAnsiTheme="minorHAnsi" w:cstheme="minorHAnsi"/>
          <w:b/>
          <w:color w:val="000000"/>
          <w:sz w:val="24"/>
          <w:szCs w:val="24"/>
        </w:rPr>
        <w:t xml:space="preserve">] OU [SIMULAÇÃO DE DESEMPENHO </w:t>
      </w:r>
      <w:r w:rsidRPr="0097459F">
        <w:rPr>
          <w:rFonts w:asciiTheme="minorHAnsi" w:hAnsiTheme="minorHAnsi" w:cstheme="minorHAnsi"/>
          <w:color w:val="000000"/>
          <w:sz w:val="24"/>
          <w:szCs w:val="24"/>
        </w:rPr>
        <w:t>(</w:t>
      </w:r>
      <w:r w:rsidRPr="0097459F">
        <w:rPr>
          <w:rFonts w:asciiTheme="minorHAnsi" w:hAnsiTheme="minorHAnsi" w:cstheme="minorHAnsi"/>
          <w:i/>
          <w:color w:val="000000"/>
          <w:sz w:val="24"/>
          <w:szCs w:val="24"/>
        </w:rPr>
        <w:t>para fundos estruturados</w:t>
      </w:r>
      <w:r w:rsidRPr="0097459F">
        <w:rPr>
          <w:rFonts w:asciiTheme="minorHAnsi" w:hAnsiTheme="minorHAnsi" w:cstheme="minorHAnsi"/>
          <w:color w:val="000000"/>
          <w:sz w:val="24"/>
          <w:szCs w:val="24"/>
        </w:rPr>
        <w:t>)</w:t>
      </w:r>
      <w:r w:rsidRPr="0097459F">
        <w:rPr>
          <w:rFonts w:asciiTheme="minorHAnsi" w:hAnsiTheme="minorHAnsi" w:cstheme="minorHAnsi"/>
          <w:b/>
          <w:color w:val="000000"/>
          <w:sz w:val="24"/>
          <w:szCs w:val="24"/>
        </w:rPr>
        <w:t xml:space="preserve">] </w:t>
      </w:r>
    </w:p>
    <w:p w14:paraId="1830D266"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w:t>
      </w:r>
      <w:r w:rsidRPr="0097459F">
        <w:rPr>
          <w:rFonts w:asciiTheme="minorHAnsi" w:hAnsiTheme="minorHAnsi" w:cstheme="minorHAnsi"/>
          <w:i/>
        </w:rPr>
        <w:t>para todos os fundos, exceto os estruturados</w:t>
      </w:r>
      <w:r w:rsidRPr="0097459F">
        <w:rPr>
          <w:rFonts w:asciiTheme="minorHAnsi" w:hAnsiTheme="minorHAnsi" w:cstheme="minorHAnsi"/>
        </w:rPr>
        <w:t>]</w:t>
      </w:r>
    </w:p>
    <w:p w14:paraId="240450DF"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549F4F3B" w14:textId="77777777" w:rsidR="00C20BBD" w:rsidRPr="0097459F" w:rsidRDefault="00C20BBD" w:rsidP="00AF6767">
      <w:pPr>
        <w:pStyle w:val="NormalWeb"/>
        <w:numPr>
          <w:ilvl w:val="1"/>
          <w:numId w:val="12"/>
        </w:numPr>
        <w:tabs>
          <w:tab w:val="clear" w:pos="1440"/>
          <w:tab w:val="num" w:pos="567"/>
        </w:tabs>
        <w:spacing w:before="0" w:beforeAutospacing="0" w:after="0" w:afterAutospacing="0"/>
        <w:ind w:left="567" w:firstLine="0"/>
        <w:jc w:val="both"/>
        <w:rPr>
          <w:rFonts w:asciiTheme="minorHAnsi" w:hAnsiTheme="minorHAnsi" w:cstheme="minorHAnsi"/>
        </w:rPr>
      </w:pPr>
      <w:r w:rsidRPr="0097459F">
        <w:rPr>
          <w:rFonts w:asciiTheme="minorHAnsi" w:hAnsiTheme="minorHAnsi" w:cstheme="minorHAnsi"/>
        </w:rPr>
        <w:t>A rentabilidade obtida no passado não representa garantia de resultados futuros.</w:t>
      </w:r>
    </w:p>
    <w:p w14:paraId="2A98183D" w14:textId="77777777" w:rsidR="00C20BBD" w:rsidRPr="0097459F" w:rsidRDefault="00C20BBD" w:rsidP="00AF6767">
      <w:pPr>
        <w:pStyle w:val="NormalWeb"/>
        <w:numPr>
          <w:ilvl w:val="1"/>
          <w:numId w:val="12"/>
        </w:numPr>
        <w:tabs>
          <w:tab w:val="clear" w:pos="1440"/>
          <w:tab w:val="num" w:pos="567"/>
        </w:tabs>
        <w:spacing w:before="0" w:beforeAutospacing="0" w:after="0" w:afterAutospacing="0"/>
        <w:ind w:left="567" w:firstLine="0"/>
        <w:jc w:val="both"/>
        <w:rPr>
          <w:rFonts w:asciiTheme="minorHAnsi" w:hAnsiTheme="minorHAnsi" w:cstheme="minorHAnsi"/>
        </w:rPr>
      </w:pPr>
      <w:r w:rsidRPr="0097459F">
        <w:rPr>
          <w:rFonts w:asciiTheme="minorHAnsi" w:hAnsiTheme="minorHAnsi" w:cstheme="minorHAnsi"/>
          <w:b/>
        </w:rPr>
        <w:t>Rentabilidade acumulada nos últimos 5 anos: [●]%</w:t>
      </w:r>
      <w:r w:rsidRPr="0097459F">
        <w:rPr>
          <w:rFonts w:asciiTheme="minorHAnsi" w:hAnsiTheme="minorHAnsi" w:cstheme="minorHAnsi"/>
        </w:rPr>
        <w:t xml:space="preserve"> [</w:t>
      </w:r>
      <w:r w:rsidRPr="0097459F">
        <w:rPr>
          <w:rFonts w:asciiTheme="minorHAnsi" w:hAnsiTheme="minorHAnsi" w:cstheme="minorHAnsi"/>
          <w:i/>
        </w:rPr>
        <w:t>quando houver índice de referência</w:t>
      </w:r>
      <w:r w:rsidRPr="0097459F">
        <w:rPr>
          <w:rFonts w:asciiTheme="minorHAnsi" w:hAnsiTheme="minorHAnsi" w:cstheme="minorHAnsi"/>
        </w:rPr>
        <w:t xml:space="preserve">: no mesmo período o </w:t>
      </w:r>
      <w:r w:rsidRPr="0097459F">
        <w:rPr>
          <w:rFonts w:asciiTheme="minorHAnsi" w:hAnsiTheme="minorHAnsi" w:cstheme="minorHAnsi"/>
          <w:b/>
        </w:rPr>
        <w:t>[índice de referência]</w:t>
      </w:r>
      <w:r w:rsidRPr="0097459F">
        <w:rPr>
          <w:rFonts w:asciiTheme="minorHAnsi" w:hAnsiTheme="minorHAnsi" w:cstheme="minorHAnsi"/>
        </w:rPr>
        <w:t xml:space="preserve"> variou </w:t>
      </w:r>
      <w:r w:rsidRPr="0097459F">
        <w:rPr>
          <w:rFonts w:asciiTheme="minorHAnsi" w:hAnsiTheme="minorHAnsi" w:cstheme="minorHAnsi"/>
          <w:b/>
        </w:rPr>
        <w:t>[●]%]</w:t>
      </w:r>
      <w:r w:rsidRPr="0097459F">
        <w:rPr>
          <w:rFonts w:asciiTheme="minorHAnsi" w:hAnsiTheme="minorHAnsi" w:cstheme="minorHAnsi"/>
        </w:rPr>
        <w:t xml:space="preserve">.  A tabela abaixo mostra a rentabilidade </w:t>
      </w:r>
      <w:r w:rsidRPr="0097459F">
        <w:rPr>
          <w:rFonts w:asciiTheme="minorHAnsi" w:hAnsiTheme="minorHAnsi" w:cstheme="minorHAnsi"/>
          <w:b/>
        </w:rPr>
        <w:t xml:space="preserve">da classe de cotas </w:t>
      </w:r>
      <w:r w:rsidRPr="0097459F">
        <w:rPr>
          <w:rFonts w:asciiTheme="minorHAnsi" w:hAnsiTheme="minorHAnsi" w:cstheme="minorHAnsi"/>
        </w:rPr>
        <w:t>a cada ano nos últimos 5 anos. [</w:t>
      </w:r>
      <w:r w:rsidRPr="0097459F">
        <w:rPr>
          <w:rFonts w:asciiTheme="minorHAnsi" w:hAnsiTheme="minorHAnsi" w:cstheme="minorHAnsi"/>
          <w:i/>
        </w:rPr>
        <w:t>Se for o caso</w:t>
      </w:r>
      <w:r w:rsidRPr="0097459F">
        <w:rPr>
          <w:rFonts w:asciiTheme="minorHAnsi" w:hAnsiTheme="minorHAnsi" w:cstheme="minorHAnsi"/>
        </w:rPr>
        <w:t xml:space="preserve">; A classe obteve rentabilidade negativa em </w:t>
      </w:r>
      <w:r w:rsidRPr="0097459F">
        <w:rPr>
          <w:rFonts w:asciiTheme="minorHAnsi" w:hAnsiTheme="minorHAnsi" w:cstheme="minorHAnsi"/>
          <w:b/>
        </w:rPr>
        <w:t xml:space="preserve">[●] </w:t>
      </w:r>
      <w:r w:rsidRPr="0097459F">
        <w:rPr>
          <w:rFonts w:asciiTheme="minorHAnsi" w:hAnsiTheme="minorHAnsi" w:cstheme="minorHAnsi"/>
        </w:rPr>
        <w:t xml:space="preserve">desses anos.] </w:t>
      </w:r>
    </w:p>
    <w:p w14:paraId="58B2F1BD" w14:textId="19E2CBCE" w:rsidR="00C20BBD" w:rsidRPr="0097459F" w:rsidRDefault="00C20BBD" w:rsidP="00AF6767">
      <w:pPr>
        <w:pStyle w:val="NormalWeb"/>
        <w:tabs>
          <w:tab w:val="num" w:pos="567"/>
        </w:tabs>
        <w:spacing w:before="0" w:beforeAutospacing="0" w:after="0" w:afterAutospacing="0"/>
        <w:ind w:left="567"/>
        <w:jc w:val="both"/>
        <w:rPr>
          <w:rFonts w:asciiTheme="minorHAnsi" w:hAnsiTheme="minorHAnsi" w:cstheme="minorHAnsi"/>
        </w:rPr>
      </w:pPr>
      <w:r w:rsidRPr="0097459F">
        <w:rPr>
          <w:rFonts w:asciiTheme="minorHAnsi" w:hAnsiTheme="minorHAnsi" w:cstheme="minorHAnsi"/>
        </w:rPr>
        <w:t>[</w:t>
      </w:r>
      <w:r w:rsidRPr="0097459F">
        <w:rPr>
          <w:rFonts w:asciiTheme="minorHAnsi" w:hAnsiTheme="minorHAnsi" w:cstheme="minorHAnsi"/>
          <w:i/>
        </w:rPr>
        <w:t xml:space="preserve">Quando a classe de cotas tiver sido constituída há menos de 5 anos, a rentabilidade acumulada deve ser calculada com base no período de operação da classe. O investidor deve ser alertado, conforme segue: </w:t>
      </w:r>
      <w:r w:rsidRPr="0097459F">
        <w:rPr>
          <w:rFonts w:asciiTheme="minorHAnsi" w:hAnsiTheme="minorHAnsi" w:cstheme="minorHAnsi"/>
        </w:rPr>
        <w:t>A rentabilidade acumulada e a tabela a seguir não englobam os últimos 5 anos porque a classe</w:t>
      </w:r>
      <w:r w:rsidRPr="0097459F">
        <w:rPr>
          <w:rFonts w:asciiTheme="minorHAnsi" w:hAnsiTheme="minorHAnsi" w:cstheme="minorHAnsi"/>
          <w:b/>
        </w:rPr>
        <w:t xml:space="preserve"> </w:t>
      </w:r>
      <w:r w:rsidRPr="0097459F">
        <w:rPr>
          <w:rFonts w:asciiTheme="minorHAnsi" w:hAnsiTheme="minorHAnsi" w:cstheme="minorHAnsi"/>
        </w:rPr>
        <w:t xml:space="preserve">não existia antes de </w:t>
      </w:r>
      <w:r w:rsidRPr="0097459F">
        <w:rPr>
          <w:rFonts w:asciiTheme="minorHAnsi" w:hAnsiTheme="minorHAnsi" w:cstheme="minorHAnsi"/>
          <w:b/>
        </w:rPr>
        <w:t>[início de funcionamento]</w:t>
      </w:r>
      <w:r w:rsidRPr="0097459F">
        <w:rPr>
          <w:rFonts w:asciiTheme="minorHAnsi" w:hAnsiTheme="minorHAnsi" w:cstheme="minorHAns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888"/>
        <w:gridCol w:w="1919"/>
        <w:gridCol w:w="4814"/>
      </w:tblGrid>
      <w:tr w:rsidR="00C20BBD" w:rsidRPr="0097459F" w14:paraId="3A186B12" w14:textId="77777777" w:rsidTr="00ED0447">
        <w:tc>
          <w:tcPr>
            <w:tcW w:w="772" w:type="pct"/>
            <w:shd w:val="clear" w:color="auto" w:fill="FFFF99"/>
            <w:vAlign w:val="center"/>
          </w:tcPr>
          <w:p w14:paraId="2919C65C"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Ano</w:t>
            </w:r>
          </w:p>
        </w:tc>
        <w:tc>
          <w:tcPr>
            <w:tcW w:w="926" w:type="pct"/>
            <w:shd w:val="clear" w:color="auto" w:fill="FFFF99"/>
            <w:vAlign w:val="center"/>
          </w:tcPr>
          <w:p w14:paraId="5CDB6EC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Rentabilidade (líquida de despesas, mas não de impostos)</w:t>
            </w:r>
          </w:p>
        </w:tc>
        <w:tc>
          <w:tcPr>
            <w:tcW w:w="941" w:type="pct"/>
            <w:shd w:val="clear" w:color="auto" w:fill="FFFF99"/>
            <w:vAlign w:val="center"/>
          </w:tcPr>
          <w:p w14:paraId="6936448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 xml:space="preserve">Variação percentual do [índice de referência] </w:t>
            </w:r>
            <w:r w:rsidRPr="0097459F">
              <w:rPr>
                <w:rFonts w:asciiTheme="minorHAnsi" w:hAnsiTheme="minorHAnsi" w:cstheme="minorHAnsi"/>
              </w:rPr>
              <w:t>(quando houver)</w:t>
            </w:r>
          </w:p>
        </w:tc>
        <w:tc>
          <w:tcPr>
            <w:tcW w:w="2361" w:type="pct"/>
            <w:shd w:val="clear" w:color="auto" w:fill="FFFF99"/>
            <w:vAlign w:val="center"/>
          </w:tcPr>
          <w:p w14:paraId="61EECBC6"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color w:val="0D0D0D"/>
              </w:rPr>
              <w:t>Em relação às políticas de investimento</w:t>
            </w:r>
            <w:r w:rsidRPr="0097459F" w:rsidDel="0060453F">
              <w:rPr>
                <w:rFonts w:asciiTheme="minorHAnsi" w:hAnsiTheme="minorHAnsi" w:cstheme="minorHAnsi"/>
                <w:color w:val="0D0D0D"/>
              </w:rPr>
              <w:t xml:space="preserve"> </w:t>
            </w:r>
            <w:r w:rsidRPr="0097459F">
              <w:rPr>
                <w:rFonts w:asciiTheme="minorHAnsi" w:hAnsiTheme="minorHAnsi" w:cstheme="minorHAnsi"/>
                <w:color w:val="0D0D0D"/>
              </w:rPr>
              <w:t xml:space="preserve">que possuem índice de referência de renda variável: </w:t>
            </w:r>
            <w:r w:rsidRPr="0097459F">
              <w:rPr>
                <w:rFonts w:asciiTheme="minorHAnsi" w:hAnsiTheme="minorHAnsi" w:cstheme="minorHAnsi"/>
                <w:b/>
                <w:color w:val="0D0D0D"/>
              </w:rPr>
              <w:t>Contribuição em relação ao índice (Rentabilidade – Rentabilidade do índice)</w:t>
            </w:r>
          </w:p>
          <w:p w14:paraId="210C4CA3" w14:textId="77777777" w:rsidR="00C20BBD" w:rsidRPr="0097459F" w:rsidRDefault="00C20BBD" w:rsidP="00AF6767">
            <w:pPr>
              <w:pStyle w:val="NormalWeb"/>
              <w:tabs>
                <w:tab w:val="num" w:pos="1440"/>
              </w:tabs>
              <w:spacing w:before="0" w:beforeAutospacing="0" w:after="0" w:afterAutospacing="0"/>
              <w:ind w:firstLine="709"/>
              <w:jc w:val="center"/>
              <w:rPr>
                <w:rFonts w:asciiTheme="minorHAnsi" w:hAnsiTheme="minorHAnsi" w:cstheme="minorHAnsi"/>
              </w:rPr>
            </w:pPr>
          </w:p>
          <w:p w14:paraId="6FE4DDA8"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 xml:space="preserve">Em relação às </w:t>
            </w:r>
            <w:r w:rsidRPr="0097459F">
              <w:rPr>
                <w:rFonts w:asciiTheme="minorHAnsi" w:hAnsiTheme="minorHAnsi" w:cstheme="minorHAnsi"/>
                <w:color w:val="0D0D0D"/>
              </w:rPr>
              <w:t>políticas de investimento</w:t>
            </w:r>
            <w:r w:rsidRPr="0097459F" w:rsidDel="0060453F">
              <w:rPr>
                <w:rFonts w:asciiTheme="minorHAnsi" w:hAnsiTheme="minorHAnsi" w:cstheme="minorHAnsi"/>
              </w:rPr>
              <w:t xml:space="preserve"> </w:t>
            </w:r>
            <w:r w:rsidRPr="0097459F">
              <w:rPr>
                <w:rFonts w:asciiTheme="minorHAnsi" w:hAnsiTheme="minorHAnsi" w:cstheme="minorHAnsi"/>
              </w:rPr>
              <w:t xml:space="preserve">que possuem índice de referência de renda fixa: </w:t>
            </w:r>
            <w:r w:rsidRPr="0097459F">
              <w:rPr>
                <w:rFonts w:asciiTheme="minorHAnsi" w:hAnsiTheme="minorHAnsi" w:cstheme="minorHAnsi"/>
                <w:b/>
              </w:rPr>
              <w:t>Desempenho como % do índice</w:t>
            </w:r>
          </w:p>
        </w:tc>
      </w:tr>
      <w:tr w:rsidR="00C20BBD" w:rsidRPr="0097459F" w14:paraId="1F5A383B" w14:textId="77777777" w:rsidTr="00ED0447">
        <w:tc>
          <w:tcPr>
            <w:tcW w:w="772" w:type="pct"/>
            <w:shd w:val="clear" w:color="auto" w:fill="DBE5F1"/>
            <w:vAlign w:val="center"/>
          </w:tcPr>
          <w:p w14:paraId="55D060E3" w14:textId="697A9C92"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w:t>
            </w:r>
            <w:r w:rsidR="006469A3" w:rsidRPr="0097459F">
              <w:rPr>
                <w:rFonts w:asciiTheme="minorHAnsi" w:hAnsiTheme="minorHAnsi" w:cstheme="minorHAnsi"/>
              </w:rPr>
              <w:t>2022</w:t>
            </w:r>
            <w:r w:rsidRPr="0097459F">
              <w:rPr>
                <w:rFonts w:asciiTheme="minorHAnsi" w:hAnsiTheme="minorHAnsi" w:cstheme="minorHAnsi"/>
              </w:rPr>
              <w:t>]</w:t>
            </w:r>
          </w:p>
        </w:tc>
        <w:tc>
          <w:tcPr>
            <w:tcW w:w="926" w:type="pct"/>
            <w:vAlign w:val="center"/>
          </w:tcPr>
          <w:p w14:paraId="3621CC0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99C905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65A401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75B887B" w14:textId="77777777" w:rsidTr="00ED0447">
        <w:tc>
          <w:tcPr>
            <w:tcW w:w="772" w:type="pct"/>
            <w:shd w:val="clear" w:color="auto" w:fill="DBE5F1"/>
            <w:vAlign w:val="center"/>
          </w:tcPr>
          <w:p w14:paraId="632C02E7" w14:textId="1CE69C7C"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w:t>
            </w:r>
            <w:r w:rsidR="006469A3" w:rsidRPr="0097459F">
              <w:rPr>
                <w:rFonts w:asciiTheme="minorHAnsi" w:hAnsiTheme="minorHAnsi" w:cstheme="minorHAnsi"/>
              </w:rPr>
              <w:t>2021</w:t>
            </w:r>
            <w:r w:rsidRPr="0097459F">
              <w:rPr>
                <w:rFonts w:asciiTheme="minorHAnsi" w:hAnsiTheme="minorHAnsi" w:cstheme="minorHAnsi"/>
              </w:rPr>
              <w:t>]</w:t>
            </w:r>
          </w:p>
        </w:tc>
        <w:tc>
          <w:tcPr>
            <w:tcW w:w="926" w:type="pct"/>
            <w:vAlign w:val="center"/>
          </w:tcPr>
          <w:p w14:paraId="2A783F1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62195A2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01A378B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47DC16E0" w14:textId="77777777" w:rsidTr="00ED0447">
        <w:tc>
          <w:tcPr>
            <w:tcW w:w="772" w:type="pct"/>
            <w:shd w:val="clear" w:color="auto" w:fill="DBE5F1"/>
            <w:vAlign w:val="center"/>
          </w:tcPr>
          <w:p w14:paraId="0D8FBBC4" w14:textId="1E2E931A"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w:t>
            </w:r>
            <w:r w:rsidR="006469A3" w:rsidRPr="0097459F">
              <w:rPr>
                <w:rFonts w:asciiTheme="minorHAnsi" w:hAnsiTheme="minorHAnsi" w:cstheme="minorHAnsi"/>
              </w:rPr>
              <w:t>2020</w:t>
            </w:r>
            <w:r w:rsidRPr="0097459F">
              <w:rPr>
                <w:rFonts w:asciiTheme="minorHAnsi" w:hAnsiTheme="minorHAnsi" w:cstheme="minorHAnsi"/>
              </w:rPr>
              <w:t>]</w:t>
            </w:r>
          </w:p>
        </w:tc>
        <w:tc>
          <w:tcPr>
            <w:tcW w:w="926" w:type="pct"/>
            <w:vAlign w:val="center"/>
          </w:tcPr>
          <w:p w14:paraId="5E230E9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01F2ABA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55AF79A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4444E5D" w14:textId="77777777" w:rsidTr="00ED0447">
        <w:tc>
          <w:tcPr>
            <w:tcW w:w="772" w:type="pct"/>
            <w:shd w:val="clear" w:color="auto" w:fill="DBE5F1"/>
            <w:vAlign w:val="center"/>
          </w:tcPr>
          <w:p w14:paraId="61667A39" w14:textId="1D8A8394"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w:t>
            </w:r>
            <w:r w:rsidR="006469A3" w:rsidRPr="0097459F">
              <w:rPr>
                <w:rFonts w:asciiTheme="minorHAnsi" w:hAnsiTheme="minorHAnsi" w:cstheme="minorHAnsi"/>
              </w:rPr>
              <w:t>2019</w:t>
            </w:r>
            <w:r w:rsidRPr="0097459F">
              <w:rPr>
                <w:rFonts w:asciiTheme="minorHAnsi" w:hAnsiTheme="minorHAnsi" w:cstheme="minorHAnsi"/>
              </w:rPr>
              <w:t>]</w:t>
            </w:r>
          </w:p>
        </w:tc>
        <w:tc>
          <w:tcPr>
            <w:tcW w:w="926" w:type="pct"/>
            <w:vAlign w:val="center"/>
          </w:tcPr>
          <w:p w14:paraId="336BB74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663A93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78605FB3"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6EEA2EF7" w14:textId="77777777" w:rsidTr="00ED0447">
        <w:tc>
          <w:tcPr>
            <w:tcW w:w="772" w:type="pct"/>
            <w:shd w:val="clear" w:color="auto" w:fill="DBE5F1"/>
            <w:vAlign w:val="center"/>
          </w:tcPr>
          <w:p w14:paraId="6B7F14D5" w14:textId="35720CAD"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w:t>
            </w:r>
            <w:r w:rsidR="006469A3" w:rsidRPr="0097459F">
              <w:rPr>
                <w:rFonts w:asciiTheme="minorHAnsi" w:hAnsiTheme="minorHAnsi" w:cstheme="minorHAnsi"/>
              </w:rPr>
              <w:t>2018</w:t>
            </w:r>
            <w:r w:rsidRPr="0097459F">
              <w:rPr>
                <w:rFonts w:asciiTheme="minorHAnsi" w:hAnsiTheme="minorHAnsi" w:cstheme="minorHAnsi"/>
              </w:rPr>
              <w:t>]</w:t>
            </w:r>
          </w:p>
        </w:tc>
        <w:tc>
          <w:tcPr>
            <w:tcW w:w="926" w:type="pct"/>
            <w:vAlign w:val="center"/>
          </w:tcPr>
          <w:p w14:paraId="054F216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7C1F16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76567C4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bl>
    <w:p w14:paraId="2918BA16"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34A79750" w14:textId="177ED74B" w:rsidR="00DE19FE" w:rsidRPr="0097459F" w:rsidRDefault="00C20BBD" w:rsidP="00AF6767">
      <w:pPr>
        <w:pStyle w:val="NormalWeb"/>
        <w:numPr>
          <w:ilvl w:val="1"/>
          <w:numId w:val="12"/>
        </w:numPr>
        <w:tabs>
          <w:tab w:val="clear" w:pos="1440"/>
          <w:tab w:val="num" w:pos="567"/>
        </w:tabs>
        <w:spacing w:before="0" w:beforeAutospacing="0" w:after="0" w:afterAutospacing="0"/>
        <w:ind w:left="567" w:firstLine="709"/>
        <w:jc w:val="both"/>
        <w:rPr>
          <w:rFonts w:asciiTheme="minorHAnsi" w:hAnsiTheme="minorHAnsi" w:cstheme="minorHAnsi"/>
        </w:rPr>
      </w:pPr>
      <w:r w:rsidRPr="0097459F">
        <w:rPr>
          <w:rFonts w:asciiTheme="minorHAnsi" w:hAnsiTheme="minorHAnsi" w:cstheme="minorHAnsi"/>
          <w:b/>
        </w:rPr>
        <w:t>Rentabilidade mensal</w:t>
      </w:r>
      <w:r w:rsidRPr="0097459F">
        <w:rPr>
          <w:rFonts w:asciiTheme="minorHAnsi" w:hAnsiTheme="minorHAnsi" w:cstheme="minorHAnsi"/>
        </w:rPr>
        <w:t xml:space="preserve">: a rentabilidade </w:t>
      </w:r>
      <w:r w:rsidRPr="0097459F">
        <w:rPr>
          <w:rFonts w:asciiTheme="minorHAnsi" w:hAnsiTheme="minorHAnsi" w:cstheme="minorHAnsi"/>
          <w:b/>
        </w:rPr>
        <w:t xml:space="preserve">da classe </w:t>
      </w:r>
      <w:r w:rsidRPr="0097459F">
        <w:rPr>
          <w:rFonts w:asciiTheme="minorHAnsi" w:hAnsiTheme="minorHAnsi" w:cstheme="minorHAnsi"/>
        </w:rPr>
        <w:t>nos últimos 12 meses foi:</w:t>
      </w:r>
      <w:r w:rsidRPr="0097459F">
        <w:rPr>
          <w:rStyle w:val="Refdenotadefim"/>
          <w:rFonts w:asciiTheme="minorHAnsi" w:hAnsiTheme="minorHAnsi" w:cstheme="minorHAnsi"/>
        </w:rPr>
        <w:t xml:space="preserve"> </w:t>
      </w:r>
      <w:r w:rsidR="00DE19FE" w:rsidRPr="0097459F">
        <w:rPr>
          <w:rStyle w:val="Refdenotaderodap"/>
          <w:rFonts w:asciiTheme="minorHAnsi" w:hAnsiTheme="minorHAnsi" w:cstheme="minorHAnsi"/>
        </w:rPr>
        <w:footnoteReference w:id="11"/>
      </w:r>
    </w:p>
    <w:p w14:paraId="1C64B02E" w14:textId="77777777" w:rsidR="00C20BBD" w:rsidRPr="0097459F" w:rsidRDefault="00C20BBD" w:rsidP="00AF6767">
      <w:pPr>
        <w:pStyle w:val="PargrafodaLista1"/>
        <w:ind w:left="0" w:firstLine="709"/>
        <w:rPr>
          <w:rFonts w:asciiTheme="minorHAnsi" w:hAnsiTheme="minorHAnsi" w:cstheme="minorHAns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888"/>
        <w:gridCol w:w="1919"/>
        <w:gridCol w:w="4814"/>
      </w:tblGrid>
      <w:tr w:rsidR="00C20BBD" w:rsidRPr="0097459F" w14:paraId="7530851F" w14:textId="77777777" w:rsidTr="00ED0447">
        <w:tc>
          <w:tcPr>
            <w:tcW w:w="772" w:type="pct"/>
            <w:shd w:val="clear" w:color="auto" w:fill="FFFF99"/>
            <w:vAlign w:val="center"/>
          </w:tcPr>
          <w:p w14:paraId="5DC79F90" w14:textId="6BCEDDCC" w:rsidR="00DE19FE"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Mês</w:t>
            </w:r>
            <w:r w:rsidR="00DE19FE" w:rsidRPr="0097459F">
              <w:rPr>
                <w:rStyle w:val="Refdenotaderodap"/>
                <w:rFonts w:asciiTheme="minorHAnsi" w:hAnsiTheme="minorHAnsi" w:cstheme="minorHAnsi"/>
                <w:b/>
              </w:rPr>
              <w:footnoteReference w:id="12"/>
            </w:r>
          </w:p>
        </w:tc>
        <w:tc>
          <w:tcPr>
            <w:tcW w:w="926" w:type="pct"/>
            <w:shd w:val="clear" w:color="auto" w:fill="FFFF99"/>
            <w:vAlign w:val="center"/>
          </w:tcPr>
          <w:p w14:paraId="4E4142C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 xml:space="preserve">Rentabilidade (líquida de despesas, mas </w:t>
            </w:r>
            <w:r w:rsidRPr="0097459F">
              <w:rPr>
                <w:rFonts w:asciiTheme="minorHAnsi" w:hAnsiTheme="minorHAnsi" w:cstheme="minorHAnsi"/>
                <w:b/>
              </w:rPr>
              <w:lastRenderedPageBreak/>
              <w:t>não de impostos)</w:t>
            </w:r>
          </w:p>
        </w:tc>
        <w:tc>
          <w:tcPr>
            <w:tcW w:w="941" w:type="pct"/>
            <w:shd w:val="clear" w:color="auto" w:fill="FFFF99"/>
            <w:vAlign w:val="center"/>
          </w:tcPr>
          <w:p w14:paraId="38AAF873"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lastRenderedPageBreak/>
              <w:t xml:space="preserve">Variação percentual do [índice de </w:t>
            </w:r>
            <w:r w:rsidRPr="0097459F">
              <w:rPr>
                <w:rFonts w:asciiTheme="minorHAnsi" w:hAnsiTheme="minorHAnsi" w:cstheme="minorHAnsi"/>
                <w:b/>
              </w:rPr>
              <w:lastRenderedPageBreak/>
              <w:t xml:space="preserve">referência] </w:t>
            </w:r>
            <w:r w:rsidRPr="0097459F">
              <w:rPr>
                <w:rFonts w:asciiTheme="minorHAnsi" w:hAnsiTheme="minorHAnsi" w:cstheme="minorHAnsi"/>
              </w:rPr>
              <w:t>(quando houver)</w:t>
            </w:r>
          </w:p>
        </w:tc>
        <w:tc>
          <w:tcPr>
            <w:tcW w:w="2361" w:type="pct"/>
            <w:shd w:val="clear" w:color="auto" w:fill="FFFF99"/>
            <w:vAlign w:val="center"/>
          </w:tcPr>
          <w:p w14:paraId="120A23CE"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color w:val="0D0D0D"/>
              </w:rPr>
              <w:lastRenderedPageBreak/>
              <w:t xml:space="preserve">Em relação às políticas de investimento que possuem índice de referência de renda </w:t>
            </w:r>
            <w:r w:rsidRPr="0097459F">
              <w:rPr>
                <w:rFonts w:asciiTheme="minorHAnsi" w:hAnsiTheme="minorHAnsi" w:cstheme="minorHAnsi"/>
                <w:color w:val="0D0D0D"/>
              </w:rPr>
              <w:lastRenderedPageBreak/>
              <w:t xml:space="preserve">variável: </w:t>
            </w:r>
            <w:r w:rsidRPr="0097459F">
              <w:rPr>
                <w:rFonts w:asciiTheme="minorHAnsi" w:hAnsiTheme="minorHAnsi" w:cstheme="minorHAnsi"/>
                <w:b/>
                <w:color w:val="0D0D0D"/>
              </w:rPr>
              <w:t>Contribuição em relação ao índice (Rentabilidade – Rentabilidade do índice)</w:t>
            </w:r>
          </w:p>
          <w:p w14:paraId="2A0C4903" w14:textId="77777777" w:rsidR="00C20BBD" w:rsidRPr="0097459F" w:rsidRDefault="00C20BBD" w:rsidP="00AF6767">
            <w:pPr>
              <w:pStyle w:val="NormalWeb"/>
              <w:tabs>
                <w:tab w:val="num" w:pos="1440"/>
              </w:tabs>
              <w:spacing w:before="0" w:beforeAutospacing="0" w:after="0" w:afterAutospacing="0"/>
              <w:ind w:firstLine="709"/>
              <w:jc w:val="center"/>
              <w:rPr>
                <w:rFonts w:asciiTheme="minorHAnsi" w:hAnsiTheme="minorHAnsi" w:cstheme="minorHAnsi"/>
              </w:rPr>
            </w:pPr>
          </w:p>
          <w:p w14:paraId="3459D44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 xml:space="preserve">Em relação às </w:t>
            </w:r>
            <w:r w:rsidRPr="0097459F">
              <w:rPr>
                <w:rFonts w:asciiTheme="minorHAnsi" w:hAnsiTheme="minorHAnsi" w:cstheme="minorHAnsi"/>
                <w:color w:val="0D0D0D"/>
              </w:rPr>
              <w:t>políticas de investimento</w:t>
            </w:r>
            <w:r w:rsidRPr="0097459F" w:rsidDel="0060453F">
              <w:rPr>
                <w:rFonts w:asciiTheme="minorHAnsi" w:hAnsiTheme="minorHAnsi" w:cstheme="minorHAnsi"/>
              </w:rPr>
              <w:t xml:space="preserve"> </w:t>
            </w:r>
            <w:r w:rsidRPr="0097459F">
              <w:rPr>
                <w:rFonts w:asciiTheme="minorHAnsi" w:hAnsiTheme="minorHAnsi" w:cstheme="minorHAnsi"/>
              </w:rPr>
              <w:t xml:space="preserve">que possuem índice de referência de renda fixa: </w:t>
            </w:r>
            <w:r w:rsidRPr="0097459F">
              <w:rPr>
                <w:rFonts w:asciiTheme="minorHAnsi" w:hAnsiTheme="minorHAnsi" w:cstheme="minorHAnsi"/>
                <w:b/>
              </w:rPr>
              <w:t>Desempenho como % do índice</w:t>
            </w:r>
          </w:p>
        </w:tc>
      </w:tr>
      <w:tr w:rsidR="00C20BBD" w:rsidRPr="0097459F" w14:paraId="63532D46" w14:textId="77777777" w:rsidTr="00ED0447">
        <w:tc>
          <w:tcPr>
            <w:tcW w:w="772" w:type="pct"/>
            <w:shd w:val="clear" w:color="auto" w:fill="DBE5F1"/>
            <w:vAlign w:val="center"/>
          </w:tcPr>
          <w:p w14:paraId="616FE95A"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lastRenderedPageBreak/>
              <w:t>[Janeiro]</w:t>
            </w:r>
          </w:p>
        </w:tc>
        <w:tc>
          <w:tcPr>
            <w:tcW w:w="926" w:type="pct"/>
            <w:vAlign w:val="center"/>
          </w:tcPr>
          <w:p w14:paraId="1D57FB8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5359887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2CD4307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83C8D96" w14:textId="77777777" w:rsidTr="00ED0447">
        <w:tc>
          <w:tcPr>
            <w:tcW w:w="772" w:type="pct"/>
            <w:shd w:val="clear" w:color="auto" w:fill="DBE5F1"/>
            <w:vAlign w:val="center"/>
          </w:tcPr>
          <w:p w14:paraId="08FCC88D"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[Fevereiro]</w:t>
            </w:r>
          </w:p>
        </w:tc>
        <w:tc>
          <w:tcPr>
            <w:tcW w:w="926" w:type="pct"/>
            <w:vAlign w:val="center"/>
          </w:tcPr>
          <w:p w14:paraId="64A66ED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5FF6E89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E4716A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00F2867" w14:textId="77777777" w:rsidTr="00ED0447">
        <w:tc>
          <w:tcPr>
            <w:tcW w:w="772" w:type="pct"/>
            <w:shd w:val="clear" w:color="auto" w:fill="DBE5F1"/>
            <w:vAlign w:val="center"/>
          </w:tcPr>
          <w:p w14:paraId="36107E9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[Março]</w:t>
            </w:r>
          </w:p>
        </w:tc>
        <w:tc>
          <w:tcPr>
            <w:tcW w:w="926" w:type="pct"/>
            <w:vAlign w:val="center"/>
          </w:tcPr>
          <w:p w14:paraId="31D4810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066C92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423FAE5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11841BC" w14:textId="77777777" w:rsidTr="00ED0447">
        <w:tc>
          <w:tcPr>
            <w:tcW w:w="772" w:type="pct"/>
            <w:shd w:val="clear" w:color="auto" w:fill="DBE5F1"/>
            <w:vAlign w:val="center"/>
          </w:tcPr>
          <w:p w14:paraId="008DBC2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[Abril]</w:t>
            </w:r>
          </w:p>
        </w:tc>
        <w:tc>
          <w:tcPr>
            <w:tcW w:w="926" w:type="pct"/>
            <w:vAlign w:val="center"/>
          </w:tcPr>
          <w:p w14:paraId="5877071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6958EE8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3C3942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83A4B78" w14:textId="77777777" w:rsidTr="00ED0447">
        <w:tc>
          <w:tcPr>
            <w:tcW w:w="772" w:type="pct"/>
            <w:shd w:val="clear" w:color="auto" w:fill="DBE5F1"/>
            <w:vAlign w:val="center"/>
          </w:tcPr>
          <w:p w14:paraId="2A9EBCC3"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[Maio]</w:t>
            </w:r>
          </w:p>
        </w:tc>
        <w:tc>
          <w:tcPr>
            <w:tcW w:w="926" w:type="pct"/>
            <w:vAlign w:val="center"/>
          </w:tcPr>
          <w:p w14:paraId="26BC5B2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2301F0F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C85E8A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DD4EF5B" w14:textId="77777777" w:rsidTr="00ED0447">
        <w:tc>
          <w:tcPr>
            <w:tcW w:w="772" w:type="pct"/>
            <w:shd w:val="clear" w:color="auto" w:fill="DBE5F1"/>
            <w:vAlign w:val="center"/>
          </w:tcPr>
          <w:p w14:paraId="4F6E1269"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[Junho]</w:t>
            </w:r>
          </w:p>
        </w:tc>
        <w:tc>
          <w:tcPr>
            <w:tcW w:w="926" w:type="pct"/>
            <w:vAlign w:val="center"/>
          </w:tcPr>
          <w:p w14:paraId="4CC51B7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0BC5FF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5BAE44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5D985E8" w14:textId="77777777" w:rsidTr="00ED0447">
        <w:tc>
          <w:tcPr>
            <w:tcW w:w="772" w:type="pct"/>
            <w:shd w:val="clear" w:color="auto" w:fill="DBE5F1"/>
            <w:vAlign w:val="center"/>
          </w:tcPr>
          <w:p w14:paraId="2CEF554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[Julho]</w:t>
            </w:r>
          </w:p>
        </w:tc>
        <w:tc>
          <w:tcPr>
            <w:tcW w:w="926" w:type="pct"/>
            <w:vAlign w:val="center"/>
          </w:tcPr>
          <w:p w14:paraId="74A7F2E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6A1EDE9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3D4E09C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C033A4F" w14:textId="77777777" w:rsidTr="00ED0447">
        <w:tc>
          <w:tcPr>
            <w:tcW w:w="772" w:type="pct"/>
            <w:shd w:val="clear" w:color="auto" w:fill="DBE5F1"/>
            <w:vAlign w:val="center"/>
          </w:tcPr>
          <w:p w14:paraId="34F31017"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[Agosto]</w:t>
            </w:r>
          </w:p>
        </w:tc>
        <w:tc>
          <w:tcPr>
            <w:tcW w:w="926" w:type="pct"/>
            <w:vAlign w:val="center"/>
          </w:tcPr>
          <w:p w14:paraId="6BBD111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F460EF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4DB9627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F0C7262" w14:textId="77777777" w:rsidTr="00ED0447">
        <w:tc>
          <w:tcPr>
            <w:tcW w:w="772" w:type="pct"/>
            <w:shd w:val="clear" w:color="auto" w:fill="DBE5F1"/>
            <w:vAlign w:val="center"/>
          </w:tcPr>
          <w:p w14:paraId="02E0C2B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[Setembro]</w:t>
            </w:r>
          </w:p>
        </w:tc>
        <w:tc>
          <w:tcPr>
            <w:tcW w:w="926" w:type="pct"/>
            <w:vAlign w:val="center"/>
          </w:tcPr>
          <w:p w14:paraId="0399B98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3B70010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52E38FB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12AA986" w14:textId="77777777" w:rsidTr="00ED0447">
        <w:tc>
          <w:tcPr>
            <w:tcW w:w="772" w:type="pct"/>
            <w:shd w:val="clear" w:color="auto" w:fill="DBE5F1"/>
            <w:vAlign w:val="center"/>
          </w:tcPr>
          <w:p w14:paraId="1B8D07D3"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[Outubro]</w:t>
            </w:r>
          </w:p>
        </w:tc>
        <w:tc>
          <w:tcPr>
            <w:tcW w:w="926" w:type="pct"/>
            <w:vAlign w:val="center"/>
          </w:tcPr>
          <w:p w14:paraId="0C71E4A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085C7FB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5F9CE5D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148D259E" w14:textId="77777777" w:rsidTr="00ED0447">
        <w:tc>
          <w:tcPr>
            <w:tcW w:w="772" w:type="pct"/>
            <w:shd w:val="clear" w:color="auto" w:fill="DBE5F1"/>
            <w:vAlign w:val="center"/>
          </w:tcPr>
          <w:p w14:paraId="7CB63E89"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[Novembro]</w:t>
            </w:r>
          </w:p>
        </w:tc>
        <w:tc>
          <w:tcPr>
            <w:tcW w:w="926" w:type="pct"/>
            <w:vAlign w:val="center"/>
          </w:tcPr>
          <w:p w14:paraId="768A0B3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28DC801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2E29CC3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04FF8982" w14:textId="77777777" w:rsidTr="00ED0447">
        <w:tc>
          <w:tcPr>
            <w:tcW w:w="772" w:type="pct"/>
            <w:shd w:val="clear" w:color="auto" w:fill="DBE5F1"/>
            <w:vAlign w:val="center"/>
          </w:tcPr>
          <w:p w14:paraId="05E8CFA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[Dezembro]</w:t>
            </w:r>
          </w:p>
        </w:tc>
        <w:tc>
          <w:tcPr>
            <w:tcW w:w="926" w:type="pct"/>
            <w:vAlign w:val="center"/>
          </w:tcPr>
          <w:p w14:paraId="4F7213E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66734D0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705EEEE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6CE8B028" w14:textId="77777777" w:rsidTr="00ED0447">
        <w:tc>
          <w:tcPr>
            <w:tcW w:w="772" w:type="pct"/>
            <w:shd w:val="clear" w:color="auto" w:fill="DBE5F1"/>
            <w:vAlign w:val="center"/>
          </w:tcPr>
          <w:p w14:paraId="5A4AEA43"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12 meses</w:t>
            </w:r>
          </w:p>
        </w:tc>
        <w:tc>
          <w:tcPr>
            <w:tcW w:w="926" w:type="pct"/>
            <w:vAlign w:val="center"/>
          </w:tcPr>
          <w:p w14:paraId="0709E25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213DAAF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55D5249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bl>
    <w:p w14:paraId="35BAD46F" w14:textId="77777777" w:rsidR="00C20BBD" w:rsidRPr="0097459F" w:rsidRDefault="00C20BBD" w:rsidP="00AF6767">
      <w:pPr>
        <w:spacing w:after="0" w:line="240" w:lineRule="auto"/>
        <w:ind w:firstLine="709"/>
        <w:jc w:val="both"/>
        <w:rPr>
          <w:rFonts w:asciiTheme="minorHAnsi" w:hAnsiTheme="minorHAnsi" w:cstheme="minorHAnsi"/>
          <w:bCs/>
          <w:color w:val="000000"/>
          <w:sz w:val="24"/>
          <w:szCs w:val="24"/>
        </w:rPr>
      </w:pPr>
    </w:p>
    <w:p w14:paraId="5B74815C" w14:textId="77777777" w:rsidR="00C20BBD" w:rsidRPr="0097459F" w:rsidRDefault="00C20BBD" w:rsidP="00AF6767">
      <w:pPr>
        <w:spacing w:after="0" w:line="240" w:lineRule="auto"/>
        <w:ind w:firstLine="709"/>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w:t>
      </w:r>
      <w:r w:rsidRPr="0097459F">
        <w:rPr>
          <w:rFonts w:asciiTheme="minorHAnsi" w:hAnsiTheme="minorHAnsi" w:cstheme="minorHAnsi"/>
          <w:i/>
          <w:color w:val="000000"/>
          <w:sz w:val="24"/>
          <w:szCs w:val="24"/>
        </w:rPr>
        <w:t>no caso de</w:t>
      </w:r>
      <w:r w:rsidRPr="0097459F">
        <w:rPr>
          <w:rFonts w:asciiTheme="minorHAnsi" w:hAnsiTheme="minorHAnsi" w:cstheme="minorHAnsi"/>
          <w:b/>
          <w:color w:val="000000"/>
          <w:sz w:val="24"/>
          <w:szCs w:val="24"/>
        </w:rPr>
        <w:t xml:space="preserve"> </w:t>
      </w:r>
      <w:r w:rsidRPr="0097459F">
        <w:rPr>
          <w:rFonts w:asciiTheme="minorHAnsi" w:hAnsiTheme="minorHAnsi" w:cstheme="minorHAnsi"/>
          <w:i/>
          <w:color w:val="000000"/>
          <w:sz w:val="24"/>
          <w:szCs w:val="24"/>
        </w:rPr>
        <w:t>fundos estruturados</w:t>
      </w:r>
      <w:r w:rsidRPr="0097459F">
        <w:rPr>
          <w:rFonts w:asciiTheme="minorHAnsi" w:hAnsiTheme="minorHAnsi" w:cstheme="minorHAnsi"/>
          <w:color w:val="000000"/>
          <w:sz w:val="24"/>
          <w:szCs w:val="24"/>
        </w:rPr>
        <w:t>]</w:t>
      </w:r>
    </w:p>
    <w:p w14:paraId="1F939ADD"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p w14:paraId="7CA8CE19" w14:textId="77777777" w:rsidR="00C20BBD" w:rsidRPr="0097459F" w:rsidRDefault="00C20BBD" w:rsidP="00AF6767">
      <w:pPr>
        <w:numPr>
          <w:ilvl w:val="0"/>
          <w:numId w:val="11"/>
        </w:numPr>
        <w:tabs>
          <w:tab w:val="clear" w:pos="1440"/>
          <w:tab w:val="num" w:pos="567"/>
        </w:tabs>
        <w:spacing w:after="0" w:line="240" w:lineRule="auto"/>
        <w:ind w:left="567" w:firstLine="0"/>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Cenários para apuração de rentabilidade:</w:t>
      </w:r>
      <w:r w:rsidRPr="0097459F">
        <w:rPr>
          <w:rFonts w:asciiTheme="minorHAnsi" w:hAnsiTheme="minorHAnsi" w:cstheme="minorHAnsi"/>
          <w:color w:val="000000"/>
          <w:sz w:val="24"/>
          <w:szCs w:val="24"/>
        </w:rPr>
        <w:t xml:space="preserve"> [</w:t>
      </w:r>
      <w:r w:rsidRPr="0097459F">
        <w:rPr>
          <w:rFonts w:asciiTheme="minorHAnsi" w:hAnsiTheme="minorHAnsi" w:cstheme="minorHAnsi"/>
          <w:i/>
          <w:color w:val="000000"/>
          <w:sz w:val="24"/>
          <w:szCs w:val="24"/>
        </w:rPr>
        <w:t>descrição da fórmula de cálculo da rentabilidade, incluindo todas as condições (gatilhos) e cláusulas que afetarão o desempenho</w:t>
      </w:r>
      <w:r w:rsidRPr="0097459F">
        <w:rPr>
          <w:rFonts w:asciiTheme="minorHAnsi" w:hAnsiTheme="minorHAnsi" w:cstheme="minorHAnsi"/>
          <w:color w:val="000000"/>
          <w:sz w:val="24"/>
          <w:szCs w:val="24"/>
        </w:rPr>
        <w:t>].</w:t>
      </w:r>
      <w:r w:rsidRPr="0097459F">
        <w:rPr>
          <w:rFonts w:asciiTheme="minorHAnsi" w:hAnsiTheme="minorHAnsi" w:cstheme="minorHAnsi"/>
          <w:b/>
          <w:color w:val="000000"/>
          <w:sz w:val="24"/>
          <w:szCs w:val="24"/>
        </w:rPr>
        <w:t xml:space="preserve"> </w:t>
      </w:r>
    </w:p>
    <w:p w14:paraId="1E4F4CE5" w14:textId="77777777" w:rsidR="00C20BBD" w:rsidRPr="0097459F" w:rsidRDefault="00C20BBD" w:rsidP="00AF6767">
      <w:pPr>
        <w:numPr>
          <w:ilvl w:val="0"/>
          <w:numId w:val="11"/>
        </w:numPr>
        <w:tabs>
          <w:tab w:val="clear" w:pos="1440"/>
          <w:tab w:val="num" w:pos="567"/>
        </w:tabs>
        <w:spacing w:after="0" w:line="240" w:lineRule="auto"/>
        <w:ind w:left="567" w:firstLine="0"/>
        <w:jc w:val="both"/>
        <w:rPr>
          <w:rFonts w:asciiTheme="minorHAnsi" w:hAnsiTheme="minorHAnsi" w:cstheme="minorHAnsi"/>
          <w:color w:val="000000"/>
          <w:sz w:val="24"/>
          <w:szCs w:val="24"/>
        </w:rPr>
      </w:pPr>
      <w:r w:rsidRPr="0097459F">
        <w:rPr>
          <w:rFonts w:asciiTheme="minorHAnsi" w:hAnsiTheme="minorHAnsi" w:cstheme="minorHAnsi"/>
          <w:b/>
          <w:color w:val="000000" w:themeColor="text1"/>
          <w:sz w:val="24"/>
          <w:szCs w:val="24"/>
        </w:rPr>
        <w:t>Exemplo do desempenho da classe de cotas:</w:t>
      </w:r>
      <w:r w:rsidRPr="0097459F">
        <w:rPr>
          <w:rFonts w:asciiTheme="minorHAnsi" w:hAnsiTheme="minorHAnsi" w:cstheme="minorHAnsi"/>
          <w:color w:val="000000" w:themeColor="text1"/>
          <w:sz w:val="24"/>
          <w:szCs w:val="24"/>
        </w:rPr>
        <w:t xml:space="preserve"> </w:t>
      </w:r>
      <w:r w:rsidRPr="0097459F">
        <w:rPr>
          <w:rFonts w:asciiTheme="minorHAnsi" w:hAnsiTheme="minorHAnsi" w:cstheme="minorHAnsi"/>
          <w:b/>
          <w:color w:val="000000" w:themeColor="text1"/>
          <w:sz w:val="24"/>
          <w:szCs w:val="24"/>
        </w:rPr>
        <w:t xml:space="preserve">os cenários e desempenhos descritos abaixo são meramente exemplificativos e servem somente para demonstrar como a fórmula de cálculo da rentabilidade funciona: </w:t>
      </w:r>
      <w:r w:rsidRPr="0097459F">
        <w:rPr>
          <w:rFonts w:asciiTheme="minorHAnsi" w:hAnsiTheme="minorHAnsi" w:cstheme="minorHAnsi"/>
          <w:color w:val="000000" w:themeColor="text1"/>
          <w:sz w:val="24"/>
          <w:szCs w:val="24"/>
        </w:rPr>
        <w:t>[</w:t>
      </w:r>
      <w:r w:rsidRPr="0097459F">
        <w:rPr>
          <w:rFonts w:asciiTheme="minorHAnsi" w:hAnsiTheme="minorHAnsi" w:cstheme="minorHAnsi"/>
          <w:i/>
          <w:color w:val="000000" w:themeColor="text1"/>
          <w:sz w:val="24"/>
          <w:szCs w:val="24"/>
        </w:rPr>
        <w:t>elaborar tabela demonstrando a variação do desempenho da classe de acordo com a fórmula de cálculo de sua rentabilidade. Caso existam vários cenários ou gatilhos que afetem o cálculo da rentabilidade, todos eles devem estar contemplados na tabela. Os cenários devem ser escolhidos de forma a demonstrar, pelo menos, um pior cenário para o cotista, um médio, e um bom</w:t>
      </w:r>
      <w:r w:rsidRPr="0097459F">
        <w:rPr>
          <w:rFonts w:asciiTheme="minorHAnsi" w:hAnsiTheme="minorHAnsi" w:cstheme="minorHAnsi"/>
          <w:color w:val="000000" w:themeColor="text1"/>
          <w:sz w:val="24"/>
          <w:szCs w:val="24"/>
        </w:rPr>
        <w:t xml:space="preserve">] </w:t>
      </w:r>
    </w:p>
    <w:p w14:paraId="6345A277" w14:textId="77777777" w:rsidR="00C20BBD" w:rsidRPr="0097459F" w:rsidRDefault="00C20BBD" w:rsidP="00AF6767">
      <w:pPr>
        <w:spacing w:after="0" w:line="240" w:lineRule="auto"/>
        <w:ind w:firstLine="709"/>
        <w:jc w:val="both"/>
        <w:rPr>
          <w:rFonts w:asciiTheme="minorHAnsi" w:hAnsiTheme="minorHAnsi" w:cstheme="minorHAnsi"/>
          <w:color w:val="000000"/>
          <w:sz w:val="24"/>
          <w:szCs w:val="24"/>
        </w:rPr>
      </w:pPr>
    </w:p>
    <w:p w14:paraId="01768EB1" w14:textId="1D0F336B" w:rsidR="00C20BBD" w:rsidRPr="0097459F" w:rsidRDefault="00C20BBD" w:rsidP="00AF6767">
      <w:pPr>
        <w:pStyle w:val="NormalWeb"/>
        <w:numPr>
          <w:ilvl w:val="0"/>
          <w:numId w:val="15"/>
        </w:numPr>
        <w:tabs>
          <w:tab w:val="num" w:pos="567"/>
        </w:tabs>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
        </w:rPr>
        <w:t>EXEMPLO COMPARATIVO</w:t>
      </w:r>
      <w:r w:rsidRPr="0097459F">
        <w:rPr>
          <w:rFonts w:asciiTheme="minorHAnsi" w:hAnsiTheme="minorHAnsi" w:cstheme="minorHAnsi"/>
        </w:rPr>
        <w:t>:</w:t>
      </w:r>
      <w:r w:rsidR="00DE19FE" w:rsidRPr="0097459F">
        <w:rPr>
          <w:rStyle w:val="Refdenotaderodap"/>
          <w:rFonts w:asciiTheme="minorHAnsi" w:hAnsiTheme="minorHAnsi" w:cstheme="minorHAnsi"/>
        </w:rPr>
        <w:footnoteReference w:id="13"/>
      </w:r>
      <w:r w:rsidR="00DE19FE" w:rsidRPr="0097459F">
        <w:rPr>
          <w:rFonts w:asciiTheme="minorHAnsi" w:hAnsiTheme="minorHAnsi" w:cstheme="minorHAnsi"/>
        </w:rPr>
        <w:t xml:space="preserve"> </w:t>
      </w:r>
      <w:r w:rsidRPr="0097459F">
        <w:rPr>
          <w:rFonts w:asciiTheme="minorHAnsi" w:hAnsiTheme="minorHAnsi" w:cstheme="minorHAnsi"/>
          <w:b/>
        </w:rPr>
        <w:t>utilize a informação do exemplo abaixo para comparar os custos e os benefícios de investir na classe de cotas com os de investir em outras classes.</w:t>
      </w:r>
    </w:p>
    <w:p w14:paraId="3C4CDF83" w14:textId="77777777" w:rsidR="00C20BBD" w:rsidRPr="0097459F" w:rsidRDefault="00C20BBD" w:rsidP="00AF6767">
      <w:pPr>
        <w:pStyle w:val="NormalWeb"/>
        <w:tabs>
          <w:tab w:val="left" w:pos="1134"/>
        </w:tabs>
        <w:spacing w:before="0" w:beforeAutospacing="0" w:after="0" w:afterAutospacing="0"/>
        <w:ind w:firstLine="709"/>
        <w:jc w:val="both"/>
        <w:rPr>
          <w:rFonts w:asciiTheme="minorHAnsi" w:hAnsiTheme="minorHAnsi" w:cstheme="minorHAnsi"/>
        </w:rPr>
      </w:pPr>
    </w:p>
    <w:p w14:paraId="6C277BCE" w14:textId="77777777" w:rsidR="00C20BBD" w:rsidRPr="0097459F" w:rsidRDefault="00C20BBD" w:rsidP="00AF6767">
      <w:pPr>
        <w:pStyle w:val="NormalWeb"/>
        <w:numPr>
          <w:ilvl w:val="0"/>
          <w:numId w:val="13"/>
        </w:numPr>
        <w:tabs>
          <w:tab w:val="clear" w:pos="1440"/>
          <w:tab w:val="num" w:pos="567"/>
        </w:tabs>
        <w:spacing w:before="0" w:beforeAutospacing="0" w:after="0" w:afterAutospacing="0"/>
        <w:ind w:left="567" w:firstLine="0"/>
        <w:jc w:val="both"/>
        <w:rPr>
          <w:rFonts w:asciiTheme="minorHAnsi" w:hAnsiTheme="minorHAnsi" w:cstheme="minorHAnsi"/>
        </w:rPr>
      </w:pPr>
      <w:r w:rsidRPr="0097459F">
        <w:rPr>
          <w:rFonts w:asciiTheme="minorHAnsi" w:hAnsiTheme="minorHAnsi" w:cstheme="minorHAnsi"/>
          <w:b/>
        </w:rPr>
        <w:t xml:space="preserve">Rentabilidade: </w:t>
      </w:r>
      <w:r w:rsidRPr="0097459F">
        <w:rPr>
          <w:rFonts w:asciiTheme="minorHAnsi" w:hAnsiTheme="minorHAnsi" w:cstheme="minorHAnsi"/>
        </w:rPr>
        <w:t xml:space="preserve">Se você tivesse aplicado R$ 1.000,00 (mil reais) </w:t>
      </w:r>
      <w:r w:rsidRPr="0097459F">
        <w:rPr>
          <w:rFonts w:asciiTheme="minorHAnsi" w:hAnsiTheme="minorHAnsi" w:cstheme="minorHAnsi"/>
          <w:b/>
        </w:rPr>
        <w:t xml:space="preserve">na classe de cotas </w:t>
      </w:r>
      <w:r w:rsidRPr="0097459F">
        <w:rPr>
          <w:rFonts w:asciiTheme="minorHAnsi" w:hAnsiTheme="minorHAnsi" w:cstheme="minorHAnsi"/>
        </w:rPr>
        <w:t xml:space="preserve">no primeiro dia útil de </w:t>
      </w:r>
      <w:r w:rsidRPr="0097459F">
        <w:rPr>
          <w:rFonts w:asciiTheme="minorHAnsi" w:hAnsiTheme="minorHAnsi" w:cstheme="minorHAnsi"/>
          <w:b/>
        </w:rPr>
        <w:t>[ano imediatamente anterior ao ano da lâmina]</w:t>
      </w:r>
      <w:r w:rsidRPr="0097459F">
        <w:rPr>
          <w:rFonts w:asciiTheme="minorHAnsi" w:hAnsiTheme="minorHAnsi" w:cstheme="minorHAnsi"/>
        </w:rPr>
        <w:t xml:space="preserve"> e não houvesse realizado </w:t>
      </w:r>
      <w:r w:rsidRPr="0097459F">
        <w:rPr>
          <w:rFonts w:asciiTheme="minorHAnsi" w:hAnsiTheme="minorHAnsi" w:cstheme="minorHAnsi"/>
        </w:rPr>
        <w:lastRenderedPageBreak/>
        <w:t xml:space="preserve">outras aplicações, nem solicitado resgates durante o ano, no primeiro dia útil de </w:t>
      </w:r>
      <w:r w:rsidRPr="0097459F">
        <w:rPr>
          <w:rFonts w:asciiTheme="minorHAnsi" w:hAnsiTheme="minorHAnsi" w:cstheme="minorHAnsi"/>
          <w:b/>
        </w:rPr>
        <w:t>[ano da lâmina]</w:t>
      </w:r>
      <w:r w:rsidRPr="0097459F">
        <w:rPr>
          <w:rFonts w:asciiTheme="minorHAnsi" w:hAnsiTheme="minorHAnsi" w:cstheme="minorHAnsi"/>
        </w:rPr>
        <w:t xml:space="preserve">, você poderia resgatar R$[●], já deduzidos impostos no valor de R$[●]. </w:t>
      </w:r>
    </w:p>
    <w:p w14:paraId="41C583A0" w14:textId="77777777" w:rsidR="00C20BBD" w:rsidRPr="0097459F" w:rsidRDefault="00C20BBD" w:rsidP="00AF6767">
      <w:pPr>
        <w:pStyle w:val="NormalWeb"/>
        <w:tabs>
          <w:tab w:val="num" w:pos="567"/>
        </w:tabs>
        <w:spacing w:before="0" w:beforeAutospacing="0" w:after="0" w:afterAutospacing="0"/>
        <w:ind w:left="567"/>
        <w:jc w:val="both"/>
        <w:rPr>
          <w:rFonts w:asciiTheme="minorHAnsi" w:hAnsiTheme="minorHAnsi" w:cstheme="minorHAnsi"/>
        </w:rPr>
      </w:pPr>
    </w:p>
    <w:p w14:paraId="51575948" w14:textId="77777777" w:rsidR="00C20BBD" w:rsidRPr="0097459F" w:rsidRDefault="00C20BBD" w:rsidP="00AF6767">
      <w:pPr>
        <w:pStyle w:val="NormalWeb"/>
        <w:tabs>
          <w:tab w:val="num" w:pos="567"/>
        </w:tabs>
        <w:spacing w:before="0" w:beforeAutospacing="0" w:after="0" w:afterAutospacing="0"/>
        <w:ind w:left="567"/>
        <w:jc w:val="both"/>
        <w:rPr>
          <w:rFonts w:asciiTheme="minorHAnsi" w:hAnsiTheme="minorHAnsi" w:cstheme="minorHAnsi"/>
        </w:rPr>
      </w:pPr>
      <w:r w:rsidRPr="0097459F">
        <w:rPr>
          <w:rFonts w:asciiTheme="minorHAnsi" w:hAnsiTheme="minorHAnsi" w:cstheme="minorHAnsi"/>
        </w:rPr>
        <w:tab/>
        <w:t>[</w:t>
      </w:r>
      <w:r w:rsidRPr="0097459F">
        <w:rPr>
          <w:rFonts w:asciiTheme="minorHAnsi" w:hAnsiTheme="minorHAnsi" w:cstheme="minorHAnsi"/>
          <w:i/>
        </w:rPr>
        <w:t>adicionar, quando houver:</w:t>
      </w:r>
      <w:r w:rsidRPr="0097459F">
        <w:rPr>
          <w:rFonts w:asciiTheme="minorHAnsi" w:hAnsiTheme="minorHAnsi" w:cstheme="minorHAnsi"/>
        </w:rPr>
        <w:t>] A taxa de ingresso teria custado R$[●], a taxa de saída teria custado R$[●], e o ajuste sobre performance individual teria custado R$[●].</w:t>
      </w:r>
    </w:p>
    <w:p w14:paraId="1F08F5ED" w14:textId="77777777" w:rsidR="00C20BBD" w:rsidRPr="0097459F" w:rsidRDefault="00C20BBD" w:rsidP="00AF6767">
      <w:pPr>
        <w:pStyle w:val="PargrafodaLista1"/>
        <w:tabs>
          <w:tab w:val="num" w:pos="567"/>
        </w:tabs>
        <w:ind w:left="567"/>
        <w:rPr>
          <w:rFonts w:asciiTheme="minorHAnsi" w:hAnsiTheme="minorHAnsi" w:cstheme="minorHAnsi"/>
          <w:b/>
          <w:color w:val="000000"/>
        </w:rPr>
      </w:pPr>
    </w:p>
    <w:p w14:paraId="35CF459D" w14:textId="77777777" w:rsidR="00C20BBD" w:rsidRPr="0097459F" w:rsidRDefault="00C20BBD" w:rsidP="00AF6767">
      <w:pPr>
        <w:pStyle w:val="NormalWeb"/>
        <w:numPr>
          <w:ilvl w:val="0"/>
          <w:numId w:val="13"/>
        </w:numPr>
        <w:tabs>
          <w:tab w:val="clear" w:pos="1440"/>
          <w:tab w:val="num" w:pos="567"/>
        </w:tabs>
        <w:spacing w:before="0" w:beforeAutospacing="0" w:after="0" w:afterAutospacing="0"/>
        <w:ind w:left="567" w:firstLine="0"/>
        <w:jc w:val="both"/>
        <w:rPr>
          <w:rFonts w:asciiTheme="minorHAnsi" w:hAnsiTheme="minorHAnsi" w:cstheme="minorHAnsi"/>
        </w:rPr>
      </w:pPr>
      <w:r w:rsidRPr="0097459F">
        <w:rPr>
          <w:rFonts w:asciiTheme="minorHAnsi" w:hAnsiTheme="minorHAnsi" w:cstheme="minorHAnsi"/>
          <w:b/>
        </w:rPr>
        <w:t xml:space="preserve">Despesas: </w:t>
      </w:r>
      <w:r w:rsidRPr="0097459F">
        <w:rPr>
          <w:rFonts w:asciiTheme="minorHAnsi" w:hAnsiTheme="minorHAnsi" w:cstheme="minorHAnsi"/>
        </w:rPr>
        <w:t xml:space="preserve">As despesas, incluindo a taxa de administração, [a taxa de performance (se houver) ], e as despesas operacionais e de serviços teriam custado R$[●]. </w:t>
      </w:r>
    </w:p>
    <w:p w14:paraId="6BAE5A92"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p>
    <w:p w14:paraId="1AD57845" w14:textId="458F6CB9" w:rsidR="00C20BBD" w:rsidRPr="0097459F" w:rsidRDefault="00C20BBD" w:rsidP="00AF6767">
      <w:pPr>
        <w:pStyle w:val="NormalWeb"/>
        <w:numPr>
          <w:ilvl w:val="0"/>
          <w:numId w:val="15"/>
        </w:numPr>
        <w:tabs>
          <w:tab w:val="num" w:pos="567"/>
        </w:tabs>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
        </w:rPr>
        <w:t>SIMULAÇÃO DE DESPESAS:</w:t>
      </w:r>
      <w:r w:rsidR="00DE19FE" w:rsidRPr="0097459F">
        <w:rPr>
          <w:rStyle w:val="Refdenotaderodap"/>
          <w:rFonts w:asciiTheme="minorHAnsi" w:hAnsiTheme="minorHAnsi" w:cstheme="minorHAnsi"/>
        </w:rPr>
        <w:footnoteReference w:id="14"/>
      </w:r>
      <w:r w:rsidR="00DE19FE" w:rsidRPr="0097459F">
        <w:rPr>
          <w:rFonts w:asciiTheme="minorHAnsi" w:hAnsiTheme="minorHAnsi" w:cstheme="minorHAnsi"/>
          <w:b/>
        </w:rPr>
        <w:t xml:space="preserve"> </w:t>
      </w:r>
      <w:r w:rsidRPr="0097459F">
        <w:rPr>
          <w:rFonts w:asciiTheme="minorHAnsi" w:hAnsiTheme="minorHAnsi" w:cstheme="minorHAnsi"/>
          <w:b/>
        </w:rPr>
        <w:t>utilize a informação a seguir para comparar o efeito das despesas em períodos mais longos de investimento entre diversos fundos</w:t>
      </w:r>
      <w:r w:rsidRPr="0097459F">
        <w:rPr>
          <w:rFonts w:asciiTheme="minorHAnsi" w:hAnsiTheme="minorHAnsi" w:cstheme="minorHAnsi"/>
        </w:rPr>
        <w:t xml:space="preserve">: </w:t>
      </w:r>
    </w:p>
    <w:p w14:paraId="0A73B1D5"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b/>
        </w:rPr>
      </w:pPr>
    </w:p>
    <w:p w14:paraId="1379E5CA"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 xml:space="preserve">Assumindo que a última taxa total de despesas divulgada se mantenha constante e que </w:t>
      </w:r>
      <w:r w:rsidRPr="0097459F">
        <w:rPr>
          <w:rFonts w:asciiTheme="minorHAnsi" w:hAnsiTheme="minorHAnsi" w:cstheme="minorHAnsi"/>
          <w:b/>
        </w:rPr>
        <w:t xml:space="preserve">a classe de cotas </w:t>
      </w:r>
      <w:r w:rsidRPr="0097459F">
        <w:rPr>
          <w:rFonts w:asciiTheme="minorHAnsi" w:hAnsiTheme="minorHAnsi" w:cstheme="minorHAnsi"/>
        </w:rPr>
        <w:t>tenha rentabilidade bruta hipotética de 10% ao ano nos próximos 3 e 5 anos, o retorno após as despesas terem sido descontadas, considerando a mesma aplicação inicial de R$ 1.000,00 (mil reais), é apresentado na tabela abaixo: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1"/>
        <w:gridCol w:w="1654"/>
        <w:gridCol w:w="1650"/>
      </w:tblGrid>
      <w:tr w:rsidR="00C20BBD" w:rsidRPr="0097459F" w14:paraId="6FF1D732" w14:textId="77777777" w:rsidTr="00ED0447">
        <w:tc>
          <w:tcPr>
            <w:tcW w:w="3380" w:type="pct"/>
            <w:shd w:val="clear" w:color="auto" w:fill="FFFF99"/>
          </w:tcPr>
          <w:p w14:paraId="7ECCE9AD"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Simulação das Despesas </w:t>
            </w:r>
          </w:p>
        </w:tc>
        <w:tc>
          <w:tcPr>
            <w:tcW w:w="811" w:type="pct"/>
            <w:shd w:val="clear" w:color="auto" w:fill="FFFF99"/>
          </w:tcPr>
          <w:p w14:paraId="162D8E75"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[●+3 anos]</w:t>
            </w:r>
          </w:p>
        </w:tc>
        <w:tc>
          <w:tcPr>
            <w:tcW w:w="809" w:type="pct"/>
            <w:shd w:val="clear" w:color="auto" w:fill="FFFF99"/>
          </w:tcPr>
          <w:p w14:paraId="6CBED4AD"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[●+5 anos]</w:t>
            </w:r>
          </w:p>
        </w:tc>
      </w:tr>
      <w:tr w:rsidR="00C20BBD" w:rsidRPr="0097459F" w14:paraId="4313214E" w14:textId="77777777" w:rsidTr="00ED0447">
        <w:tc>
          <w:tcPr>
            <w:tcW w:w="3380" w:type="pct"/>
            <w:shd w:val="clear" w:color="auto" w:fill="DBE5F1"/>
          </w:tcPr>
          <w:p w14:paraId="2BD99E2A"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Saldo bruto acumulado (hipotético - rentabilidade bruta anual de 10%) </w:t>
            </w:r>
          </w:p>
        </w:tc>
        <w:tc>
          <w:tcPr>
            <w:tcW w:w="811" w:type="pct"/>
          </w:tcPr>
          <w:p w14:paraId="5695749E"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R$ 1.331,00        </w:t>
            </w:r>
          </w:p>
        </w:tc>
        <w:tc>
          <w:tcPr>
            <w:tcW w:w="809" w:type="pct"/>
          </w:tcPr>
          <w:p w14:paraId="3EA7B68D"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R$ 1.610,51  </w:t>
            </w:r>
          </w:p>
        </w:tc>
      </w:tr>
      <w:tr w:rsidR="00C20BBD" w:rsidRPr="0097459F" w14:paraId="151DBF81" w14:textId="77777777" w:rsidTr="00ED0447">
        <w:tc>
          <w:tcPr>
            <w:tcW w:w="3380" w:type="pct"/>
            <w:shd w:val="clear" w:color="auto" w:fill="DBE5F1"/>
          </w:tcPr>
          <w:p w14:paraId="4FF17E42"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Despesas previstas (se a TAXA TOTAL DE DESPESAS se mantiver constante)</w:t>
            </w:r>
          </w:p>
        </w:tc>
        <w:tc>
          <w:tcPr>
            <w:tcW w:w="811" w:type="pct"/>
          </w:tcPr>
          <w:p w14:paraId="7E858A68" w14:textId="77777777" w:rsidR="00C20BBD" w:rsidRPr="0097459F" w:rsidRDefault="00C20BBD" w:rsidP="00AF6767">
            <w:pPr>
              <w:tabs>
                <w:tab w:val="num" w:pos="184"/>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c>
          <w:tcPr>
            <w:tcW w:w="809" w:type="pct"/>
          </w:tcPr>
          <w:p w14:paraId="641BAF37"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r>
      <w:tr w:rsidR="00C20BBD" w:rsidRPr="0097459F" w14:paraId="65EF73FC" w14:textId="77777777" w:rsidTr="00ED0447">
        <w:tc>
          <w:tcPr>
            <w:tcW w:w="3380" w:type="pct"/>
            <w:shd w:val="clear" w:color="auto" w:fill="DBE5F1"/>
          </w:tcPr>
          <w:p w14:paraId="31486845"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Retorno bruto hipotético após dedução das despesas e do valor do investimento original (antes da incidência de impostos, de taxas de ingresso e/ou saída, ou de taxa de performance)</w:t>
            </w:r>
          </w:p>
        </w:tc>
        <w:tc>
          <w:tcPr>
            <w:tcW w:w="811" w:type="pct"/>
          </w:tcPr>
          <w:p w14:paraId="41D4DF94" w14:textId="77777777" w:rsidR="00C20BBD" w:rsidRPr="0097459F" w:rsidRDefault="00C20BBD" w:rsidP="00AF6767">
            <w:pPr>
              <w:tabs>
                <w:tab w:val="num" w:pos="184"/>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c>
          <w:tcPr>
            <w:tcW w:w="809" w:type="pct"/>
          </w:tcPr>
          <w:p w14:paraId="1E9219AB" w14:textId="77777777" w:rsidR="00C20BBD" w:rsidRPr="0097459F" w:rsidRDefault="00C20BBD" w:rsidP="00AF6767">
            <w:pPr>
              <w:tabs>
                <w:tab w:val="num" w:pos="184"/>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r>
    </w:tbl>
    <w:p w14:paraId="2E417399"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1FFC8163"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Este exemplo tem a finalidade de facilitar a comparação do efeito das despesas no longo prazo. Esta simulação pode ser encontrada na lâmina e na demonstração de desempenho de outras classes de cotas.</w:t>
      </w:r>
    </w:p>
    <w:p w14:paraId="34FC6D69"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52FE22B2"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A simulação acima não implica promessa de que os valores reais ou esperados das despesas ou dos retornos serão iguais aos aqui apresentados.</w:t>
      </w:r>
    </w:p>
    <w:p w14:paraId="7A85E06D"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7CFFA6A9" w14:textId="77777777" w:rsidR="00C20BBD" w:rsidRPr="0097459F" w:rsidRDefault="00C20BBD" w:rsidP="00AF6767">
      <w:pPr>
        <w:pStyle w:val="NormalWeb"/>
        <w:numPr>
          <w:ilvl w:val="0"/>
          <w:numId w:val="15"/>
        </w:numPr>
        <w:tabs>
          <w:tab w:val="num" w:pos="567"/>
        </w:tabs>
        <w:spacing w:before="0" w:beforeAutospacing="0" w:after="0" w:afterAutospacing="0"/>
        <w:ind w:left="0" w:firstLine="709"/>
        <w:jc w:val="both"/>
        <w:rPr>
          <w:rFonts w:asciiTheme="minorHAnsi" w:hAnsiTheme="minorHAnsi" w:cstheme="minorHAnsi"/>
          <w:b/>
        </w:rPr>
      </w:pPr>
      <w:r w:rsidRPr="0097459F">
        <w:rPr>
          <w:rFonts w:asciiTheme="minorHAnsi" w:hAnsiTheme="minorHAnsi" w:cstheme="minorHAnsi"/>
          <w:b/>
        </w:rPr>
        <w:t>POLÍTICA DE DISTRIBUIÇÃO DE COTAS:</w:t>
      </w:r>
    </w:p>
    <w:p w14:paraId="6538F5DC"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rPr>
        <w:t>[</w:t>
      </w:r>
      <w:r w:rsidRPr="0097459F">
        <w:rPr>
          <w:rFonts w:asciiTheme="minorHAnsi" w:hAnsiTheme="minorHAnsi" w:cstheme="minorHAnsi"/>
          <w:i/>
        </w:rPr>
        <w:t>Descrição resumida da política de distribuição, que deve abranger, pelo menos, o seguinte:</w:t>
      </w:r>
    </w:p>
    <w:p w14:paraId="553CF17B"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p>
    <w:p w14:paraId="1E08DF7E"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 xml:space="preserve">a. descrição da forma de remuneração dos distribuidores; </w:t>
      </w:r>
    </w:p>
    <w:p w14:paraId="27F7248B"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lastRenderedPageBreak/>
        <w:t>b. se o principal distribuidor oferta, para o público-alvo da classe, preponderantemente fundos geridos por um único gestor, ou por gestores ligados a um mesmo grupo econômico; e</w:t>
      </w:r>
    </w:p>
    <w:p w14:paraId="28C36F2D"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c. qualquer informação que indique a existência de conflito de interesses no esforço de venda.]</w:t>
      </w:r>
    </w:p>
    <w:p w14:paraId="6C8CCC9D"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bCs/>
        </w:rPr>
      </w:pPr>
    </w:p>
    <w:p w14:paraId="709296DF" w14:textId="77777777" w:rsidR="00C20BBD" w:rsidRPr="0097459F" w:rsidRDefault="00C20BBD" w:rsidP="00AF6767">
      <w:pPr>
        <w:pStyle w:val="NormalWeb"/>
        <w:numPr>
          <w:ilvl w:val="0"/>
          <w:numId w:val="15"/>
        </w:numPr>
        <w:tabs>
          <w:tab w:val="num" w:pos="567"/>
        </w:tabs>
        <w:spacing w:before="0" w:beforeAutospacing="0" w:after="0" w:afterAutospacing="0"/>
        <w:ind w:left="0" w:firstLine="709"/>
        <w:jc w:val="both"/>
        <w:rPr>
          <w:rFonts w:asciiTheme="minorHAnsi" w:hAnsiTheme="minorHAnsi" w:cstheme="minorHAnsi"/>
          <w:b/>
        </w:rPr>
      </w:pPr>
      <w:r w:rsidRPr="0097459F">
        <w:rPr>
          <w:rFonts w:asciiTheme="minorHAnsi" w:hAnsiTheme="minorHAnsi" w:cstheme="minorHAnsi"/>
          <w:b/>
          <w:bCs/>
        </w:rPr>
        <w:t>SERVIÇO DE ATENDIMENTO AO COTISTA:</w:t>
      </w:r>
      <w:r w:rsidRPr="0097459F">
        <w:rPr>
          <w:rFonts w:asciiTheme="minorHAnsi" w:hAnsiTheme="minorHAnsi" w:cstheme="minorHAnsi"/>
          <w:b/>
        </w:rPr>
        <w:t xml:space="preserve"> </w:t>
      </w:r>
    </w:p>
    <w:p w14:paraId="42B2E252" w14:textId="77777777" w:rsidR="00C20BBD" w:rsidRPr="0097459F" w:rsidRDefault="00C20BBD" w:rsidP="00AF6767">
      <w:pPr>
        <w:pStyle w:val="PargrafodaLista1"/>
        <w:ind w:left="0" w:firstLine="709"/>
        <w:rPr>
          <w:rFonts w:asciiTheme="minorHAnsi" w:hAnsiTheme="minorHAnsi" w:cstheme="minorHAnsi"/>
          <w:bCs/>
          <w:color w:val="000000"/>
        </w:rPr>
      </w:pPr>
    </w:p>
    <w:p w14:paraId="63A140A0" w14:textId="77777777" w:rsidR="00C20BBD" w:rsidRPr="0097459F" w:rsidRDefault="00C20BBD" w:rsidP="00AF6767">
      <w:pPr>
        <w:pStyle w:val="NormalWeb"/>
        <w:numPr>
          <w:ilvl w:val="0"/>
          <w:numId w:val="14"/>
        </w:numPr>
        <w:tabs>
          <w:tab w:val="clear" w:pos="1440"/>
          <w:tab w:val="num" w:pos="1134"/>
        </w:tabs>
        <w:spacing w:before="0" w:beforeAutospacing="0" w:after="0" w:afterAutospacing="0"/>
        <w:ind w:left="1134" w:hanging="425"/>
        <w:jc w:val="both"/>
        <w:rPr>
          <w:rFonts w:asciiTheme="minorHAnsi" w:hAnsiTheme="minorHAnsi" w:cstheme="minorHAnsi"/>
        </w:rPr>
      </w:pPr>
      <w:r w:rsidRPr="0097459F">
        <w:rPr>
          <w:rFonts w:asciiTheme="minorHAnsi" w:hAnsiTheme="minorHAnsi" w:cstheme="minorHAnsi"/>
        </w:rPr>
        <w:t>Telefone</w:t>
      </w:r>
    </w:p>
    <w:p w14:paraId="750D58E8" w14:textId="77777777" w:rsidR="00C20BBD" w:rsidRPr="0097459F" w:rsidRDefault="00C20BBD" w:rsidP="00AF6767">
      <w:pPr>
        <w:pStyle w:val="NormalWeb"/>
        <w:numPr>
          <w:ilvl w:val="0"/>
          <w:numId w:val="14"/>
        </w:numPr>
        <w:tabs>
          <w:tab w:val="clear" w:pos="1440"/>
          <w:tab w:val="num" w:pos="1134"/>
        </w:tabs>
        <w:spacing w:before="0" w:beforeAutospacing="0" w:after="0" w:afterAutospacing="0"/>
        <w:ind w:left="1134" w:hanging="425"/>
        <w:jc w:val="both"/>
        <w:rPr>
          <w:rFonts w:asciiTheme="minorHAnsi" w:hAnsiTheme="minorHAnsi" w:cstheme="minorHAnsi"/>
        </w:rPr>
      </w:pPr>
      <w:r w:rsidRPr="0097459F">
        <w:rPr>
          <w:rFonts w:asciiTheme="minorHAnsi" w:hAnsiTheme="minorHAnsi" w:cstheme="minorHAnsi"/>
        </w:rPr>
        <w:t>Página na rede mundial de computadores</w:t>
      </w:r>
    </w:p>
    <w:p w14:paraId="7C850CE5" w14:textId="77777777" w:rsidR="00C20BBD" w:rsidRPr="0097459F" w:rsidRDefault="00C20BBD" w:rsidP="00AF6767">
      <w:pPr>
        <w:pStyle w:val="NormalWeb"/>
        <w:numPr>
          <w:ilvl w:val="0"/>
          <w:numId w:val="14"/>
        </w:numPr>
        <w:tabs>
          <w:tab w:val="clear" w:pos="1440"/>
          <w:tab w:val="num" w:pos="1134"/>
        </w:tabs>
        <w:spacing w:before="0" w:beforeAutospacing="0" w:after="0" w:afterAutospacing="0"/>
        <w:ind w:left="1134" w:hanging="425"/>
        <w:jc w:val="both"/>
        <w:rPr>
          <w:rFonts w:asciiTheme="minorHAnsi" w:hAnsiTheme="minorHAnsi" w:cstheme="minorHAnsi"/>
        </w:rPr>
      </w:pPr>
      <w:r w:rsidRPr="0097459F">
        <w:rPr>
          <w:rFonts w:asciiTheme="minorHAnsi" w:hAnsiTheme="minorHAnsi" w:cstheme="minorHAnsi"/>
        </w:rPr>
        <w:t>Reclamações: [endereço eletrônico] [e demais canais disponíveis]</w:t>
      </w:r>
    </w:p>
    <w:p w14:paraId="174CB351" w14:textId="77777777" w:rsidR="00C20BBD" w:rsidRPr="0097459F" w:rsidRDefault="00C20BBD" w:rsidP="00AF6767">
      <w:pPr>
        <w:pStyle w:val="NormalWeb"/>
        <w:spacing w:before="0" w:beforeAutospacing="0" w:after="0" w:afterAutospacing="0"/>
        <w:ind w:hanging="425"/>
        <w:jc w:val="both"/>
        <w:rPr>
          <w:rFonts w:asciiTheme="minorHAnsi" w:hAnsiTheme="minorHAnsi" w:cstheme="minorHAnsi"/>
          <w:b/>
        </w:rPr>
      </w:pPr>
    </w:p>
    <w:p w14:paraId="7487E34B" w14:textId="77777777" w:rsidR="00C20BBD" w:rsidRPr="0097459F" w:rsidRDefault="00C20BBD" w:rsidP="00AF6767">
      <w:pPr>
        <w:pStyle w:val="NormalWeb"/>
        <w:numPr>
          <w:ilvl w:val="0"/>
          <w:numId w:val="15"/>
        </w:numPr>
        <w:tabs>
          <w:tab w:val="num" w:pos="567"/>
        </w:tabs>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
          <w:bCs/>
        </w:rPr>
        <w:t>SUPERVISÃO E FISCALIZAÇÃO</w:t>
      </w:r>
      <w:r w:rsidRPr="0097459F">
        <w:rPr>
          <w:rFonts w:asciiTheme="minorHAnsi" w:hAnsiTheme="minorHAnsi" w:cstheme="minorHAnsi"/>
        </w:rPr>
        <w:t xml:space="preserve">: </w:t>
      </w:r>
    </w:p>
    <w:p w14:paraId="1C27AF48" w14:textId="77777777" w:rsidR="00C20BBD" w:rsidRPr="0097459F" w:rsidRDefault="00C20BBD" w:rsidP="00AF6767">
      <w:pPr>
        <w:spacing w:after="0" w:line="240" w:lineRule="auto"/>
        <w:ind w:hanging="425"/>
        <w:jc w:val="both"/>
        <w:rPr>
          <w:rFonts w:asciiTheme="minorHAnsi" w:hAnsiTheme="minorHAnsi" w:cstheme="minorHAnsi"/>
          <w:color w:val="000000"/>
          <w:sz w:val="24"/>
          <w:szCs w:val="24"/>
        </w:rPr>
      </w:pPr>
    </w:p>
    <w:p w14:paraId="397C1A86" w14:textId="77777777" w:rsidR="00C20BBD" w:rsidRPr="0097459F" w:rsidRDefault="00C20BBD" w:rsidP="00AF6767">
      <w:pPr>
        <w:numPr>
          <w:ilvl w:val="1"/>
          <w:numId w:val="15"/>
        </w:numPr>
        <w:tabs>
          <w:tab w:val="left" w:pos="1134"/>
        </w:tabs>
        <w:spacing w:after="0" w:line="240" w:lineRule="auto"/>
        <w:ind w:left="1134" w:hanging="425"/>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Comissão de Valores Mobiliários – CVM</w:t>
      </w:r>
    </w:p>
    <w:p w14:paraId="7FB1CFA2" w14:textId="77777777" w:rsidR="00C20BBD" w:rsidRPr="0097459F" w:rsidRDefault="00C20BBD" w:rsidP="00AF6767">
      <w:pPr>
        <w:numPr>
          <w:ilvl w:val="1"/>
          <w:numId w:val="15"/>
        </w:numPr>
        <w:tabs>
          <w:tab w:val="left" w:pos="1134"/>
        </w:tabs>
        <w:spacing w:after="0" w:line="240" w:lineRule="auto"/>
        <w:ind w:left="1134" w:hanging="425"/>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Serviço de Atendimento ao Cidadão em </w:t>
      </w:r>
      <w:hyperlink r:id="rId18" w:history="1">
        <w:r w:rsidRPr="0097459F">
          <w:rPr>
            <w:rStyle w:val="Hyperlink"/>
            <w:rFonts w:asciiTheme="minorHAnsi" w:hAnsiTheme="minorHAnsi" w:cstheme="minorHAnsi"/>
            <w:color w:val="000000"/>
            <w:sz w:val="24"/>
            <w:szCs w:val="24"/>
          </w:rPr>
          <w:t>www.cvm.gov.br</w:t>
        </w:r>
      </w:hyperlink>
      <w:r w:rsidRPr="0097459F">
        <w:rPr>
          <w:rFonts w:asciiTheme="minorHAnsi" w:hAnsiTheme="minorHAnsi" w:cstheme="minorHAnsi"/>
          <w:color w:val="000000"/>
          <w:sz w:val="24"/>
          <w:szCs w:val="24"/>
        </w:rPr>
        <w:t>.</w:t>
      </w:r>
    </w:p>
    <w:p w14:paraId="63777987" w14:textId="77777777" w:rsidR="00C20BBD" w:rsidRPr="0097459F" w:rsidRDefault="00C20BBD" w:rsidP="00AF6767">
      <w:pPr>
        <w:pStyle w:val="NormalWeb"/>
        <w:spacing w:before="0" w:beforeAutospacing="0" w:after="0" w:afterAutospacing="0"/>
        <w:ind w:left="540" w:firstLine="709"/>
        <w:jc w:val="both"/>
        <w:rPr>
          <w:rFonts w:asciiTheme="minorHAnsi" w:hAnsiTheme="minorHAnsi" w:cstheme="minorHAnsi"/>
          <w:b/>
        </w:rPr>
      </w:pPr>
    </w:p>
    <w:p w14:paraId="797E1DA9" w14:textId="65DAF711" w:rsidR="00C20BBD" w:rsidRPr="0097459F" w:rsidRDefault="00C20BBD" w:rsidP="00AF6767">
      <w:pPr>
        <w:pStyle w:val="Ttulo1"/>
        <w:spacing w:before="0" w:after="0" w:line="240" w:lineRule="auto"/>
        <w:ind w:right="-568" w:firstLine="709"/>
        <w:jc w:val="center"/>
        <w:rPr>
          <w:rFonts w:asciiTheme="minorHAnsi" w:hAnsiTheme="minorHAnsi" w:cstheme="minorHAnsi"/>
          <w:b w:val="0"/>
          <w:bCs w:val="0"/>
          <w:sz w:val="24"/>
          <w:szCs w:val="24"/>
        </w:rPr>
      </w:pPr>
      <w:r w:rsidRPr="0097459F">
        <w:rPr>
          <w:rFonts w:asciiTheme="minorHAnsi" w:hAnsiTheme="minorHAnsi" w:cstheme="minorHAnsi"/>
          <w:sz w:val="24"/>
          <w:szCs w:val="24"/>
        </w:rPr>
        <w:br w:type="page"/>
      </w:r>
      <w:bookmarkStart w:id="708" w:name="_Toc53594546"/>
      <w:bookmarkStart w:id="709" w:name="_Toc53595571"/>
      <w:bookmarkStart w:id="710" w:name="_Toc53594298"/>
      <w:bookmarkStart w:id="711" w:name="_Toc57836308"/>
      <w:bookmarkStart w:id="712" w:name="_Toc126226414"/>
      <w:r w:rsidRPr="0097459F">
        <w:rPr>
          <w:rFonts w:asciiTheme="minorHAnsi" w:hAnsiTheme="minorHAnsi" w:cstheme="minorHAnsi"/>
          <w:sz w:val="24"/>
          <w:szCs w:val="24"/>
        </w:rPr>
        <w:lastRenderedPageBreak/>
        <w:t xml:space="preserve">SUPLEMENTO </w:t>
      </w:r>
      <w:r w:rsidR="009E34FD" w:rsidRPr="0097459F">
        <w:rPr>
          <w:rFonts w:asciiTheme="minorHAnsi" w:hAnsiTheme="minorHAnsi" w:cstheme="minorHAnsi"/>
          <w:sz w:val="24"/>
          <w:szCs w:val="24"/>
        </w:rPr>
        <w:t>C</w:t>
      </w:r>
      <w:r w:rsidR="002B189F" w:rsidRPr="0097459F">
        <w:rPr>
          <w:rFonts w:asciiTheme="minorHAnsi" w:hAnsiTheme="minorHAnsi" w:cstheme="minorHAnsi"/>
          <w:sz w:val="24"/>
          <w:szCs w:val="24"/>
        </w:rPr>
        <w:t xml:space="preserve"> – </w:t>
      </w:r>
      <w:r w:rsidRPr="0097459F">
        <w:rPr>
          <w:rFonts w:asciiTheme="minorHAnsi" w:hAnsiTheme="minorHAnsi" w:cstheme="minorHAnsi"/>
          <w:sz w:val="24"/>
          <w:szCs w:val="24"/>
        </w:rPr>
        <w:t xml:space="preserve">DEMONSTRAÇÃO DE DESEMPENHO – </w:t>
      </w:r>
      <w:bookmarkEnd w:id="708"/>
      <w:bookmarkEnd w:id="709"/>
      <w:bookmarkEnd w:id="710"/>
      <w:bookmarkEnd w:id="711"/>
      <w:r w:rsidR="009E34FD" w:rsidRPr="0097459F">
        <w:rPr>
          <w:rFonts w:asciiTheme="minorHAnsi" w:hAnsiTheme="minorHAnsi" w:cstheme="minorHAnsi"/>
          <w:sz w:val="24"/>
          <w:szCs w:val="24"/>
        </w:rPr>
        <w:t>FIF</w:t>
      </w:r>
      <w:bookmarkEnd w:id="712"/>
    </w:p>
    <w:p w14:paraId="7644D2A1" w14:textId="77777777" w:rsidR="00C20BBD" w:rsidRPr="0097459F" w:rsidRDefault="00C20BBD" w:rsidP="00AF6767">
      <w:pPr>
        <w:pStyle w:val="NormalWeb"/>
        <w:spacing w:before="0" w:beforeAutospacing="0" w:after="0" w:afterAutospacing="0"/>
        <w:ind w:firstLine="709"/>
        <w:jc w:val="center"/>
        <w:rPr>
          <w:rFonts w:asciiTheme="minorHAnsi" w:hAnsiTheme="minorHAnsi" w:cstheme="minorHAnsi"/>
          <w:bCs/>
        </w:rPr>
      </w:pPr>
    </w:p>
    <w:p w14:paraId="49515C9B" w14:textId="1B28BA87" w:rsidR="00C20BBD" w:rsidRPr="0097459F" w:rsidRDefault="00C20BBD" w:rsidP="00AF6767">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Conteúdo do relatório padronizado</w:t>
      </w:r>
      <w:r w:rsidR="005E7E86">
        <w:rPr>
          <w:rFonts w:asciiTheme="minorHAnsi" w:eastAsia="Times" w:hAnsiTheme="minorHAnsi" w:cstheme="minorHAnsi"/>
          <w:i/>
          <w:sz w:val="24"/>
          <w:szCs w:val="24"/>
        </w:rPr>
        <w:t>, conforme previsto no art. 2º, inciso XI, do Anexo Normativo I da Resolução CVM nº 175, de 2022</w:t>
      </w:r>
      <w:r w:rsidRPr="0097459F">
        <w:rPr>
          <w:rFonts w:asciiTheme="minorHAnsi" w:hAnsiTheme="minorHAnsi" w:cstheme="minorHAnsi"/>
          <w:i/>
          <w:sz w:val="24"/>
          <w:szCs w:val="24"/>
        </w:rPr>
        <w:t>.</w:t>
      </w:r>
    </w:p>
    <w:p w14:paraId="515A725C" w14:textId="77777777" w:rsidR="00C20BBD" w:rsidRPr="0097459F" w:rsidRDefault="00C20BBD" w:rsidP="00AF6767">
      <w:pPr>
        <w:pStyle w:val="NormalWeb"/>
        <w:tabs>
          <w:tab w:val="left" w:pos="5670"/>
        </w:tabs>
        <w:spacing w:before="0" w:beforeAutospacing="0" w:after="0" w:afterAutospacing="0"/>
        <w:ind w:left="6804"/>
        <w:jc w:val="both"/>
        <w:rPr>
          <w:rFonts w:asciiTheme="minorHAnsi" w:hAnsiTheme="minorHAnsi" w:cstheme="minorHAnsi"/>
          <w:bCs/>
        </w:rPr>
      </w:pPr>
    </w:p>
    <w:p w14:paraId="15E21B46" w14:textId="77777777" w:rsidR="00C20BBD" w:rsidRPr="0097459F" w:rsidRDefault="00C20BBD" w:rsidP="00AF6767">
      <w:pPr>
        <w:spacing w:after="0" w:line="240" w:lineRule="auto"/>
        <w:jc w:val="center"/>
        <w:rPr>
          <w:rFonts w:asciiTheme="minorHAnsi" w:hAnsiTheme="minorHAnsi" w:cstheme="minorHAnsi"/>
          <w:sz w:val="24"/>
          <w:szCs w:val="24"/>
        </w:rPr>
      </w:pPr>
      <w:r w:rsidRPr="0097459F">
        <w:rPr>
          <w:rFonts w:asciiTheme="minorHAnsi" w:hAnsiTheme="minorHAnsi" w:cstheme="minorHAnsi"/>
          <w:b/>
          <w:sz w:val="24"/>
          <w:szCs w:val="24"/>
        </w:rPr>
        <w:t>DEMONSTRAÇÃO DE DESEMPENHO DO</w:t>
      </w:r>
      <w:r w:rsidRPr="0097459F">
        <w:rPr>
          <w:rFonts w:asciiTheme="minorHAnsi" w:hAnsiTheme="minorHAnsi" w:cstheme="minorHAnsi"/>
          <w:b/>
          <w:color w:val="0D0D0D" w:themeColor="text1" w:themeTint="F2"/>
          <w:sz w:val="24"/>
          <w:szCs w:val="24"/>
        </w:rPr>
        <w:t xml:space="preserve"> [nome de fantasia do fundo e, se for o caso, da classe de cotas]</w:t>
      </w:r>
    </w:p>
    <w:p w14:paraId="1E3D1CD5" w14:textId="6A7D15A8" w:rsidR="00C20BBD" w:rsidRPr="0097459F" w:rsidRDefault="00C2608B" w:rsidP="00AF6767">
      <w:pPr>
        <w:spacing w:after="0" w:line="240" w:lineRule="auto"/>
        <w:ind w:firstLine="709"/>
        <w:jc w:val="center"/>
        <w:rPr>
          <w:rFonts w:asciiTheme="minorHAnsi" w:hAnsiTheme="minorHAnsi" w:cstheme="minorHAnsi"/>
          <w:b/>
          <w:color w:val="000000"/>
          <w:sz w:val="24"/>
          <w:szCs w:val="24"/>
        </w:rPr>
      </w:pPr>
      <w:r w:rsidRPr="0097459F">
        <w:rPr>
          <w:rFonts w:asciiTheme="minorHAnsi" w:hAnsiTheme="minorHAnsi" w:cstheme="minorHAnsi"/>
          <w:b/>
          <w:color w:val="000000" w:themeColor="text1"/>
          <w:sz w:val="24"/>
          <w:szCs w:val="24"/>
        </w:rPr>
        <w:t>[CNPJ do f</w:t>
      </w:r>
      <w:r w:rsidR="00C20BBD" w:rsidRPr="0097459F">
        <w:rPr>
          <w:rFonts w:asciiTheme="minorHAnsi" w:hAnsiTheme="minorHAnsi" w:cstheme="minorHAnsi"/>
          <w:b/>
          <w:color w:val="000000" w:themeColor="text1"/>
          <w:sz w:val="24"/>
          <w:szCs w:val="24"/>
        </w:rPr>
        <w:t>undo]</w:t>
      </w:r>
    </w:p>
    <w:p w14:paraId="71B761D2" w14:textId="77777777" w:rsidR="00C2608B" w:rsidRPr="0097459F" w:rsidRDefault="00C2608B" w:rsidP="00AF6767">
      <w:pPr>
        <w:spacing w:after="0" w:line="240" w:lineRule="auto"/>
        <w:ind w:firstLine="709"/>
        <w:jc w:val="center"/>
        <w:rPr>
          <w:rFonts w:asciiTheme="minorHAnsi" w:hAnsiTheme="minorHAnsi" w:cstheme="minorHAnsi"/>
          <w:b/>
          <w:color w:val="000000"/>
          <w:sz w:val="24"/>
          <w:szCs w:val="24"/>
        </w:rPr>
      </w:pPr>
    </w:p>
    <w:p w14:paraId="2987C709" w14:textId="0A1F66CC" w:rsidR="00C20BBD" w:rsidRPr="0097459F" w:rsidRDefault="00C20BBD" w:rsidP="00AF6767">
      <w:pPr>
        <w:spacing w:after="0" w:line="240" w:lineRule="auto"/>
        <w:ind w:firstLine="709"/>
        <w:jc w:val="center"/>
        <w:rPr>
          <w:rFonts w:asciiTheme="minorHAnsi" w:hAnsiTheme="minorHAnsi" w:cstheme="minorHAnsi"/>
          <w:sz w:val="24"/>
          <w:szCs w:val="24"/>
        </w:rPr>
      </w:pPr>
      <w:r w:rsidRPr="0097459F">
        <w:rPr>
          <w:rFonts w:asciiTheme="minorHAnsi" w:hAnsiTheme="minorHAnsi" w:cstheme="minorHAnsi"/>
          <w:b/>
          <w:color w:val="000000"/>
          <w:sz w:val="24"/>
          <w:szCs w:val="24"/>
        </w:rPr>
        <w:t>Informações referentes a [ano]</w:t>
      </w:r>
    </w:p>
    <w:p w14:paraId="58EB6BD3"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5A946966" w14:textId="77777777" w:rsidR="00C20BBD" w:rsidRPr="0097459F" w:rsidRDefault="00C20BBD" w:rsidP="00AF6767">
      <w:pPr>
        <w:numPr>
          <w:ilvl w:val="0"/>
          <w:numId w:val="16"/>
        </w:numPr>
        <w:spacing w:after="0" w:line="240" w:lineRule="auto"/>
        <w:ind w:left="0" w:firstLine="709"/>
        <w:rPr>
          <w:rFonts w:asciiTheme="minorHAnsi" w:hAnsiTheme="minorHAnsi" w:cstheme="minorHAnsi"/>
          <w:b/>
          <w:sz w:val="24"/>
          <w:szCs w:val="24"/>
        </w:rPr>
      </w:pPr>
      <w:r w:rsidRPr="0097459F">
        <w:rPr>
          <w:rFonts w:asciiTheme="minorHAnsi" w:hAnsiTheme="minorHAnsi" w:cstheme="minorHAnsi"/>
          <w:b/>
          <w:sz w:val="24"/>
          <w:szCs w:val="24"/>
        </w:rPr>
        <w:t>Denominações completas do fundo e da classe conforme o cadastro na CVM: [nome da classe]</w:t>
      </w:r>
    </w:p>
    <w:p w14:paraId="0A9C4F8A"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29A420AC" w14:textId="77777777" w:rsidR="00C20BBD" w:rsidRPr="0097459F" w:rsidRDefault="00C20BBD" w:rsidP="00AF6767">
      <w:pPr>
        <w:numPr>
          <w:ilvl w:val="0"/>
          <w:numId w:val="16"/>
        </w:numPr>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b/>
          <w:sz w:val="24"/>
          <w:szCs w:val="24"/>
        </w:rPr>
        <w:t xml:space="preserve">Rentabilidade </w:t>
      </w:r>
    </w:p>
    <w:p w14:paraId="18864186" w14:textId="77777777" w:rsidR="00C20BBD" w:rsidRPr="0097459F" w:rsidRDefault="00C20BBD" w:rsidP="00AF6767">
      <w:pPr>
        <w:pStyle w:val="PargrafodaLista1"/>
        <w:ind w:left="0" w:firstLine="709"/>
        <w:rPr>
          <w:rFonts w:asciiTheme="minorHAnsi" w:hAnsiTheme="minorHAnsi" w:cstheme="minorHAnsi"/>
          <w:b/>
        </w:rPr>
      </w:pPr>
    </w:p>
    <w:p w14:paraId="718C7FC1" w14:textId="77777777" w:rsidR="00C20BBD" w:rsidRPr="0097459F" w:rsidRDefault="00C20BBD" w:rsidP="00AF6767">
      <w:pPr>
        <w:tabs>
          <w:tab w:val="left" w:pos="1134"/>
        </w:tabs>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2.1</w:t>
      </w:r>
      <w:r w:rsidRPr="0097459F">
        <w:rPr>
          <w:rFonts w:asciiTheme="minorHAnsi" w:hAnsiTheme="minorHAnsi" w:cstheme="minorHAnsi"/>
          <w:b/>
          <w:sz w:val="24"/>
          <w:szCs w:val="24"/>
        </w:rPr>
        <w:t xml:space="preserve"> </w:t>
      </w:r>
      <w:r w:rsidRPr="0097459F">
        <w:rPr>
          <w:rFonts w:asciiTheme="minorHAnsi" w:hAnsiTheme="minorHAnsi" w:cstheme="minorHAnsi"/>
          <w:b/>
          <w:sz w:val="24"/>
          <w:szCs w:val="24"/>
        </w:rPr>
        <w:tab/>
        <w:t>Mensal</w:t>
      </w:r>
      <w:r w:rsidRPr="0097459F">
        <w:rPr>
          <w:rFonts w:asciiTheme="minorHAnsi" w:hAnsiTheme="minorHAnsi" w:cstheme="minorHAnsi"/>
          <w:sz w:val="24"/>
          <w:szCs w:val="24"/>
        </w:rPr>
        <w:t xml:space="preserve">: a rentabilidade do </w:t>
      </w:r>
      <w:r w:rsidRPr="0097459F">
        <w:rPr>
          <w:rFonts w:asciiTheme="minorHAnsi" w:hAnsiTheme="minorHAnsi" w:cstheme="minorHAnsi"/>
          <w:b/>
          <w:sz w:val="24"/>
          <w:szCs w:val="24"/>
        </w:rPr>
        <w:t xml:space="preserve">da classe </w:t>
      </w:r>
      <w:r w:rsidRPr="0097459F">
        <w:rPr>
          <w:rFonts w:asciiTheme="minorHAnsi" w:hAnsiTheme="minorHAnsi" w:cstheme="minorHAnsi"/>
          <w:sz w:val="24"/>
          <w:szCs w:val="24"/>
        </w:rPr>
        <w:t>nos últimos 12 meses foi:</w:t>
      </w:r>
    </w:p>
    <w:p w14:paraId="360DF34B" w14:textId="77777777" w:rsidR="00C20BBD" w:rsidRPr="0097459F" w:rsidRDefault="00C20BBD" w:rsidP="00AF6767">
      <w:pPr>
        <w:pStyle w:val="PargrafodaLista1"/>
        <w:ind w:left="0" w:firstLine="709"/>
        <w:rPr>
          <w:rFonts w:asciiTheme="minorHAnsi" w:hAnsiTheme="minorHAnsi" w:cstheme="minorHAnsi"/>
          <w:color w:val="000000"/>
        </w:rPr>
      </w:pP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514"/>
        <w:gridCol w:w="2516"/>
        <w:gridCol w:w="3487"/>
      </w:tblGrid>
      <w:tr w:rsidR="00C20BBD" w:rsidRPr="0097459F" w14:paraId="137F8CF8" w14:textId="77777777" w:rsidTr="00ED0447">
        <w:tc>
          <w:tcPr>
            <w:tcW w:w="779" w:type="pct"/>
            <w:shd w:val="clear" w:color="auto" w:fill="FFFF99"/>
            <w:vAlign w:val="center"/>
          </w:tcPr>
          <w:p w14:paraId="503B588A"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Mês</w:t>
            </w:r>
          </w:p>
        </w:tc>
        <w:tc>
          <w:tcPr>
            <w:tcW w:w="1246" w:type="pct"/>
            <w:shd w:val="clear" w:color="auto" w:fill="FFFF99"/>
            <w:vAlign w:val="center"/>
          </w:tcPr>
          <w:p w14:paraId="0FC08D3D"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Rentabilidade (líquida de despesas, mas não de impostos)</w:t>
            </w:r>
          </w:p>
        </w:tc>
        <w:tc>
          <w:tcPr>
            <w:tcW w:w="1247" w:type="pct"/>
            <w:shd w:val="clear" w:color="auto" w:fill="FFFF99"/>
            <w:vAlign w:val="center"/>
          </w:tcPr>
          <w:p w14:paraId="68F70E3C"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 xml:space="preserve">Variação percentual do [índice de referência] </w:t>
            </w:r>
            <w:r w:rsidRPr="0097459F">
              <w:rPr>
                <w:rFonts w:asciiTheme="minorHAnsi" w:hAnsiTheme="minorHAnsi" w:cstheme="minorHAnsi"/>
              </w:rPr>
              <w:t>(quando houver)</w:t>
            </w:r>
          </w:p>
        </w:tc>
        <w:tc>
          <w:tcPr>
            <w:tcW w:w="1729" w:type="pct"/>
            <w:shd w:val="clear" w:color="auto" w:fill="FFFF99"/>
            <w:vAlign w:val="center"/>
          </w:tcPr>
          <w:p w14:paraId="68EA1306"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color w:val="0D0D0D"/>
              </w:rPr>
              <w:t xml:space="preserve">Em relação aos às classes que possuem índice de referência de renda variável: </w:t>
            </w:r>
            <w:r w:rsidRPr="0097459F">
              <w:rPr>
                <w:rFonts w:asciiTheme="minorHAnsi" w:hAnsiTheme="minorHAnsi" w:cstheme="minorHAnsi"/>
                <w:b/>
                <w:color w:val="0D0D0D"/>
              </w:rPr>
              <w:t>Contribuição em relação ao índice (Rentabilidade  – Rentabilidade do índice)</w:t>
            </w:r>
          </w:p>
          <w:p w14:paraId="76E8B75A" w14:textId="77777777" w:rsidR="00C20BBD" w:rsidRPr="0097459F" w:rsidRDefault="00C20BBD" w:rsidP="00AF6767">
            <w:pPr>
              <w:pStyle w:val="NormalWeb"/>
              <w:tabs>
                <w:tab w:val="num" w:pos="1440"/>
              </w:tabs>
              <w:spacing w:before="0" w:beforeAutospacing="0" w:after="0" w:afterAutospacing="0"/>
              <w:ind w:firstLine="709"/>
              <w:jc w:val="center"/>
              <w:rPr>
                <w:rFonts w:asciiTheme="minorHAnsi" w:hAnsiTheme="minorHAnsi" w:cstheme="minorHAnsi"/>
              </w:rPr>
            </w:pPr>
          </w:p>
          <w:p w14:paraId="58CEE04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 xml:space="preserve">Em relação às classes que possuem índice de referência de renda fixa: </w:t>
            </w:r>
            <w:r w:rsidRPr="0097459F">
              <w:rPr>
                <w:rFonts w:asciiTheme="minorHAnsi" w:hAnsiTheme="minorHAnsi" w:cstheme="minorHAnsi"/>
                <w:b/>
              </w:rPr>
              <w:t>Desempenho da classe como % do índice</w:t>
            </w:r>
          </w:p>
        </w:tc>
      </w:tr>
      <w:tr w:rsidR="00C20BBD" w:rsidRPr="0097459F" w14:paraId="2169AD0E" w14:textId="77777777" w:rsidTr="00ED0447">
        <w:tc>
          <w:tcPr>
            <w:tcW w:w="779" w:type="pct"/>
            <w:shd w:val="clear" w:color="auto" w:fill="DBE5F1"/>
            <w:vAlign w:val="center"/>
          </w:tcPr>
          <w:p w14:paraId="1F4FB2E7"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[Janeiro]</w:t>
            </w:r>
          </w:p>
        </w:tc>
        <w:tc>
          <w:tcPr>
            <w:tcW w:w="1246" w:type="pct"/>
            <w:vAlign w:val="center"/>
          </w:tcPr>
          <w:p w14:paraId="4F8F133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3EE13A3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6184096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F996A85" w14:textId="77777777" w:rsidTr="00ED0447">
        <w:tc>
          <w:tcPr>
            <w:tcW w:w="779" w:type="pct"/>
            <w:shd w:val="clear" w:color="auto" w:fill="DBE5F1"/>
            <w:vAlign w:val="center"/>
          </w:tcPr>
          <w:p w14:paraId="6E20B67E"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[Fevereiro]</w:t>
            </w:r>
          </w:p>
        </w:tc>
        <w:tc>
          <w:tcPr>
            <w:tcW w:w="1246" w:type="pct"/>
            <w:vAlign w:val="center"/>
          </w:tcPr>
          <w:p w14:paraId="7805F9C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184B563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1D37C55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5F83FCA" w14:textId="77777777" w:rsidTr="00ED0447">
        <w:tc>
          <w:tcPr>
            <w:tcW w:w="779" w:type="pct"/>
            <w:shd w:val="clear" w:color="auto" w:fill="DBE5F1"/>
            <w:vAlign w:val="center"/>
          </w:tcPr>
          <w:p w14:paraId="3B98761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[Março]</w:t>
            </w:r>
          </w:p>
        </w:tc>
        <w:tc>
          <w:tcPr>
            <w:tcW w:w="1246" w:type="pct"/>
            <w:vAlign w:val="center"/>
          </w:tcPr>
          <w:p w14:paraId="62F6267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182F921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7403EF1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3FAED56" w14:textId="77777777" w:rsidTr="00ED0447">
        <w:tc>
          <w:tcPr>
            <w:tcW w:w="779" w:type="pct"/>
            <w:shd w:val="clear" w:color="auto" w:fill="DBE5F1"/>
            <w:vAlign w:val="center"/>
          </w:tcPr>
          <w:p w14:paraId="2FB3FAB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[Abril]</w:t>
            </w:r>
          </w:p>
        </w:tc>
        <w:tc>
          <w:tcPr>
            <w:tcW w:w="1246" w:type="pct"/>
            <w:vAlign w:val="center"/>
          </w:tcPr>
          <w:p w14:paraId="26A6A35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61D4038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1D997A7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AF2CCDC" w14:textId="77777777" w:rsidTr="00ED0447">
        <w:tc>
          <w:tcPr>
            <w:tcW w:w="779" w:type="pct"/>
            <w:shd w:val="clear" w:color="auto" w:fill="DBE5F1"/>
            <w:vAlign w:val="center"/>
          </w:tcPr>
          <w:p w14:paraId="6C6FBD2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[Maio]</w:t>
            </w:r>
          </w:p>
        </w:tc>
        <w:tc>
          <w:tcPr>
            <w:tcW w:w="1246" w:type="pct"/>
            <w:vAlign w:val="center"/>
          </w:tcPr>
          <w:p w14:paraId="15B7805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3BC466D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78AA5E5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444F5EA" w14:textId="77777777" w:rsidTr="00ED0447">
        <w:tc>
          <w:tcPr>
            <w:tcW w:w="779" w:type="pct"/>
            <w:shd w:val="clear" w:color="auto" w:fill="DBE5F1"/>
            <w:vAlign w:val="center"/>
          </w:tcPr>
          <w:p w14:paraId="0FA9DAE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[Junho]</w:t>
            </w:r>
          </w:p>
        </w:tc>
        <w:tc>
          <w:tcPr>
            <w:tcW w:w="1246" w:type="pct"/>
            <w:vAlign w:val="center"/>
          </w:tcPr>
          <w:p w14:paraId="023EC41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3CF5F58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42D9455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429295E" w14:textId="77777777" w:rsidTr="00ED0447">
        <w:tc>
          <w:tcPr>
            <w:tcW w:w="779" w:type="pct"/>
            <w:shd w:val="clear" w:color="auto" w:fill="DBE5F1"/>
            <w:vAlign w:val="center"/>
          </w:tcPr>
          <w:p w14:paraId="049AE269"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[Julho]</w:t>
            </w:r>
          </w:p>
        </w:tc>
        <w:tc>
          <w:tcPr>
            <w:tcW w:w="1246" w:type="pct"/>
            <w:vAlign w:val="center"/>
          </w:tcPr>
          <w:p w14:paraId="44EC85C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0D5D10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65C0E54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19B0B1BC" w14:textId="77777777" w:rsidTr="00ED0447">
        <w:tc>
          <w:tcPr>
            <w:tcW w:w="779" w:type="pct"/>
            <w:shd w:val="clear" w:color="auto" w:fill="DBE5F1"/>
            <w:vAlign w:val="center"/>
          </w:tcPr>
          <w:p w14:paraId="2A24BAB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[Agosto]</w:t>
            </w:r>
          </w:p>
        </w:tc>
        <w:tc>
          <w:tcPr>
            <w:tcW w:w="1246" w:type="pct"/>
            <w:vAlign w:val="center"/>
          </w:tcPr>
          <w:p w14:paraId="5E1ACCF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53660E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5230155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FD23158" w14:textId="77777777" w:rsidTr="00ED0447">
        <w:tc>
          <w:tcPr>
            <w:tcW w:w="779" w:type="pct"/>
            <w:shd w:val="clear" w:color="auto" w:fill="DBE5F1"/>
            <w:vAlign w:val="center"/>
          </w:tcPr>
          <w:p w14:paraId="2A9F331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[Setembro]</w:t>
            </w:r>
          </w:p>
        </w:tc>
        <w:tc>
          <w:tcPr>
            <w:tcW w:w="1246" w:type="pct"/>
            <w:vAlign w:val="center"/>
          </w:tcPr>
          <w:p w14:paraId="3876EEB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5B1A12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4A801C8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B8DD94A" w14:textId="77777777" w:rsidTr="00ED0447">
        <w:tc>
          <w:tcPr>
            <w:tcW w:w="779" w:type="pct"/>
            <w:shd w:val="clear" w:color="auto" w:fill="DBE5F1"/>
            <w:vAlign w:val="center"/>
          </w:tcPr>
          <w:p w14:paraId="2DBBC474"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[Outubro]</w:t>
            </w:r>
          </w:p>
        </w:tc>
        <w:tc>
          <w:tcPr>
            <w:tcW w:w="1246" w:type="pct"/>
            <w:vAlign w:val="center"/>
          </w:tcPr>
          <w:p w14:paraId="176C548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31F4B13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133E63F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62B6F47" w14:textId="77777777" w:rsidTr="00ED0447">
        <w:tc>
          <w:tcPr>
            <w:tcW w:w="779" w:type="pct"/>
            <w:shd w:val="clear" w:color="auto" w:fill="DBE5F1"/>
            <w:vAlign w:val="center"/>
          </w:tcPr>
          <w:p w14:paraId="6BD5CE9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[Novembro]</w:t>
            </w:r>
          </w:p>
        </w:tc>
        <w:tc>
          <w:tcPr>
            <w:tcW w:w="1246" w:type="pct"/>
            <w:vAlign w:val="center"/>
          </w:tcPr>
          <w:p w14:paraId="04624C9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A222F3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1C7A982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32F6200" w14:textId="77777777" w:rsidTr="00ED0447">
        <w:tc>
          <w:tcPr>
            <w:tcW w:w="779" w:type="pct"/>
            <w:shd w:val="clear" w:color="auto" w:fill="DBE5F1"/>
            <w:vAlign w:val="center"/>
          </w:tcPr>
          <w:p w14:paraId="6B58B43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[Dezembro]</w:t>
            </w:r>
          </w:p>
        </w:tc>
        <w:tc>
          <w:tcPr>
            <w:tcW w:w="1246" w:type="pct"/>
            <w:vAlign w:val="center"/>
          </w:tcPr>
          <w:p w14:paraId="4507398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137319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7D7601C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121B2FE4" w14:textId="77777777" w:rsidTr="00ED0447">
        <w:tc>
          <w:tcPr>
            <w:tcW w:w="779" w:type="pct"/>
            <w:shd w:val="clear" w:color="auto" w:fill="DBE5F1"/>
            <w:vAlign w:val="center"/>
          </w:tcPr>
          <w:p w14:paraId="3BCF55B8"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lastRenderedPageBreak/>
              <w:t>12 meses</w:t>
            </w:r>
          </w:p>
        </w:tc>
        <w:tc>
          <w:tcPr>
            <w:tcW w:w="1246" w:type="pct"/>
            <w:vAlign w:val="center"/>
          </w:tcPr>
          <w:p w14:paraId="1C1844C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6A12F3A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7419854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bl>
    <w:p w14:paraId="380906BC"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p w14:paraId="4D542A05" w14:textId="77777777" w:rsidR="00C20BBD" w:rsidRPr="0097459F" w:rsidRDefault="00C20BBD" w:rsidP="00AF6767">
      <w:pPr>
        <w:tabs>
          <w:tab w:val="left"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color w:val="000000"/>
          <w:sz w:val="24"/>
          <w:szCs w:val="24"/>
        </w:rPr>
        <w:t>2.2</w:t>
      </w:r>
      <w:r w:rsidRPr="0097459F">
        <w:rPr>
          <w:rFonts w:asciiTheme="minorHAnsi" w:hAnsiTheme="minorHAnsi" w:cstheme="minorHAnsi"/>
          <w:b/>
          <w:color w:val="000000"/>
          <w:sz w:val="24"/>
          <w:szCs w:val="24"/>
        </w:rPr>
        <w:tab/>
        <w:t>Últimos 5 (cinco) anos:</w:t>
      </w:r>
    </w:p>
    <w:p w14:paraId="30DCE5D9"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550"/>
        <w:gridCol w:w="2553"/>
        <w:gridCol w:w="3715"/>
      </w:tblGrid>
      <w:tr w:rsidR="00C20BBD" w:rsidRPr="0097459F" w14:paraId="3BF53D75" w14:textId="77777777" w:rsidTr="00ED0447">
        <w:tc>
          <w:tcPr>
            <w:tcW w:w="630" w:type="pct"/>
            <w:shd w:val="clear" w:color="auto" w:fill="FFFF99"/>
            <w:vAlign w:val="center"/>
          </w:tcPr>
          <w:p w14:paraId="256A7C1E"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Ano</w:t>
            </w:r>
          </w:p>
        </w:tc>
        <w:tc>
          <w:tcPr>
            <w:tcW w:w="1264" w:type="pct"/>
            <w:shd w:val="clear" w:color="auto" w:fill="FFFF99"/>
            <w:vAlign w:val="center"/>
          </w:tcPr>
          <w:p w14:paraId="01284CEA"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Rentabilidade (líquida de despesas, mas não de impostos)</w:t>
            </w:r>
          </w:p>
        </w:tc>
        <w:tc>
          <w:tcPr>
            <w:tcW w:w="1265" w:type="pct"/>
            <w:shd w:val="clear" w:color="auto" w:fill="FFFF99"/>
            <w:vAlign w:val="center"/>
          </w:tcPr>
          <w:p w14:paraId="021B6176"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 xml:space="preserve">Variação percentual do [índice de referência] </w:t>
            </w:r>
            <w:r w:rsidRPr="0097459F">
              <w:rPr>
                <w:rFonts w:asciiTheme="minorHAnsi" w:hAnsiTheme="minorHAnsi" w:cstheme="minorHAnsi"/>
              </w:rPr>
              <w:t>(quando houver)</w:t>
            </w:r>
          </w:p>
        </w:tc>
        <w:tc>
          <w:tcPr>
            <w:tcW w:w="1841" w:type="pct"/>
            <w:shd w:val="clear" w:color="auto" w:fill="FFFF99"/>
            <w:vAlign w:val="center"/>
          </w:tcPr>
          <w:p w14:paraId="6F76A509"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color w:val="0D0D0D"/>
              </w:rPr>
              <w:t xml:space="preserve">Em relação às classes que possuem índice de referência de renda variável: </w:t>
            </w:r>
            <w:r w:rsidRPr="0097459F">
              <w:rPr>
                <w:rFonts w:asciiTheme="minorHAnsi" w:hAnsiTheme="minorHAnsi" w:cstheme="minorHAnsi"/>
                <w:b/>
                <w:color w:val="0D0D0D"/>
              </w:rPr>
              <w:t>Contribuição em relação ao índice (Rentabilidade – Rentabilidade do índice)</w:t>
            </w:r>
          </w:p>
          <w:p w14:paraId="35A64650" w14:textId="77777777" w:rsidR="00C20BBD" w:rsidRPr="0097459F" w:rsidRDefault="00C20BBD" w:rsidP="00AF6767">
            <w:pPr>
              <w:pStyle w:val="NormalWeb"/>
              <w:tabs>
                <w:tab w:val="num" w:pos="1440"/>
              </w:tabs>
              <w:spacing w:before="0" w:beforeAutospacing="0" w:after="0" w:afterAutospacing="0"/>
              <w:ind w:firstLine="709"/>
              <w:jc w:val="center"/>
              <w:rPr>
                <w:rFonts w:asciiTheme="minorHAnsi" w:hAnsiTheme="minorHAnsi" w:cstheme="minorHAnsi"/>
              </w:rPr>
            </w:pPr>
          </w:p>
          <w:p w14:paraId="46E435EA"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 xml:space="preserve">Em relação às classes que possuem índice de referência de renda fixa: </w:t>
            </w:r>
            <w:r w:rsidRPr="0097459F">
              <w:rPr>
                <w:rFonts w:asciiTheme="minorHAnsi" w:hAnsiTheme="minorHAnsi" w:cstheme="minorHAnsi"/>
                <w:b/>
              </w:rPr>
              <w:t>Desempenho da classe como % do índice</w:t>
            </w:r>
          </w:p>
        </w:tc>
      </w:tr>
      <w:tr w:rsidR="00C20BBD" w:rsidRPr="0097459F" w14:paraId="47E653EA" w14:textId="77777777" w:rsidTr="00ED0447">
        <w:tc>
          <w:tcPr>
            <w:tcW w:w="630" w:type="pct"/>
            <w:shd w:val="clear" w:color="auto" w:fill="DBE5F1"/>
            <w:vAlign w:val="center"/>
          </w:tcPr>
          <w:p w14:paraId="4A43771D"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[2019]</w:t>
            </w:r>
          </w:p>
        </w:tc>
        <w:tc>
          <w:tcPr>
            <w:tcW w:w="1264" w:type="pct"/>
            <w:vAlign w:val="center"/>
          </w:tcPr>
          <w:p w14:paraId="193D639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63213E7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0D671D93"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0CC0D49" w14:textId="77777777" w:rsidTr="00ED0447">
        <w:tc>
          <w:tcPr>
            <w:tcW w:w="630" w:type="pct"/>
            <w:shd w:val="clear" w:color="auto" w:fill="DBE5F1"/>
            <w:vAlign w:val="center"/>
          </w:tcPr>
          <w:p w14:paraId="6A2E04B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[2018]</w:t>
            </w:r>
          </w:p>
        </w:tc>
        <w:tc>
          <w:tcPr>
            <w:tcW w:w="1264" w:type="pct"/>
            <w:vAlign w:val="center"/>
          </w:tcPr>
          <w:p w14:paraId="02787A2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62F26263"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07B5495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8AA58B7" w14:textId="77777777" w:rsidTr="00ED0447">
        <w:tc>
          <w:tcPr>
            <w:tcW w:w="630" w:type="pct"/>
            <w:shd w:val="clear" w:color="auto" w:fill="DBE5F1"/>
            <w:vAlign w:val="center"/>
          </w:tcPr>
          <w:p w14:paraId="3F26929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[2017]</w:t>
            </w:r>
          </w:p>
        </w:tc>
        <w:tc>
          <w:tcPr>
            <w:tcW w:w="1264" w:type="pct"/>
            <w:vAlign w:val="center"/>
          </w:tcPr>
          <w:p w14:paraId="45D1B7D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198693E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5AE5458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72A3D1A" w14:textId="77777777" w:rsidTr="00ED0447">
        <w:tc>
          <w:tcPr>
            <w:tcW w:w="630" w:type="pct"/>
            <w:shd w:val="clear" w:color="auto" w:fill="DBE5F1"/>
            <w:vAlign w:val="center"/>
          </w:tcPr>
          <w:p w14:paraId="2A1A2F3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[2016]</w:t>
            </w:r>
          </w:p>
        </w:tc>
        <w:tc>
          <w:tcPr>
            <w:tcW w:w="1264" w:type="pct"/>
            <w:vAlign w:val="center"/>
          </w:tcPr>
          <w:p w14:paraId="4990FB9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5A10775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44BF3A3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3861AC2" w14:textId="77777777" w:rsidTr="00ED0447">
        <w:tc>
          <w:tcPr>
            <w:tcW w:w="630" w:type="pct"/>
            <w:shd w:val="clear" w:color="auto" w:fill="DBE5F1"/>
            <w:vAlign w:val="center"/>
          </w:tcPr>
          <w:p w14:paraId="2A7713D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[2015]</w:t>
            </w:r>
          </w:p>
        </w:tc>
        <w:tc>
          <w:tcPr>
            <w:tcW w:w="1264" w:type="pct"/>
            <w:vAlign w:val="center"/>
          </w:tcPr>
          <w:p w14:paraId="35401F0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77F425A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6C55D2D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bl>
    <w:p w14:paraId="3ABD552D"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p w14:paraId="0C796AE1" w14:textId="45ADCC9E" w:rsidR="00C20BBD" w:rsidRPr="0097459F" w:rsidRDefault="00C20BBD" w:rsidP="00AF6767">
      <w:pPr>
        <w:spacing w:after="0" w:line="240" w:lineRule="auto"/>
        <w:ind w:firstLine="709"/>
        <w:jc w:val="both"/>
        <w:rPr>
          <w:rFonts w:asciiTheme="minorHAnsi" w:eastAsia="Arial Unicode MS" w:hAnsiTheme="minorHAnsi" w:cstheme="minorHAnsi"/>
          <w:color w:val="000000"/>
          <w:sz w:val="24"/>
          <w:szCs w:val="24"/>
        </w:rPr>
      </w:pPr>
      <w:r w:rsidRPr="0097459F">
        <w:rPr>
          <w:rFonts w:asciiTheme="minorHAnsi" w:eastAsia="Arial Unicode MS" w:hAnsiTheme="minorHAnsi" w:cstheme="minorHAnsi"/>
          <w:color w:val="000000" w:themeColor="text1"/>
          <w:sz w:val="24"/>
          <w:szCs w:val="24"/>
        </w:rPr>
        <w:t>O fundo ou a classe de cotas que destinar quantias diretamente aos cotistas, nos termos do art.</w:t>
      </w:r>
      <w:r w:rsidR="00BB2439">
        <w:rPr>
          <w:rFonts w:asciiTheme="minorHAnsi" w:eastAsia="Arial Unicode MS" w:hAnsiTheme="minorHAnsi" w:cstheme="minorHAnsi"/>
          <w:color w:val="000000" w:themeColor="text1"/>
          <w:sz w:val="24"/>
          <w:szCs w:val="24"/>
        </w:rPr>
        <w:t>36</w:t>
      </w:r>
      <w:r w:rsidRPr="0097459F">
        <w:rPr>
          <w:rFonts w:asciiTheme="minorHAnsi" w:eastAsia="Arial Unicode MS" w:hAnsiTheme="minorHAnsi" w:cstheme="minorHAnsi"/>
          <w:color w:val="000000" w:themeColor="text1"/>
          <w:sz w:val="24"/>
          <w:szCs w:val="24"/>
        </w:rPr>
        <w:t>, do Anexo Normativo I, ou realizar a amortização de cotas deve incluir, às tabelas dos itens 2.1 e 2.2, coluna para divulgar a rentabilidade ajustada pela destinação de referidas quantias, agregando os recursos distribuídos e/ou as cotas emitidas à rentabilidade.</w:t>
      </w:r>
    </w:p>
    <w:p w14:paraId="2905F0D0"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p w14:paraId="63F42271" w14:textId="3624C61C" w:rsidR="00C20BBD" w:rsidRPr="0097459F" w:rsidRDefault="00C20BBD" w:rsidP="00AF6767">
      <w:pPr>
        <w:pStyle w:val="NormalWeb"/>
        <w:numPr>
          <w:ilvl w:val="0"/>
          <w:numId w:val="16"/>
        </w:numPr>
        <w:spacing w:before="0" w:beforeAutospacing="0" w:after="0" w:afterAutospacing="0"/>
        <w:ind w:left="0" w:firstLine="709"/>
        <w:jc w:val="both"/>
        <w:rPr>
          <w:rFonts w:asciiTheme="minorHAnsi" w:hAnsiTheme="minorHAnsi" w:cstheme="minorHAnsi"/>
          <w:b/>
          <w:bCs/>
        </w:rPr>
      </w:pPr>
      <w:r w:rsidRPr="0097459F">
        <w:rPr>
          <w:rFonts w:asciiTheme="minorHAnsi" w:hAnsiTheme="minorHAnsi" w:cstheme="minorHAnsi"/>
          <w:b/>
          <w:bCs/>
        </w:rPr>
        <w:t>Despesas do fundo ou da classe de cotas</w:t>
      </w:r>
      <w:r w:rsidRPr="0097459F">
        <w:rPr>
          <w:rFonts w:asciiTheme="minorHAnsi" w:hAnsiTheme="minorHAnsi" w:cstheme="minorHAnsi"/>
        </w:rPr>
        <w:t>: as despesas apresentadas na tabela abaixo são debitadas diretamente do patrimônio [do fundo] ou [da classe de cotas] e reduzem a sua rentabilidade.  A taxa de despesas é baseada nas despesas ocorridas entre [●] e [●]</w:t>
      </w:r>
      <w:r w:rsidR="00DE19FE" w:rsidRPr="0097459F">
        <w:rPr>
          <w:rStyle w:val="Refdenotaderodap"/>
          <w:rFonts w:asciiTheme="minorHAnsi" w:hAnsiTheme="minorHAnsi" w:cstheme="minorHAnsi"/>
        </w:rPr>
        <w:footnoteReference w:id="15"/>
      </w:r>
      <w:r w:rsidR="00DE19FE" w:rsidRPr="0097459F">
        <w:rPr>
          <w:rFonts w:asciiTheme="minorHAnsi" w:hAnsiTheme="minorHAnsi" w:cstheme="minorHAnsi"/>
        </w:rPr>
        <w:t>.</w:t>
      </w:r>
      <w:r w:rsidRPr="0097459F">
        <w:rPr>
          <w:rFonts w:asciiTheme="minorHAnsi" w:hAnsiTheme="minorHAnsi" w:cstheme="minorHAnsi"/>
        </w:rPr>
        <w:t xml:space="preserve"> A taxa de despesas pode variar de período para período.</w:t>
      </w:r>
    </w:p>
    <w:p w14:paraId="27DA42D0"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8"/>
        <w:gridCol w:w="2305"/>
        <w:gridCol w:w="3172"/>
      </w:tblGrid>
      <w:tr w:rsidR="00C20BBD" w:rsidRPr="0097459F" w14:paraId="779B8081" w14:textId="77777777" w:rsidTr="00ED0447">
        <w:tc>
          <w:tcPr>
            <w:tcW w:w="0" w:type="auto"/>
            <w:gridSpan w:val="2"/>
            <w:shd w:val="clear" w:color="auto" w:fill="D9D9D9"/>
            <w:vAlign w:val="center"/>
          </w:tcPr>
          <w:p w14:paraId="7B41DF6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Despesas </w:t>
            </w:r>
          </w:p>
        </w:tc>
        <w:tc>
          <w:tcPr>
            <w:tcW w:w="0" w:type="auto"/>
            <w:shd w:val="clear" w:color="auto" w:fill="D9D9D9"/>
            <w:vAlign w:val="center"/>
          </w:tcPr>
          <w:p w14:paraId="29247B50"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Percentual em relação ao patrimônio líquido diário médio em [●]</w:t>
            </w:r>
          </w:p>
        </w:tc>
      </w:tr>
      <w:tr w:rsidR="00C20BBD" w:rsidRPr="0097459F" w14:paraId="70C78240" w14:textId="77777777" w:rsidTr="00ED0447">
        <w:tc>
          <w:tcPr>
            <w:tcW w:w="0" w:type="auto"/>
            <w:gridSpan w:val="2"/>
            <w:shd w:val="clear" w:color="auto" w:fill="auto"/>
            <w:vAlign w:val="center"/>
          </w:tcPr>
          <w:p w14:paraId="239DC9E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administração (inclui as taxas de administração de outros fundos em que esta classe tenha investido)</w:t>
            </w:r>
          </w:p>
        </w:tc>
        <w:tc>
          <w:tcPr>
            <w:tcW w:w="0" w:type="auto"/>
            <w:shd w:val="clear" w:color="auto" w:fill="auto"/>
            <w:vAlign w:val="center"/>
          </w:tcPr>
          <w:p w14:paraId="77577244"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03C76001" w14:textId="77777777" w:rsidTr="00ED0447">
        <w:trPr>
          <w:trHeight w:val="787"/>
        </w:trPr>
        <w:tc>
          <w:tcPr>
            <w:tcW w:w="0" w:type="auto"/>
            <w:vMerge w:val="restart"/>
            <w:vAlign w:val="center"/>
          </w:tcPr>
          <w:p w14:paraId="30DCD2A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gestão (inclui as taxas de gestão e, se for o caso, de outros fundos em que esta classe tenha investido)</w:t>
            </w:r>
          </w:p>
        </w:tc>
        <w:tc>
          <w:tcPr>
            <w:tcW w:w="0" w:type="auto"/>
            <w:vAlign w:val="center"/>
          </w:tcPr>
          <w:p w14:paraId="228A1ED2"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Parte fixa</w:t>
            </w:r>
          </w:p>
        </w:tc>
        <w:tc>
          <w:tcPr>
            <w:tcW w:w="0" w:type="auto"/>
          </w:tcPr>
          <w:p w14:paraId="27CD2313"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7ABFB6D8" w14:textId="77777777" w:rsidTr="00ED0447">
        <w:trPr>
          <w:trHeight w:val="133"/>
        </w:trPr>
        <w:tc>
          <w:tcPr>
            <w:tcW w:w="0" w:type="auto"/>
            <w:vMerge/>
          </w:tcPr>
          <w:p w14:paraId="12BAC083"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0" w:type="auto"/>
            <w:vAlign w:val="center"/>
          </w:tcPr>
          <w:p w14:paraId="21781345"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Parte variável (taxa de performance)</w:t>
            </w:r>
          </w:p>
        </w:tc>
        <w:tc>
          <w:tcPr>
            <w:tcW w:w="0" w:type="auto"/>
          </w:tcPr>
          <w:p w14:paraId="168801F4"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61F7ABFD" w14:textId="77777777" w:rsidTr="00ED0447">
        <w:trPr>
          <w:trHeight w:val="701"/>
        </w:trPr>
        <w:tc>
          <w:tcPr>
            <w:tcW w:w="0" w:type="auto"/>
            <w:gridSpan w:val="2"/>
            <w:vAlign w:val="center"/>
          </w:tcPr>
          <w:p w14:paraId="27D6681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Custódia</w:t>
            </w:r>
          </w:p>
        </w:tc>
        <w:tc>
          <w:tcPr>
            <w:tcW w:w="0" w:type="auto"/>
          </w:tcPr>
          <w:p w14:paraId="676327B8"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6589D0F7" w14:textId="77777777" w:rsidTr="00ED0447">
        <w:trPr>
          <w:trHeight w:val="701"/>
        </w:trPr>
        <w:tc>
          <w:tcPr>
            <w:tcW w:w="0" w:type="auto"/>
            <w:gridSpan w:val="2"/>
            <w:vAlign w:val="center"/>
          </w:tcPr>
          <w:p w14:paraId="758DE332"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Outras despesas</w:t>
            </w:r>
          </w:p>
        </w:tc>
        <w:tc>
          <w:tcPr>
            <w:tcW w:w="0" w:type="auto"/>
          </w:tcPr>
          <w:p w14:paraId="5F51F0A5"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75217244" w14:textId="77777777" w:rsidTr="00ED0447">
        <w:trPr>
          <w:trHeight w:val="698"/>
        </w:trPr>
        <w:tc>
          <w:tcPr>
            <w:tcW w:w="0" w:type="auto"/>
            <w:gridSpan w:val="2"/>
            <w:vAlign w:val="center"/>
          </w:tcPr>
          <w:p w14:paraId="73228A90"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TOTAL DE DESPESAS</w:t>
            </w:r>
          </w:p>
        </w:tc>
        <w:tc>
          <w:tcPr>
            <w:tcW w:w="0" w:type="auto"/>
          </w:tcPr>
          <w:p w14:paraId="0F2AB9AA" w14:textId="77777777" w:rsidR="00C20BBD" w:rsidRPr="0097459F" w:rsidRDefault="00C20BBD" w:rsidP="00AF6767">
            <w:pPr>
              <w:spacing w:after="0" w:line="240" w:lineRule="auto"/>
              <w:ind w:firstLine="709"/>
              <w:rPr>
                <w:rFonts w:asciiTheme="minorHAnsi" w:hAnsiTheme="minorHAnsi" w:cstheme="minorHAnsi"/>
                <w:sz w:val="24"/>
                <w:szCs w:val="24"/>
              </w:rPr>
            </w:pPr>
          </w:p>
        </w:tc>
      </w:tr>
    </w:tbl>
    <w:p w14:paraId="1F298DCC" w14:textId="77777777" w:rsidR="00C20BBD" w:rsidRPr="0097459F" w:rsidRDefault="00C20BBD" w:rsidP="00AF6767">
      <w:pPr>
        <w:spacing w:after="0" w:line="240" w:lineRule="auto"/>
        <w:ind w:firstLine="709"/>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992"/>
        <w:gridCol w:w="3089"/>
        <w:gridCol w:w="3114"/>
      </w:tblGrid>
      <w:tr w:rsidR="00C20BBD" w:rsidRPr="0097459F" w14:paraId="3F0FAEA6" w14:textId="77777777" w:rsidTr="00ED0447">
        <w:tc>
          <w:tcPr>
            <w:tcW w:w="3473" w:type="pct"/>
            <w:gridSpan w:val="2"/>
            <w:tcBorders>
              <w:bottom w:val="single" w:sz="4" w:space="0" w:color="auto"/>
            </w:tcBorders>
            <w:shd w:val="clear" w:color="auto" w:fill="D9D9D9"/>
            <w:vAlign w:val="center"/>
          </w:tcPr>
          <w:p w14:paraId="18317E96"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Despesas pagas ao grupo econômico do administrador (e do gestor, se este pertencer a grupo diferente) </w:t>
            </w:r>
          </w:p>
        </w:tc>
        <w:tc>
          <w:tcPr>
            <w:tcW w:w="1527" w:type="pct"/>
            <w:tcBorders>
              <w:bottom w:val="single" w:sz="4" w:space="0" w:color="auto"/>
            </w:tcBorders>
            <w:shd w:val="clear" w:color="auto" w:fill="D9D9D9"/>
          </w:tcPr>
          <w:p w14:paraId="3DD2122A"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Percentual em relação à taxa de despesas (item 3) em [●]</w:t>
            </w:r>
          </w:p>
        </w:tc>
      </w:tr>
      <w:tr w:rsidR="00C20BBD" w:rsidRPr="0097459F" w14:paraId="0B70450C" w14:textId="77777777" w:rsidTr="00ED0447">
        <w:trPr>
          <w:trHeight w:val="596"/>
        </w:trPr>
        <w:tc>
          <w:tcPr>
            <w:tcW w:w="1958" w:type="pct"/>
            <w:vMerge w:val="restart"/>
            <w:shd w:val="clear" w:color="auto" w:fill="auto"/>
            <w:vAlign w:val="center"/>
          </w:tcPr>
          <w:p w14:paraId="57ABE48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Despesas totais pagas ao grupo econômico do administrador </w:t>
            </w:r>
          </w:p>
        </w:tc>
        <w:tc>
          <w:tcPr>
            <w:tcW w:w="1515" w:type="pct"/>
            <w:shd w:val="clear" w:color="auto" w:fill="auto"/>
            <w:vAlign w:val="center"/>
          </w:tcPr>
          <w:p w14:paraId="786B0128"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administração</w:t>
            </w:r>
          </w:p>
        </w:tc>
        <w:tc>
          <w:tcPr>
            <w:tcW w:w="1527" w:type="pct"/>
            <w:shd w:val="clear" w:color="auto" w:fill="auto"/>
          </w:tcPr>
          <w:p w14:paraId="3C184DDF"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346D270B" w14:textId="77777777" w:rsidTr="00ED0447">
        <w:trPr>
          <w:trHeight w:val="596"/>
        </w:trPr>
        <w:tc>
          <w:tcPr>
            <w:tcW w:w="1958" w:type="pct"/>
            <w:vMerge/>
            <w:shd w:val="clear" w:color="auto" w:fill="auto"/>
            <w:vAlign w:val="center"/>
          </w:tcPr>
          <w:p w14:paraId="6D159973"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1515" w:type="pct"/>
            <w:shd w:val="clear" w:color="auto" w:fill="auto"/>
            <w:vAlign w:val="center"/>
          </w:tcPr>
          <w:p w14:paraId="70ACC48A"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Taxas de gestão e performance</w:t>
            </w:r>
          </w:p>
        </w:tc>
        <w:tc>
          <w:tcPr>
            <w:tcW w:w="1527" w:type="pct"/>
            <w:shd w:val="clear" w:color="auto" w:fill="auto"/>
          </w:tcPr>
          <w:p w14:paraId="2EFCD466"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2C78E18B" w14:textId="77777777" w:rsidTr="00ED0447">
        <w:trPr>
          <w:trHeight w:val="596"/>
        </w:trPr>
        <w:tc>
          <w:tcPr>
            <w:tcW w:w="1958" w:type="pct"/>
            <w:vMerge/>
            <w:shd w:val="clear" w:color="auto" w:fill="auto"/>
            <w:vAlign w:val="center"/>
          </w:tcPr>
          <w:p w14:paraId="5A7FB09A"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1515" w:type="pct"/>
            <w:shd w:val="clear" w:color="auto" w:fill="auto"/>
            <w:vAlign w:val="center"/>
          </w:tcPr>
          <w:p w14:paraId="6FA6FB74"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custódia</w:t>
            </w:r>
          </w:p>
        </w:tc>
        <w:tc>
          <w:tcPr>
            <w:tcW w:w="1527" w:type="pct"/>
            <w:shd w:val="clear" w:color="auto" w:fill="auto"/>
          </w:tcPr>
          <w:p w14:paraId="7409867A"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01663D0F" w14:textId="77777777" w:rsidTr="00ED0447">
        <w:trPr>
          <w:trHeight w:val="243"/>
        </w:trPr>
        <w:tc>
          <w:tcPr>
            <w:tcW w:w="1958" w:type="pct"/>
            <w:vMerge/>
            <w:shd w:val="clear" w:color="auto" w:fill="auto"/>
            <w:vAlign w:val="center"/>
          </w:tcPr>
          <w:p w14:paraId="347168A4"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1515" w:type="pct"/>
            <w:shd w:val="clear" w:color="auto" w:fill="auto"/>
            <w:vAlign w:val="center"/>
          </w:tcPr>
          <w:p w14:paraId="7DC8189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Despesas operacionais e de outros serviços</w:t>
            </w:r>
          </w:p>
        </w:tc>
        <w:tc>
          <w:tcPr>
            <w:tcW w:w="1527" w:type="pct"/>
            <w:shd w:val="clear" w:color="auto" w:fill="auto"/>
          </w:tcPr>
          <w:p w14:paraId="00636D56"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32A550E9" w14:textId="77777777" w:rsidTr="00ED0447">
        <w:trPr>
          <w:trHeight w:val="600"/>
        </w:trPr>
        <w:tc>
          <w:tcPr>
            <w:tcW w:w="1958" w:type="pct"/>
            <w:vMerge w:val="restart"/>
            <w:shd w:val="clear" w:color="auto" w:fill="auto"/>
            <w:vAlign w:val="center"/>
          </w:tcPr>
          <w:p w14:paraId="4A41207F" w14:textId="08B4900C" w:rsidR="00DE19FE"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Despesas pagas ao grupo econômico do gestor</w:t>
            </w:r>
            <w:r w:rsidR="00DE19FE" w:rsidRPr="0097459F">
              <w:rPr>
                <w:rStyle w:val="Refdenotaderodap"/>
                <w:rFonts w:asciiTheme="minorHAnsi" w:hAnsiTheme="minorHAnsi" w:cstheme="minorHAnsi"/>
                <w:b/>
                <w:sz w:val="24"/>
                <w:szCs w:val="24"/>
              </w:rPr>
              <w:footnoteReference w:id="16"/>
            </w:r>
          </w:p>
        </w:tc>
        <w:tc>
          <w:tcPr>
            <w:tcW w:w="1515" w:type="pct"/>
            <w:shd w:val="clear" w:color="auto" w:fill="auto"/>
            <w:vAlign w:val="center"/>
          </w:tcPr>
          <w:p w14:paraId="3F888B4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Taxas de gestão e performance</w:t>
            </w:r>
          </w:p>
        </w:tc>
        <w:tc>
          <w:tcPr>
            <w:tcW w:w="1527" w:type="pct"/>
            <w:shd w:val="clear" w:color="auto" w:fill="auto"/>
          </w:tcPr>
          <w:p w14:paraId="745316F9"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47B512F1" w14:textId="77777777" w:rsidTr="00ED0447">
        <w:trPr>
          <w:trHeight w:val="133"/>
        </w:trPr>
        <w:tc>
          <w:tcPr>
            <w:tcW w:w="1958" w:type="pct"/>
            <w:vMerge/>
            <w:shd w:val="clear" w:color="auto" w:fill="auto"/>
          </w:tcPr>
          <w:p w14:paraId="0B1DB744"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1515" w:type="pct"/>
            <w:shd w:val="clear" w:color="auto" w:fill="auto"/>
          </w:tcPr>
          <w:p w14:paraId="0E0C5D29"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Despesas operacionais e de outros serviços</w:t>
            </w:r>
          </w:p>
        </w:tc>
        <w:tc>
          <w:tcPr>
            <w:tcW w:w="1527" w:type="pct"/>
            <w:shd w:val="clear" w:color="auto" w:fill="auto"/>
          </w:tcPr>
          <w:p w14:paraId="0B5E9CE1"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3130CC1E" w14:textId="77777777" w:rsidTr="00ED0447">
        <w:trPr>
          <w:trHeight w:val="603"/>
        </w:trPr>
        <w:tc>
          <w:tcPr>
            <w:tcW w:w="3473" w:type="pct"/>
            <w:gridSpan w:val="2"/>
            <w:shd w:val="clear" w:color="auto" w:fill="auto"/>
            <w:vAlign w:val="center"/>
          </w:tcPr>
          <w:p w14:paraId="08A4920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TOTAL</w:t>
            </w:r>
          </w:p>
        </w:tc>
        <w:tc>
          <w:tcPr>
            <w:tcW w:w="1527" w:type="pct"/>
            <w:shd w:val="clear" w:color="auto" w:fill="auto"/>
          </w:tcPr>
          <w:p w14:paraId="2C82CE4B" w14:textId="77777777" w:rsidR="00C20BBD" w:rsidRPr="0097459F" w:rsidRDefault="00C20BBD" w:rsidP="00AF6767">
            <w:pPr>
              <w:spacing w:after="0" w:line="240" w:lineRule="auto"/>
              <w:ind w:firstLine="709"/>
              <w:rPr>
                <w:rFonts w:asciiTheme="minorHAnsi" w:hAnsiTheme="minorHAnsi" w:cstheme="minorHAnsi"/>
                <w:sz w:val="24"/>
                <w:szCs w:val="24"/>
              </w:rPr>
            </w:pPr>
          </w:p>
        </w:tc>
      </w:tr>
    </w:tbl>
    <w:p w14:paraId="38136F91" w14:textId="77777777" w:rsidR="00C20BBD" w:rsidRPr="0097459F" w:rsidRDefault="00C20BBD" w:rsidP="00AF6767">
      <w:pPr>
        <w:spacing w:after="0" w:line="240" w:lineRule="auto"/>
        <w:ind w:firstLine="709"/>
        <w:rPr>
          <w:rFonts w:asciiTheme="minorHAnsi" w:hAnsiTheme="minorHAnsi" w:cstheme="minorHAnsi"/>
          <w:sz w:val="24"/>
          <w:szCs w:val="24"/>
        </w:rPr>
      </w:pPr>
    </w:p>
    <w:p w14:paraId="5CABF14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4.EXEMPLO COMPARATIVO: utilize a informação do exemplo abaixo para comparar os custos e os benefícios de investir nesta classe de cotas com os de investir em outras classes.</w:t>
      </w:r>
    </w:p>
    <w:p w14:paraId="4B5333D0" w14:textId="77777777" w:rsidR="00C20BBD" w:rsidRPr="0097459F" w:rsidRDefault="00C20BBD" w:rsidP="00AF6767">
      <w:pPr>
        <w:spacing w:after="0" w:line="240" w:lineRule="auto"/>
        <w:ind w:firstLine="709"/>
        <w:rPr>
          <w:rFonts w:asciiTheme="minorHAnsi" w:hAnsiTheme="minorHAnsi" w:cstheme="minorHAnsi"/>
          <w:sz w:val="24"/>
          <w:szCs w:val="24"/>
        </w:rPr>
      </w:pPr>
    </w:p>
    <w:p w14:paraId="51F78D4D" w14:textId="77777777" w:rsidR="00C20BBD" w:rsidRPr="0097459F" w:rsidRDefault="00C20BBD" w:rsidP="00AF6767">
      <w:pPr>
        <w:spacing w:after="0" w:line="240" w:lineRule="auto"/>
        <w:ind w:firstLine="709"/>
        <w:rPr>
          <w:rFonts w:asciiTheme="minorHAnsi" w:hAnsiTheme="minorHAnsi" w:cstheme="minorHAnsi"/>
          <w:sz w:val="24"/>
          <w:szCs w:val="24"/>
        </w:rPr>
      </w:pPr>
      <w:r w:rsidRPr="0097459F">
        <w:rPr>
          <w:rFonts w:asciiTheme="minorHAnsi" w:hAnsiTheme="minorHAnsi" w:cstheme="minorHAnsi"/>
          <w:sz w:val="24"/>
          <w:szCs w:val="24"/>
        </w:rPr>
        <w:t xml:space="preserve">Rentabilidade: Se você tivesse aplicado R$ 1.000,00 (mil reais) [no fundo] ou [na classe de cotas] no primeiro dia útil de [ano a que se refere a demonstração] e não houvesse realizado outras aplicações, nem solicitado resgates durante o ano, no primeiro dia útil de [ano a que se refere a demonstração +1], você poderia resgatar R$[●], já deduzidos impostos no valor de R$[●]. </w:t>
      </w:r>
    </w:p>
    <w:p w14:paraId="20F49B8A" w14:textId="77777777" w:rsidR="00C20BBD" w:rsidRPr="0097459F" w:rsidRDefault="00C20BBD" w:rsidP="00AF6767">
      <w:pPr>
        <w:spacing w:after="0" w:line="240" w:lineRule="auto"/>
        <w:ind w:firstLine="709"/>
        <w:jc w:val="both"/>
        <w:rPr>
          <w:rFonts w:asciiTheme="minorHAnsi" w:hAnsiTheme="minorHAnsi" w:cstheme="minorHAnsi"/>
          <w:b/>
          <w:sz w:val="24"/>
          <w:szCs w:val="24"/>
        </w:rPr>
      </w:pPr>
    </w:p>
    <w:p w14:paraId="62FFCB6E"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lastRenderedPageBreak/>
        <w:t>[</w:t>
      </w:r>
      <w:r w:rsidRPr="0097459F">
        <w:rPr>
          <w:rFonts w:asciiTheme="minorHAnsi" w:hAnsiTheme="minorHAnsi" w:cstheme="minorHAnsi"/>
          <w:i/>
          <w:sz w:val="24"/>
          <w:szCs w:val="24"/>
        </w:rPr>
        <w:t>adicionar, quando houver:</w:t>
      </w:r>
      <w:r w:rsidRPr="0097459F">
        <w:rPr>
          <w:rFonts w:asciiTheme="minorHAnsi" w:hAnsiTheme="minorHAnsi" w:cstheme="minorHAnsi"/>
          <w:sz w:val="24"/>
          <w:szCs w:val="24"/>
        </w:rPr>
        <w:t>] A taxa de ingresso teria custado R$[●], a taxa de saída teria custado R$[●], o ajuste sobre performance individual teria custado R$[●].</w:t>
      </w:r>
    </w:p>
    <w:p w14:paraId="0A2C340C" w14:textId="77777777" w:rsidR="00C20BBD" w:rsidRPr="0097459F" w:rsidRDefault="00C20BBD" w:rsidP="00AF6767">
      <w:pPr>
        <w:spacing w:after="0" w:line="240" w:lineRule="auto"/>
        <w:ind w:firstLine="709"/>
        <w:jc w:val="both"/>
        <w:rPr>
          <w:rFonts w:asciiTheme="minorHAnsi" w:hAnsiTheme="minorHAnsi" w:cstheme="minorHAnsi"/>
          <w:b/>
          <w:sz w:val="24"/>
          <w:szCs w:val="24"/>
        </w:rPr>
      </w:pPr>
    </w:p>
    <w:p w14:paraId="5CD57837"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b/>
          <w:sz w:val="24"/>
          <w:szCs w:val="24"/>
        </w:rPr>
        <w:t xml:space="preserve">Despesas: </w:t>
      </w:r>
      <w:r w:rsidRPr="0097459F">
        <w:rPr>
          <w:rFonts w:asciiTheme="minorHAnsi" w:hAnsiTheme="minorHAnsi" w:cstheme="minorHAnsi"/>
          <w:sz w:val="24"/>
          <w:szCs w:val="24"/>
        </w:rPr>
        <w:t xml:space="preserve">As despesas [do fundo] ou [da classe de cotas], incluindo a taxa de administração, as taxas de gestão e performance (se houver), a taxa de custódia e as despesas operacionais e de serviços teriam custado R$[●]. </w:t>
      </w:r>
    </w:p>
    <w:p w14:paraId="0471B73E"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198F7029" w14:textId="0EDE4CEF"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5.</w:t>
      </w:r>
      <w:r w:rsidRPr="0097459F">
        <w:rPr>
          <w:rFonts w:asciiTheme="minorHAnsi" w:hAnsiTheme="minorHAnsi" w:cstheme="minorHAnsi"/>
        </w:rPr>
        <w:tab/>
      </w:r>
      <w:r w:rsidRPr="0097459F">
        <w:rPr>
          <w:rFonts w:asciiTheme="minorHAnsi" w:hAnsiTheme="minorHAnsi" w:cstheme="minorHAnsi"/>
          <w:b/>
          <w:bCs/>
        </w:rPr>
        <w:t>SIMULAÇÃO DE DESPESAS:</w:t>
      </w:r>
      <w:r w:rsidR="00DE19FE" w:rsidRPr="0097459F">
        <w:rPr>
          <w:rStyle w:val="Refdenotaderodap"/>
          <w:rFonts w:asciiTheme="minorHAnsi" w:hAnsiTheme="minorHAnsi" w:cstheme="minorHAnsi"/>
        </w:rPr>
        <w:footnoteReference w:id="17"/>
      </w:r>
      <w:r w:rsidR="00DE19FE" w:rsidRPr="0097459F">
        <w:rPr>
          <w:rFonts w:asciiTheme="minorHAnsi" w:hAnsiTheme="minorHAnsi" w:cstheme="minorHAnsi"/>
          <w:b/>
          <w:bCs/>
        </w:rPr>
        <w:t xml:space="preserve"> </w:t>
      </w:r>
      <w:r w:rsidRPr="0097459F">
        <w:rPr>
          <w:rFonts w:asciiTheme="minorHAnsi" w:hAnsiTheme="minorHAnsi" w:cstheme="minorHAnsi"/>
          <w:b/>
          <w:bCs/>
        </w:rPr>
        <w:t>utilize a informação a seguir para comparar o efeito das despesas em períodos mais longos de investimento entre diversos fundos ou classes de cotas</w:t>
      </w:r>
      <w:r w:rsidRPr="0097459F">
        <w:rPr>
          <w:rFonts w:asciiTheme="minorHAnsi" w:hAnsiTheme="minorHAnsi" w:cstheme="minorHAnsi"/>
        </w:rPr>
        <w:t xml:space="preserve">: </w:t>
      </w:r>
    </w:p>
    <w:p w14:paraId="2ECE95EF"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b/>
        </w:rPr>
      </w:pPr>
    </w:p>
    <w:p w14:paraId="465ABEC7"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 xml:space="preserve">Assumindo que a última taxa total de despesas divulgada se mantenha constante e que </w:t>
      </w:r>
      <w:r w:rsidRPr="0097459F">
        <w:rPr>
          <w:rFonts w:asciiTheme="minorHAnsi" w:hAnsiTheme="minorHAnsi" w:cstheme="minorHAnsi"/>
          <w:b/>
          <w:bCs/>
        </w:rPr>
        <w:t xml:space="preserve">[o fundo] ou [a classe de cotas] </w:t>
      </w:r>
      <w:r w:rsidRPr="0097459F">
        <w:rPr>
          <w:rFonts w:asciiTheme="minorHAnsi" w:hAnsiTheme="minorHAnsi" w:cstheme="minorHAnsi"/>
        </w:rPr>
        <w:t>tenha rentabilidade bruta hipotética de 10% ao ano nos próximos 3 e 5 anos, o retorno após as despesas terem sido descontadas, considerando a mesma aplicação inicial de R$ 1.000,00 (mil reais), é apresentado na tabela abaixo:</w:t>
      </w:r>
    </w:p>
    <w:p w14:paraId="2255A0AD" w14:textId="77777777" w:rsidR="00C20BBD" w:rsidRPr="0097459F" w:rsidRDefault="00C20BBD" w:rsidP="00AF6767">
      <w:pPr>
        <w:tabs>
          <w:tab w:val="num" w:pos="567"/>
        </w:tabs>
        <w:spacing w:after="0" w:line="240" w:lineRule="auto"/>
        <w:ind w:firstLine="709"/>
        <w:jc w:val="both"/>
        <w:rPr>
          <w:rFonts w:asciiTheme="minorHAnsi" w:hAnsiTheme="minorHAnsi" w:cstheme="minorHAnsi"/>
          <w:color w:val="00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1"/>
        <w:gridCol w:w="1523"/>
        <w:gridCol w:w="1411"/>
      </w:tblGrid>
      <w:tr w:rsidR="00C20BBD" w:rsidRPr="0097459F" w14:paraId="1FD2657B" w14:textId="77777777" w:rsidTr="00ED0447">
        <w:trPr>
          <w:jc w:val="center"/>
        </w:trPr>
        <w:tc>
          <w:tcPr>
            <w:tcW w:w="3561" w:type="pct"/>
            <w:shd w:val="clear" w:color="auto" w:fill="FFFF99"/>
          </w:tcPr>
          <w:p w14:paraId="4A01D228" w14:textId="77777777" w:rsidR="00C20BBD" w:rsidRPr="0097459F" w:rsidRDefault="00C20BBD" w:rsidP="00AF6767">
            <w:pPr>
              <w:tabs>
                <w:tab w:val="num" w:pos="567"/>
              </w:tabs>
              <w:spacing w:after="0" w:line="240" w:lineRule="auto"/>
              <w:ind w:firstLine="709"/>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Simulação das Despesas </w:t>
            </w:r>
          </w:p>
        </w:tc>
        <w:tc>
          <w:tcPr>
            <w:tcW w:w="747" w:type="pct"/>
            <w:shd w:val="clear" w:color="auto" w:fill="FFFF99"/>
            <w:vAlign w:val="center"/>
          </w:tcPr>
          <w:p w14:paraId="42E8230B"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[●+3 anos]</w:t>
            </w:r>
          </w:p>
        </w:tc>
        <w:tc>
          <w:tcPr>
            <w:tcW w:w="692" w:type="pct"/>
            <w:shd w:val="clear" w:color="auto" w:fill="FFFF99"/>
            <w:vAlign w:val="center"/>
          </w:tcPr>
          <w:p w14:paraId="5E954705"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[●+5 anos]</w:t>
            </w:r>
          </w:p>
        </w:tc>
      </w:tr>
      <w:tr w:rsidR="00C20BBD" w:rsidRPr="0097459F" w14:paraId="338154EA" w14:textId="77777777" w:rsidTr="00ED0447">
        <w:trPr>
          <w:jc w:val="center"/>
        </w:trPr>
        <w:tc>
          <w:tcPr>
            <w:tcW w:w="3561" w:type="pct"/>
            <w:shd w:val="clear" w:color="auto" w:fill="DBE5F1"/>
          </w:tcPr>
          <w:p w14:paraId="658BF147"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Saldo bruto acumulado (hipotético - rentabilidade bruta anual de 10%) </w:t>
            </w:r>
          </w:p>
        </w:tc>
        <w:tc>
          <w:tcPr>
            <w:tcW w:w="747" w:type="pct"/>
            <w:vAlign w:val="center"/>
          </w:tcPr>
          <w:p w14:paraId="44B42994"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R$ 1.331,10</w:t>
            </w:r>
          </w:p>
        </w:tc>
        <w:tc>
          <w:tcPr>
            <w:tcW w:w="692" w:type="pct"/>
            <w:vAlign w:val="center"/>
          </w:tcPr>
          <w:p w14:paraId="4EABE51C"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R$ 1.610,51  </w:t>
            </w:r>
          </w:p>
        </w:tc>
      </w:tr>
      <w:tr w:rsidR="00C20BBD" w:rsidRPr="0097459F" w14:paraId="58AFB1DB" w14:textId="77777777" w:rsidTr="00ED0447">
        <w:trPr>
          <w:jc w:val="center"/>
        </w:trPr>
        <w:tc>
          <w:tcPr>
            <w:tcW w:w="3561" w:type="pct"/>
            <w:shd w:val="clear" w:color="auto" w:fill="DBE5F1"/>
          </w:tcPr>
          <w:p w14:paraId="03A36483"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Despesas previstas (se a TAXA TOTAL DE DESPESAS se mantiver constante)</w:t>
            </w:r>
          </w:p>
        </w:tc>
        <w:tc>
          <w:tcPr>
            <w:tcW w:w="747" w:type="pct"/>
            <w:vAlign w:val="center"/>
          </w:tcPr>
          <w:p w14:paraId="2E539E5A"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c>
          <w:tcPr>
            <w:tcW w:w="692" w:type="pct"/>
            <w:vAlign w:val="center"/>
          </w:tcPr>
          <w:p w14:paraId="58EEB557"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r>
      <w:tr w:rsidR="00C20BBD" w:rsidRPr="0097459F" w14:paraId="4C9A04D1" w14:textId="77777777" w:rsidTr="00ED0447">
        <w:trPr>
          <w:jc w:val="center"/>
        </w:trPr>
        <w:tc>
          <w:tcPr>
            <w:tcW w:w="3561" w:type="pct"/>
            <w:shd w:val="clear" w:color="auto" w:fill="DBE5F1"/>
          </w:tcPr>
          <w:p w14:paraId="674703EF"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Retorno bruto hipotético após dedução das despesas (antes da incidência de impostos, taxas de ingresso e/ou saída e taxa de performance)</w:t>
            </w:r>
          </w:p>
        </w:tc>
        <w:tc>
          <w:tcPr>
            <w:tcW w:w="747" w:type="pct"/>
            <w:vAlign w:val="center"/>
          </w:tcPr>
          <w:p w14:paraId="2A6EDED0"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c>
          <w:tcPr>
            <w:tcW w:w="692" w:type="pct"/>
            <w:vAlign w:val="center"/>
          </w:tcPr>
          <w:p w14:paraId="7A66961E"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r>
    </w:tbl>
    <w:p w14:paraId="4BB7B2F2"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6158D2C4" w14:textId="789242D1"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 xml:space="preserve">A simulação acima não implica </w:t>
      </w:r>
      <w:bookmarkStart w:id="713" w:name="_GoBack"/>
      <w:bookmarkEnd w:id="713"/>
      <w:r w:rsidRPr="0097459F">
        <w:rPr>
          <w:rFonts w:asciiTheme="minorHAnsi" w:hAnsiTheme="minorHAnsi" w:cstheme="minorHAnsi"/>
        </w:rPr>
        <w:t>promessa de que os valores reais ou esperados das despesas ou dos retornos serão iguais aos aqui apresentados.</w:t>
      </w:r>
    </w:p>
    <w:p w14:paraId="279A95C7"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7070AE55" w14:textId="77777777" w:rsidR="00C20BBD" w:rsidRPr="0097459F" w:rsidRDefault="00C20BBD" w:rsidP="00AF6767">
      <w:pPr>
        <w:spacing w:after="0" w:line="240" w:lineRule="auto"/>
        <w:ind w:firstLine="709"/>
        <w:jc w:val="both"/>
        <w:rPr>
          <w:rFonts w:asciiTheme="minorHAnsi" w:hAnsiTheme="minorHAnsi" w:cstheme="minorHAnsi"/>
          <w:b/>
          <w:sz w:val="24"/>
          <w:szCs w:val="24"/>
        </w:rPr>
      </w:pPr>
      <w:r w:rsidRPr="0097459F">
        <w:rPr>
          <w:rFonts w:asciiTheme="minorHAnsi" w:hAnsiTheme="minorHAnsi" w:cstheme="minorHAnsi"/>
          <w:sz w:val="24"/>
          <w:szCs w:val="24"/>
        </w:rPr>
        <w:t>6.</w:t>
      </w:r>
      <w:r w:rsidRPr="0097459F">
        <w:rPr>
          <w:rFonts w:asciiTheme="minorHAnsi" w:hAnsiTheme="minorHAnsi" w:cstheme="minorHAnsi"/>
          <w:sz w:val="24"/>
          <w:szCs w:val="24"/>
        </w:rPr>
        <w:tab/>
      </w:r>
      <w:r w:rsidRPr="0097459F">
        <w:rPr>
          <w:rFonts w:asciiTheme="minorHAnsi" w:hAnsiTheme="minorHAnsi" w:cstheme="minorHAnsi"/>
          <w:b/>
          <w:sz w:val="24"/>
          <w:szCs w:val="24"/>
        </w:rPr>
        <w:t>ESCLARECIMENTOS:</w:t>
      </w:r>
    </w:p>
    <w:p w14:paraId="2DDCF82E"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1129B596"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b/>
          <w:sz w:val="24"/>
          <w:szCs w:val="24"/>
        </w:rPr>
        <w:t>Exemplo comparativo e investimento de longo prazo:</w:t>
      </w:r>
      <w:r w:rsidRPr="0097459F">
        <w:rPr>
          <w:rFonts w:asciiTheme="minorHAnsi" w:hAnsiTheme="minorHAnsi" w:cstheme="minorHAnsi"/>
          <w:sz w:val="24"/>
          <w:szCs w:val="24"/>
        </w:rPr>
        <w:t xml:space="preserve"> o exemplo comparativo (item 4) e o quadro de simulação de despesas (item 5) apresentados acima servem para facilitar a comparação do desempenho de sua classe com o de outras classes de cotas. É possível encontrar os mesmos exemplos, calculados a partir das mesmas hipóteses, nas lâminas (nos respectivos itens 8 e 9) de outras classes de cotas. As lâminas estão disponíveis nas páginas eletrônicas dos administradores na rede mundial de computadores.</w:t>
      </w:r>
    </w:p>
    <w:p w14:paraId="0827E9CD"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7E411AB0"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b/>
          <w:sz w:val="24"/>
          <w:szCs w:val="24"/>
        </w:rPr>
        <w:lastRenderedPageBreak/>
        <w:t xml:space="preserve">Despesas de fundos investidos: </w:t>
      </w:r>
      <w:r w:rsidRPr="0097459F">
        <w:rPr>
          <w:rFonts w:asciiTheme="minorHAnsi" w:hAnsiTheme="minorHAnsi" w:cstheme="minorHAnsi"/>
          <w:sz w:val="24"/>
          <w:szCs w:val="24"/>
        </w:rPr>
        <w:t>as despesas apresentadas foram acrescidas das despesas de outros fundos e classes de cotas em que [este fundo] ou [esta classe de cotas] tenha feito aplicações, proporcionalmente ao valor e período do investimento.</w:t>
      </w:r>
    </w:p>
    <w:p w14:paraId="22A9BB24"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p>
    <w:p w14:paraId="647D0873"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b/>
          <w:sz w:val="24"/>
          <w:szCs w:val="24"/>
        </w:rPr>
        <w:t xml:space="preserve">Rentabilidade: </w:t>
      </w:r>
      <w:r w:rsidRPr="0097459F">
        <w:rPr>
          <w:rFonts w:asciiTheme="minorHAnsi" w:hAnsiTheme="minorHAnsi" w:cstheme="minorHAnsi"/>
          <w:sz w:val="24"/>
          <w:szCs w:val="24"/>
        </w:rPr>
        <w:t>a rentabilidade não considera despesas individuais, pagas diretamente por cada cotista, como o imposto de renda, o ajuste sobre performance individual, quando permitido pelo regulamento do fundo, e taxas de ingresso e/ou de saída, quando permitidas pelo regulamento. Todos esses valores reduzem a rentabilidade da aplicação do cotista, que será inferior à rentabilidade [do fundo] ou [da classe de cotas]. Ao comparar fundos e classes de cotas, verifique o tratamento tributário e a existência de taxas de ingresso, de saída, ou de performance e o seu possível impacto no retorno da aplicação.</w:t>
      </w:r>
    </w:p>
    <w:p w14:paraId="2BBA22B5"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1ED2480E" w14:textId="77777777" w:rsidR="00C20BBD" w:rsidRPr="0097459F" w:rsidRDefault="00C20BBD" w:rsidP="00AF6767">
      <w:pPr>
        <w:spacing w:after="0" w:line="240" w:lineRule="auto"/>
        <w:ind w:firstLine="709"/>
        <w:jc w:val="both"/>
        <w:rPr>
          <w:rFonts w:asciiTheme="minorHAnsi" w:hAnsiTheme="minorHAnsi" w:cstheme="minorHAnsi"/>
          <w:b/>
          <w:sz w:val="24"/>
          <w:szCs w:val="24"/>
        </w:rPr>
      </w:pPr>
      <w:r w:rsidRPr="0097459F">
        <w:rPr>
          <w:rFonts w:asciiTheme="minorHAnsi" w:hAnsiTheme="minorHAnsi" w:cstheme="minorHAnsi"/>
          <w:b/>
          <w:sz w:val="24"/>
          <w:szCs w:val="24"/>
        </w:rPr>
        <w:t xml:space="preserve">Impostos: </w:t>
      </w:r>
    </w:p>
    <w:p w14:paraId="042313D0"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50BBB40E"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w:t>
      </w:r>
      <w:r w:rsidRPr="0097459F">
        <w:rPr>
          <w:rFonts w:asciiTheme="minorHAnsi" w:hAnsiTheme="minorHAnsi" w:cstheme="minorHAnsi"/>
          <w:i/>
          <w:sz w:val="24"/>
          <w:szCs w:val="24"/>
        </w:rPr>
        <w:t>Quando se tratar de classe de renda fixa:</w:t>
      </w:r>
      <w:r w:rsidRPr="0097459F">
        <w:rPr>
          <w:rFonts w:asciiTheme="minorHAnsi" w:hAnsiTheme="minorHAnsi" w:cstheme="minorHAnsi"/>
          <w:sz w:val="24"/>
          <w:szCs w:val="24"/>
        </w:rPr>
        <w:t>] Imposto de Renda (sobre o ganho nominal): De acordo com as hipóteses do exemplo comparativo, existe somente um resgate total após um ano. Dessa forma, a alíquota incidente sobre os rendimentos para a aplicação pelo período de 1 ano teria sido de 17,5%. Exceção: No caso de classe de renda fixa de curto prazo, a alíquota teria sido de 20%.</w:t>
      </w:r>
    </w:p>
    <w:p w14:paraId="4BF75E58"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6BEB26F7"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w:t>
      </w:r>
      <w:r w:rsidRPr="0097459F">
        <w:rPr>
          <w:rFonts w:asciiTheme="minorHAnsi" w:hAnsiTheme="minorHAnsi" w:cstheme="minorHAnsi"/>
          <w:i/>
          <w:sz w:val="24"/>
          <w:szCs w:val="24"/>
        </w:rPr>
        <w:t>Quando se tratar de classe de renda variável:</w:t>
      </w:r>
      <w:r w:rsidRPr="0097459F">
        <w:rPr>
          <w:rFonts w:asciiTheme="minorHAnsi" w:hAnsiTheme="minorHAnsi" w:cstheme="minorHAnsi"/>
          <w:sz w:val="24"/>
          <w:szCs w:val="24"/>
        </w:rPr>
        <w:t>] Imposto de Renda (sobre o ganho nominal): de acordo com as hipóteses do exemplo comparativo, existe somente um resgate total após um ano.  Dessa forma, a alíquota incidente sobre os rendimentos para a aplicação teria sido de 15%.</w:t>
      </w:r>
    </w:p>
    <w:p w14:paraId="3742B922" w14:textId="0AD8FCFC" w:rsidR="00C20BBD" w:rsidRPr="0097459F" w:rsidRDefault="00C20BBD" w:rsidP="00AF6767">
      <w:pPr>
        <w:pStyle w:val="Ttulo1"/>
        <w:spacing w:before="0" w:after="0" w:line="240" w:lineRule="auto"/>
        <w:ind w:firstLine="709"/>
        <w:jc w:val="center"/>
        <w:rPr>
          <w:rFonts w:asciiTheme="minorHAnsi" w:hAnsiTheme="minorHAnsi" w:cstheme="minorHAnsi"/>
          <w:b w:val="0"/>
          <w:bCs w:val="0"/>
          <w:sz w:val="24"/>
          <w:szCs w:val="24"/>
        </w:rPr>
      </w:pPr>
      <w:r w:rsidRPr="0097459F">
        <w:rPr>
          <w:rFonts w:asciiTheme="minorHAnsi" w:hAnsiTheme="minorHAnsi" w:cstheme="minorHAnsi"/>
          <w:sz w:val="24"/>
          <w:szCs w:val="24"/>
        </w:rPr>
        <w:br w:type="page"/>
      </w:r>
      <w:bookmarkStart w:id="714" w:name="_Toc53594547"/>
      <w:bookmarkStart w:id="715" w:name="_Toc53595572"/>
      <w:bookmarkStart w:id="716" w:name="_Toc53594299"/>
      <w:bookmarkStart w:id="717" w:name="_Toc57836309"/>
      <w:bookmarkStart w:id="718" w:name="_Toc126226415"/>
      <w:r w:rsidR="00F96B73" w:rsidRPr="0097459F">
        <w:rPr>
          <w:rFonts w:asciiTheme="minorHAnsi" w:hAnsiTheme="minorHAnsi" w:cstheme="minorHAnsi"/>
          <w:sz w:val="24"/>
          <w:szCs w:val="24"/>
        </w:rPr>
        <w:lastRenderedPageBreak/>
        <w:t>SUPLEMENTO D</w:t>
      </w:r>
      <w:r w:rsidRPr="0097459F">
        <w:rPr>
          <w:rFonts w:asciiTheme="minorHAnsi" w:hAnsiTheme="minorHAnsi" w:cstheme="minorHAnsi"/>
          <w:sz w:val="24"/>
          <w:szCs w:val="24"/>
        </w:rPr>
        <w:t xml:space="preserve"> – PERFIL MENSAL</w:t>
      </w:r>
      <w:bookmarkEnd w:id="714"/>
      <w:bookmarkEnd w:id="715"/>
      <w:bookmarkEnd w:id="716"/>
      <w:bookmarkEnd w:id="717"/>
      <w:r w:rsidR="00F96B73" w:rsidRPr="0097459F">
        <w:rPr>
          <w:rFonts w:asciiTheme="minorHAnsi" w:hAnsiTheme="minorHAnsi" w:cstheme="minorHAnsi"/>
          <w:sz w:val="24"/>
          <w:szCs w:val="24"/>
        </w:rPr>
        <w:t xml:space="preserve"> – FIF</w:t>
      </w:r>
      <w:bookmarkEnd w:id="718"/>
    </w:p>
    <w:p w14:paraId="458EEAB7" w14:textId="2A957A40" w:rsidR="00C20BBD" w:rsidRPr="0097459F" w:rsidRDefault="00C20BBD" w:rsidP="00AF6767">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Conteúdo do perfil mensal</w:t>
      </w:r>
      <w:r w:rsidR="005E7E86">
        <w:rPr>
          <w:rFonts w:asciiTheme="minorHAnsi" w:hAnsiTheme="minorHAnsi" w:cstheme="minorHAnsi"/>
          <w:i/>
          <w:sz w:val="24"/>
          <w:szCs w:val="24"/>
        </w:rPr>
        <w:t xml:space="preserve">, </w:t>
      </w:r>
      <w:r w:rsidR="005E7E86">
        <w:rPr>
          <w:rFonts w:asciiTheme="minorHAnsi" w:eastAsia="Times" w:hAnsiTheme="minorHAnsi" w:cstheme="minorHAnsi"/>
          <w:i/>
          <w:sz w:val="24"/>
          <w:szCs w:val="24"/>
        </w:rPr>
        <w:t>conforme previsto no art. 2º, inciso XV, do Anexo Normativo I da Resolução CVM nº 175, de 2022.</w:t>
      </w:r>
    </w:p>
    <w:p w14:paraId="16CF5A28" w14:textId="77777777" w:rsidR="00C20BBD" w:rsidRPr="0097459F" w:rsidRDefault="00C20BBD" w:rsidP="00AF6767">
      <w:pPr>
        <w:spacing w:after="0" w:line="240" w:lineRule="auto"/>
        <w:ind w:firstLine="709"/>
        <w:rPr>
          <w:rFonts w:asciiTheme="minorHAnsi" w:hAnsiTheme="minorHAnsi" w:cstheme="minorHAnsi"/>
          <w:sz w:val="24"/>
          <w:szCs w:val="24"/>
        </w:rPr>
      </w:pPr>
    </w:p>
    <w:p w14:paraId="2BC264AF" w14:textId="77777777" w:rsidR="00C20BBD" w:rsidRPr="0097459F" w:rsidRDefault="00C20BBD" w:rsidP="00AF6767">
      <w:pPr>
        <w:spacing w:after="0" w:line="240" w:lineRule="auto"/>
        <w:ind w:firstLine="709"/>
        <w:jc w:val="center"/>
        <w:rPr>
          <w:rFonts w:asciiTheme="minorHAnsi" w:hAnsiTheme="minorHAnsi" w:cstheme="minorHAnsi"/>
          <w:b/>
          <w:sz w:val="24"/>
          <w:szCs w:val="24"/>
        </w:rPr>
      </w:pPr>
      <w:r w:rsidRPr="0097459F">
        <w:rPr>
          <w:rFonts w:asciiTheme="minorHAnsi" w:hAnsiTheme="minorHAnsi" w:cstheme="minorHAnsi"/>
          <w:b/>
          <w:sz w:val="24"/>
          <w:szCs w:val="24"/>
        </w:rPr>
        <w:t>PERFIL MENSAL DO [nome de fantasia do fundo e, se for o caso, da classe]</w:t>
      </w:r>
    </w:p>
    <w:p w14:paraId="5B9D513C" w14:textId="77777777" w:rsidR="00C20BBD" w:rsidRPr="0097459F" w:rsidRDefault="00C20BBD" w:rsidP="00AF6767">
      <w:pPr>
        <w:spacing w:after="0" w:line="240" w:lineRule="auto"/>
        <w:ind w:firstLine="709"/>
        <w:jc w:val="center"/>
        <w:rPr>
          <w:rFonts w:asciiTheme="minorHAnsi" w:hAnsiTheme="minorHAnsi" w:cstheme="minorHAnsi"/>
          <w:b/>
          <w:sz w:val="24"/>
          <w:szCs w:val="24"/>
        </w:rPr>
      </w:pPr>
      <w:r w:rsidRPr="0097459F">
        <w:rPr>
          <w:rFonts w:asciiTheme="minorHAnsi" w:hAnsiTheme="minorHAnsi" w:cstheme="minorHAnsi"/>
          <w:b/>
          <w:sz w:val="24"/>
          <w:szCs w:val="24"/>
        </w:rPr>
        <w:t>[CNPJ da classe]</w:t>
      </w:r>
    </w:p>
    <w:p w14:paraId="3D424576" w14:textId="77777777" w:rsidR="00C20BBD" w:rsidRPr="0097459F" w:rsidRDefault="00C20BBD" w:rsidP="00AF6767">
      <w:pPr>
        <w:spacing w:after="0" w:line="240" w:lineRule="auto"/>
        <w:ind w:firstLine="709"/>
        <w:jc w:val="center"/>
        <w:rPr>
          <w:rFonts w:asciiTheme="minorHAnsi" w:hAnsiTheme="minorHAnsi" w:cstheme="minorHAnsi"/>
          <w:b/>
          <w:sz w:val="24"/>
          <w:szCs w:val="24"/>
        </w:rPr>
      </w:pPr>
      <w:r w:rsidRPr="0097459F">
        <w:rPr>
          <w:rFonts w:asciiTheme="minorHAnsi" w:hAnsiTheme="minorHAnsi" w:cstheme="minorHAnsi"/>
          <w:b/>
          <w:sz w:val="24"/>
          <w:szCs w:val="24"/>
        </w:rPr>
        <w:t>Informações referentes a [mês] de [ano]</w:t>
      </w:r>
    </w:p>
    <w:p w14:paraId="326F9177" w14:textId="77777777" w:rsidR="00C20BBD" w:rsidRPr="0097459F" w:rsidRDefault="00C20BBD" w:rsidP="00AF6767">
      <w:pPr>
        <w:pStyle w:val="Ttulo"/>
        <w:ind w:firstLine="709"/>
        <w:jc w:val="both"/>
        <w:rPr>
          <w:rFonts w:asciiTheme="minorHAnsi" w:hAnsiTheme="minorHAnsi" w:cstheme="minorHAnsi"/>
          <w:b w:val="0"/>
          <w:bCs w:val="0"/>
        </w:rPr>
      </w:pPr>
    </w:p>
    <w:tbl>
      <w:tblPr>
        <w:tblW w:w="5130" w:type="pct"/>
        <w:tblInd w:w="2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208"/>
        <w:gridCol w:w="1844"/>
        <w:gridCol w:w="372"/>
        <w:gridCol w:w="213"/>
        <w:gridCol w:w="406"/>
        <w:gridCol w:w="571"/>
        <w:gridCol w:w="420"/>
        <w:gridCol w:w="266"/>
        <w:gridCol w:w="1154"/>
      </w:tblGrid>
      <w:tr w:rsidR="00C20BBD" w:rsidRPr="0097459F" w14:paraId="28B85D04" w14:textId="77777777" w:rsidTr="00ED0447">
        <w:tc>
          <w:tcPr>
            <w:tcW w:w="5000" w:type="pct"/>
            <w:gridSpan w:val="9"/>
            <w:tcBorders>
              <w:top w:val="outset" w:sz="6" w:space="0" w:color="auto"/>
              <w:left w:val="outset" w:sz="6" w:space="0" w:color="auto"/>
              <w:bottom w:val="outset" w:sz="6" w:space="0" w:color="auto"/>
              <w:right w:val="outset" w:sz="6" w:space="0" w:color="auto"/>
            </w:tcBorders>
            <w:shd w:val="clear" w:color="auto" w:fill="FFF8DC"/>
          </w:tcPr>
          <w:p w14:paraId="7D2C54A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b/>
                <w:sz w:val="24"/>
                <w:szCs w:val="24"/>
              </w:rPr>
              <w:t>1) Número de cotistas da classe de cotas no último dia útil do mês de referência, por categoria de cotista:</w:t>
            </w:r>
          </w:p>
        </w:tc>
      </w:tr>
      <w:tr w:rsidR="00C20BBD" w:rsidRPr="0097459F" w14:paraId="43E9D7C1"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43D52DE8"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pessoa natural </w:t>
            </w:r>
            <w:r w:rsidRPr="0097459F">
              <w:rPr>
                <w:rFonts w:asciiTheme="minorHAnsi" w:hAnsiTheme="minorHAnsi" w:cstheme="minorHAnsi"/>
                <w:b/>
                <w:sz w:val="24"/>
                <w:szCs w:val="24"/>
              </w:rPr>
              <w:t>private banking</w:t>
            </w:r>
            <w:r w:rsidRPr="0097459F">
              <w:rPr>
                <w:rFonts w:asciiTheme="minorHAnsi" w:hAnsiTheme="minorHAnsi" w:cstheme="minorHAnsi"/>
                <w:sz w:val="24"/>
                <w:szCs w:val="24"/>
              </w:rPr>
              <w:t>;</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644EF3BF"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7B53AC79"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7D06DA21"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pessoa natural varejo;</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0AEB2E16"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4ABDAE5A"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540C9DC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pessoa jurídica não financeira </w:t>
            </w:r>
            <w:r w:rsidRPr="0097459F">
              <w:rPr>
                <w:rFonts w:asciiTheme="minorHAnsi" w:hAnsiTheme="minorHAnsi" w:cstheme="minorHAnsi"/>
                <w:b/>
                <w:sz w:val="24"/>
                <w:szCs w:val="24"/>
              </w:rPr>
              <w:t>private banking</w:t>
            </w:r>
            <w:r w:rsidRPr="0097459F">
              <w:rPr>
                <w:rFonts w:asciiTheme="minorHAnsi" w:hAnsiTheme="minorHAnsi" w:cstheme="minorHAnsi"/>
                <w:sz w:val="24"/>
                <w:szCs w:val="24"/>
              </w:rPr>
              <w:t>;</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030DFD5E"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00C35578"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69D69D2B"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banco comercial;</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69586FBB"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71DF02CF"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60B28BB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corretora ou distribuidora;</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3CA71BB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142833FE"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137BBC68"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outras pessoas jurídicas financeiras;</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0CF7A95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3D242E79"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655F5264"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investidores não residentes;</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14E8AC3C"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18B7D137"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3017A60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entidade aberta de previdência complementar;</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1649651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07CE568E"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5EE1E4C0"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entidade fechada de previdência complementar;</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1B11755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3DE8C776"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11DB4CEC"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regime próprio de previdência dos servidores públicos;</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2522AA3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2DF2CB06"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2638DEA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sociedade seguradora ou resseguradora;</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6EC2458B"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0E0F71CE"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566383D0"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sociedade de capitalização e de arrendamento mercantil;</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42C4AC36"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1CB6F2A6"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018DABAE"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Fundos e clubes de investimento;</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32FFDC66"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2FF8CFD9"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3187951F"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clientes de distribuidores do da classe (distribuição por conta e ordem);</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39709B0B"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4DABE589"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774A87B4"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outros tipos de cotistas não relacionados.</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0144F65C"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2D080166" w14:textId="77777777" w:rsidTr="00ED0447">
        <w:tc>
          <w:tcPr>
            <w:tcW w:w="5000" w:type="pct"/>
            <w:gridSpan w:val="9"/>
            <w:tcBorders>
              <w:top w:val="outset" w:sz="6" w:space="0" w:color="auto"/>
              <w:left w:val="outset" w:sz="6" w:space="0" w:color="auto"/>
              <w:bottom w:val="outset" w:sz="6" w:space="0" w:color="auto"/>
              <w:right w:val="outset" w:sz="6" w:space="0" w:color="auto"/>
            </w:tcBorders>
            <w:shd w:val="clear" w:color="auto" w:fill="FAEFCA"/>
          </w:tcPr>
          <w:p w14:paraId="5691A8DD"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b/>
                <w:sz w:val="24"/>
                <w:szCs w:val="24"/>
              </w:rPr>
              <w:t>2) Distribuição percentual do patrimônio no último dia útil do mês de referência, por categoria de cliente cotista:</w:t>
            </w:r>
          </w:p>
        </w:tc>
      </w:tr>
      <w:tr w:rsidR="00C20BBD" w:rsidRPr="0097459F" w14:paraId="49DF8FAC"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72A7B1A"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pessoa natural </w:t>
            </w:r>
            <w:r w:rsidRPr="0097459F">
              <w:rPr>
                <w:rFonts w:asciiTheme="minorHAnsi" w:hAnsiTheme="minorHAnsi" w:cstheme="minorHAnsi"/>
                <w:b/>
                <w:sz w:val="24"/>
                <w:szCs w:val="24"/>
              </w:rPr>
              <w:t>private banking</w:t>
            </w:r>
            <w:r w:rsidRPr="0097459F">
              <w:rPr>
                <w:rFonts w:asciiTheme="minorHAnsi" w:hAnsiTheme="minorHAnsi" w:cstheme="minorHAnsi"/>
                <w:sz w:val="24"/>
                <w:szCs w:val="24"/>
              </w:rPr>
              <w:t>;</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23C14E24"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4EB5CDFF"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097961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pessoa natural varejo;</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72660409"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629ECC2A"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FAC8BE0"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pessoa jurídica não financeira </w:t>
            </w:r>
            <w:r w:rsidRPr="0097459F">
              <w:rPr>
                <w:rFonts w:asciiTheme="minorHAnsi" w:hAnsiTheme="minorHAnsi" w:cstheme="minorHAnsi"/>
                <w:b/>
                <w:sz w:val="24"/>
                <w:szCs w:val="24"/>
              </w:rPr>
              <w:t>private banking</w:t>
            </w:r>
            <w:r w:rsidRPr="0097459F">
              <w:rPr>
                <w:rFonts w:asciiTheme="minorHAnsi" w:hAnsiTheme="minorHAnsi" w:cstheme="minorHAnsi"/>
                <w:sz w:val="24"/>
                <w:szCs w:val="24"/>
              </w:rPr>
              <w:t>;</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097EDADB"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2CC12FF5"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010B417A"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pessoa jurídica não financeira varejo;</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27DB8D1C"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39CB61E6"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0A59A59B"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lastRenderedPageBreak/>
              <w:t>banco comercial;</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2C32F41A"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20DCF85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4A778B95"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corretora ou distribuidora;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732BF2C"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69F7BBD5"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582FF70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outras pessoas jurídicas financeiras;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43247DB7"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685A0A10"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5FEDB8DD"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investidores não residentes;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3DD9D1FF"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7B99210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6140ED44"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entidade aberta de previdência complementar;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12DB214C"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2892E2F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3C95AB4B"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entidade fechada de previdência complementar;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54D91F4E"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492C907C"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61A8363"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regime próprio de previdência dos servidores públicos;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22F3C63"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45D50E96"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4DAFBBD0"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sociedade seguradora ou resseguradora;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9C50170"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2227A9FF"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199D75B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sociedade de capitalização e de arrendamento mercantil;</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48B9FCE5"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05AB8B7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66B15614"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fundos e clubes de investimento;</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3C40312E"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1577CD2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1129207"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clientes de distribuidores (distribuição por conta e ordem);</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078CDB0"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7C2278D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30062072"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outros tipos de cotistas não relacionados.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76176FA1"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37B343E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5183760C"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3) Caso o a classe possua política de exercício de direito de voto, apresentar resumo do teor dos votos proferidos pelo administrador, gestor ou por seus representantes, nas assembleias gerais e especiais das companhias nas quais o a classe detenha participação, que tenham sido realizadas no período</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3B549A61"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Campo texto - 4.000 caracteres</w:t>
            </w:r>
          </w:p>
        </w:tc>
      </w:tr>
      <w:tr w:rsidR="00C20BBD" w:rsidRPr="0097459F" w14:paraId="235DC68F"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73416F8D"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4) Caso o a classe possua política de exercício de direito de voto, apresentar justificativa sumária do voto proferido, ou as razões sumárias para a sua abstenção ou não comparecimento à assembleia geral</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3061649E"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Campo texto - 4.000 caracteres</w:t>
            </w:r>
          </w:p>
        </w:tc>
      </w:tr>
      <w:tr w:rsidR="00C20BBD" w:rsidRPr="0097459F" w14:paraId="5B4AB3D4"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5F97288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lastRenderedPageBreak/>
              <w:t>5) Qual é o VAR (valor de risco) de um dia como percentual do PL calculado para 21 dias úteis e 95% de confiança?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44FA8EF2"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Numérico com 4 casas decimais</w:t>
            </w:r>
          </w:p>
        </w:tc>
      </w:tr>
      <w:tr w:rsidR="00C20BBD" w:rsidRPr="0097459F" w14:paraId="3270D693"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5BE1A4A8"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6) Qual classe de modelos foi utilizada para o cálculo do VAR reportado na questão anterior?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7A76964C"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Paramétrico/ Não-paramétrico/ Simulação de Monte Carlo</w:t>
            </w:r>
          </w:p>
        </w:tc>
      </w:tr>
      <w:tr w:rsidR="00C20BBD" w:rsidRPr="0097459F" w14:paraId="60CB9023"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2DE48DB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7) No último dia útil do mês de referência, qual o prazo médio da carteira de ativos? (em meses (30 dias) e calculado de acordo com a metodologia regulamentada pela RFB)</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341D3D75"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Numérico com 4 casas decimais</w:t>
            </w:r>
          </w:p>
        </w:tc>
      </w:tr>
      <w:tr w:rsidR="00C20BBD" w:rsidRPr="0097459F" w14:paraId="0B9FC160"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7C65785C"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8) Caso tenha sido realizada, no mês de referência, alguma assembleia geral/especial de cotistas do fundo/da classe, relatar resumidamente as principais deliberações aprovadas.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5BC765F8"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Campo texto - 4.000 caracteres</w:t>
            </w:r>
          </w:p>
        </w:tc>
      </w:tr>
      <w:tr w:rsidR="00C20BBD" w:rsidRPr="0097459F" w14:paraId="4E1F7DED"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0ACA3108"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9) Total de recursos (em US$) enviados para o exterior para aquisição de ativos - Valor total dos contratos de compra de US$ liquidados no mês.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09C7B961"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Numérico com 2 casas decimais</w:t>
            </w:r>
          </w:p>
        </w:tc>
      </w:tr>
      <w:tr w:rsidR="00C20BBD" w:rsidRPr="0097459F" w14:paraId="550D7D39"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92ED613"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10) Total de recursos (em US$) ingressados no Brasil referente à venda de ativos - Total de contratos de venda de US$ liquidados no mês.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04D75CBD"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Numérico com 2 casas decimais</w:t>
            </w:r>
          </w:p>
        </w:tc>
      </w:tr>
      <w:tr w:rsidR="00C20BBD" w:rsidRPr="0097459F" w14:paraId="5234F9EC"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0189E740" w14:textId="48F8AABE" w:rsidR="00C20BBD" w:rsidRPr="0097459F" w:rsidRDefault="00C20BBD" w:rsidP="00067149">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11) Considerando os cenários de estresse definidos pela </w:t>
            </w:r>
            <w:r w:rsidR="00067149">
              <w:rPr>
                <w:rFonts w:asciiTheme="minorHAnsi" w:hAnsiTheme="minorHAnsi" w:cstheme="minorHAnsi"/>
                <w:sz w:val="24"/>
                <w:szCs w:val="24"/>
              </w:rPr>
              <w:t>B3</w:t>
            </w:r>
            <w:r w:rsidRPr="0097459F">
              <w:rPr>
                <w:rFonts w:asciiTheme="minorHAnsi" w:hAnsiTheme="minorHAnsi" w:cstheme="minorHAnsi"/>
                <w:sz w:val="24"/>
                <w:szCs w:val="24"/>
              </w:rPr>
              <w:t xml:space="preserve"> para os fatores primitivos de risco (FPR) que gerem o pior resultado para o fundo, qual a variação diária percentual esperada para o valor da cota. Especificar quais foram os cenários adotados da </w:t>
            </w:r>
            <w:r w:rsidR="00067149">
              <w:rPr>
                <w:rFonts w:asciiTheme="minorHAnsi" w:hAnsiTheme="minorHAnsi" w:cstheme="minorHAnsi"/>
                <w:sz w:val="24"/>
                <w:szCs w:val="24"/>
              </w:rPr>
              <w:t>B3</w:t>
            </w:r>
            <w:r w:rsidRPr="0097459F">
              <w:rPr>
                <w:rFonts w:asciiTheme="minorHAnsi" w:hAnsiTheme="minorHAnsi" w:cstheme="minorHAnsi"/>
                <w:sz w:val="24"/>
                <w:szCs w:val="24"/>
              </w:rPr>
              <w:t xml:space="preserve">. </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tbl>
            <w:tblPr>
              <w:tblW w:w="512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536"/>
              <w:gridCol w:w="1678"/>
              <w:gridCol w:w="2084"/>
            </w:tblGrid>
            <w:tr w:rsidR="00C20BBD" w:rsidRPr="0097459F" w14:paraId="4E423DB5" w14:textId="77777777" w:rsidTr="00ED0447">
              <w:trPr>
                <w:trHeight w:val="169"/>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2279392D"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Fator primitivo de risco</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1F932C4C"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Cenário utilizado</w:t>
                  </w:r>
                </w:p>
              </w:tc>
              <w:tc>
                <w:tcPr>
                  <w:tcW w:w="1003" w:type="pct"/>
                  <w:vMerge w:val="restart"/>
                  <w:tcBorders>
                    <w:top w:val="outset" w:sz="6" w:space="0" w:color="auto"/>
                    <w:left w:val="outset" w:sz="6" w:space="0" w:color="auto"/>
                    <w:right w:val="outset" w:sz="6" w:space="0" w:color="auto"/>
                  </w:tcBorders>
                  <w:shd w:val="clear" w:color="auto" w:fill="FAEFCA"/>
                </w:tcPr>
                <w:p w14:paraId="6C172062" w14:textId="77777777" w:rsidR="00C20BBD" w:rsidRPr="0097459F" w:rsidRDefault="00C20BBD" w:rsidP="00AF6767">
                  <w:pPr>
                    <w:spacing w:after="0" w:line="240" w:lineRule="auto"/>
                    <w:jc w:val="center"/>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643E545D" w14:textId="77777777" w:rsidTr="00ED0447">
              <w:trPr>
                <w:trHeight w:val="164"/>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5E4632C7"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IBOVESPA</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4616D6F5"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right w:val="outset" w:sz="6" w:space="0" w:color="auto"/>
                  </w:tcBorders>
                  <w:shd w:val="clear" w:color="auto" w:fill="FAEFCA"/>
                </w:tcPr>
                <w:p w14:paraId="75414699" w14:textId="77777777" w:rsidR="00C20BBD" w:rsidRPr="0097459F" w:rsidRDefault="00C20BBD" w:rsidP="00AF6767">
                  <w:pPr>
                    <w:spacing w:after="0" w:line="240" w:lineRule="auto"/>
                    <w:jc w:val="center"/>
                    <w:rPr>
                      <w:rFonts w:asciiTheme="minorHAnsi" w:hAnsiTheme="minorHAnsi" w:cstheme="minorHAnsi"/>
                      <w:sz w:val="24"/>
                      <w:szCs w:val="24"/>
                    </w:rPr>
                  </w:pPr>
                </w:p>
              </w:tc>
            </w:tr>
            <w:tr w:rsidR="00C20BBD" w:rsidRPr="0097459F" w14:paraId="3397D344" w14:textId="77777777" w:rsidTr="00ED0447">
              <w:trPr>
                <w:trHeight w:val="164"/>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46376C7F"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Juros –Pré</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574A0F83"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right w:val="outset" w:sz="6" w:space="0" w:color="auto"/>
                  </w:tcBorders>
                  <w:shd w:val="clear" w:color="auto" w:fill="FAEFCA"/>
                </w:tcPr>
                <w:p w14:paraId="4F420A74" w14:textId="77777777" w:rsidR="00C20BBD" w:rsidRPr="0097459F" w:rsidRDefault="00C20BBD" w:rsidP="00AF6767">
                  <w:pPr>
                    <w:spacing w:after="0" w:line="240" w:lineRule="auto"/>
                    <w:jc w:val="center"/>
                    <w:rPr>
                      <w:rFonts w:asciiTheme="minorHAnsi" w:hAnsiTheme="minorHAnsi" w:cstheme="minorHAnsi"/>
                      <w:sz w:val="24"/>
                      <w:szCs w:val="24"/>
                    </w:rPr>
                  </w:pPr>
                </w:p>
              </w:tc>
            </w:tr>
            <w:tr w:rsidR="00C20BBD" w:rsidRPr="0097459F" w14:paraId="6AA837D9" w14:textId="77777777" w:rsidTr="00ED0447">
              <w:trPr>
                <w:trHeight w:val="164"/>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6290AA59"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Cupom Cambial</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62E3FF95"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right w:val="outset" w:sz="6" w:space="0" w:color="auto"/>
                  </w:tcBorders>
                  <w:shd w:val="clear" w:color="auto" w:fill="FAEFCA"/>
                </w:tcPr>
                <w:p w14:paraId="5FD0DC81" w14:textId="77777777" w:rsidR="00C20BBD" w:rsidRPr="0097459F" w:rsidRDefault="00C20BBD" w:rsidP="00AF6767">
                  <w:pPr>
                    <w:spacing w:after="0" w:line="240" w:lineRule="auto"/>
                    <w:jc w:val="center"/>
                    <w:rPr>
                      <w:rFonts w:asciiTheme="minorHAnsi" w:hAnsiTheme="minorHAnsi" w:cstheme="minorHAnsi"/>
                      <w:sz w:val="24"/>
                      <w:szCs w:val="24"/>
                    </w:rPr>
                  </w:pPr>
                </w:p>
              </w:tc>
            </w:tr>
            <w:tr w:rsidR="00C20BBD" w:rsidRPr="0097459F" w14:paraId="7937CA30" w14:textId="77777777" w:rsidTr="00ED0447">
              <w:trPr>
                <w:trHeight w:val="164"/>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52736AC1"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Dólar</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30D34FAC"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right w:val="outset" w:sz="6" w:space="0" w:color="auto"/>
                  </w:tcBorders>
                  <w:shd w:val="clear" w:color="auto" w:fill="FAEFCA"/>
                </w:tcPr>
                <w:p w14:paraId="35A43FFE" w14:textId="77777777" w:rsidR="00C20BBD" w:rsidRPr="0097459F" w:rsidRDefault="00C20BBD" w:rsidP="00AF6767">
                  <w:pPr>
                    <w:spacing w:after="0" w:line="240" w:lineRule="auto"/>
                    <w:jc w:val="center"/>
                    <w:rPr>
                      <w:rFonts w:asciiTheme="minorHAnsi" w:hAnsiTheme="minorHAnsi" w:cstheme="minorHAnsi"/>
                      <w:sz w:val="24"/>
                      <w:szCs w:val="24"/>
                    </w:rPr>
                  </w:pPr>
                </w:p>
              </w:tc>
            </w:tr>
            <w:tr w:rsidR="00C20BBD" w:rsidRPr="0097459F" w14:paraId="6051E8BF" w14:textId="77777777" w:rsidTr="00ED0447">
              <w:trPr>
                <w:trHeight w:val="342"/>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6C548840"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Outros (especificar)</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01FBDFFD"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bottom w:val="outset" w:sz="6" w:space="0" w:color="auto"/>
                    <w:right w:val="outset" w:sz="6" w:space="0" w:color="auto"/>
                  </w:tcBorders>
                  <w:shd w:val="clear" w:color="auto" w:fill="FAEFCA"/>
                </w:tcPr>
                <w:p w14:paraId="36CC8D35" w14:textId="77777777" w:rsidR="00C20BBD" w:rsidRPr="0097459F" w:rsidRDefault="00C20BBD" w:rsidP="00AF6767">
                  <w:pPr>
                    <w:spacing w:after="0" w:line="240" w:lineRule="auto"/>
                    <w:jc w:val="center"/>
                    <w:rPr>
                      <w:rFonts w:asciiTheme="minorHAnsi" w:hAnsiTheme="minorHAnsi" w:cstheme="minorHAnsi"/>
                      <w:sz w:val="24"/>
                      <w:szCs w:val="24"/>
                    </w:rPr>
                  </w:pPr>
                </w:p>
              </w:tc>
            </w:tr>
          </w:tbl>
          <w:p w14:paraId="415AC499" w14:textId="77777777" w:rsidR="00C20BBD" w:rsidRPr="0097459F" w:rsidRDefault="00C20BBD" w:rsidP="00AF6767">
            <w:pPr>
              <w:spacing w:after="0" w:line="240" w:lineRule="auto"/>
              <w:ind w:left="76"/>
              <w:rPr>
                <w:rFonts w:asciiTheme="minorHAnsi" w:hAnsiTheme="minorHAnsi" w:cstheme="minorHAnsi"/>
                <w:sz w:val="24"/>
                <w:szCs w:val="24"/>
              </w:rPr>
            </w:pPr>
          </w:p>
        </w:tc>
      </w:tr>
      <w:tr w:rsidR="00C20BBD" w:rsidRPr="0097459F" w14:paraId="5DB040A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5564B27E"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12) Qual a variação diária percentual esperada para o valor da cota no pior cenário de estresse definido pelo seu administrador.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13206ADC"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50C452B4"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4DAD327D"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 xml:space="preserve">13) Qual a variação diária percentual esperada para o patrimônio caso ocorra uma variação </w:t>
            </w:r>
            <w:r w:rsidRPr="0097459F">
              <w:rPr>
                <w:rFonts w:asciiTheme="minorHAnsi" w:hAnsiTheme="minorHAnsi" w:cstheme="minorHAnsi"/>
                <w:sz w:val="24"/>
                <w:szCs w:val="24"/>
              </w:rPr>
              <w:lastRenderedPageBreak/>
              <w:t>negativa de 1% na taxa anual de juros (pré). Considerar o último dia útil do mês de referência.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0876CDDD"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lastRenderedPageBreak/>
              <w:t>% PL numérico com duas casas decimais.</w:t>
            </w:r>
          </w:p>
        </w:tc>
      </w:tr>
      <w:tr w:rsidR="00C20BBD" w:rsidRPr="0097459F" w14:paraId="64BD3EE6"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16A59ECE"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14) Qual a variação diária percentual esperada para o patrimônio caso ocorra uma variação negativa de 1% na taxa de câmbio (US$/Real). Considerar o último dia útil do mês de referência.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ACA0F63"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1A302972"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4B22FA29"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15) Qual a variação diária percentual esperada para o patrimônio caso ocorra uma variação negativa de 1% no preço das ações (IBOVESPA). Considerar o último dia útil do mês de referência.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17E3D35C"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4A5168C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44B2B6A8"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16) Qual a variação diária percentual esperada para o patrimônio caso ocorra uma variação negativa de 1% no principal fator de risco a que o fundo/a classe está exposto, caso não seja nenhum dos 3 citados anteriormente (juros, câmbio, bolsa). Considerar o último dia útil do mês de referência. Informar também qual foi o fator de risco considerado.</w:t>
            </w:r>
          </w:p>
        </w:tc>
        <w:tc>
          <w:tcPr>
            <w:tcW w:w="882" w:type="pct"/>
            <w:tcBorders>
              <w:top w:val="outset" w:sz="6" w:space="0" w:color="auto"/>
              <w:left w:val="outset" w:sz="6" w:space="0" w:color="auto"/>
              <w:bottom w:val="outset" w:sz="6" w:space="0" w:color="auto"/>
              <w:right w:val="outset" w:sz="6" w:space="0" w:color="auto"/>
            </w:tcBorders>
            <w:shd w:val="clear" w:color="auto" w:fill="FAEFCA"/>
          </w:tcPr>
          <w:p w14:paraId="1716265F"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Indicar o fator de risco.</w:t>
            </w:r>
          </w:p>
        </w:tc>
        <w:tc>
          <w:tcPr>
            <w:tcW w:w="1627" w:type="pct"/>
            <w:gridSpan w:val="7"/>
            <w:tcBorders>
              <w:top w:val="outset" w:sz="6" w:space="0" w:color="auto"/>
              <w:left w:val="outset" w:sz="6" w:space="0" w:color="auto"/>
              <w:bottom w:val="outset" w:sz="6" w:space="0" w:color="auto"/>
              <w:right w:val="outset" w:sz="6" w:space="0" w:color="auto"/>
            </w:tcBorders>
            <w:shd w:val="clear" w:color="auto" w:fill="FAEFCA"/>
          </w:tcPr>
          <w:p w14:paraId="47CACE19"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5BDD10A0" w14:textId="77777777" w:rsidTr="00ED0447">
        <w:tc>
          <w:tcPr>
            <w:tcW w:w="2491" w:type="pct"/>
            <w:vMerge w:val="restart"/>
            <w:tcBorders>
              <w:top w:val="outset" w:sz="6" w:space="0" w:color="auto"/>
              <w:left w:val="outset" w:sz="6" w:space="0" w:color="auto"/>
              <w:right w:val="single" w:sz="4" w:space="0" w:color="auto"/>
            </w:tcBorders>
            <w:shd w:val="clear" w:color="auto" w:fill="FFF8DC"/>
          </w:tcPr>
          <w:p w14:paraId="302D7003"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17) Qual o valor nocional total de todos os contratos derivativos negociados em balcão mantidos pelo fundo/pela classe, em % do patrimônio líquido, conforme tabela (informar valor numérico inteiro, contemplando a soma dos nocionais em módulo).</w:t>
            </w: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5A2EF523"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Fator de Risco</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567F1595"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Long</w:t>
            </w: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646BD51C"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Short</w:t>
            </w:r>
          </w:p>
        </w:tc>
        <w:tc>
          <w:tcPr>
            <w:tcW w:w="678" w:type="pct"/>
            <w:gridSpan w:val="2"/>
            <w:tcBorders>
              <w:top w:val="single" w:sz="4" w:space="0" w:color="auto"/>
              <w:left w:val="single" w:sz="4" w:space="0" w:color="auto"/>
              <w:bottom w:val="single" w:sz="4" w:space="0" w:color="auto"/>
              <w:right w:val="single" w:sz="4" w:space="0" w:color="auto"/>
            </w:tcBorders>
            <w:shd w:val="clear" w:color="auto" w:fill="FFF8DC"/>
          </w:tcPr>
          <w:p w14:paraId="17DB872A"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Colateral</w:t>
            </w:r>
          </w:p>
        </w:tc>
      </w:tr>
      <w:tr w:rsidR="00C20BBD" w:rsidRPr="0097459F" w14:paraId="5672C9D0" w14:textId="77777777" w:rsidTr="00ED0447">
        <w:tc>
          <w:tcPr>
            <w:tcW w:w="2491" w:type="pct"/>
            <w:vMerge/>
          </w:tcPr>
          <w:p w14:paraId="4AD3B712"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37230B6D"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IBOVESPA</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567A1EED"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26014B22"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1AAC1372"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376F2AF4" w14:textId="77777777" w:rsidTr="00ED0447">
        <w:tc>
          <w:tcPr>
            <w:tcW w:w="2491" w:type="pct"/>
            <w:vMerge/>
          </w:tcPr>
          <w:p w14:paraId="0CB522C2"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1C031910"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Juros - Pré</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3DE53136"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1C9DB983"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E2A8B6"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1FAC055A" w14:textId="77777777" w:rsidTr="00ED0447">
        <w:tc>
          <w:tcPr>
            <w:tcW w:w="2491" w:type="pct"/>
            <w:vMerge/>
          </w:tcPr>
          <w:p w14:paraId="3ECFAE81"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406658DD"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Cupom Cambial</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316BF37F"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1569277B"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E1C5313"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7415327D" w14:textId="77777777" w:rsidTr="00ED0447">
        <w:tc>
          <w:tcPr>
            <w:tcW w:w="2491" w:type="pct"/>
            <w:vMerge/>
          </w:tcPr>
          <w:p w14:paraId="25561481"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725D654A" w14:textId="77777777" w:rsidR="00C20BBD" w:rsidRPr="0097459F" w:rsidRDefault="00C20BBD" w:rsidP="00F6174B">
            <w:pPr>
              <w:spacing w:before="120" w:after="120" w:line="240" w:lineRule="auto"/>
              <w:ind w:right="141"/>
              <w:rPr>
                <w:rFonts w:asciiTheme="minorHAnsi" w:hAnsiTheme="minorHAnsi" w:cstheme="minorHAnsi"/>
                <w:sz w:val="24"/>
                <w:szCs w:val="24"/>
              </w:rPr>
            </w:pPr>
            <w:r w:rsidRPr="0097459F">
              <w:rPr>
                <w:rFonts w:asciiTheme="minorHAnsi" w:hAnsiTheme="minorHAnsi" w:cstheme="minorHAnsi"/>
                <w:sz w:val="24"/>
                <w:szCs w:val="24"/>
              </w:rPr>
              <w:t xml:space="preserve"> Dólar</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0403AC37"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1BF275DA"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3F9FE4B1"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727A2C90" w14:textId="77777777" w:rsidTr="00ED0447">
        <w:tc>
          <w:tcPr>
            <w:tcW w:w="2491" w:type="pct"/>
            <w:vMerge/>
          </w:tcPr>
          <w:p w14:paraId="6C3EDD98"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42C7F78C"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Outros (especificar)</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0C707BEC"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524EB9D7"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313C5448"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7275A81B" w14:textId="77777777" w:rsidTr="00ED0447">
        <w:tc>
          <w:tcPr>
            <w:tcW w:w="2491" w:type="pct"/>
            <w:vMerge/>
          </w:tcPr>
          <w:p w14:paraId="540C8B6B"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outset" w:sz="6" w:space="0" w:color="auto"/>
              <w:bottom w:val="outset" w:sz="6" w:space="0" w:color="auto"/>
              <w:right w:val="outset" w:sz="6" w:space="0" w:color="auto"/>
            </w:tcBorders>
            <w:shd w:val="clear" w:color="auto" w:fill="FFF8DC"/>
          </w:tcPr>
          <w:p w14:paraId="004D7280" w14:textId="77777777" w:rsidR="00C20BBD" w:rsidRPr="0097459F" w:rsidRDefault="00C20BBD" w:rsidP="00F6174B">
            <w:pPr>
              <w:spacing w:before="120" w:after="120" w:line="240" w:lineRule="auto"/>
              <w:ind w:left="76" w:right="141" w:firstLine="709"/>
              <w:rPr>
                <w:rFonts w:asciiTheme="minorHAnsi" w:hAnsiTheme="minorHAnsi" w:cstheme="minorHAnsi"/>
                <w:sz w:val="24"/>
                <w:szCs w:val="24"/>
              </w:rPr>
            </w:pPr>
            <w:r w:rsidRPr="0097459F">
              <w:rPr>
                <w:rFonts w:asciiTheme="minorHAnsi" w:hAnsiTheme="minorHAnsi" w:cstheme="minorHAnsi"/>
                <w:sz w:val="24"/>
                <w:szCs w:val="24"/>
              </w:rPr>
              <w:t>Totais</w:t>
            </w:r>
          </w:p>
        </w:tc>
        <w:tc>
          <w:tcPr>
            <w:tcW w:w="474" w:type="pct"/>
            <w:gridSpan w:val="3"/>
            <w:tcBorders>
              <w:top w:val="single" w:sz="4" w:space="0" w:color="auto"/>
              <w:left w:val="outset" w:sz="6" w:space="0" w:color="auto"/>
              <w:bottom w:val="outset" w:sz="6" w:space="0" w:color="auto"/>
              <w:right w:val="outset" w:sz="6" w:space="0" w:color="auto"/>
            </w:tcBorders>
            <w:shd w:val="clear" w:color="auto" w:fill="FFF8DC"/>
          </w:tcPr>
          <w:p w14:paraId="362E37D2"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outset" w:sz="6" w:space="0" w:color="auto"/>
              <w:bottom w:val="outset" w:sz="6" w:space="0" w:color="auto"/>
              <w:right w:val="outset" w:sz="6" w:space="0" w:color="auto"/>
            </w:tcBorders>
            <w:shd w:val="clear" w:color="auto" w:fill="FFF8DC"/>
          </w:tcPr>
          <w:p w14:paraId="26204A49"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outset" w:sz="6" w:space="0" w:color="auto"/>
              <w:bottom w:val="outset" w:sz="6" w:space="0" w:color="auto"/>
              <w:right w:val="outset" w:sz="6" w:space="0" w:color="auto"/>
            </w:tcBorders>
            <w:shd w:val="clear" w:color="auto" w:fill="FFF8DC"/>
          </w:tcPr>
          <w:p w14:paraId="3FCE8FF6"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7DB8C318" w14:textId="77777777" w:rsidTr="00ED0447">
        <w:trPr>
          <w:trHeight w:val="305"/>
        </w:trPr>
        <w:tc>
          <w:tcPr>
            <w:tcW w:w="2491" w:type="pct"/>
            <w:vMerge w:val="restart"/>
            <w:tcBorders>
              <w:top w:val="outset" w:sz="6" w:space="0" w:color="auto"/>
              <w:left w:val="outset" w:sz="6" w:space="0" w:color="auto"/>
              <w:right w:val="outset" w:sz="6" w:space="0" w:color="auto"/>
            </w:tcBorders>
            <w:shd w:val="clear" w:color="auto" w:fill="FAEFCA"/>
          </w:tcPr>
          <w:p w14:paraId="26BF088C" w14:textId="5D57BDD4" w:rsidR="00C20BBD" w:rsidRPr="0097459F" w:rsidRDefault="00C20BBD" w:rsidP="00E859D6">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18) Para operações cursadas em mercado de balcão, sem garantia de contraparte central, identifique os 3 maiores comitentes que atuaram como contraparte </w:t>
            </w:r>
            <w:r w:rsidRPr="0097459F">
              <w:rPr>
                <w:rFonts w:asciiTheme="minorHAnsi" w:hAnsiTheme="minorHAnsi" w:cstheme="minorHAnsi"/>
                <w:sz w:val="24"/>
                <w:szCs w:val="24"/>
              </w:rPr>
              <w:lastRenderedPageBreak/>
              <w:t xml:space="preserve">da classe, informando o seu CPF/CNPJ, se é parte relacionada ao administrador ou gestor e o valor total das operações realizadas no mês por contraparte. O termo “parte relacionada” é aquele do art. </w:t>
            </w:r>
            <w:r w:rsidR="00E859D6">
              <w:rPr>
                <w:rFonts w:asciiTheme="minorHAnsi" w:hAnsiTheme="minorHAnsi" w:cstheme="minorHAnsi"/>
                <w:sz w:val="24"/>
                <w:szCs w:val="24"/>
              </w:rPr>
              <w:t>3º</w:t>
            </w:r>
            <w:r w:rsidRPr="0097459F">
              <w:rPr>
                <w:rFonts w:asciiTheme="minorHAnsi" w:hAnsiTheme="minorHAnsi" w:cstheme="minorHAnsi"/>
                <w:sz w:val="24"/>
                <w:szCs w:val="24"/>
              </w:rPr>
              <w:t xml:space="preserve">, inciso </w:t>
            </w:r>
            <w:r w:rsidR="00E859D6">
              <w:rPr>
                <w:rFonts w:asciiTheme="minorHAnsi" w:hAnsiTheme="minorHAnsi" w:cstheme="minorHAnsi"/>
                <w:sz w:val="24"/>
                <w:szCs w:val="24"/>
              </w:rPr>
              <w:t>XXIX</w:t>
            </w:r>
            <w:r w:rsidRPr="0097459F">
              <w:rPr>
                <w:rFonts w:asciiTheme="minorHAnsi" w:hAnsiTheme="minorHAnsi" w:cstheme="minorHAnsi"/>
                <w:sz w:val="24"/>
                <w:szCs w:val="24"/>
              </w:rPr>
              <w:t xml:space="preserve">, </w:t>
            </w:r>
            <w:r w:rsidR="00E859D6">
              <w:rPr>
                <w:rFonts w:asciiTheme="minorHAnsi" w:hAnsiTheme="minorHAnsi" w:cstheme="minorHAnsi"/>
                <w:sz w:val="24"/>
                <w:szCs w:val="24"/>
              </w:rPr>
              <w:t>d</w:t>
            </w:r>
            <w:r w:rsidRPr="0097459F">
              <w:rPr>
                <w:rFonts w:asciiTheme="minorHAnsi" w:hAnsiTheme="minorHAnsi" w:cstheme="minorHAnsi"/>
                <w:sz w:val="24"/>
                <w:szCs w:val="24"/>
              </w:rPr>
              <w:t xml:space="preserve">a </w:t>
            </w:r>
            <w:r w:rsidR="00E859D6">
              <w:rPr>
                <w:rFonts w:asciiTheme="minorHAnsi" w:hAnsiTheme="minorHAnsi" w:cstheme="minorHAnsi"/>
                <w:sz w:val="24"/>
                <w:szCs w:val="24"/>
              </w:rPr>
              <w:t xml:space="preserve">parte geral da </w:t>
            </w:r>
            <w:r w:rsidRPr="0097459F">
              <w:rPr>
                <w:rFonts w:asciiTheme="minorHAnsi" w:hAnsiTheme="minorHAnsi" w:cstheme="minorHAnsi"/>
                <w:sz w:val="24"/>
                <w:szCs w:val="24"/>
              </w:rPr>
              <w:t>Resolução.</w:t>
            </w:r>
          </w:p>
        </w:tc>
        <w:tc>
          <w:tcPr>
            <w:tcW w:w="1059" w:type="pct"/>
            <w:gridSpan w:val="2"/>
            <w:tcBorders>
              <w:top w:val="outset" w:sz="6" w:space="0" w:color="auto"/>
              <w:left w:val="outset" w:sz="6" w:space="0" w:color="auto"/>
              <w:bottom w:val="outset" w:sz="6" w:space="0" w:color="auto"/>
              <w:right w:val="outset" w:sz="6" w:space="0" w:color="auto"/>
            </w:tcBorders>
            <w:shd w:val="clear" w:color="auto" w:fill="FAEFCA"/>
          </w:tcPr>
          <w:p w14:paraId="09B7BCB4"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lastRenderedPageBreak/>
              <w:t>Comitente (CPF/CNPJ)</w:t>
            </w:r>
          </w:p>
        </w:tc>
        <w:tc>
          <w:tcPr>
            <w:tcW w:w="569" w:type="pct"/>
            <w:gridSpan w:val="3"/>
            <w:tcBorders>
              <w:top w:val="outset" w:sz="6" w:space="0" w:color="auto"/>
              <w:left w:val="outset" w:sz="6" w:space="0" w:color="auto"/>
              <w:bottom w:val="outset" w:sz="6" w:space="0" w:color="auto"/>
              <w:right w:val="outset" w:sz="6" w:space="0" w:color="auto"/>
            </w:tcBorders>
            <w:shd w:val="clear" w:color="auto" w:fill="FAEFCA"/>
          </w:tcPr>
          <w:p w14:paraId="68CEF0B2"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880" w:type="pct"/>
            <w:gridSpan w:val="3"/>
            <w:tcBorders>
              <w:top w:val="outset" w:sz="6" w:space="0" w:color="auto"/>
              <w:left w:val="outset" w:sz="6" w:space="0" w:color="auto"/>
              <w:bottom w:val="outset" w:sz="6" w:space="0" w:color="auto"/>
              <w:right w:val="outset" w:sz="6" w:space="0" w:color="auto"/>
            </w:tcBorders>
            <w:shd w:val="clear" w:color="auto" w:fill="FAEFCA"/>
          </w:tcPr>
          <w:p w14:paraId="65F4DC6A"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5C5C88F1" w14:textId="77777777" w:rsidTr="00ED0447">
        <w:trPr>
          <w:trHeight w:val="305"/>
        </w:trPr>
        <w:tc>
          <w:tcPr>
            <w:tcW w:w="2491" w:type="pct"/>
            <w:vMerge/>
          </w:tcPr>
          <w:p w14:paraId="342161D6"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FAEFCA"/>
          </w:tcPr>
          <w:p w14:paraId="7FB31ACA"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Comitente (CPF/CNPJ)</w:t>
            </w:r>
          </w:p>
        </w:tc>
        <w:tc>
          <w:tcPr>
            <w:tcW w:w="569" w:type="pct"/>
            <w:gridSpan w:val="3"/>
            <w:tcBorders>
              <w:top w:val="outset" w:sz="6" w:space="0" w:color="auto"/>
              <w:left w:val="outset" w:sz="6" w:space="0" w:color="auto"/>
              <w:bottom w:val="outset" w:sz="6" w:space="0" w:color="auto"/>
              <w:right w:val="outset" w:sz="6" w:space="0" w:color="auto"/>
            </w:tcBorders>
            <w:shd w:val="clear" w:color="auto" w:fill="FAEFCA"/>
          </w:tcPr>
          <w:p w14:paraId="1517C59A"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880" w:type="pct"/>
            <w:gridSpan w:val="3"/>
            <w:tcBorders>
              <w:top w:val="outset" w:sz="6" w:space="0" w:color="auto"/>
              <w:left w:val="outset" w:sz="6" w:space="0" w:color="auto"/>
              <w:bottom w:val="outset" w:sz="6" w:space="0" w:color="auto"/>
              <w:right w:val="outset" w:sz="6" w:space="0" w:color="auto"/>
            </w:tcBorders>
            <w:shd w:val="clear" w:color="auto" w:fill="FAEFCA"/>
          </w:tcPr>
          <w:p w14:paraId="4C044F21"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022657A5" w14:textId="77777777" w:rsidTr="00ED0447">
        <w:trPr>
          <w:trHeight w:val="305"/>
        </w:trPr>
        <w:tc>
          <w:tcPr>
            <w:tcW w:w="2491" w:type="pct"/>
            <w:vMerge/>
          </w:tcPr>
          <w:p w14:paraId="64FE6B3A"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FAEFCA"/>
          </w:tcPr>
          <w:p w14:paraId="0F647C92"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Comitente (CPF/CNPJ)</w:t>
            </w:r>
          </w:p>
        </w:tc>
        <w:tc>
          <w:tcPr>
            <w:tcW w:w="569" w:type="pct"/>
            <w:gridSpan w:val="3"/>
            <w:tcBorders>
              <w:top w:val="outset" w:sz="6" w:space="0" w:color="auto"/>
              <w:left w:val="outset" w:sz="6" w:space="0" w:color="auto"/>
              <w:bottom w:val="outset" w:sz="6" w:space="0" w:color="auto"/>
              <w:right w:val="outset" w:sz="6" w:space="0" w:color="auto"/>
            </w:tcBorders>
            <w:shd w:val="clear" w:color="auto" w:fill="FAEFCA"/>
          </w:tcPr>
          <w:p w14:paraId="1D0BA11E"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880" w:type="pct"/>
            <w:gridSpan w:val="3"/>
            <w:tcBorders>
              <w:top w:val="outset" w:sz="6" w:space="0" w:color="auto"/>
              <w:left w:val="outset" w:sz="6" w:space="0" w:color="auto"/>
              <w:bottom w:val="outset" w:sz="6" w:space="0" w:color="auto"/>
              <w:right w:val="outset" w:sz="6" w:space="0" w:color="auto"/>
            </w:tcBorders>
            <w:shd w:val="clear" w:color="auto" w:fill="FAEFCA"/>
          </w:tcPr>
          <w:p w14:paraId="6230B897"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2BEAAD7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13FCFFCE"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19) Total dos ativos (em % do PL) em estoque de emissão de partes relacionadas.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BEE316A"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0D0348D3" w14:textId="77777777" w:rsidTr="00ED0447">
        <w:tc>
          <w:tcPr>
            <w:tcW w:w="2491" w:type="pct"/>
            <w:vMerge w:val="restart"/>
            <w:tcBorders>
              <w:top w:val="outset" w:sz="6" w:space="0" w:color="auto"/>
              <w:left w:val="outset" w:sz="6" w:space="0" w:color="auto"/>
              <w:right w:val="outset" w:sz="6" w:space="0" w:color="auto"/>
            </w:tcBorders>
            <w:shd w:val="clear" w:color="auto" w:fill="FFF8DC"/>
          </w:tcPr>
          <w:p w14:paraId="650D6EBE"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20) Relacionar os 3 maiores emissores de títulos de crédito privado de que a classe é credor, informando o CNPJ/CPF do emissor, se é parte relacionada ao administrador ou gestor, e o valor total aplicado pela classe, em % do seu patrimônio líquido. Considerar como de um mesmo emissor os ativos emitidos por partes relacionadas de um mesmo grupo econômico (informar CNPJ/CPF do emissor mais representativo).</w:t>
            </w:r>
          </w:p>
        </w:tc>
        <w:tc>
          <w:tcPr>
            <w:tcW w:w="1059" w:type="pct"/>
            <w:gridSpan w:val="2"/>
            <w:tcBorders>
              <w:top w:val="outset" w:sz="6" w:space="0" w:color="auto"/>
              <w:left w:val="outset" w:sz="6" w:space="0" w:color="auto"/>
              <w:bottom w:val="outset" w:sz="6" w:space="0" w:color="auto"/>
              <w:right w:val="single" w:sz="4" w:space="0" w:color="auto"/>
            </w:tcBorders>
            <w:shd w:val="clear" w:color="auto" w:fill="FFF8DC"/>
          </w:tcPr>
          <w:p w14:paraId="4F5E57EC"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Emissor (CPF/CNPJ)</w:t>
            </w:r>
          </w:p>
        </w:tc>
        <w:tc>
          <w:tcPr>
            <w:tcW w:w="897" w:type="pct"/>
            <w:gridSpan w:val="5"/>
            <w:tcBorders>
              <w:top w:val="single" w:sz="4" w:space="0" w:color="auto"/>
              <w:left w:val="single" w:sz="4" w:space="0" w:color="auto"/>
              <w:bottom w:val="single" w:sz="4" w:space="0" w:color="auto"/>
              <w:right w:val="single" w:sz="4" w:space="0" w:color="auto"/>
            </w:tcBorders>
            <w:shd w:val="clear" w:color="auto" w:fill="FFF8DC"/>
          </w:tcPr>
          <w:p w14:paraId="715FDDF6"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552" w:type="pct"/>
            <w:tcBorders>
              <w:top w:val="single" w:sz="4" w:space="0" w:color="auto"/>
              <w:left w:val="single" w:sz="4" w:space="0" w:color="auto"/>
              <w:bottom w:val="single" w:sz="4" w:space="0" w:color="auto"/>
              <w:right w:val="single" w:sz="4" w:space="0" w:color="auto"/>
            </w:tcBorders>
            <w:shd w:val="clear" w:color="auto" w:fill="FFF8DC"/>
          </w:tcPr>
          <w:p w14:paraId="05D30F6C"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2F630297" w14:textId="77777777" w:rsidTr="00ED0447">
        <w:tc>
          <w:tcPr>
            <w:tcW w:w="2491" w:type="pct"/>
            <w:vMerge/>
          </w:tcPr>
          <w:p w14:paraId="520D8F08"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p>
        </w:tc>
        <w:tc>
          <w:tcPr>
            <w:tcW w:w="1059" w:type="pct"/>
            <w:gridSpan w:val="2"/>
            <w:tcBorders>
              <w:top w:val="outset" w:sz="6" w:space="0" w:color="auto"/>
              <w:left w:val="outset" w:sz="6" w:space="0" w:color="auto"/>
              <w:bottom w:val="outset" w:sz="6" w:space="0" w:color="auto"/>
              <w:right w:val="single" w:sz="4" w:space="0" w:color="auto"/>
            </w:tcBorders>
            <w:shd w:val="clear" w:color="auto" w:fill="FFF8DC"/>
          </w:tcPr>
          <w:p w14:paraId="6D351193"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Emissor (CPF/CNPJ)</w:t>
            </w:r>
          </w:p>
        </w:tc>
        <w:tc>
          <w:tcPr>
            <w:tcW w:w="897" w:type="pct"/>
            <w:gridSpan w:val="5"/>
            <w:tcBorders>
              <w:top w:val="single" w:sz="4" w:space="0" w:color="auto"/>
              <w:left w:val="single" w:sz="4" w:space="0" w:color="auto"/>
              <w:bottom w:val="single" w:sz="4" w:space="0" w:color="auto"/>
              <w:right w:val="single" w:sz="4" w:space="0" w:color="auto"/>
            </w:tcBorders>
            <w:shd w:val="clear" w:color="auto" w:fill="FFF8DC"/>
          </w:tcPr>
          <w:p w14:paraId="27F03548"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552" w:type="pct"/>
            <w:tcBorders>
              <w:top w:val="single" w:sz="4" w:space="0" w:color="auto"/>
              <w:left w:val="single" w:sz="4" w:space="0" w:color="auto"/>
              <w:bottom w:val="single" w:sz="4" w:space="0" w:color="auto"/>
              <w:right w:val="single" w:sz="4" w:space="0" w:color="auto"/>
            </w:tcBorders>
            <w:shd w:val="clear" w:color="auto" w:fill="FFF8DC"/>
          </w:tcPr>
          <w:p w14:paraId="4538CED1"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04ED676F" w14:textId="77777777" w:rsidTr="00ED0447">
        <w:tc>
          <w:tcPr>
            <w:tcW w:w="2491" w:type="pct"/>
            <w:vMerge/>
          </w:tcPr>
          <w:p w14:paraId="04672C75"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p>
        </w:tc>
        <w:tc>
          <w:tcPr>
            <w:tcW w:w="1059" w:type="pct"/>
            <w:gridSpan w:val="2"/>
            <w:tcBorders>
              <w:top w:val="outset" w:sz="6" w:space="0" w:color="auto"/>
              <w:left w:val="outset" w:sz="6" w:space="0" w:color="auto"/>
              <w:bottom w:val="outset" w:sz="6" w:space="0" w:color="auto"/>
              <w:right w:val="single" w:sz="4" w:space="0" w:color="auto"/>
            </w:tcBorders>
            <w:shd w:val="clear" w:color="auto" w:fill="FFF8DC"/>
          </w:tcPr>
          <w:p w14:paraId="05213091"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Emissor (CPF/CNPJ)</w:t>
            </w:r>
          </w:p>
        </w:tc>
        <w:tc>
          <w:tcPr>
            <w:tcW w:w="897" w:type="pct"/>
            <w:gridSpan w:val="5"/>
            <w:tcBorders>
              <w:top w:val="single" w:sz="4" w:space="0" w:color="auto"/>
              <w:left w:val="single" w:sz="4" w:space="0" w:color="auto"/>
              <w:bottom w:val="single" w:sz="4" w:space="0" w:color="auto"/>
              <w:right w:val="single" w:sz="4" w:space="0" w:color="auto"/>
            </w:tcBorders>
            <w:shd w:val="clear" w:color="auto" w:fill="FFF8DC"/>
          </w:tcPr>
          <w:p w14:paraId="6550D6A8"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552" w:type="pct"/>
            <w:tcBorders>
              <w:top w:val="single" w:sz="4" w:space="0" w:color="auto"/>
              <w:left w:val="single" w:sz="4" w:space="0" w:color="auto"/>
              <w:bottom w:val="single" w:sz="4" w:space="0" w:color="auto"/>
              <w:right w:val="single" w:sz="4" w:space="0" w:color="auto"/>
            </w:tcBorders>
            <w:shd w:val="clear" w:color="auto" w:fill="FFF8DC"/>
          </w:tcPr>
          <w:p w14:paraId="6947DCC5"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29EE2078"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2A5B616"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21) Total dos ativos de crédito privado (em % do PL) em estoque.</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4A473CA3"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519C9F2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F605A9C" w14:textId="56489C0E" w:rsidR="00C20BBD" w:rsidRPr="0097459F" w:rsidRDefault="00C20BBD" w:rsidP="00350FD6">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22) Caso haja cobrança de taxa de performance, informar se é vedada no regulamento a cobrança de taxa de performance quando o valor da cota for inferior ao seu valor por ocasião da última cobrança efetuada, na forma do disposto no § 2º do art. </w:t>
            </w:r>
            <w:r w:rsidR="00350FD6">
              <w:rPr>
                <w:rFonts w:asciiTheme="minorHAnsi" w:hAnsiTheme="minorHAnsi" w:cstheme="minorHAnsi"/>
                <w:sz w:val="24"/>
                <w:szCs w:val="24"/>
              </w:rPr>
              <w:t>28</w:t>
            </w:r>
            <w:r w:rsidRPr="0097459F">
              <w:rPr>
                <w:rFonts w:asciiTheme="minorHAnsi" w:hAnsiTheme="minorHAnsi" w:cstheme="minorHAnsi"/>
                <w:sz w:val="24"/>
                <w:szCs w:val="24"/>
              </w:rPr>
              <w:t xml:space="preserve"> do Anexo </w:t>
            </w:r>
            <w:r w:rsidR="00E859D6">
              <w:rPr>
                <w:rFonts w:asciiTheme="minorHAnsi" w:hAnsiTheme="minorHAnsi" w:cstheme="minorHAnsi"/>
                <w:sz w:val="24"/>
                <w:szCs w:val="24"/>
              </w:rPr>
              <w:t xml:space="preserve">Normativo </w:t>
            </w:r>
            <w:r w:rsidRPr="0097459F">
              <w:rPr>
                <w:rFonts w:asciiTheme="minorHAnsi" w:hAnsiTheme="minorHAnsi" w:cstheme="minorHAnsi"/>
                <w:sz w:val="24"/>
                <w:szCs w:val="24"/>
              </w:rPr>
              <w:t>I.</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1E80E34C" w14:textId="77777777" w:rsidR="00C20BBD" w:rsidRPr="0097459F" w:rsidRDefault="00C20BBD" w:rsidP="00F6174B">
            <w:pPr>
              <w:spacing w:before="120" w:after="120" w:line="240" w:lineRule="auto"/>
              <w:ind w:left="76" w:firstLine="709"/>
              <w:jc w:val="center"/>
              <w:rPr>
                <w:rFonts w:asciiTheme="minorHAnsi" w:hAnsiTheme="minorHAnsi" w:cstheme="minorHAnsi"/>
                <w:sz w:val="24"/>
                <w:szCs w:val="24"/>
              </w:rPr>
            </w:pPr>
            <w:r w:rsidRPr="0097459F">
              <w:rPr>
                <w:rFonts w:asciiTheme="minorHAnsi" w:hAnsiTheme="minorHAnsi" w:cstheme="minorHAnsi"/>
                <w:sz w:val="24"/>
                <w:szCs w:val="24"/>
              </w:rPr>
              <w:t>(S/N)</w:t>
            </w:r>
          </w:p>
        </w:tc>
      </w:tr>
      <w:tr w:rsidR="00C20BBD" w:rsidRPr="0097459F" w14:paraId="034F044C"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0093162F"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lastRenderedPageBreak/>
              <w:t>23) No caso de a resposta à pergunta anterior ser afirmativa, informar a data e o valor da cota quando da última cobrança de performance efetuada.</w:t>
            </w:r>
          </w:p>
        </w:tc>
        <w:tc>
          <w:tcPr>
            <w:tcW w:w="1162" w:type="pct"/>
            <w:gridSpan w:val="3"/>
            <w:tcBorders>
              <w:top w:val="outset" w:sz="6" w:space="0" w:color="auto"/>
              <w:left w:val="outset" w:sz="6" w:space="0" w:color="auto"/>
              <w:bottom w:val="outset" w:sz="6" w:space="0" w:color="auto"/>
              <w:right w:val="outset" w:sz="6" w:space="0" w:color="auto"/>
            </w:tcBorders>
            <w:shd w:val="clear" w:color="auto" w:fill="FFF8DC"/>
          </w:tcPr>
          <w:p w14:paraId="25C6A938"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Data no formato dd/mm/aaaa.</w:t>
            </w:r>
          </w:p>
        </w:tc>
        <w:tc>
          <w:tcPr>
            <w:tcW w:w="1346" w:type="pct"/>
            <w:gridSpan w:val="5"/>
            <w:tcBorders>
              <w:top w:val="outset" w:sz="6" w:space="0" w:color="auto"/>
              <w:left w:val="outset" w:sz="6" w:space="0" w:color="auto"/>
              <w:bottom w:val="outset" w:sz="6" w:space="0" w:color="auto"/>
              <w:right w:val="outset" w:sz="6" w:space="0" w:color="auto"/>
            </w:tcBorders>
            <w:shd w:val="clear" w:color="auto" w:fill="FFF8DC"/>
          </w:tcPr>
          <w:p w14:paraId="5156A043"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Valor da cota, numérico com cinco casas decimais.</w:t>
            </w:r>
          </w:p>
        </w:tc>
      </w:tr>
      <w:tr w:rsidR="00C20BBD" w:rsidRPr="0097459F" w14:paraId="37FC04BE"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09647A3B"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24) Caso a carteira de ativos tenha originado direitos a dividendos, juros sobre capital próprio ou outros rendimentos advindos de ativos financeiros que compõem a carteira e, no período, tenha ocorrido distribuição de tais direitos diretamente aos cotistas ou, ainda, tenha sido realizada amortização de cotas, informar o total dos montantes distribuídos e amortizados (R$).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6EB1D9C3" w14:textId="77777777" w:rsidR="00C20BBD" w:rsidRPr="0097459F" w:rsidRDefault="00C20BBD" w:rsidP="00F6174B">
            <w:pPr>
              <w:spacing w:before="120" w:after="120" w:line="240" w:lineRule="auto"/>
              <w:ind w:left="76" w:right="141" w:firstLine="709"/>
              <w:jc w:val="center"/>
              <w:rPr>
                <w:rFonts w:asciiTheme="minorHAnsi" w:hAnsiTheme="minorHAnsi" w:cstheme="minorHAnsi"/>
                <w:sz w:val="24"/>
                <w:szCs w:val="24"/>
              </w:rPr>
            </w:pPr>
            <w:r w:rsidRPr="0097459F">
              <w:rPr>
                <w:rFonts w:asciiTheme="minorHAnsi" w:hAnsiTheme="minorHAnsi" w:cstheme="minorHAnsi"/>
                <w:sz w:val="24"/>
                <w:szCs w:val="24"/>
              </w:rPr>
              <w:t>Numérico com 2 casas decimais</w:t>
            </w:r>
          </w:p>
        </w:tc>
      </w:tr>
    </w:tbl>
    <w:p w14:paraId="5A4EC1C4" w14:textId="77777777" w:rsidR="00C20BBD" w:rsidRPr="0097459F" w:rsidRDefault="00C20BBD" w:rsidP="00F6174B">
      <w:pPr>
        <w:pStyle w:val="Ttulo"/>
        <w:tabs>
          <w:tab w:val="left" w:pos="284"/>
        </w:tabs>
        <w:spacing w:before="120" w:after="120"/>
        <w:ind w:firstLine="709"/>
        <w:jc w:val="both"/>
        <w:rPr>
          <w:rFonts w:asciiTheme="minorHAnsi" w:hAnsiTheme="minorHAnsi" w:cstheme="minorHAnsi"/>
          <w:b w:val="0"/>
          <w:bCs w:val="0"/>
        </w:rPr>
      </w:pPr>
    </w:p>
    <w:p w14:paraId="1A6C66C1" w14:textId="18B722AB" w:rsidR="00C20BBD" w:rsidRPr="0097459F" w:rsidRDefault="00C20BBD" w:rsidP="00F6174B">
      <w:pPr>
        <w:pStyle w:val="Ttulo"/>
        <w:spacing w:before="120" w:after="120"/>
        <w:ind w:firstLine="709"/>
        <w:jc w:val="both"/>
        <w:rPr>
          <w:rFonts w:asciiTheme="minorHAnsi" w:eastAsia="Calibri" w:hAnsiTheme="minorHAnsi" w:cstheme="minorHAnsi"/>
          <w:b w:val="0"/>
        </w:rPr>
      </w:pPr>
      <w:r w:rsidRPr="0097459F">
        <w:rPr>
          <w:rFonts w:asciiTheme="minorHAnsi" w:eastAsia="Calibri" w:hAnsiTheme="minorHAnsi" w:cstheme="minorHAnsi"/>
        </w:rPr>
        <w:t xml:space="preserve">Nota relativa </w:t>
      </w:r>
      <w:r w:rsidR="00722316" w:rsidRPr="0097459F">
        <w:rPr>
          <w:rFonts w:asciiTheme="minorHAnsi" w:eastAsia="Calibri" w:hAnsiTheme="minorHAnsi" w:cstheme="minorHAnsi"/>
        </w:rPr>
        <w:t>às classes de investimento em cotas de FIF</w:t>
      </w:r>
      <w:r w:rsidRPr="0097459F">
        <w:rPr>
          <w:rFonts w:asciiTheme="minorHAnsi" w:eastAsia="Calibri" w:hAnsiTheme="minorHAnsi" w:cstheme="minorHAnsi"/>
          <w:b w:val="0"/>
        </w:rPr>
        <w:t>: As questões 5, 6 e 11 a 16 não precisam ser respondidas.</w:t>
      </w:r>
    </w:p>
    <w:p w14:paraId="4BAEB8D4" w14:textId="77777777" w:rsidR="00C20BBD" w:rsidRPr="0097459F" w:rsidRDefault="00C20BBD" w:rsidP="00F6174B">
      <w:pPr>
        <w:spacing w:before="120" w:after="120" w:line="240" w:lineRule="auto"/>
        <w:ind w:firstLine="709"/>
        <w:rPr>
          <w:rFonts w:asciiTheme="minorHAnsi" w:hAnsiTheme="minorHAnsi" w:cstheme="minorHAnsi"/>
          <w:sz w:val="24"/>
          <w:szCs w:val="24"/>
        </w:rPr>
      </w:pPr>
      <w:r w:rsidRPr="0097459F">
        <w:rPr>
          <w:rFonts w:asciiTheme="minorHAnsi" w:hAnsiTheme="minorHAnsi" w:cstheme="minorHAnsi"/>
          <w:sz w:val="24"/>
          <w:szCs w:val="24"/>
        </w:rPr>
        <w:br w:type="page"/>
      </w:r>
    </w:p>
    <w:p w14:paraId="08F57822" w14:textId="08FCEF33" w:rsidR="00C20BBD" w:rsidRPr="0097459F" w:rsidRDefault="00C20BBD" w:rsidP="00F6174B">
      <w:pPr>
        <w:pStyle w:val="Ttulo1"/>
        <w:spacing w:before="120" w:after="120" w:line="240" w:lineRule="auto"/>
        <w:jc w:val="center"/>
        <w:rPr>
          <w:rFonts w:asciiTheme="minorHAnsi" w:hAnsiTheme="minorHAnsi" w:cstheme="minorHAnsi"/>
          <w:b w:val="0"/>
          <w:sz w:val="24"/>
          <w:szCs w:val="24"/>
        </w:rPr>
      </w:pPr>
      <w:bookmarkStart w:id="719" w:name="_Toc406750622"/>
      <w:bookmarkStart w:id="720" w:name="_Toc53594548"/>
      <w:bookmarkStart w:id="721" w:name="_Toc53595573"/>
      <w:bookmarkStart w:id="722" w:name="_Toc53594300"/>
      <w:bookmarkStart w:id="723" w:name="_Toc57836310"/>
      <w:bookmarkStart w:id="724" w:name="_Toc126226416"/>
      <w:r w:rsidRPr="0097459F">
        <w:rPr>
          <w:rFonts w:asciiTheme="minorHAnsi" w:hAnsiTheme="minorHAnsi" w:cstheme="minorHAnsi"/>
          <w:sz w:val="24"/>
          <w:szCs w:val="24"/>
        </w:rPr>
        <w:lastRenderedPageBreak/>
        <w:t xml:space="preserve">SUPLEMENTO </w:t>
      </w:r>
      <w:r w:rsidR="001F69FD" w:rsidRPr="0097459F">
        <w:rPr>
          <w:rFonts w:asciiTheme="minorHAnsi" w:hAnsiTheme="minorHAnsi" w:cstheme="minorHAnsi"/>
          <w:sz w:val="24"/>
          <w:szCs w:val="24"/>
        </w:rPr>
        <w:t>E</w:t>
      </w:r>
      <w:r w:rsidRPr="0097459F">
        <w:rPr>
          <w:rFonts w:asciiTheme="minorHAnsi" w:hAnsiTheme="minorHAnsi" w:cstheme="minorHAnsi"/>
          <w:sz w:val="24"/>
          <w:szCs w:val="24"/>
        </w:rPr>
        <w:t xml:space="preserve"> – LÂMINA DE INFORMAÇÕES </w:t>
      </w:r>
      <w:bookmarkEnd w:id="719"/>
      <w:r w:rsidR="002B189F" w:rsidRPr="0097459F">
        <w:rPr>
          <w:rFonts w:asciiTheme="minorHAnsi" w:hAnsiTheme="minorHAnsi" w:cstheme="minorHAnsi"/>
          <w:sz w:val="24"/>
          <w:szCs w:val="24"/>
        </w:rPr>
        <w:t>BÁSICAS</w:t>
      </w:r>
      <w:r w:rsidRPr="0097459F">
        <w:rPr>
          <w:rFonts w:asciiTheme="minorHAnsi" w:hAnsiTheme="minorHAnsi" w:cstheme="minorHAnsi"/>
          <w:sz w:val="24"/>
          <w:szCs w:val="24"/>
        </w:rPr>
        <w:t xml:space="preserve"> – FIDC</w:t>
      </w:r>
      <w:bookmarkEnd w:id="720"/>
      <w:bookmarkEnd w:id="721"/>
      <w:bookmarkEnd w:id="722"/>
      <w:bookmarkEnd w:id="723"/>
      <w:bookmarkEnd w:id="724"/>
    </w:p>
    <w:p w14:paraId="5E6095F6" w14:textId="6EACA3CC" w:rsidR="00C20BBD" w:rsidRPr="0097459F" w:rsidRDefault="00C20BBD" w:rsidP="00F6174B">
      <w:pPr>
        <w:spacing w:before="120" w:after="12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 xml:space="preserve">Conteúdo da lâmina de informações essenciais </w:t>
      </w:r>
      <w:r w:rsidR="008332D2">
        <w:rPr>
          <w:rFonts w:asciiTheme="minorHAnsi" w:eastAsia="Times" w:hAnsiTheme="minorHAnsi" w:cstheme="minorHAnsi"/>
          <w:i/>
          <w:sz w:val="24"/>
          <w:szCs w:val="24"/>
        </w:rPr>
        <w:t>conforme previsto no art. 2</w:t>
      </w:r>
      <w:r w:rsidR="000812C4">
        <w:rPr>
          <w:rFonts w:asciiTheme="minorHAnsi" w:eastAsia="Times" w:hAnsiTheme="minorHAnsi" w:cstheme="minorHAnsi"/>
          <w:i/>
          <w:sz w:val="24"/>
          <w:szCs w:val="24"/>
        </w:rPr>
        <w:t>3</w:t>
      </w:r>
      <w:r w:rsidR="008332D2">
        <w:rPr>
          <w:rFonts w:asciiTheme="minorHAnsi" w:eastAsia="Times" w:hAnsiTheme="minorHAnsi" w:cstheme="minorHAnsi"/>
          <w:i/>
          <w:sz w:val="24"/>
          <w:szCs w:val="24"/>
        </w:rPr>
        <w:t xml:space="preserve"> do Anexo Normativo II da Resolução CVM nº 175, de 2022</w:t>
      </w:r>
      <w:r w:rsidRPr="0097459F">
        <w:rPr>
          <w:rFonts w:asciiTheme="minorHAnsi" w:hAnsiTheme="minorHAnsi" w:cstheme="minorHAnsi"/>
          <w:i/>
          <w:sz w:val="24"/>
          <w:szCs w:val="24"/>
        </w:rPr>
        <w:t>.</w:t>
      </w:r>
    </w:p>
    <w:p w14:paraId="3A65F953" w14:textId="77777777" w:rsidR="00C20BBD" w:rsidRPr="0097459F" w:rsidRDefault="00C20BBD" w:rsidP="00F6174B">
      <w:pPr>
        <w:spacing w:before="120" w:after="120" w:line="240" w:lineRule="auto"/>
        <w:jc w:val="center"/>
        <w:rPr>
          <w:rFonts w:asciiTheme="minorHAnsi" w:hAnsiTheme="minorHAnsi" w:cstheme="minorHAnsi"/>
          <w:b/>
          <w:sz w:val="24"/>
          <w:szCs w:val="24"/>
        </w:rPr>
      </w:pPr>
    </w:p>
    <w:p w14:paraId="751AC1C3" w14:textId="77777777" w:rsidR="00C20BBD" w:rsidRPr="0097459F" w:rsidRDefault="00C20BBD" w:rsidP="00F6174B">
      <w:pPr>
        <w:spacing w:before="120" w:after="12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LÂMINA DE INFORMAÇÕES ESSENCIAIS SOBRE O [nome de fantasia do FIDC e, se for o caso, da classe de cotas]</w:t>
      </w:r>
    </w:p>
    <w:p w14:paraId="1E88432A" w14:textId="77777777" w:rsidR="00C20BBD" w:rsidRPr="0097459F" w:rsidRDefault="00C20BBD" w:rsidP="00F6174B">
      <w:pPr>
        <w:spacing w:before="120" w:after="12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[CNPJ da classe]</w:t>
      </w:r>
    </w:p>
    <w:p w14:paraId="6C855655" w14:textId="77777777" w:rsidR="00C20BBD" w:rsidRPr="0097459F" w:rsidRDefault="00C20BBD" w:rsidP="00F6174B">
      <w:pPr>
        <w:spacing w:before="120" w:after="12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Informações referentes a [mês] de [ano]</w:t>
      </w:r>
    </w:p>
    <w:p w14:paraId="524DDDEF" w14:textId="77777777" w:rsidR="00C20BBD" w:rsidRPr="0097459F" w:rsidRDefault="00C20BBD" w:rsidP="00F6174B">
      <w:pPr>
        <w:spacing w:before="120" w:after="120" w:line="240" w:lineRule="auto"/>
        <w:ind w:firstLine="709"/>
        <w:rPr>
          <w:rFonts w:asciiTheme="minorHAnsi" w:hAnsiTheme="minorHAnsi" w:cstheme="minorHAnsi"/>
          <w:sz w:val="24"/>
          <w:szCs w:val="24"/>
        </w:rPr>
      </w:pPr>
    </w:p>
    <w:p w14:paraId="1047F8C3" w14:textId="77777777" w:rsidR="00C20BBD" w:rsidRPr="0097459F" w:rsidRDefault="00C20BBD" w:rsidP="00F6174B">
      <w:pPr>
        <w:pStyle w:val="Corpodetexto2"/>
        <w:spacing w:before="120" w:line="240" w:lineRule="auto"/>
        <w:ind w:firstLine="709"/>
        <w:jc w:val="both"/>
        <w:rPr>
          <w:rFonts w:asciiTheme="minorHAnsi" w:hAnsiTheme="minorHAnsi" w:cstheme="minorHAnsi"/>
        </w:rPr>
      </w:pPr>
      <w:r w:rsidRPr="0097459F">
        <w:rPr>
          <w:rFonts w:asciiTheme="minorHAnsi" w:hAnsiTheme="minorHAnsi" w:cstheme="minorHAnsi"/>
        </w:rPr>
        <w:t>Esta lâmina contém um resumo das informações essenciais sobre o [nome completo do fundo ou da classe de cotas]</w:t>
      </w:r>
      <w:r w:rsidRPr="0097459F">
        <w:rPr>
          <w:rFonts w:asciiTheme="minorHAnsi" w:hAnsiTheme="minorHAnsi" w:cstheme="minorHAnsi"/>
          <w:u w:val="single"/>
        </w:rPr>
        <w:t xml:space="preserve">, </w:t>
      </w:r>
      <w:r w:rsidRPr="0097459F">
        <w:rPr>
          <w:rFonts w:asciiTheme="minorHAnsi" w:hAnsiTheme="minorHAnsi" w:cstheme="minorHAnsi"/>
        </w:rPr>
        <w:t>administrado por [nome completo do administrador] e gerido por [nome completo do gestor]. Informações mais detalhadas sobre esse fundo podem ser obtidas em [endereço eletrônico]. Ao realizar aplicações adicionais, consulte a versão mais atualizada da lâmina.</w:t>
      </w:r>
    </w:p>
    <w:p w14:paraId="341F09A3"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p w14:paraId="25C17FEB" w14:textId="77777777" w:rsidR="00C20BBD" w:rsidRPr="0097459F" w:rsidRDefault="00C20BBD" w:rsidP="00F6174B">
      <w:pPr>
        <w:tabs>
          <w:tab w:val="num" w:pos="567"/>
        </w:tabs>
        <w:spacing w:before="120" w:after="120" w:line="240" w:lineRule="auto"/>
        <w:ind w:firstLine="709"/>
        <w:jc w:val="center"/>
        <w:rPr>
          <w:rFonts w:asciiTheme="minorHAnsi" w:hAnsiTheme="minorHAnsi" w:cstheme="minorHAnsi"/>
          <w:b/>
          <w:smallCaps/>
          <w:sz w:val="24"/>
          <w:szCs w:val="24"/>
        </w:rPr>
      </w:pPr>
      <w:r w:rsidRPr="0097459F">
        <w:rPr>
          <w:rFonts w:asciiTheme="minorHAnsi" w:hAnsiTheme="minorHAnsi" w:cstheme="minorHAnsi"/>
          <w:b/>
          <w:smallCaps/>
          <w:sz w:val="24"/>
          <w:szCs w:val="24"/>
        </w:rPr>
        <w:t>Antes de investir, compare o fundo com outros FIDC destinados ao público em geral.</w:t>
      </w:r>
    </w:p>
    <w:p w14:paraId="0B551BB6" w14:textId="77777777" w:rsidR="00C20BBD" w:rsidRPr="0097459F" w:rsidRDefault="00C20BBD" w:rsidP="00F6174B">
      <w:pPr>
        <w:tabs>
          <w:tab w:val="num" w:pos="567"/>
        </w:tabs>
        <w:spacing w:before="120" w:after="120" w:line="240" w:lineRule="auto"/>
        <w:ind w:firstLine="709"/>
        <w:jc w:val="both"/>
        <w:rPr>
          <w:rFonts w:asciiTheme="minorHAnsi" w:hAnsiTheme="minorHAnsi" w:cstheme="minorHAnsi"/>
          <w:sz w:val="24"/>
          <w:szCs w:val="24"/>
        </w:rPr>
      </w:pPr>
    </w:p>
    <w:p w14:paraId="5B14D794" w14:textId="77777777" w:rsidR="00C20BBD" w:rsidRPr="0097459F" w:rsidRDefault="00C20BBD" w:rsidP="00F6174B">
      <w:pPr>
        <w:pStyle w:val="PargrafodaLista"/>
        <w:numPr>
          <w:ilvl w:val="0"/>
          <w:numId w:val="19"/>
        </w:numPr>
        <w:spacing w:before="120" w:after="120" w:line="240" w:lineRule="auto"/>
        <w:contextualSpacing w:val="0"/>
        <w:jc w:val="both"/>
        <w:rPr>
          <w:rFonts w:cstheme="minorHAnsi"/>
          <w:sz w:val="24"/>
          <w:szCs w:val="24"/>
        </w:rPr>
      </w:pPr>
      <w:r w:rsidRPr="0097459F">
        <w:rPr>
          <w:rFonts w:cstheme="minorHAnsi"/>
          <w:sz w:val="24"/>
          <w:szCs w:val="24"/>
        </w:rPr>
        <w:t>PÚBLICO-ALVO: o fundo é destinado a investidores que pretendam: [descrição do público-alvo] e [restrições de investimento].</w:t>
      </w:r>
    </w:p>
    <w:p w14:paraId="499F2706" w14:textId="77777777" w:rsidR="00C20BBD" w:rsidRPr="0097459F" w:rsidRDefault="00C20BBD" w:rsidP="00F6174B">
      <w:pPr>
        <w:pStyle w:val="PargrafodaLista1"/>
        <w:tabs>
          <w:tab w:val="num" w:pos="567"/>
        </w:tabs>
        <w:spacing w:before="120" w:after="120"/>
        <w:ind w:firstLine="709"/>
        <w:rPr>
          <w:rFonts w:asciiTheme="minorHAnsi" w:hAnsiTheme="minorHAnsi" w:cstheme="minorHAnsi"/>
        </w:rPr>
      </w:pPr>
    </w:p>
    <w:p w14:paraId="79A8FE59" w14:textId="77777777" w:rsidR="00C20BBD" w:rsidRPr="0097459F" w:rsidRDefault="00C20BBD" w:rsidP="00F6174B">
      <w:pPr>
        <w:pStyle w:val="PargrafodaLista"/>
        <w:numPr>
          <w:ilvl w:val="0"/>
          <w:numId w:val="19"/>
        </w:numPr>
        <w:spacing w:before="120" w:after="120" w:line="240" w:lineRule="auto"/>
        <w:contextualSpacing w:val="0"/>
        <w:jc w:val="both"/>
        <w:rPr>
          <w:rFonts w:cstheme="minorHAnsi"/>
          <w:sz w:val="24"/>
          <w:szCs w:val="24"/>
        </w:rPr>
      </w:pPr>
      <w:r w:rsidRPr="0097459F">
        <w:rPr>
          <w:rFonts w:cstheme="minorHAnsi"/>
          <w:sz w:val="24"/>
          <w:szCs w:val="24"/>
        </w:rPr>
        <w:t>OBJETIVOS DO FUNDO: [descrição resumida dos objetivos da classe, de modo que o investidor possa ter um entendimento razoável da natureza e dos riscos envolvidos no investimento].</w:t>
      </w:r>
    </w:p>
    <w:p w14:paraId="63328F1F" w14:textId="77777777" w:rsidR="00C20BBD" w:rsidRPr="0097459F" w:rsidRDefault="00C20BBD" w:rsidP="00F6174B">
      <w:pPr>
        <w:tabs>
          <w:tab w:val="num" w:pos="567"/>
        </w:tabs>
        <w:spacing w:before="120" w:after="120" w:line="240" w:lineRule="auto"/>
        <w:ind w:firstLine="709"/>
        <w:jc w:val="both"/>
        <w:rPr>
          <w:rFonts w:asciiTheme="minorHAnsi" w:hAnsiTheme="minorHAnsi" w:cstheme="minorHAnsi"/>
          <w:sz w:val="24"/>
          <w:szCs w:val="24"/>
        </w:rPr>
      </w:pPr>
    </w:p>
    <w:p w14:paraId="25A97C98" w14:textId="77777777" w:rsidR="00C20BBD" w:rsidRPr="0097459F" w:rsidRDefault="00C20BBD" w:rsidP="00F6174B">
      <w:pPr>
        <w:numPr>
          <w:ilvl w:val="0"/>
          <w:numId w:val="19"/>
        </w:numPr>
        <w:tabs>
          <w:tab w:val="num" w:pos="847"/>
        </w:tabs>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PRESTADORES DE SERVIÇOS:</w:t>
      </w:r>
    </w:p>
    <w:p w14:paraId="721D8F02" w14:textId="77777777" w:rsidR="00C20BBD" w:rsidRPr="0097459F" w:rsidRDefault="00C20BBD" w:rsidP="00F6174B">
      <w:pPr>
        <w:spacing w:before="120" w:after="120" w:line="240" w:lineRule="auto"/>
        <w:ind w:firstLine="709"/>
        <w:rPr>
          <w:rFonts w:asciiTheme="minorHAnsi" w:hAnsiTheme="minorHAnsi" w:cstheme="minorHAnsi"/>
          <w:sz w:val="24"/>
          <w:szCs w:val="24"/>
        </w:rPr>
      </w:pPr>
    </w:p>
    <w:p w14:paraId="73043DFA"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a. </w:t>
      </w:r>
      <w:r w:rsidRPr="0097459F">
        <w:rPr>
          <w:rFonts w:asciiTheme="minorHAnsi" w:hAnsiTheme="minorHAnsi" w:cstheme="minorHAnsi"/>
          <w:sz w:val="24"/>
          <w:szCs w:val="24"/>
        </w:rPr>
        <w:tab/>
        <w:t>Nome da agência de classificação de risco e rating atribuído às cotas seniores:</w:t>
      </w:r>
    </w:p>
    <w:p w14:paraId="6CCB9387"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b. </w:t>
      </w:r>
      <w:r w:rsidRPr="0097459F">
        <w:rPr>
          <w:rFonts w:asciiTheme="minorHAnsi" w:hAnsiTheme="minorHAnsi" w:cstheme="minorHAnsi"/>
          <w:sz w:val="24"/>
          <w:szCs w:val="24"/>
        </w:rPr>
        <w:tab/>
        <w:t>Nome da entidade registradora de direitos creditórios:</w:t>
      </w:r>
    </w:p>
    <w:p w14:paraId="46821C81"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c. </w:t>
      </w:r>
      <w:r w:rsidRPr="0097459F">
        <w:rPr>
          <w:rFonts w:asciiTheme="minorHAnsi" w:hAnsiTheme="minorHAnsi" w:cstheme="minorHAnsi"/>
          <w:sz w:val="24"/>
          <w:szCs w:val="24"/>
        </w:rPr>
        <w:tab/>
        <w:t>Nome do prestador de serviços de custódia:</w:t>
      </w:r>
    </w:p>
    <w:p w14:paraId="08C03CC0"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d. </w:t>
      </w:r>
      <w:r w:rsidRPr="0097459F">
        <w:rPr>
          <w:rFonts w:asciiTheme="minorHAnsi" w:hAnsiTheme="minorHAnsi" w:cstheme="minorHAnsi"/>
          <w:sz w:val="24"/>
          <w:szCs w:val="24"/>
        </w:rPr>
        <w:tab/>
        <w:t>Nome da consultoria especializada (se houver):</w:t>
      </w:r>
    </w:p>
    <w:p w14:paraId="321ADF70"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e. </w:t>
      </w:r>
      <w:r w:rsidRPr="0097459F">
        <w:rPr>
          <w:rFonts w:asciiTheme="minorHAnsi" w:hAnsiTheme="minorHAnsi" w:cstheme="minorHAnsi"/>
          <w:sz w:val="24"/>
          <w:szCs w:val="24"/>
        </w:rPr>
        <w:tab/>
        <w:t>Nome do agente de cobrança (se houver):</w:t>
      </w:r>
    </w:p>
    <w:p w14:paraId="4BFAAA3F" w14:textId="77777777" w:rsidR="00C20BBD" w:rsidRPr="0097459F" w:rsidRDefault="00C20BBD" w:rsidP="00F6174B">
      <w:pPr>
        <w:spacing w:before="120" w:after="120" w:line="240" w:lineRule="auto"/>
        <w:ind w:firstLine="709"/>
        <w:rPr>
          <w:rFonts w:asciiTheme="minorHAnsi" w:hAnsiTheme="minorHAnsi" w:cstheme="minorHAnsi"/>
          <w:sz w:val="24"/>
          <w:szCs w:val="24"/>
        </w:rPr>
      </w:pPr>
    </w:p>
    <w:p w14:paraId="6A621591" w14:textId="77777777" w:rsidR="00C20BBD" w:rsidRPr="0097459F" w:rsidRDefault="00C20BBD" w:rsidP="00F6174B">
      <w:pPr>
        <w:numPr>
          <w:ilvl w:val="0"/>
          <w:numId w:val="19"/>
        </w:numPr>
        <w:tabs>
          <w:tab w:val="num" w:pos="847"/>
        </w:tabs>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POLÍTICA DE INVESTIMENTO: </w:t>
      </w:r>
    </w:p>
    <w:p w14:paraId="4FE23DFB" w14:textId="77777777" w:rsidR="00C20BBD" w:rsidRPr="0097459F" w:rsidRDefault="00C20BBD" w:rsidP="00F6174B">
      <w:pPr>
        <w:spacing w:before="120" w:after="120" w:line="240" w:lineRule="auto"/>
        <w:ind w:firstLine="709"/>
        <w:jc w:val="both"/>
        <w:rPr>
          <w:rFonts w:asciiTheme="minorHAnsi" w:hAnsiTheme="minorHAnsi" w:cstheme="minorHAnsi"/>
          <w:sz w:val="24"/>
          <w:szCs w:val="24"/>
        </w:rPr>
      </w:pPr>
    </w:p>
    <w:p w14:paraId="3570AC03" w14:textId="77777777" w:rsidR="00C20BBD" w:rsidRPr="0097459F" w:rsidRDefault="00C20BBD" w:rsidP="00F6174B">
      <w:pPr>
        <w:numPr>
          <w:ilvl w:val="1"/>
          <w:numId w:val="19"/>
        </w:numPr>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[descrição resumida da política de investimento].</w:t>
      </w:r>
    </w:p>
    <w:p w14:paraId="5FE2CE17" w14:textId="77777777" w:rsidR="00C20BBD" w:rsidRPr="0097459F" w:rsidRDefault="00C20BBD" w:rsidP="00F6174B">
      <w:pPr>
        <w:numPr>
          <w:ilvl w:val="1"/>
          <w:numId w:val="19"/>
        </w:numPr>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A classe pode:</w:t>
      </w:r>
    </w:p>
    <w:p w14:paraId="1B092C2A" w14:textId="77777777" w:rsidR="00C20BBD" w:rsidRPr="0097459F" w:rsidRDefault="00C20BBD" w:rsidP="00F6174B">
      <w:pPr>
        <w:pStyle w:val="PargrafodaLista1"/>
        <w:spacing w:before="120" w:after="120"/>
        <w:ind w:firstLine="709"/>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8"/>
        <w:gridCol w:w="4017"/>
      </w:tblGrid>
      <w:tr w:rsidR="00C20BBD" w:rsidRPr="0097459F" w14:paraId="3DEDA18C" w14:textId="77777777" w:rsidTr="00ED0447">
        <w:tc>
          <w:tcPr>
            <w:tcW w:w="3030" w:type="pct"/>
            <w:shd w:val="clear" w:color="auto" w:fill="DBE5F1"/>
          </w:tcPr>
          <w:p w14:paraId="49EFF8A3"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ativos financeiros de emissão ou que envolvam coobrigação do administrador, gestor e suas partes relacionadas?</w:t>
            </w:r>
          </w:p>
        </w:tc>
        <w:tc>
          <w:tcPr>
            <w:tcW w:w="1970" w:type="pct"/>
            <w:vAlign w:val="center"/>
          </w:tcPr>
          <w:p w14:paraId="16225398"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4941D3AC" w14:textId="77777777" w:rsidTr="00ED0447">
        <w:tc>
          <w:tcPr>
            <w:tcW w:w="3030" w:type="pct"/>
            <w:shd w:val="clear" w:color="auto" w:fill="DBE5F1"/>
          </w:tcPr>
          <w:p w14:paraId="605B3B98"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operações compromissadas que tenham como contraparte o administrador, gestor e suas partes relacionadas?</w:t>
            </w:r>
          </w:p>
        </w:tc>
        <w:tc>
          <w:tcPr>
            <w:tcW w:w="1970" w:type="pct"/>
            <w:vAlign w:val="center"/>
          </w:tcPr>
          <w:p w14:paraId="270A17DA"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2EB8F252" w14:textId="77777777" w:rsidTr="00ED0447">
        <w:tc>
          <w:tcPr>
            <w:tcW w:w="3030" w:type="pct"/>
            <w:shd w:val="clear" w:color="auto" w:fill="DBE5F1"/>
          </w:tcPr>
          <w:p w14:paraId="7D624047"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cotas de fundos de investimento que contem com os serviços do administrador, gestor, consultoria especializada e suas partes relacionadas?</w:t>
            </w:r>
          </w:p>
        </w:tc>
        <w:tc>
          <w:tcPr>
            <w:tcW w:w="1970" w:type="pct"/>
            <w:vAlign w:val="center"/>
          </w:tcPr>
          <w:p w14:paraId="3D48D8FB"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15965FA4" w14:textId="77777777" w:rsidTr="00ED0447">
        <w:tc>
          <w:tcPr>
            <w:tcW w:w="3030" w:type="pct"/>
            <w:shd w:val="clear" w:color="auto" w:fill="DBE5F1"/>
          </w:tcPr>
          <w:p w14:paraId="0835052A"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direitos creditórios e outros ativos de um mesmo devedor ou de coobrigação de um mesmo devedor está limitado a 20% do patrimônio líquido?</w:t>
            </w:r>
          </w:p>
        </w:tc>
        <w:tc>
          <w:tcPr>
            <w:tcW w:w="1970" w:type="pct"/>
            <w:vAlign w:val="center"/>
          </w:tcPr>
          <w:p w14:paraId="7513D9C5"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[Sim/Não]</w:t>
            </w:r>
          </w:p>
        </w:tc>
      </w:tr>
      <w:tr w:rsidR="00C20BBD" w:rsidRPr="0097459F" w14:paraId="1BC646A1" w14:textId="77777777" w:rsidTr="00ED0447">
        <w:tc>
          <w:tcPr>
            <w:tcW w:w="3030" w:type="pct"/>
            <w:shd w:val="clear" w:color="auto" w:fill="DBE5F1"/>
          </w:tcPr>
          <w:p w14:paraId="44DFE0D5"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Utilizar derivativos para proteção patrimonial?</w:t>
            </w:r>
          </w:p>
        </w:tc>
        <w:tc>
          <w:tcPr>
            <w:tcW w:w="1970" w:type="pct"/>
            <w:vAlign w:val="center"/>
          </w:tcPr>
          <w:p w14:paraId="5BC12571"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[Sim/Não]</w:t>
            </w:r>
          </w:p>
        </w:tc>
      </w:tr>
    </w:tbl>
    <w:p w14:paraId="20905B84" w14:textId="77777777" w:rsidR="00C20BBD" w:rsidRPr="0097459F" w:rsidRDefault="00C20BBD" w:rsidP="00F6174B">
      <w:pPr>
        <w:spacing w:before="120" w:after="120" w:line="240" w:lineRule="auto"/>
        <w:ind w:firstLine="709"/>
        <w:jc w:val="both"/>
        <w:rPr>
          <w:rFonts w:asciiTheme="minorHAnsi" w:hAnsiTheme="minorHAnsi" w:cstheme="minorHAnsi"/>
          <w:sz w:val="24"/>
          <w:szCs w:val="24"/>
        </w:rPr>
      </w:pPr>
    </w:p>
    <w:p w14:paraId="5D13A64D" w14:textId="77777777" w:rsidR="00C20BBD" w:rsidRPr="0097459F" w:rsidRDefault="00C20BBD" w:rsidP="00F6174B">
      <w:pPr>
        <w:numPr>
          <w:ilvl w:val="0"/>
          <w:numId w:val="19"/>
        </w:numPr>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w:t>
      </w:r>
      <w:r w:rsidRPr="0097459F">
        <w:rPr>
          <w:rFonts w:asciiTheme="minorHAnsi" w:hAnsiTheme="minorHAnsi" w:cstheme="minorHAnsi"/>
          <w:i/>
          <w:sz w:val="24"/>
          <w:szCs w:val="24"/>
        </w:rPr>
        <w:t>Para o fundo cujo regulamento permita realizar operações cujas consequências possam ser significativas perdas patrimoniais</w:t>
      </w:r>
      <w:r w:rsidRPr="0097459F">
        <w:rPr>
          <w:rFonts w:asciiTheme="minorHAnsi" w:hAnsiTheme="minorHAnsi" w:cstheme="minorHAnsi"/>
          <w:sz w:val="24"/>
          <w:szCs w:val="24"/>
        </w:rPr>
        <w:t>:</w:t>
      </w:r>
      <w:r w:rsidRPr="0097459F">
        <w:rPr>
          <w:rFonts w:asciiTheme="minorHAnsi" w:hAnsiTheme="minorHAnsi" w:cstheme="minorHAnsi"/>
          <w:i/>
          <w:sz w:val="24"/>
          <w:szCs w:val="24"/>
        </w:rPr>
        <w:t xml:space="preserve"> “</w:t>
      </w:r>
      <w:r w:rsidRPr="0097459F">
        <w:rPr>
          <w:rFonts w:asciiTheme="minorHAnsi" w:hAnsiTheme="minorHAnsi" w:cstheme="minorHAnsi"/>
          <w:sz w:val="24"/>
          <w:szCs w:val="24"/>
        </w:rPr>
        <w:t>As estratégias de investimento do fundo podem resultar em significativas perdas patrimoniais para seus cotistas</w:t>
      </w:r>
      <w:r w:rsidRPr="0097459F">
        <w:rPr>
          <w:rFonts w:asciiTheme="minorHAnsi" w:hAnsiTheme="minorHAnsi" w:cstheme="minorHAnsi"/>
          <w:i/>
          <w:sz w:val="24"/>
          <w:szCs w:val="24"/>
        </w:rPr>
        <w:t>.”</w:t>
      </w:r>
      <w:r w:rsidRPr="0097459F">
        <w:rPr>
          <w:rFonts w:asciiTheme="minorHAnsi" w:hAnsiTheme="minorHAnsi" w:cstheme="minorHAnsi"/>
          <w:sz w:val="24"/>
          <w:szCs w:val="24"/>
        </w:rPr>
        <w:t>]</w:t>
      </w:r>
    </w:p>
    <w:p w14:paraId="55DFBF86" w14:textId="77777777" w:rsidR="00C20BBD" w:rsidRPr="0097459F" w:rsidRDefault="00C20BBD" w:rsidP="00F6174B">
      <w:pPr>
        <w:spacing w:before="120" w:after="120" w:line="240" w:lineRule="auto"/>
        <w:ind w:firstLine="709"/>
        <w:jc w:val="both"/>
        <w:rPr>
          <w:rFonts w:asciiTheme="minorHAnsi" w:hAnsiTheme="minorHAnsi" w:cstheme="minorHAnsi"/>
          <w:sz w:val="24"/>
          <w:szCs w:val="24"/>
        </w:rPr>
      </w:pPr>
    </w:p>
    <w:p w14:paraId="03C35292" w14:textId="77777777" w:rsidR="00C20BBD" w:rsidRPr="0097459F" w:rsidRDefault="00C20BBD" w:rsidP="00F6174B">
      <w:pPr>
        <w:numPr>
          <w:ilvl w:val="0"/>
          <w:numId w:val="19"/>
        </w:numPr>
        <w:tabs>
          <w:tab w:val="num" w:pos="847"/>
        </w:tabs>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CONDIÇÕES DE INVESTIMENTO </w:t>
      </w:r>
    </w:p>
    <w:p w14:paraId="77436B2D" w14:textId="77777777" w:rsidR="00C20BBD" w:rsidRPr="0097459F" w:rsidRDefault="00C20BBD" w:rsidP="00F6174B">
      <w:pPr>
        <w:spacing w:before="120" w:after="120" w:line="240" w:lineRule="auto"/>
        <w:ind w:firstLine="709"/>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6657"/>
      </w:tblGrid>
      <w:tr w:rsidR="00C20BBD" w:rsidRPr="0097459F" w14:paraId="10850665" w14:textId="77777777" w:rsidTr="00ED0447">
        <w:tc>
          <w:tcPr>
            <w:tcW w:w="1735" w:type="pct"/>
            <w:shd w:val="clear" w:color="auto" w:fill="DBE5F1"/>
            <w:vAlign w:val="center"/>
          </w:tcPr>
          <w:p w14:paraId="707389C4"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Investimento inicial mínimo</w:t>
            </w:r>
          </w:p>
        </w:tc>
        <w:tc>
          <w:tcPr>
            <w:tcW w:w="3265" w:type="pct"/>
            <w:vAlign w:val="center"/>
          </w:tcPr>
          <w:p w14:paraId="1B791E1D"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R$ [●] OU [não há]</w:t>
            </w:r>
          </w:p>
        </w:tc>
      </w:tr>
      <w:tr w:rsidR="00C20BBD" w:rsidRPr="0097459F" w14:paraId="236684D0" w14:textId="77777777" w:rsidTr="00ED0447">
        <w:tc>
          <w:tcPr>
            <w:tcW w:w="1735" w:type="pct"/>
            <w:shd w:val="clear" w:color="auto" w:fill="DBE5F1"/>
            <w:vAlign w:val="center"/>
          </w:tcPr>
          <w:p w14:paraId="5A530B95"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Horário para aplicação e resgate</w:t>
            </w:r>
          </w:p>
        </w:tc>
        <w:tc>
          <w:tcPr>
            <w:tcW w:w="3265" w:type="pct"/>
            <w:vAlign w:val="center"/>
          </w:tcPr>
          <w:p w14:paraId="3EF04A7D"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De hh:mm às hh:mm</w:t>
            </w:r>
          </w:p>
        </w:tc>
      </w:tr>
      <w:tr w:rsidR="00C20BBD" w:rsidRPr="0097459F" w14:paraId="330C448D" w14:textId="77777777" w:rsidTr="00ED0447">
        <w:tc>
          <w:tcPr>
            <w:tcW w:w="1735" w:type="pct"/>
            <w:shd w:val="clear" w:color="auto" w:fill="DBE5F1"/>
            <w:vAlign w:val="center"/>
          </w:tcPr>
          <w:p w14:paraId="2F01EC84"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Valor mínimo para permanência</w:t>
            </w:r>
          </w:p>
        </w:tc>
        <w:tc>
          <w:tcPr>
            <w:tcW w:w="3265" w:type="pct"/>
            <w:vAlign w:val="center"/>
          </w:tcPr>
          <w:p w14:paraId="77DB4C55"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R$ [●] OU [não há]</w:t>
            </w:r>
          </w:p>
        </w:tc>
      </w:tr>
      <w:tr w:rsidR="00C20BBD" w:rsidRPr="0097459F" w14:paraId="49EAF358" w14:textId="77777777" w:rsidTr="00ED0447">
        <w:tc>
          <w:tcPr>
            <w:tcW w:w="1735" w:type="pct"/>
            <w:shd w:val="clear" w:color="auto" w:fill="DBE5F1"/>
            <w:vAlign w:val="center"/>
          </w:tcPr>
          <w:p w14:paraId="78AEAFCF"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lastRenderedPageBreak/>
              <w:t>Prazo de carência</w:t>
            </w:r>
          </w:p>
        </w:tc>
        <w:tc>
          <w:tcPr>
            <w:tcW w:w="3265" w:type="pct"/>
            <w:vAlign w:val="center"/>
          </w:tcPr>
          <w:p w14:paraId="609B8930"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Os recursos investidos no fundo não podem ser resgatados antes de [●] dias contados da data da aplicação OU [outras condições de carência] OU [não há].</w:t>
            </w:r>
          </w:p>
        </w:tc>
      </w:tr>
      <w:tr w:rsidR="00C20BBD" w:rsidRPr="0097459F" w14:paraId="408263E2" w14:textId="77777777" w:rsidTr="00ED0447">
        <w:tc>
          <w:tcPr>
            <w:tcW w:w="1735" w:type="pct"/>
            <w:shd w:val="clear" w:color="auto" w:fill="DBE5F1"/>
            <w:vAlign w:val="center"/>
          </w:tcPr>
          <w:p w14:paraId="558648F0"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Pagamento dos resgates</w:t>
            </w:r>
          </w:p>
        </w:tc>
        <w:tc>
          <w:tcPr>
            <w:tcW w:w="3265" w:type="pct"/>
            <w:vAlign w:val="center"/>
          </w:tcPr>
          <w:p w14:paraId="1BA91474"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O prazo para o efetivo pagamento dos resgates é de [●]dias [úteis ou corridos], contados da data do pedido de resgate.</w:t>
            </w:r>
          </w:p>
        </w:tc>
      </w:tr>
      <w:tr w:rsidR="00C20BBD" w:rsidRPr="0097459F" w14:paraId="77CD5776" w14:textId="77777777" w:rsidTr="00ED0447">
        <w:tc>
          <w:tcPr>
            <w:tcW w:w="1735" w:type="pct"/>
            <w:shd w:val="clear" w:color="auto" w:fill="DBE5F1"/>
            <w:vAlign w:val="center"/>
          </w:tcPr>
          <w:p w14:paraId="653EA25A"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Taxa de administração</w:t>
            </w:r>
          </w:p>
        </w:tc>
        <w:tc>
          <w:tcPr>
            <w:tcW w:w="3265" w:type="pct"/>
            <w:vAlign w:val="center"/>
          </w:tcPr>
          <w:p w14:paraId="2EE73AF3"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ao ano] OU [A taxa de administração pode variar de [●]% a [●]% do patrimônio líquido ao ano].</w:t>
            </w:r>
          </w:p>
        </w:tc>
      </w:tr>
      <w:tr w:rsidR="00C20BBD" w:rsidRPr="0097459F" w14:paraId="368EFDD6" w14:textId="77777777" w:rsidTr="00ED0447">
        <w:tc>
          <w:tcPr>
            <w:tcW w:w="1735" w:type="pct"/>
            <w:shd w:val="clear" w:color="auto" w:fill="DBE5F1"/>
            <w:vAlign w:val="center"/>
          </w:tcPr>
          <w:p w14:paraId="1BA14C3F"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Taxa de entrada</w:t>
            </w:r>
          </w:p>
        </w:tc>
        <w:tc>
          <w:tcPr>
            <w:tcW w:w="3265" w:type="pct"/>
            <w:vAlign w:val="center"/>
          </w:tcPr>
          <w:p w14:paraId="15F6C277"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[Para entrar no fundo, o investidor paga uma taxa de [●]% da aplicação inicial, que é deduzida diretamente do valor a ser aplicado.] OU [outras condições de entrada] OU [não há].</w:t>
            </w:r>
          </w:p>
        </w:tc>
      </w:tr>
      <w:tr w:rsidR="00C20BBD" w:rsidRPr="0097459F" w14:paraId="01E453F6" w14:textId="77777777" w:rsidTr="00ED0447">
        <w:tc>
          <w:tcPr>
            <w:tcW w:w="1735" w:type="pct"/>
            <w:shd w:val="clear" w:color="auto" w:fill="DBE5F1"/>
            <w:vAlign w:val="center"/>
          </w:tcPr>
          <w:p w14:paraId="26ACD3D5"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Taxa de saída</w:t>
            </w:r>
          </w:p>
        </w:tc>
        <w:tc>
          <w:tcPr>
            <w:tcW w:w="3265" w:type="pct"/>
            <w:vAlign w:val="center"/>
          </w:tcPr>
          <w:p w14:paraId="4F476B18"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[Para resgatar suas cotas do fundo [, antes de decorridos [●] dias da data de aplicação], o investidor paga uma taxa de [●]% do valor do resgate, que é deduzida diretamente do valor a ser recebido.] OU [outras condições de saída] OU [não há].</w:t>
            </w:r>
          </w:p>
        </w:tc>
      </w:tr>
      <w:tr w:rsidR="00C20BBD" w:rsidRPr="0097459F" w14:paraId="15C1A8E3" w14:textId="77777777" w:rsidTr="00ED0447">
        <w:tc>
          <w:tcPr>
            <w:tcW w:w="1735" w:type="pct"/>
            <w:shd w:val="clear" w:color="auto" w:fill="DBE5F1"/>
            <w:vAlign w:val="center"/>
          </w:tcPr>
          <w:p w14:paraId="2F75A87C"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Remuneração do gestor</w:t>
            </w:r>
          </w:p>
        </w:tc>
        <w:tc>
          <w:tcPr>
            <w:tcW w:w="3265" w:type="pct"/>
            <w:vAlign w:val="center"/>
          </w:tcPr>
          <w:p w14:paraId="4FCD65A7"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[descrição sucinta da remuneração do gestor, incluindo, mas não se limitando, a taxa de performance, se houver]</w:t>
            </w:r>
          </w:p>
        </w:tc>
      </w:tr>
      <w:tr w:rsidR="00C20BBD" w:rsidRPr="0097459F" w14:paraId="07CA6268" w14:textId="77777777" w:rsidTr="00ED0447">
        <w:tc>
          <w:tcPr>
            <w:tcW w:w="1735" w:type="pct"/>
            <w:shd w:val="clear" w:color="auto" w:fill="DBE5F1"/>
            <w:vAlign w:val="center"/>
          </w:tcPr>
          <w:p w14:paraId="4178D18D"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Taxa total de despesas</w:t>
            </w:r>
          </w:p>
        </w:tc>
        <w:tc>
          <w:tcPr>
            <w:tcW w:w="3265" w:type="pct"/>
            <w:vAlign w:val="center"/>
          </w:tcPr>
          <w:p w14:paraId="530BD3D5"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As despesas pagas pelo fundo representaram [●]% do seu patrimônio líquido diário médio no período que vai de [●] a [●]. A taxa de despesas pode variar de período para período e reduz a rentabilidade do fundo. O quadro com a descrição das despesas do fundo pode ser encontrado em [endereço eletrônico].</w:t>
            </w:r>
          </w:p>
        </w:tc>
      </w:tr>
    </w:tbl>
    <w:p w14:paraId="7A2DE2F4" w14:textId="77777777" w:rsidR="00C20BBD" w:rsidRPr="0097459F" w:rsidRDefault="00C20BBD" w:rsidP="00F6174B">
      <w:pPr>
        <w:spacing w:before="120" w:after="120" w:line="240" w:lineRule="auto"/>
        <w:jc w:val="both"/>
        <w:rPr>
          <w:rFonts w:asciiTheme="minorHAnsi" w:hAnsiTheme="minorHAnsi" w:cstheme="minorHAnsi"/>
          <w:sz w:val="24"/>
          <w:szCs w:val="24"/>
        </w:rPr>
      </w:pPr>
    </w:p>
    <w:p w14:paraId="4D68AD2A" w14:textId="77777777" w:rsidR="00C20BBD" w:rsidRPr="0097459F" w:rsidRDefault="00C20BBD" w:rsidP="00F6174B">
      <w:pPr>
        <w:numPr>
          <w:ilvl w:val="0"/>
          <w:numId w:val="19"/>
        </w:numPr>
        <w:tabs>
          <w:tab w:val="num" w:pos="847"/>
        </w:tabs>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RISCO: o [nome do administrador] classifica os fundos que administra numa escala de 1 a 5 de acordo com o risco envolvido na estratégia de investimento de cada um deles.  Nessa escala, a classificação do fundo é: </w:t>
      </w:r>
    </w:p>
    <w:p w14:paraId="43C80E48" w14:textId="77777777" w:rsidR="00C20BBD" w:rsidRPr="0097459F" w:rsidRDefault="00C20BBD" w:rsidP="00F6174B">
      <w:pPr>
        <w:pStyle w:val="PargrafodaLista1"/>
        <w:tabs>
          <w:tab w:val="num" w:pos="1134"/>
        </w:tabs>
        <w:spacing w:before="120" w:after="120"/>
        <w:ind w:firstLine="709"/>
        <w:rPr>
          <w:rFonts w:asciiTheme="minorHAnsi" w:hAnsiTheme="minorHAnsi" w:cstheme="minorHAnsi"/>
        </w:rPr>
      </w:pPr>
      <w:r w:rsidRPr="0097459F">
        <w:rPr>
          <w:rFonts w:asciiTheme="minorHAnsi" w:hAnsiTheme="minorHAnsi" w:cstheme="minorHAnsi"/>
          <w:noProof/>
          <w:color w:val="2B579A"/>
          <w:shd w:val="clear" w:color="auto" w:fill="E6E6E6"/>
        </w:rPr>
        <mc:AlternateContent>
          <mc:Choice Requires="wps">
            <w:drawing>
              <wp:anchor distT="0" distB="0" distL="114300" distR="114300" simplePos="0" relativeHeight="251660288" behindDoc="0" locked="0" layoutInCell="1" allowOverlap="1" wp14:anchorId="667FCAEB" wp14:editId="4F9894ED">
                <wp:simplePos x="0" y="0"/>
                <wp:positionH relativeFrom="column">
                  <wp:posOffset>734695</wp:posOffset>
                </wp:positionH>
                <wp:positionV relativeFrom="paragraph">
                  <wp:posOffset>152400</wp:posOffset>
                </wp:positionV>
                <wp:extent cx="5305425" cy="280670"/>
                <wp:effectExtent l="0" t="0" r="9525" b="5080"/>
                <wp:wrapNone/>
                <wp:docPr id="8"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80670"/>
                        </a:xfrm>
                        <a:prstGeom prst="rect">
                          <a:avLst/>
                        </a:prstGeom>
                        <a:solidFill>
                          <a:srgbClr val="FFFFFF"/>
                        </a:solidFill>
                        <a:ln w="9525">
                          <a:solidFill>
                            <a:srgbClr val="000000"/>
                          </a:solidFill>
                          <a:miter lim="800000"/>
                          <a:headEnd/>
                          <a:tailEnd/>
                        </a:ln>
                      </wps:spPr>
                      <wps:txbx>
                        <w:txbxContent>
                          <w:p w14:paraId="3E255B00" w14:textId="77777777" w:rsidR="009A1B15" w:rsidRPr="00BF2007" w:rsidRDefault="009A1B15" w:rsidP="00C20BBD">
                            <w:pPr>
                              <w:rPr>
                                <w:rFonts w:ascii="Arial" w:hAnsi="Arial" w:cs="Arial"/>
                                <w:sz w:val="16"/>
                                <w:szCs w:val="16"/>
                              </w:rPr>
                            </w:pPr>
                            <w:r w:rsidRPr="00A44E4D">
                              <w:rPr>
                                <w:sz w:val="20"/>
                                <w:szCs w:val="20"/>
                              </w:rPr>
                              <w:t>Menor risco</w:t>
                            </w:r>
                            <w:r w:rsidRPr="00BF200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4E4D">
                              <w:rPr>
                                <w:sz w:val="20"/>
                                <w:szCs w:val="20"/>
                              </w:rPr>
                              <w:t>Maior risco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FCAEB" id="_x0000_t202" coordsize="21600,21600" o:spt="202" path="m,l,21600r21600,l21600,xe">
                <v:stroke joinstyle="miter"/>
                <v:path gradientshapeok="t" o:connecttype="rect"/>
              </v:shapetype>
              <v:shape id="Caixa de Texto 4" o:spid="_x0000_s1026" type="#_x0000_t202" style="position:absolute;left:0;text-align:left;margin-left:57.85pt;margin-top:12pt;width:417.7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">
                <v:textbox>
                  <w:txbxContent>
                    <w:p w14:paraId="3E255B00" w14:textId="77777777" w:rsidR="009A1B15" w:rsidRPr="00BF2007" w:rsidRDefault="009A1B15" w:rsidP="00C20BBD">
                      <w:pPr>
                        <w:rPr>
                          <w:rFonts w:ascii="Arial" w:hAnsi="Arial" w:cs="Arial"/>
                          <w:sz w:val="16"/>
                          <w:szCs w:val="16"/>
                        </w:rPr>
                      </w:pPr>
                      <w:r w:rsidRPr="00A44E4D">
                        <w:rPr>
                          <w:sz w:val="20"/>
                          <w:szCs w:val="20"/>
                        </w:rPr>
                        <w:t>Menor risco</w:t>
                      </w:r>
                      <w:r w:rsidRPr="00BF200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4E4D">
                        <w:rPr>
                          <w:sz w:val="20"/>
                          <w:szCs w:val="20"/>
                        </w:rPr>
                        <w:t>Maior risco</w:t>
                      </w:r>
                    </w:p>
                  </w:txbxContent>
                </v:textbox>
              </v:shape>
            </w:pict>
          </mc:Fallback>
        </mc:AlternateContent>
      </w:r>
    </w:p>
    <w:p w14:paraId="6CD8BAD1" w14:textId="77777777" w:rsidR="00C20BBD" w:rsidRPr="0097459F" w:rsidRDefault="00C20BBD" w:rsidP="00F6174B">
      <w:pPr>
        <w:pStyle w:val="PargrafodaLista1"/>
        <w:tabs>
          <w:tab w:val="num" w:pos="1134"/>
        </w:tabs>
        <w:spacing w:before="120" w:after="120"/>
        <w:ind w:firstLine="709"/>
        <w:rPr>
          <w:rFonts w:asciiTheme="minorHAnsi" w:hAnsiTheme="minorHAnsi" w:cstheme="minorHAnsi"/>
        </w:rPr>
      </w:pPr>
    </w:p>
    <w:p w14:paraId="4A9765F6" w14:textId="77777777" w:rsidR="00C20BBD" w:rsidRPr="0097459F" w:rsidRDefault="00C20BBD" w:rsidP="00F6174B">
      <w:pPr>
        <w:tabs>
          <w:tab w:val="num" w:pos="567"/>
          <w:tab w:val="num" w:pos="1134"/>
        </w:tabs>
        <w:spacing w:before="120" w:after="120" w:line="240" w:lineRule="auto"/>
        <w:ind w:firstLine="709"/>
        <w:jc w:val="center"/>
        <w:rPr>
          <w:rFonts w:asciiTheme="minorHAnsi" w:hAnsiTheme="minorHAnsi" w:cstheme="minorHAnsi"/>
          <w:sz w:val="24"/>
          <w:szCs w:val="24"/>
        </w:rPr>
      </w:pPr>
      <w:r w:rsidRPr="0097459F">
        <w:rPr>
          <w:rFonts w:asciiTheme="minorHAnsi" w:hAnsiTheme="minorHAnsi" w:cstheme="minorHAnsi"/>
          <w:sz w:val="24"/>
          <w:szCs w:val="24"/>
          <w:bdr w:val="single" w:sz="4" w:space="0" w:color="auto"/>
        </w:rPr>
        <w:t>1</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2</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3</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4</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5</w:t>
      </w:r>
    </w:p>
    <w:p w14:paraId="2D2F67AF" w14:textId="77777777" w:rsidR="00C20BBD" w:rsidRPr="0097459F" w:rsidRDefault="00C20BBD" w:rsidP="00F6174B">
      <w:pPr>
        <w:tabs>
          <w:tab w:val="num" w:pos="567"/>
          <w:tab w:val="num" w:pos="1134"/>
        </w:tabs>
        <w:spacing w:before="120" w:after="120" w:line="240" w:lineRule="auto"/>
        <w:ind w:firstLine="709"/>
        <w:jc w:val="center"/>
        <w:rPr>
          <w:rFonts w:asciiTheme="minorHAnsi" w:hAnsiTheme="minorHAnsi" w:cstheme="minorHAnsi"/>
          <w:sz w:val="24"/>
          <w:szCs w:val="24"/>
        </w:rPr>
      </w:pPr>
      <w:r w:rsidRPr="0097459F">
        <w:rPr>
          <w:rFonts w:asciiTheme="minorHAnsi" w:hAnsiTheme="minorHAnsi" w:cstheme="minorHAnsi"/>
          <w:noProof/>
          <w:color w:val="2B579A"/>
          <w:sz w:val="24"/>
          <w:szCs w:val="24"/>
          <w:shd w:val="clear" w:color="auto" w:fill="E6E6E6"/>
          <w:lang w:eastAsia="pt-BR"/>
        </w:rPr>
        <mc:AlternateContent>
          <mc:Choice Requires="wps">
            <w:drawing>
              <wp:anchor distT="0" distB="0" distL="114300" distR="114300" simplePos="0" relativeHeight="251662336" behindDoc="0" locked="0" layoutInCell="1" allowOverlap="1" wp14:anchorId="2B963618" wp14:editId="3CA60312">
                <wp:simplePos x="0" y="0"/>
                <wp:positionH relativeFrom="column">
                  <wp:posOffset>3232150</wp:posOffset>
                </wp:positionH>
                <wp:positionV relativeFrom="paragraph">
                  <wp:posOffset>26527</wp:posOffset>
                </wp:positionV>
                <wp:extent cx="90805" cy="171450"/>
                <wp:effectExtent l="19050" t="19050" r="23495" b="0"/>
                <wp:wrapNone/>
                <wp:docPr id="7" name="Seta para Ci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upArrow">
                          <a:avLst>
                            <a:gd name="adj1" fmla="val 50000"/>
                            <a:gd name="adj2" fmla="val 4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8EFB" id="Seta para Cima 3" o:spid="_x0000_s1026" type="#_x0000_t68" style="position:absolute;margin-left:254.5pt;margin-top:2.1pt;width:7.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"/>
            </w:pict>
          </mc:Fallback>
        </mc:AlternateContent>
      </w:r>
    </w:p>
    <w:p w14:paraId="0EA96BD6" w14:textId="77777777" w:rsidR="00C20BBD" w:rsidRPr="0097459F" w:rsidRDefault="00C20BBD" w:rsidP="00F6174B">
      <w:pPr>
        <w:tabs>
          <w:tab w:val="num" w:pos="567"/>
        </w:tabs>
        <w:spacing w:before="120" w:after="120" w:line="240" w:lineRule="auto"/>
        <w:ind w:firstLine="709"/>
        <w:jc w:val="both"/>
        <w:rPr>
          <w:rFonts w:asciiTheme="minorHAnsi" w:hAnsiTheme="minorHAnsi" w:cstheme="minorHAnsi"/>
          <w:sz w:val="24"/>
          <w:szCs w:val="24"/>
        </w:rPr>
      </w:pPr>
    </w:p>
    <w:p w14:paraId="149A9A41" w14:textId="77777777" w:rsidR="00C20BBD" w:rsidRPr="0097459F" w:rsidRDefault="00C20BBD" w:rsidP="00F6174B">
      <w:pPr>
        <w:pStyle w:val="NormalWeb"/>
        <w:numPr>
          <w:ilvl w:val="0"/>
          <w:numId w:val="19"/>
        </w:numPr>
        <w:spacing w:before="120" w:beforeAutospacing="0" w:after="120" w:afterAutospacing="0"/>
        <w:ind w:left="0" w:firstLine="709"/>
        <w:jc w:val="both"/>
        <w:rPr>
          <w:rFonts w:asciiTheme="minorHAnsi" w:hAnsiTheme="minorHAnsi" w:cstheme="minorHAnsi"/>
        </w:rPr>
      </w:pPr>
      <w:r w:rsidRPr="0097459F">
        <w:rPr>
          <w:rFonts w:asciiTheme="minorHAnsi" w:hAnsiTheme="minorHAnsi" w:cstheme="minorHAnsi"/>
        </w:rPr>
        <w:t>5 MAIORES EXPOSIÇÕES:</w:t>
      </w:r>
    </w:p>
    <w:p w14:paraId="0A1C7B38"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835"/>
        <w:gridCol w:w="2830"/>
      </w:tblGrid>
      <w:tr w:rsidR="00C20BBD" w:rsidRPr="0097459F" w14:paraId="3A0E714C" w14:textId="77777777" w:rsidTr="00ED0447">
        <w:tc>
          <w:tcPr>
            <w:tcW w:w="3964" w:type="dxa"/>
            <w:shd w:val="clear" w:color="auto" w:fill="DEEAF6"/>
          </w:tcPr>
          <w:p w14:paraId="01AFD163" w14:textId="77777777" w:rsidR="00C20BBD" w:rsidRPr="0097459F" w:rsidRDefault="00C20BBD" w:rsidP="00F6174B">
            <w:pPr>
              <w:pStyle w:val="NormalWeb"/>
              <w:spacing w:before="120" w:beforeAutospacing="0" w:after="120" w:afterAutospacing="0"/>
              <w:jc w:val="center"/>
              <w:rPr>
                <w:rFonts w:asciiTheme="minorHAnsi" w:hAnsiTheme="minorHAnsi" w:cstheme="minorHAnsi"/>
              </w:rPr>
            </w:pPr>
            <w:r w:rsidRPr="0097459F">
              <w:rPr>
                <w:rFonts w:asciiTheme="minorHAnsi" w:hAnsiTheme="minorHAnsi" w:cstheme="minorHAnsi"/>
              </w:rPr>
              <w:t>Nome do Devedor ou Coobrigado</w:t>
            </w:r>
          </w:p>
        </w:tc>
        <w:tc>
          <w:tcPr>
            <w:tcW w:w="2835" w:type="dxa"/>
            <w:shd w:val="clear" w:color="auto" w:fill="DEEAF6"/>
          </w:tcPr>
          <w:p w14:paraId="510085BA" w14:textId="77777777" w:rsidR="00C20BBD" w:rsidRPr="0097459F" w:rsidRDefault="00C20BBD" w:rsidP="00F6174B">
            <w:pPr>
              <w:pStyle w:val="NormalWeb"/>
              <w:spacing w:before="120" w:beforeAutospacing="0" w:after="120" w:afterAutospacing="0"/>
              <w:jc w:val="center"/>
              <w:rPr>
                <w:rFonts w:asciiTheme="minorHAnsi" w:hAnsiTheme="minorHAnsi" w:cstheme="minorHAnsi"/>
              </w:rPr>
            </w:pPr>
            <w:r w:rsidRPr="0097459F">
              <w:rPr>
                <w:rFonts w:asciiTheme="minorHAnsi" w:hAnsiTheme="minorHAnsi" w:cstheme="minorHAnsi"/>
              </w:rPr>
              <w:t>CNPJ</w:t>
            </w:r>
          </w:p>
        </w:tc>
        <w:tc>
          <w:tcPr>
            <w:tcW w:w="2830" w:type="dxa"/>
            <w:shd w:val="clear" w:color="auto" w:fill="DEEAF6"/>
          </w:tcPr>
          <w:p w14:paraId="1C170458" w14:textId="77777777" w:rsidR="00C20BBD" w:rsidRPr="0097459F" w:rsidRDefault="00C20BBD" w:rsidP="00F6174B">
            <w:pPr>
              <w:pStyle w:val="NormalWeb"/>
              <w:spacing w:before="120" w:beforeAutospacing="0" w:after="120" w:afterAutospacing="0"/>
              <w:jc w:val="center"/>
              <w:rPr>
                <w:rFonts w:asciiTheme="minorHAnsi" w:hAnsiTheme="minorHAnsi" w:cstheme="minorHAnsi"/>
              </w:rPr>
            </w:pPr>
            <w:r w:rsidRPr="0097459F">
              <w:rPr>
                <w:rFonts w:asciiTheme="minorHAnsi" w:hAnsiTheme="minorHAnsi" w:cstheme="minorHAnsi"/>
              </w:rPr>
              <w:t>% Carteira de Ativos</w:t>
            </w:r>
          </w:p>
        </w:tc>
      </w:tr>
      <w:tr w:rsidR="00C20BBD" w:rsidRPr="0097459F" w14:paraId="113ACF13" w14:textId="77777777" w:rsidTr="00ED0447">
        <w:tc>
          <w:tcPr>
            <w:tcW w:w="3964" w:type="dxa"/>
          </w:tcPr>
          <w:p w14:paraId="571D3578"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169913AA"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099416C9"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r w:rsidR="00C20BBD" w:rsidRPr="0097459F" w14:paraId="14ABA360" w14:textId="77777777" w:rsidTr="00ED0447">
        <w:tc>
          <w:tcPr>
            <w:tcW w:w="3964" w:type="dxa"/>
          </w:tcPr>
          <w:p w14:paraId="1826CC45"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237727AB"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2D39923B"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r w:rsidR="00C20BBD" w:rsidRPr="0097459F" w14:paraId="7234FE22" w14:textId="77777777" w:rsidTr="00ED0447">
        <w:tc>
          <w:tcPr>
            <w:tcW w:w="3964" w:type="dxa"/>
          </w:tcPr>
          <w:p w14:paraId="17A7475C"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076951B8"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6E70A348"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r w:rsidR="00C20BBD" w:rsidRPr="0097459F" w14:paraId="7BEB8BC6" w14:textId="77777777" w:rsidTr="00ED0447">
        <w:tc>
          <w:tcPr>
            <w:tcW w:w="3964" w:type="dxa"/>
          </w:tcPr>
          <w:p w14:paraId="76065DA7"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6D43C0E2"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5B4B899F"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r w:rsidR="00C20BBD" w:rsidRPr="0097459F" w14:paraId="26905431" w14:textId="77777777" w:rsidTr="00ED0447">
        <w:tc>
          <w:tcPr>
            <w:tcW w:w="3964" w:type="dxa"/>
          </w:tcPr>
          <w:p w14:paraId="165E242B"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349E3534"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346BCC7B"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bl>
    <w:p w14:paraId="09FA968C"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p w14:paraId="6D6E3BEB" w14:textId="77777777" w:rsidR="00C20BBD" w:rsidRPr="0097459F" w:rsidRDefault="00C20BBD" w:rsidP="00F6174B">
      <w:pPr>
        <w:pStyle w:val="NormalWeb"/>
        <w:numPr>
          <w:ilvl w:val="0"/>
          <w:numId w:val="19"/>
        </w:numPr>
        <w:spacing w:before="120" w:beforeAutospacing="0" w:after="120" w:afterAutospacing="0"/>
        <w:ind w:left="0" w:firstLine="709"/>
        <w:jc w:val="both"/>
        <w:rPr>
          <w:rFonts w:asciiTheme="minorHAnsi" w:hAnsiTheme="minorHAnsi" w:cstheme="minorHAnsi"/>
        </w:rPr>
      </w:pPr>
      <w:r w:rsidRPr="0097459F">
        <w:rPr>
          <w:rFonts w:asciiTheme="minorHAnsi" w:hAnsiTheme="minorHAnsi" w:cstheme="minorHAnsi"/>
        </w:rPr>
        <w:t>SIMULAÇÃO DE RENTABILIDADE:</w:t>
      </w:r>
    </w:p>
    <w:p w14:paraId="38FD9604"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p w14:paraId="7370E3CD"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r w:rsidRPr="0097459F">
        <w:rPr>
          <w:rFonts w:asciiTheme="minorHAnsi" w:hAnsiTheme="minorHAnsi" w:cstheme="minorHAnsi"/>
        </w:rPr>
        <w:t xml:space="preserve">a. Rentabilidade: Se você tivesse aplicado R$ 1.000,00 (mil reais) na classe no primeiro dia útil de [ano imediatamente anterior ao de emissão da lâmina] e não houvesse realizado outras aplicações, nem solicitado resgates durante o ano, no primeiro dia útil de [ano de emissão da lâmina], você poderia resgatar R$[●], já deduzidos impostos no valor de R$[●]. </w:t>
      </w:r>
    </w:p>
    <w:p w14:paraId="5018EB97"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r w:rsidRPr="0097459F">
        <w:rPr>
          <w:rFonts w:asciiTheme="minorHAnsi" w:hAnsiTheme="minorHAnsi" w:cstheme="minorHAnsi"/>
        </w:rPr>
        <w:t xml:space="preserve">b. Despesas: As despesas totais da classe teriam custado R$[●]. </w:t>
      </w:r>
    </w:p>
    <w:p w14:paraId="6712E54E" w14:textId="77777777" w:rsidR="00C20BBD" w:rsidRPr="0097459F" w:rsidRDefault="00C20BBD" w:rsidP="00F6174B">
      <w:pPr>
        <w:pStyle w:val="NormalWeb"/>
        <w:tabs>
          <w:tab w:val="num" w:pos="1440"/>
        </w:tabs>
        <w:spacing w:before="120" w:beforeAutospacing="0" w:after="120" w:afterAutospacing="0"/>
        <w:ind w:firstLine="709"/>
        <w:jc w:val="both"/>
        <w:rPr>
          <w:rFonts w:asciiTheme="minorHAnsi" w:hAnsiTheme="minorHAnsi" w:cstheme="minorHAnsi"/>
        </w:rPr>
      </w:pPr>
    </w:p>
    <w:p w14:paraId="5AF3DF4A" w14:textId="77777777" w:rsidR="00C20BBD" w:rsidRPr="0097459F" w:rsidRDefault="00C20BBD" w:rsidP="00F6174B">
      <w:pPr>
        <w:pStyle w:val="NormalWeb"/>
        <w:numPr>
          <w:ilvl w:val="0"/>
          <w:numId w:val="19"/>
        </w:numPr>
        <w:spacing w:before="120" w:beforeAutospacing="0" w:after="120" w:afterAutospacing="0"/>
        <w:ind w:left="0" w:firstLine="709"/>
        <w:jc w:val="both"/>
        <w:rPr>
          <w:rFonts w:asciiTheme="minorHAnsi" w:hAnsiTheme="minorHAnsi" w:cstheme="minorHAnsi"/>
        </w:rPr>
      </w:pPr>
      <w:r w:rsidRPr="0097459F">
        <w:rPr>
          <w:rFonts w:asciiTheme="minorHAnsi" w:hAnsiTheme="minorHAnsi" w:cstheme="minorHAnsi"/>
        </w:rPr>
        <w:t>POLÍTICA DE DISTRIBUIÇÃO:</w:t>
      </w:r>
    </w:p>
    <w:p w14:paraId="58CA00AF"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58891B81"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rPr>
        <w:t>[</w:t>
      </w:r>
      <w:r w:rsidRPr="0097459F">
        <w:rPr>
          <w:rFonts w:asciiTheme="minorHAnsi" w:hAnsiTheme="minorHAnsi" w:cstheme="minorHAnsi"/>
          <w:i/>
        </w:rPr>
        <w:t>Descrição resumida da política de distribuição de cotas, abrangendo, no mínimo, o seguinte:</w:t>
      </w:r>
    </w:p>
    <w:p w14:paraId="1EF10D37"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p>
    <w:p w14:paraId="2094B94B"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 xml:space="preserve">a. descrição da forma de remuneração dos distribuidores; </w:t>
      </w:r>
    </w:p>
    <w:p w14:paraId="6D27AA16"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b. se o principal distribuidor oferta, para o público-alvo do fundo, preponderantemente fundos geridos por um único gestor, ou por gestores ligados a um mesmo grupo econômico; e</w:t>
      </w:r>
    </w:p>
    <w:p w14:paraId="2BCF1E6E"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c. qualquer informação que indique a existência de conflito de interesses no esforço de venda]</w:t>
      </w:r>
    </w:p>
    <w:p w14:paraId="43CF2E8A"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7E393008" w14:textId="77777777" w:rsidR="00C20BBD" w:rsidRPr="0097459F" w:rsidRDefault="00C20BBD" w:rsidP="00A95105">
      <w:pPr>
        <w:pStyle w:val="NormalWeb"/>
        <w:numPr>
          <w:ilvl w:val="0"/>
          <w:numId w:val="19"/>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Cs/>
        </w:rPr>
        <w:t>ATENDIMENTO AO COTISTA:</w:t>
      </w:r>
      <w:r w:rsidRPr="0097459F">
        <w:rPr>
          <w:rFonts w:asciiTheme="minorHAnsi" w:hAnsiTheme="minorHAnsi" w:cstheme="minorHAnsi"/>
        </w:rPr>
        <w:t xml:space="preserve"> </w:t>
      </w:r>
    </w:p>
    <w:p w14:paraId="72F4A32E" w14:textId="77777777" w:rsidR="00C20BBD" w:rsidRPr="0097459F" w:rsidRDefault="00C20BBD" w:rsidP="00A95105">
      <w:pPr>
        <w:pStyle w:val="PargrafodaLista1"/>
        <w:ind w:firstLine="709"/>
        <w:rPr>
          <w:rFonts w:asciiTheme="minorHAnsi" w:hAnsiTheme="minorHAnsi" w:cstheme="minorHAnsi"/>
        </w:rPr>
      </w:pPr>
    </w:p>
    <w:p w14:paraId="2E251AB7" w14:textId="77777777" w:rsidR="00C20BBD" w:rsidRPr="0097459F" w:rsidRDefault="00C20BBD" w:rsidP="00A95105">
      <w:pPr>
        <w:pStyle w:val="NormalWeb"/>
        <w:spacing w:before="0" w:beforeAutospacing="0" w:after="0" w:afterAutospacing="0"/>
        <w:ind w:left="708"/>
        <w:jc w:val="both"/>
        <w:rPr>
          <w:rFonts w:asciiTheme="minorHAnsi" w:hAnsiTheme="minorHAnsi" w:cstheme="minorHAnsi"/>
        </w:rPr>
      </w:pPr>
      <w:r w:rsidRPr="0097459F">
        <w:rPr>
          <w:rFonts w:asciiTheme="minorHAnsi" w:hAnsiTheme="minorHAnsi" w:cstheme="minorHAnsi"/>
          <w:i/>
          <w:iCs/>
        </w:rPr>
        <w:t xml:space="preserve">a. </w:t>
      </w:r>
      <w:r w:rsidRPr="0097459F">
        <w:rPr>
          <w:rFonts w:asciiTheme="minorHAnsi" w:hAnsiTheme="minorHAnsi" w:cstheme="minorHAnsi"/>
          <w:i/>
        </w:rPr>
        <w:t>Telefone</w:t>
      </w:r>
    </w:p>
    <w:p w14:paraId="77C57B38" w14:textId="77777777" w:rsidR="00C20BBD" w:rsidRPr="0097459F" w:rsidRDefault="00C20BBD" w:rsidP="00A95105">
      <w:pPr>
        <w:pStyle w:val="NormalWeb"/>
        <w:spacing w:before="0" w:beforeAutospacing="0" w:after="0" w:afterAutospacing="0"/>
        <w:ind w:left="708"/>
        <w:jc w:val="both"/>
        <w:rPr>
          <w:rFonts w:asciiTheme="minorHAnsi" w:hAnsiTheme="minorHAnsi" w:cstheme="minorHAnsi"/>
        </w:rPr>
      </w:pPr>
      <w:r w:rsidRPr="0097459F">
        <w:rPr>
          <w:rFonts w:asciiTheme="minorHAnsi" w:hAnsiTheme="minorHAnsi" w:cstheme="minorHAnsi"/>
        </w:rPr>
        <w:t>b. Página na rede mundial de computadores</w:t>
      </w:r>
    </w:p>
    <w:p w14:paraId="365A191D" w14:textId="77777777" w:rsidR="00C20BBD" w:rsidRPr="0097459F" w:rsidRDefault="00C20BBD" w:rsidP="00A95105">
      <w:pPr>
        <w:pStyle w:val="NormalWeb"/>
        <w:spacing w:before="0" w:beforeAutospacing="0" w:after="0" w:afterAutospacing="0"/>
        <w:ind w:left="708"/>
        <w:jc w:val="both"/>
        <w:rPr>
          <w:rFonts w:asciiTheme="minorHAnsi" w:eastAsiaTheme="minorEastAsia" w:hAnsiTheme="minorHAnsi" w:cstheme="minorHAnsi"/>
        </w:rPr>
      </w:pPr>
      <w:r w:rsidRPr="0097459F">
        <w:rPr>
          <w:rFonts w:asciiTheme="minorHAnsi" w:hAnsiTheme="minorHAnsi" w:cstheme="minorHAnsi"/>
        </w:rPr>
        <w:t>c. Reclamações: [endereço eletrônico] [e demais canais disponíveis]</w:t>
      </w:r>
    </w:p>
    <w:p w14:paraId="52166C4B" w14:textId="77777777" w:rsidR="00C20BBD" w:rsidRPr="0097459F" w:rsidRDefault="00C20BBD" w:rsidP="00A95105">
      <w:pPr>
        <w:pStyle w:val="NormalWeb"/>
        <w:tabs>
          <w:tab w:val="num" w:pos="426"/>
        </w:tabs>
        <w:spacing w:before="0" w:beforeAutospacing="0" w:after="0" w:afterAutospacing="0"/>
        <w:ind w:left="708"/>
        <w:rPr>
          <w:rFonts w:asciiTheme="minorHAnsi" w:hAnsiTheme="minorHAnsi" w:cstheme="minorHAnsi"/>
        </w:rPr>
      </w:pPr>
      <w:r w:rsidRPr="0097459F">
        <w:rPr>
          <w:rFonts w:asciiTheme="minorHAnsi" w:hAnsiTheme="minorHAnsi" w:cstheme="minorHAnsi"/>
        </w:rPr>
        <w:t xml:space="preserve">d. Serviço de Atendimento ao Cidadão da Comissão de Valores Mobiliários: </w:t>
      </w:r>
      <w:hyperlink r:id="rId19">
        <w:r w:rsidRPr="0097459F">
          <w:rPr>
            <w:rStyle w:val="Hyperlink"/>
            <w:rFonts w:asciiTheme="minorHAnsi" w:eastAsia="Calibri" w:hAnsiTheme="minorHAnsi" w:cstheme="minorHAnsi"/>
          </w:rPr>
          <w:t>www.cvm.gov.br</w:t>
        </w:r>
      </w:hyperlink>
      <w:r w:rsidRPr="0097459F">
        <w:rPr>
          <w:rFonts w:asciiTheme="minorHAnsi" w:hAnsiTheme="minorHAnsi" w:cstheme="minorHAnsi"/>
        </w:rPr>
        <w:t>.</w:t>
      </w:r>
    </w:p>
    <w:p w14:paraId="41455914"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br w:type="page"/>
      </w:r>
    </w:p>
    <w:p w14:paraId="1C773A52" w14:textId="4B7434D8" w:rsidR="00C20BBD" w:rsidRPr="0097459F" w:rsidRDefault="00C20BBD" w:rsidP="00A95105">
      <w:pPr>
        <w:pStyle w:val="Ttulo1"/>
        <w:spacing w:before="0" w:after="0" w:line="240" w:lineRule="auto"/>
        <w:ind w:firstLine="709"/>
        <w:jc w:val="center"/>
        <w:rPr>
          <w:rFonts w:asciiTheme="minorHAnsi" w:hAnsiTheme="minorHAnsi" w:cstheme="minorHAnsi"/>
          <w:sz w:val="24"/>
          <w:szCs w:val="24"/>
        </w:rPr>
      </w:pPr>
      <w:bookmarkStart w:id="725" w:name="_Toc53594549"/>
      <w:bookmarkStart w:id="726" w:name="_Toc53595574"/>
      <w:bookmarkStart w:id="727" w:name="_Toc53594301"/>
      <w:bookmarkStart w:id="728" w:name="_Toc57836311"/>
      <w:bookmarkStart w:id="729" w:name="_Toc126226417"/>
      <w:bookmarkStart w:id="730" w:name="_Toc17460998"/>
      <w:r w:rsidRPr="0097459F">
        <w:rPr>
          <w:rFonts w:asciiTheme="minorHAnsi" w:hAnsiTheme="minorHAnsi" w:cstheme="minorHAnsi"/>
          <w:sz w:val="24"/>
          <w:szCs w:val="24"/>
        </w:rPr>
        <w:lastRenderedPageBreak/>
        <w:t xml:space="preserve">SUPLEMENTO </w:t>
      </w:r>
      <w:r w:rsidR="001F69FD" w:rsidRPr="0097459F">
        <w:rPr>
          <w:rFonts w:asciiTheme="minorHAnsi" w:hAnsiTheme="minorHAnsi" w:cstheme="minorHAnsi"/>
          <w:sz w:val="24"/>
          <w:szCs w:val="24"/>
        </w:rPr>
        <w:t>F</w:t>
      </w:r>
      <w:r w:rsidRPr="0097459F">
        <w:rPr>
          <w:rFonts w:asciiTheme="minorHAnsi" w:hAnsiTheme="minorHAnsi" w:cstheme="minorHAnsi"/>
          <w:sz w:val="24"/>
          <w:szCs w:val="24"/>
        </w:rPr>
        <w:t xml:space="preserve"> – LÂMINA DE INFORMAÇÕES </w:t>
      </w:r>
      <w:r w:rsidR="007964B9" w:rsidRPr="0097459F">
        <w:rPr>
          <w:rFonts w:asciiTheme="minorHAnsi" w:hAnsiTheme="minorHAnsi" w:cstheme="minorHAnsi"/>
          <w:sz w:val="24"/>
          <w:szCs w:val="24"/>
        </w:rPr>
        <w:t>BÁS</w:t>
      </w:r>
      <w:r w:rsidR="00C144D7">
        <w:rPr>
          <w:rFonts w:asciiTheme="minorHAnsi" w:hAnsiTheme="minorHAnsi" w:cstheme="minorHAnsi"/>
          <w:sz w:val="24"/>
          <w:szCs w:val="24"/>
        </w:rPr>
        <w:t>I</w:t>
      </w:r>
      <w:r w:rsidR="007964B9" w:rsidRPr="0097459F">
        <w:rPr>
          <w:rFonts w:asciiTheme="minorHAnsi" w:hAnsiTheme="minorHAnsi" w:cstheme="minorHAnsi"/>
          <w:sz w:val="24"/>
          <w:szCs w:val="24"/>
        </w:rPr>
        <w:t>CAS</w:t>
      </w:r>
      <w:r w:rsidR="001E1C46" w:rsidRPr="0097459F">
        <w:rPr>
          <w:rFonts w:asciiTheme="minorHAnsi" w:hAnsiTheme="minorHAnsi" w:cstheme="minorHAnsi"/>
          <w:sz w:val="24"/>
          <w:szCs w:val="24"/>
        </w:rPr>
        <w:t xml:space="preserve"> DE </w:t>
      </w:r>
      <w:r w:rsidR="00A95105" w:rsidRPr="0097459F">
        <w:rPr>
          <w:rFonts w:asciiTheme="minorHAnsi" w:hAnsiTheme="minorHAnsi" w:cstheme="minorHAnsi"/>
          <w:sz w:val="24"/>
          <w:szCs w:val="24"/>
        </w:rPr>
        <w:t>CLASSES</w:t>
      </w:r>
      <w:r w:rsidRPr="0097459F">
        <w:rPr>
          <w:rFonts w:asciiTheme="minorHAnsi" w:hAnsiTheme="minorHAnsi" w:cstheme="minorHAnsi"/>
          <w:sz w:val="24"/>
          <w:szCs w:val="24"/>
        </w:rPr>
        <w:t xml:space="preserve"> DE </w:t>
      </w:r>
      <w:r w:rsidR="00A95105" w:rsidRPr="0097459F">
        <w:rPr>
          <w:rFonts w:asciiTheme="minorHAnsi" w:hAnsiTheme="minorHAnsi" w:cstheme="minorHAnsi"/>
          <w:sz w:val="24"/>
          <w:szCs w:val="24"/>
        </w:rPr>
        <w:t>INVESTIMENTO EM COTAS DE</w:t>
      </w:r>
      <w:r w:rsidR="001E1C46" w:rsidRPr="0097459F">
        <w:rPr>
          <w:rFonts w:asciiTheme="minorHAnsi" w:hAnsiTheme="minorHAnsi" w:cstheme="minorHAnsi"/>
          <w:sz w:val="24"/>
          <w:szCs w:val="24"/>
        </w:rPr>
        <w:t xml:space="preserve"> </w:t>
      </w:r>
      <w:r w:rsidRPr="0097459F">
        <w:rPr>
          <w:rFonts w:asciiTheme="minorHAnsi" w:hAnsiTheme="minorHAnsi" w:cstheme="minorHAnsi"/>
          <w:sz w:val="24"/>
          <w:szCs w:val="24"/>
        </w:rPr>
        <w:t>FIDC</w:t>
      </w:r>
      <w:bookmarkEnd w:id="725"/>
      <w:bookmarkEnd w:id="726"/>
      <w:bookmarkEnd w:id="727"/>
      <w:bookmarkEnd w:id="728"/>
      <w:bookmarkEnd w:id="729"/>
    </w:p>
    <w:p w14:paraId="506C1B40" w14:textId="1A664C38" w:rsidR="00C20BBD" w:rsidRPr="0097459F" w:rsidRDefault="00C20BBD" w:rsidP="00A95105">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 xml:space="preserve">Conteúdo da lâmina de informações </w:t>
      </w:r>
      <w:r w:rsidR="001C008B" w:rsidRPr="0097459F">
        <w:rPr>
          <w:rFonts w:asciiTheme="minorHAnsi" w:hAnsiTheme="minorHAnsi" w:cstheme="minorHAnsi"/>
          <w:i/>
          <w:sz w:val="24"/>
          <w:szCs w:val="24"/>
        </w:rPr>
        <w:t>básicas de classes de investimento em cotas de FIDC</w:t>
      </w:r>
      <w:r w:rsidR="008332D2">
        <w:rPr>
          <w:rFonts w:asciiTheme="minorHAnsi" w:hAnsiTheme="minorHAnsi" w:cstheme="minorHAnsi"/>
          <w:i/>
          <w:sz w:val="24"/>
          <w:szCs w:val="24"/>
        </w:rPr>
        <w:t>,</w:t>
      </w:r>
      <w:r w:rsidR="008332D2" w:rsidRPr="008332D2">
        <w:rPr>
          <w:rFonts w:asciiTheme="minorHAnsi" w:eastAsia="Times" w:hAnsiTheme="minorHAnsi" w:cstheme="minorHAnsi"/>
          <w:i/>
          <w:sz w:val="24"/>
          <w:szCs w:val="24"/>
        </w:rPr>
        <w:t xml:space="preserve"> </w:t>
      </w:r>
      <w:r w:rsidR="008332D2">
        <w:rPr>
          <w:rFonts w:asciiTheme="minorHAnsi" w:eastAsia="Times" w:hAnsiTheme="minorHAnsi" w:cstheme="minorHAnsi"/>
          <w:i/>
          <w:sz w:val="24"/>
          <w:szCs w:val="24"/>
        </w:rPr>
        <w:t>conforme previsto no art. 2º, inciso XVI, do Anexo Normativo II da Resolução CVM nº 175, de 2022.</w:t>
      </w:r>
    </w:p>
    <w:p w14:paraId="5E5E4B2D" w14:textId="77777777" w:rsidR="00C20BBD" w:rsidRPr="0097459F" w:rsidRDefault="00C20BBD" w:rsidP="00A95105">
      <w:pPr>
        <w:spacing w:after="0" w:line="240" w:lineRule="auto"/>
        <w:rPr>
          <w:rFonts w:asciiTheme="minorHAnsi" w:hAnsiTheme="minorHAnsi" w:cstheme="minorHAnsi"/>
          <w:sz w:val="24"/>
          <w:szCs w:val="24"/>
        </w:rPr>
      </w:pPr>
    </w:p>
    <w:p w14:paraId="6276F0E3"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LÂMINA DE INFORMAÇÕES ESSENCIAIS SOBRE O [nome de fantasia do fundo e, se for o caso, da classe]</w:t>
      </w:r>
    </w:p>
    <w:p w14:paraId="080411C1"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[CNPJ da classe]</w:t>
      </w:r>
    </w:p>
    <w:p w14:paraId="1F29D210"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Informações referentes a [mês] de [ano]</w:t>
      </w:r>
    </w:p>
    <w:bookmarkEnd w:id="730"/>
    <w:p w14:paraId="226C6517" w14:textId="77777777" w:rsidR="00C20BBD" w:rsidRPr="0097459F" w:rsidRDefault="00C20BBD" w:rsidP="00A95105">
      <w:pPr>
        <w:spacing w:after="0" w:line="240" w:lineRule="auto"/>
        <w:ind w:firstLine="709"/>
        <w:rPr>
          <w:rFonts w:asciiTheme="minorHAnsi" w:hAnsiTheme="minorHAnsi" w:cstheme="minorHAnsi"/>
          <w:sz w:val="24"/>
          <w:szCs w:val="24"/>
        </w:rPr>
      </w:pPr>
    </w:p>
    <w:p w14:paraId="336EDC74" w14:textId="77777777" w:rsidR="00C20BBD" w:rsidRPr="0097459F" w:rsidRDefault="00C20BBD" w:rsidP="00A95105">
      <w:pPr>
        <w:pStyle w:val="Corpodetexto2"/>
        <w:spacing w:after="0" w:line="240" w:lineRule="auto"/>
        <w:ind w:firstLine="709"/>
        <w:jc w:val="both"/>
        <w:rPr>
          <w:rFonts w:asciiTheme="minorHAnsi" w:hAnsiTheme="minorHAnsi" w:cstheme="minorHAnsi"/>
        </w:rPr>
      </w:pPr>
      <w:r w:rsidRPr="0097459F">
        <w:rPr>
          <w:rFonts w:asciiTheme="minorHAnsi" w:hAnsiTheme="minorHAnsi" w:cstheme="minorHAnsi"/>
        </w:rPr>
        <w:t>Esta lâmina contém um resumo das informações essenciais sobre o [nome completo do fundo]</w:t>
      </w:r>
      <w:r w:rsidRPr="0097459F">
        <w:rPr>
          <w:rFonts w:asciiTheme="minorHAnsi" w:hAnsiTheme="minorHAnsi" w:cstheme="minorHAnsi"/>
          <w:u w:val="single"/>
        </w:rPr>
        <w:t xml:space="preserve">, </w:t>
      </w:r>
      <w:r w:rsidRPr="0097459F">
        <w:rPr>
          <w:rFonts w:asciiTheme="minorHAnsi" w:hAnsiTheme="minorHAnsi" w:cstheme="minorHAnsi"/>
        </w:rPr>
        <w:t xml:space="preserve">administrado por [nome completo do administrador] e gerido por [nome completo do gestor]. Informações mais detalhadas sobre esse fundo podem ser obtidas em [endereço eletrônico]. Ao realizar aplicações adicionais, consulte a versão mais atualizada da lâmina. </w:t>
      </w:r>
    </w:p>
    <w:p w14:paraId="3F0C115A"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4D0280E9" w14:textId="77777777" w:rsidR="00C20BBD" w:rsidRPr="0097459F" w:rsidRDefault="00C20BBD" w:rsidP="00A95105">
      <w:pPr>
        <w:tabs>
          <w:tab w:val="num" w:pos="567"/>
        </w:tabs>
        <w:spacing w:after="0" w:line="240" w:lineRule="auto"/>
        <w:ind w:firstLine="709"/>
        <w:jc w:val="center"/>
        <w:rPr>
          <w:rFonts w:asciiTheme="minorHAnsi" w:hAnsiTheme="minorHAnsi" w:cstheme="minorHAnsi"/>
          <w:b/>
          <w:smallCaps/>
          <w:sz w:val="24"/>
          <w:szCs w:val="24"/>
        </w:rPr>
      </w:pPr>
      <w:r w:rsidRPr="0097459F">
        <w:rPr>
          <w:rFonts w:asciiTheme="minorHAnsi" w:hAnsiTheme="minorHAnsi" w:cstheme="minorHAnsi"/>
          <w:b/>
          <w:smallCaps/>
          <w:sz w:val="24"/>
          <w:szCs w:val="24"/>
        </w:rPr>
        <w:t>Antes de investir, compare o fundo com outros FIC-FIDC destinados ao público em geral.</w:t>
      </w:r>
    </w:p>
    <w:p w14:paraId="741854F7" w14:textId="77777777" w:rsidR="00C20BBD" w:rsidRPr="0097459F" w:rsidRDefault="00C20BBD" w:rsidP="00A95105">
      <w:pPr>
        <w:tabs>
          <w:tab w:val="num" w:pos="567"/>
        </w:tabs>
        <w:spacing w:after="0" w:line="240" w:lineRule="auto"/>
        <w:ind w:firstLine="709"/>
        <w:jc w:val="both"/>
        <w:rPr>
          <w:rFonts w:asciiTheme="minorHAnsi" w:hAnsiTheme="minorHAnsi" w:cstheme="minorHAnsi"/>
          <w:sz w:val="24"/>
          <w:szCs w:val="24"/>
        </w:rPr>
      </w:pPr>
    </w:p>
    <w:p w14:paraId="64807E44" w14:textId="77777777" w:rsidR="00C20BBD" w:rsidRPr="0097459F" w:rsidRDefault="00C20BBD" w:rsidP="00A95105">
      <w:pPr>
        <w:pStyle w:val="PargrafodaLista"/>
        <w:numPr>
          <w:ilvl w:val="0"/>
          <w:numId w:val="18"/>
        </w:numPr>
        <w:tabs>
          <w:tab w:val="left" w:pos="851"/>
        </w:tabs>
        <w:spacing w:after="0" w:line="240" w:lineRule="auto"/>
        <w:ind w:left="0" w:firstLine="709"/>
        <w:contextualSpacing w:val="0"/>
        <w:jc w:val="both"/>
        <w:rPr>
          <w:rFonts w:cstheme="minorHAnsi"/>
          <w:sz w:val="24"/>
          <w:szCs w:val="24"/>
        </w:rPr>
      </w:pPr>
      <w:r w:rsidRPr="0097459F">
        <w:rPr>
          <w:rFonts w:cstheme="minorHAnsi"/>
          <w:sz w:val="24"/>
          <w:szCs w:val="24"/>
        </w:rPr>
        <w:t>PÚBLICO-ALVO: o fundo é destinado a investidores que pretendam: [descrição do público-alvo] e [restrições de investimento].</w:t>
      </w:r>
    </w:p>
    <w:p w14:paraId="3078DE55" w14:textId="77777777" w:rsidR="00C20BBD" w:rsidRPr="0097459F" w:rsidRDefault="00C20BBD" w:rsidP="00A95105">
      <w:pPr>
        <w:pStyle w:val="PargrafodaLista1"/>
        <w:tabs>
          <w:tab w:val="num" w:pos="567"/>
        </w:tabs>
        <w:ind w:firstLine="709"/>
        <w:rPr>
          <w:rFonts w:asciiTheme="minorHAnsi" w:hAnsiTheme="minorHAnsi" w:cstheme="minorHAnsi"/>
        </w:rPr>
      </w:pPr>
    </w:p>
    <w:p w14:paraId="27F61E60" w14:textId="77777777" w:rsidR="00C20BBD" w:rsidRPr="0097459F" w:rsidRDefault="00C20BBD" w:rsidP="00A95105">
      <w:pPr>
        <w:numPr>
          <w:ilvl w:val="0"/>
          <w:numId w:val="1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OBJETIVOS DO FUNDO: [descrição resumida dos objetivos do fundo, de modo que o investidor possa ter um entendimento razoável da natureza e dos riscos envolvidos no investimento].</w:t>
      </w:r>
    </w:p>
    <w:p w14:paraId="27F804E5" w14:textId="77777777" w:rsidR="00C20BBD" w:rsidRPr="0097459F" w:rsidRDefault="00C20BBD" w:rsidP="00A95105">
      <w:pPr>
        <w:tabs>
          <w:tab w:val="num" w:pos="567"/>
        </w:tabs>
        <w:spacing w:after="0" w:line="240" w:lineRule="auto"/>
        <w:ind w:firstLine="709"/>
        <w:jc w:val="both"/>
        <w:rPr>
          <w:rFonts w:asciiTheme="minorHAnsi" w:hAnsiTheme="minorHAnsi" w:cstheme="minorHAnsi"/>
          <w:sz w:val="24"/>
          <w:szCs w:val="24"/>
        </w:rPr>
      </w:pPr>
    </w:p>
    <w:p w14:paraId="70E08B9F" w14:textId="77777777" w:rsidR="00C20BBD" w:rsidRPr="0097459F" w:rsidRDefault="00C20BBD" w:rsidP="00A95105">
      <w:pPr>
        <w:numPr>
          <w:ilvl w:val="0"/>
          <w:numId w:val="1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PRESTADORES DE SERVIÇOS:</w:t>
      </w:r>
    </w:p>
    <w:p w14:paraId="71594912" w14:textId="77777777" w:rsidR="00C20BBD" w:rsidRPr="0097459F" w:rsidRDefault="00C20BBD" w:rsidP="00A95105">
      <w:pPr>
        <w:spacing w:after="0" w:line="240" w:lineRule="auto"/>
        <w:ind w:firstLine="709"/>
        <w:rPr>
          <w:rFonts w:asciiTheme="minorHAnsi" w:hAnsiTheme="minorHAnsi" w:cstheme="minorHAnsi"/>
          <w:sz w:val="24"/>
          <w:szCs w:val="24"/>
        </w:rPr>
      </w:pPr>
    </w:p>
    <w:p w14:paraId="0955308D" w14:textId="77777777" w:rsidR="00C20BBD" w:rsidRPr="0097459F" w:rsidRDefault="00C20BBD" w:rsidP="00A95105">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a.</w:t>
      </w:r>
      <w:r w:rsidRPr="0097459F">
        <w:rPr>
          <w:rFonts w:asciiTheme="minorHAnsi" w:hAnsiTheme="minorHAnsi" w:cstheme="minorHAnsi"/>
          <w:sz w:val="24"/>
          <w:szCs w:val="24"/>
        </w:rPr>
        <w:tab/>
        <w:t>Nome da agência de classificação de risco e rating atribuído às cotas:</w:t>
      </w:r>
    </w:p>
    <w:p w14:paraId="0641C16D" w14:textId="77777777" w:rsidR="00C20BBD" w:rsidRPr="0097459F" w:rsidRDefault="00C20BBD" w:rsidP="00A95105">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b.</w:t>
      </w:r>
      <w:r w:rsidRPr="0097459F">
        <w:rPr>
          <w:rFonts w:asciiTheme="minorHAnsi" w:hAnsiTheme="minorHAnsi" w:cstheme="minorHAnsi"/>
          <w:sz w:val="24"/>
          <w:szCs w:val="24"/>
        </w:rPr>
        <w:tab/>
        <w:t>Nome do custodiante:</w:t>
      </w:r>
    </w:p>
    <w:p w14:paraId="23A618BD" w14:textId="77777777" w:rsidR="00C20BBD" w:rsidRPr="0097459F" w:rsidRDefault="00C20BBD" w:rsidP="00A95105">
      <w:pPr>
        <w:spacing w:after="0" w:line="240" w:lineRule="auto"/>
        <w:ind w:firstLine="709"/>
        <w:rPr>
          <w:rFonts w:asciiTheme="minorHAnsi" w:hAnsiTheme="minorHAnsi" w:cstheme="minorHAnsi"/>
          <w:sz w:val="24"/>
          <w:szCs w:val="24"/>
        </w:rPr>
      </w:pPr>
    </w:p>
    <w:p w14:paraId="360FCF98" w14:textId="77777777" w:rsidR="00C20BBD" w:rsidRPr="0097459F" w:rsidRDefault="00C20BBD" w:rsidP="00A95105">
      <w:pPr>
        <w:numPr>
          <w:ilvl w:val="0"/>
          <w:numId w:val="1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POLÍTICA DE INVESTIMENTO: </w:t>
      </w:r>
    </w:p>
    <w:p w14:paraId="179BD842" w14:textId="77777777" w:rsidR="00C20BBD" w:rsidRPr="0097459F" w:rsidRDefault="00C20BBD" w:rsidP="00A95105">
      <w:pPr>
        <w:spacing w:after="0" w:line="240" w:lineRule="auto"/>
        <w:ind w:firstLine="709"/>
        <w:jc w:val="both"/>
        <w:rPr>
          <w:rFonts w:asciiTheme="minorHAnsi" w:hAnsiTheme="minorHAnsi" w:cstheme="minorHAnsi"/>
          <w:sz w:val="24"/>
          <w:szCs w:val="24"/>
        </w:rPr>
      </w:pPr>
    </w:p>
    <w:p w14:paraId="50C40DE1" w14:textId="77777777" w:rsidR="00C20BBD" w:rsidRPr="0097459F" w:rsidRDefault="00C20BBD" w:rsidP="00A95105">
      <w:pPr>
        <w:numPr>
          <w:ilvl w:val="1"/>
          <w:numId w:val="18"/>
        </w:numPr>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[descrição resumida da política de investimento].</w:t>
      </w:r>
    </w:p>
    <w:p w14:paraId="3EF2A340" w14:textId="77777777" w:rsidR="00C20BBD" w:rsidRPr="0097459F" w:rsidRDefault="00C20BBD" w:rsidP="00A95105">
      <w:pPr>
        <w:numPr>
          <w:ilvl w:val="1"/>
          <w:numId w:val="18"/>
        </w:numPr>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O fundo pode:</w:t>
      </w:r>
    </w:p>
    <w:p w14:paraId="7D6D949B" w14:textId="77777777" w:rsidR="00C20BBD" w:rsidRPr="0097459F" w:rsidRDefault="00C20BBD" w:rsidP="00A95105">
      <w:pPr>
        <w:pStyle w:val="PargrafodaLista1"/>
        <w:ind w:firstLine="709"/>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8"/>
        <w:gridCol w:w="4017"/>
      </w:tblGrid>
      <w:tr w:rsidR="00C20BBD" w:rsidRPr="0097459F" w14:paraId="3A1CC726" w14:textId="77777777" w:rsidTr="00ED0447">
        <w:tc>
          <w:tcPr>
            <w:tcW w:w="3030" w:type="pct"/>
            <w:shd w:val="clear" w:color="auto" w:fill="DBE5F1"/>
          </w:tcPr>
          <w:p w14:paraId="6FEAEDA6" w14:textId="77777777" w:rsidR="00C20BBD" w:rsidRPr="0097459F" w:rsidRDefault="00C20BBD" w:rsidP="00A95105">
            <w:pPr>
              <w:tabs>
                <w:tab w:val="num" w:pos="1134"/>
              </w:tabs>
              <w:spacing w:after="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cotas de FIDC que contem com os serviços do administrador ou gestor?</w:t>
            </w:r>
          </w:p>
        </w:tc>
        <w:tc>
          <w:tcPr>
            <w:tcW w:w="1970" w:type="pct"/>
            <w:vAlign w:val="center"/>
          </w:tcPr>
          <w:p w14:paraId="22ABF683" w14:textId="77777777" w:rsidR="00C20BBD" w:rsidRPr="0097459F" w:rsidRDefault="00C20BBD" w:rsidP="00A95105">
            <w:pPr>
              <w:tabs>
                <w:tab w:val="num" w:pos="1134"/>
              </w:tabs>
              <w:spacing w:after="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3B88F959" w14:textId="77777777" w:rsidTr="00ED0447">
        <w:tc>
          <w:tcPr>
            <w:tcW w:w="3030" w:type="pct"/>
            <w:shd w:val="clear" w:color="auto" w:fill="DBE5F1"/>
          </w:tcPr>
          <w:p w14:paraId="7D10C22F" w14:textId="77777777" w:rsidR="00C20BBD" w:rsidRPr="0097459F" w:rsidRDefault="00C20BBD" w:rsidP="00A95105">
            <w:pPr>
              <w:tabs>
                <w:tab w:val="num" w:pos="1134"/>
              </w:tabs>
              <w:spacing w:after="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ativos financeiros de emissão ou que envolvam coobrigação do administrador, gestor e suas partes relacionadas?</w:t>
            </w:r>
          </w:p>
        </w:tc>
        <w:tc>
          <w:tcPr>
            <w:tcW w:w="1970" w:type="pct"/>
            <w:vAlign w:val="center"/>
          </w:tcPr>
          <w:p w14:paraId="06F68CEC" w14:textId="77777777" w:rsidR="00C20BBD" w:rsidRPr="0097459F" w:rsidRDefault="00C20BBD" w:rsidP="00A95105">
            <w:pPr>
              <w:tabs>
                <w:tab w:val="num" w:pos="1134"/>
              </w:tabs>
              <w:spacing w:after="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1AF8CE81" w14:textId="77777777" w:rsidTr="00ED0447">
        <w:tc>
          <w:tcPr>
            <w:tcW w:w="3030" w:type="pct"/>
            <w:shd w:val="clear" w:color="auto" w:fill="DBE5F1"/>
          </w:tcPr>
          <w:p w14:paraId="10D2AD57" w14:textId="77777777" w:rsidR="00C20BBD" w:rsidRPr="0097459F" w:rsidRDefault="00C20BBD" w:rsidP="00A95105">
            <w:pPr>
              <w:tabs>
                <w:tab w:val="num" w:pos="1134"/>
              </w:tabs>
              <w:spacing w:after="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operações compromissadas que tenham como contraparte o administrador, gestor e suas partes relacionadas?</w:t>
            </w:r>
          </w:p>
        </w:tc>
        <w:tc>
          <w:tcPr>
            <w:tcW w:w="1970" w:type="pct"/>
            <w:vAlign w:val="center"/>
          </w:tcPr>
          <w:p w14:paraId="7D50AC8E" w14:textId="77777777" w:rsidR="00C20BBD" w:rsidRPr="0097459F" w:rsidRDefault="00C20BBD" w:rsidP="00A95105">
            <w:pPr>
              <w:tabs>
                <w:tab w:val="num" w:pos="1134"/>
              </w:tabs>
              <w:spacing w:after="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41AA7F53" w14:textId="77777777" w:rsidTr="00ED0447">
        <w:tc>
          <w:tcPr>
            <w:tcW w:w="3030" w:type="pct"/>
            <w:shd w:val="clear" w:color="auto" w:fill="DBE5F1"/>
          </w:tcPr>
          <w:p w14:paraId="5616FBB6" w14:textId="77777777" w:rsidR="00C20BBD" w:rsidRPr="0097459F" w:rsidRDefault="00C20BBD" w:rsidP="00A95105">
            <w:pPr>
              <w:tabs>
                <w:tab w:val="num" w:pos="1134"/>
              </w:tabs>
              <w:spacing w:after="0" w:line="240" w:lineRule="auto"/>
              <w:jc w:val="both"/>
              <w:rPr>
                <w:rFonts w:asciiTheme="minorHAnsi" w:hAnsiTheme="minorHAnsi" w:cstheme="minorHAnsi"/>
                <w:sz w:val="24"/>
                <w:szCs w:val="24"/>
              </w:rPr>
            </w:pPr>
            <w:r w:rsidRPr="0097459F">
              <w:rPr>
                <w:rFonts w:asciiTheme="minorHAnsi" w:hAnsiTheme="minorHAnsi" w:cstheme="minorHAnsi"/>
                <w:sz w:val="24"/>
                <w:szCs w:val="24"/>
              </w:rPr>
              <w:lastRenderedPageBreak/>
              <w:t>Utilizar derivativos para proteção patrimonial?</w:t>
            </w:r>
          </w:p>
        </w:tc>
        <w:tc>
          <w:tcPr>
            <w:tcW w:w="1970" w:type="pct"/>
            <w:vAlign w:val="center"/>
          </w:tcPr>
          <w:p w14:paraId="4AC34E95" w14:textId="77777777" w:rsidR="00C20BBD" w:rsidRPr="0097459F" w:rsidRDefault="00C20BBD" w:rsidP="00A95105">
            <w:pPr>
              <w:tabs>
                <w:tab w:val="num" w:pos="1134"/>
              </w:tabs>
              <w:spacing w:after="0" w:line="240" w:lineRule="auto"/>
              <w:rPr>
                <w:rFonts w:asciiTheme="minorHAnsi" w:hAnsiTheme="minorHAnsi" w:cstheme="minorHAnsi"/>
                <w:sz w:val="24"/>
                <w:szCs w:val="24"/>
              </w:rPr>
            </w:pPr>
            <w:r w:rsidRPr="0097459F">
              <w:rPr>
                <w:rFonts w:asciiTheme="minorHAnsi" w:hAnsiTheme="minorHAnsi" w:cstheme="minorHAnsi"/>
                <w:sz w:val="24"/>
                <w:szCs w:val="24"/>
              </w:rPr>
              <w:t>[Sim/Não]</w:t>
            </w:r>
          </w:p>
        </w:tc>
      </w:tr>
    </w:tbl>
    <w:p w14:paraId="44E35AC9" w14:textId="77777777" w:rsidR="00C20BBD" w:rsidRPr="0097459F" w:rsidRDefault="00C20BBD" w:rsidP="00A95105">
      <w:pPr>
        <w:spacing w:after="0" w:line="240" w:lineRule="auto"/>
        <w:ind w:firstLine="709"/>
        <w:jc w:val="both"/>
        <w:rPr>
          <w:rFonts w:asciiTheme="minorHAnsi" w:hAnsiTheme="minorHAnsi" w:cstheme="minorHAnsi"/>
          <w:sz w:val="24"/>
          <w:szCs w:val="24"/>
        </w:rPr>
      </w:pPr>
    </w:p>
    <w:p w14:paraId="611E9D5F" w14:textId="7C726A8D" w:rsidR="00C20BBD" w:rsidRPr="0097459F" w:rsidRDefault="00C20BBD" w:rsidP="00A95105">
      <w:pPr>
        <w:numPr>
          <w:ilvl w:val="0"/>
          <w:numId w:val="18"/>
        </w:numPr>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w:t>
      </w:r>
      <w:r w:rsidRPr="0097459F">
        <w:rPr>
          <w:rFonts w:asciiTheme="minorHAnsi" w:hAnsiTheme="minorHAnsi" w:cstheme="minorHAnsi"/>
          <w:i/>
          <w:sz w:val="24"/>
          <w:szCs w:val="24"/>
        </w:rPr>
        <w:t xml:space="preserve">Para </w:t>
      </w:r>
      <w:r w:rsidR="00350FD6">
        <w:rPr>
          <w:rFonts w:asciiTheme="minorHAnsi" w:hAnsiTheme="minorHAnsi" w:cstheme="minorHAnsi"/>
          <w:i/>
          <w:sz w:val="24"/>
          <w:szCs w:val="24"/>
        </w:rPr>
        <w:t>a</w:t>
      </w:r>
      <w:r w:rsidRPr="0097459F">
        <w:rPr>
          <w:rFonts w:asciiTheme="minorHAnsi" w:hAnsiTheme="minorHAnsi" w:cstheme="minorHAnsi"/>
          <w:i/>
          <w:sz w:val="24"/>
          <w:szCs w:val="24"/>
        </w:rPr>
        <w:t xml:space="preserve"> classe cujo regulamento permita realizar operações cujas consequências possam ser significativas perdas patrimoniais</w:t>
      </w:r>
      <w:r w:rsidRPr="0097459F">
        <w:rPr>
          <w:rFonts w:asciiTheme="minorHAnsi" w:hAnsiTheme="minorHAnsi" w:cstheme="minorHAnsi"/>
          <w:sz w:val="24"/>
          <w:szCs w:val="24"/>
        </w:rPr>
        <w:t>:</w:t>
      </w:r>
      <w:r w:rsidRPr="0097459F">
        <w:rPr>
          <w:rFonts w:asciiTheme="minorHAnsi" w:hAnsiTheme="minorHAnsi" w:cstheme="minorHAnsi"/>
          <w:i/>
          <w:sz w:val="24"/>
          <w:szCs w:val="24"/>
        </w:rPr>
        <w:t xml:space="preserve"> “</w:t>
      </w:r>
      <w:r w:rsidRPr="0097459F">
        <w:rPr>
          <w:rFonts w:asciiTheme="minorHAnsi" w:hAnsiTheme="minorHAnsi" w:cstheme="minorHAnsi"/>
          <w:sz w:val="24"/>
          <w:szCs w:val="24"/>
        </w:rPr>
        <w:t>As estratégias de investimento da classe podem resultar em significativas perdas patrimoniais para seus cotistas</w:t>
      </w:r>
      <w:r w:rsidRPr="0097459F">
        <w:rPr>
          <w:rFonts w:asciiTheme="minorHAnsi" w:hAnsiTheme="minorHAnsi" w:cstheme="minorHAnsi"/>
          <w:i/>
          <w:sz w:val="24"/>
          <w:szCs w:val="24"/>
        </w:rPr>
        <w:t>.”</w:t>
      </w:r>
      <w:r w:rsidRPr="0097459F">
        <w:rPr>
          <w:rFonts w:asciiTheme="minorHAnsi" w:hAnsiTheme="minorHAnsi" w:cstheme="minorHAnsi"/>
          <w:sz w:val="24"/>
          <w:szCs w:val="24"/>
        </w:rPr>
        <w:t>]</w:t>
      </w:r>
    </w:p>
    <w:p w14:paraId="6E8822DF" w14:textId="77777777" w:rsidR="00C20BBD" w:rsidRPr="0097459F" w:rsidRDefault="00C20BBD" w:rsidP="00A95105">
      <w:pPr>
        <w:spacing w:after="0" w:line="240" w:lineRule="auto"/>
        <w:ind w:firstLine="709"/>
        <w:jc w:val="both"/>
        <w:rPr>
          <w:rFonts w:asciiTheme="minorHAnsi" w:hAnsiTheme="minorHAnsi" w:cstheme="minorHAnsi"/>
          <w:sz w:val="24"/>
          <w:szCs w:val="24"/>
        </w:rPr>
      </w:pPr>
    </w:p>
    <w:p w14:paraId="77AEAB49" w14:textId="77777777" w:rsidR="00C20BBD" w:rsidRPr="0097459F" w:rsidRDefault="00C20BBD" w:rsidP="00A95105">
      <w:pPr>
        <w:numPr>
          <w:ilvl w:val="0"/>
          <w:numId w:val="1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CONDIÇÕES DE INVESTIMENTO </w:t>
      </w:r>
    </w:p>
    <w:p w14:paraId="02EE0D7A" w14:textId="77777777" w:rsidR="00C20BBD" w:rsidRPr="0097459F" w:rsidRDefault="00C20BBD" w:rsidP="00A95105">
      <w:pPr>
        <w:spacing w:after="0" w:line="240" w:lineRule="auto"/>
        <w:ind w:firstLine="709"/>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6857"/>
      </w:tblGrid>
      <w:tr w:rsidR="00C20BBD" w:rsidRPr="0097459F" w14:paraId="0DEC2D06" w14:textId="77777777" w:rsidTr="00ED0447">
        <w:tc>
          <w:tcPr>
            <w:tcW w:w="1637" w:type="pct"/>
            <w:shd w:val="clear" w:color="auto" w:fill="DBE5F1"/>
            <w:vAlign w:val="center"/>
          </w:tcPr>
          <w:p w14:paraId="0187C1D6"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Investimento inicial mínimo</w:t>
            </w:r>
          </w:p>
        </w:tc>
        <w:tc>
          <w:tcPr>
            <w:tcW w:w="3363" w:type="pct"/>
            <w:vAlign w:val="center"/>
          </w:tcPr>
          <w:p w14:paraId="5023F148"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R$ [●] OU [não há]</w:t>
            </w:r>
          </w:p>
        </w:tc>
      </w:tr>
      <w:tr w:rsidR="00C20BBD" w:rsidRPr="0097459F" w14:paraId="647A8BB2" w14:textId="77777777" w:rsidTr="00ED0447">
        <w:tc>
          <w:tcPr>
            <w:tcW w:w="1637" w:type="pct"/>
            <w:shd w:val="clear" w:color="auto" w:fill="DBE5F1"/>
            <w:vAlign w:val="center"/>
          </w:tcPr>
          <w:p w14:paraId="3887E5B2"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Horário para aplicação e resgate</w:t>
            </w:r>
          </w:p>
        </w:tc>
        <w:tc>
          <w:tcPr>
            <w:tcW w:w="3363" w:type="pct"/>
            <w:vAlign w:val="center"/>
          </w:tcPr>
          <w:p w14:paraId="50839F13"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 hh:mm às hh:mm</w:t>
            </w:r>
          </w:p>
        </w:tc>
      </w:tr>
      <w:tr w:rsidR="00C20BBD" w:rsidRPr="0097459F" w14:paraId="327FC3B9" w14:textId="77777777" w:rsidTr="00ED0447">
        <w:tc>
          <w:tcPr>
            <w:tcW w:w="1637" w:type="pct"/>
            <w:shd w:val="clear" w:color="auto" w:fill="DBE5F1"/>
            <w:vAlign w:val="center"/>
          </w:tcPr>
          <w:p w14:paraId="4C4E05CD"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Valor mínimo para permanência</w:t>
            </w:r>
          </w:p>
        </w:tc>
        <w:tc>
          <w:tcPr>
            <w:tcW w:w="3363" w:type="pct"/>
            <w:vAlign w:val="center"/>
          </w:tcPr>
          <w:p w14:paraId="68417704"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R$ [●] OU [não há]</w:t>
            </w:r>
          </w:p>
        </w:tc>
      </w:tr>
      <w:tr w:rsidR="00C20BBD" w:rsidRPr="0097459F" w14:paraId="6DE8D50E" w14:textId="77777777" w:rsidTr="00ED0447">
        <w:tc>
          <w:tcPr>
            <w:tcW w:w="1637" w:type="pct"/>
            <w:shd w:val="clear" w:color="auto" w:fill="DBE5F1"/>
            <w:vAlign w:val="center"/>
          </w:tcPr>
          <w:p w14:paraId="6A845FEE"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Prazo de carência</w:t>
            </w:r>
          </w:p>
        </w:tc>
        <w:tc>
          <w:tcPr>
            <w:tcW w:w="3363" w:type="pct"/>
            <w:vAlign w:val="center"/>
          </w:tcPr>
          <w:p w14:paraId="7361117D"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Os recursos investidos no fundo não podem ser resgatados antes de [●] dias contados da data da aplicação OU [outras condições de carência] OU [não há].</w:t>
            </w:r>
          </w:p>
        </w:tc>
      </w:tr>
      <w:tr w:rsidR="00C20BBD" w:rsidRPr="0097459F" w14:paraId="069D5D66" w14:textId="77777777" w:rsidTr="00ED0447">
        <w:tc>
          <w:tcPr>
            <w:tcW w:w="1637" w:type="pct"/>
            <w:shd w:val="clear" w:color="auto" w:fill="DBE5F1"/>
            <w:vAlign w:val="center"/>
          </w:tcPr>
          <w:p w14:paraId="1842629D"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Pagamento dos resgates</w:t>
            </w:r>
          </w:p>
        </w:tc>
        <w:tc>
          <w:tcPr>
            <w:tcW w:w="3363" w:type="pct"/>
            <w:vAlign w:val="center"/>
          </w:tcPr>
          <w:p w14:paraId="45CDE37F"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O prazo para o efetivo pagamento dos resgates é de [●]dias [úteis ou corridos], contados da data do pedido de resgate.</w:t>
            </w:r>
          </w:p>
        </w:tc>
      </w:tr>
      <w:tr w:rsidR="00C20BBD" w:rsidRPr="0097459F" w14:paraId="3567C472" w14:textId="77777777" w:rsidTr="00ED0447">
        <w:tc>
          <w:tcPr>
            <w:tcW w:w="1637" w:type="pct"/>
            <w:shd w:val="clear" w:color="auto" w:fill="DBE5F1"/>
            <w:vAlign w:val="center"/>
          </w:tcPr>
          <w:p w14:paraId="5E14D8DC"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administração</w:t>
            </w:r>
          </w:p>
        </w:tc>
        <w:tc>
          <w:tcPr>
            <w:tcW w:w="3363" w:type="pct"/>
            <w:vAlign w:val="center"/>
          </w:tcPr>
          <w:p w14:paraId="60D062B6"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ao ano] OU [A taxa de administração pode variar de [●]% a [●]% do patrimônio líquido ao ano].</w:t>
            </w:r>
          </w:p>
        </w:tc>
      </w:tr>
      <w:tr w:rsidR="00C20BBD" w:rsidRPr="0097459F" w14:paraId="792621C5" w14:textId="77777777" w:rsidTr="00ED0447">
        <w:tc>
          <w:tcPr>
            <w:tcW w:w="1637" w:type="pct"/>
            <w:shd w:val="clear" w:color="auto" w:fill="DBE5F1"/>
            <w:vAlign w:val="center"/>
          </w:tcPr>
          <w:p w14:paraId="68E82B91"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entrada</w:t>
            </w:r>
          </w:p>
        </w:tc>
        <w:tc>
          <w:tcPr>
            <w:tcW w:w="3363" w:type="pct"/>
            <w:vAlign w:val="center"/>
          </w:tcPr>
          <w:p w14:paraId="2DDC57EE"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[Para entrar no fundo, o investidor paga uma taxa de [●]% da aplicação inicial, que é deduzida diretamente do valor a ser aplicado.] OU [outras condições de entrada] OU [não há].</w:t>
            </w:r>
          </w:p>
        </w:tc>
      </w:tr>
      <w:tr w:rsidR="00C20BBD" w:rsidRPr="0097459F" w14:paraId="51B036AA" w14:textId="77777777" w:rsidTr="00ED0447">
        <w:tc>
          <w:tcPr>
            <w:tcW w:w="1637" w:type="pct"/>
            <w:shd w:val="clear" w:color="auto" w:fill="DBE5F1"/>
            <w:vAlign w:val="center"/>
          </w:tcPr>
          <w:p w14:paraId="46EA7A60"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saída</w:t>
            </w:r>
          </w:p>
        </w:tc>
        <w:tc>
          <w:tcPr>
            <w:tcW w:w="3363" w:type="pct"/>
            <w:vAlign w:val="center"/>
          </w:tcPr>
          <w:p w14:paraId="2C659FCD"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[Para resgatar suas cotas do fundo [, antes de decorridos [●] dias da data de aplicação], o investidor paga uma taxa de [●]% do valor do resgate, que é deduzida diretamente do valor a ser recebido.] OU [outras condições de saída] OU [não há].</w:t>
            </w:r>
          </w:p>
        </w:tc>
      </w:tr>
      <w:tr w:rsidR="00C20BBD" w:rsidRPr="0097459F" w14:paraId="7D49433A" w14:textId="77777777" w:rsidTr="00ED0447">
        <w:tc>
          <w:tcPr>
            <w:tcW w:w="1637" w:type="pct"/>
            <w:shd w:val="clear" w:color="auto" w:fill="DBE5F1"/>
            <w:vAlign w:val="center"/>
          </w:tcPr>
          <w:p w14:paraId="702E04A0"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Remuneração do gestor</w:t>
            </w:r>
          </w:p>
        </w:tc>
        <w:tc>
          <w:tcPr>
            <w:tcW w:w="3363" w:type="pct"/>
            <w:vAlign w:val="center"/>
          </w:tcPr>
          <w:p w14:paraId="30746B68"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[descrição sucinta da remuneração do gestor, incluindo, mas não se limitando, a taxa de performance, se houver]</w:t>
            </w:r>
          </w:p>
        </w:tc>
      </w:tr>
      <w:tr w:rsidR="00C20BBD" w:rsidRPr="0097459F" w14:paraId="59CB1DB3" w14:textId="77777777" w:rsidTr="00ED0447">
        <w:tc>
          <w:tcPr>
            <w:tcW w:w="1637" w:type="pct"/>
            <w:shd w:val="clear" w:color="auto" w:fill="DBE5F1"/>
            <w:vAlign w:val="center"/>
          </w:tcPr>
          <w:p w14:paraId="7EA50F16"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total de despesas</w:t>
            </w:r>
          </w:p>
        </w:tc>
        <w:tc>
          <w:tcPr>
            <w:tcW w:w="3363" w:type="pct"/>
            <w:vAlign w:val="center"/>
          </w:tcPr>
          <w:p w14:paraId="1D40CB7C"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As despesas pagas pelo fundo representaram [●]% do seu patrimônio líquido diário médio no período que vai de [●] a [●]. A taxa de despesas pode variar de período para período e reduz a rentabilidade do fundo. O quadro com a descrição das despesas do fundo pode ser encontrado em [endereço eletrônico].</w:t>
            </w:r>
          </w:p>
        </w:tc>
      </w:tr>
    </w:tbl>
    <w:p w14:paraId="603F4B12" w14:textId="77777777" w:rsidR="00C20BBD" w:rsidRPr="0097459F" w:rsidRDefault="00C20BBD" w:rsidP="00A95105">
      <w:pPr>
        <w:spacing w:after="0" w:line="240" w:lineRule="auto"/>
        <w:ind w:firstLine="709"/>
        <w:jc w:val="both"/>
        <w:rPr>
          <w:rFonts w:asciiTheme="minorHAnsi" w:hAnsiTheme="minorHAnsi" w:cstheme="minorHAnsi"/>
          <w:sz w:val="24"/>
          <w:szCs w:val="24"/>
        </w:rPr>
      </w:pPr>
    </w:p>
    <w:p w14:paraId="772FD2B8" w14:textId="77777777" w:rsidR="00C20BBD" w:rsidRPr="0097459F" w:rsidRDefault="00C20BBD" w:rsidP="00A95105">
      <w:pPr>
        <w:numPr>
          <w:ilvl w:val="0"/>
          <w:numId w:val="1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RISCO: o [nome do administrador] classifica os fundos que administra numa escala de 1 a 5 de acordo com o risco envolvido na estratégia de investimento de cada um deles. Nessa escala, a classificação do fundo é: </w:t>
      </w:r>
    </w:p>
    <w:p w14:paraId="00B3CD3E" w14:textId="77777777" w:rsidR="00C20BBD" w:rsidRPr="0097459F" w:rsidRDefault="00C20BBD" w:rsidP="00A95105">
      <w:pPr>
        <w:pStyle w:val="PargrafodaLista1"/>
        <w:tabs>
          <w:tab w:val="num" w:pos="1134"/>
        </w:tabs>
        <w:ind w:firstLine="709"/>
        <w:rPr>
          <w:rFonts w:asciiTheme="minorHAnsi" w:hAnsiTheme="minorHAnsi" w:cstheme="minorHAnsi"/>
        </w:rPr>
      </w:pPr>
      <w:r w:rsidRPr="0097459F">
        <w:rPr>
          <w:rFonts w:asciiTheme="minorHAnsi" w:hAnsiTheme="minorHAnsi" w:cstheme="minorHAnsi"/>
          <w:noProof/>
          <w:color w:val="2B579A"/>
          <w:shd w:val="clear" w:color="auto" w:fill="E6E6E6"/>
        </w:rPr>
        <mc:AlternateContent>
          <mc:Choice Requires="wps">
            <w:drawing>
              <wp:anchor distT="0" distB="0" distL="114300" distR="114300" simplePos="0" relativeHeight="251656192" behindDoc="0" locked="0" layoutInCell="1" allowOverlap="1" wp14:anchorId="47D0A6E6" wp14:editId="2A9FABD5">
                <wp:simplePos x="0" y="0"/>
                <wp:positionH relativeFrom="column">
                  <wp:posOffset>734695</wp:posOffset>
                </wp:positionH>
                <wp:positionV relativeFrom="paragraph">
                  <wp:posOffset>152400</wp:posOffset>
                </wp:positionV>
                <wp:extent cx="5305425" cy="280670"/>
                <wp:effectExtent l="0" t="0" r="9525" b="5080"/>
                <wp:wrapNone/>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80670"/>
                        </a:xfrm>
                        <a:prstGeom prst="rect">
                          <a:avLst/>
                        </a:prstGeom>
                        <a:solidFill>
                          <a:srgbClr val="FFFFFF"/>
                        </a:solidFill>
                        <a:ln w="9525">
                          <a:solidFill>
                            <a:srgbClr val="000000"/>
                          </a:solidFill>
                          <a:miter lim="800000"/>
                          <a:headEnd/>
                          <a:tailEnd/>
                        </a:ln>
                      </wps:spPr>
                      <wps:txbx>
                        <w:txbxContent>
                          <w:p w14:paraId="3A20E89D" w14:textId="77777777" w:rsidR="009A1B15" w:rsidRPr="00BF2007" w:rsidRDefault="009A1B15" w:rsidP="00C20BBD">
                            <w:pPr>
                              <w:rPr>
                                <w:rFonts w:ascii="Arial" w:hAnsi="Arial" w:cs="Arial"/>
                                <w:sz w:val="16"/>
                                <w:szCs w:val="16"/>
                              </w:rPr>
                            </w:pPr>
                            <w:r w:rsidRPr="00A44E4D">
                              <w:rPr>
                                <w:sz w:val="20"/>
                                <w:szCs w:val="20"/>
                              </w:rPr>
                              <w:t>Menor risco</w:t>
                            </w:r>
                            <w:r w:rsidRPr="00BF200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4E4D">
                              <w:rPr>
                                <w:sz w:val="20"/>
                                <w:szCs w:val="20"/>
                              </w:rPr>
                              <w:t>Maior risco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0A6E6" id="_x0000_s1027" type="#_x0000_t202" style="position:absolute;left:0;text-align:left;margin-left:57.85pt;margin-top:12pt;width:417.7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">
                <v:textbox>
                  <w:txbxContent>
                    <w:p w14:paraId="3A20E89D" w14:textId="77777777" w:rsidR="009A1B15" w:rsidRPr="00BF2007" w:rsidRDefault="009A1B15" w:rsidP="00C20BBD">
                      <w:pPr>
                        <w:rPr>
                          <w:rFonts w:ascii="Arial" w:hAnsi="Arial" w:cs="Arial"/>
                          <w:sz w:val="16"/>
                          <w:szCs w:val="16"/>
                        </w:rPr>
                      </w:pPr>
                      <w:r w:rsidRPr="00A44E4D">
                        <w:rPr>
                          <w:sz w:val="20"/>
                          <w:szCs w:val="20"/>
                        </w:rPr>
                        <w:t>Menor risco</w:t>
                      </w:r>
                      <w:r w:rsidRPr="00BF200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4E4D">
                        <w:rPr>
                          <w:sz w:val="20"/>
                          <w:szCs w:val="20"/>
                        </w:rPr>
                        <w:t>Maior risco</w:t>
                      </w:r>
                    </w:p>
                  </w:txbxContent>
                </v:textbox>
              </v:shape>
            </w:pict>
          </mc:Fallback>
        </mc:AlternateContent>
      </w:r>
    </w:p>
    <w:p w14:paraId="0CD56253" w14:textId="77777777" w:rsidR="00C20BBD" w:rsidRPr="0097459F" w:rsidRDefault="00C20BBD" w:rsidP="00A95105">
      <w:pPr>
        <w:pStyle w:val="PargrafodaLista1"/>
        <w:tabs>
          <w:tab w:val="num" w:pos="1134"/>
        </w:tabs>
        <w:ind w:firstLine="709"/>
        <w:rPr>
          <w:rFonts w:asciiTheme="minorHAnsi" w:hAnsiTheme="minorHAnsi" w:cstheme="minorHAnsi"/>
        </w:rPr>
      </w:pPr>
    </w:p>
    <w:p w14:paraId="675FDD8D" w14:textId="77777777" w:rsidR="00C20BBD" w:rsidRPr="0097459F" w:rsidRDefault="00C20BBD" w:rsidP="00A95105">
      <w:pPr>
        <w:tabs>
          <w:tab w:val="num" w:pos="567"/>
          <w:tab w:val="num" w:pos="1134"/>
        </w:tabs>
        <w:spacing w:after="0" w:line="240" w:lineRule="auto"/>
        <w:ind w:firstLine="709"/>
        <w:jc w:val="center"/>
        <w:rPr>
          <w:rFonts w:asciiTheme="minorHAnsi" w:hAnsiTheme="minorHAnsi" w:cstheme="minorHAnsi"/>
          <w:sz w:val="24"/>
          <w:szCs w:val="24"/>
        </w:rPr>
      </w:pPr>
      <w:r w:rsidRPr="0097459F">
        <w:rPr>
          <w:rFonts w:asciiTheme="minorHAnsi" w:hAnsiTheme="minorHAnsi" w:cstheme="minorHAnsi"/>
          <w:sz w:val="24"/>
          <w:szCs w:val="24"/>
          <w:bdr w:val="single" w:sz="4" w:space="0" w:color="auto"/>
        </w:rPr>
        <w:lastRenderedPageBreak/>
        <w:t>1</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 xml:space="preserve">   2</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 xml:space="preserve">3 </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4</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5</w:t>
      </w:r>
    </w:p>
    <w:p w14:paraId="63C352E5" w14:textId="77777777" w:rsidR="00C20BBD" w:rsidRPr="0097459F" w:rsidRDefault="00C20BBD" w:rsidP="00A95105">
      <w:pPr>
        <w:tabs>
          <w:tab w:val="num" w:pos="567"/>
          <w:tab w:val="num" w:pos="1134"/>
        </w:tabs>
        <w:spacing w:after="0" w:line="240" w:lineRule="auto"/>
        <w:ind w:firstLine="709"/>
        <w:jc w:val="center"/>
        <w:rPr>
          <w:rFonts w:asciiTheme="minorHAnsi" w:hAnsiTheme="minorHAnsi" w:cstheme="minorHAnsi"/>
          <w:sz w:val="24"/>
          <w:szCs w:val="24"/>
        </w:rPr>
      </w:pPr>
      <w:r w:rsidRPr="0097459F">
        <w:rPr>
          <w:rFonts w:asciiTheme="minorHAnsi" w:hAnsiTheme="minorHAnsi" w:cstheme="minorHAnsi"/>
          <w:noProof/>
          <w:color w:val="2B579A"/>
          <w:sz w:val="24"/>
          <w:szCs w:val="24"/>
          <w:shd w:val="clear" w:color="auto" w:fill="E6E6E6"/>
          <w:lang w:eastAsia="pt-BR"/>
        </w:rPr>
        <mc:AlternateContent>
          <mc:Choice Requires="wps">
            <w:drawing>
              <wp:anchor distT="0" distB="0" distL="114300" distR="114300" simplePos="0" relativeHeight="251658240" behindDoc="0" locked="0" layoutInCell="1" allowOverlap="1" wp14:anchorId="4A8FE1E5" wp14:editId="0CD9EE07">
                <wp:simplePos x="0" y="0"/>
                <wp:positionH relativeFrom="column">
                  <wp:posOffset>4137025</wp:posOffset>
                </wp:positionH>
                <wp:positionV relativeFrom="paragraph">
                  <wp:posOffset>6985</wp:posOffset>
                </wp:positionV>
                <wp:extent cx="90805" cy="171450"/>
                <wp:effectExtent l="19050" t="19050" r="23495" b="0"/>
                <wp:wrapNone/>
                <wp:docPr id="4" name="Seta para Ci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upArrow">
                          <a:avLst>
                            <a:gd name="adj1" fmla="val 50000"/>
                            <a:gd name="adj2" fmla="val 4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BDF0" id="Seta para Cima 3" o:spid="_x0000_s1026" type="#_x0000_t68" style="position:absolute;margin-left:325.75pt;margin-top:.55pt;width:7.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"/>
            </w:pict>
          </mc:Fallback>
        </mc:AlternateContent>
      </w:r>
    </w:p>
    <w:p w14:paraId="35CAB3CA" w14:textId="77777777" w:rsidR="00C20BBD" w:rsidRPr="0097459F" w:rsidRDefault="00C20BBD" w:rsidP="00A95105">
      <w:pPr>
        <w:pStyle w:val="NormalWeb"/>
        <w:numPr>
          <w:ilvl w:val="0"/>
          <w:numId w:val="18"/>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rPr>
        <w:t>5 MAIORES EXPOSIÇÕES:</w:t>
      </w:r>
    </w:p>
    <w:p w14:paraId="3C601810"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196"/>
        <w:gridCol w:w="3219"/>
      </w:tblGrid>
      <w:tr w:rsidR="00C20BBD" w:rsidRPr="0097459F" w14:paraId="71157191" w14:textId="77777777" w:rsidTr="00ED0447">
        <w:tc>
          <w:tcPr>
            <w:tcW w:w="3398" w:type="dxa"/>
            <w:shd w:val="clear" w:color="auto" w:fill="DEEAF6"/>
          </w:tcPr>
          <w:p w14:paraId="4D87E2D2" w14:textId="77777777" w:rsidR="00C20BBD" w:rsidRPr="0097459F" w:rsidRDefault="00C20BBD" w:rsidP="00A95105">
            <w:pPr>
              <w:pStyle w:val="NormalWeb"/>
              <w:spacing w:before="0" w:beforeAutospacing="0" w:after="0" w:afterAutospacing="0"/>
              <w:jc w:val="center"/>
              <w:rPr>
                <w:rFonts w:asciiTheme="minorHAnsi" w:hAnsiTheme="minorHAnsi" w:cstheme="minorHAnsi"/>
              </w:rPr>
            </w:pPr>
            <w:r w:rsidRPr="0097459F">
              <w:rPr>
                <w:rFonts w:asciiTheme="minorHAnsi" w:hAnsiTheme="minorHAnsi" w:cstheme="minorHAnsi"/>
              </w:rPr>
              <w:t>Nome do FUNDO</w:t>
            </w:r>
          </w:p>
        </w:tc>
        <w:tc>
          <w:tcPr>
            <w:tcW w:w="3398" w:type="dxa"/>
            <w:shd w:val="clear" w:color="auto" w:fill="DEEAF6"/>
          </w:tcPr>
          <w:p w14:paraId="7115774A" w14:textId="77777777" w:rsidR="00C20BBD" w:rsidRPr="0097459F" w:rsidRDefault="00C20BBD" w:rsidP="00A95105">
            <w:pPr>
              <w:pStyle w:val="NormalWeb"/>
              <w:spacing w:before="0" w:beforeAutospacing="0" w:after="0" w:afterAutospacing="0"/>
              <w:jc w:val="center"/>
              <w:rPr>
                <w:rFonts w:asciiTheme="minorHAnsi" w:hAnsiTheme="minorHAnsi" w:cstheme="minorHAnsi"/>
              </w:rPr>
            </w:pPr>
            <w:r w:rsidRPr="0097459F">
              <w:rPr>
                <w:rFonts w:asciiTheme="minorHAnsi" w:hAnsiTheme="minorHAnsi" w:cstheme="minorHAnsi"/>
              </w:rPr>
              <w:t>CNPJ</w:t>
            </w:r>
          </w:p>
        </w:tc>
        <w:tc>
          <w:tcPr>
            <w:tcW w:w="3399" w:type="dxa"/>
            <w:shd w:val="clear" w:color="auto" w:fill="DEEAF6"/>
          </w:tcPr>
          <w:p w14:paraId="5F8E4C64" w14:textId="77777777" w:rsidR="00C20BBD" w:rsidRPr="0097459F" w:rsidRDefault="00C20BBD" w:rsidP="00A95105">
            <w:pPr>
              <w:pStyle w:val="NormalWeb"/>
              <w:spacing w:before="0" w:beforeAutospacing="0" w:after="0" w:afterAutospacing="0"/>
              <w:jc w:val="center"/>
              <w:rPr>
                <w:rFonts w:asciiTheme="minorHAnsi" w:hAnsiTheme="minorHAnsi" w:cstheme="minorHAnsi"/>
              </w:rPr>
            </w:pPr>
            <w:r w:rsidRPr="0097459F">
              <w:rPr>
                <w:rFonts w:asciiTheme="minorHAnsi" w:hAnsiTheme="minorHAnsi" w:cstheme="minorHAnsi"/>
              </w:rPr>
              <w:t>% Carteira de Ativos</w:t>
            </w:r>
          </w:p>
        </w:tc>
      </w:tr>
      <w:tr w:rsidR="00C20BBD" w:rsidRPr="0097459F" w14:paraId="1E2BE9A3" w14:textId="77777777" w:rsidTr="00ED0447">
        <w:tc>
          <w:tcPr>
            <w:tcW w:w="3398" w:type="dxa"/>
          </w:tcPr>
          <w:p w14:paraId="5EB2AE53"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07D6A0AA"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4FDE4C8F"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r w:rsidR="00C20BBD" w:rsidRPr="0097459F" w14:paraId="3E112B8B" w14:textId="77777777" w:rsidTr="00ED0447">
        <w:tc>
          <w:tcPr>
            <w:tcW w:w="3398" w:type="dxa"/>
          </w:tcPr>
          <w:p w14:paraId="15AEC3F8"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6CA0CBF2"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6FBCEE5C"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r w:rsidR="00C20BBD" w:rsidRPr="0097459F" w14:paraId="13ED79B6" w14:textId="77777777" w:rsidTr="00ED0447">
        <w:tc>
          <w:tcPr>
            <w:tcW w:w="3398" w:type="dxa"/>
          </w:tcPr>
          <w:p w14:paraId="33C05188"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7404A6AB"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717AED46"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r w:rsidR="00C20BBD" w:rsidRPr="0097459F" w14:paraId="56EF0ABA" w14:textId="77777777" w:rsidTr="00ED0447">
        <w:tc>
          <w:tcPr>
            <w:tcW w:w="3398" w:type="dxa"/>
          </w:tcPr>
          <w:p w14:paraId="18630885"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2A4AA225"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0C3B3864"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r w:rsidR="00C20BBD" w:rsidRPr="0097459F" w14:paraId="78DE5F44" w14:textId="77777777" w:rsidTr="00ED0447">
        <w:tc>
          <w:tcPr>
            <w:tcW w:w="3398" w:type="dxa"/>
          </w:tcPr>
          <w:p w14:paraId="2B7B5677"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35B0E55A"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5E5B8A88"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bl>
    <w:p w14:paraId="05F9A812"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55B17176" w14:textId="77777777" w:rsidR="00C20BBD" w:rsidRPr="0097459F" w:rsidRDefault="00C20BBD" w:rsidP="00A95105">
      <w:pPr>
        <w:pStyle w:val="NormalWeb"/>
        <w:numPr>
          <w:ilvl w:val="0"/>
          <w:numId w:val="18"/>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rPr>
        <w:t>SIMULAÇÃO DE RENTABILIDADE:</w:t>
      </w:r>
    </w:p>
    <w:p w14:paraId="135A9B2E"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15FFE8FD" w14:textId="77777777" w:rsidR="00C20BBD" w:rsidRPr="0097459F" w:rsidRDefault="00C20BBD" w:rsidP="00A95105">
      <w:pPr>
        <w:pStyle w:val="NormalWeb"/>
        <w:spacing w:before="0" w:beforeAutospacing="0" w:after="0" w:afterAutospacing="0"/>
        <w:ind w:left="709"/>
        <w:jc w:val="both"/>
        <w:rPr>
          <w:rFonts w:asciiTheme="minorHAnsi" w:hAnsiTheme="minorHAnsi" w:cstheme="minorHAnsi"/>
        </w:rPr>
      </w:pPr>
      <w:r w:rsidRPr="0097459F">
        <w:rPr>
          <w:rFonts w:asciiTheme="minorHAnsi" w:hAnsiTheme="minorHAnsi" w:cstheme="minorHAnsi"/>
        </w:rPr>
        <w:t xml:space="preserve">a. Rentabilidade: Se você tivesse aplicado R$ 1.000,00 (mil reais) no fundo no primeiro dia útil de [ano imediatamente anterior ao de emissão da lâmina] e não houvesse realizado outras aplicações, nem solicitado resgates durante o ano, no primeiro dia útil de [ano de emissão da lâmina], você poderia resgatar R$[●], já deduzidos impostos no valor de R$[●]. </w:t>
      </w:r>
    </w:p>
    <w:p w14:paraId="1599EB02" w14:textId="77777777" w:rsidR="00C20BBD" w:rsidRPr="0097459F" w:rsidRDefault="00C20BBD" w:rsidP="00A95105">
      <w:pPr>
        <w:pStyle w:val="NormalWeb"/>
        <w:tabs>
          <w:tab w:val="num" w:pos="567"/>
        </w:tabs>
        <w:spacing w:before="0" w:beforeAutospacing="0" w:after="0" w:afterAutospacing="0"/>
        <w:ind w:firstLine="709"/>
        <w:jc w:val="both"/>
        <w:rPr>
          <w:rFonts w:asciiTheme="minorHAnsi" w:hAnsiTheme="minorHAnsi" w:cstheme="minorHAnsi"/>
        </w:rPr>
      </w:pPr>
    </w:p>
    <w:p w14:paraId="4CD96EF0" w14:textId="77777777" w:rsidR="00C20BBD" w:rsidRPr="0097459F" w:rsidRDefault="00C20BBD" w:rsidP="00A95105">
      <w:pPr>
        <w:pStyle w:val="NormalWeb"/>
        <w:spacing w:before="0" w:beforeAutospacing="0" w:after="0" w:afterAutospacing="0"/>
        <w:ind w:left="709"/>
        <w:jc w:val="both"/>
        <w:rPr>
          <w:rFonts w:asciiTheme="minorHAnsi" w:hAnsiTheme="minorHAnsi" w:cstheme="minorHAnsi"/>
        </w:rPr>
      </w:pPr>
      <w:r w:rsidRPr="0097459F">
        <w:rPr>
          <w:rFonts w:asciiTheme="minorHAnsi" w:hAnsiTheme="minorHAnsi" w:cstheme="minorHAnsi"/>
        </w:rPr>
        <w:t xml:space="preserve">b. Despesas: As despesas totais do fundo teriam custado R$[●]. </w:t>
      </w:r>
    </w:p>
    <w:p w14:paraId="4C81C467"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29588DBE" w14:textId="77777777" w:rsidR="00C20BBD" w:rsidRPr="0097459F" w:rsidRDefault="00C20BBD" w:rsidP="00A95105">
      <w:pPr>
        <w:pStyle w:val="NormalWeb"/>
        <w:numPr>
          <w:ilvl w:val="0"/>
          <w:numId w:val="18"/>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rPr>
        <w:t>POLÍTICA DE DISTRIBUIÇÃO:</w:t>
      </w:r>
    </w:p>
    <w:p w14:paraId="45428232"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23899FA4"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rPr>
        <w:t>[</w:t>
      </w:r>
      <w:r w:rsidRPr="0097459F">
        <w:rPr>
          <w:rFonts w:asciiTheme="minorHAnsi" w:hAnsiTheme="minorHAnsi" w:cstheme="minorHAnsi"/>
          <w:i/>
        </w:rPr>
        <w:t>Descrição resumida da política de distribuição de cotas, abrangendo, no mínimo, o seguinte:</w:t>
      </w:r>
    </w:p>
    <w:p w14:paraId="71BE2A7F"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p>
    <w:p w14:paraId="277134C3"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 xml:space="preserve">a. descrição da forma de remuneração dos distribuidores; </w:t>
      </w:r>
    </w:p>
    <w:p w14:paraId="0C5EE58C"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b. se o principal distribuidor oferta, para o público-alvo do fundo, preponderantemente fundos geridos por um único gestor, ou por gestores ligados a um mesmo grupo econômico; e</w:t>
      </w:r>
    </w:p>
    <w:p w14:paraId="157506A9"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c. qualquer informação que indique a existência de conflito de interesses no esforço de venda]</w:t>
      </w:r>
    </w:p>
    <w:p w14:paraId="458D3DDD"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568B112A" w14:textId="77777777" w:rsidR="00C20BBD" w:rsidRPr="0097459F" w:rsidRDefault="00C20BBD" w:rsidP="00A95105">
      <w:pPr>
        <w:pStyle w:val="NormalWeb"/>
        <w:numPr>
          <w:ilvl w:val="0"/>
          <w:numId w:val="18"/>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Cs/>
        </w:rPr>
        <w:t>ATENDIMENTO AO COTISTA:</w:t>
      </w:r>
      <w:r w:rsidRPr="0097459F">
        <w:rPr>
          <w:rFonts w:asciiTheme="minorHAnsi" w:hAnsiTheme="minorHAnsi" w:cstheme="minorHAnsi"/>
        </w:rPr>
        <w:t xml:space="preserve"> </w:t>
      </w:r>
    </w:p>
    <w:p w14:paraId="301E55D8" w14:textId="77777777" w:rsidR="00C20BBD" w:rsidRPr="0097459F" w:rsidRDefault="00C20BBD" w:rsidP="00A95105">
      <w:pPr>
        <w:pStyle w:val="PargrafodaLista1"/>
        <w:ind w:firstLine="709"/>
        <w:rPr>
          <w:rFonts w:asciiTheme="minorHAnsi" w:hAnsiTheme="minorHAnsi" w:cstheme="minorHAnsi"/>
        </w:rPr>
      </w:pPr>
    </w:p>
    <w:p w14:paraId="16D0144A" w14:textId="77777777" w:rsidR="00C20BBD" w:rsidRPr="0097459F" w:rsidRDefault="00C20BBD" w:rsidP="00A95105">
      <w:pPr>
        <w:pStyle w:val="NormalWeb"/>
        <w:numPr>
          <w:ilvl w:val="0"/>
          <w:numId w:val="21"/>
        </w:numPr>
        <w:spacing w:before="0" w:beforeAutospacing="0" w:after="0" w:afterAutospacing="0"/>
        <w:ind w:hanging="11"/>
        <w:jc w:val="both"/>
        <w:rPr>
          <w:rFonts w:asciiTheme="minorHAnsi" w:hAnsiTheme="minorHAnsi" w:cstheme="minorHAnsi"/>
        </w:rPr>
      </w:pPr>
      <w:r w:rsidRPr="0097459F">
        <w:rPr>
          <w:rFonts w:asciiTheme="minorHAnsi" w:hAnsiTheme="minorHAnsi" w:cstheme="minorHAnsi"/>
        </w:rPr>
        <w:t>Telefone</w:t>
      </w:r>
    </w:p>
    <w:p w14:paraId="726B0839" w14:textId="77777777" w:rsidR="00C20BBD" w:rsidRPr="0097459F" w:rsidRDefault="00C20BBD" w:rsidP="00A95105">
      <w:pPr>
        <w:pStyle w:val="NormalWeb"/>
        <w:numPr>
          <w:ilvl w:val="0"/>
          <w:numId w:val="21"/>
        </w:numPr>
        <w:spacing w:before="0" w:beforeAutospacing="0" w:after="0" w:afterAutospacing="0"/>
        <w:ind w:hanging="11"/>
        <w:jc w:val="both"/>
        <w:rPr>
          <w:rFonts w:asciiTheme="minorHAnsi" w:hAnsiTheme="minorHAnsi" w:cstheme="minorHAnsi"/>
        </w:rPr>
      </w:pPr>
      <w:r w:rsidRPr="0097459F">
        <w:rPr>
          <w:rFonts w:asciiTheme="minorHAnsi" w:hAnsiTheme="minorHAnsi" w:cstheme="minorHAnsi"/>
        </w:rPr>
        <w:t>Página na rede mundial de computadores</w:t>
      </w:r>
    </w:p>
    <w:p w14:paraId="77AF638B" w14:textId="77777777" w:rsidR="00C20BBD" w:rsidRPr="0097459F" w:rsidRDefault="00C20BBD" w:rsidP="00A95105">
      <w:pPr>
        <w:pStyle w:val="NormalWeb"/>
        <w:numPr>
          <w:ilvl w:val="0"/>
          <w:numId w:val="21"/>
        </w:numPr>
        <w:spacing w:before="0" w:beforeAutospacing="0" w:after="0" w:afterAutospacing="0"/>
        <w:ind w:hanging="11"/>
        <w:jc w:val="both"/>
        <w:rPr>
          <w:rFonts w:asciiTheme="minorHAnsi" w:hAnsiTheme="minorHAnsi" w:cstheme="minorHAnsi"/>
        </w:rPr>
      </w:pPr>
      <w:r w:rsidRPr="0097459F">
        <w:rPr>
          <w:rFonts w:asciiTheme="minorHAnsi" w:hAnsiTheme="minorHAnsi" w:cstheme="minorHAnsi"/>
        </w:rPr>
        <w:t>Reclamações: [endereço eletrônico] [e demais canais disponíveis]</w:t>
      </w:r>
    </w:p>
    <w:p w14:paraId="4C98D081" w14:textId="77777777" w:rsidR="00C20BBD" w:rsidRPr="0097459F" w:rsidRDefault="00C20BBD" w:rsidP="00A95105">
      <w:pPr>
        <w:pStyle w:val="NormalWeb"/>
        <w:numPr>
          <w:ilvl w:val="0"/>
          <w:numId w:val="21"/>
        </w:numPr>
        <w:spacing w:before="0" w:beforeAutospacing="0" w:after="0" w:afterAutospacing="0"/>
        <w:ind w:hanging="11"/>
        <w:jc w:val="both"/>
        <w:rPr>
          <w:rFonts w:asciiTheme="minorHAnsi" w:hAnsiTheme="minorHAnsi" w:cstheme="minorHAnsi"/>
        </w:rPr>
      </w:pPr>
      <w:r w:rsidRPr="0097459F">
        <w:rPr>
          <w:rFonts w:asciiTheme="minorHAnsi" w:hAnsiTheme="minorHAnsi" w:cstheme="minorHAnsi"/>
        </w:rPr>
        <w:t xml:space="preserve">Serviço de Atendimento ao Cidadão da </w:t>
      </w:r>
      <w:r w:rsidRPr="0097459F">
        <w:rPr>
          <w:rFonts w:asciiTheme="minorHAnsi" w:hAnsiTheme="minorHAnsi" w:cstheme="minorHAnsi"/>
          <w:bCs/>
        </w:rPr>
        <w:t xml:space="preserve">Comissão de Valores Mobiliários: </w:t>
      </w:r>
      <w:hyperlink r:id="rId20" w:history="1">
        <w:r w:rsidRPr="0097459F">
          <w:rPr>
            <w:rStyle w:val="Hyperlink"/>
            <w:rFonts w:asciiTheme="minorHAnsi" w:eastAsia="Calibri" w:hAnsiTheme="minorHAnsi" w:cstheme="minorHAnsi"/>
          </w:rPr>
          <w:t>www.cvm.gov.br</w:t>
        </w:r>
      </w:hyperlink>
      <w:r w:rsidRPr="0097459F">
        <w:rPr>
          <w:rFonts w:asciiTheme="minorHAnsi" w:hAnsiTheme="minorHAnsi" w:cstheme="minorHAnsi"/>
        </w:rPr>
        <w:t>.</w:t>
      </w:r>
    </w:p>
    <w:p w14:paraId="1D83B03E" w14:textId="516F05C2" w:rsidR="00C20BBD" w:rsidRPr="0097459F" w:rsidRDefault="00C20BBD" w:rsidP="00A95105">
      <w:pPr>
        <w:pStyle w:val="Ttulo1"/>
        <w:spacing w:before="0" w:after="0" w:line="240" w:lineRule="auto"/>
        <w:jc w:val="center"/>
        <w:rPr>
          <w:rFonts w:asciiTheme="minorHAnsi" w:hAnsiTheme="minorHAnsi" w:cstheme="minorHAnsi"/>
          <w:b w:val="0"/>
          <w:sz w:val="24"/>
          <w:szCs w:val="24"/>
        </w:rPr>
      </w:pPr>
      <w:r w:rsidRPr="0097459F">
        <w:rPr>
          <w:rFonts w:asciiTheme="minorHAnsi" w:hAnsiTheme="minorHAnsi" w:cstheme="minorHAnsi"/>
          <w:sz w:val="24"/>
          <w:szCs w:val="24"/>
        </w:rPr>
        <w:br w:type="page"/>
      </w:r>
      <w:bookmarkStart w:id="731" w:name="_Toc57836312"/>
      <w:bookmarkStart w:id="732" w:name="_Toc126226418"/>
      <w:r w:rsidRPr="0097459F">
        <w:rPr>
          <w:rFonts w:asciiTheme="minorHAnsi" w:hAnsiTheme="minorHAnsi" w:cstheme="minorHAnsi"/>
          <w:sz w:val="24"/>
          <w:szCs w:val="24"/>
        </w:rPr>
        <w:lastRenderedPageBreak/>
        <w:t xml:space="preserve">SUPLEMENTO </w:t>
      </w:r>
      <w:r w:rsidR="001F69FD" w:rsidRPr="0097459F">
        <w:rPr>
          <w:rFonts w:asciiTheme="minorHAnsi" w:hAnsiTheme="minorHAnsi" w:cstheme="minorHAnsi"/>
          <w:sz w:val="24"/>
          <w:szCs w:val="24"/>
        </w:rPr>
        <w:t>G</w:t>
      </w:r>
      <w:r w:rsidRPr="0097459F">
        <w:rPr>
          <w:rFonts w:asciiTheme="minorHAnsi" w:hAnsiTheme="minorHAnsi" w:cstheme="minorHAnsi"/>
          <w:sz w:val="24"/>
          <w:szCs w:val="24"/>
        </w:rPr>
        <w:t xml:space="preserve"> - </w:t>
      </w:r>
      <w:r w:rsidR="00DD32DB" w:rsidRPr="0097459F">
        <w:rPr>
          <w:rFonts w:asciiTheme="minorHAnsi" w:hAnsiTheme="minorHAnsi" w:cstheme="minorHAnsi"/>
          <w:sz w:val="24"/>
          <w:szCs w:val="24"/>
        </w:rPr>
        <w:t>I</w:t>
      </w:r>
      <w:r w:rsidRPr="0097459F">
        <w:rPr>
          <w:rFonts w:asciiTheme="minorHAnsi" w:hAnsiTheme="minorHAnsi" w:cstheme="minorHAnsi"/>
          <w:sz w:val="24"/>
          <w:szCs w:val="24"/>
        </w:rPr>
        <w:t xml:space="preserve">NFORME MENSAL </w:t>
      </w:r>
      <w:r w:rsidR="00522B0D" w:rsidRPr="0097459F">
        <w:rPr>
          <w:rFonts w:asciiTheme="minorHAnsi" w:hAnsiTheme="minorHAnsi" w:cstheme="minorHAnsi"/>
          <w:sz w:val="24"/>
          <w:szCs w:val="24"/>
        </w:rPr>
        <w:t>–</w:t>
      </w:r>
      <w:r w:rsidRPr="0097459F">
        <w:rPr>
          <w:rFonts w:asciiTheme="minorHAnsi" w:hAnsiTheme="minorHAnsi" w:cstheme="minorHAnsi"/>
          <w:sz w:val="24"/>
          <w:szCs w:val="24"/>
        </w:rPr>
        <w:t xml:space="preserve"> FIDC</w:t>
      </w:r>
      <w:bookmarkEnd w:id="731"/>
      <w:bookmarkEnd w:id="732"/>
    </w:p>
    <w:p w14:paraId="6F46574D" w14:textId="7CB35A70" w:rsidR="00C20BBD" w:rsidRPr="0097459F" w:rsidRDefault="00C20BBD" w:rsidP="00A95105">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Conteúdo do Informe Mensal de FIDC</w:t>
      </w:r>
      <w:r w:rsidR="008332D2">
        <w:rPr>
          <w:rFonts w:asciiTheme="minorHAnsi" w:hAnsiTheme="minorHAnsi" w:cstheme="minorHAnsi"/>
          <w:i/>
          <w:sz w:val="24"/>
          <w:szCs w:val="24"/>
        </w:rPr>
        <w:t>,</w:t>
      </w:r>
      <w:r w:rsidR="008332D2" w:rsidRPr="008332D2">
        <w:rPr>
          <w:rFonts w:asciiTheme="minorHAnsi" w:eastAsia="Times" w:hAnsiTheme="minorHAnsi" w:cstheme="minorHAnsi"/>
          <w:i/>
          <w:sz w:val="24"/>
          <w:szCs w:val="24"/>
        </w:rPr>
        <w:t xml:space="preserve"> </w:t>
      </w:r>
      <w:r w:rsidR="008332D2">
        <w:rPr>
          <w:rFonts w:asciiTheme="minorHAnsi" w:eastAsia="Times" w:hAnsiTheme="minorHAnsi" w:cstheme="minorHAnsi"/>
          <w:i/>
          <w:sz w:val="24"/>
          <w:szCs w:val="24"/>
        </w:rPr>
        <w:t xml:space="preserve">conforme previsto no art. 27, inciso </w:t>
      </w:r>
      <w:r w:rsidR="00E859D6">
        <w:rPr>
          <w:rFonts w:asciiTheme="minorHAnsi" w:eastAsia="Times" w:hAnsiTheme="minorHAnsi" w:cstheme="minorHAnsi"/>
          <w:i/>
          <w:sz w:val="24"/>
          <w:szCs w:val="24"/>
        </w:rPr>
        <w:t>II</w:t>
      </w:r>
      <w:r w:rsidR="008332D2">
        <w:rPr>
          <w:rFonts w:asciiTheme="minorHAnsi" w:eastAsia="Times" w:hAnsiTheme="minorHAnsi" w:cstheme="minorHAnsi"/>
          <w:i/>
          <w:sz w:val="24"/>
          <w:szCs w:val="24"/>
        </w:rPr>
        <w:t>I, do Anexo Normativo II da Resolução CVM nº 175, de 2022.</w:t>
      </w:r>
    </w:p>
    <w:p w14:paraId="78901DFB" w14:textId="77777777" w:rsidR="00C20BBD" w:rsidRPr="0097459F" w:rsidRDefault="00C20BBD" w:rsidP="00A95105">
      <w:pPr>
        <w:spacing w:after="0" w:line="240" w:lineRule="auto"/>
        <w:rPr>
          <w:rFonts w:asciiTheme="minorHAnsi" w:hAnsiTheme="minorHAnsi" w:cstheme="minorHAnsi"/>
          <w:sz w:val="24"/>
          <w:szCs w:val="24"/>
        </w:rPr>
      </w:pPr>
    </w:p>
    <w:p w14:paraId="4BDB0D82"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INFORME MENSAL DO [nome de fantasia do fundo e, se for o caso, da classe]</w:t>
      </w:r>
    </w:p>
    <w:p w14:paraId="2DA220A6"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[CNPJ da classe]</w:t>
      </w:r>
    </w:p>
    <w:p w14:paraId="3FCB53C6"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Informações referentes a [mês] de [ano]</w:t>
      </w:r>
    </w:p>
    <w:p w14:paraId="7659BA1A" w14:textId="77777777" w:rsidR="00C20BBD" w:rsidRPr="0097459F" w:rsidRDefault="00C20BBD" w:rsidP="00A95105">
      <w:pPr>
        <w:spacing w:after="0" w:line="240" w:lineRule="auto"/>
        <w:jc w:val="center"/>
        <w:rPr>
          <w:rFonts w:asciiTheme="minorHAnsi" w:hAnsiTheme="minorHAnsi" w:cstheme="minorHAnsi"/>
          <w:b/>
          <w:sz w:val="24"/>
          <w:szCs w:val="24"/>
        </w:rPr>
      </w:pPr>
    </w:p>
    <w:tbl>
      <w:tblPr>
        <w:tblW w:w="5052"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175"/>
        <w:gridCol w:w="7120"/>
      </w:tblGrid>
      <w:tr w:rsidR="00C20BBD" w:rsidRPr="0097459F" w14:paraId="2256479E" w14:textId="77777777" w:rsidTr="00ED0447">
        <w:trPr>
          <w:trHeight w:val="330"/>
        </w:trPr>
        <w:tc>
          <w:tcPr>
            <w:tcW w:w="1542" w:type="pct"/>
            <w:tcBorders>
              <w:top w:val="outset" w:sz="6" w:space="0" w:color="auto"/>
              <w:left w:val="outset" w:sz="6" w:space="0" w:color="auto"/>
              <w:bottom w:val="outset" w:sz="6" w:space="0" w:color="auto"/>
              <w:right w:val="outset" w:sz="6" w:space="0" w:color="auto"/>
            </w:tcBorders>
            <w:vAlign w:val="center"/>
            <w:hideMark/>
          </w:tcPr>
          <w:p w14:paraId="6B457C3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Competência:</w:t>
            </w:r>
          </w:p>
        </w:tc>
        <w:tc>
          <w:tcPr>
            <w:tcW w:w="3458" w:type="pct"/>
            <w:tcBorders>
              <w:top w:val="outset" w:sz="6" w:space="0" w:color="auto"/>
              <w:left w:val="outset" w:sz="6" w:space="0" w:color="auto"/>
              <w:bottom w:val="outset" w:sz="6" w:space="0" w:color="auto"/>
              <w:right w:val="outset" w:sz="6" w:space="0" w:color="auto"/>
            </w:tcBorders>
            <w:vAlign w:val="center"/>
            <w:hideMark/>
          </w:tcPr>
          <w:p w14:paraId="63BB451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mm/aaaa  </w:t>
            </w:r>
          </w:p>
        </w:tc>
      </w:tr>
      <w:tr w:rsidR="00C20BBD" w:rsidRPr="0097459F" w14:paraId="6D07E32D" w14:textId="77777777" w:rsidTr="00ED0447">
        <w:trPr>
          <w:trHeight w:val="330"/>
        </w:trPr>
        <w:tc>
          <w:tcPr>
            <w:tcW w:w="1542" w:type="pct"/>
            <w:tcBorders>
              <w:top w:val="outset" w:sz="6" w:space="0" w:color="auto"/>
              <w:left w:val="outset" w:sz="6" w:space="0" w:color="auto"/>
              <w:bottom w:val="outset" w:sz="6" w:space="0" w:color="auto"/>
              <w:right w:val="outset" w:sz="6" w:space="0" w:color="auto"/>
            </w:tcBorders>
            <w:vAlign w:val="center"/>
            <w:hideMark/>
          </w:tcPr>
          <w:p w14:paraId="63063E1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Administrador:</w:t>
            </w:r>
          </w:p>
        </w:tc>
        <w:tc>
          <w:tcPr>
            <w:tcW w:w="3458" w:type="pct"/>
            <w:tcBorders>
              <w:top w:val="outset" w:sz="6" w:space="0" w:color="auto"/>
              <w:left w:val="outset" w:sz="6" w:space="0" w:color="auto"/>
              <w:bottom w:val="outset" w:sz="6" w:space="0" w:color="auto"/>
              <w:right w:val="outset" w:sz="6" w:space="0" w:color="auto"/>
            </w:tcBorders>
            <w:vAlign w:val="center"/>
            <w:hideMark/>
          </w:tcPr>
          <w:p w14:paraId="018882A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CNPJ:</w:t>
            </w:r>
          </w:p>
        </w:tc>
      </w:tr>
      <w:tr w:rsidR="00C20BBD" w:rsidRPr="0097459F" w14:paraId="7F5A2198" w14:textId="77777777" w:rsidTr="00ED0447">
        <w:trPr>
          <w:trHeight w:val="330"/>
        </w:trPr>
        <w:tc>
          <w:tcPr>
            <w:tcW w:w="1542" w:type="pct"/>
            <w:tcBorders>
              <w:top w:val="outset" w:sz="6" w:space="0" w:color="auto"/>
              <w:left w:val="outset" w:sz="6" w:space="0" w:color="auto"/>
              <w:bottom w:val="outset" w:sz="6" w:space="0" w:color="auto"/>
              <w:right w:val="outset" w:sz="6" w:space="0" w:color="auto"/>
            </w:tcBorders>
            <w:vAlign w:val="center"/>
            <w:hideMark/>
          </w:tcPr>
          <w:p w14:paraId="62A3383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Nome Fundo:</w:t>
            </w:r>
          </w:p>
        </w:tc>
        <w:tc>
          <w:tcPr>
            <w:tcW w:w="3458" w:type="pct"/>
            <w:tcBorders>
              <w:top w:val="outset" w:sz="6" w:space="0" w:color="auto"/>
              <w:left w:val="outset" w:sz="6" w:space="0" w:color="auto"/>
              <w:bottom w:val="outset" w:sz="6" w:space="0" w:color="auto"/>
              <w:right w:val="outset" w:sz="6" w:space="0" w:color="auto"/>
            </w:tcBorders>
            <w:vAlign w:val="center"/>
            <w:hideMark/>
          </w:tcPr>
          <w:p w14:paraId="2AB1BAD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CNPJ:</w:t>
            </w:r>
          </w:p>
        </w:tc>
      </w:tr>
      <w:tr w:rsidR="00C20BBD" w:rsidRPr="0097459F" w14:paraId="6E64C33C" w14:textId="77777777" w:rsidTr="00ED0447">
        <w:tc>
          <w:tcPr>
            <w:tcW w:w="1542" w:type="pct"/>
            <w:tcBorders>
              <w:top w:val="outset" w:sz="6" w:space="0" w:color="auto"/>
              <w:left w:val="outset" w:sz="6" w:space="0" w:color="auto"/>
              <w:bottom w:val="outset" w:sz="6" w:space="0" w:color="auto"/>
              <w:right w:val="outset" w:sz="6" w:space="0" w:color="auto"/>
            </w:tcBorders>
            <w:vAlign w:val="center"/>
            <w:hideMark/>
          </w:tcPr>
          <w:p w14:paraId="3FC7D3B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Tipo de Condomínio:</w:t>
            </w:r>
          </w:p>
        </w:tc>
        <w:tc>
          <w:tcPr>
            <w:tcW w:w="3458" w:type="pct"/>
            <w:tcBorders>
              <w:top w:val="outset" w:sz="6" w:space="0" w:color="auto"/>
              <w:left w:val="outset" w:sz="6" w:space="0" w:color="auto"/>
              <w:bottom w:val="outset" w:sz="6" w:space="0" w:color="auto"/>
              <w:right w:val="outset" w:sz="6" w:space="0" w:color="auto"/>
            </w:tcBorders>
            <w:vAlign w:val="center"/>
            <w:hideMark/>
          </w:tcPr>
          <w:p w14:paraId="70119A99" w14:textId="77777777" w:rsidR="00C20BBD" w:rsidRPr="0097459F" w:rsidRDefault="00C20BBD" w:rsidP="00A95105">
            <w:pPr>
              <w:spacing w:after="0" w:line="240" w:lineRule="auto"/>
              <w:rPr>
                <w:rFonts w:asciiTheme="minorHAnsi" w:hAnsiTheme="minorHAnsi" w:cstheme="minorHAnsi"/>
                <w:b/>
                <w:color w:val="632423"/>
                <w:sz w:val="24"/>
                <w:szCs w:val="24"/>
              </w:rPr>
            </w:pPr>
            <w:r w:rsidRPr="0097459F">
              <w:rPr>
                <w:rFonts w:asciiTheme="minorHAnsi" w:hAnsiTheme="minorHAnsi" w:cstheme="minorHAnsi"/>
                <w:color w:val="000000"/>
                <w:sz w:val="24"/>
                <w:szCs w:val="24"/>
              </w:rPr>
              <w:t>Preenchimento automático pelo sistema.</w:t>
            </w:r>
          </w:p>
        </w:tc>
      </w:tr>
      <w:tr w:rsidR="00C20BBD" w:rsidRPr="0097459F" w14:paraId="1FA1F8ED" w14:textId="77777777" w:rsidTr="00ED0447">
        <w:tc>
          <w:tcPr>
            <w:tcW w:w="1542" w:type="pct"/>
            <w:tcBorders>
              <w:top w:val="outset" w:sz="6" w:space="0" w:color="auto"/>
              <w:left w:val="outset" w:sz="6" w:space="0" w:color="auto"/>
              <w:bottom w:val="outset" w:sz="6" w:space="0" w:color="auto"/>
              <w:right w:val="outset" w:sz="6" w:space="0" w:color="auto"/>
            </w:tcBorders>
            <w:vAlign w:val="center"/>
            <w:hideMark/>
          </w:tcPr>
          <w:p w14:paraId="2AA2C51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Fundo Exclusivo:</w:t>
            </w:r>
          </w:p>
        </w:tc>
        <w:tc>
          <w:tcPr>
            <w:tcW w:w="3458" w:type="pct"/>
            <w:tcBorders>
              <w:top w:val="outset" w:sz="6" w:space="0" w:color="auto"/>
              <w:left w:val="outset" w:sz="6" w:space="0" w:color="auto"/>
              <w:bottom w:val="outset" w:sz="6" w:space="0" w:color="auto"/>
              <w:right w:val="outset" w:sz="6" w:space="0" w:color="auto"/>
            </w:tcBorders>
            <w:vAlign w:val="center"/>
            <w:hideMark/>
          </w:tcPr>
          <w:p w14:paraId="4170CE2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“SIM” ou “Não”</w:t>
            </w:r>
          </w:p>
        </w:tc>
      </w:tr>
      <w:tr w:rsidR="00C20BBD" w:rsidRPr="0097459F" w14:paraId="42789535" w14:textId="77777777" w:rsidTr="00ED0447">
        <w:tc>
          <w:tcPr>
            <w:tcW w:w="1542" w:type="pct"/>
            <w:tcBorders>
              <w:top w:val="outset" w:sz="6" w:space="0" w:color="auto"/>
              <w:left w:val="outset" w:sz="6" w:space="0" w:color="auto"/>
              <w:bottom w:val="outset" w:sz="6" w:space="0" w:color="auto"/>
              <w:right w:val="outset" w:sz="6" w:space="0" w:color="auto"/>
            </w:tcBorders>
            <w:vAlign w:val="center"/>
            <w:hideMark/>
          </w:tcPr>
          <w:p w14:paraId="23D76382" w14:textId="77777777" w:rsidR="00C20BBD" w:rsidRPr="0097459F" w:rsidRDefault="00C20BBD" w:rsidP="00A95105">
            <w:pPr>
              <w:spacing w:after="0" w:line="240" w:lineRule="auto"/>
              <w:ind w:left="426"/>
              <w:rPr>
                <w:rFonts w:asciiTheme="minorHAnsi" w:hAnsiTheme="minorHAnsi" w:cstheme="minorHAnsi"/>
                <w:color w:val="000000"/>
                <w:sz w:val="24"/>
                <w:szCs w:val="24"/>
              </w:rPr>
            </w:pPr>
            <w:r w:rsidRPr="0097459F">
              <w:rPr>
                <w:rFonts w:asciiTheme="minorHAnsi" w:hAnsiTheme="minorHAnsi" w:cstheme="minorHAnsi"/>
                <w:b/>
                <w:color w:val="000000"/>
                <w:sz w:val="24"/>
                <w:szCs w:val="24"/>
              </w:rPr>
              <w:t>Todos os Cotistas Vinculados por Interesse Único e Indissociável?</w:t>
            </w:r>
          </w:p>
        </w:tc>
        <w:tc>
          <w:tcPr>
            <w:tcW w:w="3458" w:type="pct"/>
            <w:tcBorders>
              <w:top w:val="outset" w:sz="6" w:space="0" w:color="auto"/>
              <w:left w:val="outset" w:sz="6" w:space="0" w:color="auto"/>
              <w:bottom w:val="outset" w:sz="6" w:space="0" w:color="auto"/>
              <w:right w:val="outset" w:sz="6" w:space="0" w:color="auto"/>
            </w:tcBorders>
            <w:vAlign w:val="center"/>
            <w:hideMark/>
          </w:tcPr>
          <w:p w14:paraId="191129A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“SIM” ou “Não”</w:t>
            </w:r>
          </w:p>
        </w:tc>
      </w:tr>
      <w:tr w:rsidR="00C20BBD" w:rsidRPr="0097459F" w14:paraId="4D4C1935" w14:textId="77777777" w:rsidTr="00ED0447">
        <w:tc>
          <w:tcPr>
            <w:tcW w:w="1542"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2700F769" w14:textId="77777777" w:rsidR="00C20BBD" w:rsidRPr="0097459F" w:rsidRDefault="00C20BBD" w:rsidP="00A95105">
            <w:pPr>
              <w:spacing w:after="0" w:line="240" w:lineRule="auto"/>
              <w:ind w:left="426"/>
              <w:rPr>
                <w:rFonts w:asciiTheme="minorHAnsi" w:hAnsiTheme="minorHAnsi" w:cstheme="minorHAnsi"/>
                <w:color w:val="000000"/>
                <w:sz w:val="24"/>
                <w:szCs w:val="24"/>
              </w:rPr>
            </w:pPr>
            <w:r w:rsidRPr="0097459F">
              <w:rPr>
                <w:rFonts w:asciiTheme="minorHAnsi" w:hAnsiTheme="minorHAnsi" w:cstheme="minorHAnsi"/>
                <w:b/>
                <w:color w:val="000000"/>
                <w:sz w:val="24"/>
                <w:szCs w:val="24"/>
              </w:rPr>
              <w:t xml:space="preserve">Prazo mínimo entre a data do pedido de resgate e a correspondente conversão em quantidade de cotas </w:t>
            </w:r>
          </w:p>
        </w:tc>
        <w:tc>
          <w:tcPr>
            <w:tcW w:w="3458"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6B2032D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Somente aplicável para </w:t>
            </w:r>
            <w:r w:rsidRPr="0097459F">
              <w:rPr>
                <w:rFonts w:asciiTheme="minorHAnsi" w:hAnsiTheme="minorHAnsi" w:cstheme="minorHAnsi"/>
                <w:b/>
                <w:color w:val="000000"/>
                <w:sz w:val="24"/>
                <w:szCs w:val="24"/>
              </w:rPr>
              <w:t>fundo aberto</w:t>
            </w:r>
            <w:r w:rsidRPr="0097459F">
              <w:rPr>
                <w:rFonts w:asciiTheme="minorHAnsi" w:hAnsiTheme="minorHAnsi" w:cstheme="minorHAnsi"/>
                <w:color w:val="000000"/>
                <w:sz w:val="24"/>
                <w:szCs w:val="24"/>
              </w:rPr>
              <w:t xml:space="preserve"> de acordo com o campo: Tipo de Condomínio</w:t>
            </w:r>
          </w:p>
        </w:tc>
      </w:tr>
      <w:tr w:rsidR="00C20BBD" w:rsidRPr="0097459F" w14:paraId="6B399E3E" w14:textId="77777777" w:rsidTr="00ED0447">
        <w:tc>
          <w:tcPr>
            <w:tcW w:w="1542"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7B6FE6AF" w14:textId="77777777" w:rsidR="00C20BBD" w:rsidRPr="0097459F" w:rsidRDefault="00C20BBD" w:rsidP="00A95105">
            <w:pPr>
              <w:spacing w:after="0" w:line="240" w:lineRule="auto"/>
              <w:ind w:left="426"/>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Prazo para o pagamento do resgate após a conversão em quantidade de cotas</w:t>
            </w:r>
          </w:p>
        </w:tc>
        <w:tc>
          <w:tcPr>
            <w:tcW w:w="3458"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0EF1BF0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Somente aplicável para </w:t>
            </w:r>
            <w:r w:rsidRPr="0097459F">
              <w:rPr>
                <w:rFonts w:asciiTheme="minorHAnsi" w:hAnsiTheme="minorHAnsi" w:cstheme="minorHAnsi"/>
                <w:b/>
                <w:color w:val="000000"/>
                <w:sz w:val="24"/>
                <w:szCs w:val="24"/>
              </w:rPr>
              <w:t>fundo aberto</w:t>
            </w:r>
            <w:r w:rsidRPr="0097459F">
              <w:rPr>
                <w:rFonts w:asciiTheme="minorHAnsi" w:hAnsiTheme="minorHAnsi" w:cstheme="minorHAnsi"/>
                <w:color w:val="000000"/>
                <w:sz w:val="24"/>
                <w:szCs w:val="24"/>
              </w:rPr>
              <w:t xml:space="preserve"> de acordo com o campo: Tipo de Condomínio</w:t>
            </w:r>
          </w:p>
        </w:tc>
      </w:tr>
    </w:tbl>
    <w:p w14:paraId="50F76589" w14:textId="77777777" w:rsidR="00C20BBD" w:rsidRPr="0097459F" w:rsidRDefault="00C20BBD" w:rsidP="00A95105">
      <w:pPr>
        <w:pStyle w:val="Corpodetexto"/>
        <w:jc w:val="center"/>
        <w:rPr>
          <w:rFonts w:asciiTheme="minorHAnsi" w:hAnsiTheme="minorHAnsi" w:cstheme="minorHAnsi"/>
        </w:rPr>
      </w:pPr>
    </w:p>
    <w:tbl>
      <w:tblPr>
        <w:tblW w:w="5196"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238"/>
        <w:gridCol w:w="2808"/>
        <w:gridCol w:w="13"/>
        <w:gridCol w:w="21"/>
        <w:gridCol w:w="1984"/>
        <w:gridCol w:w="1395"/>
        <w:gridCol w:w="23"/>
        <w:gridCol w:w="106"/>
      </w:tblGrid>
      <w:tr w:rsidR="00C20BBD" w:rsidRPr="0097459F" w14:paraId="7ED2ACD2"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hideMark/>
          </w:tcPr>
          <w:p w14:paraId="3DFF1B9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sz w:val="24"/>
                <w:szCs w:val="24"/>
              </w:rPr>
              <w:t>I - ATIVO (R$)</w:t>
            </w:r>
          </w:p>
        </w:tc>
      </w:tr>
      <w:tr w:rsidR="00EB4EF3" w:rsidRPr="0097459F" w14:paraId="3AF71848"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33CF83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1 – Disponibilidades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50C110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9E10E8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46B65F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2 – Carteira</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733661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FC226A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9F7EA8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 Direitos Creditórios com Aquisição Substancial dos Riscos e Benefícios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6EDE6F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E5F94F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65108C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a.1) Créditos Existentes a Vencer e Adimplentes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DCA20F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4823E7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3E1F35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a.2) Créditos Existentes a Vencer com Parcelas Inadimplentes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E41FC8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9227E1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3A2DFF3"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color w:val="632423"/>
                <w:sz w:val="24"/>
                <w:szCs w:val="24"/>
              </w:rPr>
              <w:t xml:space="preserve">       </w:t>
            </w:r>
            <w:r w:rsidRPr="0097459F">
              <w:rPr>
                <w:rFonts w:asciiTheme="minorHAnsi" w:hAnsiTheme="minorHAnsi" w:cstheme="minorHAnsi"/>
                <w:sz w:val="24"/>
                <w:szCs w:val="24"/>
              </w:rPr>
              <w:t>a.2.1) Valor Total das Parcelas Inadimplentes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A76583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B81405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B4BD88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a.3) Créditos Existentes Inadimplentes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7BD7D6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AD2B13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88D6A8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a.4) Créditos Referentes a Direitos Creditórios a Performar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43C5D4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A99787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FE5C867"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a.5) Créditos que estejam vencidos e pendentes de pagamento quando da sua cessão para o fundo.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D45D21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E61DA1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CAEA12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a.6) Créditos Originados de Empresas em Processo de Recuperação Judicial ou Extrajudicial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26A2D8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FA755E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AF80E0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a.7) Créditos decorrentes de receitas públicas originárias ou derivadas da União, Estados, Distrito Federal e Municípios, suas Autarquias e Fundações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93EF77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F60928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196A2E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a.8) Créditos que resultem de ações judiciais em curso, constituam seu objeto de litígio ou tenham sido judicialmente penhorados ou dados em garantia</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AF4760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00A2A8B"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6E32B4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a.9) Créditos cuja constituição ou validade jurídica da cessão para o fundo seja considerada um fator preponderante de risco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400069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5C7ED4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928987D" w14:textId="396B061B" w:rsidR="00C20BBD" w:rsidRPr="0097459F" w:rsidRDefault="00C20BBD" w:rsidP="00236A8A">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a.1</w:t>
            </w:r>
            <w:r w:rsidR="00236A8A">
              <w:rPr>
                <w:rFonts w:asciiTheme="minorHAnsi" w:hAnsiTheme="minorHAnsi" w:cstheme="minorHAnsi"/>
                <w:color w:val="000000"/>
                <w:sz w:val="24"/>
                <w:szCs w:val="24"/>
              </w:rPr>
              <w:t>0</w:t>
            </w:r>
            <w:r w:rsidRPr="0097459F">
              <w:rPr>
                <w:rFonts w:asciiTheme="minorHAnsi" w:hAnsiTheme="minorHAnsi" w:cstheme="minorHAnsi"/>
                <w:color w:val="000000"/>
                <w:sz w:val="24"/>
                <w:szCs w:val="24"/>
              </w:rPr>
              <w:t>) Provisão para Redução no Valor de Recuperação (-)</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56EC6A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0B35AC03"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1E78DBE" w14:textId="643EA717" w:rsidR="00C20BBD" w:rsidRPr="0097459F" w:rsidRDefault="00C20BBD" w:rsidP="00236A8A">
            <w:pPr>
              <w:spacing w:after="0" w:line="240" w:lineRule="auto"/>
              <w:rPr>
                <w:rFonts w:asciiTheme="minorHAnsi" w:hAnsiTheme="minorHAnsi" w:cstheme="minorHAnsi"/>
                <w:color w:val="000000"/>
                <w:sz w:val="24"/>
                <w:szCs w:val="24"/>
                <w:highlight w:val="yellow"/>
              </w:rPr>
            </w:pPr>
            <w:r w:rsidRPr="0097459F">
              <w:rPr>
                <w:rFonts w:asciiTheme="minorHAnsi" w:hAnsiTheme="minorHAnsi" w:cstheme="minorHAnsi"/>
                <w:color w:val="000000"/>
                <w:sz w:val="24"/>
                <w:szCs w:val="24"/>
              </w:rPr>
              <w:t>a.1</w:t>
            </w:r>
            <w:r w:rsidR="00236A8A">
              <w:rPr>
                <w:rFonts w:asciiTheme="minorHAnsi" w:hAnsiTheme="minorHAnsi" w:cstheme="minorHAnsi"/>
                <w:color w:val="000000"/>
                <w:sz w:val="24"/>
                <w:szCs w:val="24"/>
              </w:rPr>
              <w:t>1</w:t>
            </w:r>
            <w:r w:rsidRPr="0097459F">
              <w:rPr>
                <w:rFonts w:asciiTheme="minorHAnsi" w:hAnsiTheme="minorHAnsi" w:cstheme="minorHAnsi"/>
                <w:color w:val="000000"/>
                <w:sz w:val="24"/>
                <w:szCs w:val="24"/>
              </w:rPr>
              <w:t xml:space="preserve">) Direitos Creditórios (especificar o cedente quando representar mais de 10% do PL do fundo) </w:t>
            </w:r>
          </w:p>
        </w:tc>
      </w:tr>
      <w:tr w:rsidR="00EB4EF3" w:rsidRPr="0097459F" w14:paraId="5F3C49AE" w14:textId="77777777" w:rsidTr="002E2BA2">
        <w:trPr>
          <w:gridAfter w:val="2"/>
          <w:wAfter w:w="61" w:type="pct"/>
          <w:trHeight w:val="788"/>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D8705E8" w14:textId="76D896AA" w:rsidR="00C20BBD" w:rsidRPr="0097459F" w:rsidRDefault="00C20BBD" w:rsidP="00A95105">
            <w:pPr>
              <w:spacing w:after="0" w:line="240" w:lineRule="auto"/>
              <w:rPr>
                <w:rFonts w:asciiTheme="minorHAnsi" w:hAnsiTheme="minorHAnsi" w:cstheme="minorHAnsi"/>
                <w:b/>
                <w:sz w:val="24"/>
                <w:szCs w:val="24"/>
              </w:rPr>
            </w:pPr>
            <w:r w:rsidRPr="0097459F">
              <w:rPr>
                <w:rFonts w:asciiTheme="minorHAnsi" w:hAnsiTheme="minorHAnsi" w:cstheme="minorHAnsi"/>
                <w:b/>
                <w:sz w:val="24"/>
                <w:szCs w:val="24"/>
              </w:rPr>
              <w:t>CNPJ/CPF</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D484317" w14:textId="3C22E212" w:rsidR="00C20BBD" w:rsidRPr="0097459F" w:rsidRDefault="00C20BBD" w:rsidP="00A95105">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Participação Percentual</w:t>
            </w:r>
          </w:p>
          <w:p w14:paraId="6842A18B" w14:textId="77777777" w:rsidR="00C20BBD" w:rsidRPr="0097459F" w:rsidRDefault="00C20BBD" w:rsidP="00A95105">
            <w:pPr>
              <w:spacing w:after="0" w:line="240" w:lineRule="auto"/>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w:t>
            </w:r>
          </w:p>
        </w:tc>
      </w:tr>
      <w:tr w:rsidR="00EB4EF3" w:rsidRPr="0097459F" w14:paraId="2BD2266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6E37F8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 Direitos Creditórios sem Aquisição Substancial dos Riscos e Benefícios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0A0971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1245E6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818025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b.1) Créditos Existentes a Vencer e Adimplentes</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0C1F203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13E557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0B45C57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b.2) Créditos Existentes a Vencer com Parcelas Inadimplentes</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0EB56DB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EF5331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2F610C6C"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color w:val="632423"/>
                <w:sz w:val="24"/>
                <w:szCs w:val="24"/>
              </w:rPr>
              <w:t xml:space="preserve">       </w:t>
            </w:r>
            <w:r w:rsidRPr="0097459F">
              <w:rPr>
                <w:rFonts w:asciiTheme="minorHAnsi" w:hAnsiTheme="minorHAnsi" w:cstheme="minorHAnsi"/>
                <w:sz w:val="24"/>
                <w:szCs w:val="24"/>
              </w:rPr>
              <w:t>b.2.1) Valor Total das Parcelas Inadimplentes</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926577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8DE5B3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FB6A7B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b.3) Créditos Existentes Inadimplentes</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4D4C081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140C51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055DAA5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b.4) Créditos Referentes a Direitos Creditórios a Performar</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755D8EE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912845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4CD680D6"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b.5) Créditos que estejam vencidos e pendentes de pagamento quando da sua cessão para o fundo.</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5C197E6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0313FF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66BD86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b.6) Créditos Originados de Empresas em Processo de Recuperação Judicial ou Extrajudicial</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25A606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017875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C6F937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b.7) Créditos decorrentes de receitas públicas originárias ou derivadas da União, Estados, Distrito Federal e Municípios, suas Autarquias e Fundações</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1F79009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6FF2C2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21AF746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b.8) Créditos que resultem de ações judiciais em curso, constituam seu objeto de litígio ou tenham sido judicialmente penhorados ou dados em garantia</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310CFC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95CB2D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564CC1F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b.9) Créditos cuja constituição ou validade jurídica da cessão para o fundo seja considerada um fator preponderante de risco</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59BAABC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5554C8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C803FE7" w14:textId="1B79CECE" w:rsidR="00C20BBD" w:rsidRPr="0097459F" w:rsidRDefault="00C20BBD" w:rsidP="00236A8A">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b.1</w:t>
            </w:r>
            <w:r w:rsidR="00236A8A">
              <w:rPr>
                <w:rFonts w:asciiTheme="minorHAnsi" w:hAnsiTheme="minorHAnsi" w:cstheme="minorHAnsi"/>
                <w:color w:val="000000"/>
                <w:sz w:val="24"/>
                <w:szCs w:val="24"/>
              </w:rPr>
              <w:t>0</w:t>
            </w:r>
            <w:r w:rsidRPr="0097459F">
              <w:rPr>
                <w:rFonts w:asciiTheme="minorHAnsi" w:hAnsiTheme="minorHAnsi" w:cstheme="minorHAnsi"/>
                <w:color w:val="000000"/>
                <w:sz w:val="24"/>
                <w:szCs w:val="24"/>
              </w:rPr>
              <w:t>) Provisão para Redução no Valor de Recuperação (-)</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1F204DC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640A5E4F"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hideMark/>
          </w:tcPr>
          <w:p w14:paraId="24657A1D" w14:textId="5C23F5F6" w:rsidR="00C20BBD" w:rsidRPr="0097459F" w:rsidRDefault="00C20BBD" w:rsidP="00236A8A">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b.1</w:t>
            </w:r>
            <w:r w:rsidR="00236A8A">
              <w:rPr>
                <w:rFonts w:asciiTheme="minorHAnsi" w:hAnsiTheme="minorHAnsi" w:cstheme="minorHAnsi"/>
                <w:color w:val="000000"/>
                <w:sz w:val="24"/>
                <w:szCs w:val="24"/>
              </w:rPr>
              <w:t>1</w:t>
            </w:r>
            <w:r w:rsidRPr="0097459F">
              <w:rPr>
                <w:rFonts w:asciiTheme="minorHAnsi" w:hAnsiTheme="minorHAnsi" w:cstheme="minorHAnsi"/>
                <w:color w:val="000000"/>
                <w:sz w:val="24"/>
                <w:szCs w:val="24"/>
              </w:rPr>
              <w:t xml:space="preserve">) Direitos Creditórios (especificar o cedente quando representar mais de 10% do PL do fundo) </w:t>
            </w:r>
          </w:p>
        </w:tc>
      </w:tr>
      <w:tr w:rsidR="00EB4EF3" w:rsidRPr="0097459F" w14:paraId="50EB872B" w14:textId="77777777" w:rsidTr="002E2BA2">
        <w:trPr>
          <w:gridAfter w:val="2"/>
          <w:wAfter w:w="61" w:type="pct"/>
          <w:trHeight w:val="507"/>
        </w:trPr>
        <w:tc>
          <w:tcPr>
            <w:tcW w:w="3327" w:type="pct"/>
            <w:gridSpan w:val="2"/>
            <w:tcBorders>
              <w:top w:val="outset" w:sz="6" w:space="0" w:color="auto"/>
              <w:left w:val="outset" w:sz="6" w:space="0" w:color="auto"/>
              <w:bottom w:val="outset" w:sz="6" w:space="0" w:color="auto"/>
              <w:right w:val="outset" w:sz="6" w:space="0" w:color="auto"/>
            </w:tcBorders>
            <w:vAlign w:val="center"/>
          </w:tcPr>
          <w:p w14:paraId="75B73BCA" w14:textId="77777777" w:rsidR="00C20BBD" w:rsidRPr="0097459F" w:rsidRDefault="00C20BBD" w:rsidP="00A95105">
            <w:pPr>
              <w:spacing w:after="0" w:line="240" w:lineRule="auto"/>
              <w:rPr>
                <w:rFonts w:asciiTheme="minorHAnsi" w:hAnsiTheme="minorHAnsi" w:cstheme="minorHAnsi"/>
                <w:b/>
                <w:sz w:val="24"/>
                <w:szCs w:val="24"/>
              </w:rPr>
            </w:pPr>
            <w:r w:rsidRPr="0097459F">
              <w:rPr>
                <w:rFonts w:asciiTheme="minorHAnsi" w:hAnsiTheme="minorHAnsi" w:cstheme="minorHAnsi"/>
                <w:b/>
                <w:sz w:val="24"/>
                <w:szCs w:val="24"/>
              </w:rPr>
              <w:t>CNPJ/CPF</w:t>
            </w:r>
          </w:p>
        </w:tc>
        <w:tc>
          <w:tcPr>
            <w:tcW w:w="1612" w:type="pct"/>
            <w:gridSpan w:val="4"/>
            <w:tcBorders>
              <w:top w:val="outset" w:sz="6" w:space="0" w:color="auto"/>
              <w:left w:val="outset" w:sz="6" w:space="0" w:color="auto"/>
              <w:bottom w:val="outset" w:sz="6" w:space="0" w:color="auto"/>
              <w:right w:val="outset" w:sz="6" w:space="0" w:color="auto"/>
            </w:tcBorders>
            <w:vAlign w:val="center"/>
          </w:tcPr>
          <w:p w14:paraId="1D048192" w14:textId="77777777" w:rsidR="00C20BBD" w:rsidRPr="0097459F" w:rsidRDefault="00C20BBD" w:rsidP="00A95105">
            <w:pPr>
              <w:spacing w:after="0" w:line="240" w:lineRule="auto"/>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Participação Percentual (%)</w:t>
            </w:r>
          </w:p>
        </w:tc>
      </w:tr>
      <w:tr w:rsidR="00EB4EF3" w:rsidRPr="0097459F" w14:paraId="54681DE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6AD613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 Valores Mobiliários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478ABE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FEC551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950F8E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c.1) Debêntures </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26A37D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C22048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8886F0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c.2) CRI </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518312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C550B1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01374D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c.3) Notas Promissórias Comerciais </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576743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0E5D2E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5984D0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c.4) Letras Financeiras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ECFB1D3"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A2A9B5B"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BD8CD4B" w14:textId="6D042535" w:rsidR="00C20BBD" w:rsidRPr="0097459F" w:rsidRDefault="00C20BBD" w:rsidP="008F0EA1">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c.5) </w:t>
            </w:r>
            <w:r w:rsidR="008F0EA1" w:rsidRPr="003F0970">
              <w:rPr>
                <w:rFonts w:ascii="Calibri" w:eastAsia="Times New Roman" w:hAnsi="Calibri" w:cs="Calibri"/>
                <w:bCs/>
                <w:color w:val="000000"/>
                <w:sz w:val="24"/>
                <w:szCs w:val="24"/>
              </w:rPr>
              <w:t>Classes de cotas dos FIF – Anexo Normativo I da RCVM 175</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748AD3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2F8771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F96D3B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c.6) Outros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843FAC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F92CF3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FD7C2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 Títulos Públicos Federais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791CDD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AA14AF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E23E1C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e) Certificados de Depósitos Bancários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199215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0CC980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8C6CF4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 Aplicações em Operações Compromissadas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E0A00C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4C931E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3F208A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g) Outros Ativos Financeiros de Renda Fixa</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743F2D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79C4E2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58D0D91" w14:textId="053644B0" w:rsidR="00C20BBD" w:rsidRPr="0097459F" w:rsidRDefault="00C20BBD" w:rsidP="00D232E0">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h) </w:t>
            </w:r>
            <w:r w:rsidR="008F0EA1">
              <w:rPr>
                <w:rFonts w:asciiTheme="minorHAnsi" w:hAnsiTheme="minorHAnsi" w:cstheme="minorHAnsi"/>
                <w:color w:val="000000"/>
                <w:sz w:val="24"/>
                <w:szCs w:val="24"/>
              </w:rPr>
              <w:t xml:space="preserve">Classes de </w:t>
            </w:r>
            <w:r w:rsidR="00D232E0">
              <w:rPr>
                <w:rFonts w:asciiTheme="minorHAnsi" w:hAnsiTheme="minorHAnsi" w:cstheme="minorHAnsi"/>
                <w:color w:val="000000"/>
                <w:sz w:val="24"/>
                <w:szCs w:val="24"/>
              </w:rPr>
              <w:t>C</w:t>
            </w:r>
            <w:r w:rsidRPr="0097459F">
              <w:rPr>
                <w:rFonts w:asciiTheme="minorHAnsi" w:hAnsiTheme="minorHAnsi" w:cstheme="minorHAnsi"/>
                <w:color w:val="000000"/>
                <w:sz w:val="24"/>
                <w:szCs w:val="24"/>
              </w:rPr>
              <w:t>otas de Fundos de Investimento em Direitos Creditórios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F4E3D8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73D649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068FD24" w14:textId="1A14B5E8" w:rsidR="00C20BBD" w:rsidRPr="0097459F" w:rsidRDefault="00C20BBD" w:rsidP="00290088">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w:t>
            </w:r>
            <w:r w:rsidR="00290088">
              <w:rPr>
                <w:rFonts w:asciiTheme="minorHAnsi" w:hAnsiTheme="minorHAnsi" w:cstheme="minorHAnsi"/>
                <w:color w:val="000000"/>
                <w:sz w:val="24"/>
                <w:szCs w:val="24"/>
              </w:rPr>
              <w:t>i</w:t>
            </w:r>
            <w:r w:rsidRPr="0097459F">
              <w:rPr>
                <w:rFonts w:asciiTheme="minorHAnsi" w:hAnsiTheme="minorHAnsi" w:cstheme="minorHAnsi"/>
                <w:color w:val="000000"/>
                <w:sz w:val="24"/>
                <w:szCs w:val="24"/>
              </w:rPr>
              <w:t>) Warrants, Contrato de Compra e Venda de Produtos, Mercadorias e/ou Serviços para Entrega ou Prestação Futura</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6C3F93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BFC53A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1949B18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Provisões sobre Debêntures, CRI, Notas Promissórias e Letras Financeiras</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B2B6CD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DB3259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A22AAD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Provisões sobre Cotas de Fundos de Investimento em Direitos Creditórios</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4F013DF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F8E206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5CB5EB2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Provisões sobre outros ativos</w:t>
            </w:r>
          </w:p>
        </w:tc>
        <w:tc>
          <w:tcPr>
            <w:tcW w:w="1612"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4A0BBE3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50E0C7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A7DB4A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3 - Posições Mantidas em Mercados de </w:t>
            </w:r>
            <w:r w:rsidRPr="0097459F">
              <w:rPr>
                <w:rFonts w:asciiTheme="minorHAnsi" w:hAnsiTheme="minorHAnsi" w:cstheme="minorHAnsi"/>
                <w:sz w:val="24"/>
                <w:szCs w:val="24"/>
              </w:rPr>
              <w:t xml:space="preserve">Derivativos </w:t>
            </w:r>
            <w:r w:rsidRPr="0097459F">
              <w:rPr>
                <w:rFonts w:asciiTheme="minorHAnsi" w:hAnsiTheme="minorHAnsi" w:cstheme="minorHAnsi"/>
                <w:i/>
                <w:sz w:val="24"/>
                <w:szCs w:val="24"/>
              </w:rPr>
              <w:t>(a+b+c+d)</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388756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FA9E6D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7006B8B"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a) Mercado a Termo – Posições Compradas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62AB68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E8A510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40A6323"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b) Mercado de Opções – Posições Titulares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D89E7B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CCD935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B548B8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xml:space="preserve">        c) Mercado </w:t>
            </w:r>
            <w:r w:rsidRPr="0097459F">
              <w:rPr>
                <w:rFonts w:asciiTheme="minorHAnsi" w:hAnsiTheme="minorHAnsi" w:cstheme="minorHAnsi"/>
                <w:sz w:val="24"/>
                <w:szCs w:val="24"/>
              </w:rPr>
              <w:t xml:space="preserve">Futuro </w:t>
            </w:r>
            <w:r w:rsidRPr="0097459F">
              <w:rPr>
                <w:rFonts w:asciiTheme="minorHAnsi" w:hAnsiTheme="minorHAnsi" w:cstheme="minorHAnsi"/>
                <w:b/>
                <w:sz w:val="24"/>
                <w:szCs w:val="24"/>
              </w:rPr>
              <w:t>–</w:t>
            </w:r>
            <w:r w:rsidRPr="0097459F">
              <w:rPr>
                <w:rFonts w:asciiTheme="minorHAnsi" w:hAnsiTheme="minorHAnsi" w:cstheme="minorHAnsi"/>
                <w:b/>
                <w:color w:val="632423"/>
                <w:sz w:val="24"/>
                <w:szCs w:val="24"/>
              </w:rPr>
              <w:t xml:space="preserve"> </w:t>
            </w:r>
            <w:r w:rsidRPr="0097459F">
              <w:rPr>
                <w:rFonts w:asciiTheme="minorHAnsi" w:hAnsiTheme="minorHAnsi" w:cstheme="minorHAnsi"/>
                <w:sz w:val="24"/>
                <w:szCs w:val="24"/>
              </w:rPr>
              <w:t>Ajustes Positivos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579CD8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97CEAF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599993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 Diferencial de </w:t>
            </w:r>
            <w:r w:rsidRPr="0097459F">
              <w:rPr>
                <w:rFonts w:asciiTheme="minorHAnsi" w:hAnsiTheme="minorHAnsi" w:cstheme="minorHAnsi"/>
                <w:sz w:val="24"/>
                <w:szCs w:val="24"/>
              </w:rPr>
              <w:t>Swap a Receber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0989AF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EA27EF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84ED048" w14:textId="77777777" w:rsidR="00C20BBD" w:rsidRPr="0097459F" w:rsidRDefault="00C20BBD" w:rsidP="00A95105">
            <w:pPr>
              <w:spacing w:after="0" w:line="240" w:lineRule="auto"/>
              <w:rPr>
                <w:rFonts w:asciiTheme="minorHAnsi" w:hAnsiTheme="minorHAnsi" w:cstheme="minorHAnsi"/>
                <w:i/>
                <w:sz w:val="24"/>
                <w:szCs w:val="24"/>
              </w:rPr>
            </w:pPr>
            <w:r w:rsidRPr="0097459F">
              <w:rPr>
                <w:rFonts w:asciiTheme="minorHAnsi" w:hAnsiTheme="minorHAnsi" w:cstheme="minorHAnsi"/>
                <w:color w:val="000000"/>
                <w:sz w:val="24"/>
                <w:szCs w:val="24"/>
              </w:rPr>
              <w:t>        </w:t>
            </w:r>
            <w:r w:rsidRPr="0097459F">
              <w:rPr>
                <w:rFonts w:asciiTheme="minorHAnsi" w:hAnsiTheme="minorHAnsi" w:cstheme="minorHAnsi"/>
                <w:i/>
                <w:sz w:val="24"/>
                <w:szCs w:val="24"/>
              </w:rPr>
              <w:t>e) Coberturas Prestadas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2995019"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0A59EEF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AED7FD5" w14:textId="77777777" w:rsidR="00C20BBD" w:rsidRPr="0097459F" w:rsidRDefault="00C20BBD" w:rsidP="00A95105">
            <w:pPr>
              <w:spacing w:after="0" w:line="240" w:lineRule="auto"/>
              <w:rPr>
                <w:rFonts w:asciiTheme="minorHAnsi" w:hAnsiTheme="minorHAnsi" w:cstheme="minorHAnsi"/>
                <w:i/>
                <w:sz w:val="24"/>
                <w:szCs w:val="24"/>
              </w:rPr>
            </w:pPr>
            <w:r w:rsidRPr="0097459F">
              <w:rPr>
                <w:rFonts w:asciiTheme="minorHAnsi" w:hAnsiTheme="minorHAnsi" w:cstheme="minorHAnsi"/>
                <w:color w:val="000000"/>
                <w:sz w:val="24"/>
                <w:szCs w:val="24"/>
              </w:rPr>
              <w:t>        f</w:t>
            </w:r>
            <w:r w:rsidRPr="0097459F">
              <w:rPr>
                <w:rFonts w:asciiTheme="minorHAnsi" w:hAnsiTheme="minorHAnsi" w:cstheme="minorHAnsi"/>
                <w:i/>
                <w:sz w:val="24"/>
                <w:szCs w:val="24"/>
              </w:rPr>
              <w:t>) Depósitos de Margem</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44DDE68"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0B0F371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731092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4 - Outros </w:t>
            </w:r>
            <w:r w:rsidRPr="0097459F">
              <w:rPr>
                <w:rFonts w:asciiTheme="minorHAnsi" w:hAnsiTheme="minorHAnsi" w:cstheme="minorHAnsi"/>
                <w:sz w:val="24"/>
                <w:szCs w:val="24"/>
              </w:rPr>
              <w:t>Ativos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F397A2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9F8051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1C0D41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 Curto Prazo (realização em até 12 meses da data do informe)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D95E17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DFE261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AE7782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Longo Prazo (realização após 12 meses da data do informe)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CF855B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2EFC52AA"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hideMark/>
          </w:tcPr>
          <w:p w14:paraId="1A078EC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 xml:space="preserve">II - Carteira por Segmento </w:t>
            </w:r>
          </w:p>
        </w:tc>
      </w:tr>
      <w:tr w:rsidR="00EB4EF3" w:rsidRPr="0097459F" w14:paraId="0A16CE3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FC015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 Industrial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ECC990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4E52FEB"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7F23B2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Mercado Imobiliário (não financeiro - ver itens f6 e f7 abaixo)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2D3DD8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5F50FD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76C41F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 Comercial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F2B29F3"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05AE4D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56E812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 Comercial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B5D964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EB7F06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A0A6EE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c.2) Comercial - Varejo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D4DDA2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D5175F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18E632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c.3) Arrendamento Mercantil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E7EB0C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AE0697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926BE3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 Serviços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E5C6D7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2A66E7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E3BB28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d.1) Serviços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33CE83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115C718"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5E879D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d.2) Serviços Públicos (eletricidade, telefonia, transporte, saneamento, etc)</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296DFD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4B531A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B83BFF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d.3) Serviços Educacionais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867E47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881D36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3EADE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d.4) Entretenimento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DA1854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3B630A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797C04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e) Agronegócio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3B9386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8AA960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F75FB1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 Financeiro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C2F966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7505F9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34B9BB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f.1) Crédito Pessoal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6A15BE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E9B183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1705BE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f.2) Crédito Pessoal Consignado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E81A4C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F75F00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EFC0EF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f.3) Crédito Corporativo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6D689E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B2EB09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A875AA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f.4) Middle Market</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5AE4F8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D65C8C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93A291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f.5) Veículos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74717B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7E36D0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4D5744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f.6) Carteira Imobiliária - Empresarial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BDBBCB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F11224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AD9A5D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f.7) Carteira Imobiliária - Residencial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ABCFBB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97D354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F5DABC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f.8) Outros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792E58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6E620D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371C39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g) Cartão de Crédito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E68D5F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421A8C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587322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h) Factoring</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E9BA54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DB196F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A55D04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h.1) Factoring - Pessoal (Perfil do Sacado)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923639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DEABDB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0F9512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h.2) Factoring - Corporativo (Perfil do Sacado)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7AB33A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32A9F2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17C8945" w14:textId="02E9B713" w:rsidR="00C20BBD" w:rsidRPr="0097459F" w:rsidRDefault="00C20BBD" w:rsidP="004204E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 Setor Público (</w:t>
            </w:r>
            <w:r w:rsidR="004204E5">
              <w:rPr>
                <w:rFonts w:asciiTheme="minorHAnsi" w:hAnsiTheme="minorHAnsi" w:cstheme="minorHAnsi"/>
                <w:color w:val="000000"/>
                <w:sz w:val="24"/>
                <w:szCs w:val="24"/>
              </w:rPr>
              <w:t xml:space="preserve">Anexo Normativo II, </w:t>
            </w:r>
            <w:r w:rsidRPr="0097459F">
              <w:rPr>
                <w:rFonts w:asciiTheme="minorHAnsi" w:hAnsiTheme="minorHAnsi" w:cstheme="minorHAnsi"/>
                <w:color w:val="000000"/>
                <w:sz w:val="24"/>
                <w:szCs w:val="24"/>
              </w:rPr>
              <w:t xml:space="preserve">art. </w:t>
            </w:r>
            <w:r w:rsidR="004204E5">
              <w:rPr>
                <w:rFonts w:asciiTheme="minorHAnsi" w:hAnsiTheme="minorHAnsi" w:cstheme="minorHAnsi"/>
                <w:color w:val="000000"/>
                <w:sz w:val="24"/>
                <w:szCs w:val="24"/>
              </w:rPr>
              <w:t>2</w:t>
            </w:r>
            <w:r w:rsidRPr="0097459F">
              <w:rPr>
                <w:rFonts w:asciiTheme="minorHAnsi" w:hAnsiTheme="minorHAnsi" w:cstheme="minorHAnsi"/>
                <w:color w:val="000000"/>
                <w:sz w:val="24"/>
                <w:szCs w:val="24"/>
              </w:rPr>
              <w:t xml:space="preserve">º, </w:t>
            </w:r>
            <w:r w:rsidR="004204E5">
              <w:rPr>
                <w:rFonts w:asciiTheme="minorHAnsi" w:hAnsiTheme="minorHAnsi" w:cstheme="minorHAnsi"/>
                <w:color w:val="000000"/>
                <w:sz w:val="24"/>
                <w:szCs w:val="24"/>
              </w:rPr>
              <w:t>XI</w:t>
            </w:r>
            <w:r w:rsidRPr="0097459F">
              <w:rPr>
                <w:rFonts w:asciiTheme="minorHAnsi" w:hAnsiTheme="minorHAnsi" w:cstheme="minorHAnsi"/>
                <w:color w:val="000000"/>
                <w:sz w:val="24"/>
                <w:szCs w:val="24"/>
              </w:rPr>
              <w:t xml:space="preserve">II, </w:t>
            </w:r>
            <w:r w:rsidR="004204E5">
              <w:rPr>
                <w:rFonts w:asciiTheme="minorHAnsi" w:hAnsiTheme="minorHAnsi" w:cstheme="minorHAnsi"/>
                <w:color w:val="000000"/>
                <w:sz w:val="24"/>
                <w:szCs w:val="24"/>
              </w:rPr>
              <w:t>alínea “b”</w:t>
            </w:r>
            <w:r w:rsidRPr="0097459F">
              <w:rPr>
                <w:rFonts w:asciiTheme="minorHAnsi" w:hAnsiTheme="minorHAnsi" w:cstheme="minorHAnsi"/>
                <w:color w:val="000000"/>
                <w:sz w:val="24"/>
                <w:szCs w:val="24"/>
              </w:rPr>
              <w:t>)</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1AADE9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971C558"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529440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i.1) Precatórios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B23DA1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ACDDE5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CACB4E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i.2) Créditos Tributários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8A41BD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D8C3E28"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6D8003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i.3) Royalties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78CBF1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DC27A7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8396C1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i.4) Outros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DF43C8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071EAD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8E0A090" w14:textId="1CA4FFAF" w:rsidR="00C20BBD" w:rsidRPr="0097459F" w:rsidRDefault="00C20BBD" w:rsidP="004204E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j) Ações Judiciais (</w:t>
            </w:r>
            <w:r w:rsidR="004204E5">
              <w:rPr>
                <w:rFonts w:asciiTheme="minorHAnsi" w:hAnsiTheme="minorHAnsi" w:cstheme="minorHAnsi"/>
                <w:color w:val="000000"/>
                <w:sz w:val="24"/>
                <w:szCs w:val="24"/>
              </w:rPr>
              <w:t>Anexo Normativo II,</w:t>
            </w:r>
            <w:r w:rsidR="004204E5" w:rsidRPr="0097459F">
              <w:rPr>
                <w:rFonts w:asciiTheme="minorHAnsi" w:hAnsiTheme="minorHAnsi" w:cstheme="minorHAnsi"/>
                <w:color w:val="000000"/>
                <w:sz w:val="24"/>
                <w:szCs w:val="24"/>
              </w:rPr>
              <w:t xml:space="preserve"> </w:t>
            </w:r>
            <w:r w:rsidRPr="0097459F">
              <w:rPr>
                <w:rFonts w:asciiTheme="minorHAnsi" w:hAnsiTheme="minorHAnsi" w:cstheme="minorHAnsi"/>
                <w:color w:val="000000"/>
                <w:sz w:val="24"/>
                <w:szCs w:val="24"/>
              </w:rPr>
              <w:t xml:space="preserve">art. </w:t>
            </w:r>
            <w:r w:rsidR="004204E5">
              <w:rPr>
                <w:rFonts w:asciiTheme="minorHAnsi" w:hAnsiTheme="minorHAnsi" w:cstheme="minorHAnsi"/>
                <w:color w:val="000000"/>
                <w:sz w:val="24"/>
                <w:szCs w:val="24"/>
              </w:rPr>
              <w:t>2</w:t>
            </w:r>
            <w:r w:rsidRPr="0097459F">
              <w:rPr>
                <w:rFonts w:asciiTheme="minorHAnsi" w:hAnsiTheme="minorHAnsi" w:cstheme="minorHAnsi"/>
                <w:color w:val="000000"/>
                <w:sz w:val="24"/>
                <w:szCs w:val="24"/>
              </w:rPr>
              <w:t xml:space="preserve">º, </w:t>
            </w:r>
            <w:r w:rsidR="004204E5">
              <w:rPr>
                <w:rFonts w:asciiTheme="minorHAnsi" w:hAnsiTheme="minorHAnsi" w:cstheme="minorHAnsi"/>
                <w:color w:val="000000"/>
                <w:sz w:val="24"/>
                <w:szCs w:val="24"/>
              </w:rPr>
              <w:t>X</w:t>
            </w:r>
            <w:r w:rsidRPr="0097459F">
              <w:rPr>
                <w:rFonts w:asciiTheme="minorHAnsi" w:hAnsiTheme="minorHAnsi" w:cstheme="minorHAnsi"/>
                <w:color w:val="000000"/>
                <w:sz w:val="24"/>
                <w:szCs w:val="24"/>
              </w:rPr>
              <w:t xml:space="preserve">III, </w:t>
            </w:r>
            <w:r w:rsidR="004204E5">
              <w:rPr>
                <w:rFonts w:asciiTheme="minorHAnsi" w:hAnsiTheme="minorHAnsi" w:cstheme="minorHAnsi"/>
                <w:color w:val="000000"/>
                <w:sz w:val="24"/>
                <w:szCs w:val="24"/>
              </w:rPr>
              <w:t>alínea “c”</w:t>
            </w:r>
            <w:r w:rsidRPr="0097459F">
              <w:rPr>
                <w:rFonts w:asciiTheme="minorHAnsi" w:hAnsiTheme="minorHAnsi" w:cstheme="minorHAnsi"/>
                <w:color w:val="000000"/>
                <w:sz w:val="24"/>
                <w:szCs w:val="24"/>
              </w:rPr>
              <w:t>)</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C7C87C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C2E8B2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D4ACBC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k) Propriedade Intelectual e Marcas &amp; Patentes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978D92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37DBCCED"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hideMark/>
          </w:tcPr>
          <w:p w14:paraId="309DFC1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III – Passivo (R$)</w:t>
            </w:r>
          </w:p>
        </w:tc>
      </w:tr>
      <w:tr w:rsidR="00EB4EF3" w:rsidRPr="0097459F" w14:paraId="0B490150"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6517525"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    a) Valores a pagar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E07C62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22BC81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AC41064"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a.1) Curto prazo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EB573E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BC7C43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4A73700"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a.2) Longo prazo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DF5DA6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787D488"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9BF0097"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    b) Posições Mantidas em Mercado de Derivativos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F868AC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8D0F85B"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F13B20"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 Mercado a termo (Posições vendidas)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1760CA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4FF667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3D474AD"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b.2) Mercado de Opções (Posições Lançadas)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88D04D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51813E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50B1CE8"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b.3) Mercado Futuro (Ajustes Negativos)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660A7F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38C2AB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7C08412"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b.4) Diferencial de Swap a Pagar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F9789BF" w14:textId="77777777" w:rsidR="00C20BBD" w:rsidRPr="0097459F" w:rsidRDefault="00C20BBD" w:rsidP="00A95105">
            <w:pPr>
              <w:spacing w:after="0" w:line="240" w:lineRule="auto"/>
              <w:rPr>
                <w:rFonts w:asciiTheme="minorHAnsi" w:hAnsiTheme="minorHAnsi" w:cstheme="minorHAnsi"/>
                <w:sz w:val="24"/>
                <w:szCs w:val="24"/>
              </w:rPr>
            </w:pPr>
          </w:p>
        </w:tc>
      </w:tr>
      <w:tr w:rsidR="00C20BBD" w:rsidRPr="0097459F" w14:paraId="78A4AED6"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hideMark/>
          </w:tcPr>
          <w:p w14:paraId="7350AA5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IV - Patrimônio Líquido (R$)</w:t>
            </w:r>
          </w:p>
        </w:tc>
      </w:tr>
      <w:tr w:rsidR="00EB4EF3" w:rsidRPr="0097459F" w14:paraId="4FBD7EC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0D44E1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 Valor do Patrimônio Líquido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BC4960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6968DB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3B5CDD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Valor do Patrimônio Líquido Médio (últimos três meses)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0A6B5B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0EA7E61C"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hideMark/>
          </w:tcPr>
          <w:p w14:paraId="08C87E74" w14:textId="77777777" w:rsidR="00C20BBD" w:rsidRPr="0097459F" w:rsidRDefault="00C20BBD" w:rsidP="00A95105">
            <w:pPr>
              <w:spacing w:after="0" w:line="240" w:lineRule="auto"/>
              <w:rPr>
                <w:rFonts w:asciiTheme="minorHAnsi" w:hAnsiTheme="minorHAnsi" w:cstheme="minorHAnsi"/>
                <w:b/>
                <w:color w:val="632423"/>
                <w:sz w:val="24"/>
                <w:szCs w:val="24"/>
              </w:rPr>
            </w:pPr>
            <w:r w:rsidRPr="0097459F">
              <w:rPr>
                <w:rFonts w:asciiTheme="minorHAnsi" w:hAnsiTheme="minorHAnsi" w:cstheme="minorHAnsi"/>
                <w:b/>
                <w:color w:val="000000"/>
                <w:sz w:val="24"/>
                <w:szCs w:val="24"/>
              </w:rPr>
              <w:t>V - Comportamento da Carteira de Direitos Creditórios com Aquisição Substancial dos Riscos e Benefícios</w:t>
            </w:r>
          </w:p>
        </w:tc>
      </w:tr>
      <w:tr w:rsidR="00EB4EF3" w:rsidRPr="0097459F" w14:paraId="7BFDD21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A337BF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 Por Prazo de Vencimento (R$)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4278AA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D19D02B"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370F45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a.1) Até 30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F5AE54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7990AB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253EE7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a.2) De 31 a 60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8F12EB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FD8EB3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53E486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a.3) De 61 a 90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16CA3E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71ED54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FC4D1C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a.4) De 91 a 120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CB0D66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09A7D7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4EA1D0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a.5) De 121 a 150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467790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9D9867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1CD525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a.6) De 151 a 180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CDBDDD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28B934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907B65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a.7) De 181 a 360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7EB8CF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1E3EAD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F9E09C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a.8) De 361 a 720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CEAAC6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93166D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FB51FA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a.9) De 721 a 1080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28B686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171E98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7428EF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a.10) Acima de 1080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F7332D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0CAD84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A1892D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Inadimplentes (Valor das Parcelas Inadimplentes, em 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BC6482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03FE47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0D8336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b.1) Vencidos e não Pagos entre 1 e 30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137AEF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4D26E9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E2CE3F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b.2) Vencidos e não Pagos entre 31 e 60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B33947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7D98A3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7EA8CB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b.3) Vencidos e não Pagos entre 61 e 90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C26640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E23863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F980FB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b.4) Vencidos e não Pagos entre 91 e 120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79F87A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5FCD300"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3E05AC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b.5) Vencidos e não Pagos entre 121 e 150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10633C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9A1D71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F3776F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b.6) Vencidos e não Pagos entre 151 e 180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DDB1AD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AC3A06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0C65D0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b.7) Vencidos e não Pagos entre 181 e 360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4EBF28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880B65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DED38D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b.8) Vencidos e não Pagos entre 361 e 720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0AAEE3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64209A0"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CDF76E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b.9) Vencidos e não Pagos entre 721 e 1080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3E1533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FFC15B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E77EBC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b.10) Vencidos e não Pagos acima de 1080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99D3B63"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AE2DD1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4DAC62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 Pagos Antecipadamente (R$)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7F0C5D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0B097A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C488B3B" w14:textId="1ED21153"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 entre 1 e 30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612220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6FA09B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1B78A9D" w14:textId="0A598889"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c.2) entre 31 e 60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94D567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822623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1547C96" w14:textId="4D160AF9"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c.3) entre 61 e 90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13C7A0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DBAF2C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A1DD11D" w14:textId="3BD98832"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c.4) entre 91 e 120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4EC064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172ADF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801B2CA" w14:textId="7911705E"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c.5) entre 121 e 150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4349CD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4107AC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787C05C" w14:textId="5A6537C8"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c.6) entre 151 e 180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DEB39A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59D639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743622A" w14:textId="3FAD904F"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c.7) entre 181 e 360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F19A36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3651A9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20300F5" w14:textId="59DF785B"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c.8) entre 361 e 720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848941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9DDA3E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8B987C4" w14:textId="7A563673"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c.9) entre 721 e 1080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09A488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C38C2D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6E5E9F3" w14:textId="4033026A" w:rsidR="00C20BBD" w:rsidRPr="0097459F" w:rsidRDefault="00C20BBD" w:rsidP="00A500F0">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c.10) acima de 1080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D4CF3F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68C0A696"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hideMark/>
          </w:tcPr>
          <w:p w14:paraId="1896B59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VI - Comportamento da Carteira de Direitos Creditórios sem Aquisição Substancial dos Riscos e Benefícios</w:t>
            </w:r>
          </w:p>
        </w:tc>
      </w:tr>
      <w:tr w:rsidR="00EB4EF3" w:rsidRPr="0097459F" w14:paraId="4115029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1C3AEB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a) Por Prazo de Vencimento (R$)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B11B33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F5EC94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E1080B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a.1) Até 30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A26D8F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97E705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25BCC0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a.2) De 31 a 60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6AF2DD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41EF0E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2A88E4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a.3) De 61 a 90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766F70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5A304D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20D8ED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a.4) De 91 a 120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D2D806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CB09670"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9FEAD9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a.5) De 121 a 150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A57284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033BA9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D88297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a.6) De 151 a 180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BAABD7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05ED260"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B8A724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a.7) De 181 a 360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94FAAF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E22D2E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B95E0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a.8) De 361 a 720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259126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1F89E8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902B71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a.9) De 721 a 1080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83630B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0D8BF9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9E648A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a.10) Acima de 1080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27F186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5F294EB"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63A4A2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Inadimplentes (Valor das Parcelas Inadimplentes, em 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53BE5F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31D500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647C0D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b.1) Vencidos e não Pagos entre 1 e 30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9BD6D7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27D007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935E8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b.2) Vencidos e não Pagos entre 31 e 60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E9D456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8B370B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08708C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b.3) Vencidos e não Pagos entre 61 e 90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769963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4B25F3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F764E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b.4) Vencidos e não Pagos entre 91 e 120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BE614A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5739C4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9FBD56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b.5) Vencidos e não Pagos entre 121 e 150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D3716D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618E24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F3E504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b.6) Vencidos e não Pagos entre 151 e 180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49A14B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CB0486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3ACBF8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b.7) Vencidos e não Pagos entre 181 e 360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53CE88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27E8FE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1D638F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b.8) Vencidos e não Pagos entre 361 e 720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25503C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839509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C62997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b.9) Vencidos e não Pagos entre 721 e 1080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DA6EF5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5F84CEB"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9D4DB0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b.10) Vencidos e não Pagos acima de 1080 dias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5E4CF7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88F771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1ABA5C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 Pagos Antecipadamente (R$)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1042F1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DA7184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2D8C994" w14:textId="29856A34"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 entre 1 e 30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1BA284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E73DDB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E5A833A" w14:textId="503DDE28"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c.2) entre 31 e 60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169447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D11920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E0CE16A" w14:textId="3C3172B6"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c.3) entre 61 e 90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F305AA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9C1421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1BF195" w14:textId="628AE7F8"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c.4) entre 91 e 120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90FAF3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4C1A63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61080C3" w14:textId="1CB0D891"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c.5) entre 121 e 150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228729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E4FFED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413244A" w14:textId="6FA20B04"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c.6) entre 151 e 180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D63F23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352CC98"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DEFAC22" w14:textId="15249807"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c.7) entre 181 e 360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EAB792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1F9E69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A7FA263" w14:textId="750C7046"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c.8) entre 361 e 720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D85682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9F9035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B0F9502" w14:textId="1D39618E"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c.9) entre 721 e 1080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FD42E1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A70099F"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10127E5" w14:textId="346BFF77"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c.10) acima de 1080 dias do vencimento</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464647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2479A0E4"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hideMark/>
          </w:tcPr>
          <w:p w14:paraId="272DD60E"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b/>
                <w:color w:val="000000"/>
                <w:sz w:val="24"/>
                <w:szCs w:val="24"/>
              </w:rPr>
              <w:t>VII - Negócios com Direitos Creditórios Realizados no Mês</w:t>
            </w:r>
          </w:p>
        </w:tc>
      </w:tr>
      <w:tr w:rsidR="00EB4EF3" w:rsidRPr="0097459F" w14:paraId="4C52CCD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91E2171" w14:textId="77777777" w:rsidR="00C20BBD" w:rsidRPr="0097459F" w:rsidRDefault="00C20BBD" w:rsidP="00A95105">
            <w:pPr>
              <w:pStyle w:val="PargrafodaLista"/>
              <w:numPr>
                <w:ilvl w:val="0"/>
                <w:numId w:val="20"/>
              </w:numPr>
              <w:spacing w:after="0" w:line="240" w:lineRule="auto"/>
              <w:contextualSpacing w:val="0"/>
              <w:jc w:val="both"/>
              <w:rPr>
                <w:rFonts w:cstheme="minorHAnsi"/>
                <w:sz w:val="24"/>
                <w:szCs w:val="24"/>
              </w:rPr>
            </w:pPr>
            <w:r w:rsidRPr="0097459F">
              <w:rPr>
                <w:rFonts w:cstheme="minorHAnsi"/>
                <w:sz w:val="24"/>
                <w:szCs w:val="24"/>
              </w:rPr>
              <w:t>Aquisições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3F5EB5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F3E3E5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F891239"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Quantidade Total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88CDE6F"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55CE426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1EA464E"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Valor Total (R$)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397E8E3"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2034672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4D63F82"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a.1) Direitos Creditórios com Aquisição Substancial dos Riscos e Benefícios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A4F531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5FF9FC8"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56671C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a.1.1 -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626B52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F57DF0B"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AA1B1F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a.1.2 -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83549A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1D9F008"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9146C22"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a.2) Direitos Creditórios sem Aquisição Substancial dos Riscos e Benefícios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F85249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7D9237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DA0C5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a.2.1 -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818509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74BCE8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032B8A4"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a.2.2 -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4E243B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969AE9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23E8966"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a.3) Direitos Creditórios a vencer com parcela(s) adimplentes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429FA0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E035AF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65ACA3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,a.3.1 -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40C7C2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44155A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1C50F5D"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a.3.2 -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FEB62F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DC5FA3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97FEE65"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a.4) Direitos Creditórios a vencer com parcela(s) inadimplentes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BE93C9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7A1CE0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F1C1060"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a.4.1 -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2AD264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CA17BB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56AB05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a.4.2 -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8FC284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E772279"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A12F79D"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a.5) Direitos Creditórios Inadimplentes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4B2125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12958B6"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B7247A2"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a.5.1 -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A32FD3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65FCD8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A3D1243"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a.5.2 -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3F26D8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4AD31EE"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45D4BFA" w14:textId="77777777" w:rsidR="00C20BBD" w:rsidRPr="0097459F" w:rsidRDefault="00C20BBD" w:rsidP="00A95105">
            <w:pPr>
              <w:pStyle w:val="PargrafodaLista"/>
              <w:numPr>
                <w:ilvl w:val="0"/>
                <w:numId w:val="20"/>
              </w:numPr>
              <w:spacing w:after="0" w:line="240" w:lineRule="auto"/>
              <w:contextualSpacing w:val="0"/>
              <w:jc w:val="both"/>
              <w:rPr>
                <w:rFonts w:cstheme="minorHAnsi"/>
                <w:sz w:val="24"/>
                <w:szCs w:val="24"/>
              </w:rPr>
            </w:pPr>
            <w:r w:rsidRPr="0097459F">
              <w:rPr>
                <w:rFonts w:cstheme="minorHAnsi"/>
                <w:sz w:val="24"/>
                <w:szCs w:val="24"/>
              </w:rPr>
              <w:t>Alienações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A3880A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E4934B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361636F"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Quantidade Total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A30696C"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2CCDBBE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9793511"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Valor Total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9F59124"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4B1E9D37"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BADDAF0"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Valor Contábil Total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7B52379"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01BFDF4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0823306"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b.1.1) Para o Cedente e Partes Relacionadas aos Cedentes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DEC6A8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30878E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8E4F0D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b.1.1.1)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1F870B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25BA7C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71291F4"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lastRenderedPageBreak/>
              <w:t>b.1.1.2)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E76104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ABF33B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14015F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b.1.1.3) Valor Contábil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296B58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57E36E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42EEEDD"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b.1.2) Para os Prestadores de Serviços e Partes Relacionadas aos Prestadores de Serviços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78E346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E234CB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0C243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b.1.2.1)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6AD5261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5BB612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B422AB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b.1.2.2)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46EB24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B8B6223"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08A266C"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b.1.2.3) Valor Contábil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5EF0EB9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5830D50"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D40C7D6"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b.1.3) Para Terceiros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093F1E8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157C3E5"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FA2A1F6"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b.1.3.1)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D2C236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6CFCE50"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F0303F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b.1.3.2)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1BC7B3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C7581F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D2AAB0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b.1.3.3) Valor Contábil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8F00ED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EE0022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3083F0A" w14:textId="77777777" w:rsidR="00C20BBD" w:rsidRPr="0097459F" w:rsidRDefault="00C20BBD" w:rsidP="00A95105">
            <w:pPr>
              <w:pStyle w:val="PargrafodaLista"/>
              <w:spacing w:after="0" w:line="240" w:lineRule="auto"/>
              <w:ind w:left="360"/>
              <w:jc w:val="both"/>
              <w:rPr>
                <w:rFonts w:cstheme="minorHAnsi"/>
                <w:sz w:val="24"/>
                <w:szCs w:val="24"/>
              </w:rPr>
            </w:pPr>
            <w:r w:rsidRPr="0097459F">
              <w:rPr>
                <w:rFonts w:cstheme="minorHAnsi"/>
                <w:sz w:val="24"/>
                <w:szCs w:val="24"/>
              </w:rPr>
              <w:t>c) Substituições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1E67602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5F3E024"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2BF20B4"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b.2.1)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29567C8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E5F8090"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7EABF83"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b.2.2)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73C1D6E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C94BB41"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0D40A53"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b.2.3) Valor Contábil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19CEF4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6C92F4D"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0E0907E" w14:textId="77777777" w:rsidR="00C20BBD" w:rsidRPr="0097459F" w:rsidRDefault="00C20BBD" w:rsidP="00A95105">
            <w:pPr>
              <w:pStyle w:val="PargrafodaLista"/>
              <w:spacing w:after="0" w:line="240" w:lineRule="auto"/>
              <w:ind w:left="360"/>
              <w:jc w:val="both"/>
              <w:rPr>
                <w:rFonts w:cstheme="minorHAnsi"/>
                <w:sz w:val="24"/>
                <w:szCs w:val="24"/>
              </w:rPr>
            </w:pPr>
            <w:r w:rsidRPr="0097459F">
              <w:rPr>
                <w:rFonts w:cstheme="minorHAnsi"/>
                <w:sz w:val="24"/>
                <w:szCs w:val="24"/>
              </w:rPr>
              <w:t>d) Recompras</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214107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C54A3DC"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F28770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b.3.1) Quantidade</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E6B7AD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7A57C4A"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1EFE46"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b.3.2) Valor</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3E0D849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223AEA2" w14:textId="77777777" w:rsidTr="002E2BA2">
        <w:trPr>
          <w:gridAfter w:val="2"/>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29DE306"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b.3.3) Valor Contábil</w:t>
            </w:r>
          </w:p>
        </w:tc>
        <w:tc>
          <w:tcPr>
            <w:tcW w:w="1612" w:type="pct"/>
            <w:gridSpan w:val="4"/>
            <w:tcBorders>
              <w:top w:val="outset" w:sz="6" w:space="0" w:color="auto"/>
              <w:left w:val="outset" w:sz="6" w:space="0" w:color="auto"/>
              <w:bottom w:val="outset" w:sz="6" w:space="0" w:color="auto"/>
              <w:right w:val="outset" w:sz="6" w:space="0" w:color="auto"/>
            </w:tcBorders>
            <w:vAlign w:val="center"/>
            <w:hideMark/>
          </w:tcPr>
          <w:p w14:paraId="4E1B233D" w14:textId="77777777" w:rsidR="00C20BBD" w:rsidRPr="0097459F" w:rsidRDefault="00C20BBD" w:rsidP="00A95105">
            <w:pPr>
              <w:spacing w:after="0" w:line="240" w:lineRule="auto"/>
              <w:rPr>
                <w:rFonts w:asciiTheme="minorHAnsi" w:hAnsiTheme="minorHAnsi" w:cstheme="minorHAnsi"/>
                <w:sz w:val="24"/>
                <w:szCs w:val="24"/>
              </w:rPr>
            </w:pPr>
          </w:p>
        </w:tc>
      </w:tr>
      <w:tr w:rsidR="00C20BBD" w:rsidRPr="0097459F" w14:paraId="4E1D812B"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hideMark/>
          </w:tcPr>
          <w:p w14:paraId="2DEF3DAA"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b/>
                <w:color w:val="000000"/>
                <w:sz w:val="24"/>
                <w:szCs w:val="24"/>
              </w:rPr>
              <w:t>VIII - Relação do Valor Devido dos 25 Maiores Devedores (Sacados) do Fundo</w:t>
            </w:r>
          </w:p>
        </w:tc>
      </w:tr>
      <w:tr w:rsidR="00EB4EF3" w:rsidRPr="0097459F" w14:paraId="1266E23A" w14:textId="77777777" w:rsidTr="00C76133">
        <w:trPr>
          <w:gridAfter w:val="1"/>
          <w:wAfter w:w="50" w:type="pct"/>
          <w:trHeight w:val="325"/>
        </w:trPr>
        <w:tc>
          <w:tcPr>
            <w:tcW w:w="2001" w:type="pct"/>
            <w:tcBorders>
              <w:top w:val="outset" w:sz="6" w:space="0" w:color="auto"/>
              <w:left w:val="outset" w:sz="6" w:space="0" w:color="auto"/>
              <w:bottom w:val="single" w:sz="4" w:space="0" w:color="auto"/>
              <w:right w:val="outset" w:sz="6" w:space="0" w:color="auto"/>
            </w:tcBorders>
            <w:vAlign w:val="center"/>
            <w:hideMark/>
          </w:tcPr>
          <w:p w14:paraId="5CF13A5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Descrição </w:t>
            </w:r>
          </w:p>
        </w:tc>
        <w:tc>
          <w:tcPr>
            <w:tcW w:w="1332" w:type="pct"/>
            <w:gridSpan w:val="2"/>
            <w:tcBorders>
              <w:top w:val="outset" w:sz="6" w:space="0" w:color="auto"/>
              <w:left w:val="outset" w:sz="6" w:space="0" w:color="auto"/>
              <w:bottom w:val="single" w:sz="4" w:space="0" w:color="auto"/>
              <w:right w:val="outset" w:sz="6" w:space="0" w:color="auto"/>
            </w:tcBorders>
            <w:vAlign w:val="center"/>
            <w:hideMark/>
          </w:tcPr>
          <w:p w14:paraId="2D5909A2" w14:textId="77777777" w:rsidR="00C20BBD" w:rsidRPr="0097459F" w:rsidRDefault="00C20BBD" w:rsidP="00A95105">
            <w:pPr>
              <w:spacing w:after="0" w:line="240" w:lineRule="auto"/>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CPF/CNPJ</w:t>
            </w:r>
          </w:p>
        </w:tc>
        <w:tc>
          <w:tcPr>
            <w:tcW w:w="947" w:type="pct"/>
            <w:gridSpan w:val="2"/>
            <w:tcBorders>
              <w:top w:val="outset" w:sz="6" w:space="0" w:color="auto"/>
              <w:left w:val="outset" w:sz="6" w:space="0" w:color="auto"/>
              <w:bottom w:val="single" w:sz="4" w:space="0" w:color="auto"/>
              <w:right w:val="outset" w:sz="6" w:space="0" w:color="auto"/>
            </w:tcBorders>
            <w:vAlign w:val="center"/>
            <w:hideMark/>
          </w:tcPr>
          <w:p w14:paraId="4BD34B64" w14:textId="77777777" w:rsidR="00C20BBD" w:rsidRPr="0097459F" w:rsidRDefault="00C20BBD" w:rsidP="00A95105">
            <w:pPr>
              <w:spacing w:after="0" w:line="240" w:lineRule="auto"/>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Valor (R$)</w:t>
            </w:r>
          </w:p>
        </w:tc>
        <w:tc>
          <w:tcPr>
            <w:tcW w:w="670" w:type="pct"/>
            <w:gridSpan w:val="2"/>
            <w:tcBorders>
              <w:top w:val="outset" w:sz="6" w:space="0" w:color="auto"/>
              <w:left w:val="outset" w:sz="6" w:space="0" w:color="auto"/>
              <w:bottom w:val="single" w:sz="4" w:space="0" w:color="auto"/>
              <w:right w:val="outset" w:sz="6" w:space="0" w:color="auto"/>
            </w:tcBorders>
            <w:hideMark/>
          </w:tcPr>
          <w:p w14:paraId="0400165F" w14:textId="77777777" w:rsidR="00C20BBD" w:rsidRPr="0097459F" w:rsidRDefault="00C20BBD" w:rsidP="00A95105">
            <w:pPr>
              <w:spacing w:after="0" w:line="240" w:lineRule="auto"/>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PL</w:t>
            </w:r>
          </w:p>
        </w:tc>
      </w:tr>
      <w:tr w:rsidR="00EB4EF3" w:rsidRPr="0097459F" w14:paraId="05C994FA"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00188E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 </w:t>
            </w:r>
          </w:p>
        </w:tc>
        <w:tc>
          <w:tcPr>
            <w:tcW w:w="133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5ED40B0"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9D759B6"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val="restart"/>
            <w:tcBorders>
              <w:top w:val="single" w:sz="4" w:space="0" w:color="auto"/>
              <w:left w:val="single" w:sz="4" w:space="0" w:color="auto"/>
              <w:bottom w:val="single" w:sz="4" w:space="0" w:color="auto"/>
              <w:right w:val="single" w:sz="4" w:space="0" w:color="auto"/>
            </w:tcBorders>
          </w:tcPr>
          <w:p w14:paraId="75995050"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15AB0BEB"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5DF4FDC7"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1AB8991B"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36D6642C"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59CDAAC6"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421D5003"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79935402"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240AD786"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4EFB00D4"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0E5B93FE"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6A493BFB"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168EFBAE"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065A007B"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45D11FFD"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02C4F452"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58DDA53C"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4A18D886" w14:textId="77777777" w:rsidR="00C20BBD" w:rsidRPr="0097459F" w:rsidRDefault="00C20BBD" w:rsidP="00A95105">
            <w:pPr>
              <w:spacing w:after="0" w:line="240" w:lineRule="auto"/>
              <w:rPr>
                <w:rFonts w:asciiTheme="minorHAnsi" w:hAnsiTheme="minorHAnsi" w:cstheme="minorHAnsi"/>
                <w:sz w:val="24"/>
                <w:szCs w:val="24"/>
              </w:rPr>
            </w:pPr>
          </w:p>
          <w:p w14:paraId="36376279" w14:textId="77777777" w:rsidR="00C20BBD" w:rsidRPr="0097459F" w:rsidRDefault="00C20BBD" w:rsidP="00A95105">
            <w:pPr>
              <w:spacing w:after="0" w:line="240" w:lineRule="auto"/>
              <w:jc w:val="center"/>
              <w:rPr>
                <w:rFonts w:asciiTheme="minorHAnsi" w:hAnsiTheme="minorHAnsi" w:cstheme="minorHAnsi"/>
                <w:vanish/>
                <w:sz w:val="24"/>
                <w:szCs w:val="24"/>
              </w:rPr>
            </w:pPr>
          </w:p>
        </w:tc>
      </w:tr>
      <w:tr w:rsidR="00EB4EF3" w:rsidRPr="0097459F" w14:paraId="434092E5"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2164E63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E03940"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301165A"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6BC36D2F"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320E63D0"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F50278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3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09DCDB"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26AA3D6"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601C2042"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24D79DE7"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D17E24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4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4F9A39"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0DC68FB"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12B42AB8"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C0F0FDE"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7ED15E3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5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183FC5"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A532FAC"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4458C1C9"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02F3D93D"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08E074F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6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F30B5B"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80778AC"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51AD5DC9"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360164DE"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5FE1BE3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7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4C3C7F"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1B9BB29"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7D4E0ACD"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34B29BE"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E875F0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8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5498B5"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A732E98"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2FCF6B11"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6C0AA7C3"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358D2B3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9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BF20D1"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65AAADF"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6F5A08A5"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0137403A"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FD2CD9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xml:space="preserve">Sacado/Devedor 10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24F28B"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5798141"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516094BF"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DF1F93B"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3FA7A69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11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ADFD0B"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6D1514F"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17291406"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83DB71C"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6F3181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12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F0D58C"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03D1A80"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332E74A5"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7CD9F01"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2A6667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13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B6C7E4"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431F40AE"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21013EA9"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95862D1"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3659B96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14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29E481"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01300507"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2A3DA10E"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39303AE0"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ED3AAE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15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50403D"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26BD3E00"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450057AC"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6D984367"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0A4F719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16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C5ECB3"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8165B01"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6CAE163E"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01BA30C"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055EC26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17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559AC1"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21E98B5"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5AD5333D"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7409724"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7F4ACEC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18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CD807"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6028760F"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0B45FE7C"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37CE5D73"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23F30D7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19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58F383"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582BB88"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33615388"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749CB7C"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02E3E4D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20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CEBA55"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44CF51DB"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60841C98"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E1452DB"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75102CD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21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94F0F3"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4EC60A2"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0B441633"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5885BFC0"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7CBB7B7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22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7C7140"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2411892E"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4FC876E3"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54D896FC"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E1A081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23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B40316"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FE74272"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65ED1F59"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013191C3"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42532D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24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1C2E28"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E239C62"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77332C25"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243B4E2"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5B1A54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25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1F7568"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0E7F471"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14:paraId="4D996EFD"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2100EED7" w14:textId="77777777" w:rsidTr="00C76133">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4A7EF4D4"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Total</w:t>
            </w:r>
          </w:p>
        </w:tc>
        <w:tc>
          <w:tcPr>
            <w:tcW w:w="1332" w:type="pct"/>
            <w:gridSpan w:val="2"/>
            <w:tcBorders>
              <w:top w:val="single" w:sz="4" w:space="0" w:color="auto"/>
              <w:left w:val="single" w:sz="4" w:space="0" w:color="auto"/>
              <w:bottom w:val="single" w:sz="4" w:space="0" w:color="auto"/>
              <w:right w:val="single" w:sz="4" w:space="0" w:color="auto"/>
            </w:tcBorders>
            <w:vAlign w:val="center"/>
            <w:hideMark/>
          </w:tcPr>
          <w:p w14:paraId="038341BC" w14:textId="77777777" w:rsidR="00C20BBD" w:rsidRPr="0097459F" w:rsidRDefault="00C20BBD" w:rsidP="00A95105">
            <w:pPr>
              <w:spacing w:after="0" w:line="240" w:lineRule="auto"/>
              <w:rPr>
                <w:rFonts w:asciiTheme="minorHAnsi" w:hAnsiTheme="minorHAnsi" w:cstheme="minorHAnsi"/>
                <w:sz w:val="24"/>
                <w:szCs w:val="24"/>
              </w:rPr>
            </w:pPr>
          </w:p>
        </w:tc>
        <w:tc>
          <w:tcPr>
            <w:tcW w:w="947" w:type="pct"/>
            <w:gridSpan w:val="2"/>
            <w:tcBorders>
              <w:top w:val="single" w:sz="4" w:space="0" w:color="auto"/>
              <w:left w:val="single" w:sz="4" w:space="0" w:color="auto"/>
              <w:bottom w:val="single" w:sz="4" w:space="0" w:color="auto"/>
              <w:right w:val="single" w:sz="4" w:space="0" w:color="auto"/>
            </w:tcBorders>
            <w:vAlign w:val="center"/>
            <w:hideMark/>
          </w:tcPr>
          <w:p w14:paraId="5D7D7F2B"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2"/>
            <w:tcBorders>
              <w:top w:val="single" w:sz="4" w:space="0" w:color="auto"/>
              <w:left w:val="single" w:sz="4" w:space="0" w:color="auto"/>
              <w:bottom w:val="single" w:sz="4" w:space="0" w:color="auto"/>
              <w:right w:val="single" w:sz="4" w:space="0" w:color="auto"/>
            </w:tcBorders>
          </w:tcPr>
          <w:p w14:paraId="32848577" w14:textId="77777777" w:rsidR="00C20BBD" w:rsidRPr="0097459F" w:rsidRDefault="00C20BBD" w:rsidP="00A95105">
            <w:pPr>
              <w:spacing w:after="0" w:line="240" w:lineRule="auto"/>
              <w:jc w:val="center"/>
              <w:rPr>
                <w:rFonts w:asciiTheme="minorHAnsi" w:hAnsiTheme="minorHAnsi" w:cstheme="minorHAnsi"/>
                <w:color w:val="000000"/>
                <w:sz w:val="24"/>
                <w:szCs w:val="24"/>
              </w:rPr>
            </w:pPr>
          </w:p>
        </w:tc>
      </w:tr>
      <w:tr w:rsidR="00C20BBD" w:rsidRPr="0097459F" w14:paraId="50D5C227" w14:textId="77777777" w:rsidTr="002E2BA2">
        <w:trPr>
          <w:gridAfter w:val="2"/>
          <w:wAfter w:w="61" w:type="pct"/>
        </w:trPr>
        <w:tc>
          <w:tcPr>
            <w:tcW w:w="4939" w:type="pct"/>
            <w:gridSpan w:val="6"/>
            <w:tcBorders>
              <w:top w:val="single" w:sz="4" w:space="0" w:color="auto"/>
              <w:left w:val="outset" w:sz="6" w:space="0" w:color="auto"/>
              <w:bottom w:val="outset" w:sz="6" w:space="0" w:color="auto"/>
              <w:right w:val="outset" w:sz="6" w:space="0" w:color="auto"/>
            </w:tcBorders>
            <w:vAlign w:val="center"/>
            <w:hideMark/>
          </w:tcPr>
          <w:p w14:paraId="3BD761F5"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b/>
                <w:color w:val="000000"/>
                <w:sz w:val="24"/>
                <w:szCs w:val="24"/>
              </w:rPr>
              <w:t>IX - Taxas Praticadas nos Negócios com Direitos Creditórios Realizados no Mês</w:t>
            </w:r>
          </w:p>
        </w:tc>
      </w:tr>
      <w:tr w:rsidR="00EB4EF3" w:rsidRPr="0097459F" w14:paraId="39B22130"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3863D51" w14:textId="0B6D5382"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a) Direitos Creditórios com Aquisição Substancial dos Riscos e Benefícios</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FEB1C8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8868A3F"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1B0067B"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a.1) Taxa de Desconto (da aquisição)</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8F5609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F84796A"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C726F20"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D1DE91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857923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832B1B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BD8D45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C04CEEE"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290CB5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7D61C3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450E262"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F836AB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FA1915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D1856CC"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E09C383"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79E405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3151C93"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9C6CB9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A7D46E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09B17F7"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BF6106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9DF8FC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0CAB98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8F3165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0AC65D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E0D6C2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4C3D19A8"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a.2) Taxa de Juros (dos direitos creditórios)</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F0E2E2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CBD0ECB"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3F9FF4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lastRenderedPageBreak/>
              <w:t>a.2.1)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8C3706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22318F0"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4BED4BA0"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97B16B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03A3BCE"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7807A5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6E23C9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F72BAD3"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514F8F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0A11A1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ECDE973"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F75FBA7"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a.2.2)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C442F0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DEA33FF"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C81D7E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C44FEA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0A3F0B7"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CD9839E"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F9B374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CAE40D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C565B3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7F5684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56D1AC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3FA31CD" w14:textId="476F5A2C"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b) Direitos Creditórios sem Aquisição Substancial dos Riscos e Benefícios</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0555A1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1684B20"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5A97E56"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 Taxa de Desconto (da aquisição)</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260AA0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8710638"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916F062"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0109D5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FE3197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30876AD"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6BD86A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A79376B"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654ECE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31151B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1C321AE"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74FDE75"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E161F7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4D07BA3"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5EFE22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EC4F3F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F8A0E10"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D23F06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6CBB27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5EA4DDA"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E4A7AA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A50B98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98EB7A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8B98DE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186559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8127EE0"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3278EA7"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b.2) Taxa de Juros (dos direitos creditórios)</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F987D7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D299A25"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489A0AC7"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89C3EF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5B8B5CB"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400B71A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214096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A21791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A22E14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728FA9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1A50E77"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12F878D"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770136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B0F7172"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428BFF9"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A599E0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0E5D90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A7FD72A"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56E3B4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A8AE5FE"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CC3DC81"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0EEF71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CC2F73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DA62A5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AB27F1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D1B179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E91D81B" w14:textId="60B6F22C"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c) Valores Mobiliários</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C1C84B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240DC78"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3652340"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c.1) Taxa de Desconto (da aquisição)</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A05F97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511031C"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D56B9F0"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lastRenderedPageBreak/>
              <w:t>c.1.1)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3281DE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74582D4"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8B1263C"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F14AD3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86F7FEE"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0B8B7E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973542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7D48CEB"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88BB6A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2EB4C2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2BBF71B"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02EE1AC"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c.1.2)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194563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236B827"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003CE6E"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D13231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AD90C4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8434E85"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927E71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1501EA5"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3B7D8F7"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F0B588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ABA4C1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49B44D1F"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 xml:space="preserve">c.2) Taxa de Juros </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4FF8C6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2BBCEE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80523A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c.2.1)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835CB0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58D1BB3"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9FE10B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2D44CA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D37743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16C7FFC"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A76DE3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9EA599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37331F7"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550701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18CEDDB"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E7BA0F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c.2.2)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7DA020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63ADF2C"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68DDB8D"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B2C86C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198718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B90903E"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3FAA4F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2CA01D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048060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61B5CF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978546A"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AB661DC" w14:textId="00B04436"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 Títulos Públicos Federais</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1D5285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E54B1B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84B27B1"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d.1) Taxa de Desconto (da aquisição)</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63EB28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859E72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232F2A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d.1.1)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792DDF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A3700E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C06AE1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752B00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F3E69D5"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B2ACFBA"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46FC75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0721FC5"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86EF070"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30ACD4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3439C1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5398F87"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d.1.2)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C43E20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D01D2F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3C7B48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F65BC9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E53C2FA"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A061D5A"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7A0C93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B031874"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E6BF10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E0A44E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AFF56EE"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0CE0A9C"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 xml:space="preserve">d.2) Taxa de Juros </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B79CEC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370161E"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0B6B4BD"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d.2.1)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C408D0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A49F418"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E0D7A6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61DA4D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1A34CCF"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2261FB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lastRenderedPageBreak/>
              <w:t>d.2.1.2)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B9AEDD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81DBDFA"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0C69D21"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E86E57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0041FB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80DFF0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d.2.2)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BFE90C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C4503CC"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940B27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20CB33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9AF112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EAFA4BD"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34FDBC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AE281CA"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C32A172"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D6871C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2D3D22B"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E9A04C4" w14:textId="214F5F9A"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e) Certificados de Depósitos Bancários</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5B599A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C6C1D1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33267D4"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e.1) Taxa de Desconto (da aquisição)</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FC6104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9E1D13A"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AA58B6C"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e.1.1)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BE2765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9FDA8C2"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72462B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9EB7BE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2801D30"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33FF1C5"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72ADD7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97B7CE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7ECA24A"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C1AC16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F7ECCDA"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117402B0"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e.1.2)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A97E02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53AFA7C"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E857FC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283615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D169BE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2A84EC0"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DE1DE3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068114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766E48C"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15AB89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A4A681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36BD93D"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e.2) Taxa de Juros</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B79CA1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C30DEAE"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386FEF5"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e.2.1)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CEFF25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7285D7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9DB8257"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524283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C653BC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29665A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EC5FC1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56EE20E"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2B2FBF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778EED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2085267"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49E2FEE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e.2.2)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45A29F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57018EA"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44E0E51"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187E52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E470148"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08787E8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19A0F3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B63524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508FF7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53E8AE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7C1EAF3"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C583486" w14:textId="777DF153"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f) Outros Ativos Financeiros de Renda Fixa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EE3E48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3F098D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55F4E0E"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f.1) Taxa de Desconto (da aquisição)</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44270D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EC99ADC"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0243FA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f.1.1)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9ABCC4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B0453D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746D18C"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2E1C9B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CAC7B51"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0120BB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F5861C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54894D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4003B2B5"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lastRenderedPageBreak/>
              <w:t>f.1.1.3)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68EBB34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FD6D9E8"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3C83AA5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f.1.2)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22BA7F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88F8DC0"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7072A82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9AA627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4F1E7E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63DCC9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BDEFF3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D648BC4"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F5B4E1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CD047E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521A39C"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4552C647"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 xml:space="preserve">f.2) Taxa de Juros </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138D772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F18EAC7"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68E5C3B"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f.2.1) Compra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E7524F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1784F9D"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9F3D1A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f.2.1.1)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09BEA2C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8ECBB60"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F931C4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f.2.1.2)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39B03BA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0BBF84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6CDD1F9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f.2.1.3)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A11321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D29EFEF"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46304D67"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f.2.2) Venda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4616363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3DD7132"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2CE6808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f.2.2.1) Mínima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21DCEF8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5C111D6"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14C67A0"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f.2.2.2) Média (ponderada)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7B30448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8EB58A9" w14:textId="77777777" w:rsidTr="002E2BA2">
        <w:trPr>
          <w:gridAfter w:val="2"/>
          <w:wAfter w:w="61" w:type="pct"/>
        </w:trPr>
        <w:tc>
          <w:tcPr>
            <w:tcW w:w="3333" w:type="pct"/>
            <w:gridSpan w:val="3"/>
            <w:tcBorders>
              <w:top w:val="outset" w:sz="6" w:space="0" w:color="auto"/>
              <w:left w:val="outset" w:sz="6" w:space="0" w:color="auto"/>
              <w:bottom w:val="outset" w:sz="6" w:space="0" w:color="auto"/>
              <w:right w:val="outset" w:sz="6" w:space="0" w:color="auto"/>
            </w:tcBorders>
            <w:vAlign w:val="center"/>
            <w:hideMark/>
          </w:tcPr>
          <w:p w14:paraId="5AD5F3B7" w14:textId="40E9908F" w:rsidR="00C65A64" w:rsidRPr="0097459F" w:rsidRDefault="00C20BBD" w:rsidP="00C65A64">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f.2.2.3) Máxima</w:t>
            </w:r>
          </w:p>
        </w:tc>
        <w:tc>
          <w:tcPr>
            <w:tcW w:w="1606" w:type="pct"/>
            <w:gridSpan w:val="3"/>
            <w:tcBorders>
              <w:top w:val="outset" w:sz="6" w:space="0" w:color="auto"/>
              <w:left w:val="outset" w:sz="6" w:space="0" w:color="auto"/>
              <w:bottom w:val="outset" w:sz="6" w:space="0" w:color="auto"/>
              <w:right w:val="outset" w:sz="6" w:space="0" w:color="auto"/>
            </w:tcBorders>
            <w:vAlign w:val="center"/>
            <w:hideMark/>
          </w:tcPr>
          <w:p w14:paraId="5CF39D6D" w14:textId="5C1955B4" w:rsidR="00C65A64" w:rsidRPr="0097459F" w:rsidRDefault="00C65A64" w:rsidP="00A95105">
            <w:pPr>
              <w:spacing w:after="0" w:line="240" w:lineRule="auto"/>
              <w:rPr>
                <w:rFonts w:asciiTheme="minorHAnsi" w:hAnsiTheme="minorHAnsi" w:cstheme="minorHAnsi"/>
                <w:sz w:val="24"/>
                <w:szCs w:val="24"/>
              </w:rPr>
            </w:pPr>
          </w:p>
        </w:tc>
      </w:tr>
      <w:tr w:rsidR="002F774B" w:rsidRPr="0097459F" w14:paraId="4786EEF6" w14:textId="77777777" w:rsidTr="002E2BA2">
        <w:trPr>
          <w:gridAfter w:val="2"/>
          <w:wAfter w:w="61" w:type="pct"/>
        </w:trPr>
        <w:tc>
          <w:tcPr>
            <w:tcW w:w="4939" w:type="pct"/>
            <w:gridSpan w:val="6"/>
            <w:tcBorders>
              <w:top w:val="outset" w:sz="6" w:space="0" w:color="auto"/>
              <w:left w:val="outset" w:sz="6" w:space="0" w:color="auto"/>
              <w:bottom w:val="outset" w:sz="6" w:space="0" w:color="auto"/>
              <w:right w:val="outset" w:sz="6" w:space="0" w:color="auto"/>
            </w:tcBorders>
            <w:vAlign w:val="center"/>
          </w:tcPr>
          <w:p w14:paraId="763417EE" w14:textId="2190FCCD" w:rsidR="002F774B" w:rsidRPr="0097459F" w:rsidRDefault="002F774B" w:rsidP="00A95105">
            <w:pPr>
              <w:spacing w:after="0" w:line="240" w:lineRule="auto"/>
              <w:rPr>
                <w:rFonts w:asciiTheme="minorHAnsi" w:hAnsiTheme="minorHAnsi" w:cstheme="minorHAnsi"/>
                <w:sz w:val="24"/>
                <w:szCs w:val="24"/>
              </w:rPr>
            </w:pPr>
            <w:r w:rsidRPr="00F6174B">
              <w:rPr>
                <w:rFonts w:asciiTheme="minorHAnsi" w:hAnsiTheme="minorHAnsi" w:cstheme="minorHAnsi"/>
                <w:b/>
                <w:color w:val="000000"/>
                <w:sz w:val="24"/>
                <w:szCs w:val="24"/>
              </w:rPr>
              <w:t>X - Outras Informações</w:t>
            </w:r>
          </w:p>
        </w:tc>
      </w:tr>
      <w:tr w:rsidR="002E2BA2" w:rsidRPr="00F6174B" w14:paraId="59FFE2BB" w14:textId="34C9AB8B" w:rsidTr="00C76133">
        <w:trPr>
          <w:gridAfter w:val="1"/>
          <w:wAfter w:w="50" w:type="pct"/>
          <w:trHeight w:val="338"/>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FCD1733" w14:textId="5E33AB45" w:rsidR="002E2BA2" w:rsidRPr="00F6174B" w:rsidRDefault="002E2BA2" w:rsidP="002E2BA2">
            <w:pPr>
              <w:spacing w:after="0" w:line="240" w:lineRule="auto"/>
              <w:rPr>
                <w:rFonts w:asciiTheme="minorHAnsi" w:hAnsiTheme="minorHAnsi" w:cstheme="minorHAnsi"/>
                <w:b/>
                <w:color w:val="632423"/>
                <w:sz w:val="24"/>
                <w:szCs w:val="24"/>
              </w:rPr>
            </w:pPr>
            <w:r w:rsidRPr="00F6174B">
              <w:rPr>
                <w:rFonts w:asciiTheme="minorHAnsi" w:hAnsiTheme="minorHAnsi" w:cstheme="minorHAnsi"/>
                <w:color w:val="000000"/>
                <w:sz w:val="24"/>
                <w:szCs w:val="24"/>
              </w:rPr>
              <w:t>1) Número de Cotistas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7C6BC54" w14:textId="77777777" w:rsidR="002E2BA2" w:rsidRPr="00F6174B" w:rsidRDefault="002E2BA2" w:rsidP="002E2BA2">
            <w:pPr>
              <w:spacing w:after="160" w:line="259" w:lineRule="auto"/>
              <w:rPr>
                <w:rFonts w:asciiTheme="minorHAnsi" w:hAnsiTheme="minorHAnsi" w:cstheme="minorHAnsi"/>
                <w:b/>
                <w:color w:val="632423"/>
                <w:sz w:val="24"/>
                <w:szCs w:val="24"/>
              </w:rPr>
            </w:pPr>
          </w:p>
        </w:tc>
      </w:tr>
      <w:tr w:rsidR="002E2BA2" w:rsidRPr="00F6174B" w14:paraId="3EB45203" w14:textId="7F3E5E3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8AA0CA8" w14:textId="2B609339"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Classe Sênior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6B15041" w14:textId="77777777" w:rsidR="002E2BA2" w:rsidRPr="00F6174B" w:rsidRDefault="002E2BA2" w:rsidP="002E2BA2">
            <w:pPr>
              <w:spacing w:after="160" w:line="259" w:lineRule="auto"/>
              <w:rPr>
                <w:rFonts w:asciiTheme="minorHAnsi" w:hAnsiTheme="minorHAnsi" w:cstheme="minorHAnsi"/>
                <w:color w:val="000000"/>
                <w:sz w:val="24"/>
                <w:szCs w:val="24"/>
              </w:rPr>
            </w:pPr>
          </w:p>
        </w:tc>
      </w:tr>
      <w:tr w:rsidR="002E2BA2" w:rsidRPr="00F6174B" w14:paraId="71F2BF90" w14:textId="32FCC1BB"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6BB13C9" w14:textId="2C028A1F" w:rsidR="002E2BA2" w:rsidRPr="00F6174B" w:rsidRDefault="002E2BA2" w:rsidP="002E2BA2">
            <w:pPr>
              <w:spacing w:after="0" w:line="240" w:lineRule="auto"/>
              <w:ind w:left="851"/>
              <w:rPr>
                <w:rFonts w:asciiTheme="minorHAnsi" w:hAnsiTheme="minorHAnsi" w:cstheme="minorHAnsi"/>
                <w:color w:val="000000"/>
                <w:sz w:val="24"/>
                <w:szCs w:val="24"/>
              </w:rPr>
            </w:pPr>
            <w:r w:rsidRPr="00F6174B">
              <w:rPr>
                <w:rFonts w:asciiTheme="minorHAnsi" w:hAnsiTheme="minorHAnsi" w:cstheme="minorHAnsi"/>
                <w:color w:val="000000"/>
                <w:sz w:val="24"/>
                <w:szCs w:val="24"/>
              </w:rPr>
              <w:t>Série 1</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5A0FC7A" w14:textId="77777777" w:rsidR="002E2BA2" w:rsidRPr="00F6174B" w:rsidRDefault="002E2BA2" w:rsidP="002E2BA2">
            <w:pPr>
              <w:spacing w:after="160" w:line="259" w:lineRule="auto"/>
              <w:rPr>
                <w:rFonts w:asciiTheme="minorHAnsi" w:hAnsiTheme="minorHAnsi" w:cstheme="minorHAnsi"/>
                <w:color w:val="000000"/>
                <w:sz w:val="24"/>
                <w:szCs w:val="24"/>
              </w:rPr>
            </w:pPr>
          </w:p>
        </w:tc>
      </w:tr>
      <w:tr w:rsidR="002E2BA2" w:rsidRPr="00F6174B" w14:paraId="456375CF" w14:textId="78798AC5"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8ABE456" w14:textId="0FB2F8E0" w:rsidR="002E2BA2" w:rsidRPr="00F6174B" w:rsidRDefault="002E2BA2" w:rsidP="002E2BA2">
            <w:pPr>
              <w:spacing w:after="0" w:line="240" w:lineRule="auto"/>
              <w:ind w:left="851"/>
              <w:rPr>
                <w:rFonts w:asciiTheme="minorHAnsi" w:hAnsiTheme="minorHAnsi" w:cstheme="minorHAnsi"/>
                <w:color w:val="000000"/>
                <w:sz w:val="24"/>
                <w:szCs w:val="24"/>
              </w:rPr>
            </w:pPr>
            <w:r w:rsidRPr="00F6174B">
              <w:rPr>
                <w:rFonts w:asciiTheme="minorHAnsi" w:hAnsiTheme="minorHAnsi" w:cstheme="minorHAnsi"/>
                <w:color w:val="000000"/>
                <w:sz w:val="24"/>
                <w:szCs w:val="24"/>
              </w:rPr>
              <w:t>Série 2</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9CD9AA7" w14:textId="77777777" w:rsidR="002E2BA2" w:rsidRPr="00F6174B" w:rsidRDefault="002E2BA2" w:rsidP="002E2BA2">
            <w:pPr>
              <w:spacing w:after="160" w:line="259" w:lineRule="auto"/>
              <w:rPr>
                <w:rFonts w:asciiTheme="minorHAnsi" w:hAnsiTheme="minorHAnsi" w:cstheme="minorHAnsi"/>
                <w:color w:val="000000"/>
                <w:sz w:val="24"/>
                <w:szCs w:val="24"/>
              </w:rPr>
            </w:pPr>
          </w:p>
        </w:tc>
      </w:tr>
      <w:tr w:rsidR="002E2BA2" w:rsidRPr="00F6174B" w14:paraId="2EAA6729" w14:textId="600254AF"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3AB5361" w14:textId="0AE74FF6" w:rsidR="002E2BA2" w:rsidRPr="00F6174B" w:rsidRDefault="002E2BA2" w:rsidP="002E2BA2">
            <w:pPr>
              <w:spacing w:after="0" w:line="240" w:lineRule="auto"/>
              <w:ind w:left="851"/>
              <w:rPr>
                <w:rFonts w:asciiTheme="minorHAnsi" w:hAnsiTheme="minorHAnsi" w:cstheme="minorHAnsi"/>
                <w:color w:val="000000"/>
                <w:sz w:val="24"/>
                <w:szCs w:val="24"/>
              </w:rPr>
            </w:pPr>
            <w:r w:rsidRPr="00F6174B">
              <w:rPr>
                <w:rFonts w:asciiTheme="minorHAnsi" w:hAnsiTheme="minorHAnsi" w:cstheme="minorHAnsi"/>
                <w:color w:val="000000"/>
                <w:sz w:val="24"/>
                <w:szCs w:val="24"/>
              </w:rPr>
              <w:t>Série 3</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47796F6" w14:textId="77777777" w:rsidR="002E2BA2" w:rsidRPr="00F6174B" w:rsidRDefault="002E2BA2" w:rsidP="002E2BA2">
            <w:pPr>
              <w:spacing w:after="160" w:line="259" w:lineRule="auto"/>
              <w:rPr>
                <w:rFonts w:asciiTheme="minorHAnsi" w:hAnsiTheme="minorHAnsi" w:cstheme="minorHAnsi"/>
                <w:color w:val="000000"/>
                <w:sz w:val="24"/>
                <w:szCs w:val="24"/>
              </w:rPr>
            </w:pPr>
          </w:p>
        </w:tc>
      </w:tr>
      <w:tr w:rsidR="002E2BA2" w:rsidRPr="00F6174B" w14:paraId="0E6AF988" w14:textId="66F335C1"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A446F34" w14:textId="1E5D8606" w:rsidR="002E2BA2" w:rsidRPr="00F6174B" w:rsidRDefault="002E2BA2" w:rsidP="002E2BA2">
            <w:pPr>
              <w:spacing w:after="0" w:line="240" w:lineRule="auto"/>
              <w:ind w:left="851"/>
              <w:rPr>
                <w:rFonts w:asciiTheme="minorHAnsi" w:hAnsiTheme="minorHAnsi" w:cstheme="minorHAnsi"/>
                <w:color w:val="000000"/>
                <w:sz w:val="24"/>
                <w:szCs w:val="24"/>
              </w:rPr>
            </w:pPr>
            <w:r w:rsidRPr="00F6174B">
              <w:rPr>
                <w:rFonts w:asciiTheme="minorHAnsi" w:hAnsiTheme="minorHAnsi" w:cstheme="minorHAnsi"/>
                <w:color w:val="000000"/>
                <w:sz w:val="24"/>
                <w:szCs w:val="24"/>
              </w:rPr>
              <w:t xml:space="preserve">... </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B621F75" w14:textId="77777777" w:rsidR="002E2BA2" w:rsidRPr="00F6174B" w:rsidRDefault="002E2BA2" w:rsidP="002E2BA2">
            <w:pPr>
              <w:spacing w:after="160" w:line="259" w:lineRule="auto"/>
              <w:rPr>
                <w:rFonts w:asciiTheme="minorHAnsi" w:hAnsiTheme="minorHAnsi" w:cstheme="minorHAnsi"/>
                <w:color w:val="000000"/>
                <w:sz w:val="24"/>
                <w:szCs w:val="24"/>
              </w:rPr>
            </w:pPr>
          </w:p>
        </w:tc>
      </w:tr>
      <w:tr w:rsidR="002E2BA2" w:rsidRPr="00F6174B" w14:paraId="03F73FDD" w14:textId="04EB68B4"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99F0108" w14:textId="1C1B4191" w:rsidR="002E2BA2" w:rsidRPr="00F6174B" w:rsidRDefault="002E2BA2" w:rsidP="002E2BA2">
            <w:pPr>
              <w:spacing w:after="0" w:line="240" w:lineRule="auto"/>
              <w:ind w:left="851"/>
              <w:rPr>
                <w:rFonts w:asciiTheme="minorHAnsi" w:hAnsiTheme="minorHAnsi" w:cstheme="minorHAnsi"/>
                <w:color w:val="000000"/>
                <w:sz w:val="24"/>
                <w:szCs w:val="24"/>
              </w:rPr>
            </w:pPr>
            <w:r w:rsidRPr="00F6174B">
              <w:rPr>
                <w:rFonts w:asciiTheme="minorHAnsi" w:hAnsiTheme="minorHAnsi" w:cstheme="minorHAnsi"/>
                <w:color w:val="000000"/>
                <w:sz w:val="24"/>
                <w:szCs w:val="24"/>
              </w:rPr>
              <w:t>Classe Subordinada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61C70AB" w14:textId="77777777" w:rsidR="002E2BA2" w:rsidRPr="00F6174B" w:rsidRDefault="002E2BA2" w:rsidP="002E2BA2">
            <w:pPr>
              <w:spacing w:after="160" w:line="259" w:lineRule="auto"/>
              <w:rPr>
                <w:rFonts w:asciiTheme="minorHAnsi" w:hAnsiTheme="minorHAnsi" w:cstheme="minorHAnsi"/>
                <w:color w:val="000000"/>
                <w:sz w:val="24"/>
                <w:szCs w:val="24"/>
              </w:rPr>
            </w:pPr>
          </w:p>
        </w:tc>
      </w:tr>
      <w:tr w:rsidR="002E2BA2" w:rsidRPr="00F6174B" w14:paraId="665AC94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825ED47" w14:textId="43E871FF" w:rsidR="002E2BA2" w:rsidRPr="00F6174B" w:rsidRDefault="002E2BA2" w:rsidP="002E2BA2">
            <w:pPr>
              <w:spacing w:after="0" w:line="240" w:lineRule="auto"/>
              <w:rPr>
                <w:rFonts w:asciiTheme="minorHAnsi" w:hAnsiTheme="minorHAnsi" w:cstheme="minorHAnsi"/>
                <w:sz w:val="24"/>
                <w:szCs w:val="24"/>
              </w:rPr>
            </w:pPr>
            <w:r w:rsidRPr="00F6174B">
              <w:rPr>
                <w:rFonts w:asciiTheme="minorHAnsi" w:hAnsiTheme="minorHAnsi" w:cstheme="minorHAnsi"/>
                <w:sz w:val="24"/>
                <w:szCs w:val="24"/>
              </w:rPr>
              <w:t>Classe Subordinada 1 (as cotas mezanino são subordinadas às seniores)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20C8BC4"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EF9D7C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71ECBC0" w14:textId="71D6C7C6"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Classe Subordinada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37B5F0A"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8B636C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416BBFA" w14:textId="31619AC9"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 xml:space="preserve">       Classe Subordinada 3</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73649B4"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79D1D11E"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B5ADD4C" w14:textId="01505B8C"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Classe Subordinada 4</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7E8675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09F136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64D4A95" w14:textId="51B8751E"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 xml:space="preserve">        Classe Subordinada 5</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E32DEED"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E47492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9D3A73C" w14:textId="4FCD2CA3"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lastRenderedPageBreak/>
              <w:t>1.1) Número de Cotistas – Classe Sênior</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7C366B1"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0F61D55"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2161DCF" w14:textId="6CD00C3C"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Pessoa física</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58240A0"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7211F2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A31E536" w14:textId="0CB507AB"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Pessoa jurídica não financeira</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73353C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9A36A8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2FF9721" w14:textId="0D3BF433"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Banco comercial</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2559E37"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FEAE16E"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07BB934" w14:textId="40D6F74D"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Corretora ou distribuidora</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57CCDAB"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F6EA0D5" w14:textId="77777777" w:rsidTr="00C76133">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00662B8" w14:textId="421CE511"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Outras pessoas jurídicas financeiras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005DDFF" w14:textId="77777777" w:rsidR="002E2BA2" w:rsidRPr="00F6174B" w:rsidRDefault="002E2BA2" w:rsidP="002E2BA2">
            <w:pPr>
              <w:spacing w:after="0" w:line="240" w:lineRule="auto"/>
              <w:rPr>
                <w:rFonts w:asciiTheme="minorHAnsi" w:hAnsiTheme="minorHAnsi" w:cstheme="minorHAnsi"/>
                <w:color w:val="000000"/>
                <w:sz w:val="24"/>
                <w:szCs w:val="24"/>
              </w:rPr>
            </w:pPr>
          </w:p>
        </w:tc>
        <w:tc>
          <w:tcPr>
            <w:tcW w:w="50" w:type="pct"/>
            <w:tcBorders>
              <w:top w:val="nil"/>
              <w:left w:val="nil"/>
              <w:bottom w:val="nil"/>
              <w:right w:val="outset" w:sz="6" w:space="0" w:color="000000" w:themeColor="text1"/>
            </w:tcBorders>
            <w:vAlign w:val="center"/>
          </w:tcPr>
          <w:p w14:paraId="5C226AF8" w14:textId="77777777" w:rsidR="002E2BA2" w:rsidRPr="00F6174B" w:rsidRDefault="002E2BA2" w:rsidP="002E2BA2">
            <w:pPr>
              <w:spacing w:after="0" w:line="240" w:lineRule="auto"/>
              <w:rPr>
                <w:rFonts w:asciiTheme="minorHAnsi" w:hAnsiTheme="minorHAnsi" w:cstheme="minorHAnsi"/>
                <w:color w:val="000000"/>
                <w:sz w:val="24"/>
                <w:szCs w:val="24"/>
                <w:highlight w:val="yellow"/>
              </w:rPr>
            </w:pPr>
          </w:p>
        </w:tc>
      </w:tr>
      <w:tr w:rsidR="002E2BA2" w:rsidRPr="00F6174B" w14:paraId="3DB4C40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A60D54A" w14:textId="5AD16A67"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Investidores não residentes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FE34AAE"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B8C79C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203E812" w14:textId="3729E0C7"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Entidade aberta de previdência complementar</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AEAC4CB"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381085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4917245" w14:textId="682A777A"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Entidade fechada de previdência complementar</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AD97597"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C1916BC"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1549661" w14:textId="3989E903"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Regime próprio de previdência dos servidores públicos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519DBFB"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DA14B2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C0A3EF5" w14:textId="6FCD77F3"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Sociedade seguradora ou resseguradora</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01E189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B298E9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2009DB2" w14:textId="544EDEFC"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Sociedade de capitalização e de arrendamento mercantil</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CAE70C8"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336396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34063DE" w14:textId="624523A5"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Fundos de investimento em cotas de fundos de investimento em direitos creditórios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843FC63"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4243A6C"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E501812" w14:textId="6CE209C3"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Fundos de investimento imobiliário</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1B83DB6"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1F80EA6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68E1C00" w14:textId="2FAD90CB"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Outros fundos de investimento</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4D521DD"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1F9DA24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B64000F" w14:textId="7D679106"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Clubes de investimento</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6630403"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E7B405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6867D16" w14:textId="495F2D61"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Outros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079749B"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F0E34C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0C022F2" w14:textId="4F0C2324"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1.2) Número de Cotistas – Classe Subordinada</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60954FD"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1C222EC"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4E64A18" w14:textId="0FC26A9D"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Pessoa física</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1B5426C"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11AF50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74D7A54" w14:textId="0235A592"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Pessoa jurídica não financeira</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25AD144"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9FFEF34"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02DDED1" w14:textId="1A88866B"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Banco comercial</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AC9C7BA"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377D33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1F011FF" w14:textId="56EF83F4"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Corretora ou distribuidora</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1EF46B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17C230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EDA1EF5" w14:textId="2257A6F2"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Outras pessoas jurídicas financeiras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0E2A260"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DC4097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D30739E" w14:textId="14AB4ACF"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Investidores não residentes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6D03D14"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FA5BC04"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CA555E6" w14:textId="742AE128"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Entidade aberta de previdência complementar</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DDD58D4"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890A34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209EB76" w14:textId="1FD585E9"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Entidade fechada de previdência complementar</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19ABEA5"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5BA1CA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7905918" w14:textId="5FEABB77"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Regime próprio de previdência dos servidores públicos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7B6AA90"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95143E5"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BBA939A" w14:textId="6DA68999"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Sociedade seguradora ou resseguradora</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FBD3970"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514EC2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9BA8A1B" w14:textId="2EB4E1FF"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Sociedade de capitalização e de arrendamento mercantil</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4511164"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1B2E41E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ABFEB98" w14:textId="58A3A5BE"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lastRenderedPageBreak/>
              <w:t>Fundos de investimento em cotas de fundos de investimento em direitos creditórios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FBE1B68"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4A645C9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B4C6BBF" w14:textId="07401A12"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Fundos de investimento imobiliário</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DCE3216"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1EC7E4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C473351" w14:textId="48B649CE"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Outros fundos de investimento</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288B74A"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2A7039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920533E" w14:textId="0C429F97"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Clubes de investimento</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8265C1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4B84CB2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1050856" w14:textId="4072D1E4"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Outros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91D7E59"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1027F9E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5CA16D0" w14:textId="68AA3927"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2) Descrição da Série/Classe (separar por classe e série)</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4DA2772"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1D325D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4D6755C" w14:textId="6C609508"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Classe Sênior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2611798"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4DA5EEE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83FE00B" w14:textId="71CA06C0"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Série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583000E"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77C0F872" w14:textId="77777777" w:rsidTr="00C76133">
        <w:tc>
          <w:tcPr>
            <w:tcW w:w="3343" w:type="pct"/>
            <w:gridSpan w:val="4"/>
            <w:tcBorders>
              <w:top w:val="outset" w:sz="6" w:space="0" w:color="auto"/>
              <w:left w:val="outset" w:sz="6" w:space="0" w:color="auto"/>
              <w:bottom w:val="outset" w:sz="6" w:space="0" w:color="auto"/>
              <w:right w:val="outset" w:sz="6" w:space="0" w:color="auto"/>
            </w:tcBorders>
            <w:vAlign w:val="center"/>
          </w:tcPr>
          <w:p w14:paraId="1131133B" w14:textId="41082C31"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Quantidade de Cotas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2BB834B" w14:textId="77777777" w:rsidR="002E2BA2" w:rsidRPr="00F6174B" w:rsidRDefault="002E2BA2" w:rsidP="002E2BA2">
            <w:pPr>
              <w:spacing w:after="0" w:line="240" w:lineRule="auto"/>
              <w:rPr>
                <w:rFonts w:asciiTheme="minorHAnsi" w:hAnsiTheme="minorHAnsi" w:cstheme="minorHAnsi"/>
                <w:sz w:val="24"/>
                <w:szCs w:val="24"/>
              </w:rPr>
            </w:pPr>
          </w:p>
        </w:tc>
        <w:tc>
          <w:tcPr>
            <w:tcW w:w="50" w:type="pct"/>
            <w:tcBorders>
              <w:top w:val="nil"/>
              <w:left w:val="nil"/>
              <w:bottom w:val="nil"/>
              <w:right w:val="outset" w:sz="6" w:space="0" w:color="000000" w:themeColor="text1"/>
            </w:tcBorders>
            <w:vAlign w:val="center"/>
          </w:tcPr>
          <w:p w14:paraId="0EA8AB51"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FC814D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1899BFC" w14:textId="29D43A26"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da Cota (R$)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731E26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765927B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155BE19" w14:textId="5554DD56"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Série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16AB973"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43D788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49374E6" w14:textId="254587CB" w:rsidR="002E2BA2" w:rsidRPr="00F6174B" w:rsidRDefault="002E2BA2" w:rsidP="002E2BA2">
            <w:pPr>
              <w:spacing w:after="0" w:line="240" w:lineRule="auto"/>
              <w:ind w:left="1531"/>
              <w:rPr>
                <w:rFonts w:asciiTheme="minorHAnsi" w:hAnsiTheme="minorHAnsi" w:cstheme="minorHAnsi"/>
                <w:sz w:val="24"/>
                <w:szCs w:val="24"/>
              </w:rPr>
            </w:pPr>
            <w:r w:rsidRPr="00F6174B">
              <w:rPr>
                <w:rFonts w:asciiTheme="minorHAnsi" w:hAnsiTheme="minorHAnsi" w:cstheme="minorHAnsi"/>
                <w:sz w:val="24"/>
                <w:szCs w:val="24"/>
              </w:rPr>
              <w:t>Quantidade de Cotas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7F8861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C406F5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55117CC" w14:textId="5EFB9E44" w:rsidR="002E2BA2" w:rsidRPr="00F6174B" w:rsidRDefault="002E2BA2" w:rsidP="002E2BA2">
            <w:pPr>
              <w:spacing w:after="0" w:line="240" w:lineRule="auto"/>
              <w:ind w:left="1531"/>
              <w:rPr>
                <w:rFonts w:asciiTheme="minorHAnsi" w:hAnsiTheme="minorHAnsi" w:cstheme="minorHAnsi"/>
                <w:sz w:val="24"/>
                <w:szCs w:val="24"/>
              </w:rPr>
            </w:pPr>
            <w:r w:rsidRPr="00F6174B">
              <w:rPr>
                <w:rFonts w:asciiTheme="minorHAnsi" w:hAnsiTheme="minorHAnsi" w:cstheme="minorHAnsi"/>
                <w:sz w:val="24"/>
                <w:szCs w:val="24"/>
              </w:rPr>
              <w:t>Valor da Cota (R$)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30AB14C"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762DF5B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79A0C85" w14:textId="5C390C28"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Classe Subordinada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BDF0775"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C3475E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03C88A6" w14:textId="639AFAD3"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Classe Subordinada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D533566"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387FEA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934E837" w14:textId="134227BD"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Quantidade de Cotas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DBD558F"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773420F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C0E1463" w14:textId="25E0DD99"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da Cota (R$)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330EE56"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25B86FE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393DE8C" w14:textId="2FAA61BD"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Classe Subordinada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ACD6C17"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D37C31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67709F7" w14:textId="7F43EC7E" w:rsidR="002E2BA2" w:rsidRPr="00F6174B" w:rsidRDefault="002E2BA2" w:rsidP="002E2BA2">
            <w:pPr>
              <w:spacing w:after="0" w:line="240" w:lineRule="auto"/>
              <w:ind w:left="1531"/>
              <w:rPr>
                <w:rFonts w:asciiTheme="minorHAnsi" w:hAnsiTheme="minorHAnsi" w:cstheme="minorHAnsi"/>
                <w:sz w:val="24"/>
                <w:szCs w:val="24"/>
              </w:rPr>
            </w:pPr>
            <w:r w:rsidRPr="00F6174B">
              <w:rPr>
                <w:rFonts w:asciiTheme="minorHAnsi" w:hAnsiTheme="minorHAnsi" w:cstheme="minorHAnsi"/>
                <w:sz w:val="24"/>
                <w:szCs w:val="24"/>
              </w:rPr>
              <w:t>Quantidade de Cotas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FC6159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1F0E27C"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09A47A3" w14:textId="212D830B" w:rsidR="002E2BA2" w:rsidRPr="00F6174B" w:rsidRDefault="002E2BA2" w:rsidP="002E2BA2">
            <w:pPr>
              <w:spacing w:after="0" w:line="240" w:lineRule="auto"/>
              <w:ind w:left="1531"/>
              <w:rPr>
                <w:rFonts w:asciiTheme="minorHAnsi" w:hAnsiTheme="minorHAnsi" w:cstheme="minorHAnsi"/>
                <w:sz w:val="24"/>
                <w:szCs w:val="24"/>
              </w:rPr>
            </w:pPr>
            <w:r w:rsidRPr="00F6174B">
              <w:rPr>
                <w:rFonts w:asciiTheme="minorHAnsi" w:hAnsiTheme="minorHAnsi" w:cstheme="minorHAnsi"/>
                <w:sz w:val="24"/>
                <w:szCs w:val="24"/>
              </w:rPr>
              <w:t>Valor da Cota (R$)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9BAE506"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2331C03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4DAD039" w14:textId="46A71E26" w:rsidR="002E2BA2" w:rsidRPr="00F6174B" w:rsidRDefault="002E2BA2" w:rsidP="002E2BA2">
            <w:pPr>
              <w:spacing w:after="0" w:line="240" w:lineRule="auto"/>
              <w:ind w:left="1814"/>
              <w:rPr>
                <w:rFonts w:asciiTheme="minorHAnsi" w:hAnsiTheme="minorHAnsi" w:cstheme="minorHAnsi"/>
                <w:sz w:val="24"/>
                <w:szCs w:val="24"/>
              </w:rPr>
            </w:pPr>
            <w:r w:rsidRPr="00F6174B">
              <w:rPr>
                <w:rFonts w:asciiTheme="minorHAnsi" w:hAnsiTheme="minorHAnsi" w:cstheme="minorHAnsi"/>
                <w:sz w:val="24"/>
                <w:szCs w:val="24"/>
              </w:rPr>
              <w:t>Classe Subordinada 3</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972C664"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E23180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5762C40" w14:textId="635C90CA" w:rsidR="002E2BA2" w:rsidRPr="00F6174B" w:rsidRDefault="002E2BA2" w:rsidP="002E2BA2">
            <w:pPr>
              <w:spacing w:after="0" w:line="240" w:lineRule="auto"/>
              <w:ind w:left="2155"/>
              <w:rPr>
                <w:rFonts w:asciiTheme="minorHAnsi" w:hAnsiTheme="minorHAnsi" w:cstheme="minorHAnsi"/>
                <w:sz w:val="24"/>
                <w:szCs w:val="24"/>
              </w:rPr>
            </w:pPr>
            <w:r w:rsidRPr="00F6174B">
              <w:rPr>
                <w:rFonts w:asciiTheme="minorHAnsi" w:hAnsiTheme="minorHAnsi" w:cstheme="minorHAnsi"/>
                <w:sz w:val="24"/>
                <w:szCs w:val="24"/>
              </w:rPr>
              <w:t>Quantidade de Cotas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18C4AEC"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4F99E4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2F4AA09" w14:textId="7738C45B" w:rsidR="002E2BA2" w:rsidRPr="00F6174B" w:rsidRDefault="002E2BA2" w:rsidP="002E2BA2">
            <w:pPr>
              <w:spacing w:after="0" w:line="240" w:lineRule="auto"/>
              <w:ind w:left="2155"/>
              <w:rPr>
                <w:rFonts w:asciiTheme="minorHAnsi" w:hAnsiTheme="minorHAnsi" w:cstheme="minorHAnsi"/>
                <w:sz w:val="24"/>
                <w:szCs w:val="24"/>
              </w:rPr>
            </w:pPr>
            <w:r w:rsidRPr="00F6174B">
              <w:rPr>
                <w:rFonts w:asciiTheme="minorHAnsi" w:hAnsiTheme="minorHAnsi" w:cstheme="minorHAnsi"/>
                <w:sz w:val="24"/>
                <w:szCs w:val="24"/>
              </w:rPr>
              <w:t>Valor da Cota (R$)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F2BF8ED"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FB4A2B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5C2145C" w14:textId="5FD212E0"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3) Rentabilidade Apurada no Mês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193D739"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CD5455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E2C540E" w14:textId="4CD2A4D3"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Classe Sênior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5A16CBD"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5AF0BD4"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135F907" w14:textId="2765759F" w:rsidR="002E2BA2" w:rsidRPr="00F6174B" w:rsidRDefault="002E2BA2" w:rsidP="002E2BA2">
            <w:pPr>
              <w:spacing w:after="0" w:line="240" w:lineRule="auto"/>
              <w:ind w:left="851"/>
              <w:rPr>
                <w:rFonts w:asciiTheme="minorHAnsi" w:hAnsiTheme="minorHAnsi" w:cstheme="minorHAnsi"/>
                <w:color w:val="000000"/>
                <w:sz w:val="24"/>
                <w:szCs w:val="24"/>
              </w:rPr>
            </w:pPr>
            <w:r w:rsidRPr="00F6174B">
              <w:rPr>
                <w:rFonts w:asciiTheme="minorHAnsi" w:hAnsiTheme="minorHAnsi" w:cstheme="minorHAnsi"/>
                <w:color w:val="000000"/>
                <w:sz w:val="24"/>
                <w:szCs w:val="24"/>
              </w:rPr>
              <w:t>Série 1</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E9F7096"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DB3942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2E92BFD" w14:textId="6D470F81" w:rsidR="002E2BA2" w:rsidRPr="00F6174B" w:rsidRDefault="002E2BA2" w:rsidP="002E2BA2">
            <w:pPr>
              <w:spacing w:after="0" w:line="240" w:lineRule="auto"/>
              <w:ind w:left="851"/>
              <w:rPr>
                <w:rFonts w:asciiTheme="minorHAnsi" w:hAnsiTheme="minorHAnsi" w:cstheme="minorHAnsi"/>
                <w:color w:val="000000"/>
                <w:sz w:val="24"/>
                <w:szCs w:val="24"/>
              </w:rPr>
            </w:pPr>
            <w:r w:rsidRPr="00F6174B">
              <w:rPr>
                <w:rFonts w:asciiTheme="minorHAnsi" w:hAnsiTheme="minorHAnsi" w:cstheme="minorHAnsi"/>
                <w:color w:val="000000"/>
                <w:sz w:val="24"/>
                <w:szCs w:val="24"/>
              </w:rPr>
              <w:t>Série 2</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6498656"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2014C7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6E6CE03" w14:textId="66E0554A" w:rsidR="002E2BA2" w:rsidRPr="00F6174B" w:rsidRDefault="002E2BA2" w:rsidP="002E2BA2">
            <w:pPr>
              <w:spacing w:after="0" w:line="240" w:lineRule="auto"/>
              <w:ind w:left="851"/>
              <w:rPr>
                <w:rFonts w:asciiTheme="minorHAnsi" w:hAnsiTheme="minorHAnsi" w:cstheme="minorHAnsi"/>
                <w:color w:val="000000"/>
                <w:sz w:val="24"/>
                <w:szCs w:val="24"/>
              </w:rPr>
            </w:pPr>
            <w:r w:rsidRPr="00F6174B">
              <w:rPr>
                <w:rFonts w:asciiTheme="minorHAnsi" w:hAnsiTheme="minorHAnsi" w:cstheme="minorHAnsi"/>
                <w:color w:val="000000"/>
                <w:sz w:val="24"/>
                <w:szCs w:val="24"/>
              </w:rPr>
              <w:t>Série 3</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F7A4DA4"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0B8434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92AE361" w14:textId="37F8E1CA" w:rsidR="002E2BA2" w:rsidRPr="00F6174B" w:rsidRDefault="002E2BA2" w:rsidP="002E2BA2">
            <w:pPr>
              <w:spacing w:after="0" w:line="240" w:lineRule="auto"/>
              <w:ind w:left="851"/>
              <w:rPr>
                <w:rFonts w:asciiTheme="minorHAnsi" w:hAnsiTheme="minorHAnsi" w:cstheme="minorHAnsi"/>
                <w:color w:val="000000"/>
                <w:sz w:val="24"/>
                <w:szCs w:val="24"/>
              </w:rPr>
            </w:pPr>
            <w:r w:rsidRPr="00F6174B">
              <w:rPr>
                <w:rFonts w:asciiTheme="minorHAnsi" w:hAnsiTheme="minorHAnsi" w:cstheme="minorHAnsi"/>
                <w:color w:val="000000"/>
                <w:sz w:val="24"/>
                <w:szCs w:val="24"/>
              </w:rPr>
              <w:t>...</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D61EC70"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1DFAA3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6475DD0" w14:textId="6C926F13"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lastRenderedPageBreak/>
              <w:t>Classe Subordinada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AE6C34F"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D6BD245"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11E605A" w14:textId="6C6E83D2" w:rsidR="002E2BA2" w:rsidRPr="00F6174B" w:rsidRDefault="002E2BA2" w:rsidP="002E2BA2">
            <w:pPr>
              <w:spacing w:after="0" w:line="240" w:lineRule="auto"/>
              <w:ind w:left="567"/>
              <w:rPr>
                <w:rFonts w:asciiTheme="minorHAnsi" w:hAnsiTheme="minorHAnsi" w:cstheme="minorHAnsi"/>
                <w:color w:val="000000"/>
                <w:sz w:val="24"/>
                <w:szCs w:val="24"/>
              </w:rPr>
            </w:pPr>
            <w:r w:rsidRPr="00F6174B">
              <w:rPr>
                <w:rFonts w:asciiTheme="minorHAnsi" w:hAnsiTheme="minorHAnsi" w:cstheme="minorHAnsi"/>
                <w:color w:val="000000"/>
                <w:sz w:val="24"/>
                <w:szCs w:val="24"/>
              </w:rPr>
              <w:t>        Classe Subordinada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5634C1D"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E6B87E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A0F0A21" w14:textId="7E4A9285"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Classe Subordinada 3</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E0484E8"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6B626F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06E5C7A" w14:textId="05010E60"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    4) Captações, Resgates e Amortizações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4DE7EE0" w14:textId="77777777" w:rsidR="002E2BA2" w:rsidRPr="00F6174B" w:rsidRDefault="002E2BA2" w:rsidP="002E2BA2">
            <w:pPr>
              <w:spacing w:after="0" w:line="240" w:lineRule="auto"/>
              <w:rPr>
                <w:rFonts w:asciiTheme="minorHAnsi" w:hAnsiTheme="minorHAnsi" w:cstheme="minorHAnsi"/>
                <w:b/>
                <w:color w:val="632423"/>
                <w:sz w:val="24"/>
                <w:szCs w:val="24"/>
              </w:rPr>
            </w:pPr>
          </w:p>
        </w:tc>
      </w:tr>
      <w:tr w:rsidR="002E2BA2" w:rsidRPr="00F6174B" w14:paraId="1312B18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72C5C0B" w14:textId="4F318566" w:rsidR="002E2BA2" w:rsidRPr="00F6174B" w:rsidRDefault="002E2BA2" w:rsidP="002E2BA2">
            <w:pPr>
              <w:spacing w:after="0" w:line="240" w:lineRule="auto"/>
              <w:rPr>
                <w:rFonts w:asciiTheme="minorHAnsi" w:hAnsiTheme="minorHAnsi" w:cstheme="minorHAnsi"/>
                <w:sz w:val="24"/>
                <w:szCs w:val="24"/>
              </w:rPr>
            </w:pPr>
            <w:r w:rsidRPr="00F6174B">
              <w:rPr>
                <w:rFonts w:asciiTheme="minorHAnsi" w:hAnsiTheme="minorHAnsi" w:cstheme="minorHAnsi"/>
                <w:sz w:val="24"/>
                <w:szCs w:val="24"/>
              </w:rPr>
              <w:t>4.1) Captações no Mês (valor total captado, em R$, e quantidade de cotas emitidas)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BD41ABD"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8E96CE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72F3520" w14:textId="5E030087"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4.1.1) Classe Sênior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915EB1C"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326AF6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087E960" w14:textId="4E23D045"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Série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910C371"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141852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3A7F872" w14:textId="099DF1DA"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Total Captado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DF3138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8BC5C4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7FF1C35" w14:textId="0D2D1013"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Quantidade de Cotas Emitidas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0E9E9D5"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E8B4AF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30713C8" w14:textId="10C88861"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Série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18ECE3F"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B065E5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BFBA8F0" w14:textId="7E5D4BA6"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Valor Total Captado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08CF7AD"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7BBC164"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C5FF23C" w14:textId="28F6F890"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Quantidade de Cotas Emitidas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7DCABE7"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38B792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EE12209" w14:textId="08B3A271"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4.1.2) Classe Subordinada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DE3B45F"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F51189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19FF245" w14:textId="05282E06"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Subordinada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01E23D3"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7C3096C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305C2D0" w14:textId="6F157A9A"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Total Captado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F0F6208"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AF2C79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0F961CD" w14:textId="5EDF05BA"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Quantidade de Cotas Emitidas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A29A6DA"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9471C7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AFA8097" w14:textId="081CEAEA"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Subordinada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723F3A8"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57F2D3C"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7353296" w14:textId="0AF73D87"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Valor Total Captado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EE2951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226AAF5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C9F69A9" w14:textId="71D48EE0"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Quantidade de Cotas Emitidas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AA54C3E"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5043E9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B12D11E" w14:textId="7EE1E425" w:rsidR="002E2BA2" w:rsidRPr="00F6174B" w:rsidRDefault="002E2BA2" w:rsidP="002E2BA2">
            <w:pPr>
              <w:spacing w:after="0" w:line="240" w:lineRule="auto"/>
              <w:ind w:left="1588"/>
              <w:rPr>
                <w:rFonts w:asciiTheme="minorHAnsi" w:hAnsiTheme="minorHAnsi" w:cstheme="minorHAnsi"/>
                <w:sz w:val="24"/>
                <w:szCs w:val="24"/>
              </w:rPr>
            </w:pPr>
            <w:r w:rsidRPr="00F6174B">
              <w:rPr>
                <w:rFonts w:asciiTheme="minorHAnsi" w:hAnsiTheme="minorHAnsi" w:cstheme="minorHAnsi"/>
                <w:sz w:val="24"/>
                <w:szCs w:val="24"/>
              </w:rPr>
              <w:t>Subordinada 3</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BED2DD5"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B300EA5"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347D1B1" w14:textId="3DAE9626" w:rsidR="002E2BA2" w:rsidRPr="00F6174B" w:rsidRDefault="002E2BA2" w:rsidP="002E2BA2">
            <w:pPr>
              <w:spacing w:after="0" w:line="240" w:lineRule="auto"/>
              <w:ind w:left="1758"/>
              <w:rPr>
                <w:rFonts w:asciiTheme="minorHAnsi" w:hAnsiTheme="minorHAnsi" w:cstheme="minorHAnsi"/>
                <w:sz w:val="24"/>
                <w:szCs w:val="24"/>
              </w:rPr>
            </w:pPr>
            <w:r w:rsidRPr="00F6174B">
              <w:rPr>
                <w:rFonts w:asciiTheme="minorHAnsi" w:hAnsiTheme="minorHAnsi" w:cstheme="minorHAnsi"/>
                <w:sz w:val="24"/>
                <w:szCs w:val="24"/>
              </w:rPr>
              <w:t>Valor Total Captado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5446052"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04ED38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EF8B774" w14:textId="2B150E46" w:rsidR="002E2BA2" w:rsidRPr="00F6174B" w:rsidRDefault="002E2BA2" w:rsidP="002E2BA2">
            <w:pPr>
              <w:spacing w:after="0" w:line="240" w:lineRule="auto"/>
              <w:ind w:left="1758"/>
              <w:rPr>
                <w:rFonts w:asciiTheme="minorHAnsi" w:hAnsiTheme="minorHAnsi" w:cstheme="minorHAnsi"/>
                <w:sz w:val="24"/>
                <w:szCs w:val="24"/>
              </w:rPr>
            </w:pPr>
            <w:r w:rsidRPr="00F6174B">
              <w:rPr>
                <w:rFonts w:asciiTheme="minorHAnsi" w:hAnsiTheme="minorHAnsi" w:cstheme="minorHAnsi"/>
                <w:sz w:val="24"/>
                <w:szCs w:val="24"/>
              </w:rPr>
              <w:t>Quantidade de Cotas Emitidas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6A2D83F"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6854F0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1F69134" w14:textId="4334DB70" w:rsidR="002E2BA2" w:rsidRPr="00F6174B" w:rsidRDefault="002E2BA2" w:rsidP="002E2BA2">
            <w:pPr>
              <w:spacing w:after="0" w:line="240" w:lineRule="auto"/>
              <w:rPr>
                <w:rFonts w:asciiTheme="minorHAnsi" w:hAnsiTheme="minorHAnsi" w:cstheme="minorHAnsi"/>
                <w:sz w:val="24"/>
                <w:szCs w:val="24"/>
              </w:rPr>
            </w:pPr>
            <w:r w:rsidRPr="00F6174B">
              <w:rPr>
                <w:rFonts w:asciiTheme="minorHAnsi" w:hAnsiTheme="minorHAnsi" w:cstheme="minorHAnsi"/>
                <w:sz w:val="24"/>
                <w:szCs w:val="24"/>
              </w:rPr>
              <w:t>4.2) Resgates no Mês (FIDC aberto - quantidade de cotas resgatadas e valor total do resgate, em 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B2D5E3F"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289A64E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1259880" w14:textId="461DDB58"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4.2.1) Classe Sênior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A584D4C"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EF8E47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2D8F091" w14:textId="6D60AAC0"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Série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791C9D6"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F2F4DF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5B7416F" w14:textId="04CF4E75"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Total dos Resgates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2562DFE"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256DB3B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36B2AC5" w14:textId="7C94406E"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Quantidade de Cotas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1549891"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18E194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C04D97B" w14:textId="136BA484"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Série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1180540"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49FCB85"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B3D8297" w14:textId="514F7878"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lastRenderedPageBreak/>
              <w:t>Valor Total dos Resgates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1C7AF5F"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068A544"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DDCB7B7" w14:textId="1998ED15"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Quantidade de Cotas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780B9E7"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71877B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5B7462F" w14:textId="20B6AB03"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4.2.2) Classe Subordinada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30C39F6"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3254135"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4AF87CA" w14:textId="07436EEA"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Subordinada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CF94DAA"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2BDEBBB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BB98685" w14:textId="1AD400A6"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Total dos Resgates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76A80DE"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9E3CEB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20017A8" w14:textId="437D30AC"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Quantidade de Cotas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898683D"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75B500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8D48B80" w14:textId="251A3087"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Subordinada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CF89439"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4323F0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244B8F1" w14:textId="16A896E2"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Valor Total dos Resgates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17798E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70E235CA"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9A891DA" w14:textId="31366AB7"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Quantidade de Cotas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2F01F01"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9A8540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E66EAFD" w14:textId="29AD1658" w:rsidR="002E2BA2" w:rsidRPr="00F6174B" w:rsidRDefault="002E2BA2" w:rsidP="002E2BA2">
            <w:pPr>
              <w:spacing w:after="0" w:line="240" w:lineRule="auto"/>
              <w:ind w:left="1588"/>
              <w:rPr>
                <w:rFonts w:asciiTheme="minorHAnsi" w:hAnsiTheme="minorHAnsi" w:cstheme="minorHAnsi"/>
                <w:sz w:val="24"/>
                <w:szCs w:val="24"/>
              </w:rPr>
            </w:pPr>
            <w:r w:rsidRPr="00F6174B">
              <w:rPr>
                <w:rFonts w:asciiTheme="minorHAnsi" w:hAnsiTheme="minorHAnsi" w:cstheme="minorHAnsi"/>
                <w:sz w:val="24"/>
                <w:szCs w:val="24"/>
              </w:rPr>
              <w:t>Subordinada 3</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D51E418"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D78380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190E0DD" w14:textId="1809AE4C" w:rsidR="002E2BA2" w:rsidRPr="00F6174B" w:rsidRDefault="002E2BA2" w:rsidP="002E2BA2">
            <w:pPr>
              <w:spacing w:after="0" w:line="240" w:lineRule="auto"/>
              <w:ind w:left="1758"/>
              <w:rPr>
                <w:rFonts w:asciiTheme="minorHAnsi" w:hAnsiTheme="minorHAnsi" w:cstheme="minorHAnsi"/>
                <w:sz w:val="24"/>
                <w:szCs w:val="24"/>
              </w:rPr>
            </w:pPr>
            <w:r w:rsidRPr="00F6174B">
              <w:rPr>
                <w:rFonts w:asciiTheme="minorHAnsi" w:hAnsiTheme="minorHAnsi" w:cstheme="minorHAnsi"/>
                <w:sz w:val="24"/>
                <w:szCs w:val="24"/>
              </w:rPr>
              <w:t>Valor Total dos Resgates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E0F568E"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51B18A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BA48D99" w14:textId="4B8D56CB" w:rsidR="002E2BA2" w:rsidRPr="00F6174B" w:rsidRDefault="002E2BA2" w:rsidP="002E2BA2">
            <w:pPr>
              <w:spacing w:after="0" w:line="240" w:lineRule="auto"/>
              <w:ind w:left="1758"/>
              <w:rPr>
                <w:rFonts w:asciiTheme="minorHAnsi" w:hAnsiTheme="minorHAnsi" w:cstheme="minorHAnsi"/>
                <w:sz w:val="24"/>
                <w:szCs w:val="24"/>
              </w:rPr>
            </w:pPr>
            <w:r w:rsidRPr="00F6174B">
              <w:rPr>
                <w:rFonts w:asciiTheme="minorHAnsi" w:hAnsiTheme="minorHAnsi" w:cstheme="minorHAnsi"/>
                <w:sz w:val="24"/>
                <w:szCs w:val="24"/>
              </w:rPr>
              <w:t>Quantidade de Cotas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2D8E021"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F7A688E"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DCE0450" w14:textId="460A0539" w:rsidR="002E2BA2" w:rsidRPr="00F6174B" w:rsidRDefault="002E2BA2" w:rsidP="002E2BA2">
            <w:pPr>
              <w:spacing w:after="0" w:line="240" w:lineRule="auto"/>
              <w:rPr>
                <w:rFonts w:asciiTheme="minorHAnsi" w:hAnsiTheme="minorHAnsi" w:cstheme="minorHAnsi"/>
                <w:sz w:val="24"/>
                <w:szCs w:val="24"/>
              </w:rPr>
            </w:pPr>
            <w:r w:rsidRPr="00F6174B">
              <w:rPr>
                <w:rFonts w:asciiTheme="minorHAnsi" w:hAnsiTheme="minorHAnsi" w:cstheme="minorHAnsi"/>
                <w:sz w:val="24"/>
                <w:szCs w:val="24"/>
              </w:rPr>
              <w:t>4.3) Resgates Solicitados e Ainda Não Pagos (FIDC aberto - quantidade de cotas a serem resgatadas e valor a ser pago, em 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3885039"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A7FBFF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7B801BD" w14:textId="21F36302"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4.3.1) Classe Sênior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92779FE"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BF021D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A4026DF" w14:textId="264E6DC7"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Série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A2015C7"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2AC6574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CA5B22D" w14:textId="160F91A5"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a ser Pago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BB14590"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7CA8D0E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3AB3E3B" w14:textId="73624983"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Quantidade de Cotas a serem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B7F45E3"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6AB585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C355F70" w14:textId="56697964"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Série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69B1617"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2121C45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1050042" w14:textId="27755BFA"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Valor a ser Pago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7E7C29C"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8F7395E"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CEAE581" w14:textId="6F60C3B5"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Quantidade de Cotas a serem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A736BB0"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60210C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4B58FC1" w14:textId="0849C47D"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4.3.2) Classe Subordinada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4589968"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38344CC"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4FE574A" w14:textId="2DF30CFE"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Subordinada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C67570C"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000F4A4"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3C0700C" w14:textId="4FB62832"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a ser Pago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89750BC"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8DE1CB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C276854" w14:textId="5BFFBA85"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Quantidade de Cotas a serem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EDA543A"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2796E99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2D905D0" w14:textId="638B571C"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Subordinada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AC0F580"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501402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B603B46" w14:textId="6C05CD2F"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Valor a ser Pago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5CEAE4A"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6687AA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614ECF9" w14:textId="31357158"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Quantidade de Cotas a serem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BD3C63A"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7A2E6A8C"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6581D69" w14:textId="61BA88C0" w:rsidR="002E2BA2" w:rsidRPr="00F6174B" w:rsidRDefault="002E2BA2" w:rsidP="002E2BA2">
            <w:pPr>
              <w:spacing w:after="0" w:line="240" w:lineRule="auto"/>
              <w:ind w:left="1588"/>
              <w:rPr>
                <w:rFonts w:asciiTheme="minorHAnsi" w:hAnsiTheme="minorHAnsi" w:cstheme="minorHAnsi"/>
                <w:sz w:val="24"/>
                <w:szCs w:val="24"/>
              </w:rPr>
            </w:pPr>
            <w:r w:rsidRPr="00F6174B">
              <w:rPr>
                <w:rFonts w:asciiTheme="minorHAnsi" w:hAnsiTheme="minorHAnsi" w:cstheme="minorHAnsi"/>
                <w:sz w:val="24"/>
                <w:szCs w:val="24"/>
              </w:rPr>
              <w:t>Subordinada 3</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D6D0390"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0AB199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57D7670" w14:textId="3F0199CF" w:rsidR="002E2BA2" w:rsidRPr="00F6174B" w:rsidRDefault="002E2BA2" w:rsidP="002E2BA2">
            <w:pPr>
              <w:spacing w:after="0" w:line="240" w:lineRule="auto"/>
              <w:ind w:left="1758"/>
              <w:rPr>
                <w:rFonts w:asciiTheme="minorHAnsi" w:hAnsiTheme="minorHAnsi" w:cstheme="minorHAnsi"/>
                <w:sz w:val="24"/>
                <w:szCs w:val="24"/>
              </w:rPr>
            </w:pPr>
            <w:r w:rsidRPr="00F6174B">
              <w:rPr>
                <w:rFonts w:asciiTheme="minorHAnsi" w:hAnsiTheme="minorHAnsi" w:cstheme="minorHAnsi"/>
                <w:sz w:val="24"/>
                <w:szCs w:val="24"/>
              </w:rPr>
              <w:t>Valor a ser Pago</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9356687"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AD9EC2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02431AA" w14:textId="7546BCEF" w:rsidR="002E2BA2" w:rsidRPr="00F6174B" w:rsidRDefault="002E2BA2" w:rsidP="002E2BA2">
            <w:pPr>
              <w:spacing w:after="0" w:line="240" w:lineRule="auto"/>
              <w:ind w:left="1758"/>
              <w:rPr>
                <w:rFonts w:asciiTheme="minorHAnsi" w:hAnsiTheme="minorHAnsi" w:cstheme="minorHAnsi"/>
                <w:sz w:val="24"/>
                <w:szCs w:val="24"/>
              </w:rPr>
            </w:pPr>
            <w:r w:rsidRPr="00F6174B">
              <w:rPr>
                <w:rFonts w:asciiTheme="minorHAnsi" w:hAnsiTheme="minorHAnsi" w:cstheme="minorHAnsi"/>
                <w:sz w:val="24"/>
                <w:szCs w:val="24"/>
              </w:rPr>
              <w:lastRenderedPageBreak/>
              <w:t>Quantidade de Cotas a serem Resgatadas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792191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C5C84A5"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8A05C02" w14:textId="645998DD" w:rsidR="002E2BA2" w:rsidRPr="00F6174B" w:rsidRDefault="002E2BA2" w:rsidP="002E2BA2">
            <w:pPr>
              <w:spacing w:after="0" w:line="240" w:lineRule="auto"/>
              <w:rPr>
                <w:rFonts w:asciiTheme="minorHAnsi" w:hAnsiTheme="minorHAnsi" w:cstheme="minorHAnsi"/>
                <w:sz w:val="24"/>
                <w:szCs w:val="24"/>
              </w:rPr>
            </w:pPr>
            <w:r w:rsidRPr="00F6174B">
              <w:rPr>
                <w:rFonts w:asciiTheme="minorHAnsi" w:hAnsiTheme="minorHAnsi" w:cstheme="minorHAnsi"/>
                <w:sz w:val="24"/>
                <w:szCs w:val="24"/>
              </w:rPr>
              <w:t>4.4) Amortizações (Informar valor amortizado por cota e valor da amortização total, em 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AF677BD"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0F91FE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7D090BC" w14:textId="4049CDDD"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4.4.1) Classe Sênior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74D711D"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67CF7C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06F5519" w14:textId="1339580B"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Série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A205C2D"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1408D3F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36451A8" w14:textId="31B90BBE"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Amortizado por Cota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A9D6A6E"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465636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075103E" w14:textId="00A2B126"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Total das Amortizações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5FCF590"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035D7D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698B538" w14:textId="0CA6D71C"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Série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B6D03C1"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DDFB17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DFAA8D0" w14:textId="69A7148A"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Valor Amortizado por Cota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42AED55"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EE5F4D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F192567" w14:textId="26EEC89A"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Valor Total das Amortizações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2BCC533"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DEB31B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AABDBD1" w14:textId="02E05358"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4.4.2) Classe Subordinada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E1CB226"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A9AB3C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664D54B" w14:textId="7BF09D21" w:rsidR="002E2BA2" w:rsidRPr="00F6174B" w:rsidRDefault="002E2BA2" w:rsidP="002E2BA2">
            <w:pPr>
              <w:spacing w:after="0" w:line="240" w:lineRule="auto"/>
              <w:ind w:left="708"/>
              <w:rPr>
                <w:rFonts w:asciiTheme="minorHAnsi" w:hAnsiTheme="minorHAnsi" w:cstheme="minorHAnsi"/>
                <w:sz w:val="24"/>
                <w:szCs w:val="24"/>
              </w:rPr>
            </w:pPr>
            <w:r w:rsidRPr="00F6174B">
              <w:rPr>
                <w:rFonts w:asciiTheme="minorHAnsi" w:hAnsiTheme="minorHAnsi" w:cstheme="minorHAnsi"/>
                <w:sz w:val="24"/>
                <w:szCs w:val="24"/>
              </w:rPr>
              <w:t>Subordinada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5578BC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3FBC489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ECD945F" w14:textId="3539002D"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Amortizado por Cota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FC1FAB9"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53C16BB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68AF146" w14:textId="3E4E7CB0" w:rsidR="002E2BA2" w:rsidRPr="00F6174B" w:rsidRDefault="002E2BA2" w:rsidP="002E2BA2">
            <w:pPr>
              <w:spacing w:after="0" w:line="240" w:lineRule="auto"/>
              <w:ind w:left="907"/>
              <w:rPr>
                <w:rFonts w:asciiTheme="minorHAnsi" w:hAnsiTheme="minorHAnsi" w:cstheme="minorHAnsi"/>
                <w:sz w:val="24"/>
                <w:szCs w:val="24"/>
              </w:rPr>
            </w:pPr>
            <w:r w:rsidRPr="00F6174B">
              <w:rPr>
                <w:rFonts w:asciiTheme="minorHAnsi" w:hAnsiTheme="minorHAnsi" w:cstheme="minorHAnsi"/>
                <w:sz w:val="24"/>
                <w:szCs w:val="24"/>
              </w:rPr>
              <w:t>Valor Total das Amortizações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B5700AA"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09D76D4"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B0752A1" w14:textId="13E4815A" w:rsidR="002E2BA2" w:rsidRPr="00F6174B" w:rsidRDefault="002E2BA2" w:rsidP="002E2BA2">
            <w:pPr>
              <w:spacing w:after="0" w:line="240" w:lineRule="auto"/>
              <w:ind w:left="1247"/>
              <w:rPr>
                <w:rFonts w:asciiTheme="minorHAnsi" w:hAnsiTheme="minorHAnsi" w:cstheme="minorHAnsi"/>
                <w:sz w:val="24"/>
                <w:szCs w:val="24"/>
              </w:rPr>
            </w:pPr>
            <w:r w:rsidRPr="00F6174B">
              <w:rPr>
                <w:rFonts w:asciiTheme="minorHAnsi" w:hAnsiTheme="minorHAnsi" w:cstheme="minorHAnsi"/>
                <w:sz w:val="24"/>
                <w:szCs w:val="24"/>
              </w:rPr>
              <w:t>Subordinada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2F9B4E5"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3660E24"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D92900B" w14:textId="7D3932E5"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Valor Amortizado por Cota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AACD4A1"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32B7F0A"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3AFE4022" w14:textId="16B57D13" w:rsidR="002E2BA2" w:rsidRPr="00F6174B" w:rsidRDefault="002E2BA2" w:rsidP="002E2BA2">
            <w:pPr>
              <w:spacing w:after="0" w:line="240" w:lineRule="auto"/>
              <w:ind w:left="1416"/>
              <w:rPr>
                <w:rFonts w:asciiTheme="minorHAnsi" w:hAnsiTheme="minorHAnsi" w:cstheme="minorHAnsi"/>
                <w:sz w:val="24"/>
                <w:szCs w:val="24"/>
              </w:rPr>
            </w:pPr>
            <w:r w:rsidRPr="00F6174B">
              <w:rPr>
                <w:rFonts w:asciiTheme="minorHAnsi" w:hAnsiTheme="minorHAnsi" w:cstheme="minorHAnsi"/>
                <w:sz w:val="24"/>
                <w:szCs w:val="24"/>
              </w:rPr>
              <w:t>Valor Total das Amortizações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6EF3E07"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4139245A"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F14B395" w14:textId="4834612B" w:rsidR="002E2BA2" w:rsidRPr="00F6174B" w:rsidRDefault="002E2BA2" w:rsidP="002E2BA2">
            <w:pPr>
              <w:spacing w:after="0" w:line="240" w:lineRule="auto"/>
              <w:ind w:left="1588"/>
              <w:rPr>
                <w:rFonts w:asciiTheme="minorHAnsi" w:hAnsiTheme="minorHAnsi" w:cstheme="minorHAnsi"/>
                <w:sz w:val="24"/>
                <w:szCs w:val="24"/>
              </w:rPr>
            </w:pPr>
            <w:r w:rsidRPr="00F6174B">
              <w:rPr>
                <w:rFonts w:asciiTheme="minorHAnsi" w:hAnsiTheme="minorHAnsi" w:cstheme="minorHAnsi"/>
                <w:sz w:val="24"/>
                <w:szCs w:val="24"/>
              </w:rPr>
              <w:t>Subordinada 3</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83A5770"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C4E868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1162EEE" w14:textId="3B8BEC51" w:rsidR="002E2BA2" w:rsidRPr="00F6174B" w:rsidRDefault="002E2BA2" w:rsidP="002E2BA2">
            <w:pPr>
              <w:spacing w:after="0" w:line="240" w:lineRule="auto"/>
              <w:ind w:left="1758"/>
              <w:rPr>
                <w:rFonts w:asciiTheme="minorHAnsi" w:hAnsiTheme="minorHAnsi" w:cstheme="minorHAnsi"/>
                <w:sz w:val="24"/>
                <w:szCs w:val="24"/>
              </w:rPr>
            </w:pPr>
            <w:r w:rsidRPr="00F6174B">
              <w:rPr>
                <w:rFonts w:asciiTheme="minorHAnsi" w:hAnsiTheme="minorHAnsi" w:cstheme="minorHAnsi"/>
                <w:sz w:val="24"/>
                <w:szCs w:val="24"/>
              </w:rPr>
              <w:t>Valor Amortizado por Cota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B133E6B"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0D257CA"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847DA26" w14:textId="007EC22B" w:rsidR="002E2BA2" w:rsidRPr="00F6174B" w:rsidRDefault="002E2BA2" w:rsidP="002E2BA2">
            <w:pPr>
              <w:spacing w:after="0" w:line="240" w:lineRule="auto"/>
              <w:ind w:left="1758"/>
              <w:rPr>
                <w:rFonts w:asciiTheme="minorHAnsi" w:hAnsiTheme="minorHAnsi" w:cstheme="minorHAnsi"/>
                <w:sz w:val="24"/>
                <w:szCs w:val="24"/>
              </w:rPr>
            </w:pPr>
            <w:r w:rsidRPr="00F6174B">
              <w:rPr>
                <w:rFonts w:asciiTheme="minorHAnsi" w:hAnsiTheme="minorHAnsi" w:cstheme="minorHAnsi"/>
                <w:sz w:val="24"/>
                <w:szCs w:val="24"/>
              </w:rPr>
              <w:t>Valor Total das Amortizações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788A943"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08BFDA0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0B7A7B5" w14:textId="431B6441"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5) Liquidez (Preenchimento compulsório apenas para os fundos abertos) – 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00A9AF89" w14:textId="77777777" w:rsidR="002E2BA2" w:rsidRPr="00F6174B" w:rsidRDefault="002E2BA2" w:rsidP="002E2BA2">
            <w:pPr>
              <w:spacing w:after="0" w:line="240" w:lineRule="auto"/>
              <w:rPr>
                <w:rFonts w:asciiTheme="minorHAnsi" w:hAnsiTheme="minorHAnsi" w:cstheme="minorHAnsi"/>
                <w:sz w:val="24"/>
                <w:szCs w:val="24"/>
              </w:rPr>
            </w:pPr>
          </w:p>
        </w:tc>
      </w:tr>
      <w:tr w:rsidR="002E2BA2" w:rsidRPr="00F6174B" w14:paraId="6C612FD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70222C58" w14:textId="677508B2"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Ativos com liquidez imediata</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A0C13D1"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918E7E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CF4BBAB" w14:textId="3B86395A"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Ativos que podem ser liquidados em até 30 dias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3D04CA3"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46475EA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1896FE1D" w14:textId="3B0707B5"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Ativos que podem ser liquidados em até 60 dias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39F6DE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064A1D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450EF63" w14:textId="4FA24D69"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Ativos que podem ser liquidados em até 90 dias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FFC62BC"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CCF763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53C79C3" w14:textId="7DF6C2DD"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Ativos que podem ser liquidados em até 180 dias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C17EC41"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37D127C"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6D72CEA2" w14:textId="503AFF67"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Ativos que podem ser liquidados em até 360 dias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86E1DE0"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E38485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FCDB1AD" w14:textId="303B1049"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Ativos que podem ser liquidados em mais de 360 dias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1261D20"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BDA372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8065D27" w14:textId="5D82C0A3"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 xml:space="preserve">6) Desempenho Esperado (Benchmark) e o Realizado </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373087E5"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6AE7B3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1A441D7" w14:textId="6EBA861C"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lastRenderedPageBreak/>
              <w:t>6.1) Classe Sênior</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257EA5E1"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6420E39" w14:textId="77777777" w:rsidTr="00C76133">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0885514" w14:textId="4F287081"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6.1.1) Série 1</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934C9C4" w14:textId="77777777" w:rsidR="002E2BA2" w:rsidRPr="00F6174B" w:rsidRDefault="002E2BA2" w:rsidP="002E2BA2">
            <w:pPr>
              <w:spacing w:after="0" w:line="240" w:lineRule="auto"/>
              <w:rPr>
                <w:rFonts w:asciiTheme="minorHAnsi" w:hAnsiTheme="minorHAnsi" w:cstheme="minorHAnsi"/>
                <w:color w:val="000000"/>
                <w:sz w:val="24"/>
                <w:szCs w:val="24"/>
              </w:rPr>
            </w:pPr>
          </w:p>
        </w:tc>
        <w:tc>
          <w:tcPr>
            <w:tcW w:w="50" w:type="pct"/>
            <w:tcBorders>
              <w:top w:val="nil"/>
              <w:left w:val="nil"/>
              <w:bottom w:val="nil"/>
              <w:right w:val="outset" w:sz="6" w:space="0" w:color="000000" w:themeColor="text1"/>
            </w:tcBorders>
            <w:vAlign w:val="center"/>
          </w:tcPr>
          <w:p w14:paraId="092D3474" w14:textId="77777777" w:rsidR="002E2BA2" w:rsidRPr="00F6174B" w:rsidRDefault="002E2BA2" w:rsidP="002E2BA2">
            <w:pPr>
              <w:spacing w:after="0" w:line="240" w:lineRule="auto"/>
              <w:rPr>
                <w:rFonts w:asciiTheme="minorHAnsi" w:hAnsiTheme="minorHAnsi" w:cstheme="minorHAnsi"/>
                <w:vanish/>
                <w:color w:val="FF0000"/>
                <w:sz w:val="24"/>
                <w:szCs w:val="24"/>
              </w:rPr>
            </w:pPr>
          </w:p>
        </w:tc>
      </w:tr>
      <w:tr w:rsidR="002E2BA2" w:rsidRPr="00F6174B" w14:paraId="3DDEEB32" w14:textId="77777777" w:rsidTr="00C76133">
        <w:tc>
          <w:tcPr>
            <w:tcW w:w="3343" w:type="pct"/>
            <w:gridSpan w:val="4"/>
            <w:tcBorders>
              <w:top w:val="outset" w:sz="6" w:space="0" w:color="auto"/>
              <w:left w:val="outset" w:sz="6" w:space="0" w:color="auto"/>
              <w:bottom w:val="outset" w:sz="6" w:space="0" w:color="auto"/>
              <w:right w:val="outset" w:sz="6" w:space="0" w:color="auto"/>
            </w:tcBorders>
            <w:vAlign w:val="center"/>
          </w:tcPr>
          <w:p w14:paraId="48FDF38D" w14:textId="2BF1AD90" w:rsidR="002E2BA2" w:rsidRPr="00F6174B" w:rsidRDefault="002E2BA2" w:rsidP="002E2BA2">
            <w:pPr>
              <w:spacing w:after="0" w:line="240" w:lineRule="auto"/>
              <w:ind w:left="708"/>
              <w:rPr>
                <w:rFonts w:asciiTheme="minorHAnsi" w:hAnsiTheme="minorHAnsi" w:cstheme="minorHAnsi"/>
                <w:color w:val="000000"/>
                <w:sz w:val="24"/>
                <w:szCs w:val="24"/>
              </w:rPr>
            </w:pPr>
            <w:r w:rsidRPr="00F6174B">
              <w:rPr>
                <w:rFonts w:asciiTheme="minorHAnsi" w:hAnsiTheme="minorHAnsi" w:cstheme="minorHAnsi"/>
                <w:color w:val="000000"/>
                <w:sz w:val="24"/>
                <w:szCs w:val="24"/>
              </w:rPr>
              <w:t>Desempenho Esperado (Benchmark)</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1753326" w14:textId="77777777" w:rsidR="002E2BA2" w:rsidRPr="00F6174B" w:rsidRDefault="002E2BA2" w:rsidP="002E2BA2">
            <w:pPr>
              <w:spacing w:after="0" w:line="240" w:lineRule="auto"/>
              <w:rPr>
                <w:rFonts w:asciiTheme="minorHAnsi" w:hAnsiTheme="minorHAnsi" w:cstheme="minorHAnsi"/>
                <w:color w:val="000000"/>
                <w:sz w:val="24"/>
                <w:szCs w:val="24"/>
              </w:rPr>
            </w:pPr>
          </w:p>
        </w:tc>
        <w:tc>
          <w:tcPr>
            <w:tcW w:w="50" w:type="pct"/>
            <w:tcBorders>
              <w:top w:val="nil"/>
              <w:left w:val="nil"/>
              <w:bottom w:val="nil"/>
              <w:right w:val="outset" w:sz="6" w:space="0" w:color="000000" w:themeColor="text1"/>
            </w:tcBorders>
            <w:vAlign w:val="center"/>
          </w:tcPr>
          <w:p w14:paraId="18382B39" w14:textId="77777777" w:rsidR="002E2BA2" w:rsidRPr="00F6174B" w:rsidRDefault="002E2BA2" w:rsidP="002E2BA2">
            <w:pPr>
              <w:spacing w:after="0" w:line="240" w:lineRule="auto"/>
              <w:rPr>
                <w:rFonts w:asciiTheme="minorHAnsi" w:hAnsiTheme="minorHAnsi" w:cstheme="minorHAnsi"/>
                <w:vanish/>
                <w:color w:val="FF0000"/>
                <w:sz w:val="24"/>
                <w:szCs w:val="24"/>
              </w:rPr>
            </w:pPr>
          </w:p>
        </w:tc>
      </w:tr>
      <w:tr w:rsidR="002E2BA2" w:rsidRPr="00F6174B" w14:paraId="7E26989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B221D25" w14:textId="29B97429" w:rsidR="002E2BA2" w:rsidRPr="00F6174B" w:rsidRDefault="002E2BA2" w:rsidP="002E2BA2">
            <w:pPr>
              <w:spacing w:after="0" w:line="240" w:lineRule="auto"/>
              <w:ind w:left="708"/>
              <w:rPr>
                <w:rFonts w:asciiTheme="minorHAnsi" w:hAnsiTheme="minorHAnsi" w:cstheme="minorHAnsi"/>
                <w:color w:val="000000"/>
                <w:sz w:val="24"/>
                <w:szCs w:val="24"/>
              </w:rPr>
            </w:pPr>
            <w:r w:rsidRPr="00F6174B">
              <w:rPr>
                <w:rFonts w:asciiTheme="minorHAnsi" w:hAnsiTheme="minorHAnsi" w:cstheme="minorHAnsi"/>
                <w:color w:val="000000"/>
                <w:sz w:val="24"/>
                <w:szCs w:val="24"/>
              </w:rPr>
              <w:t>Desempenho Realizado (Rentabilidade no Mês)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76C4FCE3"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59AA37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5111E83" w14:textId="187DD73D"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6.1.2) Série 2 OBS: permitir ao administrador abrir quantas séries forem necessárias.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CCC530B"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1323DC30" w14:textId="77777777" w:rsidTr="00C76133">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187CE56" w14:textId="61C2C9A5" w:rsidR="002E2BA2" w:rsidRPr="00F6174B" w:rsidRDefault="002E2BA2" w:rsidP="002E2BA2">
            <w:pPr>
              <w:spacing w:after="0" w:line="240" w:lineRule="auto"/>
              <w:ind w:left="708"/>
              <w:rPr>
                <w:rFonts w:asciiTheme="minorHAnsi" w:hAnsiTheme="minorHAnsi" w:cstheme="minorHAnsi"/>
                <w:color w:val="000000"/>
                <w:sz w:val="24"/>
                <w:szCs w:val="24"/>
              </w:rPr>
            </w:pPr>
            <w:r w:rsidRPr="00F6174B">
              <w:rPr>
                <w:rFonts w:asciiTheme="minorHAnsi" w:hAnsiTheme="minorHAnsi" w:cstheme="minorHAnsi"/>
                <w:color w:val="000000"/>
                <w:sz w:val="24"/>
                <w:szCs w:val="24"/>
              </w:rPr>
              <w:t>Desempenho Esperado (Benchmark)</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2036C31" w14:textId="77777777" w:rsidR="002E2BA2" w:rsidRPr="00F6174B" w:rsidRDefault="002E2BA2" w:rsidP="002E2BA2">
            <w:pPr>
              <w:spacing w:after="0" w:line="240" w:lineRule="auto"/>
              <w:rPr>
                <w:rFonts w:asciiTheme="minorHAnsi" w:hAnsiTheme="minorHAnsi" w:cstheme="minorHAnsi"/>
                <w:color w:val="000000"/>
                <w:sz w:val="24"/>
                <w:szCs w:val="24"/>
              </w:rPr>
            </w:pPr>
          </w:p>
        </w:tc>
        <w:tc>
          <w:tcPr>
            <w:tcW w:w="50" w:type="pct"/>
            <w:tcBorders>
              <w:top w:val="nil"/>
              <w:left w:val="nil"/>
              <w:bottom w:val="nil"/>
              <w:right w:val="outset" w:sz="6" w:space="0" w:color="000000" w:themeColor="text1"/>
            </w:tcBorders>
            <w:vAlign w:val="center"/>
          </w:tcPr>
          <w:p w14:paraId="085A816D" w14:textId="77777777" w:rsidR="002E2BA2" w:rsidRPr="00F6174B" w:rsidRDefault="002E2BA2" w:rsidP="002E2BA2">
            <w:pPr>
              <w:spacing w:after="0" w:line="240" w:lineRule="auto"/>
              <w:rPr>
                <w:rFonts w:asciiTheme="minorHAnsi" w:hAnsiTheme="minorHAnsi" w:cstheme="minorHAnsi"/>
                <w:vanish/>
                <w:color w:val="FF0000"/>
                <w:sz w:val="24"/>
                <w:szCs w:val="24"/>
                <w:highlight w:val="yellow"/>
              </w:rPr>
            </w:pPr>
          </w:p>
        </w:tc>
      </w:tr>
      <w:tr w:rsidR="002E2BA2" w:rsidRPr="00F6174B" w14:paraId="6A6FDBB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B25BC80" w14:textId="604CC01D" w:rsidR="002E2BA2" w:rsidRPr="00F6174B" w:rsidRDefault="002E2BA2" w:rsidP="002E2BA2">
            <w:pPr>
              <w:spacing w:after="0" w:line="240" w:lineRule="auto"/>
              <w:ind w:left="708"/>
              <w:rPr>
                <w:rFonts w:asciiTheme="minorHAnsi" w:hAnsiTheme="minorHAnsi" w:cstheme="minorHAnsi"/>
                <w:color w:val="000000"/>
                <w:sz w:val="24"/>
                <w:szCs w:val="24"/>
              </w:rPr>
            </w:pPr>
            <w:r w:rsidRPr="00F6174B">
              <w:rPr>
                <w:rFonts w:asciiTheme="minorHAnsi" w:hAnsiTheme="minorHAnsi" w:cstheme="minorHAnsi"/>
                <w:color w:val="000000"/>
                <w:sz w:val="24"/>
                <w:szCs w:val="24"/>
              </w:rPr>
              <w:t>Desempenho Realizado (Rentabilidade no Mês)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1BD68F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1462872E"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438ECCF8" w14:textId="22E8B1F3"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6.2) Classe Subordinada 1</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85A1EF5"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7E3C50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E7FA37C" w14:textId="5809D65C" w:rsidR="002E2BA2" w:rsidRPr="00F6174B" w:rsidRDefault="002E2BA2" w:rsidP="002E2BA2">
            <w:pPr>
              <w:spacing w:after="0" w:line="240" w:lineRule="auto"/>
              <w:ind w:left="708"/>
              <w:rPr>
                <w:rFonts w:asciiTheme="minorHAnsi" w:hAnsiTheme="minorHAnsi" w:cstheme="minorHAnsi"/>
                <w:color w:val="000000"/>
                <w:sz w:val="24"/>
                <w:szCs w:val="24"/>
              </w:rPr>
            </w:pPr>
            <w:r w:rsidRPr="00F6174B">
              <w:rPr>
                <w:rFonts w:asciiTheme="minorHAnsi" w:hAnsiTheme="minorHAnsi" w:cstheme="minorHAnsi"/>
                <w:color w:val="000000"/>
                <w:sz w:val="24"/>
                <w:szCs w:val="24"/>
              </w:rPr>
              <w:t>Desempenho Esperado (Benchmark)</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1AF9494"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2E7ACA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09CEDCC6" w14:textId="1CD7AEC8" w:rsidR="002E2BA2" w:rsidRPr="00F6174B" w:rsidRDefault="002E2BA2" w:rsidP="002E2BA2">
            <w:pPr>
              <w:spacing w:after="0" w:line="240" w:lineRule="auto"/>
              <w:ind w:left="708"/>
              <w:rPr>
                <w:rFonts w:asciiTheme="minorHAnsi" w:hAnsiTheme="minorHAnsi" w:cstheme="minorHAnsi"/>
                <w:color w:val="000000"/>
                <w:sz w:val="24"/>
                <w:szCs w:val="24"/>
              </w:rPr>
            </w:pPr>
            <w:r w:rsidRPr="00F6174B">
              <w:rPr>
                <w:rFonts w:asciiTheme="minorHAnsi" w:hAnsiTheme="minorHAnsi" w:cstheme="minorHAnsi"/>
                <w:color w:val="000000"/>
                <w:sz w:val="24"/>
                <w:szCs w:val="24"/>
              </w:rPr>
              <w:t>Desempenho Realizado (Rentabilidade no Mês)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5FF847CF"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1A31FA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31D98C7" w14:textId="0A0152D6" w:rsidR="002E2BA2" w:rsidRDefault="002E2BA2" w:rsidP="002E2BA2">
            <w:pPr>
              <w:spacing w:after="0" w:line="240" w:lineRule="auto"/>
              <w:ind w:left="567"/>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Pr="00F6174B">
              <w:rPr>
                <w:rFonts w:asciiTheme="minorHAnsi" w:hAnsiTheme="minorHAnsi" w:cstheme="minorHAnsi"/>
                <w:color w:val="000000"/>
                <w:sz w:val="24"/>
                <w:szCs w:val="24"/>
              </w:rPr>
              <w:t>Classe Subordinada 2</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417ADDFE"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7486DE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2EE6F870" w14:textId="70ADB1DA" w:rsidR="002E2BA2" w:rsidRPr="00F6174B" w:rsidRDefault="002E2BA2" w:rsidP="002E2BA2">
            <w:pPr>
              <w:spacing w:after="0" w:line="240" w:lineRule="auto"/>
              <w:ind w:left="1247"/>
              <w:rPr>
                <w:rFonts w:asciiTheme="minorHAnsi" w:hAnsiTheme="minorHAnsi" w:cstheme="minorHAnsi"/>
                <w:color w:val="000000"/>
                <w:sz w:val="24"/>
                <w:szCs w:val="24"/>
              </w:rPr>
            </w:pPr>
            <w:r w:rsidRPr="00F6174B">
              <w:rPr>
                <w:rFonts w:asciiTheme="minorHAnsi" w:hAnsiTheme="minorHAnsi" w:cstheme="minorHAnsi"/>
                <w:color w:val="000000"/>
                <w:sz w:val="24"/>
                <w:szCs w:val="24"/>
              </w:rPr>
              <w:t>Desempenho Esperado (Benchmark)</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6DD59F2D"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694E4EA"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vAlign w:val="center"/>
          </w:tcPr>
          <w:p w14:paraId="5975B356" w14:textId="491EE37D" w:rsidR="002E2BA2" w:rsidRPr="00F6174B" w:rsidRDefault="002E2BA2" w:rsidP="002E2BA2">
            <w:pPr>
              <w:spacing w:after="0" w:line="240" w:lineRule="auto"/>
              <w:ind w:left="1247"/>
              <w:rPr>
                <w:rFonts w:asciiTheme="minorHAnsi" w:hAnsiTheme="minorHAnsi" w:cstheme="minorHAnsi"/>
                <w:color w:val="000000"/>
                <w:sz w:val="24"/>
                <w:szCs w:val="24"/>
              </w:rPr>
            </w:pPr>
            <w:r w:rsidRPr="00F6174B">
              <w:rPr>
                <w:rFonts w:asciiTheme="minorHAnsi" w:hAnsiTheme="minorHAnsi" w:cstheme="minorHAnsi"/>
                <w:color w:val="000000"/>
                <w:sz w:val="24"/>
                <w:szCs w:val="24"/>
              </w:rPr>
              <w:t>Desempenho Realizado (Rentabilidade no Mês)</w:t>
            </w:r>
          </w:p>
        </w:tc>
        <w:tc>
          <w:tcPr>
            <w:tcW w:w="1607" w:type="pct"/>
            <w:gridSpan w:val="3"/>
            <w:tcBorders>
              <w:top w:val="outset" w:sz="6" w:space="0" w:color="auto"/>
              <w:left w:val="outset" w:sz="6" w:space="0" w:color="auto"/>
              <w:bottom w:val="outset" w:sz="6" w:space="0" w:color="auto"/>
              <w:right w:val="outset" w:sz="6" w:space="0" w:color="auto"/>
            </w:tcBorders>
            <w:vAlign w:val="center"/>
          </w:tcPr>
          <w:p w14:paraId="136DCE6D"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ECDCD2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E80B0FF" w14:textId="7844070A"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7) Garantias</w:t>
            </w:r>
          </w:p>
        </w:tc>
        <w:tc>
          <w:tcPr>
            <w:tcW w:w="1607" w:type="pct"/>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A12D04B"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484A2AE9" w14:textId="77777777" w:rsidTr="00C76133">
        <w:trPr>
          <w:gridAfter w:val="1"/>
          <w:wAfter w:w="50" w:type="pct"/>
        </w:trPr>
        <w:tc>
          <w:tcPr>
            <w:tcW w:w="3343" w:type="pct"/>
            <w:gridSpan w:val="4"/>
            <w:tcBorders>
              <w:top w:val="outset" w:sz="6" w:space="0" w:color="auto"/>
              <w:left w:val="outset" w:sz="6" w:space="0" w:color="auto"/>
              <w:bottom w:val="nil"/>
              <w:right w:val="single" w:sz="4" w:space="0" w:color="auto"/>
            </w:tcBorders>
            <w:shd w:val="clear" w:color="auto" w:fill="A6A6A6" w:themeFill="background1" w:themeFillShade="A6"/>
            <w:vAlign w:val="center"/>
          </w:tcPr>
          <w:p w14:paraId="4CB1010D" w14:textId="605D13D2"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7.1) Valor total das garantias vinculadas aos direitos creditórios</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823C25"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DE6F50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58530030" w14:textId="7053560D"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7.2) Percentual dos direitos creditórios com garantias vinculadas</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3B1D7D"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121F0E3C"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017C82C" w14:textId="4C71CFF7"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8) Resumo das informações prestadas pelo FIDC ao Sistema de Informações de Crédito – SCR do Banco Central do Brasil:</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6739BF"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6F329F5"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3D5B277D" w14:textId="299D7026"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8.1) Valor total dos direitos creditórios reportados ao SCR com base nas classificações de risco dos devedores:</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06BFA6"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920D12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70B17968" w14:textId="7B04DE78"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AA</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8B7BFF"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5A9FE8D"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4630F609" w14:textId="75974F72"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5B892A"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A55BF4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2667E796" w14:textId="76972F33"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B</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2C3763"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55B7A0EF"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0A490E5C" w14:textId="00A5D90E"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C</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B88AF5"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290975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5B193377" w14:textId="700B09F8"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D</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D83C5C"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62C7888"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37A39008" w14:textId="5318DC03"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E</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D95F5F"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D953251"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D803BB4" w14:textId="2FB80BB1"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F</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7F4C0B"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8E61177"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72CBD54F" w14:textId="1D38C4EB"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G</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C3216D"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F6A2793"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13F0C94D" w14:textId="567D3646"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H</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674260"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C5A70EA"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7184AA8F" w14:textId="34AAB0F4"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lastRenderedPageBreak/>
              <w:t>8.2) Valor total dos direitos creditórios reportados ao SCR com base nas classificações de risco das operações:</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903553"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3C9E53E9"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1CD40970" w14:textId="2105D4B5"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AA</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7AD73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47E4FD22"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17D87775" w14:textId="36CFE89B"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A</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6B92A0"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4C93857E"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0F39DFDB" w14:textId="52750592"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B</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4D8FD4"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16EA6F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FB2AFAE" w14:textId="3D08DF06"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C</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0A912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6F1D22D4"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2354EDB" w14:textId="4BCE213E"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D</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1F200B"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0A36B91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A58E0F3" w14:textId="70665EC5"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E</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BAAAC8"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4C56E756"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49EF3F65" w14:textId="3CF59E31"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F</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5FE81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2C37CCB"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443F913F" w14:textId="50976DE8"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G</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B3EE22"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10F326C0" w14:textId="77777777" w:rsidTr="00C76133">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3475DA11" w14:textId="5B224713" w:rsidR="002E2BA2" w:rsidRPr="00F6174B" w:rsidRDefault="002E2BA2" w:rsidP="002E2BA2">
            <w:pPr>
              <w:spacing w:after="0" w:line="240" w:lineRule="auto"/>
              <w:rPr>
                <w:rFonts w:asciiTheme="minorHAnsi" w:hAnsiTheme="minorHAnsi" w:cstheme="minorHAnsi"/>
                <w:color w:val="000000"/>
                <w:sz w:val="24"/>
                <w:szCs w:val="24"/>
              </w:rPr>
            </w:pPr>
            <w:r w:rsidRPr="00F6174B">
              <w:rPr>
                <w:rFonts w:asciiTheme="minorHAnsi" w:hAnsiTheme="minorHAnsi" w:cstheme="minorHAnsi"/>
                <w:color w:val="000000"/>
                <w:sz w:val="24"/>
                <w:szCs w:val="24"/>
              </w:rPr>
              <w:t>H</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3B95EB"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7B05F7E2" w14:textId="77777777" w:rsidTr="00FD7C3D">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4BB34F54" w14:textId="2F039C9A" w:rsidR="002E2BA2" w:rsidRPr="00F6174B" w:rsidRDefault="002E2BA2" w:rsidP="002E2BA2">
            <w:pPr>
              <w:spacing w:after="0" w:line="240" w:lineRule="auto"/>
              <w:rPr>
                <w:rFonts w:asciiTheme="minorHAnsi" w:hAnsiTheme="minorHAnsi" w:cstheme="minorHAnsi"/>
                <w:color w:val="000000" w:themeColor="text1"/>
                <w:sz w:val="24"/>
                <w:szCs w:val="24"/>
              </w:rPr>
            </w:pPr>
            <w:r w:rsidRPr="00F6174B">
              <w:rPr>
                <w:rFonts w:asciiTheme="minorHAnsi" w:hAnsiTheme="minorHAnsi" w:cstheme="minorHAnsi"/>
                <w:color w:val="000000" w:themeColor="text1"/>
                <w:sz w:val="24"/>
                <w:szCs w:val="24"/>
              </w:rPr>
              <w:t>9) Regularidade tributária dos cedentes:</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F71C50" w14:textId="77777777" w:rsidR="002E2BA2" w:rsidRPr="00F6174B" w:rsidRDefault="002E2BA2" w:rsidP="002E2BA2">
            <w:pPr>
              <w:spacing w:after="0" w:line="240" w:lineRule="auto"/>
              <w:ind w:right="-192"/>
              <w:rPr>
                <w:rFonts w:asciiTheme="minorHAnsi" w:hAnsiTheme="minorHAnsi" w:cstheme="minorHAnsi"/>
                <w:color w:val="000000"/>
                <w:sz w:val="24"/>
                <w:szCs w:val="24"/>
              </w:rPr>
            </w:pPr>
          </w:p>
        </w:tc>
      </w:tr>
      <w:tr w:rsidR="002E2BA2" w:rsidRPr="00F6174B" w14:paraId="017E8179" w14:textId="77777777" w:rsidTr="00FD7C3D">
        <w:trPr>
          <w:gridAfter w:val="1"/>
          <w:wAfter w:w="50" w:type="pct"/>
        </w:trPr>
        <w:tc>
          <w:tcPr>
            <w:tcW w:w="3343" w:type="pct"/>
            <w:gridSpan w:val="4"/>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13B25CF0" w14:textId="6D39AA90" w:rsidR="002E2BA2" w:rsidRPr="00F6174B" w:rsidRDefault="002E2BA2" w:rsidP="002E2BA2">
            <w:pPr>
              <w:spacing w:after="0" w:line="240" w:lineRule="auto"/>
              <w:rPr>
                <w:rFonts w:asciiTheme="minorHAnsi" w:hAnsiTheme="minorHAnsi" w:cstheme="minorHAnsi"/>
                <w:color w:val="000000" w:themeColor="text1"/>
                <w:sz w:val="24"/>
                <w:szCs w:val="24"/>
              </w:rPr>
            </w:pPr>
            <w:r w:rsidRPr="00F6174B">
              <w:rPr>
                <w:rFonts w:asciiTheme="minorHAnsi" w:hAnsiTheme="minorHAnsi" w:cstheme="minorHAnsi"/>
                <w:color w:val="000000" w:themeColor="text1"/>
                <w:sz w:val="24"/>
                <w:szCs w:val="24"/>
              </w:rPr>
              <w:t>9.1) Valor total dos direitos creditórios cedidos por cedentes que possuem débitos tributários inscritos em Dívida Ativa da União</w:t>
            </w:r>
          </w:p>
        </w:tc>
        <w:tc>
          <w:tcPr>
            <w:tcW w:w="1607"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A42DD1" w14:textId="77777777" w:rsidR="002E2BA2" w:rsidRPr="00F6174B" w:rsidRDefault="002E2BA2" w:rsidP="002E2BA2">
            <w:pPr>
              <w:spacing w:after="0" w:line="240" w:lineRule="auto"/>
              <w:ind w:right="-192"/>
              <w:rPr>
                <w:rFonts w:asciiTheme="minorHAnsi" w:hAnsiTheme="minorHAnsi" w:cstheme="minorHAnsi"/>
                <w:color w:val="000000"/>
                <w:sz w:val="24"/>
                <w:szCs w:val="24"/>
              </w:rPr>
            </w:pPr>
          </w:p>
        </w:tc>
      </w:tr>
    </w:tbl>
    <w:p w14:paraId="3635E37B" w14:textId="0A50391C" w:rsidR="00EB4EF3" w:rsidRPr="002F774B" w:rsidRDefault="00EB4EF3" w:rsidP="002F774B">
      <w:pPr>
        <w:spacing w:after="0" w:line="240" w:lineRule="auto"/>
        <w:rPr>
          <w:rFonts w:asciiTheme="minorHAnsi" w:hAnsiTheme="minorHAnsi" w:cstheme="minorHAnsi"/>
          <w:b/>
          <w:color w:val="000000"/>
          <w:sz w:val="24"/>
          <w:szCs w:val="24"/>
        </w:rPr>
      </w:pPr>
    </w:p>
    <w:p w14:paraId="663B8D50" w14:textId="1F05A273" w:rsidR="00C20BBD" w:rsidRPr="0097459F" w:rsidRDefault="00C20BBD" w:rsidP="00A95105">
      <w:pPr>
        <w:autoSpaceDE w:val="0"/>
        <w:autoSpaceDN w:val="0"/>
        <w:adjustRightInd w:val="0"/>
        <w:spacing w:after="0" w:line="240" w:lineRule="auto"/>
        <w:ind w:firstLine="709"/>
        <w:jc w:val="center"/>
        <w:rPr>
          <w:rFonts w:asciiTheme="minorHAnsi" w:hAnsiTheme="minorHAnsi" w:cstheme="minorHAnsi"/>
          <w:b/>
          <w:sz w:val="24"/>
          <w:szCs w:val="24"/>
        </w:rPr>
      </w:pPr>
      <w:r w:rsidRPr="0097459F">
        <w:rPr>
          <w:rFonts w:asciiTheme="minorHAnsi" w:hAnsiTheme="minorHAnsi" w:cstheme="minorHAnsi"/>
          <w:b/>
          <w:sz w:val="24"/>
          <w:szCs w:val="24"/>
        </w:rPr>
        <w:t>ATENÇÃO!!!</w:t>
      </w:r>
    </w:p>
    <w:p w14:paraId="088C0DC1" w14:textId="0DC2E6B5" w:rsidR="00C20BBD" w:rsidRPr="0097459F" w:rsidRDefault="00C20BBD" w:rsidP="00D232E0">
      <w:pPr>
        <w:autoSpaceDE w:val="0"/>
        <w:autoSpaceDN w:val="0"/>
        <w:adjustRightInd w:val="0"/>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A existência de campo específico neste informe não significa autorização para sua utilização. O administrador deve observar os critérios estabelecidos na Resolução e no Anexo Normativo que regulamentam a constituição, a administração e o funcionamento do fundo.</w:t>
      </w:r>
    </w:p>
    <w:sectPr w:rsidR="00C20BBD" w:rsidRPr="0097459F" w:rsidSect="0058706A">
      <w:headerReference w:type="default" r:id="rId21"/>
      <w:pgSz w:w="11906" w:h="16838"/>
      <w:pgMar w:top="2268" w:right="567"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ACD97" w16cid:durableId="456ECD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F573" w14:textId="77777777" w:rsidR="009A1B15" w:rsidRDefault="009A1B15" w:rsidP="00492061">
      <w:pPr>
        <w:spacing w:after="0" w:line="240" w:lineRule="auto"/>
      </w:pPr>
      <w:r>
        <w:separator/>
      </w:r>
    </w:p>
  </w:endnote>
  <w:endnote w:type="continuationSeparator" w:id="0">
    <w:p w14:paraId="3E621248" w14:textId="77777777" w:rsidR="009A1B15" w:rsidRDefault="009A1B15" w:rsidP="00492061">
      <w:pPr>
        <w:spacing w:after="0" w:line="240" w:lineRule="auto"/>
      </w:pPr>
      <w:r>
        <w:continuationSeparator/>
      </w:r>
    </w:p>
  </w:endnote>
  <w:endnote w:type="continuationNotice" w:id="1">
    <w:p w14:paraId="4300BB6F" w14:textId="77777777" w:rsidR="009A1B15" w:rsidRDefault="009A1B15">
      <w:pPr>
        <w:spacing w:after="0" w:line="240" w:lineRule="auto"/>
      </w:pPr>
    </w:p>
  </w:endnote>
  <w:endnote w:id="2">
    <w:p w14:paraId="220ECE2F" w14:textId="77777777" w:rsidR="009A1B15" w:rsidRPr="00EA1269" w:rsidRDefault="009A1B15" w:rsidP="00C20BBD">
      <w:pPr>
        <w:pStyle w:val="Textodenotadefim"/>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613350"/>
      <w:docPartObj>
        <w:docPartGallery w:val="Page Numbers (Bottom of Page)"/>
        <w:docPartUnique/>
      </w:docPartObj>
    </w:sdtPr>
    <w:sdtEndPr/>
    <w:sdtContent>
      <w:p w14:paraId="3B3AB821" w14:textId="4D0D565A" w:rsidR="009A1B15" w:rsidRPr="00B9605F" w:rsidRDefault="009A1B15" w:rsidP="00FB36F3">
        <w:pPr>
          <w:pStyle w:val="Rodap"/>
          <w:jc w:val="right"/>
        </w:pPr>
        <w:r w:rsidRPr="00B9605F">
          <w:fldChar w:fldCharType="begin"/>
        </w:r>
        <w:r>
          <w:instrText>PAGE   \* MERGEFORMAT</w:instrText>
        </w:r>
        <w:r w:rsidRPr="00B9605F">
          <w:fldChar w:fldCharType="separate"/>
        </w:r>
        <w:r w:rsidR="000E0035">
          <w:rPr>
            <w:noProof/>
          </w:rPr>
          <w:t>158</w:t>
        </w:r>
        <w:r w:rsidRPr="00B9605F">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14998"/>
      <w:docPartObj>
        <w:docPartGallery w:val="Page Numbers (Bottom of Page)"/>
        <w:docPartUnique/>
      </w:docPartObj>
    </w:sdtPr>
    <w:sdtEndPr/>
    <w:sdtContent>
      <w:p w14:paraId="142004B4" w14:textId="2C8452D0" w:rsidR="0058706A" w:rsidRDefault="0058706A" w:rsidP="0058706A">
        <w:pPr>
          <w:pStyle w:val="Rodap"/>
          <w:jc w:val="right"/>
        </w:pPr>
        <w:r w:rsidRPr="00B9605F">
          <w:fldChar w:fldCharType="begin"/>
        </w:r>
        <w:r>
          <w:instrText>PAGE   \* MERGEFORMAT</w:instrText>
        </w:r>
        <w:r w:rsidRPr="00B9605F">
          <w:fldChar w:fldCharType="separate"/>
        </w:r>
        <w:r w:rsidR="000E0035">
          <w:rPr>
            <w:noProof/>
          </w:rPr>
          <w:t>147</w:t>
        </w:r>
        <w:r w:rsidRPr="00B9605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7A9DF" w14:textId="77777777" w:rsidR="009A1B15" w:rsidRDefault="009A1B15" w:rsidP="00492061">
      <w:pPr>
        <w:spacing w:after="0" w:line="240" w:lineRule="auto"/>
      </w:pPr>
      <w:r>
        <w:separator/>
      </w:r>
    </w:p>
  </w:footnote>
  <w:footnote w:type="continuationSeparator" w:id="0">
    <w:p w14:paraId="47414D94" w14:textId="77777777" w:rsidR="009A1B15" w:rsidRDefault="009A1B15" w:rsidP="00492061">
      <w:pPr>
        <w:spacing w:after="0" w:line="240" w:lineRule="auto"/>
      </w:pPr>
      <w:r>
        <w:continuationSeparator/>
      </w:r>
    </w:p>
  </w:footnote>
  <w:footnote w:type="continuationNotice" w:id="1">
    <w:p w14:paraId="46BAF853" w14:textId="77777777" w:rsidR="009A1B15" w:rsidRDefault="009A1B15">
      <w:pPr>
        <w:spacing w:after="0" w:line="240" w:lineRule="auto"/>
      </w:pPr>
    </w:p>
  </w:footnote>
  <w:footnote w:id="2">
    <w:p w14:paraId="386AF171" w14:textId="77777777" w:rsidR="009A1B15" w:rsidRDefault="009A1B15" w:rsidP="00C20BBD">
      <w:pPr>
        <w:pStyle w:val="Textodenotaderodap"/>
        <w:jc w:val="both"/>
        <w:rPr>
          <w:rFonts w:asciiTheme="minorHAnsi" w:hAnsiTheme="minorHAnsi"/>
        </w:rPr>
      </w:pPr>
      <w:r>
        <w:rPr>
          <w:rFonts w:asciiTheme="minorHAnsi" w:hAnsiTheme="minorHAnsi"/>
        </w:rPr>
        <w:t>INSTRUÇÕES DE PREENCHIMENTO DA LÂMINA</w:t>
      </w:r>
    </w:p>
    <w:p w14:paraId="1F8D423C" w14:textId="1267EFE5" w:rsidR="009A1B15" w:rsidRPr="00EA1269" w:rsidRDefault="009A1B15"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O nome completo do fundo/da classe e seu CNPJ devem constar do rodapé de todas as páginas da lâmina.</w:t>
      </w:r>
    </w:p>
  </w:footnote>
  <w:footnote w:id="3">
    <w:p w14:paraId="0932BA69" w14:textId="77777777" w:rsidR="009A1B15" w:rsidRPr="00EA1269" w:rsidRDefault="009A1B15"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w:t>
      </w:r>
      <w:r w:rsidRPr="00EA1269">
        <w:rPr>
          <w:rFonts w:asciiTheme="minorHAnsi" w:hAnsiTheme="minorHAnsi"/>
          <w:color w:val="0D0D0D"/>
        </w:rPr>
        <w:t>Por exemplo: (i) investir por longo/curto prazo; (ii) preservar seu capital contra inflação; (iii) ampliar seu capital e aceitem perdas; ou (iv) investir no setor [●].</w:t>
      </w:r>
    </w:p>
  </w:footnote>
  <w:footnote w:id="4">
    <w:p w14:paraId="7A2613F9" w14:textId="77777777" w:rsidR="009A1B15" w:rsidRPr="00EA1269" w:rsidRDefault="009A1B15"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Por exemplo: somente aceita aplicações de investidores pessoas jurídicas.</w:t>
      </w:r>
    </w:p>
  </w:footnote>
  <w:footnote w:id="5">
    <w:p w14:paraId="21D942C0" w14:textId="77777777" w:rsidR="009A1B15" w:rsidRPr="00EA1269" w:rsidRDefault="009A1B15"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w:t>
      </w:r>
      <w:r w:rsidRPr="00EA1269">
        <w:rPr>
          <w:rFonts w:asciiTheme="minorHAnsi" w:hAnsiTheme="minorHAnsi"/>
          <w:color w:val="0D0D0D"/>
        </w:rPr>
        <w:t>Por exemplo: (i) acompanhar o CDI; (ii) acompanhar o IBOVESPA; (iii) oferecer rentabilidade superior à do IBOVESPA no longo prazo; ou (iv) acompanhar o desempenho das ações das companhias do setor [●].</w:t>
      </w:r>
    </w:p>
  </w:footnote>
  <w:footnote w:id="6">
    <w:p w14:paraId="26E28D01" w14:textId="77777777" w:rsidR="009A1B15" w:rsidRPr="00EA1269" w:rsidRDefault="009A1B15"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Deve-se incluir tanto o período de conversão quanto o prazo para o pagamento.</w:t>
      </w:r>
    </w:p>
  </w:footnote>
  <w:footnote w:id="7">
    <w:p w14:paraId="5C481D41" w14:textId="5073F96F" w:rsidR="009A1B15" w:rsidRPr="00EA1269" w:rsidRDefault="009A1B15"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Item dispensado nas lâminas apresentadas para registro do fundo/da classe. </w:t>
      </w:r>
    </w:p>
  </w:footnote>
  <w:footnote w:id="8">
    <w:p w14:paraId="559721CD" w14:textId="13636406" w:rsidR="009A1B15" w:rsidRDefault="009A1B15"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Quando se tratar de classes de investimento em cotas, a informação deve ser dada em relação à carteira dos fundos investidos e classes investidas.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6"/>
        <w:gridCol w:w="5859"/>
      </w:tblGrid>
      <w:tr w:rsidR="009A1B15" w:rsidRPr="006C2CE6" w14:paraId="3BE872F9" w14:textId="77777777" w:rsidTr="00477E06">
        <w:tc>
          <w:tcPr>
            <w:tcW w:w="0" w:type="auto"/>
            <w:shd w:val="clear" w:color="auto" w:fill="C6D9F1"/>
          </w:tcPr>
          <w:p w14:paraId="3BACC52D"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Para efeito de preenchimento, as espécies de ativos são: Espécie de ativo</w:t>
            </w:r>
          </w:p>
        </w:tc>
        <w:tc>
          <w:tcPr>
            <w:tcW w:w="0" w:type="auto"/>
            <w:shd w:val="clear" w:color="auto" w:fill="C6D9F1"/>
          </w:tcPr>
          <w:p w14:paraId="6E1522E4"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Descrição</w:t>
            </w:r>
          </w:p>
        </w:tc>
      </w:tr>
      <w:tr w:rsidR="009A1B15" w:rsidRPr="006C2CE6" w14:paraId="70F367AB" w14:textId="77777777" w:rsidTr="00477E06">
        <w:tc>
          <w:tcPr>
            <w:tcW w:w="0" w:type="auto"/>
          </w:tcPr>
          <w:p w14:paraId="5F8F94E5"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Títulos públicos federais</w:t>
            </w:r>
          </w:p>
        </w:tc>
        <w:tc>
          <w:tcPr>
            <w:tcW w:w="0" w:type="auto"/>
          </w:tcPr>
          <w:p w14:paraId="224FF840"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color w:val="000000"/>
              </w:rPr>
              <w:t>LTN; LFT; todas as séries de NTN</w:t>
            </w:r>
          </w:p>
        </w:tc>
      </w:tr>
      <w:tr w:rsidR="009A1B15" w:rsidRPr="006C2CE6" w14:paraId="210A269E" w14:textId="77777777" w:rsidTr="00477E06">
        <w:tc>
          <w:tcPr>
            <w:tcW w:w="0" w:type="auto"/>
          </w:tcPr>
          <w:p w14:paraId="44DD02B5"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Operações compromissadas lastreadas em títulos públicos federais</w:t>
            </w:r>
          </w:p>
        </w:tc>
        <w:tc>
          <w:tcPr>
            <w:tcW w:w="0" w:type="auto"/>
          </w:tcPr>
          <w:p w14:paraId="6DBDAFB2"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color w:val="000000"/>
              </w:rPr>
              <w:t>Operações de compra ou venda de ativos pelo fundo com garantia de recompra ou revenda pelo vendedor</w:t>
            </w:r>
          </w:p>
        </w:tc>
      </w:tr>
      <w:tr w:rsidR="009A1B15" w:rsidRPr="006C2CE6" w14:paraId="0E572A63" w14:textId="77777777" w:rsidTr="00477E06">
        <w:tc>
          <w:tcPr>
            <w:tcW w:w="0" w:type="auto"/>
          </w:tcPr>
          <w:p w14:paraId="1D78450E"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Operações compromissadas lastreadas em títulos privados</w:t>
            </w:r>
          </w:p>
        </w:tc>
        <w:tc>
          <w:tcPr>
            <w:tcW w:w="0" w:type="auto"/>
          </w:tcPr>
          <w:p w14:paraId="29FDF2C5" w14:textId="77777777" w:rsidR="009A1B15" w:rsidRPr="00EA1269" w:rsidRDefault="009A1B15" w:rsidP="00DE19FE">
            <w:pPr>
              <w:pStyle w:val="Textodenotaderodap"/>
              <w:jc w:val="both"/>
              <w:rPr>
                <w:rFonts w:asciiTheme="minorHAnsi" w:hAnsiTheme="minorHAnsi"/>
                <w:color w:val="000000"/>
              </w:rPr>
            </w:pPr>
            <w:r w:rsidRPr="00EA1269">
              <w:rPr>
                <w:rFonts w:asciiTheme="minorHAnsi" w:hAnsiTheme="minorHAnsi"/>
                <w:color w:val="000000"/>
              </w:rPr>
              <w:t>Operações de compra ou venda de ativos pelo fundo com garantia de recompra ou revenda pelo vendedor</w:t>
            </w:r>
          </w:p>
        </w:tc>
      </w:tr>
      <w:tr w:rsidR="009A1B15" w:rsidRPr="006C2CE6" w14:paraId="5A8936AF" w14:textId="77777777" w:rsidTr="00477E06">
        <w:tc>
          <w:tcPr>
            <w:tcW w:w="0" w:type="auto"/>
          </w:tcPr>
          <w:p w14:paraId="4101E1FF"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Ações</w:t>
            </w:r>
          </w:p>
        </w:tc>
        <w:tc>
          <w:tcPr>
            <w:tcW w:w="0" w:type="auto"/>
          </w:tcPr>
          <w:p w14:paraId="0047B8CD"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color w:val="000000"/>
              </w:rPr>
              <w:t>Ações e certificados de depósito de ações de companhias abertas</w:t>
            </w:r>
          </w:p>
        </w:tc>
      </w:tr>
      <w:tr w:rsidR="009A1B15" w:rsidRPr="006C2CE6" w14:paraId="779EDA9F" w14:textId="77777777" w:rsidTr="00477E06">
        <w:tc>
          <w:tcPr>
            <w:tcW w:w="0" w:type="auto"/>
          </w:tcPr>
          <w:p w14:paraId="5D03C9D7"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Depósitos a prazo e outros títulos de instituições financeiras</w:t>
            </w:r>
          </w:p>
        </w:tc>
        <w:tc>
          <w:tcPr>
            <w:tcW w:w="0" w:type="auto"/>
          </w:tcPr>
          <w:p w14:paraId="75632567"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color w:val="000000"/>
              </w:rPr>
              <w:t>CDB, RDB, LF, DPGE, CCCB, LCA, LCI</w:t>
            </w:r>
          </w:p>
        </w:tc>
      </w:tr>
      <w:tr w:rsidR="009A1B15" w:rsidRPr="006C2CE6" w14:paraId="4941103F" w14:textId="77777777" w:rsidTr="00477E06">
        <w:tc>
          <w:tcPr>
            <w:tcW w:w="0" w:type="auto"/>
          </w:tcPr>
          <w:p w14:paraId="24360FDB"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 xml:space="preserve">Cotas de fundos de investimento e classes Res. </w:t>
            </w:r>
            <w:r>
              <w:rPr>
                <w:rFonts w:asciiTheme="minorHAnsi" w:hAnsiTheme="minorHAnsi"/>
              </w:rPr>
              <w:t>175, de 2022</w:t>
            </w:r>
          </w:p>
        </w:tc>
        <w:tc>
          <w:tcPr>
            <w:tcW w:w="0" w:type="auto"/>
          </w:tcPr>
          <w:p w14:paraId="490B1568"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color w:val="000000"/>
              </w:rPr>
              <w:t xml:space="preserve">Cotas de fundos de investimento regulados pela Res. CVM nº </w:t>
            </w:r>
            <w:r>
              <w:rPr>
                <w:rFonts w:asciiTheme="minorHAnsi" w:hAnsiTheme="minorHAnsi"/>
                <w:color w:val="000000"/>
              </w:rPr>
              <w:t>175, de 2022</w:t>
            </w:r>
          </w:p>
        </w:tc>
      </w:tr>
      <w:tr w:rsidR="009A1B15" w:rsidRPr="006C2CE6" w14:paraId="2FFE35B1" w14:textId="77777777" w:rsidTr="00477E06">
        <w:tc>
          <w:tcPr>
            <w:tcW w:w="0" w:type="auto"/>
          </w:tcPr>
          <w:p w14:paraId="60191614"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Outras cotas de fundos de investimento</w:t>
            </w:r>
          </w:p>
        </w:tc>
        <w:tc>
          <w:tcPr>
            <w:tcW w:w="0" w:type="auto"/>
          </w:tcPr>
          <w:p w14:paraId="3D70EB43" w14:textId="77777777" w:rsidR="009A1B15" w:rsidRPr="00EA1269" w:rsidRDefault="009A1B15" w:rsidP="00DE19FE">
            <w:pPr>
              <w:pStyle w:val="Textodenotaderodap"/>
              <w:jc w:val="both"/>
              <w:rPr>
                <w:rFonts w:asciiTheme="minorHAnsi" w:hAnsiTheme="minorHAnsi"/>
                <w:color w:val="000000"/>
              </w:rPr>
            </w:pPr>
            <w:r w:rsidRPr="00EA1269">
              <w:rPr>
                <w:rFonts w:asciiTheme="minorHAnsi" w:hAnsiTheme="minorHAnsi"/>
                <w:color w:val="000000"/>
              </w:rPr>
              <w:t>Cotas de fundos de investimento regulados por outras instruções da CVM.</w:t>
            </w:r>
          </w:p>
        </w:tc>
      </w:tr>
      <w:tr w:rsidR="009A1B15" w:rsidRPr="006C2CE6" w14:paraId="1FE21701" w14:textId="77777777" w:rsidTr="00477E06">
        <w:tc>
          <w:tcPr>
            <w:tcW w:w="0" w:type="auto"/>
          </w:tcPr>
          <w:p w14:paraId="465EA4A9"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Títulos de crédito privado</w:t>
            </w:r>
          </w:p>
        </w:tc>
        <w:tc>
          <w:tcPr>
            <w:tcW w:w="0" w:type="auto"/>
          </w:tcPr>
          <w:p w14:paraId="37DFCDAC"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color w:val="000000"/>
              </w:rPr>
              <w:t xml:space="preserve">Debêntures, notas promissórias, </w:t>
            </w:r>
            <w:r w:rsidRPr="00EA1269">
              <w:rPr>
                <w:rFonts w:asciiTheme="minorHAnsi" w:hAnsiTheme="minorHAnsi"/>
                <w:b/>
                <w:color w:val="000000"/>
              </w:rPr>
              <w:t>commercial paper</w:t>
            </w:r>
            <w:r w:rsidRPr="00EA1269">
              <w:rPr>
                <w:rFonts w:asciiTheme="minorHAnsi" w:hAnsiTheme="minorHAnsi"/>
                <w:color w:val="000000"/>
              </w:rPr>
              <w:t xml:space="preserve">, </w:t>
            </w:r>
            <w:r w:rsidRPr="00EA1269">
              <w:rPr>
                <w:rFonts w:asciiTheme="minorHAnsi" w:hAnsiTheme="minorHAnsi"/>
                <w:b/>
                <w:color w:val="000000"/>
              </w:rPr>
              <w:t>export note</w:t>
            </w:r>
            <w:r w:rsidRPr="00EA1269">
              <w:rPr>
                <w:rFonts w:asciiTheme="minorHAnsi" w:hAnsiTheme="minorHAnsi"/>
                <w:color w:val="000000"/>
              </w:rPr>
              <w:t>, CCB, CPR, WA, NCA, CDA e CDCA</w:t>
            </w:r>
          </w:p>
        </w:tc>
      </w:tr>
      <w:tr w:rsidR="009A1B15" w:rsidRPr="006C2CE6" w14:paraId="768BDBEF" w14:textId="77777777" w:rsidTr="00477E06">
        <w:tc>
          <w:tcPr>
            <w:tcW w:w="0" w:type="auto"/>
          </w:tcPr>
          <w:p w14:paraId="3F993AD5"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Derivativos</w:t>
            </w:r>
          </w:p>
        </w:tc>
        <w:tc>
          <w:tcPr>
            <w:tcW w:w="0" w:type="auto"/>
          </w:tcPr>
          <w:p w14:paraId="7472E36E"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b/>
                <w:color w:val="000000"/>
              </w:rPr>
              <w:t>Swaps</w:t>
            </w:r>
            <w:r w:rsidRPr="00EA1269">
              <w:rPr>
                <w:rFonts w:asciiTheme="minorHAnsi" w:hAnsiTheme="minorHAnsi"/>
                <w:color w:val="000000"/>
              </w:rPr>
              <w:t>, opções, operações a termo e operações no mercado futuro</w:t>
            </w:r>
          </w:p>
        </w:tc>
      </w:tr>
      <w:tr w:rsidR="009A1B15" w:rsidRPr="006C2CE6" w14:paraId="505FF666" w14:textId="77777777" w:rsidTr="00477E06">
        <w:tc>
          <w:tcPr>
            <w:tcW w:w="0" w:type="auto"/>
          </w:tcPr>
          <w:p w14:paraId="6E814C18"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Investimento no exterior</w:t>
            </w:r>
          </w:p>
        </w:tc>
        <w:tc>
          <w:tcPr>
            <w:tcW w:w="0" w:type="auto"/>
          </w:tcPr>
          <w:p w14:paraId="715120B0"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color w:val="000000"/>
              </w:rPr>
              <w:t>Ativos financeiros adquiridos no exterior</w:t>
            </w:r>
          </w:p>
        </w:tc>
      </w:tr>
      <w:tr w:rsidR="009A1B15" w:rsidRPr="006C2CE6" w14:paraId="775B0BD5" w14:textId="77777777" w:rsidTr="00477E06">
        <w:tc>
          <w:tcPr>
            <w:tcW w:w="0" w:type="auto"/>
          </w:tcPr>
          <w:p w14:paraId="0C7C87A4"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rPr>
              <w:t>Outras aplicações</w:t>
            </w:r>
          </w:p>
        </w:tc>
        <w:tc>
          <w:tcPr>
            <w:tcW w:w="0" w:type="auto"/>
          </w:tcPr>
          <w:p w14:paraId="206C573A" w14:textId="77777777" w:rsidR="009A1B15" w:rsidRPr="00EA1269" w:rsidRDefault="009A1B15" w:rsidP="00DE19FE">
            <w:pPr>
              <w:pStyle w:val="Textodenotaderodap"/>
              <w:jc w:val="both"/>
              <w:rPr>
                <w:rFonts w:asciiTheme="minorHAnsi" w:hAnsiTheme="minorHAnsi"/>
              </w:rPr>
            </w:pPr>
            <w:r w:rsidRPr="00EA1269">
              <w:rPr>
                <w:rFonts w:asciiTheme="minorHAnsi" w:hAnsiTheme="minorHAnsi"/>
                <w:color w:val="000000"/>
              </w:rPr>
              <w:t>Qualquer aplicação que não possa ser classificada nas opções anteriores</w:t>
            </w:r>
          </w:p>
        </w:tc>
      </w:tr>
    </w:tbl>
    <w:p w14:paraId="6701015C" w14:textId="77777777" w:rsidR="009A1B15" w:rsidRPr="00EA1269" w:rsidRDefault="009A1B15" w:rsidP="00C20BBD">
      <w:pPr>
        <w:pStyle w:val="Textodenotaderodap"/>
        <w:jc w:val="both"/>
        <w:rPr>
          <w:rFonts w:asciiTheme="minorHAnsi" w:hAnsiTheme="minorHAnsi"/>
        </w:rPr>
      </w:pPr>
    </w:p>
  </w:footnote>
  <w:footnote w:id="9">
    <w:p w14:paraId="2D089560" w14:textId="49DA402C" w:rsidR="009A1B15" w:rsidRPr="00EA1269" w:rsidRDefault="009A1B15"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Item dispensado nas lâminas apresentadas para registro do fundo e da classe.</w:t>
      </w:r>
    </w:p>
  </w:footnote>
  <w:footnote w:id="10">
    <w:p w14:paraId="3D575579" w14:textId="77777777" w:rsidR="009A1B15" w:rsidRPr="00A77997" w:rsidRDefault="009A1B15"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Os fundos estruturados são definidos </w:t>
      </w:r>
      <w:r w:rsidRPr="0031281E">
        <w:rPr>
          <w:rFonts w:asciiTheme="minorHAnsi" w:hAnsiTheme="minorHAnsi"/>
        </w:rPr>
        <w:t xml:space="preserve">no </w:t>
      </w:r>
      <w:r w:rsidRPr="00A77997">
        <w:rPr>
          <w:rFonts w:asciiTheme="minorHAnsi" w:hAnsiTheme="minorHAnsi"/>
        </w:rPr>
        <w:t>OFÍCIO-CIRCULAR/CVM/SIN/Nº 1/2010, de 8 de janeiro de 2010.</w:t>
      </w:r>
    </w:p>
  </w:footnote>
  <w:footnote w:id="11">
    <w:p w14:paraId="5A76D560" w14:textId="648E81DA" w:rsidR="009A1B15" w:rsidRPr="00A77997" w:rsidRDefault="009A1B15"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Item dispensado nas lâminas apresentadas na instrução do pedido de registro e até que a classe complete 1 (um) ano de operação.</w:t>
      </w:r>
    </w:p>
  </w:footnote>
  <w:footnote w:id="12">
    <w:p w14:paraId="1BE4BC96" w14:textId="77777777" w:rsidR="009A1B15" w:rsidRPr="00A77997" w:rsidRDefault="009A1B15"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Meses devem ser ajustados de acordo com a data de atualização da lâmina.</w:t>
      </w:r>
    </w:p>
  </w:footnote>
  <w:footnote w:id="13">
    <w:p w14:paraId="312391DF" w14:textId="6FB7EC5D" w:rsidR="009A1B15" w:rsidRPr="00A77997" w:rsidRDefault="009A1B15"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Item dispensado nas lâminas apresentadas na instrução do pedido de registro e até que o a classe complete 1 (um) ano de operação.</w:t>
      </w:r>
    </w:p>
  </w:footnote>
  <w:footnote w:id="14">
    <w:p w14:paraId="3C9FE783" w14:textId="57DD8A5C" w:rsidR="009A1B15" w:rsidRPr="00A77997" w:rsidRDefault="009A1B15"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Item dispensado nas lâminas apresentadas na instrução do pedido de registro e até que o a classe complete 1 (um) ano de operação.</w:t>
      </w:r>
    </w:p>
  </w:footnote>
  <w:footnote w:id="15">
    <w:p w14:paraId="5D815BB6" w14:textId="77777777" w:rsidR="009A1B15" w:rsidRPr="00A77997" w:rsidRDefault="009A1B15"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Período de 12 meses a que se refere a Demonstração. </w:t>
      </w:r>
    </w:p>
  </w:footnote>
  <w:footnote w:id="16">
    <w:p w14:paraId="46A84E20" w14:textId="77777777" w:rsidR="009A1B15" w:rsidRPr="006D14CD" w:rsidRDefault="009A1B15"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Preencher somente quando o gestor não pertencer ao mesmo grupo econômico</w:t>
      </w:r>
      <w:r w:rsidRPr="006D14CD">
        <w:rPr>
          <w:rFonts w:asciiTheme="minorHAnsi" w:hAnsiTheme="minorHAnsi"/>
        </w:rPr>
        <w:t xml:space="preserve"> do administrador.</w:t>
      </w:r>
    </w:p>
  </w:footnote>
  <w:footnote w:id="17">
    <w:p w14:paraId="41CA08E0" w14:textId="1E8C1B27" w:rsidR="009A1B15" w:rsidRPr="006D14CD" w:rsidRDefault="009A1B15" w:rsidP="00C20BBD">
      <w:pPr>
        <w:pStyle w:val="Textodenotaderodap"/>
        <w:jc w:val="both"/>
        <w:rPr>
          <w:rFonts w:asciiTheme="minorHAnsi" w:hAnsiTheme="minorHAnsi"/>
        </w:rPr>
      </w:pPr>
      <w:r w:rsidRPr="006D14CD">
        <w:rPr>
          <w:rStyle w:val="Refdenotaderodap"/>
          <w:rFonts w:asciiTheme="minorHAnsi" w:hAnsiTheme="minorHAnsi"/>
        </w:rPr>
        <w:footnoteRef/>
      </w:r>
      <w:r w:rsidRPr="006D14CD">
        <w:rPr>
          <w:rFonts w:asciiTheme="minorHAnsi" w:hAnsiTheme="minorHAnsi"/>
        </w:rPr>
        <w:t xml:space="preserve"> Item dispensado nas lâminas apresentadas na instrução do pedido de registro e até que o a classe complete 1 (um) ano de operação.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81E3" w14:textId="77777777" w:rsidR="009A1B15" w:rsidRPr="00F5071A" w:rsidRDefault="009A1B15"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3351986F" wp14:editId="5C519FB5">
          <wp:extent cx="657225" cy="628650"/>
          <wp:effectExtent l="0" t="0" r="0" b="0"/>
          <wp:docPr id="6" name="Imagem 6"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5ADC19A" w14:textId="77777777" w:rsidR="009A1B15" w:rsidRPr="00E97FA5" w:rsidRDefault="009A1B15"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15E8E626" w14:textId="77777777" w:rsidR="009A1B15" w:rsidRPr="00E97FA5" w:rsidRDefault="009A1B15"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22D1F1EF" w14:textId="77777777" w:rsidR="009A1B15" w:rsidRPr="00F5071A" w:rsidRDefault="009A1B15"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6B3B2527" w14:textId="77777777" w:rsidR="009A1B15" w:rsidRPr="00F5071A" w:rsidRDefault="009A1B15"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026CD856" w14:textId="38167270" w:rsidR="009A1B15" w:rsidRDefault="000E0035" w:rsidP="0049054F">
    <w:pPr>
      <w:tabs>
        <w:tab w:val="center" w:pos="4252"/>
        <w:tab w:val="right" w:pos="8504"/>
      </w:tabs>
      <w:spacing w:after="0" w:line="240" w:lineRule="auto"/>
      <w:ind w:firstLine="142"/>
      <w:jc w:val="center"/>
      <w:rPr>
        <w:rFonts w:ascii="Calibri" w:hAnsi="Calibri"/>
        <w:sz w:val="18"/>
      </w:rPr>
    </w:pPr>
    <w:hyperlink r:id="rId2" w:history="1">
      <w:r w:rsidR="009A1B15" w:rsidRPr="00F5071A">
        <w:rPr>
          <w:rFonts w:ascii="Calibri" w:hAnsi="Calibri" w:cs="Calibri"/>
          <w:noProof/>
          <w:color w:val="0000FF"/>
          <w:sz w:val="18"/>
          <w:szCs w:val="18"/>
          <w:u w:val="single"/>
        </w:rPr>
        <w:t>www.cvm.gov.br</w:t>
      </w:r>
    </w:hyperlink>
  </w:p>
  <w:p w14:paraId="5030FDC4" w14:textId="0A37CF2E" w:rsidR="009A1B15" w:rsidRDefault="009A1B15" w:rsidP="0049054F">
    <w:pPr>
      <w:tabs>
        <w:tab w:val="center" w:pos="4252"/>
        <w:tab w:val="right" w:pos="8504"/>
      </w:tabs>
      <w:spacing w:after="0" w:line="240" w:lineRule="auto"/>
      <w:ind w:firstLine="142"/>
      <w:jc w:val="center"/>
      <w:rPr>
        <w:rFonts w:ascii="Calibri" w:hAnsi="Calibri"/>
        <w:sz w:val="18"/>
      </w:rPr>
    </w:pPr>
  </w:p>
  <w:p w14:paraId="1A13C27F" w14:textId="5E0AD2A1" w:rsidR="009A1B15" w:rsidRPr="00672589" w:rsidRDefault="009A1B15" w:rsidP="003E06AC">
    <w:pPr>
      <w:tabs>
        <w:tab w:val="center" w:pos="4252"/>
        <w:tab w:val="right" w:pos="8504"/>
      </w:tabs>
      <w:spacing w:after="0" w:line="240" w:lineRule="auto"/>
      <w:ind w:firstLine="142"/>
      <w:jc w:val="both"/>
      <w:rPr>
        <w:rFonts w:ascii="Calibri" w:hAnsi="Calibri"/>
        <w:sz w:val="18"/>
        <w:szCs w:val="18"/>
      </w:rPr>
    </w:pPr>
    <w:r w:rsidRPr="00672589">
      <w:rPr>
        <w:rFonts w:ascii="Calibri" w:hAnsi="Calibri"/>
        <w:sz w:val="18"/>
        <w:szCs w:val="18"/>
      </w:rPr>
      <w:t xml:space="preserve">RESOLUÇÃO CVM Nº 175, DE </w:t>
    </w:r>
    <w:r>
      <w:rPr>
        <w:rFonts w:ascii="Calibri" w:hAnsi="Calibri"/>
        <w:sz w:val="18"/>
        <w:szCs w:val="18"/>
      </w:rPr>
      <w:t>23</w:t>
    </w:r>
    <w:r w:rsidRPr="00672589">
      <w:rPr>
        <w:rFonts w:ascii="Calibri" w:hAnsi="Calibri"/>
        <w:sz w:val="18"/>
        <w:szCs w:val="18"/>
      </w:rPr>
      <w:t xml:space="preserve"> DE DEZEMBRO DE 2022.</w:t>
    </w:r>
  </w:p>
  <w:p w14:paraId="01242515" w14:textId="77777777" w:rsidR="009A1B15" w:rsidRPr="0049054F" w:rsidRDefault="009A1B15" w:rsidP="003E06AC">
    <w:pPr>
      <w:tabs>
        <w:tab w:val="center" w:pos="4252"/>
        <w:tab w:val="right" w:pos="8504"/>
      </w:tabs>
      <w:spacing w:after="0" w:line="240" w:lineRule="auto"/>
      <w:ind w:firstLine="142"/>
      <w:jc w:val="both"/>
      <w:rPr>
        <w:rFonts w:ascii="Calibri" w:hAnsi="Calibri"/>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D5B6" w14:textId="77777777" w:rsidR="009A1B15" w:rsidRPr="00F5071A" w:rsidRDefault="009A1B15"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44A74E5A" wp14:editId="6175BF31">
          <wp:extent cx="657225" cy="628650"/>
          <wp:effectExtent l="0" t="0" r="0"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49808BD2" w14:textId="77777777" w:rsidR="009A1B15" w:rsidRPr="00E97FA5" w:rsidRDefault="009A1B15"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380D5EC" w14:textId="77777777" w:rsidR="009A1B15" w:rsidRPr="00E97FA5" w:rsidRDefault="009A1B15"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609BA862" w14:textId="77777777" w:rsidR="009A1B15" w:rsidRPr="00F5071A" w:rsidRDefault="009A1B15"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4E9795C9" w14:textId="77777777" w:rsidR="009A1B15" w:rsidRPr="00F5071A" w:rsidRDefault="009A1B15"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285A2639" w14:textId="77777777" w:rsidR="009A1B15" w:rsidRDefault="000E0035" w:rsidP="005821E2">
    <w:pPr>
      <w:tabs>
        <w:tab w:val="center" w:pos="4252"/>
        <w:tab w:val="right" w:pos="8504"/>
      </w:tabs>
      <w:spacing w:after="0" w:line="240" w:lineRule="auto"/>
      <w:ind w:firstLine="142"/>
      <w:jc w:val="center"/>
      <w:rPr>
        <w:rFonts w:ascii="Calibri" w:hAnsi="Calibri"/>
        <w:sz w:val="18"/>
      </w:rPr>
    </w:pPr>
    <w:hyperlink r:id="rId2" w:history="1">
      <w:r w:rsidR="009A1B15" w:rsidRPr="00F5071A">
        <w:rPr>
          <w:rFonts w:ascii="Calibri" w:hAnsi="Calibri" w:cs="Calibri"/>
          <w:noProof/>
          <w:color w:val="0000FF"/>
          <w:sz w:val="18"/>
          <w:szCs w:val="18"/>
          <w:u w:val="single"/>
        </w:rPr>
        <w:t>www.cvm.gov.br</w:t>
      </w:r>
    </w:hyperlink>
  </w:p>
  <w:p w14:paraId="25792942" w14:textId="77777777" w:rsidR="009A1B15" w:rsidRDefault="009A1B15" w:rsidP="005821E2">
    <w:pPr>
      <w:tabs>
        <w:tab w:val="center" w:pos="4252"/>
        <w:tab w:val="right" w:pos="8504"/>
      </w:tabs>
      <w:spacing w:after="0" w:line="240" w:lineRule="auto"/>
      <w:ind w:firstLine="142"/>
      <w:jc w:val="center"/>
      <w:rPr>
        <w:rFonts w:ascii="Calibri" w:hAnsi="Calibri"/>
        <w:sz w:val="18"/>
      </w:rPr>
    </w:pPr>
  </w:p>
  <w:p w14:paraId="34308692" w14:textId="0EC74DDF" w:rsidR="009A1B15" w:rsidRPr="00672589" w:rsidRDefault="009A1B15" w:rsidP="005821E2">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3466" w14:textId="77777777" w:rsidR="009A1B15" w:rsidRPr="00F5071A" w:rsidRDefault="009A1B15"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10B90389" wp14:editId="24C95B3D">
          <wp:extent cx="657225" cy="628650"/>
          <wp:effectExtent l="0" t="0" r="0" b="0"/>
          <wp:docPr id="5" name="Imagem 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F55F2D1" w14:textId="77777777" w:rsidR="009A1B15" w:rsidRPr="00E97FA5" w:rsidRDefault="009A1B15"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F50F385" w14:textId="77777777" w:rsidR="009A1B15" w:rsidRPr="00E97FA5" w:rsidRDefault="009A1B15"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0F9B2CFB" w14:textId="77777777" w:rsidR="009A1B15" w:rsidRPr="00F5071A" w:rsidRDefault="009A1B15"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4F194FCE" w14:textId="77777777" w:rsidR="009A1B15" w:rsidRPr="00F5071A" w:rsidRDefault="009A1B15"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19177BA3" w14:textId="77777777" w:rsidR="009A1B15" w:rsidRDefault="000E0035" w:rsidP="0049054F">
    <w:pPr>
      <w:tabs>
        <w:tab w:val="center" w:pos="4252"/>
        <w:tab w:val="right" w:pos="8504"/>
      </w:tabs>
      <w:spacing w:after="0" w:line="240" w:lineRule="auto"/>
      <w:ind w:firstLine="142"/>
      <w:jc w:val="center"/>
      <w:rPr>
        <w:rFonts w:ascii="Calibri" w:hAnsi="Calibri"/>
        <w:sz w:val="18"/>
      </w:rPr>
    </w:pPr>
    <w:hyperlink r:id="rId2" w:history="1">
      <w:r w:rsidR="009A1B15" w:rsidRPr="00F5071A">
        <w:rPr>
          <w:rFonts w:ascii="Calibri" w:hAnsi="Calibri" w:cs="Calibri"/>
          <w:noProof/>
          <w:color w:val="0000FF"/>
          <w:sz w:val="18"/>
          <w:szCs w:val="18"/>
          <w:u w:val="single"/>
        </w:rPr>
        <w:t>www.cvm.gov.br</w:t>
      </w:r>
    </w:hyperlink>
  </w:p>
  <w:p w14:paraId="34EEE1F9" w14:textId="77777777" w:rsidR="009A1B15" w:rsidRDefault="009A1B15" w:rsidP="0049054F">
    <w:pPr>
      <w:tabs>
        <w:tab w:val="center" w:pos="4252"/>
        <w:tab w:val="right" w:pos="8504"/>
      </w:tabs>
      <w:spacing w:after="0" w:line="240" w:lineRule="auto"/>
      <w:ind w:firstLine="142"/>
      <w:jc w:val="center"/>
      <w:rPr>
        <w:rFonts w:ascii="Calibri" w:hAnsi="Calibri"/>
        <w:sz w:val="18"/>
      </w:rPr>
    </w:pPr>
  </w:p>
  <w:p w14:paraId="4B5FEB6B" w14:textId="4966C047" w:rsidR="009A1B15" w:rsidRPr="00672589" w:rsidRDefault="009A1B15"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I DA RESOLUÇÃO CVM Nº 175</w:t>
    </w:r>
    <w:r w:rsidR="00DC399F">
      <w:rPr>
        <w:rFonts w:ascii="Calibri" w:hAnsi="Calibri"/>
        <w:sz w:val="18"/>
        <w:szCs w:val="18"/>
      </w:rPr>
      <w:t>,</w:t>
    </w:r>
    <w:r>
      <w:rPr>
        <w:rFonts w:ascii="Calibri" w:hAnsi="Calibri"/>
        <w:sz w:val="18"/>
        <w:szCs w:val="18"/>
      </w:rPr>
      <w:t xml:space="preserve"> DE </w:t>
    </w:r>
    <w:r w:rsidR="00DC399F">
      <w:rPr>
        <w:rFonts w:ascii="Calibri" w:hAnsi="Calibri"/>
        <w:sz w:val="18"/>
        <w:szCs w:val="18"/>
      </w:rPr>
      <w:t xml:space="preserve">23 DE </w:t>
    </w:r>
    <w:r>
      <w:rPr>
        <w:rFonts w:ascii="Calibri" w:hAnsi="Calibri"/>
        <w:sz w:val="18"/>
        <w:szCs w:val="18"/>
      </w:rPr>
      <w:t>DEZEMBRO DE 2022</w:t>
    </w:r>
    <w:r w:rsidRPr="00672589">
      <w:rPr>
        <w:rFonts w:ascii="Calibri" w:hAnsi="Calibri"/>
        <w:sz w:val="18"/>
        <w:szCs w:val="18"/>
      </w:rPr>
      <w:t>.</w:t>
    </w:r>
  </w:p>
  <w:p w14:paraId="39D7392B" w14:textId="77777777" w:rsidR="009A1B15" w:rsidRPr="0049054F" w:rsidRDefault="009A1B15" w:rsidP="003E06AC">
    <w:pPr>
      <w:tabs>
        <w:tab w:val="center" w:pos="4252"/>
        <w:tab w:val="right" w:pos="8504"/>
      </w:tabs>
      <w:spacing w:after="0" w:line="240" w:lineRule="auto"/>
      <w:ind w:firstLine="142"/>
      <w:jc w:val="both"/>
      <w:rPr>
        <w:rFonts w:ascii="Calibri" w:hAnsi="Calibri"/>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E5B7" w14:textId="77777777" w:rsidR="009A1B15" w:rsidRPr="00F5071A" w:rsidRDefault="009A1B15"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34BC1986" wp14:editId="2F2BEB9E">
          <wp:extent cx="657225" cy="628650"/>
          <wp:effectExtent l="0" t="0" r="0" b="0"/>
          <wp:docPr id="9" name="Imagem 9"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3BE80C2" w14:textId="77777777" w:rsidR="009A1B15" w:rsidRPr="00E97FA5" w:rsidRDefault="009A1B15"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4E5E862A" w14:textId="77777777" w:rsidR="009A1B15" w:rsidRPr="00E97FA5" w:rsidRDefault="009A1B15"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1B4DE47C" w14:textId="77777777" w:rsidR="009A1B15" w:rsidRPr="00F5071A" w:rsidRDefault="009A1B15"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164319C1" w14:textId="77777777" w:rsidR="009A1B15" w:rsidRPr="00F5071A" w:rsidRDefault="009A1B15"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273FB723" w14:textId="77777777" w:rsidR="009A1B15" w:rsidRDefault="000E0035" w:rsidP="0049054F">
    <w:pPr>
      <w:tabs>
        <w:tab w:val="center" w:pos="4252"/>
        <w:tab w:val="right" w:pos="8504"/>
      </w:tabs>
      <w:spacing w:after="0" w:line="240" w:lineRule="auto"/>
      <w:ind w:firstLine="142"/>
      <w:jc w:val="center"/>
      <w:rPr>
        <w:rFonts w:ascii="Calibri" w:hAnsi="Calibri"/>
        <w:sz w:val="18"/>
      </w:rPr>
    </w:pPr>
    <w:hyperlink r:id="rId2" w:history="1">
      <w:r w:rsidR="009A1B15" w:rsidRPr="00F5071A">
        <w:rPr>
          <w:rFonts w:ascii="Calibri" w:hAnsi="Calibri" w:cs="Calibri"/>
          <w:noProof/>
          <w:color w:val="0000FF"/>
          <w:sz w:val="18"/>
          <w:szCs w:val="18"/>
          <w:u w:val="single"/>
        </w:rPr>
        <w:t>www.cvm.gov.br</w:t>
      </w:r>
    </w:hyperlink>
  </w:p>
  <w:p w14:paraId="52619221" w14:textId="77777777" w:rsidR="009A1B15" w:rsidRDefault="009A1B15" w:rsidP="0049054F">
    <w:pPr>
      <w:tabs>
        <w:tab w:val="center" w:pos="4252"/>
        <w:tab w:val="right" w:pos="8504"/>
      </w:tabs>
      <w:spacing w:after="0" w:line="240" w:lineRule="auto"/>
      <w:ind w:firstLine="142"/>
      <w:jc w:val="center"/>
      <w:rPr>
        <w:rFonts w:ascii="Calibri" w:hAnsi="Calibri"/>
        <w:sz w:val="18"/>
      </w:rPr>
    </w:pPr>
  </w:p>
  <w:p w14:paraId="042FE2B8" w14:textId="5090A778" w:rsidR="009A1B15" w:rsidRPr="00672589" w:rsidRDefault="009A1B15"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II DA RESOLUÇÃO CVM Nº 175</w:t>
    </w:r>
    <w:r w:rsidR="00DC399F">
      <w:rPr>
        <w:rFonts w:ascii="Calibri" w:hAnsi="Calibri"/>
        <w:sz w:val="18"/>
        <w:szCs w:val="18"/>
      </w:rPr>
      <w:t>,</w:t>
    </w:r>
    <w:r>
      <w:rPr>
        <w:rFonts w:ascii="Calibri" w:hAnsi="Calibri"/>
        <w:sz w:val="18"/>
        <w:szCs w:val="18"/>
      </w:rPr>
      <w:t xml:space="preserve"> DE </w:t>
    </w:r>
    <w:r w:rsidR="00DC399F">
      <w:rPr>
        <w:rFonts w:ascii="Calibri" w:hAnsi="Calibri"/>
        <w:sz w:val="18"/>
        <w:szCs w:val="18"/>
      </w:rPr>
      <w:t xml:space="preserve">23 DE </w:t>
    </w:r>
    <w:r>
      <w:rPr>
        <w:rFonts w:ascii="Calibri" w:hAnsi="Calibri"/>
        <w:sz w:val="18"/>
        <w:szCs w:val="18"/>
      </w:rPr>
      <w:t>DEZEMBRO DE 2022</w:t>
    </w:r>
    <w:r w:rsidRPr="00672589">
      <w:rPr>
        <w:rFonts w:ascii="Calibri" w:hAnsi="Calibri"/>
        <w:sz w:val="18"/>
        <w:szCs w:val="18"/>
      </w:rPr>
      <w:t>.</w:t>
    </w:r>
  </w:p>
  <w:p w14:paraId="3C196172" w14:textId="77777777" w:rsidR="009A1B15" w:rsidRPr="0049054F" w:rsidRDefault="009A1B15" w:rsidP="003E06AC">
    <w:pPr>
      <w:tabs>
        <w:tab w:val="center" w:pos="4252"/>
        <w:tab w:val="right" w:pos="8504"/>
      </w:tabs>
      <w:spacing w:after="0" w:line="240" w:lineRule="auto"/>
      <w:ind w:firstLine="142"/>
      <w:jc w:val="both"/>
      <w:rPr>
        <w:rFonts w:ascii="Calibri" w:hAnsi="Calibri"/>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F01B" w14:textId="77777777" w:rsidR="00CE2182" w:rsidRPr="00F5071A" w:rsidRDefault="00CE2182"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20951A87" wp14:editId="13276D2F">
          <wp:extent cx="657225" cy="628650"/>
          <wp:effectExtent l="0" t="0" r="0" b="0"/>
          <wp:docPr id="11" name="Imagem 1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158F5E1" w14:textId="77777777" w:rsidR="00CE2182" w:rsidRPr="00E97FA5" w:rsidRDefault="00CE2182"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CDD89CF" w14:textId="77777777" w:rsidR="00CE2182" w:rsidRPr="00E97FA5" w:rsidRDefault="00CE2182"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09FCB892" w14:textId="77777777" w:rsidR="00CE2182" w:rsidRPr="00F5071A" w:rsidRDefault="00CE2182"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3F4181F2" w14:textId="77777777" w:rsidR="00CE2182" w:rsidRPr="00F5071A" w:rsidRDefault="00CE2182"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4F22F0A3" w14:textId="77777777" w:rsidR="00CE2182" w:rsidRDefault="000E0035" w:rsidP="0049054F">
    <w:pPr>
      <w:tabs>
        <w:tab w:val="center" w:pos="4252"/>
        <w:tab w:val="right" w:pos="8504"/>
      </w:tabs>
      <w:spacing w:after="0" w:line="240" w:lineRule="auto"/>
      <w:ind w:firstLine="142"/>
      <w:jc w:val="center"/>
      <w:rPr>
        <w:rFonts w:ascii="Calibri" w:hAnsi="Calibri"/>
        <w:sz w:val="18"/>
      </w:rPr>
    </w:pPr>
    <w:hyperlink r:id="rId2" w:history="1">
      <w:r w:rsidR="00CE2182" w:rsidRPr="00F5071A">
        <w:rPr>
          <w:rFonts w:ascii="Calibri" w:hAnsi="Calibri" w:cs="Calibri"/>
          <w:noProof/>
          <w:color w:val="0000FF"/>
          <w:sz w:val="18"/>
          <w:szCs w:val="18"/>
          <w:u w:val="single"/>
        </w:rPr>
        <w:t>www.cvm.gov.br</w:t>
      </w:r>
    </w:hyperlink>
  </w:p>
  <w:p w14:paraId="7F49142A" w14:textId="148A15F8" w:rsidR="00CE2182" w:rsidRPr="00672589" w:rsidRDefault="00CE2182"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RESOLUÇÃO CVM Nº 175 DE DEZEMBRO DE 2022</w:t>
    </w:r>
    <w:r w:rsidRPr="00672589">
      <w:rPr>
        <w:rFonts w:ascii="Calibri" w:hAnsi="Calibri"/>
        <w:sz w:val="18"/>
        <w:szCs w:val="18"/>
      </w:rPr>
      <w:t>.</w:t>
    </w:r>
  </w:p>
  <w:p w14:paraId="31979DFF" w14:textId="77777777" w:rsidR="00CE2182" w:rsidRPr="0049054F" w:rsidRDefault="00CE2182" w:rsidP="003E06AC">
    <w:pPr>
      <w:tabs>
        <w:tab w:val="center" w:pos="4252"/>
        <w:tab w:val="right" w:pos="8504"/>
      </w:tabs>
      <w:spacing w:after="0" w:line="240" w:lineRule="auto"/>
      <w:ind w:firstLine="142"/>
      <w:jc w:val="both"/>
      <w:rPr>
        <w:rFonts w:ascii="Calibri" w:hAnsi="Calibr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DE5"/>
    <w:multiLevelType w:val="hybridMultilevel"/>
    <w:tmpl w:val="0A20D32E"/>
    <w:lvl w:ilvl="0" w:tplc="0746812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022D35FB"/>
    <w:multiLevelType w:val="hybridMultilevel"/>
    <w:tmpl w:val="FA1CCDEE"/>
    <w:lvl w:ilvl="0" w:tplc="04101F70">
      <w:start w:val="7"/>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3E51B11"/>
    <w:multiLevelType w:val="hybridMultilevel"/>
    <w:tmpl w:val="8E7EFB80"/>
    <w:lvl w:ilvl="0" w:tplc="56A6A5D6">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3" w15:restartNumberingAfterBreak="0">
    <w:nsid w:val="060D4883"/>
    <w:multiLevelType w:val="hybridMultilevel"/>
    <w:tmpl w:val="F4BC94F2"/>
    <w:lvl w:ilvl="0" w:tplc="82022132">
      <w:start w:val="1"/>
      <w:numFmt w:val="decimal"/>
      <w:lvlText w:val="%1."/>
      <w:lvlJc w:val="left"/>
      <w:pPr>
        <w:tabs>
          <w:tab w:val="num" w:pos="1065"/>
        </w:tabs>
        <w:ind w:left="1065" w:hanging="705"/>
      </w:pPr>
      <w:rPr>
        <w:rFonts w:hint="default"/>
        <w:b w:val="0"/>
        <w:i w:val="0"/>
      </w:rPr>
    </w:lvl>
    <w:lvl w:ilvl="1" w:tplc="FD06584E">
      <w:start w:val="1"/>
      <w:numFmt w:val="lowerLetter"/>
      <w:lvlText w:val="%2."/>
      <w:lvlJc w:val="left"/>
      <w:pPr>
        <w:tabs>
          <w:tab w:val="num" w:pos="1440"/>
        </w:tabs>
        <w:ind w:left="1440" w:hanging="360"/>
      </w:pPr>
      <w:rPr>
        <w:b w:val="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68C4C97"/>
    <w:multiLevelType w:val="multilevel"/>
    <w:tmpl w:val="F1E224C4"/>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A478A"/>
    <w:multiLevelType w:val="hybridMultilevel"/>
    <w:tmpl w:val="9FD07348"/>
    <w:lvl w:ilvl="0" w:tplc="9F5E53C2">
      <w:start w:val="3"/>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05F2DBC"/>
    <w:multiLevelType w:val="hybridMultilevel"/>
    <w:tmpl w:val="C5FA7A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0902991"/>
    <w:multiLevelType w:val="hybridMultilevel"/>
    <w:tmpl w:val="6B1EEE12"/>
    <w:lvl w:ilvl="0" w:tplc="F2EA8E6A">
      <w:start w:val="1"/>
      <w:numFmt w:val="decimal"/>
      <w:lvlText w:val="%1."/>
      <w:lvlJc w:val="left"/>
      <w:pPr>
        <w:tabs>
          <w:tab w:val="num" w:pos="847"/>
        </w:tabs>
        <w:ind w:left="847" w:hanging="705"/>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215F78"/>
    <w:multiLevelType w:val="hybridMultilevel"/>
    <w:tmpl w:val="93966B9A"/>
    <w:lvl w:ilvl="0" w:tplc="04101F70">
      <w:start w:val="1"/>
      <w:numFmt w:val="lowerLetter"/>
      <w:lvlText w:val="%1)"/>
      <w:lvlJc w:val="left"/>
      <w:pPr>
        <w:ind w:left="248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93F470E"/>
    <w:multiLevelType w:val="hybridMultilevel"/>
    <w:tmpl w:val="E732F87E"/>
    <w:lvl w:ilvl="0" w:tplc="521428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B860F86"/>
    <w:multiLevelType w:val="hybridMultilevel"/>
    <w:tmpl w:val="5A2A86E0"/>
    <w:lvl w:ilvl="0" w:tplc="84E495EE">
      <w:start w:val="1"/>
      <w:numFmt w:val="lowerLetter"/>
      <w:lvlText w:val="%1)"/>
      <w:lvlJc w:val="left"/>
      <w:pPr>
        <w:ind w:left="360"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1E8D3D5C"/>
    <w:multiLevelType w:val="hybridMultilevel"/>
    <w:tmpl w:val="77F438E8"/>
    <w:lvl w:ilvl="0" w:tplc="12BAB556">
      <w:start w:val="2"/>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E90A47"/>
    <w:multiLevelType w:val="hybridMultilevel"/>
    <w:tmpl w:val="34D41BAC"/>
    <w:lvl w:ilvl="0" w:tplc="12082950">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230D67B4"/>
    <w:multiLevelType w:val="hybridMultilevel"/>
    <w:tmpl w:val="DF2E77C0"/>
    <w:lvl w:ilvl="0" w:tplc="675EDC74">
      <w:start w:val="1"/>
      <w:numFmt w:val="decimal"/>
      <w:lvlText w:val="(%1)"/>
      <w:lvlJc w:val="left"/>
      <w:pPr>
        <w:ind w:left="1079" w:hanging="37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27E24255"/>
    <w:multiLevelType w:val="hybridMultilevel"/>
    <w:tmpl w:val="4198E36C"/>
    <w:lvl w:ilvl="0" w:tplc="5F5E17D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290261D1"/>
    <w:multiLevelType w:val="hybridMultilevel"/>
    <w:tmpl w:val="D86AFB60"/>
    <w:lvl w:ilvl="0" w:tplc="948E848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E4967CA"/>
    <w:multiLevelType w:val="hybridMultilevel"/>
    <w:tmpl w:val="B1EC5D96"/>
    <w:lvl w:ilvl="0" w:tplc="757A4D1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2EF65329"/>
    <w:multiLevelType w:val="hybridMultilevel"/>
    <w:tmpl w:val="1466EFF4"/>
    <w:lvl w:ilvl="0" w:tplc="AE4C1F7A">
      <w:start w:val="1"/>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34A433AD"/>
    <w:multiLevelType w:val="hybridMultilevel"/>
    <w:tmpl w:val="00AE6A22"/>
    <w:lvl w:ilvl="0" w:tplc="04101F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355717C3"/>
    <w:multiLevelType w:val="hybridMultilevel"/>
    <w:tmpl w:val="789C7EBC"/>
    <w:lvl w:ilvl="0" w:tplc="87FEA008">
      <w:start w:val="1"/>
      <w:numFmt w:val="upperRoman"/>
      <w:lvlText w:val="%1"/>
      <w:lvlJc w:val="left"/>
      <w:pPr>
        <w:ind w:left="70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78036B6">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412E322">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B76AF76">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CAEDD1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3E0C296">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A4C3E6E">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36C3E36">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AF098F2">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E96E41"/>
    <w:multiLevelType w:val="hybridMultilevel"/>
    <w:tmpl w:val="8CAC2F4A"/>
    <w:lvl w:ilvl="0" w:tplc="130285A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766020E"/>
    <w:multiLevelType w:val="hybridMultilevel"/>
    <w:tmpl w:val="FACABC6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195C77"/>
    <w:multiLevelType w:val="hybridMultilevel"/>
    <w:tmpl w:val="4E441F16"/>
    <w:lvl w:ilvl="0" w:tplc="FD06584E">
      <w:start w:val="1"/>
      <w:numFmt w:val="lowerLetter"/>
      <w:lvlText w:val="%1."/>
      <w:lvlJc w:val="left"/>
      <w:pPr>
        <w:tabs>
          <w:tab w:val="num" w:pos="1440"/>
        </w:tabs>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970F90"/>
    <w:multiLevelType w:val="hybridMultilevel"/>
    <w:tmpl w:val="A4BEAE7A"/>
    <w:lvl w:ilvl="0" w:tplc="42AA02A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9C15920"/>
    <w:multiLevelType w:val="hybridMultilevel"/>
    <w:tmpl w:val="AD9EF518"/>
    <w:lvl w:ilvl="0" w:tplc="564E83FE">
      <w:start w:val="1"/>
      <w:numFmt w:val="lowerRoman"/>
      <w:lvlText w:val="(%1)"/>
      <w:lvlJc w:val="left"/>
      <w:pPr>
        <w:ind w:left="1429" w:hanging="360"/>
      </w:pPr>
      <w:rPr>
        <w:rFonts w:asciiTheme="minorHAnsi" w:eastAsiaTheme="minorHAnsi" w:hAnsiTheme="minorHAnsi" w:cstheme="minorHAns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3A451A75"/>
    <w:multiLevelType w:val="multilevel"/>
    <w:tmpl w:val="836EA1F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3B49328F"/>
    <w:multiLevelType w:val="hybridMultilevel"/>
    <w:tmpl w:val="08EEDC40"/>
    <w:lvl w:ilvl="0" w:tplc="E05E01AA">
      <w:start w:val="1"/>
      <w:numFmt w:val="decimal"/>
      <w:lvlText w:val="%1."/>
      <w:lvlJc w:val="left"/>
      <w:pPr>
        <w:tabs>
          <w:tab w:val="num" w:pos="1065"/>
        </w:tabs>
        <w:ind w:left="1065" w:hanging="705"/>
      </w:pPr>
      <w:rPr>
        <w:rFonts w:hint="default"/>
        <w:b w:val="0"/>
        <w:i w:val="0"/>
      </w:rPr>
    </w:lvl>
    <w:lvl w:ilvl="1" w:tplc="FD06584E">
      <w:start w:val="1"/>
      <w:numFmt w:val="lowerLetter"/>
      <w:lvlText w:val="%2."/>
      <w:lvlJc w:val="left"/>
      <w:pPr>
        <w:tabs>
          <w:tab w:val="num" w:pos="1440"/>
        </w:tabs>
        <w:ind w:left="1440" w:hanging="360"/>
      </w:pPr>
      <w:rPr>
        <w:b w:val="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DE52CED"/>
    <w:multiLevelType w:val="hybridMultilevel"/>
    <w:tmpl w:val="EE082A78"/>
    <w:lvl w:ilvl="0" w:tplc="A8FA02C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3F4D29AF"/>
    <w:multiLevelType w:val="multilevel"/>
    <w:tmpl w:val="B1C099C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44647B64"/>
    <w:multiLevelType w:val="hybridMultilevel"/>
    <w:tmpl w:val="FD54203C"/>
    <w:lvl w:ilvl="0" w:tplc="3DBEEF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44F11060"/>
    <w:multiLevelType w:val="hybridMultilevel"/>
    <w:tmpl w:val="DD6C19B4"/>
    <w:lvl w:ilvl="0" w:tplc="2CEE155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45B61068"/>
    <w:multiLevelType w:val="hybridMultilevel"/>
    <w:tmpl w:val="5004395A"/>
    <w:lvl w:ilvl="0" w:tplc="564E83FE">
      <w:start w:val="1"/>
      <w:numFmt w:val="lowerRoman"/>
      <w:lvlText w:val="(%1)"/>
      <w:lvlJc w:val="left"/>
      <w:pPr>
        <w:ind w:left="1429" w:hanging="360"/>
      </w:pPr>
      <w:rPr>
        <w:rFonts w:asciiTheme="minorHAnsi" w:eastAsiaTheme="minorHAnsi" w:hAnsiTheme="minorHAnsi" w:cstheme="minorHAnsi"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475D726D"/>
    <w:multiLevelType w:val="hybridMultilevel"/>
    <w:tmpl w:val="DF3A63DE"/>
    <w:lvl w:ilvl="0" w:tplc="BB9026B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4A3633F1"/>
    <w:multiLevelType w:val="hybridMultilevel"/>
    <w:tmpl w:val="DAAA5AE4"/>
    <w:lvl w:ilvl="0" w:tplc="3A98502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577A1C3D"/>
    <w:multiLevelType w:val="hybridMultilevel"/>
    <w:tmpl w:val="072EF036"/>
    <w:lvl w:ilvl="0" w:tplc="22601F46">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57CB4E03"/>
    <w:multiLevelType w:val="hybridMultilevel"/>
    <w:tmpl w:val="23FA8AFA"/>
    <w:lvl w:ilvl="0" w:tplc="564E83FE">
      <w:start w:val="1"/>
      <w:numFmt w:val="lowerRoman"/>
      <w:lvlText w:val="(%1)"/>
      <w:lvlJc w:val="left"/>
      <w:pPr>
        <w:ind w:left="2280" w:hanging="720"/>
      </w:pPr>
      <w:rPr>
        <w:rFonts w:asciiTheme="minorHAnsi" w:eastAsiaTheme="minorHAnsi" w:hAnsiTheme="minorHAnsi" w:cstheme="minorHAnsi"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6" w15:restartNumberingAfterBreak="0">
    <w:nsid w:val="5A581D03"/>
    <w:multiLevelType w:val="hybridMultilevel"/>
    <w:tmpl w:val="69C896B4"/>
    <w:lvl w:ilvl="0" w:tplc="3B86FE56">
      <w:start w:val="1"/>
      <w:numFmt w:val="lowerLetter"/>
      <w:lvlText w:val="%1."/>
      <w:lvlJc w:val="left"/>
      <w:pPr>
        <w:tabs>
          <w:tab w:val="num" w:pos="1440"/>
        </w:tabs>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AA83B41"/>
    <w:multiLevelType w:val="hybridMultilevel"/>
    <w:tmpl w:val="A9F219D0"/>
    <w:lvl w:ilvl="0" w:tplc="66E6F2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15:restartNumberingAfterBreak="0">
    <w:nsid w:val="5EF35DA7"/>
    <w:multiLevelType w:val="hybridMultilevel"/>
    <w:tmpl w:val="59603D76"/>
    <w:lvl w:ilvl="0" w:tplc="BA362B1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15:restartNumberingAfterBreak="0">
    <w:nsid w:val="60DC1FD7"/>
    <w:multiLevelType w:val="hybridMultilevel"/>
    <w:tmpl w:val="7FB4A6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66555D"/>
    <w:multiLevelType w:val="hybridMultilevel"/>
    <w:tmpl w:val="EAA08B7E"/>
    <w:lvl w:ilvl="0" w:tplc="4010220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6C8E5F6A"/>
    <w:multiLevelType w:val="hybridMultilevel"/>
    <w:tmpl w:val="88B039AE"/>
    <w:lvl w:ilvl="0" w:tplc="564E83FE">
      <w:start w:val="1"/>
      <w:numFmt w:val="lowerRoman"/>
      <w:lvlText w:val="(%1)"/>
      <w:lvlJc w:val="left"/>
      <w:pPr>
        <w:ind w:left="1069" w:hanging="360"/>
      </w:pPr>
      <w:rPr>
        <w:rFonts w:asciiTheme="minorHAnsi" w:eastAsiaTheme="minorHAnsi" w:hAnsiTheme="minorHAnsi" w:cstheme="minorHAnsi"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6CE01279"/>
    <w:multiLevelType w:val="multilevel"/>
    <w:tmpl w:val="1638DEA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6CE55949"/>
    <w:multiLevelType w:val="hybridMultilevel"/>
    <w:tmpl w:val="3978FDD0"/>
    <w:lvl w:ilvl="0" w:tplc="2A2AF7AC">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4" w15:restartNumberingAfterBreak="0">
    <w:nsid w:val="6CFC408D"/>
    <w:multiLevelType w:val="hybridMultilevel"/>
    <w:tmpl w:val="4E441F16"/>
    <w:lvl w:ilvl="0" w:tplc="FD06584E">
      <w:start w:val="1"/>
      <w:numFmt w:val="lowerLetter"/>
      <w:lvlText w:val="%1."/>
      <w:lvlJc w:val="left"/>
      <w:pPr>
        <w:tabs>
          <w:tab w:val="num" w:pos="1440"/>
        </w:tabs>
        <w:ind w:left="144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D5237B4"/>
    <w:multiLevelType w:val="hybridMultilevel"/>
    <w:tmpl w:val="9034C5C6"/>
    <w:lvl w:ilvl="0" w:tplc="DD5233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0B35A31"/>
    <w:multiLevelType w:val="hybridMultilevel"/>
    <w:tmpl w:val="88CC84B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7" w15:restartNumberingAfterBreak="0">
    <w:nsid w:val="7347407C"/>
    <w:multiLevelType w:val="hybridMultilevel"/>
    <w:tmpl w:val="0C64C636"/>
    <w:lvl w:ilvl="0" w:tplc="0416000F">
      <w:start w:val="1"/>
      <w:numFmt w:val="decimal"/>
      <w:lvlText w:val="%1."/>
      <w:lvlJc w:val="left"/>
      <w:pPr>
        <w:ind w:left="1637" w:hanging="360"/>
      </w:p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num w:numId="1">
    <w:abstractNumId w:val="42"/>
  </w:num>
  <w:num w:numId="2">
    <w:abstractNumId w:val="45"/>
  </w:num>
  <w:num w:numId="3">
    <w:abstractNumId w:val="23"/>
  </w:num>
  <w:num w:numId="4">
    <w:abstractNumId w:val="34"/>
  </w:num>
  <w:num w:numId="5">
    <w:abstractNumId w:val="15"/>
  </w:num>
  <w:num w:numId="6">
    <w:abstractNumId w:val="41"/>
  </w:num>
  <w:num w:numId="7">
    <w:abstractNumId w:val="4"/>
  </w:num>
  <w:num w:numId="8">
    <w:abstractNumId w:val="24"/>
  </w:num>
  <w:num w:numId="9">
    <w:abstractNumId w:val="31"/>
  </w:num>
  <w:num w:numId="10">
    <w:abstractNumId w:val="35"/>
  </w:num>
  <w:num w:numId="11">
    <w:abstractNumId w:val="36"/>
  </w:num>
  <w:num w:numId="12">
    <w:abstractNumId w:val="26"/>
  </w:num>
  <w:num w:numId="13">
    <w:abstractNumId w:val="22"/>
  </w:num>
  <w:num w:numId="14">
    <w:abstractNumId w:val="44"/>
  </w:num>
  <w:num w:numId="15">
    <w:abstractNumId w:val="7"/>
  </w:num>
  <w:num w:numId="16">
    <w:abstractNumId w:val="3"/>
  </w:num>
  <w:num w:numId="17">
    <w:abstractNumId w:val="11"/>
  </w:num>
  <w:num w:numId="18">
    <w:abstractNumId w:val="17"/>
  </w:num>
  <w:num w:numId="19">
    <w:abstractNumId w:val="4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0"/>
  </w:num>
  <w:num w:numId="24">
    <w:abstractNumId w:val="10"/>
  </w:num>
  <w:num w:numId="25">
    <w:abstractNumId w:val="12"/>
  </w:num>
  <w:num w:numId="26">
    <w:abstractNumId w:val="13"/>
  </w:num>
  <w:num w:numId="27">
    <w:abstractNumId w:val="39"/>
  </w:num>
  <w:num w:numId="28">
    <w:abstractNumId w:val="25"/>
  </w:num>
  <w:num w:numId="29">
    <w:abstractNumId w:val="28"/>
  </w:num>
  <w:num w:numId="30">
    <w:abstractNumId w:val="19"/>
  </w:num>
  <w:num w:numId="31">
    <w:abstractNumId w:val="32"/>
  </w:num>
  <w:num w:numId="32">
    <w:abstractNumId w:val="8"/>
  </w:num>
  <w:num w:numId="33">
    <w:abstractNumId w:val="5"/>
  </w:num>
  <w:num w:numId="34">
    <w:abstractNumId w:val="37"/>
  </w:num>
  <w:num w:numId="35">
    <w:abstractNumId w:val="38"/>
  </w:num>
  <w:num w:numId="36">
    <w:abstractNumId w:val="30"/>
  </w:num>
  <w:num w:numId="37">
    <w:abstractNumId w:val="6"/>
  </w:num>
  <w:num w:numId="38">
    <w:abstractNumId w:val="18"/>
  </w:num>
  <w:num w:numId="39">
    <w:abstractNumId w:val="1"/>
  </w:num>
  <w:num w:numId="40">
    <w:abstractNumId w:val="27"/>
  </w:num>
  <w:num w:numId="41">
    <w:abstractNumId w:val="29"/>
  </w:num>
  <w:num w:numId="42">
    <w:abstractNumId w:val="16"/>
  </w:num>
  <w:num w:numId="43">
    <w:abstractNumId w:val="33"/>
  </w:num>
  <w:num w:numId="44">
    <w:abstractNumId w:val="20"/>
  </w:num>
  <w:num w:numId="45">
    <w:abstractNumId w:val="47"/>
  </w:num>
  <w:num w:numId="46">
    <w:abstractNumId w:val="46"/>
  </w:num>
  <w:num w:numId="47">
    <w:abstractNumId w:val="9"/>
  </w:num>
  <w:num w:numId="48">
    <w:abstractNumId w:val="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6A"/>
    <w:rsid w:val="00000AA3"/>
    <w:rsid w:val="00000D94"/>
    <w:rsid w:val="000020A2"/>
    <w:rsid w:val="00002341"/>
    <w:rsid w:val="000030EF"/>
    <w:rsid w:val="000039E5"/>
    <w:rsid w:val="00003CC9"/>
    <w:rsid w:val="000044DF"/>
    <w:rsid w:val="00004E63"/>
    <w:rsid w:val="00004FFE"/>
    <w:rsid w:val="00005127"/>
    <w:rsid w:val="000063E7"/>
    <w:rsid w:val="00006699"/>
    <w:rsid w:val="00007278"/>
    <w:rsid w:val="000078C1"/>
    <w:rsid w:val="00007E56"/>
    <w:rsid w:val="00010393"/>
    <w:rsid w:val="000106D4"/>
    <w:rsid w:val="000109F5"/>
    <w:rsid w:val="00010CCA"/>
    <w:rsid w:val="000114D5"/>
    <w:rsid w:val="000118A3"/>
    <w:rsid w:val="00011C33"/>
    <w:rsid w:val="00012BAC"/>
    <w:rsid w:val="00013381"/>
    <w:rsid w:val="00014C2B"/>
    <w:rsid w:val="00014CA9"/>
    <w:rsid w:val="000150D0"/>
    <w:rsid w:val="000151CF"/>
    <w:rsid w:val="000154B4"/>
    <w:rsid w:val="00015B42"/>
    <w:rsid w:val="0001652A"/>
    <w:rsid w:val="00016950"/>
    <w:rsid w:val="00016AA2"/>
    <w:rsid w:val="000170E4"/>
    <w:rsid w:val="00017389"/>
    <w:rsid w:val="000173F6"/>
    <w:rsid w:val="00017B20"/>
    <w:rsid w:val="00017DCC"/>
    <w:rsid w:val="00017DD4"/>
    <w:rsid w:val="00017FAD"/>
    <w:rsid w:val="00020753"/>
    <w:rsid w:val="00021DFB"/>
    <w:rsid w:val="0002260F"/>
    <w:rsid w:val="0002408E"/>
    <w:rsid w:val="000246C1"/>
    <w:rsid w:val="00024BFB"/>
    <w:rsid w:val="00024EF5"/>
    <w:rsid w:val="00025536"/>
    <w:rsid w:val="000257C0"/>
    <w:rsid w:val="00025AFC"/>
    <w:rsid w:val="00026435"/>
    <w:rsid w:val="000269CB"/>
    <w:rsid w:val="00026DEE"/>
    <w:rsid w:val="0002761C"/>
    <w:rsid w:val="00027634"/>
    <w:rsid w:val="000276C2"/>
    <w:rsid w:val="00027DB4"/>
    <w:rsid w:val="0003105D"/>
    <w:rsid w:val="00033F15"/>
    <w:rsid w:val="00034128"/>
    <w:rsid w:val="00034147"/>
    <w:rsid w:val="000347F2"/>
    <w:rsid w:val="00034A96"/>
    <w:rsid w:val="00035DAD"/>
    <w:rsid w:val="0003610D"/>
    <w:rsid w:val="00036E57"/>
    <w:rsid w:val="00037133"/>
    <w:rsid w:val="00037730"/>
    <w:rsid w:val="00037B45"/>
    <w:rsid w:val="00037CD1"/>
    <w:rsid w:val="00037FAE"/>
    <w:rsid w:val="00040194"/>
    <w:rsid w:val="00040ECF"/>
    <w:rsid w:val="000423BD"/>
    <w:rsid w:val="0004284C"/>
    <w:rsid w:val="000429A1"/>
    <w:rsid w:val="00042A4A"/>
    <w:rsid w:val="00042C1C"/>
    <w:rsid w:val="000433F0"/>
    <w:rsid w:val="00044152"/>
    <w:rsid w:val="00045DE2"/>
    <w:rsid w:val="0004696A"/>
    <w:rsid w:val="00047AC5"/>
    <w:rsid w:val="00047AC8"/>
    <w:rsid w:val="00047FA8"/>
    <w:rsid w:val="00050E37"/>
    <w:rsid w:val="000513D2"/>
    <w:rsid w:val="00051544"/>
    <w:rsid w:val="000518A4"/>
    <w:rsid w:val="00052A61"/>
    <w:rsid w:val="00052CAB"/>
    <w:rsid w:val="00053370"/>
    <w:rsid w:val="00053808"/>
    <w:rsid w:val="00054E05"/>
    <w:rsid w:val="000557BF"/>
    <w:rsid w:val="0005594D"/>
    <w:rsid w:val="00055C5A"/>
    <w:rsid w:val="00055D71"/>
    <w:rsid w:val="000560E9"/>
    <w:rsid w:val="0005666B"/>
    <w:rsid w:val="000575BA"/>
    <w:rsid w:val="00057D98"/>
    <w:rsid w:val="00060C01"/>
    <w:rsid w:val="0006288D"/>
    <w:rsid w:val="00063A4E"/>
    <w:rsid w:val="00064011"/>
    <w:rsid w:val="0006477B"/>
    <w:rsid w:val="0006521E"/>
    <w:rsid w:val="000660FF"/>
    <w:rsid w:val="00066CDE"/>
    <w:rsid w:val="00067149"/>
    <w:rsid w:val="000675D9"/>
    <w:rsid w:val="00070724"/>
    <w:rsid w:val="00070B7E"/>
    <w:rsid w:val="00072977"/>
    <w:rsid w:val="00072EA2"/>
    <w:rsid w:val="00072F22"/>
    <w:rsid w:val="00072FEE"/>
    <w:rsid w:val="000733B3"/>
    <w:rsid w:val="00073758"/>
    <w:rsid w:val="0007383E"/>
    <w:rsid w:val="000738F8"/>
    <w:rsid w:val="000739E8"/>
    <w:rsid w:val="00073AC7"/>
    <w:rsid w:val="00073C6B"/>
    <w:rsid w:val="000740FD"/>
    <w:rsid w:val="00074158"/>
    <w:rsid w:val="000744C5"/>
    <w:rsid w:val="000744FD"/>
    <w:rsid w:val="0007558A"/>
    <w:rsid w:val="00075D77"/>
    <w:rsid w:val="00076904"/>
    <w:rsid w:val="00077E9E"/>
    <w:rsid w:val="00077F3C"/>
    <w:rsid w:val="00080220"/>
    <w:rsid w:val="0008085E"/>
    <w:rsid w:val="000812C4"/>
    <w:rsid w:val="000812F5"/>
    <w:rsid w:val="0008150D"/>
    <w:rsid w:val="00081919"/>
    <w:rsid w:val="0008193C"/>
    <w:rsid w:val="00081DE2"/>
    <w:rsid w:val="0008224E"/>
    <w:rsid w:val="000824E9"/>
    <w:rsid w:val="00082DC5"/>
    <w:rsid w:val="00083176"/>
    <w:rsid w:val="00083680"/>
    <w:rsid w:val="00083A47"/>
    <w:rsid w:val="00083AC3"/>
    <w:rsid w:val="00084BEE"/>
    <w:rsid w:val="0008611E"/>
    <w:rsid w:val="00086B20"/>
    <w:rsid w:val="00087932"/>
    <w:rsid w:val="000879ED"/>
    <w:rsid w:val="00087DAB"/>
    <w:rsid w:val="00090055"/>
    <w:rsid w:val="00090069"/>
    <w:rsid w:val="00090199"/>
    <w:rsid w:val="00090658"/>
    <w:rsid w:val="0009093F"/>
    <w:rsid w:val="00091150"/>
    <w:rsid w:val="00091CBC"/>
    <w:rsid w:val="00091EED"/>
    <w:rsid w:val="00092048"/>
    <w:rsid w:val="00092279"/>
    <w:rsid w:val="000936DC"/>
    <w:rsid w:val="00093EF9"/>
    <w:rsid w:val="000957AC"/>
    <w:rsid w:val="00095E1C"/>
    <w:rsid w:val="00096270"/>
    <w:rsid w:val="000967B1"/>
    <w:rsid w:val="0009694D"/>
    <w:rsid w:val="000A0A7A"/>
    <w:rsid w:val="000A0ADE"/>
    <w:rsid w:val="000A1479"/>
    <w:rsid w:val="000A1A2D"/>
    <w:rsid w:val="000A1C8A"/>
    <w:rsid w:val="000A2278"/>
    <w:rsid w:val="000A2A2E"/>
    <w:rsid w:val="000A5A0C"/>
    <w:rsid w:val="000A5F6E"/>
    <w:rsid w:val="000A6D83"/>
    <w:rsid w:val="000B0804"/>
    <w:rsid w:val="000B0906"/>
    <w:rsid w:val="000B12DF"/>
    <w:rsid w:val="000B14E6"/>
    <w:rsid w:val="000B161A"/>
    <w:rsid w:val="000B1F80"/>
    <w:rsid w:val="000B243F"/>
    <w:rsid w:val="000B244F"/>
    <w:rsid w:val="000B269E"/>
    <w:rsid w:val="000B26B6"/>
    <w:rsid w:val="000B29B2"/>
    <w:rsid w:val="000B3231"/>
    <w:rsid w:val="000B3E7B"/>
    <w:rsid w:val="000B435A"/>
    <w:rsid w:val="000B4728"/>
    <w:rsid w:val="000B4770"/>
    <w:rsid w:val="000B5C29"/>
    <w:rsid w:val="000B5C69"/>
    <w:rsid w:val="000B5C96"/>
    <w:rsid w:val="000B5EB4"/>
    <w:rsid w:val="000B624B"/>
    <w:rsid w:val="000B65E2"/>
    <w:rsid w:val="000B6866"/>
    <w:rsid w:val="000B6F31"/>
    <w:rsid w:val="000B6F50"/>
    <w:rsid w:val="000B7BC1"/>
    <w:rsid w:val="000B7DDA"/>
    <w:rsid w:val="000B7FD8"/>
    <w:rsid w:val="000C072C"/>
    <w:rsid w:val="000C093B"/>
    <w:rsid w:val="000C0DE5"/>
    <w:rsid w:val="000C15AE"/>
    <w:rsid w:val="000C1AAA"/>
    <w:rsid w:val="000C226C"/>
    <w:rsid w:val="000C33F1"/>
    <w:rsid w:val="000C3978"/>
    <w:rsid w:val="000C3AB5"/>
    <w:rsid w:val="000C4267"/>
    <w:rsid w:val="000C4C93"/>
    <w:rsid w:val="000C54DC"/>
    <w:rsid w:val="000C5A25"/>
    <w:rsid w:val="000C5D29"/>
    <w:rsid w:val="000C62AD"/>
    <w:rsid w:val="000C66B2"/>
    <w:rsid w:val="000C6919"/>
    <w:rsid w:val="000C6D6F"/>
    <w:rsid w:val="000C79C1"/>
    <w:rsid w:val="000C7CFA"/>
    <w:rsid w:val="000D0099"/>
    <w:rsid w:val="000D00C5"/>
    <w:rsid w:val="000D02E9"/>
    <w:rsid w:val="000D0BFF"/>
    <w:rsid w:val="000D0D45"/>
    <w:rsid w:val="000D159F"/>
    <w:rsid w:val="000D3501"/>
    <w:rsid w:val="000D35B2"/>
    <w:rsid w:val="000D35ED"/>
    <w:rsid w:val="000D37F5"/>
    <w:rsid w:val="000D4603"/>
    <w:rsid w:val="000D4897"/>
    <w:rsid w:val="000D58D8"/>
    <w:rsid w:val="000D7688"/>
    <w:rsid w:val="000D9830"/>
    <w:rsid w:val="000E0035"/>
    <w:rsid w:val="000E0555"/>
    <w:rsid w:val="000E088E"/>
    <w:rsid w:val="000E0905"/>
    <w:rsid w:val="000E0C66"/>
    <w:rsid w:val="000E0D99"/>
    <w:rsid w:val="000E0E80"/>
    <w:rsid w:val="000E10A3"/>
    <w:rsid w:val="000E13B5"/>
    <w:rsid w:val="000E15D9"/>
    <w:rsid w:val="000E236F"/>
    <w:rsid w:val="000E2738"/>
    <w:rsid w:val="000E3BE0"/>
    <w:rsid w:val="000E4282"/>
    <w:rsid w:val="000E49CA"/>
    <w:rsid w:val="000E4BBB"/>
    <w:rsid w:val="000E53E2"/>
    <w:rsid w:val="000E67D6"/>
    <w:rsid w:val="000E7595"/>
    <w:rsid w:val="000E7DF0"/>
    <w:rsid w:val="000F018C"/>
    <w:rsid w:val="000F077D"/>
    <w:rsid w:val="000F14C0"/>
    <w:rsid w:val="000F158B"/>
    <w:rsid w:val="000F2111"/>
    <w:rsid w:val="000F2417"/>
    <w:rsid w:val="000F2476"/>
    <w:rsid w:val="000F316D"/>
    <w:rsid w:val="000F4743"/>
    <w:rsid w:val="000F4838"/>
    <w:rsid w:val="000F51A0"/>
    <w:rsid w:val="000F532F"/>
    <w:rsid w:val="000F543C"/>
    <w:rsid w:val="000F5671"/>
    <w:rsid w:val="000F5927"/>
    <w:rsid w:val="000F596A"/>
    <w:rsid w:val="000F5A32"/>
    <w:rsid w:val="000F62BD"/>
    <w:rsid w:val="000F645F"/>
    <w:rsid w:val="000F719A"/>
    <w:rsid w:val="000F73D4"/>
    <w:rsid w:val="000F7BEF"/>
    <w:rsid w:val="00100A01"/>
    <w:rsid w:val="001015C9"/>
    <w:rsid w:val="00101685"/>
    <w:rsid w:val="00101D0E"/>
    <w:rsid w:val="001023B4"/>
    <w:rsid w:val="00103441"/>
    <w:rsid w:val="001053A3"/>
    <w:rsid w:val="00105A90"/>
    <w:rsid w:val="00105C6B"/>
    <w:rsid w:val="00105CBD"/>
    <w:rsid w:val="00106418"/>
    <w:rsid w:val="0010661A"/>
    <w:rsid w:val="00106A6F"/>
    <w:rsid w:val="00106C54"/>
    <w:rsid w:val="00106F12"/>
    <w:rsid w:val="00107203"/>
    <w:rsid w:val="00111869"/>
    <w:rsid w:val="00111922"/>
    <w:rsid w:val="00111E22"/>
    <w:rsid w:val="00112CCB"/>
    <w:rsid w:val="00112D34"/>
    <w:rsid w:val="00112D90"/>
    <w:rsid w:val="00112E8D"/>
    <w:rsid w:val="00113C01"/>
    <w:rsid w:val="001152C8"/>
    <w:rsid w:val="00115A50"/>
    <w:rsid w:val="00115EF1"/>
    <w:rsid w:val="0011654A"/>
    <w:rsid w:val="001166EA"/>
    <w:rsid w:val="00116B36"/>
    <w:rsid w:val="001171B5"/>
    <w:rsid w:val="001171CD"/>
    <w:rsid w:val="00117727"/>
    <w:rsid w:val="00117B76"/>
    <w:rsid w:val="001202BB"/>
    <w:rsid w:val="0012084C"/>
    <w:rsid w:val="001214D6"/>
    <w:rsid w:val="00121E4F"/>
    <w:rsid w:val="0012230A"/>
    <w:rsid w:val="001225EB"/>
    <w:rsid w:val="00122F9E"/>
    <w:rsid w:val="00123984"/>
    <w:rsid w:val="001244EF"/>
    <w:rsid w:val="00124CCF"/>
    <w:rsid w:val="00125292"/>
    <w:rsid w:val="00125721"/>
    <w:rsid w:val="00125B86"/>
    <w:rsid w:val="00125C57"/>
    <w:rsid w:val="00126CED"/>
    <w:rsid w:val="00126DB9"/>
    <w:rsid w:val="00126F23"/>
    <w:rsid w:val="001277A7"/>
    <w:rsid w:val="00131FBC"/>
    <w:rsid w:val="00132486"/>
    <w:rsid w:val="00132ABB"/>
    <w:rsid w:val="00132C56"/>
    <w:rsid w:val="00134C4D"/>
    <w:rsid w:val="0013509D"/>
    <w:rsid w:val="001351D1"/>
    <w:rsid w:val="00135D68"/>
    <w:rsid w:val="00136A82"/>
    <w:rsid w:val="00136A8F"/>
    <w:rsid w:val="00136BC1"/>
    <w:rsid w:val="00136D2B"/>
    <w:rsid w:val="001379D1"/>
    <w:rsid w:val="00141978"/>
    <w:rsid w:val="00141B34"/>
    <w:rsid w:val="0014208F"/>
    <w:rsid w:val="001422D5"/>
    <w:rsid w:val="00142746"/>
    <w:rsid w:val="00142C9D"/>
    <w:rsid w:val="00142FA4"/>
    <w:rsid w:val="00143348"/>
    <w:rsid w:val="00143643"/>
    <w:rsid w:val="0014368B"/>
    <w:rsid w:val="00143BB1"/>
    <w:rsid w:val="00143D5E"/>
    <w:rsid w:val="001449CA"/>
    <w:rsid w:val="00144CAC"/>
    <w:rsid w:val="0014637A"/>
    <w:rsid w:val="00146431"/>
    <w:rsid w:val="00146A64"/>
    <w:rsid w:val="00146F39"/>
    <w:rsid w:val="001470B0"/>
    <w:rsid w:val="0014744F"/>
    <w:rsid w:val="0015007B"/>
    <w:rsid w:val="00150117"/>
    <w:rsid w:val="00150124"/>
    <w:rsid w:val="001508F7"/>
    <w:rsid w:val="00150C76"/>
    <w:rsid w:val="00152955"/>
    <w:rsid w:val="0015300C"/>
    <w:rsid w:val="00153495"/>
    <w:rsid w:val="00155B27"/>
    <w:rsid w:val="00155DDE"/>
    <w:rsid w:val="00155E1C"/>
    <w:rsid w:val="00155FDE"/>
    <w:rsid w:val="001562FF"/>
    <w:rsid w:val="0015643C"/>
    <w:rsid w:val="00156557"/>
    <w:rsid w:val="00156965"/>
    <w:rsid w:val="00156C7A"/>
    <w:rsid w:val="00156DE2"/>
    <w:rsid w:val="00156E0C"/>
    <w:rsid w:val="00156F94"/>
    <w:rsid w:val="0015781F"/>
    <w:rsid w:val="001578E3"/>
    <w:rsid w:val="0016029D"/>
    <w:rsid w:val="00161CC1"/>
    <w:rsid w:val="00161D0F"/>
    <w:rsid w:val="001629B9"/>
    <w:rsid w:val="001634D7"/>
    <w:rsid w:val="00163C3E"/>
    <w:rsid w:val="001642F0"/>
    <w:rsid w:val="00165401"/>
    <w:rsid w:val="001655F4"/>
    <w:rsid w:val="001659BA"/>
    <w:rsid w:val="00165F16"/>
    <w:rsid w:val="00166025"/>
    <w:rsid w:val="00166193"/>
    <w:rsid w:val="00167A01"/>
    <w:rsid w:val="00170EF5"/>
    <w:rsid w:val="00170F87"/>
    <w:rsid w:val="00171000"/>
    <w:rsid w:val="0017114F"/>
    <w:rsid w:val="00171646"/>
    <w:rsid w:val="00171917"/>
    <w:rsid w:val="00171CB0"/>
    <w:rsid w:val="001727D1"/>
    <w:rsid w:val="00173CAB"/>
    <w:rsid w:val="00175AE0"/>
    <w:rsid w:val="00176D58"/>
    <w:rsid w:val="00176EA0"/>
    <w:rsid w:val="00180794"/>
    <w:rsid w:val="00180895"/>
    <w:rsid w:val="001817BD"/>
    <w:rsid w:val="001826B6"/>
    <w:rsid w:val="00182B5E"/>
    <w:rsid w:val="00182DB0"/>
    <w:rsid w:val="00182E70"/>
    <w:rsid w:val="00183365"/>
    <w:rsid w:val="00183BFF"/>
    <w:rsid w:val="0018403A"/>
    <w:rsid w:val="00184297"/>
    <w:rsid w:val="001846CE"/>
    <w:rsid w:val="00184C48"/>
    <w:rsid w:val="0018658A"/>
    <w:rsid w:val="00186DCC"/>
    <w:rsid w:val="0018710C"/>
    <w:rsid w:val="0019144F"/>
    <w:rsid w:val="00191A57"/>
    <w:rsid w:val="00192544"/>
    <w:rsid w:val="0019255C"/>
    <w:rsid w:val="00192671"/>
    <w:rsid w:val="0019337D"/>
    <w:rsid w:val="001939D5"/>
    <w:rsid w:val="0019401E"/>
    <w:rsid w:val="001949C9"/>
    <w:rsid w:val="00196664"/>
    <w:rsid w:val="00196EBC"/>
    <w:rsid w:val="00197530"/>
    <w:rsid w:val="001977F9"/>
    <w:rsid w:val="001A049A"/>
    <w:rsid w:val="001A0DE4"/>
    <w:rsid w:val="001A16F1"/>
    <w:rsid w:val="001A1FD8"/>
    <w:rsid w:val="001A1FF9"/>
    <w:rsid w:val="001A27F6"/>
    <w:rsid w:val="001A2B09"/>
    <w:rsid w:val="001A3CFE"/>
    <w:rsid w:val="001A3D91"/>
    <w:rsid w:val="001A409C"/>
    <w:rsid w:val="001A4C0E"/>
    <w:rsid w:val="001A5C2F"/>
    <w:rsid w:val="001A7893"/>
    <w:rsid w:val="001A7A65"/>
    <w:rsid w:val="001B0047"/>
    <w:rsid w:val="001B100F"/>
    <w:rsid w:val="001B13C9"/>
    <w:rsid w:val="001B2064"/>
    <w:rsid w:val="001B2552"/>
    <w:rsid w:val="001B2865"/>
    <w:rsid w:val="001B2D3F"/>
    <w:rsid w:val="001B331A"/>
    <w:rsid w:val="001B3583"/>
    <w:rsid w:val="001B376F"/>
    <w:rsid w:val="001B3AD7"/>
    <w:rsid w:val="001B3AEF"/>
    <w:rsid w:val="001B3CF1"/>
    <w:rsid w:val="001B44BC"/>
    <w:rsid w:val="001B44E5"/>
    <w:rsid w:val="001B47A5"/>
    <w:rsid w:val="001B50C2"/>
    <w:rsid w:val="001B5430"/>
    <w:rsid w:val="001B5B0B"/>
    <w:rsid w:val="001B5F47"/>
    <w:rsid w:val="001B6B82"/>
    <w:rsid w:val="001B713F"/>
    <w:rsid w:val="001B792A"/>
    <w:rsid w:val="001B7CA2"/>
    <w:rsid w:val="001C008B"/>
    <w:rsid w:val="001C07A7"/>
    <w:rsid w:val="001C0EE9"/>
    <w:rsid w:val="001C2123"/>
    <w:rsid w:val="001C21F9"/>
    <w:rsid w:val="001C2264"/>
    <w:rsid w:val="001C26EF"/>
    <w:rsid w:val="001C2A7A"/>
    <w:rsid w:val="001C2DA5"/>
    <w:rsid w:val="001C3AE5"/>
    <w:rsid w:val="001C3F0F"/>
    <w:rsid w:val="001C4364"/>
    <w:rsid w:val="001C46EA"/>
    <w:rsid w:val="001C5025"/>
    <w:rsid w:val="001C5829"/>
    <w:rsid w:val="001C5AEC"/>
    <w:rsid w:val="001C623C"/>
    <w:rsid w:val="001C66A5"/>
    <w:rsid w:val="001C726B"/>
    <w:rsid w:val="001C7536"/>
    <w:rsid w:val="001C77C6"/>
    <w:rsid w:val="001C7ADB"/>
    <w:rsid w:val="001D0293"/>
    <w:rsid w:val="001D0341"/>
    <w:rsid w:val="001D1222"/>
    <w:rsid w:val="001D1ADD"/>
    <w:rsid w:val="001D2D07"/>
    <w:rsid w:val="001D374F"/>
    <w:rsid w:val="001D4476"/>
    <w:rsid w:val="001D465C"/>
    <w:rsid w:val="001D4C43"/>
    <w:rsid w:val="001D58E1"/>
    <w:rsid w:val="001D5CAA"/>
    <w:rsid w:val="001D633B"/>
    <w:rsid w:val="001D6F73"/>
    <w:rsid w:val="001D74D5"/>
    <w:rsid w:val="001E0BAB"/>
    <w:rsid w:val="001E110F"/>
    <w:rsid w:val="001E178B"/>
    <w:rsid w:val="001E1C46"/>
    <w:rsid w:val="001E1DFE"/>
    <w:rsid w:val="001E1E56"/>
    <w:rsid w:val="001E316D"/>
    <w:rsid w:val="001E366C"/>
    <w:rsid w:val="001E3B2A"/>
    <w:rsid w:val="001E3E81"/>
    <w:rsid w:val="001E3F88"/>
    <w:rsid w:val="001E3FBE"/>
    <w:rsid w:val="001E44BA"/>
    <w:rsid w:val="001E469C"/>
    <w:rsid w:val="001E5E88"/>
    <w:rsid w:val="001E69A9"/>
    <w:rsid w:val="001E6DC8"/>
    <w:rsid w:val="001E7CA6"/>
    <w:rsid w:val="001E7D80"/>
    <w:rsid w:val="001E7EF1"/>
    <w:rsid w:val="001E7FE8"/>
    <w:rsid w:val="001F10D9"/>
    <w:rsid w:val="001F15A8"/>
    <w:rsid w:val="001F1629"/>
    <w:rsid w:val="001F1A19"/>
    <w:rsid w:val="001F214F"/>
    <w:rsid w:val="001F2670"/>
    <w:rsid w:val="001F2A12"/>
    <w:rsid w:val="001F2F5A"/>
    <w:rsid w:val="001F2FB6"/>
    <w:rsid w:val="001F308F"/>
    <w:rsid w:val="001F31C6"/>
    <w:rsid w:val="001F3EEF"/>
    <w:rsid w:val="001F40F5"/>
    <w:rsid w:val="001F44A8"/>
    <w:rsid w:val="001F49CF"/>
    <w:rsid w:val="001F4B0B"/>
    <w:rsid w:val="001F5C86"/>
    <w:rsid w:val="001F69E4"/>
    <w:rsid w:val="001F69FD"/>
    <w:rsid w:val="001F6A50"/>
    <w:rsid w:val="001F7145"/>
    <w:rsid w:val="001F7204"/>
    <w:rsid w:val="001F7294"/>
    <w:rsid w:val="001F7468"/>
    <w:rsid w:val="001F74EF"/>
    <w:rsid w:val="001F7633"/>
    <w:rsid w:val="001F7740"/>
    <w:rsid w:val="00200729"/>
    <w:rsid w:val="00200BDE"/>
    <w:rsid w:val="00201061"/>
    <w:rsid w:val="002014B0"/>
    <w:rsid w:val="002024A8"/>
    <w:rsid w:val="002032A6"/>
    <w:rsid w:val="00203DE5"/>
    <w:rsid w:val="00204786"/>
    <w:rsid w:val="00205A7D"/>
    <w:rsid w:val="00206193"/>
    <w:rsid w:val="002070D9"/>
    <w:rsid w:val="00207707"/>
    <w:rsid w:val="00207A6E"/>
    <w:rsid w:val="00207B5A"/>
    <w:rsid w:val="00207F28"/>
    <w:rsid w:val="00210741"/>
    <w:rsid w:val="00211082"/>
    <w:rsid w:val="00211D4E"/>
    <w:rsid w:val="00212174"/>
    <w:rsid w:val="00212485"/>
    <w:rsid w:val="00213805"/>
    <w:rsid w:val="002139A7"/>
    <w:rsid w:val="00214B2C"/>
    <w:rsid w:val="00214F89"/>
    <w:rsid w:val="00214FE3"/>
    <w:rsid w:val="002155AE"/>
    <w:rsid w:val="00216974"/>
    <w:rsid w:val="00216D84"/>
    <w:rsid w:val="00217221"/>
    <w:rsid w:val="002172B1"/>
    <w:rsid w:val="00217CD8"/>
    <w:rsid w:val="00217DE2"/>
    <w:rsid w:val="00220040"/>
    <w:rsid w:val="002201DA"/>
    <w:rsid w:val="00220293"/>
    <w:rsid w:val="002202E7"/>
    <w:rsid w:val="00220476"/>
    <w:rsid w:val="0022052C"/>
    <w:rsid w:val="002206E2"/>
    <w:rsid w:val="00220C3E"/>
    <w:rsid w:val="00222400"/>
    <w:rsid w:val="00222955"/>
    <w:rsid w:val="00223A2E"/>
    <w:rsid w:val="00224753"/>
    <w:rsid w:val="00224A44"/>
    <w:rsid w:val="00224D82"/>
    <w:rsid w:val="00225562"/>
    <w:rsid w:val="00225767"/>
    <w:rsid w:val="00225A19"/>
    <w:rsid w:val="002262DD"/>
    <w:rsid w:val="002267F0"/>
    <w:rsid w:val="00227956"/>
    <w:rsid w:val="00230C55"/>
    <w:rsid w:val="00231BFB"/>
    <w:rsid w:val="00231C23"/>
    <w:rsid w:val="00231FA0"/>
    <w:rsid w:val="00232D5E"/>
    <w:rsid w:val="00232FC6"/>
    <w:rsid w:val="002330F1"/>
    <w:rsid w:val="00233308"/>
    <w:rsid w:val="00233529"/>
    <w:rsid w:val="00233788"/>
    <w:rsid w:val="00233AE7"/>
    <w:rsid w:val="0023447A"/>
    <w:rsid w:val="002348A0"/>
    <w:rsid w:val="00234AFE"/>
    <w:rsid w:val="00234CCF"/>
    <w:rsid w:val="00234F7A"/>
    <w:rsid w:val="002369C2"/>
    <w:rsid w:val="00236A8A"/>
    <w:rsid w:val="00237335"/>
    <w:rsid w:val="00240015"/>
    <w:rsid w:val="00240373"/>
    <w:rsid w:val="002406EC"/>
    <w:rsid w:val="0024181D"/>
    <w:rsid w:val="002446D6"/>
    <w:rsid w:val="0024509B"/>
    <w:rsid w:val="0024516A"/>
    <w:rsid w:val="00245886"/>
    <w:rsid w:val="00245CA3"/>
    <w:rsid w:val="00245EA3"/>
    <w:rsid w:val="002460C2"/>
    <w:rsid w:val="002464B3"/>
    <w:rsid w:val="002464DF"/>
    <w:rsid w:val="00246782"/>
    <w:rsid w:val="00246BD4"/>
    <w:rsid w:val="00246D50"/>
    <w:rsid w:val="00247220"/>
    <w:rsid w:val="002472F3"/>
    <w:rsid w:val="00247DF5"/>
    <w:rsid w:val="002500EA"/>
    <w:rsid w:val="00250348"/>
    <w:rsid w:val="0025036A"/>
    <w:rsid w:val="00250534"/>
    <w:rsid w:val="00250FC7"/>
    <w:rsid w:val="00251AAD"/>
    <w:rsid w:val="0025312B"/>
    <w:rsid w:val="002533B0"/>
    <w:rsid w:val="00253CE7"/>
    <w:rsid w:val="00254895"/>
    <w:rsid w:val="00254EB3"/>
    <w:rsid w:val="002551E6"/>
    <w:rsid w:val="00255213"/>
    <w:rsid w:val="00255A04"/>
    <w:rsid w:val="002564F1"/>
    <w:rsid w:val="0025653C"/>
    <w:rsid w:val="0025653E"/>
    <w:rsid w:val="00256A36"/>
    <w:rsid w:val="00257147"/>
    <w:rsid w:val="002573C8"/>
    <w:rsid w:val="002574EE"/>
    <w:rsid w:val="00257585"/>
    <w:rsid w:val="00260594"/>
    <w:rsid w:val="002609C2"/>
    <w:rsid w:val="00262353"/>
    <w:rsid w:val="002626F9"/>
    <w:rsid w:val="0026287C"/>
    <w:rsid w:val="00262E67"/>
    <w:rsid w:val="00262FB3"/>
    <w:rsid w:val="002639E8"/>
    <w:rsid w:val="00264423"/>
    <w:rsid w:val="002648BC"/>
    <w:rsid w:val="0026517C"/>
    <w:rsid w:val="002660F8"/>
    <w:rsid w:val="00266435"/>
    <w:rsid w:val="002666FD"/>
    <w:rsid w:val="002670FB"/>
    <w:rsid w:val="002672BD"/>
    <w:rsid w:val="0027062E"/>
    <w:rsid w:val="002718B5"/>
    <w:rsid w:val="00271C2F"/>
    <w:rsid w:val="002722BF"/>
    <w:rsid w:val="00272A93"/>
    <w:rsid w:val="00272E83"/>
    <w:rsid w:val="0027363D"/>
    <w:rsid w:val="00273974"/>
    <w:rsid w:val="00273C0F"/>
    <w:rsid w:val="00273D37"/>
    <w:rsid w:val="002747E9"/>
    <w:rsid w:val="00274A5D"/>
    <w:rsid w:val="00274B74"/>
    <w:rsid w:val="00275085"/>
    <w:rsid w:val="00275252"/>
    <w:rsid w:val="0027588D"/>
    <w:rsid w:val="00275C4F"/>
    <w:rsid w:val="002771DD"/>
    <w:rsid w:val="002773FC"/>
    <w:rsid w:val="002774A9"/>
    <w:rsid w:val="00281A8C"/>
    <w:rsid w:val="00281E81"/>
    <w:rsid w:val="0028260B"/>
    <w:rsid w:val="002826AB"/>
    <w:rsid w:val="002835CE"/>
    <w:rsid w:val="0028382C"/>
    <w:rsid w:val="00283C0C"/>
    <w:rsid w:val="002842A1"/>
    <w:rsid w:val="002842BE"/>
    <w:rsid w:val="0028444B"/>
    <w:rsid w:val="002847BB"/>
    <w:rsid w:val="00285326"/>
    <w:rsid w:val="002858E0"/>
    <w:rsid w:val="00285916"/>
    <w:rsid w:val="00285F8D"/>
    <w:rsid w:val="00286156"/>
    <w:rsid w:val="00286A59"/>
    <w:rsid w:val="00286B9E"/>
    <w:rsid w:val="00286D6D"/>
    <w:rsid w:val="00290088"/>
    <w:rsid w:val="00290426"/>
    <w:rsid w:val="00290FE2"/>
    <w:rsid w:val="002918EE"/>
    <w:rsid w:val="0029198B"/>
    <w:rsid w:val="00292948"/>
    <w:rsid w:val="00292CCD"/>
    <w:rsid w:val="00292F2C"/>
    <w:rsid w:val="00292F93"/>
    <w:rsid w:val="002931B6"/>
    <w:rsid w:val="00293622"/>
    <w:rsid w:val="00293C9C"/>
    <w:rsid w:val="00294231"/>
    <w:rsid w:val="0029434B"/>
    <w:rsid w:val="0029436F"/>
    <w:rsid w:val="00294420"/>
    <w:rsid w:val="0029472C"/>
    <w:rsid w:val="00294A38"/>
    <w:rsid w:val="00294B10"/>
    <w:rsid w:val="002951A3"/>
    <w:rsid w:val="002958B3"/>
    <w:rsid w:val="002967E3"/>
    <w:rsid w:val="00296B8E"/>
    <w:rsid w:val="002976AF"/>
    <w:rsid w:val="002976BA"/>
    <w:rsid w:val="002A00B0"/>
    <w:rsid w:val="002A023F"/>
    <w:rsid w:val="002A0822"/>
    <w:rsid w:val="002A0892"/>
    <w:rsid w:val="002A0D87"/>
    <w:rsid w:val="002A0ECC"/>
    <w:rsid w:val="002A1094"/>
    <w:rsid w:val="002A250B"/>
    <w:rsid w:val="002A2E61"/>
    <w:rsid w:val="002A3C27"/>
    <w:rsid w:val="002A5097"/>
    <w:rsid w:val="002A5766"/>
    <w:rsid w:val="002A594E"/>
    <w:rsid w:val="002A5A56"/>
    <w:rsid w:val="002A5D24"/>
    <w:rsid w:val="002A622C"/>
    <w:rsid w:val="002A62BF"/>
    <w:rsid w:val="002A690B"/>
    <w:rsid w:val="002A700E"/>
    <w:rsid w:val="002A786D"/>
    <w:rsid w:val="002A7A05"/>
    <w:rsid w:val="002B01E6"/>
    <w:rsid w:val="002B0EE7"/>
    <w:rsid w:val="002B16B2"/>
    <w:rsid w:val="002B1835"/>
    <w:rsid w:val="002B189F"/>
    <w:rsid w:val="002B1CAF"/>
    <w:rsid w:val="002B20FC"/>
    <w:rsid w:val="002B220C"/>
    <w:rsid w:val="002B268B"/>
    <w:rsid w:val="002B32C9"/>
    <w:rsid w:val="002B4F41"/>
    <w:rsid w:val="002B5396"/>
    <w:rsid w:val="002B56EF"/>
    <w:rsid w:val="002B6430"/>
    <w:rsid w:val="002B74E2"/>
    <w:rsid w:val="002B7F04"/>
    <w:rsid w:val="002C0634"/>
    <w:rsid w:val="002C19AE"/>
    <w:rsid w:val="002C2171"/>
    <w:rsid w:val="002C2447"/>
    <w:rsid w:val="002C2ABB"/>
    <w:rsid w:val="002C311B"/>
    <w:rsid w:val="002C3305"/>
    <w:rsid w:val="002C3907"/>
    <w:rsid w:val="002C3C66"/>
    <w:rsid w:val="002C3D4D"/>
    <w:rsid w:val="002C4004"/>
    <w:rsid w:val="002C4B48"/>
    <w:rsid w:val="002C4F74"/>
    <w:rsid w:val="002C5259"/>
    <w:rsid w:val="002C6146"/>
    <w:rsid w:val="002C67DF"/>
    <w:rsid w:val="002C6825"/>
    <w:rsid w:val="002C6A7A"/>
    <w:rsid w:val="002C6D77"/>
    <w:rsid w:val="002C6E3D"/>
    <w:rsid w:val="002C7789"/>
    <w:rsid w:val="002C7B29"/>
    <w:rsid w:val="002D003B"/>
    <w:rsid w:val="002D01BD"/>
    <w:rsid w:val="002D02A9"/>
    <w:rsid w:val="002D1663"/>
    <w:rsid w:val="002D1BF3"/>
    <w:rsid w:val="002D1E78"/>
    <w:rsid w:val="002D205B"/>
    <w:rsid w:val="002D2995"/>
    <w:rsid w:val="002D32D5"/>
    <w:rsid w:val="002D32F5"/>
    <w:rsid w:val="002D32FF"/>
    <w:rsid w:val="002D34A3"/>
    <w:rsid w:val="002D5116"/>
    <w:rsid w:val="002D554B"/>
    <w:rsid w:val="002D5AC4"/>
    <w:rsid w:val="002D71C6"/>
    <w:rsid w:val="002D7FEA"/>
    <w:rsid w:val="002E2424"/>
    <w:rsid w:val="002E2BA2"/>
    <w:rsid w:val="002E3033"/>
    <w:rsid w:val="002E330D"/>
    <w:rsid w:val="002E4495"/>
    <w:rsid w:val="002E4AC3"/>
    <w:rsid w:val="002E670A"/>
    <w:rsid w:val="002E6982"/>
    <w:rsid w:val="002E6A1A"/>
    <w:rsid w:val="002E73ED"/>
    <w:rsid w:val="002E75A3"/>
    <w:rsid w:val="002E7BCC"/>
    <w:rsid w:val="002F0393"/>
    <w:rsid w:val="002F08B6"/>
    <w:rsid w:val="002F0D86"/>
    <w:rsid w:val="002F13FA"/>
    <w:rsid w:val="002F1603"/>
    <w:rsid w:val="002F269D"/>
    <w:rsid w:val="002F2807"/>
    <w:rsid w:val="002F2D2A"/>
    <w:rsid w:val="002F2D3D"/>
    <w:rsid w:val="002F3174"/>
    <w:rsid w:val="002F363E"/>
    <w:rsid w:val="002F3C16"/>
    <w:rsid w:val="002F3D58"/>
    <w:rsid w:val="002F49C4"/>
    <w:rsid w:val="002F5890"/>
    <w:rsid w:val="002F5944"/>
    <w:rsid w:val="002F653A"/>
    <w:rsid w:val="002F65FD"/>
    <w:rsid w:val="002F69BE"/>
    <w:rsid w:val="002F6BC2"/>
    <w:rsid w:val="002F774B"/>
    <w:rsid w:val="002F7D72"/>
    <w:rsid w:val="003009B1"/>
    <w:rsid w:val="00300CAF"/>
    <w:rsid w:val="00302A50"/>
    <w:rsid w:val="00302E3D"/>
    <w:rsid w:val="0030369D"/>
    <w:rsid w:val="003038CE"/>
    <w:rsid w:val="00304362"/>
    <w:rsid w:val="003053E7"/>
    <w:rsid w:val="00305C24"/>
    <w:rsid w:val="00305C44"/>
    <w:rsid w:val="00305DE1"/>
    <w:rsid w:val="00305E8C"/>
    <w:rsid w:val="003062C2"/>
    <w:rsid w:val="00306401"/>
    <w:rsid w:val="00306E5B"/>
    <w:rsid w:val="0030706F"/>
    <w:rsid w:val="0030766F"/>
    <w:rsid w:val="0031129D"/>
    <w:rsid w:val="003112A5"/>
    <w:rsid w:val="003112F5"/>
    <w:rsid w:val="00311B8F"/>
    <w:rsid w:val="00311C7C"/>
    <w:rsid w:val="00312248"/>
    <w:rsid w:val="00312800"/>
    <w:rsid w:val="00312C1C"/>
    <w:rsid w:val="00313116"/>
    <w:rsid w:val="0031466E"/>
    <w:rsid w:val="00314849"/>
    <w:rsid w:val="00314B2C"/>
    <w:rsid w:val="00314C5C"/>
    <w:rsid w:val="00314CEB"/>
    <w:rsid w:val="0031538B"/>
    <w:rsid w:val="003158AB"/>
    <w:rsid w:val="003165BA"/>
    <w:rsid w:val="0031772E"/>
    <w:rsid w:val="00317810"/>
    <w:rsid w:val="003200C6"/>
    <w:rsid w:val="003205C2"/>
    <w:rsid w:val="0032139A"/>
    <w:rsid w:val="003218DE"/>
    <w:rsid w:val="00321F29"/>
    <w:rsid w:val="0032209C"/>
    <w:rsid w:val="00322463"/>
    <w:rsid w:val="00322AA3"/>
    <w:rsid w:val="00323D95"/>
    <w:rsid w:val="003255C5"/>
    <w:rsid w:val="00325ADB"/>
    <w:rsid w:val="00325B3D"/>
    <w:rsid w:val="00326F04"/>
    <w:rsid w:val="0032718D"/>
    <w:rsid w:val="0032762D"/>
    <w:rsid w:val="00330293"/>
    <w:rsid w:val="0033040B"/>
    <w:rsid w:val="00330EC2"/>
    <w:rsid w:val="00330F16"/>
    <w:rsid w:val="003329E5"/>
    <w:rsid w:val="00333762"/>
    <w:rsid w:val="00333A59"/>
    <w:rsid w:val="0033409F"/>
    <w:rsid w:val="00334FE5"/>
    <w:rsid w:val="003350AF"/>
    <w:rsid w:val="00335394"/>
    <w:rsid w:val="0033618F"/>
    <w:rsid w:val="003364D4"/>
    <w:rsid w:val="00336606"/>
    <w:rsid w:val="00336A4C"/>
    <w:rsid w:val="003400F8"/>
    <w:rsid w:val="003401D5"/>
    <w:rsid w:val="0034082E"/>
    <w:rsid w:val="00340AC2"/>
    <w:rsid w:val="00344255"/>
    <w:rsid w:val="003448FD"/>
    <w:rsid w:val="00345511"/>
    <w:rsid w:val="0034582E"/>
    <w:rsid w:val="00345914"/>
    <w:rsid w:val="003459B0"/>
    <w:rsid w:val="00345BC3"/>
    <w:rsid w:val="00345E25"/>
    <w:rsid w:val="00346020"/>
    <w:rsid w:val="00346469"/>
    <w:rsid w:val="00347929"/>
    <w:rsid w:val="00347B3B"/>
    <w:rsid w:val="00347EA2"/>
    <w:rsid w:val="00350415"/>
    <w:rsid w:val="00350E73"/>
    <w:rsid w:val="00350FD6"/>
    <w:rsid w:val="00351168"/>
    <w:rsid w:val="00351581"/>
    <w:rsid w:val="003517C5"/>
    <w:rsid w:val="00351E96"/>
    <w:rsid w:val="00351EC7"/>
    <w:rsid w:val="00351F1D"/>
    <w:rsid w:val="003522D4"/>
    <w:rsid w:val="003524E0"/>
    <w:rsid w:val="0035271E"/>
    <w:rsid w:val="00352E60"/>
    <w:rsid w:val="0035326A"/>
    <w:rsid w:val="003535F0"/>
    <w:rsid w:val="0035436B"/>
    <w:rsid w:val="0035443A"/>
    <w:rsid w:val="0035483E"/>
    <w:rsid w:val="00355386"/>
    <w:rsid w:val="00355C7A"/>
    <w:rsid w:val="00355E12"/>
    <w:rsid w:val="00356146"/>
    <w:rsid w:val="003569DD"/>
    <w:rsid w:val="00356D54"/>
    <w:rsid w:val="003572D6"/>
    <w:rsid w:val="0035770C"/>
    <w:rsid w:val="0035793A"/>
    <w:rsid w:val="00360A06"/>
    <w:rsid w:val="00360D03"/>
    <w:rsid w:val="00361822"/>
    <w:rsid w:val="00361DA3"/>
    <w:rsid w:val="003625FE"/>
    <w:rsid w:val="003639CE"/>
    <w:rsid w:val="00363A03"/>
    <w:rsid w:val="00364028"/>
    <w:rsid w:val="0036446B"/>
    <w:rsid w:val="00364CA4"/>
    <w:rsid w:val="00365034"/>
    <w:rsid w:val="0036578A"/>
    <w:rsid w:val="00365A09"/>
    <w:rsid w:val="00366468"/>
    <w:rsid w:val="003664F6"/>
    <w:rsid w:val="0036745A"/>
    <w:rsid w:val="003714A8"/>
    <w:rsid w:val="003718D5"/>
    <w:rsid w:val="0037223E"/>
    <w:rsid w:val="00372364"/>
    <w:rsid w:val="0037292A"/>
    <w:rsid w:val="00372B96"/>
    <w:rsid w:val="00372EE9"/>
    <w:rsid w:val="0037373A"/>
    <w:rsid w:val="003740F7"/>
    <w:rsid w:val="003745A5"/>
    <w:rsid w:val="003748F3"/>
    <w:rsid w:val="003755D9"/>
    <w:rsid w:val="003775FA"/>
    <w:rsid w:val="00377743"/>
    <w:rsid w:val="00380478"/>
    <w:rsid w:val="00380864"/>
    <w:rsid w:val="00380B10"/>
    <w:rsid w:val="00380B59"/>
    <w:rsid w:val="0038180D"/>
    <w:rsid w:val="00382600"/>
    <w:rsid w:val="00382F11"/>
    <w:rsid w:val="003833F3"/>
    <w:rsid w:val="0038373E"/>
    <w:rsid w:val="00383EB0"/>
    <w:rsid w:val="00383FBC"/>
    <w:rsid w:val="00384825"/>
    <w:rsid w:val="00384AF1"/>
    <w:rsid w:val="00384DDC"/>
    <w:rsid w:val="00385FB0"/>
    <w:rsid w:val="003860AF"/>
    <w:rsid w:val="00386817"/>
    <w:rsid w:val="00386D85"/>
    <w:rsid w:val="003874B2"/>
    <w:rsid w:val="0038789C"/>
    <w:rsid w:val="00387D4A"/>
    <w:rsid w:val="0039010F"/>
    <w:rsid w:val="003918FC"/>
    <w:rsid w:val="00392633"/>
    <w:rsid w:val="003933F0"/>
    <w:rsid w:val="00393C54"/>
    <w:rsid w:val="00394486"/>
    <w:rsid w:val="00394785"/>
    <w:rsid w:val="00395108"/>
    <w:rsid w:val="00395D3F"/>
    <w:rsid w:val="00396882"/>
    <w:rsid w:val="00396893"/>
    <w:rsid w:val="00396E47"/>
    <w:rsid w:val="003972CB"/>
    <w:rsid w:val="00397549"/>
    <w:rsid w:val="00397B93"/>
    <w:rsid w:val="00397CA2"/>
    <w:rsid w:val="00397FE8"/>
    <w:rsid w:val="003A02C2"/>
    <w:rsid w:val="003A0F4A"/>
    <w:rsid w:val="003A1DAB"/>
    <w:rsid w:val="003A1FA5"/>
    <w:rsid w:val="003A2907"/>
    <w:rsid w:val="003A29EF"/>
    <w:rsid w:val="003A3483"/>
    <w:rsid w:val="003A439C"/>
    <w:rsid w:val="003A47E8"/>
    <w:rsid w:val="003A4C0D"/>
    <w:rsid w:val="003A4FBA"/>
    <w:rsid w:val="003A5D9D"/>
    <w:rsid w:val="003A6AC4"/>
    <w:rsid w:val="003A6DB5"/>
    <w:rsid w:val="003B0399"/>
    <w:rsid w:val="003B03EB"/>
    <w:rsid w:val="003B0F8D"/>
    <w:rsid w:val="003B12F1"/>
    <w:rsid w:val="003B176B"/>
    <w:rsid w:val="003B241D"/>
    <w:rsid w:val="003B371D"/>
    <w:rsid w:val="003B38CD"/>
    <w:rsid w:val="003B3CBC"/>
    <w:rsid w:val="003B3E70"/>
    <w:rsid w:val="003B43E7"/>
    <w:rsid w:val="003B484E"/>
    <w:rsid w:val="003B4D4F"/>
    <w:rsid w:val="003B58E1"/>
    <w:rsid w:val="003B58EE"/>
    <w:rsid w:val="003B5CCA"/>
    <w:rsid w:val="003B6585"/>
    <w:rsid w:val="003B7283"/>
    <w:rsid w:val="003B7547"/>
    <w:rsid w:val="003B76F7"/>
    <w:rsid w:val="003C03BE"/>
    <w:rsid w:val="003C042B"/>
    <w:rsid w:val="003C0FA0"/>
    <w:rsid w:val="003C0FF0"/>
    <w:rsid w:val="003C1637"/>
    <w:rsid w:val="003C19CD"/>
    <w:rsid w:val="003C1A6C"/>
    <w:rsid w:val="003C1B22"/>
    <w:rsid w:val="003C22DC"/>
    <w:rsid w:val="003C279D"/>
    <w:rsid w:val="003C2DAE"/>
    <w:rsid w:val="003C37C9"/>
    <w:rsid w:val="003C38ED"/>
    <w:rsid w:val="003C45C6"/>
    <w:rsid w:val="003C4E4D"/>
    <w:rsid w:val="003C6096"/>
    <w:rsid w:val="003C68FD"/>
    <w:rsid w:val="003C6D65"/>
    <w:rsid w:val="003C778F"/>
    <w:rsid w:val="003D01BD"/>
    <w:rsid w:val="003D0205"/>
    <w:rsid w:val="003D032E"/>
    <w:rsid w:val="003D06BA"/>
    <w:rsid w:val="003D0B5D"/>
    <w:rsid w:val="003D1840"/>
    <w:rsid w:val="003D1898"/>
    <w:rsid w:val="003D1F11"/>
    <w:rsid w:val="003D33CD"/>
    <w:rsid w:val="003D4B04"/>
    <w:rsid w:val="003D5F43"/>
    <w:rsid w:val="003D6761"/>
    <w:rsid w:val="003D6AA1"/>
    <w:rsid w:val="003D6DD9"/>
    <w:rsid w:val="003D73C1"/>
    <w:rsid w:val="003D7E78"/>
    <w:rsid w:val="003E0484"/>
    <w:rsid w:val="003E06AC"/>
    <w:rsid w:val="003E127A"/>
    <w:rsid w:val="003E1EAC"/>
    <w:rsid w:val="003E33D8"/>
    <w:rsid w:val="003E35A0"/>
    <w:rsid w:val="003E3B9F"/>
    <w:rsid w:val="003E42A6"/>
    <w:rsid w:val="003E4D2C"/>
    <w:rsid w:val="003E5949"/>
    <w:rsid w:val="003E5B97"/>
    <w:rsid w:val="003E6466"/>
    <w:rsid w:val="003E64A1"/>
    <w:rsid w:val="003E6995"/>
    <w:rsid w:val="003E6C80"/>
    <w:rsid w:val="003E7477"/>
    <w:rsid w:val="003E7649"/>
    <w:rsid w:val="003E7772"/>
    <w:rsid w:val="003F030B"/>
    <w:rsid w:val="003F03B8"/>
    <w:rsid w:val="003F069B"/>
    <w:rsid w:val="003F0970"/>
    <w:rsid w:val="003F1A4F"/>
    <w:rsid w:val="003F1F01"/>
    <w:rsid w:val="003F21D9"/>
    <w:rsid w:val="003F2274"/>
    <w:rsid w:val="003F27D8"/>
    <w:rsid w:val="003F2FE6"/>
    <w:rsid w:val="003F34F6"/>
    <w:rsid w:val="003F3934"/>
    <w:rsid w:val="003F3E74"/>
    <w:rsid w:val="003F469D"/>
    <w:rsid w:val="003F4F43"/>
    <w:rsid w:val="003F5306"/>
    <w:rsid w:val="003F5BD9"/>
    <w:rsid w:val="004001EB"/>
    <w:rsid w:val="0040031F"/>
    <w:rsid w:val="0040058F"/>
    <w:rsid w:val="00400D59"/>
    <w:rsid w:val="00400E24"/>
    <w:rsid w:val="00400FBB"/>
    <w:rsid w:val="004015AF"/>
    <w:rsid w:val="0040173B"/>
    <w:rsid w:val="00401CDE"/>
    <w:rsid w:val="0040207F"/>
    <w:rsid w:val="004020C2"/>
    <w:rsid w:val="0040266B"/>
    <w:rsid w:val="004037EB"/>
    <w:rsid w:val="00403D3B"/>
    <w:rsid w:val="0040414E"/>
    <w:rsid w:val="00405D19"/>
    <w:rsid w:val="0040641C"/>
    <w:rsid w:val="0040652E"/>
    <w:rsid w:val="00406924"/>
    <w:rsid w:val="00406B40"/>
    <w:rsid w:val="00407B1F"/>
    <w:rsid w:val="00407D7A"/>
    <w:rsid w:val="00410329"/>
    <w:rsid w:val="0041068C"/>
    <w:rsid w:val="00410DC7"/>
    <w:rsid w:val="00411EE2"/>
    <w:rsid w:val="00412EAD"/>
    <w:rsid w:val="00412FD6"/>
    <w:rsid w:val="00413362"/>
    <w:rsid w:val="0041391A"/>
    <w:rsid w:val="00413C65"/>
    <w:rsid w:val="004151E2"/>
    <w:rsid w:val="00415264"/>
    <w:rsid w:val="0041527B"/>
    <w:rsid w:val="004158AE"/>
    <w:rsid w:val="00415DE0"/>
    <w:rsid w:val="00416763"/>
    <w:rsid w:val="00416DD4"/>
    <w:rsid w:val="00417663"/>
    <w:rsid w:val="00417935"/>
    <w:rsid w:val="00417E7E"/>
    <w:rsid w:val="004204E5"/>
    <w:rsid w:val="00420F6B"/>
    <w:rsid w:val="00421B46"/>
    <w:rsid w:val="00422BAF"/>
    <w:rsid w:val="00422C6A"/>
    <w:rsid w:val="00423379"/>
    <w:rsid w:val="00423DE7"/>
    <w:rsid w:val="0042438F"/>
    <w:rsid w:val="00424614"/>
    <w:rsid w:val="00424B61"/>
    <w:rsid w:val="00424F66"/>
    <w:rsid w:val="0042501F"/>
    <w:rsid w:val="00425663"/>
    <w:rsid w:val="00426F0D"/>
    <w:rsid w:val="004271A6"/>
    <w:rsid w:val="004278A0"/>
    <w:rsid w:val="00430ED8"/>
    <w:rsid w:val="00431B95"/>
    <w:rsid w:val="0043207A"/>
    <w:rsid w:val="00432AF8"/>
    <w:rsid w:val="00433213"/>
    <w:rsid w:val="004332AE"/>
    <w:rsid w:val="00434F11"/>
    <w:rsid w:val="0043555B"/>
    <w:rsid w:val="0043580C"/>
    <w:rsid w:val="00435A2E"/>
    <w:rsid w:val="00436B0F"/>
    <w:rsid w:val="0043708F"/>
    <w:rsid w:val="00437129"/>
    <w:rsid w:val="0043720D"/>
    <w:rsid w:val="00437379"/>
    <w:rsid w:val="0043748C"/>
    <w:rsid w:val="00437ADC"/>
    <w:rsid w:val="00437D20"/>
    <w:rsid w:val="00437E75"/>
    <w:rsid w:val="004401F9"/>
    <w:rsid w:val="00441AE5"/>
    <w:rsid w:val="00441B66"/>
    <w:rsid w:val="00442090"/>
    <w:rsid w:val="00442E3C"/>
    <w:rsid w:val="00443C92"/>
    <w:rsid w:val="00444BCF"/>
    <w:rsid w:val="00445301"/>
    <w:rsid w:val="0044553F"/>
    <w:rsid w:val="0044571A"/>
    <w:rsid w:val="00446115"/>
    <w:rsid w:val="00446E1C"/>
    <w:rsid w:val="00447220"/>
    <w:rsid w:val="004472B3"/>
    <w:rsid w:val="004477B3"/>
    <w:rsid w:val="00450AF4"/>
    <w:rsid w:val="00452F7B"/>
    <w:rsid w:val="004538CF"/>
    <w:rsid w:val="00453A54"/>
    <w:rsid w:val="0045556A"/>
    <w:rsid w:val="00455B9D"/>
    <w:rsid w:val="00456301"/>
    <w:rsid w:val="0045654C"/>
    <w:rsid w:val="004569CB"/>
    <w:rsid w:val="00456B81"/>
    <w:rsid w:val="00461DC6"/>
    <w:rsid w:val="004628C4"/>
    <w:rsid w:val="004629EB"/>
    <w:rsid w:val="004630C3"/>
    <w:rsid w:val="00463953"/>
    <w:rsid w:val="00464629"/>
    <w:rsid w:val="00464A16"/>
    <w:rsid w:val="00465293"/>
    <w:rsid w:val="00465358"/>
    <w:rsid w:val="004655DA"/>
    <w:rsid w:val="00465E0C"/>
    <w:rsid w:val="00465FE7"/>
    <w:rsid w:val="0046641E"/>
    <w:rsid w:val="00466599"/>
    <w:rsid w:val="00467E78"/>
    <w:rsid w:val="00467F95"/>
    <w:rsid w:val="00470CAC"/>
    <w:rsid w:val="00470E20"/>
    <w:rsid w:val="00470F50"/>
    <w:rsid w:val="00471082"/>
    <w:rsid w:val="00471100"/>
    <w:rsid w:val="0047119C"/>
    <w:rsid w:val="00471856"/>
    <w:rsid w:val="004722A7"/>
    <w:rsid w:val="00472A62"/>
    <w:rsid w:val="0047349F"/>
    <w:rsid w:val="0047354E"/>
    <w:rsid w:val="00473E56"/>
    <w:rsid w:val="00473EB4"/>
    <w:rsid w:val="00474AD5"/>
    <w:rsid w:val="00475D68"/>
    <w:rsid w:val="00475E7C"/>
    <w:rsid w:val="004768FB"/>
    <w:rsid w:val="00476AB2"/>
    <w:rsid w:val="00477D95"/>
    <w:rsid w:val="00477E06"/>
    <w:rsid w:val="00477EE9"/>
    <w:rsid w:val="00480770"/>
    <w:rsid w:val="004809E1"/>
    <w:rsid w:val="00481638"/>
    <w:rsid w:val="00481BA5"/>
    <w:rsid w:val="0048385F"/>
    <w:rsid w:val="00484F82"/>
    <w:rsid w:val="0048507F"/>
    <w:rsid w:val="00485F9B"/>
    <w:rsid w:val="004903BD"/>
    <w:rsid w:val="0049054F"/>
    <w:rsid w:val="00490FEA"/>
    <w:rsid w:val="00491339"/>
    <w:rsid w:val="004913CB"/>
    <w:rsid w:val="004918B3"/>
    <w:rsid w:val="00492061"/>
    <w:rsid w:val="00492295"/>
    <w:rsid w:val="004927E2"/>
    <w:rsid w:val="00492EAA"/>
    <w:rsid w:val="00493B0A"/>
    <w:rsid w:val="004941E4"/>
    <w:rsid w:val="004945DC"/>
    <w:rsid w:val="00494C60"/>
    <w:rsid w:val="00494D99"/>
    <w:rsid w:val="00494EEE"/>
    <w:rsid w:val="00495D18"/>
    <w:rsid w:val="00495E03"/>
    <w:rsid w:val="00495EC1"/>
    <w:rsid w:val="004967AA"/>
    <w:rsid w:val="00496D97"/>
    <w:rsid w:val="00497750"/>
    <w:rsid w:val="004A01CD"/>
    <w:rsid w:val="004A0BBB"/>
    <w:rsid w:val="004A10CC"/>
    <w:rsid w:val="004A1543"/>
    <w:rsid w:val="004A1CA1"/>
    <w:rsid w:val="004A21AF"/>
    <w:rsid w:val="004A248D"/>
    <w:rsid w:val="004A24CD"/>
    <w:rsid w:val="004A24E3"/>
    <w:rsid w:val="004A341F"/>
    <w:rsid w:val="004A36FE"/>
    <w:rsid w:val="004A3D85"/>
    <w:rsid w:val="004A4213"/>
    <w:rsid w:val="004A4232"/>
    <w:rsid w:val="004A46FF"/>
    <w:rsid w:val="004A49B0"/>
    <w:rsid w:val="004A49C7"/>
    <w:rsid w:val="004A5104"/>
    <w:rsid w:val="004A5CF6"/>
    <w:rsid w:val="004A654C"/>
    <w:rsid w:val="004A7348"/>
    <w:rsid w:val="004A7EC5"/>
    <w:rsid w:val="004B060C"/>
    <w:rsid w:val="004B0AD1"/>
    <w:rsid w:val="004B11B7"/>
    <w:rsid w:val="004B1442"/>
    <w:rsid w:val="004B2128"/>
    <w:rsid w:val="004B2AE6"/>
    <w:rsid w:val="004B305B"/>
    <w:rsid w:val="004B3BB7"/>
    <w:rsid w:val="004B49D8"/>
    <w:rsid w:val="004B526A"/>
    <w:rsid w:val="004B5B01"/>
    <w:rsid w:val="004B612B"/>
    <w:rsid w:val="004B6C08"/>
    <w:rsid w:val="004B6D7D"/>
    <w:rsid w:val="004B716E"/>
    <w:rsid w:val="004C027C"/>
    <w:rsid w:val="004C1174"/>
    <w:rsid w:val="004C16FA"/>
    <w:rsid w:val="004C1854"/>
    <w:rsid w:val="004C1956"/>
    <w:rsid w:val="004C1EAD"/>
    <w:rsid w:val="004C23E2"/>
    <w:rsid w:val="004C2C1F"/>
    <w:rsid w:val="004C413A"/>
    <w:rsid w:val="004C528B"/>
    <w:rsid w:val="004C5EEC"/>
    <w:rsid w:val="004C6170"/>
    <w:rsid w:val="004C62A9"/>
    <w:rsid w:val="004C75E4"/>
    <w:rsid w:val="004C76F9"/>
    <w:rsid w:val="004C7AD0"/>
    <w:rsid w:val="004D0035"/>
    <w:rsid w:val="004D0851"/>
    <w:rsid w:val="004D0900"/>
    <w:rsid w:val="004D0D30"/>
    <w:rsid w:val="004D15C0"/>
    <w:rsid w:val="004D1B49"/>
    <w:rsid w:val="004D1EE7"/>
    <w:rsid w:val="004D26DC"/>
    <w:rsid w:val="004D2FD0"/>
    <w:rsid w:val="004D34E1"/>
    <w:rsid w:val="004D3F99"/>
    <w:rsid w:val="004D41FB"/>
    <w:rsid w:val="004D5862"/>
    <w:rsid w:val="004D58BF"/>
    <w:rsid w:val="004D5CCD"/>
    <w:rsid w:val="004D60F5"/>
    <w:rsid w:val="004D6337"/>
    <w:rsid w:val="004D69FA"/>
    <w:rsid w:val="004D7157"/>
    <w:rsid w:val="004D767E"/>
    <w:rsid w:val="004D7A6B"/>
    <w:rsid w:val="004E0538"/>
    <w:rsid w:val="004E0545"/>
    <w:rsid w:val="004E07E9"/>
    <w:rsid w:val="004E0BE9"/>
    <w:rsid w:val="004E114E"/>
    <w:rsid w:val="004E130E"/>
    <w:rsid w:val="004E2275"/>
    <w:rsid w:val="004E2708"/>
    <w:rsid w:val="004E596C"/>
    <w:rsid w:val="004E5E87"/>
    <w:rsid w:val="004E6019"/>
    <w:rsid w:val="004E610C"/>
    <w:rsid w:val="004E61BB"/>
    <w:rsid w:val="004E66B5"/>
    <w:rsid w:val="004E6BFF"/>
    <w:rsid w:val="004E6D8D"/>
    <w:rsid w:val="004E6ECA"/>
    <w:rsid w:val="004E6F68"/>
    <w:rsid w:val="004E7682"/>
    <w:rsid w:val="004F0CEE"/>
    <w:rsid w:val="004F112B"/>
    <w:rsid w:val="004F12CD"/>
    <w:rsid w:val="004F21BB"/>
    <w:rsid w:val="004F2FC6"/>
    <w:rsid w:val="004F4512"/>
    <w:rsid w:val="004F49FA"/>
    <w:rsid w:val="004F4E62"/>
    <w:rsid w:val="004F5813"/>
    <w:rsid w:val="004F5AEA"/>
    <w:rsid w:val="004F5EA8"/>
    <w:rsid w:val="004F5EE5"/>
    <w:rsid w:val="004F62B3"/>
    <w:rsid w:val="004F78AD"/>
    <w:rsid w:val="004F7DFB"/>
    <w:rsid w:val="00500A79"/>
    <w:rsid w:val="0050182E"/>
    <w:rsid w:val="00501F5F"/>
    <w:rsid w:val="005025EE"/>
    <w:rsid w:val="005029D7"/>
    <w:rsid w:val="00502EBB"/>
    <w:rsid w:val="00503340"/>
    <w:rsid w:val="0050346F"/>
    <w:rsid w:val="00503D86"/>
    <w:rsid w:val="005045C2"/>
    <w:rsid w:val="00504900"/>
    <w:rsid w:val="00504A6D"/>
    <w:rsid w:val="0050693A"/>
    <w:rsid w:val="00506EE6"/>
    <w:rsid w:val="00506F16"/>
    <w:rsid w:val="00507831"/>
    <w:rsid w:val="00507B9D"/>
    <w:rsid w:val="0051052F"/>
    <w:rsid w:val="0051107D"/>
    <w:rsid w:val="00511839"/>
    <w:rsid w:val="00512C89"/>
    <w:rsid w:val="00512F24"/>
    <w:rsid w:val="005130C0"/>
    <w:rsid w:val="005131AF"/>
    <w:rsid w:val="00513D09"/>
    <w:rsid w:val="00513E99"/>
    <w:rsid w:val="00513F8F"/>
    <w:rsid w:val="005148B4"/>
    <w:rsid w:val="00514A7E"/>
    <w:rsid w:val="00514BDC"/>
    <w:rsid w:val="005154FD"/>
    <w:rsid w:val="00515C72"/>
    <w:rsid w:val="00515D1C"/>
    <w:rsid w:val="005167C1"/>
    <w:rsid w:val="00516AED"/>
    <w:rsid w:val="00516D3A"/>
    <w:rsid w:val="005174F5"/>
    <w:rsid w:val="00517CDA"/>
    <w:rsid w:val="00517EF9"/>
    <w:rsid w:val="005202B5"/>
    <w:rsid w:val="00520450"/>
    <w:rsid w:val="00520BC9"/>
    <w:rsid w:val="00520FAD"/>
    <w:rsid w:val="00522871"/>
    <w:rsid w:val="00522B0D"/>
    <w:rsid w:val="00523940"/>
    <w:rsid w:val="005240FD"/>
    <w:rsid w:val="005241DD"/>
    <w:rsid w:val="00524F07"/>
    <w:rsid w:val="00525BD0"/>
    <w:rsid w:val="00525E22"/>
    <w:rsid w:val="005264A6"/>
    <w:rsid w:val="00526539"/>
    <w:rsid w:val="005271CA"/>
    <w:rsid w:val="00527970"/>
    <w:rsid w:val="00527AD1"/>
    <w:rsid w:val="00530E00"/>
    <w:rsid w:val="005310AD"/>
    <w:rsid w:val="005317AB"/>
    <w:rsid w:val="005325CB"/>
    <w:rsid w:val="005335B9"/>
    <w:rsid w:val="00534151"/>
    <w:rsid w:val="00534F00"/>
    <w:rsid w:val="00534FE5"/>
    <w:rsid w:val="0053607A"/>
    <w:rsid w:val="00536DA2"/>
    <w:rsid w:val="00537A52"/>
    <w:rsid w:val="00537EA5"/>
    <w:rsid w:val="00537F99"/>
    <w:rsid w:val="00540235"/>
    <w:rsid w:val="00540B53"/>
    <w:rsid w:val="00541B67"/>
    <w:rsid w:val="00542497"/>
    <w:rsid w:val="00542A13"/>
    <w:rsid w:val="00543199"/>
    <w:rsid w:val="00543615"/>
    <w:rsid w:val="0054370C"/>
    <w:rsid w:val="005449A0"/>
    <w:rsid w:val="00544AA8"/>
    <w:rsid w:val="00544E47"/>
    <w:rsid w:val="005460CC"/>
    <w:rsid w:val="00546591"/>
    <w:rsid w:val="00546674"/>
    <w:rsid w:val="00546A61"/>
    <w:rsid w:val="005471A7"/>
    <w:rsid w:val="005477EF"/>
    <w:rsid w:val="00547A4B"/>
    <w:rsid w:val="00547D57"/>
    <w:rsid w:val="005503BB"/>
    <w:rsid w:val="005503C0"/>
    <w:rsid w:val="00550573"/>
    <w:rsid w:val="00550774"/>
    <w:rsid w:val="00550A55"/>
    <w:rsid w:val="00550CBA"/>
    <w:rsid w:val="00551AE6"/>
    <w:rsid w:val="005521AF"/>
    <w:rsid w:val="00552554"/>
    <w:rsid w:val="005532F2"/>
    <w:rsid w:val="00553BA2"/>
    <w:rsid w:val="00553D60"/>
    <w:rsid w:val="00553DC2"/>
    <w:rsid w:val="005564EC"/>
    <w:rsid w:val="00556B2D"/>
    <w:rsid w:val="005575CB"/>
    <w:rsid w:val="005578B0"/>
    <w:rsid w:val="0056077B"/>
    <w:rsid w:val="00561240"/>
    <w:rsid w:val="00561305"/>
    <w:rsid w:val="00561C8C"/>
    <w:rsid w:val="005627F4"/>
    <w:rsid w:val="0056346B"/>
    <w:rsid w:val="005636C8"/>
    <w:rsid w:val="005636DF"/>
    <w:rsid w:val="00563FB6"/>
    <w:rsid w:val="00564D9F"/>
    <w:rsid w:val="00564FF8"/>
    <w:rsid w:val="00565173"/>
    <w:rsid w:val="00565942"/>
    <w:rsid w:val="00565F65"/>
    <w:rsid w:val="0056748D"/>
    <w:rsid w:val="005674EE"/>
    <w:rsid w:val="00570B89"/>
    <w:rsid w:val="00571783"/>
    <w:rsid w:val="00571BEB"/>
    <w:rsid w:val="00571F1E"/>
    <w:rsid w:val="00571FD7"/>
    <w:rsid w:val="00572401"/>
    <w:rsid w:val="005726E6"/>
    <w:rsid w:val="00572922"/>
    <w:rsid w:val="005733FD"/>
    <w:rsid w:val="00573823"/>
    <w:rsid w:val="005738F9"/>
    <w:rsid w:val="005740ED"/>
    <w:rsid w:val="005742FB"/>
    <w:rsid w:val="00574DC6"/>
    <w:rsid w:val="00575065"/>
    <w:rsid w:val="0057514E"/>
    <w:rsid w:val="005754DD"/>
    <w:rsid w:val="00575A24"/>
    <w:rsid w:val="00575CB3"/>
    <w:rsid w:val="005765CA"/>
    <w:rsid w:val="00576CB7"/>
    <w:rsid w:val="00576D4F"/>
    <w:rsid w:val="00577378"/>
    <w:rsid w:val="00577439"/>
    <w:rsid w:val="00577ADD"/>
    <w:rsid w:val="005800DD"/>
    <w:rsid w:val="005803CD"/>
    <w:rsid w:val="0058083A"/>
    <w:rsid w:val="005809A7"/>
    <w:rsid w:val="00580BE9"/>
    <w:rsid w:val="00581420"/>
    <w:rsid w:val="00581FA2"/>
    <w:rsid w:val="0058208D"/>
    <w:rsid w:val="005821E2"/>
    <w:rsid w:val="005823F6"/>
    <w:rsid w:val="0058263F"/>
    <w:rsid w:val="00583911"/>
    <w:rsid w:val="005839F3"/>
    <w:rsid w:val="00583B8F"/>
    <w:rsid w:val="00585072"/>
    <w:rsid w:val="005854D2"/>
    <w:rsid w:val="00585E6F"/>
    <w:rsid w:val="0058706A"/>
    <w:rsid w:val="005870DE"/>
    <w:rsid w:val="005872A9"/>
    <w:rsid w:val="005903D9"/>
    <w:rsid w:val="005904F1"/>
    <w:rsid w:val="00591B29"/>
    <w:rsid w:val="00591DD6"/>
    <w:rsid w:val="00592FF3"/>
    <w:rsid w:val="00593694"/>
    <w:rsid w:val="0059377A"/>
    <w:rsid w:val="0059395A"/>
    <w:rsid w:val="00593D89"/>
    <w:rsid w:val="00594083"/>
    <w:rsid w:val="00594468"/>
    <w:rsid w:val="00595EE4"/>
    <w:rsid w:val="0059631F"/>
    <w:rsid w:val="00596FB5"/>
    <w:rsid w:val="00597E2B"/>
    <w:rsid w:val="005A05A9"/>
    <w:rsid w:val="005A0FE7"/>
    <w:rsid w:val="005A11B9"/>
    <w:rsid w:val="005A1C15"/>
    <w:rsid w:val="005A1DA0"/>
    <w:rsid w:val="005A1E07"/>
    <w:rsid w:val="005A2B11"/>
    <w:rsid w:val="005A3CA9"/>
    <w:rsid w:val="005A4228"/>
    <w:rsid w:val="005A5873"/>
    <w:rsid w:val="005A6A63"/>
    <w:rsid w:val="005B02EE"/>
    <w:rsid w:val="005B11A2"/>
    <w:rsid w:val="005B20F3"/>
    <w:rsid w:val="005B2C99"/>
    <w:rsid w:val="005B31DC"/>
    <w:rsid w:val="005B38DC"/>
    <w:rsid w:val="005B41C2"/>
    <w:rsid w:val="005B466E"/>
    <w:rsid w:val="005B49E0"/>
    <w:rsid w:val="005B4B26"/>
    <w:rsid w:val="005B4F6D"/>
    <w:rsid w:val="005B5143"/>
    <w:rsid w:val="005B5B00"/>
    <w:rsid w:val="005B5D11"/>
    <w:rsid w:val="005B6532"/>
    <w:rsid w:val="005B6971"/>
    <w:rsid w:val="005B71A9"/>
    <w:rsid w:val="005B7257"/>
    <w:rsid w:val="005B7A65"/>
    <w:rsid w:val="005B7AA2"/>
    <w:rsid w:val="005B7DF8"/>
    <w:rsid w:val="005B7EAB"/>
    <w:rsid w:val="005C2506"/>
    <w:rsid w:val="005C288E"/>
    <w:rsid w:val="005C2895"/>
    <w:rsid w:val="005C2ADF"/>
    <w:rsid w:val="005C39AB"/>
    <w:rsid w:val="005C3CC8"/>
    <w:rsid w:val="005C44D2"/>
    <w:rsid w:val="005C550F"/>
    <w:rsid w:val="005C5FF2"/>
    <w:rsid w:val="005C636B"/>
    <w:rsid w:val="005C6519"/>
    <w:rsid w:val="005C6748"/>
    <w:rsid w:val="005C687D"/>
    <w:rsid w:val="005C69F0"/>
    <w:rsid w:val="005C6CD3"/>
    <w:rsid w:val="005D0D3E"/>
    <w:rsid w:val="005D1032"/>
    <w:rsid w:val="005D161A"/>
    <w:rsid w:val="005D16B4"/>
    <w:rsid w:val="005D16E5"/>
    <w:rsid w:val="005D41B4"/>
    <w:rsid w:val="005D52F8"/>
    <w:rsid w:val="005D57BE"/>
    <w:rsid w:val="005D5F46"/>
    <w:rsid w:val="005D627E"/>
    <w:rsid w:val="005D7740"/>
    <w:rsid w:val="005D7BF2"/>
    <w:rsid w:val="005D7EE7"/>
    <w:rsid w:val="005E02DA"/>
    <w:rsid w:val="005E02E0"/>
    <w:rsid w:val="005E06D7"/>
    <w:rsid w:val="005E0C38"/>
    <w:rsid w:val="005E14B9"/>
    <w:rsid w:val="005E1639"/>
    <w:rsid w:val="005E1642"/>
    <w:rsid w:val="005E16D8"/>
    <w:rsid w:val="005E309C"/>
    <w:rsid w:val="005E314A"/>
    <w:rsid w:val="005E3CBD"/>
    <w:rsid w:val="005E4931"/>
    <w:rsid w:val="005E4D7A"/>
    <w:rsid w:val="005E67F3"/>
    <w:rsid w:val="005E6CF7"/>
    <w:rsid w:val="005E741D"/>
    <w:rsid w:val="005E763A"/>
    <w:rsid w:val="005E7E86"/>
    <w:rsid w:val="005F08FF"/>
    <w:rsid w:val="005F0FCA"/>
    <w:rsid w:val="005F1E9A"/>
    <w:rsid w:val="005F3311"/>
    <w:rsid w:val="005F355F"/>
    <w:rsid w:val="005F3780"/>
    <w:rsid w:val="005F43BF"/>
    <w:rsid w:val="005F4939"/>
    <w:rsid w:val="005F4B92"/>
    <w:rsid w:val="005F5432"/>
    <w:rsid w:val="005F5B88"/>
    <w:rsid w:val="005F7283"/>
    <w:rsid w:val="005F77E1"/>
    <w:rsid w:val="006006A0"/>
    <w:rsid w:val="0060073D"/>
    <w:rsid w:val="00600B15"/>
    <w:rsid w:val="00601136"/>
    <w:rsid w:val="00601332"/>
    <w:rsid w:val="00601362"/>
    <w:rsid w:val="0060191B"/>
    <w:rsid w:val="00601A24"/>
    <w:rsid w:val="00601B52"/>
    <w:rsid w:val="00604234"/>
    <w:rsid w:val="006042C4"/>
    <w:rsid w:val="0060495D"/>
    <w:rsid w:val="00604E52"/>
    <w:rsid w:val="006052BD"/>
    <w:rsid w:val="00606143"/>
    <w:rsid w:val="006063C9"/>
    <w:rsid w:val="006066CF"/>
    <w:rsid w:val="00606E7B"/>
    <w:rsid w:val="006109D6"/>
    <w:rsid w:val="00610BA3"/>
    <w:rsid w:val="00610DE6"/>
    <w:rsid w:val="00611346"/>
    <w:rsid w:val="00611ED4"/>
    <w:rsid w:val="006120AD"/>
    <w:rsid w:val="006130CB"/>
    <w:rsid w:val="006136F4"/>
    <w:rsid w:val="00613ABD"/>
    <w:rsid w:val="00614110"/>
    <w:rsid w:val="00614851"/>
    <w:rsid w:val="00614D18"/>
    <w:rsid w:val="00614F12"/>
    <w:rsid w:val="006155D1"/>
    <w:rsid w:val="00615AE5"/>
    <w:rsid w:val="0061662E"/>
    <w:rsid w:val="00616A3A"/>
    <w:rsid w:val="00616AD3"/>
    <w:rsid w:val="0061798A"/>
    <w:rsid w:val="00617D40"/>
    <w:rsid w:val="00620953"/>
    <w:rsid w:val="00620D1C"/>
    <w:rsid w:val="0062161A"/>
    <w:rsid w:val="00622AA8"/>
    <w:rsid w:val="00622B17"/>
    <w:rsid w:val="0062376E"/>
    <w:rsid w:val="0062534D"/>
    <w:rsid w:val="0062539D"/>
    <w:rsid w:val="00625F94"/>
    <w:rsid w:val="00626162"/>
    <w:rsid w:val="00626441"/>
    <w:rsid w:val="006264D4"/>
    <w:rsid w:val="006268BF"/>
    <w:rsid w:val="00627046"/>
    <w:rsid w:val="00630497"/>
    <w:rsid w:val="00631F7D"/>
    <w:rsid w:val="00632474"/>
    <w:rsid w:val="006329C8"/>
    <w:rsid w:val="00632AEA"/>
    <w:rsid w:val="00632E02"/>
    <w:rsid w:val="00632E9D"/>
    <w:rsid w:val="0063306B"/>
    <w:rsid w:val="006330E2"/>
    <w:rsid w:val="00633E12"/>
    <w:rsid w:val="0063444A"/>
    <w:rsid w:val="00634E2B"/>
    <w:rsid w:val="00635A51"/>
    <w:rsid w:val="00636C77"/>
    <w:rsid w:val="00636EEC"/>
    <w:rsid w:val="0063718C"/>
    <w:rsid w:val="00637295"/>
    <w:rsid w:val="0063746A"/>
    <w:rsid w:val="00637D35"/>
    <w:rsid w:val="00640033"/>
    <w:rsid w:val="006405FC"/>
    <w:rsid w:val="00640775"/>
    <w:rsid w:val="0064142C"/>
    <w:rsid w:val="0064146F"/>
    <w:rsid w:val="006416DC"/>
    <w:rsid w:val="006416EA"/>
    <w:rsid w:val="006417D7"/>
    <w:rsid w:val="00641D58"/>
    <w:rsid w:val="0064224C"/>
    <w:rsid w:val="006423AF"/>
    <w:rsid w:val="00643410"/>
    <w:rsid w:val="00645625"/>
    <w:rsid w:val="00645C0D"/>
    <w:rsid w:val="006469A3"/>
    <w:rsid w:val="0064754E"/>
    <w:rsid w:val="00647551"/>
    <w:rsid w:val="00647A90"/>
    <w:rsid w:val="00647AA4"/>
    <w:rsid w:val="00647FC0"/>
    <w:rsid w:val="0065072D"/>
    <w:rsid w:val="00651189"/>
    <w:rsid w:val="00651E89"/>
    <w:rsid w:val="006530C8"/>
    <w:rsid w:val="00653272"/>
    <w:rsid w:val="006532EF"/>
    <w:rsid w:val="00653704"/>
    <w:rsid w:val="00654881"/>
    <w:rsid w:val="00654CFE"/>
    <w:rsid w:val="00655882"/>
    <w:rsid w:val="006560D9"/>
    <w:rsid w:val="00656453"/>
    <w:rsid w:val="00656686"/>
    <w:rsid w:val="0066024D"/>
    <w:rsid w:val="0066038D"/>
    <w:rsid w:val="00660886"/>
    <w:rsid w:val="00660F44"/>
    <w:rsid w:val="006612C3"/>
    <w:rsid w:val="006613F9"/>
    <w:rsid w:val="006614C5"/>
    <w:rsid w:val="006629CC"/>
    <w:rsid w:val="00663058"/>
    <w:rsid w:val="00663081"/>
    <w:rsid w:val="00663490"/>
    <w:rsid w:val="00663B7B"/>
    <w:rsid w:val="0066469C"/>
    <w:rsid w:val="00664F71"/>
    <w:rsid w:val="0066596B"/>
    <w:rsid w:val="006663FE"/>
    <w:rsid w:val="006665E1"/>
    <w:rsid w:val="006668EA"/>
    <w:rsid w:val="00666A76"/>
    <w:rsid w:val="00666D4A"/>
    <w:rsid w:val="0066700D"/>
    <w:rsid w:val="00670395"/>
    <w:rsid w:val="006703E1"/>
    <w:rsid w:val="00670513"/>
    <w:rsid w:val="006715C0"/>
    <w:rsid w:val="006716EF"/>
    <w:rsid w:val="00672589"/>
    <w:rsid w:val="00672820"/>
    <w:rsid w:val="00672CC2"/>
    <w:rsid w:val="00673AF2"/>
    <w:rsid w:val="00675087"/>
    <w:rsid w:val="0067664D"/>
    <w:rsid w:val="006767E3"/>
    <w:rsid w:val="00676A99"/>
    <w:rsid w:val="00677150"/>
    <w:rsid w:val="00677892"/>
    <w:rsid w:val="00677897"/>
    <w:rsid w:val="00677D7B"/>
    <w:rsid w:val="00680533"/>
    <w:rsid w:val="00680BAB"/>
    <w:rsid w:val="00680F81"/>
    <w:rsid w:val="00681223"/>
    <w:rsid w:val="0068175C"/>
    <w:rsid w:val="00681DD7"/>
    <w:rsid w:val="006823E4"/>
    <w:rsid w:val="00683422"/>
    <w:rsid w:val="00683ADA"/>
    <w:rsid w:val="00684DDE"/>
    <w:rsid w:val="00685837"/>
    <w:rsid w:val="00685F11"/>
    <w:rsid w:val="00686EE9"/>
    <w:rsid w:val="00687008"/>
    <w:rsid w:val="00687035"/>
    <w:rsid w:val="00687BBE"/>
    <w:rsid w:val="006902CE"/>
    <w:rsid w:val="00690344"/>
    <w:rsid w:val="006920CA"/>
    <w:rsid w:val="006924EE"/>
    <w:rsid w:val="0069306A"/>
    <w:rsid w:val="006932E4"/>
    <w:rsid w:val="00694041"/>
    <w:rsid w:val="006945A0"/>
    <w:rsid w:val="00694639"/>
    <w:rsid w:val="00694A4E"/>
    <w:rsid w:val="0069546C"/>
    <w:rsid w:val="00695502"/>
    <w:rsid w:val="00695CEF"/>
    <w:rsid w:val="00697275"/>
    <w:rsid w:val="0069DE21"/>
    <w:rsid w:val="006A02C2"/>
    <w:rsid w:val="006A10D7"/>
    <w:rsid w:val="006A11B7"/>
    <w:rsid w:val="006A141D"/>
    <w:rsid w:val="006A191B"/>
    <w:rsid w:val="006A211A"/>
    <w:rsid w:val="006A2318"/>
    <w:rsid w:val="006A23E5"/>
    <w:rsid w:val="006A2B7F"/>
    <w:rsid w:val="006A339E"/>
    <w:rsid w:val="006A4AD6"/>
    <w:rsid w:val="006A4B99"/>
    <w:rsid w:val="006A4E2A"/>
    <w:rsid w:val="006A5325"/>
    <w:rsid w:val="006A5350"/>
    <w:rsid w:val="006A5791"/>
    <w:rsid w:val="006A62D5"/>
    <w:rsid w:val="006A7A6D"/>
    <w:rsid w:val="006A7BA0"/>
    <w:rsid w:val="006B02AD"/>
    <w:rsid w:val="006B19F8"/>
    <w:rsid w:val="006B1B24"/>
    <w:rsid w:val="006B31BB"/>
    <w:rsid w:val="006B368F"/>
    <w:rsid w:val="006B3841"/>
    <w:rsid w:val="006B404F"/>
    <w:rsid w:val="006B5795"/>
    <w:rsid w:val="006B64E6"/>
    <w:rsid w:val="006B6AAC"/>
    <w:rsid w:val="006B7338"/>
    <w:rsid w:val="006B7A16"/>
    <w:rsid w:val="006B7E27"/>
    <w:rsid w:val="006C017E"/>
    <w:rsid w:val="006C0864"/>
    <w:rsid w:val="006C0B21"/>
    <w:rsid w:val="006C0C0A"/>
    <w:rsid w:val="006C10E8"/>
    <w:rsid w:val="006C11BE"/>
    <w:rsid w:val="006C1FEA"/>
    <w:rsid w:val="006C255E"/>
    <w:rsid w:val="006C25BA"/>
    <w:rsid w:val="006C2AD7"/>
    <w:rsid w:val="006C2E4B"/>
    <w:rsid w:val="006C2FD5"/>
    <w:rsid w:val="006C34FD"/>
    <w:rsid w:val="006C37E8"/>
    <w:rsid w:val="006C388E"/>
    <w:rsid w:val="006C458A"/>
    <w:rsid w:val="006C4749"/>
    <w:rsid w:val="006C4989"/>
    <w:rsid w:val="006C49B1"/>
    <w:rsid w:val="006C4FE9"/>
    <w:rsid w:val="006C54AA"/>
    <w:rsid w:val="006C550A"/>
    <w:rsid w:val="006C55C4"/>
    <w:rsid w:val="006C6083"/>
    <w:rsid w:val="006C694C"/>
    <w:rsid w:val="006C7068"/>
    <w:rsid w:val="006C70A6"/>
    <w:rsid w:val="006C7D95"/>
    <w:rsid w:val="006C7DF3"/>
    <w:rsid w:val="006D0201"/>
    <w:rsid w:val="006D0A4F"/>
    <w:rsid w:val="006D0BC2"/>
    <w:rsid w:val="006D0CF6"/>
    <w:rsid w:val="006D0E80"/>
    <w:rsid w:val="006D1686"/>
    <w:rsid w:val="006D18CC"/>
    <w:rsid w:val="006D1B94"/>
    <w:rsid w:val="006D1BC8"/>
    <w:rsid w:val="006D1C8F"/>
    <w:rsid w:val="006D2059"/>
    <w:rsid w:val="006D26F6"/>
    <w:rsid w:val="006D2DA9"/>
    <w:rsid w:val="006D4A0A"/>
    <w:rsid w:val="006D4DCE"/>
    <w:rsid w:val="006D4F3E"/>
    <w:rsid w:val="006D50D5"/>
    <w:rsid w:val="006D5323"/>
    <w:rsid w:val="006D5819"/>
    <w:rsid w:val="006D619B"/>
    <w:rsid w:val="006D7085"/>
    <w:rsid w:val="006E0020"/>
    <w:rsid w:val="006E0B99"/>
    <w:rsid w:val="006E0E56"/>
    <w:rsid w:val="006E2363"/>
    <w:rsid w:val="006E2977"/>
    <w:rsid w:val="006E30A2"/>
    <w:rsid w:val="006E3143"/>
    <w:rsid w:val="006E3FB0"/>
    <w:rsid w:val="006E4092"/>
    <w:rsid w:val="006E4357"/>
    <w:rsid w:val="006E45C0"/>
    <w:rsid w:val="006E45DD"/>
    <w:rsid w:val="006E48C8"/>
    <w:rsid w:val="006E6058"/>
    <w:rsid w:val="006E6D5E"/>
    <w:rsid w:val="006E724B"/>
    <w:rsid w:val="006E7556"/>
    <w:rsid w:val="006E77FD"/>
    <w:rsid w:val="006E7A47"/>
    <w:rsid w:val="006E7A4B"/>
    <w:rsid w:val="006F0E22"/>
    <w:rsid w:val="006F10F9"/>
    <w:rsid w:val="006F14A3"/>
    <w:rsid w:val="006F22F9"/>
    <w:rsid w:val="006F2781"/>
    <w:rsid w:val="006F327B"/>
    <w:rsid w:val="006F348F"/>
    <w:rsid w:val="006F3FA3"/>
    <w:rsid w:val="006F412F"/>
    <w:rsid w:val="006F47D0"/>
    <w:rsid w:val="006F4DB3"/>
    <w:rsid w:val="006F4F6D"/>
    <w:rsid w:val="006F5042"/>
    <w:rsid w:val="006F5E1F"/>
    <w:rsid w:val="006F6602"/>
    <w:rsid w:val="006F717D"/>
    <w:rsid w:val="006F7752"/>
    <w:rsid w:val="006F7C82"/>
    <w:rsid w:val="007003BB"/>
    <w:rsid w:val="00700C62"/>
    <w:rsid w:val="007018BB"/>
    <w:rsid w:val="007018F9"/>
    <w:rsid w:val="00702222"/>
    <w:rsid w:val="00702DF1"/>
    <w:rsid w:val="00703636"/>
    <w:rsid w:val="00703FFF"/>
    <w:rsid w:val="007040FE"/>
    <w:rsid w:val="0070514A"/>
    <w:rsid w:val="00705553"/>
    <w:rsid w:val="00706137"/>
    <w:rsid w:val="007064F1"/>
    <w:rsid w:val="00706A6C"/>
    <w:rsid w:val="00706B91"/>
    <w:rsid w:val="00706C20"/>
    <w:rsid w:val="00706DEB"/>
    <w:rsid w:val="007078B3"/>
    <w:rsid w:val="00707A49"/>
    <w:rsid w:val="00710678"/>
    <w:rsid w:val="00710F75"/>
    <w:rsid w:val="00711220"/>
    <w:rsid w:val="00711279"/>
    <w:rsid w:val="00711281"/>
    <w:rsid w:val="0071192B"/>
    <w:rsid w:val="00711E17"/>
    <w:rsid w:val="00711FD7"/>
    <w:rsid w:val="007124D6"/>
    <w:rsid w:val="007125DE"/>
    <w:rsid w:val="00712C71"/>
    <w:rsid w:val="00712E4A"/>
    <w:rsid w:val="00714507"/>
    <w:rsid w:val="007149EA"/>
    <w:rsid w:val="00715F87"/>
    <w:rsid w:val="0071653B"/>
    <w:rsid w:val="00716B94"/>
    <w:rsid w:val="00716C06"/>
    <w:rsid w:val="00717947"/>
    <w:rsid w:val="00717B17"/>
    <w:rsid w:val="00720226"/>
    <w:rsid w:val="00720ABD"/>
    <w:rsid w:val="00720D3F"/>
    <w:rsid w:val="00721597"/>
    <w:rsid w:val="007215FB"/>
    <w:rsid w:val="007216BA"/>
    <w:rsid w:val="00721B2C"/>
    <w:rsid w:val="00721CC1"/>
    <w:rsid w:val="00721D23"/>
    <w:rsid w:val="00722186"/>
    <w:rsid w:val="00722316"/>
    <w:rsid w:val="00723612"/>
    <w:rsid w:val="007237E7"/>
    <w:rsid w:val="00724128"/>
    <w:rsid w:val="00724477"/>
    <w:rsid w:val="007245BF"/>
    <w:rsid w:val="00724649"/>
    <w:rsid w:val="0072465C"/>
    <w:rsid w:val="007248E1"/>
    <w:rsid w:val="00724C59"/>
    <w:rsid w:val="0072649D"/>
    <w:rsid w:val="00726600"/>
    <w:rsid w:val="007267ED"/>
    <w:rsid w:val="0072681E"/>
    <w:rsid w:val="00726A57"/>
    <w:rsid w:val="00726D4A"/>
    <w:rsid w:val="00726ECC"/>
    <w:rsid w:val="00727C88"/>
    <w:rsid w:val="00730377"/>
    <w:rsid w:val="00731AE4"/>
    <w:rsid w:val="007323FE"/>
    <w:rsid w:val="0073291B"/>
    <w:rsid w:val="007329AD"/>
    <w:rsid w:val="007335FD"/>
    <w:rsid w:val="0073471C"/>
    <w:rsid w:val="00734EEE"/>
    <w:rsid w:val="00735295"/>
    <w:rsid w:val="007354B0"/>
    <w:rsid w:val="007356EA"/>
    <w:rsid w:val="00735C7F"/>
    <w:rsid w:val="007364FA"/>
    <w:rsid w:val="00736D1F"/>
    <w:rsid w:val="00737864"/>
    <w:rsid w:val="0074032E"/>
    <w:rsid w:val="00741001"/>
    <w:rsid w:val="007417A3"/>
    <w:rsid w:val="00741B7E"/>
    <w:rsid w:val="007423BF"/>
    <w:rsid w:val="00745511"/>
    <w:rsid w:val="00745557"/>
    <w:rsid w:val="00745623"/>
    <w:rsid w:val="00746387"/>
    <w:rsid w:val="0074652D"/>
    <w:rsid w:val="00746606"/>
    <w:rsid w:val="00746920"/>
    <w:rsid w:val="00746D8C"/>
    <w:rsid w:val="0074769E"/>
    <w:rsid w:val="00747AEC"/>
    <w:rsid w:val="00747BEC"/>
    <w:rsid w:val="00747CF6"/>
    <w:rsid w:val="00750158"/>
    <w:rsid w:val="00750212"/>
    <w:rsid w:val="007511DC"/>
    <w:rsid w:val="00751FA1"/>
    <w:rsid w:val="00752042"/>
    <w:rsid w:val="0075404C"/>
    <w:rsid w:val="00754AAA"/>
    <w:rsid w:val="00754DAB"/>
    <w:rsid w:val="00755107"/>
    <w:rsid w:val="00755294"/>
    <w:rsid w:val="00755E72"/>
    <w:rsid w:val="007560FE"/>
    <w:rsid w:val="00756C00"/>
    <w:rsid w:val="007572A3"/>
    <w:rsid w:val="00757450"/>
    <w:rsid w:val="007578C1"/>
    <w:rsid w:val="0075796C"/>
    <w:rsid w:val="00760089"/>
    <w:rsid w:val="00760E62"/>
    <w:rsid w:val="00761850"/>
    <w:rsid w:val="007623A5"/>
    <w:rsid w:val="00762536"/>
    <w:rsid w:val="00762791"/>
    <w:rsid w:val="00762DE1"/>
    <w:rsid w:val="007631D0"/>
    <w:rsid w:val="00763343"/>
    <w:rsid w:val="00763594"/>
    <w:rsid w:val="00763CB9"/>
    <w:rsid w:val="00763D43"/>
    <w:rsid w:val="0076526F"/>
    <w:rsid w:val="00765C66"/>
    <w:rsid w:val="0076604D"/>
    <w:rsid w:val="0076657A"/>
    <w:rsid w:val="0076696D"/>
    <w:rsid w:val="00766CE4"/>
    <w:rsid w:val="00766D70"/>
    <w:rsid w:val="00766DCE"/>
    <w:rsid w:val="00767107"/>
    <w:rsid w:val="00767109"/>
    <w:rsid w:val="00767197"/>
    <w:rsid w:val="00767FFE"/>
    <w:rsid w:val="00770779"/>
    <w:rsid w:val="00770B8C"/>
    <w:rsid w:val="00770E4A"/>
    <w:rsid w:val="007712A6"/>
    <w:rsid w:val="00771E18"/>
    <w:rsid w:val="00772F27"/>
    <w:rsid w:val="007732A9"/>
    <w:rsid w:val="00773556"/>
    <w:rsid w:val="00773987"/>
    <w:rsid w:val="00774EAC"/>
    <w:rsid w:val="00775258"/>
    <w:rsid w:val="007754B4"/>
    <w:rsid w:val="00775B84"/>
    <w:rsid w:val="00776766"/>
    <w:rsid w:val="007769DF"/>
    <w:rsid w:val="00776F48"/>
    <w:rsid w:val="007778A6"/>
    <w:rsid w:val="00780575"/>
    <w:rsid w:val="0078078E"/>
    <w:rsid w:val="00781933"/>
    <w:rsid w:val="00781AF6"/>
    <w:rsid w:val="00781BD9"/>
    <w:rsid w:val="007829CA"/>
    <w:rsid w:val="007830FB"/>
    <w:rsid w:val="00783B21"/>
    <w:rsid w:val="00783E74"/>
    <w:rsid w:val="0078479D"/>
    <w:rsid w:val="00784CF9"/>
    <w:rsid w:val="007850E2"/>
    <w:rsid w:val="0078582B"/>
    <w:rsid w:val="007863BE"/>
    <w:rsid w:val="007866C4"/>
    <w:rsid w:val="00786CF4"/>
    <w:rsid w:val="0078710E"/>
    <w:rsid w:val="00787553"/>
    <w:rsid w:val="007904B6"/>
    <w:rsid w:val="00790985"/>
    <w:rsid w:val="00790D5F"/>
    <w:rsid w:val="00791332"/>
    <w:rsid w:val="00791BEF"/>
    <w:rsid w:val="00792AC2"/>
    <w:rsid w:val="0079327E"/>
    <w:rsid w:val="0079373A"/>
    <w:rsid w:val="007947BB"/>
    <w:rsid w:val="0079529F"/>
    <w:rsid w:val="007954FA"/>
    <w:rsid w:val="0079552D"/>
    <w:rsid w:val="007964B9"/>
    <w:rsid w:val="00796E81"/>
    <w:rsid w:val="00797726"/>
    <w:rsid w:val="00797B77"/>
    <w:rsid w:val="007A0113"/>
    <w:rsid w:val="007A0631"/>
    <w:rsid w:val="007A0A79"/>
    <w:rsid w:val="007A1385"/>
    <w:rsid w:val="007A179B"/>
    <w:rsid w:val="007A18F7"/>
    <w:rsid w:val="007A22A1"/>
    <w:rsid w:val="007A2476"/>
    <w:rsid w:val="007A2BA5"/>
    <w:rsid w:val="007A2DE3"/>
    <w:rsid w:val="007A35EB"/>
    <w:rsid w:val="007A3874"/>
    <w:rsid w:val="007A3C47"/>
    <w:rsid w:val="007A3C91"/>
    <w:rsid w:val="007A3E62"/>
    <w:rsid w:val="007A44D7"/>
    <w:rsid w:val="007A4FF2"/>
    <w:rsid w:val="007A5308"/>
    <w:rsid w:val="007A53DF"/>
    <w:rsid w:val="007A55A2"/>
    <w:rsid w:val="007A5EA5"/>
    <w:rsid w:val="007A69D9"/>
    <w:rsid w:val="007A7077"/>
    <w:rsid w:val="007A7214"/>
    <w:rsid w:val="007A74CE"/>
    <w:rsid w:val="007A74D4"/>
    <w:rsid w:val="007A7BF1"/>
    <w:rsid w:val="007B00B9"/>
    <w:rsid w:val="007B0CC9"/>
    <w:rsid w:val="007B11EB"/>
    <w:rsid w:val="007B1FF0"/>
    <w:rsid w:val="007B254C"/>
    <w:rsid w:val="007B267D"/>
    <w:rsid w:val="007B326A"/>
    <w:rsid w:val="007B40FB"/>
    <w:rsid w:val="007B42B5"/>
    <w:rsid w:val="007B4721"/>
    <w:rsid w:val="007B4C01"/>
    <w:rsid w:val="007B58D7"/>
    <w:rsid w:val="007B5BEB"/>
    <w:rsid w:val="007B5D5A"/>
    <w:rsid w:val="007B5E13"/>
    <w:rsid w:val="007B61DF"/>
    <w:rsid w:val="007B6234"/>
    <w:rsid w:val="007B6442"/>
    <w:rsid w:val="007B6A11"/>
    <w:rsid w:val="007B6F6A"/>
    <w:rsid w:val="007B721F"/>
    <w:rsid w:val="007B7590"/>
    <w:rsid w:val="007B7F8B"/>
    <w:rsid w:val="007C0B8D"/>
    <w:rsid w:val="007C0FDC"/>
    <w:rsid w:val="007C11A0"/>
    <w:rsid w:val="007C1C5F"/>
    <w:rsid w:val="007C214B"/>
    <w:rsid w:val="007C30F1"/>
    <w:rsid w:val="007C3A67"/>
    <w:rsid w:val="007C3D4D"/>
    <w:rsid w:val="007C3F61"/>
    <w:rsid w:val="007C551C"/>
    <w:rsid w:val="007C6DC7"/>
    <w:rsid w:val="007C6DF7"/>
    <w:rsid w:val="007C6F59"/>
    <w:rsid w:val="007C7042"/>
    <w:rsid w:val="007C75BA"/>
    <w:rsid w:val="007C7899"/>
    <w:rsid w:val="007C78F4"/>
    <w:rsid w:val="007D06AF"/>
    <w:rsid w:val="007D0803"/>
    <w:rsid w:val="007D0B3D"/>
    <w:rsid w:val="007D0CC9"/>
    <w:rsid w:val="007D0EB2"/>
    <w:rsid w:val="007D146D"/>
    <w:rsid w:val="007D27E2"/>
    <w:rsid w:val="007D2A8D"/>
    <w:rsid w:val="007D3102"/>
    <w:rsid w:val="007D443B"/>
    <w:rsid w:val="007D45DD"/>
    <w:rsid w:val="007D4927"/>
    <w:rsid w:val="007D50D6"/>
    <w:rsid w:val="007D54C4"/>
    <w:rsid w:val="007D5936"/>
    <w:rsid w:val="007D59B3"/>
    <w:rsid w:val="007D624F"/>
    <w:rsid w:val="007E0D52"/>
    <w:rsid w:val="007E0F6D"/>
    <w:rsid w:val="007E17B1"/>
    <w:rsid w:val="007E185B"/>
    <w:rsid w:val="007E1988"/>
    <w:rsid w:val="007E288E"/>
    <w:rsid w:val="007E2A8C"/>
    <w:rsid w:val="007E2CC7"/>
    <w:rsid w:val="007E38D5"/>
    <w:rsid w:val="007E39DA"/>
    <w:rsid w:val="007E3E17"/>
    <w:rsid w:val="007E409E"/>
    <w:rsid w:val="007E53E6"/>
    <w:rsid w:val="007E54F1"/>
    <w:rsid w:val="007E5E67"/>
    <w:rsid w:val="007E5F2A"/>
    <w:rsid w:val="007E638C"/>
    <w:rsid w:val="007E67F4"/>
    <w:rsid w:val="007E68C4"/>
    <w:rsid w:val="007E6A64"/>
    <w:rsid w:val="007E6A88"/>
    <w:rsid w:val="007E730C"/>
    <w:rsid w:val="007E764A"/>
    <w:rsid w:val="007E7BE3"/>
    <w:rsid w:val="007F0178"/>
    <w:rsid w:val="007F0D68"/>
    <w:rsid w:val="007F1DC3"/>
    <w:rsid w:val="007F26B6"/>
    <w:rsid w:val="007F35E6"/>
    <w:rsid w:val="007F36DE"/>
    <w:rsid w:val="007F38CF"/>
    <w:rsid w:val="007F4380"/>
    <w:rsid w:val="007F46EF"/>
    <w:rsid w:val="007F4C89"/>
    <w:rsid w:val="007F6B0E"/>
    <w:rsid w:val="007F6E43"/>
    <w:rsid w:val="007F7BF8"/>
    <w:rsid w:val="00801327"/>
    <w:rsid w:val="008023EC"/>
    <w:rsid w:val="00802C47"/>
    <w:rsid w:val="00803751"/>
    <w:rsid w:val="00803FB0"/>
    <w:rsid w:val="0080613B"/>
    <w:rsid w:val="0080641D"/>
    <w:rsid w:val="0080727F"/>
    <w:rsid w:val="008074B9"/>
    <w:rsid w:val="00807D08"/>
    <w:rsid w:val="008106A9"/>
    <w:rsid w:val="00810EA7"/>
    <w:rsid w:val="00810F77"/>
    <w:rsid w:val="008134FF"/>
    <w:rsid w:val="00813A35"/>
    <w:rsid w:val="00815A70"/>
    <w:rsid w:val="00815E95"/>
    <w:rsid w:val="008166BA"/>
    <w:rsid w:val="00816C8D"/>
    <w:rsid w:val="00817E92"/>
    <w:rsid w:val="00820176"/>
    <w:rsid w:val="0082112B"/>
    <w:rsid w:val="00821BAA"/>
    <w:rsid w:val="00822968"/>
    <w:rsid w:val="00822B7C"/>
    <w:rsid w:val="00822F60"/>
    <w:rsid w:val="00823032"/>
    <w:rsid w:val="00823398"/>
    <w:rsid w:val="0082363B"/>
    <w:rsid w:val="00823ACB"/>
    <w:rsid w:val="00823D49"/>
    <w:rsid w:val="0082498C"/>
    <w:rsid w:val="00824A48"/>
    <w:rsid w:val="00824C28"/>
    <w:rsid w:val="0082562E"/>
    <w:rsid w:val="00825887"/>
    <w:rsid w:val="008265C2"/>
    <w:rsid w:val="00826955"/>
    <w:rsid w:val="00827499"/>
    <w:rsid w:val="00827546"/>
    <w:rsid w:val="00827835"/>
    <w:rsid w:val="00827E49"/>
    <w:rsid w:val="00830633"/>
    <w:rsid w:val="00830C8E"/>
    <w:rsid w:val="00832263"/>
    <w:rsid w:val="00832F6F"/>
    <w:rsid w:val="008332D2"/>
    <w:rsid w:val="00833471"/>
    <w:rsid w:val="00833799"/>
    <w:rsid w:val="00833B4F"/>
    <w:rsid w:val="00833D51"/>
    <w:rsid w:val="0083419C"/>
    <w:rsid w:val="00834DD9"/>
    <w:rsid w:val="008356D0"/>
    <w:rsid w:val="00835AED"/>
    <w:rsid w:val="00836DBA"/>
    <w:rsid w:val="00836E25"/>
    <w:rsid w:val="008374D3"/>
    <w:rsid w:val="008404F1"/>
    <w:rsid w:val="00840783"/>
    <w:rsid w:val="0084086C"/>
    <w:rsid w:val="00841210"/>
    <w:rsid w:val="00841F06"/>
    <w:rsid w:val="008421BD"/>
    <w:rsid w:val="008429E1"/>
    <w:rsid w:val="00842E95"/>
    <w:rsid w:val="00843F13"/>
    <w:rsid w:val="008445A8"/>
    <w:rsid w:val="008445B8"/>
    <w:rsid w:val="0084526F"/>
    <w:rsid w:val="00845D84"/>
    <w:rsid w:val="00845E63"/>
    <w:rsid w:val="00846603"/>
    <w:rsid w:val="008471D7"/>
    <w:rsid w:val="0084761F"/>
    <w:rsid w:val="00847CF3"/>
    <w:rsid w:val="00847EC3"/>
    <w:rsid w:val="008500B6"/>
    <w:rsid w:val="008501A0"/>
    <w:rsid w:val="00850614"/>
    <w:rsid w:val="00851649"/>
    <w:rsid w:val="0085166F"/>
    <w:rsid w:val="00852759"/>
    <w:rsid w:val="00852DBB"/>
    <w:rsid w:val="008532F2"/>
    <w:rsid w:val="00853405"/>
    <w:rsid w:val="0085391F"/>
    <w:rsid w:val="008548F2"/>
    <w:rsid w:val="0085495B"/>
    <w:rsid w:val="00854C68"/>
    <w:rsid w:val="00855F7A"/>
    <w:rsid w:val="0085689B"/>
    <w:rsid w:val="00856AA9"/>
    <w:rsid w:val="00857435"/>
    <w:rsid w:val="008576D7"/>
    <w:rsid w:val="00857A3F"/>
    <w:rsid w:val="00857B4C"/>
    <w:rsid w:val="00857B8E"/>
    <w:rsid w:val="00857FDF"/>
    <w:rsid w:val="008607A5"/>
    <w:rsid w:val="00860F96"/>
    <w:rsid w:val="00861091"/>
    <w:rsid w:val="008615FB"/>
    <w:rsid w:val="00861C3E"/>
    <w:rsid w:val="00862C12"/>
    <w:rsid w:val="008632EB"/>
    <w:rsid w:val="00863457"/>
    <w:rsid w:val="00863E29"/>
    <w:rsid w:val="008647B4"/>
    <w:rsid w:val="00864DAB"/>
    <w:rsid w:val="00865461"/>
    <w:rsid w:val="00865965"/>
    <w:rsid w:val="00865ABA"/>
    <w:rsid w:val="00865E78"/>
    <w:rsid w:val="00866EA8"/>
    <w:rsid w:val="00867938"/>
    <w:rsid w:val="008701FC"/>
    <w:rsid w:val="00870A1E"/>
    <w:rsid w:val="008716ED"/>
    <w:rsid w:val="00871771"/>
    <w:rsid w:val="00871D3C"/>
    <w:rsid w:val="00872325"/>
    <w:rsid w:val="0087252F"/>
    <w:rsid w:val="00873926"/>
    <w:rsid w:val="00873A75"/>
    <w:rsid w:val="00873E84"/>
    <w:rsid w:val="00874399"/>
    <w:rsid w:val="00874F83"/>
    <w:rsid w:val="0087553B"/>
    <w:rsid w:val="00875749"/>
    <w:rsid w:val="00875C07"/>
    <w:rsid w:val="00876698"/>
    <w:rsid w:val="00876D4C"/>
    <w:rsid w:val="00877ADF"/>
    <w:rsid w:val="0088009E"/>
    <w:rsid w:val="00880C58"/>
    <w:rsid w:val="00880D4D"/>
    <w:rsid w:val="00881758"/>
    <w:rsid w:val="0088177C"/>
    <w:rsid w:val="008827AF"/>
    <w:rsid w:val="00882A6B"/>
    <w:rsid w:val="008832FC"/>
    <w:rsid w:val="008837E0"/>
    <w:rsid w:val="00883C7E"/>
    <w:rsid w:val="00883D1C"/>
    <w:rsid w:val="00883E92"/>
    <w:rsid w:val="0088420F"/>
    <w:rsid w:val="008843AF"/>
    <w:rsid w:val="00884ED0"/>
    <w:rsid w:val="008850A4"/>
    <w:rsid w:val="008858A0"/>
    <w:rsid w:val="008859E4"/>
    <w:rsid w:val="00885F2A"/>
    <w:rsid w:val="00886AB1"/>
    <w:rsid w:val="00886F0A"/>
    <w:rsid w:val="0088724B"/>
    <w:rsid w:val="00890367"/>
    <w:rsid w:val="0089049B"/>
    <w:rsid w:val="00890823"/>
    <w:rsid w:val="00891063"/>
    <w:rsid w:val="0089279F"/>
    <w:rsid w:val="00892BCB"/>
    <w:rsid w:val="00893979"/>
    <w:rsid w:val="00893D49"/>
    <w:rsid w:val="008950CA"/>
    <w:rsid w:val="00895CE5"/>
    <w:rsid w:val="008967A0"/>
    <w:rsid w:val="00896B86"/>
    <w:rsid w:val="00896CDB"/>
    <w:rsid w:val="008974F1"/>
    <w:rsid w:val="00897F3C"/>
    <w:rsid w:val="008A02ED"/>
    <w:rsid w:val="008A0CE8"/>
    <w:rsid w:val="008A1708"/>
    <w:rsid w:val="008A20B0"/>
    <w:rsid w:val="008A22CE"/>
    <w:rsid w:val="008A2D4B"/>
    <w:rsid w:val="008A2E69"/>
    <w:rsid w:val="008A3676"/>
    <w:rsid w:val="008A3922"/>
    <w:rsid w:val="008A3F49"/>
    <w:rsid w:val="008A401F"/>
    <w:rsid w:val="008A56F2"/>
    <w:rsid w:val="008A584D"/>
    <w:rsid w:val="008A78A1"/>
    <w:rsid w:val="008A7DB7"/>
    <w:rsid w:val="008B009D"/>
    <w:rsid w:val="008B0C3B"/>
    <w:rsid w:val="008B10AE"/>
    <w:rsid w:val="008B1E95"/>
    <w:rsid w:val="008B247A"/>
    <w:rsid w:val="008B30D6"/>
    <w:rsid w:val="008B3154"/>
    <w:rsid w:val="008B352D"/>
    <w:rsid w:val="008B3626"/>
    <w:rsid w:val="008B3FF7"/>
    <w:rsid w:val="008B5335"/>
    <w:rsid w:val="008B54FE"/>
    <w:rsid w:val="008B57E9"/>
    <w:rsid w:val="008B58A2"/>
    <w:rsid w:val="008B5CED"/>
    <w:rsid w:val="008B5D65"/>
    <w:rsid w:val="008B66D2"/>
    <w:rsid w:val="008B6B1E"/>
    <w:rsid w:val="008B6C99"/>
    <w:rsid w:val="008B7145"/>
    <w:rsid w:val="008B7208"/>
    <w:rsid w:val="008C076B"/>
    <w:rsid w:val="008C1C7E"/>
    <w:rsid w:val="008C1FE7"/>
    <w:rsid w:val="008C2019"/>
    <w:rsid w:val="008C239D"/>
    <w:rsid w:val="008C24E8"/>
    <w:rsid w:val="008C2586"/>
    <w:rsid w:val="008C2FCE"/>
    <w:rsid w:val="008C308B"/>
    <w:rsid w:val="008C31F2"/>
    <w:rsid w:val="008C323D"/>
    <w:rsid w:val="008C5B8D"/>
    <w:rsid w:val="008C6940"/>
    <w:rsid w:val="008C7119"/>
    <w:rsid w:val="008C7129"/>
    <w:rsid w:val="008D08E9"/>
    <w:rsid w:val="008D1303"/>
    <w:rsid w:val="008D1649"/>
    <w:rsid w:val="008D1809"/>
    <w:rsid w:val="008D19CC"/>
    <w:rsid w:val="008D2C04"/>
    <w:rsid w:val="008D33CB"/>
    <w:rsid w:val="008D3EF2"/>
    <w:rsid w:val="008D4B9E"/>
    <w:rsid w:val="008D4F14"/>
    <w:rsid w:val="008D6389"/>
    <w:rsid w:val="008D7A33"/>
    <w:rsid w:val="008D7C34"/>
    <w:rsid w:val="008D7C77"/>
    <w:rsid w:val="008E0306"/>
    <w:rsid w:val="008E0983"/>
    <w:rsid w:val="008E1D2C"/>
    <w:rsid w:val="008E3A41"/>
    <w:rsid w:val="008E46C4"/>
    <w:rsid w:val="008E487E"/>
    <w:rsid w:val="008E4AE1"/>
    <w:rsid w:val="008E512C"/>
    <w:rsid w:val="008E5614"/>
    <w:rsid w:val="008E579D"/>
    <w:rsid w:val="008E5E4A"/>
    <w:rsid w:val="008E607C"/>
    <w:rsid w:val="008E667D"/>
    <w:rsid w:val="008E7465"/>
    <w:rsid w:val="008F074D"/>
    <w:rsid w:val="008F0750"/>
    <w:rsid w:val="008F0AFE"/>
    <w:rsid w:val="008F0B94"/>
    <w:rsid w:val="008F0D83"/>
    <w:rsid w:val="008F0EA1"/>
    <w:rsid w:val="008F150C"/>
    <w:rsid w:val="008F1555"/>
    <w:rsid w:val="008F1C90"/>
    <w:rsid w:val="008F1C9C"/>
    <w:rsid w:val="008F25DC"/>
    <w:rsid w:val="008F313D"/>
    <w:rsid w:val="008F3414"/>
    <w:rsid w:val="008F4BA1"/>
    <w:rsid w:val="008F4E6A"/>
    <w:rsid w:val="008F54FE"/>
    <w:rsid w:val="008F6B1B"/>
    <w:rsid w:val="008F74D1"/>
    <w:rsid w:val="008F775D"/>
    <w:rsid w:val="008F7B96"/>
    <w:rsid w:val="00900077"/>
    <w:rsid w:val="0090056B"/>
    <w:rsid w:val="00900653"/>
    <w:rsid w:val="00900697"/>
    <w:rsid w:val="00901457"/>
    <w:rsid w:val="00901BCE"/>
    <w:rsid w:val="0090204B"/>
    <w:rsid w:val="009032E3"/>
    <w:rsid w:val="00903B29"/>
    <w:rsid w:val="00904E7E"/>
    <w:rsid w:val="009051E3"/>
    <w:rsid w:val="00905BEC"/>
    <w:rsid w:val="00905FEB"/>
    <w:rsid w:val="00906807"/>
    <w:rsid w:val="00906C05"/>
    <w:rsid w:val="00906D3E"/>
    <w:rsid w:val="00906D78"/>
    <w:rsid w:val="009075B3"/>
    <w:rsid w:val="0090790D"/>
    <w:rsid w:val="00911FFB"/>
    <w:rsid w:val="009121BD"/>
    <w:rsid w:val="00912664"/>
    <w:rsid w:val="00912A92"/>
    <w:rsid w:val="00912C5B"/>
    <w:rsid w:val="0091358A"/>
    <w:rsid w:val="00913CC0"/>
    <w:rsid w:val="009147B9"/>
    <w:rsid w:val="00914CFF"/>
    <w:rsid w:val="00915026"/>
    <w:rsid w:val="00915B10"/>
    <w:rsid w:val="00915C59"/>
    <w:rsid w:val="00916FC5"/>
    <w:rsid w:val="00917402"/>
    <w:rsid w:val="00920463"/>
    <w:rsid w:val="009204FD"/>
    <w:rsid w:val="00920874"/>
    <w:rsid w:val="00921914"/>
    <w:rsid w:val="00921B56"/>
    <w:rsid w:val="00921C6F"/>
    <w:rsid w:val="00921C85"/>
    <w:rsid w:val="00921F17"/>
    <w:rsid w:val="00922327"/>
    <w:rsid w:val="00922FFC"/>
    <w:rsid w:val="009239ED"/>
    <w:rsid w:val="00923D0E"/>
    <w:rsid w:val="00925965"/>
    <w:rsid w:val="00925E18"/>
    <w:rsid w:val="00925E65"/>
    <w:rsid w:val="0092689A"/>
    <w:rsid w:val="00926B69"/>
    <w:rsid w:val="00926D22"/>
    <w:rsid w:val="009272AC"/>
    <w:rsid w:val="009274D8"/>
    <w:rsid w:val="009279E0"/>
    <w:rsid w:val="00927FE6"/>
    <w:rsid w:val="00930586"/>
    <w:rsid w:val="009306EC"/>
    <w:rsid w:val="0093087B"/>
    <w:rsid w:val="00930EDF"/>
    <w:rsid w:val="0093120B"/>
    <w:rsid w:val="00931F83"/>
    <w:rsid w:val="00933010"/>
    <w:rsid w:val="009343EE"/>
    <w:rsid w:val="00934E63"/>
    <w:rsid w:val="00936056"/>
    <w:rsid w:val="0093720E"/>
    <w:rsid w:val="0093751E"/>
    <w:rsid w:val="009376B5"/>
    <w:rsid w:val="00937BB9"/>
    <w:rsid w:val="00940C3C"/>
    <w:rsid w:val="00940DA0"/>
    <w:rsid w:val="009413A6"/>
    <w:rsid w:val="00942175"/>
    <w:rsid w:val="009422AB"/>
    <w:rsid w:val="009422E6"/>
    <w:rsid w:val="00942774"/>
    <w:rsid w:val="00942C8F"/>
    <w:rsid w:val="009431F7"/>
    <w:rsid w:val="00943B54"/>
    <w:rsid w:val="009443A4"/>
    <w:rsid w:val="0094489E"/>
    <w:rsid w:val="00944BD9"/>
    <w:rsid w:val="00944C5A"/>
    <w:rsid w:val="00945447"/>
    <w:rsid w:val="00945DBB"/>
    <w:rsid w:val="00945E2B"/>
    <w:rsid w:val="00946840"/>
    <w:rsid w:val="0094690B"/>
    <w:rsid w:val="009474B1"/>
    <w:rsid w:val="0094791E"/>
    <w:rsid w:val="00950186"/>
    <w:rsid w:val="00950590"/>
    <w:rsid w:val="00950764"/>
    <w:rsid w:val="00951EED"/>
    <w:rsid w:val="00952D24"/>
    <w:rsid w:val="00952D49"/>
    <w:rsid w:val="00953006"/>
    <w:rsid w:val="00953699"/>
    <w:rsid w:val="00953A10"/>
    <w:rsid w:val="00954929"/>
    <w:rsid w:val="00954B29"/>
    <w:rsid w:val="00955CD6"/>
    <w:rsid w:val="00956740"/>
    <w:rsid w:val="00956BEF"/>
    <w:rsid w:val="0095727D"/>
    <w:rsid w:val="00957460"/>
    <w:rsid w:val="00957B2D"/>
    <w:rsid w:val="00957F0F"/>
    <w:rsid w:val="00960325"/>
    <w:rsid w:val="00961198"/>
    <w:rsid w:val="0096143B"/>
    <w:rsid w:val="00961816"/>
    <w:rsid w:val="009620E6"/>
    <w:rsid w:val="00962829"/>
    <w:rsid w:val="00963A0F"/>
    <w:rsid w:val="00963A94"/>
    <w:rsid w:val="009645E9"/>
    <w:rsid w:val="00964E27"/>
    <w:rsid w:val="00964E43"/>
    <w:rsid w:val="00965784"/>
    <w:rsid w:val="00965C2B"/>
    <w:rsid w:val="0096658F"/>
    <w:rsid w:val="00966BD3"/>
    <w:rsid w:val="00967B1C"/>
    <w:rsid w:val="00967E8B"/>
    <w:rsid w:val="00970683"/>
    <w:rsid w:val="00970D1B"/>
    <w:rsid w:val="00971748"/>
    <w:rsid w:val="00971C50"/>
    <w:rsid w:val="00971EC7"/>
    <w:rsid w:val="00972C47"/>
    <w:rsid w:val="009730A5"/>
    <w:rsid w:val="00973768"/>
    <w:rsid w:val="009742FD"/>
    <w:rsid w:val="0097459F"/>
    <w:rsid w:val="00974B0B"/>
    <w:rsid w:val="0097511E"/>
    <w:rsid w:val="00975663"/>
    <w:rsid w:val="00975D43"/>
    <w:rsid w:val="00976B98"/>
    <w:rsid w:val="0097746B"/>
    <w:rsid w:val="00977B3D"/>
    <w:rsid w:val="0097A55B"/>
    <w:rsid w:val="0098016B"/>
    <w:rsid w:val="00980420"/>
    <w:rsid w:val="00980A01"/>
    <w:rsid w:val="00980BF8"/>
    <w:rsid w:val="00981596"/>
    <w:rsid w:val="009818B1"/>
    <w:rsid w:val="00982145"/>
    <w:rsid w:val="009827B9"/>
    <w:rsid w:val="00982E60"/>
    <w:rsid w:val="00982ED9"/>
    <w:rsid w:val="00983E9E"/>
    <w:rsid w:val="009840B3"/>
    <w:rsid w:val="009853BE"/>
    <w:rsid w:val="00985779"/>
    <w:rsid w:val="00986222"/>
    <w:rsid w:val="00986612"/>
    <w:rsid w:val="0098693E"/>
    <w:rsid w:val="009872A7"/>
    <w:rsid w:val="00987FA1"/>
    <w:rsid w:val="00990CD9"/>
    <w:rsid w:val="0099123A"/>
    <w:rsid w:val="00991563"/>
    <w:rsid w:val="00992416"/>
    <w:rsid w:val="00992F6B"/>
    <w:rsid w:val="0099320D"/>
    <w:rsid w:val="009936E1"/>
    <w:rsid w:val="00993763"/>
    <w:rsid w:val="00993E0B"/>
    <w:rsid w:val="0099408B"/>
    <w:rsid w:val="00994C7A"/>
    <w:rsid w:val="00995370"/>
    <w:rsid w:val="00995BE1"/>
    <w:rsid w:val="00995FFC"/>
    <w:rsid w:val="0099618B"/>
    <w:rsid w:val="0099644D"/>
    <w:rsid w:val="0099673B"/>
    <w:rsid w:val="00996767"/>
    <w:rsid w:val="00996A4B"/>
    <w:rsid w:val="00996B41"/>
    <w:rsid w:val="00996FE7"/>
    <w:rsid w:val="00997A0A"/>
    <w:rsid w:val="00997F8C"/>
    <w:rsid w:val="009A0C9A"/>
    <w:rsid w:val="009A0CEC"/>
    <w:rsid w:val="009A120F"/>
    <w:rsid w:val="009A17BC"/>
    <w:rsid w:val="009A18D7"/>
    <w:rsid w:val="009A18E8"/>
    <w:rsid w:val="009A1B15"/>
    <w:rsid w:val="009A2028"/>
    <w:rsid w:val="009A2D97"/>
    <w:rsid w:val="009A34EE"/>
    <w:rsid w:val="009A4CEF"/>
    <w:rsid w:val="009A526C"/>
    <w:rsid w:val="009A53D7"/>
    <w:rsid w:val="009A5832"/>
    <w:rsid w:val="009A5A2A"/>
    <w:rsid w:val="009A5EF0"/>
    <w:rsid w:val="009A6114"/>
    <w:rsid w:val="009A77D2"/>
    <w:rsid w:val="009A7C0F"/>
    <w:rsid w:val="009B021F"/>
    <w:rsid w:val="009B0AA9"/>
    <w:rsid w:val="009B0C63"/>
    <w:rsid w:val="009B1A2A"/>
    <w:rsid w:val="009B1CFF"/>
    <w:rsid w:val="009B1DD7"/>
    <w:rsid w:val="009B2BDE"/>
    <w:rsid w:val="009B2CDD"/>
    <w:rsid w:val="009B2D26"/>
    <w:rsid w:val="009B388B"/>
    <w:rsid w:val="009B3F29"/>
    <w:rsid w:val="009B50D7"/>
    <w:rsid w:val="009B6805"/>
    <w:rsid w:val="009B6841"/>
    <w:rsid w:val="009B6EEF"/>
    <w:rsid w:val="009B7EAD"/>
    <w:rsid w:val="009B7EAF"/>
    <w:rsid w:val="009C02ED"/>
    <w:rsid w:val="009C03A1"/>
    <w:rsid w:val="009C1771"/>
    <w:rsid w:val="009C2838"/>
    <w:rsid w:val="009C2AF9"/>
    <w:rsid w:val="009C3D5A"/>
    <w:rsid w:val="009C47D9"/>
    <w:rsid w:val="009C4880"/>
    <w:rsid w:val="009C68C5"/>
    <w:rsid w:val="009C74D8"/>
    <w:rsid w:val="009C7662"/>
    <w:rsid w:val="009C7F0F"/>
    <w:rsid w:val="009D095A"/>
    <w:rsid w:val="009D0CFF"/>
    <w:rsid w:val="009D0E9D"/>
    <w:rsid w:val="009D1238"/>
    <w:rsid w:val="009D1B54"/>
    <w:rsid w:val="009D1E84"/>
    <w:rsid w:val="009D1EAB"/>
    <w:rsid w:val="009D2E6E"/>
    <w:rsid w:val="009D3296"/>
    <w:rsid w:val="009D33AF"/>
    <w:rsid w:val="009D3DF9"/>
    <w:rsid w:val="009D3F3E"/>
    <w:rsid w:val="009D44BE"/>
    <w:rsid w:val="009D4B20"/>
    <w:rsid w:val="009D510B"/>
    <w:rsid w:val="009D626D"/>
    <w:rsid w:val="009D7560"/>
    <w:rsid w:val="009E012A"/>
    <w:rsid w:val="009E0981"/>
    <w:rsid w:val="009E0FF4"/>
    <w:rsid w:val="009E1952"/>
    <w:rsid w:val="009E2ECD"/>
    <w:rsid w:val="009E34FD"/>
    <w:rsid w:val="009E3FAD"/>
    <w:rsid w:val="009E470C"/>
    <w:rsid w:val="009E491C"/>
    <w:rsid w:val="009E5BE8"/>
    <w:rsid w:val="009E5EA8"/>
    <w:rsid w:val="009E61A9"/>
    <w:rsid w:val="009E6372"/>
    <w:rsid w:val="009E67C2"/>
    <w:rsid w:val="009E6A5A"/>
    <w:rsid w:val="009E72A4"/>
    <w:rsid w:val="009E7895"/>
    <w:rsid w:val="009E7BAF"/>
    <w:rsid w:val="009F01DE"/>
    <w:rsid w:val="009F055A"/>
    <w:rsid w:val="009F1718"/>
    <w:rsid w:val="009F1AC5"/>
    <w:rsid w:val="009F1C03"/>
    <w:rsid w:val="009F1F0E"/>
    <w:rsid w:val="009F25E6"/>
    <w:rsid w:val="009F26C1"/>
    <w:rsid w:val="009F574B"/>
    <w:rsid w:val="009F6CDF"/>
    <w:rsid w:val="009F6FFE"/>
    <w:rsid w:val="009F706A"/>
    <w:rsid w:val="009F728C"/>
    <w:rsid w:val="009F753F"/>
    <w:rsid w:val="009F77B8"/>
    <w:rsid w:val="00A009A9"/>
    <w:rsid w:val="00A00AE4"/>
    <w:rsid w:val="00A00B73"/>
    <w:rsid w:val="00A00D13"/>
    <w:rsid w:val="00A00E8F"/>
    <w:rsid w:val="00A01063"/>
    <w:rsid w:val="00A02862"/>
    <w:rsid w:val="00A02E6B"/>
    <w:rsid w:val="00A03CF7"/>
    <w:rsid w:val="00A03EE6"/>
    <w:rsid w:val="00A04BA7"/>
    <w:rsid w:val="00A05307"/>
    <w:rsid w:val="00A053D4"/>
    <w:rsid w:val="00A065DE"/>
    <w:rsid w:val="00A068F2"/>
    <w:rsid w:val="00A0739F"/>
    <w:rsid w:val="00A076E4"/>
    <w:rsid w:val="00A07AE7"/>
    <w:rsid w:val="00A07EB0"/>
    <w:rsid w:val="00A100FC"/>
    <w:rsid w:val="00A104D6"/>
    <w:rsid w:val="00A10796"/>
    <w:rsid w:val="00A10811"/>
    <w:rsid w:val="00A1128C"/>
    <w:rsid w:val="00A115D3"/>
    <w:rsid w:val="00A1190E"/>
    <w:rsid w:val="00A12CCC"/>
    <w:rsid w:val="00A135EA"/>
    <w:rsid w:val="00A13C1E"/>
    <w:rsid w:val="00A13CF7"/>
    <w:rsid w:val="00A152A1"/>
    <w:rsid w:val="00A15348"/>
    <w:rsid w:val="00A153B8"/>
    <w:rsid w:val="00A15FC1"/>
    <w:rsid w:val="00A16197"/>
    <w:rsid w:val="00A16916"/>
    <w:rsid w:val="00A17210"/>
    <w:rsid w:val="00A176B9"/>
    <w:rsid w:val="00A17C63"/>
    <w:rsid w:val="00A20957"/>
    <w:rsid w:val="00A20F70"/>
    <w:rsid w:val="00A21432"/>
    <w:rsid w:val="00A22A6A"/>
    <w:rsid w:val="00A2308C"/>
    <w:rsid w:val="00A233EA"/>
    <w:rsid w:val="00A239C5"/>
    <w:rsid w:val="00A23EA2"/>
    <w:rsid w:val="00A240F5"/>
    <w:rsid w:val="00A246F6"/>
    <w:rsid w:val="00A24AAF"/>
    <w:rsid w:val="00A24C22"/>
    <w:rsid w:val="00A25979"/>
    <w:rsid w:val="00A25A04"/>
    <w:rsid w:val="00A2650B"/>
    <w:rsid w:val="00A26B39"/>
    <w:rsid w:val="00A27281"/>
    <w:rsid w:val="00A27E66"/>
    <w:rsid w:val="00A3023D"/>
    <w:rsid w:val="00A303C2"/>
    <w:rsid w:val="00A305F5"/>
    <w:rsid w:val="00A31113"/>
    <w:rsid w:val="00A32AAF"/>
    <w:rsid w:val="00A3357C"/>
    <w:rsid w:val="00A33BF6"/>
    <w:rsid w:val="00A340D2"/>
    <w:rsid w:val="00A358DF"/>
    <w:rsid w:val="00A36A9B"/>
    <w:rsid w:val="00A36E05"/>
    <w:rsid w:val="00A37588"/>
    <w:rsid w:val="00A37DA5"/>
    <w:rsid w:val="00A40A43"/>
    <w:rsid w:val="00A40B45"/>
    <w:rsid w:val="00A41EE2"/>
    <w:rsid w:val="00A41F82"/>
    <w:rsid w:val="00A4291A"/>
    <w:rsid w:val="00A42927"/>
    <w:rsid w:val="00A429A3"/>
    <w:rsid w:val="00A438DB"/>
    <w:rsid w:val="00A439B9"/>
    <w:rsid w:val="00A43C29"/>
    <w:rsid w:val="00A454C9"/>
    <w:rsid w:val="00A456F5"/>
    <w:rsid w:val="00A46003"/>
    <w:rsid w:val="00A46375"/>
    <w:rsid w:val="00A47555"/>
    <w:rsid w:val="00A47614"/>
    <w:rsid w:val="00A47D8E"/>
    <w:rsid w:val="00A500F0"/>
    <w:rsid w:val="00A5022C"/>
    <w:rsid w:val="00A51682"/>
    <w:rsid w:val="00A52FE9"/>
    <w:rsid w:val="00A536E5"/>
    <w:rsid w:val="00A537E4"/>
    <w:rsid w:val="00A5384B"/>
    <w:rsid w:val="00A543DC"/>
    <w:rsid w:val="00A54A25"/>
    <w:rsid w:val="00A55E2D"/>
    <w:rsid w:val="00A55F90"/>
    <w:rsid w:val="00A56788"/>
    <w:rsid w:val="00A56D94"/>
    <w:rsid w:val="00A60049"/>
    <w:rsid w:val="00A60CFE"/>
    <w:rsid w:val="00A60D2F"/>
    <w:rsid w:val="00A6184C"/>
    <w:rsid w:val="00A61C12"/>
    <w:rsid w:val="00A62230"/>
    <w:rsid w:val="00A63202"/>
    <w:rsid w:val="00A63340"/>
    <w:rsid w:val="00A64C52"/>
    <w:rsid w:val="00A64CDC"/>
    <w:rsid w:val="00A64E5A"/>
    <w:rsid w:val="00A65561"/>
    <w:rsid w:val="00A65F4F"/>
    <w:rsid w:val="00A661FD"/>
    <w:rsid w:val="00A66580"/>
    <w:rsid w:val="00A669DD"/>
    <w:rsid w:val="00A66F34"/>
    <w:rsid w:val="00A675DC"/>
    <w:rsid w:val="00A700A0"/>
    <w:rsid w:val="00A7092B"/>
    <w:rsid w:val="00A711DF"/>
    <w:rsid w:val="00A712FD"/>
    <w:rsid w:val="00A71471"/>
    <w:rsid w:val="00A71A5E"/>
    <w:rsid w:val="00A71CF5"/>
    <w:rsid w:val="00A71D1D"/>
    <w:rsid w:val="00A71E1E"/>
    <w:rsid w:val="00A722CE"/>
    <w:rsid w:val="00A72B80"/>
    <w:rsid w:val="00A72BFB"/>
    <w:rsid w:val="00A733D8"/>
    <w:rsid w:val="00A73B70"/>
    <w:rsid w:val="00A74047"/>
    <w:rsid w:val="00A74198"/>
    <w:rsid w:val="00A74D1F"/>
    <w:rsid w:val="00A74E6E"/>
    <w:rsid w:val="00A74E73"/>
    <w:rsid w:val="00A75A44"/>
    <w:rsid w:val="00A76C73"/>
    <w:rsid w:val="00A76E25"/>
    <w:rsid w:val="00A77493"/>
    <w:rsid w:val="00A77D79"/>
    <w:rsid w:val="00A77F31"/>
    <w:rsid w:val="00A800C8"/>
    <w:rsid w:val="00A8038C"/>
    <w:rsid w:val="00A8177C"/>
    <w:rsid w:val="00A81FD5"/>
    <w:rsid w:val="00A82218"/>
    <w:rsid w:val="00A825AD"/>
    <w:rsid w:val="00A829E5"/>
    <w:rsid w:val="00A83AD9"/>
    <w:rsid w:val="00A8428E"/>
    <w:rsid w:val="00A84307"/>
    <w:rsid w:val="00A84B7C"/>
    <w:rsid w:val="00A85B19"/>
    <w:rsid w:val="00A85D32"/>
    <w:rsid w:val="00A86723"/>
    <w:rsid w:val="00A868D3"/>
    <w:rsid w:val="00A86A43"/>
    <w:rsid w:val="00A86F30"/>
    <w:rsid w:val="00A874FF"/>
    <w:rsid w:val="00A878A9"/>
    <w:rsid w:val="00A87C9B"/>
    <w:rsid w:val="00A87F5B"/>
    <w:rsid w:val="00A90097"/>
    <w:rsid w:val="00A90301"/>
    <w:rsid w:val="00A90A0B"/>
    <w:rsid w:val="00A90C7C"/>
    <w:rsid w:val="00A92214"/>
    <w:rsid w:val="00A9256F"/>
    <w:rsid w:val="00A92784"/>
    <w:rsid w:val="00A936CE"/>
    <w:rsid w:val="00A937ED"/>
    <w:rsid w:val="00A93820"/>
    <w:rsid w:val="00A94EBE"/>
    <w:rsid w:val="00A95105"/>
    <w:rsid w:val="00A953F7"/>
    <w:rsid w:val="00A95823"/>
    <w:rsid w:val="00A96062"/>
    <w:rsid w:val="00A96D10"/>
    <w:rsid w:val="00A97002"/>
    <w:rsid w:val="00A971CD"/>
    <w:rsid w:val="00AA08C3"/>
    <w:rsid w:val="00AA08CE"/>
    <w:rsid w:val="00AA11AB"/>
    <w:rsid w:val="00AA17C4"/>
    <w:rsid w:val="00AA1862"/>
    <w:rsid w:val="00AA1C3F"/>
    <w:rsid w:val="00AA25B8"/>
    <w:rsid w:val="00AA268C"/>
    <w:rsid w:val="00AA28E6"/>
    <w:rsid w:val="00AA2B7C"/>
    <w:rsid w:val="00AA3179"/>
    <w:rsid w:val="00AA4104"/>
    <w:rsid w:val="00AA436B"/>
    <w:rsid w:val="00AA43B6"/>
    <w:rsid w:val="00AA4B67"/>
    <w:rsid w:val="00AA4BD9"/>
    <w:rsid w:val="00AA4E41"/>
    <w:rsid w:val="00AA5979"/>
    <w:rsid w:val="00AA6290"/>
    <w:rsid w:val="00AA71F3"/>
    <w:rsid w:val="00AA7962"/>
    <w:rsid w:val="00AB00BB"/>
    <w:rsid w:val="00AB0F8D"/>
    <w:rsid w:val="00AB1418"/>
    <w:rsid w:val="00AB176F"/>
    <w:rsid w:val="00AB1A86"/>
    <w:rsid w:val="00AB2A1B"/>
    <w:rsid w:val="00AB2B45"/>
    <w:rsid w:val="00AB38B5"/>
    <w:rsid w:val="00AB3D9F"/>
    <w:rsid w:val="00AB3F4D"/>
    <w:rsid w:val="00AB4530"/>
    <w:rsid w:val="00AB4906"/>
    <w:rsid w:val="00AB510E"/>
    <w:rsid w:val="00AB54A7"/>
    <w:rsid w:val="00AB54F2"/>
    <w:rsid w:val="00AB66B0"/>
    <w:rsid w:val="00AB79B7"/>
    <w:rsid w:val="00AC0131"/>
    <w:rsid w:val="00AC072A"/>
    <w:rsid w:val="00AC216E"/>
    <w:rsid w:val="00AC2AE6"/>
    <w:rsid w:val="00AC2B0A"/>
    <w:rsid w:val="00AC4794"/>
    <w:rsid w:val="00AC4EE2"/>
    <w:rsid w:val="00AC4F5B"/>
    <w:rsid w:val="00AC6555"/>
    <w:rsid w:val="00AC6AC0"/>
    <w:rsid w:val="00AC6F0B"/>
    <w:rsid w:val="00AC76AB"/>
    <w:rsid w:val="00AC7A4F"/>
    <w:rsid w:val="00AC7FC5"/>
    <w:rsid w:val="00AD05E0"/>
    <w:rsid w:val="00AD0DD3"/>
    <w:rsid w:val="00AD0E64"/>
    <w:rsid w:val="00AD2C4D"/>
    <w:rsid w:val="00AD331D"/>
    <w:rsid w:val="00AD373A"/>
    <w:rsid w:val="00AD3E23"/>
    <w:rsid w:val="00AD4176"/>
    <w:rsid w:val="00AD4A3B"/>
    <w:rsid w:val="00AD4AF3"/>
    <w:rsid w:val="00AD5192"/>
    <w:rsid w:val="00AD5347"/>
    <w:rsid w:val="00AD5A29"/>
    <w:rsid w:val="00AD5AC3"/>
    <w:rsid w:val="00AD5FA6"/>
    <w:rsid w:val="00AD6112"/>
    <w:rsid w:val="00AD6335"/>
    <w:rsid w:val="00AD6D5B"/>
    <w:rsid w:val="00AD72D3"/>
    <w:rsid w:val="00AD744A"/>
    <w:rsid w:val="00AD74DC"/>
    <w:rsid w:val="00AE081E"/>
    <w:rsid w:val="00AE0C6D"/>
    <w:rsid w:val="00AE0E47"/>
    <w:rsid w:val="00AE1BB1"/>
    <w:rsid w:val="00AE2908"/>
    <w:rsid w:val="00AE2E63"/>
    <w:rsid w:val="00AE3736"/>
    <w:rsid w:val="00AE44B0"/>
    <w:rsid w:val="00AE561F"/>
    <w:rsid w:val="00AE5A75"/>
    <w:rsid w:val="00AE5D03"/>
    <w:rsid w:val="00AE626D"/>
    <w:rsid w:val="00AE670F"/>
    <w:rsid w:val="00AE6789"/>
    <w:rsid w:val="00AE69FC"/>
    <w:rsid w:val="00AE7536"/>
    <w:rsid w:val="00AE7F85"/>
    <w:rsid w:val="00AF0955"/>
    <w:rsid w:val="00AF184C"/>
    <w:rsid w:val="00AF1F0F"/>
    <w:rsid w:val="00AF26B4"/>
    <w:rsid w:val="00AF2D39"/>
    <w:rsid w:val="00AF3567"/>
    <w:rsid w:val="00AF379F"/>
    <w:rsid w:val="00AF37C9"/>
    <w:rsid w:val="00AF3A31"/>
    <w:rsid w:val="00AF3EB2"/>
    <w:rsid w:val="00AF4957"/>
    <w:rsid w:val="00AF5071"/>
    <w:rsid w:val="00AF532F"/>
    <w:rsid w:val="00AF59E1"/>
    <w:rsid w:val="00AF5FED"/>
    <w:rsid w:val="00AF6767"/>
    <w:rsid w:val="00AF6923"/>
    <w:rsid w:val="00AF6CED"/>
    <w:rsid w:val="00AF7582"/>
    <w:rsid w:val="00AF7D2F"/>
    <w:rsid w:val="00AF7F7D"/>
    <w:rsid w:val="00B002CD"/>
    <w:rsid w:val="00B004E4"/>
    <w:rsid w:val="00B00684"/>
    <w:rsid w:val="00B013A8"/>
    <w:rsid w:val="00B01B77"/>
    <w:rsid w:val="00B01C25"/>
    <w:rsid w:val="00B03A5F"/>
    <w:rsid w:val="00B03ED7"/>
    <w:rsid w:val="00B03F4E"/>
    <w:rsid w:val="00B045A3"/>
    <w:rsid w:val="00B05030"/>
    <w:rsid w:val="00B054C4"/>
    <w:rsid w:val="00B065A3"/>
    <w:rsid w:val="00B066FC"/>
    <w:rsid w:val="00B06D43"/>
    <w:rsid w:val="00B06E4C"/>
    <w:rsid w:val="00B073AF"/>
    <w:rsid w:val="00B074AC"/>
    <w:rsid w:val="00B07B37"/>
    <w:rsid w:val="00B07DB7"/>
    <w:rsid w:val="00B100CA"/>
    <w:rsid w:val="00B10265"/>
    <w:rsid w:val="00B10B4F"/>
    <w:rsid w:val="00B11BBD"/>
    <w:rsid w:val="00B12547"/>
    <w:rsid w:val="00B1389F"/>
    <w:rsid w:val="00B13AC8"/>
    <w:rsid w:val="00B15816"/>
    <w:rsid w:val="00B15BAE"/>
    <w:rsid w:val="00B160C2"/>
    <w:rsid w:val="00B17F47"/>
    <w:rsid w:val="00B17F7B"/>
    <w:rsid w:val="00B20087"/>
    <w:rsid w:val="00B20888"/>
    <w:rsid w:val="00B20DCD"/>
    <w:rsid w:val="00B20E37"/>
    <w:rsid w:val="00B21C36"/>
    <w:rsid w:val="00B227EF"/>
    <w:rsid w:val="00B22879"/>
    <w:rsid w:val="00B235AB"/>
    <w:rsid w:val="00B238A7"/>
    <w:rsid w:val="00B24545"/>
    <w:rsid w:val="00B248D0"/>
    <w:rsid w:val="00B251B1"/>
    <w:rsid w:val="00B269C8"/>
    <w:rsid w:val="00B2736C"/>
    <w:rsid w:val="00B27800"/>
    <w:rsid w:val="00B303F1"/>
    <w:rsid w:val="00B311A2"/>
    <w:rsid w:val="00B31F95"/>
    <w:rsid w:val="00B3260C"/>
    <w:rsid w:val="00B335A0"/>
    <w:rsid w:val="00B3365C"/>
    <w:rsid w:val="00B3375A"/>
    <w:rsid w:val="00B3396A"/>
    <w:rsid w:val="00B34768"/>
    <w:rsid w:val="00B347EA"/>
    <w:rsid w:val="00B35BA2"/>
    <w:rsid w:val="00B364DE"/>
    <w:rsid w:val="00B36AC7"/>
    <w:rsid w:val="00B36BD7"/>
    <w:rsid w:val="00B36E90"/>
    <w:rsid w:val="00B37223"/>
    <w:rsid w:val="00B37F1C"/>
    <w:rsid w:val="00B40729"/>
    <w:rsid w:val="00B412A5"/>
    <w:rsid w:val="00B4142A"/>
    <w:rsid w:val="00B41BC3"/>
    <w:rsid w:val="00B42EA8"/>
    <w:rsid w:val="00B430D8"/>
    <w:rsid w:val="00B431EE"/>
    <w:rsid w:val="00B43253"/>
    <w:rsid w:val="00B43BE2"/>
    <w:rsid w:val="00B44663"/>
    <w:rsid w:val="00B447CE"/>
    <w:rsid w:val="00B452E2"/>
    <w:rsid w:val="00B45383"/>
    <w:rsid w:val="00B46618"/>
    <w:rsid w:val="00B47476"/>
    <w:rsid w:val="00B47528"/>
    <w:rsid w:val="00B47889"/>
    <w:rsid w:val="00B478BA"/>
    <w:rsid w:val="00B47B6E"/>
    <w:rsid w:val="00B50105"/>
    <w:rsid w:val="00B50366"/>
    <w:rsid w:val="00B504F5"/>
    <w:rsid w:val="00B507FF"/>
    <w:rsid w:val="00B50835"/>
    <w:rsid w:val="00B50BB9"/>
    <w:rsid w:val="00B5164C"/>
    <w:rsid w:val="00B516DC"/>
    <w:rsid w:val="00B51894"/>
    <w:rsid w:val="00B51C37"/>
    <w:rsid w:val="00B51EDE"/>
    <w:rsid w:val="00B52747"/>
    <w:rsid w:val="00B52836"/>
    <w:rsid w:val="00B52C84"/>
    <w:rsid w:val="00B52E7F"/>
    <w:rsid w:val="00B5327F"/>
    <w:rsid w:val="00B535AA"/>
    <w:rsid w:val="00B536A4"/>
    <w:rsid w:val="00B54233"/>
    <w:rsid w:val="00B548FB"/>
    <w:rsid w:val="00B55F31"/>
    <w:rsid w:val="00B56C26"/>
    <w:rsid w:val="00B56D7A"/>
    <w:rsid w:val="00B57342"/>
    <w:rsid w:val="00B57617"/>
    <w:rsid w:val="00B57B20"/>
    <w:rsid w:val="00B57B47"/>
    <w:rsid w:val="00B57D28"/>
    <w:rsid w:val="00B60BAE"/>
    <w:rsid w:val="00B62342"/>
    <w:rsid w:val="00B6278F"/>
    <w:rsid w:val="00B6299B"/>
    <w:rsid w:val="00B62A85"/>
    <w:rsid w:val="00B63754"/>
    <w:rsid w:val="00B63AC9"/>
    <w:rsid w:val="00B63DBF"/>
    <w:rsid w:val="00B645B1"/>
    <w:rsid w:val="00B64678"/>
    <w:rsid w:val="00B64CC8"/>
    <w:rsid w:val="00B64F65"/>
    <w:rsid w:val="00B65B38"/>
    <w:rsid w:val="00B65CAE"/>
    <w:rsid w:val="00B661B4"/>
    <w:rsid w:val="00B66B51"/>
    <w:rsid w:val="00B67211"/>
    <w:rsid w:val="00B67221"/>
    <w:rsid w:val="00B678D8"/>
    <w:rsid w:val="00B67904"/>
    <w:rsid w:val="00B679AA"/>
    <w:rsid w:val="00B70072"/>
    <w:rsid w:val="00B70B48"/>
    <w:rsid w:val="00B71EF2"/>
    <w:rsid w:val="00B7235B"/>
    <w:rsid w:val="00B723C5"/>
    <w:rsid w:val="00B72F01"/>
    <w:rsid w:val="00B730A0"/>
    <w:rsid w:val="00B73CD2"/>
    <w:rsid w:val="00B73DF1"/>
    <w:rsid w:val="00B74070"/>
    <w:rsid w:val="00B74727"/>
    <w:rsid w:val="00B7497B"/>
    <w:rsid w:val="00B76FDD"/>
    <w:rsid w:val="00B7720E"/>
    <w:rsid w:val="00B774A4"/>
    <w:rsid w:val="00B77527"/>
    <w:rsid w:val="00B77E17"/>
    <w:rsid w:val="00B8056C"/>
    <w:rsid w:val="00B80695"/>
    <w:rsid w:val="00B8225E"/>
    <w:rsid w:val="00B829F7"/>
    <w:rsid w:val="00B833A8"/>
    <w:rsid w:val="00B834D1"/>
    <w:rsid w:val="00B837F0"/>
    <w:rsid w:val="00B83D68"/>
    <w:rsid w:val="00B8417B"/>
    <w:rsid w:val="00B84AB9"/>
    <w:rsid w:val="00B84D53"/>
    <w:rsid w:val="00B850C2"/>
    <w:rsid w:val="00B854D9"/>
    <w:rsid w:val="00B85B03"/>
    <w:rsid w:val="00B863FF"/>
    <w:rsid w:val="00B86E14"/>
    <w:rsid w:val="00B87795"/>
    <w:rsid w:val="00B87CD2"/>
    <w:rsid w:val="00B9014E"/>
    <w:rsid w:val="00B901A4"/>
    <w:rsid w:val="00B91160"/>
    <w:rsid w:val="00B91271"/>
    <w:rsid w:val="00B924B4"/>
    <w:rsid w:val="00B92682"/>
    <w:rsid w:val="00B92A6D"/>
    <w:rsid w:val="00B93873"/>
    <w:rsid w:val="00B93D01"/>
    <w:rsid w:val="00B945C4"/>
    <w:rsid w:val="00B95092"/>
    <w:rsid w:val="00B95E60"/>
    <w:rsid w:val="00B9605F"/>
    <w:rsid w:val="00B96F92"/>
    <w:rsid w:val="00B974D9"/>
    <w:rsid w:val="00BA0F67"/>
    <w:rsid w:val="00BA193A"/>
    <w:rsid w:val="00BA1C06"/>
    <w:rsid w:val="00BA26DA"/>
    <w:rsid w:val="00BA2BA2"/>
    <w:rsid w:val="00BA2C00"/>
    <w:rsid w:val="00BA35C1"/>
    <w:rsid w:val="00BA3D62"/>
    <w:rsid w:val="00BA4029"/>
    <w:rsid w:val="00BA5938"/>
    <w:rsid w:val="00BA7378"/>
    <w:rsid w:val="00BB0ADD"/>
    <w:rsid w:val="00BB17C4"/>
    <w:rsid w:val="00BB1AC3"/>
    <w:rsid w:val="00BB1FFA"/>
    <w:rsid w:val="00BB2439"/>
    <w:rsid w:val="00BB2C19"/>
    <w:rsid w:val="00BB301F"/>
    <w:rsid w:val="00BB421E"/>
    <w:rsid w:val="00BB427A"/>
    <w:rsid w:val="00BB44E0"/>
    <w:rsid w:val="00BB45BB"/>
    <w:rsid w:val="00BB56EF"/>
    <w:rsid w:val="00BB5A55"/>
    <w:rsid w:val="00BB62B7"/>
    <w:rsid w:val="00BB6499"/>
    <w:rsid w:val="00BB7855"/>
    <w:rsid w:val="00BC0406"/>
    <w:rsid w:val="00BC068E"/>
    <w:rsid w:val="00BC09AA"/>
    <w:rsid w:val="00BC12BA"/>
    <w:rsid w:val="00BC30B4"/>
    <w:rsid w:val="00BC34FB"/>
    <w:rsid w:val="00BC5717"/>
    <w:rsid w:val="00BC5EE7"/>
    <w:rsid w:val="00BC6D4B"/>
    <w:rsid w:val="00BC746F"/>
    <w:rsid w:val="00BC77D2"/>
    <w:rsid w:val="00BC7855"/>
    <w:rsid w:val="00BD0218"/>
    <w:rsid w:val="00BD0F43"/>
    <w:rsid w:val="00BD0FEA"/>
    <w:rsid w:val="00BD10D1"/>
    <w:rsid w:val="00BD15B9"/>
    <w:rsid w:val="00BD1962"/>
    <w:rsid w:val="00BD2129"/>
    <w:rsid w:val="00BD2749"/>
    <w:rsid w:val="00BD2E70"/>
    <w:rsid w:val="00BD3592"/>
    <w:rsid w:val="00BD3C80"/>
    <w:rsid w:val="00BD3D26"/>
    <w:rsid w:val="00BD4430"/>
    <w:rsid w:val="00BD46D6"/>
    <w:rsid w:val="00BD49B6"/>
    <w:rsid w:val="00BD4AB5"/>
    <w:rsid w:val="00BD4D7B"/>
    <w:rsid w:val="00BD59A5"/>
    <w:rsid w:val="00BD64D6"/>
    <w:rsid w:val="00BD6F8B"/>
    <w:rsid w:val="00BD7E71"/>
    <w:rsid w:val="00BE0714"/>
    <w:rsid w:val="00BE0F38"/>
    <w:rsid w:val="00BE1B0C"/>
    <w:rsid w:val="00BE1D7F"/>
    <w:rsid w:val="00BE2765"/>
    <w:rsid w:val="00BE3034"/>
    <w:rsid w:val="00BE3113"/>
    <w:rsid w:val="00BE3746"/>
    <w:rsid w:val="00BE3A18"/>
    <w:rsid w:val="00BE3CE9"/>
    <w:rsid w:val="00BE3E14"/>
    <w:rsid w:val="00BE5295"/>
    <w:rsid w:val="00BE53C0"/>
    <w:rsid w:val="00BE5783"/>
    <w:rsid w:val="00BE63B4"/>
    <w:rsid w:val="00BE67A1"/>
    <w:rsid w:val="00BE7520"/>
    <w:rsid w:val="00BE7767"/>
    <w:rsid w:val="00BE77D0"/>
    <w:rsid w:val="00BE7C8D"/>
    <w:rsid w:val="00BE7DE2"/>
    <w:rsid w:val="00BF14FD"/>
    <w:rsid w:val="00BF17AF"/>
    <w:rsid w:val="00BF1EF9"/>
    <w:rsid w:val="00BF20E3"/>
    <w:rsid w:val="00BF2500"/>
    <w:rsid w:val="00BF2C48"/>
    <w:rsid w:val="00BF3B54"/>
    <w:rsid w:val="00BF4126"/>
    <w:rsid w:val="00BF5240"/>
    <w:rsid w:val="00BF5CB4"/>
    <w:rsid w:val="00BF5FDB"/>
    <w:rsid w:val="00BF60C7"/>
    <w:rsid w:val="00BF61E1"/>
    <w:rsid w:val="00BF77B3"/>
    <w:rsid w:val="00C00354"/>
    <w:rsid w:val="00C0071F"/>
    <w:rsid w:val="00C007FB"/>
    <w:rsid w:val="00C00D03"/>
    <w:rsid w:val="00C0107B"/>
    <w:rsid w:val="00C02A98"/>
    <w:rsid w:val="00C02B87"/>
    <w:rsid w:val="00C032E0"/>
    <w:rsid w:val="00C0415A"/>
    <w:rsid w:val="00C04940"/>
    <w:rsid w:val="00C061AD"/>
    <w:rsid w:val="00C062E4"/>
    <w:rsid w:val="00C06FD7"/>
    <w:rsid w:val="00C07377"/>
    <w:rsid w:val="00C073E3"/>
    <w:rsid w:val="00C07458"/>
    <w:rsid w:val="00C075E8"/>
    <w:rsid w:val="00C078C7"/>
    <w:rsid w:val="00C07B52"/>
    <w:rsid w:val="00C0ECD8"/>
    <w:rsid w:val="00C10E20"/>
    <w:rsid w:val="00C11C12"/>
    <w:rsid w:val="00C128C4"/>
    <w:rsid w:val="00C12A28"/>
    <w:rsid w:val="00C1359E"/>
    <w:rsid w:val="00C139CA"/>
    <w:rsid w:val="00C13CB8"/>
    <w:rsid w:val="00C144D7"/>
    <w:rsid w:val="00C1498D"/>
    <w:rsid w:val="00C14C47"/>
    <w:rsid w:val="00C1577C"/>
    <w:rsid w:val="00C15F7F"/>
    <w:rsid w:val="00C160C0"/>
    <w:rsid w:val="00C161C9"/>
    <w:rsid w:val="00C1654C"/>
    <w:rsid w:val="00C16770"/>
    <w:rsid w:val="00C16EBF"/>
    <w:rsid w:val="00C17881"/>
    <w:rsid w:val="00C17A5B"/>
    <w:rsid w:val="00C17D1D"/>
    <w:rsid w:val="00C20738"/>
    <w:rsid w:val="00C20BBD"/>
    <w:rsid w:val="00C20E0A"/>
    <w:rsid w:val="00C20E2A"/>
    <w:rsid w:val="00C20E87"/>
    <w:rsid w:val="00C20FFA"/>
    <w:rsid w:val="00C21A67"/>
    <w:rsid w:val="00C2216F"/>
    <w:rsid w:val="00C2221A"/>
    <w:rsid w:val="00C242A3"/>
    <w:rsid w:val="00C24A60"/>
    <w:rsid w:val="00C25634"/>
    <w:rsid w:val="00C25940"/>
    <w:rsid w:val="00C25FA9"/>
    <w:rsid w:val="00C26068"/>
    <w:rsid w:val="00C2608B"/>
    <w:rsid w:val="00C2652F"/>
    <w:rsid w:val="00C2672A"/>
    <w:rsid w:val="00C2699C"/>
    <w:rsid w:val="00C26AB7"/>
    <w:rsid w:val="00C26D43"/>
    <w:rsid w:val="00C27AF6"/>
    <w:rsid w:val="00C3047F"/>
    <w:rsid w:val="00C30617"/>
    <w:rsid w:val="00C30736"/>
    <w:rsid w:val="00C307C5"/>
    <w:rsid w:val="00C3083D"/>
    <w:rsid w:val="00C30E29"/>
    <w:rsid w:val="00C3113A"/>
    <w:rsid w:val="00C31192"/>
    <w:rsid w:val="00C31372"/>
    <w:rsid w:val="00C32643"/>
    <w:rsid w:val="00C32C37"/>
    <w:rsid w:val="00C33274"/>
    <w:rsid w:val="00C3364D"/>
    <w:rsid w:val="00C355CD"/>
    <w:rsid w:val="00C355F5"/>
    <w:rsid w:val="00C35A76"/>
    <w:rsid w:val="00C373F3"/>
    <w:rsid w:val="00C378CC"/>
    <w:rsid w:val="00C37A18"/>
    <w:rsid w:val="00C37E8F"/>
    <w:rsid w:val="00C402F4"/>
    <w:rsid w:val="00C41638"/>
    <w:rsid w:val="00C41AB5"/>
    <w:rsid w:val="00C41D45"/>
    <w:rsid w:val="00C422FD"/>
    <w:rsid w:val="00C42C54"/>
    <w:rsid w:val="00C437E7"/>
    <w:rsid w:val="00C4454A"/>
    <w:rsid w:val="00C44DD7"/>
    <w:rsid w:val="00C44DEF"/>
    <w:rsid w:val="00C450EE"/>
    <w:rsid w:val="00C46EE6"/>
    <w:rsid w:val="00C4721B"/>
    <w:rsid w:val="00C4736F"/>
    <w:rsid w:val="00C47CED"/>
    <w:rsid w:val="00C51440"/>
    <w:rsid w:val="00C518D2"/>
    <w:rsid w:val="00C51AE9"/>
    <w:rsid w:val="00C5213A"/>
    <w:rsid w:val="00C52727"/>
    <w:rsid w:val="00C53B52"/>
    <w:rsid w:val="00C55A0E"/>
    <w:rsid w:val="00C56044"/>
    <w:rsid w:val="00C56857"/>
    <w:rsid w:val="00C56E06"/>
    <w:rsid w:val="00C57DDD"/>
    <w:rsid w:val="00C6014D"/>
    <w:rsid w:val="00C60ABF"/>
    <w:rsid w:val="00C60B73"/>
    <w:rsid w:val="00C60BF3"/>
    <w:rsid w:val="00C60E3C"/>
    <w:rsid w:val="00C6100B"/>
    <w:rsid w:val="00C61B3C"/>
    <w:rsid w:val="00C61FA8"/>
    <w:rsid w:val="00C622C2"/>
    <w:rsid w:val="00C62543"/>
    <w:rsid w:val="00C62964"/>
    <w:rsid w:val="00C62D28"/>
    <w:rsid w:val="00C6316C"/>
    <w:rsid w:val="00C6340A"/>
    <w:rsid w:val="00C63609"/>
    <w:rsid w:val="00C63E6D"/>
    <w:rsid w:val="00C6413A"/>
    <w:rsid w:val="00C65207"/>
    <w:rsid w:val="00C654AA"/>
    <w:rsid w:val="00C65A64"/>
    <w:rsid w:val="00C65AA5"/>
    <w:rsid w:val="00C660AE"/>
    <w:rsid w:val="00C676E5"/>
    <w:rsid w:val="00C676FC"/>
    <w:rsid w:val="00C70A94"/>
    <w:rsid w:val="00C71071"/>
    <w:rsid w:val="00C71AB5"/>
    <w:rsid w:val="00C71DCC"/>
    <w:rsid w:val="00C72C81"/>
    <w:rsid w:val="00C72E65"/>
    <w:rsid w:val="00C732B7"/>
    <w:rsid w:val="00C73321"/>
    <w:rsid w:val="00C73D23"/>
    <w:rsid w:val="00C7413B"/>
    <w:rsid w:val="00C742C1"/>
    <w:rsid w:val="00C74611"/>
    <w:rsid w:val="00C74898"/>
    <w:rsid w:val="00C75A74"/>
    <w:rsid w:val="00C76133"/>
    <w:rsid w:val="00C76C11"/>
    <w:rsid w:val="00C76FC7"/>
    <w:rsid w:val="00C80378"/>
    <w:rsid w:val="00C804A2"/>
    <w:rsid w:val="00C80B84"/>
    <w:rsid w:val="00C810CE"/>
    <w:rsid w:val="00C819A0"/>
    <w:rsid w:val="00C81D81"/>
    <w:rsid w:val="00C8389D"/>
    <w:rsid w:val="00C847DB"/>
    <w:rsid w:val="00C84C28"/>
    <w:rsid w:val="00C85B6E"/>
    <w:rsid w:val="00C86757"/>
    <w:rsid w:val="00C86B8F"/>
    <w:rsid w:val="00C871AC"/>
    <w:rsid w:val="00C873C1"/>
    <w:rsid w:val="00C87BC1"/>
    <w:rsid w:val="00C87FE6"/>
    <w:rsid w:val="00C9042F"/>
    <w:rsid w:val="00C907CB"/>
    <w:rsid w:val="00C907E6"/>
    <w:rsid w:val="00C90F5D"/>
    <w:rsid w:val="00C911CF"/>
    <w:rsid w:val="00C91480"/>
    <w:rsid w:val="00C91FB6"/>
    <w:rsid w:val="00C92339"/>
    <w:rsid w:val="00C92433"/>
    <w:rsid w:val="00C92501"/>
    <w:rsid w:val="00C9254C"/>
    <w:rsid w:val="00C9270B"/>
    <w:rsid w:val="00C93255"/>
    <w:rsid w:val="00C93ECC"/>
    <w:rsid w:val="00C94674"/>
    <w:rsid w:val="00C94FB7"/>
    <w:rsid w:val="00C959D1"/>
    <w:rsid w:val="00C95DA1"/>
    <w:rsid w:val="00C9605B"/>
    <w:rsid w:val="00C964F7"/>
    <w:rsid w:val="00C96A21"/>
    <w:rsid w:val="00C97004"/>
    <w:rsid w:val="00C97C3E"/>
    <w:rsid w:val="00CA03EE"/>
    <w:rsid w:val="00CA03FB"/>
    <w:rsid w:val="00CA14B4"/>
    <w:rsid w:val="00CA1818"/>
    <w:rsid w:val="00CA1C6D"/>
    <w:rsid w:val="00CA3EC9"/>
    <w:rsid w:val="00CA497F"/>
    <w:rsid w:val="00CA4CDE"/>
    <w:rsid w:val="00CA4F70"/>
    <w:rsid w:val="00CA5568"/>
    <w:rsid w:val="00CA59F1"/>
    <w:rsid w:val="00CA5BFB"/>
    <w:rsid w:val="00CA62F7"/>
    <w:rsid w:val="00CB0C55"/>
    <w:rsid w:val="00CB0D42"/>
    <w:rsid w:val="00CB1EA4"/>
    <w:rsid w:val="00CB2112"/>
    <w:rsid w:val="00CB2F2F"/>
    <w:rsid w:val="00CB33B2"/>
    <w:rsid w:val="00CB3946"/>
    <w:rsid w:val="00CB39BB"/>
    <w:rsid w:val="00CB528F"/>
    <w:rsid w:val="00CB54DE"/>
    <w:rsid w:val="00CB5CA6"/>
    <w:rsid w:val="00CB5D9D"/>
    <w:rsid w:val="00CB7114"/>
    <w:rsid w:val="00CB733D"/>
    <w:rsid w:val="00CB7346"/>
    <w:rsid w:val="00CB7598"/>
    <w:rsid w:val="00CC05FF"/>
    <w:rsid w:val="00CC166E"/>
    <w:rsid w:val="00CC1DB8"/>
    <w:rsid w:val="00CC2A51"/>
    <w:rsid w:val="00CC33B6"/>
    <w:rsid w:val="00CC3BBC"/>
    <w:rsid w:val="00CC5D96"/>
    <w:rsid w:val="00CC613F"/>
    <w:rsid w:val="00CC6574"/>
    <w:rsid w:val="00CC6BD0"/>
    <w:rsid w:val="00CC6CC1"/>
    <w:rsid w:val="00CC72F4"/>
    <w:rsid w:val="00CC75F2"/>
    <w:rsid w:val="00CC79BB"/>
    <w:rsid w:val="00CC7EC2"/>
    <w:rsid w:val="00CD0324"/>
    <w:rsid w:val="00CD08A0"/>
    <w:rsid w:val="00CD0E19"/>
    <w:rsid w:val="00CD142A"/>
    <w:rsid w:val="00CD1EC5"/>
    <w:rsid w:val="00CD2C8F"/>
    <w:rsid w:val="00CD3100"/>
    <w:rsid w:val="00CD3295"/>
    <w:rsid w:val="00CD3EF3"/>
    <w:rsid w:val="00CD4186"/>
    <w:rsid w:val="00CD41CA"/>
    <w:rsid w:val="00CD4D17"/>
    <w:rsid w:val="00CD4FC5"/>
    <w:rsid w:val="00CD52BC"/>
    <w:rsid w:val="00CD52E4"/>
    <w:rsid w:val="00CD52FF"/>
    <w:rsid w:val="00CD5810"/>
    <w:rsid w:val="00CD5BE2"/>
    <w:rsid w:val="00CD6AF3"/>
    <w:rsid w:val="00CD6F67"/>
    <w:rsid w:val="00CD7784"/>
    <w:rsid w:val="00CD7864"/>
    <w:rsid w:val="00CD7FFE"/>
    <w:rsid w:val="00CE0095"/>
    <w:rsid w:val="00CE0305"/>
    <w:rsid w:val="00CE0482"/>
    <w:rsid w:val="00CE2182"/>
    <w:rsid w:val="00CE2CB1"/>
    <w:rsid w:val="00CE2E0B"/>
    <w:rsid w:val="00CE43C1"/>
    <w:rsid w:val="00CE48E2"/>
    <w:rsid w:val="00CE5341"/>
    <w:rsid w:val="00CE5967"/>
    <w:rsid w:val="00CE648B"/>
    <w:rsid w:val="00CE6F36"/>
    <w:rsid w:val="00CE79AC"/>
    <w:rsid w:val="00CE7CDF"/>
    <w:rsid w:val="00CF0175"/>
    <w:rsid w:val="00CF0398"/>
    <w:rsid w:val="00CF15FE"/>
    <w:rsid w:val="00CF246A"/>
    <w:rsid w:val="00CF265B"/>
    <w:rsid w:val="00CF29F2"/>
    <w:rsid w:val="00CF352F"/>
    <w:rsid w:val="00CF35AF"/>
    <w:rsid w:val="00CF3F73"/>
    <w:rsid w:val="00CF48C4"/>
    <w:rsid w:val="00CF5080"/>
    <w:rsid w:val="00CF5916"/>
    <w:rsid w:val="00CF5F52"/>
    <w:rsid w:val="00CF66DF"/>
    <w:rsid w:val="00CF6CEA"/>
    <w:rsid w:val="00D00126"/>
    <w:rsid w:val="00D009F0"/>
    <w:rsid w:val="00D00C13"/>
    <w:rsid w:val="00D00E3A"/>
    <w:rsid w:val="00D01050"/>
    <w:rsid w:val="00D014C5"/>
    <w:rsid w:val="00D01773"/>
    <w:rsid w:val="00D021FC"/>
    <w:rsid w:val="00D02493"/>
    <w:rsid w:val="00D026E0"/>
    <w:rsid w:val="00D03025"/>
    <w:rsid w:val="00D03451"/>
    <w:rsid w:val="00D03612"/>
    <w:rsid w:val="00D03AD8"/>
    <w:rsid w:val="00D03CD1"/>
    <w:rsid w:val="00D03E69"/>
    <w:rsid w:val="00D04111"/>
    <w:rsid w:val="00D04201"/>
    <w:rsid w:val="00D0547A"/>
    <w:rsid w:val="00D059F0"/>
    <w:rsid w:val="00D06842"/>
    <w:rsid w:val="00D06C09"/>
    <w:rsid w:val="00D07191"/>
    <w:rsid w:val="00D072A3"/>
    <w:rsid w:val="00D10592"/>
    <w:rsid w:val="00D1086A"/>
    <w:rsid w:val="00D10ACB"/>
    <w:rsid w:val="00D10B62"/>
    <w:rsid w:val="00D10E9C"/>
    <w:rsid w:val="00D11B5D"/>
    <w:rsid w:val="00D11CC7"/>
    <w:rsid w:val="00D11DA3"/>
    <w:rsid w:val="00D1219E"/>
    <w:rsid w:val="00D124B3"/>
    <w:rsid w:val="00D13108"/>
    <w:rsid w:val="00D13810"/>
    <w:rsid w:val="00D14225"/>
    <w:rsid w:val="00D1435A"/>
    <w:rsid w:val="00D14EE3"/>
    <w:rsid w:val="00D15953"/>
    <w:rsid w:val="00D1622A"/>
    <w:rsid w:val="00D16830"/>
    <w:rsid w:val="00D16C1E"/>
    <w:rsid w:val="00D1758A"/>
    <w:rsid w:val="00D17853"/>
    <w:rsid w:val="00D17888"/>
    <w:rsid w:val="00D17AB1"/>
    <w:rsid w:val="00D17EAE"/>
    <w:rsid w:val="00D2057E"/>
    <w:rsid w:val="00D20669"/>
    <w:rsid w:val="00D20787"/>
    <w:rsid w:val="00D211CC"/>
    <w:rsid w:val="00D21A1F"/>
    <w:rsid w:val="00D224C6"/>
    <w:rsid w:val="00D225DB"/>
    <w:rsid w:val="00D22E00"/>
    <w:rsid w:val="00D232E0"/>
    <w:rsid w:val="00D2415E"/>
    <w:rsid w:val="00D24686"/>
    <w:rsid w:val="00D2518D"/>
    <w:rsid w:val="00D26585"/>
    <w:rsid w:val="00D26664"/>
    <w:rsid w:val="00D2759F"/>
    <w:rsid w:val="00D30325"/>
    <w:rsid w:val="00D304A8"/>
    <w:rsid w:val="00D30753"/>
    <w:rsid w:val="00D3123F"/>
    <w:rsid w:val="00D32892"/>
    <w:rsid w:val="00D32B4C"/>
    <w:rsid w:val="00D32D97"/>
    <w:rsid w:val="00D334E9"/>
    <w:rsid w:val="00D34040"/>
    <w:rsid w:val="00D3416F"/>
    <w:rsid w:val="00D342A7"/>
    <w:rsid w:val="00D3478E"/>
    <w:rsid w:val="00D34B37"/>
    <w:rsid w:val="00D3506C"/>
    <w:rsid w:val="00D35C04"/>
    <w:rsid w:val="00D35F1D"/>
    <w:rsid w:val="00D3606B"/>
    <w:rsid w:val="00D3610F"/>
    <w:rsid w:val="00D3626F"/>
    <w:rsid w:val="00D3786B"/>
    <w:rsid w:val="00D37AC1"/>
    <w:rsid w:val="00D37CBE"/>
    <w:rsid w:val="00D40B2C"/>
    <w:rsid w:val="00D40E4A"/>
    <w:rsid w:val="00D41373"/>
    <w:rsid w:val="00D41589"/>
    <w:rsid w:val="00D41CC6"/>
    <w:rsid w:val="00D4206D"/>
    <w:rsid w:val="00D436F9"/>
    <w:rsid w:val="00D439B4"/>
    <w:rsid w:val="00D43E14"/>
    <w:rsid w:val="00D43F83"/>
    <w:rsid w:val="00D4449F"/>
    <w:rsid w:val="00D44558"/>
    <w:rsid w:val="00D44AD3"/>
    <w:rsid w:val="00D44C3F"/>
    <w:rsid w:val="00D4511B"/>
    <w:rsid w:val="00D452A9"/>
    <w:rsid w:val="00D45629"/>
    <w:rsid w:val="00D45B1B"/>
    <w:rsid w:val="00D46616"/>
    <w:rsid w:val="00D47200"/>
    <w:rsid w:val="00D4752B"/>
    <w:rsid w:val="00D478CB"/>
    <w:rsid w:val="00D51421"/>
    <w:rsid w:val="00D51B4C"/>
    <w:rsid w:val="00D526CC"/>
    <w:rsid w:val="00D52B42"/>
    <w:rsid w:val="00D52D09"/>
    <w:rsid w:val="00D540A4"/>
    <w:rsid w:val="00D545EF"/>
    <w:rsid w:val="00D54689"/>
    <w:rsid w:val="00D54B75"/>
    <w:rsid w:val="00D551A9"/>
    <w:rsid w:val="00D5554A"/>
    <w:rsid w:val="00D55783"/>
    <w:rsid w:val="00D567FE"/>
    <w:rsid w:val="00D57DAE"/>
    <w:rsid w:val="00D600C0"/>
    <w:rsid w:val="00D60AE5"/>
    <w:rsid w:val="00D60BDD"/>
    <w:rsid w:val="00D618F6"/>
    <w:rsid w:val="00D6283B"/>
    <w:rsid w:val="00D62C1D"/>
    <w:rsid w:val="00D62FFC"/>
    <w:rsid w:val="00D6322D"/>
    <w:rsid w:val="00D632E8"/>
    <w:rsid w:val="00D63ABC"/>
    <w:rsid w:val="00D63C3A"/>
    <w:rsid w:val="00D6511C"/>
    <w:rsid w:val="00D6518D"/>
    <w:rsid w:val="00D6686F"/>
    <w:rsid w:val="00D66B1E"/>
    <w:rsid w:val="00D66F8B"/>
    <w:rsid w:val="00D678B8"/>
    <w:rsid w:val="00D710D4"/>
    <w:rsid w:val="00D7125F"/>
    <w:rsid w:val="00D71D53"/>
    <w:rsid w:val="00D72A68"/>
    <w:rsid w:val="00D72A93"/>
    <w:rsid w:val="00D73570"/>
    <w:rsid w:val="00D7384E"/>
    <w:rsid w:val="00D740E8"/>
    <w:rsid w:val="00D7413E"/>
    <w:rsid w:val="00D7518C"/>
    <w:rsid w:val="00D75478"/>
    <w:rsid w:val="00D76102"/>
    <w:rsid w:val="00D76C68"/>
    <w:rsid w:val="00D7744F"/>
    <w:rsid w:val="00D77FF9"/>
    <w:rsid w:val="00D8046B"/>
    <w:rsid w:val="00D8133B"/>
    <w:rsid w:val="00D8135C"/>
    <w:rsid w:val="00D813C7"/>
    <w:rsid w:val="00D81D8F"/>
    <w:rsid w:val="00D81FDA"/>
    <w:rsid w:val="00D82757"/>
    <w:rsid w:val="00D82B8A"/>
    <w:rsid w:val="00D82EBE"/>
    <w:rsid w:val="00D839B7"/>
    <w:rsid w:val="00D83A4E"/>
    <w:rsid w:val="00D84112"/>
    <w:rsid w:val="00D8442A"/>
    <w:rsid w:val="00D84453"/>
    <w:rsid w:val="00D84716"/>
    <w:rsid w:val="00D84912"/>
    <w:rsid w:val="00D85AC2"/>
    <w:rsid w:val="00D86421"/>
    <w:rsid w:val="00D86617"/>
    <w:rsid w:val="00D8687E"/>
    <w:rsid w:val="00D86A3C"/>
    <w:rsid w:val="00D86E12"/>
    <w:rsid w:val="00D875D4"/>
    <w:rsid w:val="00D8777D"/>
    <w:rsid w:val="00D87A97"/>
    <w:rsid w:val="00D87E93"/>
    <w:rsid w:val="00D901C2"/>
    <w:rsid w:val="00D90493"/>
    <w:rsid w:val="00D90F05"/>
    <w:rsid w:val="00D90FC5"/>
    <w:rsid w:val="00D91DF4"/>
    <w:rsid w:val="00D922D6"/>
    <w:rsid w:val="00D92D74"/>
    <w:rsid w:val="00D93A9D"/>
    <w:rsid w:val="00D944ED"/>
    <w:rsid w:val="00D945DB"/>
    <w:rsid w:val="00D94623"/>
    <w:rsid w:val="00D95000"/>
    <w:rsid w:val="00D95128"/>
    <w:rsid w:val="00D95745"/>
    <w:rsid w:val="00D95BD2"/>
    <w:rsid w:val="00D96661"/>
    <w:rsid w:val="00D97C0B"/>
    <w:rsid w:val="00DA031B"/>
    <w:rsid w:val="00DA0A37"/>
    <w:rsid w:val="00DA18D7"/>
    <w:rsid w:val="00DA1A08"/>
    <w:rsid w:val="00DA1B9E"/>
    <w:rsid w:val="00DA2B59"/>
    <w:rsid w:val="00DA34EE"/>
    <w:rsid w:val="00DA372B"/>
    <w:rsid w:val="00DA398B"/>
    <w:rsid w:val="00DA4E9B"/>
    <w:rsid w:val="00DA5F0E"/>
    <w:rsid w:val="00DA612F"/>
    <w:rsid w:val="00DA7075"/>
    <w:rsid w:val="00DA7A6F"/>
    <w:rsid w:val="00DA7E29"/>
    <w:rsid w:val="00DB04D5"/>
    <w:rsid w:val="00DB1299"/>
    <w:rsid w:val="00DB15E8"/>
    <w:rsid w:val="00DB1A01"/>
    <w:rsid w:val="00DB1C13"/>
    <w:rsid w:val="00DB2502"/>
    <w:rsid w:val="00DB2521"/>
    <w:rsid w:val="00DB3374"/>
    <w:rsid w:val="00DB37A0"/>
    <w:rsid w:val="00DB4317"/>
    <w:rsid w:val="00DB44A0"/>
    <w:rsid w:val="00DB479C"/>
    <w:rsid w:val="00DB506F"/>
    <w:rsid w:val="00DB54EF"/>
    <w:rsid w:val="00DB64D9"/>
    <w:rsid w:val="00DB6A4B"/>
    <w:rsid w:val="00DB6FA1"/>
    <w:rsid w:val="00DB7884"/>
    <w:rsid w:val="00DC041D"/>
    <w:rsid w:val="00DC12C1"/>
    <w:rsid w:val="00DC278F"/>
    <w:rsid w:val="00DC313B"/>
    <w:rsid w:val="00DC3345"/>
    <w:rsid w:val="00DC3349"/>
    <w:rsid w:val="00DC3469"/>
    <w:rsid w:val="00DC399F"/>
    <w:rsid w:val="00DC4390"/>
    <w:rsid w:val="00DC43FD"/>
    <w:rsid w:val="00DC4722"/>
    <w:rsid w:val="00DC5549"/>
    <w:rsid w:val="00DC56F3"/>
    <w:rsid w:val="00DC56F6"/>
    <w:rsid w:val="00DC622D"/>
    <w:rsid w:val="00DC62C5"/>
    <w:rsid w:val="00DC6C86"/>
    <w:rsid w:val="00DC6C89"/>
    <w:rsid w:val="00DC6F95"/>
    <w:rsid w:val="00DC7037"/>
    <w:rsid w:val="00DC7DBC"/>
    <w:rsid w:val="00DD0558"/>
    <w:rsid w:val="00DD0F93"/>
    <w:rsid w:val="00DD10A8"/>
    <w:rsid w:val="00DD2089"/>
    <w:rsid w:val="00DD22AD"/>
    <w:rsid w:val="00DD29CC"/>
    <w:rsid w:val="00DD2B84"/>
    <w:rsid w:val="00DD2EE7"/>
    <w:rsid w:val="00DD32DB"/>
    <w:rsid w:val="00DD3801"/>
    <w:rsid w:val="00DD3F00"/>
    <w:rsid w:val="00DD4A5D"/>
    <w:rsid w:val="00DD4CDB"/>
    <w:rsid w:val="00DD5B48"/>
    <w:rsid w:val="00DD69C1"/>
    <w:rsid w:val="00DD6D58"/>
    <w:rsid w:val="00DD714C"/>
    <w:rsid w:val="00DD777B"/>
    <w:rsid w:val="00DD7B7B"/>
    <w:rsid w:val="00DE0FE3"/>
    <w:rsid w:val="00DE19FE"/>
    <w:rsid w:val="00DE3311"/>
    <w:rsid w:val="00DE33CF"/>
    <w:rsid w:val="00DE3CF5"/>
    <w:rsid w:val="00DE4889"/>
    <w:rsid w:val="00DE4B23"/>
    <w:rsid w:val="00DE6005"/>
    <w:rsid w:val="00DF008E"/>
    <w:rsid w:val="00DF0387"/>
    <w:rsid w:val="00DF12C4"/>
    <w:rsid w:val="00DF1AE6"/>
    <w:rsid w:val="00DF1F95"/>
    <w:rsid w:val="00DF2D25"/>
    <w:rsid w:val="00DF3C88"/>
    <w:rsid w:val="00DF3FB1"/>
    <w:rsid w:val="00DF4146"/>
    <w:rsid w:val="00DF41EC"/>
    <w:rsid w:val="00DF4631"/>
    <w:rsid w:val="00DF49DA"/>
    <w:rsid w:val="00DF4A22"/>
    <w:rsid w:val="00DF6439"/>
    <w:rsid w:val="00DF7083"/>
    <w:rsid w:val="00E012FA"/>
    <w:rsid w:val="00E018F1"/>
    <w:rsid w:val="00E0250F"/>
    <w:rsid w:val="00E03AA9"/>
    <w:rsid w:val="00E046D2"/>
    <w:rsid w:val="00E0562D"/>
    <w:rsid w:val="00E0594C"/>
    <w:rsid w:val="00E065FF"/>
    <w:rsid w:val="00E066E3"/>
    <w:rsid w:val="00E06C5C"/>
    <w:rsid w:val="00E07F3A"/>
    <w:rsid w:val="00E11D6A"/>
    <w:rsid w:val="00E12589"/>
    <w:rsid w:val="00E125BF"/>
    <w:rsid w:val="00E127A5"/>
    <w:rsid w:val="00E128FD"/>
    <w:rsid w:val="00E130B1"/>
    <w:rsid w:val="00E136C5"/>
    <w:rsid w:val="00E14A73"/>
    <w:rsid w:val="00E1698A"/>
    <w:rsid w:val="00E171B7"/>
    <w:rsid w:val="00E174F7"/>
    <w:rsid w:val="00E17545"/>
    <w:rsid w:val="00E201DC"/>
    <w:rsid w:val="00E202C0"/>
    <w:rsid w:val="00E203D8"/>
    <w:rsid w:val="00E20432"/>
    <w:rsid w:val="00E211A2"/>
    <w:rsid w:val="00E21523"/>
    <w:rsid w:val="00E21984"/>
    <w:rsid w:val="00E22CBB"/>
    <w:rsid w:val="00E23114"/>
    <w:rsid w:val="00E23908"/>
    <w:rsid w:val="00E24209"/>
    <w:rsid w:val="00E242D2"/>
    <w:rsid w:val="00E2664B"/>
    <w:rsid w:val="00E268E8"/>
    <w:rsid w:val="00E269DF"/>
    <w:rsid w:val="00E26F41"/>
    <w:rsid w:val="00E27028"/>
    <w:rsid w:val="00E27112"/>
    <w:rsid w:val="00E2715C"/>
    <w:rsid w:val="00E27476"/>
    <w:rsid w:val="00E27855"/>
    <w:rsid w:val="00E27CA9"/>
    <w:rsid w:val="00E301A8"/>
    <w:rsid w:val="00E301D1"/>
    <w:rsid w:val="00E30740"/>
    <w:rsid w:val="00E31AF5"/>
    <w:rsid w:val="00E322C9"/>
    <w:rsid w:val="00E325B0"/>
    <w:rsid w:val="00E332B4"/>
    <w:rsid w:val="00E3466E"/>
    <w:rsid w:val="00E34C3B"/>
    <w:rsid w:val="00E34F05"/>
    <w:rsid w:val="00E3550B"/>
    <w:rsid w:val="00E357F4"/>
    <w:rsid w:val="00E35A17"/>
    <w:rsid w:val="00E362FD"/>
    <w:rsid w:val="00E3665B"/>
    <w:rsid w:val="00E368DD"/>
    <w:rsid w:val="00E3763E"/>
    <w:rsid w:val="00E402ED"/>
    <w:rsid w:val="00E4068E"/>
    <w:rsid w:val="00E412C5"/>
    <w:rsid w:val="00E4166B"/>
    <w:rsid w:val="00E41C00"/>
    <w:rsid w:val="00E41D4D"/>
    <w:rsid w:val="00E41D8A"/>
    <w:rsid w:val="00E43189"/>
    <w:rsid w:val="00E4366F"/>
    <w:rsid w:val="00E44EB5"/>
    <w:rsid w:val="00E4587A"/>
    <w:rsid w:val="00E46DFF"/>
    <w:rsid w:val="00E46FAF"/>
    <w:rsid w:val="00E471B0"/>
    <w:rsid w:val="00E47A53"/>
    <w:rsid w:val="00E47C36"/>
    <w:rsid w:val="00E501C4"/>
    <w:rsid w:val="00E50388"/>
    <w:rsid w:val="00E505AD"/>
    <w:rsid w:val="00E5105D"/>
    <w:rsid w:val="00E5133E"/>
    <w:rsid w:val="00E52AC1"/>
    <w:rsid w:val="00E5401A"/>
    <w:rsid w:val="00E54FC1"/>
    <w:rsid w:val="00E5609C"/>
    <w:rsid w:val="00E560AD"/>
    <w:rsid w:val="00E563E5"/>
    <w:rsid w:val="00E567AB"/>
    <w:rsid w:val="00E5764A"/>
    <w:rsid w:val="00E5785D"/>
    <w:rsid w:val="00E57D1E"/>
    <w:rsid w:val="00E57F0C"/>
    <w:rsid w:val="00E60CE5"/>
    <w:rsid w:val="00E60FA7"/>
    <w:rsid w:val="00E61210"/>
    <w:rsid w:val="00E612CE"/>
    <w:rsid w:val="00E61378"/>
    <w:rsid w:val="00E6155B"/>
    <w:rsid w:val="00E61932"/>
    <w:rsid w:val="00E6193F"/>
    <w:rsid w:val="00E61F5D"/>
    <w:rsid w:val="00E61FFB"/>
    <w:rsid w:val="00E62289"/>
    <w:rsid w:val="00E62563"/>
    <w:rsid w:val="00E6266C"/>
    <w:rsid w:val="00E63715"/>
    <w:rsid w:val="00E63B3F"/>
    <w:rsid w:val="00E63D9D"/>
    <w:rsid w:val="00E64227"/>
    <w:rsid w:val="00E6472D"/>
    <w:rsid w:val="00E648FC"/>
    <w:rsid w:val="00E6496C"/>
    <w:rsid w:val="00E64A3D"/>
    <w:rsid w:val="00E65AB2"/>
    <w:rsid w:val="00E65EFC"/>
    <w:rsid w:val="00E66043"/>
    <w:rsid w:val="00E665B1"/>
    <w:rsid w:val="00E66FAE"/>
    <w:rsid w:val="00E676EA"/>
    <w:rsid w:val="00E67A03"/>
    <w:rsid w:val="00E67CC4"/>
    <w:rsid w:val="00E67CDA"/>
    <w:rsid w:val="00E67F35"/>
    <w:rsid w:val="00E705C7"/>
    <w:rsid w:val="00E708BE"/>
    <w:rsid w:val="00E710B6"/>
    <w:rsid w:val="00E71661"/>
    <w:rsid w:val="00E717D5"/>
    <w:rsid w:val="00E7194C"/>
    <w:rsid w:val="00E721FA"/>
    <w:rsid w:val="00E72931"/>
    <w:rsid w:val="00E72C8B"/>
    <w:rsid w:val="00E736F6"/>
    <w:rsid w:val="00E7371A"/>
    <w:rsid w:val="00E737FC"/>
    <w:rsid w:val="00E74C20"/>
    <w:rsid w:val="00E74EA2"/>
    <w:rsid w:val="00E75841"/>
    <w:rsid w:val="00E76260"/>
    <w:rsid w:val="00E7636F"/>
    <w:rsid w:val="00E76B48"/>
    <w:rsid w:val="00E76EA9"/>
    <w:rsid w:val="00E77F70"/>
    <w:rsid w:val="00E805DF"/>
    <w:rsid w:val="00E80A3A"/>
    <w:rsid w:val="00E8125C"/>
    <w:rsid w:val="00E8151D"/>
    <w:rsid w:val="00E818E3"/>
    <w:rsid w:val="00E825CD"/>
    <w:rsid w:val="00E82F61"/>
    <w:rsid w:val="00E82FBD"/>
    <w:rsid w:val="00E83EE8"/>
    <w:rsid w:val="00E8408F"/>
    <w:rsid w:val="00E844A2"/>
    <w:rsid w:val="00E845C6"/>
    <w:rsid w:val="00E84B27"/>
    <w:rsid w:val="00E859D6"/>
    <w:rsid w:val="00E85AC3"/>
    <w:rsid w:val="00E85B15"/>
    <w:rsid w:val="00E85CCA"/>
    <w:rsid w:val="00E861E0"/>
    <w:rsid w:val="00E86591"/>
    <w:rsid w:val="00E8665A"/>
    <w:rsid w:val="00E86D8E"/>
    <w:rsid w:val="00E873AC"/>
    <w:rsid w:val="00E87DD8"/>
    <w:rsid w:val="00E902EE"/>
    <w:rsid w:val="00E90612"/>
    <w:rsid w:val="00E906DD"/>
    <w:rsid w:val="00E90A00"/>
    <w:rsid w:val="00E90AF5"/>
    <w:rsid w:val="00E90E94"/>
    <w:rsid w:val="00E9103D"/>
    <w:rsid w:val="00E91616"/>
    <w:rsid w:val="00E9173D"/>
    <w:rsid w:val="00E919B7"/>
    <w:rsid w:val="00E922C2"/>
    <w:rsid w:val="00E9261A"/>
    <w:rsid w:val="00E92AB9"/>
    <w:rsid w:val="00E93EBA"/>
    <w:rsid w:val="00E94471"/>
    <w:rsid w:val="00E95155"/>
    <w:rsid w:val="00E952CA"/>
    <w:rsid w:val="00E9597A"/>
    <w:rsid w:val="00E959E1"/>
    <w:rsid w:val="00E966C8"/>
    <w:rsid w:val="00E96A61"/>
    <w:rsid w:val="00E96CBF"/>
    <w:rsid w:val="00E970DF"/>
    <w:rsid w:val="00E973A8"/>
    <w:rsid w:val="00E97ECE"/>
    <w:rsid w:val="00EA0136"/>
    <w:rsid w:val="00EA0CCB"/>
    <w:rsid w:val="00EA0E9B"/>
    <w:rsid w:val="00EA18CE"/>
    <w:rsid w:val="00EA18FC"/>
    <w:rsid w:val="00EA1CFA"/>
    <w:rsid w:val="00EA2480"/>
    <w:rsid w:val="00EA28F6"/>
    <w:rsid w:val="00EA31F7"/>
    <w:rsid w:val="00EA34F2"/>
    <w:rsid w:val="00EA3AFB"/>
    <w:rsid w:val="00EA40C6"/>
    <w:rsid w:val="00EA4C6A"/>
    <w:rsid w:val="00EA51B6"/>
    <w:rsid w:val="00EA51C9"/>
    <w:rsid w:val="00EA525E"/>
    <w:rsid w:val="00EA56DE"/>
    <w:rsid w:val="00EA5C12"/>
    <w:rsid w:val="00EA5E76"/>
    <w:rsid w:val="00EA6BCF"/>
    <w:rsid w:val="00EA7413"/>
    <w:rsid w:val="00EB0016"/>
    <w:rsid w:val="00EB0490"/>
    <w:rsid w:val="00EB0D54"/>
    <w:rsid w:val="00EB0F94"/>
    <w:rsid w:val="00EB160E"/>
    <w:rsid w:val="00EB181C"/>
    <w:rsid w:val="00EB221A"/>
    <w:rsid w:val="00EB2962"/>
    <w:rsid w:val="00EB3C74"/>
    <w:rsid w:val="00EB3D96"/>
    <w:rsid w:val="00EB3F26"/>
    <w:rsid w:val="00EB425C"/>
    <w:rsid w:val="00EB43D2"/>
    <w:rsid w:val="00EB4BB4"/>
    <w:rsid w:val="00EB4EF3"/>
    <w:rsid w:val="00EB4FEA"/>
    <w:rsid w:val="00EB698D"/>
    <w:rsid w:val="00EB6EB4"/>
    <w:rsid w:val="00EB7325"/>
    <w:rsid w:val="00EB737B"/>
    <w:rsid w:val="00EB773D"/>
    <w:rsid w:val="00EC0189"/>
    <w:rsid w:val="00EC0EE4"/>
    <w:rsid w:val="00EC1052"/>
    <w:rsid w:val="00EC19E5"/>
    <w:rsid w:val="00EC2874"/>
    <w:rsid w:val="00EC31A3"/>
    <w:rsid w:val="00EC335F"/>
    <w:rsid w:val="00EC4787"/>
    <w:rsid w:val="00EC48AA"/>
    <w:rsid w:val="00EC4BF1"/>
    <w:rsid w:val="00EC51FC"/>
    <w:rsid w:val="00EC5C27"/>
    <w:rsid w:val="00EC5F49"/>
    <w:rsid w:val="00EC67F3"/>
    <w:rsid w:val="00EC6BE1"/>
    <w:rsid w:val="00EC6DD6"/>
    <w:rsid w:val="00EC7366"/>
    <w:rsid w:val="00EC747E"/>
    <w:rsid w:val="00EC74BC"/>
    <w:rsid w:val="00EC7DDE"/>
    <w:rsid w:val="00EC7FB8"/>
    <w:rsid w:val="00ED0065"/>
    <w:rsid w:val="00ED0216"/>
    <w:rsid w:val="00ED02A2"/>
    <w:rsid w:val="00ED0447"/>
    <w:rsid w:val="00ED068E"/>
    <w:rsid w:val="00ED0811"/>
    <w:rsid w:val="00ED0DDE"/>
    <w:rsid w:val="00ED191D"/>
    <w:rsid w:val="00ED2217"/>
    <w:rsid w:val="00ED2471"/>
    <w:rsid w:val="00ED24D6"/>
    <w:rsid w:val="00ED271B"/>
    <w:rsid w:val="00ED291D"/>
    <w:rsid w:val="00ED3216"/>
    <w:rsid w:val="00ED357E"/>
    <w:rsid w:val="00ED377E"/>
    <w:rsid w:val="00ED3DE1"/>
    <w:rsid w:val="00ED3F55"/>
    <w:rsid w:val="00ED4308"/>
    <w:rsid w:val="00ED5179"/>
    <w:rsid w:val="00ED5467"/>
    <w:rsid w:val="00ED5D32"/>
    <w:rsid w:val="00ED67B8"/>
    <w:rsid w:val="00ED6AAC"/>
    <w:rsid w:val="00ED6B1B"/>
    <w:rsid w:val="00ED6C12"/>
    <w:rsid w:val="00ED7753"/>
    <w:rsid w:val="00ED7ED7"/>
    <w:rsid w:val="00EE08C7"/>
    <w:rsid w:val="00EE0A43"/>
    <w:rsid w:val="00EE0AB1"/>
    <w:rsid w:val="00EE11C2"/>
    <w:rsid w:val="00EE1F49"/>
    <w:rsid w:val="00EE2054"/>
    <w:rsid w:val="00EE24DC"/>
    <w:rsid w:val="00EE331C"/>
    <w:rsid w:val="00EE3715"/>
    <w:rsid w:val="00EE4B80"/>
    <w:rsid w:val="00EE4C63"/>
    <w:rsid w:val="00EE5202"/>
    <w:rsid w:val="00EE5D19"/>
    <w:rsid w:val="00EE797E"/>
    <w:rsid w:val="00EE7BE9"/>
    <w:rsid w:val="00EF1ABB"/>
    <w:rsid w:val="00EF208E"/>
    <w:rsid w:val="00EF2D94"/>
    <w:rsid w:val="00EF34F6"/>
    <w:rsid w:val="00EF3521"/>
    <w:rsid w:val="00EF3CD5"/>
    <w:rsid w:val="00EF4C15"/>
    <w:rsid w:val="00EF51EC"/>
    <w:rsid w:val="00EF614E"/>
    <w:rsid w:val="00EF616F"/>
    <w:rsid w:val="00EF63EC"/>
    <w:rsid w:val="00EF6787"/>
    <w:rsid w:val="00EF67EF"/>
    <w:rsid w:val="00EF6EB4"/>
    <w:rsid w:val="00F00506"/>
    <w:rsid w:val="00F02A5A"/>
    <w:rsid w:val="00F02E9F"/>
    <w:rsid w:val="00F02EEE"/>
    <w:rsid w:val="00F03151"/>
    <w:rsid w:val="00F03F8C"/>
    <w:rsid w:val="00F04614"/>
    <w:rsid w:val="00F047DB"/>
    <w:rsid w:val="00F054C5"/>
    <w:rsid w:val="00F054E2"/>
    <w:rsid w:val="00F061EA"/>
    <w:rsid w:val="00F06F24"/>
    <w:rsid w:val="00F070BD"/>
    <w:rsid w:val="00F076C4"/>
    <w:rsid w:val="00F076FF"/>
    <w:rsid w:val="00F077CA"/>
    <w:rsid w:val="00F07DA5"/>
    <w:rsid w:val="00F0E177"/>
    <w:rsid w:val="00F100EB"/>
    <w:rsid w:val="00F10F87"/>
    <w:rsid w:val="00F117D4"/>
    <w:rsid w:val="00F124B9"/>
    <w:rsid w:val="00F12635"/>
    <w:rsid w:val="00F12812"/>
    <w:rsid w:val="00F12B93"/>
    <w:rsid w:val="00F12D9C"/>
    <w:rsid w:val="00F12F66"/>
    <w:rsid w:val="00F137A1"/>
    <w:rsid w:val="00F13A0E"/>
    <w:rsid w:val="00F14088"/>
    <w:rsid w:val="00F14D26"/>
    <w:rsid w:val="00F15E68"/>
    <w:rsid w:val="00F169F6"/>
    <w:rsid w:val="00F17611"/>
    <w:rsid w:val="00F17785"/>
    <w:rsid w:val="00F17D9A"/>
    <w:rsid w:val="00F208E7"/>
    <w:rsid w:val="00F2104A"/>
    <w:rsid w:val="00F219C3"/>
    <w:rsid w:val="00F21A50"/>
    <w:rsid w:val="00F21E3C"/>
    <w:rsid w:val="00F224B7"/>
    <w:rsid w:val="00F22657"/>
    <w:rsid w:val="00F227E3"/>
    <w:rsid w:val="00F22AF5"/>
    <w:rsid w:val="00F234A8"/>
    <w:rsid w:val="00F239E5"/>
    <w:rsid w:val="00F24097"/>
    <w:rsid w:val="00F24108"/>
    <w:rsid w:val="00F24F35"/>
    <w:rsid w:val="00F25D22"/>
    <w:rsid w:val="00F26058"/>
    <w:rsid w:val="00F26783"/>
    <w:rsid w:val="00F26AEA"/>
    <w:rsid w:val="00F26E71"/>
    <w:rsid w:val="00F27AC1"/>
    <w:rsid w:val="00F27B52"/>
    <w:rsid w:val="00F30203"/>
    <w:rsid w:val="00F30AA2"/>
    <w:rsid w:val="00F30B8E"/>
    <w:rsid w:val="00F30B97"/>
    <w:rsid w:val="00F317D4"/>
    <w:rsid w:val="00F31B63"/>
    <w:rsid w:val="00F31EAA"/>
    <w:rsid w:val="00F32048"/>
    <w:rsid w:val="00F32A61"/>
    <w:rsid w:val="00F333B9"/>
    <w:rsid w:val="00F3345F"/>
    <w:rsid w:val="00F33F98"/>
    <w:rsid w:val="00F34E05"/>
    <w:rsid w:val="00F3622E"/>
    <w:rsid w:val="00F363A1"/>
    <w:rsid w:val="00F3650C"/>
    <w:rsid w:val="00F37213"/>
    <w:rsid w:val="00F379E3"/>
    <w:rsid w:val="00F40A13"/>
    <w:rsid w:val="00F40B3F"/>
    <w:rsid w:val="00F415CD"/>
    <w:rsid w:val="00F41BEA"/>
    <w:rsid w:val="00F4202D"/>
    <w:rsid w:val="00F42C23"/>
    <w:rsid w:val="00F42DA9"/>
    <w:rsid w:val="00F43AD9"/>
    <w:rsid w:val="00F43EF8"/>
    <w:rsid w:val="00F440A9"/>
    <w:rsid w:val="00F44222"/>
    <w:rsid w:val="00F44292"/>
    <w:rsid w:val="00F44990"/>
    <w:rsid w:val="00F44F97"/>
    <w:rsid w:val="00F45035"/>
    <w:rsid w:val="00F456A3"/>
    <w:rsid w:val="00F4578A"/>
    <w:rsid w:val="00F4597C"/>
    <w:rsid w:val="00F45E76"/>
    <w:rsid w:val="00F4628D"/>
    <w:rsid w:val="00F468A8"/>
    <w:rsid w:val="00F46D23"/>
    <w:rsid w:val="00F46EEE"/>
    <w:rsid w:val="00F47741"/>
    <w:rsid w:val="00F50172"/>
    <w:rsid w:val="00F50405"/>
    <w:rsid w:val="00F50735"/>
    <w:rsid w:val="00F50830"/>
    <w:rsid w:val="00F50AD5"/>
    <w:rsid w:val="00F50DCD"/>
    <w:rsid w:val="00F51111"/>
    <w:rsid w:val="00F513A9"/>
    <w:rsid w:val="00F521CF"/>
    <w:rsid w:val="00F52A2E"/>
    <w:rsid w:val="00F53211"/>
    <w:rsid w:val="00F53DA9"/>
    <w:rsid w:val="00F54305"/>
    <w:rsid w:val="00F555D5"/>
    <w:rsid w:val="00F55909"/>
    <w:rsid w:val="00F5597E"/>
    <w:rsid w:val="00F55BF3"/>
    <w:rsid w:val="00F55F29"/>
    <w:rsid w:val="00F5626E"/>
    <w:rsid w:val="00F56705"/>
    <w:rsid w:val="00F56DC6"/>
    <w:rsid w:val="00F57286"/>
    <w:rsid w:val="00F57546"/>
    <w:rsid w:val="00F576CC"/>
    <w:rsid w:val="00F57D07"/>
    <w:rsid w:val="00F57FC7"/>
    <w:rsid w:val="00F6061C"/>
    <w:rsid w:val="00F60831"/>
    <w:rsid w:val="00F60B72"/>
    <w:rsid w:val="00F60DE7"/>
    <w:rsid w:val="00F6154E"/>
    <w:rsid w:val="00F6173F"/>
    <w:rsid w:val="00F6174B"/>
    <w:rsid w:val="00F6192F"/>
    <w:rsid w:val="00F619E1"/>
    <w:rsid w:val="00F6273B"/>
    <w:rsid w:val="00F62768"/>
    <w:rsid w:val="00F6278D"/>
    <w:rsid w:val="00F62F65"/>
    <w:rsid w:val="00F64904"/>
    <w:rsid w:val="00F64AFA"/>
    <w:rsid w:val="00F64B28"/>
    <w:rsid w:val="00F64E2D"/>
    <w:rsid w:val="00F64EED"/>
    <w:rsid w:val="00F655FA"/>
    <w:rsid w:val="00F663E3"/>
    <w:rsid w:val="00F6762C"/>
    <w:rsid w:val="00F678D0"/>
    <w:rsid w:val="00F67CEE"/>
    <w:rsid w:val="00F700AE"/>
    <w:rsid w:val="00F701C9"/>
    <w:rsid w:val="00F70356"/>
    <w:rsid w:val="00F7036D"/>
    <w:rsid w:val="00F707FF"/>
    <w:rsid w:val="00F709BB"/>
    <w:rsid w:val="00F71762"/>
    <w:rsid w:val="00F719E0"/>
    <w:rsid w:val="00F72A26"/>
    <w:rsid w:val="00F7327C"/>
    <w:rsid w:val="00F734EE"/>
    <w:rsid w:val="00F738F1"/>
    <w:rsid w:val="00F73D3E"/>
    <w:rsid w:val="00F73DF4"/>
    <w:rsid w:val="00F74CB8"/>
    <w:rsid w:val="00F75282"/>
    <w:rsid w:val="00F75650"/>
    <w:rsid w:val="00F75A5B"/>
    <w:rsid w:val="00F75B10"/>
    <w:rsid w:val="00F76599"/>
    <w:rsid w:val="00F76F50"/>
    <w:rsid w:val="00F77377"/>
    <w:rsid w:val="00F77583"/>
    <w:rsid w:val="00F80DF6"/>
    <w:rsid w:val="00F8179F"/>
    <w:rsid w:val="00F81ACF"/>
    <w:rsid w:val="00F81D4A"/>
    <w:rsid w:val="00F829DA"/>
    <w:rsid w:val="00F82EF4"/>
    <w:rsid w:val="00F82FB4"/>
    <w:rsid w:val="00F847AE"/>
    <w:rsid w:val="00F85B82"/>
    <w:rsid w:val="00F860AE"/>
    <w:rsid w:val="00F86E34"/>
    <w:rsid w:val="00F87420"/>
    <w:rsid w:val="00F876C8"/>
    <w:rsid w:val="00F87A75"/>
    <w:rsid w:val="00F87E04"/>
    <w:rsid w:val="00F90743"/>
    <w:rsid w:val="00F91721"/>
    <w:rsid w:val="00F91CA6"/>
    <w:rsid w:val="00F925CC"/>
    <w:rsid w:val="00F9365B"/>
    <w:rsid w:val="00F939A9"/>
    <w:rsid w:val="00F945C2"/>
    <w:rsid w:val="00F9492D"/>
    <w:rsid w:val="00F9509A"/>
    <w:rsid w:val="00F96032"/>
    <w:rsid w:val="00F96B73"/>
    <w:rsid w:val="00FA0954"/>
    <w:rsid w:val="00FA0D89"/>
    <w:rsid w:val="00FA0FB3"/>
    <w:rsid w:val="00FA2130"/>
    <w:rsid w:val="00FA230D"/>
    <w:rsid w:val="00FA2949"/>
    <w:rsid w:val="00FA3275"/>
    <w:rsid w:val="00FA33AF"/>
    <w:rsid w:val="00FA3837"/>
    <w:rsid w:val="00FA39A6"/>
    <w:rsid w:val="00FA3DA0"/>
    <w:rsid w:val="00FA4ACA"/>
    <w:rsid w:val="00FA53EB"/>
    <w:rsid w:val="00FA72F5"/>
    <w:rsid w:val="00FB02BB"/>
    <w:rsid w:val="00FB0FCD"/>
    <w:rsid w:val="00FB1127"/>
    <w:rsid w:val="00FB1377"/>
    <w:rsid w:val="00FB196B"/>
    <w:rsid w:val="00FB19DC"/>
    <w:rsid w:val="00FB1A78"/>
    <w:rsid w:val="00FB1D61"/>
    <w:rsid w:val="00FB24A6"/>
    <w:rsid w:val="00FB2E82"/>
    <w:rsid w:val="00FB36F3"/>
    <w:rsid w:val="00FB37CC"/>
    <w:rsid w:val="00FB3C02"/>
    <w:rsid w:val="00FB450E"/>
    <w:rsid w:val="00FB4704"/>
    <w:rsid w:val="00FB4758"/>
    <w:rsid w:val="00FB4C14"/>
    <w:rsid w:val="00FB500D"/>
    <w:rsid w:val="00FB5128"/>
    <w:rsid w:val="00FB5423"/>
    <w:rsid w:val="00FB588C"/>
    <w:rsid w:val="00FB5D50"/>
    <w:rsid w:val="00FB60B2"/>
    <w:rsid w:val="00FB7069"/>
    <w:rsid w:val="00FB7CBA"/>
    <w:rsid w:val="00FC01AE"/>
    <w:rsid w:val="00FC05D4"/>
    <w:rsid w:val="00FC064F"/>
    <w:rsid w:val="00FC1163"/>
    <w:rsid w:val="00FC2D0F"/>
    <w:rsid w:val="00FC3561"/>
    <w:rsid w:val="00FC3B1E"/>
    <w:rsid w:val="00FC4309"/>
    <w:rsid w:val="00FC473F"/>
    <w:rsid w:val="00FC50BE"/>
    <w:rsid w:val="00FC5ABF"/>
    <w:rsid w:val="00FC6AC9"/>
    <w:rsid w:val="00FC6D7B"/>
    <w:rsid w:val="00FC7F19"/>
    <w:rsid w:val="00FD01A8"/>
    <w:rsid w:val="00FD01F1"/>
    <w:rsid w:val="00FD0A8B"/>
    <w:rsid w:val="00FD0CDA"/>
    <w:rsid w:val="00FD0F60"/>
    <w:rsid w:val="00FD1B6C"/>
    <w:rsid w:val="00FD1BA3"/>
    <w:rsid w:val="00FD1FA3"/>
    <w:rsid w:val="00FD250E"/>
    <w:rsid w:val="00FD2AFC"/>
    <w:rsid w:val="00FD2E39"/>
    <w:rsid w:val="00FD35BC"/>
    <w:rsid w:val="00FD38B2"/>
    <w:rsid w:val="00FD3A3A"/>
    <w:rsid w:val="00FD3B35"/>
    <w:rsid w:val="00FD497A"/>
    <w:rsid w:val="00FD50CC"/>
    <w:rsid w:val="00FD597B"/>
    <w:rsid w:val="00FD6192"/>
    <w:rsid w:val="00FD6451"/>
    <w:rsid w:val="00FD69FE"/>
    <w:rsid w:val="00FD757E"/>
    <w:rsid w:val="00FD7C3D"/>
    <w:rsid w:val="00FE0BD7"/>
    <w:rsid w:val="00FE0D09"/>
    <w:rsid w:val="00FE16C7"/>
    <w:rsid w:val="00FE182F"/>
    <w:rsid w:val="00FE1E24"/>
    <w:rsid w:val="00FE25A1"/>
    <w:rsid w:val="00FE27D6"/>
    <w:rsid w:val="00FE290E"/>
    <w:rsid w:val="00FE2D21"/>
    <w:rsid w:val="00FE49FF"/>
    <w:rsid w:val="00FE4AD3"/>
    <w:rsid w:val="00FE591C"/>
    <w:rsid w:val="00FE5CCB"/>
    <w:rsid w:val="00FE6117"/>
    <w:rsid w:val="00FE7092"/>
    <w:rsid w:val="00FE7232"/>
    <w:rsid w:val="00FE7D28"/>
    <w:rsid w:val="00FF06FD"/>
    <w:rsid w:val="00FF094A"/>
    <w:rsid w:val="00FF0A30"/>
    <w:rsid w:val="00FF0FD4"/>
    <w:rsid w:val="00FF1430"/>
    <w:rsid w:val="00FF1705"/>
    <w:rsid w:val="00FF1D7B"/>
    <w:rsid w:val="00FF215C"/>
    <w:rsid w:val="00FF25DD"/>
    <w:rsid w:val="00FF3317"/>
    <w:rsid w:val="00FF3EB5"/>
    <w:rsid w:val="00FF3FFF"/>
    <w:rsid w:val="00FF4FF3"/>
    <w:rsid w:val="00FF588B"/>
    <w:rsid w:val="00FF5DF6"/>
    <w:rsid w:val="00FF63E2"/>
    <w:rsid w:val="00FF68A9"/>
    <w:rsid w:val="00FF6A69"/>
    <w:rsid w:val="00FF71AD"/>
    <w:rsid w:val="012B89C0"/>
    <w:rsid w:val="01813EE9"/>
    <w:rsid w:val="01C75153"/>
    <w:rsid w:val="0203A693"/>
    <w:rsid w:val="023016D4"/>
    <w:rsid w:val="023C8888"/>
    <w:rsid w:val="023E2729"/>
    <w:rsid w:val="0249A9CA"/>
    <w:rsid w:val="0257570A"/>
    <w:rsid w:val="02618125"/>
    <w:rsid w:val="02740B29"/>
    <w:rsid w:val="027CDA3E"/>
    <w:rsid w:val="027EC8B7"/>
    <w:rsid w:val="0284D976"/>
    <w:rsid w:val="0296B6A5"/>
    <w:rsid w:val="02A244FE"/>
    <w:rsid w:val="02BEC2AF"/>
    <w:rsid w:val="02D94BEE"/>
    <w:rsid w:val="02E2C40B"/>
    <w:rsid w:val="0318CE0E"/>
    <w:rsid w:val="034CA0FB"/>
    <w:rsid w:val="035EBAE1"/>
    <w:rsid w:val="0366D298"/>
    <w:rsid w:val="0379E9BB"/>
    <w:rsid w:val="037C11FD"/>
    <w:rsid w:val="0380DD7B"/>
    <w:rsid w:val="039F17BA"/>
    <w:rsid w:val="03A6BA7D"/>
    <w:rsid w:val="03AD9FB5"/>
    <w:rsid w:val="03B8DF7B"/>
    <w:rsid w:val="03BF8264"/>
    <w:rsid w:val="03C0A4DC"/>
    <w:rsid w:val="03CCC748"/>
    <w:rsid w:val="03CEE5D6"/>
    <w:rsid w:val="03DB6378"/>
    <w:rsid w:val="03E14381"/>
    <w:rsid w:val="03EDA4EB"/>
    <w:rsid w:val="03EEA824"/>
    <w:rsid w:val="041798F1"/>
    <w:rsid w:val="0428A185"/>
    <w:rsid w:val="043A9BC7"/>
    <w:rsid w:val="0444B3A9"/>
    <w:rsid w:val="044517FE"/>
    <w:rsid w:val="04748D19"/>
    <w:rsid w:val="04AFB46A"/>
    <w:rsid w:val="04C6B4B1"/>
    <w:rsid w:val="04CE8AE5"/>
    <w:rsid w:val="04D5E56A"/>
    <w:rsid w:val="04D60413"/>
    <w:rsid w:val="04E4BC49"/>
    <w:rsid w:val="04F71244"/>
    <w:rsid w:val="051F78DA"/>
    <w:rsid w:val="05222CF5"/>
    <w:rsid w:val="054ED8BB"/>
    <w:rsid w:val="056004AE"/>
    <w:rsid w:val="058EA075"/>
    <w:rsid w:val="05A003BA"/>
    <w:rsid w:val="05B76BF8"/>
    <w:rsid w:val="05C35970"/>
    <w:rsid w:val="06243B39"/>
    <w:rsid w:val="0648B55E"/>
    <w:rsid w:val="069CCDE3"/>
    <w:rsid w:val="06A7FDA6"/>
    <w:rsid w:val="06CF76E8"/>
    <w:rsid w:val="06D32406"/>
    <w:rsid w:val="06DC2DDC"/>
    <w:rsid w:val="070B9A73"/>
    <w:rsid w:val="0722CC92"/>
    <w:rsid w:val="072D3FD6"/>
    <w:rsid w:val="0780AA48"/>
    <w:rsid w:val="07BCAD1B"/>
    <w:rsid w:val="07E0BC07"/>
    <w:rsid w:val="07F186F7"/>
    <w:rsid w:val="083B1F16"/>
    <w:rsid w:val="08519A77"/>
    <w:rsid w:val="0859654D"/>
    <w:rsid w:val="08893203"/>
    <w:rsid w:val="089CDB1D"/>
    <w:rsid w:val="08B15257"/>
    <w:rsid w:val="08E0644B"/>
    <w:rsid w:val="09279F42"/>
    <w:rsid w:val="0935F0C3"/>
    <w:rsid w:val="093A84D7"/>
    <w:rsid w:val="093FCF14"/>
    <w:rsid w:val="095ABBA8"/>
    <w:rsid w:val="09792726"/>
    <w:rsid w:val="098D2916"/>
    <w:rsid w:val="09B1BAD9"/>
    <w:rsid w:val="09E5518C"/>
    <w:rsid w:val="0A0326D0"/>
    <w:rsid w:val="0A09A781"/>
    <w:rsid w:val="0A292A9D"/>
    <w:rsid w:val="0A33CDD4"/>
    <w:rsid w:val="0AAE9185"/>
    <w:rsid w:val="0AAFFB08"/>
    <w:rsid w:val="0AB72BD6"/>
    <w:rsid w:val="0AE1CA14"/>
    <w:rsid w:val="0AFFBAB2"/>
    <w:rsid w:val="0B00D270"/>
    <w:rsid w:val="0B10758B"/>
    <w:rsid w:val="0B141458"/>
    <w:rsid w:val="0B2E2867"/>
    <w:rsid w:val="0B49A44A"/>
    <w:rsid w:val="0B673066"/>
    <w:rsid w:val="0B9562E8"/>
    <w:rsid w:val="0B99A9DC"/>
    <w:rsid w:val="0BA116B3"/>
    <w:rsid w:val="0BA4BBD9"/>
    <w:rsid w:val="0BA6F88F"/>
    <w:rsid w:val="0BC59EDE"/>
    <w:rsid w:val="0BC93919"/>
    <w:rsid w:val="0BEC7D77"/>
    <w:rsid w:val="0C062A6B"/>
    <w:rsid w:val="0C5DCA80"/>
    <w:rsid w:val="0C6CE349"/>
    <w:rsid w:val="0C96507A"/>
    <w:rsid w:val="0C97996F"/>
    <w:rsid w:val="0CA2254C"/>
    <w:rsid w:val="0CA958A7"/>
    <w:rsid w:val="0CB5A7F9"/>
    <w:rsid w:val="0CCB53ED"/>
    <w:rsid w:val="0CF1C199"/>
    <w:rsid w:val="0CF83466"/>
    <w:rsid w:val="0D436692"/>
    <w:rsid w:val="0D44C652"/>
    <w:rsid w:val="0D5145A6"/>
    <w:rsid w:val="0D58E3FD"/>
    <w:rsid w:val="0D698C3A"/>
    <w:rsid w:val="0D75A07A"/>
    <w:rsid w:val="0D7FDF25"/>
    <w:rsid w:val="0D8CC118"/>
    <w:rsid w:val="0D9A7CBB"/>
    <w:rsid w:val="0DE2E6CC"/>
    <w:rsid w:val="0DF5023A"/>
    <w:rsid w:val="0DF90EF2"/>
    <w:rsid w:val="0E29A98E"/>
    <w:rsid w:val="0E4C413A"/>
    <w:rsid w:val="0E4E55AE"/>
    <w:rsid w:val="0E56628F"/>
    <w:rsid w:val="0E801F64"/>
    <w:rsid w:val="0E8B08EA"/>
    <w:rsid w:val="0E99F1AB"/>
    <w:rsid w:val="0EB8796C"/>
    <w:rsid w:val="0ED94E53"/>
    <w:rsid w:val="0F0F0475"/>
    <w:rsid w:val="0F5ABAF6"/>
    <w:rsid w:val="0FA9BA28"/>
    <w:rsid w:val="0FD7B9D7"/>
    <w:rsid w:val="0FE2E076"/>
    <w:rsid w:val="0FEA260F"/>
    <w:rsid w:val="10009690"/>
    <w:rsid w:val="104EA18D"/>
    <w:rsid w:val="108259DC"/>
    <w:rsid w:val="109FD209"/>
    <w:rsid w:val="10C24C30"/>
    <w:rsid w:val="10C3D743"/>
    <w:rsid w:val="10CFE71F"/>
    <w:rsid w:val="11129B30"/>
    <w:rsid w:val="1128D123"/>
    <w:rsid w:val="114CA530"/>
    <w:rsid w:val="116E3C6E"/>
    <w:rsid w:val="1189DD90"/>
    <w:rsid w:val="1200B864"/>
    <w:rsid w:val="121456BC"/>
    <w:rsid w:val="12324FE4"/>
    <w:rsid w:val="124E44B2"/>
    <w:rsid w:val="124F9A40"/>
    <w:rsid w:val="125E1C91"/>
    <w:rsid w:val="127619C2"/>
    <w:rsid w:val="1282AF15"/>
    <w:rsid w:val="12AAB4DA"/>
    <w:rsid w:val="12B29FA5"/>
    <w:rsid w:val="12B4B5B8"/>
    <w:rsid w:val="12B52CC4"/>
    <w:rsid w:val="12B8965A"/>
    <w:rsid w:val="12B98268"/>
    <w:rsid w:val="12D1B484"/>
    <w:rsid w:val="12F67F0C"/>
    <w:rsid w:val="12FC85B0"/>
    <w:rsid w:val="13570935"/>
    <w:rsid w:val="137118A9"/>
    <w:rsid w:val="137D9E66"/>
    <w:rsid w:val="138562D6"/>
    <w:rsid w:val="138FED8B"/>
    <w:rsid w:val="13D28B43"/>
    <w:rsid w:val="13E3785C"/>
    <w:rsid w:val="14360312"/>
    <w:rsid w:val="143A64AC"/>
    <w:rsid w:val="144641A0"/>
    <w:rsid w:val="1468F17E"/>
    <w:rsid w:val="14751291"/>
    <w:rsid w:val="1476E406"/>
    <w:rsid w:val="148225D7"/>
    <w:rsid w:val="14914C6B"/>
    <w:rsid w:val="14BB8764"/>
    <w:rsid w:val="14C6AC06"/>
    <w:rsid w:val="14D892A8"/>
    <w:rsid w:val="14F031F6"/>
    <w:rsid w:val="151A008A"/>
    <w:rsid w:val="15460C66"/>
    <w:rsid w:val="155D2718"/>
    <w:rsid w:val="1569EACB"/>
    <w:rsid w:val="156C2A5D"/>
    <w:rsid w:val="156E6F6E"/>
    <w:rsid w:val="15CFE97D"/>
    <w:rsid w:val="15DD9EB2"/>
    <w:rsid w:val="16097AA3"/>
    <w:rsid w:val="160A544E"/>
    <w:rsid w:val="160A5544"/>
    <w:rsid w:val="16116EE7"/>
    <w:rsid w:val="16174A9E"/>
    <w:rsid w:val="162E215F"/>
    <w:rsid w:val="16330E5A"/>
    <w:rsid w:val="163E9A76"/>
    <w:rsid w:val="164DB5D1"/>
    <w:rsid w:val="1658217E"/>
    <w:rsid w:val="166636AA"/>
    <w:rsid w:val="169C3AA5"/>
    <w:rsid w:val="16E154B4"/>
    <w:rsid w:val="16E34879"/>
    <w:rsid w:val="16E6E648"/>
    <w:rsid w:val="170A2C05"/>
    <w:rsid w:val="172F0BDF"/>
    <w:rsid w:val="173DA91F"/>
    <w:rsid w:val="173FF078"/>
    <w:rsid w:val="174756CC"/>
    <w:rsid w:val="17492079"/>
    <w:rsid w:val="17502892"/>
    <w:rsid w:val="17530A82"/>
    <w:rsid w:val="17556940"/>
    <w:rsid w:val="176FBF68"/>
    <w:rsid w:val="179B24D7"/>
    <w:rsid w:val="17D6A063"/>
    <w:rsid w:val="17DC0F97"/>
    <w:rsid w:val="181D5DC8"/>
    <w:rsid w:val="182330A0"/>
    <w:rsid w:val="1826E2D3"/>
    <w:rsid w:val="182D5BC0"/>
    <w:rsid w:val="18427418"/>
    <w:rsid w:val="184B0E03"/>
    <w:rsid w:val="1875BADF"/>
    <w:rsid w:val="189D7B71"/>
    <w:rsid w:val="189F28C7"/>
    <w:rsid w:val="18CCA4CB"/>
    <w:rsid w:val="18F03F9D"/>
    <w:rsid w:val="190B88EF"/>
    <w:rsid w:val="190E6A75"/>
    <w:rsid w:val="19156405"/>
    <w:rsid w:val="194360E3"/>
    <w:rsid w:val="194B1D3E"/>
    <w:rsid w:val="19626F96"/>
    <w:rsid w:val="19AB3B70"/>
    <w:rsid w:val="19B72327"/>
    <w:rsid w:val="19BAF6D6"/>
    <w:rsid w:val="19C1189C"/>
    <w:rsid w:val="19CF9B70"/>
    <w:rsid w:val="19DAEA7A"/>
    <w:rsid w:val="1A382171"/>
    <w:rsid w:val="1A43FBDA"/>
    <w:rsid w:val="1A514088"/>
    <w:rsid w:val="1A65020E"/>
    <w:rsid w:val="1A8751B6"/>
    <w:rsid w:val="1ABF22D3"/>
    <w:rsid w:val="1AEC4960"/>
    <w:rsid w:val="1AEF4E4E"/>
    <w:rsid w:val="1AEF6B79"/>
    <w:rsid w:val="1B3F64BF"/>
    <w:rsid w:val="1B5CDCFA"/>
    <w:rsid w:val="1B8D63C9"/>
    <w:rsid w:val="1B95F01E"/>
    <w:rsid w:val="1BAAE56D"/>
    <w:rsid w:val="1BBBDD2F"/>
    <w:rsid w:val="1BCF911C"/>
    <w:rsid w:val="1BE764F9"/>
    <w:rsid w:val="1BFE5355"/>
    <w:rsid w:val="1C062B50"/>
    <w:rsid w:val="1C1FB639"/>
    <w:rsid w:val="1C58BD31"/>
    <w:rsid w:val="1C781EDD"/>
    <w:rsid w:val="1C8122DA"/>
    <w:rsid w:val="1C8EACD5"/>
    <w:rsid w:val="1C9488C7"/>
    <w:rsid w:val="1CB6B4E3"/>
    <w:rsid w:val="1CCB6BBC"/>
    <w:rsid w:val="1CD5CF46"/>
    <w:rsid w:val="1CDD1D57"/>
    <w:rsid w:val="1CEB1CB0"/>
    <w:rsid w:val="1CFF2B5B"/>
    <w:rsid w:val="1CFF4C34"/>
    <w:rsid w:val="1D212447"/>
    <w:rsid w:val="1D2FCEEF"/>
    <w:rsid w:val="1D446005"/>
    <w:rsid w:val="1D4F8D7F"/>
    <w:rsid w:val="1D65D2FF"/>
    <w:rsid w:val="1D75C116"/>
    <w:rsid w:val="1D8117F5"/>
    <w:rsid w:val="1D99E964"/>
    <w:rsid w:val="1DC9C58A"/>
    <w:rsid w:val="1DD4761D"/>
    <w:rsid w:val="1DF2300E"/>
    <w:rsid w:val="1E17A784"/>
    <w:rsid w:val="1E482D01"/>
    <w:rsid w:val="1E7CEC6D"/>
    <w:rsid w:val="1E96A7D5"/>
    <w:rsid w:val="1F08A1BA"/>
    <w:rsid w:val="1F0CBCF5"/>
    <w:rsid w:val="1F12DEE0"/>
    <w:rsid w:val="1F1886DB"/>
    <w:rsid w:val="1F3756FE"/>
    <w:rsid w:val="1F5DF865"/>
    <w:rsid w:val="1F743F34"/>
    <w:rsid w:val="1F77D3B8"/>
    <w:rsid w:val="1F7A1AB8"/>
    <w:rsid w:val="1F88B109"/>
    <w:rsid w:val="1FA5FFCE"/>
    <w:rsid w:val="1FA83E94"/>
    <w:rsid w:val="1FAF201A"/>
    <w:rsid w:val="1FB4CEC5"/>
    <w:rsid w:val="1FEE6FA7"/>
    <w:rsid w:val="1FFAD386"/>
    <w:rsid w:val="2012416E"/>
    <w:rsid w:val="201D523C"/>
    <w:rsid w:val="202E2D3D"/>
    <w:rsid w:val="2030F89C"/>
    <w:rsid w:val="203DF33A"/>
    <w:rsid w:val="203EC927"/>
    <w:rsid w:val="2044FF0F"/>
    <w:rsid w:val="20498158"/>
    <w:rsid w:val="2066DC99"/>
    <w:rsid w:val="208BD815"/>
    <w:rsid w:val="20B47DD3"/>
    <w:rsid w:val="20E30A9A"/>
    <w:rsid w:val="20F2C3B9"/>
    <w:rsid w:val="20F525E8"/>
    <w:rsid w:val="2106015D"/>
    <w:rsid w:val="211BB229"/>
    <w:rsid w:val="2128B133"/>
    <w:rsid w:val="212CC451"/>
    <w:rsid w:val="2130656B"/>
    <w:rsid w:val="213092B2"/>
    <w:rsid w:val="214C6A33"/>
    <w:rsid w:val="2185DBCF"/>
    <w:rsid w:val="2193E605"/>
    <w:rsid w:val="21C45B09"/>
    <w:rsid w:val="21E35287"/>
    <w:rsid w:val="21F5B5AD"/>
    <w:rsid w:val="223BA5AA"/>
    <w:rsid w:val="224118A7"/>
    <w:rsid w:val="2251F96F"/>
    <w:rsid w:val="22BBDF03"/>
    <w:rsid w:val="22BD1CD2"/>
    <w:rsid w:val="22EA41EE"/>
    <w:rsid w:val="233C2383"/>
    <w:rsid w:val="2348A561"/>
    <w:rsid w:val="234C2EA1"/>
    <w:rsid w:val="235C4A00"/>
    <w:rsid w:val="23EDC9D0"/>
    <w:rsid w:val="2416A015"/>
    <w:rsid w:val="241E475A"/>
    <w:rsid w:val="2447A876"/>
    <w:rsid w:val="2449BE3A"/>
    <w:rsid w:val="246B5912"/>
    <w:rsid w:val="2494CD79"/>
    <w:rsid w:val="2494D95D"/>
    <w:rsid w:val="24BD4E7F"/>
    <w:rsid w:val="24DF98E8"/>
    <w:rsid w:val="2525614F"/>
    <w:rsid w:val="2528BAE7"/>
    <w:rsid w:val="2547C05D"/>
    <w:rsid w:val="2565A7CA"/>
    <w:rsid w:val="25665F78"/>
    <w:rsid w:val="256E8BD1"/>
    <w:rsid w:val="257A84B1"/>
    <w:rsid w:val="25AB49A5"/>
    <w:rsid w:val="25BF91A0"/>
    <w:rsid w:val="25CAC276"/>
    <w:rsid w:val="25CEFAA7"/>
    <w:rsid w:val="264A272E"/>
    <w:rsid w:val="264B9A9C"/>
    <w:rsid w:val="2660DD85"/>
    <w:rsid w:val="266A28BD"/>
    <w:rsid w:val="2678FACC"/>
    <w:rsid w:val="2692CDD5"/>
    <w:rsid w:val="26AD5475"/>
    <w:rsid w:val="26BC12DA"/>
    <w:rsid w:val="26DC2FF9"/>
    <w:rsid w:val="26E2A198"/>
    <w:rsid w:val="26F087A8"/>
    <w:rsid w:val="26F5336A"/>
    <w:rsid w:val="2721B954"/>
    <w:rsid w:val="273EC15B"/>
    <w:rsid w:val="274431B4"/>
    <w:rsid w:val="274812D8"/>
    <w:rsid w:val="278B7424"/>
    <w:rsid w:val="27B7FD9A"/>
    <w:rsid w:val="27C7BB2F"/>
    <w:rsid w:val="27CEE61B"/>
    <w:rsid w:val="27D328A9"/>
    <w:rsid w:val="27DA3028"/>
    <w:rsid w:val="281E19B6"/>
    <w:rsid w:val="282BDEF7"/>
    <w:rsid w:val="284D0A1D"/>
    <w:rsid w:val="287FD280"/>
    <w:rsid w:val="2889066B"/>
    <w:rsid w:val="288EA440"/>
    <w:rsid w:val="28C2811D"/>
    <w:rsid w:val="28E5C697"/>
    <w:rsid w:val="28F8305E"/>
    <w:rsid w:val="28F8A5EE"/>
    <w:rsid w:val="29334102"/>
    <w:rsid w:val="2948E135"/>
    <w:rsid w:val="297487FC"/>
    <w:rsid w:val="29751DD0"/>
    <w:rsid w:val="298F4EDE"/>
    <w:rsid w:val="29C11444"/>
    <w:rsid w:val="29C3012F"/>
    <w:rsid w:val="29C76A38"/>
    <w:rsid w:val="29DA99FD"/>
    <w:rsid w:val="29DB19EB"/>
    <w:rsid w:val="2A026664"/>
    <w:rsid w:val="2A093E5A"/>
    <w:rsid w:val="2A3EA00E"/>
    <w:rsid w:val="2A6D4B0F"/>
    <w:rsid w:val="2A7A3043"/>
    <w:rsid w:val="2A891646"/>
    <w:rsid w:val="2A8AD4DD"/>
    <w:rsid w:val="2A9AA65C"/>
    <w:rsid w:val="2A9C9D4B"/>
    <w:rsid w:val="2A9E9C1A"/>
    <w:rsid w:val="2A9EED3A"/>
    <w:rsid w:val="2AF25C5A"/>
    <w:rsid w:val="2B04DF68"/>
    <w:rsid w:val="2B0A68C3"/>
    <w:rsid w:val="2B1384DB"/>
    <w:rsid w:val="2B1A0ABB"/>
    <w:rsid w:val="2B275BD8"/>
    <w:rsid w:val="2B599233"/>
    <w:rsid w:val="2B922AB0"/>
    <w:rsid w:val="2B981E8A"/>
    <w:rsid w:val="2B993B23"/>
    <w:rsid w:val="2B9D2C89"/>
    <w:rsid w:val="2BA7535E"/>
    <w:rsid w:val="2BAF570D"/>
    <w:rsid w:val="2BCC5E2F"/>
    <w:rsid w:val="2BE93389"/>
    <w:rsid w:val="2C18E7A6"/>
    <w:rsid w:val="2C27D680"/>
    <w:rsid w:val="2C53391B"/>
    <w:rsid w:val="2CAF92B2"/>
    <w:rsid w:val="2CC63690"/>
    <w:rsid w:val="2CE83986"/>
    <w:rsid w:val="2D12365E"/>
    <w:rsid w:val="2D1E3D00"/>
    <w:rsid w:val="2D2E0908"/>
    <w:rsid w:val="2D337549"/>
    <w:rsid w:val="2D6DCE2E"/>
    <w:rsid w:val="2D6DD232"/>
    <w:rsid w:val="2DC47008"/>
    <w:rsid w:val="2DD320F4"/>
    <w:rsid w:val="2DDB0FA4"/>
    <w:rsid w:val="2DDD1ED6"/>
    <w:rsid w:val="2E3486A9"/>
    <w:rsid w:val="2E51A69D"/>
    <w:rsid w:val="2E56214F"/>
    <w:rsid w:val="2EAB3B9A"/>
    <w:rsid w:val="2EC99B3C"/>
    <w:rsid w:val="2EF1282E"/>
    <w:rsid w:val="2EF87A10"/>
    <w:rsid w:val="2F03C12A"/>
    <w:rsid w:val="2F132E61"/>
    <w:rsid w:val="2F28602F"/>
    <w:rsid w:val="2F4AD8E0"/>
    <w:rsid w:val="2F63DB16"/>
    <w:rsid w:val="2F78A3DF"/>
    <w:rsid w:val="2F8139AE"/>
    <w:rsid w:val="2F876AAD"/>
    <w:rsid w:val="2FD365C0"/>
    <w:rsid w:val="2FD5146C"/>
    <w:rsid w:val="2FD56125"/>
    <w:rsid w:val="2FE086AC"/>
    <w:rsid w:val="2FED80F3"/>
    <w:rsid w:val="2FF3841F"/>
    <w:rsid w:val="30087C3C"/>
    <w:rsid w:val="302B4970"/>
    <w:rsid w:val="309A9CB5"/>
    <w:rsid w:val="309D0557"/>
    <w:rsid w:val="309E2A67"/>
    <w:rsid w:val="30AF21E3"/>
    <w:rsid w:val="30CA55D6"/>
    <w:rsid w:val="3110693A"/>
    <w:rsid w:val="312340D7"/>
    <w:rsid w:val="31454C89"/>
    <w:rsid w:val="31565D65"/>
    <w:rsid w:val="316A5BE3"/>
    <w:rsid w:val="31D6F197"/>
    <w:rsid w:val="3215E1BD"/>
    <w:rsid w:val="32430B17"/>
    <w:rsid w:val="3253E593"/>
    <w:rsid w:val="32748969"/>
    <w:rsid w:val="3293113E"/>
    <w:rsid w:val="32CBF2E6"/>
    <w:rsid w:val="32DE2CEA"/>
    <w:rsid w:val="3317669A"/>
    <w:rsid w:val="3353B94C"/>
    <w:rsid w:val="335E2172"/>
    <w:rsid w:val="338D62D4"/>
    <w:rsid w:val="33BEDF63"/>
    <w:rsid w:val="33F8976B"/>
    <w:rsid w:val="340F7A53"/>
    <w:rsid w:val="34223D0B"/>
    <w:rsid w:val="344809FC"/>
    <w:rsid w:val="344BC3E3"/>
    <w:rsid w:val="345AF391"/>
    <w:rsid w:val="34994F98"/>
    <w:rsid w:val="349B471F"/>
    <w:rsid w:val="349C5F43"/>
    <w:rsid w:val="34A25AD6"/>
    <w:rsid w:val="34B34DAF"/>
    <w:rsid w:val="34B3AD2A"/>
    <w:rsid w:val="34BE416E"/>
    <w:rsid w:val="34C34E5C"/>
    <w:rsid w:val="34DB7442"/>
    <w:rsid w:val="3508E046"/>
    <w:rsid w:val="352D5707"/>
    <w:rsid w:val="352EB304"/>
    <w:rsid w:val="3530C0E7"/>
    <w:rsid w:val="3530D107"/>
    <w:rsid w:val="3537E12A"/>
    <w:rsid w:val="353A1F53"/>
    <w:rsid w:val="354D23C7"/>
    <w:rsid w:val="35557299"/>
    <w:rsid w:val="35559C26"/>
    <w:rsid w:val="356F4AD9"/>
    <w:rsid w:val="35804DDA"/>
    <w:rsid w:val="35A42C30"/>
    <w:rsid w:val="35CADAAF"/>
    <w:rsid w:val="3639625A"/>
    <w:rsid w:val="363ADE91"/>
    <w:rsid w:val="364AB318"/>
    <w:rsid w:val="3658C652"/>
    <w:rsid w:val="366CBCD9"/>
    <w:rsid w:val="368203A1"/>
    <w:rsid w:val="368F9022"/>
    <w:rsid w:val="36D595EC"/>
    <w:rsid w:val="36DF2CA8"/>
    <w:rsid w:val="36EACC03"/>
    <w:rsid w:val="3721BD31"/>
    <w:rsid w:val="373CA159"/>
    <w:rsid w:val="37668261"/>
    <w:rsid w:val="3802EF2D"/>
    <w:rsid w:val="380B603A"/>
    <w:rsid w:val="381588C8"/>
    <w:rsid w:val="3821B4B3"/>
    <w:rsid w:val="383EF10B"/>
    <w:rsid w:val="3849237D"/>
    <w:rsid w:val="385796F3"/>
    <w:rsid w:val="3870C749"/>
    <w:rsid w:val="38734525"/>
    <w:rsid w:val="38E38F4A"/>
    <w:rsid w:val="38EA4F9C"/>
    <w:rsid w:val="38F6FF00"/>
    <w:rsid w:val="391A0FFF"/>
    <w:rsid w:val="3923E2BC"/>
    <w:rsid w:val="393A9157"/>
    <w:rsid w:val="396113F2"/>
    <w:rsid w:val="396FD02D"/>
    <w:rsid w:val="39876CF8"/>
    <w:rsid w:val="39A14CAE"/>
    <w:rsid w:val="39B2F04C"/>
    <w:rsid w:val="3A0441ED"/>
    <w:rsid w:val="3A308556"/>
    <w:rsid w:val="3A595DF3"/>
    <w:rsid w:val="3A6C06D4"/>
    <w:rsid w:val="3A7700DC"/>
    <w:rsid w:val="3A7B1CA4"/>
    <w:rsid w:val="3ABABF2B"/>
    <w:rsid w:val="3AC26AF6"/>
    <w:rsid w:val="3AE377B5"/>
    <w:rsid w:val="3AF6C968"/>
    <w:rsid w:val="3B006337"/>
    <w:rsid w:val="3B086D0E"/>
    <w:rsid w:val="3B5866AA"/>
    <w:rsid w:val="3B5B186E"/>
    <w:rsid w:val="3B8E6816"/>
    <w:rsid w:val="3BA5AA9A"/>
    <w:rsid w:val="3BD47345"/>
    <w:rsid w:val="3BD971E4"/>
    <w:rsid w:val="3BDA9B06"/>
    <w:rsid w:val="3BE92448"/>
    <w:rsid w:val="3BF44A73"/>
    <w:rsid w:val="3C09E2B0"/>
    <w:rsid w:val="3C0B47D6"/>
    <w:rsid w:val="3C290166"/>
    <w:rsid w:val="3C2FC1F7"/>
    <w:rsid w:val="3C5BEE1C"/>
    <w:rsid w:val="3C6A9215"/>
    <w:rsid w:val="3C730AF2"/>
    <w:rsid w:val="3C94E461"/>
    <w:rsid w:val="3CA8D539"/>
    <w:rsid w:val="3CE68451"/>
    <w:rsid w:val="3D2FA61F"/>
    <w:rsid w:val="3D30B9B8"/>
    <w:rsid w:val="3D4112CC"/>
    <w:rsid w:val="3D4C5EAE"/>
    <w:rsid w:val="3D57753A"/>
    <w:rsid w:val="3D71F0F5"/>
    <w:rsid w:val="3D7A244D"/>
    <w:rsid w:val="3D7C3197"/>
    <w:rsid w:val="3D8C1219"/>
    <w:rsid w:val="3D8D7786"/>
    <w:rsid w:val="3DB19841"/>
    <w:rsid w:val="3DBADC16"/>
    <w:rsid w:val="3DFA5B34"/>
    <w:rsid w:val="3E7F6C47"/>
    <w:rsid w:val="3E8283BB"/>
    <w:rsid w:val="3E9DEA05"/>
    <w:rsid w:val="3EBEAC9D"/>
    <w:rsid w:val="3ED2B6A6"/>
    <w:rsid w:val="3EF951FF"/>
    <w:rsid w:val="3F16B0EF"/>
    <w:rsid w:val="3F200E1A"/>
    <w:rsid w:val="3F33269E"/>
    <w:rsid w:val="3F33C8A1"/>
    <w:rsid w:val="3F3B5627"/>
    <w:rsid w:val="3F541A04"/>
    <w:rsid w:val="3F6CA1CF"/>
    <w:rsid w:val="3F98E5EE"/>
    <w:rsid w:val="3FEF4932"/>
    <w:rsid w:val="40011A8A"/>
    <w:rsid w:val="400A349F"/>
    <w:rsid w:val="4021502E"/>
    <w:rsid w:val="40391B24"/>
    <w:rsid w:val="4052FC99"/>
    <w:rsid w:val="4055282E"/>
    <w:rsid w:val="4079FE1C"/>
    <w:rsid w:val="4080750D"/>
    <w:rsid w:val="40ADDADF"/>
    <w:rsid w:val="40B89816"/>
    <w:rsid w:val="410AFC18"/>
    <w:rsid w:val="41537FD5"/>
    <w:rsid w:val="41989598"/>
    <w:rsid w:val="41A0D938"/>
    <w:rsid w:val="41A59311"/>
    <w:rsid w:val="41AE07B9"/>
    <w:rsid w:val="41E3EE4D"/>
    <w:rsid w:val="41FCFAA4"/>
    <w:rsid w:val="4212B93B"/>
    <w:rsid w:val="422373C5"/>
    <w:rsid w:val="423529DB"/>
    <w:rsid w:val="426C1B33"/>
    <w:rsid w:val="428D4F64"/>
    <w:rsid w:val="42A285A1"/>
    <w:rsid w:val="42DE1FF4"/>
    <w:rsid w:val="42EA7860"/>
    <w:rsid w:val="43177326"/>
    <w:rsid w:val="43266D1B"/>
    <w:rsid w:val="434B376C"/>
    <w:rsid w:val="4365F191"/>
    <w:rsid w:val="437D90AF"/>
    <w:rsid w:val="438EA820"/>
    <w:rsid w:val="43A139DC"/>
    <w:rsid w:val="43A94B60"/>
    <w:rsid w:val="43D591D1"/>
    <w:rsid w:val="43D60B79"/>
    <w:rsid w:val="43DCB81A"/>
    <w:rsid w:val="43EF0C39"/>
    <w:rsid w:val="43F8A22E"/>
    <w:rsid w:val="44094E7E"/>
    <w:rsid w:val="443CC20C"/>
    <w:rsid w:val="445B0006"/>
    <w:rsid w:val="445E5749"/>
    <w:rsid w:val="44618087"/>
    <w:rsid w:val="44912A5C"/>
    <w:rsid w:val="44A52EE5"/>
    <w:rsid w:val="44AE2C3E"/>
    <w:rsid w:val="44B21F73"/>
    <w:rsid w:val="44C55A59"/>
    <w:rsid w:val="44CBEBC2"/>
    <w:rsid w:val="44CE4ABC"/>
    <w:rsid w:val="44E4D245"/>
    <w:rsid w:val="4514981C"/>
    <w:rsid w:val="4519D6B8"/>
    <w:rsid w:val="45542F20"/>
    <w:rsid w:val="4576E06C"/>
    <w:rsid w:val="45EDD488"/>
    <w:rsid w:val="45F2EDC7"/>
    <w:rsid w:val="462FBF30"/>
    <w:rsid w:val="4631444C"/>
    <w:rsid w:val="4632F75D"/>
    <w:rsid w:val="46405DD2"/>
    <w:rsid w:val="4640FD47"/>
    <w:rsid w:val="4646AEB9"/>
    <w:rsid w:val="464C0B8E"/>
    <w:rsid w:val="4654B9B4"/>
    <w:rsid w:val="4657693C"/>
    <w:rsid w:val="4662F1D7"/>
    <w:rsid w:val="467AE879"/>
    <w:rsid w:val="4682D15F"/>
    <w:rsid w:val="46D97C53"/>
    <w:rsid w:val="46F66391"/>
    <w:rsid w:val="47210A54"/>
    <w:rsid w:val="47840AB4"/>
    <w:rsid w:val="478839EA"/>
    <w:rsid w:val="478FCD85"/>
    <w:rsid w:val="47941295"/>
    <w:rsid w:val="47BA55DC"/>
    <w:rsid w:val="47CB8F91"/>
    <w:rsid w:val="47E7DBEF"/>
    <w:rsid w:val="47F3B323"/>
    <w:rsid w:val="47FD36EC"/>
    <w:rsid w:val="482EA382"/>
    <w:rsid w:val="483F6E7B"/>
    <w:rsid w:val="4840BF80"/>
    <w:rsid w:val="48561C14"/>
    <w:rsid w:val="4862A3B9"/>
    <w:rsid w:val="4870691E"/>
    <w:rsid w:val="487687D0"/>
    <w:rsid w:val="4876E23B"/>
    <w:rsid w:val="48BDAF80"/>
    <w:rsid w:val="48D291B2"/>
    <w:rsid w:val="48D3B15C"/>
    <w:rsid w:val="48D4605A"/>
    <w:rsid w:val="48DA09FC"/>
    <w:rsid w:val="48E65A7D"/>
    <w:rsid w:val="48E9EA88"/>
    <w:rsid w:val="48EC0F49"/>
    <w:rsid w:val="48F6136F"/>
    <w:rsid w:val="48F88BA8"/>
    <w:rsid w:val="493AADF1"/>
    <w:rsid w:val="49605296"/>
    <w:rsid w:val="4970017D"/>
    <w:rsid w:val="4983AC50"/>
    <w:rsid w:val="499DE0B9"/>
    <w:rsid w:val="49B18D9A"/>
    <w:rsid w:val="49DB3628"/>
    <w:rsid w:val="49DCC103"/>
    <w:rsid w:val="49F3BA55"/>
    <w:rsid w:val="4A0A4A96"/>
    <w:rsid w:val="4A0AB8BF"/>
    <w:rsid w:val="4A147713"/>
    <w:rsid w:val="4A5A022D"/>
    <w:rsid w:val="4A8C596A"/>
    <w:rsid w:val="4A8E374C"/>
    <w:rsid w:val="4AA9FBDD"/>
    <w:rsid w:val="4AB60B82"/>
    <w:rsid w:val="4ABC3473"/>
    <w:rsid w:val="4ACE2524"/>
    <w:rsid w:val="4AD127E6"/>
    <w:rsid w:val="4AD61ED5"/>
    <w:rsid w:val="4AF9F487"/>
    <w:rsid w:val="4AFFFA3E"/>
    <w:rsid w:val="4B0530F5"/>
    <w:rsid w:val="4B1F7CB1"/>
    <w:rsid w:val="4B210998"/>
    <w:rsid w:val="4B21761D"/>
    <w:rsid w:val="4B57A890"/>
    <w:rsid w:val="4B6529A6"/>
    <w:rsid w:val="4B79D2C4"/>
    <w:rsid w:val="4B9F79A3"/>
    <w:rsid w:val="4BAFEACB"/>
    <w:rsid w:val="4BC5ED42"/>
    <w:rsid w:val="4BD98B1A"/>
    <w:rsid w:val="4BDAB596"/>
    <w:rsid w:val="4BDF61AA"/>
    <w:rsid w:val="4BFC977D"/>
    <w:rsid w:val="4C035FF9"/>
    <w:rsid w:val="4C1DD415"/>
    <w:rsid w:val="4C85062D"/>
    <w:rsid w:val="4C8D6E56"/>
    <w:rsid w:val="4CAEC742"/>
    <w:rsid w:val="4CCDBD11"/>
    <w:rsid w:val="4CF0A693"/>
    <w:rsid w:val="4D00A385"/>
    <w:rsid w:val="4D099E37"/>
    <w:rsid w:val="4D7BCA8F"/>
    <w:rsid w:val="4D9331DD"/>
    <w:rsid w:val="4DA03E91"/>
    <w:rsid w:val="4DA62B8C"/>
    <w:rsid w:val="4DD32DA0"/>
    <w:rsid w:val="4DE6FFA3"/>
    <w:rsid w:val="4DF3D535"/>
    <w:rsid w:val="4E02AF56"/>
    <w:rsid w:val="4E303387"/>
    <w:rsid w:val="4E4E64FE"/>
    <w:rsid w:val="4E509DF7"/>
    <w:rsid w:val="4E59CCEE"/>
    <w:rsid w:val="4E6D3FBF"/>
    <w:rsid w:val="4E8538A6"/>
    <w:rsid w:val="4E8A3C21"/>
    <w:rsid w:val="4EB9C067"/>
    <w:rsid w:val="4EC9434F"/>
    <w:rsid w:val="4ECC8087"/>
    <w:rsid w:val="4EDB1FB1"/>
    <w:rsid w:val="4EDFCD3F"/>
    <w:rsid w:val="4EE9393B"/>
    <w:rsid w:val="4EF2AF9B"/>
    <w:rsid w:val="4EFFEB2F"/>
    <w:rsid w:val="4F37F866"/>
    <w:rsid w:val="4F38BA48"/>
    <w:rsid w:val="4F3A2C0B"/>
    <w:rsid w:val="4F587332"/>
    <w:rsid w:val="4F812F5D"/>
    <w:rsid w:val="4FC51E15"/>
    <w:rsid w:val="4FE76042"/>
    <w:rsid w:val="4FE9C3FE"/>
    <w:rsid w:val="4FF55AC5"/>
    <w:rsid w:val="5020F2C2"/>
    <w:rsid w:val="502AD435"/>
    <w:rsid w:val="508C6BB1"/>
    <w:rsid w:val="509CE098"/>
    <w:rsid w:val="50C61090"/>
    <w:rsid w:val="50D329C5"/>
    <w:rsid w:val="50FF0FD8"/>
    <w:rsid w:val="5103A140"/>
    <w:rsid w:val="51086A10"/>
    <w:rsid w:val="51591F37"/>
    <w:rsid w:val="519C6352"/>
    <w:rsid w:val="51DA1453"/>
    <w:rsid w:val="51FFA0CC"/>
    <w:rsid w:val="521BC2AD"/>
    <w:rsid w:val="52828128"/>
    <w:rsid w:val="52B66507"/>
    <w:rsid w:val="5305F4C5"/>
    <w:rsid w:val="530D9199"/>
    <w:rsid w:val="534B7309"/>
    <w:rsid w:val="535854B9"/>
    <w:rsid w:val="5383BEF8"/>
    <w:rsid w:val="53E10ED2"/>
    <w:rsid w:val="541C429A"/>
    <w:rsid w:val="544857D8"/>
    <w:rsid w:val="54492928"/>
    <w:rsid w:val="5464A11C"/>
    <w:rsid w:val="547B0010"/>
    <w:rsid w:val="54B3FD34"/>
    <w:rsid w:val="54C99F18"/>
    <w:rsid w:val="54CB39E4"/>
    <w:rsid w:val="54CCB6B7"/>
    <w:rsid w:val="54F4251A"/>
    <w:rsid w:val="55289795"/>
    <w:rsid w:val="55413B95"/>
    <w:rsid w:val="557A63E9"/>
    <w:rsid w:val="558A0E3A"/>
    <w:rsid w:val="55AA31A8"/>
    <w:rsid w:val="55B3092A"/>
    <w:rsid w:val="55C289BB"/>
    <w:rsid w:val="55C7BD65"/>
    <w:rsid w:val="55C7C1ED"/>
    <w:rsid w:val="55D17988"/>
    <w:rsid w:val="55FEE71A"/>
    <w:rsid w:val="560AB553"/>
    <w:rsid w:val="560D6504"/>
    <w:rsid w:val="5616E667"/>
    <w:rsid w:val="564BB548"/>
    <w:rsid w:val="56AE0D11"/>
    <w:rsid w:val="56EA1D79"/>
    <w:rsid w:val="56FB1F3F"/>
    <w:rsid w:val="56FF215A"/>
    <w:rsid w:val="572051A3"/>
    <w:rsid w:val="579FF70B"/>
    <w:rsid w:val="57C2F4C6"/>
    <w:rsid w:val="57DEE464"/>
    <w:rsid w:val="57E0C6A6"/>
    <w:rsid w:val="57FEF55B"/>
    <w:rsid w:val="580EA53B"/>
    <w:rsid w:val="58557033"/>
    <w:rsid w:val="586AFBFC"/>
    <w:rsid w:val="589AF105"/>
    <w:rsid w:val="589D2573"/>
    <w:rsid w:val="58C61348"/>
    <w:rsid w:val="58D7A802"/>
    <w:rsid w:val="58E16711"/>
    <w:rsid w:val="58F2ABCE"/>
    <w:rsid w:val="58F53790"/>
    <w:rsid w:val="5904D825"/>
    <w:rsid w:val="5920AC85"/>
    <w:rsid w:val="59340472"/>
    <w:rsid w:val="594F75F2"/>
    <w:rsid w:val="5963114A"/>
    <w:rsid w:val="59972777"/>
    <w:rsid w:val="599BD944"/>
    <w:rsid w:val="59A9DB45"/>
    <w:rsid w:val="59AD0F8E"/>
    <w:rsid w:val="59AF191E"/>
    <w:rsid w:val="59F6882E"/>
    <w:rsid w:val="59FFB938"/>
    <w:rsid w:val="5A30B6EE"/>
    <w:rsid w:val="5A391F30"/>
    <w:rsid w:val="5A3C5220"/>
    <w:rsid w:val="5A5224AC"/>
    <w:rsid w:val="5A6E90CF"/>
    <w:rsid w:val="5A7F1CF5"/>
    <w:rsid w:val="5A825655"/>
    <w:rsid w:val="5A8BB026"/>
    <w:rsid w:val="5AAB6BB3"/>
    <w:rsid w:val="5AEDD420"/>
    <w:rsid w:val="5B57559E"/>
    <w:rsid w:val="5B75A59F"/>
    <w:rsid w:val="5B8F2B69"/>
    <w:rsid w:val="5BC8F68D"/>
    <w:rsid w:val="5BDD6483"/>
    <w:rsid w:val="5BDD6522"/>
    <w:rsid w:val="5C0DE256"/>
    <w:rsid w:val="5C1B98BF"/>
    <w:rsid w:val="5C7FCCD5"/>
    <w:rsid w:val="5C806B51"/>
    <w:rsid w:val="5C8D7344"/>
    <w:rsid w:val="5CA71E67"/>
    <w:rsid w:val="5CAF6186"/>
    <w:rsid w:val="5CBF5DFD"/>
    <w:rsid w:val="5CC45188"/>
    <w:rsid w:val="5CCADDD3"/>
    <w:rsid w:val="5CCB93B3"/>
    <w:rsid w:val="5CCEF037"/>
    <w:rsid w:val="5CF10842"/>
    <w:rsid w:val="5CF5F6E4"/>
    <w:rsid w:val="5D58F192"/>
    <w:rsid w:val="5D58F20F"/>
    <w:rsid w:val="5D75E781"/>
    <w:rsid w:val="5D940204"/>
    <w:rsid w:val="5DA87E7B"/>
    <w:rsid w:val="5E153155"/>
    <w:rsid w:val="5E1588AF"/>
    <w:rsid w:val="5E75F1EB"/>
    <w:rsid w:val="5EA8778A"/>
    <w:rsid w:val="5EB3A57B"/>
    <w:rsid w:val="5EC0F55E"/>
    <w:rsid w:val="5EC916FF"/>
    <w:rsid w:val="5ECB76BE"/>
    <w:rsid w:val="5EDD4E84"/>
    <w:rsid w:val="5EDE0CF9"/>
    <w:rsid w:val="5EF00A2D"/>
    <w:rsid w:val="5F03C80E"/>
    <w:rsid w:val="5F0DFA64"/>
    <w:rsid w:val="5F12A07E"/>
    <w:rsid w:val="5F1D4F8C"/>
    <w:rsid w:val="5F539CA9"/>
    <w:rsid w:val="5F63D9D0"/>
    <w:rsid w:val="5F750C26"/>
    <w:rsid w:val="5F778061"/>
    <w:rsid w:val="5F905115"/>
    <w:rsid w:val="5F9F3491"/>
    <w:rsid w:val="5FA6A25B"/>
    <w:rsid w:val="5FCD9B81"/>
    <w:rsid w:val="5FD13874"/>
    <w:rsid w:val="5FE0D387"/>
    <w:rsid w:val="5FE35D75"/>
    <w:rsid w:val="60132A30"/>
    <w:rsid w:val="6051A852"/>
    <w:rsid w:val="605AFDEF"/>
    <w:rsid w:val="60B3EC2B"/>
    <w:rsid w:val="60C44048"/>
    <w:rsid w:val="60CE927D"/>
    <w:rsid w:val="60EF09E2"/>
    <w:rsid w:val="60FE47FF"/>
    <w:rsid w:val="6100736D"/>
    <w:rsid w:val="610C7680"/>
    <w:rsid w:val="614C50D1"/>
    <w:rsid w:val="615F0558"/>
    <w:rsid w:val="61617B80"/>
    <w:rsid w:val="617D91FD"/>
    <w:rsid w:val="61849AB4"/>
    <w:rsid w:val="6185E366"/>
    <w:rsid w:val="61A36A63"/>
    <w:rsid w:val="61A3AE6F"/>
    <w:rsid w:val="61B1CF24"/>
    <w:rsid w:val="61C40FC5"/>
    <w:rsid w:val="61C8EB47"/>
    <w:rsid w:val="61EFE2CA"/>
    <w:rsid w:val="61FDC04E"/>
    <w:rsid w:val="620DFF0E"/>
    <w:rsid w:val="623052B8"/>
    <w:rsid w:val="6244577B"/>
    <w:rsid w:val="624FBC8C"/>
    <w:rsid w:val="625FFBE3"/>
    <w:rsid w:val="62658898"/>
    <w:rsid w:val="6272650B"/>
    <w:rsid w:val="627C3DED"/>
    <w:rsid w:val="628AB765"/>
    <w:rsid w:val="62B964F7"/>
    <w:rsid w:val="62BB9A9E"/>
    <w:rsid w:val="62C1D936"/>
    <w:rsid w:val="63062550"/>
    <w:rsid w:val="630C813F"/>
    <w:rsid w:val="63132B2B"/>
    <w:rsid w:val="6335DD5F"/>
    <w:rsid w:val="63555026"/>
    <w:rsid w:val="6359499B"/>
    <w:rsid w:val="6378C0C9"/>
    <w:rsid w:val="637B141D"/>
    <w:rsid w:val="6397C49A"/>
    <w:rsid w:val="63981801"/>
    <w:rsid w:val="63A58EB5"/>
    <w:rsid w:val="63B01D3D"/>
    <w:rsid w:val="63EF91C7"/>
    <w:rsid w:val="63FF0098"/>
    <w:rsid w:val="640961CA"/>
    <w:rsid w:val="6411E2DA"/>
    <w:rsid w:val="642A0B46"/>
    <w:rsid w:val="64680032"/>
    <w:rsid w:val="64B26D35"/>
    <w:rsid w:val="64CB8CC4"/>
    <w:rsid w:val="64FB9FBD"/>
    <w:rsid w:val="651D32FF"/>
    <w:rsid w:val="65246725"/>
    <w:rsid w:val="65480ED1"/>
    <w:rsid w:val="656622FC"/>
    <w:rsid w:val="656C1FAA"/>
    <w:rsid w:val="65777164"/>
    <w:rsid w:val="65B2AE46"/>
    <w:rsid w:val="65B38C43"/>
    <w:rsid w:val="65B71D57"/>
    <w:rsid w:val="65C08B17"/>
    <w:rsid w:val="65C5A4CB"/>
    <w:rsid w:val="65FC9378"/>
    <w:rsid w:val="66119598"/>
    <w:rsid w:val="662B9E2D"/>
    <w:rsid w:val="66428026"/>
    <w:rsid w:val="6648C65A"/>
    <w:rsid w:val="66539972"/>
    <w:rsid w:val="665BB298"/>
    <w:rsid w:val="665ED585"/>
    <w:rsid w:val="66656AB2"/>
    <w:rsid w:val="666C0B0D"/>
    <w:rsid w:val="666FF472"/>
    <w:rsid w:val="667647CD"/>
    <w:rsid w:val="66CB74DB"/>
    <w:rsid w:val="66DFFB80"/>
    <w:rsid w:val="66E191B5"/>
    <w:rsid w:val="66FDD785"/>
    <w:rsid w:val="66FE7617"/>
    <w:rsid w:val="670B385F"/>
    <w:rsid w:val="675DE91D"/>
    <w:rsid w:val="676CB9E2"/>
    <w:rsid w:val="67907CD6"/>
    <w:rsid w:val="67BEE27E"/>
    <w:rsid w:val="67E55815"/>
    <w:rsid w:val="67F4596B"/>
    <w:rsid w:val="67FC49E6"/>
    <w:rsid w:val="680E50C8"/>
    <w:rsid w:val="6812AFF9"/>
    <w:rsid w:val="68399921"/>
    <w:rsid w:val="6842AAA1"/>
    <w:rsid w:val="68A82CA5"/>
    <w:rsid w:val="68B00E69"/>
    <w:rsid w:val="68FCE0AC"/>
    <w:rsid w:val="692107E6"/>
    <w:rsid w:val="692CBC01"/>
    <w:rsid w:val="69812876"/>
    <w:rsid w:val="69872F14"/>
    <w:rsid w:val="699C555D"/>
    <w:rsid w:val="699F919B"/>
    <w:rsid w:val="69D9FBE8"/>
    <w:rsid w:val="69EBC884"/>
    <w:rsid w:val="6A214A3C"/>
    <w:rsid w:val="6A4E4F55"/>
    <w:rsid w:val="6A66DC26"/>
    <w:rsid w:val="6A6C4EB3"/>
    <w:rsid w:val="6AA6468D"/>
    <w:rsid w:val="6AAE8EBF"/>
    <w:rsid w:val="6ABF96CE"/>
    <w:rsid w:val="6AC87D67"/>
    <w:rsid w:val="6ADAA2A1"/>
    <w:rsid w:val="6AFBA82E"/>
    <w:rsid w:val="6B01ED04"/>
    <w:rsid w:val="6B05E223"/>
    <w:rsid w:val="6B4857D9"/>
    <w:rsid w:val="6B4D8178"/>
    <w:rsid w:val="6B54B929"/>
    <w:rsid w:val="6B9A7304"/>
    <w:rsid w:val="6B9E4EEB"/>
    <w:rsid w:val="6BA17E63"/>
    <w:rsid w:val="6BC3169D"/>
    <w:rsid w:val="6BD37E0B"/>
    <w:rsid w:val="6BD7420D"/>
    <w:rsid w:val="6C1C07D0"/>
    <w:rsid w:val="6C33FC58"/>
    <w:rsid w:val="6C47263F"/>
    <w:rsid w:val="6C5C8C8A"/>
    <w:rsid w:val="6C7F4986"/>
    <w:rsid w:val="6CBBE502"/>
    <w:rsid w:val="6CF98A14"/>
    <w:rsid w:val="6D0C571F"/>
    <w:rsid w:val="6D3F5ECD"/>
    <w:rsid w:val="6D534B21"/>
    <w:rsid w:val="6D5BCB82"/>
    <w:rsid w:val="6D79D5A7"/>
    <w:rsid w:val="6D805245"/>
    <w:rsid w:val="6D8B367D"/>
    <w:rsid w:val="6DA962E9"/>
    <w:rsid w:val="6DC68236"/>
    <w:rsid w:val="6DE0E944"/>
    <w:rsid w:val="6E135386"/>
    <w:rsid w:val="6E1B44BC"/>
    <w:rsid w:val="6E55FFFD"/>
    <w:rsid w:val="6E722A30"/>
    <w:rsid w:val="6E8D0FAD"/>
    <w:rsid w:val="6EA49DEA"/>
    <w:rsid w:val="6ECDE0CC"/>
    <w:rsid w:val="6EE73C34"/>
    <w:rsid w:val="6F19C6CF"/>
    <w:rsid w:val="6F34ADED"/>
    <w:rsid w:val="6F3B62CA"/>
    <w:rsid w:val="6F58F50D"/>
    <w:rsid w:val="6F73168B"/>
    <w:rsid w:val="6F82E269"/>
    <w:rsid w:val="6F96DD84"/>
    <w:rsid w:val="6FD05D38"/>
    <w:rsid w:val="6FE92855"/>
    <w:rsid w:val="70357AD3"/>
    <w:rsid w:val="704FEC24"/>
    <w:rsid w:val="7051A492"/>
    <w:rsid w:val="70B203A3"/>
    <w:rsid w:val="70B25030"/>
    <w:rsid w:val="70B88C8C"/>
    <w:rsid w:val="70BFF488"/>
    <w:rsid w:val="70C5802E"/>
    <w:rsid w:val="70D0C3F3"/>
    <w:rsid w:val="70F23129"/>
    <w:rsid w:val="70F5F48F"/>
    <w:rsid w:val="70FB0B04"/>
    <w:rsid w:val="70FB5ED9"/>
    <w:rsid w:val="711D6659"/>
    <w:rsid w:val="71396ABA"/>
    <w:rsid w:val="713EFEA2"/>
    <w:rsid w:val="7144FBFA"/>
    <w:rsid w:val="715D8AE6"/>
    <w:rsid w:val="7164020D"/>
    <w:rsid w:val="7168C5B7"/>
    <w:rsid w:val="71BBE853"/>
    <w:rsid w:val="71CDFECF"/>
    <w:rsid w:val="71D46A94"/>
    <w:rsid w:val="71D4D0F5"/>
    <w:rsid w:val="71D5E793"/>
    <w:rsid w:val="71D79115"/>
    <w:rsid w:val="7202A44A"/>
    <w:rsid w:val="72273677"/>
    <w:rsid w:val="72280D2F"/>
    <w:rsid w:val="724724AE"/>
    <w:rsid w:val="7248A3EF"/>
    <w:rsid w:val="7256D9D1"/>
    <w:rsid w:val="72949E4E"/>
    <w:rsid w:val="72B09222"/>
    <w:rsid w:val="72CD4DBF"/>
    <w:rsid w:val="72E414BE"/>
    <w:rsid w:val="72EDDE4C"/>
    <w:rsid w:val="7313CB0F"/>
    <w:rsid w:val="7320BE23"/>
    <w:rsid w:val="732B448F"/>
    <w:rsid w:val="732F9977"/>
    <w:rsid w:val="736821D4"/>
    <w:rsid w:val="7375D8E6"/>
    <w:rsid w:val="738A9CCB"/>
    <w:rsid w:val="738ADF6F"/>
    <w:rsid w:val="7393F8A8"/>
    <w:rsid w:val="739BB6C7"/>
    <w:rsid w:val="73CE2882"/>
    <w:rsid w:val="741BCDAF"/>
    <w:rsid w:val="742A8712"/>
    <w:rsid w:val="742C46BC"/>
    <w:rsid w:val="7450330B"/>
    <w:rsid w:val="745E87C1"/>
    <w:rsid w:val="745FBAE1"/>
    <w:rsid w:val="746D9626"/>
    <w:rsid w:val="747E9E2F"/>
    <w:rsid w:val="7491C5C7"/>
    <w:rsid w:val="749FC860"/>
    <w:rsid w:val="74D62735"/>
    <w:rsid w:val="74DB9DDF"/>
    <w:rsid w:val="74FF139C"/>
    <w:rsid w:val="75029823"/>
    <w:rsid w:val="7503303D"/>
    <w:rsid w:val="7544D640"/>
    <w:rsid w:val="7545E530"/>
    <w:rsid w:val="7559EBEC"/>
    <w:rsid w:val="75750FE2"/>
    <w:rsid w:val="75814884"/>
    <w:rsid w:val="7599FE16"/>
    <w:rsid w:val="75AC29B9"/>
    <w:rsid w:val="75CFFEF1"/>
    <w:rsid w:val="75E4B3E9"/>
    <w:rsid w:val="760873DE"/>
    <w:rsid w:val="76122B62"/>
    <w:rsid w:val="762158ED"/>
    <w:rsid w:val="76324D39"/>
    <w:rsid w:val="76422C15"/>
    <w:rsid w:val="76548EFC"/>
    <w:rsid w:val="7658A6E9"/>
    <w:rsid w:val="766AB48B"/>
    <w:rsid w:val="7692FEF2"/>
    <w:rsid w:val="769C5A5D"/>
    <w:rsid w:val="76AA2D24"/>
    <w:rsid w:val="76CD705C"/>
    <w:rsid w:val="76EE2F28"/>
    <w:rsid w:val="772805A6"/>
    <w:rsid w:val="7732B012"/>
    <w:rsid w:val="773CC797"/>
    <w:rsid w:val="77633459"/>
    <w:rsid w:val="7770B900"/>
    <w:rsid w:val="779EFEE4"/>
    <w:rsid w:val="77B6DD83"/>
    <w:rsid w:val="77CF5294"/>
    <w:rsid w:val="77D0DDB1"/>
    <w:rsid w:val="77E7FE60"/>
    <w:rsid w:val="781141F1"/>
    <w:rsid w:val="785F2F3F"/>
    <w:rsid w:val="788AEFA8"/>
    <w:rsid w:val="78A25214"/>
    <w:rsid w:val="78E10939"/>
    <w:rsid w:val="78FF9FFB"/>
    <w:rsid w:val="794003CD"/>
    <w:rsid w:val="7960F322"/>
    <w:rsid w:val="797069C0"/>
    <w:rsid w:val="7970E96E"/>
    <w:rsid w:val="79838FDE"/>
    <w:rsid w:val="798EF6BB"/>
    <w:rsid w:val="7995A71F"/>
    <w:rsid w:val="79CBD1A6"/>
    <w:rsid w:val="79D264EF"/>
    <w:rsid w:val="79D4A118"/>
    <w:rsid w:val="79D72AC4"/>
    <w:rsid w:val="79DBDFAA"/>
    <w:rsid w:val="79DC8879"/>
    <w:rsid w:val="79DF427D"/>
    <w:rsid w:val="7A1E3F14"/>
    <w:rsid w:val="7A431D10"/>
    <w:rsid w:val="7A6A50D4"/>
    <w:rsid w:val="7A8CFABB"/>
    <w:rsid w:val="7AB374B2"/>
    <w:rsid w:val="7AE7380F"/>
    <w:rsid w:val="7AEBF10A"/>
    <w:rsid w:val="7B04DEA6"/>
    <w:rsid w:val="7B2C0E81"/>
    <w:rsid w:val="7BBCE150"/>
    <w:rsid w:val="7BBCFE20"/>
    <w:rsid w:val="7BDB05F8"/>
    <w:rsid w:val="7BF1B7BF"/>
    <w:rsid w:val="7C146D66"/>
    <w:rsid w:val="7C91F049"/>
    <w:rsid w:val="7C92A279"/>
    <w:rsid w:val="7C942C54"/>
    <w:rsid w:val="7D0A72C7"/>
    <w:rsid w:val="7D11B20B"/>
    <w:rsid w:val="7D1A43BC"/>
    <w:rsid w:val="7D3C75DF"/>
    <w:rsid w:val="7D548D58"/>
    <w:rsid w:val="7D7F5483"/>
    <w:rsid w:val="7DB14219"/>
    <w:rsid w:val="7DCEBEF0"/>
    <w:rsid w:val="7DD9C110"/>
    <w:rsid w:val="7DE76099"/>
    <w:rsid w:val="7E0C52C7"/>
    <w:rsid w:val="7E0DD751"/>
    <w:rsid w:val="7E9BDA92"/>
    <w:rsid w:val="7EB4ED10"/>
    <w:rsid w:val="7EC19A98"/>
    <w:rsid w:val="7ECD5027"/>
    <w:rsid w:val="7F1D0158"/>
    <w:rsid w:val="7F3D65F6"/>
    <w:rsid w:val="7FA58F11"/>
    <w:rsid w:val="7FDB7BB3"/>
    <w:rsid w:val="7FE631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29668"/>
  <w15:chartTrackingRefBased/>
  <w15:docId w15:val="{16044078-D88D-4BE8-9EF2-A1E8DDCE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58"/>
    <w:pPr>
      <w:spacing w:after="200" w:line="276" w:lineRule="auto"/>
    </w:pPr>
    <w:rPr>
      <w:rFonts w:ascii="Times New Roman" w:eastAsia="Calibri" w:hAnsi="Times New Roman" w:cs="Times New Roman"/>
    </w:rPr>
  </w:style>
  <w:style w:type="paragraph" w:styleId="Ttulo1">
    <w:name w:val="heading 1"/>
    <w:basedOn w:val="Normal"/>
    <w:next w:val="Normal"/>
    <w:link w:val="Ttulo1Char"/>
    <w:qFormat/>
    <w:rsid w:val="00893D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nhideWhenUsed/>
    <w:qFormat/>
    <w:rsid w:val="00893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893D49"/>
    <w:pPr>
      <w:keepNext/>
      <w:spacing w:before="240" w:after="60" w:line="240" w:lineRule="auto"/>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semiHidden/>
    <w:unhideWhenUsed/>
    <w:qFormat/>
    <w:rsid w:val="00893D49"/>
    <w:pPr>
      <w:keepNext/>
      <w:tabs>
        <w:tab w:val="num" w:pos="864"/>
      </w:tabs>
      <w:suppressAutoHyphens/>
      <w:spacing w:after="0" w:line="240" w:lineRule="auto"/>
      <w:ind w:left="284" w:hanging="284"/>
      <w:outlineLvl w:val="3"/>
    </w:pPr>
    <w:rPr>
      <w:rFonts w:eastAsia="Times New Roman"/>
      <w:smallCaps/>
      <w:sz w:val="24"/>
      <w:szCs w:val="20"/>
      <w:lang w:eastAsia="ar-SA"/>
    </w:rPr>
  </w:style>
  <w:style w:type="paragraph" w:styleId="Ttulo5">
    <w:name w:val="heading 5"/>
    <w:basedOn w:val="Normal"/>
    <w:next w:val="Normal"/>
    <w:link w:val="Ttulo5Char"/>
    <w:uiPriority w:val="9"/>
    <w:qFormat/>
    <w:rsid w:val="00893D49"/>
    <w:pPr>
      <w:spacing w:before="240" w:after="60" w:line="240" w:lineRule="auto"/>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3D49"/>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893D4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rsid w:val="00893D4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893D49"/>
    <w:rPr>
      <w:rFonts w:ascii="Times New Roman" w:eastAsia="Times New Roman" w:hAnsi="Times New Roman" w:cs="Times New Roman"/>
      <w:smallCaps/>
      <w:sz w:val="24"/>
      <w:szCs w:val="20"/>
      <w:lang w:eastAsia="ar-SA"/>
    </w:rPr>
  </w:style>
  <w:style w:type="character" w:customStyle="1" w:styleId="Ttulo5Char">
    <w:name w:val="Título 5 Char"/>
    <w:basedOn w:val="Fontepargpadro"/>
    <w:link w:val="Ttulo5"/>
    <w:uiPriority w:val="9"/>
    <w:rsid w:val="00893D49"/>
    <w:rPr>
      <w:rFonts w:ascii="Times New Roman" w:eastAsia="Times New Roman" w:hAnsi="Times New Roman" w:cs="Times New Roman"/>
      <w:b/>
      <w:bCs/>
      <w:i/>
      <w:iCs/>
      <w:sz w:val="26"/>
      <w:szCs w:val="26"/>
    </w:rPr>
  </w:style>
  <w:style w:type="paragraph" w:styleId="NormalWeb">
    <w:name w:val="Normal (Web)"/>
    <w:basedOn w:val="Normal"/>
    <w:unhideWhenUsed/>
    <w:qFormat/>
    <w:rsid w:val="00893D49"/>
    <w:pPr>
      <w:spacing w:before="100" w:beforeAutospacing="1" w:after="100" w:afterAutospacing="1" w:line="240" w:lineRule="auto"/>
    </w:pPr>
    <w:rPr>
      <w:rFonts w:eastAsia="Times New Roman"/>
      <w:sz w:val="24"/>
      <w:szCs w:val="24"/>
      <w:lang w:eastAsia="pt-BR"/>
    </w:rPr>
  </w:style>
  <w:style w:type="paragraph" w:customStyle="1" w:styleId="Default">
    <w:name w:val="Default"/>
    <w:rsid w:val="002F3D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notaderodap">
    <w:name w:val="footnote text"/>
    <w:aliases w:val="Footnote Text Char, Char"/>
    <w:basedOn w:val="Normal"/>
    <w:link w:val="TextodenotaderodapChar"/>
    <w:unhideWhenUsed/>
    <w:rsid w:val="00893D49"/>
    <w:rPr>
      <w:sz w:val="20"/>
      <w:szCs w:val="20"/>
    </w:rPr>
  </w:style>
  <w:style w:type="character" w:customStyle="1" w:styleId="TextodenotaderodapChar">
    <w:name w:val="Texto de nota de rodapé Char"/>
    <w:aliases w:val="Footnote Text Char Char, Char Char"/>
    <w:basedOn w:val="Fontepargpadro"/>
    <w:link w:val="Textodenotaderodap"/>
    <w:rsid w:val="00893D49"/>
    <w:rPr>
      <w:rFonts w:ascii="Times New Roman" w:eastAsia="Calibri" w:hAnsi="Times New Roman" w:cs="Times New Roman"/>
      <w:sz w:val="20"/>
      <w:szCs w:val="20"/>
    </w:rPr>
  </w:style>
  <w:style w:type="character" w:styleId="Refdenotaderodap">
    <w:name w:val="footnote reference"/>
    <w:uiPriority w:val="99"/>
    <w:unhideWhenUsed/>
    <w:rsid w:val="00893D49"/>
    <w:rPr>
      <w:vertAlign w:val="superscript"/>
    </w:rPr>
  </w:style>
  <w:style w:type="paragraph" w:styleId="Ttulo">
    <w:name w:val="Title"/>
    <w:basedOn w:val="Normal"/>
    <w:link w:val="TtuloChar"/>
    <w:qFormat/>
    <w:rsid w:val="00893D49"/>
    <w:pPr>
      <w:spacing w:after="0" w:line="240" w:lineRule="auto"/>
      <w:jc w:val="center"/>
    </w:pPr>
    <w:rPr>
      <w:rFonts w:eastAsia="Times New Roman"/>
      <w:b/>
      <w:bCs/>
      <w:sz w:val="24"/>
      <w:szCs w:val="24"/>
    </w:rPr>
  </w:style>
  <w:style w:type="character" w:customStyle="1" w:styleId="TtuloChar">
    <w:name w:val="Título Char"/>
    <w:basedOn w:val="Fontepargpadro"/>
    <w:link w:val="Ttulo"/>
    <w:rsid w:val="00893D49"/>
    <w:rPr>
      <w:rFonts w:ascii="Times New Roman" w:eastAsia="Times New Roman" w:hAnsi="Times New Roman" w:cs="Times New Roman"/>
      <w:b/>
      <w:bCs/>
      <w:sz w:val="24"/>
      <w:szCs w:val="24"/>
    </w:rPr>
  </w:style>
  <w:style w:type="character" w:styleId="Hyperlink">
    <w:name w:val="Hyperlink"/>
    <w:uiPriority w:val="99"/>
    <w:rsid w:val="00893D49"/>
    <w:rPr>
      <w:color w:val="0000FF"/>
      <w:u w:val="single"/>
    </w:rPr>
  </w:style>
  <w:style w:type="paragraph" w:styleId="TextosemFormatao">
    <w:name w:val="Plain Text"/>
    <w:basedOn w:val="Normal"/>
    <w:link w:val="TextosemFormataoChar"/>
    <w:uiPriority w:val="99"/>
    <w:unhideWhenUsed/>
    <w:rsid w:val="00893D49"/>
    <w:pPr>
      <w:spacing w:after="0" w:line="240" w:lineRule="auto"/>
    </w:pPr>
  </w:style>
  <w:style w:type="character" w:customStyle="1" w:styleId="TextosemFormataoChar">
    <w:name w:val="Texto sem Formatação Char"/>
    <w:basedOn w:val="Fontepargpadro"/>
    <w:link w:val="TextosemFormatao"/>
    <w:uiPriority w:val="99"/>
    <w:rsid w:val="00893D49"/>
    <w:rPr>
      <w:rFonts w:ascii="Times New Roman" w:eastAsia="Calibri" w:hAnsi="Times New Roman" w:cs="Times New Roman"/>
    </w:rPr>
  </w:style>
  <w:style w:type="character" w:customStyle="1" w:styleId="TextodebaloChar">
    <w:name w:val="Texto de balão Char"/>
    <w:basedOn w:val="Fontepargpadro"/>
    <w:link w:val="Textodebalo"/>
    <w:semiHidden/>
    <w:rsid w:val="00893D49"/>
    <w:rPr>
      <w:rFonts w:ascii="Tahoma" w:eastAsia="Calibri" w:hAnsi="Tahoma" w:cs="Times New Roman"/>
      <w:sz w:val="16"/>
      <w:szCs w:val="16"/>
    </w:rPr>
  </w:style>
  <w:style w:type="paragraph" w:styleId="Textodebalo">
    <w:name w:val="Balloon Text"/>
    <w:basedOn w:val="Normal"/>
    <w:link w:val="TextodebaloChar"/>
    <w:semiHidden/>
    <w:unhideWhenUsed/>
    <w:rsid w:val="00893D49"/>
    <w:pPr>
      <w:spacing w:after="0" w:line="240" w:lineRule="auto"/>
    </w:pPr>
    <w:rPr>
      <w:rFonts w:ascii="Tahoma" w:hAnsi="Tahoma"/>
      <w:sz w:val="16"/>
      <w:szCs w:val="16"/>
    </w:rPr>
  </w:style>
  <w:style w:type="paragraph" w:styleId="Cabealho">
    <w:name w:val="header"/>
    <w:aliases w:val="Tulo1,Guideline,encabezado,Título1"/>
    <w:basedOn w:val="Normal"/>
    <w:link w:val="CabealhoChar"/>
    <w:uiPriority w:val="99"/>
    <w:unhideWhenUsed/>
    <w:rsid w:val="00893D49"/>
    <w:pPr>
      <w:tabs>
        <w:tab w:val="center" w:pos="4252"/>
        <w:tab w:val="right" w:pos="8504"/>
      </w:tabs>
    </w:pPr>
  </w:style>
  <w:style w:type="character" w:customStyle="1" w:styleId="CabealhoChar">
    <w:name w:val="Cabeçalho Char"/>
    <w:aliases w:val="Tulo1 Char,Guideline Char,encabezado Char,Título1 Char"/>
    <w:basedOn w:val="Fontepargpadro"/>
    <w:link w:val="Cabealho"/>
    <w:uiPriority w:val="99"/>
    <w:rsid w:val="00893D49"/>
    <w:rPr>
      <w:rFonts w:ascii="Times New Roman" w:eastAsia="Calibri" w:hAnsi="Times New Roman" w:cs="Times New Roman"/>
    </w:rPr>
  </w:style>
  <w:style w:type="paragraph" w:styleId="Rodap">
    <w:name w:val="footer"/>
    <w:basedOn w:val="Normal"/>
    <w:link w:val="RodapChar"/>
    <w:uiPriority w:val="99"/>
    <w:unhideWhenUsed/>
    <w:rsid w:val="00893D49"/>
    <w:pPr>
      <w:tabs>
        <w:tab w:val="center" w:pos="4252"/>
        <w:tab w:val="right" w:pos="8504"/>
      </w:tabs>
    </w:pPr>
  </w:style>
  <w:style w:type="character" w:customStyle="1" w:styleId="RodapChar">
    <w:name w:val="Rodapé Char"/>
    <w:basedOn w:val="Fontepargpadro"/>
    <w:link w:val="Rodap"/>
    <w:uiPriority w:val="99"/>
    <w:rsid w:val="00893D49"/>
    <w:rPr>
      <w:rFonts w:ascii="Times New Roman" w:eastAsia="Calibri" w:hAnsi="Times New Roman" w:cs="Times New Roman"/>
    </w:rPr>
  </w:style>
  <w:style w:type="paragraph" w:customStyle="1" w:styleId="Normal1">
    <w:name w:val="Normal1"/>
    <w:rsid w:val="002F3D58"/>
    <w:pPr>
      <w:pBdr>
        <w:top w:val="nil"/>
        <w:left w:val="nil"/>
        <w:bottom w:val="nil"/>
        <w:right w:val="nil"/>
        <w:between w:val="nil"/>
      </w:pBdr>
      <w:spacing w:after="200" w:line="276" w:lineRule="auto"/>
      <w:ind w:left="34" w:firstLine="709"/>
      <w:jc w:val="both"/>
    </w:pPr>
    <w:rPr>
      <w:rFonts w:ascii="Calibri" w:eastAsia="Calibri" w:hAnsi="Calibri" w:cs="Calibri"/>
      <w:color w:val="000000"/>
      <w:lang w:eastAsia="pt-BR"/>
    </w:rPr>
  </w:style>
  <w:style w:type="paragraph" w:styleId="Textodecomentrio">
    <w:name w:val="annotation text"/>
    <w:basedOn w:val="Normal"/>
    <w:link w:val="TextodecomentrioChar"/>
    <w:uiPriority w:val="99"/>
    <w:unhideWhenUsed/>
    <w:rsid w:val="00893D49"/>
    <w:pPr>
      <w:spacing w:after="0" w:line="312" w:lineRule="auto"/>
      <w:jc w:val="both"/>
    </w:pPr>
    <w:rPr>
      <w:sz w:val="20"/>
      <w:szCs w:val="20"/>
    </w:rPr>
  </w:style>
  <w:style w:type="character" w:customStyle="1" w:styleId="TextodecomentrioChar">
    <w:name w:val="Texto de comentário Char"/>
    <w:basedOn w:val="Fontepargpadro"/>
    <w:link w:val="Textodecomentrio"/>
    <w:uiPriority w:val="99"/>
    <w:rsid w:val="00893D49"/>
    <w:rPr>
      <w:rFonts w:ascii="Times New Roman" w:eastAsia="Calibri" w:hAnsi="Times New Roman" w:cs="Times New Roman"/>
      <w:sz w:val="20"/>
      <w:szCs w:val="20"/>
    </w:rPr>
  </w:style>
  <w:style w:type="paragraph" w:styleId="Corpodetexto">
    <w:name w:val="Body Text"/>
    <w:basedOn w:val="Normal"/>
    <w:link w:val="CorpodetextoChar"/>
    <w:rsid w:val="00893D4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93D49"/>
    <w:rPr>
      <w:rFonts w:ascii="Times New Roman" w:eastAsia="Times New Roman" w:hAnsi="Times New Roman" w:cs="Times New Roman"/>
      <w:sz w:val="24"/>
      <w:szCs w:val="24"/>
      <w:lang w:eastAsia="pt-BR"/>
    </w:rPr>
  </w:style>
  <w:style w:type="paragraph" w:styleId="Recuodecorpodetexto">
    <w:name w:val="Body Text Indent"/>
    <w:aliases w:val="bti"/>
    <w:basedOn w:val="Normal"/>
    <w:link w:val="RecuodecorpodetextoChar"/>
    <w:rsid w:val="00893D49"/>
    <w:pPr>
      <w:spacing w:after="0" w:line="240" w:lineRule="auto"/>
      <w:ind w:left="1080"/>
      <w:jc w:val="both"/>
    </w:pPr>
    <w:rPr>
      <w:rFonts w:eastAsia="Times New Roman"/>
      <w:sz w:val="24"/>
      <w:szCs w:val="24"/>
      <w:lang w:eastAsia="pt-BR"/>
    </w:rPr>
  </w:style>
  <w:style w:type="character" w:customStyle="1" w:styleId="RecuodecorpodetextoChar">
    <w:name w:val="Recuo de corpo de texto Char"/>
    <w:aliases w:val="bti Char"/>
    <w:basedOn w:val="Fontepargpadro"/>
    <w:link w:val="Recuodecorpodetexto"/>
    <w:rsid w:val="00893D49"/>
    <w:rPr>
      <w:rFonts w:ascii="Times New Roman" w:eastAsia="Times New Roman" w:hAnsi="Times New Roman" w:cs="Times New Roman"/>
      <w:sz w:val="24"/>
      <w:szCs w:val="24"/>
      <w:lang w:eastAsia="pt-BR"/>
    </w:rPr>
  </w:style>
  <w:style w:type="paragraph" w:customStyle="1" w:styleId="SDM">
    <w:name w:val="SDM"/>
    <w:basedOn w:val="Normal"/>
    <w:qFormat/>
    <w:rsid w:val="00893D49"/>
    <w:pPr>
      <w:spacing w:after="0" w:line="240" w:lineRule="auto"/>
      <w:jc w:val="both"/>
    </w:pPr>
    <w:rPr>
      <w:rFonts w:eastAsia="Times New Roman"/>
      <w:bCs/>
      <w:sz w:val="24"/>
      <w:szCs w:val="24"/>
      <w:lang w:eastAsia="pt-BR"/>
    </w:rPr>
  </w:style>
  <w:style w:type="character" w:customStyle="1" w:styleId="AssuntodocomentrioChar">
    <w:name w:val="Assunto do comentário Char"/>
    <w:basedOn w:val="TextodecomentrioChar"/>
    <w:link w:val="Assuntodocomentrio"/>
    <w:uiPriority w:val="99"/>
    <w:semiHidden/>
    <w:rsid w:val="00893D49"/>
    <w:rPr>
      <w:rFonts w:ascii="Times New Roman" w:eastAsia="Calibri" w:hAnsi="Times New Roman"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893D49"/>
    <w:pPr>
      <w:spacing w:after="200" w:line="276" w:lineRule="auto"/>
      <w:jc w:val="left"/>
    </w:pPr>
    <w:rPr>
      <w:b/>
      <w:bCs/>
    </w:rPr>
  </w:style>
  <w:style w:type="character" w:customStyle="1" w:styleId="A3">
    <w:name w:val="A3"/>
    <w:uiPriority w:val="99"/>
    <w:rsid w:val="00893D49"/>
    <w:rPr>
      <w:rFonts w:cs="PT Sans"/>
      <w:color w:val="000000"/>
      <w:sz w:val="20"/>
      <w:szCs w:val="20"/>
    </w:rPr>
  </w:style>
  <w:style w:type="paragraph" w:styleId="PargrafodaLista">
    <w:name w:val="List Paragraph"/>
    <w:basedOn w:val="Normal"/>
    <w:uiPriority w:val="34"/>
    <w:qFormat/>
    <w:rsid w:val="00893D49"/>
    <w:pPr>
      <w:spacing w:after="160" w:line="259" w:lineRule="auto"/>
      <w:ind w:left="720"/>
      <w:contextualSpacing/>
    </w:pPr>
    <w:rPr>
      <w:rFonts w:asciiTheme="minorHAnsi" w:eastAsiaTheme="minorHAnsi" w:hAnsiTheme="minorHAnsi" w:cstheme="minorBidi"/>
    </w:rPr>
  </w:style>
  <w:style w:type="paragraph" w:customStyle="1" w:styleId="texto1">
    <w:name w:val="texto1"/>
    <w:basedOn w:val="Normal"/>
    <w:rsid w:val="00893D49"/>
    <w:pPr>
      <w:spacing w:before="100" w:beforeAutospacing="1" w:after="100" w:afterAutospacing="1" w:line="240" w:lineRule="auto"/>
    </w:pPr>
    <w:rPr>
      <w:rFonts w:eastAsia="Times New Roman"/>
      <w:sz w:val="24"/>
      <w:szCs w:val="24"/>
      <w:lang w:eastAsia="pt-BR"/>
    </w:rPr>
  </w:style>
  <w:style w:type="character" w:customStyle="1" w:styleId="normaltextrun">
    <w:name w:val="normaltextrun"/>
    <w:basedOn w:val="Fontepargpadro"/>
    <w:rsid w:val="00893D49"/>
  </w:style>
  <w:style w:type="character" w:customStyle="1" w:styleId="eop">
    <w:name w:val="eop"/>
    <w:basedOn w:val="Fontepargpadro"/>
    <w:rsid w:val="00893D49"/>
  </w:style>
  <w:style w:type="paragraph" w:customStyle="1" w:styleId="xmsolistparagraph">
    <w:name w:val="x_msolistparagraph"/>
    <w:basedOn w:val="Normal"/>
    <w:rsid w:val="00893D49"/>
    <w:pPr>
      <w:spacing w:before="100" w:beforeAutospacing="1" w:after="100" w:afterAutospacing="1" w:line="240" w:lineRule="auto"/>
    </w:pPr>
    <w:rPr>
      <w:rFonts w:eastAsia="Times New Roman"/>
      <w:sz w:val="24"/>
      <w:szCs w:val="24"/>
      <w:lang w:val="en-GB" w:eastAsia="en-GB"/>
    </w:rPr>
  </w:style>
  <w:style w:type="character" w:customStyle="1" w:styleId="xnormaltextrun">
    <w:name w:val="x_normaltextrun"/>
    <w:basedOn w:val="Fontepargpadro"/>
    <w:rsid w:val="00893D49"/>
  </w:style>
  <w:style w:type="character" w:customStyle="1" w:styleId="xeop">
    <w:name w:val="x_eop"/>
    <w:basedOn w:val="Fontepargpadro"/>
    <w:rsid w:val="00893D49"/>
  </w:style>
  <w:style w:type="character" w:customStyle="1" w:styleId="xcontextualspellingandgrammarerror">
    <w:name w:val="x_contextualspellingandgrammarerror"/>
    <w:basedOn w:val="Fontepargpadro"/>
    <w:rsid w:val="00893D49"/>
  </w:style>
  <w:style w:type="paragraph" w:styleId="Recuodecorpodetexto2">
    <w:name w:val="Body Text Indent 2"/>
    <w:basedOn w:val="Normal"/>
    <w:link w:val="Recuodecorpodetexto2Char"/>
    <w:uiPriority w:val="99"/>
    <w:rsid w:val="00893D49"/>
    <w:pPr>
      <w:spacing w:after="0" w:line="240" w:lineRule="auto"/>
      <w:ind w:firstLine="567"/>
      <w:jc w:val="both"/>
    </w:pPr>
    <w:rPr>
      <w:rFonts w:eastAsia="Times New Roman"/>
      <w:sz w:val="24"/>
      <w:szCs w:val="24"/>
      <w:lang w:eastAsia="pt-BR"/>
    </w:rPr>
  </w:style>
  <w:style w:type="character" w:customStyle="1" w:styleId="Recuodecorpodetexto2Char">
    <w:name w:val="Recuo de corpo de texto 2 Char"/>
    <w:basedOn w:val="Fontepargpadro"/>
    <w:link w:val="Recuodecorpodetexto2"/>
    <w:uiPriority w:val="99"/>
    <w:rsid w:val="00893D49"/>
    <w:rPr>
      <w:rFonts w:ascii="Times New Roman" w:eastAsia="Times New Roman" w:hAnsi="Times New Roman" w:cs="Times New Roman"/>
      <w:sz w:val="24"/>
      <w:szCs w:val="24"/>
      <w:lang w:eastAsia="pt-BR"/>
    </w:rPr>
  </w:style>
  <w:style w:type="paragraph" w:customStyle="1" w:styleId="SDMTtulo3">
    <w:name w:val="SDM Título 3"/>
    <w:basedOn w:val="Normal"/>
    <w:next w:val="Normal"/>
    <w:rsid w:val="00893D49"/>
    <w:pPr>
      <w:spacing w:after="0" w:line="240" w:lineRule="auto"/>
      <w:jc w:val="both"/>
    </w:pPr>
    <w:rPr>
      <w:rFonts w:eastAsia="Times New Roman"/>
      <w:b/>
      <w:sz w:val="24"/>
      <w:szCs w:val="24"/>
      <w:lang w:eastAsia="pt-BR"/>
    </w:rPr>
  </w:style>
  <w:style w:type="paragraph" w:customStyle="1" w:styleId="SDMTtulo4">
    <w:name w:val="SDM Título 4"/>
    <w:basedOn w:val="Normal"/>
    <w:next w:val="Normal"/>
    <w:rsid w:val="00893D49"/>
    <w:pPr>
      <w:spacing w:after="0" w:line="240" w:lineRule="auto"/>
      <w:jc w:val="both"/>
    </w:pPr>
    <w:rPr>
      <w:rFonts w:eastAsia="Times New Roman"/>
      <w:b/>
      <w:sz w:val="24"/>
      <w:szCs w:val="24"/>
      <w:lang w:eastAsia="pt-BR"/>
    </w:rPr>
  </w:style>
  <w:style w:type="paragraph" w:customStyle="1" w:styleId="SDMTtulo5">
    <w:name w:val="SDM Título 5"/>
    <w:basedOn w:val="Normal"/>
    <w:rsid w:val="00893D49"/>
    <w:pPr>
      <w:spacing w:after="0" w:line="240" w:lineRule="auto"/>
      <w:jc w:val="both"/>
    </w:pPr>
    <w:rPr>
      <w:rFonts w:eastAsia="Times New Roman"/>
      <w:b/>
      <w:sz w:val="24"/>
      <w:szCs w:val="24"/>
      <w:lang w:eastAsia="pt-BR"/>
    </w:rPr>
  </w:style>
  <w:style w:type="paragraph" w:customStyle="1" w:styleId="SDMTtulo6">
    <w:name w:val="SDM Título 6"/>
    <w:basedOn w:val="Normal"/>
    <w:rsid w:val="00893D49"/>
    <w:pPr>
      <w:spacing w:after="0" w:line="240" w:lineRule="auto"/>
      <w:jc w:val="both"/>
    </w:pPr>
    <w:rPr>
      <w:rFonts w:eastAsia="Times New Roman"/>
      <w:b/>
      <w:sz w:val="24"/>
      <w:szCs w:val="24"/>
      <w:lang w:eastAsia="pt-BR"/>
    </w:rPr>
  </w:style>
  <w:style w:type="paragraph" w:customStyle="1" w:styleId="PargrafodaLista1">
    <w:name w:val="Parágrafo da Lista1"/>
    <w:basedOn w:val="Normal"/>
    <w:uiPriority w:val="34"/>
    <w:qFormat/>
    <w:rsid w:val="00893D49"/>
    <w:pPr>
      <w:spacing w:after="0" w:line="240" w:lineRule="auto"/>
      <w:ind w:left="708"/>
    </w:pPr>
    <w:rPr>
      <w:rFonts w:eastAsia="Times New Roman"/>
      <w:sz w:val="24"/>
      <w:szCs w:val="24"/>
      <w:lang w:eastAsia="pt-BR"/>
    </w:rPr>
  </w:style>
  <w:style w:type="paragraph" w:styleId="Corpodetexto2">
    <w:name w:val="Body Text 2"/>
    <w:basedOn w:val="Normal"/>
    <w:link w:val="Corpodetexto2Char"/>
    <w:uiPriority w:val="99"/>
    <w:unhideWhenUsed/>
    <w:rsid w:val="00893D49"/>
    <w:pPr>
      <w:spacing w:after="120" w:line="480" w:lineRule="auto"/>
    </w:pPr>
    <w:rPr>
      <w:rFonts w:eastAsia="Times New Roman"/>
      <w:sz w:val="24"/>
      <w:szCs w:val="24"/>
      <w:lang w:val="x-none" w:eastAsia="x-none"/>
    </w:rPr>
  </w:style>
  <w:style w:type="character" w:customStyle="1" w:styleId="Corpodetexto2Char">
    <w:name w:val="Corpo de texto 2 Char"/>
    <w:basedOn w:val="Fontepargpadro"/>
    <w:link w:val="Corpodetexto2"/>
    <w:uiPriority w:val="99"/>
    <w:rsid w:val="00893D49"/>
    <w:rPr>
      <w:rFonts w:ascii="Times New Roman" w:eastAsia="Times New Roman" w:hAnsi="Times New Roman" w:cs="Times New Roman"/>
      <w:sz w:val="24"/>
      <w:szCs w:val="24"/>
      <w:lang w:val="x-none" w:eastAsia="x-none"/>
    </w:rPr>
  </w:style>
  <w:style w:type="paragraph" w:styleId="Textodenotadefim">
    <w:name w:val="endnote text"/>
    <w:basedOn w:val="Normal"/>
    <w:link w:val="TextodenotadefimChar"/>
    <w:uiPriority w:val="99"/>
    <w:unhideWhenUsed/>
    <w:rsid w:val="00893D49"/>
    <w:pPr>
      <w:spacing w:after="0" w:line="240" w:lineRule="auto"/>
    </w:pPr>
    <w:rPr>
      <w:rFonts w:eastAsia="Times New Roman"/>
      <w:sz w:val="20"/>
      <w:szCs w:val="20"/>
      <w:lang w:eastAsia="pt-BR"/>
    </w:rPr>
  </w:style>
  <w:style w:type="character" w:customStyle="1" w:styleId="TextodenotadefimChar">
    <w:name w:val="Texto de nota de fim Char"/>
    <w:basedOn w:val="Fontepargpadro"/>
    <w:link w:val="Textodenotadefim"/>
    <w:uiPriority w:val="99"/>
    <w:rsid w:val="00893D49"/>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unhideWhenUsed/>
    <w:qFormat/>
    <w:rsid w:val="00893D49"/>
    <w:pPr>
      <w:keepLines/>
      <w:spacing w:before="480" w:after="0"/>
      <w:outlineLvl w:val="9"/>
    </w:pPr>
    <w:rPr>
      <w:color w:val="365F91"/>
      <w:kern w:val="0"/>
      <w:sz w:val="28"/>
      <w:szCs w:val="28"/>
      <w:lang w:val="x-none"/>
    </w:rPr>
  </w:style>
  <w:style w:type="paragraph" w:styleId="Sumrio1">
    <w:name w:val="toc 1"/>
    <w:basedOn w:val="Normal"/>
    <w:next w:val="Normal"/>
    <w:autoRedefine/>
    <w:uiPriority w:val="39"/>
    <w:unhideWhenUsed/>
    <w:rsid w:val="00893D49"/>
    <w:pPr>
      <w:tabs>
        <w:tab w:val="left" w:pos="0"/>
        <w:tab w:val="right" w:leader="dot" w:pos="10196"/>
      </w:tabs>
      <w:spacing w:after="0" w:line="312" w:lineRule="auto"/>
      <w:ind w:firstLine="142"/>
    </w:pPr>
    <w:rPr>
      <w:rFonts w:asciiTheme="minorHAnsi" w:eastAsia="Times New Roman" w:hAnsiTheme="minorHAnsi" w:cstheme="minorHAnsi"/>
      <w:noProof/>
      <w:sz w:val="24"/>
      <w:szCs w:val="24"/>
      <w:lang w:eastAsia="pt-BR"/>
    </w:rPr>
  </w:style>
  <w:style w:type="paragraph" w:styleId="Sumrio3">
    <w:name w:val="toc 3"/>
    <w:basedOn w:val="Normal"/>
    <w:next w:val="Normal"/>
    <w:autoRedefine/>
    <w:uiPriority w:val="39"/>
    <w:unhideWhenUsed/>
    <w:rsid w:val="002F3D58"/>
    <w:pPr>
      <w:tabs>
        <w:tab w:val="right" w:leader="dot" w:pos="10196"/>
      </w:tabs>
      <w:spacing w:after="0" w:line="312" w:lineRule="auto"/>
      <w:ind w:left="284" w:firstLine="709"/>
    </w:pPr>
    <w:rPr>
      <w:rFonts w:eastAsia="Times New Roman"/>
      <w:sz w:val="24"/>
      <w:szCs w:val="24"/>
      <w:lang w:eastAsia="pt-BR"/>
    </w:rPr>
  </w:style>
  <w:style w:type="paragraph" w:styleId="Sumrio2">
    <w:name w:val="toc 2"/>
    <w:basedOn w:val="Normal"/>
    <w:next w:val="Normal"/>
    <w:autoRedefine/>
    <w:uiPriority w:val="39"/>
    <w:unhideWhenUsed/>
    <w:rsid w:val="002F3D58"/>
    <w:pPr>
      <w:tabs>
        <w:tab w:val="right" w:leader="dot" w:pos="10196"/>
      </w:tabs>
      <w:spacing w:after="0" w:line="312" w:lineRule="auto"/>
      <w:ind w:left="993"/>
    </w:pPr>
    <w:rPr>
      <w:rFonts w:asciiTheme="minorHAnsi" w:eastAsia="Arial Unicode MS" w:hAnsiTheme="minorHAnsi" w:cstheme="minorHAnsi"/>
      <w:b/>
      <w:bCs/>
      <w:noProof/>
      <w:sz w:val="24"/>
      <w:szCs w:val="24"/>
      <w:lang w:eastAsia="pt-BR"/>
    </w:rPr>
  </w:style>
  <w:style w:type="character" w:customStyle="1" w:styleId="Recuodecorpodetexto3Char">
    <w:name w:val="Recuo de corpo de texto 3 Char"/>
    <w:basedOn w:val="Fontepargpadro"/>
    <w:link w:val="Recuodecorpodetexto3"/>
    <w:uiPriority w:val="99"/>
    <w:semiHidden/>
    <w:rsid w:val="00893D49"/>
    <w:rPr>
      <w:rFonts w:ascii="Times New Roman" w:eastAsia="Times New Roman" w:hAnsi="Times New Roman" w:cs="Times New Roman"/>
      <w:sz w:val="16"/>
      <w:szCs w:val="16"/>
      <w:lang w:val="x-none" w:eastAsia="x-none"/>
    </w:rPr>
  </w:style>
  <w:style w:type="paragraph" w:styleId="Recuodecorpodetexto3">
    <w:name w:val="Body Text Indent 3"/>
    <w:basedOn w:val="Normal"/>
    <w:link w:val="Recuodecorpodetexto3Char"/>
    <w:uiPriority w:val="99"/>
    <w:semiHidden/>
    <w:unhideWhenUsed/>
    <w:rsid w:val="00893D49"/>
    <w:pPr>
      <w:spacing w:after="120" w:line="240" w:lineRule="auto"/>
      <w:ind w:left="283"/>
    </w:pPr>
    <w:rPr>
      <w:rFonts w:eastAsia="Times New Roman"/>
      <w:sz w:val="16"/>
      <w:szCs w:val="16"/>
      <w:lang w:val="x-none" w:eastAsia="x-none"/>
    </w:rPr>
  </w:style>
  <w:style w:type="character" w:customStyle="1" w:styleId="MapadoDocumentoChar">
    <w:name w:val="Mapa do Documento Char"/>
    <w:basedOn w:val="Fontepargpadro"/>
    <w:link w:val="MapadoDocumento"/>
    <w:uiPriority w:val="99"/>
    <w:semiHidden/>
    <w:rsid w:val="00893D49"/>
    <w:rPr>
      <w:rFonts w:ascii="Tahoma" w:eastAsia="Times New Roman" w:hAnsi="Tahoma" w:cs="Times New Roman"/>
      <w:sz w:val="16"/>
      <w:szCs w:val="16"/>
      <w:lang w:val="x-none" w:eastAsia="x-none"/>
    </w:rPr>
  </w:style>
  <w:style w:type="paragraph" w:styleId="MapadoDocumento">
    <w:name w:val="Document Map"/>
    <w:basedOn w:val="Normal"/>
    <w:link w:val="MapadoDocumentoChar"/>
    <w:uiPriority w:val="99"/>
    <w:semiHidden/>
    <w:unhideWhenUsed/>
    <w:rsid w:val="00893D49"/>
    <w:pPr>
      <w:spacing w:after="0" w:line="240" w:lineRule="auto"/>
    </w:pPr>
    <w:rPr>
      <w:rFonts w:ascii="Tahoma" w:eastAsia="Times New Roman" w:hAnsi="Tahoma"/>
      <w:sz w:val="16"/>
      <w:szCs w:val="16"/>
      <w:lang w:val="x-none" w:eastAsia="x-none"/>
    </w:rPr>
  </w:style>
  <w:style w:type="character" w:customStyle="1" w:styleId="DeltaViewInsertion">
    <w:name w:val="DeltaView Insertion"/>
    <w:uiPriority w:val="99"/>
    <w:rsid w:val="00893D49"/>
    <w:rPr>
      <w:color w:val="0000FF"/>
      <w:spacing w:val="0"/>
      <w:u w:val="double"/>
    </w:rPr>
  </w:style>
  <w:style w:type="character" w:customStyle="1" w:styleId="mord">
    <w:name w:val="mord"/>
    <w:basedOn w:val="Fontepargpadro"/>
    <w:rsid w:val="00893D49"/>
  </w:style>
  <w:style w:type="character" w:customStyle="1" w:styleId="mrel">
    <w:name w:val="mrel"/>
    <w:basedOn w:val="Fontepargpadro"/>
    <w:rsid w:val="00893D49"/>
  </w:style>
  <w:style w:type="character" w:customStyle="1" w:styleId="vlist-s">
    <w:name w:val="vlist-s"/>
    <w:basedOn w:val="Fontepargpadro"/>
    <w:rsid w:val="00893D49"/>
  </w:style>
  <w:style w:type="paragraph" w:customStyle="1" w:styleId="NormaAlterada">
    <w:name w:val="Norma Alterada"/>
    <w:basedOn w:val="Normalalteradora"/>
    <w:qFormat/>
    <w:rsid w:val="00893D49"/>
  </w:style>
  <w:style w:type="paragraph" w:customStyle="1" w:styleId="Normalalteradora">
    <w:name w:val="Normal alteradora"/>
    <w:basedOn w:val="Normal"/>
    <w:link w:val="NormalalteradoraChar"/>
    <w:qFormat/>
    <w:rsid w:val="00893D49"/>
    <w:pPr>
      <w:spacing w:before="120" w:after="120" w:line="312" w:lineRule="auto"/>
      <w:ind w:firstLine="567"/>
      <w:jc w:val="both"/>
    </w:pPr>
    <w:rPr>
      <w:rFonts w:asciiTheme="minorHAnsi" w:eastAsia="Times New Roman" w:hAnsiTheme="minorHAnsi" w:cstheme="minorBidi"/>
      <w:sz w:val="24"/>
      <w:szCs w:val="24"/>
      <w:lang w:eastAsia="pt-BR"/>
    </w:rPr>
  </w:style>
  <w:style w:type="character" w:customStyle="1" w:styleId="NormalalteradoraChar">
    <w:name w:val="Normal alteradora Char"/>
    <w:basedOn w:val="Fontepargpadro"/>
    <w:link w:val="Normalalteradora"/>
    <w:rsid w:val="00893D49"/>
    <w:rPr>
      <w:rFonts w:eastAsia="Times New Roman"/>
      <w:sz w:val="24"/>
      <w:szCs w:val="24"/>
      <w:lang w:eastAsia="pt-BR"/>
    </w:rPr>
  </w:style>
  <w:style w:type="paragraph" w:styleId="SemEspaamento">
    <w:name w:val="No Spacing"/>
    <w:uiPriority w:val="1"/>
    <w:qFormat/>
    <w:rsid w:val="002F3D58"/>
    <w:pPr>
      <w:spacing w:after="0" w:line="240" w:lineRule="auto"/>
    </w:pPr>
    <w:rPr>
      <w:rFonts w:ascii="Calibri" w:eastAsia="Calibri" w:hAnsi="Calibri" w:cs="Times New Roman"/>
    </w:rPr>
  </w:style>
  <w:style w:type="paragraph" w:customStyle="1" w:styleId="paragraph">
    <w:name w:val="paragraph"/>
    <w:basedOn w:val="Normal"/>
    <w:rsid w:val="00893D49"/>
    <w:pPr>
      <w:spacing w:before="100" w:beforeAutospacing="1" w:after="100" w:afterAutospacing="1" w:line="240" w:lineRule="auto"/>
    </w:pPr>
    <w:rPr>
      <w:rFonts w:eastAsia="Times New Roman"/>
      <w:sz w:val="24"/>
      <w:szCs w:val="24"/>
      <w:lang w:val="en-GB" w:eastAsia="en-GB"/>
    </w:rPr>
  </w:style>
  <w:style w:type="character" w:customStyle="1" w:styleId="spellingerror">
    <w:name w:val="spellingerror"/>
    <w:basedOn w:val="Fontepargpadro"/>
    <w:rsid w:val="00893D49"/>
  </w:style>
  <w:style w:type="paragraph" w:styleId="Sumrio4">
    <w:name w:val="toc 4"/>
    <w:basedOn w:val="Normal"/>
    <w:next w:val="Normal"/>
    <w:autoRedefine/>
    <w:uiPriority w:val="39"/>
    <w:unhideWhenUsed/>
    <w:rsid w:val="00893D49"/>
    <w:pPr>
      <w:spacing w:after="100" w:line="259" w:lineRule="auto"/>
      <w:ind w:left="660"/>
    </w:pPr>
    <w:rPr>
      <w:rFonts w:asciiTheme="minorHAnsi" w:eastAsiaTheme="minorEastAsia" w:hAnsiTheme="minorHAnsi" w:cstheme="minorBidi"/>
      <w:lang w:eastAsia="ja-JP"/>
    </w:rPr>
  </w:style>
  <w:style w:type="paragraph" w:styleId="Sumrio5">
    <w:name w:val="toc 5"/>
    <w:basedOn w:val="Normal"/>
    <w:next w:val="Normal"/>
    <w:autoRedefine/>
    <w:uiPriority w:val="39"/>
    <w:unhideWhenUsed/>
    <w:rsid w:val="00893D49"/>
    <w:pPr>
      <w:spacing w:after="100" w:line="259" w:lineRule="auto"/>
      <w:ind w:left="880"/>
    </w:pPr>
    <w:rPr>
      <w:rFonts w:asciiTheme="minorHAnsi" w:eastAsiaTheme="minorEastAsia" w:hAnsiTheme="minorHAnsi" w:cstheme="minorBidi"/>
      <w:lang w:eastAsia="ja-JP"/>
    </w:rPr>
  </w:style>
  <w:style w:type="paragraph" w:styleId="Sumrio6">
    <w:name w:val="toc 6"/>
    <w:basedOn w:val="Normal"/>
    <w:next w:val="Normal"/>
    <w:autoRedefine/>
    <w:uiPriority w:val="39"/>
    <w:unhideWhenUsed/>
    <w:rsid w:val="00893D49"/>
    <w:pPr>
      <w:spacing w:after="100" w:line="259" w:lineRule="auto"/>
      <w:ind w:left="1100"/>
    </w:pPr>
    <w:rPr>
      <w:rFonts w:asciiTheme="minorHAnsi" w:eastAsiaTheme="minorEastAsia" w:hAnsiTheme="minorHAnsi" w:cstheme="minorBidi"/>
      <w:lang w:eastAsia="ja-JP"/>
    </w:rPr>
  </w:style>
  <w:style w:type="paragraph" w:styleId="Sumrio7">
    <w:name w:val="toc 7"/>
    <w:basedOn w:val="Normal"/>
    <w:next w:val="Normal"/>
    <w:autoRedefine/>
    <w:uiPriority w:val="39"/>
    <w:unhideWhenUsed/>
    <w:rsid w:val="00893D49"/>
    <w:pPr>
      <w:spacing w:after="100" w:line="259" w:lineRule="auto"/>
      <w:ind w:left="1320"/>
    </w:pPr>
    <w:rPr>
      <w:rFonts w:asciiTheme="minorHAnsi" w:eastAsiaTheme="minorEastAsia" w:hAnsiTheme="minorHAnsi" w:cstheme="minorBidi"/>
      <w:lang w:eastAsia="ja-JP"/>
    </w:rPr>
  </w:style>
  <w:style w:type="paragraph" w:styleId="Sumrio8">
    <w:name w:val="toc 8"/>
    <w:basedOn w:val="Normal"/>
    <w:next w:val="Normal"/>
    <w:autoRedefine/>
    <w:uiPriority w:val="39"/>
    <w:unhideWhenUsed/>
    <w:rsid w:val="00893D49"/>
    <w:pPr>
      <w:spacing w:after="100" w:line="259" w:lineRule="auto"/>
      <w:ind w:left="1540"/>
    </w:pPr>
    <w:rPr>
      <w:rFonts w:asciiTheme="minorHAnsi" w:eastAsiaTheme="minorEastAsia" w:hAnsiTheme="minorHAnsi" w:cstheme="minorBidi"/>
      <w:lang w:eastAsia="ja-JP"/>
    </w:rPr>
  </w:style>
  <w:style w:type="paragraph" w:styleId="Sumrio9">
    <w:name w:val="toc 9"/>
    <w:basedOn w:val="Normal"/>
    <w:next w:val="Normal"/>
    <w:autoRedefine/>
    <w:uiPriority w:val="39"/>
    <w:unhideWhenUsed/>
    <w:rsid w:val="00893D49"/>
    <w:pPr>
      <w:spacing w:after="100" w:line="259" w:lineRule="auto"/>
      <w:ind w:left="1760"/>
    </w:pPr>
    <w:rPr>
      <w:rFonts w:asciiTheme="minorHAnsi" w:eastAsiaTheme="minorEastAsia" w:hAnsiTheme="minorHAnsi" w:cstheme="minorBidi"/>
      <w:lang w:eastAsia="ja-JP"/>
    </w:rPr>
  </w:style>
  <w:style w:type="paragraph" w:customStyle="1" w:styleId="msonormal0">
    <w:name w:val="msonormal"/>
    <w:basedOn w:val="Normal"/>
    <w:rsid w:val="00893D49"/>
    <w:pPr>
      <w:spacing w:before="100" w:beforeAutospacing="1" w:after="100" w:afterAutospacing="1" w:line="240" w:lineRule="auto"/>
    </w:pPr>
    <w:rPr>
      <w:rFonts w:eastAsia="Times New Roman"/>
      <w:sz w:val="24"/>
      <w:szCs w:val="24"/>
      <w:lang w:eastAsia="pt-BR"/>
    </w:rPr>
  </w:style>
  <w:style w:type="paragraph" w:styleId="Lista">
    <w:name w:val="List"/>
    <w:basedOn w:val="Corpodetexto"/>
    <w:semiHidden/>
    <w:unhideWhenUsed/>
    <w:rsid w:val="00893D49"/>
    <w:pPr>
      <w:suppressAutoHyphens/>
    </w:pPr>
    <w:rPr>
      <w:rFonts w:cs="Tahoma"/>
      <w:szCs w:val="20"/>
      <w:lang w:eastAsia="ar-SA"/>
    </w:rPr>
  </w:style>
  <w:style w:type="paragraph" w:customStyle="1" w:styleId="ListaColorida-nfase11">
    <w:name w:val="Lista Colorida - Ênfase 11"/>
    <w:basedOn w:val="Normal"/>
    <w:uiPriority w:val="34"/>
    <w:qFormat/>
    <w:rsid w:val="00893D49"/>
    <w:pPr>
      <w:ind w:left="720"/>
      <w:contextualSpacing/>
    </w:pPr>
    <w:rPr>
      <w:rFonts w:ascii="Calibri" w:hAnsi="Calibri"/>
    </w:rPr>
  </w:style>
  <w:style w:type="paragraph" w:customStyle="1" w:styleId="GradeMdia21">
    <w:name w:val="Grade Média 21"/>
    <w:uiPriority w:val="1"/>
    <w:qFormat/>
    <w:rsid w:val="002F3D58"/>
    <w:pPr>
      <w:spacing w:after="0" w:line="240" w:lineRule="auto"/>
    </w:pPr>
    <w:rPr>
      <w:rFonts w:ascii="Calibri" w:eastAsia="Calibri" w:hAnsi="Calibri" w:cs="Times New Roman"/>
    </w:rPr>
  </w:style>
  <w:style w:type="paragraph" w:customStyle="1" w:styleId="Corpodetexto21">
    <w:name w:val="Corpo de texto 21"/>
    <w:basedOn w:val="Normal"/>
    <w:rsid w:val="00893D49"/>
    <w:pPr>
      <w:widowControl w:val="0"/>
      <w:suppressAutoHyphens/>
      <w:spacing w:after="0" w:line="340" w:lineRule="exact"/>
      <w:jc w:val="both"/>
    </w:pPr>
    <w:rPr>
      <w:rFonts w:eastAsia="Times New Roman"/>
      <w:sz w:val="26"/>
      <w:szCs w:val="20"/>
      <w:lang w:eastAsia="ar-SA"/>
    </w:rPr>
  </w:style>
  <w:style w:type="paragraph" w:customStyle="1" w:styleId="BNDES">
    <w:name w:val="BNDES"/>
    <w:rsid w:val="002F3D58"/>
    <w:pPr>
      <w:spacing w:after="0" w:line="240" w:lineRule="auto"/>
      <w:jc w:val="both"/>
    </w:pPr>
    <w:rPr>
      <w:rFonts w:ascii="Arial" w:eastAsia="Times New Roman" w:hAnsi="Arial" w:cs="Times New Roman"/>
      <w:sz w:val="24"/>
      <w:szCs w:val="20"/>
      <w:lang w:eastAsia="pt-BR"/>
    </w:rPr>
  </w:style>
  <w:style w:type="paragraph" w:customStyle="1" w:styleId="Legenda1">
    <w:name w:val="Legenda1"/>
    <w:basedOn w:val="Normal"/>
    <w:rsid w:val="00893D49"/>
    <w:pPr>
      <w:suppressLineNumbers/>
      <w:suppressAutoHyphens/>
      <w:spacing w:before="120" w:after="120" w:line="240" w:lineRule="auto"/>
    </w:pPr>
    <w:rPr>
      <w:rFonts w:eastAsia="Times New Roman" w:cs="Tahoma"/>
      <w:i/>
      <w:iCs/>
      <w:sz w:val="24"/>
      <w:szCs w:val="24"/>
      <w:lang w:eastAsia="ar-SA"/>
    </w:rPr>
  </w:style>
  <w:style w:type="paragraph" w:customStyle="1" w:styleId="ndice">
    <w:name w:val="Índice"/>
    <w:basedOn w:val="Normal"/>
    <w:rsid w:val="00893D49"/>
    <w:pPr>
      <w:suppressLineNumbers/>
      <w:suppressAutoHyphens/>
      <w:spacing w:after="0" w:line="240" w:lineRule="auto"/>
    </w:pPr>
    <w:rPr>
      <w:rFonts w:eastAsia="Times New Roman" w:cs="Tahoma"/>
      <w:sz w:val="24"/>
      <w:szCs w:val="20"/>
      <w:lang w:eastAsia="ar-SA"/>
    </w:rPr>
  </w:style>
  <w:style w:type="paragraph" w:customStyle="1" w:styleId="Recuodecorpodetexto21">
    <w:name w:val="Recuo de corpo de texto 21"/>
    <w:basedOn w:val="Normal"/>
    <w:rsid w:val="00893D49"/>
    <w:pPr>
      <w:suppressAutoHyphens/>
      <w:spacing w:after="0" w:line="240" w:lineRule="auto"/>
      <w:ind w:firstLine="708"/>
      <w:jc w:val="both"/>
    </w:pPr>
    <w:rPr>
      <w:rFonts w:eastAsia="Times New Roman"/>
      <w:sz w:val="24"/>
      <w:szCs w:val="20"/>
      <w:lang w:eastAsia="ar-SA"/>
    </w:rPr>
  </w:style>
  <w:style w:type="paragraph" w:customStyle="1" w:styleId="Corpodetexto31">
    <w:name w:val="Corpo de texto 31"/>
    <w:basedOn w:val="Normal"/>
    <w:rsid w:val="00893D49"/>
    <w:pPr>
      <w:suppressAutoHyphens/>
      <w:spacing w:after="0" w:line="240" w:lineRule="auto"/>
    </w:pPr>
    <w:rPr>
      <w:rFonts w:eastAsia="Times New Roman"/>
      <w:sz w:val="12"/>
      <w:szCs w:val="20"/>
      <w:u w:val="single"/>
      <w:lang w:eastAsia="ar-SA"/>
    </w:rPr>
  </w:style>
  <w:style w:type="paragraph" w:customStyle="1" w:styleId="Recuodecorpodetexto31">
    <w:name w:val="Recuo de corpo de texto 31"/>
    <w:basedOn w:val="Normal"/>
    <w:rsid w:val="00893D49"/>
    <w:pPr>
      <w:suppressAutoHyphens/>
      <w:spacing w:after="0" w:line="240" w:lineRule="auto"/>
      <w:ind w:firstLine="708"/>
      <w:jc w:val="both"/>
    </w:pPr>
    <w:rPr>
      <w:rFonts w:eastAsia="Times New Roman"/>
      <w:sz w:val="24"/>
      <w:szCs w:val="20"/>
      <w:u w:val="single"/>
      <w:lang w:eastAsia="ar-SA"/>
    </w:rPr>
  </w:style>
  <w:style w:type="paragraph" w:customStyle="1" w:styleId="MapadoDocumento1">
    <w:name w:val="Mapa do Documento1"/>
    <w:basedOn w:val="Normal"/>
    <w:rsid w:val="00893D49"/>
    <w:pPr>
      <w:shd w:val="clear" w:color="auto" w:fill="000080"/>
      <w:suppressAutoHyphens/>
      <w:spacing w:after="0" w:line="240" w:lineRule="auto"/>
    </w:pPr>
    <w:rPr>
      <w:rFonts w:ascii="Tahoma" w:eastAsia="Times New Roman" w:hAnsi="Tahoma"/>
      <w:sz w:val="24"/>
      <w:szCs w:val="20"/>
      <w:lang w:eastAsia="ar-SA"/>
    </w:rPr>
  </w:style>
  <w:style w:type="paragraph" w:customStyle="1" w:styleId="Corpodetexto211">
    <w:name w:val="Corpo de texto 211"/>
    <w:basedOn w:val="Normal"/>
    <w:rsid w:val="00893D49"/>
    <w:pPr>
      <w:suppressAutoHyphens/>
      <w:spacing w:after="0" w:line="360" w:lineRule="exact"/>
      <w:jc w:val="both"/>
    </w:pPr>
    <w:rPr>
      <w:rFonts w:eastAsia="Times New Roman"/>
      <w:sz w:val="24"/>
      <w:szCs w:val="20"/>
      <w:lang w:eastAsia="ar-SA"/>
    </w:rPr>
  </w:style>
  <w:style w:type="paragraph" w:customStyle="1" w:styleId="Textoembloco1">
    <w:name w:val="Texto em bloco1"/>
    <w:basedOn w:val="Normal"/>
    <w:rsid w:val="00893D49"/>
    <w:pPr>
      <w:suppressAutoHyphens/>
      <w:spacing w:before="100" w:after="100" w:line="240" w:lineRule="auto"/>
      <w:ind w:left="851" w:right="-1"/>
      <w:jc w:val="both"/>
    </w:pPr>
    <w:rPr>
      <w:rFonts w:eastAsia="Times New Roman"/>
      <w:sz w:val="24"/>
      <w:szCs w:val="20"/>
      <w:lang w:eastAsia="ar-SA"/>
    </w:rPr>
  </w:style>
  <w:style w:type="paragraph" w:customStyle="1" w:styleId="Numerada1">
    <w:name w:val="Numerada1"/>
    <w:basedOn w:val="Normal"/>
    <w:rsid w:val="00893D49"/>
    <w:pPr>
      <w:suppressAutoHyphens/>
      <w:autoSpaceDE w:val="0"/>
      <w:spacing w:after="0" w:line="300" w:lineRule="exact"/>
      <w:ind w:firstLine="1418"/>
      <w:jc w:val="both"/>
    </w:pPr>
    <w:rPr>
      <w:rFonts w:eastAsia="Times New Roman"/>
      <w:sz w:val="24"/>
      <w:szCs w:val="20"/>
      <w:lang w:eastAsia="ar-SA"/>
    </w:rPr>
  </w:style>
  <w:style w:type="paragraph" w:customStyle="1" w:styleId="Contedodetabela">
    <w:name w:val="Conteúdo de tabela"/>
    <w:basedOn w:val="Normal"/>
    <w:rsid w:val="00893D49"/>
    <w:pPr>
      <w:suppressLineNumbers/>
      <w:suppressAutoHyphens/>
      <w:spacing w:after="0" w:line="240" w:lineRule="auto"/>
    </w:pPr>
    <w:rPr>
      <w:rFonts w:eastAsia="Times New Roman"/>
      <w:sz w:val="24"/>
      <w:szCs w:val="20"/>
      <w:lang w:eastAsia="ar-SA"/>
    </w:rPr>
  </w:style>
  <w:style w:type="paragraph" w:customStyle="1" w:styleId="Ttulodetabela">
    <w:name w:val="Título de tabela"/>
    <w:basedOn w:val="Contedodetabela"/>
    <w:rsid w:val="00893D49"/>
    <w:pPr>
      <w:jc w:val="center"/>
    </w:pPr>
    <w:rPr>
      <w:b/>
      <w:bCs/>
    </w:rPr>
  </w:style>
  <w:style w:type="paragraph" w:customStyle="1" w:styleId="Contedodequadro">
    <w:name w:val="Conteúdo de quadro"/>
    <w:basedOn w:val="Corpodetexto"/>
    <w:rsid w:val="00893D49"/>
    <w:pPr>
      <w:suppressAutoHyphens/>
    </w:pPr>
    <w:rPr>
      <w:szCs w:val="20"/>
      <w:lang w:eastAsia="ar-SA"/>
    </w:rPr>
  </w:style>
  <w:style w:type="character" w:customStyle="1" w:styleId="apple-converted-space">
    <w:name w:val="apple-converted-space"/>
    <w:rsid w:val="00893D49"/>
  </w:style>
  <w:style w:type="character" w:customStyle="1" w:styleId="Caracteresdenotaderodap">
    <w:name w:val="Caracteres de nota de rodapé"/>
    <w:basedOn w:val="Fontepargpadro"/>
    <w:rsid w:val="00893D49"/>
    <w:rPr>
      <w:vertAlign w:val="superscript"/>
    </w:rPr>
  </w:style>
  <w:style w:type="character" w:customStyle="1" w:styleId="WW8Num2z0">
    <w:name w:val="WW8Num2z0"/>
    <w:rsid w:val="00893D49"/>
    <w:rPr>
      <w:rFonts w:ascii="Symbol" w:hAnsi="Symbol" w:hint="default"/>
    </w:rPr>
  </w:style>
  <w:style w:type="character" w:customStyle="1" w:styleId="WW8Num2z1">
    <w:name w:val="WW8Num2z1"/>
    <w:rsid w:val="00893D49"/>
    <w:rPr>
      <w:rFonts w:ascii="Courier New" w:hAnsi="Courier New" w:cs="Courier New" w:hint="default"/>
    </w:rPr>
  </w:style>
  <w:style w:type="character" w:customStyle="1" w:styleId="WW8Num2z2">
    <w:name w:val="WW8Num2z2"/>
    <w:rsid w:val="00893D49"/>
    <w:rPr>
      <w:rFonts w:ascii="Wingdings" w:hAnsi="Wingdings" w:hint="default"/>
    </w:rPr>
  </w:style>
  <w:style w:type="character" w:customStyle="1" w:styleId="WW8Num3z0">
    <w:name w:val="WW8Num3z0"/>
    <w:rsid w:val="00893D49"/>
    <w:rPr>
      <w:rFonts w:ascii="Wingdings" w:hAnsi="Wingdings" w:hint="default"/>
    </w:rPr>
  </w:style>
  <w:style w:type="character" w:customStyle="1" w:styleId="Fontepargpadro1">
    <w:name w:val="Fonte parág. padrão1"/>
    <w:rsid w:val="00893D49"/>
  </w:style>
  <w:style w:type="character" w:customStyle="1" w:styleId="Marcas">
    <w:name w:val="Marcas"/>
    <w:rsid w:val="00893D49"/>
    <w:rPr>
      <w:rFonts w:ascii="OpenSymbol" w:eastAsia="OpenSymbol" w:hAnsi="OpenSymbol" w:cs="OpenSymbol" w:hint="default"/>
    </w:rPr>
  </w:style>
  <w:style w:type="paragraph" w:customStyle="1" w:styleId="xxmsocommenttext">
    <w:name w:val="x_x_msocommenttext"/>
    <w:basedOn w:val="Normal"/>
    <w:rsid w:val="00893D49"/>
    <w:pPr>
      <w:spacing w:before="100" w:beforeAutospacing="1" w:after="100" w:afterAutospacing="1" w:line="240" w:lineRule="auto"/>
    </w:pPr>
    <w:rPr>
      <w:rFonts w:eastAsia="Times New Roman"/>
      <w:sz w:val="24"/>
      <w:szCs w:val="24"/>
      <w:lang w:eastAsia="pt-BR"/>
    </w:rPr>
  </w:style>
  <w:style w:type="paragraph" w:customStyle="1" w:styleId="Captulo">
    <w:name w:val="Capítulo"/>
    <w:basedOn w:val="Normal"/>
    <w:next w:val="Normal"/>
    <w:qFormat/>
    <w:rsid w:val="00893D49"/>
    <w:pPr>
      <w:keepNext/>
      <w:spacing w:before="360" w:after="120" w:line="312" w:lineRule="auto"/>
      <w:ind w:firstLine="567"/>
      <w:jc w:val="center"/>
      <w:outlineLvl w:val="1"/>
    </w:pPr>
    <w:rPr>
      <w:rFonts w:ascii="Calibri" w:hAnsi="Calibri" w:cs="Calibri"/>
      <w:caps/>
      <w:sz w:val="24"/>
      <w:szCs w:val="24"/>
    </w:rPr>
  </w:style>
  <w:style w:type="paragraph" w:customStyle="1" w:styleId="Ementa">
    <w:name w:val="Ementa"/>
    <w:basedOn w:val="Normal"/>
    <w:next w:val="Normal"/>
    <w:qFormat/>
    <w:rsid w:val="00893D49"/>
    <w:pPr>
      <w:spacing w:before="120" w:after="120" w:line="312" w:lineRule="auto"/>
      <w:ind w:left="5103"/>
      <w:jc w:val="both"/>
    </w:pPr>
    <w:rPr>
      <w:rFonts w:ascii="Calibri" w:hAnsi="Calibri" w:cs="Calibri"/>
      <w:sz w:val="24"/>
      <w:szCs w:val="24"/>
    </w:rPr>
  </w:style>
  <w:style w:type="paragraph" w:customStyle="1" w:styleId="TtulodaResoluo">
    <w:name w:val="Título da Resolução"/>
    <w:basedOn w:val="Normal"/>
    <w:next w:val="Normal"/>
    <w:qFormat/>
    <w:rsid w:val="00893D49"/>
    <w:pPr>
      <w:keepNext/>
      <w:spacing w:before="120" w:after="120" w:line="312" w:lineRule="auto"/>
      <w:ind w:firstLine="567"/>
      <w:jc w:val="center"/>
      <w:outlineLvl w:val="0"/>
    </w:pPr>
    <w:rPr>
      <w:rFonts w:ascii="Calibri" w:hAnsi="Calibri" w:cs="Calibri"/>
      <w:caps/>
      <w:sz w:val="24"/>
      <w:szCs w:val="24"/>
    </w:rPr>
  </w:style>
  <w:style w:type="paragraph" w:customStyle="1" w:styleId="Seo">
    <w:name w:val="Seção"/>
    <w:basedOn w:val="Normal"/>
    <w:next w:val="Normal"/>
    <w:link w:val="SeoChar"/>
    <w:qFormat/>
    <w:rsid w:val="00893D49"/>
    <w:pPr>
      <w:keepNext/>
      <w:spacing w:before="120" w:after="120" w:line="312" w:lineRule="auto"/>
      <w:ind w:firstLine="567"/>
      <w:jc w:val="center"/>
      <w:outlineLvl w:val="2"/>
    </w:pPr>
    <w:rPr>
      <w:rFonts w:ascii="Calibri" w:hAnsi="Calibri" w:cs="Calibri"/>
      <w:b/>
      <w:sz w:val="24"/>
      <w:szCs w:val="24"/>
    </w:rPr>
  </w:style>
  <w:style w:type="character" w:customStyle="1" w:styleId="SeoChar">
    <w:name w:val="Seção Char"/>
    <w:basedOn w:val="Fontepargpadro"/>
    <w:link w:val="Seo"/>
    <w:rsid w:val="00893D49"/>
    <w:rPr>
      <w:rFonts w:ascii="Calibri" w:eastAsia="Calibri" w:hAnsi="Calibri" w:cs="Calibri"/>
      <w:b/>
      <w:sz w:val="24"/>
      <w:szCs w:val="24"/>
    </w:rPr>
  </w:style>
  <w:style w:type="paragraph" w:customStyle="1" w:styleId="seo0">
    <w:name w:val="seção"/>
    <w:basedOn w:val="Seo"/>
    <w:link w:val="seoChar0"/>
    <w:rsid w:val="002F3D58"/>
    <w:rPr>
      <w:rFonts w:cstheme="minorHAnsi"/>
    </w:rPr>
  </w:style>
  <w:style w:type="character" w:customStyle="1" w:styleId="seoChar0">
    <w:name w:val="seção Char"/>
    <w:basedOn w:val="SeoChar"/>
    <w:link w:val="seo0"/>
    <w:rsid w:val="00893D49"/>
    <w:rPr>
      <w:rFonts w:ascii="Calibri" w:eastAsia="Calibri" w:hAnsi="Calibri" w:cstheme="minorHAnsi"/>
      <w:b/>
      <w:sz w:val="24"/>
      <w:szCs w:val="24"/>
    </w:rPr>
  </w:style>
  <w:style w:type="character" w:customStyle="1" w:styleId="Meno1">
    <w:name w:val="Menção1"/>
    <w:basedOn w:val="Fontepargpadro"/>
    <w:uiPriority w:val="99"/>
    <w:unhideWhenUsed/>
    <w:rsid w:val="00893D49"/>
    <w:rPr>
      <w:color w:val="2B579A"/>
      <w:shd w:val="clear" w:color="auto" w:fill="E6E6E6"/>
    </w:rPr>
  </w:style>
  <w:style w:type="character" w:styleId="Refdecomentrio">
    <w:name w:val="annotation reference"/>
    <w:basedOn w:val="Fontepargpadro"/>
    <w:uiPriority w:val="99"/>
    <w:semiHidden/>
    <w:unhideWhenUsed/>
    <w:rsid w:val="00F137A1"/>
    <w:rPr>
      <w:sz w:val="16"/>
      <w:szCs w:val="16"/>
    </w:rPr>
  </w:style>
  <w:style w:type="character" w:customStyle="1" w:styleId="Meno10">
    <w:name w:val="Menção10"/>
    <w:basedOn w:val="Fontepargpadro"/>
    <w:uiPriority w:val="99"/>
    <w:unhideWhenUsed/>
    <w:rsid w:val="00905BEC"/>
    <w:rPr>
      <w:color w:val="2B579A"/>
      <w:shd w:val="clear" w:color="auto" w:fill="E6E6E6"/>
    </w:rPr>
  </w:style>
  <w:style w:type="paragraph" w:styleId="Reviso">
    <w:name w:val="Revision"/>
    <w:hidden/>
    <w:semiHidden/>
    <w:rsid w:val="002F3D58"/>
    <w:pPr>
      <w:spacing w:after="0" w:line="240" w:lineRule="auto"/>
    </w:pPr>
    <w:rPr>
      <w:rFonts w:ascii="Times New Roman" w:eastAsia="Calibri" w:hAnsi="Times New Roman" w:cs="Times New Roman"/>
    </w:rPr>
  </w:style>
  <w:style w:type="character" w:customStyle="1" w:styleId="Mencionar1">
    <w:name w:val="Mencionar1"/>
    <w:basedOn w:val="Fontepargpadro"/>
    <w:uiPriority w:val="99"/>
    <w:unhideWhenUsed/>
    <w:rsid w:val="00CC166E"/>
    <w:rPr>
      <w:color w:val="2B579A"/>
      <w:shd w:val="clear" w:color="auto" w:fill="E6E6E6"/>
    </w:rPr>
  </w:style>
  <w:style w:type="table" w:styleId="Tabelacomgrade">
    <w:name w:val="Table Grid"/>
    <w:basedOn w:val="Tabelanormal"/>
    <w:uiPriority w:val="59"/>
    <w:rsid w:val="002F3D58"/>
    <w:pPr>
      <w:spacing w:after="0" w:line="240" w:lineRule="auto"/>
    </w:pPr>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2F3D58"/>
    <w:rPr>
      <w:color w:val="605E5C"/>
      <w:shd w:val="clear" w:color="auto" w:fill="E1DFDD"/>
    </w:rPr>
  </w:style>
  <w:style w:type="character" w:styleId="HiperlinkVisitado">
    <w:name w:val="FollowedHyperlink"/>
    <w:basedOn w:val="Fontepargpadro"/>
    <w:semiHidden/>
    <w:unhideWhenUsed/>
    <w:rsid w:val="002F3D58"/>
    <w:rPr>
      <w:color w:val="954F72" w:themeColor="followedHyperlink"/>
      <w:u w:val="single"/>
    </w:rPr>
  </w:style>
  <w:style w:type="character" w:styleId="Nmerodepgina">
    <w:name w:val="page number"/>
    <w:basedOn w:val="Fontepargpadro"/>
    <w:semiHidden/>
    <w:rsid w:val="002F3D58"/>
  </w:style>
  <w:style w:type="character" w:styleId="Refdenotadefim">
    <w:name w:val="endnote reference"/>
    <w:uiPriority w:val="99"/>
    <w:semiHidden/>
    <w:unhideWhenUsed/>
    <w:rsid w:val="002F3D58"/>
    <w:rPr>
      <w:vertAlign w:val="superscript"/>
    </w:rPr>
  </w:style>
  <w:style w:type="character" w:customStyle="1" w:styleId="MenoNoResolvida1">
    <w:name w:val="Menção Não Resolvida1"/>
    <w:uiPriority w:val="99"/>
    <w:semiHidden/>
    <w:unhideWhenUsed/>
    <w:rsid w:val="002F3D58"/>
    <w:rPr>
      <w:color w:val="605E5C"/>
      <w:shd w:val="clear" w:color="auto" w:fill="E1DFDD"/>
    </w:rPr>
  </w:style>
  <w:style w:type="character" w:styleId="TextodoEspaoReservado">
    <w:name w:val="Placeholder Text"/>
    <w:basedOn w:val="Fontepargpadro"/>
    <w:uiPriority w:val="99"/>
    <w:semiHidden/>
    <w:rsid w:val="002F3D58"/>
    <w:rPr>
      <w:color w:val="808080"/>
    </w:rPr>
  </w:style>
  <w:style w:type="character" w:customStyle="1" w:styleId="findhit">
    <w:name w:val="findhit"/>
    <w:basedOn w:val="Fontepargpadro"/>
    <w:rsid w:val="00C20BBD"/>
  </w:style>
  <w:style w:type="character" w:styleId="Forte">
    <w:name w:val="Strong"/>
    <w:basedOn w:val="Fontepargpadro"/>
    <w:uiPriority w:val="22"/>
    <w:qFormat/>
    <w:rsid w:val="00C20BBD"/>
    <w:rPr>
      <w:b/>
      <w:bCs/>
    </w:rPr>
  </w:style>
  <w:style w:type="character" w:customStyle="1" w:styleId="ui-provider">
    <w:name w:val="ui-provider"/>
    <w:basedOn w:val="Fontepargpadro"/>
    <w:rsid w:val="0062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746">
      <w:bodyDiv w:val="1"/>
      <w:marLeft w:val="0"/>
      <w:marRight w:val="0"/>
      <w:marTop w:val="0"/>
      <w:marBottom w:val="0"/>
      <w:divBdr>
        <w:top w:val="none" w:sz="0" w:space="0" w:color="auto"/>
        <w:left w:val="none" w:sz="0" w:space="0" w:color="auto"/>
        <w:bottom w:val="none" w:sz="0" w:space="0" w:color="auto"/>
        <w:right w:val="none" w:sz="0" w:space="0" w:color="auto"/>
      </w:divBdr>
    </w:div>
    <w:div w:id="107820338">
      <w:bodyDiv w:val="1"/>
      <w:marLeft w:val="0"/>
      <w:marRight w:val="0"/>
      <w:marTop w:val="0"/>
      <w:marBottom w:val="0"/>
      <w:divBdr>
        <w:top w:val="none" w:sz="0" w:space="0" w:color="auto"/>
        <w:left w:val="none" w:sz="0" w:space="0" w:color="auto"/>
        <w:bottom w:val="none" w:sz="0" w:space="0" w:color="auto"/>
        <w:right w:val="none" w:sz="0" w:space="0" w:color="auto"/>
      </w:divBdr>
    </w:div>
    <w:div w:id="120155393">
      <w:bodyDiv w:val="1"/>
      <w:marLeft w:val="0"/>
      <w:marRight w:val="0"/>
      <w:marTop w:val="0"/>
      <w:marBottom w:val="0"/>
      <w:divBdr>
        <w:top w:val="none" w:sz="0" w:space="0" w:color="auto"/>
        <w:left w:val="none" w:sz="0" w:space="0" w:color="auto"/>
        <w:bottom w:val="none" w:sz="0" w:space="0" w:color="auto"/>
        <w:right w:val="none" w:sz="0" w:space="0" w:color="auto"/>
      </w:divBdr>
    </w:div>
    <w:div w:id="156042784">
      <w:bodyDiv w:val="1"/>
      <w:marLeft w:val="0"/>
      <w:marRight w:val="0"/>
      <w:marTop w:val="0"/>
      <w:marBottom w:val="0"/>
      <w:divBdr>
        <w:top w:val="none" w:sz="0" w:space="0" w:color="auto"/>
        <w:left w:val="none" w:sz="0" w:space="0" w:color="auto"/>
        <w:bottom w:val="none" w:sz="0" w:space="0" w:color="auto"/>
        <w:right w:val="none" w:sz="0" w:space="0" w:color="auto"/>
      </w:divBdr>
    </w:div>
    <w:div w:id="170730568">
      <w:bodyDiv w:val="1"/>
      <w:marLeft w:val="0"/>
      <w:marRight w:val="0"/>
      <w:marTop w:val="0"/>
      <w:marBottom w:val="0"/>
      <w:divBdr>
        <w:top w:val="none" w:sz="0" w:space="0" w:color="auto"/>
        <w:left w:val="none" w:sz="0" w:space="0" w:color="auto"/>
        <w:bottom w:val="none" w:sz="0" w:space="0" w:color="auto"/>
        <w:right w:val="none" w:sz="0" w:space="0" w:color="auto"/>
      </w:divBdr>
    </w:div>
    <w:div w:id="284392346">
      <w:bodyDiv w:val="1"/>
      <w:marLeft w:val="0"/>
      <w:marRight w:val="0"/>
      <w:marTop w:val="0"/>
      <w:marBottom w:val="0"/>
      <w:divBdr>
        <w:top w:val="none" w:sz="0" w:space="0" w:color="auto"/>
        <w:left w:val="none" w:sz="0" w:space="0" w:color="auto"/>
        <w:bottom w:val="none" w:sz="0" w:space="0" w:color="auto"/>
        <w:right w:val="none" w:sz="0" w:space="0" w:color="auto"/>
      </w:divBdr>
    </w:div>
    <w:div w:id="295572584">
      <w:bodyDiv w:val="1"/>
      <w:marLeft w:val="0"/>
      <w:marRight w:val="0"/>
      <w:marTop w:val="0"/>
      <w:marBottom w:val="0"/>
      <w:divBdr>
        <w:top w:val="none" w:sz="0" w:space="0" w:color="auto"/>
        <w:left w:val="none" w:sz="0" w:space="0" w:color="auto"/>
        <w:bottom w:val="none" w:sz="0" w:space="0" w:color="auto"/>
        <w:right w:val="none" w:sz="0" w:space="0" w:color="auto"/>
      </w:divBdr>
    </w:div>
    <w:div w:id="303434868">
      <w:bodyDiv w:val="1"/>
      <w:marLeft w:val="0"/>
      <w:marRight w:val="0"/>
      <w:marTop w:val="0"/>
      <w:marBottom w:val="0"/>
      <w:divBdr>
        <w:top w:val="none" w:sz="0" w:space="0" w:color="auto"/>
        <w:left w:val="none" w:sz="0" w:space="0" w:color="auto"/>
        <w:bottom w:val="none" w:sz="0" w:space="0" w:color="auto"/>
        <w:right w:val="none" w:sz="0" w:space="0" w:color="auto"/>
      </w:divBdr>
    </w:div>
    <w:div w:id="306665204">
      <w:bodyDiv w:val="1"/>
      <w:marLeft w:val="0"/>
      <w:marRight w:val="0"/>
      <w:marTop w:val="0"/>
      <w:marBottom w:val="0"/>
      <w:divBdr>
        <w:top w:val="none" w:sz="0" w:space="0" w:color="auto"/>
        <w:left w:val="none" w:sz="0" w:space="0" w:color="auto"/>
        <w:bottom w:val="none" w:sz="0" w:space="0" w:color="auto"/>
        <w:right w:val="none" w:sz="0" w:space="0" w:color="auto"/>
      </w:divBdr>
      <w:divsChild>
        <w:div w:id="48310944">
          <w:marLeft w:val="0"/>
          <w:marRight w:val="0"/>
          <w:marTop w:val="0"/>
          <w:marBottom w:val="0"/>
          <w:divBdr>
            <w:top w:val="none" w:sz="0" w:space="0" w:color="auto"/>
            <w:left w:val="none" w:sz="0" w:space="0" w:color="auto"/>
            <w:bottom w:val="none" w:sz="0" w:space="0" w:color="auto"/>
            <w:right w:val="none" w:sz="0" w:space="0" w:color="auto"/>
          </w:divBdr>
        </w:div>
        <w:div w:id="291207543">
          <w:marLeft w:val="0"/>
          <w:marRight w:val="0"/>
          <w:marTop w:val="0"/>
          <w:marBottom w:val="0"/>
          <w:divBdr>
            <w:top w:val="none" w:sz="0" w:space="0" w:color="auto"/>
            <w:left w:val="none" w:sz="0" w:space="0" w:color="auto"/>
            <w:bottom w:val="none" w:sz="0" w:space="0" w:color="auto"/>
            <w:right w:val="none" w:sz="0" w:space="0" w:color="auto"/>
          </w:divBdr>
        </w:div>
        <w:div w:id="345181266">
          <w:marLeft w:val="0"/>
          <w:marRight w:val="0"/>
          <w:marTop w:val="0"/>
          <w:marBottom w:val="0"/>
          <w:divBdr>
            <w:top w:val="none" w:sz="0" w:space="0" w:color="auto"/>
            <w:left w:val="none" w:sz="0" w:space="0" w:color="auto"/>
            <w:bottom w:val="none" w:sz="0" w:space="0" w:color="auto"/>
            <w:right w:val="none" w:sz="0" w:space="0" w:color="auto"/>
          </w:divBdr>
        </w:div>
        <w:div w:id="864907225">
          <w:marLeft w:val="0"/>
          <w:marRight w:val="0"/>
          <w:marTop w:val="0"/>
          <w:marBottom w:val="0"/>
          <w:divBdr>
            <w:top w:val="none" w:sz="0" w:space="0" w:color="auto"/>
            <w:left w:val="none" w:sz="0" w:space="0" w:color="auto"/>
            <w:bottom w:val="none" w:sz="0" w:space="0" w:color="auto"/>
            <w:right w:val="none" w:sz="0" w:space="0" w:color="auto"/>
          </w:divBdr>
        </w:div>
        <w:div w:id="1158883194">
          <w:marLeft w:val="0"/>
          <w:marRight w:val="0"/>
          <w:marTop w:val="0"/>
          <w:marBottom w:val="0"/>
          <w:divBdr>
            <w:top w:val="none" w:sz="0" w:space="0" w:color="auto"/>
            <w:left w:val="none" w:sz="0" w:space="0" w:color="auto"/>
            <w:bottom w:val="none" w:sz="0" w:space="0" w:color="auto"/>
            <w:right w:val="none" w:sz="0" w:space="0" w:color="auto"/>
          </w:divBdr>
        </w:div>
        <w:div w:id="2110270414">
          <w:marLeft w:val="0"/>
          <w:marRight w:val="0"/>
          <w:marTop w:val="0"/>
          <w:marBottom w:val="0"/>
          <w:divBdr>
            <w:top w:val="none" w:sz="0" w:space="0" w:color="auto"/>
            <w:left w:val="none" w:sz="0" w:space="0" w:color="auto"/>
            <w:bottom w:val="none" w:sz="0" w:space="0" w:color="auto"/>
            <w:right w:val="none" w:sz="0" w:space="0" w:color="auto"/>
          </w:divBdr>
        </w:div>
      </w:divsChild>
    </w:div>
    <w:div w:id="473916317">
      <w:bodyDiv w:val="1"/>
      <w:marLeft w:val="0"/>
      <w:marRight w:val="0"/>
      <w:marTop w:val="0"/>
      <w:marBottom w:val="0"/>
      <w:divBdr>
        <w:top w:val="none" w:sz="0" w:space="0" w:color="auto"/>
        <w:left w:val="none" w:sz="0" w:space="0" w:color="auto"/>
        <w:bottom w:val="none" w:sz="0" w:space="0" w:color="auto"/>
        <w:right w:val="none" w:sz="0" w:space="0" w:color="auto"/>
      </w:divBdr>
    </w:div>
    <w:div w:id="522790772">
      <w:bodyDiv w:val="1"/>
      <w:marLeft w:val="0"/>
      <w:marRight w:val="0"/>
      <w:marTop w:val="0"/>
      <w:marBottom w:val="0"/>
      <w:divBdr>
        <w:top w:val="none" w:sz="0" w:space="0" w:color="auto"/>
        <w:left w:val="none" w:sz="0" w:space="0" w:color="auto"/>
        <w:bottom w:val="none" w:sz="0" w:space="0" w:color="auto"/>
        <w:right w:val="none" w:sz="0" w:space="0" w:color="auto"/>
      </w:divBdr>
      <w:divsChild>
        <w:div w:id="1135172865">
          <w:marLeft w:val="0"/>
          <w:marRight w:val="0"/>
          <w:marTop w:val="0"/>
          <w:marBottom w:val="0"/>
          <w:divBdr>
            <w:top w:val="none" w:sz="0" w:space="0" w:color="auto"/>
            <w:left w:val="none" w:sz="0" w:space="0" w:color="auto"/>
            <w:bottom w:val="none" w:sz="0" w:space="0" w:color="auto"/>
            <w:right w:val="none" w:sz="0" w:space="0" w:color="auto"/>
          </w:divBdr>
        </w:div>
      </w:divsChild>
    </w:div>
    <w:div w:id="582183773">
      <w:bodyDiv w:val="1"/>
      <w:marLeft w:val="0"/>
      <w:marRight w:val="0"/>
      <w:marTop w:val="0"/>
      <w:marBottom w:val="0"/>
      <w:divBdr>
        <w:top w:val="none" w:sz="0" w:space="0" w:color="auto"/>
        <w:left w:val="none" w:sz="0" w:space="0" w:color="auto"/>
        <w:bottom w:val="none" w:sz="0" w:space="0" w:color="auto"/>
        <w:right w:val="none" w:sz="0" w:space="0" w:color="auto"/>
      </w:divBdr>
      <w:divsChild>
        <w:div w:id="12075052">
          <w:marLeft w:val="0"/>
          <w:marRight w:val="0"/>
          <w:marTop w:val="0"/>
          <w:marBottom w:val="0"/>
          <w:divBdr>
            <w:top w:val="none" w:sz="0" w:space="0" w:color="auto"/>
            <w:left w:val="none" w:sz="0" w:space="0" w:color="auto"/>
            <w:bottom w:val="none" w:sz="0" w:space="0" w:color="auto"/>
            <w:right w:val="none" w:sz="0" w:space="0" w:color="auto"/>
          </w:divBdr>
        </w:div>
        <w:div w:id="69010166">
          <w:marLeft w:val="0"/>
          <w:marRight w:val="0"/>
          <w:marTop w:val="0"/>
          <w:marBottom w:val="0"/>
          <w:divBdr>
            <w:top w:val="none" w:sz="0" w:space="0" w:color="auto"/>
            <w:left w:val="none" w:sz="0" w:space="0" w:color="auto"/>
            <w:bottom w:val="none" w:sz="0" w:space="0" w:color="auto"/>
            <w:right w:val="none" w:sz="0" w:space="0" w:color="auto"/>
          </w:divBdr>
        </w:div>
        <w:div w:id="1706373145">
          <w:marLeft w:val="0"/>
          <w:marRight w:val="0"/>
          <w:marTop w:val="0"/>
          <w:marBottom w:val="0"/>
          <w:divBdr>
            <w:top w:val="none" w:sz="0" w:space="0" w:color="auto"/>
            <w:left w:val="none" w:sz="0" w:space="0" w:color="auto"/>
            <w:bottom w:val="none" w:sz="0" w:space="0" w:color="auto"/>
            <w:right w:val="none" w:sz="0" w:space="0" w:color="auto"/>
          </w:divBdr>
        </w:div>
      </w:divsChild>
    </w:div>
    <w:div w:id="616256525">
      <w:bodyDiv w:val="1"/>
      <w:marLeft w:val="0"/>
      <w:marRight w:val="0"/>
      <w:marTop w:val="0"/>
      <w:marBottom w:val="0"/>
      <w:divBdr>
        <w:top w:val="none" w:sz="0" w:space="0" w:color="auto"/>
        <w:left w:val="none" w:sz="0" w:space="0" w:color="auto"/>
        <w:bottom w:val="none" w:sz="0" w:space="0" w:color="auto"/>
        <w:right w:val="none" w:sz="0" w:space="0" w:color="auto"/>
      </w:divBdr>
      <w:divsChild>
        <w:div w:id="12848885">
          <w:marLeft w:val="331"/>
          <w:marRight w:val="0"/>
          <w:marTop w:val="0"/>
          <w:marBottom w:val="0"/>
          <w:divBdr>
            <w:top w:val="none" w:sz="0" w:space="0" w:color="auto"/>
            <w:left w:val="none" w:sz="0" w:space="0" w:color="auto"/>
            <w:bottom w:val="none" w:sz="0" w:space="0" w:color="auto"/>
            <w:right w:val="none" w:sz="0" w:space="0" w:color="auto"/>
          </w:divBdr>
        </w:div>
        <w:div w:id="86193476">
          <w:marLeft w:val="331"/>
          <w:marRight w:val="0"/>
          <w:marTop w:val="0"/>
          <w:marBottom w:val="0"/>
          <w:divBdr>
            <w:top w:val="none" w:sz="0" w:space="0" w:color="auto"/>
            <w:left w:val="none" w:sz="0" w:space="0" w:color="auto"/>
            <w:bottom w:val="none" w:sz="0" w:space="0" w:color="auto"/>
            <w:right w:val="none" w:sz="0" w:space="0" w:color="auto"/>
          </w:divBdr>
        </w:div>
        <w:div w:id="439834072">
          <w:marLeft w:val="331"/>
          <w:marRight w:val="0"/>
          <w:marTop w:val="0"/>
          <w:marBottom w:val="0"/>
          <w:divBdr>
            <w:top w:val="none" w:sz="0" w:space="0" w:color="auto"/>
            <w:left w:val="none" w:sz="0" w:space="0" w:color="auto"/>
            <w:bottom w:val="none" w:sz="0" w:space="0" w:color="auto"/>
            <w:right w:val="none" w:sz="0" w:space="0" w:color="auto"/>
          </w:divBdr>
        </w:div>
        <w:div w:id="862523546">
          <w:marLeft w:val="331"/>
          <w:marRight w:val="0"/>
          <w:marTop w:val="0"/>
          <w:marBottom w:val="0"/>
          <w:divBdr>
            <w:top w:val="none" w:sz="0" w:space="0" w:color="auto"/>
            <w:left w:val="none" w:sz="0" w:space="0" w:color="auto"/>
            <w:bottom w:val="none" w:sz="0" w:space="0" w:color="auto"/>
            <w:right w:val="none" w:sz="0" w:space="0" w:color="auto"/>
          </w:divBdr>
        </w:div>
        <w:div w:id="889192591">
          <w:marLeft w:val="331"/>
          <w:marRight w:val="0"/>
          <w:marTop w:val="0"/>
          <w:marBottom w:val="0"/>
          <w:divBdr>
            <w:top w:val="none" w:sz="0" w:space="0" w:color="auto"/>
            <w:left w:val="none" w:sz="0" w:space="0" w:color="auto"/>
            <w:bottom w:val="none" w:sz="0" w:space="0" w:color="auto"/>
            <w:right w:val="none" w:sz="0" w:space="0" w:color="auto"/>
          </w:divBdr>
        </w:div>
        <w:div w:id="1068964692">
          <w:marLeft w:val="331"/>
          <w:marRight w:val="0"/>
          <w:marTop w:val="0"/>
          <w:marBottom w:val="0"/>
          <w:divBdr>
            <w:top w:val="none" w:sz="0" w:space="0" w:color="auto"/>
            <w:left w:val="none" w:sz="0" w:space="0" w:color="auto"/>
            <w:bottom w:val="none" w:sz="0" w:space="0" w:color="auto"/>
            <w:right w:val="none" w:sz="0" w:space="0" w:color="auto"/>
          </w:divBdr>
        </w:div>
        <w:div w:id="1339426721">
          <w:marLeft w:val="331"/>
          <w:marRight w:val="0"/>
          <w:marTop w:val="0"/>
          <w:marBottom w:val="0"/>
          <w:divBdr>
            <w:top w:val="none" w:sz="0" w:space="0" w:color="auto"/>
            <w:left w:val="none" w:sz="0" w:space="0" w:color="auto"/>
            <w:bottom w:val="none" w:sz="0" w:space="0" w:color="auto"/>
            <w:right w:val="none" w:sz="0" w:space="0" w:color="auto"/>
          </w:divBdr>
        </w:div>
        <w:div w:id="1540125042">
          <w:marLeft w:val="331"/>
          <w:marRight w:val="0"/>
          <w:marTop w:val="0"/>
          <w:marBottom w:val="0"/>
          <w:divBdr>
            <w:top w:val="none" w:sz="0" w:space="0" w:color="auto"/>
            <w:left w:val="none" w:sz="0" w:space="0" w:color="auto"/>
            <w:bottom w:val="none" w:sz="0" w:space="0" w:color="auto"/>
            <w:right w:val="none" w:sz="0" w:space="0" w:color="auto"/>
          </w:divBdr>
        </w:div>
        <w:div w:id="1787043627">
          <w:marLeft w:val="331"/>
          <w:marRight w:val="0"/>
          <w:marTop w:val="0"/>
          <w:marBottom w:val="0"/>
          <w:divBdr>
            <w:top w:val="none" w:sz="0" w:space="0" w:color="auto"/>
            <w:left w:val="none" w:sz="0" w:space="0" w:color="auto"/>
            <w:bottom w:val="none" w:sz="0" w:space="0" w:color="auto"/>
            <w:right w:val="none" w:sz="0" w:space="0" w:color="auto"/>
          </w:divBdr>
        </w:div>
        <w:div w:id="2018071062">
          <w:marLeft w:val="331"/>
          <w:marRight w:val="0"/>
          <w:marTop w:val="0"/>
          <w:marBottom w:val="0"/>
          <w:divBdr>
            <w:top w:val="none" w:sz="0" w:space="0" w:color="auto"/>
            <w:left w:val="none" w:sz="0" w:space="0" w:color="auto"/>
            <w:bottom w:val="none" w:sz="0" w:space="0" w:color="auto"/>
            <w:right w:val="none" w:sz="0" w:space="0" w:color="auto"/>
          </w:divBdr>
        </w:div>
      </w:divsChild>
    </w:div>
    <w:div w:id="618679213">
      <w:bodyDiv w:val="1"/>
      <w:marLeft w:val="0"/>
      <w:marRight w:val="0"/>
      <w:marTop w:val="0"/>
      <w:marBottom w:val="0"/>
      <w:divBdr>
        <w:top w:val="none" w:sz="0" w:space="0" w:color="auto"/>
        <w:left w:val="none" w:sz="0" w:space="0" w:color="auto"/>
        <w:bottom w:val="none" w:sz="0" w:space="0" w:color="auto"/>
        <w:right w:val="none" w:sz="0" w:space="0" w:color="auto"/>
      </w:divBdr>
    </w:div>
    <w:div w:id="626281859">
      <w:bodyDiv w:val="1"/>
      <w:marLeft w:val="0"/>
      <w:marRight w:val="0"/>
      <w:marTop w:val="0"/>
      <w:marBottom w:val="0"/>
      <w:divBdr>
        <w:top w:val="none" w:sz="0" w:space="0" w:color="auto"/>
        <w:left w:val="none" w:sz="0" w:space="0" w:color="auto"/>
        <w:bottom w:val="none" w:sz="0" w:space="0" w:color="auto"/>
        <w:right w:val="none" w:sz="0" w:space="0" w:color="auto"/>
      </w:divBdr>
    </w:div>
    <w:div w:id="657153894">
      <w:bodyDiv w:val="1"/>
      <w:marLeft w:val="0"/>
      <w:marRight w:val="0"/>
      <w:marTop w:val="0"/>
      <w:marBottom w:val="0"/>
      <w:divBdr>
        <w:top w:val="none" w:sz="0" w:space="0" w:color="auto"/>
        <w:left w:val="none" w:sz="0" w:space="0" w:color="auto"/>
        <w:bottom w:val="none" w:sz="0" w:space="0" w:color="auto"/>
        <w:right w:val="none" w:sz="0" w:space="0" w:color="auto"/>
      </w:divBdr>
      <w:divsChild>
        <w:div w:id="1481537462">
          <w:marLeft w:val="0"/>
          <w:marRight w:val="0"/>
          <w:marTop w:val="0"/>
          <w:marBottom w:val="0"/>
          <w:divBdr>
            <w:top w:val="none" w:sz="0" w:space="0" w:color="auto"/>
            <w:left w:val="none" w:sz="0" w:space="0" w:color="auto"/>
            <w:bottom w:val="none" w:sz="0" w:space="0" w:color="auto"/>
            <w:right w:val="none" w:sz="0" w:space="0" w:color="auto"/>
          </w:divBdr>
        </w:div>
        <w:div w:id="1506557022">
          <w:marLeft w:val="0"/>
          <w:marRight w:val="0"/>
          <w:marTop w:val="0"/>
          <w:marBottom w:val="0"/>
          <w:divBdr>
            <w:top w:val="none" w:sz="0" w:space="0" w:color="auto"/>
            <w:left w:val="none" w:sz="0" w:space="0" w:color="auto"/>
            <w:bottom w:val="none" w:sz="0" w:space="0" w:color="auto"/>
            <w:right w:val="none" w:sz="0" w:space="0" w:color="auto"/>
          </w:divBdr>
        </w:div>
        <w:div w:id="2011449995">
          <w:marLeft w:val="0"/>
          <w:marRight w:val="0"/>
          <w:marTop w:val="0"/>
          <w:marBottom w:val="0"/>
          <w:divBdr>
            <w:top w:val="none" w:sz="0" w:space="0" w:color="auto"/>
            <w:left w:val="none" w:sz="0" w:space="0" w:color="auto"/>
            <w:bottom w:val="none" w:sz="0" w:space="0" w:color="auto"/>
            <w:right w:val="none" w:sz="0" w:space="0" w:color="auto"/>
          </w:divBdr>
        </w:div>
      </w:divsChild>
    </w:div>
    <w:div w:id="689184526">
      <w:bodyDiv w:val="1"/>
      <w:marLeft w:val="0"/>
      <w:marRight w:val="0"/>
      <w:marTop w:val="0"/>
      <w:marBottom w:val="0"/>
      <w:divBdr>
        <w:top w:val="none" w:sz="0" w:space="0" w:color="auto"/>
        <w:left w:val="none" w:sz="0" w:space="0" w:color="auto"/>
        <w:bottom w:val="none" w:sz="0" w:space="0" w:color="auto"/>
        <w:right w:val="none" w:sz="0" w:space="0" w:color="auto"/>
      </w:divBdr>
      <w:divsChild>
        <w:div w:id="6935788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1466675">
      <w:bodyDiv w:val="1"/>
      <w:marLeft w:val="0"/>
      <w:marRight w:val="0"/>
      <w:marTop w:val="0"/>
      <w:marBottom w:val="0"/>
      <w:divBdr>
        <w:top w:val="none" w:sz="0" w:space="0" w:color="auto"/>
        <w:left w:val="none" w:sz="0" w:space="0" w:color="auto"/>
        <w:bottom w:val="none" w:sz="0" w:space="0" w:color="auto"/>
        <w:right w:val="none" w:sz="0" w:space="0" w:color="auto"/>
      </w:divBdr>
    </w:div>
    <w:div w:id="715086247">
      <w:bodyDiv w:val="1"/>
      <w:marLeft w:val="0"/>
      <w:marRight w:val="0"/>
      <w:marTop w:val="0"/>
      <w:marBottom w:val="0"/>
      <w:divBdr>
        <w:top w:val="none" w:sz="0" w:space="0" w:color="auto"/>
        <w:left w:val="none" w:sz="0" w:space="0" w:color="auto"/>
        <w:bottom w:val="none" w:sz="0" w:space="0" w:color="auto"/>
        <w:right w:val="none" w:sz="0" w:space="0" w:color="auto"/>
      </w:divBdr>
    </w:div>
    <w:div w:id="761489527">
      <w:bodyDiv w:val="1"/>
      <w:marLeft w:val="0"/>
      <w:marRight w:val="0"/>
      <w:marTop w:val="0"/>
      <w:marBottom w:val="0"/>
      <w:divBdr>
        <w:top w:val="none" w:sz="0" w:space="0" w:color="auto"/>
        <w:left w:val="none" w:sz="0" w:space="0" w:color="auto"/>
        <w:bottom w:val="none" w:sz="0" w:space="0" w:color="auto"/>
        <w:right w:val="none" w:sz="0" w:space="0" w:color="auto"/>
      </w:divBdr>
    </w:div>
    <w:div w:id="785537374">
      <w:bodyDiv w:val="1"/>
      <w:marLeft w:val="0"/>
      <w:marRight w:val="0"/>
      <w:marTop w:val="0"/>
      <w:marBottom w:val="0"/>
      <w:divBdr>
        <w:top w:val="none" w:sz="0" w:space="0" w:color="auto"/>
        <w:left w:val="none" w:sz="0" w:space="0" w:color="auto"/>
        <w:bottom w:val="none" w:sz="0" w:space="0" w:color="auto"/>
        <w:right w:val="none" w:sz="0" w:space="0" w:color="auto"/>
      </w:divBdr>
      <w:divsChild>
        <w:div w:id="980959972">
          <w:marLeft w:val="0"/>
          <w:marRight w:val="0"/>
          <w:marTop w:val="0"/>
          <w:marBottom w:val="0"/>
          <w:divBdr>
            <w:top w:val="none" w:sz="0" w:space="0" w:color="auto"/>
            <w:left w:val="none" w:sz="0" w:space="0" w:color="auto"/>
            <w:bottom w:val="none" w:sz="0" w:space="0" w:color="auto"/>
            <w:right w:val="none" w:sz="0" w:space="0" w:color="auto"/>
          </w:divBdr>
        </w:div>
        <w:div w:id="1444152325">
          <w:marLeft w:val="0"/>
          <w:marRight w:val="0"/>
          <w:marTop w:val="0"/>
          <w:marBottom w:val="0"/>
          <w:divBdr>
            <w:top w:val="none" w:sz="0" w:space="0" w:color="auto"/>
            <w:left w:val="none" w:sz="0" w:space="0" w:color="auto"/>
            <w:bottom w:val="none" w:sz="0" w:space="0" w:color="auto"/>
            <w:right w:val="none" w:sz="0" w:space="0" w:color="auto"/>
          </w:divBdr>
        </w:div>
        <w:div w:id="1556964804">
          <w:marLeft w:val="0"/>
          <w:marRight w:val="0"/>
          <w:marTop w:val="0"/>
          <w:marBottom w:val="0"/>
          <w:divBdr>
            <w:top w:val="none" w:sz="0" w:space="0" w:color="auto"/>
            <w:left w:val="none" w:sz="0" w:space="0" w:color="auto"/>
            <w:bottom w:val="none" w:sz="0" w:space="0" w:color="auto"/>
            <w:right w:val="none" w:sz="0" w:space="0" w:color="auto"/>
          </w:divBdr>
        </w:div>
      </w:divsChild>
    </w:div>
    <w:div w:id="887568488">
      <w:bodyDiv w:val="1"/>
      <w:marLeft w:val="0"/>
      <w:marRight w:val="0"/>
      <w:marTop w:val="0"/>
      <w:marBottom w:val="0"/>
      <w:divBdr>
        <w:top w:val="none" w:sz="0" w:space="0" w:color="auto"/>
        <w:left w:val="none" w:sz="0" w:space="0" w:color="auto"/>
        <w:bottom w:val="none" w:sz="0" w:space="0" w:color="auto"/>
        <w:right w:val="none" w:sz="0" w:space="0" w:color="auto"/>
      </w:divBdr>
    </w:div>
    <w:div w:id="954093617">
      <w:bodyDiv w:val="1"/>
      <w:marLeft w:val="0"/>
      <w:marRight w:val="0"/>
      <w:marTop w:val="0"/>
      <w:marBottom w:val="0"/>
      <w:divBdr>
        <w:top w:val="none" w:sz="0" w:space="0" w:color="auto"/>
        <w:left w:val="none" w:sz="0" w:space="0" w:color="auto"/>
        <w:bottom w:val="none" w:sz="0" w:space="0" w:color="auto"/>
        <w:right w:val="none" w:sz="0" w:space="0" w:color="auto"/>
      </w:divBdr>
    </w:div>
    <w:div w:id="1019159383">
      <w:bodyDiv w:val="1"/>
      <w:marLeft w:val="0"/>
      <w:marRight w:val="0"/>
      <w:marTop w:val="0"/>
      <w:marBottom w:val="0"/>
      <w:divBdr>
        <w:top w:val="none" w:sz="0" w:space="0" w:color="auto"/>
        <w:left w:val="none" w:sz="0" w:space="0" w:color="auto"/>
        <w:bottom w:val="none" w:sz="0" w:space="0" w:color="auto"/>
        <w:right w:val="none" w:sz="0" w:space="0" w:color="auto"/>
      </w:divBdr>
    </w:div>
    <w:div w:id="1106458273">
      <w:bodyDiv w:val="1"/>
      <w:marLeft w:val="0"/>
      <w:marRight w:val="0"/>
      <w:marTop w:val="0"/>
      <w:marBottom w:val="0"/>
      <w:divBdr>
        <w:top w:val="none" w:sz="0" w:space="0" w:color="auto"/>
        <w:left w:val="none" w:sz="0" w:space="0" w:color="auto"/>
        <w:bottom w:val="none" w:sz="0" w:space="0" w:color="auto"/>
        <w:right w:val="none" w:sz="0" w:space="0" w:color="auto"/>
      </w:divBdr>
      <w:divsChild>
        <w:div w:id="6715449">
          <w:marLeft w:val="0"/>
          <w:marRight w:val="0"/>
          <w:marTop w:val="0"/>
          <w:marBottom w:val="0"/>
          <w:divBdr>
            <w:top w:val="none" w:sz="0" w:space="0" w:color="auto"/>
            <w:left w:val="none" w:sz="0" w:space="0" w:color="auto"/>
            <w:bottom w:val="none" w:sz="0" w:space="0" w:color="auto"/>
            <w:right w:val="none" w:sz="0" w:space="0" w:color="auto"/>
          </w:divBdr>
        </w:div>
        <w:div w:id="7949901">
          <w:marLeft w:val="0"/>
          <w:marRight w:val="0"/>
          <w:marTop w:val="0"/>
          <w:marBottom w:val="0"/>
          <w:divBdr>
            <w:top w:val="none" w:sz="0" w:space="0" w:color="auto"/>
            <w:left w:val="none" w:sz="0" w:space="0" w:color="auto"/>
            <w:bottom w:val="none" w:sz="0" w:space="0" w:color="auto"/>
            <w:right w:val="none" w:sz="0" w:space="0" w:color="auto"/>
          </w:divBdr>
        </w:div>
        <w:div w:id="11300057">
          <w:marLeft w:val="0"/>
          <w:marRight w:val="0"/>
          <w:marTop w:val="0"/>
          <w:marBottom w:val="0"/>
          <w:divBdr>
            <w:top w:val="none" w:sz="0" w:space="0" w:color="auto"/>
            <w:left w:val="none" w:sz="0" w:space="0" w:color="auto"/>
            <w:bottom w:val="none" w:sz="0" w:space="0" w:color="auto"/>
            <w:right w:val="none" w:sz="0" w:space="0" w:color="auto"/>
          </w:divBdr>
        </w:div>
        <w:div w:id="19859090">
          <w:marLeft w:val="0"/>
          <w:marRight w:val="0"/>
          <w:marTop w:val="0"/>
          <w:marBottom w:val="0"/>
          <w:divBdr>
            <w:top w:val="none" w:sz="0" w:space="0" w:color="auto"/>
            <w:left w:val="none" w:sz="0" w:space="0" w:color="auto"/>
            <w:bottom w:val="none" w:sz="0" w:space="0" w:color="auto"/>
            <w:right w:val="none" w:sz="0" w:space="0" w:color="auto"/>
          </w:divBdr>
        </w:div>
        <w:div w:id="28651873">
          <w:marLeft w:val="0"/>
          <w:marRight w:val="0"/>
          <w:marTop w:val="0"/>
          <w:marBottom w:val="0"/>
          <w:divBdr>
            <w:top w:val="none" w:sz="0" w:space="0" w:color="auto"/>
            <w:left w:val="none" w:sz="0" w:space="0" w:color="auto"/>
            <w:bottom w:val="none" w:sz="0" w:space="0" w:color="auto"/>
            <w:right w:val="none" w:sz="0" w:space="0" w:color="auto"/>
          </w:divBdr>
        </w:div>
        <w:div w:id="30306807">
          <w:marLeft w:val="0"/>
          <w:marRight w:val="0"/>
          <w:marTop w:val="0"/>
          <w:marBottom w:val="0"/>
          <w:divBdr>
            <w:top w:val="none" w:sz="0" w:space="0" w:color="auto"/>
            <w:left w:val="none" w:sz="0" w:space="0" w:color="auto"/>
            <w:bottom w:val="none" w:sz="0" w:space="0" w:color="auto"/>
            <w:right w:val="none" w:sz="0" w:space="0" w:color="auto"/>
          </w:divBdr>
        </w:div>
        <w:div w:id="36586737">
          <w:marLeft w:val="0"/>
          <w:marRight w:val="0"/>
          <w:marTop w:val="0"/>
          <w:marBottom w:val="0"/>
          <w:divBdr>
            <w:top w:val="none" w:sz="0" w:space="0" w:color="auto"/>
            <w:left w:val="none" w:sz="0" w:space="0" w:color="auto"/>
            <w:bottom w:val="none" w:sz="0" w:space="0" w:color="auto"/>
            <w:right w:val="none" w:sz="0" w:space="0" w:color="auto"/>
          </w:divBdr>
        </w:div>
        <w:div w:id="45952914">
          <w:marLeft w:val="0"/>
          <w:marRight w:val="0"/>
          <w:marTop w:val="0"/>
          <w:marBottom w:val="0"/>
          <w:divBdr>
            <w:top w:val="none" w:sz="0" w:space="0" w:color="auto"/>
            <w:left w:val="none" w:sz="0" w:space="0" w:color="auto"/>
            <w:bottom w:val="none" w:sz="0" w:space="0" w:color="auto"/>
            <w:right w:val="none" w:sz="0" w:space="0" w:color="auto"/>
          </w:divBdr>
        </w:div>
        <w:div w:id="48963565">
          <w:marLeft w:val="0"/>
          <w:marRight w:val="0"/>
          <w:marTop w:val="0"/>
          <w:marBottom w:val="0"/>
          <w:divBdr>
            <w:top w:val="none" w:sz="0" w:space="0" w:color="auto"/>
            <w:left w:val="none" w:sz="0" w:space="0" w:color="auto"/>
            <w:bottom w:val="none" w:sz="0" w:space="0" w:color="auto"/>
            <w:right w:val="none" w:sz="0" w:space="0" w:color="auto"/>
          </w:divBdr>
        </w:div>
        <w:div w:id="51927532">
          <w:marLeft w:val="0"/>
          <w:marRight w:val="0"/>
          <w:marTop w:val="0"/>
          <w:marBottom w:val="0"/>
          <w:divBdr>
            <w:top w:val="none" w:sz="0" w:space="0" w:color="auto"/>
            <w:left w:val="none" w:sz="0" w:space="0" w:color="auto"/>
            <w:bottom w:val="none" w:sz="0" w:space="0" w:color="auto"/>
            <w:right w:val="none" w:sz="0" w:space="0" w:color="auto"/>
          </w:divBdr>
        </w:div>
        <w:div w:id="55666740">
          <w:marLeft w:val="0"/>
          <w:marRight w:val="0"/>
          <w:marTop w:val="0"/>
          <w:marBottom w:val="0"/>
          <w:divBdr>
            <w:top w:val="none" w:sz="0" w:space="0" w:color="auto"/>
            <w:left w:val="none" w:sz="0" w:space="0" w:color="auto"/>
            <w:bottom w:val="none" w:sz="0" w:space="0" w:color="auto"/>
            <w:right w:val="none" w:sz="0" w:space="0" w:color="auto"/>
          </w:divBdr>
        </w:div>
        <w:div w:id="60099324">
          <w:marLeft w:val="0"/>
          <w:marRight w:val="0"/>
          <w:marTop w:val="0"/>
          <w:marBottom w:val="0"/>
          <w:divBdr>
            <w:top w:val="none" w:sz="0" w:space="0" w:color="auto"/>
            <w:left w:val="none" w:sz="0" w:space="0" w:color="auto"/>
            <w:bottom w:val="none" w:sz="0" w:space="0" w:color="auto"/>
            <w:right w:val="none" w:sz="0" w:space="0" w:color="auto"/>
          </w:divBdr>
        </w:div>
        <w:div w:id="61025535">
          <w:marLeft w:val="0"/>
          <w:marRight w:val="0"/>
          <w:marTop w:val="0"/>
          <w:marBottom w:val="0"/>
          <w:divBdr>
            <w:top w:val="none" w:sz="0" w:space="0" w:color="auto"/>
            <w:left w:val="none" w:sz="0" w:space="0" w:color="auto"/>
            <w:bottom w:val="none" w:sz="0" w:space="0" w:color="auto"/>
            <w:right w:val="none" w:sz="0" w:space="0" w:color="auto"/>
          </w:divBdr>
        </w:div>
        <w:div w:id="68890014">
          <w:marLeft w:val="0"/>
          <w:marRight w:val="0"/>
          <w:marTop w:val="0"/>
          <w:marBottom w:val="0"/>
          <w:divBdr>
            <w:top w:val="none" w:sz="0" w:space="0" w:color="auto"/>
            <w:left w:val="none" w:sz="0" w:space="0" w:color="auto"/>
            <w:bottom w:val="none" w:sz="0" w:space="0" w:color="auto"/>
            <w:right w:val="none" w:sz="0" w:space="0" w:color="auto"/>
          </w:divBdr>
        </w:div>
        <w:div w:id="77406285">
          <w:marLeft w:val="0"/>
          <w:marRight w:val="0"/>
          <w:marTop w:val="0"/>
          <w:marBottom w:val="0"/>
          <w:divBdr>
            <w:top w:val="none" w:sz="0" w:space="0" w:color="auto"/>
            <w:left w:val="none" w:sz="0" w:space="0" w:color="auto"/>
            <w:bottom w:val="none" w:sz="0" w:space="0" w:color="auto"/>
            <w:right w:val="none" w:sz="0" w:space="0" w:color="auto"/>
          </w:divBdr>
        </w:div>
        <w:div w:id="95289851">
          <w:marLeft w:val="0"/>
          <w:marRight w:val="0"/>
          <w:marTop w:val="0"/>
          <w:marBottom w:val="0"/>
          <w:divBdr>
            <w:top w:val="none" w:sz="0" w:space="0" w:color="auto"/>
            <w:left w:val="none" w:sz="0" w:space="0" w:color="auto"/>
            <w:bottom w:val="none" w:sz="0" w:space="0" w:color="auto"/>
            <w:right w:val="none" w:sz="0" w:space="0" w:color="auto"/>
          </w:divBdr>
        </w:div>
        <w:div w:id="98454230">
          <w:marLeft w:val="0"/>
          <w:marRight w:val="0"/>
          <w:marTop w:val="0"/>
          <w:marBottom w:val="0"/>
          <w:divBdr>
            <w:top w:val="none" w:sz="0" w:space="0" w:color="auto"/>
            <w:left w:val="none" w:sz="0" w:space="0" w:color="auto"/>
            <w:bottom w:val="none" w:sz="0" w:space="0" w:color="auto"/>
            <w:right w:val="none" w:sz="0" w:space="0" w:color="auto"/>
          </w:divBdr>
        </w:div>
        <w:div w:id="101727233">
          <w:marLeft w:val="0"/>
          <w:marRight w:val="0"/>
          <w:marTop w:val="0"/>
          <w:marBottom w:val="0"/>
          <w:divBdr>
            <w:top w:val="none" w:sz="0" w:space="0" w:color="auto"/>
            <w:left w:val="none" w:sz="0" w:space="0" w:color="auto"/>
            <w:bottom w:val="none" w:sz="0" w:space="0" w:color="auto"/>
            <w:right w:val="none" w:sz="0" w:space="0" w:color="auto"/>
          </w:divBdr>
        </w:div>
        <w:div w:id="103154631">
          <w:marLeft w:val="0"/>
          <w:marRight w:val="0"/>
          <w:marTop w:val="0"/>
          <w:marBottom w:val="0"/>
          <w:divBdr>
            <w:top w:val="none" w:sz="0" w:space="0" w:color="auto"/>
            <w:left w:val="none" w:sz="0" w:space="0" w:color="auto"/>
            <w:bottom w:val="none" w:sz="0" w:space="0" w:color="auto"/>
            <w:right w:val="none" w:sz="0" w:space="0" w:color="auto"/>
          </w:divBdr>
        </w:div>
        <w:div w:id="103350395">
          <w:marLeft w:val="0"/>
          <w:marRight w:val="0"/>
          <w:marTop w:val="0"/>
          <w:marBottom w:val="0"/>
          <w:divBdr>
            <w:top w:val="none" w:sz="0" w:space="0" w:color="auto"/>
            <w:left w:val="none" w:sz="0" w:space="0" w:color="auto"/>
            <w:bottom w:val="none" w:sz="0" w:space="0" w:color="auto"/>
            <w:right w:val="none" w:sz="0" w:space="0" w:color="auto"/>
          </w:divBdr>
        </w:div>
        <w:div w:id="110636230">
          <w:marLeft w:val="0"/>
          <w:marRight w:val="0"/>
          <w:marTop w:val="0"/>
          <w:marBottom w:val="0"/>
          <w:divBdr>
            <w:top w:val="none" w:sz="0" w:space="0" w:color="auto"/>
            <w:left w:val="none" w:sz="0" w:space="0" w:color="auto"/>
            <w:bottom w:val="none" w:sz="0" w:space="0" w:color="auto"/>
            <w:right w:val="none" w:sz="0" w:space="0" w:color="auto"/>
          </w:divBdr>
        </w:div>
        <w:div w:id="118650993">
          <w:marLeft w:val="0"/>
          <w:marRight w:val="0"/>
          <w:marTop w:val="0"/>
          <w:marBottom w:val="0"/>
          <w:divBdr>
            <w:top w:val="none" w:sz="0" w:space="0" w:color="auto"/>
            <w:left w:val="none" w:sz="0" w:space="0" w:color="auto"/>
            <w:bottom w:val="none" w:sz="0" w:space="0" w:color="auto"/>
            <w:right w:val="none" w:sz="0" w:space="0" w:color="auto"/>
          </w:divBdr>
        </w:div>
        <w:div w:id="121654785">
          <w:marLeft w:val="0"/>
          <w:marRight w:val="0"/>
          <w:marTop w:val="0"/>
          <w:marBottom w:val="0"/>
          <w:divBdr>
            <w:top w:val="none" w:sz="0" w:space="0" w:color="auto"/>
            <w:left w:val="none" w:sz="0" w:space="0" w:color="auto"/>
            <w:bottom w:val="none" w:sz="0" w:space="0" w:color="auto"/>
            <w:right w:val="none" w:sz="0" w:space="0" w:color="auto"/>
          </w:divBdr>
        </w:div>
        <w:div w:id="128404161">
          <w:marLeft w:val="0"/>
          <w:marRight w:val="0"/>
          <w:marTop w:val="0"/>
          <w:marBottom w:val="0"/>
          <w:divBdr>
            <w:top w:val="none" w:sz="0" w:space="0" w:color="auto"/>
            <w:left w:val="none" w:sz="0" w:space="0" w:color="auto"/>
            <w:bottom w:val="none" w:sz="0" w:space="0" w:color="auto"/>
            <w:right w:val="none" w:sz="0" w:space="0" w:color="auto"/>
          </w:divBdr>
        </w:div>
        <w:div w:id="130170051">
          <w:marLeft w:val="0"/>
          <w:marRight w:val="0"/>
          <w:marTop w:val="0"/>
          <w:marBottom w:val="0"/>
          <w:divBdr>
            <w:top w:val="none" w:sz="0" w:space="0" w:color="auto"/>
            <w:left w:val="none" w:sz="0" w:space="0" w:color="auto"/>
            <w:bottom w:val="none" w:sz="0" w:space="0" w:color="auto"/>
            <w:right w:val="none" w:sz="0" w:space="0" w:color="auto"/>
          </w:divBdr>
        </w:div>
        <w:div w:id="130292984">
          <w:marLeft w:val="0"/>
          <w:marRight w:val="0"/>
          <w:marTop w:val="0"/>
          <w:marBottom w:val="0"/>
          <w:divBdr>
            <w:top w:val="none" w:sz="0" w:space="0" w:color="auto"/>
            <w:left w:val="none" w:sz="0" w:space="0" w:color="auto"/>
            <w:bottom w:val="none" w:sz="0" w:space="0" w:color="auto"/>
            <w:right w:val="none" w:sz="0" w:space="0" w:color="auto"/>
          </w:divBdr>
        </w:div>
        <w:div w:id="133910380">
          <w:marLeft w:val="0"/>
          <w:marRight w:val="0"/>
          <w:marTop w:val="0"/>
          <w:marBottom w:val="0"/>
          <w:divBdr>
            <w:top w:val="none" w:sz="0" w:space="0" w:color="auto"/>
            <w:left w:val="none" w:sz="0" w:space="0" w:color="auto"/>
            <w:bottom w:val="none" w:sz="0" w:space="0" w:color="auto"/>
            <w:right w:val="none" w:sz="0" w:space="0" w:color="auto"/>
          </w:divBdr>
        </w:div>
        <w:div w:id="134683139">
          <w:marLeft w:val="0"/>
          <w:marRight w:val="0"/>
          <w:marTop w:val="0"/>
          <w:marBottom w:val="0"/>
          <w:divBdr>
            <w:top w:val="none" w:sz="0" w:space="0" w:color="auto"/>
            <w:left w:val="none" w:sz="0" w:space="0" w:color="auto"/>
            <w:bottom w:val="none" w:sz="0" w:space="0" w:color="auto"/>
            <w:right w:val="none" w:sz="0" w:space="0" w:color="auto"/>
          </w:divBdr>
        </w:div>
        <w:div w:id="139536888">
          <w:marLeft w:val="0"/>
          <w:marRight w:val="0"/>
          <w:marTop w:val="0"/>
          <w:marBottom w:val="0"/>
          <w:divBdr>
            <w:top w:val="none" w:sz="0" w:space="0" w:color="auto"/>
            <w:left w:val="none" w:sz="0" w:space="0" w:color="auto"/>
            <w:bottom w:val="none" w:sz="0" w:space="0" w:color="auto"/>
            <w:right w:val="none" w:sz="0" w:space="0" w:color="auto"/>
          </w:divBdr>
        </w:div>
        <w:div w:id="148255895">
          <w:marLeft w:val="0"/>
          <w:marRight w:val="0"/>
          <w:marTop w:val="0"/>
          <w:marBottom w:val="0"/>
          <w:divBdr>
            <w:top w:val="none" w:sz="0" w:space="0" w:color="auto"/>
            <w:left w:val="none" w:sz="0" w:space="0" w:color="auto"/>
            <w:bottom w:val="none" w:sz="0" w:space="0" w:color="auto"/>
            <w:right w:val="none" w:sz="0" w:space="0" w:color="auto"/>
          </w:divBdr>
        </w:div>
        <w:div w:id="164126853">
          <w:marLeft w:val="0"/>
          <w:marRight w:val="0"/>
          <w:marTop w:val="0"/>
          <w:marBottom w:val="0"/>
          <w:divBdr>
            <w:top w:val="none" w:sz="0" w:space="0" w:color="auto"/>
            <w:left w:val="none" w:sz="0" w:space="0" w:color="auto"/>
            <w:bottom w:val="none" w:sz="0" w:space="0" w:color="auto"/>
            <w:right w:val="none" w:sz="0" w:space="0" w:color="auto"/>
          </w:divBdr>
        </w:div>
        <w:div w:id="166293832">
          <w:marLeft w:val="0"/>
          <w:marRight w:val="0"/>
          <w:marTop w:val="0"/>
          <w:marBottom w:val="0"/>
          <w:divBdr>
            <w:top w:val="none" w:sz="0" w:space="0" w:color="auto"/>
            <w:left w:val="none" w:sz="0" w:space="0" w:color="auto"/>
            <w:bottom w:val="none" w:sz="0" w:space="0" w:color="auto"/>
            <w:right w:val="none" w:sz="0" w:space="0" w:color="auto"/>
          </w:divBdr>
        </w:div>
        <w:div w:id="167600993">
          <w:marLeft w:val="0"/>
          <w:marRight w:val="0"/>
          <w:marTop w:val="0"/>
          <w:marBottom w:val="0"/>
          <w:divBdr>
            <w:top w:val="none" w:sz="0" w:space="0" w:color="auto"/>
            <w:left w:val="none" w:sz="0" w:space="0" w:color="auto"/>
            <w:bottom w:val="none" w:sz="0" w:space="0" w:color="auto"/>
            <w:right w:val="none" w:sz="0" w:space="0" w:color="auto"/>
          </w:divBdr>
        </w:div>
        <w:div w:id="173539619">
          <w:marLeft w:val="0"/>
          <w:marRight w:val="0"/>
          <w:marTop w:val="0"/>
          <w:marBottom w:val="0"/>
          <w:divBdr>
            <w:top w:val="none" w:sz="0" w:space="0" w:color="auto"/>
            <w:left w:val="none" w:sz="0" w:space="0" w:color="auto"/>
            <w:bottom w:val="none" w:sz="0" w:space="0" w:color="auto"/>
            <w:right w:val="none" w:sz="0" w:space="0" w:color="auto"/>
          </w:divBdr>
        </w:div>
        <w:div w:id="177891524">
          <w:marLeft w:val="0"/>
          <w:marRight w:val="0"/>
          <w:marTop w:val="0"/>
          <w:marBottom w:val="0"/>
          <w:divBdr>
            <w:top w:val="none" w:sz="0" w:space="0" w:color="auto"/>
            <w:left w:val="none" w:sz="0" w:space="0" w:color="auto"/>
            <w:bottom w:val="none" w:sz="0" w:space="0" w:color="auto"/>
            <w:right w:val="none" w:sz="0" w:space="0" w:color="auto"/>
          </w:divBdr>
        </w:div>
        <w:div w:id="189342145">
          <w:marLeft w:val="0"/>
          <w:marRight w:val="0"/>
          <w:marTop w:val="0"/>
          <w:marBottom w:val="0"/>
          <w:divBdr>
            <w:top w:val="none" w:sz="0" w:space="0" w:color="auto"/>
            <w:left w:val="none" w:sz="0" w:space="0" w:color="auto"/>
            <w:bottom w:val="none" w:sz="0" w:space="0" w:color="auto"/>
            <w:right w:val="none" w:sz="0" w:space="0" w:color="auto"/>
          </w:divBdr>
        </w:div>
        <w:div w:id="191379400">
          <w:marLeft w:val="0"/>
          <w:marRight w:val="0"/>
          <w:marTop w:val="0"/>
          <w:marBottom w:val="0"/>
          <w:divBdr>
            <w:top w:val="none" w:sz="0" w:space="0" w:color="auto"/>
            <w:left w:val="none" w:sz="0" w:space="0" w:color="auto"/>
            <w:bottom w:val="none" w:sz="0" w:space="0" w:color="auto"/>
            <w:right w:val="none" w:sz="0" w:space="0" w:color="auto"/>
          </w:divBdr>
        </w:div>
        <w:div w:id="203182889">
          <w:marLeft w:val="0"/>
          <w:marRight w:val="0"/>
          <w:marTop w:val="0"/>
          <w:marBottom w:val="0"/>
          <w:divBdr>
            <w:top w:val="none" w:sz="0" w:space="0" w:color="auto"/>
            <w:left w:val="none" w:sz="0" w:space="0" w:color="auto"/>
            <w:bottom w:val="none" w:sz="0" w:space="0" w:color="auto"/>
            <w:right w:val="none" w:sz="0" w:space="0" w:color="auto"/>
          </w:divBdr>
        </w:div>
        <w:div w:id="204173555">
          <w:marLeft w:val="0"/>
          <w:marRight w:val="0"/>
          <w:marTop w:val="0"/>
          <w:marBottom w:val="0"/>
          <w:divBdr>
            <w:top w:val="none" w:sz="0" w:space="0" w:color="auto"/>
            <w:left w:val="none" w:sz="0" w:space="0" w:color="auto"/>
            <w:bottom w:val="none" w:sz="0" w:space="0" w:color="auto"/>
            <w:right w:val="none" w:sz="0" w:space="0" w:color="auto"/>
          </w:divBdr>
        </w:div>
        <w:div w:id="221869590">
          <w:marLeft w:val="0"/>
          <w:marRight w:val="0"/>
          <w:marTop w:val="0"/>
          <w:marBottom w:val="0"/>
          <w:divBdr>
            <w:top w:val="none" w:sz="0" w:space="0" w:color="auto"/>
            <w:left w:val="none" w:sz="0" w:space="0" w:color="auto"/>
            <w:bottom w:val="none" w:sz="0" w:space="0" w:color="auto"/>
            <w:right w:val="none" w:sz="0" w:space="0" w:color="auto"/>
          </w:divBdr>
        </w:div>
        <w:div w:id="230311236">
          <w:marLeft w:val="0"/>
          <w:marRight w:val="0"/>
          <w:marTop w:val="0"/>
          <w:marBottom w:val="0"/>
          <w:divBdr>
            <w:top w:val="none" w:sz="0" w:space="0" w:color="auto"/>
            <w:left w:val="none" w:sz="0" w:space="0" w:color="auto"/>
            <w:bottom w:val="none" w:sz="0" w:space="0" w:color="auto"/>
            <w:right w:val="none" w:sz="0" w:space="0" w:color="auto"/>
          </w:divBdr>
        </w:div>
        <w:div w:id="238709000">
          <w:marLeft w:val="0"/>
          <w:marRight w:val="0"/>
          <w:marTop w:val="0"/>
          <w:marBottom w:val="0"/>
          <w:divBdr>
            <w:top w:val="none" w:sz="0" w:space="0" w:color="auto"/>
            <w:left w:val="none" w:sz="0" w:space="0" w:color="auto"/>
            <w:bottom w:val="none" w:sz="0" w:space="0" w:color="auto"/>
            <w:right w:val="none" w:sz="0" w:space="0" w:color="auto"/>
          </w:divBdr>
        </w:div>
        <w:div w:id="242184310">
          <w:marLeft w:val="0"/>
          <w:marRight w:val="0"/>
          <w:marTop w:val="0"/>
          <w:marBottom w:val="0"/>
          <w:divBdr>
            <w:top w:val="none" w:sz="0" w:space="0" w:color="auto"/>
            <w:left w:val="none" w:sz="0" w:space="0" w:color="auto"/>
            <w:bottom w:val="none" w:sz="0" w:space="0" w:color="auto"/>
            <w:right w:val="none" w:sz="0" w:space="0" w:color="auto"/>
          </w:divBdr>
        </w:div>
        <w:div w:id="254941353">
          <w:marLeft w:val="0"/>
          <w:marRight w:val="0"/>
          <w:marTop w:val="0"/>
          <w:marBottom w:val="0"/>
          <w:divBdr>
            <w:top w:val="none" w:sz="0" w:space="0" w:color="auto"/>
            <w:left w:val="none" w:sz="0" w:space="0" w:color="auto"/>
            <w:bottom w:val="none" w:sz="0" w:space="0" w:color="auto"/>
            <w:right w:val="none" w:sz="0" w:space="0" w:color="auto"/>
          </w:divBdr>
        </w:div>
        <w:div w:id="255015212">
          <w:marLeft w:val="0"/>
          <w:marRight w:val="0"/>
          <w:marTop w:val="0"/>
          <w:marBottom w:val="0"/>
          <w:divBdr>
            <w:top w:val="none" w:sz="0" w:space="0" w:color="auto"/>
            <w:left w:val="none" w:sz="0" w:space="0" w:color="auto"/>
            <w:bottom w:val="none" w:sz="0" w:space="0" w:color="auto"/>
            <w:right w:val="none" w:sz="0" w:space="0" w:color="auto"/>
          </w:divBdr>
        </w:div>
        <w:div w:id="256062443">
          <w:marLeft w:val="0"/>
          <w:marRight w:val="0"/>
          <w:marTop w:val="0"/>
          <w:marBottom w:val="0"/>
          <w:divBdr>
            <w:top w:val="none" w:sz="0" w:space="0" w:color="auto"/>
            <w:left w:val="none" w:sz="0" w:space="0" w:color="auto"/>
            <w:bottom w:val="none" w:sz="0" w:space="0" w:color="auto"/>
            <w:right w:val="none" w:sz="0" w:space="0" w:color="auto"/>
          </w:divBdr>
        </w:div>
        <w:div w:id="265694859">
          <w:marLeft w:val="0"/>
          <w:marRight w:val="0"/>
          <w:marTop w:val="0"/>
          <w:marBottom w:val="0"/>
          <w:divBdr>
            <w:top w:val="none" w:sz="0" w:space="0" w:color="auto"/>
            <w:left w:val="none" w:sz="0" w:space="0" w:color="auto"/>
            <w:bottom w:val="none" w:sz="0" w:space="0" w:color="auto"/>
            <w:right w:val="none" w:sz="0" w:space="0" w:color="auto"/>
          </w:divBdr>
        </w:div>
        <w:div w:id="274100736">
          <w:marLeft w:val="0"/>
          <w:marRight w:val="0"/>
          <w:marTop w:val="0"/>
          <w:marBottom w:val="0"/>
          <w:divBdr>
            <w:top w:val="none" w:sz="0" w:space="0" w:color="auto"/>
            <w:left w:val="none" w:sz="0" w:space="0" w:color="auto"/>
            <w:bottom w:val="none" w:sz="0" w:space="0" w:color="auto"/>
            <w:right w:val="none" w:sz="0" w:space="0" w:color="auto"/>
          </w:divBdr>
        </w:div>
        <w:div w:id="277030391">
          <w:marLeft w:val="0"/>
          <w:marRight w:val="0"/>
          <w:marTop w:val="0"/>
          <w:marBottom w:val="0"/>
          <w:divBdr>
            <w:top w:val="none" w:sz="0" w:space="0" w:color="auto"/>
            <w:left w:val="none" w:sz="0" w:space="0" w:color="auto"/>
            <w:bottom w:val="none" w:sz="0" w:space="0" w:color="auto"/>
            <w:right w:val="none" w:sz="0" w:space="0" w:color="auto"/>
          </w:divBdr>
        </w:div>
        <w:div w:id="282008095">
          <w:marLeft w:val="0"/>
          <w:marRight w:val="0"/>
          <w:marTop w:val="0"/>
          <w:marBottom w:val="0"/>
          <w:divBdr>
            <w:top w:val="none" w:sz="0" w:space="0" w:color="auto"/>
            <w:left w:val="none" w:sz="0" w:space="0" w:color="auto"/>
            <w:bottom w:val="none" w:sz="0" w:space="0" w:color="auto"/>
            <w:right w:val="none" w:sz="0" w:space="0" w:color="auto"/>
          </w:divBdr>
        </w:div>
        <w:div w:id="306319647">
          <w:marLeft w:val="0"/>
          <w:marRight w:val="0"/>
          <w:marTop w:val="0"/>
          <w:marBottom w:val="0"/>
          <w:divBdr>
            <w:top w:val="none" w:sz="0" w:space="0" w:color="auto"/>
            <w:left w:val="none" w:sz="0" w:space="0" w:color="auto"/>
            <w:bottom w:val="none" w:sz="0" w:space="0" w:color="auto"/>
            <w:right w:val="none" w:sz="0" w:space="0" w:color="auto"/>
          </w:divBdr>
        </w:div>
        <w:div w:id="310136035">
          <w:marLeft w:val="0"/>
          <w:marRight w:val="0"/>
          <w:marTop w:val="0"/>
          <w:marBottom w:val="0"/>
          <w:divBdr>
            <w:top w:val="none" w:sz="0" w:space="0" w:color="auto"/>
            <w:left w:val="none" w:sz="0" w:space="0" w:color="auto"/>
            <w:bottom w:val="none" w:sz="0" w:space="0" w:color="auto"/>
            <w:right w:val="none" w:sz="0" w:space="0" w:color="auto"/>
          </w:divBdr>
        </w:div>
        <w:div w:id="310911988">
          <w:marLeft w:val="0"/>
          <w:marRight w:val="0"/>
          <w:marTop w:val="0"/>
          <w:marBottom w:val="0"/>
          <w:divBdr>
            <w:top w:val="none" w:sz="0" w:space="0" w:color="auto"/>
            <w:left w:val="none" w:sz="0" w:space="0" w:color="auto"/>
            <w:bottom w:val="none" w:sz="0" w:space="0" w:color="auto"/>
            <w:right w:val="none" w:sz="0" w:space="0" w:color="auto"/>
          </w:divBdr>
        </w:div>
        <w:div w:id="316155029">
          <w:marLeft w:val="0"/>
          <w:marRight w:val="0"/>
          <w:marTop w:val="0"/>
          <w:marBottom w:val="0"/>
          <w:divBdr>
            <w:top w:val="none" w:sz="0" w:space="0" w:color="auto"/>
            <w:left w:val="none" w:sz="0" w:space="0" w:color="auto"/>
            <w:bottom w:val="none" w:sz="0" w:space="0" w:color="auto"/>
            <w:right w:val="none" w:sz="0" w:space="0" w:color="auto"/>
          </w:divBdr>
        </w:div>
        <w:div w:id="317541184">
          <w:marLeft w:val="0"/>
          <w:marRight w:val="0"/>
          <w:marTop w:val="0"/>
          <w:marBottom w:val="0"/>
          <w:divBdr>
            <w:top w:val="none" w:sz="0" w:space="0" w:color="auto"/>
            <w:left w:val="none" w:sz="0" w:space="0" w:color="auto"/>
            <w:bottom w:val="none" w:sz="0" w:space="0" w:color="auto"/>
            <w:right w:val="none" w:sz="0" w:space="0" w:color="auto"/>
          </w:divBdr>
        </w:div>
        <w:div w:id="318001839">
          <w:marLeft w:val="0"/>
          <w:marRight w:val="0"/>
          <w:marTop w:val="0"/>
          <w:marBottom w:val="0"/>
          <w:divBdr>
            <w:top w:val="none" w:sz="0" w:space="0" w:color="auto"/>
            <w:left w:val="none" w:sz="0" w:space="0" w:color="auto"/>
            <w:bottom w:val="none" w:sz="0" w:space="0" w:color="auto"/>
            <w:right w:val="none" w:sz="0" w:space="0" w:color="auto"/>
          </w:divBdr>
        </w:div>
        <w:div w:id="326443510">
          <w:marLeft w:val="0"/>
          <w:marRight w:val="0"/>
          <w:marTop w:val="0"/>
          <w:marBottom w:val="0"/>
          <w:divBdr>
            <w:top w:val="none" w:sz="0" w:space="0" w:color="auto"/>
            <w:left w:val="none" w:sz="0" w:space="0" w:color="auto"/>
            <w:bottom w:val="none" w:sz="0" w:space="0" w:color="auto"/>
            <w:right w:val="none" w:sz="0" w:space="0" w:color="auto"/>
          </w:divBdr>
        </w:div>
        <w:div w:id="334963647">
          <w:marLeft w:val="0"/>
          <w:marRight w:val="0"/>
          <w:marTop w:val="0"/>
          <w:marBottom w:val="0"/>
          <w:divBdr>
            <w:top w:val="none" w:sz="0" w:space="0" w:color="auto"/>
            <w:left w:val="none" w:sz="0" w:space="0" w:color="auto"/>
            <w:bottom w:val="none" w:sz="0" w:space="0" w:color="auto"/>
            <w:right w:val="none" w:sz="0" w:space="0" w:color="auto"/>
          </w:divBdr>
        </w:div>
        <w:div w:id="335965500">
          <w:marLeft w:val="0"/>
          <w:marRight w:val="0"/>
          <w:marTop w:val="0"/>
          <w:marBottom w:val="0"/>
          <w:divBdr>
            <w:top w:val="none" w:sz="0" w:space="0" w:color="auto"/>
            <w:left w:val="none" w:sz="0" w:space="0" w:color="auto"/>
            <w:bottom w:val="none" w:sz="0" w:space="0" w:color="auto"/>
            <w:right w:val="none" w:sz="0" w:space="0" w:color="auto"/>
          </w:divBdr>
        </w:div>
        <w:div w:id="339936137">
          <w:marLeft w:val="0"/>
          <w:marRight w:val="0"/>
          <w:marTop w:val="0"/>
          <w:marBottom w:val="0"/>
          <w:divBdr>
            <w:top w:val="none" w:sz="0" w:space="0" w:color="auto"/>
            <w:left w:val="none" w:sz="0" w:space="0" w:color="auto"/>
            <w:bottom w:val="none" w:sz="0" w:space="0" w:color="auto"/>
            <w:right w:val="none" w:sz="0" w:space="0" w:color="auto"/>
          </w:divBdr>
        </w:div>
        <w:div w:id="346753988">
          <w:marLeft w:val="0"/>
          <w:marRight w:val="0"/>
          <w:marTop w:val="0"/>
          <w:marBottom w:val="0"/>
          <w:divBdr>
            <w:top w:val="none" w:sz="0" w:space="0" w:color="auto"/>
            <w:left w:val="none" w:sz="0" w:space="0" w:color="auto"/>
            <w:bottom w:val="none" w:sz="0" w:space="0" w:color="auto"/>
            <w:right w:val="none" w:sz="0" w:space="0" w:color="auto"/>
          </w:divBdr>
        </w:div>
        <w:div w:id="370889050">
          <w:marLeft w:val="0"/>
          <w:marRight w:val="0"/>
          <w:marTop w:val="0"/>
          <w:marBottom w:val="0"/>
          <w:divBdr>
            <w:top w:val="none" w:sz="0" w:space="0" w:color="auto"/>
            <w:left w:val="none" w:sz="0" w:space="0" w:color="auto"/>
            <w:bottom w:val="none" w:sz="0" w:space="0" w:color="auto"/>
            <w:right w:val="none" w:sz="0" w:space="0" w:color="auto"/>
          </w:divBdr>
        </w:div>
        <w:div w:id="373890911">
          <w:marLeft w:val="0"/>
          <w:marRight w:val="0"/>
          <w:marTop w:val="0"/>
          <w:marBottom w:val="0"/>
          <w:divBdr>
            <w:top w:val="none" w:sz="0" w:space="0" w:color="auto"/>
            <w:left w:val="none" w:sz="0" w:space="0" w:color="auto"/>
            <w:bottom w:val="none" w:sz="0" w:space="0" w:color="auto"/>
            <w:right w:val="none" w:sz="0" w:space="0" w:color="auto"/>
          </w:divBdr>
        </w:div>
        <w:div w:id="377778794">
          <w:marLeft w:val="0"/>
          <w:marRight w:val="0"/>
          <w:marTop w:val="0"/>
          <w:marBottom w:val="0"/>
          <w:divBdr>
            <w:top w:val="none" w:sz="0" w:space="0" w:color="auto"/>
            <w:left w:val="none" w:sz="0" w:space="0" w:color="auto"/>
            <w:bottom w:val="none" w:sz="0" w:space="0" w:color="auto"/>
            <w:right w:val="none" w:sz="0" w:space="0" w:color="auto"/>
          </w:divBdr>
        </w:div>
        <w:div w:id="380979395">
          <w:marLeft w:val="0"/>
          <w:marRight w:val="0"/>
          <w:marTop w:val="0"/>
          <w:marBottom w:val="0"/>
          <w:divBdr>
            <w:top w:val="none" w:sz="0" w:space="0" w:color="auto"/>
            <w:left w:val="none" w:sz="0" w:space="0" w:color="auto"/>
            <w:bottom w:val="none" w:sz="0" w:space="0" w:color="auto"/>
            <w:right w:val="none" w:sz="0" w:space="0" w:color="auto"/>
          </w:divBdr>
        </w:div>
        <w:div w:id="390278212">
          <w:marLeft w:val="0"/>
          <w:marRight w:val="0"/>
          <w:marTop w:val="0"/>
          <w:marBottom w:val="0"/>
          <w:divBdr>
            <w:top w:val="none" w:sz="0" w:space="0" w:color="auto"/>
            <w:left w:val="none" w:sz="0" w:space="0" w:color="auto"/>
            <w:bottom w:val="none" w:sz="0" w:space="0" w:color="auto"/>
            <w:right w:val="none" w:sz="0" w:space="0" w:color="auto"/>
          </w:divBdr>
        </w:div>
        <w:div w:id="400636659">
          <w:marLeft w:val="0"/>
          <w:marRight w:val="0"/>
          <w:marTop w:val="0"/>
          <w:marBottom w:val="0"/>
          <w:divBdr>
            <w:top w:val="none" w:sz="0" w:space="0" w:color="auto"/>
            <w:left w:val="none" w:sz="0" w:space="0" w:color="auto"/>
            <w:bottom w:val="none" w:sz="0" w:space="0" w:color="auto"/>
            <w:right w:val="none" w:sz="0" w:space="0" w:color="auto"/>
          </w:divBdr>
        </w:div>
        <w:div w:id="404453496">
          <w:marLeft w:val="0"/>
          <w:marRight w:val="0"/>
          <w:marTop w:val="0"/>
          <w:marBottom w:val="0"/>
          <w:divBdr>
            <w:top w:val="none" w:sz="0" w:space="0" w:color="auto"/>
            <w:left w:val="none" w:sz="0" w:space="0" w:color="auto"/>
            <w:bottom w:val="none" w:sz="0" w:space="0" w:color="auto"/>
            <w:right w:val="none" w:sz="0" w:space="0" w:color="auto"/>
          </w:divBdr>
        </w:div>
        <w:div w:id="418644977">
          <w:marLeft w:val="0"/>
          <w:marRight w:val="0"/>
          <w:marTop w:val="0"/>
          <w:marBottom w:val="0"/>
          <w:divBdr>
            <w:top w:val="none" w:sz="0" w:space="0" w:color="auto"/>
            <w:left w:val="none" w:sz="0" w:space="0" w:color="auto"/>
            <w:bottom w:val="none" w:sz="0" w:space="0" w:color="auto"/>
            <w:right w:val="none" w:sz="0" w:space="0" w:color="auto"/>
          </w:divBdr>
        </w:div>
        <w:div w:id="421031190">
          <w:marLeft w:val="0"/>
          <w:marRight w:val="0"/>
          <w:marTop w:val="0"/>
          <w:marBottom w:val="0"/>
          <w:divBdr>
            <w:top w:val="none" w:sz="0" w:space="0" w:color="auto"/>
            <w:left w:val="none" w:sz="0" w:space="0" w:color="auto"/>
            <w:bottom w:val="none" w:sz="0" w:space="0" w:color="auto"/>
            <w:right w:val="none" w:sz="0" w:space="0" w:color="auto"/>
          </w:divBdr>
        </w:div>
        <w:div w:id="422722744">
          <w:marLeft w:val="0"/>
          <w:marRight w:val="0"/>
          <w:marTop w:val="0"/>
          <w:marBottom w:val="0"/>
          <w:divBdr>
            <w:top w:val="none" w:sz="0" w:space="0" w:color="auto"/>
            <w:left w:val="none" w:sz="0" w:space="0" w:color="auto"/>
            <w:bottom w:val="none" w:sz="0" w:space="0" w:color="auto"/>
            <w:right w:val="none" w:sz="0" w:space="0" w:color="auto"/>
          </w:divBdr>
        </w:div>
        <w:div w:id="422990693">
          <w:marLeft w:val="0"/>
          <w:marRight w:val="0"/>
          <w:marTop w:val="0"/>
          <w:marBottom w:val="0"/>
          <w:divBdr>
            <w:top w:val="none" w:sz="0" w:space="0" w:color="auto"/>
            <w:left w:val="none" w:sz="0" w:space="0" w:color="auto"/>
            <w:bottom w:val="none" w:sz="0" w:space="0" w:color="auto"/>
            <w:right w:val="none" w:sz="0" w:space="0" w:color="auto"/>
          </w:divBdr>
        </w:div>
        <w:div w:id="424233307">
          <w:marLeft w:val="0"/>
          <w:marRight w:val="0"/>
          <w:marTop w:val="0"/>
          <w:marBottom w:val="0"/>
          <w:divBdr>
            <w:top w:val="none" w:sz="0" w:space="0" w:color="auto"/>
            <w:left w:val="none" w:sz="0" w:space="0" w:color="auto"/>
            <w:bottom w:val="none" w:sz="0" w:space="0" w:color="auto"/>
            <w:right w:val="none" w:sz="0" w:space="0" w:color="auto"/>
          </w:divBdr>
        </w:div>
        <w:div w:id="443771924">
          <w:marLeft w:val="0"/>
          <w:marRight w:val="0"/>
          <w:marTop w:val="0"/>
          <w:marBottom w:val="0"/>
          <w:divBdr>
            <w:top w:val="none" w:sz="0" w:space="0" w:color="auto"/>
            <w:left w:val="none" w:sz="0" w:space="0" w:color="auto"/>
            <w:bottom w:val="none" w:sz="0" w:space="0" w:color="auto"/>
            <w:right w:val="none" w:sz="0" w:space="0" w:color="auto"/>
          </w:divBdr>
        </w:div>
        <w:div w:id="455830563">
          <w:marLeft w:val="0"/>
          <w:marRight w:val="0"/>
          <w:marTop w:val="0"/>
          <w:marBottom w:val="0"/>
          <w:divBdr>
            <w:top w:val="none" w:sz="0" w:space="0" w:color="auto"/>
            <w:left w:val="none" w:sz="0" w:space="0" w:color="auto"/>
            <w:bottom w:val="none" w:sz="0" w:space="0" w:color="auto"/>
            <w:right w:val="none" w:sz="0" w:space="0" w:color="auto"/>
          </w:divBdr>
        </w:div>
        <w:div w:id="459886340">
          <w:marLeft w:val="0"/>
          <w:marRight w:val="0"/>
          <w:marTop w:val="0"/>
          <w:marBottom w:val="0"/>
          <w:divBdr>
            <w:top w:val="none" w:sz="0" w:space="0" w:color="auto"/>
            <w:left w:val="none" w:sz="0" w:space="0" w:color="auto"/>
            <w:bottom w:val="none" w:sz="0" w:space="0" w:color="auto"/>
            <w:right w:val="none" w:sz="0" w:space="0" w:color="auto"/>
          </w:divBdr>
        </w:div>
        <w:div w:id="460075677">
          <w:marLeft w:val="0"/>
          <w:marRight w:val="0"/>
          <w:marTop w:val="0"/>
          <w:marBottom w:val="0"/>
          <w:divBdr>
            <w:top w:val="none" w:sz="0" w:space="0" w:color="auto"/>
            <w:left w:val="none" w:sz="0" w:space="0" w:color="auto"/>
            <w:bottom w:val="none" w:sz="0" w:space="0" w:color="auto"/>
            <w:right w:val="none" w:sz="0" w:space="0" w:color="auto"/>
          </w:divBdr>
        </w:div>
        <w:div w:id="461004670">
          <w:marLeft w:val="0"/>
          <w:marRight w:val="0"/>
          <w:marTop w:val="0"/>
          <w:marBottom w:val="0"/>
          <w:divBdr>
            <w:top w:val="none" w:sz="0" w:space="0" w:color="auto"/>
            <w:left w:val="none" w:sz="0" w:space="0" w:color="auto"/>
            <w:bottom w:val="none" w:sz="0" w:space="0" w:color="auto"/>
            <w:right w:val="none" w:sz="0" w:space="0" w:color="auto"/>
          </w:divBdr>
        </w:div>
        <w:div w:id="463356834">
          <w:marLeft w:val="0"/>
          <w:marRight w:val="0"/>
          <w:marTop w:val="0"/>
          <w:marBottom w:val="0"/>
          <w:divBdr>
            <w:top w:val="none" w:sz="0" w:space="0" w:color="auto"/>
            <w:left w:val="none" w:sz="0" w:space="0" w:color="auto"/>
            <w:bottom w:val="none" w:sz="0" w:space="0" w:color="auto"/>
            <w:right w:val="none" w:sz="0" w:space="0" w:color="auto"/>
          </w:divBdr>
        </w:div>
        <w:div w:id="469597090">
          <w:marLeft w:val="0"/>
          <w:marRight w:val="0"/>
          <w:marTop w:val="0"/>
          <w:marBottom w:val="0"/>
          <w:divBdr>
            <w:top w:val="none" w:sz="0" w:space="0" w:color="auto"/>
            <w:left w:val="none" w:sz="0" w:space="0" w:color="auto"/>
            <w:bottom w:val="none" w:sz="0" w:space="0" w:color="auto"/>
            <w:right w:val="none" w:sz="0" w:space="0" w:color="auto"/>
          </w:divBdr>
        </w:div>
        <w:div w:id="471870981">
          <w:marLeft w:val="0"/>
          <w:marRight w:val="0"/>
          <w:marTop w:val="0"/>
          <w:marBottom w:val="0"/>
          <w:divBdr>
            <w:top w:val="none" w:sz="0" w:space="0" w:color="auto"/>
            <w:left w:val="none" w:sz="0" w:space="0" w:color="auto"/>
            <w:bottom w:val="none" w:sz="0" w:space="0" w:color="auto"/>
            <w:right w:val="none" w:sz="0" w:space="0" w:color="auto"/>
          </w:divBdr>
        </w:div>
        <w:div w:id="475953924">
          <w:marLeft w:val="0"/>
          <w:marRight w:val="0"/>
          <w:marTop w:val="0"/>
          <w:marBottom w:val="0"/>
          <w:divBdr>
            <w:top w:val="none" w:sz="0" w:space="0" w:color="auto"/>
            <w:left w:val="none" w:sz="0" w:space="0" w:color="auto"/>
            <w:bottom w:val="none" w:sz="0" w:space="0" w:color="auto"/>
            <w:right w:val="none" w:sz="0" w:space="0" w:color="auto"/>
          </w:divBdr>
        </w:div>
        <w:div w:id="485632014">
          <w:marLeft w:val="0"/>
          <w:marRight w:val="0"/>
          <w:marTop w:val="0"/>
          <w:marBottom w:val="0"/>
          <w:divBdr>
            <w:top w:val="none" w:sz="0" w:space="0" w:color="auto"/>
            <w:left w:val="none" w:sz="0" w:space="0" w:color="auto"/>
            <w:bottom w:val="none" w:sz="0" w:space="0" w:color="auto"/>
            <w:right w:val="none" w:sz="0" w:space="0" w:color="auto"/>
          </w:divBdr>
        </w:div>
        <w:div w:id="489641011">
          <w:marLeft w:val="0"/>
          <w:marRight w:val="0"/>
          <w:marTop w:val="0"/>
          <w:marBottom w:val="0"/>
          <w:divBdr>
            <w:top w:val="none" w:sz="0" w:space="0" w:color="auto"/>
            <w:left w:val="none" w:sz="0" w:space="0" w:color="auto"/>
            <w:bottom w:val="none" w:sz="0" w:space="0" w:color="auto"/>
            <w:right w:val="none" w:sz="0" w:space="0" w:color="auto"/>
          </w:divBdr>
        </w:div>
        <w:div w:id="491415098">
          <w:marLeft w:val="0"/>
          <w:marRight w:val="0"/>
          <w:marTop w:val="0"/>
          <w:marBottom w:val="0"/>
          <w:divBdr>
            <w:top w:val="none" w:sz="0" w:space="0" w:color="auto"/>
            <w:left w:val="none" w:sz="0" w:space="0" w:color="auto"/>
            <w:bottom w:val="none" w:sz="0" w:space="0" w:color="auto"/>
            <w:right w:val="none" w:sz="0" w:space="0" w:color="auto"/>
          </w:divBdr>
        </w:div>
        <w:div w:id="499388995">
          <w:marLeft w:val="0"/>
          <w:marRight w:val="0"/>
          <w:marTop w:val="0"/>
          <w:marBottom w:val="0"/>
          <w:divBdr>
            <w:top w:val="none" w:sz="0" w:space="0" w:color="auto"/>
            <w:left w:val="none" w:sz="0" w:space="0" w:color="auto"/>
            <w:bottom w:val="none" w:sz="0" w:space="0" w:color="auto"/>
            <w:right w:val="none" w:sz="0" w:space="0" w:color="auto"/>
          </w:divBdr>
        </w:div>
        <w:div w:id="505098521">
          <w:marLeft w:val="0"/>
          <w:marRight w:val="0"/>
          <w:marTop w:val="0"/>
          <w:marBottom w:val="0"/>
          <w:divBdr>
            <w:top w:val="none" w:sz="0" w:space="0" w:color="auto"/>
            <w:left w:val="none" w:sz="0" w:space="0" w:color="auto"/>
            <w:bottom w:val="none" w:sz="0" w:space="0" w:color="auto"/>
            <w:right w:val="none" w:sz="0" w:space="0" w:color="auto"/>
          </w:divBdr>
        </w:div>
        <w:div w:id="511529247">
          <w:marLeft w:val="0"/>
          <w:marRight w:val="0"/>
          <w:marTop w:val="0"/>
          <w:marBottom w:val="0"/>
          <w:divBdr>
            <w:top w:val="none" w:sz="0" w:space="0" w:color="auto"/>
            <w:left w:val="none" w:sz="0" w:space="0" w:color="auto"/>
            <w:bottom w:val="none" w:sz="0" w:space="0" w:color="auto"/>
            <w:right w:val="none" w:sz="0" w:space="0" w:color="auto"/>
          </w:divBdr>
        </w:div>
        <w:div w:id="526870604">
          <w:marLeft w:val="0"/>
          <w:marRight w:val="0"/>
          <w:marTop w:val="0"/>
          <w:marBottom w:val="0"/>
          <w:divBdr>
            <w:top w:val="none" w:sz="0" w:space="0" w:color="auto"/>
            <w:left w:val="none" w:sz="0" w:space="0" w:color="auto"/>
            <w:bottom w:val="none" w:sz="0" w:space="0" w:color="auto"/>
            <w:right w:val="none" w:sz="0" w:space="0" w:color="auto"/>
          </w:divBdr>
        </w:div>
        <w:div w:id="528958868">
          <w:marLeft w:val="0"/>
          <w:marRight w:val="0"/>
          <w:marTop w:val="0"/>
          <w:marBottom w:val="0"/>
          <w:divBdr>
            <w:top w:val="none" w:sz="0" w:space="0" w:color="auto"/>
            <w:left w:val="none" w:sz="0" w:space="0" w:color="auto"/>
            <w:bottom w:val="none" w:sz="0" w:space="0" w:color="auto"/>
            <w:right w:val="none" w:sz="0" w:space="0" w:color="auto"/>
          </w:divBdr>
        </w:div>
        <w:div w:id="543640446">
          <w:marLeft w:val="0"/>
          <w:marRight w:val="0"/>
          <w:marTop w:val="0"/>
          <w:marBottom w:val="0"/>
          <w:divBdr>
            <w:top w:val="none" w:sz="0" w:space="0" w:color="auto"/>
            <w:left w:val="none" w:sz="0" w:space="0" w:color="auto"/>
            <w:bottom w:val="none" w:sz="0" w:space="0" w:color="auto"/>
            <w:right w:val="none" w:sz="0" w:space="0" w:color="auto"/>
          </w:divBdr>
        </w:div>
        <w:div w:id="580261419">
          <w:marLeft w:val="0"/>
          <w:marRight w:val="0"/>
          <w:marTop w:val="0"/>
          <w:marBottom w:val="0"/>
          <w:divBdr>
            <w:top w:val="none" w:sz="0" w:space="0" w:color="auto"/>
            <w:left w:val="none" w:sz="0" w:space="0" w:color="auto"/>
            <w:bottom w:val="none" w:sz="0" w:space="0" w:color="auto"/>
            <w:right w:val="none" w:sz="0" w:space="0" w:color="auto"/>
          </w:divBdr>
        </w:div>
        <w:div w:id="583146932">
          <w:marLeft w:val="0"/>
          <w:marRight w:val="0"/>
          <w:marTop w:val="0"/>
          <w:marBottom w:val="0"/>
          <w:divBdr>
            <w:top w:val="none" w:sz="0" w:space="0" w:color="auto"/>
            <w:left w:val="none" w:sz="0" w:space="0" w:color="auto"/>
            <w:bottom w:val="none" w:sz="0" w:space="0" w:color="auto"/>
            <w:right w:val="none" w:sz="0" w:space="0" w:color="auto"/>
          </w:divBdr>
        </w:div>
        <w:div w:id="584265622">
          <w:marLeft w:val="0"/>
          <w:marRight w:val="0"/>
          <w:marTop w:val="0"/>
          <w:marBottom w:val="0"/>
          <w:divBdr>
            <w:top w:val="none" w:sz="0" w:space="0" w:color="auto"/>
            <w:left w:val="none" w:sz="0" w:space="0" w:color="auto"/>
            <w:bottom w:val="none" w:sz="0" w:space="0" w:color="auto"/>
            <w:right w:val="none" w:sz="0" w:space="0" w:color="auto"/>
          </w:divBdr>
        </w:div>
        <w:div w:id="584723724">
          <w:marLeft w:val="0"/>
          <w:marRight w:val="0"/>
          <w:marTop w:val="0"/>
          <w:marBottom w:val="0"/>
          <w:divBdr>
            <w:top w:val="none" w:sz="0" w:space="0" w:color="auto"/>
            <w:left w:val="none" w:sz="0" w:space="0" w:color="auto"/>
            <w:bottom w:val="none" w:sz="0" w:space="0" w:color="auto"/>
            <w:right w:val="none" w:sz="0" w:space="0" w:color="auto"/>
          </w:divBdr>
        </w:div>
        <w:div w:id="585531345">
          <w:marLeft w:val="0"/>
          <w:marRight w:val="0"/>
          <w:marTop w:val="0"/>
          <w:marBottom w:val="0"/>
          <w:divBdr>
            <w:top w:val="none" w:sz="0" w:space="0" w:color="auto"/>
            <w:left w:val="none" w:sz="0" w:space="0" w:color="auto"/>
            <w:bottom w:val="none" w:sz="0" w:space="0" w:color="auto"/>
            <w:right w:val="none" w:sz="0" w:space="0" w:color="auto"/>
          </w:divBdr>
        </w:div>
        <w:div w:id="598023177">
          <w:marLeft w:val="0"/>
          <w:marRight w:val="0"/>
          <w:marTop w:val="0"/>
          <w:marBottom w:val="0"/>
          <w:divBdr>
            <w:top w:val="none" w:sz="0" w:space="0" w:color="auto"/>
            <w:left w:val="none" w:sz="0" w:space="0" w:color="auto"/>
            <w:bottom w:val="none" w:sz="0" w:space="0" w:color="auto"/>
            <w:right w:val="none" w:sz="0" w:space="0" w:color="auto"/>
          </w:divBdr>
        </w:div>
        <w:div w:id="604002547">
          <w:marLeft w:val="0"/>
          <w:marRight w:val="0"/>
          <w:marTop w:val="0"/>
          <w:marBottom w:val="0"/>
          <w:divBdr>
            <w:top w:val="none" w:sz="0" w:space="0" w:color="auto"/>
            <w:left w:val="none" w:sz="0" w:space="0" w:color="auto"/>
            <w:bottom w:val="none" w:sz="0" w:space="0" w:color="auto"/>
            <w:right w:val="none" w:sz="0" w:space="0" w:color="auto"/>
          </w:divBdr>
        </w:div>
        <w:div w:id="606498700">
          <w:marLeft w:val="0"/>
          <w:marRight w:val="0"/>
          <w:marTop w:val="0"/>
          <w:marBottom w:val="0"/>
          <w:divBdr>
            <w:top w:val="none" w:sz="0" w:space="0" w:color="auto"/>
            <w:left w:val="none" w:sz="0" w:space="0" w:color="auto"/>
            <w:bottom w:val="none" w:sz="0" w:space="0" w:color="auto"/>
            <w:right w:val="none" w:sz="0" w:space="0" w:color="auto"/>
          </w:divBdr>
        </w:div>
        <w:div w:id="607660978">
          <w:marLeft w:val="0"/>
          <w:marRight w:val="0"/>
          <w:marTop w:val="0"/>
          <w:marBottom w:val="0"/>
          <w:divBdr>
            <w:top w:val="none" w:sz="0" w:space="0" w:color="auto"/>
            <w:left w:val="none" w:sz="0" w:space="0" w:color="auto"/>
            <w:bottom w:val="none" w:sz="0" w:space="0" w:color="auto"/>
            <w:right w:val="none" w:sz="0" w:space="0" w:color="auto"/>
          </w:divBdr>
        </w:div>
        <w:div w:id="612712111">
          <w:marLeft w:val="0"/>
          <w:marRight w:val="0"/>
          <w:marTop w:val="0"/>
          <w:marBottom w:val="0"/>
          <w:divBdr>
            <w:top w:val="none" w:sz="0" w:space="0" w:color="auto"/>
            <w:left w:val="none" w:sz="0" w:space="0" w:color="auto"/>
            <w:bottom w:val="none" w:sz="0" w:space="0" w:color="auto"/>
            <w:right w:val="none" w:sz="0" w:space="0" w:color="auto"/>
          </w:divBdr>
        </w:div>
        <w:div w:id="617835805">
          <w:marLeft w:val="0"/>
          <w:marRight w:val="0"/>
          <w:marTop w:val="0"/>
          <w:marBottom w:val="0"/>
          <w:divBdr>
            <w:top w:val="none" w:sz="0" w:space="0" w:color="auto"/>
            <w:left w:val="none" w:sz="0" w:space="0" w:color="auto"/>
            <w:bottom w:val="none" w:sz="0" w:space="0" w:color="auto"/>
            <w:right w:val="none" w:sz="0" w:space="0" w:color="auto"/>
          </w:divBdr>
        </w:div>
        <w:div w:id="622616887">
          <w:marLeft w:val="0"/>
          <w:marRight w:val="0"/>
          <w:marTop w:val="0"/>
          <w:marBottom w:val="0"/>
          <w:divBdr>
            <w:top w:val="none" w:sz="0" w:space="0" w:color="auto"/>
            <w:left w:val="none" w:sz="0" w:space="0" w:color="auto"/>
            <w:bottom w:val="none" w:sz="0" w:space="0" w:color="auto"/>
            <w:right w:val="none" w:sz="0" w:space="0" w:color="auto"/>
          </w:divBdr>
        </w:div>
        <w:div w:id="626938133">
          <w:marLeft w:val="0"/>
          <w:marRight w:val="0"/>
          <w:marTop w:val="0"/>
          <w:marBottom w:val="0"/>
          <w:divBdr>
            <w:top w:val="none" w:sz="0" w:space="0" w:color="auto"/>
            <w:left w:val="none" w:sz="0" w:space="0" w:color="auto"/>
            <w:bottom w:val="none" w:sz="0" w:space="0" w:color="auto"/>
            <w:right w:val="none" w:sz="0" w:space="0" w:color="auto"/>
          </w:divBdr>
        </w:div>
        <w:div w:id="646973783">
          <w:marLeft w:val="0"/>
          <w:marRight w:val="0"/>
          <w:marTop w:val="0"/>
          <w:marBottom w:val="0"/>
          <w:divBdr>
            <w:top w:val="none" w:sz="0" w:space="0" w:color="auto"/>
            <w:left w:val="none" w:sz="0" w:space="0" w:color="auto"/>
            <w:bottom w:val="none" w:sz="0" w:space="0" w:color="auto"/>
            <w:right w:val="none" w:sz="0" w:space="0" w:color="auto"/>
          </w:divBdr>
        </w:div>
        <w:div w:id="659116741">
          <w:marLeft w:val="0"/>
          <w:marRight w:val="0"/>
          <w:marTop w:val="0"/>
          <w:marBottom w:val="0"/>
          <w:divBdr>
            <w:top w:val="none" w:sz="0" w:space="0" w:color="auto"/>
            <w:left w:val="none" w:sz="0" w:space="0" w:color="auto"/>
            <w:bottom w:val="none" w:sz="0" w:space="0" w:color="auto"/>
            <w:right w:val="none" w:sz="0" w:space="0" w:color="auto"/>
          </w:divBdr>
        </w:div>
        <w:div w:id="671494095">
          <w:marLeft w:val="0"/>
          <w:marRight w:val="0"/>
          <w:marTop w:val="0"/>
          <w:marBottom w:val="0"/>
          <w:divBdr>
            <w:top w:val="none" w:sz="0" w:space="0" w:color="auto"/>
            <w:left w:val="none" w:sz="0" w:space="0" w:color="auto"/>
            <w:bottom w:val="none" w:sz="0" w:space="0" w:color="auto"/>
            <w:right w:val="none" w:sz="0" w:space="0" w:color="auto"/>
          </w:divBdr>
        </w:div>
        <w:div w:id="675689895">
          <w:marLeft w:val="0"/>
          <w:marRight w:val="0"/>
          <w:marTop w:val="0"/>
          <w:marBottom w:val="0"/>
          <w:divBdr>
            <w:top w:val="none" w:sz="0" w:space="0" w:color="auto"/>
            <w:left w:val="none" w:sz="0" w:space="0" w:color="auto"/>
            <w:bottom w:val="none" w:sz="0" w:space="0" w:color="auto"/>
            <w:right w:val="none" w:sz="0" w:space="0" w:color="auto"/>
          </w:divBdr>
        </w:div>
        <w:div w:id="675813449">
          <w:marLeft w:val="0"/>
          <w:marRight w:val="0"/>
          <w:marTop w:val="0"/>
          <w:marBottom w:val="0"/>
          <w:divBdr>
            <w:top w:val="none" w:sz="0" w:space="0" w:color="auto"/>
            <w:left w:val="none" w:sz="0" w:space="0" w:color="auto"/>
            <w:bottom w:val="none" w:sz="0" w:space="0" w:color="auto"/>
            <w:right w:val="none" w:sz="0" w:space="0" w:color="auto"/>
          </w:divBdr>
        </w:div>
        <w:div w:id="697000652">
          <w:marLeft w:val="0"/>
          <w:marRight w:val="0"/>
          <w:marTop w:val="0"/>
          <w:marBottom w:val="0"/>
          <w:divBdr>
            <w:top w:val="none" w:sz="0" w:space="0" w:color="auto"/>
            <w:left w:val="none" w:sz="0" w:space="0" w:color="auto"/>
            <w:bottom w:val="none" w:sz="0" w:space="0" w:color="auto"/>
            <w:right w:val="none" w:sz="0" w:space="0" w:color="auto"/>
          </w:divBdr>
        </w:div>
        <w:div w:id="708183311">
          <w:marLeft w:val="0"/>
          <w:marRight w:val="0"/>
          <w:marTop w:val="0"/>
          <w:marBottom w:val="0"/>
          <w:divBdr>
            <w:top w:val="none" w:sz="0" w:space="0" w:color="auto"/>
            <w:left w:val="none" w:sz="0" w:space="0" w:color="auto"/>
            <w:bottom w:val="none" w:sz="0" w:space="0" w:color="auto"/>
            <w:right w:val="none" w:sz="0" w:space="0" w:color="auto"/>
          </w:divBdr>
        </w:div>
        <w:div w:id="713891803">
          <w:marLeft w:val="0"/>
          <w:marRight w:val="0"/>
          <w:marTop w:val="0"/>
          <w:marBottom w:val="0"/>
          <w:divBdr>
            <w:top w:val="none" w:sz="0" w:space="0" w:color="auto"/>
            <w:left w:val="none" w:sz="0" w:space="0" w:color="auto"/>
            <w:bottom w:val="none" w:sz="0" w:space="0" w:color="auto"/>
            <w:right w:val="none" w:sz="0" w:space="0" w:color="auto"/>
          </w:divBdr>
        </w:div>
        <w:div w:id="733895659">
          <w:marLeft w:val="0"/>
          <w:marRight w:val="0"/>
          <w:marTop w:val="0"/>
          <w:marBottom w:val="0"/>
          <w:divBdr>
            <w:top w:val="none" w:sz="0" w:space="0" w:color="auto"/>
            <w:left w:val="none" w:sz="0" w:space="0" w:color="auto"/>
            <w:bottom w:val="none" w:sz="0" w:space="0" w:color="auto"/>
            <w:right w:val="none" w:sz="0" w:space="0" w:color="auto"/>
          </w:divBdr>
        </w:div>
        <w:div w:id="736241380">
          <w:marLeft w:val="0"/>
          <w:marRight w:val="0"/>
          <w:marTop w:val="0"/>
          <w:marBottom w:val="0"/>
          <w:divBdr>
            <w:top w:val="none" w:sz="0" w:space="0" w:color="auto"/>
            <w:left w:val="none" w:sz="0" w:space="0" w:color="auto"/>
            <w:bottom w:val="none" w:sz="0" w:space="0" w:color="auto"/>
            <w:right w:val="none" w:sz="0" w:space="0" w:color="auto"/>
          </w:divBdr>
        </w:div>
        <w:div w:id="751240585">
          <w:marLeft w:val="0"/>
          <w:marRight w:val="0"/>
          <w:marTop w:val="0"/>
          <w:marBottom w:val="0"/>
          <w:divBdr>
            <w:top w:val="none" w:sz="0" w:space="0" w:color="auto"/>
            <w:left w:val="none" w:sz="0" w:space="0" w:color="auto"/>
            <w:bottom w:val="none" w:sz="0" w:space="0" w:color="auto"/>
            <w:right w:val="none" w:sz="0" w:space="0" w:color="auto"/>
          </w:divBdr>
        </w:div>
        <w:div w:id="762530423">
          <w:marLeft w:val="0"/>
          <w:marRight w:val="0"/>
          <w:marTop w:val="0"/>
          <w:marBottom w:val="0"/>
          <w:divBdr>
            <w:top w:val="none" w:sz="0" w:space="0" w:color="auto"/>
            <w:left w:val="none" w:sz="0" w:space="0" w:color="auto"/>
            <w:bottom w:val="none" w:sz="0" w:space="0" w:color="auto"/>
            <w:right w:val="none" w:sz="0" w:space="0" w:color="auto"/>
          </w:divBdr>
        </w:div>
        <w:div w:id="777524649">
          <w:marLeft w:val="0"/>
          <w:marRight w:val="0"/>
          <w:marTop w:val="0"/>
          <w:marBottom w:val="0"/>
          <w:divBdr>
            <w:top w:val="none" w:sz="0" w:space="0" w:color="auto"/>
            <w:left w:val="none" w:sz="0" w:space="0" w:color="auto"/>
            <w:bottom w:val="none" w:sz="0" w:space="0" w:color="auto"/>
            <w:right w:val="none" w:sz="0" w:space="0" w:color="auto"/>
          </w:divBdr>
        </w:div>
        <w:div w:id="780075042">
          <w:marLeft w:val="0"/>
          <w:marRight w:val="0"/>
          <w:marTop w:val="0"/>
          <w:marBottom w:val="0"/>
          <w:divBdr>
            <w:top w:val="none" w:sz="0" w:space="0" w:color="auto"/>
            <w:left w:val="none" w:sz="0" w:space="0" w:color="auto"/>
            <w:bottom w:val="none" w:sz="0" w:space="0" w:color="auto"/>
            <w:right w:val="none" w:sz="0" w:space="0" w:color="auto"/>
          </w:divBdr>
        </w:div>
        <w:div w:id="786509101">
          <w:marLeft w:val="0"/>
          <w:marRight w:val="0"/>
          <w:marTop w:val="0"/>
          <w:marBottom w:val="0"/>
          <w:divBdr>
            <w:top w:val="none" w:sz="0" w:space="0" w:color="auto"/>
            <w:left w:val="none" w:sz="0" w:space="0" w:color="auto"/>
            <w:bottom w:val="none" w:sz="0" w:space="0" w:color="auto"/>
            <w:right w:val="none" w:sz="0" w:space="0" w:color="auto"/>
          </w:divBdr>
        </w:div>
        <w:div w:id="790130075">
          <w:marLeft w:val="0"/>
          <w:marRight w:val="0"/>
          <w:marTop w:val="0"/>
          <w:marBottom w:val="0"/>
          <w:divBdr>
            <w:top w:val="none" w:sz="0" w:space="0" w:color="auto"/>
            <w:left w:val="none" w:sz="0" w:space="0" w:color="auto"/>
            <w:bottom w:val="none" w:sz="0" w:space="0" w:color="auto"/>
            <w:right w:val="none" w:sz="0" w:space="0" w:color="auto"/>
          </w:divBdr>
        </w:div>
        <w:div w:id="792947145">
          <w:marLeft w:val="0"/>
          <w:marRight w:val="0"/>
          <w:marTop w:val="0"/>
          <w:marBottom w:val="0"/>
          <w:divBdr>
            <w:top w:val="none" w:sz="0" w:space="0" w:color="auto"/>
            <w:left w:val="none" w:sz="0" w:space="0" w:color="auto"/>
            <w:bottom w:val="none" w:sz="0" w:space="0" w:color="auto"/>
            <w:right w:val="none" w:sz="0" w:space="0" w:color="auto"/>
          </w:divBdr>
        </w:div>
        <w:div w:id="801927345">
          <w:marLeft w:val="0"/>
          <w:marRight w:val="0"/>
          <w:marTop w:val="0"/>
          <w:marBottom w:val="0"/>
          <w:divBdr>
            <w:top w:val="none" w:sz="0" w:space="0" w:color="auto"/>
            <w:left w:val="none" w:sz="0" w:space="0" w:color="auto"/>
            <w:bottom w:val="none" w:sz="0" w:space="0" w:color="auto"/>
            <w:right w:val="none" w:sz="0" w:space="0" w:color="auto"/>
          </w:divBdr>
        </w:div>
        <w:div w:id="815076114">
          <w:marLeft w:val="0"/>
          <w:marRight w:val="0"/>
          <w:marTop w:val="0"/>
          <w:marBottom w:val="0"/>
          <w:divBdr>
            <w:top w:val="none" w:sz="0" w:space="0" w:color="auto"/>
            <w:left w:val="none" w:sz="0" w:space="0" w:color="auto"/>
            <w:bottom w:val="none" w:sz="0" w:space="0" w:color="auto"/>
            <w:right w:val="none" w:sz="0" w:space="0" w:color="auto"/>
          </w:divBdr>
        </w:div>
        <w:div w:id="816842686">
          <w:marLeft w:val="0"/>
          <w:marRight w:val="0"/>
          <w:marTop w:val="0"/>
          <w:marBottom w:val="0"/>
          <w:divBdr>
            <w:top w:val="none" w:sz="0" w:space="0" w:color="auto"/>
            <w:left w:val="none" w:sz="0" w:space="0" w:color="auto"/>
            <w:bottom w:val="none" w:sz="0" w:space="0" w:color="auto"/>
            <w:right w:val="none" w:sz="0" w:space="0" w:color="auto"/>
          </w:divBdr>
        </w:div>
        <w:div w:id="821507758">
          <w:marLeft w:val="0"/>
          <w:marRight w:val="0"/>
          <w:marTop w:val="0"/>
          <w:marBottom w:val="0"/>
          <w:divBdr>
            <w:top w:val="none" w:sz="0" w:space="0" w:color="auto"/>
            <w:left w:val="none" w:sz="0" w:space="0" w:color="auto"/>
            <w:bottom w:val="none" w:sz="0" w:space="0" w:color="auto"/>
            <w:right w:val="none" w:sz="0" w:space="0" w:color="auto"/>
          </w:divBdr>
        </w:div>
        <w:div w:id="831067528">
          <w:marLeft w:val="0"/>
          <w:marRight w:val="0"/>
          <w:marTop w:val="0"/>
          <w:marBottom w:val="0"/>
          <w:divBdr>
            <w:top w:val="none" w:sz="0" w:space="0" w:color="auto"/>
            <w:left w:val="none" w:sz="0" w:space="0" w:color="auto"/>
            <w:bottom w:val="none" w:sz="0" w:space="0" w:color="auto"/>
            <w:right w:val="none" w:sz="0" w:space="0" w:color="auto"/>
          </w:divBdr>
        </w:div>
        <w:div w:id="836118512">
          <w:marLeft w:val="0"/>
          <w:marRight w:val="0"/>
          <w:marTop w:val="0"/>
          <w:marBottom w:val="0"/>
          <w:divBdr>
            <w:top w:val="none" w:sz="0" w:space="0" w:color="auto"/>
            <w:left w:val="none" w:sz="0" w:space="0" w:color="auto"/>
            <w:bottom w:val="none" w:sz="0" w:space="0" w:color="auto"/>
            <w:right w:val="none" w:sz="0" w:space="0" w:color="auto"/>
          </w:divBdr>
        </w:div>
        <w:div w:id="852646994">
          <w:marLeft w:val="0"/>
          <w:marRight w:val="0"/>
          <w:marTop w:val="0"/>
          <w:marBottom w:val="0"/>
          <w:divBdr>
            <w:top w:val="none" w:sz="0" w:space="0" w:color="auto"/>
            <w:left w:val="none" w:sz="0" w:space="0" w:color="auto"/>
            <w:bottom w:val="none" w:sz="0" w:space="0" w:color="auto"/>
            <w:right w:val="none" w:sz="0" w:space="0" w:color="auto"/>
          </w:divBdr>
        </w:div>
        <w:div w:id="855923256">
          <w:marLeft w:val="0"/>
          <w:marRight w:val="0"/>
          <w:marTop w:val="0"/>
          <w:marBottom w:val="0"/>
          <w:divBdr>
            <w:top w:val="none" w:sz="0" w:space="0" w:color="auto"/>
            <w:left w:val="none" w:sz="0" w:space="0" w:color="auto"/>
            <w:bottom w:val="none" w:sz="0" w:space="0" w:color="auto"/>
            <w:right w:val="none" w:sz="0" w:space="0" w:color="auto"/>
          </w:divBdr>
        </w:div>
        <w:div w:id="861430517">
          <w:marLeft w:val="0"/>
          <w:marRight w:val="0"/>
          <w:marTop w:val="0"/>
          <w:marBottom w:val="0"/>
          <w:divBdr>
            <w:top w:val="none" w:sz="0" w:space="0" w:color="auto"/>
            <w:left w:val="none" w:sz="0" w:space="0" w:color="auto"/>
            <w:bottom w:val="none" w:sz="0" w:space="0" w:color="auto"/>
            <w:right w:val="none" w:sz="0" w:space="0" w:color="auto"/>
          </w:divBdr>
        </w:div>
        <w:div w:id="865604561">
          <w:marLeft w:val="0"/>
          <w:marRight w:val="0"/>
          <w:marTop w:val="0"/>
          <w:marBottom w:val="0"/>
          <w:divBdr>
            <w:top w:val="none" w:sz="0" w:space="0" w:color="auto"/>
            <w:left w:val="none" w:sz="0" w:space="0" w:color="auto"/>
            <w:bottom w:val="none" w:sz="0" w:space="0" w:color="auto"/>
            <w:right w:val="none" w:sz="0" w:space="0" w:color="auto"/>
          </w:divBdr>
        </w:div>
        <w:div w:id="874854362">
          <w:marLeft w:val="0"/>
          <w:marRight w:val="0"/>
          <w:marTop w:val="0"/>
          <w:marBottom w:val="0"/>
          <w:divBdr>
            <w:top w:val="none" w:sz="0" w:space="0" w:color="auto"/>
            <w:left w:val="none" w:sz="0" w:space="0" w:color="auto"/>
            <w:bottom w:val="none" w:sz="0" w:space="0" w:color="auto"/>
            <w:right w:val="none" w:sz="0" w:space="0" w:color="auto"/>
          </w:divBdr>
        </w:div>
        <w:div w:id="881407826">
          <w:marLeft w:val="0"/>
          <w:marRight w:val="0"/>
          <w:marTop w:val="0"/>
          <w:marBottom w:val="0"/>
          <w:divBdr>
            <w:top w:val="none" w:sz="0" w:space="0" w:color="auto"/>
            <w:left w:val="none" w:sz="0" w:space="0" w:color="auto"/>
            <w:bottom w:val="none" w:sz="0" w:space="0" w:color="auto"/>
            <w:right w:val="none" w:sz="0" w:space="0" w:color="auto"/>
          </w:divBdr>
        </w:div>
        <w:div w:id="884948576">
          <w:marLeft w:val="0"/>
          <w:marRight w:val="0"/>
          <w:marTop w:val="0"/>
          <w:marBottom w:val="0"/>
          <w:divBdr>
            <w:top w:val="none" w:sz="0" w:space="0" w:color="auto"/>
            <w:left w:val="none" w:sz="0" w:space="0" w:color="auto"/>
            <w:bottom w:val="none" w:sz="0" w:space="0" w:color="auto"/>
            <w:right w:val="none" w:sz="0" w:space="0" w:color="auto"/>
          </w:divBdr>
        </w:div>
        <w:div w:id="893196936">
          <w:marLeft w:val="0"/>
          <w:marRight w:val="0"/>
          <w:marTop w:val="0"/>
          <w:marBottom w:val="0"/>
          <w:divBdr>
            <w:top w:val="none" w:sz="0" w:space="0" w:color="auto"/>
            <w:left w:val="none" w:sz="0" w:space="0" w:color="auto"/>
            <w:bottom w:val="none" w:sz="0" w:space="0" w:color="auto"/>
            <w:right w:val="none" w:sz="0" w:space="0" w:color="auto"/>
          </w:divBdr>
        </w:div>
        <w:div w:id="906039658">
          <w:marLeft w:val="0"/>
          <w:marRight w:val="0"/>
          <w:marTop w:val="0"/>
          <w:marBottom w:val="0"/>
          <w:divBdr>
            <w:top w:val="none" w:sz="0" w:space="0" w:color="auto"/>
            <w:left w:val="none" w:sz="0" w:space="0" w:color="auto"/>
            <w:bottom w:val="none" w:sz="0" w:space="0" w:color="auto"/>
            <w:right w:val="none" w:sz="0" w:space="0" w:color="auto"/>
          </w:divBdr>
        </w:div>
        <w:div w:id="916939966">
          <w:marLeft w:val="0"/>
          <w:marRight w:val="0"/>
          <w:marTop w:val="0"/>
          <w:marBottom w:val="0"/>
          <w:divBdr>
            <w:top w:val="none" w:sz="0" w:space="0" w:color="auto"/>
            <w:left w:val="none" w:sz="0" w:space="0" w:color="auto"/>
            <w:bottom w:val="none" w:sz="0" w:space="0" w:color="auto"/>
            <w:right w:val="none" w:sz="0" w:space="0" w:color="auto"/>
          </w:divBdr>
        </w:div>
        <w:div w:id="918714468">
          <w:marLeft w:val="0"/>
          <w:marRight w:val="0"/>
          <w:marTop w:val="0"/>
          <w:marBottom w:val="0"/>
          <w:divBdr>
            <w:top w:val="none" w:sz="0" w:space="0" w:color="auto"/>
            <w:left w:val="none" w:sz="0" w:space="0" w:color="auto"/>
            <w:bottom w:val="none" w:sz="0" w:space="0" w:color="auto"/>
            <w:right w:val="none" w:sz="0" w:space="0" w:color="auto"/>
          </w:divBdr>
        </w:div>
        <w:div w:id="923034440">
          <w:marLeft w:val="0"/>
          <w:marRight w:val="0"/>
          <w:marTop w:val="0"/>
          <w:marBottom w:val="0"/>
          <w:divBdr>
            <w:top w:val="none" w:sz="0" w:space="0" w:color="auto"/>
            <w:left w:val="none" w:sz="0" w:space="0" w:color="auto"/>
            <w:bottom w:val="none" w:sz="0" w:space="0" w:color="auto"/>
            <w:right w:val="none" w:sz="0" w:space="0" w:color="auto"/>
          </w:divBdr>
        </w:div>
        <w:div w:id="931858122">
          <w:marLeft w:val="0"/>
          <w:marRight w:val="0"/>
          <w:marTop w:val="0"/>
          <w:marBottom w:val="0"/>
          <w:divBdr>
            <w:top w:val="none" w:sz="0" w:space="0" w:color="auto"/>
            <w:left w:val="none" w:sz="0" w:space="0" w:color="auto"/>
            <w:bottom w:val="none" w:sz="0" w:space="0" w:color="auto"/>
            <w:right w:val="none" w:sz="0" w:space="0" w:color="auto"/>
          </w:divBdr>
        </w:div>
        <w:div w:id="937180424">
          <w:marLeft w:val="0"/>
          <w:marRight w:val="0"/>
          <w:marTop w:val="0"/>
          <w:marBottom w:val="0"/>
          <w:divBdr>
            <w:top w:val="none" w:sz="0" w:space="0" w:color="auto"/>
            <w:left w:val="none" w:sz="0" w:space="0" w:color="auto"/>
            <w:bottom w:val="none" w:sz="0" w:space="0" w:color="auto"/>
            <w:right w:val="none" w:sz="0" w:space="0" w:color="auto"/>
          </w:divBdr>
        </w:div>
        <w:div w:id="941843418">
          <w:marLeft w:val="0"/>
          <w:marRight w:val="0"/>
          <w:marTop w:val="0"/>
          <w:marBottom w:val="0"/>
          <w:divBdr>
            <w:top w:val="none" w:sz="0" w:space="0" w:color="auto"/>
            <w:left w:val="none" w:sz="0" w:space="0" w:color="auto"/>
            <w:bottom w:val="none" w:sz="0" w:space="0" w:color="auto"/>
            <w:right w:val="none" w:sz="0" w:space="0" w:color="auto"/>
          </w:divBdr>
        </w:div>
        <w:div w:id="964119076">
          <w:marLeft w:val="0"/>
          <w:marRight w:val="0"/>
          <w:marTop w:val="0"/>
          <w:marBottom w:val="0"/>
          <w:divBdr>
            <w:top w:val="none" w:sz="0" w:space="0" w:color="auto"/>
            <w:left w:val="none" w:sz="0" w:space="0" w:color="auto"/>
            <w:bottom w:val="none" w:sz="0" w:space="0" w:color="auto"/>
            <w:right w:val="none" w:sz="0" w:space="0" w:color="auto"/>
          </w:divBdr>
        </w:div>
        <w:div w:id="964237201">
          <w:marLeft w:val="0"/>
          <w:marRight w:val="0"/>
          <w:marTop w:val="0"/>
          <w:marBottom w:val="0"/>
          <w:divBdr>
            <w:top w:val="none" w:sz="0" w:space="0" w:color="auto"/>
            <w:left w:val="none" w:sz="0" w:space="0" w:color="auto"/>
            <w:bottom w:val="none" w:sz="0" w:space="0" w:color="auto"/>
            <w:right w:val="none" w:sz="0" w:space="0" w:color="auto"/>
          </w:divBdr>
        </w:div>
        <w:div w:id="966275429">
          <w:marLeft w:val="0"/>
          <w:marRight w:val="0"/>
          <w:marTop w:val="0"/>
          <w:marBottom w:val="0"/>
          <w:divBdr>
            <w:top w:val="none" w:sz="0" w:space="0" w:color="auto"/>
            <w:left w:val="none" w:sz="0" w:space="0" w:color="auto"/>
            <w:bottom w:val="none" w:sz="0" w:space="0" w:color="auto"/>
            <w:right w:val="none" w:sz="0" w:space="0" w:color="auto"/>
          </w:divBdr>
        </w:div>
        <w:div w:id="983700612">
          <w:marLeft w:val="0"/>
          <w:marRight w:val="0"/>
          <w:marTop w:val="0"/>
          <w:marBottom w:val="0"/>
          <w:divBdr>
            <w:top w:val="none" w:sz="0" w:space="0" w:color="auto"/>
            <w:left w:val="none" w:sz="0" w:space="0" w:color="auto"/>
            <w:bottom w:val="none" w:sz="0" w:space="0" w:color="auto"/>
            <w:right w:val="none" w:sz="0" w:space="0" w:color="auto"/>
          </w:divBdr>
        </w:div>
        <w:div w:id="994262115">
          <w:marLeft w:val="0"/>
          <w:marRight w:val="0"/>
          <w:marTop w:val="0"/>
          <w:marBottom w:val="0"/>
          <w:divBdr>
            <w:top w:val="none" w:sz="0" w:space="0" w:color="auto"/>
            <w:left w:val="none" w:sz="0" w:space="0" w:color="auto"/>
            <w:bottom w:val="none" w:sz="0" w:space="0" w:color="auto"/>
            <w:right w:val="none" w:sz="0" w:space="0" w:color="auto"/>
          </w:divBdr>
        </w:div>
        <w:div w:id="999117299">
          <w:marLeft w:val="0"/>
          <w:marRight w:val="0"/>
          <w:marTop w:val="0"/>
          <w:marBottom w:val="0"/>
          <w:divBdr>
            <w:top w:val="none" w:sz="0" w:space="0" w:color="auto"/>
            <w:left w:val="none" w:sz="0" w:space="0" w:color="auto"/>
            <w:bottom w:val="none" w:sz="0" w:space="0" w:color="auto"/>
            <w:right w:val="none" w:sz="0" w:space="0" w:color="auto"/>
          </w:divBdr>
        </w:div>
        <w:div w:id="999696147">
          <w:marLeft w:val="0"/>
          <w:marRight w:val="0"/>
          <w:marTop w:val="0"/>
          <w:marBottom w:val="0"/>
          <w:divBdr>
            <w:top w:val="none" w:sz="0" w:space="0" w:color="auto"/>
            <w:left w:val="none" w:sz="0" w:space="0" w:color="auto"/>
            <w:bottom w:val="none" w:sz="0" w:space="0" w:color="auto"/>
            <w:right w:val="none" w:sz="0" w:space="0" w:color="auto"/>
          </w:divBdr>
        </w:div>
        <w:div w:id="1001933602">
          <w:marLeft w:val="0"/>
          <w:marRight w:val="0"/>
          <w:marTop w:val="0"/>
          <w:marBottom w:val="0"/>
          <w:divBdr>
            <w:top w:val="none" w:sz="0" w:space="0" w:color="auto"/>
            <w:left w:val="none" w:sz="0" w:space="0" w:color="auto"/>
            <w:bottom w:val="none" w:sz="0" w:space="0" w:color="auto"/>
            <w:right w:val="none" w:sz="0" w:space="0" w:color="auto"/>
          </w:divBdr>
        </w:div>
        <w:div w:id="1006860553">
          <w:marLeft w:val="0"/>
          <w:marRight w:val="0"/>
          <w:marTop w:val="0"/>
          <w:marBottom w:val="0"/>
          <w:divBdr>
            <w:top w:val="none" w:sz="0" w:space="0" w:color="auto"/>
            <w:left w:val="none" w:sz="0" w:space="0" w:color="auto"/>
            <w:bottom w:val="none" w:sz="0" w:space="0" w:color="auto"/>
            <w:right w:val="none" w:sz="0" w:space="0" w:color="auto"/>
          </w:divBdr>
        </w:div>
        <w:div w:id="1023482208">
          <w:marLeft w:val="0"/>
          <w:marRight w:val="0"/>
          <w:marTop w:val="0"/>
          <w:marBottom w:val="0"/>
          <w:divBdr>
            <w:top w:val="none" w:sz="0" w:space="0" w:color="auto"/>
            <w:left w:val="none" w:sz="0" w:space="0" w:color="auto"/>
            <w:bottom w:val="none" w:sz="0" w:space="0" w:color="auto"/>
            <w:right w:val="none" w:sz="0" w:space="0" w:color="auto"/>
          </w:divBdr>
        </w:div>
        <w:div w:id="1032879971">
          <w:marLeft w:val="0"/>
          <w:marRight w:val="0"/>
          <w:marTop w:val="0"/>
          <w:marBottom w:val="0"/>
          <w:divBdr>
            <w:top w:val="none" w:sz="0" w:space="0" w:color="auto"/>
            <w:left w:val="none" w:sz="0" w:space="0" w:color="auto"/>
            <w:bottom w:val="none" w:sz="0" w:space="0" w:color="auto"/>
            <w:right w:val="none" w:sz="0" w:space="0" w:color="auto"/>
          </w:divBdr>
        </w:div>
        <w:div w:id="1041905895">
          <w:marLeft w:val="0"/>
          <w:marRight w:val="0"/>
          <w:marTop w:val="0"/>
          <w:marBottom w:val="0"/>
          <w:divBdr>
            <w:top w:val="none" w:sz="0" w:space="0" w:color="auto"/>
            <w:left w:val="none" w:sz="0" w:space="0" w:color="auto"/>
            <w:bottom w:val="none" w:sz="0" w:space="0" w:color="auto"/>
            <w:right w:val="none" w:sz="0" w:space="0" w:color="auto"/>
          </w:divBdr>
        </w:div>
        <w:div w:id="1052383269">
          <w:marLeft w:val="0"/>
          <w:marRight w:val="0"/>
          <w:marTop w:val="0"/>
          <w:marBottom w:val="0"/>
          <w:divBdr>
            <w:top w:val="none" w:sz="0" w:space="0" w:color="auto"/>
            <w:left w:val="none" w:sz="0" w:space="0" w:color="auto"/>
            <w:bottom w:val="none" w:sz="0" w:space="0" w:color="auto"/>
            <w:right w:val="none" w:sz="0" w:space="0" w:color="auto"/>
          </w:divBdr>
        </w:div>
        <w:div w:id="1054306426">
          <w:marLeft w:val="0"/>
          <w:marRight w:val="0"/>
          <w:marTop w:val="0"/>
          <w:marBottom w:val="0"/>
          <w:divBdr>
            <w:top w:val="none" w:sz="0" w:space="0" w:color="auto"/>
            <w:left w:val="none" w:sz="0" w:space="0" w:color="auto"/>
            <w:bottom w:val="none" w:sz="0" w:space="0" w:color="auto"/>
            <w:right w:val="none" w:sz="0" w:space="0" w:color="auto"/>
          </w:divBdr>
        </w:div>
        <w:div w:id="1057586808">
          <w:marLeft w:val="0"/>
          <w:marRight w:val="0"/>
          <w:marTop w:val="0"/>
          <w:marBottom w:val="0"/>
          <w:divBdr>
            <w:top w:val="none" w:sz="0" w:space="0" w:color="auto"/>
            <w:left w:val="none" w:sz="0" w:space="0" w:color="auto"/>
            <w:bottom w:val="none" w:sz="0" w:space="0" w:color="auto"/>
            <w:right w:val="none" w:sz="0" w:space="0" w:color="auto"/>
          </w:divBdr>
        </w:div>
        <w:div w:id="1064140778">
          <w:marLeft w:val="0"/>
          <w:marRight w:val="0"/>
          <w:marTop w:val="0"/>
          <w:marBottom w:val="0"/>
          <w:divBdr>
            <w:top w:val="none" w:sz="0" w:space="0" w:color="auto"/>
            <w:left w:val="none" w:sz="0" w:space="0" w:color="auto"/>
            <w:bottom w:val="none" w:sz="0" w:space="0" w:color="auto"/>
            <w:right w:val="none" w:sz="0" w:space="0" w:color="auto"/>
          </w:divBdr>
        </w:div>
        <w:div w:id="1071001595">
          <w:marLeft w:val="0"/>
          <w:marRight w:val="0"/>
          <w:marTop w:val="0"/>
          <w:marBottom w:val="0"/>
          <w:divBdr>
            <w:top w:val="none" w:sz="0" w:space="0" w:color="auto"/>
            <w:left w:val="none" w:sz="0" w:space="0" w:color="auto"/>
            <w:bottom w:val="none" w:sz="0" w:space="0" w:color="auto"/>
            <w:right w:val="none" w:sz="0" w:space="0" w:color="auto"/>
          </w:divBdr>
        </w:div>
        <w:div w:id="1078864524">
          <w:marLeft w:val="0"/>
          <w:marRight w:val="0"/>
          <w:marTop w:val="0"/>
          <w:marBottom w:val="0"/>
          <w:divBdr>
            <w:top w:val="none" w:sz="0" w:space="0" w:color="auto"/>
            <w:left w:val="none" w:sz="0" w:space="0" w:color="auto"/>
            <w:bottom w:val="none" w:sz="0" w:space="0" w:color="auto"/>
            <w:right w:val="none" w:sz="0" w:space="0" w:color="auto"/>
          </w:divBdr>
        </w:div>
        <w:div w:id="1099062203">
          <w:marLeft w:val="0"/>
          <w:marRight w:val="0"/>
          <w:marTop w:val="0"/>
          <w:marBottom w:val="0"/>
          <w:divBdr>
            <w:top w:val="none" w:sz="0" w:space="0" w:color="auto"/>
            <w:left w:val="none" w:sz="0" w:space="0" w:color="auto"/>
            <w:bottom w:val="none" w:sz="0" w:space="0" w:color="auto"/>
            <w:right w:val="none" w:sz="0" w:space="0" w:color="auto"/>
          </w:divBdr>
        </w:div>
        <w:div w:id="1124544254">
          <w:marLeft w:val="0"/>
          <w:marRight w:val="0"/>
          <w:marTop w:val="0"/>
          <w:marBottom w:val="0"/>
          <w:divBdr>
            <w:top w:val="none" w:sz="0" w:space="0" w:color="auto"/>
            <w:left w:val="none" w:sz="0" w:space="0" w:color="auto"/>
            <w:bottom w:val="none" w:sz="0" w:space="0" w:color="auto"/>
            <w:right w:val="none" w:sz="0" w:space="0" w:color="auto"/>
          </w:divBdr>
        </w:div>
        <w:div w:id="1127552038">
          <w:marLeft w:val="0"/>
          <w:marRight w:val="0"/>
          <w:marTop w:val="0"/>
          <w:marBottom w:val="0"/>
          <w:divBdr>
            <w:top w:val="none" w:sz="0" w:space="0" w:color="auto"/>
            <w:left w:val="none" w:sz="0" w:space="0" w:color="auto"/>
            <w:bottom w:val="none" w:sz="0" w:space="0" w:color="auto"/>
            <w:right w:val="none" w:sz="0" w:space="0" w:color="auto"/>
          </w:divBdr>
        </w:div>
        <w:div w:id="1171070257">
          <w:marLeft w:val="0"/>
          <w:marRight w:val="0"/>
          <w:marTop w:val="0"/>
          <w:marBottom w:val="0"/>
          <w:divBdr>
            <w:top w:val="none" w:sz="0" w:space="0" w:color="auto"/>
            <w:left w:val="none" w:sz="0" w:space="0" w:color="auto"/>
            <w:bottom w:val="none" w:sz="0" w:space="0" w:color="auto"/>
            <w:right w:val="none" w:sz="0" w:space="0" w:color="auto"/>
          </w:divBdr>
        </w:div>
        <w:div w:id="1176962741">
          <w:marLeft w:val="0"/>
          <w:marRight w:val="0"/>
          <w:marTop w:val="0"/>
          <w:marBottom w:val="0"/>
          <w:divBdr>
            <w:top w:val="none" w:sz="0" w:space="0" w:color="auto"/>
            <w:left w:val="none" w:sz="0" w:space="0" w:color="auto"/>
            <w:bottom w:val="none" w:sz="0" w:space="0" w:color="auto"/>
            <w:right w:val="none" w:sz="0" w:space="0" w:color="auto"/>
          </w:divBdr>
        </w:div>
        <w:div w:id="1183470132">
          <w:marLeft w:val="0"/>
          <w:marRight w:val="0"/>
          <w:marTop w:val="0"/>
          <w:marBottom w:val="0"/>
          <w:divBdr>
            <w:top w:val="none" w:sz="0" w:space="0" w:color="auto"/>
            <w:left w:val="none" w:sz="0" w:space="0" w:color="auto"/>
            <w:bottom w:val="none" w:sz="0" w:space="0" w:color="auto"/>
            <w:right w:val="none" w:sz="0" w:space="0" w:color="auto"/>
          </w:divBdr>
        </w:div>
        <w:div w:id="1189222162">
          <w:marLeft w:val="0"/>
          <w:marRight w:val="0"/>
          <w:marTop w:val="0"/>
          <w:marBottom w:val="0"/>
          <w:divBdr>
            <w:top w:val="none" w:sz="0" w:space="0" w:color="auto"/>
            <w:left w:val="none" w:sz="0" w:space="0" w:color="auto"/>
            <w:bottom w:val="none" w:sz="0" w:space="0" w:color="auto"/>
            <w:right w:val="none" w:sz="0" w:space="0" w:color="auto"/>
          </w:divBdr>
        </w:div>
        <w:div w:id="1192571942">
          <w:marLeft w:val="0"/>
          <w:marRight w:val="0"/>
          <w:marTop w:val="0"/>
          <w:marBottom w:val="0"/>
          <w:divBdr>
            <w:top w:val="none" w:sz="0" w:space="0" w:color="auto"/>
            <w:left w:val="none" w:sz="0" w:space="0" w:color="auto"/>
            <w:bottom w:val="none" w:sz="0" w:space="0" w:color="auto"/>
            <w:right w:val="none" w:sz="0" w:space="0" w:color="auto"/>
          </w:divBdr>
        </w:div>
        <w:div w:id="1203901540">
          <w:marLeft w:val="0"/>
          <w:marRight w:val="0"/>
          <w:marTop w:val="0"/>
          <w:marBottom w:val="0"/>
          <w:divBdr>
            <w:top w:val="none" w:sz="0" w:space="0" w:color="auto"/>
            <w:left w:val="none" w:sz="0" w:space="0" w:color="auto"/>
            <w:bottom w:val="none" w:sz="0" w:space="0" w:color="auto"/>
            <w:right w:val="none" w:sz="0" w:space="0" w:color="auto"/>
          </w:divBdr>
        </w:div>
        <w:div w:id="1228147533">
          <w:marLeft w:val="0"/>
          <w:marRight w:val="0"/>
          <w:marTop w:val="0"/>
          <w:marBottom w:val="0"/>
          <w:divBdr>
            <w:top w:val="none" w:sz="0" w:space="0" w:color="auto"/>
            <w:left w:val="none" w:sz="0" w:space="0" w:color="auto"/>
            <w:bottom w:val="none" w:sz="0" w:space="0" w:color="auto"/>
            <w:right w:val="none" w:sz="0" w:space="0" w:color="auto"/>
          </w:divBdr>
        </w:div>
        <w:div w:id="1241134202">
          <w:marLeft w:val="0"/>
          <w:marRight w:val="0"/>
          <w:marTop w:val="0"/>
          <w:marBottom w:val="0"/>
          <w:divBdr>
            <w:top w:val="none" w:sz="0" w:space="0" w:color="auto"/>
            <w:left w:val="none" w:sz="0" w:space="0" w:color="auto"/>
            <w:bottom w:val="none" w:sz="0" w:space="0" w:color="auto"/>
            <w:right w:val="none" w:sz="0" w:space="0" w:color="auto"/>
          </w:divBdr>
        </w:div>
        <w:div w:id="1252202478">
          <w:marLeft w:val="0"/>
          <w:marRight w:val="0"/>
          <w:marTop w:val="0"/>
          <w:marBottom w:val="0"/>
          <w:divBdr>
            <w:top w:val="none" w:sz="0" w:space="0" w:color="auto"/>
            <w:left w:val="none" w:sz="0" w:space="0" w:color="auto"/>
            <w:bottom w:val="none" w:sz="0" w:space="0" w:color="auto"/>
            <w:right w:val="none" w:sz="0" w:space="0" w:color="auto"/>
          </w:divBdr>
        </w:div>
        <w:div w:id="1263226835">
          <w:marLeft w:val="0"/>
          <w:marRight w:val="0"/>
          <w:marTop w:val="0"/>
          <w:marBottom w:val="0"/>
          <w:divBdr>
            <w:top w:val="none" w:sz="0" w:space="0" w:color="auto"/>
            <w:left w:val="none" w:sz="0" w:space="0" w:color="auto"/>
            <w:bottom w:val="none" w:sz="0" w:space="0" w:color="auto"/>
            <w:right w:val="none" w:sz="0" w:space="0" w:color="auto"/>
          </w:divBdr>
        </w:div>
        <w:div w:id="1265115282">
          <w:marLeft w:val="0"/>
          <w:marRight w:val="0"/>
          <w:marTop w:val="0"/>
          <w:marBottom w:val="0"/>
          <w:divBdr>
            <w:top w:val="none" w:sz="0" w:space="0" w:color="auto"/>
            <w:left w:val="none" w:sz="0" w:space="0" w:color="auto"/>
            <w:bottom w:val="none" w:sz="0" w:space="0" w:color="auto"/>
            <w:right w:val="none" w:sz="0" w:space="0" w:color="auto"/>
          </w:divBdr>
        </w:div>
        <w:div w:id="1266887744">
          <w:marLeft w:val="0"/>
          <w:marRight w:val="0"/>
          <w:marTop w:val="0"/>
          <w:marBottom w:val="0"/>
          <w:divBdr>
            <w:top w:val="none" w:sz="0" w:space="0" w:color="auto"/>
            <w:left w:val="none" w:sz="0" w:space="0" w:color="auto"/>
            <w:bottom w:val="none" w:sz="0" w:space="0" w:color="auto"/>
            <w:right w:val="none" w:sz="0" w:space="0" w:color="auto"/>
          </w:divBdr>
        </w:div>
        <w:div w:id="1266959602">
          <w:marLeft w:val="0"/>
          <w:marRight w:val="0"/>
          <w:marTop w:val="0"/>
          <w:marBottom w:val="0"/>
          <w:divBdr>
            <w:top w:val="none" w:sz="0" w:space="0" w:color="auto"/>
            <w:left w:val="none" w:sz="0" w:space="0" w:color="auto"/>
            <w:bottom w:val="none" w:sz="0" w:space="0" w:color="auto"/>
            <w:right w:val="none" w:sz="0" w:space="0" w:color="auto"/>
          </w:divBdr>
        </w:div>
        <w:div w:id="1278365771">
          <w:marLeft w:val="0"/>
          <w:marRight w:val="0"/>
          <w:marTop w:val="0"/>
          <w:marBottom w:val="0"/>
          <w:divBdr>
            <w:top w:val="none" w:sz="0" w:space="0" w:color="auto"/>
            <w:left w:val="none" w:sz="0" w:space="0" w:color="auto"/>
            <w:bottom w:val="none" w:sz="0" w:space="0" w:color="auto"/>
            <w:right w:val="none" w:sz="0" w:space="0" w:color="auto"/>
          </w:divBdr>
        </w:div>
        <w:div w:id="1280452824">
          <w:marLeft w:val="0"/>
          <w:marRight w:val="0"/>
          <w:marTop w:val="0"/>
          <w:marBottom w:val="0"/>
          <w:divBdr>
            <w:top w:val="none" w:sz="0" w:space="0" w:color="auto"/>
            <w:left w:val="none" w:sz="0" w:space="0" w:color="auto"/>
            <w:bottom w:val="none" w:sz="0" w:space="0" w:color="auto"/>
            <w:right w:val="none" w:sz="0" w:space="0" w:color="auto"/>
          </w:divBdr>
        </w:div>
        <w:div w:id="1297369554">
          <w:marLeft w:val="0"/>
          <w:marRight w:val="0"/>
          <w:marTop w:val="0"/>
          <w:marBottom w:val="0"/>
          <w:divBdr>
            <w:top w:val="none" w:sz="0" w:space="0" w:color="auto"/>
            <w:left w:val="none" w:sz="0" w:space="0" w:color="auto"/>
            <w:bottom w:val="none" w:sz="0" w:space="0" w:color="auto"/>
            <w:right w:val="none" w:sz="0" w:space="0" w:color="auto"/>
          </w:divBdr>
        </w:div>
        <w:div w:id="1311399009">
          <w:marLeft w:val="0"/>
          <w:marRight w:val="0"/>
          <w:marTop w:val="0"/>
          <w:marBottom w:val="0"/>
          <w:divBdr>
            <w:top w:val="none" w:sz="0" w:space="0" w:color="auto"/>
            <w:left w:val="none" w:sz="0" w:space="0" w:color="auto"/>
            <w:bottom w:val="none" w:sz="0" w:space="0" w:color="auto"/>
            <w:right w:val="none" w:sz="0" w:space="0" w:color="auto"/>
          </w:divBdr>
        </w:div>
        <w:div w:id="1312716028">
          <w:marLeft w:val="0"/>
          <w:marRight w:val="0"/>
          <w:marTop w:val="0"/>
          <w:marBottom w:val="0"/>
          <w:divBdr>
            <w:top w:val="none" w:sz="0" w:space="0" w:color="auto"/>
            <w:left w:val="none" w:sz="0" w:space="0" w:color="auto"/>
            <w:bottom w:val="none" w:sz="0" w:space="0" w:color="auto"/>
            <w:right w:val="none" w:sz="0" w:space="0" w:color="auto"/>
          </w:divBdr>
        </w:div>
        <w:div w:id="1320302728">
          <w:marLeft w:val="0"/>
          <w:marRight w:val="0"/>
          <w:marTop w:val="0"/>
          <w:marBottom w:val="0"/>
          <w:divBdr>
            <w:top w:val="none" w:sz="0" w:space="0" w:color="auto"/>
            <w:left w:val="none" w:sz="0" w:space="0" w:color="auto"/>
            <w:bottom w:val="none" w:sz="0" w:space="0" w:color="auto"/>
            <w:right w:val="none" w:sz="0" w:space="0" w:color="auto"/>
          </w:divBdr>
        </w:div>
        <w:div w:id="1336803950">
          <w:marLeft w:val="0"/>
          <w:marRight w:val="0"/>
          <w:marTop w:val="0"/>
          <w:marBottom w:val="0"/>
          <w:divBdr>
            <w:top w:val="none" w:sz="0" w:space="0" w:color="auto"/>
            <w:left w:val="none" w:sz="0" w:space="0" w:color="auto"/>
            <w:bottom w:val="none" w:sz="0" w:space="0" w:color="auto"/>
            <w:right w:val="none" w:sz="0" w:space="0" w:color="auto"/>
          </w:divBdr>
        </w:div>
        <w:div w:id="1346903621">
          <w:marLeft w:val="0"/>
          <w:marRight w:val="0"/>
          <w:marTop w:val="0"/>
          <w:marBottom w:val="0"/>
          <w:divBdr>
            <w:top w:val="none" w:sz="0" w:space="0" w:color="auto"/>
            <w:left w:val="none" w:sz="0" w:space="0" w:color="auto"/>
            <w:bottom w:val="none" w:sz="0" w:space="0" w:color="auto"/>
            <w:right w:val="none" w:sz="0" w:space="0" w:color="auto"/>
          </w:divBdr>
        </w:div>
        <w:div w:id="1367826507">
          <w:marLeft w:val="0"/>
          <w:marRight w:val="0"/>
          <w:marTop w:val="0"/>
          <w:marBottom w:val="0"/>
          <w:divBdr>
            <w:top w:val="none" w:sz="0" w:space="0" w:color="auto"/>
            <w:left w:val="none" w:sz="0" w:space="0" w:color="auto"/>
            <w:bottom w:val="none" w:sz="0" w:space="0" w:color="auto"/>
            <w:right w:val="none" w:sz="0" w:space="0" w:color="auto"/>
          </w:divBdr>
        </w:div>
        <w:div w:id="1381131799">
          <w:marLeft w:val="0"/>
          <w:marRight w:val="0"/>
          <w:marTop w:val="0"/>
          <w:marBottom w:val="0"/>
          <w:divBdr>
            <w:top w:val="none" w:sz="0" w:space="0" w:color="auto"/>
            <w:left w:val="none" w:sz="0" w:space="0" w:color="auto"/>
            <w:bottom w:val="none" w:sz="0" w:space="0" w:color="auto"/>
            <w:right w:val="none" w:sz="0" w:space="0" w:color="auto"/>
          </w:divBdr>
        </w:div>
        <w:div w:id="1394352842">
          <w:marLeft w:val="0"/>
          <w:marRight w:val="0"/>
          <w:marTop w:val="0"/>
          <w:marBottom w:val="0"/>
          <w:divBdr>
            <w:top w:val="none" w:sz="0" w:space="0" w:color="auto"/>
            <w:left w:val="none" w:sz="0" w:space="0" w:color="auto"/>
            <w:bottom w:val="none" w:sz="0" w:space="0" w:color="auto"/>
            <w:right w:val="none" w:sz="0" w:space="0" w:color="auto"/>
          </w:divBdr>
        </w:div>
        <w:div w:id="1398358751">
          <w:marLeft w:val="0"/>
          <w:marRight w:val="0"/>
          <w:marTop w:val="0"/>
          <w:marBottom w:val="0"/>
          <w:divBdr>
            <w:top w:val="none" w:sz="0" w:space="0" w:color="auto"/>
            <w:left w:val="none" w:sz="0" w:space="0" w:color="auto"/>
            <w:bottom w:val="none" w:sz="0" w:space="0" w:color="auto"/>
            <w:right w:val="none" w:sz="0" w:space="0" w:color="auto"/>
          </w:divBdr>
        </w:div>
        <w:div w:id="1398941414">
          <w:marLeft w:val="0"/>
          <w:marRight w:val="0"/>
          <w:marTop w:val="0"/>
          <w:marBottom w:val="0"/>
          <w:divBdr>
            <w:top w:val="none" w:sz="0" w:space="0" w:color="auto"/>
            <w:left w:val="none" w:sz="0" w:space="0" w:color="auto"/>
            <w:bottom w:val="none" w:sz="0" w:space="0" w:color="auto"/>
            <w:right w:val="none" w:sz="0" w:space="0" w:color="auto"/>
          </w:divBdr>
        </w:div>
        <w:div w:id="1401639491">
          <w:marLeft w:val="0"/>
          <w:marRight w:val="0"/>
          <w:marTop w:val="0"/>
          <w:marBottom w:val="0"/>
          <w:divBdr>
            <w:top w:val="none" w:sz="0" w:space="0" w:color="auto"/>
            <w:left w:val="none" w:sz="0" w:space="0" w:color="auto"/>
            <w:bottom w:val="none" w:sz="0" w:space="0" w:color="auto"/>
            <w:right w:val="none" w:sz="0" w:space="0" w:color="auto"/>
          </w:divBdr>
        </w:div>
        <w:div w:id="1406756613">
          <w:marLeft w:val="0"/>
          <w:marRight w:val="0"/>
          <w:marTop w:val="0"/>
          <w:marBottom w:val="0"/>
          <w:divBdr>
            <w:top w:val="none" w:sz="0" w:space="0" w:color="auto"/>
            <w:left w:val="none" w:sz="0" w:space="0" w:color="auto"/>
            <w:bottom w:val="none" w:sz="0" w:space="0" w:color="auto"/>
            <w:right w:val="none" w:sz="0" w:space="0" w:color="auto"/>
          </w:divBdr>
        </w:div>
        <w:div w:id="1422945644">
          <w:marLeft w:val="0"/>
          <w:marRight w:val="0"/>
          <w:marTop w:val="0"/>
          <w:marBottom w:val="0"/>
          <w:divBdr>
            <w:top w:val="none" w:sz="0" w:space="0" w:color="auto"/>
            <w:left w:val="none" w:sz="0" w:space="0" w:color="auto"/>
            <w:bottom w:val="none" w:sz="0" w:space="0" w:color="auto"/>
            <w:right w:val="none" w:sz="0" w:space="0" w:color="auto"/>
          </w:divBdr>
        </w:div>
        <w:div w:id="1429034401">
          <w:marLeft w:val="0"/>
          <w:marRight w:val="0"/>
          <w:marTop w:val="0"/>
          <w:marBottom w:val="0"/>
          <w:divBdr>
            <w:top w:val="none" w:sz="0" w:space="0" w:color="auto"/>
            <w:left w:val="none" w:sz="0" w:space="0" w:color="auto"/>
            <w:bottom w:val="none" w:sz="0" w:space="0" w:color="auto"/>
            <w:right w:val="none" w:sz="0" w:space="0" w:color="auto"/>
          </w:divBdr>
        </w:div>
        <w:div w:id="1430396019">
          <w:marLeft w:val="0"/>
          <w:marRight w:val="0"/>
          <w:marTop w:val="0"/>
          <w:marBottom w:val="0"/>
          <w:divBdr>
            <w:top w:val="none" w:sz="0" w:space="0" w:color="auto"/>
            <w:left w:val="none" w:sz="0" w:space="0" w:color="auto"/>
            <w:bottom w:val="none" w:sz="0" w:space="0" w:color="auto"/>
            <w:right w:val="none" w:sz="0" w:space="0" w:color="auto"/>
          </w:divBdr>
        </w:div>
        <w:div w:id="1435396886">
          <w:marLeft w:val="0"/>
          <w:marRight w:val="0"/>
          <w:marTop w:val="0"/>
          <w:marBottom w:val="0"/>
          <w:divBdr>
            <w:top w:val="none" w:sz="0" w:space="0" w:color="auto"/>
            <w:left w:val="none" w:sz="0" w:space="0" w:color="auto"/>
            <w:bottom w:val="none" w:sz="0" w:space="0" w:color="auto"/>
            <w:right w:val="none" w:sz="0" w:space="0" w:color="auto"/>
          </w:divBdr>
        </w:div>
        <w:div w:id="1440879007">
          <w:marLeft w:val="0"/>
          <w:marRight w:val="0"/>
          <w:marTop w:val="0"/>
          <w:marBottom w:val="0"/>
          <w:divBdr>
            <w:top w:val="none" w:sz="0" w:space="0" w:color="auto"/>
            <w:left w:val="none" w:sz="0" w:space="0" w:color="auto"/>
            <w:bottom w:val="none" w:sz="0" w:space="0" w:color="auto"/>
            <w:right w:val="none" w:sz="0" w:space="0" w:color="auto"/>
          </w:divBdr>
        </w:div>
        <w:div w:id="1441562128">
          <w:marLeft w:val="0"/>
          <w:marRight w:val="0"/>
          <w:marTop w:val="0"/>
          <w:marBottom w:val="0"/>
          <w:divBdr>
            <w:top w:val="none" w:sz="0" w:space="0" w:color="auto"/>
            <w:left w:val="none" w:sz="0" w:space="0" w:color="auto"/>
            <w:bottom w:val="none" w:sz="0" w:space="0" w:color="auto"/>
            <w:right w:val="none" w:sz="0" w:space="0" w:color="auto"/>
          </w:divBdr>
        </w:div>
        <w:div w:id="1442147885">
          <w:marLeft w:val="0"/>
          <w:marRight w:val="0"/>
          <w:marTop w:val="0"/>
          <w:marBottom w:val="0"/>
          <w:divBdr>
            <w:top w:val="none" w:sz="0" w:space="0" w:color="auto"/>
            <w:left w:val="none" w:sz="0" w:space="0" w:color="auto"/>
            <w:bottom w:val="none" w:sz="0" w:space="0" w:color="auto"/>
            <w:right w:val="none" w:sz="0" w:space="0" w:color="auto"/>
          </w:divBdr>
        </w:div>
        <w:div w:id="1444499407">
          <w:marLeft w:val="0"/>
          <w:marRight w:val="0"/>
          <w:marTop w:val="0"/>
          <w:marBottom w:val="0"/>
          <w:divBdr>
            <w:top w:val="none" w:sz="0" w:space="0" w:color="auto"/>
            <w:left w:val="none" w:sz="0" w:space="0" w:color="auto"/>
            <w:bottom w:val="none" w:sz="0" w:space="0" w:color="auto"/>
            <w:right w:val="none" w:sz="0" w:space="0" w:color="auto"/>
          </w:divBdr>
        </w:div>
        <w:div w:id="1461457246">
          <w:marLeft w:val="0"/>
          <w:marRight w:val="0"/>
          <w:marTop w:val="0"/>
          <w:marBottom w:val="0"/>
          <w:divBdr>
            <w:top w:val="none" w:sz="0" w:space="0" w:color="auto"/>
            <w:left w:val="none" w:sz="0" w:space="0" w:color="auto"/>
            <w:bottom w:val="none" w:sz="0" w:space="0" w:color="auto"/>
            <w:right w:val="none" w:sz="0" w:space="0" w:color="auto"/>
          </w:divBdr>
        </w:div>
        <w:div w:id="1465193250">
          <w:marLeft w:val="0"/>
          <w:marRight w:val="0"/>
          <w:marTop w:val="0"/>
          <w:marBottom w:val="0"/>
          <w:divBdr>
            <w:top w:val="none" w:sz="0" w:space="0" w:color="auto"/>
            <w:left w:val="none" w:sz="0" w:space="0" w:color="auto"/>
            <w:bottom w:val="none" w:sz="0" w:space="0" w:color="auto"/>
            <w:right w:val="none" w:sz="0" w:space="0" w:color="auto"/>
          </w:divBdr>
        </w:div>
        <w:div w:id="1472864427">
          <w:marLeft w:val="0"/>
          <w:marRight w:val="0"/>
          <w:marTop w:val="0"/>
          <w:marBottom w:val="0"/>
          <w:divBdr>
            <w:top w:val="none" w:sz="0" w:space="0" w:color="auto"/>
            <w:left w:val="none" w:sz="0" w:space="0" w:color="auto"/>
            <w:bottom w:val="none" w:sz="0" w:space="0" w:color="auto"/>
            <w:right w:val="none" w:sz="0" w:space="0" w:color="auto"/>
          </w:divBdr>
        </w:div>
        <w:div w:id="1473055038">
          <w:marLeft w:val="0"/>
          <w:marRight w:val="0"/>
          <w:marTop w:val="0"/>
          <w:marBottom w:val="0"/>
          <w:divBdr>
            <w:top w:val="none" w:sz="0" w:space="0" w:color="auto"/>
            <w:left w:val="none" w:sz="0" w:space="0" w:color="auto"/>
            <w:bottom w:val="none" w:sz="0" w:space="0" w:color="auto"/>
            <w:right w:val="none" w:sz="0" w:space="0" w:color="auto"/>
          </w:divBdr>
        </w:div>
        <w:div w:id="1474367295">
          <w:marLeft w:val="0"/>
          <w:marRight w:val="0"/>
          <w:marTop w:val="0"/>
          <w:marBottom w:val="0"/>
          <w:divBdr>
            <w:top w:val="none" w:sz="0" w:space="0" w:color="auto"/>
            <w:left w:val="none" w:sz="0" w:space="0" w:color="auto"/>
            <w:bottom w:val="none" w:sz="0" w:space="0" w:color="auto"/>
            <w:right w:val="none" w:sz="0" w:space="0" w:color="auto"/>
          </w:divBdr>
        </w:div>
        <w:div w:id="1483502202">
          <w:marLeft w:val="0"/>
          <w:marRight w:val="0"/>
          <w:marTop w:val="0"/>
          <w:marBottom w:val="0"/>
          <w:divBdr>
            <w:top w:val="none" w:sz="0" w:space="0" w:color="auto"/>
            <w:left w:val="none" w:sz="0" w:space="0" w:color="auto"/>
            <w:bottom w:val="none" w:sz="0" w:space="0" w:color="auto"/>
            <w:right w:val="none" w:sz="0" w:space="0" w:color="auto"/>
          </w:divBdr>
        </w:div>
        <w:div w:id="1485119073">
          <w:marLeft w:val="0"/>
          <w:marRight w:val="0"/>
          <w:marTop w:val="0"/>
          <w:marBottom w:val="0"/>
          <w:divBdr>
            <w:top w:val="none" w:sz="0" w:space="0" w:color="auto"/>
            <w:left w:val="none" w:sz="0" w:space="0" w:color="auto"/>
            <w:bottom w:val="none" w:sz="0" w:space="0" w:color="auto"/>
            <w:right w:val="none" w:sz="0" w:space="0" w:color="auto"/>
          </w:divBdr>
        </w:div>
        <w:div w:id="1487286251">
          <w:marLeft w:val="0"/>
          <w:marRight w:val="0"/>
          <w:marTop w:val="0"/>
          <w:marBottom w:val="0"/>
          <w:divBdr>
            <w:top w:val="none" w:sz="0" w:space="0" w:color="auto"/>
            <w:left w:val="none" w:sz="0" w:space="0" w:color="auto"/>
            <w:bottom w:val="none" w:sz="0" w:space="0" w:color="auto"/>
            <w:right w:val="none" w:sz="0" w:space="0" w:color="auto"/>
          </w:divBdr>
        </w:div>
        <w:div w:id="1496916999">
          <w:marLeft w:val="0"/>
          <w:marRight w:val="0"/>
          <w:marTop w:val="0"/>
          <w:marBottom w:val="0"/>
          <w:divBdr>
            <w:top w:val="none" w:sz="0" w:space="0" w:color="auto"/>
            <w:left w:val="none" w:sz="0" w:space="0" w:color="auto"/>
            <w:bottom w:val="none" w:sz="0" w:space="0" w:color="auto"/>
            <w:right w:val="none" w:sz="0" w:space="0" w:color="auto"/>
          </w:divBdr>
        </w:div>
        <w:div w:id="1506018671">
          <w:marLeft w:val="0"/>
          <w:marRight w:val="0"/>
          <w:marTop w:val="0"/>
          <w:marBottom w:val="0"/>
          <w:divBdr>
            <w:top w:val="none" w:sz="0" w:space="0" w:color="auto"/>
            <w:left w:val="none" w:sz="0" w:space="0" w:color="auto"/>
            <w:bottom w:val="none" w:sz="0" w:space="0" w:color="auto"/>
            <w:right w:val="none" w:sz="0" w:space="0" w:color="auto"/>
          </w:divBdr>
        </w:div>
        <w:div w:id="1511329960">
          <w:marLeft w:val="0"/>
          <w:marRight w:val="0"/>
          <w:marTop w:val="0"/>
          <w:marBottom w:val="0"/>
          <w:divBdr>
            <w:top w:val="none" w:sz="0" w:space="0" w:color="auto"/>
            <w:left w:val="none" w:sz="0" w:space="0" w:color="auto"/>
            <w:bottom w:val="none" w:sz="0" w:space="0" w:color="auto"/>
            <w:right w:val="none" w:sz="0" w:space="0" w:color="auto"/>
          </w:divBdr>
        </w:div>
        <w:div w:id="1515152398">
          <w:marLeft w:val="0"/>
          <w:marRight w:val="0"/>
          <w:marTop w:val="0"/>
          <w:marBottom w:val="0"/>
          <w:divBdr>
            <w:top w:val="none" w:sz="0" w:space="0" w:color="auto"/>
            <w:left w:val="none" w:sz="0" w:space="0" w:color="auto"/>
            <w:bottom w:val="none" w:sz="0" w:space="0" w:color="auto"/>
            <w:right w:val="none" w:sz="0" w:space="0" w:color="auto"/>
          </w:divBdr>
        </w:div>
        <w:div w:id="1519540404">
          <w:marLeft w:val="0"/>
          <w:marRight w:val="0"/>
          <w:marTop w:val="0"/>
          <w:marBottom w:val="0"/>
          <w:divBdr>
            <w:top w:val="none" w:sz="0" w:space="0" w:color="auto"/>
            <w:left w:val="none" w:sz="0" w:space="0" w:color="auto"/>
            <w:bottom w:val="none" w:sz="0" w:space="0" w:color="auto"/>
            <w:right w:val="none" w:sz="0" w:space="0" w:color="auto"/>
          </w:divBdr>
        </w:div>
        <w:div w:id="1530755345">
          <w:marLeft w:val="0"/>
          <w:marRight w:val="0"/>
          <w:marTop w:val="0"/>
          <w:marBottom w:val="0"/>
          <w:divBdr>
            <w:top w:val="none" w:sz="0" w:space="0" w:color="auto"/>
            <w:left w:val="none" w:sz="0" w:space="0" w:color="auto"/>
            <w:bottom w:val="none" w:sz="0" w:space="0" w:color="auto"/>
            <w:right w:val="none" w:sz="0" w:space="0" w:color="auto"/>
          </w:divBdr>
        </w:div>
        <w:div w:id="1539471137">
          <w:marLeft w:val="0"/>
          <w:marRight w:val="0"/>
          <w:marTop w:val="0"/>
          <w:marBottom w:val="0"/>
          <w:divBdr>
            <w:top w:val="none" w:sz="0" w:space="0" w:color="auto"/>
            <w:left w:val="none" w:sz="0" w:space="0" w:color="auto"/>
            <w:bottom w:val="none" w:sz="0" w:space="0" w:color="auto"/>
            <w:right w:val="none" w:sz="0" w:space="0" w:color="auto"/>
          </w:divBdr>
        </w:div>
        <w:div w:id="1539659722">
          <w:marLeft w:val="0"/>
          <w:marRight w:val="0"/>
          <w:marTop w:val="0"/>
          <w:marBottom w:val="0"/>
          <w:divBdr>
            <w:top w:val="none" w:sz="0" w:space="0" w:color="auto"/>
            <w:left w:val="none" w:sz="0" w:space="0" w:color="auto"/>
            <w:bottom w:val="none" w:sz="0" w:space="0" w:color="auto"/>
            <w:right w:val="none" w:sz="0" w:space="0" w:color="auto"/>
          </w:divBdr>
        </w:div>
        <w:div w:id="1544094548">
          <w:marLeft w:val="0"/>
          <w:marRight w:val="0"/>
          <w:marTop w:val="0"/>
          <w:marBottom w:val="0"/>
          <w:divBdr>
            <w:top w:val="none" w:sz="0" w:space="0" w:color="auto"/>
            <w:left w:val="none" w:sz="0" w:space="0" w:color="auto"/>
            <w:bottom w:val="none" w:sz="0" w:space="0" w:color="auto"/>
            <w:right w:val="none" w:sz="0" w:space="0" w:color="auto"/>
          </w:divBdr>
        </w:div>
        <w:div w:id="1550190279">
          <w:marLeft w:val="0"/>
          <w:marRight w:val="0"/>
          <w:marTop w:val="0"/>
          <w:marBottom w:val="0"/>
          <w:divBdr>
            <w:top w:val="none" w:sz="0" w:space="0" w:color="auto"/>
            <w:left w:val="none" w:sz="0" w:space="0" w:color="auto"/>
            <w:bottom w:val="none" w:sz="0" w:space="0" w:color="auto"/>
            <w:right w:val="none" w:sz="0" w:space="0" w:color="auto"/>
          </w:divBdr>
        </w:div>
        <w:div w:id="1570530392">
          <w:marLeft w:val="0"/>
          <w:marRight w:val="0"/>
          <w:marTop w:val="0"/>
          <w:marBottom w:val="0"/>
          <w:divBdr>
            <w:top w:val="none" w:sz="0" w:space="0" w:color="auto"/>
            <w:left w:val="none" w:sz="0" w:space="0" w:color="auto"/>
            <w:bottom w:val="none" w:sz="0" w:space="0" w:color="auto"/>
            <w:right w:val="none" w:sz="0" w:space="0" w:color="auto"/>
          </w:divBdr>
        </w:div>
        <w:div w:id="1581601248">
          <w:marLeft w:val="0"/>
          <w:marRight w:val="0"/>
          <w:marTop w:val="0"/>
          <w:marBottom w:val="0"/>
          <w:divBdr>
            <w:top w:val="none" w:sz="0" w:space="0" w:color="auto"/>
            <w:left w:val="none" w:sz="0" w:space="0" w:color="auto"/>
            <w:bottom w:val="none" w:sz="0" w:space="0" w:color="auto"/>
            <w:right w:val="none" w:sz="0" w:space="0" w:color="auto"/>
          </w:divBdr>
        </w:div>
        <w:div w:id="1590429028">
          <w:marLeft w:val="0"/>
          <w:marRight w:val="0"/>
          <w:marTop w:val="0"/>
          <w:marBottom w:val="0"/>
          <w:divBdr>
            <w:top w:val="none" w:sz="0" w:space="0" w:color="auto"/>
            <w:left w:val="none" w:sz="0" w:space="0" w:color="auto"/>
            <w:bottom w:val="none" w:sz="0" w:space="0" w:color="auto"/>
            <w:right w:val="none" w:sz="0" w:space="0" w:color="auto"/>
          </w:divBdr>
        </w:div>
        <w:div w:id="1594045019">
          <w:marLeft w:val="0"/>
          <w:marRight w:val="0"/>
          <w:marTop w:val="0"/>
          <w:marBottom w:val="0"/>
          <w:divBdr>
            <w:top w:val="none" w:sz="0" w:space="0" w:color="auto"/>
            <w:left w:val="none" w:sz="0" w:space="0" w:color="auto"/>
            <w:bottom w:val="none" w:sz="0" w:space="0" w:color="auto"/>
            <w:right w:val="none" w:sz="0" w:space="0" w:color="auto"/>
          </w:divBdr>
        </w:div>
        <w:div w:id="1597667248">
          <w:marLeft w:val="0"/>
          <w:marRight w:val="0"/>
          <w:marTop w:val="0"/>
          <w:marBottom w:val="0"/>
          <w:divBdr>
            <w:top w:val="none" w:sz="0" w:space="0" w:color="auto"/>
            <w:left w:val="none" w:sz="0" w:space="0" w:color="auto"/>
            <w:bottom w:val="none" w:sz="0" w:space="0" w:color="auto"/>
            <w:right w:val="none" w:sz="0" w:space="0" w:color="auto"/>
          </w:divBdr>
        </w:div>
        <w:div w:id="1615401055">
          <w:marLeft w:val="0"/>
          <w:marRight w:val="0"/>
          <w:marTop w:val="0"/>
          <w:marBottom w:val="0"/>
          <w:divBdr>
            <w:top w:val="none" w:sz="0" w:space="0" w:color="auto"/>
            <w:left w:val="none" w:sz="0" w:space="0" w:color="auto"/>
            <w:bottom w:val="none" w:sz="0" w:space="0" w:color="auto"/>
            <w:right w:val="none" w:sz="0" w:space="0" w:color="auto"/>
          </w:divBdr>
        </w:div>
        <w:div w:id="1618876146">
          <w:marLeft w:val="0"/>
          <w:marRight w:val="0"/>
          <w:marTop w:val="0"/>
          <w:marBottom w:val="0"/>
          <w:divBdr>
            <w:top w:val="none" w:sz="0" w:space="0" w:color="auto"/>
            <w:left w:val="none" w:sz="0" w:space="0" w:color="auto"/>
            <w:bottom w:val="none" w:sz="0" w:space="0" w:color="auto"/>
            <w:right w:val="none" w:sz="0" w:space="0" w:color="auto"/>
          </w:divBdr>
        </w:div>
        <w:div w:id="1619949107">
          <w:marLeft w:val="0"/>
          <w:marRight w:val="0"/>
          <w:marTop w:val="0"/>
          <w:marBottom w:val="0"/>
          <w:divBdr>
            <w:top w:val="none" w:sz="0" w:space="0" w:color="auto"/>
            <w:left w:val="none" w:sz="0" w:space="0" w:color="auto"/>
            <w:bottom w:val="none" w:sz="0" w:space="0" w:color="auto"/>
            <w:right w:val="none" w:sz="0" w:space="0" w:color="auto"/>
          </w:divBdr>
        </w:div>
        <w:div w:id="1628049196">
          <w:marLeft w:val="0"/>
          <w:marRight w:val="0"/>
          <w:marTop w:val="0"/>
          <w:marBottom w:val="0"/>
          <w:divBdr>
            <w:top w:val="none" w:sz="0" w:space="0" w:color="auto"/>
            <w:left w:val="none" w:sz="0" w:space="0" w:color="auto"/>
            <w:bottom w:val="none" w:sz="0" w:space="0" w:color="auto"/>
            <w:right w:val="none" w:sz="0" w:space="0" w:color="auto"/>
          </w:divBdr>
        </w:div>
        <w:div w:id="1634866753">
          <w:marLeft w:val="0"/>
          <w:marRight w:val="0"/>
          <w:marTop w:val="0"/>
          <w:marBottom w:val="0"/>
          <w:divBdr>
            <w:top w:val="none" w:sz="0" w:space="0" w:color="auto"/>
            <w:left w:val="none" w:sz="0" w:space="0" w:color="auto"/>
            <w:bottom w:val="none" w:sz="0" w:space="0" w:color="auto"/>
            <w:right w:val="none" w:sz="0" w:space="0" w:color="auto"/>
          </w:divBdr>
        </w:div>
        <w:div w:id="1640376128">
          <w:marLeft w:val="0"/>
          <w:marRight w:val="0"/>
          <w:marTop w:val="0"/>
          <w:marBottom w:val="0"/>
          <w:divBdr>
            <w:top w:val="none" w:sz="0" w:space="0" w:color="auto"/>
            <w:left w:val="none" w:sz="0" w:space="0" w:color="auto"/>
            <w:bottom w:val="none" w:sz="0" w:space="0" w:color="auto"/>
            <w:right w:val="none" w:sz="0" w:space="0" w:color="auto"/>
          </w:divBdr>
        </w:div>
        <w:div w:id="1646278278">
          <w:marLeft w:val="0"/>
          <w:marRight w:val="0"/>
          <w:marTop w:val="0"/>
          <w:marBottom w:val="0"/>
          <w:divBdr>
            <w:top w:val="none" w:sz="0" w:space="0" w:color="auto"/>
            <w:left w:val="none" w:sz="0" w:space="0" w:color="auto"/>
            <w:bottom w:val="none" w:sz="0" w:space="0" w:color="auto"/>
            <w:right w:val="none" w:sz="0" w:space="0" w:color="auto"/>
          </w:divBdr>
        </w:div>
        <w:div w:id="1671912531">
          <w:marLeft w:val="0"/>
          <w:marRight w:val="0"/>
          <w:marTop w:val="0"/>
          <w:marBottom w:val="0"/>
          <w:divBdr>
            <w:top w:val="none" w:sz="0" w:space="0" w:color="auto"/>
            <w:left w:val="none" w:sz="0" w:space="0" w:color="auto"/>
            <w:bottom w:val="none" w:sz="0" w:space="0" w:color="auto"/>
            <w:right w:val="none" w:sz="0" w:space="0" w:color="auto"/>
          </w:divBdr>
        </w:div>
        <w:div w:id="1676346681">
          <w:marLeft w:val="0"/>
          <w:marRight w:val="0"/>
          <w:marTop w:val="0"/>
          <w:marBottom w:val="0"/>
          <w:divBdr>
            <w:top w:val="none" w:sz="0" w:space="0" w:color="auto"/>
            <w:left w:val="none" w:sz="0" w:space="0" w:color="auto"/>
            <w:bottom w:val="none" w:sz="0" w:space="0" w:color="auto"/>
            <w:right w:val="none" w:sz="0" w:space="0" w:color="auto"/>
          </w:divBdr>
        </w:div>
        <w:div w:id="1687823860">
          <w:marLeft w:val="0"/>
          <w:marRight w:val="0"/>
          <w:marTop w:val="0"/>
          <w:marBottom w:val="0"/>
          <w:divBdr>
            <w:top w:val="none" w:sz="0" w:space="0" w:color="auto"/>
            <w:left w:val="none" w:sz="0" w:space="0" w:color="auto"/>
            <w:bottom w:val="none" w:sz="0" w:space="0" w:color="auto"/>
            <w:right w:val="none" w:sz="0" w:space="0" w:color="auto"/>
          </w:divBdr>
        </w:div>
        <w:div w:id="1693992253">
          <w:marLeft w:val="0"/>
          <w:marRight w:val="0"/>
          <w:marTop w:val="0"/>
          <w:marBottom w:val="0"/>
          <w:divBdr>
            <w:top w:val="none" w:sz="0" w:space="0" w:color="auto"/>
            <w:left w:val="none" w:sz="0" w:space="0" w:color="auto"/>
            <w:bottom w:val="none" w:sz="0" w:space="0" w:color="auto"/>
            <w:right w:val="none" w:sz="0" w:space="0" w:color="auto"/>
          </w:divBdr>
        </w:div>
        <w:div w:id="1696611662">
          <w:marLeft w:val="0"/>
          <w:marRight w:val="0"/>
          <w:marTop w:val="0"/>
          <w:marBottom w:val="0"/>
          <w:divBdr>
            <w:top w:val="none" w:sz="0" w:space="0" w:color="auto"/>
            <w:left w:val="none" w:sz="0" w:space="0" w:color="auto"/>
            <w:bottom w:val="none" w:sz="0" w:space="0" w:color="auto"/>
            <w:right w:val="none" w:sz="0" w:space="0" w:color="auto"/>
          </w:divBdr>
        </w:div>
        <w:div w:id="1699503523">
          <w:marLeft w:val="0"/>
          <w:marRight w:val="0"/>
          <w:marTop w:val="0"/>
          <w:marBottom w:val="0"/>
          <w:divBdr>
            <w:top w:val="none" w:sz="0" w:space="0" w:color="auto"/>
            <w:left w:val="none" w:sz="0" w:space="0" w:color="auto"/>
            <w:bottom w:val="none" w:sz="0" w:space="0" w:color="auto"/>
            <w:right w:val="none" w:sz="0" w:space="0" w:color="auto"/>
          </w:divBdr>
        </w:div>
        <w:div w:id="1715040297">
          <w:marLeft w:val="0"/>
          <w:marRight w:val="0"/>
          <w:marTop w:val="0"/>
          <w:marBottom w:val="0"/>
          <w:divBdr>
            <w:top w:val="none" w:sz="0" w:space="0" w:color="auto"/>
            <w:left w:val="none" w:sz="0" w:space="0" w:color="auto"/>
            <w:bottom w:val="none" w:sz="0" w:space="0" w:color="auto"/>
            <w:right w:val="none" w:sz="0" w:space="0" w:color="auto"/>
          </w:divBdr>
        </w:div>
        <w:div w:id="1718821763">
          <w:marLeft w:val="0"/>
          <w:marRight w:val="0"/>
          <w:marTop w:val="0"/>
          <w:marBottom w:val="0"/>
          <w:divBdr>
            <w:top w:val="none" w:sz="0" w:space="0" w:color="auto"/>
            <w:left w:val="none" w:sz="0" w:space="0" w:color="auto"/>
            <w:bottom w:val="none" w:sz="0" w:space="0" w:color="auto"/>
            <w:right w:val="none" w:sz="0" w:space="0" w:color="auto"/>
          </w:divBdr>
        </w:div>
        <w:div w:id="1721393366">
          <w:marLeft w:val="0"/>
          <w:marRight w:val="0"/>
          <w:marTop w:val="0"/>
          <w:marBottom w:val="0"/>
          <w:divBdr>
            <w:top w:val="none" w:sz="0" w:space="0" w:color="auto"/>
            <w:left w:val="none" w:sz="0" w:space="0" w:color="auto"/>
            <w:bottom w:val="none" w:sz="0" w:space="0" w:color="auto"/>
            <w:right w:val="none" w:sz="0" w:space="0" w:color="auto"/>
          </w:divBdr>
        </w:div>
        <w:div w:id="1729566667">
          <w:marLeft w:val="0"/>
          <w:marRight w:val="0"/>
          <w:marTop w:val="0"/>
          <w:marBottom w:val="0"/>
          <w:divBdr>
            <w:top w:val="none" w:sz="0" w:space="0" w:color="auto"/>
            <w:left w:val="none" w:sz="0" w:space="0" w:color="auto"/>
            <w:bottom w:val="none" w:sz="0" w:space="0" w:color="auto"/>
            <w:right w:val="none" w:sz="0" w:space="0" w:color="auto"/>
          </w:divBdr>
        </w:div>
        <w:div w:id="1736126460">
          <w:marLeft w:val="0"/>
          <w:marRight w:val="0"/>
          <w:marTop w:val="0"/>
          <w:marBottom w:val="0"/>
          <w:divBdr>
            <w:top w:val="none" w:sz="0" w:space="0" w:color="auto"/>
            <w:left w:val="none" w:sz="0" w:space="0" w:color="auto"/>
            <w:bottom w:val="none" w:sz="0" w:space="0" w:color="auto"/>
            <w:right w:val="none" w:sz="0" w:space="0" w:color="auto"/>
          </w:divBdr>
        </w:div>
        <w:div w:id="1741168172">
          <w:marLeft w:val="0"/>
          <w:marRight w:val="0"/>
          <w:marTop w:val="0"/>
          <w:marBottom w:val="0"/>
          <w:divBdr>
            <w:top w:val="none" w:sz="0" w:space="0" w:color="auto"/>
            <w:left w:val="none" w:sz="0" w:space="0" w:color="auto"/>
            <w:bottom w:val="none" w:sz="0" w:space="0" w:color="auto"/>
            <w:right w:val="none" w:sz="0" w:space="0" w:color="auto"/>
          </w:divBdr>
        </w:div>
        <w:div w:id="1741171372">
          <w:marLeft w:val="0"/>
          <w:marRight w:val="0"/>
          <w:marTop w:val="0"/>
          <w:marBottom w:val="0"/>
          <w:divBdr>
            <w:top w:val="none" w:sz="0" w:space="0" w:color="auto"/>
            <w:left w:val="none" w:sz="0" w:space="0" w:color="auto"/>
            <w:bottom w:val="none" w:sz="0" w:space="0" w:color="auto"/>
            <w:right w:val="none" w:sz="0" w:space="0" w:color="auto"/>
          </w:divBdr>
        </w:div>
        <w:div w:id="1753358280">
          <w:marLeft w:val="0"/>
          <w:marRight w:val="0"/>
          <w:marTop w:val="0"/>
          <w:marBottom w:val="0"/>
          <w:divBdr>
            <w:top w:val="none" w:sz="0" w:space="0" w:color="auto"/>
            <w:left w:val="none" w:sz="0" w:space="0" w:color="auto"/>
            <w:bottom w:val="none" w:sz="0" w:space="0" w:color="auto"/>
            <w:right w:val="none" w:sz="0" w:space="0" w:color="auto"/>
          </w:divBdr>
        </w:div>
        <w:div w:id="1787233549">
          <w:marLeft w:val="0"/>
          <w:marRight w:val="0"/>
          <w:marTop w:val="0"/>
          <w:marBottom w:val="0"/>
          <w:divBdr>
            <w:top w:val="none" w:sz="0" w:space="0" w:color="auto"/>
            <w:left w:val="none" w:sz="0" w:space="0" w:color="auto"/>
            <w:bottom w:val="none" w:sz="0" w:space="0" w:color="auto"/>
            <w:right w:val="none" w:sz="0" w:space="0" w:color="auto"/>
          </w:divBdr>
        </w:div>
        <w:div w:id="1789471090">
          <w:marLeft w:val="0"/>
          <w:marRight w:val="0"/>
          <w:marTop w:val="0"/>
          <w:marBottom w:val="0"/>
          <w:divBdr>
            <w:top w:val="none" w:sz="0" w:space="0" w:color="auto"/>
            <w:left w:val="none" w:sz="0" w:space="0" w:color="auto"/>
            <w:bottom w:val="none" w:sz="0" w:space="0" w:color="auto"/>
            <w:right w:val="none" w:sz="0" w:space="0" w:color="auto"/>
          </w:divBdr>
        </w:div>
        <w:div w:id="1794132397">
          <w:marLeft w:val="0"/>
          <w:marRight w:val="0"/>
          <w:marTop w:val="0"/>
          <w:marBottom w:val="0"/>
          <w:divBdr>
            <w:top w:val="none" w:sz="0" w:space="0" w:color="auto"/>
            <w:left w:val="none" w:sz="0" w:space="0" w:color="auto"/>
            <w:bottom w:val="none" w:sz="0" w:space="0" w:color="auto"/>
            <w:right w:val="none" w:sz="0" w:space="0" w:color="auto"/>
          </w:divBdr>
        </w:div>
        <w:div w:id="1802385018">
          <w:marLeft w:val="0"/>
          <w:marRight w:val="0"/>
          <w:marTop w:val="0"/>
          <w:marBottom w:val="0"/>
          <w:divBdr>
            <w:top w:val="none" w:sz="0" w:space="0" w:color="auto"/>
            <w:left w:val="none" w:sz="0" w:space="0" w:color="auto"/>
            <w:bottom w:val="none" w:sz="0" w:space="0" w:color="auto"/>
            <w:right w:val="none" w:sz="0" w:space="0" w:color="auto"/>
          </w:divBdr>
        </w:div>
        <w:div w:id="1813906877">
          <w:marLeft w:val="0"/>
          <w:marRight w:val="0"/>
          <w:marTop w:val="0"/>
          <w:marBottom w:val="0"/>
          <w:divBdr>
            <w:top w:val="none" w:sz="0" w:space="0" w:color="auto"/>
            <w:left w:val="none" w:sz="0" w:space="0" w:color="auto"/>
            <w:bottom w:val="none" w:sz="0" w:space="0" w:color="auto"/>
            <w:right w:val="none" w:sz="0" w:space="0" w:color="auto"/>
          </w:divBdr>
        </w:div>
        <w:div w:id="1815564053">
          <w:marLeft w:val="0"/>
          <w:marRight w:val="0"/>
          <w:marTop w:val="0"/>
          <w:marBottom w:val="0"/>
          <w:divBdr>
            <w:top w:val="none" w:sz="0" w:space="0" w:color="auto"/>
            <w:left w:val="none" w:sz="0" w:space="0" w:color="auto"/>
            <w:bottom w:val="none" w:sz="0" w:space="0" w:color="auto"/>
            <w:right w:val="none" w:sz="0" w:space="0" w:color="auto"/>
          </w:divBdr>
        </w:div>
        <w:div w:id="1815829559">
          <w:marLeft w:val="0"/>
          <w:marRight w:val="0"/>
          <w:marTop w:val="0"/>
          <w:marBottom w:val="0"/>
          <w:divBdr>
            <w:top w:val="none" w:sz="0" w:space="0" w:color="auto"/>
            <w:left w:val="none" w:sz="0" w:space="0" w:color="auto"/>
            <w:bottom w:val="none" w:sz="0" w:space="0" w:color="auto"/>
            <w:right w:val="none" w:sz="0" w:space="0" w:color="auto"/>
          </w:divBdr>
        </w:div>
        <w:div w:id="1824808435">
          <w:marLeft w:val="0"/>
          <w:marRight w:val="0"/>
          <w:marTop w:val="0"/>
          <w:marBottom w:val="0"/>
          <w:divBdr>
            <w:top w:val="none" w:sz="0" w:space="0" w:color="auto"/>
            <w:left w:val="none" w:sz="0" w:space="0" w:color="auto"/>
            <w:bottom w:val="none" w:sz="0" w:space="0" w:color="auto"/>
            <w:right w:val="none" w:sz="0" w:space="0" w:color="auto"/>
          </w:divBdr>
        </w:div>
        <w:div w:id="1837915851">
          <w:marLeft w:val="0"/>
          <w:marRight w:val="0"/>
          <w:marTop w:val="0"/>
          <w:marBottom w:val="0"/>
          <w:divBdr>
            <w:top w:val="none" w:sz="0" w:space="0" w:color="auto"/>
            <w:left w:val="none" w:sz="0" w:space="0" w:color="auto"/>
            <w:bottom w:val="none" w:sz="0" w:space="0" w:color="auto"/>
            <w:right w:val="none" w:sz="0" w:space="0" w:color="auto"/>
          </w:divBdr>
        </w:div>
        <w:div w:id="1844782206">
          <w:marLeft w:val="0"/>
          <w:marRight w:val="0"/>
          <w:marTop w:val="0"/>
          <w:marBottom w:val="0"/>
          <w:divBdr>
            <w:top w:val="none" w:sz="0" w:space="0" w:color="auto"/>
            <w:left w:val="none" w:sz="0" w:space="0" w:color="auto"/>
            <w:bottom w:val="none" w:sz="0" w:space="0" w:color="auto"/>
            <w:right w:val="none" w:sz="0" w:space="0" w:color="auto"/>
          </w:divBdr>
        </w:div>
        <w:div w:id="1848520203">
          <w:marLeft w:val="0"/>
          <w:marRight w:val="0"/>
          <w:marTop w:val="0"/>
          <w:marBottom w:val="0"/>
          <w:divBdr>
            <w:top w:val="none" w:sz="0" w:space="0" w:color="auto"/>
            <w:left w:val="none" w:sz="0" w:space="0" w:color="auto"/>
            <w:bottom w:val="none" w:sz="0" w:space="0" w:color="auto"/>
            <w:right w:val="none" w:sz="0" w:space="0" w:color="auto"/>
          </w:divBdr>
        </w:div>
        <w:div w:id="1851529309">
          <w:marLeft w:val="0"/>
          <w:marRight w:val="0"/>
          <w:marTop w:val="0"/>
          <w:marBottom w:val="0"/>
          <w:divBdr>
            <w:top w:val="none" w:sz="0" w:space="0" w:color="auto"/>
            <w:left w:val="none" w:sz="0" w:space="0" w:color="auto"/>
            <w:bottom w:val="none" w:sz="0" w:space="0" w:color="auto"/>
            <w:right w:val="none" w:sz="0" w:space="0" w:color="auto"/>
          </w:divBdr>
        </w:div>
        <w:div w:id="1859078990">
          <w:marLeft w:val="0"/>
          <w:marRight w:val="0"/>
          <w:marTop w:val="0"/>
          <w:marBottom w:val="0"/>
          <w:divBdr>
            <w:top w:val="none" w:sz="0" w:space="0" w:color="auto"/>
            <w:left w:val="none" w:sz="0" w:space="0" w:color="auto"/>
            <w:bottom w:val="none" w:sz="0" w:space="0" w:color="auto"/>
            <w:right w:val="none" w:sz="0" w:space="0" w:color="auto"/>
          </w:divBdr>
        </w:div>
        <w:div w:id="1864711324">
          <w:marLeft w:val="0"/>
          <w:marRight w:val="0"/>
          <w:marTop w:val="0"/>
          <w:marBottom w:val="0"/>
          <w:divBdr>
            <w:top w:val="none" w:sz="0" w:space="0" w:color="auto"/>
            <w:left w:val="none" w:sz="0" w:space="0" w:color="auto"/>
            <w:bottom w:val="none" w:sz="0" w:space="0" w:color="auto"/>
            <w:right w:val="none" w:sz="0" w:space="0" w:color="auto"/>
          </w:divBdr>
        </w:div>
        <w:div w:id="1868373687">
          <w:marLeft w:val="0"/>
          <w:marRight w:val="0"/>
          <w:marTop w:val="0"/>
          <w:marBottom w:val="0"/>
          <w:divBdr>
            <w:top w:val="none" w:sz="0" w:space="0" w:color="auto"/>
            <w:left w:val="none" w:sz="0" w:space="0" w:color="auto"/>
            <w:bottom w:val="none" w:sz="0" w:space="0" w:color="auto"/>
            <w:right w:val="none" w:sz="0" w:space="0" w:color="auto"/>
          </w:divBdr>
        </w:div>
        <w:div w:id="1880050396">
          <w:marLeft w:val="0"/>
          <w:marRight w:val="0"/>
          <w:marTop w:val="0"/>
          <w:marBottom w:val="0"/>
          <w:divBdr>
            <w:top w:val="none" w:sz="0" w:space="0" w:color="auto"/>
            <w:left w:val="none" w:sz="0" w:space="0" w:color="auto"/>
            <w:bottom w:val="none" w:sz="0" w:space="0" w:color="auto"/>
            <w:right w:val="none" w:sz="0" w:space="0" w:color="auto"/>
          </w:divBdr>
        </w:div>
        <w:div w:id="1880506075">
          <w:marLeft w:val="0"/>
          <w:marRight w:val="0"/>
          <w:marTop w:val="0"/>
          <w:marBottom w:val="0"/>
          <w:divBdr>
            <w:top w:val="none" w:sz="0" w:space="0" w:color="auto"/>
            <w:left w:val="none" w:sz="0" w:space="0" w:color="auto"/>
            <w:bottom w:val="none" w:sz="0" w:space="0" w:color="auto"/>
            <w:right w:val="none" w:sz="0" w:space="0" w:color="auto"/>
          </w:divBdr>
        </w:div>
        <w:div w:id="1889756681">
          <w:marLeft w:val="0"/>
          <w:marRight w:val="0"/>
          <w:marTop w:val="0"/>
          <w:marBottom w:val="0"/>
          <w:divBdr>
            <w:top w:val="none" w:sz="0" w:space="0" w:color="auto"/>
            <w:left w:val="none" w:sz="0" w:space="0" w:color="auto"/>
            <w:bottom w:val="none" w:sz="0" w:space="0" w:color="auto"/>
            <w:right w:val="none" w:sz="0" w:space="0" w:color="auto"/>
          </w:divBdr>
        </w:div>
        <w:div w:id="1897812677">
          <w:marLeft w:val="0"/>
          <w:marRight w:val="0"/>
          <w:marTop w:val="0"/>
          <w:marBottom w:val="0"/>
          <w:divBdr>
            <w:top w:val="none" w:sz="0" w:space="0" w:color="auto"/>
            <w:left w:val="none" w:sz="0" w:space="0" w:color="auto"/>
            <w:bottom w:val="none" w:sz="0" w:space="0" w:color="auto"/>
            <w:right w:val="none" w:sz="0" w:space="0" w:color="auto"/>
          </w:divBdr>
        </w:div>
        <w:div w:id="1899900804">
          <w:marLeft w:val="0"/>
          <w:marRight w:val="0"/>
          <w:marTop w:val="0"/>
          <w:marBottom w:val="0"/>
          <w:divBdr>
            <w:top w:val="none" w:sz="0" w:space="0" w:color="auto"/>
            <w:left w:val="none" w:sz="0" w:space="0" w:color="auto"/>
            <w:bottom w:val="none" w:sz="0" w:space="0" w:color="auto"/>
            <w:right w:val="none" w:sz="0" w:space="0" w:color="auto"/>
          </w:divBdr>
        </w:div>
        <w:div w:id="1928996992">
          <w:marLeft w:val="0"/>
          <w:marRight w:val="0"/>
          <w:marTop w:val="0"/>
          <w:marBottom w:val="0"/>
          <w:divBdr>
            <w:top w:val="none" w:sz="0" w:space="0" w:color="auto"/>
            <w:left w:val="none" w:sz="0" w:space="0" w:color="auto"/>
            <w:bottom w:val="none" w:sz="0" w:space="0" w:color="auto"/>
            <w:right w:val="none" w:sz="0" w:space="0" w:color="auto"/>
          </w:divBdr>
        </w:div>
        <w:div w:id="1942642597">
          <w:marLeft w:val="0"/>
          <w:marRight w:val="0"/>
          <w:marTop w:val="0"/>
          <w:marBottom w:val="0"/>
          <w:divBdr>
            <w:top w:val="none" w:sz="0" w:space="0" w:color="auto"/>
            <w:left w:val="none" w:sz="0" w:space="0" w:color="auto"/>
            <w:bottom w:val="none" w:sz="0" w:space="0" w:color="auto"/>
            <w:right w:val="none" w:sz="0" w:space="0" w:color="auto"/>
          </w:divBdr>
        </w:div>
        <w:div w:id="1945188968">
          <w:marLeft w:val="0"/>
          <w:marRight w:val="0"/>
          <w:marTop w:val="0"/>
          <w:marBottom w:val="0"/>
          <w:divBdr>
            <w:top w:val="none" w:sz="0" w:space="0" w:color="auto"/>
            <w:left w:val="none" w:sz="0" w:space="0" w:color="auto"/>
            <w:bottom w:val="none" w:sz="0" w:space="0" w:color="auto"/>
            <w:right w:val="none" w:sz="0" w:space="0" w:color="auto"/>
          </w:divBdr>
        </w:div>
        <w:div w:id="1976254459">
          <w:marLeft w:val="0"/>
          <w:marRight w:val="0"/>
          <w:marTop w:val="0"/>
          <w:marBottom w:val="0"/>
          <w:divBdr>
            <w:top w:val="none" w:sz="0" w:space="0" w:color="auto"/>
            <w:left w:val="none" w:sz="0" w:space="0" w:color="auto"/>
            <w:bottom w:val="none" w:sz="0" w:space="0" w:color="auto"/>
            <w:right w:val="none" w:sz="0" w:space="0" w:color="auto"/>
          </w:divBdr>
        </w:div>
        <w:div w:id="1979259887">
          <w:marLeft w:val="0"/>
          <w:marRight w:val="0"/>
          <w:marTop w:val="0"/>
          <w:marBottom w:val="0"/>
          <w:divBdr>
            <w:top w:val="none" w:sz="0" w:space="0" w:color="auto"/>
            <w:left w:val="none" w:sz="0" w:space="0" w:color="auto"/>
            <w:bottom w:val="none" w:sz="0" w:space="0" w:color="auto"/>
            <w:right w:val="none" w:sz="0" w:space="0" w:color="auto"/>
          </w:divBdr>
        </w:div>
        <w:div w:id="1985431363">
          <w:marLeft w:val="0"/>
          <w:marRight w:val="0"/>
          <w:marTop w:val="0"/>
          <w:marBottom w:val="0"/>
          <w:divBdr>
            <w:top w:val="none" w:sz="0" w:space="0" w:color="auto"/>
            <w:left w:val="none" w:sz="0" w:space="0" w:color="auto"/>
            <w:bottom w:val="none" w:sz="0" w:space="0" w:color="auto"/>
            <w:right w:val="none" w:sz="0" w:space="0" w:color="auto"/>
          </w:divBdr>
        </w:div>
        <w:div w:id="1991056027">
          <w:marLeft w:val="0"/>
          <w:marRight w:val="0"/>
          <w:marTop w:val="0"/>
          <w:marBottom w:val="0"/>
          <w:divBdr>
            <w:top w:val="none" w:sz="0" w:space="0" w:color="auto"/>
            <w:left w:val="none" w:sz="0" w:space="0" w:color="auto"/>
            <w:bottom w:val="none" w:sz="0" w:space="0" w:color="auto"/>
            <w:right w:val="none" w:sz="0" w:space="0" w:color="auto"/>
          </w:divBdr>
        </w:div>
        <w:div w:id="1993409814">
          <w:marLeft w:val="0"/>
          <w:marRight w:val="0"/>
          <w:marTop w:val="0"/>
          <w:marBottom w:val="0"/>
          <w:divBdr>
            <w:top w:val="none" w:sz="0" w:space="0" w:color="auto"/>
            <w:left w:val="none" w:sz="0" w:space="0" w:color="auto"/>
            <w:bottom w:val="none" w:sz="0" w:space="0" w:color="auto"/>
            <w:right w:val="none" w:sz="0" w:space="0" w:color="auto"/>
          </w:divBdr>
        </w:div>
        <w:div w:id="1994485385">
          <w:marLeft w:val="0"/>
          <w:marRight w:val="0"/>
          <w:marTop w:val="0"/>
          <w:marBottom w:val="0"/>
          <w:divBdr>
            <w:top w:val="none" w:sz="0" w:space="0" w:color="auto"/>
            <w:left w:val="none" w:sz="0" w:space="0" w:color="auto"/>
            <w:bottom w:val="none" w:sz="0" w:space="0" w:color="auto"/>
            <w:right w:val="none" w:sz="0" w:space="0" w:color="auto"/>
          </w:divBdr>
        </w:div>
        <w:div w:id="1999531043">
          <w:marLeft w:val="0"/>
          <w:marRight w:val="0"/>
          <w:marTop w:val="0"/>
          <w:marBottom w:val="0"/>
          <w:divBdr>
            <w:top w:val="none" w:sz="0" w:space="0" w:color="auto"/>
            <w:left w:val="none" w:sz="0" w:space="0" w:color="auto"/>
            <w:bottom w:val="none" w:sz="0" w:space="0" w:color="auto"/>
            <w:right w:val="none" w:sz="0" w:space="0" w:color="auto"/>
          </w:divBdr>
        </w:div>
        <w:div w:id="2020961538">
          <w:marLeft w:val="0"/>
          <w:marRight w:val="0"/>
          <w:marTop w:val="0"/>
          <w:marBottom w:val="0"/>
          <w:divBdr>
            <w:top w:val="none" w:sz="0" w:space="0" w:color="auto"/>
            <w:left w:val="none" w:sz="0" w:space="0" w:color="auto"/>
            <w:bottom w:val="none" w:sz="0" w:space="0" w:color="auto"/>
            <w:right w:val="none" w:sz="0" w:space="0" w:color="auto"/>
          </w:divBdr>
        </w:div>
        <w:div w:id="2041011324">
          <w:marLeft w:val="0"/>
          <w:marRight w:val="0"/>
          <w:marTop w:val="0"/>
          <w:marBottom w:val="0"/>
          <w:divBdr>
            <w:top w:val="none" w:sz="0" w:space="0" w:color="auto"/>
            <w:left w:val="none" w:sz="0" w:space="0" w:color="auto"/>
            <w:bottom w:val="none" w:sz="0" w:space="0" w:color="auto"/>
            <w:right w:val="none" w:sz="0" w:space="0" w:color="auto"/>
          </w:divBdr>
        </w:div>
        <w:div w:id="2055227684">
          <w:marLeft w:val="0"/>
          <w:marRight w:val="0"/>
          <w:marTop w:val="0"/>
          <w:marBottom w:val="0"/>
          <w:divBdr>
            <w:top w:val="none" w:sz="0" w:space="0" w:color="auto"/>
            <w:left w:val="none" w:sz="0" w:space="0" w:color="auto"/>
            <w:bottom w:val="none" w:sz="0" w:space="0" w:color="auto"/>
            <w:right w:val="none" w:sz="0" w:space="0" w:color="auto"/>
          </w:divBdr>
        </w:div>
        <w:div w:id="2061317822">
          <w:marLeft w:val="0"/>
          <w:marRight w:val="0"/>
          <w:marTop w:val="0"/>
          <w:marBottom w:val="0"/>
          <w:divBdr>
            <w:top w:val="none" w:sz="0" w:space="0" w:color="auto"/>
            <w:left w:val="none" w:sz="0" w:space="0" w:color="auto"/>
            <w:bottom w:val="none" w:sz="0" w:space="0" w:color="auto"/>
            <w:right w:val="none" w:sz="0" w:space="0" w:color="auto"/>
          </w:divBdr>
        </w:div>
        <w:div w:id="2070571292">
          <w:marLeft w:val="0"/>
          <w:marRight w:val="0"/>
          <w:marTop w:val="0"/>
          <w:marBottom w:val="0"/>
          <w:divBdr>
            <w:top w:val="none" w:sz="0" w:space="0" w:color="auto"/>
            <w:left w:val="none" w:sz="0" w:space="0" w:color="auto"/>
            <w:bottom w:val="none" w:sz="0" w:space="0" w:color="auto"/>
            <w:right w:val="none" w:sz="0" w:space="0" w:color="auto"/>
          </w:divBdr>
        </w:div>
        <w:div w:id="2082822345">
          <w:marLeft w:val="0"/>
          <w:marRight w:val="0"/>
          <w:marTop w:val="0"/>
          <w:marBottom w:val="0"/>
          <w:divBdr>
            <w:top w:val="none" w:sz="0" w:space="0" w:color="auto"/>
            <w:left w:val="none" w:sz="0" w:space="0" w:color="auto"/>
            <w:bottom w:val="none" w:sz="0" w:space="0" w:color="auto"/>
            <w:right w:val="none" w:sz="0" w:space="0" w:color="auto"/>
          </w:divBdr>
        </w:div>
        <w:div w:id="2089157654">
          <w:marLeft w:val="0"/>
          <w:marRight w:val="0"/>
          <w:marTop w:val="0"/>
          <w:marBottom w:val="0"/>
          <w:divBdr>
            <w:top w:val="none" w:sz="0" w:space="0" w:color="auto"/>
            <w:left w:val="none" w:sz="0" w:space="0" w:color="auto"/>
            <w:bottom w:val="none" w:sz="0" w:space="0" w:color="auto"/>
            <w:right w:val="none" w:sz="0" w:space="0" w:color="auto"/>
          </w:divBdr>
        </w:div>
        <w:div w:id="2097357133">
          <w:marLeft w:val="0"/>
          <w:marRight w:val="0"/>
          <w:marTop w:val="0"/>
          <w:marBottom w:val="0"/>
          <w:divBdr>
            <w:top w:val="none" w:sz="0" w:space="0" w:color="auto"/>
            <w:left w:val="none" w:sz="0" w:space="0" w:color="auto"/>
            <w:bottom w:val="none" w:sz="0" w:space="0" w:color="auto"/>
            <w:right w:val="none" w:sz="0" w:space="0" w:color="auto"/>
          </w:divBdr>
        </w:div>
        <w:div w:id="2101295301">
          <w:marLeft w:val="0"/>
          <w:marRight w:val="0"/>
          <w:marTop w:val="0"/>
          <w:marBottom w:val="0"/>
          <w:divBdr>
            <w:top w:val="none" w:sz="0" w:space="0" w:color="auto"/>
            <w:left w:val="none" w:sz="0" w:space="0" w:color="auto"/>
            <w:bottom w:val="none" w:sz="0" w:space="0" w:color="auto"/>
            <w:right w:val="none" w:sz="0" w:space="0" w:color="auto"/>
          </w:divBdr>
        </w:div>
        <w:div w:id="2113545499">
          <w:marLeft w:val="0"/>
          <w:marRight w:val="0"/>
          <w:marTop w:val="0"/>
          <w:marBottom w:val="0"/>
          <w:divBdr>
            <w:top w:val="none" w:sz="0" w:space="0" w:color="auto"/>
            <w:left w:val="none" w:sz="0" w:space="0" w:color="auto"/>
            <w:bottom w:val="none" w:sz="0" w:space="0" w:color="auto"/>
            <w:right w:val="none" w:sz="0" w:space="0" w:color="auto"/>
          </w:divBdr>
        </w:div>
        <w:div w:id="2120292808">
          <w:marLeft w:val="0"/>
          <w:marRight w:val="0"/>
          <w:marTop w:val="0"/>
          <w:marBottom w:val="0"/>
          <w:divBdr>
            <w:top w:val="none" w:sz="0" w:space="0" w:color="auto"/>
            <w:left w:val="none" w:sz="0" w:space="0" w:color="auto"/>
            <w:bottom w:val="none" w:sz="0" w:space="0" w:color="auto"/>
            <w:right w:val="none" w:sz="0" w:space="0" w:color="auto"/>
          </w:divBdr>
        </w:div>
        <w:div w:id="2125028890">
          <w:marLeft w:val="0"/>
          <w:marRight w:val="0"/>
          <w:marTop w:val="0"/>
          <w:marBottom w:val="0"/>
          <w:divBdr>
            <w:top w:val="none" w:sz="0" w:space="0" w:color="auto"/>
            <w:left w:val="none" w:sz="0" w:space="0" w:color="auto"/>
            <w:bottom w:val="none" w:sz="0" w:space="0" w:color="auto"/>
            <w:right w:val="none" w:sz="0" w:space="0" w:color="auto"/>
          </w:divBdr>
        </w:div>
        <w:div w:id="2128041898">
          <w:marLeft w:val="0"/>
          <w:marRight w:val="0"/>
          <w:marTop w:val="0"/>
          <w:marBottom w:val="0"/>
          <w:divBdr>
            <w:top w:val="none" w:sz="0" w:space="0" w:color="auto"/>
            <w:left w:val="none" w:sz="0" w:space="0" w:color="auto"/>
            <w:bottom w:val="none" w:sz="0" w:space="0" w:color="auto"/>
            <w:right w:val="none" w:sz="0" w:space="0" w:color="auto"/>
          </w:divBdr>
        </w:div>
        <w:div w:id="2132085421">
          <w:marLeft w:val="0"/>
          <w:marRight w:val="0"/>
          <w:marTop w:val="0"/>
          <w:marBottom w:val="0"/>
          <w:divBdr>
            <w:top w:val="none" w:sz="0" w:space="0" w:color="auto"/>
            <w:left w:val="none" w:sz="0" w:space="0" w:color="auto"/>
            <w:bottom w:val="none" w:sz="0" w:space="0" w:color="auto"/>
            <w:right w:val="none" w:sz="0" w:space="0" w:color="auto"/>
          </w:divBdr>
        </w:div>
        <w:div w:id="2134712786">
          <w:marLeft w:val="0"/>
          <w:marRight w:val="0"/>
          <w:marTop w:val="0"/>
          <w:marBottom w:val="0"/>
          <w:divBdr>
            <w:top w:val="none" w:sz="0" w:space="0" w:color="auto"/>
            <w:left w:val="none" w:sz="0" w:space="0" w:color="auto"/>
            <w:bottom w:val="none" w:sz="0" w:space="0" w:color="auto"/>
            <w:right w:val="none" w:sz="0" w:space="0" w:color="auto"/>
          </w:divBdr>
        </w:div>
        <w:div w:id="2144154354">
          <w:marLeft w:val="0"/>
          <w:marRight w:val="0"/>
          <w:marTop w:val="0"/>
          <w:marBottom w:val="0"/>
          <w:divBdr>
            <w:top w:val="none" w:sz="0" w:space="0" w:color="auto"/>
            <w:left w:val="none" w:sz="0" w:space="0" w:color="auto"/>
            <w:bottom w:val="none" w:sz="0" w:space="0" w:color="auto"/>
            <w:right w:val="none" w:sz="0" w:space="0" w:color="auto"/>
          </w:divBdr>
        </w:div>
      </w:divsChild>
    </w:div>
    <w:div w:id="1107962713">
      <w:bodyDiv w:val="1"/>
      <w:marLeft w:val="0"/>
      <w:marRight w:val="0"/>
      <w:marTop w:val="0"/>
      <w:marBottom w:val="0"/>
      <w:divBdr>
        <w:top w:val="none" w:sz="0" w:space="0" w:color="auto"/>
        <w:left w:val="none" w:sz="0" w:space="0" w:color="auto"/>
        <w:bottom w:val="none" w:sz="0" w:space="0" w:color="auto"/>
        <w:right w:val="none" w:sz="0" w:space="0" w:color="auto"/>
      </w:divBdr>
    </w:div>
    <w:div w:id="1125351137">
      <w:bodyDiv w:val="1"/>
      <w:marLeft w:val="0"/>
      <w:marRight w:val="0"/>
      <w:marTop w:val="0"/>
      <w:marBottom w:val="0"/>
      <w:divBdr>
        <w:top w:val="none" w:sz="0" w:space="0" w:color="auto"/>
        <w:left w:val="none" w:sz="0" w:space="0" w:color="auto"/>
        <w:bottom w:val="none" w:sz="0" w:space="0" w:color="auto"/>
        <w:right w:val="none" w:sz="0" w:space="0" w:color="auto"/>
      </w:divBdr>
    </w:div>
    <w:div w:id="1127704040">
      <w:bodyDiv w:val="1"/>
      <w:marLeft w:val="0"/>
      <w:marRight w:val="0"/>
      <w:marTop w:val="0"/>
      <w:marBottom w:val="0"/>
      <w:divBdr>
        <w:top w:val="none" w:sz="0" w:space="0" w:color="auto"/>
        <w:left w:val="none" w:sz="0" w:space="0" w:color="auto"/>
        <w:bottom w:val="none" w:sz="0" w:space="0" w:color="auto"/>
        <w:right w:val="none" w:sz="0" w:space="0" w:color="auto"/>
      </w:divBdr>
    </w:div>
    <w:div w:id="1290431729">
      <w:bodyDiv w:val="1"/>
      <w:marLeft w:val="0"/>
      <w:marRight w:val="0"/>
      <w:marTop w:val="0"/>
      <w:marBottom w:val="0"/>
      <w:divBdr>
        <w:top w:val="none" w:sz="0" w:space="0" w:color="auto"/>
        <w:left w:val="none" w:sz="0" w:space="0" w:color="auto"/>
        <w:bottom w:val="none" w:sz="0" w:space="0" w:color="auto"/>
        <w:right w:val="none" w:sz="0" w:space="0" w:color="auto"/>
      </w:divBdr>
    </w:div>
    <w:div w:id="1293707376">
      <w:bodyDiv w:val="1"/>
      <w:marLeft w:val="0"/>
      <w:marRight w:val="0"/>
      <w:marTop w:val="0"/>
      <w:marBottom w:val="0"/>
      <w:divBdr>
        <w:top w:val="none" w:sz="0" w:space="0" w:color="auto"/>
        <w:left w:val="none" w:sz="0" w:space="0" w:color="auto"/>
        <w:bottom w:val="none" w:sz="0" w:space="0" w:color="auto"/>
        <w:right w:val="none" w:sz="0" w:space="0" w:color="auto"/>
      </w:divBdr>
    </w:div>
    <w:div w:id="1421027209">
      <w:bodyDiv w:val="1"/>
      <w:marLeft w:val="0"/>
      <w:marRight w:val="0"/>
      <w:marTop w:val="0"/>
      <w:marBottom w:val="0"/>
      <w:divBdr>
        <w:top w:val="none" w:sz="0" w:space="0" w:color="auto"/>
        <w:left w:val="none" w:sz="0" w:space="0" w:color="auto"/>
        <w:bottom w:val="none" w:sz="0" w:space="0" w:color="auto"/>
        <w:right w:val="none" w:sz="0" w:space="0" w:color="auto"/>
      </w:divBdr>
    </w:div>
    <w:div w:id="1523670534">
      <w:bodyDiv w:val="1"/>
      <w:marLeft w:val="0"/>
      <w:marRight w:val="0"/>
      <w:marTop w:val="0"/>
      <w:marBottom w:val="0"/>
      <w:divBdr>
        <w:top w:val="none" w:sz="0" w:space="0" w:color="auto"/>
        <w:left w:val="none" w:sz="0" w:space="0" w:color="auto"/>
        <w:bottom w:val="none" w:sz="0" w:space="0" w:color="auto"/>
        <w:right w:val="none" w:sz="0" w:space="0" w:color="auto"/>
      </w:divBdr>
    </w:div>
    <w:div w:id="1588265723">
      <w:bodyDiv w:val="1"/>
      <w:marLeft w:val="0"/>
      <w:marRight w:val="0"/>
      <w:marTop w:val="0"/>
      <w:marBottom w:val="0"/>
      <w:divBdr>
        <w:top w:val="none" w:sz="0" w:space="0" w:color="auto"/>
        <w:left w:val="none" w:sz="0" w:space="0" w:color="auto"/>
        <w:bottom w:val="none" w:sz="0" w:space="0" w:color="auto"/>
        <w:right w:val="none" w:sz="0" w:space="0" w:color="auto"/>
      </w:divBdr>
    </w:div>
    <w:div w:id="1741252258">
      <w:bodyDiv w:val="1"/>
      <w:marLeft w:val="0"/>
      <w:marRight w:val="0"/>
      <w:marTop w:val="0"/>
      <w:marBottom w:val="0"/>
      <w:divBdr>
        <w:top w:val="none" w:sz="0" w:space="0" w:color="auto"/>
        <w:left w:val="none" w:sz="0" w:space="0" w:color="auto"/>
        <w:bottom w:val="none" w:sz="0" w:space="0" w:color="auto"/>
        <w:right w:val="none" w:sz="0" w:space="0" w:color="auto"/>
      </w:divBdr>
    </w:div>
    <w:div w:id="1749111372">
      <w:bodyDiv w:val="1"/>
      <w:marLeft w:val="0"/>
      <w:marRight w:val="0"/>
      <w:marTop w:val="0"/>
      <w:marBottom w:val="0"/>
      <w:divBdr>
        <w:top w:val="none" w:sz="0" w:space="0" w:color="auto"/>
        <w:left w:val="none" w:sz="0" w:space="0" w:color="auto"/>
        <w:bottom w:val="none" w:sz="0" w:space="0" w:color="auto"/>
        <w:right w:val="none" w:sz="0" w:space="0" w:color="auto"/>
      </w:divBdr>
    </w:div>
    <w:div w:id="1750228964">
      <w:bodyDiv w:val="1"/>
      <w:marLeft w:val="0"/>
      <w:marRight w:val="0"/>
      <w:marTop w:val="0"/>
      <w:marBottom w:val="0"/>
      <w:divBdr>
        <w:top w:val="none" w:sz="0" w:space="0" w:color="auto"/>
        <w:left w:val="none" w:sz="0" w:space="0" w:color="auto"/>
        <w:bottom w:val="none" w:sz="0" w:space="0" w:color="auto"/>
        <w:right w:val="none" w:sz="0" w:space="0" w:color="auto"/>
      </w:divBdr>
    </w:div>
    <w:div w:id="1823544927">
      <w:bodyDiv w:val="1"/>
      <w:marLeft w:val="0"/>
      <w:marRight w:val="0"/>
      <w:marTop w:val="0"/>
      <w:marBottom w:val="0"/>
      <w:divBdr>
        <w:top w:val="none" w:sz="0" w:space="0" w:color="auto"/>
        <w:left w:val="none" w:sz="0" w:space="0" w:color="auto"/>
        <w:bottom w:val="none" w:sz="0" w:space="0" w:color="auto"/>
        <w:right w:val="none" w:sz="0" w:space="0" w:color="auto"/>
      </w:divBdr>
    </w:div>
    <w:div w:id="1872649718">
      <w:bodyDiv w:val="1"/>
      <w:marLeft w:val="0"/>
      <w:marRight w:val="0"/>
      <w:marTop w:val="0"/>
      <w:marBottom w:val="0"/>
      <w:divBdr>
        <w:top w:val="none" w:sz="0" w:space="0" w:color="auto"/>
        <w:left w:val="none" w:sz="0" w:space="0" w:color="auto"/>
        <w:bottom w:val="none" w:sz="0" w:space="0" w:color="auto"/>
        <w:right w:val="none" w:sz="0" w:space="0" w:color="auto"/>
      </w:divBdr>
    </w:div>
    <w:div w:id="20769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vm.gov.br"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vm.gov.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vm.gov.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2" ma:contentTypeDescription="Create a new document." ma:contentTypeScope="" ma:versionID="38577c25a8578eb295050e330b07068f">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203dda6c86ad28d4196e7495fa635a22"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007d275-fe71-4d9d-b733-955bb29c3f57">
      <UserInfo>
        <DisplayName/>
        <AccountId xsi:nil="true"/>
        <AccountType/>
      </UserInfo>
    </SharedWithUsers>
    <_activity xmlns="202af286-b63d-4051-91f4-2a3db7e26a9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0CFC-8F54-4666-ADC3-3AFC01E8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56F2D-AB90-46BC-9184-E2F65AC74A2B}">
  <ds:schemaRefs>
    <ds:schemaRef ds:uri="http://schemas.microsoft.com/sharepoint/v3/contenttype/forms"/>
  </ds:schemaRefs>
</ds:datastoreItem>
</file>

<file path=customXml/itemProps3.xml><?xml version="1.0" encoding="utf-8"?>
<ds:datastoreItem xmlns:ds="http://schemas.openxmlformats.org/officeDocument/2006/customXml" ds:itemID="{C783076A-30E5-423C-9F80-1E9F8F1C253F}">
  <ds:schemaRefs>
    <ds:schemaRef ds:uri="http://schemas.microsoft.com/sharepoint/v3/contenttype/forms"/>
  </ds:schemaRefs>
</ds:datastoreItem>
</file>

<file path=customXml/itemProps4.xml><?xml version="1.0" encoding="utf-8"?>
<ds:datastoreItem xmlns:ds="http://schemas.openxmlformats.org/officeDocument/2006/customXml" ds:itemID="{E95A848E-086D-4D10-96AC-B0A11197C963}">
  <ds:schemaRefs>
    <ds:schemaRef ds:uri="202af286-b63d-4051-91f4-2a3db7e26a9f"/>
    <ds:schemaRef ds:uri="f007d275-fe71-4d9d-b733-955bb29c3f57"/>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EDEEDE6-AEF7-496B-9A73-1CECA7E3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193</Pages>
  <Words>53995</Words>
  <Characters>291579</Characters>
  <Application>Microsoft Office Word</Application>
  <DocSecurity>0</DocSecurity>
  <Lines>2429</Lines>
  <Paragraphs>689</Paragraphs>
  <ScaleCrop>false</ScaleCrop>
  <HeadingPairs>
    <vt:vector size="2" baseType="variant">
      <vt:variant>
        <vt:lpstr>Título</vt:lpstr>
      </vt:variant>
      <vt:variant>
        <vt:i4>1</vt:i4>
      </vt:variant>
    </vt:vector>
  </HeadingPairs>
  <TitlesOfParts>
    <vt:vector size="1" baseType="lpstr">
      <vt:lpstr>Resolução CVM 175</vt:lpstr>
    </vt:vector>
  </TitlesOfParts>
  <Company/>
  <LinksUpToDate>false</LinksUpToDate>
  <CharactersWithSpaces>344885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175</dc:title>
  <dc:subject/>
  <dc:creator>CVM</dc:creator>
  <cp:keywords/>
  <dc:description/>
  <cp:lastModifiedBy>Renata Dos Santos Leitão</cp:lastModifiedBy>
  <cp:revision>6</cp:revision>
  <cp:lastPrinted>2023-03-29T21:46:00Z</cp:lastPrinted>
  <dcterms:created xsi:type="dcterms:W3CDTF">2023-03-29T19:36:00Z</dcterms:created>
  <dcterms:modified xsi:type="dcterms:W3CDTF">2023-03-29T21:48:00Z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