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04ED" w14:textId="7DF1BBD0" w:rsidR="00024305" w:rsidRPr="00C1691E" w:rsidRDefault="00024305" w:rsidP="00024305">
      <w:pPr>
        <w:pStyle w:val="TtulodaResoluo"/>
      </w:pPr>
      <w:r w:rsidRPr="00C1691E">
        <w:t xml:space="preserve">Resolução CVM nº </w:t>
      </w:r>
      <w:sdt>
        <w:sdtPr>
          <w:alias w:val="Título"/>
          <w:tag w:val=""/>
          <w:id w:val="253094646"/>
          <w:placeholder>
            <w:docPart w:val="4959B5AE03CA40B29CF3759DEF7D90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47B96">
            <w:t>180</w:t>
          </w:r>
          <w:r w:rsidR="004D0746">
            <w:t xml:space="preserve">, de </w:t>
          </w:r>
          <w:r w:rsidR="00B47B96">
            <w:t>22</w:t>
          </w:r>
          <w:r w:rsidR="004D0746">
            <w:t xml:space="preserve"> de </w:t>
          </w:r>
          <w:r w:rsidR="00B47B96">
            <w:t>março</w:t>
          </w:r>
          <w:r w:rsidR="004D0746">
            <w:t xml:space="preserve"> de </w:t>
          </w:r>
          <w:r w:rsidR="00B47B96">
            <w:t>2023</w:t>
          </w:r>
        </w:sdtContent>
      </w:sdt>
    </w:p>
    <w:p w14:paraId="7740A3D1" w14:textId="491FF52B" w:rsidR="00841BBF" w:rsidRPr="00C82C89" w:rsidRDefault="00237C3B" w:rsidP="00C82C89">
      <w:pPr>
        <w:pStyle w:val="Ementa"/>
      </w:pPr>
      <w:r w:rsidRPr="00237C3B">
        <w:t xml:space="preserve">Altera as Resoluções CVM nº </w:t>
      </w:r>
      <w:r w:rsidR="00652AFD">
        <w:t>80</w:t>
      </w:r>
      <w:r w:rsidRPr="00237C3B">
        <w:t xml:space="preserve">, de </w:t>
      </w:r>
      <w:r w:rsidR="003D228C">
        <w:t>29</w:t>
      </w:r>
      <w:r w:rsidRPr="00237C3B">
        <w:t xml:space="preserve"> de </w:t>
      </w:r>
      <w:r w:rsidR="003D228C">
        <w:t>março</w:t>
      </w:r>
      <w:r w:rsidRPr="00237C3B">
        <w:t xml:space="preserve"> de </w:t>
      </w:r>
      <w:r w:rsidR="003D228C">
        <w:t>2022</w:t>
      </w:r>
      <w:r w:rsidRPr="00237C3B">
        <w:t xml:space="preserve">, e CVM nº </w:t>
      </w:r>
      <w:r w:rsidR="003D228C">
        <w:t>160</w:t>
      </w:r>
      <w:r w:rsidRPr="00237C3B">
        <w:t>, de</w:t>
      </w:r>
      <w:r w:rsidR="00E87715">
        <w:t xml:space="preserve"> </w:t>
      </w:r>
      <w:r w:rsidR="00052FE0">
        <w:t>13</w:t>
      </w:r>
      <w:r w:rsidRPr="00237C3B">
        <w:t xml:space="preserve"> de </w:t>
      </w:r>
      <w:r w:rsidR="00052FE0">
        <w:t>julho</w:t>
      </w:r>
      <w:r w:rsidRPr="00237C3B">
        <w:t xml:space="preserve"> de </w:t>
      </w:r>
      <w:r w:rsidR="00052FE0">
        <w:t>2022</w:t>
      </w:r>
      <w:r w:rsidRPr="00237C3B">
        <w:t>.</w:t>
      </w:r>
    </w:p>
    <w:p w14:paraId="05D980AA" w14:textId="1CDC4189" w:rsidR="006E1797" w:rsidRDefault="00BF561B" w:rsidP="00ED1FB4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reunião realizada </w:t>
      </w:r>
      <w:r w:rsidR="00B47B96">
        <w:t>em 21 de março de 2023</w:t>
      </w:r>
      <w:r w:rsidR="00894689" w:rsidRPr="00B975FA">
        <w:t xml:space="preserve">, com </w:t>
      </w:r>
      <w:r w:rsidR="00894689">
        <w:t xml:space="preserve">fundamento no disposto no art. 8º, I, da Lei nº 6.385, de 7 de dezembro de 1976, </w:t>
      </w:r>
      <w:r w:rsidR="00FA29E1">
        <w:rPr>
          <w:b/>
        </w:rPr>
        <w:t>APROVOU</w:t>
      </w:r>
      <w:r w:rsidR="00894689">
        <w:t xml:space="preserve"> a seguinte Resolução:</w:t>
      </w:r>
    </w:p>
    <w:p w14:paraId="54F66C5A" w14:textId="53A2DCB3" w:rsidR="007D21D0" w:rsidRDefault="007D21D0" w:rsidP="007D21D0">
      <w:r w:rsidRPr="006E1797">
        <w:t xml:space="preserve">Art. </w:t>
      </w:r>
      <w:r>
        <w:t>1</w:t>
      </w:r>
      <w:proofErr w:type="gramStart"/>
      <w:r w:rsidRPr="006E1797">
        <w:t xml:space="preserve">º </w:t>
      </w:r>
      <w:r w:rsidR="00AB2CA1">
        <w:t xml:space="preserve"> </w:t>
      </w:r>
      <w:r>
        <w:t>A</w:t>
      </w:r>
      <w:proofErr w:type="gramEnd"/>
      <w:r w:rsidRPr="006E1797">
        <w:t xml:space="preserve"> Re</w:t>
      </w:r>
      <w:r>
        <w:t xml:space="preserve">solução </w:t>
      </w:r>
      <w:r w:rsidR="00E142F6">
        <w:t>CVM nº 80</w:t>
      </w:r>
      <w:r>
        <w:t>, de</w:t>
      </w:r>
      <w:r w:rsidR="00E142F6">
        <w:t xml:space="preserve"> 29 de março de 2022</w:t>
      </w:r>
      <w:r>
        <w:t>, passa a vigorar com a seguinte redação:</w:t>
      </w:r>
    </w:p>
    <w:p w14:paraId="16602064" w14:textId="77777777" w:rsidR="0012514F" w:rsidRDefault="0086338B" w:rsidP="00095D44">
      <w:pPr>
        <w:pStyle w:val="NormaAlterada"/>
      </w:pPr>
      <w:r>
        <w:t>“Art.</w:t>
      </w:r>
      <w:r w:rsidR="00ED15F1">
        <w:t xml:space="preserve"> 5º..............................................................</w:t>
      </w:r>
    </w:p>
    <w:p w14:paraId="07737404" w14:textId="77777777" w:rsidR="0012514F" w:rsidRDefault="0012514F" w:rsidP="00095D44">
      <w:pPr>
        <w:pStyle w:val="NormaAlterada"/>
      </w:pPr>
      <w:r>
        <w:t>..........................................................................</w:t>
      </w:r>
    </w:p>
    <w:p w14:paraId="4F687D81" w14:textId="62FEAF40" w:rsidR="0086338B" w:rsidRDefault="0012514F" w:rsidP="00095D44">
      <w:pPr>
        <w:pStyle w:val="NormaAlterada"/>
      </w:pPr>
      <w:r>
        <w:t>§ 2</w:t>
      </w:r>
      <w:proofErr w:type="gramStart"/>
      <w:r>
        <w:t>º  A</w:t>
      </w:r>
      <w:proofErr w:type="gramEnd"/>
      <w:r>
        <w:t xml:space="preserve"> </w:t>
      </w:r>
      <w:r w:rsidRPr="0012514F">
        <w:t xml:space="preserve">SEP deve informar, no prazo de até 10 (dez) dias contado do protocolo, sobre a </w:t>
      </w:r>
      <w:r w:rsidR="00CA75A2">
        <w:t>in</w:t>
      </w:r>
      <w:r w:rsidRPr="0012514F">
        <w:t>suficiência dos documentos submetidos</w:t>
      </w:r>
      <w:r w:rsidR="00CA75A2">
        <w:t>, se for o caso,</w:t>
      </w:r>
      <w:r w:rsidRPr="0012514F">
        <w:t xml:space="preserve"> e quais documentos ou informações estão faltando</w:t>
      </w:r>
      <w:r w:rsidR="00CA75A2">
        <w:t>.</w:t>
      </w:r>
    </w:p>
    <w:p w14:paraId="1D102207" w14:textId="323DBB25" w:rsidR="00CA75A2" w:rsidRDefault="002B1DF4" w:rsidP="00095D44">
      <w:pPr>
        <w:pStyle w:val="NormaAlterada"/>
      </w:pPr>
      <w:r>
        <w:t>..........................................................................” (NR)</w:t>
      </w:r>
      <w:r>
        <w:tab/>
      </w:r>
    </w:p>
    <w:p w14:paraId="35069F68" w14:textId="5E21BD50" w:rsidR="003017D6" w:rsidRDefault="007D21D0" w:rsidP="00095D44">
      <w:pPr>
        <w:pStyle w:val="NormaAlterada"/>
      </w:pPr>
      <w:r>
        <w:t xml:space="preserve">“Art. </w:t>
      </w:r>
      <w:r w:rsidR="00155CCD">
        <w:t>38-A..........................................................</w:t>
      </w:r>
    </w:p>
    <w:p w14:paraId="060207DF" w14:textId="77777777" w:rsidR="003017D6" w:rsidRDefault="003017D6" w:rsidP="00095D44">
      <w:pPr>
        <w:pStyle w:val="NormaAlterada"/>
      </w:pPr>
      <w:r>
        <w:t>..........................................................................</w:t>
      </w:r>
    </w:p>
    <w:p w14:paraId="3597F8DC" w14:textId="77777777" w:rsidR="00082202" w:rsidRDefault="003017D6" w:rsidP="00095D44">
      <w:pPr>
        <w:pStyle w:val="NormaAlterada"/>
      </w:pPr>
      <w:r>
        <w:t>II – ....................................................................</w:t>
      </w:r>
    </w:p>
    <w:p w14:paraId="097BAC23" w14:textId="77777777" w:rsidR="00082202" w:rsidRDefault="00082202" w:rsidP="00095D44">
      <w:pPr>
        <w:pStyle w:val="NormaAlterada"/>
      </w:pPr>
      <w:r>
        <w:t>..........................................................................</w:t>
      </w:r>
    </w:p>
    <w:p w14:paraId="7FB59A66" w14:textId="77777777" w:rsidR="00082202" w:rsidRDefault="00082202" w:rsidP="00095D44">
      <w:pPr>
        <w:pStyle w:val="NormaAlterada"/>
      </w:pPr>
      <w:proofErr w:type="gramStart"/>
      <w:r>
        <w:t>c).......................................................................</w:t>
      </w:r>
      <w:proofErr w:type="gramEnd"/>
    </w:p>
    <w:p w14:paraId="0CA79A7B" w14:textId="1A5D80AD" w:rsidR="00095D44" w:rsidRDefault="003A306C" w:rsidP="00095D44">
      <w:pPr>
        <w:pStyle w:val="NormaAlterada"/>
      </w:pPr>
      <w:r w:rsidRPr="003A306C">
        <w:t xml:space="preserve">1. tenha realizado ofertas públicas, submetidas ao rito ordinário de registro de distribuição, em montante total igual ou superior a R$ 500.000.000,00 (quinhentos milhões de reais) do valor mobiliário de renda fixa que pretenda ofertar, incluindo </w:t>
      </w:r>
      <w:r w:rsidR="000F1CC9">
        <w:t>títulos</w:t>
      </w:r>
      <w:r w:rsidRPr="003A306C">
        <w:t xml:space="preserve"> de securitização com lastro único em que </w:t>
      </w:r>
      <w:r w:rsidR="00492C53">
        <w:t>tenha sido</w:t>
      </w:r>
      <w:r w:rsidRPr="003A306C">
        <w:t xml:space="preserve"> devedor; ou</w:t>
      </w:r>
    </w:p>
    <w:p w14:paraId="5979DFE5" w14:textId="7429C30F" w:rsidR="003606AE" w:rsidRDefault="003606AE" w:rsidP="00095D44">
      <w:pPr>
        <w:pStyle w:val="NormaAlterada"/>
      </w:pPr>
      <w:r w:rsidRPr="003606AE">
        <w:t xml:space="preserve">2. tenha realizado ao menos 2 (duas) ofertas públicas, submetidas ao rito ordinário de registro de distribuição, do valor mobiliário de renda fixa que pretenda ofertar, incluindo </w:t>
      </w:r>
      <w:r w:rsidR="000F1CC9">
        <w:t>títulos</w:t>
      </w:r>
      <w:r w:rsidRPr="003606AE">
        <w:t xml:space="preserve"> de securitização com lastro único em que </w:t>
      </w:r>
      <w:r w:rsidR="00492C53">
        <w:t>tenha sido</w:t>
      </w:r>
      <w:r w:rsidRPr="003606AE">
        <w:t xml:space="preserve"> devedor.</w:t>
      </w:r>
    </w:p>
    <w:p w14:paraId="26F497DA" w14:textId="02E4BA7E" w:rsidR="007D21D0" w:rsidRPr="00271FEB" w:rsidRDefault="003606AE" w:rsidP="007D21D0">
      <w:pPr>
        <w:pStyle w:val="NormaAlterada"/>
      </w:pPr>
      <w:r w:rsidRPr="00271FEB">
        <w:t>..........................................................................</w:t>
      </w:r>
      <w:r w:rsidR="007D21D0" w:rsidRPr="00271FEB">
        <w:tab/>
        <w:t>” (NR)</w:t>
      </w:r>
    </w:p>
    <w:p w14:paraId="2809D49A" w14:textId="77777777" w:rsidR="00B609EE" w:rsidRDefault="005D0DBA" w:rsidP="00A47F7A">
      <w:r w:rsidRPr="00B609EE">
        <w:t>Art. 2</w:t>
      </w:r>
      <w:proofErr w:type="gramStart"/>
      <w:r w:rsidRPr="00B609EE">
        <w:t>º</w:t>
      </w:r>
      <w:r w:rsidR="006375B1" w:rsidRPr="00B609EE">
        <w:t xml:space="preserve">  </w:t>
      </w:r>
      <w:r w:rsidR="002343A4" w:rsidRPr="00B609EE">
        <w:t>O</w:t>
      </w:r>
      <w:proofErr w:type="gramEnd"/>
      <w:r w:rsidR="00412579" w:rsidRPr="00B609EE">
        <w:t xml:space="preserve"> </w:t>
      </w:r>
      <w:r w:rsidR="00837A07" w:rsidRPr="00B609EE">
        <w:t>Anexo C da Resolução</w:t>
      </w:r>
      <w:r w:rsidR="00B609EE" w:rsidRPr="00B609EE">
        <w:t xml:space="preserve"> CVM nº 80, de 29 de março de 2022, pa</w:t>
      </w:r>
      <w:r w:rsidR="00B609EE">
        <w:t>ssa a vigorar com a seguinte redação:</w:t>
      </w:r>
    </w:p>
    <w:p w14:paraId="2332D8F7" w14:textId="053CAF68" w:rsidR="00EB50A8" w:rsidRPr="00B609EE" w:rsidRDefault="00412579" w:rsidP="00B609EE">
      <w:pPr>
        <w:pStyle w:val="NormaAlterada"/>
      </w:pPr>
      <w:r w:rsidRPr="00B609EE">
        <w:t xml:space="preserve"> </w:t>
      </w:r>
      <w:r w:rsidR="005600C2">
        <w:t>“</w:t>
      </w:r>
      <w:r w:rsidR="005600C2">
        <w:tab/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4"/>
        <w:gridCol w:w="1580"/>
      </w:tblGrid>
      <w:tr w:rsidR="00EB50A8" w:rsidRPr="00C57FCF" w14:paraId="4F5C3085" w14:textId="77777777" w:rsidTr="000C3138">
        <w:tc>
          <w:tcPr>
            <w:tcW w:w="4214" w:type="pct"/>
          </w:tcPr>
          <w:p w14:paraId="70BA308D" w14:textId="77777777" w:rsidR="00EB50A8" w:rsidRPr="00C57FCF" w:rsidRDefault="00EB50A8" w:rsidP="000C3138">
            <w:pPr>
              <w:tabs>
                <w:tab w:val="left" w:pos="792"/>
              </w:tabs>
              <w:ind w:firstLine="0"/>
            </w:pPr>
            <w:r w:rsidRPr="00C57FCF">
              <w:rPr>
                <w:b/>
              </w:rPr>
              <w:lastRenderedPageBreak/>
              <w:t>1.6.</w:t>
            </w:r>
            <w:r w:rsidRPr="00C57FCF">
              <w:rPr>
                <w:b/>
              </w:rPr>
              <w:tab/>
            </w:r>
            <w:r w:rsidRPr="00C57FCF">
              <w:t>Descrever os efeitos relevantes da regulação estatal sobre as atividades do emissor, comentando especificamente:</w:t>
            </w:r>
          </w:p>
        </w:tc>
        <w:tc>
          <w:tcPr>
            <w:tcW w:w="786" w:type="pct"/>
            <w:vAlign w:val="center"/>
          </w:tcPr>
          <w:p w14:paraId="31E59399" w14:textId="28959757" w:rsidR="00EB50A8" w:rsidRPr="00C57FCF" w:rsidRDefault="00EB50A8" w:rsidP="000C3138"/>
        </w:tc>
      </w:tr>
    </w:tbl>
    <w:p w14:paraId="021F8B45" w14:textId="31740BDE" w:rsidR="005D0DBA" w:rsidRDefault="00CF1B6C" w:rsidP="00B609EE">
      <w:pPr>
        <w:pStyle w:val="NormaAlterada"/>
      </w:pPr>
      <w:r>
        <w:tab/>
      </w:r>
      <w:bookmarkStart w:id="0" w:name="_GoBack"/>
      <w:bookmarkEnd w:id="0"/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4"/>
        <w:gridCol w:w="1580"/>
      </w:tblGrid>
      <w:tr w:rsidR="005D167D" w:rsidRPr="00C57FCF" w14:paraId="75D9898F" w14:textId="77777777" w:rsidTr="000C3138">
        <w:tc>
          <w:tcPr>
            <w:tcW w:w="4214" w:type="pct"/>
          </w:tcPr>
          <w:p w14:paraId="1C74EC54" w14:textId="77777777" w:rsidR="005D167D" w:rsidRDefault="005D167D" w:rsidP="000C3138">
            <w:pPr>
              <w:tabs>
                <w:tab w:val="left" w:pos="792"/>
              </w:tabs>
              <w:ind w:firstLine="0"/>
            </w:pPr>
            <w:r>
              <w:rPr>
                <w:b/>
              </w:rPr>
              <w:t>7.2.</w:t>
            </w:r>
            <w:r>
              <w:rPr>
                <w:b/>
              </w:rPr>
              <w:tab/>
            </w:r>
            <w:r>
              <w:t>Em relação especificamente ao conselho de administração, indicar:</w:t>
            </w:r>
          </w:p>
        </w:tc>
        <w:tc>
          <w:tcPr>
            <w:tcW w:w="786" w:type="pct"/>
            <w:vAlign w:val="center"/>
          </w:tcPr>
          <w:p w14:paraId="4C9B1DF8" w14:textId="3CFA64AE" w:rsidR="005D167D" w:rsidRDefault="005D167D" w:rsidP="000C3138">
            <w:r>
              <w:t>X</w:t>
            </w:r>
          </w:p>
        </w:tc>
      </w:tr>
    </w:tbl>
    <w:p w14:paraId="18FE4EF9" w14:textId="4BF80CC7" w:rsidR="00AA2FC4" w:rsidRDefault="00CF1B6C" w:rsidP="00B609EE">
      <w:pPr>
        <w:pStyle w:val="NormaAlterada"/>
      </w:pPr>
      <w:r>
        <w:tab/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4"/>
        <w:gridCol w:w="1580"/>
      </w:tblGrid>
      <w:tr w:rsidR="00A114BE" w14:paraId="05FEE502" w14:textId="77777777" w:rsidTr="000C3138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B864" w14:textId="77777777" w:rsidR="00A114BE" w:rsidRPr="00DF0B45" w:rsidRDefault="00A114BE" w:rsidP="000C3138">
            <w:pPr>
              <w:tabs>
                <w:tab w:val="left" w:pos="792"/>
              </w:tabs>
              <w:ind w:firstLine="0"/>
            </w:pPr>
            <w:r w:rsidRPr="00DF0B45">
              <w:rPr>
                <w:b/>
              </w:rPr>
              <w:t>8.6.</w:t>
            </w:r>
            <w:r w:rsidRPr="00DF0B45">
              <w:rPr>
                <w:b/>
              </w:rPr>
              <w:tab/>
            </w:r>
            <w:r w:rsidRPr="00DF0B45">
              <w:t xml:space="preserve">Em relação à cada outorga de opções de compra de ações realizada </w:t>
            </w:r>
            <w:r>
              <w:t>n</w:t>
            </w:r>
            <w:r w:rsidRPr="00DF0B45">
              <w:t>os 3 últimos exercícios sociais e previstas para o exercício social corrente, do conselho de administração e da diretoria estatutária, elaborar tabela com o seguinte conteúdo: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94D8" w14:textId="77777777" w:rsidR="00A114BE" w:rsidRDefault="00A114BE" w:rsidP="000C3138">
            <w:r>
              <w:t>X</w:t>
            </w:r>
          </w:p>
        </w:tc>
      </w:tr>
      <w:tr w:rsidR="00A114BE" w:rsidRPr="004C5AB3" w14:paraId="50AD7215" w14:textId="77777777" w:rsidTr="000C3138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3C98" w14:textId="77777777" w:rsidR="00A114BE" w:rsidRDefault="00A114BE" w:rsidP="000C3138">
            <w:pPr>
              <w:tabs>
                <w:tab w:val="left" w:pos="1044"/>
              </w:tabs>
              <w:ind w:left="1044" w:hanging="504"/>
            </w:pPr>
            <w:r>
              <w:rPr>
                <w:rFonts w:cs="Times New Roman" w:hint="eastAsia"/>
              </w:rPr>
              <w:t>a.</w:t>
            </w:r>
            <w:r>
              <w:rPr>
                <w:rFonts w:cs="Times New Roman" w:hint="eastAsia"/>
              </w:rPr>
              <w:tab/>
            </w:r>
            <w:r>
              <w:t>órgão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55E8" w14:textId="379FEBC8" w:rsidR="00A114BE" w:rsidRPr="004C5AB3" w:rsidRDefault="00A114BE" w:rsidP="000C3138">
            <w:r>
              <w:t>X</w:t>
            </w:r>
          </w:p>
        </w:tc>
      </w:tr>
      <w:tr w:rsidR="00A114BE" w:rsidRPr="004C5AB3" w14:paraId="718F6BEC" w14:textId="77777777" w:rsidTr="000C3138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7070" w14:textId="77777777" w:rsidR="00A114BE" w:rsidRDefault="00A114BE" w:rsidP="000C3138">
            <w:pPr>
              <w:tabs>
                <w:tab w:val="left" w:pos="1044"/>
              </w:tabs>
              <w:ind w:left="1044" w:hanging="504"/>
            </w:pPr>
            <w:r>
              <w:rPr>
                <w:rFonts w:cs="Times New Roman" w:hint="eastAsia"/>
              </w:rPr>
              <w:t>b.</w:t>
            </w:r>
            <w:r>
              <w:rPr>
                <w:rFonts w:cs="Times New Roman" w:hint="eastAsia"/>
              </w:rPr>
              <w:tab/>
            </w:r>
            <w:r>
              <w:t>número total de membros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463D" w14:textId="0D253505" w:rsidR="00A114BE" w:rsidRPr="004C5AB3" w:rsidRDefault="00A114BE" w:rsidP="000C3138">
            <w:r>
              <w:t>X</w:t>
            </w:r>
          </w:p>
        </w:tc>
      </w:tr>
      <w:tr w:rsidR="00A114BE" w:rsidRPr="004C5AB3" w14:paraId="1B10E745" w14:textId="77777777" w:rsidTr="000C3138"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DCE" w14:textId="77777777" w:rsidR="00A114BE" w:rsidRDefault="00A114BE" w:rsidP="000C3138">
            <w:pPr>
              <w:tabs>
                <w:tab w:val="left" w:pos="1044"/>
              </w:tabs>
              <w:ind w:left="1044" w:hanging="504"/>
            </w:pPr>
            <w:r>
              <w:rPr>
                <w:rFonts w:cs="Times New Roman" w:hint="eastAsia"/>
              </w:rPr>
              <w:t>c.</w:t>
            </w:r>
            <w:r>
              <w:rPr>
                <w:rFonts w:cs="Times New Roman" w:hint="eastAsia"/>
              </w:rPr>
              <w:tab/>
            </w:r>
            <w:r>
              <w:t>número de membros remunerados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EF10" w14:textId="676FC0BA" w:rsidR="00A114BE" w:rsidRPr="004C5AB3" w:rsidRDefault="00A114BE" w:rsidP="000C3138">
            <w:r>
              <w:t>X</w:t>
            </w:r>
          </w:p>
        </w:tc>
      </w:tr>
    </w:tbl>
    <w:p w14:paraId="410F19A1" w14:textId="060F12ED" w:rsidR="008732EB" w:rsidRDefault="00CF1B6C" w:rsidP="00B609EE">
      <w:pPr>
        <w:pStyle w:val="NormaAlterada"/>
      </w:pPr>
      <w:r>
        <w:tab/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4"/>
        <w:gridCol w:w="1580"/>
      </w:tblGrid>
      <w:tr w:rsidR="004F0C79" w:rsidRPr="00C57FCF" w14:paraId="0276F8EA" w14:textId="77777777" w:rsidTr="000C3138">
        <w:tc>
          <w:tcPr>
            <w:tcW w:w="4214" w:type="pct"/>
          </w:tcPr>
          <w:p w14:paraId="35B8747B" w14:textId="3F1B1C00" w:rsidR="004F0C79" w:rsidRPr="00C57FCF" w:rsidRDefault="004F0C79" w:rsidP="000C3138">
            <w:pPr>
              <w:tabs>
                <w:tab w:val="left" w:pos="792"/>
              </w:tabs>
              <w:ind w:firstLine="0"/>
            </w:pPr>
            <w:r w:rsidRPr="00C57FCF">
              <w:rPr>
                <w:b/>
              </w:rPr>
              <w:t>10.1.</w:t>
            </w:r>
            <w:r w:rsidRPr="00C57FCF">
              <w:rPr>
                <w:b/>
              </w:rPr>
              <w:tab/>
            </w:r>
            <w:r w:rsidRPr="00C57FCF">
              <w:t xml:space="preserve">Descrever os recursos humanos do emissor, fornecendo as seguintes informações: </w:t>
            </w:r>
          </w:p>
        </w:tc>
        <w:tc>
          <w:tcPr>
            <w:tcW w:w="786" w:type="pct"/>
            <w:vAlign w:val="center"/>
          </w:tcPr>
          <w:p w14:paraId="005971FF" w14:textId="77777777" w:rsidR="004F0C79" w:rsidRPr="00C57FCF" w:rsidRDefault="004F0C79" w:rsidP="000C3138">
            <w:r w:rsidRPr="00C57FCF">
              <w:t xml:space="preserve">X </w:t>
            </w:r>
          </w:p>
        </w:tc>
      </w:tr>
      <w:tr w:rsidR="004F0C79" w:rsidRPr="00C57FCF" w14:paraId="2DC4B03A" w14:textId="77777777" w:rsidTr="000C3138">
        <w:tc>
          <w:tcPr>
            <w:tcW w:w="4214" w:type="pct"/>
          </w:tcPr>
          <w:p w14:paraId="2937E21B" w14:textId="14C673D9" w:rsidR="004F0C79" w:rsidRPr="00C57FCF" w:rsidRDefault="004F0C79" w:rsidP="000C3138">
            <w:pPr>
              <w:tabs>
                <w:tab w:val="left" w:pos="1044"/>
              </w:tabs>
              <w:ind w:left="1044" w:hanging="504"/>
            </w:pPr>
            <w:r w:rsidRPr="00C57FCF">
              <w:rPr>
                <w:rFonts w:cs="Times New Roman" w:hint="eastAsia"/>
              </w:rPr>
              <w:t>a.</w:t>
            </w:r>
            <w:r w:rsidRPr="00C57FCF">
              <w:rPr>
                <w:rFonts w:cs="Times New Roman" w:hint="eastAsia"/>
              </w:rPr>
              <w:tab/>
            </w:r>
            <w:r w:rsidRPr="00C57FCF">
              <w:t>número de empregados</w:t>
            </w:r>
            <w:r>
              <w:t>,</w:t>
            </w:r>
            <w:r w:rsidRPr="00C57FCF">
              <w:t xml:space="preserve"> total</w:t>
            </w:r>
            <w:r>
              <w:t xml:space="preserve"> e</w:t>
            </w:r>
            <w:r w:rsidRPr="00C57FCF">
              <w:t xml:space="preserve"> por grupos</w:t>
            </w:r>
            <w:r>
              <w:t>,</w:t>
            </w:r>
            <w:r w:rsidRPr="00C57FCF">
              <w:t xml:space="preserve"> com base na atividade desempenhada</w:t>
            </w:r>
            <w:r>
              <w:t>, na</w:t>
            </w:r>
            <w:r w:rsidRPr="00C57FCF">
              <w:t xml:space="preserve"> localização geográfica</w:t>
            </w:r>
            <w:r>
              <w:t xml:space="preserve"> e em indicadores de diversidade, que, dentro de cada nível hierárquico do emissor, abranjam:</w:t>
            </w:r>
          </w:p>
        </w:tc>
        <w:tc>
          <w:tcPr>
            <w:tcW w:w="786" w:type="pct"/>
            <w:vAlign w:val="center"/>
          </w:tcPr>
          <w:p w14:paraId="5FE9F764" w14:textId="77777777" w:rsidR="004F0C79" w:rsidRPr="00C57FCF" w:rsidRDefault="004F0C79" w:rsidP="000C3138">
            <w:r w:rsidRPr="00C57FCF">
              <w:t>X</w:t>
            </w:r>
          </w:p>
        </w:tc>
      </w:tr>
      <w:tr w:rsidR="004F0C79" w:rsidRPr="00C57FCF" w14:paraId="56CB509D" w14:textId="77777777" w:rsidTr="000C3138">
        <w:tc>
          <w:tcPr>
            <w:tcW w:w="4214" w:type="pct"/>
          </w:tcPr>
          <w:p w14:paraId="6DA96AA6" w14:textId="77777777" w:rsidR="004F0C79" w:rsidRPr="00C57FCF" w:rsidRDefault="004F0C79" w:rsidP="000C3138">
            <w:pPr>
              <w:tabs>
                <w:tab w:val="left" w:pos="1728"/>
              </w:tabs>
              <w:ind w:left="1728" w:hanging="648"/>
            </w:pPr>
            <w:r w:rsidRPr="00C57FCF">
              <w:rPr>
                <w:rFonts w:ascii="Times New Roman" w:hAnsi="Times New Roman" w:cs="Times New Roman"/>
              </w:rPr>
              <w:t>i.</w:t>
            </w:r>
            <w:r w:rsidRPr="00C57FCF">
              <w:rPr>
                <w:rFonts w:ascii="Times New Roman" w:hAnsi="Times New Roman" w:cs="Times New Roman"/>
              </w:rPr>
              <w:tab/>
            </w:r>
            <w:r>
              <w:t>identidade autodeclarada de gênero</w:t>
            </w:r>
          </w:p>
        </w:tc>
        <w:tc>
          <w:tcPr>
            <w:tcW w:w="786" w:type="pct"/>
            <w:vAlign w:val="center"/>
          </w:tcPr>
          <w:p w14:paraId="176D4A62" w14:textId="1AC13640" w:rsidR="004F0C79" w:rsidRPr="00C57FCF" w:rsidRDefault="00CF1B6C" w:rsidP="000C3138">
            <w:r>
              <w:t>X</w:t>
            </w:r>
          </w:p>
        </w:tc>
      </w:tr>
      <w:tr w:rsidR="004F0C79" w:rsidRPr="00C57FCF" w14:paraId="31817438" w14:textId="77777777" w:rsidTr="000C3138">
        <w:tc>
          <w:tcPr>
            <w:tcW w:w="4214" w:type="pct"/>
          </w:tcPr>
          <w:p w14:paraId="50E08E05" w14:textId="77777777" w:rsidR="004F0C79" w:rsidRPr="00C57FCF" w:rsidRDefault="004F0C79" w:rsidP="000C3138">
            <w:pPr>
              <w:tabs>
                <w:tab w:val="left" w:pos="1728"/>
              </w:tabs>
              <w:ind w:left="1728" w:hanging="648"/>
            </w:pPr>
            <w:proofErr w:type="spellStart"/>
            <w:r w:rsidRPr="00C57FCF">
              <w:rPr>
                <w:rFonts w:ascii="Times New Roman" w:hAnsi="Times New Roman" w:cs="Times New Roman"/>
              </w:rPr>
              <w:t>ii</w:t>
            </w:r>
            <w:proofErr w:type="spellEnd"/>
            <w:r w:rsidRPr="00C57FCF">
              <w:rPr>
                <w:rFonts w:ascii="Times New Roman" w:hAnsi="Times New Roman" w:cs="Times New Roman"/>
              </w:rPr>
              <w:t>.</w:t>
            </w:r>
            <w:r w:rsidRPr="00C57FCF">
              <w:rPr>
                <w:rFonts w:ascii="Times New Roman" w:hAnsi="Times New Roman" w:cs="Times New Roman"/>
              </w:rPr>
              <w:tab/>
            </w:r>
            <w:r>
              <w:t>identidade autodeclarada de cor ou raça</w:t>
            </w:r>
          </w:p>
        </w:tc>
        <w:tc>
          <w:tcPr>
            <w:tcW w:w="786" w:type="pct"/>
            <w:vAlign w:val="center"/>
          </w:tcPr>
          <w:p w14:paraId="51B540BD" w14:textId="014AF6AB" w:rsidR="004F0C79" w:rsidRPr="00C57FCF" w:rsidRDefault="00CF1B6C" w:rsidP="000C3138">
            <w:r>
              <w:t>X</w:t>
            </w:r>
          </w:p>
        </w:tc>
      </w:tr>
      <w:tr w:rsidR="004F0C79" w:rsidRPr="00C57FCF" w14:paraId="2BAC9EFD" w14:textId="77777777" w:rsidTr="000C3138">
        <w:tc>
          <w:tcPr>
            <w:tcW w:w="4214" w:type="pct"/>
          </w:tcPr>
          <w:p w14:paraId="4E544EDA" w14:textId="77777777" w:rsidR="004F0C79" w:rsidRPr="00C57FCF" w:rsidRDefault="004F0C79" w:rsidP="000C3138">
            <w:pPr>
              <w:tabs>
                <w:tab w:val="left" w:pos="1728"/>
              </w:tabs>
              <w:ind w:left="1728" w:hanging="648"/>
            </w:pPr>
            <w:proofErr w:type="spellStart"/>
            <w:r w:rsidRPr="00C57FCF">
              <w:rPr>
                <w:rFonts w:ascii="Times New Roman" w:hAnsi="Times New Roman" w:cs="Times New Roman"/>
              </w:rPr>
              <w:t>iii</w:t>
            </w:r>
            <w:proofErr w:type="spellEnd"/>
            <w:r w:rsidRPr="00C57FCF">
              <w:rPr>
                <w:rFonts w:ascii="Times New Roman" w:hAnsi="Times New Roman" w:cs="Times New Roman"/>
              </w:rPr>
              <w:t>.</w:t>
            </w:r>
            <w:r w:rsidRPr="00C57FCF">
              <w:rPr>
                <w:rFonts w:ascii="Times New Roman" w:hAnsi="Times New Roman" w:cs="Times New Roman"/>
              </w:rPr>
              <w:tab/>
            </w:r>
            <w:r>
              <w:t>faixa etária</w:t>
            </w:r>
          </w:p>
        </w:tc>
        <w:tc>
          <w:tcPr>
            <w:tcW w:w="786" w:type="pct"/>
            <w:vAlign w:val="center"/>
          </w:tcPr>
          <w:p w14:paraId="1361D81D" w14:textId="33E5A130" w:rsidR="004F0C79" w:rsidRPr="00C57FCF" w:rsidRDefault="00CF1B6C" w:rsidP="000C3138">
            <w:r>
              <w:t>X</w:t>
            </w:r>
          </w:p>
        </w:tc>
      </w:tr>
      <w:tr w:rsidR="004F0C79" w:rsidRPr="00C57FCF" w14:paraId="0D77F0A8" w14:textId="77777777" w:rsidTr="000C3138">
        <w:tc>
          <w:tcPr>
            <w:tcW w:w="4214" w:type="pct"/>
          </w:tcPr>
          <w:p w14:paraId="185C0A35" w14:textId="77777777" w:rsidR="004F0C79" w:rsidRPr="00C57FCF" w:rsidRDefault="004F0C79" w:rsidP="000C3138">
            <w:pPr>
              <w:tabs>
                <w:tab w:val="left" w:pos="1728"/>
              </w:tabs>
              <w:ind w:left="1728" w:hanging="648"/>
            </w:pPr>
            <w:proofErr w:type="spellStart"/>
            <w:r w:rsidRPr="00C57FCF">
              <w:rPr>
                <w:rFonts w:ascii="Times New Roman" w:hAnsi="Times New Roman" w:cs="Times New Roman"/>
              </w:rPr>
              <w:t>iv</w:t>
            </w:r>
            <w:proofErr w:type="spellEnd"/>
            <w:r w:rsidRPr="00C57FCF">
              <w:rPr>
                <w:rFonts w:ascii="Times New Roman" w:hAnsi="Times New Roman" w:cs="Times New Roman"/>
              </w:rPr>
              <w:t>.</w:t>
            </w:r>
            <w:r w:rsidRPr="00C57FCF">
              <w:rPr>
                <w:rFonts w:ascii="Times New Roman" w:hAnsi="Times New Roman" w:cs="Times New Roman"/>
              </w:rPr>
              <w:tab/>
            </w:r>
            <w:r>
              <w:t>outros indicadores de diversidade que o emissor entenda relevantes</w:t>
            </w:r>
          </w:p>
        </w:tc>
        <w:tc>
          <w:tcPr>
            <w:tcW w:w="786" w:type="pct"/>
            <w:vAlign w:val="center"/>
          </w:tcPr>
          <w:p w14:paraId="1E0052DF" w14:textId="0B658895" w:rsidR="004F0C79" w:rsidRPr="00C57FCF" w:rsidRDefault="00CF1B6C" w:rsidP="000C3138">
            <w:r>
              <w:t>X</w:t>
            </w:r>
          </w:p>
        </w:tc>
      </w:tr>
    </w:tbl>
    <w:p w14:paraId="0142249D" w14:textId="601EDAEA" w:rsidR="00A114BE" w:rsidRDefault="00CF1B6C" w:rsidP="00B609EE">
      <w:pPr>
        <w:pStyle w:val="NormaAlterada"/>
      </w:pPr>
      <w:r>
        <w:tab/>
        <w:t>” (NR)</w:t>
      </w:r>
    </w:p>
    <w:p w14:paraId="6D8CC5AD" w14:textId="7113DEA2" w:rsidR="00A47F7A" w:rsidRDefault="00A47F7A" w:rsidP="00A47F7A">
      <w:r w:rsidRPr="006E1797">
        <w:lastRenderedPageBreak/>
        <w:t xml:space="preserve">Art. </w:t>
      </w:r>
      <w:r w:rsidR="00251E92">
        <w:t>3</w:t>
      </w:r>
      <w:proofErr w:type="gramStart"/>
      <w:r w:rsidRPr="006E1797">
        <w:t xml:space="preserve">º </w:t>
      </w:r>
      <w:r w:rsidR="00AB2CA1">
        <w:t xml:space="preserve"> </w:t>
      </w:r>
      <w:r>
        <w:t>A</w:t>
      </w:r>
      <w:proofErr w:type="gramEnd"/>
      <w:r w:rsidRPr="006E1797">
        <w:t xml:space="preserve"> Re</w:t>
      </w:r>
      <w:r>
        <w:t>solução CVM nº 160, de 13 de julho de 2022, passa a vigorar com a seguinte redação:</w:t>
      </w:r>
    </w:p>
    <w:p w14:paraId="7D3B274E" w14:textId="77777777" w:rsidR="00A55D19" w:rsidRDefault="00A55D19" w:rsidP="000E0F0E">
      <w:pPr>
        <w:pStyle w:val="NormaAlterada"/>
      </w:pPr>
      <w:r>
        <w:t>“Art. 26.............................................................</w:t>
      </w:r>
    </w:p>
    <w:p w14:paraId="72BE9299" w14:textId="77777777" w:rsidR="00A55D19" w:rsidRDefault="00A55D19" w:rsidP="000E0F0E">
      <w:pPr>
        <w:pStyle w:val="NormaAlterada"/>
      </w:pPr>
      <w:r>
        <w:t>..........................................................................</w:t>
      </w:r>
    </w:p>
    <w:p w14:paraId="13F96A10" w14:textId="78FECF18" w:rsidR="00C83190" w:rsidRDefault="00C83190" w:rsidP="00F839CB">
      <w:pPr>
        <w:pStyle w:val="NormaAlterada"/>
      </w:pPr>
      <w:r>
        <w:t>VI</w:t>
      </w:r>
      <w:r w:rsidR="00540271">
        <w:t xml:space="preserve"> – </w:t>
      </w:r>
      <w:proofErr w:type="gramStart"/>
      <w:r w:rsidR="00540271">
        <w:t>inicial</w:t>
      </w:r>
      <w:proofErr w:type="gramEnd"/>
      <w:r w:rsidR="00540271">
        <w:t xml:space="preserve"> de distribuição de cotas de fundo de investimento fechado não exclusivo (“inicial de cotas de fundo fechado”)</w:t>
      </w:r>
      <w:r w:rsidR="004F79CD">
        <w:t xml:space="preserve"> destinada exclusivamente a:</w:t>
      </w:r>
    </w:p>
    <w:p w14:paraId="2152070F" w14:textId="1C047A20" w:rsidR="004F79CD" w:rsidRDefault="004F79CD" w:rsidP="00F839CB">
      <w:pPr>
        <w:pStyle w:val="NormaAlterada"/>
      </w:pPr>
      <w:r>
        <w:t>..........................................................................</w:t>
      </w:r>
      <w:r>
        <w:tab/>
      </w:r>
    </w:p>
    <w:p w14:paraId="188F70CF" w14:textId="2A7CE211" w:rsidR="00F839CB" w:rsidRPr="00F839CB" w:rsidRDefault="0074319C" w:rsidP="00F839CB">
      <w:pPr>
        <w:pStyle w:val="NormaAlterada"/>
      </w:pPr>
      <w:proofErr w:type="spellStart"/>
      <w:r>
        <w:t>VII</w:t>
      </w:r>
      <w:proofErr w:type="spellEnd"/>
      <w:r w:rsidR="00F839CB">
        <w:t xml:space="preserve"> – subsequente de distribuição de cotas de fundo de investimento fechado não exclusivo (“</w:t>
      </w:r>
      <w:r w:rsidR="00815D89">
        <w:t xml:space="preserve">subsequente de </w:t>
      </w:r>
      <w:r w:rsidR="00F839CB">
        <w:t>cotas de fundo fechado”) destinada exclusivamente:</w:t>
      </w:r>
    </w:p>
    <w:p w14:paraId="51E77929" w14:textId="41911271" w:rsidR="00F839CB" w:rsidRPr="00F839CB" w:rsidRDefault="00F839CB" w:rsidP="00F839CB">
      <w:pPr>
        <w:pStyle w:val="NormaAlterada"/>
      </w:pPr>
      <w:r>
        <w:t xml:space="preserve">a) </w:t>
      </w:r>
      <w:r w:rsidR="29756AC4">
        <w:t xml:space="preserve">a </w:t>
      </w:r>
      <w:r>
        <w:t>investidores profissionais, observado o disposto no inciso II do art. 86;</w:t>
      </w:r>
    </w:p>
    <w:p w14:paraId="381FEA12" w14:textId="62A76F6E" w:rsidR="00F839CB" w:rsidRPr="00F839CB" w:rsidRDefault="00F839CB" w:rsidP="00F839CB">
      <w:pPr>
        <w:pStyle w:val="NormaAlterada"/>
      </w:pPr>
      <w:r>
        <w:t xml:space="preserve">b) </w:t>
      </w:r>
      <w:r w:rsidR="698953B5">
        <w:t xml:space="preserve">a </w:t>
      </w:r>
      <w:r>
        <w:t xml:space="preserve">investidores qualificados, observado o disposto no inciso </w:t>
      </w:r>
      <w:proofErr w:type="spellStart"/>
      <w:r>
        <w:t>III</w:t>
      </w:r>
      <w:proofErr w:type="spellEnd"/>
      <w:r>
        <w:t xml:space="preserve"> do art. 86;</w:t>
      </w:r>
    </w:p>
    <w:p w14:paraId="3B6375A7" w14:textId="77777777" w:rsidR="00F839CB" w:rsidRPr="00F839CB" w:rsidRDefault="00F839CB" w:rsidP="00F839CB">
      <w:pPr>
        <w:pStyle w:val="NormaAlterada"/>
      </w:pPr>
      <w:r w:rsidRPr="00F839CB">
        <w:t>c) ao público investidor em geral, desde que tenha havido oferta anterior objeto de análise prévia por parte da CVM e não tenha havido ampliação de público-alvo do fundo ou alteração em sua política de investimento (“subsequente de fundos fechados destinada ao público investidor em geral sem mudança na política de investimento ou ampliação de público-alvo”); ou</w:t>
      </w:r>
    </w:p>
    <w:p w14:paraId="0A454840" w14:textId="0DE1FF67" w:rsidR="00A55D19" w:rsidRDefault="00F839CB" w:rsidP="00F839CB">
      <w:pPr>
        <w:pStyle w:val="NormaAlterada"/>
      </w:pPr>
      <w:r w:rsidRPr="00F839CB">
        <w:t>d) ao público investidor em geral quando o requerimento de registro for previamente analisado por entidade autorreguladora autorizada pela CVM nos termos do convênio (“subsequente de fundo fechado destinada ao público investidor em geral com análise via convênio”);</w:t>
      </w:r>
    </w:p>
    <w:p w14:paraId="24B71661" w14:textId="6817F52C" w:rsidR="00EC6E23" w:rsidRDefault="00EC6E23" w:rsidP="00F839CB">
      <w:pPr>
        <w:pStyle w:val="NormaAlterada"/>
      </w:pPr>
      <w:r>
        <w:t>..........................................................................” (NR)</w:t>
      </w:r>
    </w:p>
    <w:p w14:paraId="2817B4AA" w14:textId="624EF621" w:rsidR="0051094A" w:rsidRDefault="00A71AE2" w:rsidP="000E0F0E">
      <w:pPr>
        <w:pStyle w:val="NormaAlterada"/>
      </w:pPr>
      <w:r>
        <w:t>“Art. 2</w:t>
      </w:r>
      <w:r w:rsidR="0075040E">
        <w:t>7</w:t>
      </w:r>
      <w:r w:rsidR="0051094A">
        <w:t>.............................................................</w:t>
      </w:r>
    </w:p>
    <w:p w14:paraId="27649B47" w14:textId="77777777" w:rsidR="0051094A" w:rsidRDefault="0051094A" w:rsidP="000E0F0E">
      <w:pPr>
        <w:pStyle w:val="NormaAlterada"/>
      </w:pPr>
      <w:r>
        <w:t>..........................................................................</w:t>
      </w:r>
    </w:p>
    <w:p w14:paraId="3D7ED17F" w14:textId="497B53DD" w:rsidR="00A71AE2" w:rsidRDefault="0051094A" w:rsidP="000E0F0E">
      <w:pPr>
        <w:pStyle w:val="NormaAlterada"/>
      </w:pPr>
      <w:r>
        <w:t>§ 7</w:t>
      </w:r>
      <w:proofErr w:type="gramStart"/>
      <w:r>
        <w:t xml:space="preserve">º  </w:t>
      </w:r>
      <w:r w:rsidR="00925347">
        <w:t>Nos</w:t>
      </w:r>
      <w:proofErr w:type="gramEnd"/>
      <w:r w:rsidR="00925347">
        <w:t xml:space="preserve"> casos elencados nos incisos do </w:t>
      </w:r>
      <w:r w:rsidR="00925347">
        <w:rPr>
          <w:b/>
          <w:bCs/>
        </w:rPr>
        <w:t>caput</w:t>
      </w:r>
      <w:r w:rsidR="00925347">
        <w:t xml:space="preserve"> do art. 26</w:t>
      </w:r>
      <w:r w:rsidR="00531C12">
        <w:t xml:space="preserve"> em que haja previsão de análise prévia por entidade autorreguladora, </w:t>
      </w:r>
      <w:r w:rsidR="004A4BB4">
        <w:rPr>
          <w:rFonts w:ascii="Calibri" w:hAnsi="Calibri" w:cs="Calibri"/>
          <w:color w:val="000000"/>
          <w:shd w:val="clear" w:color="auto" w:fill="FFFFFF"/>
        </w:rPr>
        <w:t>o requerimento de registro deve ser acompanhado</w:t>
      </w:r>
      <w:r w:rsidR="00531C12">
        <w:t>:</w:t>
      </w:r>
    </w:p>
    <w:p w14:paraId="030040CF" w14:textId="3D6B0F60" w:rsidR="00531C12" w:rsidRDefault="00531C12" w:rsidP="000E0F0E">
      <w:pPr>
        <w:pStyle w:val="NormaAlterada"/>
      </w:pPr>
      <w:r>
        <w:t xml:space="preserve">I – </w:t>
      </w:r>
      <w:proofErr w:type="gramStart"/>
      <w:r>
        <w:t>no</w:t>
      </w:r>
      <w:proofErr w:type="gramEnd"/>
      <w:r>
        <w:t xml:space="preserve"> momento </w:t>
      </w:r>
      <w:r w:rsidR="009F138D">
        <w:t>da apresentação</w:t>
      </w:r>
      <w:r w:rsidR="00434647">
        <w:t xml:space="preserve"> do</w:t>
      </w:r>
      <w:r>
        <w:t xml:space="preserve"> requerimento</w:t>
      </w:r>
      <w:r w:rsidR="00AF73EB">
        <w:t xml:space="preserve">, os documentos </w:t>
      </w:r>
      <w:r w:rsidR="009B1A6F">
        <w:t>necessários para o registro da respectiva oferta de distribuição, de acordo com o público-alvo destinatário da oferta, conforme previsto nesta Resolução; e</w:t>
      </w:r>
    </w:p>
    <w:p w14:paraId="040AA905" w14:textId="19F7737C" w:rsidR="009B1A6F" w:rsidRDefault="009B1A6F" w:rsidP="000E0F0E">
      <w:pPr>
        <w:pStyle w:val="NormaAlterada"/>
      </w:pPr>
      <w:r>
        <w:t xml:space="preserve">II – </w:t>
      </w:r>
      <w:proofErr w:type="gramStart"/>
      <w:r w:rsidR="00434647">
        <w:t>até</w:t>
      </w:r>
      <w:proofErr w:type="gramEnd"/>
      <w:r w:rsidR="00434647">
        <w:t xml:space="preserve"> a obtenção do registro, </w:t>
      </w:r>
      <w:r w:rsidR="00C3324B">
        <w:t>d</w:t>
      </w:r>
      <w:r w:rsidR="00012428">
        <w:t xml:space="preserve">o </w:t>
      </w:r>
      <w:r w:rsidR="00012428" w:rsidRPr="00012428">
        <w:t>relatório técnico elaborado pela entidade autorreguladora conveniada nos termos estabelecidos pelo convênio que não aponte óbice ou condições para o deferimento do registro da oferta pública</w:t>
      </w:r>
      <w:r w:rsidR="00012428">
        <w:t>.</w:t>
      </w:r>
    </w:p>
    <w:p w14:paraId="1FFB5822" w14:textId="5938E83E" w:rsidR="0019543F" w:rsidRDefault="0019543F" w:rsidP="000E0F0E">
      <w:pPr>
        <w:pStyle w:val="NormaAlterada"/>
      </w:pPr>
      <w:r>
        <w:lastRenderedPageBreak/>
        <w:t>..........................................................................” (NR)</w:t>
      </w:r>
    </w:p>
    <w:p w14:paraId="1ABDC913" w14:textId="77777777" w:rsidR="00BA04C9" w:rsidRDefault="000E1705" w:rsidP="000E0F0E">
      <w:pPr>
        <w:pStyle w:val="NormaAlterada"/>
      </w:pPr>
      <w:r>
        <w:t xml:space="preserve">“Art. </w:t>
      </w:r>
      <w:r w:rsidR="00BA04C9">
        <w:t>37.............................................................</w:t>
      </w:r>
    </w:p>
    <w:p w14:paraId="5CDF49C3" w14:textId="77777777" w:rsidR="00251019" w:rsidRDefault="00BA04C9" w:rsidP="000E0F0E">
      <w:pPr>
        <w:pStyle w:val="NormaAlterada"/>
      </w:pPr>
      <w:r>
        <w:t>§ 1</w:t>
      </w:r>
      <w:proofErr w:type="gramStart"/>
      <w:r>
        <w:t>º</w:t>
      </w:r>
      <w:r w:rsidR="00251019">
        <w:t xml:space="preserve">  A</w:t>
      </w:r>
      <w:proofErr w:type="gramEnd"/>
      <w:r w:rsidR="00251019">
        <w:t xml:space="preserve"> </w:t>
      </w:r>
      <w:proofErr w:type="spellStart"/>
      <w:r w:rsidR="00251019">
        <w:t>SRE</w:t>
      </w:r>
      <w:proofErr w:type="spellEnd"/>
      <w:r w:rsidR="00251019" w:rsidRPr="00251019">
        <w:t xml:space="preserve"> </w:t>
      </w:r>
      <w:r w:rsidR="00251019" w:rsidRPr="0012514F">
        <w:t xml:space="preserve">deve informar, no prazo de até 10 (dez) dias contado do protocolo, sobre a </w:t>
      </w:r>
      <w:r w:rsidR="00251019">
        <w:t>in</w:t>
      </w:r>
      <w:r w:rsidR="00251019" w:rsidRPr="0012514F">
        <w:t>suficiência dos documentos submetidos</w:t>
      </w:r>
      <w:r w:rsidR="00251019">
        <w:t>, se for o caso,</w:t>
      </w:r>
      <w:r w:rsidR="00251019" w:rsidRPr="0012514F">
        <w:t xml:space="preserve"> e quais documentos ou informações estão faltando</w:t>
      </w:r>
      <w:r w:rsidR="00251019">
        <w:t>.</w:t>
      </w:r>
    </w:p>
    <w:p w14:paraId="1B65E8CD" w14:textId="7CC92791" w:rsidR="000E1705" w:rsidRDefault="00251019" w:rsidP="000E0F0E">
      <w:pPr>
        <w:pStyle w:val="NormaAlterada"/>
      </w:pPr>
      <w:r>
        <w:t>..........................................................................” (NR)</w:t>
      </w:r>
      <w:r w:rsidR="00BA04C9">
        <w:tab/>
      </w:r>
    </w:p>
    <w:p w14:paraId="31282AE7" w14:textId="42B45677" w:rsidR="00355821" w:rsidRDefault="00297E11" w:rsidP="000E0F0E">
      <w:pPr>
        <w:pStyle w:val="NormaAlterada"/>
      </w:pPr>
      <w:r>
        <w:t>“Art. 86..............................................................</w:t>
      </w:r>
    </w:p>
    <w:p w14:paraId="43026A6E" w14:textId="77777777" w:rsidR="00355821" w:rsidRDefault="00355821" w:rsidP="000E0F0E">
      <w:pPr>
        <w:pStyle w:val="NormaAlterada"/>
      </w:pPr>
      <w:r>
        <w:t>..........................................................................</w:t>
      </w:r>
    </w:p>
    <w:p w14:paraId="2EEE50C8" w14:textId="5D94A8C6" w:rsidR="003615CE" w:rsidRDefault="00355821" w:rsidP="000E0F0E">
      <w:pPr>
        <w:pStyle w:val="NormaAlterada"/>
      </w:pPr>
      <w:r>
        <w:t xml:space="preserve">II – </w:t>
      </w:r>
      <w:proofErr w:type="gramStart"/>
      <w:r>
        <w:t>nas</w:t>
      </w:r>
      <w:proofErr w:type="gramEnd"/>
      <w:r>
        <w:t xml:space="preserve"> </w:t>
      </w:r>
      <w:r w:rsidR="003615CE" w:rsidRPr="003615CE">
        <w:t>ofertas destinadas exclusivamente a investidores profissionais elencadas nos incisos V, alínea "a" (debêntures simples), VI, alínea "a" (</w:t>
      </w:r>
      <w:r w:rsidR="00250084">
        <w:t xml:space="preserve">inicial de </w:t>
      </w:r>
      <w:r w:rsidR="003615CE" w:rsidRPr="003615CE">
        <w:t xml:space="preserve">cotas de fundos fechados), </w:t>
      </w:r>
      <w:proofErr w:type="spellStart"/>
      <w:r w:rsidR="005603A0">
        <w:t>VII</w:t>
      </w:r>
      <w:proofErr w:type="spellEnd"/>
      <w:r w:rsidR="005603A0">
        <w:t>, alínea “a” (</w:t>
      </w:r>
      <w:r w:rsidR="00815D89">
        <w:t xml:space="preserve">subsequente de </w:t>
      </w:r>
      <w:r w:rsidR="005603A0">
        <w:t xml:space="preserve">cotas de fundos fechados”) </w:t>
      </w:r>
      <w:r w:rsidR="003615CE" w:rsidRPr="003615CE">
        <w:t xml:space="preserve">e </w:t>
      </w:r>
      <w:proofErr w:type="spellStart"/>
      <w:r w:rsidR="003615CE" w:rsidRPr="003615CE">
        <w:t>VIII</w:t>
      </w:r>
      <w:proofErr w:type="spellEnd"/>
      <w:r w:rsidR="003615CE" w:rsidRPr="003615CE">
        <w:t xml:space="preserve">, alínea "a" (títulos de securitização), do </w:t>
      </w:r>
      <w:r w:rsidR="003615CE" w:rsidRPr="0006662C">
        <w:rPr>
          <w:b/>
        </w:rPr>
        <w:t>caput</w:t>
      </w:r>
      <w:r w:rsidR="003615CE" w:rsidRPr="003615CE">
        <w:t xml:space="preserve"> do art. 26, a revenda somente pode ser destinada</w:t>
      </w:r>
      <w:r w:rsidR="003615CE">
        <w:t>:</w:t>
      </w:r>
    </w:p>
    <w:p w14:paraId="6E8CF1AD" w14:textId="77777777" w:rsidR="003615CE" w:rsidRDefault="003615CE" w:rsidP="000E0F0E">
      <w:pPr>
        <w:pStyle w:val="NormaAlterada"/>
      </w:pPr>
      <w:r>
        <w:t>..........................................................................</w:t>
      </w:r>
    </w:p>
    <w:p w14:paraId="0FC96535" w14:textId="0BFF5C43" w:rsidR="00297E11" w:rsidRDefault="003615CE" w:rsidP="000E0F0E">
      <w:pPr>
        <w:pStyle w:val="NormaAlterada"/>
      </w:pPr>
      <w:proofErr w:type="spellStart"/>
      <w:r>
        <w:t>III</w:t>
      </w:r>
      <w:proofErr w:type="spellEnd"/>
      <w:r>
        <w:t xml:space="preserve"> –</w:t>
      </w:r>
      <w:r w:rsidR="00D3678F">
        <w:t xml:space="preserve"> </w:t>
      </w:r>
      <w:r w:rsidR="00D3678F" w:rsidRPr="00D3678F">
        <w:t>nas ofertas destinadas exclusivamente a investidores qualificados elencadas nos incisos V, alínea "b" (debêntures simples), VI, alínea “b” (</w:t>
      </w:r>
      <w:r w:rsidR="00C324C3">
        <w:t xml:space="preserve">inicial de </w:t>
      </w:r>
      <w:r w:rsidR="00D3678F" w:rsidRPr="00D3678F">
        <w:t xml:space="preserve">cotas de fundos fechados), </w:t>
      </w:r>
      <w:proofErr w:type="spellStart"/>
      <w:r w:rsidR="00FC73E3">
        <w:t>VII</w:t>
      </w:r>
      <w:proofErr w:type="spellEnd"/>
      <w:r w:rsidR="001F658F">
        <w:t>, alínea “b” (</w:t>
      </w:r>
      <w:r w:rsidR="00815D89">
        <w:t xml:space="preserve">subsequente de </w:t>
      </w:r>
      <w:r w:rsidR="001F658F">
        <w:t xml:space="preserve">cotas de fundos fechados), </w:t>
      </w:r>
      <w:proofErr w:type="spellStart"/>
      <w:r w:rsidR="00D3678F" w:rsidRPr="00D3678F">
        <w:t>VIII</w:t>
      </w:r>
      <w:proofErr w:type="spellEnd"/>
      <w:r w:rsidR="00D3678F" w:rsidRPr="00D3678F">
        <w:t xml:space="preserve">, alínea “b” (títulos de securitização), do </w:t>
      </w:r>
      <w:r w:rsidR="00D3678F" w:rsidRPr="0006662C">
        <w:rPr>
          <w:b/>
        </w:rPr>
        <w:t>caput</w:t>
      </w:r>
      <w:r w:rsidR="00D3678F" w:rsidRPr="00D3678F">
        <w:t xml:space="preserve"> do art. 26, a revenda somente pode ser destinada ao público investidor em geral após decorridos 6 (seis) meses da data de encerramento da oferta</w:t>
      </w:r>
      <w:r w:rsidR="00D3678F">
        <w:t>;</w:t>
      </w:r>
    </w:p>
    <w:p w14:paraId="79A8CCB6" w14:textId="5E3D9C8F" w:rsidR="00D3678F" w:rsidRDefault="00D3678F" w:rsidP="000E0F0E">
      <w:pPr>
        <w:pStyle w:val="NormaAlterada"/>
      </w:pPr>
      <w:r>
        <w:t>..........................................................................” (NR)</w:t>
      </w:r>
      <w:r>
        <w:tab/>
      </w:r>
    </w:p>
    <w:p w14:paraId="66906524" w14:textId="2B55A5E1" w:rsidR="006C58B3" w:rsidRPr="00D20AC0" w:rsidRDefault="006C58B3" w:rsidP="000E0F0E">
      <w:pPr>
        <w:pStyle w:val="NormaAlterada"/>
      </w:pPr>
      <w:r>
        <w:t>“</w:t>
      </w:r>
      <w:r w:rsidR="00BA009D">
        <w:t xml:space="preserve">Art. 87.  Não há restrições à negociação em mercado regulamentado dos ativos adquiridos nas ofertas elencadas nos incisos I a </w:t>
      </w:r>
      <w:proofErr w:type="spellStart"/>
      <w:r w:rsidR="00BA009D">
        <w:t>III</w:t>
      </w:r>
      <w:proofErr w:type="spellEnd"/>
      <w:r w:rsidR="00AF0C9F">
        <w:rPr>
          <w:rStyle w:val="Refdenotaderodap"/>
        </w:rPr>
        <w:footnoteReference w:id="2"/>
      </w:r>
      <w:r w:rsidR="00D55FFC">
        <w:t xml:space="preserve">, inciso </w:t>
      </w:r>
      <w:proofErr w:type="spellStart"/>
      <w:r w:rsidR="00D55FFC">
        <w:t>IV</w:t>
      </w:r>
      <w:proofErr w:type="spellEnd"/>
      <w:r w:rsidR="00D55FFC">
        <w:t>, alínea “b”</w:t>
      </w:r>
      <w:r w:rsidR="008348D2">
        <w:rPr>
          <w:rStyle w:val="Refdenotaderodap"/>
        </w:rPr>
        <w:footnoteReference w:id="3"/>
      </w:r>
      <w:r w:rsidR="00D55FFC">
        <w:t>, inciso V, alínea “c”</w:t>
      </w:r>
      <w:r w:rsidR="00F71EF4">
        <w:rPr>
          <w:rStyle w:val="Refdenotaderodap"/>
        </w:rPr>
        <w:footnoteReference w:id="4"/>
      </w:r>
      <w:r w:rsidR="00D55FFC">
        <w:t xml:space="preserve">, inciso </w:t>
      </w:r>
      <w:r w:rsidR="002D3E56">
        <w:t>VI, alínea “c”</w:t>
      </w:r>
      <w:r w:rsidR="00E27887">
        <w:rPr>
          <w:rStyle w:val="Refdenotaderodap"/>
        </w:rPr>
        <w:footnoteReference w:id="5"/>
      </w:r>
      <w:r w:rsidR="002D3E56">
        <w:t xml:space="preserve">, </w:t>
      </w:r>
      <w:r w:rsidR="002D3E56">
        <w:lastRenderedPageBreak/>
        <w:t xml:space="preserve">inciso </w:t>
      </w:r>
      <w:proofErr w:type="spellStart"/>
      <w:r w:rsidR="002D3E56">
        <w:t>VII</w:t>
      </w:r>
      <w:proofErr w:type="spellEnd"/>
      <w:r w:rsidR="002D3E56">
        <w:t>, alínea</w:t>
      </w:r>
      <w:r w:rsidR="000B3ACB">
        <w:t>s</w:t>
      </w:r>
      <w:r w:rsidR="002D3E56">
        <w:t xml:space="preserve"> </w:t>
      </w:r>
      <w:r w:rsidR="00724194">
        <w:t>“c”</w:t>
      </w:r>
      <w:r w:rsidR="00C83F83">
        <w:rPr>
          <w:rStyle w:val="Refdenotaderodap"/>
        </w:rPr>
        <w:footnoteReference w:id="6"/>
      </w:r>
      <w:r w:rsidR="000B3ACB">
        <w:t xml:space="preserve"> e “d”</w:t>
      </w:r>
      <w:r w:rsidR="000B3ACB">
        <w:rPr>
          <w:rStyle w:val="Refdenotaderodap"/>
        </w:rPr>
        <w:footnoteReference w:id="7"/>
      </w:r>
      <w:r w:rsidR="00A75F9C">
        <w:t xml:space="preserve">, inciso </w:t>
      </w:r>
      <w:proofErr w:type="spellStart"/>
      <w:r w:rsidR="00A75F9C">
        <w:t>VIII</w:t>
      </w:r>
      <w:proofErr w:type="spellEnd"/>
      <w:r w:rsidR="00A75F9C">
        <w:t>, alínea “c”</w:t>
      </w:r>
      <w:r w:rsidR="00520DD2">
        <w:rPr>
          <w:rStyle w:val="Refdenotaderodap"/>
        </w:rPr>
        <w:footnoteReference w:id="8"/>
      </w:r>
      <w:r w:rsidR="00A75F9C">
        <w:t xml:space="preserve">, inciso </w:t>
      </w:r>
      <w:proofErr w:type="spellStart"/>
      <w:r w:rsidR="00A75F9C">
        <w:t>XII</w:t>
      </w:r>
      <w:proofErr w:type="spellEnd"/>
      <w:r w:rsidR="0032659C">
        <w:rPr>
          <w:rStyle w:val="Refdenotaderodap"/>
        </w:rPr>
        <w:footnoteReference w:id="9"/>
      </w:r>
      <w:r w:rsidR="00D20AC0">
        <w:t xml:space="preserve"> e inciso </w:t>
      </w:r>
      <w:proofErr w:type="spellStart"/>
      <w:r w:rsidR="00D20AC0">
        <w:t>XIII</w:t>
      </w:r>
      <w:proofErr w:type="spellEnd"/>
      <w:r w:rsidR="00597EF7">
        <w:rPr>
          <w:rStyle w:val="Refdenotaderodap"/>
        </w:rPr>
        <w:footnoteReference w:id="10"/>
      </w:r>
      <w:r w:rsidR="00D20AC0">
        <w:t xml:space="preserve">, todos do </w:t>
      </w:r>
      <w:r w:rsidR="00D20AC0">
        <w:rPr>
          <w:b/>
          <w:bCs/>
        </w:rPr>
        <w:t>caput</w:t>
      </w:r>
      <w:r w:rsidR="00D20AC0">
        <w:t xml:space="preserve"> do art. 26.” (NR)</w:t>
      </w:r>
    </w:p>
    <w:p w14:paraId="51037410" w14:textId="70F497EC" w:rsidR="00251E92" w:rsidRDefault="00251E92" w:rsidP="00237C3B">
      <w:r>
        <w:t>Art. 4</w:t>
      </w:r>
      <w:proofErr w:type="gramStart"/>
      <w:r>
        <w:t>º  Ficam</w:t>
      </w:r>
      <w:proofErr w:type="gramEnd"/>
      <w:r>
        <w:t xml:space="preserve"> revogadas as notas de rodapé nº 90 e 91 da Resolução CVM nº 8</w:t>
      </w:r>
      <w:r w:rsidR="005A534F">
        <w:t>0</w:t>
      </w:r>
      <w:r>
        <w:t>, de 29 de março de 2022.</w:t>
      </w:r>
    </w:p>
    <w:p w14:paraId="0AE7E8B2" w14:textId="0CFEE6DE" w:rsidR="00237C3B" w:rsidRPr="00237C3B" w:rsidRDefault="00237C3B" w:rsidP="00237C3B">
      <w:r w:rsidRPr="00237C3B">
        <w:t xml:space="preserve">Art. </w:t>
      </w:r>
      <w:r w:rsidR="00251E92">
        <w:t>5</w:t>
      </w:r>
      <w:proofErr w:type="gramStart"/>
      <w:r w:rsidRPr="00237C3B">
        <w:t xml:space="preserve">º </w:t>
      </w:r>
      <w:r w:rsidR="00E53842">
        <w:t xml:space="preserve"> </w:t>
      </w:r>
      <w:r w:rsidRPr="00237C3B">
        <w:t>Esta</w:t>
      </w:r>
      <w:proofErr w:type="gramEnd"/>
      <w:r w:rsidRPr="00237C3B">
        <w:t xml:space="preserve"> Resolução entra em vigor em </w:t>
      </w:r>
      <w:r w:rsidR="00C3324B">
        <w:t>3 de abril de 2023</w:t>
      </w:r>
      <w:r w:rsidRPr="00237C3B">
        <w:t>.</w:t>
      </w:r>
    </w:p>
    <w:p w14:paraId="3A884FA6" w14:textId="77777777" w:rsidR="00237C3B" w:rsidRPr="00E25581" w:rsidRDefault="00237C3B" w:rsidP="00237C3B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1A645E76" w14:textId="7983E2DB" w:rsidR="00237C3B" w:rsidRPr="00E25581" w:rsidRDefault="004B5F16" w:rsidP="00237C3B">
      <w:pPr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 xml:space="preserve">JOÃO PEDRO </w:t>
      </w:r>
      <w:r w:rsidR="00AB2CA1">
        <w:rPr>
          <w:b/>
        </w:rPr>
        <w:t xml:space="preserve">BARROSO </w:t>
      </w:r>
      <w:r>
        <w:rPr>
          <w:b/>
        </w:rPr>
        <w:t>DO NASCIMENTO</w:t>
      </w:r>
    </w:p>
    <w:p w14:paraId="59EF8F3B" w14:textId="78D63781" w:rsidR="00237C3B" w:rsidRDefault="00237C3B" w:rsidP="00143B75">
      <w:pPr>
        <w:spacing w:before="0" w:after="0" w:line="240" w:lineRule="auto"/>
        <w:ind w:firstLine="0"/>
        <w:jc w:val="center"/>
      </w:pPr>
      <w:r w:rsidRPr="00E25581">
        <w:rPr>
          <w:b/>
        </w:rPr>
        <w:t>Presidente</w:t>
      </w:r>
    </w:p>
    <w:sectPr w:rsidR="00237C3B" w:rsidSect="00E25581">
      <w:headerReference w:type="default" r:id="rId11"/>
      <w:headerReference w:type="first" r:id="rId12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938B7" w14:textId="77777777" w:rsidR="001C5490" w:rsidRDefault="001C5490" w:rsidP="00ED1FB4">
      <w:r>
        <w:separator/>
      </w:r>
    </w:p>
  </w:endnote>
  <w:endnote w:type="continuationSeparator" w:id="0">
    <w:p w14:paraId="4A6469AA" w14:textId="77777777" w:rsidR="001C5490" w:rsidRDefault="001C5490" w:rsidP="00ED1FB4">
      <w:r>
        <w:continuationSeparator/>
      </w:r>
    </w:p>
  </w:endnote>
  <w:endnote w:type="continuationNotice" w:id="1">
    <w:p w14:paraId="0B050884" w14:textId="77777777" w:rsidR="001C5490" w:rsidRDefault="001C549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E6990" w14:textId="77777777" w:rsidR="001C5490" w:rsidRDefault="001C5490" w:rsidP="002F01AA">
      <w:pPr>
        <w:ind w:firstLine="0"/>
      </w:pPr>
      <w:r>
        <w:separator/>
      </w:r>
    </w:p>
  </w:footnote>
  <w:footnote w:type="continuationSeparator" w:id="0">
    <w:p w14:paraId="1F92F2C8" w14:textId="77777777" w:rsidR="001C5490" w:rsidRDefault="001C5490" w:rsidP="00ED1FB4">
      <w:r>
        <w:continuationSeparator/>
      </w:r>
    </w:p>
  </w:footnote>
  <w:footnote w:type="continuationNotice" w:id="1">
    <w:p w14:paraId="2799C031" w14:textId="77777777" w:rsidR="001C5490" w:rsidRDefault="001C5490">
      <w:pPr>
        <w:spacing w:before="0" w:after="0" w:line="240" w:lineRule="auto"/>
      </w:pPr>
    </w:p>
  </w:footnote>
  <w:footnote w:id="2">
    <w:p w14:paraId="4B762A2A" w14:textId="7EA6E442" w:rsidR="00AF0C9F" w:rsidRDefault="00AF0C9F" w:rsidP="00C17269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proofErr w:type="spellStart"/>
      <w:r w:rsidRPr="00AF0C9F">
        <w:t>IPO</w:t>
      </w:r>
      <w:proofErr w:type="spellEnd"/>
      <w:r w:rsidRPr="00AF0C9F">
        <w:t xml:space="preserve"> de ações com análise via convênio, subsequente de ações, subsequente de ações de </w:t>
      </w:r>
      <w:proofErr w:type="spellStart"/>
      <w:r w:rsidRPr="00AF0C9F">
        <w:t>EGEM</w:t>
      </w:r>
      <w:proofErr w:type="spellEnd"/>
    </w:p>
  </w:footnote>
  <w:footnote w:id="3">
    <w:p w14:paraId="747E066A" w14:textId="40AF0407" w:rsidR="008348D2" w:rsidRDefault="008348D2" w:rsidP="00C17269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debêntures</w:t>
      </w:r>
      <w:proofErr w:type="gramEnd"/>
      <w:r>
        <w:t xml:space="preserve"> simples de emissor frequente de dívida destinada a investidores qualificados  </w:t>
      </w:r>
    </w:p>
  </w:footnote>
  <w:footnote w:id="4">
    <w:p w14:paraId="01086253" w14:textId="151E8AF6" w:rsidR="00F71EF4" w:rsidRDefault="00F71EF4" w:rsidP="00C17269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debêntures</w:t>
      </w:r>
      <w:proofErr w:type="gramEnd"/>
      <w:r>
        <w:t xml:space="preserve"> simples de emissor registrado para o público em geral nas hipóteses de registro automático</w:t>
      </w:r>
    </w:p>
  </w:footnote>
  <w:footnote w:id="5">
    <w:p w14:paraId="340DEF3C" w14:textId="1A92F685" w:rsidR="00E27887" w:rsidRDefault="00E27887" w:rsidP="00C17269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proofErr w:type="gramStart"/>
      <w:r w:rsidRPr="00E27887">
        <w:t>inicial</w:t>
      </w:r>
      <w:proofErr w:type="gramEnd"/>
      <w:r w:rsidRPr="00E27887">
        <w:t xml:space="preserve"> de fundo fechado destinada ao público investidor em geral com análise via convênio</w:t>
      </w:r>
    </w:p>
  </w:footnote>
  <w:footnote w:id="6">
    <w:p w14:paraId="041B05BD" w14:textId="51BA0034" w:rsidR="00C83F83" w:rsidRDefault="00C83F83" w:rsidP="00C17269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proofErr w:type="gramStart"/>
      <w:r w:rsidR="00C17269">
        <w:t>subsequente</w:t>
      </w:r>
      <w:proofErr w:type="gramEnd"/>
      <w:r w:rsidR="00C17269">
        <w:t xml:space="preserve"> de cotas fundos fechados destinada ao público investidor em geral sem mudança na política de investimento ou ampliação de público-alvo</w:t>
      </w:r>
    </w:p>
  </w:footnote>
  <w:footnote w:id="7">
    <w:p w14:paraId="2B1852BC" w14:textId="140D7227" w:rsidR="000B3ACB" w:rsidRDefault="000B3ACB" w:rsidP="00597EF7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proofErr w:type="gramStart"/>
      <w:r w:rsidR="00BA3584" w:rsidRPr="00BA3584">
        <w:t>subsequente</w:t>
      </w:r>
      <w:proofErr w:type="gramEnd"/>
      <w:r w:rsidR="00BA3584" w:rsidRPr="00BA3584">
        <w:t xml:space="preserve"> de fundo fechado destinada ao público investidor em geral com análise via convênio</w:t>
      </w:r>
    </w:p>
  </w:footnote>
  <w:footnote w:id="8">
    <w:p w14:paraId="5285AB04" w14:textId="6B4C2683" w:rsidR="00520DD2" w:rsidRDefault="00520DD2" w:rsidP="00597EF7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títulos</w:t>
      </w:r>
      <w:proofErr w:type="gramEnd"/>
      <w:r>
        <w:t xml:space="preserve"> de securitização com análise via convênio  </w:t>
      </w:r>
    </w:p>
  </w:footnote>
  <w:footnote w:id="9">
    <w:p w14:paraId="5AF00F80" w14:textId="5104DD5D" w:rsidR="0032659C" w:rsidRDefault="0032659C" w:rsidP="00597EF7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subsequente</w:t>
      </w:r>
      <w:proofErr w:type="gramEnd"/>
      <w:r>
        <w:t xml:space="preserve"> de </w:t>
      </w:r>
      <w:proofErr w:type="spellStart"/>
      <w:r>
        <w:t>BDR</w:t>
      </w:r>
      <w:proofErr w:type="spellEnd"/>
      <w:r>
        <w:t xml:space="preserve"> Patrocinado Nível </w:t>
      </w:r>
      <w:proofErr w:type="spellStart"/>
      <w:r>
        <w:t>III</w:t>
      </w:r>
      <w:proofErr w:type="spellEnd"/>
    </w:p>
  </w:footnote>
  <w:footnote w:id="10">
    <w:p w14:paraId="527C19C2" w14:textId="5180D5CB" w:rsidR="00597EF7" w:rsidRDefault="00597EF7" w:rsidP="00597EF7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sobras</w:t>
      </w:r>
      <w:proofErr w:type="gramEnd"/>
      <w:r>
        <w:t xml:space="preserve"> de aumento de capital privado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4FCE" w14:textId="77777777" w:rsidR="005D2C60" w:rsidRPr="00ED1FB4" w:rsidRDefault="005D2C60" w:rsidP="004D68A2">
    <w:pPr>
      <w:pStyle w:val="Rodap"/>
    </w:pPr>
    <w:r w:rsidRPr="00ED1FB4">
      <w:drawing>
        <wp:inline distT="0" distB="0" distL="0" distR="0" wp14:anchorId="74FA83AF" wp14:editId="499AB5F4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75F9C" w14:textId="77777777" w:rsidR="005D2C60" w:rsidRPr="004D68A2" w:rsidRDefault="005D2C60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577BD257" w14:textId="77777777" w:rsidR="005D2C60" w:rsidRPr="00ED1FB4" w:rsidRDefault="005D2C60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44413862" w14:textId="77777777" w:rsidR="005D2C60" w:rsidRPr="004D68A2" w:rsidRDefault="005D2C60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151CED35" w14:textId="77777777" w:rsidR="005D2C60" w:rsidRPr="00ED1FB4" w:rsidRDefault="005D2C60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11C4C96C" w14:textId="77777777" w:rsidR="005D2C60" w:rsidRDefault="00FC496A" w:rsidP="00E25581">
    <w:pPr>
      <w:pStyle w:val="Rodap"/>
      <w:spacing w:after="240"/>
    </w:pPr>
    <w:hyperlink r:id="rId2" w:history="1">
      <w:r w:rsidR="005D2C60" w:rsidRPr="00ED1FB4">
        <w:rPr>
          <w:rStyle w:val="Hyperlink"/>
        </w:rPr>
        <w:t>www.cvm.gov.br</w:t>
      </w:r>
    </w:hyperlink>
  </w:p>
  <w:p w14:paraId="456FEC6E" w14:textId="65F45439" w:rsidR="00E25581" w:rsidRPr="009B69B0" w:rsidRDefault="00E25581" w:rsidP="00E25581">
    <w:pPr>
      <w:pStyle w:val="Rodap"/>
      <w:spacing w:after="240"/>
      <w:jc w:val="both"/>
      <w:rPr>
        <w:caps/>
      </w:rPr>
    </w:pPr>
    <w:r w:rsidRPr="009B69B0">
      <w:rPr>
        <w:caps/>
      </w:rPr>
      <w:t xml:space="preserve">RESOLUÇÃO CVM Nº </w:t>
    </w:r>
    <w:sdt>
      <w:sdtPr>
        <w:rPr>
          <w:caps/>
        </w:rPr>
        <w:alias w:val="Título"/>
        <w:tag w:val=""/>
        <w:id w:val="1007090907"/>
        <w:placeholder>
          <w:docPart w:val="6FA6982FEDAB4CDBA94F8DB2634FAD6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7B96">
          <w:rPr>
            <w:caps/>
          </w:rPr>
          <w:t>180, de 22 de março de 2023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E7E3" w14:textId="77777777" w:rsidR="009B69B0" w:rsidRPr="00ED1FB4" w:rsidRDefault="009B69B0" w:rsidP="009B69B0">
    <w:pPr>
      <w:pStyle w:val="Rodap"/>
    </w:pPr>
    <w:r w:rsidRPr="00ED1FB4">
      <w:drawing>
        <wp:inline distT="0" distB="0" distL="0" distR="0" wp14:anchorId="4F432256" wp14:editId="5D892F22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2CAEED" w14:textId="77777777" w:rsidR="009B69B0" w:rsidRPr="004D68A2" w:rsidRDefault="009B69B0" w:rsidP="009B69B0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5A3FB487" w14:textId="77777777" w:rsidR="009B69B0" w:rsidRPr="00ED1FB4" w:rsidRDefault="009B69B0" w:rsidP="009B69B0">
    <w:pPr>
      <w:pStyle w:val="Rodap"/>
    </w:pPr>
    <w:r w:rsidRPr="00ED1FB4">
      <w:t>Rua Sete de Setembro, 111/2-5º e 23-34º Andares, Centro, Rio de Janeiro/RJ – CEP: 20050-901 – Brasil - Tel.: (21) 3554-8686</w:t>
    </w:r>
  </w:p>
  <w:p w14:paraId="58FD97C0" w14:textId="77777777" w:rsidR="009B69B0" w:rsidRPr="004D68A2" w:rsidRDefault="009B69B0" w:rsidP="009B69B0">
    <w:pPr>
      <w:pStyle w:val="Rodap"/>
    </w:pPr>
    <w:r w:rsidRPr="004D68A2">
      <w:t>Rua Cincinato Braga, 340/2º, 3º e 4º Andares, Bela Vista, São Paulo/ SP – CEP: 01333-010 – Brasil - Tel.: (11) 2146-2000</w:t>
    </w:r>
  </w:p>
  <w:p w14:paraId="13B3927F" w14:textId="77777777" w:rsidR="009B69B0" w:rsidRPr="00ED1FB4" w:rsidRDefault="009B69B0" w:rsidP="009B69B0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6B07BB45" w14:textId="77777777" w:rsidR="009B69B0" w:rsidRDefault="00FC496A" w:rsidP="009B69B0">
    <w:pPr>
      <w:pStyle w:val="Rodap"/>
      <w:spacing w:after="240"/>
    </w:pPr>
    <w:hyperlink r:id="rId2" w:history="1">
      <w:r w:rsidR="009B69B0" w:rsidRPr="00ED1FB4">
        <w:rPr>
          <w:rStyle w:val="Hyperlink"/>
        </w:rPr>
        <w:t>www.cvm.gov.br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5AC8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9880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3B"/>
    <w:rsid w:val="0000361E"/>
    <w:rsid w:val="00004728"/>
    <w:rsid w:val="00012428"/>
    <w:rsid w:val="00022F3D"/>
    <w:rsid w:val="00024305"/>
    <w:rsid w:val="000305DC"/>
    <w:rsid w:val="000412C2"/>
    <w:rsid w:val="00052FE0"/>
    <w:rsid w:val="0006662C"/>
    <w:rsid w:val="0007071C"/>
    <w:rsid w:val="00074589"/>
    <w:rsid w:val="0007556C"/>
    <w:rsid w:val="00082202"/>
    <w:rsid w:val="00082BE8"/>
    <w:rsid w:val="00083335"/>
    <w:rsid w:val="000927F9"/>
    <w:rsid w:val="00092C3F"/>
    <w:rsid w:val="00095D44"/>
    <w:rsid w:val="000B22B0"/>
    <w:rsid w:val="000B3ACB"/>
    <w:rsid w:val="000C3138"/>
    <w:rsid w:val="000D3D4C"/>
    <w:rsid w:val="000D6A38"/>
    <w:rsid w:val="000E0F0E"/>
    <w:rsid w:val="000E1705"/>
    <w:rsid w:val="000E4DF1"/>
    <w:rsid w:val="000F1CC9"/>
    <w:rsid w:val="000F4F95"/>
    <w:rsid w:val="001028F8"/>
    <w:rsid w:val="00105F27"/>
    <w:rsid w:val="0012514F"/>
    <w:rsid w:val="00127F50"/>
    <w:rsid w:val="00143B75"/>
    <w:rsid w:val="00155CCD"/>
    <w:rsid w:val="00160C1A"/>
    <w:rsid w:val="001823EC"/>
    <w:rsid w:val="00185676"/>
    <w:rsid w:val="001918DA"/>
    <w:rsid w:val="0019543F"/>
    <w:rsid w:val="00196E30"/>
    <w:rsid w:val="001A1791"/>
    <w:rsid w:val="001A1EE4"/>
    <w:rsid w:val="001B4909"/>
    <w:rsid w:val="001B5525"/>
    <w:rsid w:val="001C1254"/>
    <w:rsid w:val="001C5490"/>
    <w:rsid w:val="001D2AC8"/>
    <w:rsid w:val="001D5B98"/>
    <w:rsid w:val="001E0083"/>
    <w:rsid w:val="001E5D79"/>
    <w:rsid w:val="001F0558"/>
    <w:rsid w:val="001F4B44"/>
    <w:rsid w:val="001F658F"/>
    <w:rsid w:val="001F7D07"/>
    <w:rsid w:val="00210A10"/>
    <w:rsid w:val="0021616B"/>
    <w:rsid w:val="00223B2E"/>
    <w:rsid w:val="00227226"/>
    <w:rsid w:val="002343A4"/>
    <w:rsid w:val="00237B63"/>
    <w:rsid w:val="00237C3B"/>
    <w:rsid w:val="00244386"/>
    <w:rsid w:val="0024614E"/>
    <w:rsid w:val="00250084"/>
    <w:rsid w:val="00251019"/>
    <w:rsid w:val="00251E92"/>
    <w:rsid w:val="002649EC"/>
    <w:rsid w:val="00271FEB"/>
    <w:rsid w:val="00276817"/>
    <w:rsid w:val="00282E48"/>
    <w:rsid w:val="00282EE5"/>
    <w:rsid w:val="00284CD9"/>
    <w:rsid w:val="002867B7"/>
    <w:rsid w:val="00286CE7"/>
    <w:rsid w:val="00297E11"/>
    <w:rsid w:val="002B001E"/>
    <w:rsid w:val="002B1DF4"/>
    <w:rsid w:val="002D0F70"/>
    <w:rsid w:val="002D3E56"/>
    <w:rsid w:val="002D527D"/>
    <w:rsid w:val="002E2CF4"/>
    <w:rsid w:val="002F01AA"/>
    <w:rsid w:val="002F1D96"/>
    <w:rsid w:val="003017D6"/>
    <w:rsid w:val="0031561B"/>
    <w:rsid w:val="003207A3"/>
    <w:rsid w:val="003234F3"/>
    <w:rsid w:val="0032659C"/>
    <w:rsid w:val="00340F72"/>
    <w:rsid w:val="00354C71"/>
    <w:rsid w:val="00355821"/>
    <w:rsid w:val="003564F5"/>
    <w:rsid w:val="003606AE"/>
    <w:rsid w:val="003615CE"/>
    <w:rsid w:val="003879FD"/>
    <w:rsid w:val="0039772F"/>
    <w:rsid w:val="003A10BD"/>
    <w:rsid w:val="003A306C"/>
    <w:rsid w:val="003A7322"/>
    <w:rsid w:val="003B1569"/>
    <w:rsid w:val="003B5DFF"/>
    <w:rsid w:val="003C2175"/>
    <w:rsid w:val="003C5885"/>
    <w:rsid w:val="003D228C"/>
    <w:rsid w:val="003D5A7D"/>
    <w:rsid w:val="003F5DDD"/>
    <w:rsid w:val="00412579"/>
    <w:rsid w:val="00414AE1"/>
    <w:rsid w:val="0041797C"/>
    <w:rsid w:val="00422DA9"/>
    <w:rsid w:val="004253AE"/>
    <w:rsid w:val="00427D1E"/>
    <w:rsid w:val="00434647"/>
    <w:rsid w:val="00454724"/>
    <w:rsid w:val="00467A80"/>
    <w:rsid w:val="00474C9C"/>
    <w:rsid w:val="00487C5A"/>
    <w:rsid w:val="00492C53"/>
    <w:rsid w:val="004A4BB4"/>
    <w:rsid w:val="004B5F16"/>
    <w:rsid w:val="004C217F"/>
    <w:rsid w:val="004C55E5"/>
    <w:rsid w:val="004D0746"/>
    <w:rsid w:val="004D0D1D"/>
    <w:rsid w:val="004D1374"/>
    <w:rsid w:val="004D14D5"/>
    <w:rsid w:val="004D5D6B"/>
    <w:rsid w:val="004D68A2"/>
    <w:rsid w:val="004E74BF"/>
    <w:rsid w:val="004F0C79"/>
    <w:rsid w:val="004F79CD"/>
    <w:rsid w:val="00504A63"/>
    <w:rsid w:val="00507ACC"/>
    <w:rsid w:val="0051094A"/>
    <w:rsid w:val="0051180B"/>
    <w:rsid w:val="00515B69"/>
    <w:rsid w:val="00520DD2"/>
    <w:rsid w:val="00531C12"/>
    <w:rsid w:val="00540271"/>
    <w:rsid w:val="00542008"/>
    <w:rsid w:val="00547A76"/>
    <w:rsid w:val="005600C2"/>
    <w:rsid w:val="005603A0"/>
    <w:rsid w:val="00572002"/>
    <w:rsid w:val="00576A08"/>
    <w:rsid w:val="00584FD0"/>
    <w:rsid w:val="00592E89"/>
    <w:rsid w:val="00597EF7"/>
    <w:rsid w:val="005A2E8D"/>
    <w:rsid w:val="005A534F"/>
    <w:rsid w:val="005A6370"/>
    <w:rsid w:val="005C12BE"/>
    <w:rsid w:val="005C7739"/>
    <w:rsid w:val="005D0046"/>
    <w:rsid w:val="005D0DBA"/>
    <w:rsid w:val="005D167D"/>
    <w:rsid w:val="005D2C60"/>
    <w:rsid w:val="005D5125"/>
    <w:rsid w:val="005F45DD"/>
    <w:rsid w:val="00605096"/>
    <w:rsid w:val="00610F1A"/>
    <w:rsid w:val="006270DF"/>
    <w:rsid w:val="006375B1"/>
    <w:rsid w:val="00642F15"/>
    <w:rsid w:val="00652AFD"/>
    <w:rsid w:val="0065401B"/>
    <w:rsid w:val="0065602B"/>
    <w:rsid w:val="00657B55"/>
    <w:rsid w:val="006620D9"/>
    <w:rsid w:val="00662FCD"/>
    <w:rsid w:val="00674836"/>
    <w:rsid w:val="00677DCA"/>
    <w:rsid w:val="00682809"/>
    <w:rsid w:val="0069664E"/>
    <w:rsid w:val="006C140A"/>
    <w:rsid w:val="006C2F8D"/>
    <w:rsid w:val="006C58B3"/>
    <w:rsid w:val="006D6C55"/>
    <w:rsid w:val="006E0C28"/>
    <w:rsid w:val="006E1563"/>
    <w:rsid w:val="006E1797"/>
    <w:rsid w:val="006E2484"/>
    <w:rsid w:val="006E6F04"/>
    <w:rsid w:val="00712A1D"/>
    <w:rsid w:val="00716038"/>
    <w:rsid w:val="007172E8"/>
    <w:rsid w:val="0072336C"/>
    <w:rsid w:val="007239C4"/>
    <w:rsid w:val="00724194"/>
    <w:rsid w:val="00727062"/>
    <w:rsid w:val="00727A4C"/>
    <w:rsid w:val="0073057A"/>
    <w:rsid w:val="0074319C"/>
    <w:rsid w:val="00743671"/>
    <w:rsid w:val="0075040E"/>
    <w:rsid w:val="00762DB5"/>
    <w:rsid w:val="00764B6C"/>
    <w:rsid w:val="0077654B"/>
    <w:rsid w:val="007867BC"/>
    <w:rsid w:val="00791559"/>
    <w:rsid w:val="007A6D5D"/>
    <w:rsid w:val="007D21D0"/>
    <w:rsid w:val="0080078A"/>
    <w:rsid w:val="00804696"/>
    <w:rsid w:val="00806059"/>
    <w:rsid w:val="00806FA4"/>
    <w:rsid w:val="0081067E"/>
    <w:rsid w:val="00814816"/>
    <w:rsid w:val="00815D89"/>
    <w:rsid w:val="008348D2"/>
    <w:rsid w:val="00837A07"/>
    <w:rsid w:val="008417F0"/>
    <w:rsid w:val="00841BBF"/>
    <w:rsid w:val="00847B4F"/>
    <w:rsid w:val="00851ECD"/>
    <w:rsid w:val="00856C0E"/>
    <w:rsid w:val="00861A95"/>
    <w:rsid w:val="0086338B"/>
    <w:rsid w:val="00864D62"/>
    <w:rsid w:val="008732EB"/>
    <w:rsid w:val="0087394D"/>
    <w:rsid w:val="00886985"/>
    <w:rsid w:val="00894689"/>
    <w:rsid w:val="008A3F39"/>
    <w:rsid w:val="008A50EB"/>
    <w:rsid w:val="008B1164"/>
    <w:rsid w:val="008B41B0"/>
    <w:rsid w:val="008B6FFC"/>
    <w:rsid w:val="008F2F63"/>
    <w:rsid w:val="009010FE"/>
    <w:rsid w:val="00907F33"/>
    <w:rsid w:val="00916A1E"/>
    <w:rsid w:val="00925347"/>
    <w:rsid w:val="0092645C"/>
    <w:rsid w:val="00956E3B"/>
    <w:rsid w:val="00957C1C"/>
    <w:rsid w:val="0096403B"/>
    <w:rsid w:val="00973BDD"/>
    <w:rsid w:val="009768AB"/>
    <w:rsid w:val="00990B1B"/>
    <w:rsid w:val="00996CD3"/>
    <w:rsid w:val="009A086F"/>
    <w:rsid w:val="009A5906"/>
    <w:rsid w:val="009B1A6F"/>
    <w:rsid w:val="009B5091"/>
    <w:rsid w:val="009B69B0"/>
    <w:rsid w:val="009C58CF"/>
    <w:rsid w:val="009C6539"/>
    <w:rsid w:val="009D1FF2"/>
    <w:rsid w:val="009D69C9"/>
    <w:rsid w:val="009E3D47"/>
    <w:rsid w:val="009E621A"/>
    <w:rsid w:val="009E7714"/>
    <w:rsid w:val="009F0838"/>
    <w:rsid w:val="009F138D"/>
    <w:rsid w:val="00A114BE"/>
    <w:rsid w:val="00A32DF0"/>
    <w:rsid w:val="00A3615F"/>
    <w:rsid w:val="00A47F7A"/>
    <w:rsid w:val="00A52999"/>
    <w:rsid w:val="00A55D19"/>
    <w:rsid w:val="00A60EDE"/>
    <w:rsid w:val="00A675E0"/>
    <w:rsid w:val="00A6779B"/>
    <w:rsid w:val="00A71AE2"/>
    <w:rsid w:val="00A72308"/>
    <w:rsid w:val="00A75F9C"/>
    <w:rsid w:val="00A85ACF"/>
    <w:rsid w:val="00AA2FC4"/>
    <w:rsid w:val="00AA31FE"/>
    <w:rsid w:val="00AA3CEF"/>
    <w:rsid w:val="00AB2CA1"/>
    <w:rsid w:val="00AC41BE"/>
    <w:rsid w:val="00AC7E32"/>
    <w:rsid w:val="00AD36B7"/>
    <w:rsid w:val="00AE52C1"/>
    <w:rsid w:val="00AF0C9F"/>
    <w:rsid w:val="00AF73EB"/>
    <w:rsid w:val="00B35CFD"/>
    <w:rsid w:val="00B42B3E"/>
    <w:rsid w:val="00B46AB0"/>
    <w:rsid w:val="00B47B96"/>
    <w:rsid w:val="00B53897"/>
    <w:rsid w:val="00B609EE"/>
    <w:rsid w:val="00B61040"/>
    <w:rsid w:val="00B62120"/>
    <w:rsid w:val="00B776A3"/>
    <w:rsid w:val="00B8447C"/>
    <w:rsid w:val="00B86102"/>
    <w:rsid w:val="00B975FA"/>
    <w:rsid w:val="00BA009D"/>
    <w:rsid w:val="00BA04C9"/>
    <w:rsid w:val="00BA130B"/>
    <w:rsid w:val="00BA3584"/>
    <w:rsid w:val="00BA3C56"/>
    <w:rsid w:val="00BB018A"/>
    <w:rsid w:val="00BB0862"/>
    <w:rsid w:val="00BC6747"/>
    <w:rsid w:val="00BD2DB7"/>
    <w:rsid w:val="00BE2430"/>
    <w:rsid w:val="00BF1D51"/>
    <w:rsid w:val="00BF561B"/>
    <w:rsid w:val="00C03B78"/>
    <w:rsid w:val="00C049AB"/>
    <w:rsid w:val="00C134E7"/>
    <w:rsid w:val="00C1691E"/>
    <w:rsid w:val="00C17269"/>
    <w:rsid w:val="00C24B4C"/>
    <w:rsid w:val="00C3231A"/>
    <w:rsid w:val="00C324C3"/>
    <w:rsid w:val="00C3324B"/>
    <w:rsid w:val="00C51055"/>
    <w:rsid w:val="00C62DA0"/>
    <w:rsid w:val="00C71778"/>
    <w:rsid w:val="00C75C66"/>
    <w:rsid w:val="00C82C89"/>
    <w:rsid w:val="00C83190"/>
    <w:rsid w:val="00C83F83"/>
    <w:rsid w:val="00C85C28"/>
    <w:rsid w:val="00CA75A2"/>
    <w:rsid w:val="00CB0DA5"/>
    <w:rsid w:val="00CB2A2B"/>
    <w:rsid w:val="00CC6B71"/>
    <w:rsid w:val="00CD5867"/>
    <w:rsid w:val="00CE3066"/>
    <w:rsid w:val="00CF1B6C"/>
    <w:rsid w:val="00CF411F"/>
    <w:rsid w:val="00D013CB"/>
    <w:rsid w:val="00D10AF6"/>
    <w:rsid w:val="00D11A9F"/>
    <w:rsid w:val="00D20AC0"/>
    <w:rsid w:val="00D21117"/>
    <w:rsid w:val="00D21915"/>
    <w:rsid w:val="00D25159"/>
    <w:rsid w:val="00D30988"/>
    <w:rsid w:val="00D322CF"/>
    <w:rsid w:val="00D3678F"/>
    <w:rsid w:val="00D45B26"/>
    <w:rsid w:val="00D55FFC"/>
    <w:rsid w:val="00D6601A"/>
    <w:rsid w:val="00D7198B"/>
    <w:rsid w:val="00D7563C"/>
    <w:rsid w:val="00D8755B"/>
    <w:rsid w:val="00DD2680"/>
    <w:rsid w:val="00DE4C8A"/>
    <w:rsid w:val="00DF78C9"/>
    <w:rsid w:val="00E06C90"/>
    <w:rsid w:val="00E136DD"/>
    <w:rsid w:val="00E142F6"/>
    <w:rsid w:val="00E20B6D"/>
    <w:rsid w:val="00E25581"/>
    <w:rsid w:val="00E27833"/>
    <w:rsid w:val="00E27887"/>
    <w:rsid w:val="00E33F61"/>
    <w:rsid w:val="00E35AD1"/>
    <w:rsid w:val="00E363B8"/>
    <w:rsid w:val="00E521A5"/>
    <w:rsid w:val="00E524C9"/>
    <w:rsid w:val="00E53842"/>
    <w:rsid w:val="00E579E1"/>
    <w:rsid w:val="00E601D4"/>
    <w:rsid w:val="00E66C6A"/>
    <w:rsid w:val="00E67C45"/>
    <w:rsid w:val="00E706A0"/>
    <w:rsid w:val="00E87715"/>
    <w:rsid w:val="00E93BA3"/>
    <w:rsid w:val="00E97227"/>
    <w:rsid w:val="00EA3983"/>
    <w:rsid w:val="00EA436F"/>
    <w:rsid w:val="00EB2126"/>
    <w:rsid w:val="00EB50A8"/>
    <w:rsid w:val="00EC1AFC"/>
    <w:rsid w:val="00EC6E23"/>
    <w:rsid w:val="00EC703D"/>
    <w:rsid w:val="00ED15F1"/>
    <w:rsid w:val="00ED1FB4"/>
    <w:rsid w:val="00EE02C9"/>
    <w:rsid w:val="00F11A16"/>
    <w:rsid w:val="00F21248"/>
    <w:rsid w:val="00F25E82"/>
    <w:rsid w:val="00F46879"/>
    <w:rsid w:val="00F474B4"/>
    <w:rsid w:val="00F56E4F"/>
    <w:rsid w:val="00F6425E"/>
    <w:rsid w:val="00F71EF4"/>
    <w:rsid w:val="00F839CB"/>
    <w:rsid w:val="00F87F12"/>
    <w:rsid w:val="00F9197B"/>
    <w:rsid w:val="00F92C8E"/>
    <w:rsid w:val="00F96118"/>
    <w:rsid w:val="00FA29E1"/>
    <w:rsid w:val="00FB25BB"/>
    <w:rsid w:val="00FB5809"/>
    <w:rsid w:val="00FC73E3"/>
    <w:rsid w:val="00FD7BBD"/>
    <w:rsid w:val="00FE09CA"/>
    <w:rsid w:val="00FE713D"/>
    <w:rsid w:val="00FE7D3D"/>
    <w:rsid w:val="00FF169D"/>
    <w:rsid w:val="00FF7BF8"/>
    <w:rsid w:val="0616BC4A"/>
    <w:rsid w:val="07321FEA"/>
    <w:rsid w:val="0773EEB0"/>
    <w:rsid w:val="094DC594"/>
    <w:rsid w:val="13A40B56"/>
    <w:rsid w:val="16961DB1"/>
    <w:rsid w:val="1C207A34"/>
    <w:rsid w:val="1D23E467"/>
    <w:rsid w:val="1D6886C9"/>
    <w:rsid w:val="223C7F2C"/>
    <w:rsid w:val="24E1E001"/>
    <w:rsid w:val="29756AC4"/>
    <w:rsid w:val="29ADC940"/>
    <w:rsid w:val="2F3825C3"/>
    <w:rsid w:val="399BB4E5"/>
    <w:rsid w:val="3C8DC740"/>
    <w:rsid w:val="4075FA6E"/>
    <w:rsid w:val="446B76FC"/>
    <w:rsid w:val="4B260863"/>
    <w:rsid w:val="4EEE876F"/>
    <w:rsid w:val="57FB3D1F"/>
    <w:rsid w:val="586E6080"/>
    <w:rsid w:val="58B3576F"/>
    <w:rsid w:val="698953B5"/>
    <w:rsid w:val="6EF2AB58"/>
    <w:rsid w:val="7228A409"/>
    <w:rsid w:val="7C8F5B54"/>
    <w:rsid w:val="7C96E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7F443"/>
  <w15:docId w15:val="{FF7D5352-CE82-412A-A685-AE273DEEF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F7A"/>
    <w:pPr>
      <w:spacing w:before="120" w:after="120" w:line="312" w:lineRule="auto"/>
      <w:ind w:firstLine="567"/>
      <w:jc w:val="both"/>
    </w:pPr>
    <w:rPr>
      <w:rFonts w:cstheme="minorHAnsi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 w:cs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basedOn w:val="Ttulo1Char"/>
    <w:link w:val="TtulosNumerados"/>
    <w:rsid w:val="00BC6747"/>
    <w:rPr>
      <w:rFonts w:ascii="Times New Roman" w:eastAsiaTheme="majorEastAsia" w:hAnsi="Times New Roman" w:cs="Times New Roman"/>
      <w:b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BC6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4D68A2"/>
    <w:rPr>
      <w:rFonts w:cstheme="minorHAns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basedOn w:val="Fontepargpadro"/>
    <w:uiPriority w:val="99"/>
    <w:semiHidden/>
    <w:rsid w:val="009B69B0"/>
    <w:rPr>
      <w:color w:val="808080"/>
    </w:rPr>
  </w:style>
  <w:style w:type="paragraph" w:styleId="Textodenotaderodap">
    <w:name w:val="footnote text"/>
    <w:aliases w:val="Footnote Text Char, Char,Char"/>
    <w:basedOn w:val="Normal"/>
    <w:link w:val="TextodenotaderodapChar"/>
    <w:uiPriority w:val="99"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aliases w:val="Footnote Text Char Char, Char Char,Char Char"/>
    <w:basedOn w:val="Fontepargpadro"/>
    <w:link w:val="Textodenotaderodap"/>
    <w:uiPriority w:val="99"/>
    <w:rsid w:val="0081067E"/>
    <w:rPr>
      <w:rFonts w:cstheme="minorHAnsi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81067E"/>
    <w:rPr>
      <w:vertAlign w:val="superscript"/>
    </w:rPr>
  </w:style>
  <w:style w:type="paragraph" w:styleId="PargrafodaLista">
    <w:name w:val="List Paragraph"/>
    <w:basedOn w:val="Normal"/>
    <w:uiPriority w:val="34"/>
    <w:rsid w:val="00D013CB"/>
    <w:pPr>
      <w:ind w:left="720"/>
      <w:contextualSpacing/>
    </w:pPr>
  </w:style>
  <w:style w:type="paragraph" w:styleId="Reviso">
    <w:name w:val="Revision"/>
    <w:hidden/>
    <w:uiPriority w:val="99"/>
    <w:semiHidden/>
    <w:rsid w:val="000412C2"/>
    <w:pPr>
      <w:spacing w:after="0" w:line="240" w:lineRule="auto"/>
    </w:pPr>
    <w:rPr>
      <w:rFonts w:cstheme="minorHAns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62F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62F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62FCD"/>
    <w:rPr>
      <w:rFonts w:cstheme="minorHAns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2F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2FCD"/>
    <w:rPr>
      <w:rFonts w:cstheme="minorHAnsi"/>
      <w:b/>
      <w:bCs/>
      <w:sz w:val="20"/>
      <w:szCs w:val="20"/>
    </w:rPr>
  </w:style>
  <w:style w:type="character" w:customStyle="1" w:styleId="xcontentpasted0">
    <w:name w:val="x_contentpasted0"/>
    <w:basedOn w:val="Fontepargpadro"/>
    <w:rsid w:val="00012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hur\OneDrive%20-%20cvm.gov.br\%5bSDM%5d\%5bAGENDA%20REGULAT&#211;RIA%202021%5d\Prazo%20para%20devolver%20pedido%20de%20vista%20%5bRes.%2045%20e%2046%5d\Resolu&#231;&#227;o%20alteradora%2045%20e%2046_23-11-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A6982FEDAB4CDBA94F8DB2634FA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A00DC-3139-481A-AB85-292C392740C8}"/>
      </w:docPartPr>
      <w:docPartBody>
        <w:p w:rsidR="00AF244F" w:rsidRDefault="00674836">
          <w:pPr>
            <w:pStyle w:val="6FA6982FEDAB4CDBA94F8DB2634FAD65"/>
          </w:pPr>
          <w:r w:rsidRPr="005311FB">
            <w:rPr>
              <w:rStyle w:val="TextodoEspaoReservado"/>
            </w:rPr>
            <w:t>[Título]</w:t>
          </w:r>
        </w:p>
      </w:docPartBody>
    </w:docPart>
    <w:docPart>
      <w:docPartPr>
        <w:name w:val="4959B5AE03CA40B29CF3759DEF7D9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CDA19-59DB-40B9-A7C9-EA08AFE25399}"/>
      </w:docPartPr>
      <w:docPartBody>
        <w:p w:rsidR="00124643" w:rsidRDefault="00D21915" w:rsidP="00D21915">
          <w:pPr>
            <w:pStyle w:val="4959B5AE03CA40B29CF3759DEF7D90EB"/>
          </w:pPr>
          <w:r w:rsidRPr="005311FB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36"/>
    <w:rsid w:val="00124643"/>
    <w:rsid w:val="001B6547"/>
    <w:rsid w:val="001C369E"/>
    <w:rsid w:val="001D5445"/>
    <w:rsid w:val="0044473A"/>
    <w:rsid w:val="00535758"/>
    <w:rsid w:val="0056148F"/>
    <w:rsid w:val="00674836"/>
    <w:rsid w:val="008962F7"/>
    <w:rsid w:val="008B3B91"/>
    <w:rsid w:val="008C7FF4"/>
    <w:rsid w:val="00A707BE"/>
    <w:rsid w:val="00AA0DB5"/>
    <w:rsid w:val="00AB1CD5"/>
    <w:rsid w:val="00AF244F"/>
    <w:rsid w:val="00BE1938"/>
    <w:rsid w:val="00BE23DF"/>
    <w:rsid w:val="00D21915"/>
    <w:rsid w:val="00F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1915"/>
    <w:rPr>
      <w:color w:val="808080"/>
    </w:rPr>
  </w:style>
  <w:style w:type="paragraph" w:customStyle="1" w:styleId="6FA6982FEDAB4CDBA94F8DB2634FAD65">
    <w:name w:val="6FA6982FEDAB4CDBA94F8DB2634FAD65"/>
  </w:style>
  <w:style w:type="paragraph" w:customStyle="1" w:styleId="4959B5AE03CA40B29CF3759DEF7D90EB">
    <w:name w:val="4959B5AE03CA40B29CF3759DEF7D90EB"/>
    <w:rsid w:val="00D21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  <lcf76f155ced4ddcb4097134ff3c332f xmlns="15cb24ba-756a-4ce4-ac9a-5f0544b55546">
      <Terms xmlns="http://schemas.microsoft.com/office/infopath/2007/PartnerControls"/>
    </lcf76f155ced4ddcb4097134ff3c332f>
    <TaxCatchAll xmlns="53adeefc-49af-490c-b6df-0a140ad55a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D80EA79C60684B97B4965E6E8E525D" ma:contentTypeVersion="16" ma:contentTypeDescription="Crie um novo documento." ma:contentTypeScope="" ma:versionID="dc84c76f46b198568b87719fd0e02c47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961bf375d37736051f0bcce655127d4f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2e61717-d90c-407f-8ff1-20c07df31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e42c98-5a55-49ff-bbfe-4906bee2a489}" ma:internalName="TaxCatchAll" ma:showField="CatchAllData" ma:web="53adeefc-49af-490c-b6df-0a140ad55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E20E-5821-45D3-AC26-57F50D549409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15cb24ba-756a-4ce4-ac9a-5f0544b5554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3adeefc-49af-490c-b6df-0a140ad55a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B5A1A4-9D81-46F0-9142-70116633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475A0-0FF0-4C66-A7BF-8243C6470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C15C37-A583-47B5-ABB9-B5A57F4F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Resolução alteradora 45 e 46_23-11-2021.dotx</Template>
  <TotalTime>57</TotalTime>
  <Pages>5</Pages>
  <Words>1154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180, de 22 de março de 2023</vt:lpstr>
    </vt:vector>
  </TitlesOfParts>
  <Company/>
  <LinksUpToDate>false</LinksUpToDate>
  <CharactersWithSpaces>7374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  <vt:variant>
        <vt:i4>7929915</vt:i4>
      </vt:variant>
      <vt:variant>
        <vt:i4>0</vt:i4>
      </vt:variant>
      <vt:variant>
        <vt:i4>0</vt:i4>
      </vt:variant>
      <vt:variant>
        <vt:i4>5</vt:i4>
      </vt:variant>
      <vt:variant>
        <vt:lpwstr>http://www.cvm.gov.br/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180, de 22 de março de 2023</dc:title>
  <dc:subject/>
  <dc:creator>CVM</dc:creator>
  <cp:keywords/>
  <cp:lastModifiedBy>Renata Dos Santos Leitão</cp:lastModifiedBy>
  <cp:revision>119</cp:revision>
  <dcterms:created xsi:type="dcterms:W3CDTF">2023-03-03T20:31:00Z</dcterms:created>
  <dcterms:modified xsi:type="dcterms:W3CDTF">2023-03-21T19:47:00Z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  <property fmtid="{D5CDD505-2E9C-101B-9397-08002B2CF9AE}" pid="3" name="MediaServiceImageTags">
    <vt:lpwstr/>
  </property>
</Properties>
</file>